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ACEA1">
      <w:pPr>
        <w:spacing w:line="360" w:lineRule="auto"/>
        <w:jc w:val="center"/>
        <w:rPr>
          <w:rFonts w:ascii="宋体" w:hAnsi="宋体" w:cs="宋体"/>
          <w:b/>
          <w:sz w:val="24"/>
          <w:highlight w:val="none"/>
        </w:rPr>
      </w:pPr>
    </w:p>
    <w:p w14:paraId="13C9A691">
      <w:pPr>
        <w:spacing w:line="360" w:lineRule="auto"/>
        <w:jc w:val="center"/>
        <w:rPr>
          <w:rFonts w:ascii="宋体" w:hAnsi="宋体" w:cs="宋体"/>
          <w:b/>
          <w:sz w:val="24"/>
          <w:highlight w:val="none"/>
        </w:rPr>
      </w:pPr>
    </w:p>
    <w:p w14:paraId="491CFDC5">
      <w:pPr>
        <w:adjustRightInd/>
        <w:spacing w:line="360" w:lineRule="auto"/>
        <w:jc w:val="center"/>
        <w:rPr>
          <w:rFonts w:hint="eastAsia" w:ascii="宋体" w:hAnsi="宋体" w:eastAsia="宋体" w:cs="宋体"/>
          <w:sz w:val="44"/>
          <w:szCs w:val="44"/>
          <w:highlight w:val="none"/>
          <w:lang w:val="en-US" w:eastAsia="zh-CN"/>
        </w:rPr>
      </w:pPr>
      <w:r>
        <w:rPr>
          <w:rFonts w:hint="eastAsia" w:ascii="宋体" w:hAnsi="宋体" w:cs="宋体"/>
          <w:sz w:val="44"/>
          <w:szCs w:val="44"/>
          <w:highlight w:val="none"/>
          <w:lang w:eastAsia="zh-CN"/>
        </w:rPr>
        <w:t>江山市人民医院医共体巡回诊疗车采购项目</w:t>
      </w:r>
    </w:p>
    <w:p w14:paraId="30662226">
      <w:pPr>
        <w:adjustRightInd/>
        <w:spacing w:line="360" w:lineRule="auto"/>
        <w:jc w:val="center"/>
        <w:rPr>
          <w:rFonts w:ascii="宋体" w:hAnsi="宋体" w:cs="宋体"/>
          <w:b/>
          <w:sz w:val="44"/>
          <w:szCs w:val="44"/>
          <w:highlight w:val="none"/>
        </w:rPr>
      </w:pPr>
    </w:p>
    <w:p w14:paraId="1725D825">
      <w:pPr>
        <w:adjustRightInd/>
        <w:spacing w:line="360" w:lineRule="auto"/>
        <w:jc w:val="center"/>
        <w:rPr>
          <w:rFonts w:ascii="宋体" w:hAnsi="宋体" w:cs="宋体"/>
          <w:b/>
          <w:sz w:val="44"/>
          <w:szCs w:val="44"/>
          <w:highlight w:val="none"/>
        </w:rPr>
      </w:pPr>
    </w:p>
    <w:p w14:paraId="487FC35F">
      <w:pPr>
        <w:adjustRightInd/>
        <w:spacing w:line="360" w:lineRule="auto"/>
        <w:jc w:val="center"/>
        <w:rPr>
          <w:rFonts w:ascii="宋体" w:hAnsi="宋体" w:cs="宋体"/>
          <w:b/>
          <w:sz w:val="44"/>
          <w:szCs w:val="44"/>
          <w:highlight w:val="none"/>
        </w:rPr>
      </w:pPr>
    </w:p>
    <w:p w14:paraId="3ADA065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sz w:val="44"/>
          <w:szCs w:val="44"/>
          <w:highlight w:val="none"/>
        </w:rPr>
        <w:t>（电子</w:t>
      </w:r>
      <w:r>
        <w:rPr>
          <w:rFonts w:hint="eastAsia" w:ascii="宋体" w:hAnsi="宋体" w:cs="宋体"/>
          <w:b/>
          <w:color w:val="000000" w:themeColor="text1"/>
          <w:sz w:val="44"/>
          <w:szCs w:val="44"/>
          <w:highlight w:val="none"/>
          <w14:textFill>
            <w14:solidFill>
              <w14:schemeClr w14:val="tx1"/>
            </w14:solidFill>
          </w14:textFill>
        </w:rPr>
        <w:t>招投标）</w:t>
      </w:r>
    </w:p>
    <w:p w14:paraId="0496665B">
      <w:pP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OBZFCG-25-012</w:t>
      </w:r>
    </w:p>
    <w:p w14:paraId="37298FA0">
      <w:pPr>
        <w:adjustRightInd/>
        <w:spacing w:line="360" w:lineRule="auto"/>
        <w:rPr>
          <w:rFonts w:ascii="宋体" w:hAnsi="宋体" w:cs="宋体"/>
          <w:sz w:val="28"/>
          <w:szCs w:val="20"/>
          <w:highlight w:val="none"/>
        </w:rPr>
      </w:pPr>
    </w:p>
    <w:p w14:paraId="581C03A4">
      <w:pPr>
        <w:spacing w:line="360" w:lineRule="auto"/>
        <w:jc w:val="center"/>
        <w:rPr>
          <w:rFonts w:ascii="宋体" w:hAnsi="宋体" w:cs="宋体"/>
          <w:b/>
          <w:sz w:val="44"/>
          <w:szCs w:val="44"/>
          <w:highlight w:val="none"/>
        </w:rPr>
      </w:pPr>
    </w:p>
    <w:p w14:paraId="65AB2645">
      <w:pPr>
        <w:spacing w:line="360" w:lineRule="auto"/>
        <w:jc w:val="center"/>
        <w:rPr>
          <w:rFonts w:ascii="宋体" w:hAnsi="宋体" w:cs="宋体"/>
          <w:b/>
          <w:sz w:val="44"/>
          <w:szCs w:val="44"/>
          <w:highlight w:val="none"/>
        </w:rPr>
      </w:pPr>
    </w:p>
    <w:p w14:paraId="0BB1ECE2">
      <w:pPr>
        <w:spacing w:line="360" w:lineRule="auto"/>
        <w:jc w:val="center"/>
        <w:rPr>
          <w:rFonts w:ascii="宋体" w:hAnsi="宋体" w:cs="宋体"/>
          <w:sz w:val="24"/>
          <w:highlight w:val="none"/>
        </w:rPr>
      </w:pPr>
    </w:p>
    <w:p w14:paraId="0858D611">
      <w:pPr>
        <w:spacing w:line="360" w:lineRule="auto"/>
        <w:rPr>
          <w:rFonts w:ascii="宋体" w:hAnsi="宋体" w:cs="宋体"/>
          <w:sz w:val="32"/>
          <w:szCs w:val="32"/>
          <w:highlight w:val="none"/>
        </w:rPr>
      </w:pPr>
    </w:p>
    <w:p w14:paraId="5F6561EF">
      <w:pPr>
        <w:snapToGrid w:val="0"/>
        <w:spacing w:line="360" w:lineRule="auto"/>
        <w:ind w:firstLine="1920" w:firstLineChars="600"/>
        <w:rPr>
          <w:rFonts w:ascii="宋体" w:hAnsi="宋体" w:cs="宋体"/>
          <w:sz w:val="32"/>
          <w:szCs w:val="32"/>
          <w:highlight w:val="none"/>
        </w:rPr>
      </w:pPr>
      <w:r>
        <w:rPr>
          <w:rFonts w:hint="eastAsia" w:ascii="宋体" w:hAnsi="宋体" w:cs="宋体"/>
          <w:sz w:val="32"/>
          <w:szCs w:val="32"/>
          <w:highlight w:val="none"/>
        </w:rPr>
        <w:t>采购单位：江山市人民医院</w:t>
      </w:r>
    </w:p>
    <w:p w14:paraId="2F9B1DD6">
      <w:pPr>
        <w:spacing w:line="360" w:lineRule="auto"/>
        <w:ind w:firstLine="1920" w:firstLineChars="600"/>
        <w:rPr>
          <w:rFonts w:ascii="宋体" w:hAnsi="宋体" w:cs="宋体"/>
          <w:bCs/>
          <w:sz w:val="32"/>
          <w:szCs w:val="32"/>
          <w:highlight w:val="none"/>
        </w:rPr>
      </w:pPr>
      <w:r>
        <w:rPr>
          <w:rFonts w:hint="eastAsia" w:ascii="宋体" w:hAnsi="宋体" w:cs="宋体"/>
          <w:bCs/>
          <w:sz w:val="32"/>
          <w:szCs w:val="32"/>
          <w:highlight w:val="none"/>
        </w:rPr>
        <w:t>备案单位：江山市财政局</w:t>
      </w:r>
    </w:p>
    <w:p w14:paraId="3ACD6E96">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代理机构：欧邦工程管理集团有限公司</w:t>
      </w:r>
    </w:p>
    <w:p w14:paraId="497A4488">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八</w:t>
      </w:r>
      <w:r>
        <w:rPr>
          <w:rFonts w:hint="eastAsia" w:ascii="宋体" w:hAnsi="宋体" w:cs="宋体"/>
          <w:bCs/>
          <w:sz w:val="32"/>
          <w:szCs w:val="32"/>
          <w:highlight w:val="none"/>
        </w:rPr>
        <w:t>月</w:t>
      </w:r>
    </w:p>
    <w:p w14:paraId="47B5768E">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35C7B271">
      <w:pPr>
        <w:spacing w:line="360" w:lineRule="auto"/>
        <w:jc w:val="center"/>
        <w:rPr>
          <w:rFonts w:ascii="宋体" w:hAnsi="宋体" w:cs="宋体"/>
          <w:sz w:val="24"/>
          <w:highlight w:val="none"/>
        </w:rPr>
      </w:pPr>
    </w:p>
    <w:p w14:paraId="4EC059D5">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4A8B898D">
      <w:pPr>
        <w:spacing w:line="360" w:lineRule="auto"/>
        <w:rPr>
          <w:rFonts w:ascii="宋体" w:hAnsi="宋体" w:cs="宋体"/>
          <w:sz w:val="32"/>
          <w:szCs w:val="32"/>
          <w:highlight w:val="none"/>
        </w:rPr>
      </w:pPr>
    </w:p>
    <w:p w14:paraId="7C7E5F3D">
      <w:pPr>
        <w:spacing w:line="360" w:lineRule="auto"/>
        <w:rPr>
          <w:rFonts w:ascii="宋体" w:hAnsi="宋体" w:cs="宋体"/>
          <w:sz w:val="32"/>
          <w:szCs w:val="32"/>
          <w:highlight w:val="none"/>
        </w:rPr>
      </w:pPr>
    </w:p>
    <w:p w14:paraId="38789D9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157CE29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6BDA108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4BE3E9E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23FDB06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713F7181">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54158548">
      <w:pPr>
        <w:spacing w:line="360" w:lineRule="auto"/>
        <w:ind w:firstLine="549" w:firstLineChars="229"/>
        <w:rPr>
          <w:rFonts w:ascii="宋体" w:hAnsi="宋体" w:cs="宋体"/>
          <w:sz w:val="24"/>
          <w:highlight w:val="none"/>
        </w:rPr>
      </w:pPr>
      <w:bookmarkStart w:id="1" w:name="_Hlt91233176"/>
      <w:bookmarkEnd w:id="1"/>
      <w:bookmarkStart w:id="2" w:name="_Toc91899869"/>
    </w:p>
    <w:p w14:paraId="6638FC6C">
      <w:pPr>
        <w:spacing w:line="360" w:lineRule="auto"/>
        <w:ind w:firstLine="549" w:firstLineChars="229"/>
        <w:rPr>
          <w:rFonts w:ascii="宋体" w:hAnsi="宋体" w:cs="宋体"/>
          <w:sz w:val="24"/>
          <w:highlight w:val="none"/>
        </w:rPr>
      </w:pPr>
    </w:p>
    <w:p w14:paraId="072582A4">
      <w:pPr>
        <w:spacing w:line="360" w:lineRule="auto"/>
        <w:ind w:firstLine="549" w:firstLineChars="229"/>
        <w:rPr>
          <w:rFonts w:ascii="宋体" w:hAnsi="宋体" w:cs="宋体"/>
          <w:sz w:val="24"/>
          <w:highlight w:val="none"/>
        </w:rPr>
      </w:pPr>
    </w:p>
    <w:p w14:paraId="4ADAF4DB">
      <w:pPr>
        <w:spacing w:line="360" w:lineRule="auto"/>
        <w:ind w:firstLine="549" w:firstLineChars="229"/>
        <w:rPr>
          <w:rFonts w:ascii="宋体" w:hAnsi="宋体" w:cs="宋体"/>
          <w:sz w:val="24"/>
          <w:highlight w:val="none"/>
        </w:rPr>
      </w:pPr>
    </w:p>
    <w:p w14:paraId="60BD924D">
      <w:pPr>
        <w:spacing w:line="360" w:lineRule="auto"/>
        <w:ind w:firstLine="549" w:firstLineChars="229"/>
        <w:rPr>
          <w:rFonts w:ascii="宋体" w:hAnsi="宋体" w:cs="宋体"/>
          <w:sz w:val="24"/>
          <w:highlight w:val="none"/>
        </w:rPr>
      </w:pPr>
    </w:p>
    <w:p w14:paraId="6E9AD08F">
      <w:pPr>
        <w:spacing w:line="360" w:lineRule="auto"/>
        <w:ind w:firstLine="549" w:firstLineChars="229"/>
        <w:rPr>
          <w:rFonts w:ascii="宋体" w:hAnsi="宋体" w:cs="宋体"/>
          <w:sz w:val="24"/>
          <w:highlight w:val="none"/>
        </w:rPr>
      </w:pPr>
    </w:p>
    <w:p w14:paraId="424F3DB3">
      <w:pPr>
        <w:spacing w:line="360" w:lineRule="auto"/>
        <w:ind w:firstLine="549" w:firstLineChars="229"/>
        <w:rPr>
          <w:rFonts w:ascii="宋体" w:hAnsi="宋体" w:cs="宋体"/>
          <w:sz w:val="24"/>
          <w:highlight w:val="none"/>
        </w:rPr>
      </w:pPr>
    </w:p>
    <w:p w14:paraId="064CBF75">
      <w:pPr>
        <w:spacing w:line="360" w:lineRule="auto"/>
        <w:ind w:firstLine="549" w:firstLineChars="229"/>
        <w:rPr>
          <w:rFonts w:ascii="宋体" w:hAnsi="宋体" w:cs="宋体"/>
          <w:sz w:val="24"/>
          <w:highlight w:val="none"/>
        </w:rPr>
      </w:pPr>
    </w:p>
    <w:p w14:paraId="7992C900">
      <w:pPr>
        <w:spacing w:line="360" w:lineRule="auto"/>
        <w:ind w:firstLine="549" w:firstLineChars="229"/>
        <w:rPr>
          <w:rFonts w:ascii="宋体" w:hAnsi="宋体" w:cs="宋体"/>
          <w:sz w:val="24"/>
          <w:highlight w:val="none"/>
        </w:rPr>
      </w:pPr>
    </w:p>
    <w:bookmarkEnd w:id="2"/>
    <w:p w14:paraId="64731D1E">
      <w:pPr>
        <w:rPr>
          <w:rFonts w:ascii="宋体" w:hAnsi="宋体" w:cs="宋体"/>
          <w:b/>
          <w:sz w:val="36"/>
          <w:szCs w:val="20"/>
          <w:highlight w:val="none"/>
        </w:rPr>
      </w:pPr>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highlight w:val="none"/>
        </w:rPr>
        <w:br w:type="page"/>
      </w:r>
    </w:p>
    <w:p w14:paraId="381F2BA2">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第一部分 招标公告</w:t>
      </w:r>
    </w:p>
    <w:p w14:paraId="5BD9CC5B">
      <w:pPr>
        <w:pBdr>
          <w:top w:val="single" w:color="auto" w:sz="4" w:space="1"/>
          <w:left w:val="single" w:color="auto" w:sz="4" w:space="4"/>
          <w:bottom w:val="single" w:color="auto" w:sz="4" w:space="1"/>
          <w:right w:val="single" w:color="auto" w:sz="4" w:space="4"/>
        </w:pBdr>
        <w:spacing w:line="320" w:lineRule="exact"/>
        <w:ind w:firstLine="480" w:firstLineChars="200"/>
        <w:rPr>
          <w:rFonts w:ascii="宋体" w:hAnsi="宋体" w:cs="宋体"/>
          <w:sz w:val="24"/>
          <w:highlight w:val="none"/>
        </w:rPr>
      </w:pPr>
      <w:r>
        <w:rPr>
          <w:rFonts w:hint="eastAsia" w:ascii="宋体" w:hAnsi="宋体" w:cs="宋体"/>
          <w:sz w:val="24"/>
          <w:highlight w:val="none"/>
        </w:rPr>
        <w:t>项目概况</w:t>
      </w:r>
    </w:p>
    <w:p w14:paraId="3B164421">
      <w:pPr>
        <w:pBdr>
          <w:top w:val="single" w:color="auto" w:sz="4" w:space="1"/>
          <w:left w:val="single" w:color="auto" w:sz="4" w:space="4"/>
          <w:bottom w:val="single" w:color="auto" w:sz="4" w:space="1"/>
          <w:right w:val="single" w:color="auto" w:sz="4" w:space="4"/>
        </w:pBdr>
        <w:spacing w:line="320" w:lineRule="exact"/>
        <w:ind w:firstLine="480" w:firstLineChars="200"/>
        <w:rPr>
          <w:rFonts w:ascii="宋体" w:hAnsi="宋体" w:cs="宋体"/>
          <w:sz w:val="24"/>
          <w:highlight w:val="none"/>
          <w:u w:val="single"/>
        </w:rPr>
      </w:pPr>
      <w:r>
        <w:rPr>
          <w:rFonts w:hint="eastAsia" w:ascii="宋体" w:hAnsi="宋体" w:cs="宋体"/>
          <w:sz w:val="24"/>
          <w:highlight w:val="none"/>
          <w:lang w:eastAsia="zh-CN"/>
        </w:rPr>
        <w:t>江山市人民医院医共体巡回诊疗车采购项目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9时00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058F9D15">
      <w:pPr>
        <w:pStyle w:val="261"/>
        <w:numPr>
          <w:ilvl w:val="0"/>
          <w:numId w:val="1"/>
        </w:numPr>
        <w:spacing w:line="320" w:lineRule="exact"/>
        <w:ind w:firstLineChars="0"/>
        <w:rPr>
          <w:rFonts w:ascii="宋体" w:hAnsi="宋体" w:eastAsia="宋体" w:cs="宋体"/>
          <w:b/>
          <w:highlight w:val="none"/>
        </w:rPr>
      </w:pPr>
      <w:r>
        <w:rPr>
          <w:rFonts w:hint="eastAsia" w:ascii="宋体" w:hAnsi="宋体" w:eastAsia="宋体" w:cs="宋体"/>
          <w:b/>
          <w:highlight w:val="none"/>
        </w:rPr>
        <w:t>招标公告发布前事项：</w:t>
      </w:r>
    </w:p>
    <w:p w14:paraId="3748561C">
      <w:pPr>
        <w:pStyle w:val="261"/>
        <w:spacing w:line="320" w:lineRule="exact"/>
        <w:ind w:left="720" w:firstLine="0" w:firstLineChars="0"/>
        <w:jc w:val="left"/>
        <w:rPr>
          <w:rFonts w:ascii="宋体" w:hAnsi="宋体" w:eastAsia="宋体" w:cs="宋体"/>
          <w:highlight w:val="none"/>
        </w:rPr>
      </w:pPr>
      <w:r>
        <w:rPr>
          <w:rFonts w:hint="eastAsia" w:ascii="宋体" w:hAnsi="宋体" w:eastAsia="宋体" w:cs="宋体"/>
          <w:highlight w:val="none"/>
        </w:rPr>
        <w:t>1、意向公开的发布链接</w:t>
      </w:r>
      <w:r>
        <w:rPr>
          <w:rFonts w:hint="eastAsia" w:ascii="宋体" w:hAnsi="宋体" w:eastAsia="宋体" w:cs="宋体"/>
          <w:highlight w:val="none"/>
          <w:u w:val="single"/>
          <w:lang w:val="en-US" w:eastAsia="zh-CN"/>
        </w:rPr>
        <w:t>https://zfcg.czt.zj.gov.cn/site/detail?parentId=600007&amp;articleId=HXpilzuSMYIGxaaO7QRvKw%3D%3D</w:t>
      </w:r>
      <w:r>
        <w:rPr>
          <w:rFonts w:hint="eastAsia" w:ascii="宋体" w:hAnsi="宋体" w:eastAsia="宋体" w:cs="宋体"/>
          <w:highlight w:val="none"/>
        </w:rPr>
        <w:t>。</w:t>
      </w:r>
    </w:p>
    <w:p w14:paraId="492CCB1B">
      <w:pPr>
        <w:pStyle w:val="261"/>
        <w:spacing w:line="320" w:lineRule="exact"/>
        <w:ind w:left="720" w:firstLine="0" w:firstLineChars="0"/>
        <w:rPr>
          <w:rFonts w:ascii="宋体" w:hAnsi="宋体" w:eastAsia="宋体" w:cs="宋体"/>
          <w:highlight w:val="none"/>
          <w:u w:val="single"/>
        </w:rPr>
      </w:pPr>
      <w:r>
        <w:rPr>
          <w:rFonts w:hint="eastAsia" w:ascii="宋体" w:hAnsi="宋体" w:eastAsia="宋体" w:cs="宋体"/>
          <w:highlight w:val="none"/>
        </w:rPr>
        <w:t>2、意见征询公开的发布链接：</w:t>
      </w:r>
      <w:r>
        <w:rPr>
          <w:rFonts w:hint="eastAsia" w:ascii="宋体" w:hAnsi="宋体" w:eastAsia="宋体" w:cs="宋体"/>
          <w:highlight w:val="none"/>
          <w:u w:val="single"/>
        </w:rPr>
        <w:t>/</w:t>
      </w:r>
    </w:p>
    <w:p w14:paraId="18B0ED1E">
      <w:pPr>
        <w:pStyle w:val="261"/>
        <w:spacing w:line="320" w:lineRule="exact"/>
        <w:ind w:left="720" w:firstLine="360" w:firstLineChars="150"/>
        <w:rPr>
          <w:rFonts w:ascii="宋体" w:hAnsi="宋体" w:eastAsia="宋体" w:cs="宋体"/>
          <w:b/>
          <w:highlight w:val="none"/>
        </w:rPr>
      </w:pPr>
      <w:r>
        <w:rPr>
          <w:rFonts w:hint="eastAsia" w:ascii="宋体" w:hAnsi="宋体" w:eastAsia="宋体" w:cs="宋体"/>
          <w:highlight w:val="none"/>
        </w:rPr>
        <w:t>意见征询公开的结果链接：</w:t>
      </w:r>
      <w:r>
        <w:rPr>
          <w:rFonts w:hint="eastAsia" w:ascii="宋体" w:hAnsi="宋体" w:eastAsia="宋体" w:cs="宋体"/>
          <w:highlight w:val="none"/>
          <w:u w:val="single"/>
        </w:rPr>
        <w:t>/</w:t>
      </w:r>
    </w:p>
    <w:p w14:paraId="69F2B493">
      <w:pPr>
        <w:pStyle w:val="261"/>
        <w:numPr>
          <w:ilvl w:val="0"/>
          <w:numId w:val="1"/>
        </w:numPr>
        <w:spacing w:line="320" w:lineRule="exact"/>
        <w:ind w:firstLineChars="0"/>
        <w:rPr>
          <w:rFonts w:ascii="宋体" w:hAnsi="宋体" w:eastAsia="宋体" w:cs="宋体"/>
          <w:b/>
          <w:highlight w:val="none"/>
        </w:rPr>
      </w:pPr>
      <w:r>
        <w:rPr>
          <w:rFonts w:hint="eastAsia" w:ascii="宋体" w:hAnsi="宋体" w:eastAsia="宋体" w:cs="宋体"/>
          <w:b/>
          <w:highlight w:val="none"/>
        </w:rPr>
        <w:t xml:space="preserve">项目基本情况                                            </w:t>
      </w:r>
    </w:p>
    <w:p w14:paraId="42C3C7BD">
      <w:pPr>
        <w:keepNext w:val="0"/>
        <w:keepLines w:val="0"/>
        <w:pageBreakBefore w:val="0"/>
        <w:kinsoku/>
        <w:wordWrap/>
        <w:overflowPunct/>
        <w:topLinePunct w:val="0"/>
        <w:autoSpaceDE/>
        <w:autoSpaceDN/>
        <w:bidi w:val="0"/>
        <w:adjustRightInd w:val="0"/>
        <w:spacing w:line="320" w:lineRule="exact"/>
        <w:ind w:firstLine="482" w:firstLineChars="200"/>
        <w:textAlignment w:val="auto"/>
        <w:rPr>
          <w:rFonts w:hint="eastAsia" w:ascii="宋体" w:hAnsi="宋体" w:eastAsia="宋体" w:cs="宋体"/>
          <w:sz w:val="24"/>
          <w:highlight w:val="none"/>
          <w:lang w:eastAsia="zh-CN"/>
        </w:rPr>
      </w:pPr>
      <w:r>
        <w:rPr>
          <w:rFonts w:hint="eastAsia" w:ascii="宋体" w:hAnsi="宋体" w:cs="宋体"/>
          <w:b/>
          <w:sz w:val="24"/>
          <w:highlight w:val="none"/>
        </w:rPr>
        <w:t>项目编号：</w:t>
      </w:r>
      <w:r>
        <w:rPr>
          <w:rFonts w:hint="eastAsia" w:ascii="宋体" w:hAnsi="宋体" w:cs="宋体"/>
          <w:bCs/>
          <w:color w:val="000000" w:themeColor="text1"/>
          <w:sz w:val="24"/>
          <w:highlight w:val="none"/>
          <w:lang w:eastAsia="zh-CN"/>
          <w14:textFill>
            <w14:solidFill>
              <w14:schemeClr w14:val="tx1"/>
            </w14:solidFill>
          </w14:textFill>
        </w:rPr>
        <w:t>OBZFCG-25-012</w:t>
      </w:r>
    </w:p>
    <w:p w14:paraId="61A19713">
      <w:pPr>
        <w:keepNext w:val="0"/>
        <w:keepLines w:val="0"/>
        <w:pageBreakBefore w:val="0"/>
        <w:kinsoku/>
        <w:wordWrap/>
        <w:overflowPunct/>
        <w:topLinePunct w:val="0"/>
        <w:autoSpaceDE/>
        <w:autoSpaceDN/>
        <w:bidi w:val="0"/>
        <w:adjustRightInd w:val="0"/>
        <w:spacing w:line="320" w:lineRule="exact"/>
        <w:ind w:firstLine="482" w:firstLineChars="200"/>
        <w:textAlignment w:val="auto"/>
        <w:rPr>
          <w:rFonts w:hint="eastAsia" w:ascii="宋体" w:hAnsi="宋体" w:eastAsia="宋体" w:cs="宋体"/>
          <w:bCs/>
          <w:sz w:val="24"/>
          <w:highlight w:val="none"/>
          <w:lang w:eastAsia="zh-CN"/>
        </w:rPr>
      </w:pPr>
      <w:r>
        <w:rPr>
          <w:rFonts w:hint="eastAsia" w:ascii="宋体" w:hAnsi="宋体" w:cs="宋体"/>
          <w:b/>
          <w:sz w:val="24"/>
          <w:highlight w:val="none"/>
        </w:rPr>
        <w:t>项目名称：</w:t>
      </w:r>
      <w:r>
        <w:rPr>
          <w:rFonts w:hint="eastAsia" w:ascii="宋体" w:hAnsi="宋体" w:cs="宋体"/>
          <w:bCs/>
          <w:sz w:val="24"/>
          <w:highlight w:val="none"/>
          <w:lang w:eastAsia="zh-CN"/>
        </w:rPr>
        <w:t>江山市人民医院医共体巡回诊疗车采购项目</w:t>
      </w:r>
    </w:p>
    <w:p w14:paraId="60A3214E">
      <w:pPr>
        <w:keepNext w:val="0"/>
        <w:keepLines w:val="0"/>
        <w:pageBreakBefore w:val="0"/>
        <w:kinsoku/>
        <w:wordWrap/>
        <w:overflowPunct/>
        <w:topLinePunct w:val="0"/>
        <w:autoSpaceDE/>
        <w:autoSpaceDN/>
        <w:bidi w:val="0"/>
        <w:adjustRightInd w:val="0"/>
        <w:spacing w:line="320" w:lineRule="exact"/>
        <w:ind w:firstLine="482" w:firstLineChars="200"/>
        <w:textAlignment w:val="auto"/>
        <w:rPr>
          <w:rFonts w:hint="eastAsia" w:ascii="宋体" w:hAnsi="宋体" w:eastAsia="宋体" w:cs="宋体"/>
          <w:sz w:val="24"/>
          <w:highlight w:val="none"/>
          <w:lang w:eastAsia="zh-CN"/>
        </w:rPr>
      </w:pPr>
      <w:r>
        <w:rPr>
          <w:rFonts w:hint="eastAsia" w:ascii="宋体" w:hAnsi="宋体" w:cs="宋体"/>
          <w:b/>
          <w:sz w:val="24"/>
          <w:highlight w:val="none"/>
        </w:rPr>
        <w:t>预算金额（元）：</w:t>
      </w:r>
      <w:r>
        <w:rPr>
          <w:rFonts w:hint="eastAsia" w:ascii="宋体" w:hAnsi="宋体" w:cs="宋体"/>
          <w:bCs/>
          <w:sz w:val="24"/>
          <w:highlight w:val="none"/>
          <w:lang w:val="en-US" w:eastAsia="zh-CN"/>
        </w:rPr>
        <w:t>80</w:t>
      </w:r>
      <w:r>
        <w:rPr>
          <w:rFonts w:hint="eastAsia" w:ascii="宋体" w:hAnsi="宋体" w:cs="宋体"/>
          <w:bCs/>
          <w:sz w:val="24"/>
          <w:highlight w:val="none"/>
          <w:lang w:eastAsia="zh-CN"/>
        </w:rPr>
        <w:t>0000</w:t>
      </w:r>
    </w:p>
    <w:p w14:paraId="5DEA26D2">
      <w:pPr>
        <w:keepNext w:val="0"/>
        <w:keepLines w:val="0"/>
        <w:pageBreakBefore w:val="0"/>
        <w:kinsoku/>
        <w:wordWrap/>
        <w:overflowPunct/>
        <w:topLinePunct w:val="0"/>
        <w:autoSpaceDE/>
        <w:autoSpaceDN/>
        <w:bidi w:val="0"/>
        <w:adjustRightInd w:val="0"/>
        <w:spacing w:line="320" w:lineRule="exact"/>
        <w:ind w:firstLine="482" w:firstLineChars="200"/>
        <w:textAlignment w:val="auto"/>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sz w:val="24"/>
          <w:highlight w:val="none"/>
        </w:rPr>
        <w:t>/</w:t>
      </w:r>
    </w:p>
    <w:p w14:paraId="32BBE571">
      <w:pPr>
        <w:pStyle w:val="15"/>
        <w:keepNext w:val="0"/>
        <w:keepLines w:val="0"/>
        <w:pageBreakBefore w:val="0"/>
        <w:kinsoku/>
        <w:wordWrap/>
        <w:overflowPunct/>
        <w:topLinePunct w:val="0"/>
        <w:autoSpaceDE/>
        <w:autoSpaceDN/>
        <w:bidi w:val="0"/>
        <w:adjustRightInd w:val="0"/>
        <w:spacing w:line="320" w:lineRule="exact"/>
        <w:ind w:firstLine="482" w:firstLineChars="200"/>
        <w:textAlignment w:val="auto"/>
        <w:rPr>
          <w:rFonts w:hAnsi="宋体" w:cs="宋体"/>
          <w:bCs/>
          <w:snapToGrid/>
          <w:color w:val="auto"/>
          <w:kern w:val="2"/>
          <w:sz w:val="24"/>
          <w:szCs w:val="24"/>
          <w:highlight w:val="none"/>
        </w:rPr>
      </w:pPr>
      <w:r>
        <w:rPr>
          <w:rFonts w:hint="eastAsia" w:hAnsi="宋体" w:cs="宋体"/>
          <w:b/>
          <w:color w:val="auto"/>
          <w:sz w:val="24"/>
          <w:highlight w:val="none"/>
        </w:rPr>
        <w:t>采购需求：</w:t>
      </w:r>
    </w:p>
    <w:tbl>
      <w:tblPr>
        <w:tblStyle w:val="64"/>
        <w:tblW w:w="9316"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972"/>
        <w:gridCol w:w="888"/>
        <w:gridCol w:w="1485"/>
        <w:gridCol w:w="2167"/>
      </w:tblGrid>
      <w:tr w14:paraId="6F10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4" w:type="dxa"/>
            <w:vAlign w:val="center"/>
          </w:tcPr>
          <w:p w14:paraId="16EB46AE">
            <w:pPr>
              <w:spacing w:line="320" w:lineRule="exact"/>
              <w:jc w:val="center"/>
              <w:rPr>
                <w:rFonts w:ascii="宋体" w:hAnsi="宋体" w:cs="宋体"/>
                <w:highlight w:val="none"/>
              </w:rPr>
            </w:pPr>
            <w:r>
              <w:rPr>
                <w:rFonts w:hint="eastAsia" w:ascii="宋体" w:hAnsi="宋体" w:cs="宋体"/>
                <w:highlight w:val="none"/>
              </w:rPr>
              <w:t>标项</w:t>
            </w:r>
          </w:p>
        </w:tc>
        <w:tc>
          <w:tcPr>
            <w:tcW w:w="3972" w:type="dxa"/>
            <w:vAlign w:val="center"/>
          </w:tcPr>
          <w:p w14:paraId="46A54A6C">
            <w:pPr>
              <w:spacing w:line="320" w:lineRule="exact"/>
              <w:ind w:firstLine="1050" w:firstLineChars="500"/>
              <w:rPr>
                <w:rFonts w:ascii="宋体" w:hAnsi="宋体" w:cs="宋体"/>
                <w:color w:val="000000"/>
                <w:highlight w:val="none"/>
              </w:rPr>
            </w:pPr>
            <w:r>
              <w:rPr>
                <w:rFonts w:hint="eastAsia" w:ascii="宋体" w:hAnsi="宋体" w:cs="宋体"/>
                <w:color w:val="000000"/>
                <w:highlight w:val="none"/>
              </w:rPr>
              <w:t>采购内容</w:t>
            </w:r>
          </w:p>
        </w:tc>
        <w:tc>
          <w:tcPr>
            <w:tcW w:w="888" w:type="dxa"/>
            <w:vAlign w:val="center"/>
          </w:tcPr>
          <w:p w14:paraId="525C018B">
            <w:pPr>
              <w:spacing w:line="320" w:lineRule="exact"/>
              <w:jc w:val="center"/>
              <w:rPr>
                <w:rFonts w:ascii="宋体" w:hAnsi="宋体" w:cs="宋体"/>
                <w:color w:val="000000"/>
                <w:highlight w:val="none"/>
              </w:rPr>
            </w:pPr>
            <w:r>
              <w:rPr>
                <w:rFonts w:hint="eastAsia" w:ascii="宋体" w:hAnsi="宋体" w:cs="宋体"/>
                <w:color w:val="000000"/>
                <w:highlight w:val="none"/>
              </w:rPr>
              <w:t>数量</w:t>
            </w:r>
          </w:p>
        </w:tc>
        <w:tc>
          <w:tcPr>
            <w:tcW w:w="1485" w:type="dxa"/>
            <w:vAlign w:val="center"/>
          </w:tcPr>
          <w:p w14:paraId="20A8D5F6">
            <w:pPr>
              <w:spacing w:line="320" w:lineRule="exact"/>
              <w:ind w:firstLine="210" w:firstLineChars="100"/>
              <w:rPr>
                <w:rFonts w:ascii="宋体" w:hAnsi="宋体" w:cs="宋体"/>
                <w:color w:val="000000"/>
                <w:highlight w:val="none"/>
              </w:rPr>
            </w:pPr>
            <w:r>
              <w:rPr>
                <w:rFonts w:hint="eastAsia" w:ascii="宋体" w:hAnsi="宋体" w:cs="宋体"/>
                <w:color w:val="000000"/>
                <w:highlight w:val="none"/>
              </w:rPr>
              <w:t>预算价</w:t>
            </w:r>
          </w:p>
        </w:tc>
        <w:tc>
          <w:tcPr>
            <w:tcW w:w="2167" w:type="dxa"/>
            <w:vAlign w:val="center"/>
          </w:tcPr>
          <w:p w14:paraId="04E2A7C4">
            <w:pPr>
              <w:spacing w:line="320" w:lineRule="exact"/>
              <w:jc w:val="center"/>
              <w:rPr>
                <w:rFonts w:ascii="宋体" w:hAnsi="宋体" w:cs="宋体"/>
                <w:color w:val="000000"/>
                <w:highlight w:val="none"/>
              </w:rPr>
            </w:pPr>
            <w:r>
              <w:rPr>
                <w:rFonts w:hint="eastAsia" w:ascii="宋体" w:hAnsi="宋体" w:cs="宋体"/>
                <w:color w:val="000000"/>
                <w:highlight w:val="none"/>
              </w:rPr>
              <w:t>备注</w:t>
            </w:r>
          </w:p>
        </w:tc>
      </w:tr>
      <w:tr w14:paraId="7F97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04" w:type="dxa"/>
            <w:vAlign w:val="center"/>
          </w:tcPr>
          <w:p w14:paraId="6D142129">
            <w:pPr>
              <w:spacing w:line="320" w:lineRule="exact"/>
              <w:jc w:val="center"/>
              <w:rPr>
                <w:rFonts w:ascii="宋体" w:hAnsi="宋体" w:cs="宋体"/>
                <w:highlight w:val="none"/>
              </w:rPr>
            </w:pPr>
            <w:r>
              <w:rPr>
                <w:rFonts w:hint="eastAsia" w:ascii="宋体" w:hAnsi="宋体" w:cs="宋体"/>
                <w:highlight w:val="none"/>
              </w:rPr>
              <w:t>1</w:t>
            </w:r>
          </w:p>
        </w:tc>
        <w:tc>
          <w:tcPr>
            <w:tcW w:w="3972" w:type="dxa"/>
            <w:vAlign w:val="center"/>
          </w:tcPr>
          <w:p w14:paraId="683563ED">
            <w:pPr>
              <w:snapToGrid w:val="0"/>
              <w:spacing w:line="3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江山市人民医院医共体巡回诊疗车采购项目</w:t>
            </w:r>
          </w:p>
        </w:tc>
        <w:tc>
          <w:tcPr>
            <w:tcW w:w="888" w:type="dxa"/>
            <w:vAlign w:val="center"/>
          </w:tcPr>
          <w:p w14:paraId="1DB62249">
            <w:pPr>
              <w:spacing w:line="3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辆</w:t>
            </w:r>
          </w:p>
        </w:tc>
        <w:tc>
          <w:tcPr>
            <w:tcW w:w="1485" w:type="dxa"/>
            <w:vAlign w:val="center"/>
          </w:tcPr>
          <w:p w14:paraId="6902A97D">
            <w:pPr>
              <w:spacing w:line="320" w:lineRule="exact"/>
              <w:jc w:val="center"/>
              <w:rPr>
                <w:rFonts w:ascii="宋体" w:hAnsi="宋体" w:cs="宋体"/>
                <w:color w:val="000000"/>
                <w:highlight w:val="none"/>
              </w:rPr>
            </w:pPr>
            <w:r>
              <w:rPr>
                <w:rFonts w:hint="eastAsia" w:ascii="宋体" w:hAnsi="宋体" w:cs="宋体"/>
                <w:color w:val="000000"/>
                <w:highlight w:val="none"/>
                <w:lang w:val="en-US" w:eastAsia="zh-CN"/>
              </w:rPr>
              <w:t>80</w:t>
            </w:r>
            <w:r>
              <w:rPr>
                <w:rFonts w:hint="eastAsia" w:ascii="宋体" w:hAnsi="宋体" w:cs="宋体"/>
                <w:color w:val="000000"/>
                <w:highlight w:val="none"/>
              </w:rPr>
              <w:t>万元</w:t>
            </w:r>
          </w:p>
        </w:tc>
        <w:tc>
          <w:tcPr>
            <w:tcW w:w="2167" w:type="dxa"/>
            <w:vAlign w:val="center"/>
          </w:tcPr>
          <w:p w14:paraId="13CFA32D">
            <w:pPr>
              <w:spacing w:line="320" w:lineRule="exact"/>
              <w:jc w:val="center"/>
              <w:rPr>
                <w:rFonts w:ascii="宋体" w:hAnsi="宋体" w:cs="宋体"/>
                <w:color w:val="000000"/>
                <w:highlight w:val="none"/>
              </w:rPr>
            </w:pPr>
            <w:r>
              <w:rPr>
                <w:rFonts w:hint="eastAsia" w:ascii="宋体" w:hAnsi="宋体" w:cs="宋体"/>
                <w:color w:val="000000"/>
                <w:highlight w:val="none"/>
              </w:rPr>
              <w:t>技术要求详见第三章要求</w:t>
            </w:r>
          </w:p>
        </w:tc>
      </w:tr>
      <w:tr w14:paraId="632B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776" w:type="dxa"/>
            <w:gridSpan w:val="2"/>
            <w:vAlign w:val="center"/>
          </w:tcPr>
          <w:p w14:paraId="23E65C59">
            <w:pPr>
              <w:spacing w:line="320" w:lineRule="exact"/>
              <w:ind w:firstLine="1470" w:firstLineChars="700"/>
              <w:rPr>
                <w:rFonts w:ascii="宋体" w:hAnsi="宋体" w:cs="宋体"/>
                <w:color w:val="000000"/>
                <w:highlight w:val="none"/>
              </w:rPr>
            </w:pPr>
            <w:r>
              <w:rPr>
                <w:rFonts w:hint="eastAsia" w:ascii="宋体" w:hAnsi="宋体" w:cs="宋体"/>
                <w:color w:val="000000"/>
                <w:highlight w:val="none"/>
              </w:rPr>
              <w:t>合           计</w:t>
            </w:r>
          </w:p>
        </w:tc>
        <w:tc>
          <w:tcPr>
            <w:tcW w:w="4540" w:type="dxa"/>
            <w:gridSpan w:val="3"/>
            <w:vAlign w:val="center"/>
          </w:tcPr>
          <w:p w14:paraId="1ECA71CE">
            <w:pPr>
              <w:spacing w:line="320" w:lineRule="exact"/>
              <w:ind w:firstLine="1680" w:firstLineChars="800"/>
              <w:rPr>
                <w:rFonts w:ascii="宋体" w:hAnsi="宋体" w:cs="宋体"/>
                <w:color w:val="000000"/>
                <w:highlight w:val="none"/>
              </w:rPr>
            </w:pPr>
            <w:r>
              <w:rPr>
                <w:rFonts w:hint="eastAsia" w:ascii="宋体" w:hAnsi="宋体" w:cs="宋体"/>
                <w:color w:val="000000"/>
                <w:highlight w:val="none"/>
                <w:lang w:val="en-US" w:eastAsia="zh-CN"/>
              </w:rPr>
              <w:t>80</w:t>
            </w:r>
            <w:r>
              <w:rPr>
                <w:rFonts w:hint="eastAsia" w:ascii="宋体" w:hAnsi="宋体" w:cs="宋体"/>
                <w:color w:val="000000"/>
                <w:highlight w:val="none"/>
              </w:rPr>
              <w:t>万元</w:t>
            </w:r>
          </w:p>
        </w:tc>
      </w:tr>
    </w:tbl>
    <w:p w14:paraId="2F5BE89C">
      <w:pPr>
        <w:pStyle w:val="134"/>
        <w:spacing w:before="0" w:line="320" w:lineRule="exact"/>
        <w:ind w:firstLine="482"/>
        <w:outlineLvl w:val="2"/>
        <w:rPr>
          <w:rFonts w:ascii="宋体" w:hAnsi="宋体" w:cs="宋体"/>
          <w:highlight w:val="none"/>
        </w:rPr>
      </w:pPr>
      <w:r>
        <w:rPr>
          <w:rFonts w:hint="eastAsia" w:ascii="宋体" w:hAnsi="宋体" w:cs="宋体"/>
          <w:b/>
          <w:highlight w:val="none"/>
        </w:rPr>
        <w:t>合同履约期限：</w:t>
      </w:r>
      <w:r>
        <w:rPr>
          <w:rFonts w:hint="eastAsia" w:ascii="宋体" w:hAnsi="宋体" w:cs="宋体"/>
          <w:bCs/>
          <w:highlight w:val="none"/>
        </w:rPr>
        <w:t>按采购人要求</w:t>
      </w:r>
    </w:p>
    <w:p w14:paraId="6653444F">
      <w:pPr>
        <w:pStyle w:val="15"/>
        <w:spacing w:line="320" w:lineRule="exact"/>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00A8"/>
      </w:r>
      <w:r>
        <w:rPr>
          <w:rFonts w:hint="eastAsia" w:hAnsi="宋体" w:cs="宋体"/>
          <w:b/>
          <w:color w:val="auto"/>
          <w:sz w:val="24"/>
          <w:highlight w:val="none"/>
        </w:rPr>
        <w:t>是，</w:t>
      </w:r>
      <w:r>
        <w:rPr>
          <w:rFonts w:hint="eastAsia" w:hAnsi="宋体" w:cs="宋体"/>
          <w:color w:val="auto"/>
          <w:kern w:val="0"/>
          <w:sz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32EC93B1">
      <w:pPr>
        <w:spacing w:line="320" w:lineRule="exact"/>
        <w:rPr>
          <w:rFonts w:ascii="宋体" w:hAnsi="宋体" w:cs="宋体"/>
          <w:b/>
          <w:sz w:val="24"/>
          <w:highlight w:val="none"/>
        </w:rPr>
      </w:pPr>
      <w:r>
        <w:rPr>
          <w:rFonts w:hint="eastAsia" w:ascii="宋体" w:hAnsi="宋体" w:cs="宋体"/>
          <w:b/>
          <w:sz w:val="24"/>
          <w:highlight w:val="none"/>
        </w:rPr>
        <w:t>三、申请人的资格要求：</w:t>
      </w:r>
    </w:p>
    <w:p w14:paraId="0B2CDAA0">
      <w:pPr>
        <w:spacing w:line="320" w:lineRule="exact"/>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13708E23">
      <w:pPr>
        <w:spacing w:line="320" w:lineRule="exact"/>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kern w:val="28"/>
          <w:sz w:val="24"/>
          <w:szCs w:val="20"/>
          <w:highlight w:val="none"/>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 xml:space="preserve"> 2.落实政府采购政策需满足的资格要求：</w:t>
      </w:r>
    </w:p>
    <w:p w14:paraId="62A91111">
      <w:pPr>
        <w:spacing w:line="3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00A8"/>
      </w:r>
      <w:r>
        <w:rPr>
          <w:rFonts w:hint="eastAsia" w:ascii="宋体" w:hAnsi="宋体" w:cs="宋体"/>
          <w:color w:val="000000" w:themeColor="text1"/>
          <w:sz w:val="24"/>
          <w:highlight w:val="none"/>
          <w14:textFill>
            <w14:solidFill>
              <w14:schemeClr w14:val="tx1"/>
            </w14:solidFill>
          </w14:textFill>
        </w:rPr>
        <w:t>无；</w:t>
      </w:r>
    </w:p>
    <w:p w14:paraId="67B9B567">
      <w:pPr>
        <w:spacing w:line="320" w:lineRule="exact"/>
        <w:ind w:firstLine="480" w:firstLineChars="200"/>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专</w:t>
      </w:r>
      <w:r>
        <w:rPr>
          <w:rFonts w:hint="eastAsia" w:ascii="宋体" w:hAnsi="宋体" w:cs="宋体"/>
          <w:sz w:val="24"/>
          <w:highlight w:val="none"/>
        </w:rPr>
        <w:t>门面向中小企业</w:t>
      </w:r>
    </w:p>
    <w:p w14:paraId="2A755192">
      <w:pPr>
        <w:spacing w:line="320" w:lineRule="exact"/>
        <w:ind w:firstLine="897" w:firstLineChars="374"/>
        <w:rPr>
          <w:rFonts w:ascii="宋体" w:hAnsi="宋体" w:cs="宋体"/>
          <w:sz w:val="24"/>
          <w:highlight w:val="none"/>
          <w:u w:val="single"/>
        </w:rPr>
      </w:pPr>
      <w:r>
        <w:rPr>
          <w:rFonts w:hint="eastAsia" w:ascii="宋体" w:hAnsi="宋体" w:cs="宋体"/>
          <w:kern w:val="0"/>
          <w:sz w:val="24"/>
          <w:highlight w:val="none"/>
        </w:rPr>
        <w:sym w:font="Wingdings" w:char="00FE"/>
      </w:r>
      <w:r>
        <w:rPr>
          <w:rFonts w:hint="eastAsia" w:ascii="宋体" w:hAnsi="宋体" w:cs="宋体"/>
          <w:sz w:val="24"/>
          <w:highlight w:val="none"/>
        </w:rPr>
        <w:t>货物全部由符合政策要求的中小企业制造，提供中小企业声明函；</w:t>
      </w:r>
    </w:p>
    <w:p w14:paraId="446869B7">
      <w:pPr>
        <w:spacing w:line="320" w:lineRule="exact"/>
        <w:ind w:firstLine="897" w:firstLineChars="374"/>
        <w:rPr>
          <w:rFonts w:ascii="宋体" w:hAnsi="宋体" w:cs="宋体"/>
          <w:sz w:val="24"/>
          <w:highlight w:val="none"/>
        </w:rPr>
      </w:pPr>
      <w:r>
        <w:rPr>
          <w:rFonts w:hint="eastAsia" w:ascii="宋体" w:hAnsi="宋体" w:cs="宋体"/>
          <w:kern w:val="0"/>
          <w:sz w:val="24"/>
          <w:highlight w:val="none"/>
        </w:rPr>
        <w:sym w:font="Wingdings" w:char="00A8"/>
      </w:r>
      <w:r>
        <w:rPr>
          <w:rFonts w:hint="eastAsia" w:ascii="宋体" w:hAnsi="宋体" w:cs="宋体"/>
          <w:sz w:val="24"/>
          <w:highlight w:val="none"/>
        </w:rPr>
        <w:t>货物全部由符合政策要求的小微企业制造，提供中小企业声明函；</w:t>
      </w:r>
    </w:p>
    <w:p w14:paraId="60290914">
      <w:pPr>
        <w:spacing w:line="320" w:lineRule="exact"/>
        <w:ind w:firstLine="897" w:firstLineChars="374"/>
        <w:rPr>
          <w:rFonts w:ascii="宋体" w:hAnsi="宋体" w:cs="宋体"/>
          <w:sz w:val="24"/>
          <w:highlight w:val="none"/>
        </w:rPr>
      </w:pPr>
      <w:r>
        <w:rPr>
          <w:rFonts w:hint="eastAsia" w:ascii="宋体" w:hAnsi="宋体" w:cs="宋体"/>
          <w:kern w:val="0"/>
          <w:sz w:val="24"/>
          <w:highlight w:val="none"/>
        </w:rPr>
        <w:sym w:font="Wingdings" w:char="00A8"/>
      </w:r>
      <w:r>
        <w:rPr>
          <w:rFonts w:hint="eastAsia" w:ascii="宋体" w:hAnsi="宋体" w:cs="宋体"/>
          <w:sz w:val="24"/>
          <w:highlight w:val="none"/>
        </w:rPr>
        <w:t>服务全部由符合政策要求的中小企业承接，提供中小企业声明函；</w:t>
      </w:r>
    </w:p>
    <w:p w14:paraId="6C817D73">
      <w:pPr>
        <w:spacing w:line="320" w:lineRule="exact"/>
        <w:ind w:firstLine="897" w:firstLineChars="374"/>
        <w:rPr>
          <w:rFonts w:ascii="宋体" w:hAnsi="宋体" w:cs="宋体"/>
          <w:sz w:val="24"/>
          <w:highlight w:val="none"/>
        </w:rPr>
      </w:pPr>
      <w:r>
        <w:rPr>
          <w:rFonts w:hint="eastAsia" w:ascii="宋体" w:hAnsi="宋体" w:cs="宋体"/>
          <w:kern w:val="0"/>
          <w:sz w:val="24"/>
          <w:highlight w:val="none"/>
        </w:rPr>
        <w:sym w:font="Wingdings" w:char="00A8"/>
      </w:r>
      <w:r>
        <w:rPr>
          <w:rFonts w:hint="eastAsia" w:ascii="宋体" w:hAnsi="宋体" w:cs="宋体"/>
          <w:sz w:val="24"/>
          <w:highlight w:val="none"/>
        </w:rPr>
        <w:t>服务全部由符合政策要求的小微企业承接，提供中小企业声明函；</w:t>
      </w:r>
    </w:p>
    <w:p w14:paraId="5F279E99">
      <w:pPr>
        <w:spacing w:line="320" w:lineRule="exact"/>
        <w:rPr>
          <w:rFonts w:ascii="宋体" w:hAnsi="宋体" w:cs="宋体"/>
          <w:highlight w:val="none"/>
        </w:rPr>
      </w:pPr>
    </w:p>
    <w:p w14:paraId="75E4F03D">
      <w:pPr>
        <w:spacing w:line="320" w:lineRule="exact"/>
        <w:ind w:firstLine="480" w:firstLineChars="200"/>
        <w:rPr>
          <w:rFonts w:ascii="宋体" w:hAnsi="宋体" w:cs="宋体"/>
          <w:sz w:val="24"/>
          <w:highlight w:val="none"/>
        </w:rPr>
      </w:pPr>
      <w:r>
        <w:rPr>
          <w:rFonts w:hint="eastAsia" w:ascii="宋体" w:hAnsi="宋体" w:cs="宋体"/>
          <w:kern w:val="0"/>
          <w:sz w:val="24"/>
          <w:highlight w:val="none"/>
        </w:rPr>
        <w:sym w:font="Wingdings" w:char="00A8"/>
      </w:r>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%，其中预留给小微企业合同金额应当达到</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highlight w:val="none"/>
        </w:rPr>
        <w:t>；</w:t>
      </w:r>
    </w:p>
    <w:p w14:paraId="46B1014C">
      <w:pPr>
        <w:spacing w:line="320" w:lineRule="exact"/>
        <w:ind w:firstLine="480" w:firstLineChars="200"/>
        <w:rPr>
          <w:rFonts w:ascii="宋体" w:hAnsi="宋体" w:cs="宋体"/>
          <w:sz w:val="24"/>
          <w:highlight w:val="none"/>
        </w:rPr>
      </w:pPr>
      <w:r>
        <w:rPr>
          <w:rFonts w:hint="eastAsia" w:ascii="宋体" w:hAnsi="宋体" w:cs="宋体"/>
          <w:kern w:val="0"/>
          <w:sz w:val="24"/>
          <w:highlight w:val="none"/>
        </w:rPr>
        <w:sym w:font="Wingdings" w:char="00A8"/>
      </w:r>
      <w:r>
        <w:rPr>
          <w:rFonts w:hint="eastAsia" w:ascii="宋体" w:hAnsi="宋体" w:cs="宋体"/>
          <w:sz w:val="24"/>
          <w:highlight w:val="none"/>
        </w:rPr>
        <w:t>要求合同分包，提供分包意向协议和中小企业声明函，分包意向协议中中小企业合同金额应当达到</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 ，其中预留给小微企业合同金额应当达到</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sz w:val="24"/>
          <w:highlight w:val="none"/>
        </w:rPr>
        <w:t>；</w:t>
      </w:r>
    </w:p>
    <w:p w14:paraId="77DCC909">
      <w:pPr>
        <w:spacing w:line="320" w:lineRule="exact"/>
        <w:ind w:firstLine="482" w:firstLineChars="200"/>
        <w:rPr>
          <w:rFonts w:hint="eastAsia" w:ascii="宋体" w:hAnsi="宋体" w:eastAsia="宋体" w:cs="宋体"/>
          <w:sz w:val="24"/>
          <w:highlight w:val="none"/>
          <w:lang w:eastAsia="zh-CN"/>
        </w:rPr>
      </w:pPr>
      <w:r>
        <w:rPr>
          <w:rFonts w:hint="eastAsia" w:ascii="宋体" w:hAnsi="宋体" w:cs="宋体"/>
          <w:b/>
          <w:bCs/>
          <w:sz w:val="24"/>
          <w:highlight w:val="none"/>
        </w:rPr>
        <w:t>3.本项目的特定资格要求：</w:t>
      </w:r>
      <w:r>
        <w:rPr>
          <w:rFonts w:hint="eastAsia" w:ascii="宋体" w:hAnsi="宋体" w:cs="宋体"/>
          <w:b/>
          <w:bCs/>
          <w:sz w:val="24"/>
          <w:highlight w:val="none"/>
          <w:lang w:val="en-US" w:eastAsia="zh-CN"/>
        </w:rPr>
        <w:t>无；</w:t>
      </w:r>
    </w:p>
    <w:p w14:paraId="628F3A8B">
      <w:pPr>
        <w:snapToGrid w:val="0"/>
        <w:spacing w:line="320" w:lineRule="exact"/>
        <w:ind w:firstLine="480" w:firstLineChars="200"/>
        <w:rPr>
          <w:rFonts w:ascii="宋体" w:hAnsi="宋体" w:cs="宋体"/>
          <w:sz w:val="24"/>
          <w:highlight w:val="none"/>
        </w:rPr>
      </w:pPr>
      <w:r>
        <w:rPr>
          <w:rFonts w:hint="eastAsia" w:ascii="宋体" w:hAnsi="宋体" w:cs="宋体"/>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49EFC2">
      <w:pPr>
        <w:spacing w:line="320" w:lineRule="exact"/>
        <w:rPr>
          <w:rFonts w:ascii="宋体" w:hAnsi="宋体" w:cs="宋体"/>
          <w:b/>
          <w:sz w:val="24"/>
          <w:highlight w:val="none"/>
        </w:rPr>
      </w:pPr>
      <w:r>
        <w:rPr>
          <w:rFonts w:hint="eastAsia" w:ascii="宋体" w:hAnsi="宋体" w:cs="宋体"/>
          <w:b/>
          <w:sz w:val="24"/>
          <w:highlight w:val="none"/>
        </w:rPr>
        <w:t xml:space="preserve">四、获取招标文件 </w:t>
      </w:r>
    </w:p>
    <w:p w14:paraId="6CD832AB">
      <w:pPr>
        <w:spacing w:line="320" w:lineRule="exact"/>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 xml:space="preserve"> 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1D07767F">
      <w:pPr>
        <w:spacing w:line="320" w:lineRule="exact"/>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2F85E93C">
      <w:pPr>
        <w:spacing w:line="320" w:lineRule="exact"/>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53C586EC">
      <w:pPr>
        <w:spacing w:line="320" w:lineRule="exact"/>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55A5BBD4">
      <w:pPr>
        <w:spacing w:line="320" w:lineRule="exact"/>
        <w:rPr>
          <w:rFonts w:ascii="宋体" w:hAnsi="宋体" w:cs="宋体"/>
          <w:b/>
          <w:sz w:val="24"/>
          <w:highlight w:val="none"/>
        </w:rPr>
      </w:pPr>
      <w:r>
        <w:rPr>
          <w:rFonts w:hint="eastAsia" w:ascii="宋体" w:hAnsi="宋体" w:cs="宋体"/>
          <w:b/>
          <w:sz w:val="24"/>
          <w:highlight w:val="none"/>
        </w:rPr>
        <w:t>五、提交投标文件截止时间、开标时间和地点</w:t>
      </w:r>
    </w:p>
    <w:p w14:paraId="72F9799D">
      <w:pPr>
        <w:spacing w:line="320" w:lineRule="exact"/>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9时00</w:t>
      </w:r>
      <w:r>
        <w:rPr>
          <w:rFonts w:hint="eastAsia" w:ascii="宋体" w:hAnsi="宋体" w:cs="宋体"/>
          <w:sz w:val="24"/>
          <w:highlight w:val="none"/>
          <w:u w:val="single"/>
        </w:rPr>
        <w:t>分</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（北京时间）</w:t>
      </w:r>
    </w:p>
    <w:p w14:paraId="1473E522">
      <w:pPr>
        <w:spacing w:line="320" w:lineRule="exact"/>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08D7D570">
      <w:pPr>
        <w:spacing w:line="320" w:lineRule="exact"/>
        <w:ind w:firstLine="482" w:firstLineChars="200"/>
        <w:rPr>
          <w:rFonts w:hint="eastAsia" w:ascii="宋体" w:hAnsi="宋体" w:cs="宋体"/>
          <w:sz w:val="24"/>
          <w:highlight w:val="none"/>
          <w:u w:val="single"/>
          <w:lang w:val="en-US" w:eastAsia="zh-CN"/>
        </w:rPr>
      </w:pPr>
      <w:r>
        <w:rPr>
          <w:rFonts w:hint="eastAsia" w:ascii="宋体" w:hAnsi="宋体" w:cs="宋体"/>
          <w:b/>
          <w:sz w:val="24"/>
          <w:highlight w:val="none"/>
        </w:rPr>
        <w:t>开标时间：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9时00</w:t>
      </w:r>
      <w:r>
        <w:rPr>
          <w:rFonts w:hint="eastAsia" w:ascii="宋体" w:hAnsi="宋体" w:cs="宋体"/>
          <w:sz w:val="24"/>
          <w:highlight w:val="none"/>
          <w:u w:val="single"/>
        </w:rPr>
        <w:t>分</w:t>
      </w:r>
      <w:r>
        <w:rPr>
          <w:rFonts w:hint="eastAsia" w:ascii="宋体" w:hAnsi="宋体" w:cs="宋体"/>
          <w:sz w:val="24"/>
          <w:highlight w:val="none"/>
          <w:u w:val="single"/>
          <w:lang w:val="en-US" w:eastAsia="zh-CN"/>
        </w:rPr>
        <w:t xml:space="preserve"> </w:t>
      </w:r>
    </w:p>
    <w:p w14:paraId="2A4BBA44">
      <w:pPr>
        <w:spacing w:line="320" w:lineRule="exact"/>
        <w:ind w:firstLine="482" w:firstLineChars="200"/>
        <w:rPr>
          <w:rFonts w:hint="default" w:ascii="宋体" w:hAnsi="宋体" w:eastAsia="宋体" w:cs="宋体"/>
          <w:sz w:val="24"/>
          <w:highlight w:val="none"/>
          <w:lang w:val="en-US" w:eastAsia="zh-CN"/>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r>
        <w:rPr>
          <w:rFonts w:hint="eastAsia" w:ascii="宋体" w:hAnsi="宋体" w:cs="宋体"/>
          <w:sz w:val="24"/>
          <w:highlight w:val="none"/>
          <w:lang w:val="en-US" w:eastAsia="zh-CN"/>
        </w:rPr>
        <w:t>（“在江山市公共资源交易中心开标”）</w:t>
      </w:r>
    </w:p>
    <w:p w14:paraId="6180FCBF">
      <w:pPr>
        <w:spacing w:line="320" w:lineRule="exact"/>
        <w:rPr>
          <w:rFonts w:ascii="宋体" w:hAnsi="宋体" w:cs="宋体"/>
          <w:sz w:val="24"/>
          <w:highlight w:val="none"/>
        </w:rPr>
      </w:pPr>
      <w:r>
        <w:rPr>
          <w:rFonts w:hint="eastAsia" w:ascii="宋体" w:hAnsi="宋体" w:cs="宋体"/>
          <w:b/>
          <w:sz w:val="24"/>
          <w:highlight w:val="none"/>
        </w:rPr>
        <w:t xml:space="preserve">六、公告期限 </w:t>
      </w:r>
    </w:p>
    <w:p w14:paraId="673E3D58">
      <w:pPr>
        <w:spacing w:line="320" w:lineRule="exact"/>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149B6646">
      <w:pPr>
        <w:spacing w:line="320" w:lineRule="exact"/>
        <w:rPr>
          <w:rFonts w:ascii="宋体" w:hAnsi="宋体" w:cs="宋体"/>
          <w:b/>
          <w:sz w:val="24"/>
          <w:highlight w:val="none"/>
        </w:rPr>
      </w:pPr>
      <w:r>
        <w:rPr>
          <w:rFonts w:hint="eastAsia" w:ascii="宋体" w:hAnsi="宋体" w:cs="宋体"/>
          <w:b/>
          <w:sz w:val="24"/>
          <w:highlight w:val="none"/>
        </w:rPr>
        <w:t>七、其他补充事宜</w:t>
      </w:r>
    </w:p>
    <w:p w14:paraId="6BA822E7">
      <w:pPr>
        <w:spacing w:line="320" w:lineRule="exact"/>
        <w:ind w:firstLine="480" w:firstLineChars="200"/>
        <w:rPr>
          <w:rFonts w:ascii="宋体" w:hAnsi="宋体" w:cs="宋体"/>
          <w:sz w:val="24"/>
          <w:highlight w:val="none"/>
        </w:rPr>
      </w:pPr>
      <w:r>
        <w:rPr>
          <w:rFonts w:hint="eastAsia" w:ascii="宋体" w:hAnsi="宋体" w:cs="宋体"/>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F424D0">
      <w:pPr>
        <w:spacing w:line="320" w:lineRule="exact"/>
        <w:ind w:firstLine="480" w:firstLineChars="200"/>
        <w:rPr>
          <w:rFonts w:ascii="宋体" w:hAnsi="宋体" w:cs="宋体"/>
          <w:sz w:val="24"/>
          <w:highlight w:val="none"/>
        </w:rPr>
      </w:pPr>
      <w:r>
        <w:rPr>
          <w:rFonts w:hint="eastAsia" w:ascii="宋体" w:hAnsi="宋体" w:cs="宋体"/>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将在政采云平台上最后生成的具备电子签章的备份加密投标文件(文件名后缀为备份文件四字的首字母）以电子邮件方式传送至邮箱（</w:t>
      </w:r>
      <w:r>
        <w:rPr>
          <w:rFonts w:hint="eastAsia" w:ascii="宋体" w:hAnsi="宋体" w:cs="宋体"/>
          <w:sz w:val="24"/>
          <w:highlight w:val="none"/>
          <w:lang w:eastAsia="zh-CN"/>
        </w:rPr>
        <w:t>93885232</w:t>
      </w:r>
      <w:r>
        <w:rPr>
          <w:rFonts w:hint="eastAsia" w:ascii="宋体" w:hAnsi="宋体" w:cs="宋体"/>
          <w:sz w:val="24"/>
          <w:highlight w:val="none"/>
        </w:rPr>
        <w:t>@qq.com）。备份投标文件的制作及递交要求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75A89B49">
      <w:pPr>
        <w:spacing w:line="320" w:lineRule="exact"/>
        <w:rPr>
          <w:rFonts w:ascii="宋体" w:hAnsi="宋体" w:cs="宋体"/>
          <w:b/>
          <w:sz w:val="24"/>
          <w:highlight w:val="none"/>
        </w:rPr>
      </w:pPr>
      <w:r>
        <w:rPr>
          <w:rFonts w:hint="eastAsia" w:ascii="宋体" w:hAnsi="宋体" w:cs="宋体"/>
          <w:b/>
          <w:sz w:val="24"/>
          <w:highlight w:val="none"/>
        </w:rPr>
        <w:t>八、对本次采购提出询问、质疑、投诉，请按以下方式联系</w:t>
      </w:r>
    </w:p>
    <w:p w14:paraId="1088314C">
      <w:pPr>
        <w:spacing w:line="320" w:lineRule="exact"/>
        <w:rPr>
          <w:rFonts w:ascii="宋体" w:hAnsi="宋体" w:cs="宋体"/>
          <w:sz w:val="24"/>
          <w:highlight w:val="none"/>
        </w:rPr>
      </w:pPr>
      <w:r>
        <w:rPr>
          <w:rFonts w:hint="eastAsia" w:ascii="宋体" w:hAnsi="宋体" w:cs="宋体"/>
          <w:sz w:val="24"/>
          <w:highlight w:val="none"/>
        </w:rPr>
        <w:t xml:space="preserve">    1.采购人信息</w:t>
      </w:r>
    </w:p>
    <w:p w14:paraId="6A642F87">
      <w:pPr>
        <w:spacing w:line="320" w:lineRule="exact"/>
        <w:rPr>
          <w:rFonts w:ascii="宋体" w:hAnsi="宋体" w:cs="宋体"/>
          <w:sz w:val="24"/>
          <w:highlight w:val="none"/>
        </w:rPr>
      </w:pPr>
      <w:r>
        <w:rPr>
          <w:rFonts w:hint="eastAsia" w:ascii="宋体" w:hAnsi="宋体" w:cs="宋体"/>
          <w:sz w:val="24"/>
          <w:highlight w:val="none"/>
        </w:rPr>
        <w:t xml:space="preserve">    名    称：江山市人民医院</w:t>
      </w:r>
    </w:p>
    <w:p w14:paraId="59BB11C5">
      <w:pPr>
        <w:spacing w:line="320" w:lineRule="exact"/>
        <w:rPr>
          <w:rFonts w:ascii="宋体" w:hAnsi="宋体" w:cs="宋体"/>
          <w:sz w:val="24"/>
          <w:highlight w:val="none"/>
        </w:rPr>
      </w:pPr>
      <w:r>
        <w:rPr>
          <w:rFonts w:hint="eastAsia" w:ascii="宋体" w:hAnsi="宋体" w:cs="宋体"/>
          <w:sz w:val="24"/>
          <w:highlight w:val="none"/>
        </w:rPr>
        <w:t xml:space="preserve">    地    址：江山市虎山街道航埠山路9号</w:t>
      </w:r>
    </w:p>
    <w:p w14:paraId="1D81357B">
      <w:pPr>
        <w:spacing w:line="320" w:lineRule="exact"/>
        <w:ind w:firstLine="480"/>
        <w:rPr>
          <w:rFonts w:ascii="宋体" w:hAnsi="宋体" w:cs="宋体"/>
          <w:sz w:val="24"/>
          <w:highlight w:val="none"/>
        </w:rPr>
      </w:pPr>
      <w:r>
        <w:rPr>
          <w:rFonts w:hint="eastAsia" w:ascii="宋体" w:hAnsi="宋体" w:cs="宋体"/>
          <w:sz w:val="24"/>
          <w:highlight w:val="none"/>
        </w:rPr>
        <w:t>传    真： /</w:t>
      </w:r>
    </w:p>
    <w:p w14:paraId="217247EA">
      <w:pPr>
        <w:spacing w:line="320" w:lineRule="exact"/>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sz w:val="24"/>
          <w:highlight w:val="none"/>
        </w:rPr>
        <w:t>项目联系人（询问）：</w:t>
      </w:r>
      <w:r>
        <w:rPr>
          <w:rFonts w:hint="eastAsia" w:ascii="宋体" w:hAnsi="宋体" w:cs="宋体"/>
          <w:color w:val="000000" w:themeColor="text1"/>
          <w:sz w:val="24"/>
          <w:highlight w:val="none"/>
          <w:lang w:val="en-US" w:eastAsia="zh-CN"/>
          <w14:textFill>
            <w14:solidFill>
              <w14:schemeClr w14:val="tx1"/>
            </w14:solidFill>
          </w14:textFill>
        </w:rPr>
        <w:t>金女士</w:t>
      </w:r>
    </w:p>
    <w:p w14:paraId="63156C55">
      <w:pPr>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color w:val="auto"/>
          <w:sz w:val="24"/>
          <w:highlight w:val="none"/>
        </w:rPr>
        <w:t>0570-4033007</w:t>
      </w:r>
    </w:p>
    <w:p w14:paraId="00651D1A">
      <w:pPr>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default" w:ascii="宋体" w:hAnsi="宋体" w:cs="宋体"/>
          <w:sz w:val="24"/>
          <w:highlight w:val="none"/>
          <w:lang w:val="en-US"/>
        </w:rPr>
        <w:t>毛</w:t>
      </w:r>
      <w:r>
        <w:rPr>
          <w:rFonts w:hint="eastAsia" w:ascii="宋体" w:hAnsi="宋体" w:cs="宋体"/>
          <w:color w:val="000000" w:themeColor="text1"/>
          <w:sz w:val="24"/>
          <w:highlight w:val="none"/>
          <w:lang w:val="en-US" w:eastAsia="zh-CN"/>
          <w14:textFill>
            <w14:solidFill>
              <w14:schemeClr w14:val="tx1"/>
            </w14:solidFill>
          </w14:textFill>
        </w:rPr>
        <w:t>先生</w:t>
      </w:r>
      <w:r>
        <w:rPr>
          <w:rFonts w:hint="eastAsia" w:ascii="宋体" w:hAnsi="宋体" w:cs="宋体"/>
          <w:color w:val="000000" w:themeColor="text1"/>
          <w:sz w:val="24"/>
          <w:highlight w:val="none"/>
          <w14:textFill>
            <w14:solidFill>
              <w14:schemeClr w14:val="tx1"/>
            </w14:solidFill>
          </w14:textFill>
        </w:rPr>
        <w:t xml:space="preserve"> </w:t>
      </w:r>
    </w:p>
    <w:p w14:paraId="51EE4F71">
      <w:pPr>
        <w:spacing w:line="3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w:t>
      </w:r>
      <w:r>
        <w:rPr>
          <w:rFonts w:hint="eastAsia" w:ascii="宋体" w:hAnsi="宋体"/>
          <w:color w:val="auto"/>
          <w:sz w:val="24"/>
          <w:highlight w:val="none"/>
        </w:rPr>
        <w:t>0570-4033007</w:t>
      </w:r>
    </w:p>
    <w:p w14:paraId="29A522DB">
      <w:pPr>
        <w:spacing w:line="320" w:lineRule="exact"/>
        <w:rPr>
          <w:rFonts w:ascii="宋体" w:hAnsi="宋体" w:cs="宋体"/>
          <w:sz w:val="24"/>
          <w:highlight w:val="none"/>
        </w:rPr>
      </w:pPr>
      <w:r>
        <w:rPr>
          <w:rFonts w:hint="eastAsia" w:ascii="宋体" w:hAnsi="宋体" w:cs="宋体"/>
          <w:sz w:val="24"/>
          <w:highlight w:val="none"/>
        </w:rPr>
        <w:t xml:space="preserve">    2.采购代理机构信息            </w:t>
      </w:r>
    </w:p>
    <w:p w14:paraId="7D707A18">
      <w:pPr>
        <w:spacing w:line="320" w:lineRule="exact"/>
        <w:ind w:firstLine="480"/>
        <w:rPr>
          <w:rFonts w:ascii="宋体" w:hAnsi="宋体" w:cs="宋体"/>
          <w:sz w:val="24"/>
          <w:highlight w:val="none"/>
        </w:rPr>
      </w:pPr>
      <w:r>
        <w:rPr>
          <w:rFonts w:hint="eastAsia" w:ascii="宋体" w:hAnsi="宋体" w:cs="宋体"/>
          <w:sz w:val="24"/>
          <w:highlight w:val="none"/>
        </w:rPr>
        <w:t>名    称：欧邦工程管理集团有限公司</w:t>
      </w:r>
    </w:p>
    <w:p w14:paraId="6510D36D">
      <w:pPr>
        <w:spacing w:line="320" w:lineRule="exact"/>
        <w:ind w:firstLine="480"/>
        <w:rPr>
          <w:rFonts w:ascii="宋体" w:hAnsi="宋体" w:cs="宋体"/>
          <w:sz w:val="24"/>
          <w:highlight w:val="none"/>
        </w:rPr>
      </w:pPr>
      <w:r>
        <w:rPr>
          <w:rFonts w:hint="eastAsia" w:ascii="宋体" w:hAnsi="宋体" w:cs="宋体"/>
          <w:sz w:val="24"/>
          <w:highlight w:val="none"/>
        </w:rPr>
        <w:t>地    址： 江山市中山路85号5楼</w:t>
      </w:r>
    </w:p>
    <w:p w14:paraId="4B6D52C3">
      <w:pPr>
        <w:spacing w:line="320" w:lineRule="exact"/>
        <w:rPr>
          <w:rFonts w:ascii="宋体" w:hAnsi="宋体" w:cs="宋体"/>
          <w:sz w:val="24"/>
          <w:highlight w:val="none"/>
        </w:rPr>
      </w:pPr>
      <w:r>
        <w:rPr>
          <w:rFonts w:hint="eastAsia" w:ascii="宋体" w:hAnsi="宋体" w:cs="宋体"/>
          <w:sz w:val="24"/>
          <w:highlight w:val="none"/>
        </w:rPr>
        <w:t xml:space="preserve">    传    真：/             </w:t>
      </w:r>
    </w:p>
    <w:p w14:paraId="17B9D86F">
      <w:pPr>
        <w:spacing w:line="320" w:lineRule="exact"/>
        <w:rPr>
          <w:rFonts w:ascii="宋体" w:hAnsi="宋体" w:cs="宋体"/>
          <w:sz w:val="24"/>
          <w:highlight w:val="none"/>
        </w:rPr>
      </w:pPr>
      <w:r>
        <w:rPr>
          <w:rFonts w:hint="eastAsia" w:ascii="宋体" w:hAnsi="宋体" w:cs="宋体"/>
          <w:sz w:val="24"/>
          <w:highlight w:val="none"/>
        </w:rPr>
        <w:t xml:space="preserve">    项目联系人（询问）：周女士</w:t>
      </w:r>
    </w:p>
    <w:p w14:paraId="3595AA81">
      <w:pPr>
        <w:spacing w:line="320" w:lineRule="exact"/>
        <w:rPr>
          <w:rFonts w:ascii="宋体" w:hAnsi="宋体" w:cs="宋体"/>
          <w:sz w:val="24"/>
          <w:highlight w:val="none"/>
        </w:rPr>
      </w:pPr>
      <w:r>
        <w:rPr>
          <w:rFonts w:hint="eastAsia" w:ascii="宋体" w:hAnsi="宋体" w:cs="宋体"/>
          <w:sz w:val="24"/>
          <w:highlight w:val="none"/>
        </w:rPr>
        <w:t xml:space="preserve">    项目联系方式（询问）：0570-4372116</w:t>
      </w:r>
    </w:p>
    <w:p w14:paraId="14F2AA7B">
      <w:pPr>
        <w:spacing w:line="320" w:lineRule="exact"/>
        <w:rPr>
          <w:rFonts w:ascii="宋体" w:hAnsi="宋体" w:cs="宋体"/>
          <w:sz w:val="24"/>
          <w:highlight w:val="none"/>
        </w:rPr>
      </w:pPr>
      <w:r>
        <w:rPr>
          <w:rFonts w:hint="eastAsia" w:ascii="宋体" w:hAnsi="宋体" w:cs="宋体"/>
          <w:sz w:val="24"/>
          <w:highlight w:val="none"/>
        </w:rPr>
        <w:t xml:space="preserve">    质疑联系人：朱女士</w:t>
      </w:r>
    </w:p>
    <w:p w14:paraId="0B8286DC">
      <w:pPr>
        <w:spacing w:line="320" w:lineRule="exact"/>
        <w:rPr>
          <w:rFonts w:ascii="宋体" w:hAnsi="宋体" w:cs="宋体"/>
          <w:sz w:val="24"/>
          <w:highlight w:val="none"/>
        </w:rPr>
      </w:pPr>
      <w:r>
        <w:rPr>
          <w:rFonts w:hint="eastAsia" w:ascii="宋体" w:hAnsi="宋体" w:cs="宋体"/>
          <w:sz w:val="24"/>
          <w:highlight w:val="none"/>
        </w:rPr>
        <w:t xml:space="preserve">    质疑联系方式：0570-4372117</w:t>
      </w:r>
    </w:p>
    <w:p w14:paraId="1D8DF02F">
      <w:pPr>
        <w:spacing w:line="320" w:lineRule="exact"/>
        <w:rPr>
          <w:rFonts w:ascii="宋体" w:hAnsi="宋体" w:cs="宋体"/>
          <w:sz w:val="24"/>
          <w:highlight w:val="none"/>
        </w:rPr>
      </w:pPr>
      <w:r>
        <w:rPr>
          <w:rFonts w:hint="eastAsia" w:ascii="宋体" w:hAnsi="宋体" w:cs="宋体"/>
          <w:sz w:val="24"/>
          <w:highlight w:val="none"/>
        </w:rPr>
        <w:t xml:space="preserve">    3.同级政府采购监督管理部门            </w:t>
      </w:r>
    </w:p>
    <w:p w14:paraId="03996B57">
      <w:pPr>
        <w:spacing w:line="320" w:lineRule="exact"/>
        <w:rPr>
          <w:rFonts w:ascii="宋体" w:hAnsi="宋体" w:cs="宋体"/>
          <w:sz w:val="24"/>
          <w:highlight w:val="none"/>
        </w:rPr>
      </w:pPr>
      <w:r>
        <w:rPr>
          <w:rFonts w:hint="eastAsia" w:ascii="宋体" w:hAnsi="宋体" w:cs="宋体"/>
          <w:sz w:val="24"/>
          <w:highlight w:val="none"/>
        </w:rPr>
        <w:t xml:space="preserve">    名    称：江山市财政局政府采购监管科</w:t>
      </w:r>
    </w:p>
    <w:p w14:paraId="197FDA75">
      <w:pPr>
        <w:spacing w:line="320" w:lineRule="exact"/>
        <w:rPr>
          <w:rFonts w:ascii="宋体" w:hAnsi="宋体" w:cs="宋体"/>
          <w:sz w:val="24"/>
          <w:highlight w:val="none"/>
        </w:rPr>
      </w:pPr>
      <w:r>
        <w:rPr>
          <w:rFonts w:hint="eastAsia" w:ascii="宋体" w:hAnsi="宋体" w:cs="宋体"/>
          <w:sz w:val="24"/>
          <w:highlight w:val="none"/>
        </w:rPr>
        <w:t xml:space="preserve">    地    址：江山市鹿溪中路240号</w:t>
      </w:r>
    </w:p>
    <w:p w14:paraId="5399D645">
      <w:pPr>
        <w:spacing w:line="320" w:lineRule="exact"/>
        <w:ind w:firstLine="240" w:firstLineChars="100"/>
        <w:rPr>
          <w:rFonts w:ascii="宋体" w:hAnsi="宋体" w:cs="宋体"/>
          <w:sz w:val="24"/>
          <w:highlight w:val="none"/>
        </w:rPr>
      </w:pPr>
      <w:r>
        <w:rPr>
          <w:rFonts w:hint="eastAsia" w:ascii="宋体" w:hAnsi="宋体" w:cs="宋体"/>
          <w:sz w:val="24"/>
          <w:highlight w:val="none"/>
        </w:rPr>
        <w:t xml:space="preserve">  传    真： /</w:t>
      </w:r>
    </w:p>
    <w:p w14:paraId="519B0E30">
      <w:pPr>
        <w:spacing w:line="320" w:lineRule="exact"/>
        <w:rPr>
          <w:rFonts w:ascii="宋体" w:hAnsi="宋体" w:cs="宋体"/>
          <w:sz w:val="24"/>
          <w:highlight w:val="none"/>
        </w:rPr>
      </w:pPr>
      <w:r>
        <w:rPr>
          <w:rFonts w:hint="eastAsia" w:ascii="宋体" w:hAnsi="宋体" w:cs="宋体"/>
          <w:sz w:val="24"/>
          <w:highlight w:val="none"/>
        </w:rPr>
        <w:t xml:space="preserve">    联系人 ：王先生</w:t>
      </w:r>
    </w:p>
    <w:p w14:paraId="1AB17C78">
      <w:pPr>
        <w:spacing w:line="320" w:lineRule="exact"/>
        <w:ind w:firstLine="480" w:firstLineChars="200"/>
        <w:rPr>
          <w:rFonts w:ascii="宋体" w:hAnsi="宋体" w:cs="宋体"/>
          <w:sz w:val="24"/>
          <w:highlight w:val="none"/>
        </w:rPr>
      </w:pPr>
      <w:r>
        <w:rPr>
          <w:rFonts w:hint="eastAsia" w:ascii="宋体" w:hAnsi="宋体" w:cs="宋体"/>
          <w:sz w:val="24"/>
          <w:highlight w:val="none"/>
        </w:rPr>
        <w:t>监督投诉电话：0570-4033811</w:t>
      </w:r>
    </w:p>
    <w:p w14:paraId="210A9E49">
      <w:pPr>
        <w:spacing w:line="320" w:lineRule="exact"/>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lang w:val="en-US" w:eastAsia="zh-CN"/>
        </w:rPr>
        <w:t>95763</w:t>
      </w:r>
      <w:r>
        <w:rPr>
          <w:rFonts w:hint="eastAsia" w:ascii="宋体" w:hAnsi="宋体" w:cs="宋体"/>
          <w:sz w:val="24"/>
          <w:highlight w:val="none"/>
        </w:rPr>
        <w:t>获取热线服务帮助。</w:t>
      </w:r>
    </w:p>
    <w:p w14:paraId="7B913487">
      <w:pPr>
        <w:spacing w:line="320" w:lineRule="exact"/>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00A1E85B">
      <w:pPr>
        <w:pStyle w:val="32"/>
        <w:spacing w:line="360" w:lineRule="auto"/>
        <w:ind w:firstLine="480" w:firstLineChars="200"/>
        <w:rPr>
          <w:rFonts w:hAnsi="宋体" w:cs="宋体"/>
          <w:sz w:val="24"/>
          <w:szCs w:val="24"/>
          <w:highlight w:val="none"/>
        </w:rPr>
      </w:pPr>
    </w:p>
    <w:p w14:paraId="060A886E">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br w:type="page"/>
      </w:r>
      <w:r>
        <w:rPr>
          <w:rFonts w:hint="eastAsia" w:ascii="宋体" w:hAnsi="宋体" w:cs="宋体"/>
          <w:b/>
          <w:sz w:val="36"/>
          <w:szCs w:val="20"/>
          <w:highlight w:val="none"/>
        </w:rPr>
        <w:t>第二部分</w:t>
      </w:r>
      <w:bookmarkEnd w:id="7"/>
      <w:r>
        <w:rPr>
          <w:rFonts w:hint="eastAsia" w:ascii="宋体" w:hAnsi="宋体" w:cs="宋体"/>
          <w:b/>
          <w:sz w:val="36"/>
          <w:szCs w:val="20"/>
          <w:highlight w:val="none"/>
        </w:rPr>
        <w:t xml:space="preserve"> 投标人须知</w:t>
      </w:r>
      <w:bookmarkEnd w:id="8"/>
    </w:p>
    <w:p w14:paraId="5CAF1864">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15"/>
      </w:tblGrid>
      <w:tr w14:paraId="66FBF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9AEA09F">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5163067">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515" w:type="dxa"/>
            <w:tcBorders>
              <w:top w:val="single" w:color="000000" w:sz="8" w:space="0"/>
              <w:left w:val="single" w:color="000000" w:sz="2" w:space="0"/>
              <w:bottom w:val="single" w:color="000000" w:sz="8" w:space="0"/>
              <w:right w:val="single" w:color="000000" w:sz="8" w:space="0"/>
            </w:tcBorders>
            <w:vAlign w:val="center"/>
          </w:tcPr>
          <w:p w14:paraId="1022BBB3">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3C70D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4" w:hRule="atLeast"/>
          <w:tblHeader/>
        </w:trPr>
        <w:tc>
          <w:tcPr>
            <w:tcW w:w="629" w:type="dxa"/>
            <w:tcBorders>
              <w:top w:val="single" w:color="auto" w:sz="4" w:space="0"/>
              <w:left w:val="single" w:color="auto" w:sz="4" w:space="0"/>
              <w:bottom w:val="single" w:color="auto" w:sz="4" w:space="0"/>
              <w:right w:val="single" w:color="auto" w:sz="4" w:space="0"/>
            </w:tcBorders>
          </w:tcPr>
          <w:p w14:paraId="03D811B4">
            <w:pPr>
              <w:snapToGrid w:val="0"/>
              <w:spacing w:line="360" w:lineRule="auto"/>
              <w:jc w:val="center"/>
              <w:rPr>
                <w:rFonts w:ascii="宋体" w:hAnsi="宋体" w:cs="宋体"/>
                <w:szCs w:val="21"/>
                <w:highlight w:val="none"/>
              </w:rPr>
            </w:pPr>
          </w:p>
          <w:p w14:paraId="7AB29287">
            <w:pPr>
              <w:snapToGrid w:val="0"/>
              <w:spacing w:line="360" w:lineRule="auto"/>
              <w:jc w:val="center"/>
              <w:rPr>
                <w:rFonts w:ascii="宋体" w:hAnsi="宋体" w:cs="宋体"/>
                <w:szCs w:val="21"/>
                <w:highlight w:val="none"/>
              </w:rPr>
            </w:pPr>
          </w:p>
          <w:p w14:paraId="04C888F0">
            <w:pPr>
              <w:snapToGrid w:val="0"/>
              <w:spacing w:line="360" w:lineRule="auto"/>
              <w:jc w:val="center"/>
              <w:rPr>
                <w:rFonts w:ascii="宋体" w:hAnsi="宋体" w:cs="宋体"/>
                <w:szCs w:val="21"/>
                <w:highlight w:val="none"/>
              </w:rPr>
            </w:pPr>
          </w:p>
          <w:p w14:paraId="39D82FCE">
            <w:pPr>
              <w:snapToGrid w:val="0"/>
              <w:spacing w:line="360" w:lineRule="auto"/>
              <w:jc w:val="center"/>
              <w:rPr>
                <w:rFonts w:ascii="宋体" w:hAnsi="宋体" w:cs="宋体"/>
                <w:szCs w:val="21"/>
                <w:highlight w:val="none"/>
              </w:rPr>
            </w:pPr>
          </w:p>
          <w:p w14:paraId="3BFD74B6">
            <w:pPr>
              <w:snapToGrid w:val="0"/>
              <w:spacing w:line="360" w:lineRule="auto"/>
              <w:jc w:val="center"/>
              <w:rPr>
                <w:rFonts w:ascii="宋体" w:hAnsi="宋体" w:cs="宋体"/>
                <w:szCs w:val="21"/>
                <w:highlight w:val="none"/>
              </w:rPr>
            </w:pPr>
          </w:p>
          <w:p w14:paraId="579E6883">
            <w:pPr>
              <w:snapToGrid w:val="0"/>
              <w:spacing w:line="360" w:lineRule="auto"/>
              <w:jc w:val="center"/>
              <w:rPr>
                <w:rFonts w:ascii="宋体" w:hAnsi="宋体" w:cs="宋体"/>
                <w:szCs w:val="21"/>
                <w:highlight w:val="none"/>
              </w:rPr>
            </w:pPr>
          </w:p>
          <w:p w14:paraId="62D986B0">
            <w:pPr>
              <w:snapToGrid w:val="0"/>
              <w:spacing w:line="360" w:lineRule="auto"/>
              <w:jc w:val="center"/>
              <w:rPr>
                <w:rFonts w:ascii="宋体" w:hAnsi="宋体" w:cs="宋体"/>
                <w:szCs w:val="21"/>
                <w:highlight w:val="none"/>
              </w:rPr>
            </w:pPr>
          </w:p>
          <w:p w14:paraId="0B6CAB6C">
            <w:pPr>
              <w:snapToGri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5FC8ADA">
            <w:pPr>
              <w:snapToGrid w:val="0"/>
              <w:spacing w:line="360" w:lineRule="exact"/>
              <w:jc w:val="center"/>
              <w:rPr>
                <w:rFonts w:ascii="宋体" w:hAnsi="宋体" w:cs="宋体"/>
                <w:b/>
                <w:sz w:val="24"/>
                <w:highlight w:val="none"/>
              </w:rPr>
            </w:pPr>
            <w:r>
              <w:rPr>
                <w:rFonts w:hint="eastAsia" w:ascii="宋体" w:hAnsi="宋体" w:cs="宋体"/>
                <w:b/>
                <w:sz w:val="24"/>
                <w:highlight w:val="none"/>
              </w:rPr>
              <w:t>报价要求</w:t>
            </w:r>
          </w:p>
        </w:tc>
        <w:tc>
          <w:tcPr>
            <w:tcW w:w="6515" w:type="dxa"/>
            <w:tcBorders>
              <w:top w:val="single" w:color="000000" w:sz="8" w:space="0"/>
              <w:left w:val="single" w:color="000000" w:sz="2" w:space="0"/>
              <w:bottom w:val="single" w:color="000000" w:sz="8" w:space="0"/>
              <w:right w:val="single" w:color="000000" w:sz="8" w:space="0"/>
            </w:tcBorders>
            <w:vAlign w:val="center"/>
          </w:tcPr>
          <w:p w14:paraId="1AD97D05">
            <w:pPr>
              <w:snapToGrid w:val="0"/>
              <w:spacing w:line="400" w:lineRule="exact"/>
              <w:jc w:val="left"/>
              <w:rPr>
                <w:rFonts w:hint="eastAsia" w:ascii="宋体" w:hAnsi="宋体" w:eastAsia="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sz w:val="24"/>
                <w:highlight w:val="none"/>
              </w:rPr>
              <w:t>开标一览表（报价表）是报价的唯一载体</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w:t>
            </w:r>
            <w:r>
              <w:rPr>
                <w:rFonts w:hint="eastAsia" w:ascii="宋体" w:hAnsi="宋体" w:eastAsia="宋体" w:cs="宋体"/>
                <w:b/>
                <w:kern w:val="0"/>
                <w:sz w:val="24"/>
                <w:highlight w:val="none"/>
                <w:lang w:val="zh-CN"/>
              </w:rPr>
              <w:t>用由</w:t>
            </w:r>
            <w:r>
              <w:rPr>
                <w:rFonts w:hint="default" w:ascii="宋体" w:hAnsi="宋体" w:eastAsia="宋体" w:cs="宋体"/>
                <w:b/>
                <w:kern w:val="0"/>
                <w:sz w:val="24"/>
                <w:highlight w:val="none"/>
                <w:lang w:val="en-US"/>
              </w:rPr>
              <w:t>中标单位</w:t>
            </w:r>
            <w:r>
              <w:rPr>
                <w:rFonts w:hint="eastAsia" w:ascii="宋体" w:hAnsi="宋体" w:eastAsia="宋体" w:cs="宋体"/>
                <w:b/>
                <w:kern w:val="0"/>
                <w:sz w:val="24"/>
                <w:highlight w:val="none"/>
                <w:lang w:val="zh-CN"/>
              </w:rPr>
              <w:t>承担，不包含在投标总价中。</w:t>
            </w:r>
          </w:p>
          <w:p w14:paraId="2008F54B">
            <w:pPr>
              <w:snapToGrid w:val="0"/>
              <w:spacing w:line="400" w:lineRule="exact"/>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2585FC7B">
            <w:pPr>
              <w:snapToGrid w:val="0"/>
              <w:spacing w:line="400" w:lineRule="exact"/>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0DAC6060">
            <w:pPr>
              <w:snapToGrid w:val="0"/>
              <w:spacing w:line="400" w:lineRule="exact"/>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50718972">
            <w:pPr>
              <w:spacing w:line="400" w:lineRule="exact"/>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highlight w:val="none"/>
              </w:rPr>
              <w:t>;</w:t>
            </w:r>
          </w:p>
          <w:p w14:paraId="51997D03">
            <w:pPr>
              <w:spacing w:line="400" w:lineRule="exact"/>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0F0DF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52BAFB">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76AC65F">
            <w:pPr>
              <w:snapToGrid w:val="0"/>
              <w:spacing w:line="360" w:lineRule="exact"/>
              <w:ind w:firstLine="482" w:firstLineChars="200"/>
              <w:rPr>
                <w:rFonts w:ascii="宋体" w:hAnsi="宋体" w:cs="宋体"/>
                <w:b/>
                <w:sz w:val="24"/>
                <w:highlight w:val="none"/>
              </w:rPr>
            </w:pPr>
            <w:r>
              <w:rPr>
                <w:rFonts w:hint="eastAsia" w:ascii="宋体" w:hAnsi="宋体" w:cs="宋体"/>
                <w:b/>
                <w:sz w:val="24"/>
                <w:highlight w:val="none"/>
              </w:rPr>
              <w:t>分包</w:t>
            </w:r>
          </w:p>
        </w:tc>
        <w:tc>
          <w:tcPr>
            <w:tcW w:w="6515" w:type="dxa"/>
            <w:tcBorders>
              <w:top w:val="single" w:color="000000" w:sz="8" w:space="0"/>
              <w:left w:val="single" w:color="000000" w:sz="2" w:space="0"/>
              <w:bottom w:val="single" w:color="000000" w:sz="8" w:space="0"/>
              <w:right w:val="single" w:color="000000" w:sz="8" w:space="0"/>
            </w:tcBorders>
            <w:vAlign w:val="center"/>
          </w:tcPr>
          <w:p w14:paraId="38E439C3">
            <w:pPr>
              <w:spacing w:line="400" w:lineRule="exact"/>
              <w:rPr>
                <w:rFonts w:ascii="宋体" w:hAnsi="宋体" w:cs="宋体"/>
                <w:kern w:val="0"/>
                <w:sz w:val="24"/>
                <w:highlight w:val="none"/>
              </w:rPr>
            </w:pPr>
            <w:r>
              <w:rPr>
                <w:rFonts w:hint="eastAsia" w:ascii="宋体" w:hAnsi="宋体" w:cs="宋体"/>
                <w:kern w:val="0"/>
                <w:sz w:val="24"/>
                <w:highlight w:val="none"/>
              </w:rPr>
              <w:sym w:font="Wingdings" w:char="00A8"/>
            </w:r>
            <w:r>
              <w:rPr>
                <w:rFonts w:hint="eastAsia" w:ascii="宋体" w:hAnsi="宋体" w:cs="宋体"/>
                <w:kern w:val="0"/>
                <w:sz w:val="24"/>
                <w:highlight w:val="none"/>
              </w:rPr>
              <w:t xml:space="preserve"> A</w:t>
            </w:r>
            <w:r>
              <w:rPr>
                <w:rFonts w:hint="eastAsia" w:ascii="宋体" w:hAnsi="宋体" w:cs="宋体"/>
                <w:sz w:val="24"/>
                <w:highlight w:val="none"/>
              </w:rPr>
              <w:t>同意将非主体、非关键性的工作分包。</w:t>
            </w:r>
          </w:p>
          <w:p w14:paraId="57C4A38A">
            <w:pPr>
              <w:spacing w:line="400" w:lineRule="exact"/>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B</w:t>
            </w:r>
            <w:r>
              <w:rPr>
                <w:rFonts w:hint="eastAsia" w:ascii="宋体" w:hAnsi="宋体" w:cs="宋体"/>
                <w:sz w:val="24"/>
                <w:highlight w:val="none"/>
              </w:rPr>
              <w:t>不同意分包。</w:t>
            </w:r>
          </w:p>
        </w:tc>
      </w:tr>
      <w:tr w14:paraId="2BFDA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E30E579">
            <w:pPr>
              <w:snapToGrid w:val="0"/>
              <w:spacing w:line="360" w:lineRule="auto"/>
              <w:jc w:val="center"/>
              <w:rPr>
                <w:rFonts w:ascii="宋体" w:hAnsi="宋体" w:cs="宋体"/>
                <w:sz w:val="24"/>
                <w:highlight w:val="none"/>
              </w:rPr>
            </w:pPr>
          </w:p>
          <w:p w14:paraId="4EC4F7DA">
            <w:pPr>
              <w:snapToGrid w:val="0"/>
              <w:spacing w:line="360" w:lineRule="auto"/>
              <w:jc w:val="center"/>
              <w:rPr>
                <w:rFonts w:ascii="宋体" w:hAnsi="宋体" w:cs="宋体"/>
                <w:sz w:val="24"/>
                <w:highlight w:val="none"/>
              </w:rPr>
            </w:pPr>
          </w:p>
          <w:p w14:paraId="740C72D1">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2233F2F4">
            <w:pPr>
              <w:snapToGrid w:val="0"/>
              <w:spacing w:line="360" w:lineRule="exact"/>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515" w:type="dxa"/>
            <w:tcBorders>
              <w:top w:val="single" w:color="000000" w:sz="8" w:space="0"/>
              <w:left w:val="single" w:color="000000" w:sz="2" w:space="0"/>
              <w:bottom w:val="single" w:color="auto" w:sz="4" w:space="0"/>
              <w:right w:val="single" w:color="000000" w:sz="8" w:space="0"/>
            </w:tcBorders>
            <w:vAlign w:val="center"/>
          </w:tcPr>
          <w:p w14:paraId="052527C4">
            <w:pPr>
              <w:spacing w:line="400" w:lineRule="exact"/>
              <w:rPr>
                <w:rFonts w:ascii="宋体" w:hAnsi="宋体" w:cs="宋体"/>
                <w:sz w:val="24"/>
                <w:highlight w:val="none"/>
              </w:rPr>
            </w:pPr>
            <w:r>
              <w:rPr>
                <w:rFonts w:hint="eastAsia" w:ascii="宋体" w:hAnsi="宋体" w:cs="宋体"/>
                <w:sz w:val="24"/>
                <w:highlight w:val="none"/>
              </w:rPr>
              <w:t>（1）资格证明文件：见招标文件第二部分11.1。</w:t>
            </w:r>
          </w:p>
          <w:p w14:paraId="1F650DA0">
            <w:pPr>
              <w:spacing w:line="400" w:lineRule="exact"/>
              <w:rPr>
                <w:rFonts w:ascii="宋体" w:hAnsi="宋体" w:cs="宋体"/>
                <w:snapToGrid w:val="0"/>
                <w:kern w:val="0"/>
                <w:sz w:val="24"/>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7EB12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blHeader/>
        </w:trPr>
        <w:tc>
          <w:tcPr>
            <w:tcW w:w="629" w:type="dxa"/>
            <w:vMerge w:val="continue"/>
            <w:tcBorders>
              <w:left w:val="single" w:color="auto" w:sz="4" w:space="0"/>
              <w:bottom w:val="single" w:color="auto" w:sz="4" w:space="0"/>
              <w:right w:val="single" w:color="auto" w:sz="4" w:space="0"/>
            </w:tcBorders>
          </w:tcPr>
          <w:p w14:paraId="5EC53641">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3EB0E88">
            <w:pPr>
              <w:snapToGrid w:val="0"/>
              <w:spacing w:line="360" w:lineRule="exact"/>
              <w:jc w:val="center"/>
              <w:rPr>
                <w:rFonts w:ascii="宋体" w:hAnsi="宋体" w:cs="宋体"/>
                <w:b/>
                <w:sz w:val="24"/>
                <w:highlight w:val="none"/>
              </w:rPr>
            </w:pPr>
          </w:p>
        </w:tc>
        <w:tc>
          <w:tcPr>
            <w:tcW w:w="6515" w:type="dxa"/>
            <w:tcBorders>
              <w:top w:val="single" w:color="auto" w:sz="4" w:space="0"/>
              <w:left w:val="single" w:color="000000" w:sz="2" w:space="0"/>
              <w:bottom w:val="single" w:color="000000" w:sz="8" w:space="0"/>
              <w:right w:val="single" w:color="000000" w:sz="8" w:space="0"/>
            </w:tcBorders>
            <w:vAlign w:val="center"/>
          </w:tcPr>
          <w:p w14:paraId="60FAFBB2">
            <w:pPr>
              <w:spacing w:line="400" w:lineRule="exact"/>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210FF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2D050037">
            <w:pPr>
              <w:snapToGrid w:val="0"/>
              <w:spacing w:line="360" w:lineRule="auto"/>
              <w:jc w:val="center"/>
              <w:rPr>
                <w:rFonts w:ascii="宋体" w:hAnsi="宋体" w:cs="宋体"/>
                <w:sz w:val="24"/>
                <w:highlight w:val="none"/>
              </w:rPr>
            </w:pPr>
          </w:p>
          <w:p w14:paraId="2CA3AB43">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F72D75B">
            <w:pPr>
              <w:snapToGrid w:val="0"/>
              <w:spacing w:line="360" w:lineRule="exact"/>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515" w:type="dxa"/>
            <w:tcBorders>
              <w:top w:val="single" w:color="000000" w:sz="8" w:space="0"/>
              <w:left w:val="single" w:color="000000" w:sz="2" w:space="0"/>
              <w:bottom w:val="single" w:color="000000" w:sz="8" w:space="0"/>
              <w:right w:val="single" w:color="000000" w:sz="8" w:space="0"/>
            </w:tcBorders>
            <w:vAlign w:val="center"/>
          </w:tcPr>
          <w:p w14:paraId="3E80DBD8">
            <w:pPr>
              <w:spacing w:line="400" w:lineRule="exact"/>
              <w:rPr>
                <w:rFonts w:ascii="宋体" w:hAnsi="宋体" w:cs="宋体"/>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A</w:t>
            </w:r>
            <w:r>
              <w:rPr>
                <w:rFonts w:hint="eastAsia" w:ascii="宋体" w:hAnsi="宋体" w:cs="宋体"/>
                <w:sz w:val="24"/>
                <w:highlight w:val="none"/>
              </w:rPr>
              <w:t>不组织。</w:t>
            </w:r>
          </w:p>
          <w:p w14:paraId="60B5569D">
            <w:pPr>
              <w:spacing w:line="400" w:lineRule="exact"/>
              <w:rPr>
                <w:rFonts w:ascii="宋体" w:hAnsi="宋体" w:cs="宋体"/>
                <w:sz w:val="24"/>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,地点：</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，联系人：</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，联系方式：</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p>
        </w:tc>
      </w:tr>
      <w:tr w14:paraId="517F7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4F9949BA">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815CAD2">
            <w:pPr>
              <w:snapToGrid w:val="0"/>
              <w:spacing w:line="360" w:lineRule="exact"/>
              <w:jc w:val="center"/>
              <w:rPr>
                <w:rFonts w:ascii="宋体" w:hAnsi="宋体" w:cs="宋体"/>
                <w:b/>
                <w:sz w:val="24"/>
                <w:highlight w:val="none"/>
              </w:rPr>
            </w:pPr>
            <w:r>
              <w:rPr>
                <w:rFonts w:hint="eastAsia" w:ascii="宋体" w:hAnsi="宋体" w:cs="宋体"/>
                <w:b/>
                <w:sz w:val="24"/>
                <w:highlight w:val="none"/>
              </w:rPr>
              <w:t>样品提供</w:t>
            </w:r>
          </w:p>
        </w:tc>
        <w:tc>
          <w:tcPr>
            <w:tcW w:w="6515" w:type="dxa"/>
            <w:tcBorders>
              <w:top w:val="single" w:color="000000" w:sz="8" w:space="0"/>
              <w:left w:val="single" w:color="000000" w:sz="2" w:space="0"/>
              <w:bottom w:val="single" w:color="000000" w:sz="8" w:space="0"/>
              <w:right w:val="single" w:color="000000" w:sz="8" w:space="0"/>
            </w:tcBorders>
            <w:vAlign w:val="center"/>
          </w:tcPr>
          <w:p w14:paraId="556AE208">
            <w:pPr>
              <w:spacing w:line="400" w:lineRule="exact"/>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不要求提供。</w:t>
            </w:r>
          </w:p>
          <w:p w14:paraId="5D62E1E2">
            <w:pPr>
              <w:spacing w:line="400" w:lineRule="exact"/>
              <w:rPr>
                <w:rFonts w:ascii="宋体" w:hAnsi="宋体" w:cs="宋体"/>
                <w:kern w:val="0"/>
                <w:sz w:val="24"/>
                <w:highlight w:val="none"/>
              </w:rPr>
            </w:pPr>
            <w:r>
              <w:rPr>
                <w:rFonts w:hint="eastAsia" w:ascii="宋体" w:hAnsi="宋体" w:cs="宋体"/>
                <w:kern w:val="0"/>
                <w:sz w:val="24"/>
                <w:highlight w:val="none"/>
              </w:rPr>
              <w:sym w:font="Wingdings" w:char="00A8"/>
            </w:r>
            <w:r>
              <w:rPr>
                <w:rFonts w:hint="eastAsia" w:ascii="宋体" w:hAnsi="宋体" w:cs="宋体"/>
                <w:kern w:val="0"/>
                <w:sz w:val="24"/>
                <w:highlight w:val="none"/>
              </w:rPr>
              <w:t>B要求提供，</w:t>
            </w:r>
          </w:p>
          <w:p w14:paraId="4E1DC6C3">
            <w:pPr>
              <w:spacing w:line="400" w:lineRule="exact"/>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kern w:val="0"/>
                <w:sz w:val="24"/>
                <w:highlight w:val="none"/>
              </w:rPr>
              <w:t>；</w:t>
            </w:r>
          </w:p>
          <w:p w14:paraId="7365ED9B">
            <w:pPr>
              <w:spacing w:line="400" w:lineRule="exac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kern w:val="0"/>
                <w:sz w:val="24"/>
                <w:highlight w:val="none"/>
              </w:rPr>
              <w:t>；</w:t>
            </w:r>
          </w:p>
          <w:p w14:paraId="77E1313B">
            <w:pPr>
              <w:spacing w:line="400" w:lineRule="exact"/>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68BB6087">
            <w:pPr>
              <w:spacing w:line="400" w:lineRule="exact"/>
              <w:rPr>
                <w:rFonts w:ascii="宋体" w:hAnsi="宋体" w:cs="宋体"/>
                <w:kern w:val="0"/>
                <w:sz w:val="24"/>
                <w:highlight w:val="none"/>
              </w:rPr>
            </w:pPr>
            <w:r>
              <w:rPr>
                <w:rFonts w:hint="eastAsia" w:ascii="宋体" w:hAnsi="宋体" w:cs="宋体"/>
                <w:kern w:val="0"/>
                <w:sz w:val="24"/>
                <w:highlight w:val="none"/>
              </w:rPr>
              <w:t>（4）是否需要随样品提交检测报告：</w:t>
            </w:r>
            <w:r>
              <w:rPr>
                <w:rFonts w:hint="eastAsia" w:ascii="宋体" w:hAnsi="宋体" w:cs="宋体"/>
                <w:kern w:val="0"/>
                <w:sz w:val="24"/>
                <w:highlight w:val="none"/>
              </w:rPr>
              <w:sym w:font="Wingdings" w:char="00A8"/>
            </w:r>
            <w:r>
              <w:rPr>
                <w:rFonts w:hint="eastAsia" w:ascii="宋体" w:hAnsi="宋体" w:cs="宋体"/>
                <w:kern w:val="0"/>
                <w:sz w:val="24"/>
                <w:highlight w:val="none"/>
              </w:rPr>
              <w:t>否；</w:t>
            </w:r>
            <w:r>
              <w:rPr>
                <w:rFonts w:hint="eastAsia" w:ascii="宋体" w:hAnsi="宋体" w:cs="宋体"/>
                <w:kern w:val="0"/>
                <w:sz w:val="24"/>
                <w:highlight w:val="none"/>
              </w:rPr>
              <w:sym w:font="Wingdings" w:char="00A8"/>
            </w:r>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lang w:val="en-US" w:eastAsia="zh-CN"/>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lang w:val="en-US" w:eastAsia="zh-CN"/>
              </w:rPr>
              <w:t xml:space="preserve">   </w:t>
            </w:r>
            <w:r>
              <w:rPr>
                <w:rFonts w:hint="eastAsia" w:ascii="宋体" w:hAnsi="宋体" w:cs="宋体"/>
                <w:kern w:val="0"/>
                <w:sz w:val="24"/>
                <w:highlight w:val="none"/>
              </w:rPr>
              <w:t>。</w:t>
            </w:r>
          </w:p>
          <w:p w14:paraId="1ECB7993">
            <w:pPr>
              <w:spacing w:line="400" w:lineRule="exact"/>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kern w:val="0"/>
                <w:sz w:val="24"/>
                <w:highlight w:val="none"/>
              </w:rPr>
              <w:t>；地点：；联系人</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1EBBBD30">
            <w:pPr>
              <w:spacing w:line="400" w:lineRule="exact"/>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B707B8B">
            <w:pPr>
              <w:spacing w:line="400" w:lineRule="exact"/>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4859E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7C030AF2">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2BE3663E">
            <w:pPr>
              <w:snapToGrid w:val="0"/>
              <w:spacing w:line="360" w:lineRule="exact"/>
              <w:jc w:val="center"/>
              <w:rPr>
                <w:rFonts w:ascii="宋体" w:hAnsi="宋体" w:cs="宋体"/>
                <w:bCs/>
                <w:sz w:val="24"/>
                <w:highlight w:val="none"/>
              </w:rPr>
            </w:pPr>
            <w:r>
              <w:rPr>
                <w:rFonts w:hint="eastAsia" w:ascii="宋体" w:hAnsi="宋体" w:cs="宋体"/>
                <w:b/>
                <w:sz w:val="24"/>
                <w:highlight w:val="none"/>
              </w:rPr>
              <w:t>方案讲解演示</w:t>
            </w:r>
          </w:p>
        </w:tc>
        <w:tc>
          <w:tcPr>
            <w:tcW w:w="6515" w:type="dxa"/>
            <w:tcBorders>
              <w:top w:val="single" w:color="000000" w:sz="8" w:space="0"/>
              <w:left w:val="single" w:color="000000" w:sz="2" w:space="0"/>
              <w:bottom w:val="single" w:color="000000" w:sz="8" w:space="0"/>
              <w:right w:val="single" w:color="000000" w:sz="8" w:space="0"/>
            </w:tcBorders>
            <w:vAlign w:val="center"/>
          </w:tcPr>
          <w:p w14:paraId="4A2AB5DD">
            <w:pPr>
              <w:spacing w:line="400" w:lineRule="exact"/>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14:paraId="76F6038B">
            <w:pPr>
              <w:spacing w:line="400" w:lineRule="exact"/>
              <w:rPr>
                <w:rFonts w:ascii="宋体" w:hAnsi="宋体" w:cs="宋体"/>
                <w:kern w:val="0"/>
                <w:sz w:val="24"/>
                <w:highlight w:val="none"/>
              </w:rPr>
            </w:pPr>
            <w:r>
              <w:rPr>
                <w:rFonts w:hint="eastAsia" w:ascii="宋体" w:hAnsi="宋体" w:cs="宋体"/>
                <w:kern w:val="0"/>
                <w:sz w:val="24"/>
                <w:highlight w:val="none"/>
              </w:rPr>
              <w:t>☐B组织。</w:t>
            </w:r>
          </w:p>
          <w:p w14:paraId="1DA296C2">
            <w:pPr>
              <w:snapToGrid w:val="0"/>
              <w:spacing w:line="400" w:lineRule="exact"/>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264FF7B1">
            <w:pPr>
              <w:snapToGrid w:val="0"/>
              <w:spacing w:line="400" w:lineRule="exact"/>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25C8D6BF">
            <w:pPr>
              <w:snapToGrid w:val="0"/>
              <w:spacing w:line="400" w:lineRule="exact"/>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5473624B">
            <w:pPr>
              <w:snapToGrid w:val="0"/>
              <w:spacing w:line="400" w:lineRule="exact"/>
              <w:rPr>
                <w:rFonts w:ascii="宋体" w:hAnsi="宋体" w:cs="宋体"/>
                <w:kern w:val="0"/>
                <w:sz w:val="24"/>
                <w:highlight w:val="none"/>
              </w:rPr>
            </w:pPr>
            <w:r>
              <w:rPr>
                <w:rFonts w:hint="eastAsia" w:ascii="宋体" w:hAnsi="宋体" w:cs="宋体"/>
                <w:kern w:val="0"/>
                <w:sz w:val="24"/>
                <w:highlight w:val="none"/>
              </w:rPr>
              <w:t>方式二：交易中心现场讲解演示。现场讲解地点为，讲解演示所用电脑等设备由投标人自备。现场讲解演示人员进场时提供讲解人员名单（加盖公章）及身份证明，否则不得讲解演示。</w:t>
            </w:r>
          </w:p>
          <w:p w14:paraId="3C02B05A">
            <w:pPr>
              <w:snapToGrid w:val="0"/>
              <w:spacing w:line="400" w:lineRule="exact"/>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31EB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C6B44E9">
            <w:pPr>
              <w:snapToGrid w:val="0"/>
              <w:spacing w:line="360" w:lineRule="auto"/>
              <w:jc w:val="center"/>
              <w:rPr>
                <w:rFonts w:ascii="宋体" w:hAnsi="宋体" w:cs="宋体"/>
                <w:sz w:val="24"/>
                <w:highlight w:val="none"/>
              </w:rPr>
            </w:pPr>
            <w:r>
              <w:rPr>
                <w:rFonts w:hint="eastAsia" w:ascii="宋体" w:hAnsi="宋体" w:cs="宋体"/>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08982804">
            <w:pPr>
              <w:snapToGrid w:val="0"/>
              <w:spacing w:line="360" w:lineRule="exact"/>
              <w:jc w:val="center"/>
              <w:rPr>
                <w:rFonts w:ascii="宋体" w:hAnsi="宋体" w:cs="宋体"/>
                <w:b/>
                <w:sz w:val="24"/>
                <w:highlight w:val="none"/>
              </w:rPr>
            </w:pPr>
            <w:r>
              <w:rPr>
                <w:rFonts w:hint="eastAsia" w:ascii="宋体" w:hAnsi="宋体" w:cs="宋体"/>
                <w:b/>
                <w:sz w:val="24"/>
                <w:highlight w:val="none"/>
              </w:rPr>
              <w:t>是否允许采购进口产品</w:t>
            </w:r>
          </w:p>
        </w:tc>
        <w:tc>
          <w:tcPr>
            <w:tcW w:w="6515" w:type="dxa"/>
            <w:tcBorders>
              <w:top w:val="single" w:color="000000" w:sz="8" w:space="0"/>
              <w:left w:val="single" w:color="000000" w:sz="2" w:space="0"/>
              <w:bottom w:val="single" w:color="000000" w:sz="8" w:space="0"/>
              <w:right w:val="single" w:color="000000" w:sz="8" w:space="0"/>
            </w:tcBorders>
            <w:vAlign w:val="center"/>
          </w:tcPr>
          <w:p w14:paraId="599957A4">
            <w:pPr>
              <w:spacing w:line="400" w:lineRule="exact"/>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533625BF">
            <w:pPr>
              <w:spacing w:line="400" w:lineRule="exact"/>
              <w:rPr>
                <w:rFonts w:ascii="宋体" w:hAnsi="宋体" w:cs="宋体"/>
                <w:sz w:val="24"/>
                <w:highlight w:val="none"/>
              </w:rPr>
            </w:pPr>
            <w:r>
              <w:rPr>
                <w:rFonts w:hint="eastAsia" w:ascii="宋体" w:hAnsi="宋体" w:cs="宋体"/>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E944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AEDF2D7">
            <w:pPr>
              <w:snapToGrid w:val="0"/>
              <w:spacing w:line="360" w:lineRule="auto"/>
              <w:jc w:val="center"/>
              <w:rPr>
                <w:rFonts w:ascii="宋体" w:hAnsi="宋体" w:cs="宋体"/>
                <w:sz w:val="24"/>
                <w:highlight w:val="none"/>
              </w:rPr>
            </w:pPr>
          </w:p>
          <w:p w14:paraId="3B2A5F2C">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8F84BA4">
            <w:pPr>
              <w:snapToGrid w:val="0"/>
              <w:spacing w:line="360" w:lineRule="exact"/>
              <w:jc w:val="center"/>
              <w:rPr>
                <w:rFonts w:ascii="宋体" w:hAnsi="宋体" w:cs="宋体"/>
                <w:b/>
                <w:sz w:val="24"/>
                <w:highlight w:val="none"/>
              </w:rPr>
            </w:pPr>
            <w:r>
              <w:rPr>
                <w:rFonts w:hint="eastAsia" w:ascii="宋体" w:hAnsi="宋体" w:cs="宋体"/>
                <w:b/>
                <w:sz w:val="24"/>
                <w:highlight w:val="none"/>
              </w:rPr>
              <w:t>项目属性与核心产品</w:t>
            </w:r>
          </w:p>
        </w:tc>
        <w:tc>
          <w:tcPr>
            <w:tcW w:w="6515" w:type="dxa"/>
            <w:tcBorders>
              <w:top w:val="single" w:color="000000" w:sz="8" w:space="0"/>
              <w:left w:val="single" w:color="000000" w:sz="2" w:space="0"/>
              <w:bottom w:val="single" w:color="000000" w:sz="8" w:space="0"/>
              <w:right w:val="single" w:color="000000" w:sz="8" w:space="0"/>
            </w:tcBorders>
            <w:vAlign w:val="center"/>
          </w:tcPr>
          <w:p w14:paraId="5EEFE814">
            <w:pPr>
              <w:spacing w:line="400" w:lineRule="exact"/>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货物类，单一产品或</w:t>
            </w:r>
            <w:r>
              <w:rPr>
                <w:rFonts w:hint="eastAsia" w:ascii="宋体" w:hAnsi="宋体" w:cs="宋体"/>
                <w:kern w:val="0"/>
                <w:sz w:val="24"/>
                <w:highlight w:val="none"/>
              </w:rPr>
              <w:t>核</w:t>
            </w:r>
            <w:r>
              <w:rPr>
                <w:rFonts w:hint="eastAsia" w:ascii="宋体" w:hAnsi="宋体" w:cs="宋体"/>
                <w:color w:val="000000" w:themeColor="text1"/>
                <w:kern w:val="0"/>
                <w:sz w:val="24"/>
                <w:highlight w:val="none"/>
                <w14:textFill>
                  <w14:solidFill>
                    <w14:schemeClr w14:val="tx1"/>
                  </w14:solidFill>
                </w14:textFill>
              </w:rPr>
              <w:t>心产品为：</w:t>
            </w:r>
            <w:r>
              <w:rPr>
                <w:rFonts w:hint="eastAsia" w:ascii="宋体" w:hAnsi="宋体" w:cs="宋体"/>
                <w:bCs/>
                <w:color w:val="000000" w:themeColor="text1"/>
                <w:sz w:val="24"/>
                <w:highlight w:val="none"/>
                <w:u w:val="single"/>
                <w:lang w:eastAsia="zh-CN"/>
                <w14:textFill>
                  <w14:solidFill>
                    <w14:schemeClr w14:val="tx1"/>
                  </w14:solidFill>
                </w14:textFill>
              </w:rPr>
              <w:t>巡回诊疗车</w:t>
            </w:r>
            <w:r>
              <w:rPr>
                <w:rFonts w:hint="eastAsia" w:ascii="宋体" w:hAnsi="宋体" w:cs="宋体"/>
                <w:color w:val="000000" w:themeColor="text1"/>
                <w:sz w:val="24"/>
                <w:highlight w:val="none"/>
                <w14:textFill>
                  <w14:solidFill>
                    <w14:schemeClr w14:val="tx1"/>
                  </w14:solidFill>
                </w14:textFill>
              </w:rPr>
              <w:t>。</w:t>
            </w:r>
          </w:p>
          <w:p w14:paraId="19B21D9E">
            <w:pPr>
              <w:spacing w:line="400" w:lineRule="exact"/>
              <w:rPr>
                <w:rFonts w:ascii="宋体" w:hAnsi="宋体" w:cs="宋体"/>
                <w:sz w:val="24"/>
                <w:highlight w:val="none"/>
              </w:rPr>
            </w:pPr>
            <w:r>
              <w:rPr>
                <w:rFonts w:hint="eastAsia" w:ascii="宋体" w:hAnsi="宋体" w:cs="宋体"/>
                <w:kern w:val="0"/>
                <w:sz w:val="24"/>
                <w:highlight w:val="none"/>
              </w:rPr>
              <w:sym w:font="Wingdings" w:char="00A8"/>
            </w:r>
            <w:r>
              <w:rPr>
                <w:rFonts w:hint="eastAsia" w:ascii="宋体" w:hAnsi="宋体" w:cs="宋体"/>
                <w:kern w:val="0"/>
                <w:sz w:val="24"/>
                <w:highlight w:val="none"/>
              </w:rPr>
              <w:t>B</w:t>
            </w:r>
            <w:r>
              <w:rPr>
                <w:rFonts w:hint="eastAsia" w:ascii="宋体" w:hAnsi="宋体" w:cs="宋体"/>
                <w:sz w:val="24"/>
                <w:highlight w:val="none"/>
              </w:rPr>
              <w:t>服务类。</w:t>
            </w:r>
          </w:p>
        </w:tc>
      </w:tr>
      <w:tr w14:paraId="288D1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0" w:hRule="atLeast"/>
          <w:tblHeader/>
        </w:trPr>
        <w:tc>
          <w:tcPr>
            <w:tcW w:w="629" w:type="dxa"/>
            <w:tcBorders>
              <w:top w:val="single" w:color="auto" w:sz="4" w:space="0"/>
              <w:left w:val="single" w:color="000000" w:sz="8" w:space="0"/>
              <w:bottom w:val="single" w:color="auto" w:sz="4" w:space="0"/>
              <w:right w:val="single" w:color="000000" w:sz="2" w:space="0"/>
            </w:tcBorders>
          </w:tcPr>
          <w:p w14:paraId="4963A0D6">
            <w:pPr>
              <w:snapToGrid w:val="0"/>
              <w:spacing w:line="360" w:lineRule="auto"/>
              <w:jc w:val="center"/>
              <w:rPr>
                <w:rFonts w:ascii="宋体" w:hAnsi="宋体" w:cs="宋体"/>
                <w:sz w:val="24"/>
                <w:highlight w:val="none"/>
              </w:rPr>
            </w:pPr>
          </w:p>
          <w:p w14:paraId="723A77FD">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9FBAE3A">
            <w:pPr>
              <w:snapToGrid w:val="0"/>
              <w:spacing w:line="360" w:lineRule="exact"/>
              <w:jc w:val="center"/>
              <w:rPr>
                <w:rFonts w:ascii="宋体" w:hAnsi="宋体" w:cs="宋体"/>
                <w:b/>
                <w:sz w:val="24"/>
                <w:highlight w:val="none"/>
              </w:rPr>
            </w:pPr>
            <w:r>
              <w:rPr>
                <w:rFonts w:hint="eastAsia" w:ascii="宋体" w:hAnsi="宋体" w:cs="宋体"/>
                <w:b/>
                <w:sz w:val="24"/>
                <w:highlight w:val="none"/>
              </w:rPr>
              <w:t>采购标的对应的中小企业划分标准所属行业</w:t>
            </w:r>
          </w:p>
        </w:tc>
        <w:tc>
          <w:tcPr>
            <w:tcW w:w="6515" w:type="dxa"/>
            <w:tcBorders>
              <w:top w:val="single" w:color="000000" w:sz="8" w:space="0"/>
              <w:left w:val="single" w:color="000000" w:sz="2" w:space="0"/>
              <w:bottom w:val="single" w:color="000000" w:sz="8" w:space="0"/>
              <w:right w:val="single" w:color="000000" w:sz="8" w:space="0"/>
            </w:tcBorders>
            <w:vAlign w:val="center"/>
          </w:tcPr>
          <w:p w14:paraId="3ECE68EB">
            <w:pPr>
              <w:snapToGrid w:val="0"/>
              <w:spacing w:line="400" w:lineRule="exact"/>
              <w:rPr>
                <w:rFonts w:ascii="宋体" w:hAnsi="宋体" w:cs="宋体"/>
                <w:sz w:val="24"/>
                <w:highlight w:val="none"/>
              </w:rPr>
            </w:pPr>
            <w:r>
              <w:rPr>
                <w:rFonts w:hint="eastAsia" w:ascii="宋体" w:hAnsi="宋体" w:cs="宋体"/>
                <w:kern w:val="0"/>
                <w:sz w:val="24"/>
                <w:highlight w:val="none"/>
              </w:rPr>
              <w:t>（1）</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bCs/>
                <w:color w:val="000000" w:themeColor="text1"/>
                <w:sz w:val="24"/>
                <w:highlight w:val="none"/>
                <w:u w:val="single"/>
                <w:lang w:eastAsia="zh-CN"/>
                <w14:textFill>
                  <w14:solidFill>
                    <w14:schemeClr w14:val="tx1"/>
                  </w14:solidFill>
                </w14:textFill>
              </w:rPr>
              <w:t>江山市人民医院医共体巡回诊疗车采购项目</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lang w:eastAsia="zh-CN"/>
                <w14:textFill>
                  <w14:solidFill>
                    <w14:schemeClr w14:val="tx1"/>
                  </w14:solidFill>
                </w14:textFill>
              </w:rPr>
              <w:t>工业</w:t>
            </w:r>
            <w:r>
              <w:rPr>
                <w:rFonts w:hint="eastAsia" w:ascii="宋体" w:hAnsi="宋体" w:cs="宋体"/>
                <w:color w:val="000000" w:themeColor="text1"/>
                <w:kern w:val="0"/>
                <w:sz w:val="24"/>
                <w:highlight w:val="none"/>
                <w14:textFill>
                  <w14:solidFill>
                    <w14:schemeClr w14:val="tx1"/>
                  </w14:solidFill>
                </w14:textFill>
              </w:rPr>
              <w:t>行业；</w:t>
            </w:r>
          </w:p>
        </w:tc>
      </w:tr>
      <w:tr w14:paraId="6340B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4456A42">
            <w:pPr>
              <w:snapToGrid w:val="0"/>
              <w:spacing w:line="360" w:lineRule="auto"/>
              <w:jc w:val="center"/>
              <w:rPr>
                <w:rFonts w:ascii="宋体" w:hAnsi="宋体" w:cs="宋体"/>
                <w:sz w:val="24"/>
                <w:highlight w:val="none"/>
              </w:rPr>
            </w:pPr>
          </w:p>
          <w:p w14:paraId="0B7558BD">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6B2027A">
            <w:pPr>
              <w:snapToGrid w:val="0"/>
              <w:spacing w:line="360" w:lineRule="exact"/>
              <w:jc w:val="center"/>
              <w:rPr>
                <w:rFonts w:ascii="宋体" w:hAnsi="宋体" w:cs="宋体"/>
                <w:b/>
                <w:sz w:val="24"/>
                <w:highlight w:val="none"/>
              </w:rPr>
            </w:pPr>
            <w:r>
              <w:rPr>
                <w:rFonts w:hint="eastAsia" w:ascii="宋体" w:hAnsi="宋体" w:cs="宋体"/>
                <w:b/>
                <w:sz w:val="24"/>
                <w:highlight w:val="none"/>
              </w:rPr>
              <w:t>节能产品、环境标志产品</w:t>
            </w:r>
          </w:p>
        </w:tc>
        <w:tc>
          <w:tcPr>
            <w:tcW w:w="6515" w:type="dxa"/>
            <w:tcBorders>
              <w:top w:val="single" w:color="000000" w:sz="8" w:space="0"/>
              <w:left w:val="single" w:color="000000" w:sz="2" w:space="0"/>
              <w:bottom w:val="single" w:color="000000" w:sz="8" w:space="0"/>
              <w:right w:val="single" w:color="000000" w:sz="8" w:space="0"/>
            </w:tcBorders>
            <w:vAlign w:val="center"/>
          </w:tcPr>
          <w:p w14:paraId="73C58815">
            <w:pPr>
              <w:snapToGrid w:val="0"/>
              <w:spacing w:line="400" w:lineRule="exact"/>
              <w:rPr>
                <w:rFonts w:ascii="宋体" w:hAnsi="宋体" w:cs="宋体"/>
                <w:sz w:val="24"/>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87D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7" w:hRule="atLeast"/>
          <w:tblHeader/>
        </w:trPr>
        <w:tc>
          <w:tcPr>
            <w:tcW w:w="629" w:type="dxa"/>
            <w:tcBorders>
              <w:top w:val="single" w:color="auto" w:sz="4" w:space="0"/>
              <w:left w:val="single" w:color="000000" w:sz="8" w:space="0"/>
              <w:right w:val="single" w:color="000000" w:sz="2" w:space="0"/>
            </w:tcBorders>
          </w:tcPr>
          <w:p w14:paraId="5506C789">
            <w:pPr>
              <w:snapToGrid w:val="0"/>
              <w:spacing w:line="360" w:lineRule="auto"/>
              <w:jc w:val="center"/>
              <w:rPr>
                <w:rFonts w:ascii="宋体" w:hAnsi="宋体" w:cs="宋体"/>
                <w:sz w:val="24"/>
                <w:highlight w:val="none"/>
              </w:rPr>
            </w:pPr>
          </w:p>
          <w:p w14:paraId="27A0E0D5">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4FE2F47F">
            <w:pPr>
              <w:snapToGrid w:val="0"/>
              <w:spacing w:line="360" w:lineRule="exact"/>
              <w:jc w:val="center"/>
              <w:rPr>
                <w:rFonts w:ascii="宋体" w:hAnsi="宋体" w:cs="宋体"/>
                <w:b/>
                <w:sz w:val="24"/>
                <w:highlight w:val="none"/>
              </w:rPr>
            </w:pPr>
            <w:r>
              <w:rPr>
                <w:rFonts w:hint="eastAsia" w:ascii="宋体" w:hAnsi="宋体" w:cs="宋体"/>
                <w:b/>
                <w:sz w:val="24"/>
                <w:highlight w:val="none"/>
              </w:rPr>
              <w:t>中小企业信用融资</w:t>
            </w:r>
          </w:p>
        </w:tc>
        <w:tc>
          <w:tcPr>
            <w:tcW w:w="6515" w:type="dxa"/>
            <w:tcBorders>
              <w:top w:val="single" w:color="000000" w:sz="8" w:space="0"/>
              <w:left w:val="single" w:color="000000" w:sz="2" w:space="0"/>
              <w:right w:val="single" w:color="000000" w:sz="8" w:space="0"/>
            </w:tcBorders>
            <w:vAlign w:val="center"/>
          </w:tcPr>
          <w:p w14:paraId="4097A212">
            <w:pPr>
              <w:spacing w:line="400" w:lineRule="exact"/>
              <w:rPr>
                <w:rFonts w:ascii="宋体" w:hAnsi="宋体" w:cs="宋体"/>
                <w:snapToGrid w:val="0"/>
                <w:kern w:val="28"/>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-【融资服务】，可在热门申请中选择产品直接申请，或者在可申请项目中根据该项目进行申请。</w:t>
            </w:r>
          </w:p>
        </w:tc>
      </w:tr>
      <w:tr w14:paraId="066BC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EA909E4">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D6BDB1A">
            <w:pPr>
              <w:snapToGrid w:val="0"/>
              <w:spacing w:line="360" w:lineRule="exact"/>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515" w:type="dxa"/>
            <w:tcBorders>
              <w:top w:val="single" w:color="000000" w:sz="8" w:space="0"/>
              <w:left w:val="single" w:color="000000" w:sz="2" w:space="0"/>
              <w:bottom w:val="single" w:color="000000" w:sz="8" w:space="0"/>
              <w:right w:val="single" w:color="000000" w:sz="8" w:space="0"/>
            </w:tcBorders>
            <w:vAlign w:val="center"/>
          </w:tcPr>
          <w:p w14:paraId="12A66F9C">
            <w:pPr>
              <w:spacing w:line="400" w:lineRule="exact"/>
              <w:rPr>
                <w:rFonts w:ascii="宋体" w:hAnsi="宋体" w:cs="宋体"/>
                <w:snapToGrid w:val="0"/>
                <w:kern w:val="28"/>
                <w:sz w:val="24"/>
                <w:highlight w:val="none"/>
              </w:rPr>
            </w:pPr>
            <w:r>
              <w:rPr>
                <w:rFonts w:hint="eastAsia" w:ascii="宋体" w:hAnsi="宋体" w:cs="宋体"/>
                <w:kern w:val="0"/>
                <w:sz w:val="24"/>
                <w:highlight w:val="none"/>
              </w:rPr>
              <w:t>为确保采购项目顺利实施，避免因政采云上电子投标文件解密失败导致投标方投标无效，投标方</w:t>
            </w:r>
            <w:r>
              <w:rPr>
                <w:rFonts w:hint="eastAsia" w:ascii="宋体" w:hAnsi="宋体" w:cs="宋体"/>
                <w:color w:val="auto"/>
                <w:kern w:val="0"/>
                <w:sz w:val="24"/>
                <w:highlight w:val="none"/>
              </w:rPr>
              <w:t>可在</w:t>
            </w:r>
            <w:r>
              <w:rPr>
                <w:rFonts w:hint="eastAsia" w:ascii="宋体" w:hAnsi="宋体" w:cs="宋体"/>
                <w:color w:val="auto"/>
                <w:kern w:val="0"/>
                <w:sz w:val="24"/>
                <w:highlight w:val="none"/>
                <w:u w:val="single"/>
              </w:rPr>
              <w:t>开标时间</w:t>
            </w:r>
            <w:r>
              <w:rPr>
                <w:rFonts w:hint="eastAsia" w:ascii="宋体" w:hAnsi="宋体" w:cs="宋体"/>
                <w:kern w:val="0"/>
                <w:sz w:val="24"/>
                <w:highlight w:val="none"/>
              </w:rPr>
              <w:t>前将在政采云平台上最后生成的具备电子签章的备份加密投标文件（文件名后缀为备份文件四字的首字母）以电子邮件方式传送至邮箱（</w:t>
            </w:r>
            <w:r>
              <w:rPr>
                <w:rFonts w:hint="eastAsia" w:ascii="宋体" w:hAnsi="宋体" w:cs="宋体"/>
                <w:kern w:val="0"/>
                <w:sz w:val="24"/>
                <w:highlight w:val="none"/>
                <w:lang w:eastAsia="zh-CN"/>
              </w:rPr>
              <w:t>93885232</w:t>
            </w:r>
            <w:r>
              <w:rPr>
                <w:rFonts w:hint="eastAsia" w:ascii="宋体" w:hAnsi="宋体" w:cs="宋体"/>
                <w:kern w:val="0"/>
                <w:sz w:val="24"/>
                <w:highlight w:val="none"/>
              </w:rPr>
              <w:t>@qq.com），传送的备份电子投标文件需打包压缩并加密，加密密码由投标方自行保管，如政采云上电子投标文件出现解密失败情况，投标方可按照自身意愿确认是否同意提供加密密码解密传送至邮箱（</w:t>
            </w:r>
            <w:r>
              <w:rPr>
                <w:rFonts w:hint="eastAsia" w:ascii="宋体" w:hAnsi="宋体" w:cs="宋体"/>
                <w:kern w:val="0"/>
                <w:sz w:val="24"/>
                <w:highlight w:val="none"/>
                <w:lang w:eastAsia="zh-CN"/>
              </w:rPr>
              <w:t>93885232</w:t>
            </w:r>
            <w:r>
              <w:rPr>
                <w:rFonts w:hint="eastAsia" w:ascii="宋体" w:hAnsi="宋体" w:cs="宋体"/>
                <w:kern w:val="0"/>
                <w:sz w:val="24"/>
                <w:highlight w:val="none"/>
              </w:rPr>
              <w:t>@qq.com）的备份文件，并以备份文件作为替代电子投标文件，如投标方未按照规定时间及要求提供有效备份文件，同时政采云上投标文件解密失败的，将导致投标无效。</w:t>
            </w:r>
          </w:p>
        </w:tc>
      </w:tr>
      <w:tr w14:paraId="36760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1850601">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03667BE">
            <w:pPr>
              <w:snapToGrid w:val="0"/>
              <w:spacing w:line="360" w:lineRule="exact"/>
              <w:jc w:val="center"/>
              <w:rPr>
                <w:rFonts w:ascii="宋体" w:hAnsi="宋体" w:cs="宋体"/>
                <w:b/>
                <w:sz w:val="24"/>
                <w:highlight w:val="none"/>
              </w:rPr>
            </w:pPr>
            <w:r>
              <w:rPr>
                <w:rFonts w:hint="eastAsia" w:ascii="宋体" w:hAnsi="宋体" w:cs="宋体"/>
                <w:b/>
                <w:sz w:val="24"/>
                <w:highlight w:val="none"/>
              </w:rPr>
              <w:t>特别说明</w:t>
            </w:r>
          </w:p>
        </w:tc>
        <w:tc>
          <w:tcPr>
            <w:tcW w:w="6515" w:type="dxa"/>
            <w:tcBorders>
              <w:top w:val="single" w:color="000000" w:sz="8" w:space="0"/>
              <w:left w:val="single" w:color="000000" w:sz="2" w:space="0"/>
              <w:bottom w:val="single" w:color="000000" w:sz="8" w:space="0"/>
              <w:right w:val="single" w:color="000000" w:sz="8" w:space="0"/>
            </w:tcBorders>
            <w:vAlign w:val="center"/>
          </w:tcPr>
          <w:p w14:paraId="11ABFDD1">
            <w:pPr>
              <w:spacing w:line="400" w:lineRule="exact"/>
              <w:rPr>
                <w:rFonts w:ascii="宋体" w:hAnsi="宋体" w:cs="宋体"/>
                <w:kern w:val="28"/>
                <w:sz w:val="24"/>
                <w:highlight w:val="none"/>
                <w:u w:val="single"/>
                <w:lang w:val="zh-CN"/>
              </w:rPr>
            </w:pPr>
            <w:r>
              <w:rPr>
                <w:rFonts w:hint="eastAsia" w:ascii="宋体" w:hAnsi="宋体" w:cs="宋体"/>
                <w:kern w:val="0"/>
                <w:sz w:val="24"/>
                <w:highlight w:val="none"/>
              </w:rPr>
              <w:sym w:font="Wingdings" w:char="00FE"/>
            </w:r>
            <w:r>
              <w:rPr>
                <w:rFonts w:hint="eastAsia" w:ascii="宋体" w:hAnsi="宋体" w:cs="宋体"/>
                <w:kern w:val="0"/>
                <w:sz w:val="24"/>
                <w:highlight w:val="none"/>
              </w:rPr>
              <w:t>有。具体说明：</w:t>
            </w:r>
            <w:r>
              <w:rPr>
                <w:rFonts w:hint="eastAsia" w:ascii="宋体" w:hAnsi="宋体" w:cs="宋体"/>
                <w:kern w:val="28"/>
                <w:sz w:val="24"/>
                <w:highlight w:val="none"/>
                <w:u w:val="single"/>
                <w:lang w:val="zh-CN"/>
              </w:rPr>
              <w:t>中标单位须提供纸质响应文件各二套给代理公司备案。</w:t>
            </w:r>
          </w:p>
          <w:p w14:paraId="28F8E82B">
            <w:pPr>
              <w:spacing w:line="400" w:lineRule="exact"/>
              <w:rPr>
                <w:rFonts w:ascii="宋体" w:hAnsi="宋体" w:cs="宋体"/>
                <w:snapToGrid w:val="0"/>
                <w:kern w:val="28"/>
                <w:sz w:val="24"/>
                <w:highlight w:val="none"/>
              </w:rPr>
            </w:pPr>
            <w:bookmarkStart w:id="10" w:name="_Toc373"/>
            <w:bookmarkStart w:id="11" w:name="_Toc23317"/>
            <w:r>
              <w:rPr>
                <w:rFonts w:hint="eastAsia" w:ascii="宋体" w:hAnsi="宋体" w:cs="宋体"/>
                <w:kern w:val="0"/>
                <w:sz w:val="24"/>
                <w:highlight w:val="none"/>
              </w:rPr>
              <w:t>☐无。</w:t>
            </w:r>
            <w:bookmarkEnd w:id="10"/>
            <w:bookmarkEnd w:id="11"/>
          </w:p>
        </w:tc>
      </w:tr>
      <w:tr w14:paraId="2E3AB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42F080A">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C2D7705">
            <w:pPr>
              <w:snapToGrid w:val="0"/>
              <w:spacing w:line="360" w:lineRule="exact"/>
              <w:jc w:val="center"/>
              <w:rPr>
                <w:rFonts w:ascii="宋体" w:hAnsi="宋体" w:cs="宋体"/>
                <w:b/>
                <w:sz w:val="24"/>
                <w:highlight w:val="none"/>
              </w:rPr>
            </w:pPr>
            <w:r>
              <w:rPr>
                <w:rFonts w:hint="eastAsia" w:ascii="宋体" w:hAnsi="宋体" w:cs="宋体"/>
                <w:b/>
                <w:sz w:val="24"/>
                <w:highlight w:val="none"/>
              </w:rPr>
              <w:t>项目代理费</w:t>
            </w:r>
          </w:p>
        </w:tc>
        <w:tc>
          <w:tcPr>
            <w:tcW w:w="6515" w:type="dxa"/>
            <w:tcBorders>
              <w:top w:val="single" w:color="000000" w:sz="8" w:space="0"/>
              <w:left w:val="single" w:color="000000" w:sz="2" w:space="0"/>
              <w:bottom w:val="single" w:color="000000" w:sz="8" w:space="0"/>
              <w:right w:val="single" w:color="000000" w:sz="8" w:space="0"/>
            </w:tcBorders>
            <w:vAlign w:val="center"/>
          </w:tcPr>
          <w:p w14:paraId="290B91D4">
            <w:pPr>
              <w:pStyle w:val="3"/>
              <w:keepNext w:val="0"/>
              <w:keepLines w:val="0"/>
              <w:tabs>
                <w:tab w:val="clear" w:pos="432"/>
              </w:tabs>
              <w:spacing w:line="400" w:lineRule="exact"/>
              <w:ind w:left="12" w:hanging="12"/>
              <w:rPr>
                <w:rFonts w:ascii="宋体" w:hAnsi="宋体" w:eastAsia="宋体" w:cs="宋体"/>
                <w:kern w:val="0"/>
                <w:sz w:val="24"/>
                <w:szCs w:val="24"/>
                <w:highlight w:val="none"/>
              </w:rPr>
            </w:pPr>
            <w:r>
              <w:rPr>
                <w:rFonts w:hint="eastAsia" w:ascii="宋体" w:hAnsi="宋体" w:eastAsia="宋体" w:cs="宋体"/>
                <w:b w:val="0"/>
                <w:bCs w:val="0"/>
                <w:kern w:val="0"/>
                <w:sz w:val="24"/>
                <w:szCs w:val="24"/>
                <w:highlight w:val="none"/>
                <w:lang w:val="en-US"/>
              </w:rPr>
              <w:t>采购代理服务费均由中标</w:t>
            </w:r>
            <w:r>
              <w:rPr>
                <w:rFonts w:hint="eastAsia" w:ascii="宋体" w:hAnsi="宋体" w:eastAsia="宋体" w:cs="宋体"/>
                <w:b w:val="0"/>
                <w:bCs w:val="0"/>
                <w:color w:val="auto"/>
                <w:kern w:val="0"/>
                <w:sz w:val="24"/>
                <w:szCs w:val="24"/>
                <w:highlight w:val="none"/>
                <w:lang w:val="en-US"/>
              </w:rPr>
              <w:t>供应商承担，</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代理费按</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叁仟零玖拾元整（￥3090元）</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w:t>
            </w:r>
            <w:r>
              <w:rPr>
                <w:rFonts w:hint="eastAsia" w:ascii="宋体" w:hAnsi="宋体" w:eastAsia="宋体" w:cs="宋体"/>
                <w:b w:val="0"/>
                <w:bCs w:val="0"/>
                <w:kern w:val="0"/>
                <w:sz w:val="24"/>
                <w:szCs w:val="24"/>
                <w:highlight w:val="none"/>
                <w:lang w:val="en-US"/>
              </w:rPr>
              <w:t>中标供应商在签订合同前支付采购代理费。名称:欧邦工程管理集团有限公司江山分公司，收款账户：建行鹿溪路分理处33001686136059667753。</w:t>
            </w:r>
          </w:p>
        </w:tc>
      </w:tr>
      <w:bookmarkEnd w:id="9"/>
    </w:tbl>
    <w:p w14:paraId="0DD101D6">
      <w:pPr>
        <w:rPr>
          <w:rFonts w:ascii="宋体" w:hAnsi="宋体" w:cs="宋体"/>
          <w:b/>
          <w:sz w:val="32"/>
          <w:szCs w:val="20"/>
          <w:highlight w:val="none"/>
        </w:rPr>
      </w:pPr>
      <w:bookmarkStart w:id="12" w:name="_Toc164416483"/>
      <w:bookmarkStart w:id="13" w:name="第三部分"/>
    </w:p>
    <w:p w14:paraId="7A443CA9">
      <w:pPr>
        <w:adjustRightInd/>
        <w:spacing w:line="360" w:lineRule="exact"/>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14:paraId="239414CB">
      <w:pPr>
        <w:snapToGrid w:val="0"/>
        <w:spacing w:line="360" w:lineRule="exact"/>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75EBC8F8">
      <w:pPr>
        <w:snapToGrid w:val="0"/>
        <w:spacing w:line="360" w:lineRule="exact"/>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6613640F">
      <w:pPr>
        <w:adjustRightInd/>
        <w:spacing w:line="360" w:lineRule="exact"/>
        <w:outlineLvl w:val="0"/>
        <w:rPr>
          <w:rFonts w:ascii="宋体" w:hAnsi="宋体" w:cs="宋体"/>
          <w:b/>
          <w:sz w:val="24"/>
          <w:highlight w:val="none"/>
        </w:rPr>
      </w:pPr>
      <w:r>
        <w:rPr>
          <w:rFonts w:hint="eastAsia" w:ascii="宋体" w:hAnsi="宋体" w:cs="宋体"/>
          <w:b/>
          <w:sz w:val="24"/>
          <w:highlight w:val="none"/>
        </w:rPr>
        <w:t xml:space="preserve">   2.定义</w:t>
      </w:r>
    </w:p>
    <w:p w14:paraId="008FCC12">
      <w:pPr>
        <w:spacing w:line="360" w:lineRule="exact"/>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2A6330E6">
      <w:pPr>
        <w:spacing w:line="360" w:lineRule="exact"/>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14:paraId="28F9AEA4">
      <w:pPr>
        <w:spacing w:line="360" w:lineRule="exact"/>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64B3DBA7">
      <w:pPr>
        <w:spacing w:line="360" w:lineRule="exact"/>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77773B29">
      <w:pPr>
        <w:spacing w:line="360" w:lineRule="exact"/>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9A48F9">
      <w:pPr>
        <w:spacing w:line="360" w:lineRule="exact"/>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14:paraId="5E7886B9">
      <w:pPr>
        <w:spacing w:line="360" w:lineRule="exact"/>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hint="eastAsia" w:ascii="宋体" w:hAnsi="宋体" w:cs="宋体"/>
          <w:kern w:val="0"/>
          <w:sz w:val="24"/>
          <w:highlight w:val="none"/>
        </w:rPr>
        <w:sym w:font="Wingdings" w:char="00FE"/>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6CDF155E">
      <w:pPr>
        <w:spacing w:line="360" w:lineRule="exact"/>
        <w:ind w:firstLine="241" w:firstLineChars="100"/>
        <w:rPr>
          <w:rFonts w:ascii="宋体" w:hAnsi="宋体" w:cs="宋体"/>
          <w:b/>
          <w:sz w:val="24"/>
          <w:highlight w:val="none"/>
        </w:rPr>
      </w:pPr>
      <w:r>
        <w:rPr>
          <w:rFonts w:hint="eastAsia" w:ascii="宋体" w:hAnsi="宋体" w:cs="宋体"/>
          <w:b/>
          <w:sz w:val="24"/>
          <w:highlight w:val="none"/>
        </w:rPr>
        <w:t>3.采购项目需要落实的政府采购政策</w:t>
      </w:r>
    </w:p>
    <w:p w14:paraId="7BAB4FC4">
      <w:pPr>
        <w:spacing w:line="360" w:lineRule="exact"/>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AACA3F9">
      <w:pPr>
        <w:spacing w:line="360" w:lineRule="exact"/>
        <w:ind w:firstLine="240" w:firstLineChars="100"/>
        <w:rPr>
          <w:rFonts w:ascii="宋体" w:hAnsi="宋体" w:cs="宋体"/>
          <w:sz w:val="24"/>
          <w:highlight w:val="none"/>
        </w:rPr>
      </w:pPr>
      <w:r>
        <w:rPr>
          <w:rFonts w:hint="eastAsia" w:ascii="宋体" w:hAnsi="宋体" w:cs="宋体"/>
          <w:sz w:val="24"/>
          <w:highlight w:val="none"/>
        </w:rPr>
        <w:t>3.2 支持绿色发展</w:t>
      </w:r>
    </w:p>
    <w:p w14:paraId="0C0FB5A9">
      <w:pPr>
        <w:spacing w:line="360" w:lineRule="exact"/>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045A4EE0">
      <w:pPr>
        <w:spacing w:line="360" w:lineRule="exact"/>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1126F721">
      <w:pPr>
        <w:spacing w:line="360" w:lineRule="exact"/>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5539F47">
      <w:pPr>
        <w:spacing w:line="360" w:lineRule="exact"/>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27B8E965">
      <w:pPr>
        <w:spacing w:line="360" w:lineRule="exact"/>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8F13F05">
      <w:pPr>
        <w:spacing w:line="360" w:lineRule="exact"/>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5215FB79">
      <w:pPr>
        <w:widowControl/>
        <w:spacing w:line="360" w:lineRule="exact"/>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w:t>
      </w:r>
    </w:p>
    <w:p w14:paraId="0D4D1C0A">
      <w:pPr>
        <w:widowControl/>
        <w:spacing w:line="3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3.3.2.1在货物采购项目中，货物由中小企业制造，即货物由中小企业生产且使用该中小企业商号或者注册商标；</w:t>
      </w:r>
    </w:p>
    <w:p w14:paraId="6893142E">
      <w:pPr>
        <w:widowControl/>
        <w:spacing w:line="3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3.3.2.2在工程采购项目中，工程由中小企业承建，即工程施工单位为中小企业；</w:t>
      </w:r>
    </w:p>
    <w:p w14:paraId="1403BC11">
      <w:pPr>
        <w:widowControl/>
        <w:spacing w:line="3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3.3.2.3在服务采购项目中，服务由中小企业承接，即提供服务的人员为中小企业依照《中华人民共和国劳动合同法》订立劳动合同的从业人员。</w:t>
      </w:r>
    </w:p>
    <w:p w14:paraId="3986B1B9">
      <w:pPr>
        <w:widowControl/>
        <w:spacing w:line="3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在货物采购项目中，投标人提供的货物既有中小企业制造货物，也有大型企业制造货物的，不享受中小企业扶持政策。</w:t>
      </w:r>
    </w:p>
    <w:p w14:paraId="0F4A7B6C">
      <w:pPr>
        <w:widowControl/>
        <w:spacing w:line="3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38D56245">
      <w:pPr>
        <w:spacing w:line="360" w:lineRule="exact"/>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856143D">
      <w:pPr>
        <w:spacing w:line="360" w:lineRule="exact"/>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50D71B80">
      <w:pPr>
        <w:spacing w:line="360" w:lineRule="exact"/>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CC16E8">
      <w:pPr>
        <w:spacing w:line="360" w:lineRule="exact"/>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E8077C4">
      <w:pPr>
        <w:spacing w:line="360" w:lineRule="exact"/>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483AFB0A">
      <w:pPr>
        <w:spacing w:line="360" w:lineRule="exact"/>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2B6D5008">
      <w:pPr>
        <w:spacing w:line="360" w:lineRule="exact"/>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1D660577">
      <w:pPr>
        <w:spacing w:line="360" w:lineRule="exact"/>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195FF173">
      <w:pPr>
        <w:spacing w:line="360" w:lineRule="exact"/>
        <w:rPr>
          <w:rFonts w:ascii="宋体" w:hAnsi="宋体" w:cs="宋体"/>
          <w:b/>
          <w:sz w:val="24"/>
          <w:highlight w:val="none"/>
        </w:rPr>
      </w:pPr>
      <w:r>
        <w:rPr>
          <w:rFonts w:hint="eastAsia" w:ascii="宋体" w:hAnsi="宋体" w:cs="宋体"/>
          <w:b/>
          <w:sz w:val="24"/>
          <w:highlight w:val="none"/>
        </w:rPr>
        <w:t>4. 询问、质疑、投诉</w:t>
      </w:r>
    </w:p>
    <w:p w14:paraId="0F7C0CA7">
      <w:pPr>
        <w:autoSpaceDE w:val="0"/>
        <w:autoSpaceDN w:val="0"/>
        <w:spacing w:line="360" w:lineRule="exact"/>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4.1供应商询问</w:t>
      </w:r>
    </w:p>
    <w:p w14:paraId="4710BA95">
      <w:pPr>
        <w:autoSpaceDE w:val="0"/>
        <w:autoSpaceDN w:val="0"/>
        <w:spacing w:line="360" w:lineRule="exact"/>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D611E6">
      <w:pPr>
        <w:autoSpaceDE w:val="0"/>
        <w:autoSpaceDN w:val="0"/>
        <w:spacing w:line="360" w:lineRule="exact"/>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4.2供应商质疑</w:t>
      </w:r>
    </w:p>
    <w:p w14:paraId="68BF47BA">
      <w:pPr>
        <w:pStyle w:val="32"/>
        <w:spacing w:line="360" w:lineRule="exact"/>
        <w:ind w:firstLine="480" w:firstLineChars="200"/>
        <w:rPr>
          <w:rFonts w:hAnsi="宋体" w:cs="宋体"/>
          <w:sz w:val="24"/>
          <w:highlight w:val="none"/>
        </w:rPr>
      </w:pPr>
      <w:r>
        <w:rPr>
          <w:rFonts w:hint="eastAsia" w:hAnsi="宋体" w:cs="宋体"/>
          <w:kern w:val="0"/>
          <w:sz w:val="24"/>
          <w:highlight w:val="none"/>
          <w:lang w:val="zh-CN"/>
        </w:rPr>
        <w:t>4.2</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4B42FC53">
      <w:pPr>
        <w:pStyle w:val="32"/>
        <w:spacing w:line="360" w:lineRule="exact"/>
        <w:ind w:firstLine="480" w:firstLineChars="200"/>
        <w:rPr>
          <w:rFonts w:hAnsi="宋体" w:cs="宋体"/>
          <w:sz w:val="24"/>
          <w:highlight w:val="none"/>
        </w:rPr>
      </w:pPr>
      <w:r>
        <w:rPr>
          <w:rFonts w:hint="eastAsia" w:hAnsi="宋体" w:cs="宋体"/>
          <w:kern w:val="0"/>
          <w:sz w:val="24"/>
          <w:highlight w:val="none"/>
          <w:lang w:val="zh-CN"/>
        </w:rPr>
        <w:t>4.2</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C795FA0">
      <w:pPr>
        <w:pStyle w:val="15"/>
        <w:spacing w:line="360" w:lineRule="exact"/>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4.2.2.1对招标文件提出质疑的，质疑期限为供应商获得招标文件之日或者招标文件公告期限届满之日起计算。</w:t>
      </w:r>
    </w:p>
    <w:p w14:paraId="5BE89AC4">
      <w:pPr>
        <w:pStyle w:val="32"/>
        <w:spacing w:line="360" w:lineRule="exact"/>
        <w:ind w:firstLine="480" w:firstLineChars="200"/>
        <w:rPr>
          <w:rFonts w:hAnsi="宋体" w:cs="宋体"/>
          <w:sz w:val="24"/>
          <w:highlight w:val="none"/>
        </w:rPr>
      </w:pPr>
      <w:r>
        <w:rPr>
          <w:rFonts w:hint="eastAsia" w:hAnsi="宋体" w:cs="宋体"/>
          <w:sz w:val="24"/>
          <w:highlight w:val="none"/>
        </w:rPr>
        <w:t>4.2.2.2对采购过程提出质疑的，质疑期限为各采购程序环节结束之日起计算。对同一采购程序环节的质疑，供应商须一次性提出。</w:t>
      </w:r>
    </w:p>
    <w:p w14:paraId="58FA9EF7">
      <w:pPr>
        <w:pStyle w:val="32"/>
        <w:spacing w:line="360" w:lineRule="exact"/>
        <w:ind w:firstLine="480" w:firstLineChars="200"/>
        <w:rPr>
          <w:rFonts w:hAnsi="宋体" w:cs="宋体"/>
          <w:sz w:val="24"/>
          <w:highlight w:val="none"/>
        </w:rPr>
      </w:pPr>
      <w:r>
        <w:rPr>
          <w:rFonts w:hint="eastAsia" w:hAnsi="宋体" w:cs="宋体"/>
          <w:sz w:val="24"/>
          <w:highlight w:val="none"/>
        </w:rPr>
        <w:t>4.2.2.3对采购结果提出质疑的，质疑期限自采购结果公告期限届满之日起计算。</w:t>
      </w:r>
    </w:p>
    <w:p w14:paraId="3A0B32FE">
      <w:pPr>
        <w:pStyle w:val="32"/>
        <w:spacing w:line="360" w:lineRule="exact"/>
        <w:ind w:firstLine="456" w:firstLineChars="200"/>
        <w:rPr>
          <w:rFonts w:hAnsi="宋体" w:cs="宋体"/>
          <w:spacing w:val="-6"/>
          <w:kern w:val="0"/>
          <w:sz w:val="24"/>
          <w:highlight w:val="none"/>
          <w:lang w:val="zh-CN"/>
        </w:rPr>
      </w:pPr>
      <w:r>
        <w:rPr>
          <w:rFonts w:hint="eastAsia" w:hAnsi="宋体" w:cs="宋体"/>
          <w:spacing w:val="-6"/>
          <w:kern w:val="0"/>
          <w:sz w:val="24"/>
          <w:highlight w:val="none"/>
          <w:lang w:val="zh-CN"/>
        </w:rPr>
        <w:t>4.2.3</w:t>
      </w:r>
      <w:r>
        <w:rPr>
          <w:rFonts w:hint="eastAsia" w:hAnsi="宋体" w:cs="宋体"/>
          <w:spacing w:val="-6"/>
          <w:sz w:val="24"/>
          <w:highlight w:val="none"/>
        </w:rPr>
        <w:t>供应商提出质疑应当提交质疑函和必要的证明材料。质疑函应当包括下列内容：</w:t>
      </w:r>
    </w:p>
    <w:p w14:paraId="38A7CF39">
      <w:pPr>
        <w:pStyle w:val="32"/>
        <w:spacing w:line="360" w:lineRule="exact"/>
        <w:ind w:firstLine="480" w:firstLineChars="200"/>
        <w:rPr>
          <w:rFonts w:hAnsi="宋体" w:cs="宋体"/>
          <w:kern w:val="0"/>
          <w:sz w:val="24"/>
          <w:highlight w:val="none"/>
          <w:lang w:val="zh-CN"/>
        </w:rPr>
      </w:pPr>
      <w:r>
        <w:rPr>
          <w:rFonts w:hint="eastAsia" w:hAnsi="宋体" w:cs="宋体"/>
          <w:kern w:val="0"/>
          <w:sz w:val="24"/>
          <w:highlight w:val="none"/>
          <w:lang w:val="zh-CN"/>
        </w:rPr>
        <w:t>　　4.2.3.1供应商的姓名或者名称、地址、邮编、联系人及联系电话；</w:t>
      </w:r>
    </w:p>
    <w:p w14:paraId="0279A480">
      <w:pPr>
        <w:pStyle w:val="32"/>
        <w:spacing w:line="360" w:lineRule="exact"/>
        <w:ind w:firstLine="480" w:firstLineChars="200"/>
        <w:rPr>
          <w:rFonts w:hAnsi="宋体" w:cs="宋体"/>
          <w:kern w:val="0"/>
          <w:sz w:val="24"/>
          <w:highlight w:val="none"/>
          <w:lang w:val="zh-CN"/>
        </w:rPr>
      </w:pPr>
      <w:r>
        <w:rPr>
          <w:rFonts w:hint="eastAsia" w:hAnsi="宋体" w:cs="宋体"/>
          <w:kern w:val="0"/>
          <w:sz w:val="24"/>
          <w:highlight w:val="none"/>
          <w:lang w:val="zh-CN"/>
        </w:rPr>
        <w:t>　　4.2.3.2质疑项目的名称、编号；</w:t>
      </w:r>
    </w:p>
    <w:p w14:paraId="53566E6A">
      <w:pPr>
        <w:pStyle w:val="32"/>
        <w:spacing w:line="360" w:lineRule="exact"/>
        <w:ind w:firstLine="480" w:firstLineChars="200"/>
        <w:rPr>
          <w:rFonts w:hAnsi="宋体" w:cs="宋体"/>
          <w:kern w:val="0"/>
          <w:sz w:val="24"/>
          <w:highlight w:val="none"/>
          <w:lang w:val="zh-CN"/>
        </w:rPr>
      </w:pPr>
      <w:r>
        <w:rPr>
          <w:rFonts w:hint="eastAsia" w:hAnsi="宋体" w:cs="宋体"/>
          <w:kern w:val="0"/>
          <w:sz w:val="24"/>
          <w:highlight w:val="none"/>
          <w:lang w:val="zh-CN"/>
        </w:rPr>
        <w:t>　　4.2.3.3具体、明确的质疑事项和与质疑事项相关的请求；</w:t>
      </w:r>
    </w:p>
    <w:p w14:paraId="189E4750">
      <w:pPr>
        <w:pStyle w:val="32"/>
        <w:spacing w:line="360" w:lineRule="exact"/>
        <w:ind w:firstLine="480" w:firstLineChars="200"/>
        <w:rPr>
          <w:rFonts w:hAnsi="宋体" w:cs="宋体"/>
          <w:kern w:val="0"/>
          <w:sz w:val="24"/>
          <w:highlight w:val="none"/>
          <w:lang w:val="zh-CN"/>
        </w:rPr>
      </w:pPr>
      <w:r>
        <w:rPr>
          <w:rFonts w:hint="eastAsia" w:hAnsi="宋体" w:cs="宋体"/>
          <w:kern w:val="0"/>
          <w:sz w:val="24"/>
          <w:highlight w:val="none"/>
          <w:lang w:val="zh-CN"/>
        </w:rPr>
        <w:t>　　4.2.3.4事实依据；</w:t>
      </w:r>
    </w:p>
    <w:p w14:paraId="3DFE26E7">
      <w:pPr>
        <w:pStyle w:val="32"/>
        <w:spacing w:line="360" w:lineRule="exact"/>
        <w:ind w:firstLine="480" w:firstLineChars="200"/>
        <w:rPr>
          <w:rFonts w:hAnsi="宋体" w:cs="宋体"/>
          <w:kern w:val="0"/>
          <w:sz w:val="24"/>
          <w:highlight w:val="none"/>
          <w:lang w:val="zh-CN"/>
        </w:rPr>
      </w:pPr>
      <w:r>
        <w:rPr>
          <w:rFonts w:hint="eastAsia" w:hAnsi="宋体" w:cs="宋体"/>
          <w:kern w:val="0"/>
          <w:sz w:val="24"/>
          <w:highlight w:val="none"/>
          <w:lang w:val="zh-CN"/>
        </w:rPr>
        <w:t>　　4.2.3.5必要的法律依据；</w:t>
      </w:r>
    </w:p>
    <w:p w14:paraId="5BC0E3B5">
      <w:pPr>
        <w:pStyle w:val="32"/>
        <w:spacing w:line="360" w:lineRule="exact"/>
        <w:ind w:firstLine="960" w:firstLineChars="400"/>
        <w:rPr>
          <w:rFonts w:hAnsi="宋体" w:cs="宋体"/>
          <w:kern w:val="0"/>
          <w:sz w:val="24"/>
          <w:highlight w:val="none"/>
          <w:lang w:val="zh-CN"/>
        </w:rPr>
      </w:pPr>
      <w:r>
        <w:rPr>
          <w:rFonts w:hint="eastAsia" w:hAnsi="宋体" w:cs="宋体"/>
          <w:kern w:val="0"/>
          <w:sz w:val="24"/>
          <w:highlight w:val="none"/>
          <w:lang w:val="zh-CN"/>
        </w:rPr>
        <w:t>4.2.3.6提出质疑的日期。</w:t>
      </w:r>
    </w:p>
    <w:p w14:paraId="43507FBA">
      <w:pPr>
        <w:pStyle w:val="890"/>
        <w:shd w:val="clear" w:color="auto" w:fill="FFFFFF"/>
        <w:snapToGrid w:val="0"/>
        <w:spacing w:before="0" w:beforeAutospacing="0" w:after="0" w:afterAutospacing="0" w:line="360" w:lineRule="exact"/>
        <w:ind w:firstLine="400"/>
        <w:contextualSpacing/>
        <w:rPr>
          <w:rFonts w:hint="eastAsia" w:ascii="宋体" w:hAnsi="宋体" w:eastAsia="宋体" w:cs="宋体"/>
          <w:snapToGrid w:val="0"/>
          <w:kern w:val="0"/>
          <w:sz w:val="24"/>
          <w:szCs w:val="21"/>
          <w:highlight w:val="none"/>
          <w:lang w:val="zh-CN" w:eastAsia="zh-CN" w:bidi="ar-SA"/>
        </w:rPr>
      </w:pPr>
      <w:r>
        <w:rPr>
          <w:rFonts w:hint="eastAsia" w:ascii="宋体" w:hAnsi="宋体" w:eastAsia="宋体" w:cs="宋体"/>
          <w:snapToGrid w:val="0"/>
          <w:kern w:val="0"/>
          <w:sz w:val="24"/>
          <w:szCs w:val="21"/>
          <w:highlight w:val="none"/>
          <w:lang w:val="zh-CN" w:eastAsia="zh-CN" w:bidi="ar-SA"/>
        </w:rPr>
        <w:t>供应商提交的质疑函需一式三份。供应商为自然人的，应当由本人签字；供应商为法人或者其他组织的，应当由法定代表人、主要负责人，或者其授权代表签字（授权代表提供投标前三个月的在本公司的社保证明）或者盖章，并加盖公章。</w:t>
      </w:r>
    </w:p>
    <w:p w14:paraId="4DBF1D33">
      <w:pPr>
        <w:pStyle w:val="890"/>
        <w:shd w:val="clear" w:color="auto" w:fill="FFFFFF"/>
        <w:snapToGrid w:val="0"/>
        <w:spacing w:before="0" w:beforeAutospacing="0" w:after="0" w:afterAutospacing="0" w:line="360" w:lineRule="exact"/>
        <w:ind w:firstLine="400"/>
        <w:contextualSpacing/>
        <w:rPr>
          <w:rFonts w:hint="eastAsia" w:ascii="宋体" w:hAnsi="宋体" w:eastAsia="宋体" w:cs="宋体"/>
          <w:snapToGrid w:val="0"/>
          <w:kern w:val="0"/>
          <w:sz w:val="24"/>
          <w:szCs w:val="21"/>
          <w:highlight w:val="none"/>
          <w:lang w:val="zh-CN" w:eastAsia="zh-CN" w:bidi="ar-SA"/>
        </w:rPr>
      </w:pPr>
      <w:r>
        <w:rPr>
          <w:rFonts w:hint="eastAsia" w:ascii="宋体" w:hAnsi="宋体" w:eastAsia="宋体" w:cs="宋体"/>
          <w:snapToGrid w:val="0"/>
          <w:kern w:val="0"/>
          <w:sz w:val="24"/>
          <w:szCs w:val="21"/>
          <w:highlight w:val="none"/>
          <w:lang w:val="zh-CN" w:eastAsia="zh-CN" w:bidi="ar-SA"/>
        </w:rPr>
        <w:t>质疑函范本及制作说明详见附件2。</w:t>
      </w:r>
    </w:p>
    <w:p w14:paraId="5D76D309">
      <w:pPr>
        <w:pStyle w:val="890"/>
        <w:shd w:val="clear" w:color="auto" w:fill="FFFFFF"/>
        <w:snapToGrid w:val="0"/>
        <w:spacing w:before="0" w:beforeAutospacing="0" w:after="0" w:afterAutospacing="0" w:line="360" w:lineRule="exact"/>
        <w:ind w:firstLine="400"/>
        <w:contextualSpacing/>
        <w:rPr>
          <w:rFonts w:hint="eastAsia" w:ascii="宋体" w:hAnsi="宋体" w:eastAsia="宋体" w:cs="宋体"/>
          <w:snapToGrid w:val="0"/>
          <w:kern w:val="0"/>
          <w:sz w:val="24"/>
          <w:szCs w:val="21"/>
          <w:highlight w:val="none"/>
          <w:lang w:val="zh-CN" w:eastAsia="zh-CN" w:bidi="ar-SA"/>
        </w:rPr>
      </w:pPr>
      <w:r>
        <w:rPr>
          <w:rFonts w:hint="eastAsia" w:ascii="宋体" w:hAnsi="宋体" w:eastAsia="宋体" w:cs="宋体"/>
          <w:snapToGrid w:val="0"/>
          <w:kern w:val="0"/>
          <w:sz w:val="24"/>
          <w:szCs w:val="21"/>
          <w:highlight w:val="none"/>
          <w:lang w:val="zh-CN" w:eastAsia="zh-CN" w:bidi="ar-SA"/>
        </w:rPr>
        <w:t>4.2.4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016E6F2C">
      <w:pPr>
        <w:pStyle w:val="890"/>
        <w:shd w:val="clear" w:color="auto" w:fill="FFFFFF"/>
        <w:snapToGrid w:val="0"/>
        <w:spacing w:before="0" w:beforeAutospacing="0" w:after="0" w:afterAutospacing="0" w:line="360" w:lineRule="exact"/>
        <w:ind w:firstLine="400"/>
        <w:contextualSpacing/>
        <w:rPr>
          <w:rFonts w:hint="eastAsia" w:ascii="宋体" w:hAnsi="宋体" w:eastAsia="宋体" w:cs="宋体"/>
          <w:snapToGrid w:val="0"/>
          <w:kern w:val="0"/>
          <w:sz w:val="24"/>
          <w:szCs w:val="21"/>
          <w:highlight w:val="none"/>
          <w:lang w:val="zh-CN" w:eastAsia="zh-CN" w:bidi="ar-SA"/>
        </w:rPr>
      </w:pPr>
      <w:r>
        <w:rPr>
          <w:rFonts w:hint="eastAsia" w:ascii="宋体" w:hAnsi="宋体" w:eastAsia="宋体" w:cs="宋体"/>
          <w:snapToGrid w:val="0"/>
          <w:kern w:val="0"/>
          <w:sz w:val="24"/>
          <w:szCs w:val="21"/>
          <w:highlight w:val="none"/>
          <w:lang w:val="zh-CN" w:eastAsia="zh-CN" w:bidi="ar-SA"/>
        </w:rPr>
        <w:t>4.2.5询问或者质疑事项可能影响采购结果的，采购人应当暂停签订合同，已经签订合同的，应当中止履行合同。</w:t>
      </w:r>
    </w:p>
    <w:p w14:paraId="79C11F07">
      <w:pPr>
        <w:pStyle w:val="890"/>
        <w:shd w:val="clear" w:color="auto" w:fill="FFFFFF"/>
        <w:snapToGrid w:val="0"/>
        <w:spacing w:before="0" w:beforeAutospacing="0" w:after="0" w:afterAutospacing="0" w:line="360" w:lineRule="exact"/>
        <w:ind w:firstLine="480" w:firstLineChars="200"/>
        <w:contextualSpacing/>
        <w:rPr>
          <w:rFonts w:hint="eastAsia" w:ascii="宋体" w:hAnsi="宋体" w:eastAsia="宋体" w:cs="宋体"/>
          <w:snapToGrid w:val="0"/>
          <w:kern w:val="0"/>
          <w:sz w:val="24"/>
          <w:szCs w:val="21"/>
          <w:highlight w:val="none"/>
          <w:lang w:val="zh-CN" w:eastAsia="zh-CN" w:bidi="ar-SA"/>
        </w:rPr>
      </w:pPr>
      <w:r>
        <w:rPr>
          <w:rFonts w:hint="eastAsia" w:ascii="宋体" w:hAnsi="宋体" w:eastAsia="宋体" w:cs="宋体"/>
          <w:snapToGrid w:val="0"/>
          <w:kern w:val="0"/>
          <w:sz w:val="24"/>
          <w:szCs w:val="21"/>
          <w:highlight w:val="none"/>
          <w:lang w:val="zh-CN" w:eastAsia="zh-CN" w:bidi="ar-SA"/>
        </w:rPr>
        <w:t>4.3供应商投诉</w:t>
      </w:r>
    </w:p>
    <w:p w14:paraId="56F213CF">
      <w:pPr>
        <w:pStyle w:val="890"/>
        <w:shd w:val="clear" w:color="auto" w:fill="FFFFFF"/>
        <w:snapToGrid w:val="0"/>
        <w:spacing w:before="0" w:beforeAutospacing="0" w:after="0" w:afterAutospacing="0" w:line="360" w:lineRule="exact"/>
        <w:ind w:firstLine="400"/>
        <w:contextualSpacing/>
        <w:rPr>
          <w:rFonts w:hint="eastAsia" w:ascii="宋体" w:hAnsi="宋体" w:eastAsia="宋体" w:cs="宋体"/>
          <w:snapToGrid w:val="0"/>
          <w:kern w:val="0"/>
          <w:sz w:val="24"/>
          <w:szCs w:val="21"/>
          <w:highlight w:val="none"/>
          <w:lang w:val="zh-CN" w:eastAsia="zh-CN" w:bidi="ar-SA"/>
        </w:rPr>
      </w:pPr>
      <w:r>
        <w:rPr>
          <w:rFonts w:hint="eastAsia" w:ascii="宋体" w:hAnsi="宋体" w:eastAsia="宋体" w:cs="宋体"/>
          <w:snapToGrid w:val="0"/>
          <w:kern w:val="0"/>
          <w:sz w:val="24"/>
          <w:szCs w:val="21"/>
          <w:highlight w:val="none"/>
          <w:lang w:val="zh-CN" w:eastAsia="zh-CN" w:bidi="ar-SA"/>
        </w:rPr>
        <w:t>4.3.1质疑供应商对采购人、采购机构的答复不满意或者采购人、采购机构未在规定的时间内作出答复的，可以在答复期满后十五个工作日内向同级政府采购监督管理部门提出投诉。</w:t>
      </w:r>
    </w:p>
    <w:p w14:paraId="4ECB04EB">
      <w:pPr>
        <w:pStyle w:val="890"/>
        <w:shd w:val="clear" w:color="auto" w:fill="FFFFFF"/>
        <w:snapToGrid w:val="0"/>
        <w:spacing w:before="0" w:beforeAutospacing="0" w:after="0" w:afterAutospacing="0" w:line="360" w:lineRule="exact"/>
        <w:ind w:firstLine="400"/>
        <w:contextualSpacing/>
        <w:rPr>
          <w:rFonts w:hint="eastAsia" w:ascii="宋体" w:hAnsi="宋体" w:eastAsia="宋体" w:cs="宋体"/>
          <w:snapToGrid w:val="0"/>
          <w:kern w:val="0"/>
          <w:sz w:val="24"/>
          <w:szCs w:val="21"/>
          <w:highlight w:val="none"/>
          <w:lang w:val="zh-CN" w:eastAsia="zh-CN" w:bidi="ar-SA"/>
        </w:rPr>
      </w:pPr>
      <w:r>
        <w:rPr>
          <w:rFonts w:hint="eastAsia" w:ascii="宋体" w:hAnsi="宋体" w:eastAsia="宋体" w:cs="宋体"/>
          <w:snapToGrid w:val="0"/>
          <w:kern w:val="0"/>
          <w:sz w:val="24"/>
          <w:szCs w:val="21"/>
          <w:highlight w:val="none"/>
          <w:lang w:val="zh-CN" w:eastAsia="zh-CN" w:bidi="ar-SA"/>
        </w:rPr>
        <w:t>4.3.2供应商投诉的事项不得超出已质疑事项的范围，基于质疑答复内容提出的投诉事项除外。</w:t>
      </w:r>
    </w:p>
    <w:p w14:paraId="1B0E063F">
      <w:pPr>
        <w:pStyle w:val="890"/>
        <w:shd w:val="clear" w:color="auto" w:fill="FFFFFF"/>
        <w:snapToGrid w:val="0"/>
        <w:spacing w:before="0" w:beforeAutospacing="0" w:after="0" w:afterAutospacing="0" w:line="360" w:lineRule="exact"/>
        <w:ind w:firstLine="400"/>
        <w:contextualSpacing/>
        <w:rPr>
          <w:highlight w:val="none"/>
        </w:rPr>
      </w:pPr>
      <w:r>
        <w:rPr>
          <w:rFonts w:hint="eastAsia"/>
          <w:highlight w:val="none"/>
        </w:rPr>
        <w:t>4.3.3供应商投诉应当有明确的请求和必要的证明材料。</w:t>
      </w:r>
    </w:p>
    <w:p w14:paraId="47E60614">
      <w:pPr>
        <w:pStyle w:val="890"/>
        <w:shd w:val="clear" w:color="auto" w:fill="FFFFFF"/>
        <w:snapToGrid w:val="0"/>
        <w:spacing w:before="0" w:beforeAutospacing="0" w:after="0" w:afterAutospacing="0" w:line="360" w:lineRule="exact"/>
        <w:ind w:firstLine="400"/>
        <w:contextualSpacing/>
        <w:rPr>
          <w:highlight w:val="none"/>
        </w:rPr>
      </w:pPr>
      <w:r>
        <w:rPr>
          <w:rFonts w:hint="eastAsia"/>
          <w:highlight w:val="none"/>
        </w:rPr>
        <w:t>4.3.5 以联合体形式参加政府采购活动的，其投诉应当由组成联合体的所有供应商共同提出。</w:t>
      </w:r>
    </w:p>
    <w:p w14:paraId="7F00E81F">
      <w:pPr>
        <w:pStyle w:val="890"/>
        <w:shd w:val="clear" w:color="auto" w:fill="FFFFFF"/>
        <w:snapToGrid w:val="0"/>
        <w:spacing w:before="0" w:beforeAutospacing="0" w:after="0" w:afterAutospacing="0" w:line="360" w:lineRule="exact"/>
        <w:ind w:firstLine="400"/>
        <w:contextualSpacing/>
        <w:rPr>
          <w:sz w:val="18"/>
          <w:szCs w:val="18"/>
          <w:highlight w:val="none"/>
        </w:rPr>
      </w:pPr>
      <w:r>
        <w:rPr>
          <w:rFonts w:hint="eastAsia"/>
          <w:highlight w:val="none"/>
        </w:rPr>
        <w:t>投诉书范本及制作说明详见附件3。</w:t>
      </w:r>
    </w:p>
    <w:p w14:paraId="7BDF5DFE">
      <w:pPr>
        <w:adjustRightInd/>
        <w:spacing w:line="360" w:lineRule="exact"/>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5C99C98F">
      <w:pPr>
        <w:pStyle w:val="32"/>
        <w:spacing w:line="360" w:lineRule="exact"/>
        <w:rPr>
          <w:rFonts w:hAnsi="宋体" w:cs="宋体"/>
          <w:b/>
          <w:sz w:val="24"/>
          <w:szCs w:val="24"/>
          <w:highlight w:val="none"/>
        </w:rPr>
      </w:pPr>
      <w:r>
        <w:rPr>
          <w:rFonts w:hint="eastAsia" w:hAnsi="宋体" w:cs="宋体"/>
          <w:b/>
          <w:sz w:val="24"/>
          <w:szCs w:val="24"/>
          <w:highlight w:val="none"/>
        </w:rPr>
        <w:t>5．招标文件的构成</w:t>
      </w:r>
    </w:p>
    <w:p w14:paraId="49BD7920">
      <w:pPr>
        <w:pStyle w:val="32"/>
        <w:spacing w:line="360" w:lineRule="exact"/>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2F662895">
      <w:pPr>
        <w:pStyle w:val="32"/>
        <w:tabs>
          <w:tab w:val="left" w:pos="840"/>
        </w:tabs>
        <w:spacing w:line="360" w:lineRule="exact"/>
        <w:ind w:firstLine="960" w:firstLineChars="400"/>
        <w:rPr>
          <w:rFonts w:hAnsi="宋体" w:cs="宋体"/>
          <w:sz w:val="24"/>
          <w:szCs w:val="24"/>
          <w:highlight w:val="none"/>
        </w:rPr>
      </w:pPr>
      <w:r>
        <w:rPr>
          <w:rFonts w:hint="eastAsia" w:hAnsi="宋体" w:cs="宋体"/>
          <w:sz w:val="24"/>
          <w:szCs w:val="24"/>
          <w:highlight w:val="none"/>
        </w:rPr>
        <w:t>5.1.1招标公告；</w:t>
      </w:r>
    </w:p>
    <w:p w14:paraId="6998DA07">
      <w:pPr>
        <w:pStyle w:val="32"/>
        <w:tabs>
          <w:tab w:val="left" w:pos="840"/>
        </w:tabs>
        <w:spacing w:line="360" w:lineRule="exact"/>
        <w:ind w:firstLine="960" w:firstLineChars="400"/>
        <w:rPr>
          <w:rFonts w:hAnsi="宋体" w:cs="宋体"/>
          <w:sz w:val="24"/>
          <w:szCs w:val="24"/>
          <w:highlight w:val="none"/>
        </w:rPr>
      </w:pPr>
      <w:r>
        <w:rPr>
          <w:rFonts w:hint="eastAsia" w:hAnsi="宋体" w:cs="宋体"/>
          <w:sz w:val="24"/>
          <w:szCs w:val="24"/>
          <w:highlight w:val="none"/>
        </w:rPr>
        <w:t>5.1.2投标人须知；</w:t>
      </w:r>
    </w:p>
    <w:p w14:paraId="077E116B">
      <w:pPr>
        <w:pStyle w:val="32"/>
        <w:tabs>
          <w:tab w:val="left" w:pos="840"/>
        </w:tabs>
        <w:spacing w:line="360" w:lineRule="exact"/>
        <w:ind w:firstLine="960" w:firstLineChars="400"/>
        <w:rPr>
          <w:rFonts w:hAnsi="宋体" w:cs="宋体"/>
          <w:sz w:val="24"/>
          <w:szCs w:val="24"/>
          <w:highlight w:val="none"/>
        </w:rPr>
      </w:pPr>
      <w:r>
        <w:rPr>
          <w:rFonts w:hint="eastAsia" w:hAnsi="宋体" w:cs="宋体"/>
          <w:sz w:val="24"/>
          <w:szCs w:val="24"/>
          <w:highlight w:val="none"/>
        </w:rPr>
        <w:t>5.1.3采购需求；</w:t>
      </w:r>
    </w:p>
    <w:p w14:paraId="470105BA">
      <w:pPr>
        <w:pStyle w:val="32"/>
        <w:tabs>
          <w:tab w:val="left" w:pos="840"/>
        </w:tabs>
        <w:spacing w:line="360" w:lineRule="exact"/>
        <w:ind w:firstLine="960" w:firstLineChars="400"/>
        <w:rPr>
          <w:rFonts w:hAnsi="宋体" w:cs="宋体"/>
          <w:sz w:val="24"/>
          <w:szCs w:val="24"/>
          <w:highlight w:val="none"/>
        </w:rPr>
      </w:pPr>
      <w:r>
        <w:rPr>
          <w:rFonts w:hint="eastAsia" w:hAnsi="宋体" w:cs="宋体"/>
          <w:sz w:val="24"/>
          <w:szCs w:val="24"/>
          <w:highlight w:val="none"/>
        </w:rPr>
        <w:t>5.1.4评标办法；</w:t>
      </w:r>
    </w:p>
    <w:p w14:paraId="6A175F81">
      <w:pPr>
        <w:pStyle w:val="32"/>
        <w:tabs>
          <w:tab w:val="left" w:pos="840"/>
        </w:tabs>
        <w:spacing w:line="360" w:lineRule="exact"/>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43E8E3D9">
      <w:pPr>
        <w:pStyle w:val="32"/>
        <w:tabs>
          <w:tab w:val="left" w:pos="840"/>
        </w:tabs>
        <w:spacing w:line="360" w:lineRule="exact"/>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668A9B79">
      <w:pPr>
        <w:spacing w:line="360" w:lineRule="exact"/>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4E59716A">
      <w:pPr>
        <w:pStyle w:val="32"/>
        <w:spacing w:line="360" w:lineRule="exact"/>
        <w:rPr>
          <w:rFonts w:hAnsi="宋体" w:cs="宋体"/>
          <w:b/>
          <w:sz w:val="24"/>
          <w:szCs w:val="24"/>
          <w:highlight w:val="none"/>
        </w:rPr>
      </w:pPr>
      <w:r>
        <w:rPr>
          <w:rFonts w:hint="eastAsia" w:hAnsi="宋体" w:cs="宋体"/>
          <w:b/>
          <w:sz w:val="24"/>
          <w:szCs w:val="24"/>
          <w:highlight w:val="none"/>
        </w:rPr>
        <w:t>6. 招标文件的澄清、修改</w:t>
      </w:r>
    </w:p>
    <w:p w14:paraId="62F9ED27">
      <w:pPr>
        <w:pStyle w:val="134"/>
        <w:snapToGrid w:val="0"/>
        <w:spacing w:before="0" w:line="360" w:lineRule="exact"/>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4DC40AC4">
      <w:pPr>
        <w:pStyle w:val="134"/>
        <w:snapToGrid w:val="0"/>
        <w:spacing w:before="0" w:line="360" w:lineRule="exact"/>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B3400A">
      <w:pPr>
        <w:pStyle w:val="24"/>
        <w:spacing w:line="360" w:lineRule="exact"/>
        <w:rPr>
          <w:rFonts w:hAnsi="宋体" w:cs="宋体"/>
          <w:sz w:val="18"/>
          <w:szCs w:val="18"/>
          <w:highlight w:val="none"/>
          <w:lang w:val="en-US"/>
        </w:rPr>
      </w:pPr>
    </w:p>
    <w:p w14:paraId="20AE9211">
      <w:pPr>
        <w:adjustRightInd/>
        <w:spacing w:line="360" w:lineRule="exact"/>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1011BC2F">
      <w:pPr>
        <w:pStyle w:val="32"/>
        <w:spacing w:line="360" w:lineRule="exact"/>
        <w:rPr>
          <w:rFonts w:hAnsi="宋体" w:cs="宋体"/>
          <w:b/>
          <w:sz w:val="24"/>
          <w:szCs w:val="24"/>
          <w:highlight w:val="none"/>
        </w:rPr>
      </w:pPr>
      <w:r>
        <w:rPr>
          <w:rFonts w:hint="eastAsia" w:hAnsi="宋体" w:cs="宋体"/>
          <w:b/>
          <w:sz w:val="24"/>
          <w:szCs w:val="24"/>
          <w:highlight w:val="none"/>
        </w:rPr>
        <w:t>7. 招标文件的获取</w:t>
      </w:r>
    </w:p>
    <w:p w14:paraId="1519BDA8">
      <w:pPr>
        <w:spacing w:line="360" w:lineRule="exact"/>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0EF7DD9E">
      <w:pPr>
        <w:pStyle w:val="32"/>
        <w:spacing w:line="360" w:lineRule="exact"/>
        <w:rPr>
          <w:rFonts w:hAnsi="宋体" w:cs="宋体"/>
          <w:b/>
          <w:sz w:val="24"/>
          <w:szCs w:val="24"/>
          <w:highlight w:val="none"/>
        </w:rPr>
      </w:pPr>
      <w:r>
        <w:rPr>
          <w:rFonts w:hint="eastAsia" w:hAnsi="宋体" w:cs="宋体"/>
          <w:b/>
          <w:sz w:val="24"/>
          <w:szCs w:val="24"/>
          <w:highlight w:val="none"/>
        </w:rPr>
        <w:t>8.开标前答疑会或现场考察</w:t>
      </w:r>
    </w:p>
    <w:p w14:paraId="17A3494B">
      <w:pPr>
        <w:pStyle w:val="32"/>
        <w:spacing w:line="360" w:lineRule="exact"/>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1D95AD19">
      <w:pPr>
        <w:pStyle w:val="32"/>
        <w:spacing w:line="360" w:lineRule="exact"/>
        <w:rPr>
          <w:rFonts w:hAnsi="宋体" w:cs="宋体"/>
          <w:b/>
          <w:szCs w:val="24"/>
          <w:highlight w:val="none"/>
        </w:rPr>
      </w:pPr>
      <w:r>
        <w:rPr>
          <w:rFonts w:hint="eastAsia" w:hAnsi="宋体" w:cs="宋体"/>
          <w:b/>
          <w:kern w:val="28"/>
          <w:sz w:val="24"/>
          <w:szCs w:val="24"/>
          <w:highlight w:val="none"/>
        </w:rPr>
        <w:t>9.投标保证金</w:t>
      </w:r>
    </w:p>
    <w:p w14:paraId="6CDEAC95">
      <w:pPr>
        <w:pStyle w:val="15"/>
        <w:spacing w:line="360" w:lineRule="exact"/>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1C77F9B">
      <w:pPr>
        <w:pStyle w:val="32"/>
        <w:spacing w:line="360" w:lineRule="exact"/>
        <w:rPr>
          <w:rFonts w:hAnsi="宋体" w:cs="宋体"/>
          <w:b/>
          <w:sz w:val="24"/>
          <w:szCs w:val="24"/>
          <w:highlight w:val="none"/>
        </w:rPr>
      </w:pPr>
      <w:r>
        <w:rPr>
          <w:rFonts w:hint="eastAsia" w:hAnsi="宋体" w:cs="宋体"/>
          <w:b/>
          <w:sz w:val="24"/>
          <w:szCs w:val="24"/>
          <w:highlight w:val="none"/>
        </w:rPr>
        <w:t>10. 投标文件的语言</w:t>
      </w:r>
    </w:p>
    <w:p w14:paraId="14E736F8">
      <w:pPr>
        <w:autoSpaceDE w:val="0"/>
        <w:autoSpaceDN w:val="0"/>
        <w:spacing w:line="360" w:lineRule="exact"/>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3FB47046">
      <w:pPr>
        <w:pStyle w:val="32"/>
        <w:spacing w:line="360" w:lineRule="exact"/>
        <w:rPr>
          <w:rFonts w:hAnsi="宋体" w:cs="宋体"/>
          <w:b/>
          <w:sz w:val="24"/>
          <w:szCs w:val="24"/>
          <w:highlight w:val="none"/>
        </w:rPr>
      </w:pPr>
      <w:r>
        <w:rPr>
          <w:rFonts w:hint="eastAsia" w:hAnsi="宋体" w:cs="宋体"/>
          <w:b/>
          <w:sz w:val="24"/>
          <w:szCs w:val="24"/>
          <w:highlight w:val="none"/>
        </w:rPr>
        <w:t>11. 投标文件的组成</w:t>
      </w:r>
    </w:p>
    <w:p w14:paraId="5BD7A60B">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5F8A70BA">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11.1.1资格文件封面；</w:t>
      </w:r>
    </w:p>
    <w:p w14:paraId="630C38C7">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11.1.2▲投标函；</w:t>
      </w:r>
    </w:p>
    <w:p w14:paraId="655D890A">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11.1.3▲符合参加政府采购活动应当具备的一般条件的承诺函；</w:t>
      </w:r>
    </w:p>
    <w:p w14:paraId="18F6C254">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11.1.4▲有效的《企业法人营业执照》扫描件；</w:t>
      </w:r>
    </w:p>
    <w:p w14:paraId="63FE6753">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11.1.5▲落实政府采购政策需满足的资格要求</w:t>
      </w:r>
      <w:r>
        <w:rPr>
          <w:rFonts w:hint="eastAsia" w:ascii="宋体" w:hAnsi="宋体" w:cs="宋体"/>
          <w:sz w:val="24"/>
          <w:highlight w:val="none"/>
          <w:lang w:eastAsia="zh-CN"/>
        </w:rPr>
        <w:t>（提供</w:t>
      </w:r>
      <w:r>
        <w:rPr>
          <w:rFonts w:hint="eastAsia" w:ascii="宋体" w:hAnsi="宋体" w:cs="宋体"/>
          <w:sz w:val="24"/>
          <w:highlight w:val="none"/>
        </w:rPr>
        <w:t>中小企业声明函</w:t>
      </w:r>
      <w:r>
        <w:rPr>
          <w:rFonts w:hint="eastAsia" w:ascii="宋体" w:hAnsi="宋体" w:cs="宋体"/>
          <w:sz w:val="24"/>
          <w:highlight w:val="none"/>
          <w:lang w:eastAsia="zh-CN"/>
        </w:rPr>
        <w:t>）（</w:t>
      </w:r>
      <w:r>
        <w:rPr>
          <w:rFonts w:hint="eastAsia" w:ascii="宋体" w:hAnsi="宋体" w:cs="宋体"/>
          <w:sz w:val="24"/>
          <w:highlight w:val="none"/>
        </w:rPr>
        <w:t>中小企业</w:t>
      </w:r>
      <w:r>
        <w:rPr>
          <w:rFonts w:hint="eastAsia" w:ascii="宋体" w:hAnsi="宋体" w:cs="宋体"/>
          <w:sz w:val="24"/>
          <w:highlight w:val="none"/>
          <w:lang w:eastAsia="zh-CN"/>
        </w:rPr>
        <w:t>提供）</w:t>
      </w:r>
      <w:r>
        <w:rPr>
          <w:rFonts w:hint="eastAsia" w:ascii="宋体" w:hAnsi="宋体" w:cs="宋体"/>
          <w:sz w:val="24"/>
          <w:highlight w:val="none"/>
        </w:rPr>
        <w:t>；</w:t>
      </w:r>
    </w:p>
    <w:p w14:paraId="0DC624CC">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11.1.6▲授权委托书或法定代表人（单位负责人、自然人本人）身份证明；被授权人身份证明、被授权人投标前3个月在本单位社保证明；</w:t>
      </w:r>
    </w:p>
    <w:p w14:paraId="0DE97A3B">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11.1.7信用中国等网站信用查询结果；</w:t>
      </w:r>
    </w:p>
    <w:p w14:paraId="08D5D298">
      <w:pPr>
        <w:snapToGrid w:val="0"/>
        <w:spacing w:line="360" w:lineRule="exact"/>
        <w:ind w:firstLine="960" w:firstLineChars="400"/>
        <w:rPr>
          <w:rFonts w:hint="eastAsia" w:ascii="宋体" w:hAnsi="宋体" w:cs="宋体"/>
          <w:sz w:val="24"/>
          <w:highlight w:val="none"/>
          <w:lang w:val="zh-CN"/>
        </w:rPr>
      </w:pPr>
      <w:r>
        <w:rPr>
          <w:rFonts w:hint="eastAsia" w:ascii="宋体" w:hAnsi="宋体" w:cs="宋体"/>
          <w:sz w:val="24"/>
          <w:highlight w:val="none"/>
        </w:rPr>
        <w:t>11.1.8▲</w:t>
      </w:r>
      <w:r>
        <w:rPr>
          <w:rFonts w:hint="eastAsia" w:ascii="宋体" w:hAnsi="宋体" w:cs="宋体"/>
          <w:sz w:val="24"/>
          <w:highlight w:val="none"/>
          <w:lang w:val="zh-CN"/>
        </w:rPr>
        <w:t>政府采购活动现场确认声明书；</w:t>
      </w:r>
    </w:p>
    <w:p w14:paraId="403C2079">
      <w:pPr>
        <w:snapToGrid w:val="0"/>
        <w:spacing w:line="360" w:lineRule="exact"/>
        <w:ind w:firstLine="960" w:firstLineChars="400"/>
        <w:rPr>
          <w:rFonts w:hint="eastAsia" w:ascii="宋体" w:hAnsi="宋体" w:cs="宋体"/>
          <w:sz w:val="24"/>
          <w:highlight w:val="none"/>
          <w:lang w:val="zh-CN"/>
        </w:rPr>
      </w:pPr>
      <w:r>
        <w:rPr>
          <w:rFonts w:hint="eastAsia" w:ascii="宋体" w:hAnsi="宋体" w:cs="宋体"/>
          <w:sz w:val="24"/>
          <w:highlight w:val="none"/>
          <w:lang w:val="en-US" w:eastAsia="zh-CN"/>
        </w:rPr>
        <w:t>11.1.9</w:t>
      </w:r>
      <w:r>
        <w:rPr>
          <w:rFonts w:hint="eastAsia" w:ascii="宋体" w:hAnsi="宋体" w:cs="宋体"/>
          <w:sz w:val="24"/>
          <w:highlight w:val="none"/>
        </w:rPr>
        <w:t>▲</w:t>
      </w:r>
      <w:r>
        <w:rPr>
          <w:rFonts w:hint="eastAsia" w:ascii="宋体" w:hAnsi="宋体" w:cs="宋体"/>
          <w:sz w:val="24"/>
          <w:highlight w:val="none"/>
          <w:lang w:val="zh-CN"/>
        </w:rPr>
        <w:t>政府采购供应商廉洁自律承诺书。</w:t>
      </w:r>
    </w:p>
    <w:p w14:paraId="2EEFFE4F">
      <w:pPr>
        <w:snapToGrid w:val="0"/>
        <w:spacing w:line="360" w:lineRule="exact"/>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2商务技术</w:t>
      </w:r>
      <w:r>
        <w:rPr>
          <w:rFonts w:hint="eastAsia" w:ascii="宋体" w:hAnsi="宋体" w:cs="宋体"/>
          <w:sz w:val="24"/>
          <w:highlight w:val="none"/>
          <w:lang w:val="zh-CN"/>
        </w:rPr>
        <w:t>文件：</w:t>
      </w:r>
    </w:p>
    <w:p w14:paraId="11B6C22A">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11.2.1商务技术</w:t>
      </w:r>
      <w:r>
        <w:rPr>
          <w:rFonts w:hint="eastAsia" w:ascii="宋体" w:hAnsi="宋体" w:cs="宋体"/>
          <w:sz w:val="24"/>
          <w:highlight w:val="none"/>
          <w:lang w:val="zh-CN"/>
        </w:rPr>
        <w:t>文件封面；</w:t>
      </w:r>
    </w:p>
    <w:p w14:paraId="2BF6F297">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11.2.2▲符合性审查资料；</w:t>
      </w:r>
    </w:p>
    <w:p w14:paraId="596C9FC6">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11.2.3评标标准相应的商务技术资料；</w:t>
      </w:r>
    </w:p>
    <w:p w14:paraId="6AC2FB82">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11.2.4商务技术偏离表；</w:t>
      </w:r>
    </w:p>
    <w:p w14:paraId="79282B79">
      <w:pPr>
        <w:snapToGrid w:val="0"/>
        <w:spacing w:line="360" w:lineRule="exact"/>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p>
    <w:p w14:paraId="166A27AD">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40D0B496">
      <w:pPr>
        <w:snapToGrid w:val="0"/>
        <w:spacing w:line="360" w:lineRule="exact"/>
        <w:ind w:firstLine="960" w:firstLineChars="400"/>
        <w:rPr>
          <w:rFonts w:ascii="宋体" w:hAnsi="宋体" w:cs="宋体"/>
          <w:sz w:val="24"/>
          <w:highlight w:val="none"/>
        </w:rPr>
      </w:pPr>
      <w:r>
        <w:rPr>
          <w:rFonts w:hint="eastAsia" w:ascii="宋体" w:hAnsi="宋体" w:cs="宋体"/>
          <w:sz w:val="24"/>
          <w:highlight w:val="none"/>
        </w:rPr>
        <w:t>11.3.2中小企业声明函。</w:t>
      </w:r>
    </w:p>
    <w:p w14:paraId="4C7288D3">
      <w:pPr>
        <w:spacing w:line="360" w:lineRule="exact"/>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7655332B">
      <w:pPr>
        <w:spacing w:line="360" w:lineRule="exact"/>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7AA3071D">
      <w:pPr>
        <w:pStyle w:val="134"/>
        <w:snapToGrid w:val="0"/>
        <w:spacing w:before="0" w:line="360" w:lineRule="exact"/>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68D14635">
      <w:pPr>
        <w:spacing w:line="360" w:lineRule="exact"/>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AB3EBF2">
      <w:pPr>
        <w:spacing w:line="36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259F2AA">
      <w:pPr>
        <w:spacing w:line="36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5CBAB099">
      <w:pPr>
        <w:snapToGrid w:val="0"/>
        <w:spacing w:line="360" w:lineRule="exact"/>
        <w:rPr>
          <w:rFonts w:ascii="宋体" w:hAnsi="宋体" w:cs="宋体"/>
          <w:b/>
          <w:sz w:val="24"/>
          <w:highlight w:val="none"/>
        </w:rPr>
      </w:pPr>
      <w:r>
        <w:rPr>
          <w:rFonts w:hint="eastAsia" w:ascii="宋体" w:hAnsi="宋体" w:cs="宋体"/>
          <w:b/>
          <w:sz w:val="24"/>
          <w:highlight w:val="none"/>
        </w:rPr>
        <w:t>13.投标文件的签署、盖章</w:t>
      </w:r>
    </w:p>
    <w:p w14:paraId="048B99EF">
      <w:pPr>
        <w:pStyle w:val="134"/>
        <w:snapToGrid w:val="0"/>
        <w:spacing w:before="0" w:line="360" w:lineRule="exact"/>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10BCC284">
      <w:pPr>
        <w:pStyle w:val="134"/>
        <w:snapToGrid w:val="0"/>
        <w:spacing w:before="0" w:line="360" w:lineRule="exact"/>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486945AA">
      <w:pPr>
        <w:pStyle w:val="134"/>
        <w:snapToGrid w:val="0"/>
        <w:spacing w:before="0" w:line="360" w:lineRule="exact"/>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3B757A59">
      <w:pPr>
        <w:pStyle w:val="134"/>
        <w:spacing w:before="0" w:line="360" w:lineRule="exact"/>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28BF3EAD">
      <w:pPr>
        <w:pStyle w:val="134"/>
        <w:spacing w:before="0" w:line="360" w:lineRule="exact"/>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42A5D7F">
      <w:pPr>
        <w:pStyle w:val="134"/>
        <w:spacing w:before="0" w:line="360" w:lineRule="exact"/>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B557959">
      <w:pPr>
        <w:pStyle w:val="134"/>
        <w:spacing w:before="0" w:line="360" w:lineRule="exact"/>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69581A5">
      <w:pPr>
        <w:pStyle w:val="32"/>
        <w:spacing w:line="360" w:lineRule="exact"/>
        <w:rPr>
          <w:rFonts w:hAnsi="宋体" w:cs="宋体"/>
          <w:b/>
          <w:sz w:val="24"/>
          <w:szCs w:val="24"/>
          <w:highlight w:val="none"/>
        </w:rPr>
      </w:pPr>
      <w:r>
        <w:rPr>
          <w:rFonts w:hint="eastAsia" w:hAnsi="宋体" w:cs="宋体"/>
          <w:b/>
          <w:sz w:val="24"/>
          <w:szCs w:val="24"/>
          <w:highlight w:val="none"/>
        </w:rPr>
        <w:t>15.备份投标文件</w:t>
      </w:r>
    </w:p>
    <w:p w14:paraId="0B30D7BB">
      <w:pPr>
        <w:pStyle w:val="32"/>
        <w:spacing w:line="360" w:lineRule="exact"/>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15.1投标人在电子交易平台传输递交投标文件后，还可以在投标截止时间前将在政采云平台上最后生成的具备电子签章的备份加密投标文件(文件名后缀为备份文件四字的首字母）以电子邮件方式传送至邮箱（</w:t>
      </w:r>
      <w:r>
        <w:rPr>
          <w:rFonts w:hint="eastAsia" w:hAnsi="宋体" w:cs="宋体"/>
          <w:sz w:val="24"/>
          <w:szCs w:val="24"/>
          <w:highlight w:val="none"/>
          <w:lang w:eastAsia="zh-CN"/>
        </w:rPr>
        <w:t>93885232</w:t>
      </w:r>
      <w:r>
        <w:rPr>
          <w:rFonts w:hint="eastAsia" w:hAnsi="宋体" w:cs="宋体"/>
          <w:sz w:val="24"/>
          <w:szCs w:val="24"/>
          <w:highlight w:val="none"/>
        </w:rPr>
        <w:t>@qq.com)，</w:t>
      </w:r>
      <w:r>
        <w:rPr>
          <w:rFonts w:hint="eastAsia" w:hAnsi="宋体" w:cs="宋体"/>
          <w:b/>
          <w:sz w:val="24"/>
          <w:szCs w:val="24"/>
          <w:highlight w:val="none"/>
        </w:rPr>
        <w:t>但采购人、采购机构不强制或变相强制投标人提交备份投标文件。</w:t>
      </w:r>
    </w:p>
    <w:p w14:paraId="3814497F">
      <w:pPr>
        <w:pStyle w:val="32"/>
        <w:spacing w:line="360" w:lineRule="exact"/>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15.2备份投标文件须在“政采云投标客户端”制作生成，需打包压缩并加密,加密密码由投标方自行保管。</w:t>
      </w:r>
    </w:p>
    <w:p w14:paraId="4E808637">
      <w:pPr>
        <w:pStyle w:val="32"/>
        <w:spacing w:line="360" w:lineRule="exact"/>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375A37F3">
      <w:pPr>
        <w:pStyle w:val="32"/>
        <w:spacing w:line="360" w:lineRule="exact"/>
        <w:ind w:firstLine="480" w:firstLineChars="200"/>
        <w:rPr>
          <w:rFonts w:hAnsi="宋体" w:cs="宋体"/>
          <w:sz w:val="24"/>
          <w:szCs w:val="24"/>
          <w:highlight w:val="none"/>
        </w:rPr>
      </w:pPr>
      <w:r>
        <w:rPr>
          <w:rFonts w:hint="eastAsia" w:hAnsi="宋体" w:cs="宋体"/>
          <w:sz w:val="24"/>
          <w:szCs w:val="24"/>
          <w:highlight w:val="none"/>
        </w:rPr>
        <w:t>15.4如政采云上电子投标文件出现解密失败情况（开标当日规定时间进行解密）,投标方可按照自身意愿确认是否同意提供加密密码解密传送至邮箱（</w:t>
      </w:r>
      <w:r>
        <w:rPr>
          <w:rFonts w:hint="eastAsia" w:hAnsi="宋体" w:cs="宋体"/>
          <w:sz w:val="24"/>
          <w:szCs w:val="24"/>
          <w:highlight w:val="none"/>
          <w:lang w:eastAsia="zh-CN"/>
        </w:rPr>
        <w:t>93885232</w:t>
      </w:r>
      <w:r>
        <w:rPr>
          <w:rFonts w:hint="eastAsia" w:hAnsi="宋体" w:cs="宋体"/>
          <w:sz w:val="24"/>
          <w:szCs w:val="24"/>
          <w:highlight w:val="none"/>
        </w:rPr>
        <w:t>@qq.com)的备份文件,并以备份文件作为替代电子投标文件,如投标方未按照规定时间及要求提供有效备份文件，同时政采云上投标文件解密失败的,将导致投标无效。</w:t>
      </w:r>
    </w:p>
    <w:p w14:paraId="6DB9B0F1">
      <w:pPr>
        <w:pStyle w:val="32"/>
        <w:spacing w:line="360" w:lineRule="exact"/>
        <w:ind w:firstLine="479" w:firstLineChars="199"/>
        <w:rPr>
          <w:rFonts w:hAnsi="宋体" w:cs="宋体"/>
          <w:b/>
          <w:sz w:val="24"/>
          <w:szCs w:val="24"/>
          <w:highlight w:val="none"/>
        </w:rPr>
      </w:pPr>
      <w:r>
        <w:rPr>
          <w:rFonts w:hint="eastAsia" w:hAnsi="宋体" w:cs="宋体"/>
          <w:b/>
          <w:sz w:val="24"/>
          <w:szCs w:val="24"/>
          <w:highlight w:val="none"/>
        </w:rPr>
        <w:t>15.5投标人仅提交备份投标文件，没有在电子交易平台传输递交投标文件的，投标无效。</w:t>
      </w:r>
    </w:p>
    <w:p w14:paraId="253B81D1">
      <w:pPr>
        <w:pStyle w:val="134"/>
        <w:spacing w:before="0" w:line="360" w:lineRule="exact"/>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62D7957F">
      <w:pPr>
        <w:pStyle w:val="16"/>
        <w:spacing w:line="360" w:lineRule="exact"/>
        <w:ind w:firstLine="360" w:firstLineChars="150"/>
        <w:rPr>
          <w:rFonts w:cs="宋体"/>
          <w:szCs w:val="21"/>
          <w:highlight w:val="none"/>
        </w:rPr>
      </w:pPr>
      <w:r>
        <w:rPr>
          <w:rFonts w:hint="eastAsia" w:cs="宋体"/>
          <w:szCs w:val="21"/>
          <w:highlight w:val="none"/>
        </w:rPr>
        <w:t>有招标文件第四部分</w:t>
      </w:r>
      <w:r>
        <w:rPr>
          <w:rFonts w:hint="eastAsia" w:cs="宋体"/>
          <w:highlight w:val="none"/>
        </w:rPr>
        <w:t>第13项规定</w:t>
      </w:r>
      <w:r>
        <w:rPr>
          <w:rFonts w:hint="eastAsia" w:cs="宋体"/>
          <w:szCs w:val="21"/>
          <w:highlight w:val="none"/>
        </w:rPr>
        <w:t>的情形之一的，投标无效：</w:t>
      </w:r>
    </w:p>
    <w:p w14:paraId="57BB6269">
      <w:pPr>
        <w:pStyle w:val="134"/>
        <w:spacing w:before="0" w:line="360" w:lineRule="exact"/>
        <w:ind w:firstLine="0" w:firstLineChars="0"/>
        <w:rPr>
          <w:rFonts w:ascii="宋体" w:hAnsi="宋体" w:cs="宋体"/>
          <w:b/>
          <w:szCs w:val="24"/>
          <w:highlight w:val="none"/>
        </w:rPr>
      </w:pPr>
      <w:r>
        <w:rPr>
          <w:rFonts w:hint="eastAsia" w:ascii="宋体" w:hAnsi="宋体" w:cs="宋体"/>
          <w:b/>
          <w:szCs w:val="24"/>
          <w:highlight w:val="none"/>
        </w:rPr>
        <w:t>17.投标有效期</w:t>
      </w:r>
    </w:p>
    <w:p w14:paraId="2B6F0D8F">
      <w:pPr>
        <w:spacing w:line="360" w:lineRule="exact"/>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29425BEC">
      <w:pPr>
        <w:pStyle w:val="134"/>
        <w:spacing w:before="0" w:line="360" w:lineRule="exact"/>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60326335">
      <w:pPr>
        <w:pStyle w:val="134"/>
        <w:spacing w:before="0" w:line="360" w:lineRule="exact"/>
        <w:ind w:firstLine="480"/>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7944A7E">
      <w:pPr>
        <w:pStyle w:val="134"/>
        <w:spacing w:before="0" w:line="360" w:lineRule="exact"/>
        <w:ind w:firstLine="643"/>
        <w:rPr>
          <w:rFonts w:ascii="宋体" w:hAnsi="宋体" w:cs="宋体"/>
          <w:b/>
          <w:sz w:val="32"/>
          <w:highlight w:val="none"/>
        </w:rPr>
      </w:pPr>
    </w:p>
    <w:p w14:paraId="1F5BE847">
      <w:pPr>
        <w:pStyle w:val="134"/>
        <w:spacing w:before="0" w:line="360" w:lineRule="exact"/>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15822284">
      <w:pPr>
        <w:pStyle w:val="560"/>
        <w:spacing w:before="0" w:line="360" w:lineRule="exact"/>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p>
    <w:p w14:paraId="7CA78354">
      <w:pPr>
        <w:pStyle w:val="560"/>
        <w:spacing w:before="0" w:line="360" w:lineRule="exact"/>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14:paraId="10A18C71">
      <w:pPr>
        <w:pStyle w:val="560"/>
        <w:spacing w:before="0" w:line="360" w:lineRule="exact"/>
        <w:ind w:left="0" w:firstLine="240" w:firstLineChars="100"/>
        <w:contextualSpacing/>
        <w:rPr>
          <w:rFonts w:ascii="宋体" w:hAnsi="宋体" w:cs="宋体"/>
          <w:sz w:val="24"/>
          <w:highlight w:val="none"/>
        </w:rPr>
      </w:pPr>
      <w:r>
        <w:rPr>
          <w:rFonts w:hint="eastAsia" w:ascii="宋体" w:hAnsi="宋体" w:cs="宋体"/>
          <w:sz w:val="24"/>
          <w:highlight w:val="none"/>
        </w:rPr>
        <w:t>　</w:t>
      </w:r>
      <w:r>
        <w:rPr>
          <w:rFonts w:hint="eastAsia" w:ascii="宋体" w:hAnsi="宋体" w:cs="宋体"/>
          <w:spacing w:val="-6"/>
          <w:sz w:val="24"/>
          <w:highlight w:val="none"/>
        </w:rPr>
        <w:t>18.2开标时，电子交易平台按开标时间自动提取所有投标文件。采购机构依托电子交易平台发起开始解密指令，投标人按照平台提示和招标文件的规定在半小时内完成在线解密。</w:t>
      </w:r>
    </w:p>
    <w:p w14:paraId="7C02129D">
      <w:pPr>
        <w:pStyle w:val="560"/>
        <w:spacing w:before="0" w:line="360" w:lineRule="exact"/>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58F62E83">
      <w:pPr>
        <w:widowControl/>
        <w:spacing w:line="360" w:lineRule="exact"/>
        <w:jc w:val="left"/>
        <w:rPr>
          <w:rFonts w:ascii="宋体" w:hAnsi="宋体" w:cs="宋体"/>
          <w:b/>
          <w:sz w:val="24"/>
          <w:szCs w:val="20"/>
          <w:highlight w:val="none"/>
        </w:rPr>
      </w:pPr>
      <w:r>
        <w:rPr>
          <w:rFonts w:hint="eastAsia" w:ascii="宋体" w:hAnsi="宋体" w:cs="宋体"/>
          <w:b/>
          <w:sz w:val="24"/>
          <w:szCs w:val="20"/>
          <w:highlight w:val="none"/>
        </w:rPr>
        <w:t>　19、资格审查</w:t>
      </w:r>
    </w:p>
    <w:p w14:paraId="1748AF74">
      <w:pPr>
        <w:pStyle w:val="134"/>
        <w:spacing w:before="0" w:line="360" w:lineRule="exact"/>
        <w:ind w:firstLine="480"/>
        <w:rPr>
          <w:rFonts w:ascii="宋体" w:hAnsi="宋体" w:cs="宋体"/>
          <w:kern w:val="0"/>
          <w:szCs w:val="24"/>
          <w:highlight w:val="none"/>
        </w:rPr>
      </w:pPr>
      <w:r>
        <w:rPr>
          <w:rFonts w:hint="eastAsia" w:ascii="宋体" w:hAnsi="宋体" w:cs="宋体"/>
          <w:kern w:val="0"/>
          <w:szCs w:val="24"/>
          <w:highlight w:val="none"/>
        </w:rPr>
        <w:t>19.1开标后，采购人或采购机构将依法对投标人的资格进行审查。</w:t>
      </w:r>
    </w:p>
    <w:p w14:paraId="48CD1F36">
      <w:pPr>
        <w:snapToGrid w:val="0"/>
        <w:spacing w:line="360" w:lineRule="exact"/>
        <w:ind w:firstLine="480" w:firstLineChars="200"/>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采购人或采购机构依据法律法规和招标文件的规定，对投标人的基本资格条件、特定资格条件进行审查。</w:t>
      </w:r>
    </w:p>
    <w:p w14:paraId="5AF74C59">
      <w:pPr>
        <w:pStyle w:val="134"/>
        <w:spacing w:before="0" w:line="360" w:lineRule="exact"/>
        <w:ind w:firstLine="480"/>
        <w:rPr>
          <w:rFonts w:ascii="宋体" w:hAnsi="宋体" w:cs="宋体"/>
          <w:highlight w:val="none"/>
        </w:rPr>
      </w:pPr>
      <w:r>
        <w:rPr>
          <w:rFonts w:hint="eastAsia" w:ascii="宋体" w:hAnsi="宋体" w:cs="宋体"/>
          <w:kern w:val="0"/>
          <w:szCs w:val="24"/>
          <w:highlight w:val="none"/>
        </w:rPr>
        <w:t>19.3投标人未按照招标文件要求提供与</w:t>
      </w:r>
      <w:r>
        <w:rPr>
          <w:rFonts w:hint="eastAsia" w:ascii="宋体" w:hAnsi="宋体" w:cs="宋体"/>
          <w:highlight w:val="none"/>
        </w:rPr>
        <w:t>基本资格条件、特定资格条件相应的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6F137F73">
      <w:pPr>
        <w:pStyle w:val="134"/>
        <w:spacing w:before="0" w:line="360" w:lineRule="exact"/>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4对未通过资格审查的投标人，采购人或采购机构告知其未通过的原因。</w:t>
      </w:r>
    </w:p>
    <w:p w14:paraId="44118D04">
      <w:pPr>
        <w:pStyle w:val="134"/>
        <w:spacing w:before="0" w:line="360" w:lineRule="exact"/>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5合格投标人不足3家的，不再评标。</w:t>
      </w:r>
    </w:p>
    <w:p w14:paraId="0205C04C">
      <w:pPr>
        <w:pStyle w:val="134"/>
        <w:spacing w:before="0" w:line="360" w:lineRule="exact"/>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7E76789B">
      <w:pPr>
        <w:pStyle w:val="134"/>
        <w:spacing w:before="0" w:line="360" w:lineRule="exact"/>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20.1信用信息查询渠道及截止时间：采购机构将通过“信用中国”网站(www.creditchina.gov.cn)、中国政府采购网(www.ccgp.gov.cn)渠道查询投标人投标截止时间当天的信用记录。</w:t>
      </w:r>
    </w:p>
    <w:p w14:paraId="6104B5AE">
      <w:pPr>
        <w:pStyle w:val="134"/>
        <w:spacing w:before="0" w:line="360" w:lineRule="exact"/>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642B74B8">
      <w:pPr>
        <w:pStyle w:val="134"/>
        <w:spacing w:before="0" w:line="360" w:lineRule="exact"/>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20.3信用信息的使用规则：经查询列入失信被执行人名单、重大税收违法失信主体、政府采购严重违法失信行为记录名单的投标人将被拒绝参与政府采购活动。</w:t>
      </w:r>
    </w:p>
    <w:p w14:paraId="5DAFE686">
      <w:pPr>
        <w:pStyle w:val="134"/>
        <w:spacing w:before="0" w:line="360" w:lineRule="exact"/>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70A329E8">
      <w:pPr>
        <w:pStyle w:val="134"/>
        <w:spacing w:before="0" w:line="360" w:lineRule="exact"/>
        <w:ind w:firstLine="0" w:firstLineChars="0"/>
        <w:rPr>
          <w:rFonts w:ascii="宋体" w:hAnsi="宋体" w:cs="宋体"/>
          <w:kern w:val="0"/>
          <w:szCs w:val="24"/>
          <w:highlight w:val="none"/>
        </w:rPr>
      </w:pPr>
    </w:p>
    <w:p w14:paraId="76C6BC90">
      <w:pPr>
        <w:snapToGrid w:val="0"/>
        <w:spacing w:line="360" w:lineRule="exact"/>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2DB26DE6">
      <w:pPr>
        <w:spacing w:line="360" w:lineRule="exact"/>
        <w:rPr>
          <w:rFonts w:ascii="宋体" w:hAnsi="宋体" w:cs="宋体"/>
          <w:b/>
          <w:sz w:val="24"/>
          <w:highlight w:val="none"/>
        </w:rPr>
      </w:pPr>
      <w:bookmarkStart w:id="14" w:name="_Toc91899903"/>
      <w:r>
        <w:rPr>
          <w:rFonts w:hint="eastAsia" w:ascii="宋体" w:hAnsi="宋体" w:cs="宋体"/>
          <w:b/>
          <w:sz w:val="24"/>
          <w:highlight w:val="none"/>
        </w:rPr>
        <w:t>21.</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5DC5E7A5">
      <w:pPr>
        <w:spacing w:line="360" w:lineRule="exact"/>
        <w:rPr>
          <w:rFonts w:ascii="宋体" w:hAnsi="宋体" w:cs="宋体"/>
          <w:b/>
          <w:sz w:val="24"/>
          <w:highlight w:val="none"/>
        </w:rPr>
      </w:pPr>
    </w:p>
    <w:p w14:paraId="097ED335">
      <w:pPr>
        <w:snapToGrid w:val="0"/>
        <w:spacing w:line="360" w:lineRule="exact"/>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48AF30E6">
      <w:pPr>
        <w:pStyle w:val="16"/>
        <w:spacing w:line="360" w:lineRule="exact"/>
        <w:ind w:left="479" w:hanging="479" w:hangingChars="199"/>
        <w:rPr>
          <w:rFonts w:cs="宋体"/>
          <w:b/>
          <w:highlight w:val="none"/>
        </w:rPr>
      </w:pPr>
      <w:r>
        <w:rPr>
          <w:rFonts w:hint="eastAsia" w:cs="宋体"/>
          <w:b/>
          <w:highlight w:val="none"/>
        </w:rPr>
        <w:t>22. 确定中标供应商</w:t>
      </w:r>
    </w:p>
    <w:p w14:paraId="65AA7885">
      <w:pPr>
        <w:pStyle w:val="134"/>
        <w:snapToGrid w:val="0"/>
        <w:spacing w:before="0" w:line="360" w:lineRule="exact"/>
        <w:ind w:firstLine="480"/>
        <w:rPr>
          <w:rFonts w:ascii="宋体" w:hAnsi="宋体" w:cs="宋体"/>
          <w:b/>
          <w:szCs w:val="24"/>
          <w:highlight w:val="none"/>
        </w:rPr>
      </w:pPr>
      <w:r>
        <w:rPr>
          <w:rFonts w:hint="eastAsia" w:ascii="宋体" w:hAnsi="宋体" w:cs="宋体"/>
          <w:szCs w:val="24"/>
          <w:highlight w:val="none"/>
        </w:rPr>
        <w:t>采购人将自收到评审报告之日起5个工作日内通过电子交易平台在评审报告推荐的中标候选人中按顺序确定中标供应商。</w:t>
      </w:r>
    </w:p>
    <w:p w14:paraId="34816EA9">
      <w:pPr>
        <w:pStyle w:val="134"/>
        <w:snapToGrid w:val="0"/>
        <w:spacing w:before="0" w:line="360" w:lineRule="exact"/>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3CAC7CBD">
      <w:pPr>
        <w:widowControl/>
        <w:shd w:val="clear" w:color="auto" w:fill="FFFFFF"/>
        <w:spacing w:line="360" w:lineRule="exact"/>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19452452">
      <w:pPr>
        <w:widowControl/>
        <w:shd w:val="clear" w:color="auto" w:fill="FFFFFF"/>
        <w:spacing w:line="360" w:lineRule="exact"/>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276555FA">
      <w:pPr>
        <w:widowControl/>
        <w:shd w:val="clear" w:color="auto" w:fill="FFFFFF"/>
        <w:spacing w:line="360" w:lineRule="exact"/>
        <w:ind w:firstLine="480"/>
        <w:jc w:val="left"/>
        <w:rPr>
          <w:rFonts w:ascii="宋体" w:hAnsi="宋体" w:cs="宋体"/>
          <w:sz w:val="24"/>
          <w:highlight w:val="none"/>
        </w:rPr>
      </w:pPr>
      <w:r>
        <w:rPr>
          <w:rFonts w:hint="eastAsia" w:ascii="宋体" w:hAnsi="宋体" w:cs="宋体"/>
          <w:sz w:val="24"/>
          <w:highlight w:val="none"/>
        </w:rPr>
        <w:t>23.3公告期限为1个工作日。</w:t>
      </w:r>
    </w:p>
    <w:p w14:paraId="66B8F9DE">
      <w:pPr>
        <w:jc w:val="center"/>
        <w:rPr>
          <w:rFonts w:ascii="宋体" w:hAnsi="宋体" w:cs="宋体"/>
          <w:b/>
          <w:sz w:val="32"/>
          <w:highlight w:val="none"/>
        </w:rPr>
      </w:pPr>
      <w:r>
        <w:rPr>
          <w:rFonts w:hint="eastAsia" w:ascii="宋体" w:hAnsi="宋体" w:cs="宋体"/>
          <w:b/>
          <w:sz w:val="32"/>
          <w:highlight w:val="none"/>
        </w:rPr>
        <w:t>七、合同授予</w:t>
      </w:r>
    </w:p>
    <w:p w14:paraId="2DD2CA10">
      <w:pPr>
        <w:pStyle w:val="16"/>
        <w:spacing w:line="360" w:lineRule="exact"/>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111A82FA">
      <w:pPr>
        <w:pStyle w:val="16"/>
        <w:spacing w:line="360" w:lineRule="exact"/>
        <w:ind w:left="479" w:hanging="479" w:hangingChars="199"/>
        <w:rPr>
          <w:rFonts w:cs="宋体"/>
          <w:b/>
          <w:highlight w:val="none"/>
        </w:rPr>
      </w:pPr>
      <w:r>
        <w:rPr>
          <w:rFonts w:hint="eastAsia" w:cs="宋体"/>
          <w:b/>
          <w:highlight w:val="none"/>
        </w:rPr>
        <w:t>25. 合同的签订</w:t>
      </w:r>
    </w:p>
    <w:p w14:paraId="2107B1E8">
      <w:pPr>
        <w:widowControl/>
        <w:shd w:val="clear" w:color="auto" w:fill="FFFFFF"/>
        <w:spacing w:line="360" w:lineRule="exact"/>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0B03C9A9">
      <w:pPr>
        <w:pStyle w:val="134"/>
        <w:snapToGrid w:val="0"/>
        <w:spacing w:before="0" w:line="360" w:lineRule="exact"/>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82DDA4">
      <w:pPr>
        <w:pStyle w:val="134"/>
        <w:snapToGrid w:val="0"/>
        <w:spacing w:before="0" w:line="360" w:lineRule="exact"/>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6CD5E469">
      <w:pPr>
        <w:pStyle w:val="134"/>
        <w:snapToGrid w:val="0"/>
        <w:spacing w:before="0" w:line="360" w:lineRule="exact"/>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08CF91B8">
      <w:pPr>
        <w:pStyle w:val="134"/>
        <w:snapToGrid w:val="0"/>
        <w:spacing w:before="0" w:line="360" w:lineRule="exact"/>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6ECBBFCA">
      <w:pPr>
        <w:pStyle w:val="16"/>
        <w:spacing w:line="360" w:lineRule="exact"/>
        <w:ind w:left="479" w:hanging="479" w:hangingChars="199"/>
        <w:rPr>
          <w:rFonts w:cs="宋体"/>
          <w:b/>
          <w:highlight w:val="none"/>
        </w:rPr>
      </w:pPr>
      <w:r>
        <w:rPr>
          <w:rFonts w:hint="eastAsia" w:cs="宋体"/>
          <w:b/>
          <w:highlight w:val="none"/>
        </w:rPr>
        <w:t>26. 履约保证金</w:t>
      </w:r>
    </w:p>
    <w:p w14:paraId="488DBAE8">
      <w:pPr>
        <w:tabs>
          <w:tab w:val="left" w:pos="0"/>
        </w:tabs>
        <w:spacing w:line="360" w:lineRule="exact"/>
        <w:ind w:firstLine="482"/>
        <w:rPr>
          <w:rFonts w:ascii="宋体" w:hAnsi="宋体" w:cs="宋体"/>
          <w:b/>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。履约保证金的数额不得超过政府采购合同金额的1%。鼓励和支持供应商以银行、保险公司出具的保函形式提供履约保证金。</w:t>
      </w:r>
      <w:r>
        <w:rPr>
          <w:rFonts w:hint="eastAsia" w:ascii="宋体" w:hAnsi="宋体" w:cs="宋体"/>
          <w:b/>
          <w:sz w:val="24"/>
          <w:highlight w:val="none"/>
        </w:rPr>
        <w:t>采购人不得拒收履约保函。</w:t>
      </w:r>
    </w:p>
    <w:p w14:paraId="7131A18D">
      <w:pPr>
        <w:tabs>
          <w:tab w:val="left" w:pos="0"/>
        </w:tabs>
        <w:spacing w:line="360" w:lineRule="exact"/>
        <w:ind w:firstLine="482"/>
        <w:rPr>
          <w:rFonts w:ascii="宋体" w:hAnsi="宋体" w:cs="宋体"/>
          <w:kern w:val="0"/>
          <w:sz w:val="24"/>
          <w:highlight w:val="none"/>
        </w:rPr>
      </w:pPr>
      <w:r>
        <w:rPr>
          <w:rFonts w:hint="eastAsia" w:ascii="宋体" w:hAnsi="宋体" w:cs="宋体"/>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C60C74">
      <w:pPr>
        <w:snapToGrid w:val="0"/>
        <w:spacing w:line="360" w:lineRule="exact"/>
        <w:ind w:firstLine="3357" w:firstLineChars="1045"/>
        <w:rPr>
          <w:rFonts w:ascii="宋体" w:hAnsi="宋体" w:cs="宋体"/>
          <w:b/>
          <w:sz w:val="32"/>
          <w:highlight w:val="none"/>
        </w:rPr>
      </w:pPr>
    </w:p>
    <w:p w14:paraId="7292F439">
      <w:pPr>
        <w:snapToGrid w:val="0"/>
        <w:spacing w:line="360" w:lineRule="exact"/>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15160E52">
      <w:pPr>
        <w:pStyle w:val="134"/>
        <w:snapToGrid w:val="0"/>
        <w:spacing w:before="0" w:line="360" w:lineRule="exact"/>
        <w:ind w:firstLine="0" w:firstLineChars="0"/>
        <w:rPr>
          <w:rFonts w:ascii="宋体" w:hAnsi="宋体" w:cs="宋体"/>
          <w:highlight w:val="none"/>
        </w:rPr>
      </w:pPr>
      <w:r>
        <w:rPr>
          <w:rFonts w:hint="eastAsia" w:ascii="宋体" w:hAnsi="宋体" w:cs="宋体"/>
          <w:highlight w:val="none"/>
        </w:rPr>
        <w:t>2</w:t>
      </w:r>
      <w:r>
        <w:rPr>
          <w:rFonts w:hint="eastAsia" w:ascii="宋体" w:hAnsi="宋体" w:cs="宋体"/>
          <w:bCs/>
          <w:szCs w:val="24"/>
          <w:highlight w:val="none"/>
        </w:rPr>
        <w:t>7.</w:t>
      </w:r>
      <w:r>
        <w:rPr>
          <w:rFonts w:hint="eastAsia" w:ascii="宋体" w:hAnsi="宋体" w:cs="宋体"/>
          <w:b/>
          <w:szCs w:val="24"/>
          <w:highlight w:val="none"/>
        </w:rPr>
        <w:t xml:space="preserve">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6631FA3B">
      <w:pPr>
        <w:pStyle w:val="134"/>
        <w:snapToGrid w:val="0"/>
        <w:spacing w:before="0" w:line="360" w:lineRule="exact"/>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14:paraId="6E3876B3">
      <w:pPr>
        <w:pStyle w:val="134"/>
        <w:snapToGrid w:val="0"/>
        <w:spacing w:before="0" w:line="360" w:lineRule="exact"/>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14:paraId="5F9EACCB">
      <w:pPr>
        <w:pStyle w:val="134"/>
        <w:snapToGrid w:val="0"/>
        <w:spacing w:before="0" w:line="360" w:lineRule="exact"/>
        <w:ind w:firstLine="480"/>
        <w:rPr>
          <w:rFonts w:ascii="宋体" w:hAnsi="宋体" w:cs="宋体"/>
          <w:highlight w:val="none"/>
        </w:rPr>
      </w:pPr>
      <w:r>
        <w:rPr>
          <w:rFonts w:hint="eastAsia" w:ascii="宋体" w:hAnsi="宋体" w:cs="宋体"/>
          <w:highlight w:val="none"/>
        </w:rPr>
        <w:t>27.3电子交易平台发现严重安全漏洞，有潜在泄密危险的；</w:t>
      </w:r>
    </w:p>
    <w:p w14:paraId="1619E637">
      <w:pPr>
        <w:pStyle w:val="134"/>
        <w:snapToGrid w:val="0"/>
        <w:spacing w:before="0" w:line="360" w:lineRule="exact"/>
        <w:ind w:firstLine="480"/>
        <w:rPr>
          <w:rFonts w:ascii="宋体" w:hAnsi="宋体" w:cs="宋体"/>
          <w:highlight w:val="none"/>
        </w:rPr>
      </w:pPr>
      <w:r>
        <w:rPr>
          <w:rFonts w:hint="eastAsia" w:ascii="宋体" w:hAnsi="宋体" w:cs="宋体"/>
          <w:highlight w:val="none"/>
        </w:rPr>
        <w:t xml:space="preserve">27.4病毒发作导致不能进行正常操作的； </w:t>
      </w:r>
    </w:p>
    <w:p w14:paraId="06C9A4A3">
      <w:pPr>
        <w:pStyle w:val="134"/>
        <w:snapToGrid w:val="0"/>
        <w:spacing w:before="0" w:line="360" w:lineRule="exact"/>
        <w:ind w:firstLine="480"/>
        <w:rPr>
          <w:rFonts w:ascii="宋体" w:hAnsi="宋体" w:cs="宋体"/>
          <w:highlight w:val="none"/>
        </w:rPr>
      </w:pPr>
      <w:r>
        <w:rPr>
          <w:rFonts w:hint="eastAsia" w:ascii="宋体" w:hAnsi="宋体" w:cs="宋体"/>
          <w:highlight w:val="none"/>
        </w:rPr>
        <w:t>27.5其他无法保证电子交易的公平、公正和安全的情况。</w:t>
      </w:r>
    </w:p>
    <w:p w14:paraId="5D224CCF">
      <w:pPr>
        <w:pStyle w:val="134"/>
        <w:snapToGrid w:val="0"/>
        <w:spacing w:before="0" w:line="360" w:lineRule="exact"/>
        <w:ind w:firstLine="0" w:firstLineChars="0"/>
        <w:rPr>
          <w:rFonts w:ascii="宋体" w:hAnsi="宋体" w:cs="宋体"/>
          <w:b/>
          <w:sz w:val="32"/>
          <w:highlight w:val="none"/>
        </w:rPr>
      </w:pPr>
      <w:r>
        <w:rPr>
          <w:rFonts w:hint="eastAsia" w:ascii="宋体" w:hAnsi="宋体" w:cs="宋体"/>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7A13FDF">
      <w:pPr>
        <w:snapToGrid w:val="0"/>
        <w:spacing w:line="360" w:lineRule="exact"/>
        <w:ind w:firstLine="482" w:firstLineChars="150"/>
        <w:jc w:val="center"/>
        <w:rPr>
          <w:rFonts w:ascii="宋体" w:hAnsi="宋体" w:cs="宋体"/>
          <w:b/>
          <w:sz w:val="32"/>
          <w:highlight w:val="none"/>
        </w:rPr>
      </w:pPr>
      <w:r>
        <w:rPr>
          <w:rFonts w:hint="eastAsia" w:ascii="宋体" w:hAnsi="宋体" w:cs="宋体"/>
          <w:b/>
          <w:sz w:val="32"/>
          <w:highlight w:val="none"/>
        </w:rPr>
        <w:t>九、验收</w:t>
      </w:r>
    </w:p>
    <w:p w14:paraId="1DFE676F">
      <w:pPr>
        <w:pStyle w:val="16"/>
        <w:spacing w:line="360" w:lineRule="exact"/>
        <w:ind w:firstLine="0" w:firstLineChars="0"/>
        <w:rPr>
          <w:rFonts w:cs="宋体"/>
          <w:b/>
          <w:highlight w:val="none"/>
        </w:rPr>
      </w:pPr>
      <w:r>
        <w:rPr>
          <w:rFonts w:hint="eastAsia" w:cs="宋体"/>
          <w:b/>
          <w:highlight w:val="none"/>
        </w:rPr>
        <w:t>29.验收</w:t>
      </w:r>
    </w:p>
    <w:p w14:paraId="1A90C704">
      <w:pPr>
        <w:tabs>
          <w:tab w:val="left" w:pos="0"/>
        </w:tabs>
        <w:spacing w:line="360" w:lineRule="exact"/>
        <w:ind w:firstLine="480"/>
        <w:rPr>
          <w:rFonts w:ascii="宋体" w:hAnsi="宋体" w:cs="宋体"/>
          <w:kern w:val="0"/>
          <w:sz w:val="24"/>
          <w:highlight w:val="none"/>
        </w:rPr>
      </w:pPr>
      <w:r>
        <w:rPr>
          <w:rFonts w:hint="eastAsia" w:ascii="宋体" w:hAnsi="宋体" w:cs="宋体"/>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D91750">
      <w:pPr>
        <w:tabs>
          <w:tab w:val="left" w:pos="0"/>
        </w:tabs>
        <w:spacing w:line="360" w:lineRule="exact"/>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14:paraId="5DA6D96F">
      <w:pPr>
        <w:tabs>
          <w:tab w:val="left" w:pos="0"/>
        </w:tabs>
        <w:spacing w:line="360" w:lineRule="exact"/>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740EF4">
      <w:pPr>
        <w:tabs>
          <w:tab w:val="left" w:pos="0"/>
        </w:tabs>
        <w:spacing w:line="360" w:lineRule="exact"/>
        <w:ind w:firstLine="480"/>
        <w:rPr>
          <w:rFonts w:ascii="宋体" w:hAnsi="宋体" w:cs="宋体"/>
          <w:sz w:val="18"/>
          <w:szCs w:val="18"/>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43B7130A">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14665"/>
      <w:bookmarkEnd w:id="15"/>
      <w:bookmarkStart w:id="16" w:name="_Hlt68403820"/>
      <w:bookmarkEnd w:id="16"/>
      <w:bookmarkStart w:id="17" w:name="_Hlt75236011"/>
      <w:bookmarkEnd w:id="17"/>
      <w:bookmarkStart w:id="18" w:name="_Hlt68072990"/>
      <w:bookmarkEnd w:id="18"/>
      <w:bookmarkStart w:id="19" w:name="_Hlt74729768"/>
      <w:bookmarkEnd w:id="19"/>
      <w:bookmarkStart w:id="20" w:name="_Hlt75236290"/>
      <w:bookmarkEnd w:id="20"/>
      <w:bookmarkStart w:id="21" w:name="_Hlt75236101"/>
      <w:bookmarkEnd w:id="21"/>
      <w:bookmarkStart w:id="22" w:name="_Hlt68073093"/>
      <w:bookmarkEnd w:id="22"/>
      <w:bookmarkStart w:id="23" w:name="_Hlt74707468"/>
      <w:bookmarkEnd w:id="23"/>
      <w:bookmarkStart w:id="24" w:name="_Hlt68057669"/>
      <w:bookmarkEnd w:id="24"/>
      <w:bookmarkStart w:id="25" w:name="_Hlt74730295"/>
      <w:bookmarkEnd w:id="25"/>
      <w:bookmarkStart w:id="26" w:name="_Hlt68072998"/>
      <w:bookmarkEnd w:id="26"/>
    </w:p>
    <w:bookmarkEnd w:id="12"/>
    <w:bookmarkEnd w:id="13"/>
    <w:p w14:paraId="5A500D9C">
      <w:pPr>
        <w:numPr>
          <w:ilvl w:val="0"/>
          <w:numId w:val="2"/>
        </w:numPr>
        <w:spacing w:line="400" w:lineRule="exact"/>
        <w:jc w:val="center"/>
        <w:outlineLvl w:val="0"/>
        <w:rPr>
          <w:rFonts w:hint="eastAsia" w:ascii="宋体" w:hAnsi="宋体" w:cs="宋体"/>
          <w:b/>
          <w:sz w:val="36"/>
          <w:szCs w:val="36"/>
          <w:highlight w:val="none"/>
        </w:rPr>
      </w:pPr>
      <w:bookmarkStart w:id="27" w:name="第四部分"/>
      <w:r>
        <w:rPr>
          <w:rFonts w:hint="eastAsia" w:ascii="宋体" w:hAnsi="宋体" w:cs="宋体"/>
          <w:b/>
          <w:sz w:val="36"/>
          <w:szCs w:val="36"/>
          <w:highlight w:val="none"/>
        </w:rPr>
        <w:t xml:space="preserve">  采购需求</w:t>
      </w:r>
    </w:p>
    <w:p w14:paraId="2CE42759">
      <w:pPr>
        <w:pStyle w:val="97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exact"/>
        <w:ind w:firstLine="422" w:firstLineChars="200"/>
        <w:textAlignment w:val="auto"/>
        <w:rPr>
          <w:rFonts w:hint="eastAsia" w:ascii="宋体" w:hAnsi="宋体" w:eastAsia="宋体" w:cs="宋体"/>
          <w:b/>
          <w:bCs/>
          <w:sz w:val="21"/>
          <w:szCs w:val="21"/>
          <w:highlight w:val="none"/>
          <w:lang w:val="en-US" w:eastAsia="zh-CN"/>
        </w:rPr>
      </w:pPr>
      <w:bookmarkStart w:id="28" w:name="_Toc496796639"/>
      <w:bookmarkStart w:id="29" w:name="PO_TDCUS_ITEM_PB_REQ_FILE_1_1_0"/>
    </w:p>
    <w:bookmarkEnd w:id="28"/>
    <w:bookmarkEnd w:id="29"/>
    <w:p w14:paraId="659C98B6">
      <w:pPr>
        <w:pStyle w:val="97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一、采购背景：</w:t>
      </w:r>
    </w:p>
    <w:p w14:paraId="4CDEC7FE">
      <w:pPr>
        <w:pStyle w:val="973"/>
        <w:keepNext w:val="0"/>
        <w:keepLines w:val="0"/>
        <w:pageBreakBefore w:val="0"/>
        <w:widowControl w:val="0"/>
        <w:kinsoku/>
        <w:wordWrap/>
        <w:overflowPunct/>
        <w:topLinePunct w:val="0"/>
        <w:autoSpaceDE/>
        <w:autoSpaceDN/>
        <w:bidi w:val="0"/>
        <w:adjustRightInd/>
        <w:snapToGrid/>
        <w:spacing w:before="0" w:beforeAutospacing="0" w:after="0" w:line="360" w:lineRule="exact"/>
        <w:ind w:left="0" w:leftChars="0" w:firstLine="440" w:firstLineChars="200"/>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lang w:val="en-US" w:eastAsia="zh-CN"/>
        </w:rPr>
        <w:t>为满足</w:t>
      </w:r>
      <w:r>
        <w:rPr>
          <w:rFonts w:hint="eastAsia" w:ascii="宋体" w:hAnsi="宋体" w:eastAsia="宋体" w:cs="宋体"/>
          <w:spacing w:val="5"/>
          <w:sz w:val="21"/>
          <w:szCs w:val="21"/>
          <w:highlight w:val="none"/>
        </w:rPr>
        <w:t>山区县（重点是山区26县）居民健康服务需求</w:t>
      </w:r>
      <w:r>
        <w:rPr>
          <w:rFonts w:hint="eastAsia" w:ascii="宋体" w:hAnsi="宋体" w:eastAsia="宋体" w:cs="宋体"/>
          <w:spacing w:val="5"/>
          <w:sz w:val="21"/>
          <w:szCs w:val="21"/>
          <w:highlight w:val="none"/>
          <w:lang w:eastAsia="zh-CN"/>
        </w:rPr>
        <w:t>，</w:t>
      </w:r>
      <w:r>
        <w:rPr>
          <w:rFonts w:hint="eastAsia" w:ascii="宋体" w:hAnsi="宋体" w:eastAsia="宋体" w:cs="宋体"/>
          <w:spacing w:val="5"/>
          <w:sz w:val="21"/>
          <w:szCs w:val="21"/>
          <w:highlight w:val="none"/>
        </w:rPr>
        <w:t>进一步强化县级医院和基层医疗卫生机构服务能力，推动医疗服务重心下移、优质医疗资源下沉，</w:t>
      </w:r>
      <w:r>
        <w:rPr>
          <w:rFonts w:hint="eastAsia" w:ascii="宋体" w:hAnsi="宋体" w:eastAsia="宋体" w:cs="宋体"/>
          <w:spacing w:val="5"/>
          <w:sz w:val="21"/>
          <w:szCs w:val="21"/>
          <w:highlight w:val="none"/>
          <w:lang w:val="en-US" w:eastAsia="zh-CN"/>
        </w:rPr>
        <w:t>开展</w:t>
      </w:r>
      <w:r>
        <w:rPr>
          <w:rFonts w:hint="eastAsia" w:ascii="宋体" w:hAnsi="宋体" w:eastAsia="宋体" w:cs="宋体"/>
          <w:spacing w:val="5"/>
          <w:sz w:val="21"/>
          <w:szCs w:val="21"/>
          <w:highlight w:val="none"/>
          <w:lang w:eastAsia="zh-CN"/>
        </w:rPr>
        <w:t>巡回诊疗车项目</w:t>
      </w:r>
      <w:r>
        <w:rPr>
          <w:rFonts w:hint="eastAsia" w:ascii="宋体" w:hAnsi="宋体" w:eastAsia="宋体" w:cs="宋体"/>
          <w:spacing w:val="5"/>
          <w:sz w:val="21"/>
          <w:szCs w:val="21"/>
          <w:highlight w:val="none"/>
          <w:lang w:val="en-US" w:eastAsia="zh-CN"/>
        </w:rPr>
        <w:t>采购活动。</w:t>
      </w:r>
    </w:p>
    <w:p w14:paraId="6306BE5D">
      <w:pPr>
        <w:pStyle w:val="97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exac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二、采购需求一览表</w:t>
      </w:r>
    </w:p>
    <w:tbl>
      <w:tblPr>
        <w:tblStyle w:val="65"/>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1404"/>
        <w:gridCol w:w="1654"/>
        <w:gridCol w:w="3433"/>
      </w:tblGrid>
      <w:tr w14:paraId="7683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807" w:type="dxa"/>
          </w:tcPr>
          <w:p w14:paraId="7A5B44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5"/>
                <w:kern w:val="0"/>
                <w:sz w:val="21"/>
                <w:szCs w:val="21"/>
                <w:highlight w:val="none"/>
                <w:vertAlign w:val="baseline"/>
                <w:lang w:val="en-US" w:eastAsia="zh-CN" w:bidi="ar-SA"/>
              </w:rPr>
            </w:pPr>
            <w:r>
              <w:rPr>
                <w:rFonts w:hint="eastAsia" w:ascii="宋体" w:hAnsi="宋体" w:eastAsia="宋体" w:cs="宋体"/>
                <w:spacing w:val="5"/>
                <w:kern w:val="0"/>
                <w:sz w:val="21"/>
                <w:szCs w:val="21"/>
                <w:highlight w:val="none"/>
                <w:vertAlign w:val="baseline"/>
                <w:lang w:val="en-US" w:eastAsia="zh-CN" w:bidi="ar-SA"/>
              </w:rPr>
              <w:t>采购内容</w:t>
            </w:r>
          </w:p>
        </w:tc>
        <w:tc>
          <w:tcPr>
            <w:tcW w:w="1404" w:type="dxa"/>
          </w:tcPr>
          <w:p w14:paraId="6655F0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5"/>
                <w:kern w:val="0"/>
                <w:sz w:val="21"/>
                <w:szCs w:val="21"/>
                <w:highlight w:val="none"/>
                <w:vertAlign w:val="baseline"/>
                <w:lang w:val="en-US" w:eastAsia="zh-CN" w:bidi="ar-SA"/>
              </w:rPr>
            </w:pPr>
            <w:r>
              <w:rPr>
                <w:rFonts w:hint="eastAsia" w:ascii="宋体" w:hAnsi="宋体" w:eastAsia="宋体" w:cs="宋体"/>
                <w:spacing w:val="5"/>
                <w:kern w:val="0"/>
                <w:sz w:val="21"/>
                <w:szCs w:val="21"/>
                <w:highlight w:val="none"/>
                <w:vertAlign w:val="baseline"/>
                <w:lang w:val="en-US" w:eastAsia="zh-CN" w:bidi="ar-SA"/>
              </w:rPr>
              <w:t>数量</w:t>
            </w:r>
          </w:p>
        </w:tc>
        <w:tc>
          <w:tcPr>
            <w:tcW w:w="1654" w:type="dxa"/>
          </w:tcPr>
          <w:p w14:paraId="79745E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5"/>
                <w:kern w:val="0"/>
                <w:sz w:val="21"/>
                <w:szCs w:val="21"/>
                <w:highlight w:val="none"/>
                <w:vertAlign w:val="baseline"/>
                <w:lang w:val="en-US" w:eastAsia="zh-CN" w:bidi="ar-SA"/>
              </w:rPr>
            </w:pPr>
            <w:r>
              <w:rPr>
                <w:rFonts w:hint="eastAsia" w:ascii="宋体" w:hAnsi="宋体" w:cs="宋体"/>
                <w:spacing w:val="5"/>
                <w:kern w:val="0"/>
                <w:sz w:val="21"/>
                <w:szCs w:val="21"/>
                <w:highlight w:val="none"/>
                <w:vertAlign w:val="baseline"/>
                <w:lang w:val="en-US" w:eastAsia="zh-CN" w:bidi="ar-SA"/>
              </w:rPr>
              <w:t>预算金额</w:t>
            </w:r>
          </w:p>
        </w:tc>
        <w:tc>
          <w:tcPr>
            <w:tcW w:w="3433" w:type="dxa"/>
          </w:tcPr>
          <w:p w14:paraId="26C1D3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5"/>
                <w:kern w:val="0"/>
                <w:sz w:val="21"/>
                <w:szCs w:val="21"/>
                <w:highlight w:val="none"/>
                <w:vertAlign w:val="baseline"/>
                <w:lang w:val="en-US" w:eastAsia="zh-CN" w:bidi="ar-SA"/>
              </w:rPr>
            </w:pPr>
            <w:r>
              <w:rPr>
                <w:rFonts w:hint="eastAsia" w:ascii="宋体" w:hAnsi="宋体" w:eastAsia="宋体" w:cs="宋体"/>
                <w:spacing w:val="5"/>
                <w:kern w:val="0"/>
                <w:sz w:val="21"/>
                <w:szCs w:val="21"/>
                <w:highlight w:val="none"/>
                <w:vertAlign w:val="baseline"/>
                <w:lang w:val="en-US" w:eastAsia="zh-CN" w:bidi="ar-SA"/>
              </w:rPr>
              <w:t>要求</w:t>
            </w:r>
          </w:p>
        </w:tc>
      </w:tr>
      <w:tr w14:paraId="74AB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807" w:type="dxa"/>
            <w:vAlign w:val="center"/>
          </w:tcPr>
          <w:p w14:paraId="73F7A2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5"/>
                <w:kern w:val="0"/>
                <w:sz w:val="21"/>
                <w:szCs w:val="21"/>
                <w:highlight w:val="none"/>
                <w:vertAlign w:val="baseline"/>
                <w:lang w:val="en-US" w:eastAsia="zh-CN" w:bidi="ar-SA"/>
              </w:rPr>
            </w:pPr>
            <w:r>
              <w:rPr>
                <w:rFonts w:hint="eastAsia" w:ascii="宋体" w:hAnsi="宋体" w:eastAsia="宋体" w:cs="宋体"/>
                <w:spacing w:val="5"/>
                <w:kern w:val="0"/>
                <w:sz w:val="21"/>
                <w:szCs w:val="21"/>
                <w:highlight w:val="none"/>
                <w:vertAlign w:val="baseline"/>
                <w:lang w:val="en-US" w:eastAsia="zh-CN" w:bidi="ar-SA"/>
              </w:rPr>
              <w:t>巡回诊疗车</w:t>
            </w:r>
          </w:p>
        </w:tc>
        <w:tc>
          <w:tcPr>
            <w:tcW w:w="1404" w:type="dxa"/>
            <w:vAlign w:val="center"/>
          </w:tcPr>
          <w:p w14:paraId="4899A8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5"/>
                <w:kern w:val="0"/>
                <w:sz w:val="21"/>
                <w:szCs w:val="21"/>
                <w:highlight w:val="none"/>
                <w:vertAlign w:val="baseline"/>
                <w:lang w:val="en-US" w:eastAsia="zh-CN" w:bidi="ar-SA"/>
              </w:rPr>
            </w:pPr>
            <w:r>
              <w:rPr>
                <w:rFonts w:hint="eastAsia" w:ascii="宋体" w:hAnsi="宋体" w:cs="宋体"/>
                <w:spacing w:val="5"/>
                <w:kern w:val="0"/>
                <w:sz w:val="21"/>
                <w:szCs w:val="21"/>
                <w:highlight w:val="none"/>
                <w:vertAlign w:val="baseline"/>
                <w:lang w:val="en-US" w:eastAsia="zh-CN" w:bidi="ar-SA"/>
              </w:rPr>
              <w:t>1辆</w:t>
            </w:r>
          </w:p>
        </w:tc>
        <w:tc>
          <w:tcPr>
            <w:tcW w:w="1654" w:type="dxa"/>
            <w:vAlign w:val="center"/>
          </w:tcPr>
          <w:p w14:paraId="44ABF6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5"/>
                <w:kern w:val="0"/>
                <w:sz w:val="21"/>
                <w:szCs w:val="21"/>
                <w:highlight w:val="none"/>
                <w:vertAlign w:val="baseline"/>
                <w:lang w:val="en-US" w:eastAsia="zh-CN" w:bidi="ar-SA"/>
              </w:rPr>
            </w:pPr>
            <w:r>
              <w:rPr>
                <w:rFonts w:hint="eastAsia" w:ascii="宋体" w:hAnsi="宋体" w:eastAsia="宋体" w:cs="宋体"/>
                <w:spacing w:val="5"/>
                <w:kern w:val="0"/>
                <w:sz w:val="21"/>
                <w:szCs w:val="21"/>
                <w:highlight w:val="none"/>
                <w:vertAlign w:val="baseline"/>
                <w:lang w:val="en-US" w:eastAsia="zh-CN" w:bidi="ar-SA"/>
              </w:rPr>
              <w:t>80万</w:t>
            </w:r>
          </w:p>
        </w:tc>
        <w:tc>
          <w:tcPr>
            <w:tcW w:w="3433" w:type="dxa"/>
            <w:vAlign w:val="center"/>
          </w:tcPr>
          <w:p w14:paraId="48FEA82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5"/>
                <w:kern w:val="0"/>
                <w:sz w:val="21"/>
                <w:szCs w:val="21"/>
                <w:highlight w:val="none"/>
                <w:vertAlign w:val="baseline"/>
                <w:lang w:val="en-US" w:eastAsia="zh-CN" w:bidi="ar-SA"/>
              </w:rPr>
            </w:pPr>
            <w:r>
              <w:rPr>
                <w:rFonts w:hint="eastAsia" w:ascii="宋体" w:hAnsi="宋体" w:eastAsia="宋体" w:cs="宋体"/>
                <w:spacing w:val="5"/>
                <w:kern w:val="0"/>
                <w:sz w:val="21"/>
                <w:szCs w:val="21"/>
                <w:highlight w:val="none"/>
                <w:vertAlign w:val="baseline"/>
                <w:lang w:val="en-US" w:eastAsia="zh-CN" w:bidi="ar-SA"/>
              </w:rPr>
              <w:t>能够完成省卫健委关于“智慧流动医院”各项要求</w:t>
            </w:r>
          </w:p>
        </w:tc>
      </w:tr>
    </w:tbl>
    <w:p w14:paraId="3AE1803D">
      <w:pPr>
        <w:pStyle w:val="97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exact"/>
        <w:ind w:left="420" w:lef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三、时间要求</w:t>
      </w:r>
    </w:p>
    <w:p w14:paraId="72FC8DEC">
      <w:pPr>
        <w:pStyle w:val="97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exact"/>
        <w:ind w:left="420" w:leftChars="0"/>
        <w:textAlignment w:val="auto"/>
        <w:rPr>
          <w:rFonts w:hint="eastAsia" w:ascii="宋体" w:hAnsi="宋体" w:eastAsia="宋体" w:cs="宋体"/>
          <w:spacing w:val="5"/>
          <w:kern w:val="0"/>
          <w:sz w:val="21"/>
          <w:szCs w:val="21"/>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spacing w:val="5"/>
          <w:kern w:val="0"/>
          <w:sz w:val="21"/>
          <w:szCs w:val="21"/>
          <w:highlight w:val="none"/>
          <w:lang w:val="en-US" w:eastAsia="zh-CN" w:bidi="ar-SA"/>
        </w:rPr>
        <w:t>在中标结果公告发出之日起 10 个工作日内完成车辆购置。</w:t>
      </w:r>
    </w:p>
    <w:p w14:paraId="06A26BF8">
      <w:pPr>
        <w:pStyle w:val="97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exact"/>
        <w:ind w:left="420" w:lef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四、采购需求和技术要求（注：本项目核心产品为车辆）</w:t>
      </w:r>
    </w:p>
    <w:p w14:paraId="5A789BB0">
      <w:pPr>
        <w:pStyle w:val="973"/>
        <w:keepNext w:val="0"/>
        <w:keepLines w:val="0"/>
        <w:pageBreakBefore w:val="0"/>
        <w:widowControl w:val="0"/>
        <w:kinsoku/>
        <w:wordWrap/>
        <w:overflowPunct/>
        <w:topLinePunct w:val="0"/>
        <w:autoSpaceDE/>
        <w:autoSpaceDN/>
        <w:bidi w:val="0"/>
        <w:adjustRightInd/>
        <w:snapToGrid/>
        <w:spacing w:before="0" w:beforeAutospacing="0" w:after="0" w:line="360" w:lineRule="exact"/>
        <w:ind w:left="0" w:leftChars="0" w:firstLine="442" w:firstLineChars="200"/>
        <w:textAlignment w:val="auto"/>
        <w:rPr>
          <w:rFonts w:hint="eastAsia" w:ascii="宋体" w:hAnsi="宋体" w:eastAsia="宋体" w:cs="宋体"/>
          <w:b/>
          <w:bCs/>
          <w:spacing w:val="5"/>
          <w:sz w:val="21"/>
          <w:szCs w:val="21"/>
          <w:highlight w:val="none"/>
          <w:lang w:val="en-US" w:eastAsia="zh-CN"/>
        </w:rPr>
      </w:pPr>
      <w:r>
        <w:rPr>
          <w:rFonts w:hint="eastAsia" w:ascii="宋体" w:hAnsi="宋体" w:eastAsia="宋体" w:cs="宋体"/>
          <w:b/>
          <w:bCs/>
          <w:spacing w:val="5"/>
          <w:sz w:val="21"/>
          <w:szCs w:val="21"/>
          <w:highlight w:val="none"/>
          <w:lang w:val="en-US" w:eastAsia="zh-CN"/>
        </w:rPr>
        <w:t>（一）车辆要求（车辆标识待省卫健委统一后确定）</w:t>
      </w:r>
    </w:p>
    <w:tbl>
      <w:tblPr>
        <w:tblStyle w:val="64"/>
        <w:tblW w:w="853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995"/>
        <w:gridCol w:w="5600"/>
      </w:tblGrid>
      <w:tr w14:paraId="132E04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43" w:type="dxa"/>
            <w:vAlign w:val="center"/>
          </w:tcPr>
          <w:p w14:paraId="266AABF6">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95" w:type="dxa"/>
            <w:vAlign w:val="center"/>
          </w:tcPr>
          <w:p w14:paraId="2F59C072">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货物名称</w:t>
            </w:r>
          </w:p>
        </w:tc>
        <w:tc>
          <w:tcPr>
            <w:tcW w:w="5600" w:type="dxa"/>
            <w:vAlign w:val="center"/>
          </w:tcPr>
          <w:p w14:paraId="23D5F3F8">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技术规格要求</w:t>
            </w:r>
          </w:p>
        </w:tc>
      </w:tr>
      <w:tr w14:paraId="4EB9E5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37A85C3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1995" w:type="dxa"/>
            <w:vAlign w:val="center"/>
          </w:tcPr>
          <w:p w14:paraId="1197E04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b/>
                <w:bCs/>
                <w:color w:val="auto"/>
                <w:sz w:val="21"/>
                <w:szCs w:val="21"/>
                <w:highlight w:val="none"/>
              </w:rPr>
              <w:t>车辆基本要求</w:t>
            </w:r>
          </w:p>
        </w:tc>
        <w:tc>
          <w:tcPr>
            <w:tcW w:w="5600" w:type="dxa"/>
            <w:vAlign w:val="center"/>
          </w:tcPr>
          <w:p w14:paraId="458654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p>
        </w:tc>
      </w:tr>
      <w:tr w14:paraId="0C54EB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15CDF89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95" w:type="dxa"/>
            <w:vAlign w:val="center"/>
          </w:tcPr>
          <w:p w14:paraId="0EE0063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整车基本功能</w:t>
            </w:r>
          </w:p>
        </w:tc>
        <w:tc>
          <w:tcPr>
            <w:tcW w:w="5600" w:type="dxa"/>
            <w:vAlign w:val="center"/>
          </w:tcPr>
          <w:p w14:paraId="4113FB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主要功能为：能满</w:t>
            </w:r>
            <w:r>
              <w:rPr>
                <w:rFonts w:hint="eastAsia" w:ascii="宋体" w:hAnsi="宋体" w:eastAsia="宋体" w:cs="宋体"/>
                <w:color w:val="auto"/>
                <w:sz w:val="21"/>
                <w:szCs w:val="21"/>
                <w:highlight w:val="none"/>
              </w:rPr>
              <w:t>足群众日常配药、检查检验、慢病管理和常见病诊疗服务、远程医疗、健康宣教和急救辅助</w:t>
            </w:r>
            <w:r>
              <w:rPr>
                <w:rFonts w:hint="eastAsia" w:ascii="宋体" w:hAnsi="宋体" w:eastAsia="宋体" w:cs="宋体"/>
                <w:color w:val="auto"/>
                <w:kern w:val="0"/>
                <w:sz w:val="21"/>
                <w:szCs w:val="21"/>
                <w:highlight w:val="none"/>
              </w:rPr>
              <w:t>的巡回诊疗车</w:t>
            </w:r>
            <w:r>
              <w:rPr>
                <w:rFonts w:hint="eastAsia" w:ascii="宋体" w:hAnsi="宋体" w:eastAsia="宋体" w:cs="宋体"/>
                <w:color w:val="auto"/>
                <w:sz w:val="21"/>
                <w:szCs w:val="21"/>
                <w:highlight w:val="none"/>
              </w:rPr>
              <w:t>。配置应统筹考虑“平急两用”，即日常诊疗服务和应急救护使用需求，合理确定使用功能。平时可做</w:t>
            </w:r>
            <w:r>
              <w:rPr>
                <w:rFonts w:hint="eastAsia" w:ascii="宋体" w:hAnsi="宋体" w:eastAsia="宋体" w:cs="宋体"/>
                <w:color w:val="auto"/>
                <w:kern w:val="0"/>
                <w:sz w:val="21"/>
                <w:szCs w:val="21"/>
                <w:highlight w:val="none"/>
              </w:rPr>
              <w:t>巡回诊疗车</w:t>
            </w:r>
            <w:r>
              <w:rPr>
                <w:rFonts w:hint="eastAsia" w:ascii="宋体" w:hAnsi="宋体" w:eastAsia="宋体" w:cs="宋体"/>
                <w:color w:val="auto"/>
                <w:sz w:val="21"/>
                <w:szCs w:val="21"/>
                <w:highlight w:val="none"/>
              </w:rPr>
              <w:t>，急时可转换为急救类车辆。</w:t>
            </w:r>
            <w:r>
              <w:rPr>
                <w:rFonts w:hint="eastAsia" w:ascii="宋体" w:hAnsi="宋体" w:eastAsia="宋体" w:cs="宋体"/>
                <w:color w:val="auto"/>
                <w:kern w:val="0"/>
                <w:sz w:val="21"/>
                <w:szCs w:val="21"/>
                <w:highlight w:val="none"/>
              </w:rPr>
              <w:t>车辆的设计、运行、电气、消防、环保、节能、安全和无障碍等各专业设计应符合国家、地方的相关建设标准、规范和文件要求等。</w:t>
            </w:r>
          </w:p>
        </w:tc>
      </w:tr>
      <w:tr w14:paraId="06223D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449A3B3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1.2</w:t>
            </w:r>
          </w:p>
        </w:tc>
        <w:tc>
          <w:tcPr>
            <w:tcW w:w="1995" w:type="dxa"/>
            <w:vAlign w:val="center"/>
          </w:tcPr>
          <w:p w14:paraId="2E77CA07">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车辆产品信息</w:t>
            </w:r>
          </w:p>
        </w:tc>
        <w:tc>
          <w:tcPr>
            <w:tcW w:w="5600" w:type="dxa"/>
            <w:vAlign w:val="center"/>
          </w:tcPr>
          <w:p w14:paraId="338F5A44">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所投车辆为工业和信息化部（原国家发改委）《车辆生产企业及产品公告目录》内的产品（提交车辆生产企业及产品公告目录复印件并标出所投车辆）。所投车辆产品信息以投标截止之日前的公告目录信息为准。</w:t>
            </w:r>
          </w:p>
        </w:tc>
      </w:tr>
      <w:tr w14:paraId="0F45C7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36B5C44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w:t>
            </w:r>
          </w:p>
        </w:tc>
        <w:tc>
          <w:tcPr>
            <w:tcW w:w="1995" w:type="dxa"/>
            <w:vAlign w:val="center"/>
          </w:tcPr>
          <w:p w14:paraId="518300C0">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车辆技术要求</w:t>
            </w:r>
          </w:p>
        </w:tc>
        <w:tc>
          <w:tcPr>
            <w:tcW w:w="5600" w:type="dxa"/>
            <w:vAlign w:val="center"/>
          </w:tcPr>
          <w:p w14:paraId="62F78895">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p>
        </w:tc>
      </w:tr>
      <w:tr w14:paraId="6206E8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6E8FDF7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995" w:type="dxa"/>
            <w:vAlign w:val="center"/>
          </w:tcPr>
          <w:p w14:paraId="49F3B2FF">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外形尺寸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指最外端测量距离</w:t>
            </w:r>
            <w:r>
              <w:rPr>
                <w:rFonts w:hint="eastAsia" w:ascii="宋体" w:hAnsi="宋体" w:eastAsia="宋体" w:cs="宋体"/>
                <w:color w:val="auto"/>
                <w:sz w:val="21"/>
                <w:szCs w:val="21"/>
                <w:highlight w:val="none"/>
                <w:lang w:eastAsia="zh-CN"/>
              </w:rPr>
              <w:t>）</w:t>
            </w:r>
          </w:p>
        </w:tc>
        <w:tc>
          <w:tcPr>
            <w:tcW w:w="5600" w:type="dxa"/>
            <w:vAlign w:val="center"/>
          </w:tcPr>
          <w:p w14:paraId="0C983C7C">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6000mm＞长≥5900mm、21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0mm≥宽≥2000mm、2900mm≥高≥2700mm</w:t>
            </w:r>
          </w:p>
        </w:tc>
      </w:tr>
      <w:tr w14:paraId="7EDE9E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2DD3FCF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995" w:type="dxa"/>
            <w:vAlign w:val="center"/>
          </w:tcPr>
          <w:p w14:paraId="48B6F1DF">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医疗舱尺度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指最窄处测量距离</w:t>
            </w:r>
            <w:r>
              <w:rPr>
                <w:rFonts w:hint="eastAsia" w:ascii="宋体" w:hAnsi="宋体" w:eastAsia="宋体" w:cs="宋体"/>
                <w:color w:val="auto"/>
                <w:sz w:val="21"/>
                <w:szCs w:val="21"/>
                <w:highlight w:val="none"/>
                <w:lang w:eastAsia="zh-CN"/>
              </w:rPr>
              <w:t>）</w:t>
            </w:r>
          </w:p>
        </w:tc>
        <w:tc>
          <w:tcPr>
            <w:tcW w:w="5600" w:type="dxa"/>
            <w:vAlign w:val="center"/>
          </w:tcPr>
          <w:p w14:paraId="03949F5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长≥3300mm、宽≥1700mm、高≥1800mm</w:t>
            </w:r>
          </w:p>
        </w:tc>
      </w:tr>
      <w:tr w14:paraId="5E4720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3E4821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95" w:type="dxa"/>
            <w:vAlign w:val="center"/>
          </w:tcPr>
          <w:p w14:paraId="0198F46E">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轴距</w:t>
            </w:r>
          </w:p>
        </w:tc>
        <w:tc>
          <w:tcPr>
            <w:tcW w:w="5600" w:type="dxa"/>
            <w:vAlign w:val="center"/>
          </w:tcPr>
          <w:p w14:paraId="62FFEC20">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3700</w:t>
            </w:r>
            <w:r>
              <w:rPr>
                <w:rFonts w:hint="eastAsia" w:ascii="宋体" w:hAnsi="宋体" w:eastAsia="宋体" w:cs="宋体"/>
                <w:color w:val="auto"/>
                <w:kern w:val="0"/>
                <w:sz w:val="21"/>
                <w:szCs w:val="21"/>
                <w:highlight w:val="none"/>
              </w:rPr>
              <w:t>mm</w:t>
            </w:r>
          </w:p>
        </w:tc>
      </w:tr>
      <w:tr w14:paraId="0E0BB7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7217EBD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995" w:type="dxa"/>
            <w:vAlign w:val="center"/>
          </w:tcPr>
          <w:p w14:paraId="7BCFA49F">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最高时速</w:t>
            </w:r>
          </w:p>
        </w:tc>
        <w:tc>
          <w:tcPr>
            <w:tcW w:w="5600" w:type="dxa"/>
            <w:vAlign w:val="center"/>
          </w:tcPr>
          <w:p w14:paraId="1EEDAEC0">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140</w:t>
            </w:r>
            <w:r>
              <w:rPr>
                <w:rFonts w:hint="eastAsia" w:ascii="宋体" w:hAnsi="宋体" w:eastAsia="宋体" w:cs="宋体"/>
                <w:color w:val="auto"/>
                <w:kern w:val="0"/>
                <w:sz w:val="21"/>
                <w:szCs w:val="21"/>
                <w:highlight w:val="none"/>
              </w:rPr>
              <w:t>KM/h</w:t>
            </w:r>
          </w:p>
        </w:tc>
      </w:tr>
      <w:tr w14:paraId="164C3B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165E340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995" w:type="dxa"/>
            <w:vAlign w:val="center"/>
          </w:tcPr>
          <w:p w14:paraId="33F17FA3">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整备质量</w:t>
            </w:r>
          </w:p>
        </w:tc>
        <w:tc>
          <w:tcPr>
            <w:tcW w:w="5600" w:type="dxa"/>
            <w:vAlign w:val="center"/>
          </w:tcPr>
          <w:p w14:paraId="09BDB3C2">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3100</w:t>
            </w:r>
            <w:r>
              <w:rPr>
                <w:rFonts w:hint="eastAsia" w:ascii="宋体" w:hAnsi="宋体" w:eastAsia="宋体" w:cs="宋体"/>
                <w:color w:val="auto"/>
                <w:kern w:val="0"/>
                <w:sz w:val="21"/>
                <w:szCs w:val="21"/>
                <w:highlight w:val="none"/>
              </w:rPr>
              <w:t>Kg</w:t>
            </w:r>
          </w:p>
        </w:tc>
      </w:tr>
      <w:tr w14:paraId="779687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1C87200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995" w:type="dxa"/>
            <w:vAlign w:val="center"/>
          </w:tcPr>
          <w:p w14:paraId="27AC18AD">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总质量</w:t>
            </w:r>
          </w:p>
        </w:tc>
        <w:tc>
          <w:tcPr>
            <w:tcW w:w="5600" w:type="dxa"/>
            <w:vAlign w:val="center"/>
          </w:tcPr>
          <w:p w14:paraId="2A5B8D76">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4000</w:t>
            </w:r>
            <w:r>
              <w:rPr>
                <w:rFonts w:hint="eastAsia" w:ascii="宋体" w:hAnsi="宋体" w:eastAsia="宋体" w:cs="宋体"/>
                <w:color w:val="auto"/>
                <w:kern w:val="0"/>
                <w:sz w:val="21"/>
                <w:szCs w:val="21"/>
                <w:highlight w:val="none"/>
              </w:rPr>
              <w:t>Kg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4500KG</w:t>
            </w:r>
          </w:p>
        </w:tc>
      </w:tr>
      <w:tr w14:paraId="27D6E9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38BFF78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995" w:type="dxa"/>
            <w:vAlign w:val="center"/>
          </w:tcPr>
          <w:p w14:paraId="66A731FC">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最小转弯直径</w:t>
            </w:r>
          </w:p>
        </w:tc>
        <w:tc>
          <w:tcPr>
            <w:tcW w:w="5600" w:type="dxa"/>
            <w:vAlign w:val="center"/>
          </w:tcPr>
          <w:p w14:paraId="220756BE">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＜14m</w:t>
            </w:r>
          </w:p>
        </w:tc>
      </w:tr>
      <w:tr w14:paraId="3D42B6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18C5B16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995" w:type="dxa"/>
            <w:vAlign w:val="center"/>
          </w:tcPr>
          <w:p w14:paraId="16E11FCC">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变速器</w:t>
            </w:r>
          </w:p>
        </w:tc>
        <w:tc>
          <w:tcPr>
            <w:tcW w:w="5600" w:type="dxa"/>
            <w:vAlign w:val="center"/>
          </w:tcPr>
          <w:p w14:paraId="77636D1C">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6档手动变速箱或自动变速箱</w:t>
            </w:r>
          </w:p>
        </w:tc>
      </w:tr>
      <w:tr w14:paraId="7D1020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4ADF90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995" w:type="dxa"/>
            <w:vAlign w:val="center"/>
          </w:tcPr>
          <w:p w14:paraId="2CEDCB9E">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排量</w:t>
            </w:r>
          </w:p>
        </w:tc>
        <w:tc>
          <w:tcPr>
            <w:tcW w:w="5600" w:type="dxa"/>
            <w:vAlign w:val="center"/>
          </w:tcPr>
          <w:p w14:paraId="4ED2A431">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≥2200ML</w:t>
            </w:r>
          </w:p>
        </w:tc>
      </w:tr>
      <w:tr w14:paraId="658600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5E77480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w:t>
            </w:r>
          </w:p>
        </w:tc>
        <w:tc>
          <w:tcPr>
            <w:tcW w:w="1995" w:type="dxa"/>
            <w:vAlign w:val="center"/>
          </w:tcPr>
          <w:p w14:paraId="270CD076">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燃油类型</w:t>
            </w:r>
          </w:p>
        </w:tc>
        <w:tc>
          <w:tcPr>
            <w:tcW w:w="5600" w:type="dxa"/>
            <w:vAlign w:val="center"/>
          </w:tcPr>
          <w:p w14:paraId="66CF0A7E">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柴油</w:t>
            </w:r>
          </w:p>
        </w:tc>
      </w:tr>
      <w:tr w14:paraId="51DA41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0A09ADF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995" w:type="dxa"/>
            <w:vAlign w:val="center"/>
          </w:tcPr>
          <w:p w14:paraId="2FA6A4D9">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百公里综合油耗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指手动油耗）</w:t>
            </w:r>
          </w:p>
        </w:tc>
        <w:tc>
          <w:tcPr>
            <w:tcW w:w="5600" w:type="dxa"/>
            <w:vAlign w:val="center"/>
          </w:tcPr>
          <w:p w14:paraId="7DC8F8B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≤9.5L</w:t>
            </w:r>
          </w:p>
        </w:tc>
      </w:tr>
      <w:tr w14:paraId="2B187C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1A73485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1995" w:type="dxa"/>
            <w:vAlign w:val="center"/>
          </w:tcPr>
          <w:p w14:paraId="23436B32">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油箱容量</w:t>
            </w:r>
          </w:p>
        </w:tc>
        <w:tc>
          <w:tcPr>
            <w:tcW w:w="5600" w:type="dxa"/>
            <w:vAlign w:val="center"/>
          </w:tcPr>
          <w:p w14:paraId="1796C28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≥80L</w:t>
            </w:r>
          </w:p>
        </w:tc>
      </w:tr>
      <w:tr w14:paraId="3415BB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462294D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1995" w:type="dxa"/>
            <w:vAlign w:val="center"/>
          </w:tcPr>
          <w:p w14:paraId="219BF5E6">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tc>
        <w:tc>
          <w:tcPr>
            <w:tcW w:w="5600" w:type="dxa"/>
            <w:vAlign w:val="center"/>
          </w:tcPr>
          <w:p w14:paraId="529EC6F8">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kern w:val="0"/>
                <w:sz w:val="21"/>
                <w:szCs w:val="21"/>
                <w:highlight w:val="none"/>
              </w:rPr>
              <w:t>≥12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Kw</w:t>
            </w:r>
          </w:p>
        </w:tc>
      </w:tr>
      <w:tr w14:paraId="701022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5A9CE3D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w:t>
            </w:r>
          </w:p>
        </w:tc>
        <w:tc>
          <w:tcPr>
            <w:tcW w:w="1995" w:type="dxa"/>
            <w:vAlign w:val="center"/>
          </w:tcPr>
          <w:p w14:paraId="11BCD6B6">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最大扭矩</w:t>
            </w:r>
          </w:p>
        </w:tc>
        <w:tc>
          <w:tcPr>
            <w:tcW w:w="5600" w:type="dxa"/>
            <w:vAlign w:val="center"/>
          </w:tcPr>
          <w:p w14:paraId="35649FA7">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0N.m</w:t>
            </w:r>
          </w:p>
        </w:tc>
      </w:tr>
      <w:tr w14:paraId="415CEE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1CE8945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w:t>
            </w:r>
          </w:p>
        </w:tc>
        <w:tc>
          <w:tcPr>
            <w:tcW w:w="1995" w:type="dxa"/>
            <w:vAlign w:val="center"/>
          </w:tcPr>
          <w:p w14:paraId="35FED004">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型式</w:t>
            </w:r>
          </w:p>
        </w:tc>
        <w:tc>
          <w:tcPr>
            <w:tcW w:w="5600" w:type="dxa"/>
            <w:vAlign w:val="center"/>
          </w:tcPr>
          <w:p w14:paraId="191571DF">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直列四缸。</w:t>
            </w:r>
          </w:p>
        </w:tc>
      </w:tr>
      <w:tr w14:paraId="23356A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540FCC9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w:t>
            </w:r>
          </w:p>
        </w:tc>
        <w:tc>
          <w:tcPr>
            <w:tcW w:w="1995" w:type="dxa"/>
            <w:vAlign w:val="center"/>
          </w:tcPr>
          <w:p w14:paraId="438AE722">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排放标准</w:t>
            </w:r>
          </w:p>
        </w:tc>
        <w:tc>
          <w:tcPr>
            <w:tcW w:w="5600" w:type="dxa"/>
            <w:vAlign w:val="center"/>
          </w:tcPr>
          <w:p w14:paraId="00845E83">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尾气排放符合国VI标准。</w:t>
            </w:r>
          </w:p>
        </w:tc>
      </w:tr>
      <w:tr w14:paraId="5924BB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540532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w:t>
            </w:r>
          </w:p>
        </w:tc>
        <w:tc>
          <w:tcPr>
            <w:tcW w:w="1995" w:type="dxa"/>
            <w:vAlign w:val="center"/>
          </w:tcPr>
          <w:p w14:paraId="2A204A84">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发电机</w:t>
            </w:r>
          </w:p>
        </w:tc>
        <w:tc>
          <w:tcPr>
            <w:tcW w:w="5600" w:type="dxa"/>
            <w:vAlign w:val="center"/>
          </w:tcPr>
          <w:p w14:paraId="718AC4A1">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电压</w:t>
            </w:r>
            <w:r>
              <w:rPr>
                <w:rFonts w:hint="eastAsia" w:ascii="宋体" w:hAnsi="宋体" w:eastAsia="宋体" w:cs="宋体"/>
                <w:color w:val="auto"/>
                <w:sz w:val="21"/>
                <w:szCs w:val="21"/>
                <w:highlight w:val="none"/>
              </w:rPr>
              <w:t>为12V，功率为</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120A。</w:t>
            </w:r>
          </w:p>
        </w:tc>
      </w:tr>
      <w:tr w14:paraId="4401AA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14F7972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w:t>
            </w:r>
          </w:p>
        </w:tc>
        <w:tc>
          <w:tcPr>
            <w:tcW w:w="1995" w:type="dxa"/>
            <w:vAlign w:val="center"/>
          </w:tcPr>
          <w:p w14:paraId="26E5B8CE">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驱动型式</w:t>
            </w:r>
          </w:p>
        </w:tc>
        <w:tc>
          <w:tcPr>
            <w:tcW w:w="5600" w:type="dxa"/>
            <w:vAlign w:val="center"/>
          </w:tcPr>
          <w:p w14:paraId="1A3E72EF">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4*2后轮驱动</w:t>
            </w:r>
          </w:p>
        </w:tc>
      </w:tr>
      <w:tr w14:paraId="1E929F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00DCC7D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w:t>
            </w:r>
          </w:p>
        </w:tc>
        <w:tc>
          <w:tcPr>
            <w:tcW w:w="1995" w:type="dxa"/>
            <w:vAlign w:val="center"/>
          </w:tcPr>
          <w:p w14:paraId="0D5B897F">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悬架系统</w:t>
            </w:r>
          </w:p>
        </w:tc>
        <w:tc>
          <w:tcPr>
            <w:tcW w:w="5600" w:type="dxa"/>
            <w:vAlign w:val="center"/>
          </w:tcPr>
          <w:p w14:paraId="0A8AEF6D">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麦弗逊式独立前悬/</w:t>
            </w:r>
            <w:r>
              <w:rPr>
                <w:rFonts w:hint="eastAsia" w:ascii="宋体" w:hAnsi="宋体" w:eastAsia="宋体" w:cs="宋体"/>
                <w:color w:val="auto"/>
                <w:spacing w:val="1"/>
                <w:sz w:val="21"/>
                <w:szCs w:val="21"/>
                <w:highlight w:val="none"/>
              </w:rPr>
              <w:t>钢板弹簧式</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双叉臂多连杆</w:t>
            </w:r>
            <w:r>
              <w:rPr>
                <w:rFonts w:hint="eastAsia" w:ascii="宋体" w:hAnsi="宋体" w:eastAsia="宋体" w:cs="宋体"/>
                <w:color w:val="auto"/>
                <w:sz w:val="21"/>
                <w:szCs w:val="21"/>
                <w:highlight w:val="none"/>
                <w:lang w:val="en-US" w:eastAsia="zh-CN"/>
              </w:rPr>
              <w:t>后悬</w:t>
            </w:r>
          </w:p>
        </w:tc>
      </w:tr>
      <w:tr w14:paraId="4FD82E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1753D23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w:t>
            </w:r>
          </w:p>
        </w:tc>
        <w:tc>
          <w:tcPr>
            <w:tcW w:w="1995" w:type="dxa"/>
            <w:vAlign w:val="center"/>
          </w:tcPr>
          <w:p w14:paraId="6FA01706">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制动系统</w:t>
            </w:r>
          </w:p>
        </w:tc>
        <w:tc>
          <w:tcPr>
            <w:tcW w:w="5600" w:type="dxa"/>
            <w:vAlign w:val="center"/>
          </w:tcPr>
          <w:p w14:paraId="1FAABEC8">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前盘式/后盘式，具备ABS刹车防抱死系统、EBD电子制动分配系统、刹车辅助系统、牵引力控制系统、车身稳定控制系统。</w:t>
            </w:r>
          </w:p>
        </w:tc>
      </w:tr>
      <w:tr w14:paraId="54F4C1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192870A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995" w:type="dxa"/>
            <w:vAlign w:val="center"/>
          </w:tcPr>
          <w:p w14:paraId="2AF42319">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空调系统</w:t>
            </w:r>
          </w:p>
        </w:tc>
        <w:tc>
          <w:tcPr>
            <w:tcW w:w="5600" w:type="dxa"/>
            <w:vAlign w:val="center"/>
          </w:tcPr>
          <w:p w14:paraId="5A774160">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p>
        </w:tc>
      </w:tr>
      <w:tr w14:paraId="096E3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2EC12D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2.21.1</w:t>
            </w:r>
          </w:p>
        </w:tc>
        <w:tc>
          <w:tcPr>
            <w:tcW w:w="1995" w:type="dxa"/>
            <w:vAlign w:val="center"/>
          </w:tcPr>
          <w:p w14:paraId="242D2B9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驻车空调</w:t>
            </w:r>
          </w:p>
        </w:tc>
        <w:tc>
          <w:tcPr>
            <w:tcW w:w="5600" w:type="dxa"/>
            <w:vAlign w:val="center"/>
          </w:tcPr>
          <w:p w14:paraId="1DAB5F0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车顶装载驻车空调，</w:t>
            </w:r>
            <w:r>
              <w:rPr>
                <w:rFonts w:hint="eastAsia" w:ascii="宋体" w:hAnsi="宋体" w:eastAsia="宋体" w:cs="宋体"/>
                <w:color w:val="auto"/>
                <w:sz w:val="21"/>
                <w:szCs w:val="21"/>
                <w:highlight w:val="none"/>
              </w:rPr>
              <w:t>冷暖独立型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制冷能力≥3000W</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制热能力≥1600W。</w:t>
            </w:r>
            <w:r>
              <w:rPr>
                <w:rFonts w:hint="eastAsia" w:ascii="宋体" w:hAnsi="宋体" w:eastAsia="宋体" w:cs="宋体"/>
                <w:color w:val="auto"/>
                <w:spacing w:val="4"/>
                <w:sz w:val="21"/>
                <w:szCs w:val="21"/>
                <w:highlight w:val="none"/>
                <w:lang w:val="en-US" w:eastAsia="zh-CN"/>
              </w:rPr>
              <w:t>能</w:t>
            </w:r>
            <w:r>
              <w:rPr>
                <w:rFonts w:hint="eastAsia" w:ascii="宋体" w:hAnsi="宋体" w:eastAsia="宋体" w:cs="宋体"/>
                <w:color w:val="auto"/>
                <w:spacing w:val="4"/>
                <w:sz w:val="21"/>
                <w:szCs w:val="21"/>
                <w:highlight w:val="none"/>
              </w:rPr>
              <w:t>外接220V供电</w:t>
            </w:r>
          </w:p>
        </w:tc>
      </w:tr>
      <w:tr w14:paraId="01B37D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0CF38EC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2.21.2</w:t>
            </w:r>
          </w:p>
        </w:tc>
        <w:tc>
          <w:tcPr>
            <w:tcW w:w="1995" w:type="dxa"/>
            <w:vAlign w:val="center"/>
          </w:tcPr>
          <w:p w14:paraId="117496A2">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行车空调</w:t>
            </w:r>
          </w:p>
        </w:tc>
        <w:tc>
          <w:tcPr>
            <w:tcW w:w="5600" w:type="dxa"/>
            <w:vAlign w:val="center"/>
          </w:tcPr>
          <w:p w14:paraId="47F45F2E">
            <w:pPr>
              <w:keepNext w:val="0"/>
              <w:keepLines w:val="0"/>
              <w:pageBreakBefore w:val="0"/>
              <w:suppressLineNumbers w:val="0"/>
              <w:kinsoku/>
              <w:wordWrap/>
              <w:overflowPunct/>
              <w:topLinePunct w:val="0"/>
              <w:autoSpaceDE/>
              <w:autoSpaceDN/>
              <w:bidi w:val="0"/>
              <w:adjustRightIn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配置原车独立行车空调和原车暖风机</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合理设置出风口位置。</w:t>
            </w:r>
          </w:p>
        </w:tc>
      </w:tr>
      <w:tr w14:paraId="25B37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702CA5B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995" w:type="dxa"/>
            <w:vAlign w:val="center"/>
          </w:tcPr>
          <w:p w14:paraId="3BA909C8">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整车电磁兼容性要求</w:t>
            </w:r>
          </w:p>
        </w:tc>
        <w:tc>
          <w:tcPr>
            <w:tcW w:w="5600" w:type="dxa"/>
            <w:vAlign w:val="center"/>
          </w:tcPr>
          <w:p w14:paraId="415D9C30">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w:t>
            </w:r>
            <w:r>
              <w:rPr>
                <w:rFonts w:hint="eastAsia" w:ascii="宋体" w:hAnsi="宋体" w:eastAsia="宋体" w:cs="宋体"/>
                <w:color w:val="auto"/>
                <w:sz w:val="21"/>
                <w:szCs w:val="21"/>
                <w:highlight w:val="none"/>
              </w:rPr>
              <w:t>车辆、电气系统、车载医疗设备和信息化设备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电磁兼容性须满足GB34660-2017《道路车辆电磁兼容性要求和实验方法》</w:t>
            </w:r>
          </w:p>
        </w:tc>
      </w:tr>
      <w:tr w14:paraId="63B3D7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418111D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1995" w:type="dxa"/>
            <w:vAlign w:val="center"/>
          </w:tcPr>
          <w:p w14:paraId="1B98CA53">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其他配置</w:t>
            </w:r>
          </w:p>
        </w:tc>
        <w:tc>
          <w:tcPr>
            <w:tcW w:w="5600" w:type="dxa"/>
            <w:vAlign w:val="center"/>
          </w:tcPr>
          <w:p w14:paraId="7879C800">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p>
        </w:tc>
      </w:tr>
      <w:tr w14:paraId="4FD2B6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470E3DC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2.23.1</w:t>
            </w:r>
          </w:p>
        </w:tc>
        <w:tc>
          <w:tcPr>
            <w:tcW w:w="1995" w:type="dxa"/>
            <w:vAlign w:val="center"/>
          </w:tcPr>
          <w:p w14:paraId="5DEE14C9">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安全气囊</w:t>
            </w:r>
          </w:p>
        </w:tc>
        <w:tc>
          <w:tcPr>
            <w:tcW w:w="5600" w:type="dxa"/>
            <w:vAlign w:val="center"/>
          </w:tcPr>
          <w:p w14:paraId="1909D75A">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正副驾驶座均配有安全气囊。</w:t>
            </w:r>
          </w:p>
        </w:tc>
      </w:tr>
      <w:tr w14:paraId="2D1760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1DAF711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2.23.2</w:t>
            </w:r>
          </w:p>
        </w:tc>
        <w:tc>
          <w:tcPr>
            <w:tcW w:w="1995" w:type="dxa"/>
            <w:vAlign w:val="center"/>
          </w:tcPr>
          <w:p w14:paraId="416E25E6">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轮毂</w:t>
            </w:r>
          </w:p>
        </w:tc>
        <w:tc>
          <w:tcPr>
            <w:tcW w:w="5600" w:type="dxa"/>
            <w:vAlign w:val="center"/>
          </w:tcPr>
          <w:p w14:paraId="065BA877">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轮毂为235/65R16C铝合金轮毂。</w:t>
            </w:r>
          </w:p>
        </w:tc>
      </w:tr>
      <w:tr w14:paraId="2CE8C8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6B72B33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2.23.3</w:t>
            </w:r>
          </w:p>
        </w:tc>
        <w:tc>
          <w:tcPr>
            <w:tcW w:w="1995" w:type="dxa"/>
            <w:vAlign w:val="center"/>
          </w:tcPr>
          <w:p w14:paraId="0F36F642">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踏板</w:t>
            </w:r>
          </w:p>
        </w:tc>
        <w:tc>
          <w:tcPr>
            <w:tcW w:w="5600" w:type="dxa"/>
            <w:vAlign w:val="center"/>
          </w:tcPr>
          <w:p w14:paraId="632BF1C0">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医疗舱右侧侧拉门处安装伸缩电动上车踏板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每级踏板高度符合老年人上下需要</w:t>
            </w:r>
            <w:r>
              <w:rPr>
                <w:rFonts w:hint="eastAsia" w:ascii="宋体" w:hAnsi="宋体" w:eastAsia="宋体" w:cs="宋体"/>
                <w:color w:val="auto"/>
                <w:sz w:val="21"/>
                <w:szCs w:val="21"/>
                <w:highlight w:val="none"/>
              </w:rPr>
              <w:t>。</w:t>
            </w:r>
          </w:p>
        </w:tc>
      </w:tr>
      <w:tr w14:paraId="1F35AD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2A3EA7A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2.23.4</w:t>
            </w:r>
          </w:p>
        </w:tc>
        <w:tc>
          <w:tcPr>
            <w:tcW w:w="1995" w:type="dxa"/>
            <w:vAlign w:val="center"/>
          </w:tcPr>
          <w:p w14:paraId="699EA6D9">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后视镜</w:t>
            </w:r>
          </w:p>
        </w:tc>
        <w:tc>
          <w:tcPr>
            <w:tcW w:w="5600" w:type="dxa"/>
            <w:vAlign w:val="center"/>
          </w:tcPr>
          <w:p w14:paraId="467B2522">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配备</w:t>
            </w:r>
            <w:r>
              <w:rPr>
                <w:rFonts w:hint="eastAsia" w:ascii="宋体" w:hAnsi="宋体" w:eastAsia="宋体" w:cs="宋体"/>
                <w:color w:val="auto"/>
                <w:sz w:val="21"/>
                <w:szCs w:val="21"/>
                <w:highlight w:val="none"/>
              </w:rPr>
              <w:t>电动可调后视镜。</w:t>
            </w:r>
          </w:p>
        </w:tc>
      </w:tr>
      <w:tr w14:paraId="7DDBC2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44B7BCC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2.23.5</w:t>
            </w:r>
          </w:p>
        </w:tc>
        <w:tc>
          <w:tcPr>
            <w:tcW w:w="1995" w:type="dxa"/>
            <w:vAlign w:val="center"/>
          </w:tcPr>
          <w:p w14:paraId="491EE7AF">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车窗</w:t>
            </w:r>
          </w:p>
        </w:tc>
        <w:tc>
          <w:tcPr>
            <w:tcW w:w="5600" w:type="dxa"/>
            <w:vAlign w:val="center"/>
          </w:tcPr>
          <w:p w14:paraId="5FBA05EF">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医疗舱右侧侧拉门上为可开启式玻璃窗。</w:t>
            </w:r>
          </w:p>
        </w:tc>
      </w:tr>
      <w:tr w14:paraId="339922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022D743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2.23.6</w:t>
            </w:r>
          </w:p>
        </w:tc>
        <w:tc>
          <w:tcPr>
            <w:tcW w:w="1995" w:type="dxa"/>
            <w:vAlign w:val="center"/>
          </w:tcPr>
          <w:p w14:paraId="6B218900">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倒车雷达</w:t>
            </w:r>
          </w:p>
        </w:tc>
        <w:tc>
          <w:tcPr>
            <w:tcW w:w="5600" w:type="dxa"/>
            <w:vAlign w:val="center"/>
          </w:tcPr>
          <w:p w14:paraId="600A3E3E">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配备三点式及以上的前后倒车雷达。</w:t>
            </w:r>
          </w:p>
        </w:tc>
      </w:tr>
      <w:tr w14:paraId="70207A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59122A5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2.23.7</w:t>
            </w:r>
          </w:p>
        </w:tc>
        <w:tc>
          <w:tcPr>
            <w:tcW w:w="1995" w:type="dxa"/>
            <w:vAlign w:val="center"/>
          </w:tcPr>
          <w:p w14:paraId="4A0DF304">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倒车影像</w:t>
            </w:r>
          </w:p>
        </w:tc>
        <w:tc>
          <w:tcPr>
            <w:tcW w:w="5600" w:type="dxa"/>
            <w:vAlign w:val="center"/>
          </w:tcPr>
          <w:p w14:paraId="2571B076">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配备倒车影像系统。</w:t>
            </w:r>
          </w:p>
        </w:tc>
      </w:tr>
      <w:tr w14:paraId="0B8F4D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1CA6377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2.23.8</w:t>
            </w:r>
          </w:p>
        </w:tc>
        <w:tc>
          <w:tcPr>
            <w:tcW w:w="1995" w:type="dxa"/>
            <w:vAlign w:val="center"/>
          </w:tcPr>
          <w:p w14:paraId="30BFBDCE">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遮阳棚</w:t>
            </w:r>
          </w:p>
        </w:tc>
        <w:tc>
          <w:tcPr>
            <w:tcW w:w="5600" w:type="dxa"/>
            <w:vAlign w:val="center"/>
          </w:tcPr>
          <w:p w14:paraId="35B088AB">
            <w:pPr>
              <w:keepNext w:val="0"/>
              <w:keepLines w:val="0"/>
              <w:pageBreakBefore w:val="0"/>
              <w:suppressLineNumbers w:val="0"/>
              <w:tabs>
                <w:tab w:val="left" w:pos="631"/>
                <w:tab w:val="left" w:pos="1891"/>
                <w:tab w:val="left" w:pos="9394"/>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配备电动伸缩遮阳棚长≥3m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伸展≥2.5m。配有立式支撑杆和应急手动收放装置</w:t>
            </w:r>
          </w:p>
        </w:tc>
      </w:tr>
    </w:tbl>
    <w:p w14:paraId="1D3473DC">
      <w:pPr>
        <w:keepNext w:val="0"/>
        <w:keepLines w:val="0"/>
        <w:pageBreakBefore w:val="0"/>
        <w:widowControl w:val="0"/>
        <w:kinsoku/>
        <w:wordWrap/>
        <w:overflowPunct/>
        <w:topLinePunct w:val="0"/>
        <w:autoSpaceDE/>
        <w:autoSpaceDN/>
        <w:bidi w:val="0"/>
        <w:adjustRightInd/>
        <w:snapToGrid/>
        <w:spacing w:beforeAutospacing="0" w:line="360" w:lineRule="exact"/>
        <w:textAlignment w:val="auto"/>
        <w:rPr>
          <w:rFonts w:hint="eastAsia" w:ascii="宋体" w:hAnsi="宋体" w:eastAsia="宋体" w:cs="宋体"/>
          <w:b/>
          <w:bCs/>
          <w:spacing w:val="5"/>
          <w:kern w:val="0"/>
          <w:sz w:val="21"/>
          <w:szCs w:val="21"/>
          <w:highlight w:val="none"/>
          <w:lang w:val="en-US" w:eastAsia="zh-CN" w:bidi="ar-SA"/>
        </w:rPr>
      </w:pPr>
    </w:p>
    <w:p w14:paraId="2AA252D1">
      <w:pPr>
        <w:pStyle w:val="97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firstLine="0" w:firstLineChars="0"/>
        <w:textAlignment w:val="auto"/>
        <w:rPr>
          <w:rFonts w:hint="eastAsia" w:ascii="宋体" w:hAnsi="宋体" w:eastAsia="宋体" w:cs="宋体"/>
          <w:b/>
          <w:bCs/>
          <w:spacing w:val="5"/>
          <w:kern w:val="0"/>
          <w:sz w:val="21"/>
          <w:szCs w:val="21"/>
          <w:highlight w:val="none"/>
          <w:lang w:val="en-US" w:eastAsia="zh-CN" w:bidi="ar-SA"/>
        </w:rPr>
      </w:pPr>
      <w:r>
        <w:rPr>
          <w:rFonts w:hint="eastAsia" w:ascii="宋体" w:hAnsi="宋体" w:eastAsia="宋体" w:cs="宋体"/>
          <w:b/>
          <w:bCs/>
          <w:spacing w:val="5"/>
          <w:kern w:val="0"/>
          <w:sz w:val="21"/>
          <w:szCs w:val="21"/>
          <w:highlight w:val="none"/>
          <w:lang w:val="en-US" w:eastAsia="zh-CN" w:bidi="ar-SA"/>
        </w:rPr>
        <w:t>（二）医疗舱及改装要求</w:t>
      </w:r>
    </w:p>
    <w:tbl>
      <w:tblPr>
        <w:tblStyle w:val="64"/>
        <w:tblW w:w="853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582"/>
        <w:gridCol w:w="5926"/>
      </w:tblGrid>
      <w:tr w14:paraId="5D7ACE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30" w:type="dxa"/>
            <w:vAlign w:val="center"/>
          </w:tcPr>
          <w:p w14:paraId="7F99E688">
            <w:pPr>
              <w:keepNext w:val="0"/>
              <w:keepLines w:val="0"/>
              <w:pageBreakBefore w:val="0"/>
              <w:widowControl w:val="0"/>
              <w:suppressLineNumbers w:val="0"/>
              <w:tabs>
                <w:tab w:val="left" w:pos="631"/>
                <w:tab w:val="left" w:pos="1891"/>
                <w:tab w:val="left" w:pos="9394"/>
              </w:tabs>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
                <w:bCs/>
                <w:color w:val="auto"/>
                <w:sz w:val="21"/>
                <w:szCs w:val="21"/>
                <w:highlight w:val="none"/>
              </w:rPr>
            </w:pPr>
            <w:bookmarkStart w:id="30" w:name="_Toc44162155"/>
            <w:r>
              <w:rPr>
                <w:rFonts w:hint="eastAsia" w:ascii="宋体" w:hAnsi="宋体" w:eastAsia="宋体" w:cs="宋体"/>
                <w:b/>
                <w:bCs/>
                <w:color w:val="auto"/>
                <w:sz w:val="21"/>
                <w:szCs w:val="21"/>
                <w:highlight w:val="none"/>
              </w:rPr>
              <w:t>序号</w:t>
            </w:r>
          </w:p>
        </w:tc>
        <w:tc>
          <w:tcPr>
            <w:tcW w:w="1582" w:type="dxa"/>
            <w:vAlign w:val="center"/>
          </w:tcPr>
          <w:p w14:paraId="66EF792F">
            <w:pPr>
              <w:keepNext w:val="0"/>
              <w:keepLines w:val="0"/>
              <w:pageBreakBefore w:val="0"/>
              <w:widowControl w:val="0"/>
              <w:suppressLineNumbers w:val="0"/>
              <w:tabs>
                <w:tab w:val="left" w:pos="631"/>
                <w:tab w:val="left" w:pos="1891"/>
                <w:tab w:val="left" w:pos="9394"/>
              </w:tabs>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货物名称</w:t>
            </w:r>
          </w:p>
        </w:tc>
        <w:tc>
          <w:tcPr>
            <w:tcW w:w="5926" w:type="dxa"/>
            <w:vAlign w:val="center"/>
          </w:tcPr>
          <w:p w14:paraId="17D47FE0">
            <w:pPr>
              <w:keepNext w:val="0"/>
              <w:keepLines w:val="0"/>
              <w:pageBreakBefore w:val="0"/>
              <w:widowControl w:val="0"/>
              <w:suppressLineNumbers w:val="0"/>
              <w:tabs>
                <w:tab w:val="left" w:pos="631"/>
                <w:tab w:val="left" w:pos="1891"/>
                <w:tab w:val="left" w:pos="9394"/>
              </w:tabs>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技术规格要求</w:t>
            </w:r>
          </w:p>
        </w:tc>
      </w:tr>
      <w:tr w14:paraId="5EA1BB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5A527D4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7508" w:type="dxa"/>
            <w:gridSpan w:val="2"/>
            <w:vAlign w:val="center"/>
          </w:tcPr>
          <w:p w14:paraId="10B31922">
            <w:pPr>
              <w:keepNext w:val="0"/>
              <w:keepLines w:val="0"/>
              <w:pageBreakBefore w:val="0"/>
              <w:widowControl w:val="0"/>
              <w:suppressLineNumbers w:val="0"/>
              <w:tabs>
                <w:tab w:val="left" w:pos="631"/>
                <w:tab w:val="left" w:pos="1891"/>
                <w:tab w:val="left" w:pos="9394"/>
              </w:tabs>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医疗舱改造</w:t>
            </w:r>
          </w:p>
        </w:tc>
      </w:tr>
      <w:tr w14:paraId="584D73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7B9037A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582" w:type="dxa"/>
            <w:vAlign w:val="center"/>
          </w:tcPr>
          <w:p w14:paraId="4460E7A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医疗舱设计及结构</w:t>
            </w:r>
          </w:p>
        </w:tc>
        <w:tc>
          <w:tcPr>
            <w:tcW w:w="5926" w:type="dxa"/>
            <w:vAlign w:val="center"/>
          </w:tcPr>
          <w:p w14:paraId="0482226F">
            <w:pPr>
              <w:keepNext w:val="0"/>
              <w:keepLines w:val="0"/>
              <w:pageBreakBefore w:val="0"/>
              <w:widowControl w:val="0"/>
              <w:suppressLineNumbers w:val="0"/>
              <w:tabs>
                <w:tab w:val="left" w:pos="631"/>
                <w:tab w:val="left" w:pos="1891"/>
                <w:tab w:val="left" w:pos="9394"/>
              </w:tabs>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医疗舱应设有问诊区、检查区、采样化验区、配药区等区域，合理布置医疗器械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合理设计摆放和收纳方式，位置能相对固定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，并预留作业空间，</w:t>
            </w:r>
            <w:r>
              <w:rPr>
                <w:rFonts w:hint="eastAsia" w:ascii="宋体" w:hAnsi="宋体" w:eastAsia="宋体" w:cs="宋体"/>
                <w:color w:val="auto"/>
                <w:sz w:val="21"/>
                <w:szCs w:val="21"/>
                <w:highlight w:val="none"/>
                <w:lang w:val="en-US" w:eastAsia="zh-CN"/>
              </w:rPr>
              <w:t>工作台或壁挂摆放设备设施的位置能相对固定，且设置设备固定设计，避免或减轻使用过程中设备设施的移动。留有充足的电源插座等附件，且位置设计合理。</w:t>
            </w:r>
          </w:p>
          <w:p w14:paraId="171C907C">
            <w:pPr>
              <w:keepNext w:val="0"/>
              <w:keepLines w:val="0"/>
              <w:pageBreakBefore w:val="0"/>
              <w:widowControl w:val="0"/>
              <w:suppressLineNumbers w:val="0"/>
              <w:tabs>
                <w:tab w:val="left" w:pos="631"/>
                <w:tab w:val="left" w:pos="1891"/>
                <w:tab w:val="left" w:pos="9394"/>
              </w:tabs>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满足群众日常配药、检查检验、慢病管理和常见病诊疗服务、远程医疗等需求，设有辅助急救、适老化、宣教等功能。</w:t>
            </w:r>
          </w:p>
        </w:tc>
      </w:tr>
      <w:tr w14:paraId="3C1BDE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4A0246C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582" w:type="dxa"/>
            <w:vAlign w:val="center"/>
          </w:tcPr>
          <w:p w14:paraId="7838CD5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内饰材料及工艺</w:t>
            </w:r>
          </w:p>
        </w:tc>
        <w:tc>
          <w:tcPr>
            <w:tcW w:w="5926" w:type="dxa"/>
            <w:vAlign w:val="center"/>
          </w:tcPr>
          <w:p w14:paraId="71549EE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舱内饰（顶、左侧、右侧、中隔板、工作台面等覆盖件）材料表面应具有硬度高、光洁、抗菌、易清洗、可消毒、抗老化等功能。材料要求韧性强度高，避免在受碰撞时，内饰破裂对舱内人员造成伤害，同时内饰生产工艺应具备先进性和质量可靠性，应采用整体模具成型工艺，投标人需提供医疗舱内饰材料和内饰生产工艺的具体情况说明。内饰及结构件安装必须与车身固定连接，以利形成良好密封性和保温性。</w:t>
            </w:r>
          </w:p>
        </w:tc>
      </w:tr>
      <w:tr w14:paraId="033CD6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39BA523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582" w:type="dxa"/>
            <w:vAlign w:val="center"/>
          </w:tcPr>
          <w:p w14:paraId="4E7661E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内饰材料</w:t>
            </w:r>
            <w:r>
              <w:rPr>
                <w:rFonts w:hint="eastAsia" w:ascii="宋体" w:hAnsi="宋体" w:eastAsia="宋体" w:cs="宋体"/>
                <w:color w:val="auto"/>
                <w:sz w:val="21"/>
                <w:szCs w:val="21"/>
                <w:highlight w:val="none"/>
                <w:lang w:val="en-US" w:eastAsia="zh-CN"/>
              </w:rPr>
              <w:t>选择</w:t>
            </w:r>
          </w:p>
        </w:tc>
        <w:tc>
          <w:tcPr>
            <w:tcW w:w="5926" w:type="dxa"/>
            <w:vAlign w:val="center"/>
          </w:tcPr>
          <w:p w14:paraId="4BCDD76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医疗舱内饰材料禁用物质铅、镉、汞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六价铬、</w:t>
            </w:r>
            <w:r>
              <w:rPr>
                <w:rFonts w:hint="eastAsia" w:ascii="宋体" w:hAnsi="宋体" w:eastAsia="宋体" w:cs="宋体"/>
                <w:color w:val="auto"/>
                <w:sz w:val="21"/>
                <w:szCs w:val="21"/>
                <w:highlight w:val="none"/>
                <w:lang w:eastAsia="zh-CN"/>
              </w:rPr>
              <w:t>多溴联苯</w:t>
            </w:r>
            <w:r>
              <w:rPr>
                <w:rFonts w:hint="eastAsia" w:ascii="宋体" w:hAnsi="宋体" w:eastAsia="宋体" w:cs="宋体"/>
                <w:color w:val="auto"/>
                <w:sz w:val="21"/>
                <w:szCs w:val="21"/>
                <w:highlight w:val="none"/>
              </w:rPr>
              <w:t>、多溴二苯醚的含量应符合GB/T30512-2014的要求。</w:t>
            </w:r>
          </w:p>
        </w:tc>
      </w:tr>
      <w:tr w14:paraId="304855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3D31B2B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582" w:type="dxa"/>
            <w:vAlign w:val="center"/>
          </w:tcPr>
          <w:p w14:paraId="2C46B0E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内饰材料防火性能</w:t>
            </w:r>
          </w:p>
        </w:tc>
        <w:tc>
          <w:tcPr>
            <w:tcW w:w="5926" w:type="dxa"/>
            <w:vAlign w:val="center"/>
          </w:tcPr>
          <w:p w14:paraId="597F69C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医疗舱内饰材料的防火性能应符合GB8410－2006《汽车内饰材料的燃烧特性》的要求</w:t>
            </w:r>
          </w:p>
        </w:tc>
      </w:tr>
      <w:tr w14:paraId="42D6BF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1C8A3CB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582" w:type="dxa"/>
            <w:vAlign w:val="center"/>
          </w:tcPr>
          <w:p w14:paraId="405F80F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车辆防腐要求</w:t>
            </w:r>
          </w:p>
        </w:tc>
        <w:tc>
          <w:tcPr>
            <w:tcW w:w="5926" w:type="dxa"/>
            <w:vAlign w:val="center"/>
          </w:tcPr>
          <w:p w14:paraId="49945E6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车辆表面所有外露金属件应做防腐、防锈处理，车身涂层应符合QC/T 484的规定。车辆内部因改装需要的预埋件、加强件及连接件应采用不锈钢或铝合金等防腐材料制作</w:t>
            </w:r>
          </w:p>
        </w:tc>
      </w:tr>
      <w:tr w14:paraId="08A697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229392E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582" w:type="dxa"/>
            <w:vAlign w:val="center"/>
          </w:tcPr>
          <w:p w14:paraId="6D371E7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问诊区</w:t>
            </w:r>
          </w:p>
        </w:tc>
        <w:tc>
          <w:tcPr>
            <w:tcW w:w="5926" w:type="dxa"/>
            <w:vAlign w:val="center"/>
          </w:tcPr>
          <w:p w14:paraId="3436E97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问诊区设有检查桌1张，检查桌两侧设有医生椅及可移动圆凳椅各1把。各种设施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医疗检查设备摆放</w:t>
            </w:r>
            <w:r>
              <w:rPr>
                <w:rFonts w:hint="eastAsia" w:ascii="宋体" w:hAnsi="宋体" w:eastAsia="宋体" w:cs="宋体"/>
                <w:color w:val="auto"/>
                <w:sz w:val="21"/>
                <w:szCs w:val="21"/>
                <w:highlight w:val="none"/>
              </w:rPr>
              <w:t>空间合理布置，便于医务人员对患者进行问诊服务</w:t>
            </w:r>
          </w:p>
        </w:tc>
      </w:tr>
      <w:tr w14:paraId="2C0CEB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1499BD8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582" w:type="dxa"/>
            <w:vAlign w:val="center"/>
          </w:tcPr>
          <w:p w14:paraId="6EA277C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检查桌</w:t>
            </w:r>
          </w:p>
        </w:tc>
        <w:tc>
          <w:tcPr>
            <w:tcW w:w="5926" w:type="dxa"/>
            <w:vAlign w:val="center"/>
          </w:tcPr>
          <w:p w14:paraId="59ED697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检查桌为悬浮式固定，以保证台面下方有足够空间，桌板表面需采用耐磨，抗污，防划伤材料，桌板边缘需圆弧过渡处理，以防割伤</w:t>
            </w:r>
          </w:p>
        </w:tc>
      </w:tr>
      <w:tr w14:paraId="3C83DE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4DF7AC6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3.6.2</w:t>
            </w:r>
          </w:p>
        </w:tc>
        <w:tc>
          <w:tcPr>
            <w:tcW w:w="1582" w:type="dxa"/>
            <w:vAlign w:val="center"/>
          </w:tcPr>
          <w:p w14:paraId="66CD39E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专用椅</w:t>
            </w:r>
          </w:p>
        </w:tc>
        <w:tc>
          <w:tcPr>
            <w:tcW w:w="5926" w:type="dxa"/>
            <w:vAlign w:val="center"/>
          </w:tcPr>
          <w:p w14:paraId="7EEA154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医生椅具有可旋转多角度定位、前后可调节、靠背角度可调等功能，便于医护人员合理调整体位，采用三点式安全带，座垫和靠背面料应采用整体发泡成型，表面无拼接线缝以便于消毒擦洗。</w:t>
            </w:r>
          </w:p>
          <w:p w14:paraId="5663D75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圆凳椅可360度旋转，便于患者使用，在行车时圆凳椅应可固定。</w:t>
            </w:r>
          </w:p>
        </w:tc>
      </w:tr>
      <w:tr w14:paraId="6B57C3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31CE25C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582" w:type="dxa"/>
            <w:vAlign w:val="center"/>
          </w:tcPr>
          <w:p w14:paraId="5DE28FF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检查区</w:t>
            </w:r>
          </w:p>
        </w:tc>
        <w:tc>
          <w:tcPr>
            <w:tcW w:w="5926" w:type="dxa"/>
            <w:vAlign w:val="center"/>
          </w:tcPr>
          <w:p w14:paraId="33BB3E6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检查区应配备上车担架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也可作为</w:t>
            </w:r>
            <w:r>
              <w:rPr>
                <w:rFonts w:hint="eastAsia" w:ascii="宋体" w:hAnsi="宋体" w:eastAsia="宋体" w:cs="宋体"/>
                <w:color w:val="auto"/>
                <w:sz w:val="21"/>
                <w:szCs w:val="21"/>
                <w:highlight w:val="none"/>
              </w:rPr>
              <w:t>检查床。各种设施空间应合理布置，便于医务人员对患者进行检查或急救服务。</w:t>
            </w:r>
            <w:r>
              <w:rPr>
                <w:rFonts w:hint="eastAsia" w:ascii="宋体" w:hAnsi="宋体" w:eastAsia="宋体" w:cs="宋体"/>
                <w:color w:val="auto"/>
                <w:sz w:val="21"/>
                <w:szCs w:val="21"/>
                <w:highlight w:val="none"/>
                <w:lang w:val="en-US" w:eastAsia="zh-CN"/>
              </w:rPr>
              <w:t>具体要求见医疗舱改造要求。</w:t>
            </w:r>
          </w:p>
        </w:tc>
      </w:tr>
      <w:tr w14:paraId="72FF15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360C1F5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1</w:t>
            </w:r>
          </w:p>
        </w:tc>
        <w:tc>
          <w:tcPr>
            <w:tcW w:w="1582" w:type="dxa"/>
            <w:vAlign w:val="center"/>
          </w:tcPr>
          <w:p w14:paraId="379BFE7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医疗器械台</w:t>
            </w:r>
          </w:p>
        </w:tc>
        <w:tc>
          <w:tcPr>
            <w:tcW w:w="5926" w:type="dxa"/>
            <w:vAlign w:val="center"/>
          </w:tcPr>
          <w:p w14:paraId="4C0CC20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医疗器械台</w:t>
            </w:r>
            <w:r>
              <w:rPr>
                <w:rFonts w:hint="eastAsia" w:ascii="宋体" w:hAnsi="宋体" w:eastAsia="宋体" w:cs="宋体"/>
                <w:color w:val="auto"/>
                <w:sz w:val="21"/>
                <w:szCs w:val="21"/>
                <w:highlight w:val="none"/>
                <w:lang w:val="en-US" w:eastAsia="zh-CN"/>
              </w:rPr>
              <w:t>壁挂式设计，</w:t>
            </w:r>
            <w:r>
              <w:rPr>
                <w:rFonts w:hint="eastAsia" w:ascii="宋体" w:hAnsi="宋体" w:eastAsia="宋体" w:cs="宋体"/>
                <w:color w:val="auto"/>
                <w:sz w:val="21"/>
                <w:szCs w:val="21"/>
                <w:highlight w:val="none"/>
              </w:rPr>
              <w:t>可灵活固定多种医疗器械，</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心电图机、监护仪、AED、吸引器</w:t>
            </w:r>
            <w:r>
              <w:rPr>
                <w:rFonts w:hint="eastAsia" w:ascii="宋体" w:hAnsi="宋体" w:eastAsia="宋体" w:cs="宋体"/>
                <w:color w:val="auto"/>
                <w:sz w:val="21"/>
                <w:szCs w:val="21"/>
                <w:highlight w:val="none"/>
                <w:lang w:val="en-US" w:eastAsia="zh-CN"/>
              </w:rPr>
              <w:t>等</w:t>
            </w:r>
          </w:p>
        </w:tc>
      </w:tr>
      <w:tr w14:paraId="286B20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1596A0F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en-US" w:eastAsia="zh-CN"/>
              </w:rPr>
              <w:t>2</w:t>
            </w:r>
          </w:p>
        </w:tc>
        <w:tc>
          <w:tcPr>
            <w:tcW w:w="1582" w:type="dxa"/>
            <w:vAlign w:val="center"/>
          </w:tcPr>
          <w:p w14:paraId="698078B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超声</w:t>
            </w:r>
            <w:r>
              <w:rPr>
                <w:rFonts w:hint="eastAsia" w:ascii="宋体" w:hAnsi="宋体" w:eastAsia="宋体" w:cs="宋体"/>
                <w:color w:val="auto"/>
                <w:sz w:val="21"/>
                <w:szCs w:val="21"/>
                <w:highlight w:val="none"/>
              </w:rPr>
              <w:t>作业台</w:t>
            </w:r>
          </w:p>
        </w:tc>
        <w:tc>
          <w:tcPr>
            <w:tcW w:w="5926" w:type="dxa"/>
            <w:vAlign w:val="center"/>
          </w:tcPr>
          <w:p w14:paraId="3892294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超声</w:t>
            </w:r>
            <w:r>
              <w:rPr>
                <w:rFonts w:hint="eastAsia" w:ascii="宋体" w:hAnsi="宋体" w:eastAsia="宋体" w:cs="宋体"/>
                <w:color w:val="auto"/>
                <w:sz w:val="21"/>
                <w:szCs w:val="21"/>
                <w:highlight w:val="none"/>
              </w:rPr>
              <w:t>作业台台面尺寸</w:t>
            </w:r>
            <w:r>
              <w:rPr>
                <w:rFonts w:hint="eastAsia" w:ascii="宋体" w:hAnsi="宋体" w:eastAsia="宋体" w:cs="宋体"/>
                <w:color w:val="auto"/>
                <w:sz w:val="21"/>
                <w:szCs w:val="21"/>
                <w:highlight w:val="none"/>
                <w:lang w:val="en-US" w:eastAsia="zh-CN"/>
              </w:rPr>
              <w:t>大小合理，</w:t>
            </w:r>
            <w:r>
              <w:rPr>
                <w:rFonts w:hint="eastAsia" w:ascii="宋体" w:hAnsi="宋体" w:eastAsia="宋体" w:cs="宋体"/>
                <w:color w:val="auto"/>
                <w:sz w:val="21"/>
                <w:szCs w:val="21"/>
                <w:highlight w:val="none"/>
              </w:rPr>
              <w:t>台面下</w:t>
            </w:r>
            <w:r>
              <w:rPr>
                <w:rFonts w:hint="eastAsia" w:ascii="宋体" w:hAnsi="宋体" w:eastAsia="宋体" w:cs="宋体"/>
                <w:color w:val="auto"/>
                <w:sz w:val="21"/>
                <w:szCs w:val="21"/>
                <w:highlight w:val="none"/>
                <w:lang w:val="en-US" w:eastAsia="zh-CN"/>
              </w:rPr>
              <w:t>预留空间，方便收纳。作业台边具有探头挂放功能。</w:t>
            </w:r>
          </w:p>
        </w:tc>
      </w:tr>
      <w:tr w14:paraId="2BEADB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48EA1D3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582" w:type="dxa"/>
            <w:vAlign w:val="center"/>
          </w:tcPr>
          <w:p w14:paraId="6812A01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采样/化验区</w:t>
            </w:r>
          </w:p>
        </w:tc>
        <w:tc>
          <w:tcPr>
            <w:tcW w:w="5926" w:type="dxa"/>
            <w:vAlign w:val="center"/>
          </w:tcPr>
          <w:p w14:paraId="6D983E0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采样/化验区配备化验平台1组，化验平台上</w:t>
            </w:r>
            <w:r>
              <w:rPr>
                <w:rFonts w:hint="eastAsia" w:ascii="宋体" w:hAnsi="宋体" w:eastAsia="宋体" w:cs="宋体"/>
                <w:color w:val="auto"/>
                <w:sz w:val="21"/>
                <w:szCs w:val="21"/>
                <w:highlight w:val="none"/>
                <w:lang w:eastAsia="zh-CN"/>
              </w:rPr>
              <w:t>可</w:t>
            </w:r>
            <w:r>
              <w:rPr>
                <w:rFonts w:hint="eastAsia" w:ascii="宋体" w:hAnsi="宋体" w:eastAsia="宋体" w:cs="宋体"/>
                <w:color w:val="auto"/>
                <w:sz w:val="21"/>
                <w:szCs w:val="21"/>
                <w:highlight w:val="none"/>
              </w:rPr>
              <w:t>放置尿液分析仪、离心机等设备，化验平台下方可放置</w:t>
            </w:r>
            <w:r>
              <w:rPr>
                <w:rFonts w:hint="eastAsia" w:ascii="宋体" w:hAnsi="宋体" w:eastAsia="宋体" w:cs="宋体"/>
                <w:color w:val="auto"/>
                <w:sz w:val="21"/>
                <w:szCs w:val="21"/>
                <w:highlight w:val="none"/>
                <w:lang w:val="en-US" w:eastAsia="zh-CN"/>
              </w:rPr>
              <w:t>各种</w:t>
            </w:r>
            <w:r>
              <w:rPr>
                <w:rFonts w:hint="eastAsia" w:ascii="宋体" w:hAnsi="宋体" w:eastAsia="宋体" w:cs="宋体"/>
                <w:color w:val="auto"/>
                <w:sz w:val="21"/>
                <w:szCs w:val="21"/>
                <w:highlight w:val="none"/>
              </w:rPr>
              <w:t>设施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医疗设备</w:t>
            </w:r>
            <w:r>
              <w:rPr>
                <w:rFonts w:hint="eastAsia" w:ascii="宋体" w:hAnsi="宋体" w:eastAsia="宋体" w:cs="宋体"/>
                <w:color w:val="auto"/>
                <w:sz w:val="21"/>
                <w:szCs w:val="21"/>
                <w:highlight w:val="none"/>
              </w:rPr>
              <w:t>。空间应合理布置。</w:t>
            </w:r>
          </w:p>
        </w:tc>
      </w:tr>
      <w:tr w14:paraId="230AB8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682D43F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3.8.1</w:t>
            </w:r>
          </w:p>
        </w:tc>
        <w:tc>
          <w:tcPr>
            <w:tcW w:w="1582" w:type="dxa"/>
            <w:vAlign w:val="center"/>
          </w:tcPr>
          <w:p w14:paraId="0900158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化验平台</w:t>
            </w:r>
          </w:p>
        </w:tc>
        <w:tc>
          <w:tcPr>
            <w:tcW w:w="5926" w:type="dxa"/>
            <w:vAlign w:val="center"/>
          </w:tcPr>
          <w:p w14:paraId="2D343E5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化验平台固定应牢固，桌面</w:t>
            </w:r>
            <w:r>
              <w:rPr>
                <w:rFonts w:hint="eastAsia" w:ascii="宋体" w:hAnsi="宋体" w:eastAsia="宋体" w:cs="宋体"/>
                <w:color w:val="auto"/>
                <w:sz w:val="21"/>
                <w:szCs w:val="21"/>
                <w:highlight w:val="none"/>
                <w:lang w:val="en-US" w:eastAsia="zh-CN"/>
              </w:rPr>
              <w:t>长度≥</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00mm，桌板表面应采用耐磨，抗污，防划伤材料，桌板边缘需圆弧过渡，台面上</w:t>
            </w:r>
            <w:r>
              <w:rPr>
                <w:rFonts w:hint="eastAsia" w:ascii="宋体" w:hAnsi="宋体" w:eastAsia="宋体" w:cs="宋体"/>
                <w:color w:val="auto"/>
                <w:sz w:val="21"/>
                <w:szCs w:val="21"/>
                <w:highlight w:val="none"/>
                <w:lang w:eastAsia="zh-CN"/>
              </w:rPr>
              <w:t>配有</w:t>
            </w:r>
            <w:r>
              <w:rPr>
                <w:rFonts w:hint="eastAsia" w:ascii="宋体" w:hAnsi="宋体" w:eastAsia="宋体" w:cs="宋体"/>
                <w:color w:val="auto"/>
                <w:sz w:val="21"/>
                <w:szCs w:val="21"/>
                <w:highlight w:val="none"/>
              </w:rPr>
              <w:t>可快速拆卸的仪器固定点。</w:t>
            </w:r>
          </w:p>
        </w:tc>
      </w:tr>
      <w:tr w14:paraId="5CFC96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233BC45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582" w:type="dxa"/>
            <w:vAlign w:val="center"/>
          </w:tcPr>
          <w:p w14:paraId="667FE11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配药区</w:t>
            </w:r>
          </w:p>
        </w:tc>
        <w:tc>
          <w:tcPr>
            <w:tcW w:w="5926" w:type="dxa"/>
            <w:vAlign w:val="center"/>
          </w:tcPr>
          <w:p w14:paraId="70C34F8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配备可移动药箱，便于医护人员配药。</w:t>
            </w:r>
          </w:p>
        </w:tc>
      </w:tr>
      <w:tr w14:paraId="5A61BE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749DEDB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w:t>
            </w:r>
          </w:p>
        </w:tc>
        <w:tc>
          <w:tcPr>
            <w:tcW w:w="1582" w:type="dxa"/>
            <w:vAlign w:val="center"/>
          </w:tcPr>
          <w:p w14:paraId="23C89BA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可移动药箱</w:t>
            </w:r>
          </w:p>
        </w:tc>
        <w:tc>
          <w:tcPr>
            <w:tcW w:w="5926" w:type="dxa"/>
            <w:vAlign w:val="center"/>
          </w:tcPr>
          <w:p w14:paraId="7E1EE46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药箱可根据药品实际使用情况，进行分类标识，便于医护人员配药时提取。药箱固定能够快速装卸，便于医护人员在不同场景使用。</w:t>
            </w:r>
          </w:p>
        </w:tc>
      </w:tr>
      <w:tr w14:paraId="4E02FE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1228700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w:t>
            </w:r>
          </w:p>
        </w:tc>
        <w:tc>
          <w:tcPr>
            <w:tcW w:w="1582" w:type="dxa"/>
            <w:vAlign w:val="center"/>
          </w:tcPr>
          <w:p w14:paraId="381FA54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适老化功能</w:t>
            </w:r>
          </w:p>
        </w:tc>
        <w:tc>
          <w:tcPr>
            <w:tcW w:w="5926" w:type="dxa"/>
            <w:vAlign w:val="center"/>
          </w:tcPr>
          <w:p w14:paraId="463BB17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车辆应设有适老化功能，配备升降福祉座椅、多级辅助踏板、可伸缩扶手等设施保障老年人及行动不便人员上下车的安全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在车辆展开诊疗作业时遮阳棚下方，</w:t>
            </w:r>
            <w:r>
              <w:rPr>
                <w:rFonts w:hint="eastAsia" w:ascii="宋体" w:hAnsi="宋体" w:eastAsia="宋体" w:cs="宋体"/>
                <w:color w:val="auto"/>
                <w:sz w:val="21"/>
                <w:szCs w:val="21"/>
                <w:highlight w:val="none"/>
                <w:lang w:val="en-US" w:eastAsia="zh-CN"/>
              </w:rPr>
              <w:t>配备可</w:t>
            </w:r>
            <w:r>
              <w:rPr>
                <w:rFonts w:hint="eastAsia" w:ascii="宋体" w:hAnsi="宋体" w:eastAsia="宋体" w:cs="宋体"/>
                <w:color w:val="auto"/>
                <w:sz w:val="21"/>
                <w:szCs w:val="21"/>
                <w:highlight w:val="none"/>
              </w:rPr>
              <w:t>展开便携式折叠桌椅，作为车外预诊等候区。</w:t>
            </w:r>
          </w:p>
        </w:tc>
      </w:tr>
      <w:tr w14:paraId="727693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2194A5C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3.10.1</w:t>
            </w:r>
          </w:p>
        </w:tc>
        <w:tc>
          <w:tcPr>
            <w:tcW w:w="1582" w:type="dxa"/>
            <w:vAlign w:val="center"/>
          </w:tcPr>
          <w:p w14:paraId="325B1A0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升降福祉座椅</w:t>
            </w:r>
          </w:p>
        </w:tc>
        <w:tc>
          <w:tcPr>
            <w:tcW w:w="5926" w:type="dxa"/>
            <w:vAlign w:val="center"/>
          </w:tcPr>
          <w:p w14:paraId="587C058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医疗舱中门处应配备电动旋转升降福祉座椅，座椅具备车门互锁功能、遇障碍保护功能及电气安全保护功能等，载荷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140KG，延伸至车外座垫最低点离地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600mm。</w:t>
            </w:r>
          </w:p>
        </w:tc>
      </w:tr>
      <w:tr w14:paraId="355AB5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665D496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3.10.2</w:t>
            </w:r>
          </w:p>
        </w:tc>
        <w:tc>
          <w:tcPr>
            <w:tcW w:w="1582" w:type="dxa"/>
            <w:vAlign w:val="center"/>
          </w:tcPr>
          <w:p w14:paraId="53C1576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辅助踏板</w:t>
            </w:r>
          </w:p>
        </w:tc>
        <w:tc>
          <w:tcPr>
            <w:tcW w:w="5926" w:type="dxa"/>
            <w:vAlign w:val="center"/>
          </w:tcPr>
          <w:p w14:paraId="687B30F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配备辅助踏板，可在车辆展开诊疗作业时展开，便于患者上下车，每级踏步高度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210mm，并设有防滑功能。</w:t>
            </w:r>
          </w:p>
        </w:tc>
      </w:tr>
      <w:tr w14:paraId="1C9704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2EB8006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3.10.3</w:t>
            </w:r>
          </w:p>
        </w:tc>
        <w:tc>
          <w:tcPr>
            <w:tcW w:w="1582" w:type="dxa"/>
            <w:vAlign w:val="center"/>
          </w:tcPr>
          <w:p w14:paraId="1CF5F1C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可伸缩扶手</w:t>
            </w:r>
          </w:p>
        </w:tc>
        <w:tc>
          <w:tcPr>
            <w:tcW w:w="5926" w:type="dxa"/>
            <w:vAlign w:val="center"/>
          </w:tcPr>
          <w:p w14:paraId="09C1974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在车辆展开诊疗作业时，可伸缩扶手可沿中隔板向外拉伸，至车身外侧</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250mm，并设有定位锁止装置。</w:t>
            </w:r>
          </w:p>
        </w:tc>
      </w:tr>
      <w:tr w14:paraId="2388FE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10EE268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3.10.4</w:t>
            </w:r>
          </w:p>
        </w:tc>
        <w:tc>
          <w:tcPr>
            <w:tcW w:w="1582" w:type="dxa"/>
            <w:vAlign w:val="center"/>
          </w:tcPr>
          <w:p w14:paraId="19B7D5A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预诊折叠桌椅</w:t>
            </w:r>
          </w:p>
        </w:tc>
        <w:tc>
          <w:tcPr>
            <w:tcW w:w="5926" w:type="dxa"/>
            <w:vAlign w:val="center"/>
          </w:tcPr>
          <w:p w14:paraId="2986506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配置1张可折叠桌，展开尺寸</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800mm *550mm *600mm，配置3把带靠背折叠椅，尺寸</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350mm *350mm *550mm。</w:t>
            </w:r>
          </w:p>
        </w:tc>
      </w:tr>
      <w:tr w14:paraId="23DA19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5DC82F0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1582" w:type="dxa"/>
            <w:vAlign w:val="center"/>
          </w:tcPr>
          <w:p w14:paraId="0633F3E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宣教功能</w:t>
            </w:r>
          </w:p>
        </w:tc>
        <w:tc>
          <w:tcPr>
            <w:tcW w:w="5926" w:type="dxa"/>
            <w:vAlign w:val="center"/>
          </w:tcPr>
          <w:p w14:paraId="4F1309A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在车辆右侧尾部车窗位置配有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24寸网络版壁挂宣教屏，支持MP3、MP4等多媒体音视频文件，并具有双USB接口方便宣教文件的导入，车顶配有功率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80W的外放扩音器，扩音器可切换至驾驶室手咪话筒，手咪支持USB口接入音频，配有多种警示音功能。</w:t>
            </w:r>
          </w:p>
        </w:tc>
      </w:tr>
      <w:tr w14:paraId="0B1D7B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1B288F3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w:t>
            </w:r>
          </w:p>
        </w:tc>
        <w:tc>
          <w:tcPr>
            <w:tcW w:w="1582" w:type="dxa"/>
            <w:vAlign w:val="center"/>
          </w:tcPr>
          <w:p w14:paraId="44D0961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急救辅助功能</w:t>
            </w:r>
          </w:p>
        </w:tc>
        <w:tc>
          <w:tcPr>
            <w:tcW w:w="5926" w:type="dxa"/>
            <w:vAlign w:val="center"/>
          </w:tcPr>
          <w:p w14:paraId="7AC767F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车辆应配备急救上车担架、供氧系统及监护仪、AED、注射泵、吸引器等急救设备设施</w:t>
            </w:r>
            <w:r>
              <w:rPr>
                <w:rFonts w:hint="eastAsia" w:ascii="宋体" w:hAnsi="宋体" w:eastAsia="宋体" w:cs="宋体"/>
                <w:color w:val="auto"/>
                <w:sz w:val="21"/>
                <w:szCs w:val="21"/>
                <w:highlight w:val="none"/>
                <w:lang w:val="en-US" w:eastAsia="zh-CN"/>
              </w:rPr>
              <w:t>以及响应的专用固定设施</w:t>
            </w:r>
            <w:r>
              <w:rPr>
                <w:rFonts w:hint="eastAsia" w:ascii="宋体" w:hAnsi="宋体" w:eastAsia="宋体" w:cs="宋体"/>
                <w:color w:val="auto"/>
                <w:sz w:val="21"/>
                <w:szCs w:val="21"/>
                <w:highlight w:val="none"/>
              </w:rPr>
              <w:t>，当遇到紧急状况时，可转换为急救车辆使用。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具体要求见第四部分</w:t>
            </w:r>
            <w:r>
              <w:rPr>
                <w:rFonts w:hint="eastAsia" w:ascii="宋体" w:hAnsi="宋体" w:eastAsia="宋体" w:cs="宋体"/>
                <w:b w:val="0"/>
                <w:bCs w:val="0"/>
                <w:color w:val="auto"/>
                <w:sz w:val="21"/>
                <w:szCs w:val="21"/>
                <w:highlight w:val="none"/>
              </w:rPr>
              <w:t>车辆医疗设备</w:t>
            </w:r>
            <w:r>
              <w:rPr>
                <w:rFonts w:hint="eastAsia" w:ascii="宋体" w:hAnsi="宋体" w:eastAsia="宋体" w:cs="宋体"/>
                <w:b w:val="0"/>
                <w:bCs w:val="0"/>
                <w:color w:val="auto"/>
                <w:sz w:val="21"/>
                <w:szCs w:val="21"/>
                <w:highlight w:val="none"/>
                <w:lang w:eastAsia="zh-CN"/>
              </w:rPr>
              <w:t>）</w:t>
            </w:r>
          </w:p>
        </w:tc>
      </w:tr>
      <w:tr w14:paraId="06A0E2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6714BBC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3.12.1</w:t>
            </w:r>
          </w:p>
        </w:tc>
        <w:tc>
          <w:tcPr>
            <w:tcW w:w="1582" w:type="dxa"/>
            <w:vAlign w:val="center"/>
          </w:tcPr>
          <w:p w14:paraId="4BDC95A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供氧系统</w:t>
            </w:r>
          </w:p>
        </w:tc>
        <w:tc>
          <w:tcPr>
            <w:tcW w:w="5926" w:type="dxa"/>
            <w:vAlign w:val="center"/>
          </w:tcPr>
          <w:p w14:paraId="49E3520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供氧系统应配置1组10L铝合氧气瓶，墙面氧气吸入器1组，减压阀1组，隐蔽氧气管采用氧气专用软管，国标吸入器接口1组，国标吸入器1组，气瓶固定方式为金属支架与车身连接，带锁紧装置。</w:t>
            </w:r>
          </w:p>
        </w:tc>
      </w:tr>
      <w:tr w14:paraId="7CAD4F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22472C8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w:t>
            </w:r>
          </w:p>
        </w:tc>
        <w:tc>
          <w:tcPr>
            <w:tcW w:w="1582" w:type="dxa"/>
            <w:vAlign w:val="center"/>
          </w:tcPr>
          <w:p w14:paraId="04E5999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集成内顶</w:t>
            </w:r>
          </w:p>
        </w:tc>
        <w:tc>
          <w:tcPr>
            <w:tcW w:w="5926" w:type="dxa"/>
            <w:vAlign w:val="center"/>
          </w:tcPr>
          <w:p w14:paraId="2B2D3A3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根据实际操作要求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内顶</w:t>
            </w:r>
            <w:r>
              <w:rPr>
                <w:rFonts w:hint="eastAsia" w:ascii="宋体" w:hAnsi="宋体" w:eastAsia="宋体" w:cs="宋体"/>
                <w:color w:val="auto"/>
                <w:sz w:val="21"/>
                <w:szCs w:val="21"/>
                <w:highlight w:val="none"/>
                <w:lang w:val="en-US" w:eastAsia="zh-CN"/>
              </w:rPr>
              <w:t>合理设计，</w:t>
            </w:r>
            <w:r>
              <w:rPr>
                <w:rFonts w:hint="eastAsia" w:ascii="宋体" w:hAnsi="宋体" w:eastAsia="宋体" w:cs="宋体"/>
                <w:color w:val="auto"/>
                <w:sz w:val="21"/>
                <w:szCs w:val="21"/>
                <w:highlight w:val="none"/>
              </w:rPr>
              <w:t>集成空调、照明、储物、输液、新风系统、全方位扶手等功能，采用ABS复合材料模具一次成型工艺，无尖锐棱角。</w:t>
            </w:r>
          </w:p>
        </w:tc>
      </w:tr>
      <w:tr w14:paraId="3D9509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6FCE01C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w:t>
            </w:r>
          </w:p>
        </w:tc>
        <w:tc>
          <w:tcPr>
            <w:tcW w:w="1582" w:type="dxa"/>
            <w:vAlign w:val="center"/>
          </w:tcPr>
          <w:p w14:paraId="587DCAF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辅料物柜</w:t>
            </w:r>
          </w:p>
        </w:tc>
        <w:tc>
          <w:tcPr>
            <w:tcW w:w="5926" w:type="dxa"/>
            <w:vAlign w:val="center"/>
          </w:tcPr>
          <w:p w14:paraId="3A99353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医疗舱</w:t>
            </w:r>
            <w:r>
              <w:rPr>
                <w:rFonts w:hint="eastAsia" w:ascii="宋体" w:hAnsi="宋体" w:eastAsia="宋体" w:cs="宋体"/>
                <w:color w:val="auto"/>
                <w:sz w:val="21"/>
                <w:szCs w:val="21"/>
                <w:highlight w:val="none"/>
                <w:lang w:val="en-US" w:eastAsia="zh-CN"/>
              </w:rPr>
              <w:t>设有辅料物柜用于</w:t>
            </w:r>
            <w:r>
              <w:rPr>
                <w:rFonts w:hint="eastAsia" w:ascii="宋体" w:hAnsi="宋体" w:eastAsia="宋体" w:cs="宋体"/>
                <w:color w:val="auto"/>
                <w:sz w:val="21"/>
                <w:szCs w:val="21"/>
                <w:highlight w:val="none"/>
              </w:rPr>
              <w:t>放置一次性床单、外伤包扎用品、隔离防护用品等辅料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提供具体位置、大小、数量，设计方案。</w:t>
            </w:r>
          </w:p>
        </w:tc>
      </w:tr>
      <w:tr w14:paraId="5E7691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7879F9F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w:t>
            </w:r>
          </w:p>
        </w:tc>
        <w:tc>
          <w:tcPr>
            <w:tcW w:w="1582" w:type="dxa"/>
            <w:vAlign w:val="center"/>
          </w:tcPr>
          <w:p w14:paraId="5B7C278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医疗舱车窗</w:t>
            </w:r>
          </w:p>
        </w:tc>
        <w:tc>
          <w:tcPr>
            <w:tcW w:w="5926" w:type="dxa"/>
            <w:vAlign w:val="center"/>
          </w:tcPr>
          <w:p w14:paraId="5E4ED9A8">
            <w:pPr>
              <w:pStyle w:val="973"/>
              <w:keepNext w:val="0"/>
              <w:keepLines w:val="0"/>
              <w:pageBreakBefore w:val="0"/>
              <w:widowControl w:val="0"/>
              <w:suppressLineNumbers w:val="0"/>
              <w:kinsoku/>
              <w:wordWrap/>
              <w:overflowPunct/>
              <w:topLinePunct w:val="0"/>
              <w:bidi w:val="0"/>
              <w:adjustRightInd w:val="0"/>
              <w:spacing w:before="0" w:beforeAutospacing="0" w:afterAutospacing="0" w:line="320" w:lineRule="exact"/>
              <w:ind w:left="0" w:leftChars="0" w:right="0" w:firstLine="0" w:firstLineChars="0"/>
              <w:jc w:val="both"/>
              <w:textAlignment w:val="auto"/>
              <w:rPr>
                <w:rFonts w:hint="eastAsia" w:ascii="宋体" w:hAnsi="宋体" w:eastAsia="宋体" w:cs="宋体"/>
                <w:b w:val="0"/>
                <w:bCs w:val="0"/>
                <w:spacing w:val="0"/>
                <w:kern w:val="2"/>
                <w:sz w:val="21"/>
                <w:szCs w:val="21"/>
                <w:highlight w:val="none"/>
                <w:lang w:val="en-US" w:eastAsia="en-US" w:bidi="ar-SA"/>
              </w:rPr>
            </w:pPr>
            <w:r>
              <w:rPr>
                <w:rFonts w:hint="eastAsia" w:ascii="宋体" w:hAnsi="宋体" w:eastAsia="宋体" w:cs="宋体"/>
                <w:b w:val="0"/>
                <w:bCs w:val="0"/>
                <w:spacing w:val="0"/>
                <w:kern w:val="2"/>
                <w:sz w:val="21"/>
                <w:szCs w:val="21"/>
                <w:highlight w:val="none"/>
                <w:lang w:val="en-US" w:eastAsia="en-US" w:bidi="ar-SA"/>
              </w:rPr>
              <w:t>医疗舱侧面车窗面积大、透光性好，减少车内压抑感。</w:t>
            </w:r>
          </w:p>
          <w:p w14:paraId="6CFE5798">
            <w:pPr>
              <w:pStyle w:val="973"/>
              <w:keepNext w:val="0"/>
              <w:keepLines w:val="0"/>
              <w:pageBreakBefore w:val="0"/>
              <w:widowControl w:val="0"/>
              <w:suppressLineNumbers w:val="0"/>
              <w:kinsoku/>
              <w:wordWrap/>
              <w:overflowPunct/>
              <w:topLinePunct w:val="0"/>
              <w:bidi w:val="0"/>
              <w:adjustRightInd w:val="0"/>
              <w:spacing w:before="0" w:beforeAutospacing="0" w:afterAutospacing="0" w:line="320" w:lineRule="exact"/>
              <w:ind w:left="0" w:leftChars="0" w:right="0" w:firstLine="0" w:firstLineChars="0"/>
              <w:jc w:val="both"/>
              <w:textAlignment w:val="auto"/>
              <w:rPr>
                <w:rFonts w:hint="eastAsia" w:ascii="宋体" w:hAnsi="宋体" w:eastAsia="宋体" w:cs="宋体"/>
                <w:b w:val="0"/>
                <w:bCs w:val="0"/>
                <w:spacing w:val="0"/>
                <w:kern w:val="2"/>
                <w:sz w:val="21"/>
                <w:szCs w:val="21"/>
                <w:highlight w:val="none"/>
                <w:lang w:val="en-US" w:eastAsia="en-US" w:bidi="ar-SA"/>
              </w:rPr>
            </w:pPr>
            <w:r>
              <w:rPr>
                <w:rFonts w:hint="eastAsia" w:ascii="宋体" w:hAnsi="宋体" w:eastAsia="宋体" w:cs="宋体"/>
                <w:b w:val="0"/>
                <w:bCs w:val="0"/>
                <w:spacing w:val="0"/>
                <w:kern w:val="2"/>
                <w:sz w:val="21"/>
                <w:szCs w:val="21"/>
                <w:highlight w:val="none"/>
                <w:lang w:val="en-US" w:eastAsia="en-US" w:bidi="ar-SA"/>
              </w:rPr>
              <w:t>医疗舱内至少有3个车窗，其中2个可开启，便于通风及医务人员向外配药使用，</w:t>
            </w:r>
          </w:p>
          <w:p w14:paraId="13DBCE4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spacing w:val="0"/>
                <w:kern w:val="2"/>
                <w:sz w:val="21"/>
                <w:szCs w:val="21"/>
                <w:highlight w:val="none"/>
                <w:lang w:val="en-US" w:eastAsia="en-US" w:bidi="ar-SA"/>
              </w:rPr>
              <w:t>车窗要求设有遮蔽措施，以便保护患者隐私。</w:t>
            </w:r>
          </w:p>
        </w:tc>
      </w:tr>
      <w:tr w14:paraId="06E2A4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320660C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w:t>
            </w:r>
          </w:p>
        </w:tc>
        <w:tc>
          <w:tcPr>
            <w:tcW w:w="7508" w:type="dxa"/>
            <w:gridSpan w:val="2"/>
            <w:vAlign w:val="center"/>
          </w:tcPr>
          <w:p w14:paraId="7076E68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医疗舱辅助设施</w:t>
            </w:r>
          </w:p>
        </w:tc>
      </w:tr>
      <w:tr w14:paraId="5410EE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3EE9087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w:t>
            </w:r>
          </w:p>
        </w:tc>
        <w:tc>
          <w:tcPr>
            <w:tcW w:w="1582" w:type="dxa"/>
            <w:vAlign w:val="center"/>
          </w:tcPr>
          <w:p w14:paraId="35F7F2D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供电系统</w:t>
            </w:r>
          </w:p>
        </w:tc>
        <w:tc>
          <w:tcPr>
            <w:tcW w:w="5926" w:type="dxa"/>
            <w:vAlign w:val="center"/>
          </w:tcPr>
          <w:p w14:paraId="586A7BE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p>
        </w:tc>
      </w:tr>
      <w:tr w14:paraId="6DFADF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36047FD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3.16.1</w:t>
            </w:r>
          </w:p>
        </w:tc>
        <w:tc>
          <w:tcPr>
            <w:tcW w:w="1582" w:type="dxa"/>
            <w:vAlign w:val="center"/>
          </w:tcPr>
          <w:p w14:paraId="101EC4F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附加电瓶</w:t>
            </w:r>
          </w:p>
        </w:tc>
        <w:tc>
          <w:tcPr>
            <w:tcW w:w="5926" w:type="dxa"/>
            <w:vAlign w:val="center"/>
          </w:tcPr>
          <w:p w14:paraId="4B56101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配备汽车专用免维护蓄电池，容量</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70AH，在驻车时可供医疗器械使用。在车辆熄火后，附加蓄电池和启动蓄电池自动断开。车辆启动时自动连接，以保证医疗车的正常启动和用电设备的用电需要。</w:t>
            </w:r>
          </w:p>
        </w:tc>
      </w:tr>
      <w:tr w14:paraId="0CD86F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687519A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3.16.3</w:t>
            </w:r>
          </w:p>
        </w:tc>
        <w:tc>
          <w:tcPr>
            <w:tcW w:w="1582" w:type="dxa"/>
            <w:vAlign w:val="center"/>
          </w:tcPr>
          <w:p w14:paraId="759ECCC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供电要求</w:t>
            </w:r>
          </w:p>
        </w:tc>
        <w:tc>
          <w:tcPr>
            <w:tcW w:w="5926" w:type="dxa"/>
            <w:vAlign w:val="center"/>
          </w:tcPr>
          <w:p w14:paraId="3EDE22D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bookmarkStart w:id="31" w:name="_Toc14704"/>
            <w:r>
              <w:rPr>
                <w:rFonts w:hint="eastAsia" w:ascii="宋体" w:hAnsi="宋体" w:eastAsia="宋体" w:cs="宋体"/>
                <w:color w:val="auto"/>
                <w:sz w:val="21"/>
                <w:szCs w:val="21"/>
                <w:highlight w:val="none"/>
              </w:rPr>
              <w:t>配备1500W车载智能逆变/充电一体系统，最高输出功率：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1500W/220V；使用外接电源时，切换时间小于15ms，能满足车上所配备的电子医疗设备同时工作的电力需求，在车辆启动状态下，可实现24小时不间断供电</w:t>
            </w:r>
            <w:bookmarkEnd w:id="31"/>
          </w:p>
        </w:tc>
      </w:tr>
      <w:tr w14:paraId="12605E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2AB9BB2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3.16.4</w:t>
            </w:r>
          </w:p>
        </w:tc>
        <w:tc>
          <w:tcPr>
            <w:tcW w:w="1582" w:type="dxa"/>
            <w:vAlign w:val="center"/>
          </w:tcPr>
          <w:p w14:paraId="3EA2D04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安全保护</w:t>
            </w:r>
          </w:p>
        </w:tc>
        <w:tc>
          <w:tcPr>
            <w:tcW w:w="5926" w:type="dxa"/>
            <w:vAlign w:val="center"/>
          </w:tcPr>
          <w:p w14:paraId="732A50B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每个分电路设有相应规范的过载保护装置，以确保医疗车的</w:t>
            </w:r>
            <w:r>
              <w:rPr>
                <w:rFonts w:hint="eastAsia" w:ascii="宋体" w:hAnsi="宋体" w:eastAsia="宋体" w:cs="宋体"/>
                <w:color w:val="auto"/>
                <w:sz w:val="21"/>
                <w:szCs w:val="21"/>
                <w:highlight w:val="none"/>
              </w:rPr>
              <w:t>电器正常使用。</w:t>
            </w:r>
          </w:p>
        </w:tc>
      </w:tr>
      <w:tr w14:paraId="756FA6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5BD7F54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3.16.5</w:t>
            </w:r>
          </w:p>
        </w:tc>
        <w:tc>
          <w:tcPr>
            <w:tcW w:w="1582" w:type="dxa"/>
            <w:vAlign w:val="center"/>
          </w:tcPr>
          <w:p w14:paraId="2873E18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外接充电</w:t>
            </w:r>
          </w:p>
        </w:tc>
        <w:tc>
          <w:tcPr>
            <w:tcW w:w="5926" w:type="dxa"/>
            <w:vAlign w:val="center"/>
          </w:tcPr>
          <w:p w14:paraId="514912B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配备内置大功率充电设备，配备防水外接充电接口，外接充电线缆</w:t>
            </w:r>
            <w:r>
              <w:rPr>
                <w:rFonts w:hint="eastAsia" w:ascii="宋体" w:hAnsi="宋体" w:eastAsia="宋体" w:cs="宋体"/>
                <w:color w:val="auto"/>
                <w:kern w:val="0"/>
                <w:sz w:val="21"/>
                <w:szCs w:val="21"/>
                <w:highlight w:val="none"/>
              </w:rPr>
              <w:t>≥30M。</w:t>
            </w:r>
          </w:p>
        </w:tc>
      </w:tr>
      <w:tr w14:paraId="0A1C24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51DE64E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3.16.6</w:t>
            </w:r>
          </w:p>
        </w:tc>
        <w:tc>
          <w:tcPr>
            <w:tcW w:w="1582" w:type="dxa"/>
            <w:vAlign w:val="center"/>
          </w:tcPr>
          <w:p w14:paraId="4CD786F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驾驶室配电</w:t>
            </w:r>
          </w:p>
        </w:tc>
        <w:tc>
          <w:tcPr>
            <w:tcW w:w="5926" w:type="dxa"/>
            <w:vAlign w:val="center"/>
          </w:tcPr>
          <w:p w14:paraId="5EFE774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驾驶舱预留保险装置及连接端口（由电源经由保险装置至用电器连接端口），</w:t>
            </w:r>
            <w:r>
              <w:rPr>
                <w:rFonts w:hint="eastAsia" w:ascii="宋体" w:hAnsi="宋体" w:eastAsia="宋体" w:cs="宋体"/>
                <w:color w:val="auto"/>
                <w:sz w:val="21"/>
                <w:szCs w:val="21"/>
                <w:highlight w:val="none"/>
                <w:lang w:val="en-US" w:eastAsia="zh-CN"/>
              </w:rPr>
              <w:t>配备满足采购方需求的导航</w:t>
            </w:r>
            <w:r>
              <w:rPr>
                <w:rFonts w:hint="eastAsia" w:ascii="宋体" w:hAnsi="宋体" w:eastAsia="宋体" w:cs="宋体"/>
                <w:color w:val="auto"/>
                <w:sz w:val="21"/>
                <w:szCs w:val="21"/>
                <w:highlight w:val="none"/>
              </w:rPr>
              <w:t>、行车记录仪等设备，保证车辆电路系统及外接用电器安全。</w:t>
            </w:r>
          </w:p>
        </w:tc>
      </w:tr>
      <w:tr w14:paraId="5935F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4A7AAEE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3.17</w:t>
            </w:r>
          </w:p>
        </w:tc>
        <w:tc>
          <w:tcPr>
            <w:tcW w:w="1582" w:type="dxa"/>
            <w:vAlign w:val="center"/>
          </w:tcPr>
          <w:p w14:paraId="30F7B26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电控系统</w:t>
            </w:r>
          </w:p>
        </w:tc>
        <w:tc>
          <w:tcPr>
            <w:tcW w:w="5926" w:type="dxa"/>
            <w:vAlign w:val="center"/>
          </w:tcPr>
          <w:p w14:paraId="0F26CE5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控系统能够控制医疗舱内逆变器、照明、杀菌灯等电气设备，便于医护人员操作；主控制系统在故障状态下，有相应的手动备份控制系统，确保在主控系统故障状态下，仍能使用医疗舱内电器设施。提供电控系统设计具体情况说明。</w:t>
            </w:r>
            <w:r>
              <w:rPr>
                <w:rFonts w:hint="eastAsia" w:ascii="宋体" w:hAnsi="宋体" w:eastAsia="宋体" w:cs="宋体"/>
                <w:color w:val="auto"/>
                <w:sz w:val="21"/>
                <w:szCs w:val="21"/>
                <w:highlight w:val="none"/>
                <w:lang w:val="en-US" w:eastAsia="zh-CN"/>
              </w:rPr>
              <w:t>驾驶室也能操作</w:t>
            </w:r>
          </w:p>
        </w:tc>
      </w:tr>
      <w:tr w14:paraId="7A473B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49CD345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3.17.1</w:t>
            </w:r>
          </w:p>
        </w:tc>
        <w:tc>
          <w:tcPr>
            <w:tcW w:w="1582" w:type="dxa"/>
            <w:vAlign w:val="center"/>
          </w:tcPr>
          <w:p w14:paraId="2918535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备份控制电路</w:t>
            </w:r>
          </w:p>
        </w:tc>
        <w:tc>
          <w:tcPr>
            <w:tcW w:w="5926" w:type="dxa"/>
            <w:vAlign w:val="center"/>
          </w:tcPr>
          <w:p w14:paraId="0EE4797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在主控制系统在故障状态下，有相应的手动备份控制系统，确保在主控系统故障状态下，仍能使用医疗舱内电器设施。</w:t>
            </w:r>
          </w:p>
        </w:tc>
      </w:tr>
      <w:tr w14:paraId="1EE3E5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2A35F67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3.17.2</w:t>
            </w:r>
          </w:p>
        </w:tc>
        <w:tc>
          <w:tcPr>
            <w:tcW w:w="1582" w:type="dxa"/>
            <w:vAlign w:val="center"/>
          </w:tcPr>
          <w:p w14:paraId="5E142C8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分控面板</w:t>
            </w:r>
          </w:p>
        </w:tc>
        <w:tc>
          <w:tcPr>
            <w:tcW w:w="5926" w:type="dxa"/>
            <w:vAlign w:val="center"/>
          </w:tcPr>
          <w:p w14:paraId="436FCA5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在驾驶室和车辆尾部应分别设置分控面板，面板可控制医疗舱内的主要照明和电器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杀菌灯</w:t>
            </w:r>
            <w:r>
              <w:rPr>
                <w:rFonts w:hint="eastAsia" w:ascii="宋体" w:hAnsi="宋体" w:eastAsia="宋体" w:cs="宋体"/>
                <w:color w:val="auto"/>
                <w:sz w:val="21"/>
                <w:szCs w:val="21"/>
                <w:highlight w:val="none"/>
              </w:rPr>
              <w:t>。</w:t>
            </w:r>
          </w:p>
        </w:tc>
      </w:tr>
      <w:tr w14:paraId="170F4D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2503EA8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3.18</w:t>
            </w:r>
          </w:p>
        </w:tc>
        <w:tc>
          <w:tcPr>
            <w:tcW w:w="1582" w:type="dxa"/>
            <w:vAlign w:val="center"/>
          </w:tcPr>
          <w:p w14:paraId="7736192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照明系统</w:t>
            </w:r>
          </w:p>
        </w:tc>
        <w:tc>
          <w:tcPr>
            <w:tcW w:w="5926" w:type="dxa"/>
            <w:vAlign w:val="center"/>
          </w:tcPr>
          <w:p w14:paraId="01B8D46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p>
        </w:tc>
      </w:tr>
      <w:tr w14:paraId="2F5ED8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5CE6214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3.18.1</w:t>
            </w:r>
          </w:p>
        </w:tc>
        <w:tc>
          <w:tcPr>
            <w:tcW w:w="1582" w:type="dxa"/>
            <w:vAlign w:val="center"/>
          </w:tcPr>
          <w:p w14:paraId="5405CA2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工作灯</w:t>
            </w:r>
          </w:p>
        </w:tc>
        <w:tc>
          <w:tcPr>
            <w:tcW w:w="5926" w:type="dxa"/>
            <w:vAlign w:val="center"/>
          </w:tcPr>
          <w:p w14:paraId="7CD4857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医疗舱内配有LED光带，光线应均匀、柔和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最高照度为≥300lx，亮度可调节。</w:t>
            </w:r>
          </w:p>
        </w:tc>
      </w:tr>
      <w:tr w14:paraId="0DD56D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3790771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3.18.2</w:t>
            </w:r>
          </w:p>
        </w:tc>
        <w:tc>
          <w:tcPr>
            <w:tcW w:w="1582" w:type="dxa"/>
            <w:vAlign w:val="center"/>
          </w:tcPr>
          <w:p w14:paraId="0CBA0B9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射灯</w:t>
            </w:r>
          </w:p>
        </w:tc>
        <w:tc>
          <w:tcPr>
            <w:tcW w:w="5926" w:type="dxa"/>
            <w:vAlign w:val="center"/>
          </w:tcPr>
          <w:p w14:paraId="5463B00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医疗舱内配有专用射灯4组LED冷光源，聚光型，高亮度，可调节照射角度，可在实施检查时辅助照明使用。</w:t>
            </w:r>
          </w:p>
        </w:tc>
      </w:tr>
      <w:tr w14:paraId="69AA09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493EFAE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3.18.3</w:t>
            </w:r>
          </w:p>
        </w:tc>
        <w:tc>
          <w:tcPr>
            <w:tcW w:w="1582" w:type="dxa"/>
            <w:vAlign w:val="center"/>
          </w:tcPr>
          <w:p w14:paraId="2E4CB47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辅助照明灯</w:t>
            </w:r>
          </w:p>
        </w:tc>
        <w:tc>
          <w:tcPr>
            <w:tcW w:w="5926" w:type="dxa"/>
            <w:vAlign w:val="center"/>
          </w:tcPr>
          <w:p w14:paraId="75C4373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医疗舱后部安装一组向后照射的射灯1组，可满足夜间紧急救援照明需要。</w:t>
            </w:r>
          </w:p>
        </w:tc>
      </w:tr>
      <w:tr w14:paraId="131BBC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65FB472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19</w:t>
            </w:r>
          </w:p>
        </w:tc>
        <w:tc>
          <w:tcPr>
            <w:tcW w:w="1582" w:type="dxa"/>
            <w:vAlign w:val="center"/>
          </w:tcPr>
          <w:p w14:paraId="21A0543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杀菌消毒系统</w:t>
            </w:r>
          </w:p>
        </w:tc>
        <w:tc>
          <w:tcPr>
            <w:tcW w:w="5926" w:type="dxa"/>
            <w:vAlign w:val="center"/>
          </w:tcPr>
          <w:p w14:paraId="547F081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医疗舱应配有</w:t>
            </w:r>
            <w:r>
              <w:rPr>
                <w:rFonts w:hint="eastAsia" w:ascii="宋体" w:hAnsi="宋体" w:eastAsia="宋体" w:cs="宋体"/>
                <w:color w:val="auto"/>
                <w:sz w:val="21"/>
                <w:szCs w:val="21"/>
                <w:highlight w:val="none"/>
                <w:lang w:eastAsia="zh-CN"/>
              </w:rPr>
              <w:t>：</w:t>
            </w:r>
          </w:p>
          <w:p w14:paraId="57BF162E">
            <w:pPr>
              <w:keepNext w:val="0"/>
              <w:keepLines w:val="0"/>
              <w:pageBreakBefore w:val="0"/>
              <w:widowControl w:val="0"/>
              <w:numPr>
                <w:ilvl w:val="0"/>
                <w:numId w:val="3"/>
              </w:numPr>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独立紫外线杀菌灯，功率≥10W</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有定时杀菌功能，定时时间可调。</w:t>
            </w:r>
          </w:p>
          <w:p w14:paraId="049CC1BA">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喷雾消毒系统：具有定时功能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雾化颗粒≤10um；对自然菌杀灭率≥90%；</w:t>
            </w:r>
          </w:p>
        </w:tc>
      </w:tr>
      <w:tr w14:paraId="299873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0E58E66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3.2</w:t>
            </w:r>
            <w:r>
              <w:rPr>
                <w:rFonts w:hint="eastAsia" w:ascii="宋体" w:hAnsi="宋体" w:eastAsia="宋体" w:cs="宋体"/>
                <w:bCs/>
                <w:color w:val="auto"/>
                <w:sz w:val="21"/>
                <w:szCs w:val="21"/>
                <w:highlight w:val="none"/>
                <w:lang w:val="en-US" w:eastAsia="zh-CN"/>
              </w:rPr>
              <w:t>0</w:t>
            </w:r>
          </w:p>
        </w:tc>
        <w:tc>
          <w:tcPr>
            <w:tcW w:w="1582" w:type="dxa"/>
            <w:vAlign w:val="center"/>
          </w:tcPr>
          <w:p w14:paraId="6D4EB8F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新风系统</w:t>
            </w:r>
          </w:p>
        </w:tc>
        <w:tc>
          <w:tcPr>
            <w:tcW w:w="5926" w:type="dxa"/>
            <w:vAlign w:val="center"/>
          </w:tcPr>
          <w:p w14:paraId="19FD304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换气量达700m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/h，换气次数≥20次/h，工作电压12V</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控制面板集成控制，具有双向换气功能。</w:t>
            </w:r>
          </w:p>
        </w:tc>
      </w:tr>
      <w:tr w14:paraId="6BBB9E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26570D1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3.2</w:t>
            </w:r>
            <w:r>
              <w:rPr>
                <w:rFonts w:hint="eastAsia" w:ascii="宋体" w:hAnsi="宋体" w:eastAsia="宋体" w:cs="宋体"/>
                <w:bCs/>
                <w:color w:val="auto"/>
                <w:sz w:val="21"/>
                <w:szCs w:val="21"/>
                <w:highlight w:val="none"/>
                <w:lang w:val="en-US" w:eastAsia="zh-CN"/>
              </w:rPr>
              <w:t>1</w:t>
            </w:r>
          </w:p>
        </w:tc>
        <w:tc>
          <w:tcPr>
            <w:tcW w:w="1582" w:type="dxa"/>
            <w:vAlign w:val="center"/>
          </w:tcPr>
          <w:p w14:paraId="01ADE49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输液固定器</w:t>
            </w:r>
          </w:p>
        </w:tc>
        <w:tc>
          <w:tcPr>
            <w:tcW w:w="5926" w:type="dxa"/>
            <w:vAlign w:val="center"/>
          </w:tcPr>
          <w:p w14:paraId="57F39F3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在上车担架上方安装</w:t>
            </w:r>
            <w:r>
              <w:rPr>
                <w:rFonts w:hint="eastAsia" w:ascii="宋体" w:hAnsi="宋体" w:eastAsia="宋体" w:cs="宋体"/>
                <w:color w:val="auto"/>
                <w:kern w:val="0"/>
                <w:sz w:val="21"/>
                <w:szCs w:val="21"/>
                <w:highlight w:val="none"/>
                <w:lang w:val="en-US" w:eastAsia="zh-CN"/>
              </w:rPr>
              <w:t>轨道式</w:t>
            </w:r>
            <w:r>
              <w:rPr>
                <w:rFonts w:hint="eastAsia" w:ascii="宋体" w:hAnsi="宋体" w:eastAsia="宋体" w:cs="宋体"/>
                <w:color w:val="auto"/>
                <w:kern w:val="0"/>
                <w:sz w:val="21"/>
                <w:szCs w:val="21"/>
                <w:highlight w:val="none"/>
              </w:rPr>
              <w:t>输液架1组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带可固定装置</w:t>
            </w:r>
            <w:r>
              <w:rPr>
                <w:rFonts w:hint="eastAsia" w:ascii="宋体" w:hAnsi="宋体" w:eastAsia="宋体" w:cs="宋体"/>
                <w:color w:val="auto"/>
                <w:kern w:val="0"/>
                <w:sz w:val="21"/>
                <w:szCs w:val="21"/>
                <w:highlight w:val="none"/>
              </w:rPr>
              <w:t>，负重≥5kg。</w:t>
            </w:r>
          </w:p>
        </w:tc>
      </w:tr>
      <w:tr w14:paraId="1C87E6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23E818E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3.2</w:t>
            </w:r>
            <w:r>
              <w:rPr>
                <w:rFonts w:hint="eastAsia" w:ascii="宋体" w:hAnsi="宋体" w:eastAsia="宋体" w:cs="宋体"/>
                <w:bCs/>
                <w:color w:val="auto"/>
                <w:sz w:val="21"/>
                <w:szCs w:val="21"/>
                <w:highlight w:val="none"/>
                <w:lang w:val="en-US" w:eastAsia="zh-CN"/>
              </w:rPr>
              <w:t>2</w:t>
            </w:r>
          </w:p>
        </w:tc>
        <w:tc>
          <w:tcPr>
            <w:tcW w:w="1582" w:type="dxa"/>
            <w:vAlign w:val="center"/>
          </w:tcPr>
          <w:p w14:paraId="4C10BAF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灭火器</w:t>
            </w:r>
          </w:p>
        </w:tc>
        <w:tc>
          <w:tcPr>
            <w:tcW w:w="5926" w:type="dxa"/>
            <w:vAlign w:val="center"/>
          </w:tcPr>
          <w:p w14:paraId="2B750FC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前、后舱应各配备灭火器1个。灭火器应分别放置在驾驶室门和医疗舱门附近，并安装牢固、便于取用，灭火器应采用水基型。</w:t>
            </w:r>
          </w:p>
        </w:tc>
      </w:tr>
      <w:tr w14:paraId="512539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14:paraId="536205F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3.23</w:t>
            </w:r>
          </w:p>
        </w:tc>
        <w:tc>
          <w:tcPr>
            <w:tcW w:w="1582" w:type="dxa"/>
            <w:vAlign w:val="center"/>
          </w:tcPr>
          <w:p w14:paraId="476FC25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摄像头</w:t>
            </w:r>
          </w:p>
        </w:tc>
        <w:tc>
          <w:tcPr>
            <w:tcW w:w="5926" w:type="dxa"/>
            <w:vAlign w:val="center"/>
          </w:tcPr>
          <w:p w14:paraId="475BD70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配备摄像头3个，医疗舱前部1个，后部2个。</w:t>
            </w:r>
            <w:r>
              <w:rPr>
                <w:rFonts w:hint="eastAsia" w:ascii="宋体" w:hAnsi="宋体" w:eastAsia="宋体" w:cs="宋体"/>
                <w:color w:val="auto"/>
                <w:sz w:val="21"/>
                <w:szCs w:val="21"/>
                <w:highlight w:val="none"/>
              </w:rPr>
              <w:t>最大分辨率2560x1440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接入信息系统。</w:t>
            </w:r>
          </w:p>
        </w:tc>
      </w:tr>
      <w:bookmarkEnd w:id="30"/>
    </w:tbl>
    <w:p w14:paraId="39AA7D1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1"/>
          <w:szCs w:val="21"/>
          <w:highlight w:val="none"/>
        </w:rPr>
      </w:pPr>
    </w:p>
    <w:p w14:paraId="5F0985D6">
      <w:pPr>
        <w:pStyle w:val="973"/>
        <w:keepNext w:val="0"/>
        <w:keepLines w:val="0"/>
        <w:pageBreakBefore w:val="0"/>
        <w:widowControl w:val="0"/>
        <w:kinsoku/>
        <w:wordWrap/>
        <w:overflowPunct/>
        <w:topLinePunct w:val="0"/>
        <w:autoSpaceDE/>
        <w:autoSpaceDN/>
        <w:bidi w:val="0"/>
        <w:adjustRightInd/>
        <w:snapToGrid/>
        <w:spacing w:before="0" w:beforeAutospacing="0" w:after="0" w:line="360" w:lineRule="exact"/>
        <w:ind w:left="0" w:leftChars="0" w:firstLine="442" w:firstLineChars="200"/>
        <w:textAlignment w:val="auto"/>
        <w:rPr>
          <w:rFonts w:hint="eastAsia" w:ascii="宋体" w:hAnsi="宋体" w:eastAsia="宋体" w:cs="宋体"/>
          <w:b/>
          <w:bCs/>
          <w:spacing w:val="5"/>
          <w:sz w:val="21"/>
          <w:szCs w:val="21"/>
          <w:highlight w:val="none"/>
          <w:lang w:val="en-US" w:eastAsia="zh-CN"/>
        </w:rPr>
      </w:pPr>
      <w:r>
        <w:rPr>
          <w:rFonts w:hint="eastAsia" w:ascii="宋体" w:hAnsi="宋体" w:eastAsia="宋体" w:cs="宋体"/>
          <w:b/>
          <w:bCs/>
          <w:spacing w:val="5"/>
          <w:sz w:val="21"/>
          <w:szCs w:val="21"/>
          <w:highlight w:val="none"/>
          <w:lang w:val="en-US" w:eastAsia="zh-CN"/>
        </w:rPr>
        <w:t>（三）车载医疗设备</w:t>
      </w:r>
    </w:p>
    <w:tbl>
      <w:tblPr>
        <w:tblStyle w:val="64"/>
        <w:tblW w:w="85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004"/>
        <w:gridCol w:w="5155"/>
      </w:tblGrid>
      <w:tr w14:paraId="46249A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19" w:type="dxa"/>
            <w:vAlign w:val="center"/>
          </w:tcPr>
          <w:p w14:paraId="7A6F278F">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bCs/>
                <w:color w:val="auto"/>
                <w:sz w:val="21"/>
                <w:szCs w:val="21"/>
                <w:highlight w:val="none"/>
              </w:rPr>
              <w:t>序号</w:t>
            </w:r>
          </w:p>
        </w:tc>
        <w:tc>
          <w:tcPr>
            <w:tcW w:w="2004" w:type="dxa"/>
            <w:vAlign w:val="center"/>
          </w:tcPr>
          <w:p w14:paraId="07C4500C">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货物名称</w:t>
            </w:r>
          </w:p>
        </w:tc>
        <w:tc>
          <w:tcPr>
            <w:tcW w:w="5155" w:type="dxa"/>
            <w:vAlign w:val="center"/>
          </w:tcPr>
          <w:p w14:paraId="35C3D0CB">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技术规格要求</w:t>
            </w:r>
          </w:p>
        </w:tc>
      </w:tr>
      <w:tr w14:paraId="209511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2165AAA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right="0"/>
              <w:jc w:val="center"/>
              <w:textAlignment w:val="baseline"/>
              <w:rPr>
                <w:rFonts w:hint="eastAsia" w:ascii="宋体" w:hAnsi="宋体" w:eastAsia="宋体" w:cs="宋体"/>
                <w:b w:val="0"/>
                <w:bCs w:val="0"/>
                <w:snapToGrid w:val="0"/>
                <w:color w:val="auto"/>
                <w:spacing w:val="-5"/>
                <w:kern w:val="0"/>
                <w:sz w:val="21"/>
                <w:szCs w:val="21"/>
                <w:highlight w:val="none"/>
                <w:lang w:val="en-US" w:eastAsia="zh-CN" w:bidi="ar-SA"/>
              </w:rPr>
            </w:pPr>
            <w:r>
              <w:rPr>
                <w:rFonts w:hint="eastAsia" w:ascii="宋体" w:hAnsi="宋体" w:eastAsia="宋体" w:cs="宋体"/>
                <w:b w:val="0"/>
                <w:bCs w:val="0"/>
                <w:snapToGrid w:val="0"/>
                <w:color w:val="auto"/>
                <w:spacing w:val="-5"/>
                <w:kern w:val="0"/>
                <w:sz w:val="21"/>
                <w:szCs w:val="21"/>
                <w:highlight w:val="none"/>
                <w:lang w:val="en-US" w:eastAsia="zh-CN" w:bidi="ar-SA"/>
              </w:rPr>
              <w:t>四</w:t>
            </w:r>
          </w:p>
        </w:tc>
        <w:tc>
          <w:tcPr>
            <w:tcW w:w="2004" w:type="dxa"/>
            <w:vAlign w:val="center"/>
          </w:tcPr>
          <w:p w14:paraId="020C48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eastAsia" w:ascii="宋体" w:hAnsi="宋体" w:eastAsia="宋体" w:cs="宋体"/>
                <w:b w:val="0"/>
                <w:bCs w:val="0"/>
                <w:snapToGrid w:val="0"/>
                <w:color w:val="auto"/>
                <w:spacing w:val="-5"/>
                <w:kern w:val="0"/>
                <w:sz w:val="21"/>
                <w:szCs w:val="21"/>
                <w:highlight w:val="none"/>
                <w:lang w:val="en-US" w:eastAsia="zh-CN" w:bidi="ar-SA"/>
              </w:rPr>
            </w:pPr>
            <w:r>
              <w:rPr>
                <w:rFonts w:hint="eastAsia" w:ascii="宋体" w:hAnsi="宋体" w:eastAsia="宋体" w:cs="宋体"/>
                <w:b w:val="0"/>
                <w:bCs w:val="0"/>
                <w:snapToGrid w:val="0"/>
                <w:color w:val="auto"/>
                <w:spacing w:val="-5"/>
                <w:kern w:val="0"/>
                <w:sz w:val="21"/>
                <w:szCs w:val="21"/>
                <w:highlight w:val="none"/>
                <w:lang w:val="en-US" w:eastAsia="zh-CN" w:bidi="ar-SA"/>
              </w:rPr>
              <w:t>车载医疗设备</w:t>
            </w:r>
          </w:p>
        </w:tc>
        <w:tc>
          <w:tcPr>
            <w:tcW w:w="5155" w:type="dxa"/>
            <w:vAlign w:val="center"/>
          </w:tcPr>
          <w:p w14:paraId="301ED21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both"/>
              <w:textAlignment w:val="baseline"/>
              <w:rPr>
                <w:rFonts w:hint="eastAsia" w:ascii="宋体" w:hAnsi="宋体" w:eastAsia="宋体" w:cs="宋体"/>
                <w:b w:val="0"/>
                <w:bCs w:val="0"/>
                <w:snapToGrid w:val="0"/>
                <w:color w:val="auto"/>
                <w:spacing w:val="-5"/>
                <w:kern w:val="0"/>
                <w:sz w:val="21"/>
                <w:szCs w:val="21"/>
                <w:highlight w:val="none"/>
                <w:lang w:val="en-US" w:eastAsia="zh-CN" w:bidi="ar-SA"/>
              </w:rPr>
            </w:pPr>
            <w:r>
              <w:rPr>
                <w:rFonts w:hint="eastAsia" w:ascii="宋体" w:hAnsi="宋体" w:eastAsia="宋体" w:cs="宋体"/>
                <w:b w:val="0"/>
                <w:bCs w:val="0"/>
                <w:snapToGrid w:val="0"/>
                <w:color w:val="auto"/>
                <w:spacing w:val="-5"/>
                <w:kern w:val="0"/>
                <w:sz w:val="21"/>
                <w:szCs w:val="21"/>
                <w:highlight w:val="none"/>
                <w:lang w:val="en-US" w:eastAsia="zh-CN" w:bidi="ar-SA"/>
              </w:rPr>
              <w:t>设备的数据接口均需开放，便于车载信息系统数据采集。</w:t>
            </w:r>
          </w:p>
        </w:tc>
      </w:tr>
      <w:tr w14:paraId="4DC90F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30ABDE3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（一）</w:t>
            </w:r>
          </w:p>
        </w:tc>
        <w:tc>
          <w:tcPr>
            <w:tcW w:w="2004" w:type="dxa"/>
            <w:vAlign w:val="center"/>
          </w:tcPr>
          <w:p w14:paraId="7D12DD3C">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检查设备</w:t>
            </w:r>
          </w:p>
        </w:tc>
        <w:tc>
          <w:tcPr>
            <w:tcW w:w="5155" w:type="dxa"/>
            <w:vAlign w:val="center"/>
          </w:tcPr>
          <w:p w14:paraId="0150802A">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r>
      <w:tr w14:paraId="00E3C6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1A092A1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en-US" w:bidi="ar-SA"/>
              </w:rPr>
              <w:t>1</w:t>
            </w:r>
          </w:p>
        </w:tc>
        <w:tc>
          <w:tcPr>
            <w:tcW w:w="2004" w:type="dxa"/>
            <w:vAlign w:val="center"/>
          </w:tcPr>
          <w:p w14:paraId="6701E214">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en-US" w:bidi="ar-SA"/>
              </w:rPr>
              <w:t>听诊器</w:t>
            </w:r>
          </w:p>
        </w:tc>
        <w:tc>
          <w:tcPr>
            <w:tcW w:w="5155" w:type="dxa"/>
            <w:vAlign w:val="center"/>
          </w:tcPr>
          <w:p w14:paraId="04D427A0">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r>
      <w:tr w14:paraId="737CE0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11A4EFA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1.1</w:t>
            </w:r>
          </w:p>
        </w:tc>
        <w:tc>
          <w:tcPr>
            <w:tcW w:w="2004" w:type="dxa"/>
            <w:vAlign w:val="center"/>
          </w:tcPr>
          <w:p w14:paraId="034C69BE">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2075A327">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主要用途：</w:t>
            </w:r>
            <w:r>
              <w:rPr>
                <w:rFonts w:hint="eastAsia" w:ascii="宋体" w:hAnsi="宋体" w:eastAsia="宋体" w:cs="宋体"/>
                <w:color w:val="auto"/>
                <w:spacing w:val="-6"/>
                <w:sz w:val="21"/>
                <w:szCs w:val="21"/>
                <w:highlight w:val="none"/>
              </w:rPr>
              <w:t>心肺听诊</w:t>
            </w:r>
          </w:p>
        </w:tc>
      </w:tr>
      <w:tr w14:paraId="5646EA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3049465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1.2</w:t>
            </w:r>
          </w:p>
        </w:tc>
        <w:tc>
          <w:tcPr>
            <w:tcW w:w="2004" w:type="dxa"/>
            <w:vAlign w:val="center"/>
          </w:tcPr>
          <w:p w14:paraId="631ABE00">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075922C4">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主要技术要求</w:t>
            </w:r>
          </w:p>
        </w:tc>
      </w:tr>
      <w:tr w14:paraId="5B0170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15227CB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1.2.1</w:t>
            </w:r>
          </w:p>
        </w:tc>
        <w:tc>
          <w:tcPr>
            <w:tcW w:w="2004" w:type="dxa"/>
            <w:vAlign w:val="center"/>
          </w:tcPr>
          <w:p w14:paraId="0FC6C275">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0E44F90E">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双用听诊器，可根据不同需要选用不同的听诊头</w:t>
            </w:r>
          </w:p>
        </w:tc>
      </w:tr>
      <w:tr w14:paraId="7EFEDA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4F6BE08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2004" w:type="dxa"/>
            <w:vAlign w:val="center"/>
          </w:tcPr>
          <w:p w14:paraId="2BB5BA37">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219451CF">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r>
      <w:tr w14:paraId="668039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07BBE09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en-US" w:bidi="ar-SA"/>
              </w:rPr>
              <w:t>2</w:t>
            </w:r>
          </w:p>
        </w:tc>
        <w:tc>
          <w:tcPr>
            <w:tcW w:w="2004" w:type="dxa"/>
            <w:vAlign w:val="center"/>
          </w:tcPr>
          <w:p w14:paraId="3A30C42D">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en-US" w:bidi="ar-SA"/>
              </w:rPr>
              <w:t>体重秤</w:t>
            </w:r>
          </w:p>
        </w:tc>
        <w:tc>
          <w:tcPr>
            <w:tcW w:w="5155" w:type="dxa"/>
            <w:vAlign w:val="center"/>
          </w:tcPr>
          <w:p w14:paraId="4213783A">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r>
      <w:tr w14:paraId="4C4AD6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0849F57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2.1</w:t>
            </w:r>
          </w:p>
        </w:tc>
        <w:tc>
          <w:tcPr>
            <w:tcW w:w="2004" w:type="dxa"/>
            <w:vAlign w:val="center"/>
          </w:tcPr>
          <w:p w14:paraId="37DDB841">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685ECA59">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主要用途：体重测量</w:t>
            </w:r>
          </w:p>
        </w:tc>
      </w:tr>
      <w:tr w14:paraId="34443F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63902DE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2.2</w:t>
            </w:r>
          </w:p>
        </w:tc>
        <w:tc>
          <w:tcPr>
            <w:tcW w:w="2004" w:type="dxa"/>
            <w:vAlign w:val="center"/>
          </w:tcPr>
          <w:p w14:paraId="499ADD44">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5AC28758">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主要技术要求</w:t>
            </w:r>
          </w:p>
        </w:tc>
      </w:tr>
      <w:tr w14:paraId="03FBCA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5F1D52B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2.2.1</w:t>
            </w:r>
          </w:p>
        </w:tc>
        <w:tc>
          <w:tcPr>
            <w:tcW w:w="2004" w:type="dxa"/>
            <w:vAlign w:val="center"/>
          </w:tcPr>
          <w:p w14:paraId="1C939DFE">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2C2BE157">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数字显示屏幕</w:t>
            </w:r>
          </w:p>
        </w:tc>
      </w:tr>
      <w:tr w14:paraId="7642B6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42E0CB7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2.2.2</w:t>
            </w:r>
          </w:p>
        </w:tc>
        <w:tc>
          <w:tcPr>
            <w:tcW w:w="2004" w:type="dxa"/>
            <w:vAlign w:val="center"/>
          </w:tcPr>
          <w:p w14:paraId="63C2F435">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583BDBF4">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最大可测量体重≥200kg</w:t>
            </w:r>
          </w:p>
        </w:tc>
      </w:tr>
      <w:tr w14:paraId="049154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7FFAAF5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2.2.3</w:t>
            </w:r>
          </w:p>
        </w:tc>
        <w:tc>
          <w:tcPr>
            <w:tcW w:w="2004" w:type="dxa"/>
            <w:vAlign w:val="center"/>
          </w:tcPr>
          <w:p w14:paraId="44EA457B">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4021BBA3">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最高可测量身高≥195cm</w:t>
            </w:r>
          </w:p>
        </w:tc>
      </w:tr>
      <w:tr w14:paraId="66E8ED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09E7A89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2.2.4</w:t>
            </w:r>
          </w:p>
        </w:tc>
        <w:tc>
          <w:tcPr>
            <w:tcW w:w="2004" w:type="dxa"/>
            <w:vAlign w:val="center"/>
          </w:tcPr>
          <w:p w14:paraId="7CAD9033">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6E8D16FB">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可测量身高、体重、体脂，BMI等指标</w:t>
            </w:r>
          </w:p>
        </w:tc>
      </w:tr>
      <w:tr w14:paraId="334E68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2C0EEC2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2004" w:type="dxa"/>
            <w:vAlign w:val="center"/>
          </w:tcPr>
          <w:p w14:paraId="2F6A674C">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6747D5B4">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r>
      <w:tr w14:paraId="5FE6BD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09902F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3</w:t>
            </w:r>
          </w:p>
        </w:tc>
        <w:tc>
          <w:tcPr>
            <w:tcW w:w="2004" w:type="dxa"/>
            <w:vAlign w:val="center"/>
          </w:tcPr>
          <w:p w14:paraId="62EC8D78">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全科诊疗仪</w:t>
            </w:r>
          </w:p>
        </w:tc>
        <w:tc>
          <w:tcPr>
            <w:tcW w:w="5155" w:type="dxa"/>
            <w:vAlign w:val="center"/>
          </w:tcPr>
          <w:p w14:paraId="4088A383">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r>
      <w:tr w14:paraId="6A55B1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3763092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3.1</w:t>
            </w:r>
          </w:p>
        </w:tc>
        <w:tc>
          <w:tcPr>
            <w:tcW w:w="2004" w:type="dxa"/>
            <w:vAlign w:val="center"/>
          </w:tcPr>
          <w:p w14:paraId="2659311D">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21E8469E">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用途：</w:t>
            </w:r>
            <w:r>
              <w:rPr>
                <w:rFonts w:hint="eastAsia" w:ascii="宋体" w:hAnsi="宋体" w:eastAsia="宋体" w:cs="宋体"/>
                <w:color w:val="auto"/>
                <w:spacing w:val="-4"/>
                <w:sz w:val="21"/>
                <w:szCs w:val="21"/>
                <w:highlight w:val="none"/>
              </w:rPr>
              <w:t>全科诊疗</w:t>
            </w:r>
          </w:p>
        </w:tc>
      </w:tr>
      <w:tr w14:paraId="3ADEAB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3D3F8F2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3.2</w:t>
            </w:r>
          </w:p>
        </w:tc>
        <w:tc>
          <w:tcPr>
            <w:tcW w:w="2004" w:type="dxa"/>
            <w:vAlign w:val="center"/>
          </w:tcPr>
          <w:p w14:paraId="356194F1">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507E5DB5">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主要技术要求</w:t>
            </w:r>
          </w:p>
        </w:tc>
      </w:tr>
      <w:tr w14:paraId="54F14F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419" w:type="dxa"/>
            <w:vAlign w:val="center"/>
          </w:tcPr>
          <w:p w14:paraId="71E17E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3.2.1</w:t>
            </w:r>
          </w:p>
        </w:tc>
        <w:tc>
          <w:tcPr>
            <w:tcW w:w="2004" w:type="dxa"/>
            <w:vAlign w:val="center"/>
          </w:tcPr>
          <w:p w14:paraId="12B4A45D">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5A238DD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color w:val="auto"/>
                <w:kern w:val="2"/>
                <w:sz w:val="21"/>
                <w:szCs w:val="21"/>
                <w:highlight w:val="none"/>
                <w:vertAlign w:val="baseline"/>
                <w:lang w:val="en-US" w:eastAsia="zh-CN" w:bidi="ar-SA"/>
              </w:rPr>
              <w:t>系统组成：直接检眼镜、医用放大镜、医用检查灯、血压计、体温计组合式一体化壁挂式设计。检测项目包含；眼底检查、耳膜及耳道检查、喉部检查、血压测量、体温测量等</w:t>
            </w:r>
          </w:p>
        </w:tc>
      </w:tr>
      <w:tr w14:paraId="1FE222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1419" w:type="dxa"/>
            <w:vAlign w:val="center"/>
          </w:tcPr>
          <w:p w14:paraId="1E41799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3.2.2</w:t>
            </w:r>
          </w:p>
        </w:tc>
        <w:tc>
          <w:tcPr>
            <w:tcW w:w="2004" w:type="dxa"/>
            <w:vAlign w:val="center"/>
          </w:tcPr>
          <w:p w14:paraId="1A4DA597">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287ABC83">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直接检眼镜：</w:t>
            </w:r>
          </w:p>
          <w:p w14:paraId="640B0750">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观察视场角≥3°可一次性观察整个眼底； </w:t>
            </w:r>
          </w:p>
          <w:p w14:paraId="68E93D6B">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屈光度≥20种可选；</w:t>
            </w:r>
          </w:p>
          <w:p w14:paraId="7AEABD2B">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≥6种照明形式可选；</w:t>
            </w:r>
          </w:p>
          <w:p w14:paraId="10CF5275">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color w:val="auto"/>
                <w:kern w:val="2"/>
                <w:sz w:val="21"/>
                <w:szCs w:val="21"/>
                <w:highlight w:val="none"/>
                <w:vertAlign w:val="baseline"/>
                <w:lang w:val="en-US" w:eastAsia="zh-CN" w:bidi="ar-SA"/>
              </w:rPr>
              <w:t>多种滤片可选</w:t>
            </w:r>
          </w:p>
        </w:tc>
      </w:tr>
      <w:tr w14:paraId="418486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419" w:type="dxa"/>
            <w:vAlign w:val="center"/>
          </w:tcPr>
          <w:p w14:paraId="43452C7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3.2.3</w:t>
            </w:r>
          </w:p>
        </w:tc>
        <w:tc>
          <w:tcPr>
            <w:tcW w:w="2004" w:type="dxa"/>
            <w:vAlign w:val="center"/>
          </w:tcPr>
          <w:p w14:paraId="60F98260">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1E379918">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医用放大镜：</w:t>
            </w:r>
          </w:p>
          <w:p w14:paraId="60FBBE2E">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光照稳定，无闪烁、忽明忽暗现象，最大照度≥7000LX；</w:t>
            </w:r>
          </w:p>
          <w:p w14:paraId="6AF2310B">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color w:val="auto"/>
                <w:kern w:val="2"/>
                <w:sz w:val="21"/>
                <w:szCs w:val="21"/>
                <w:highlight w:val="none"/>
                <w:vertAlign w:val="baseline"/>
                <w:lang w:val="en-US" w:eastAsia="zh-CN" w:bidi="ar-SA"/>
              </w:rPr>
              <w:t>放大透镜可放大至≥2.0X；色温≥3000LX</w:t>
            </w:r>
          </w:p>
        </w:tc>
      </w:tr>
      <w:tr w14:paraId="209800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419" w:type="dxa"/>
            <w:vAlign w:val="center"/>
          </w:tcPr>
          <w:p w14:paraId="6910C97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3.2.4</w:t>
            </w:r>
          </w:p>
        </w:tc>
        <w:tc>
          <w:tcPr>
            <w:tcW w:w="2004" w:type="dxa"/>
            <w:vAlign w:val="center"/>
          </w:tcPr>
          <w:p w14:paraId="5BF12026">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042DFC67">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医用检查灯：</w:t>
            </w:r>
          </w:p>
          <w:p w14:paraId="5FC677D4">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光照稳定，无闪烁、忽明忽暗现象，最大照度≥30000LX，色温≥3000LX</w:t>
            </w:r>
          </w:p>
          <w:p w14:paraId="1A4C3C7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color w:val="auto"/>
                <w:kern w:val="2"/>
                <w:sz w:val="21"/>
                <w:szCs w:val="21"/>
                <w:highlight w:val="none"/>
                <w:vertAlign w:val="baseline"/>
                <w:lang w:val="en-US" w:eastAsia="zh-CN" w:bidi="ar-SA"/>
              </w:rPr>
              <w:t>可与一次性压舌板配备使用</w:t>
            </w:r>
          </w:p>
        </w:tc>
      </w:tr>
      <w:tr w14:paraId="17F91F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419" w:type="dxa"/>
            <w:vAlign w:val="center"/>
          </w:tcPr>
          <w:p w14:paraId="3E206C47">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3.2.5</w:t>
            </w:r>
          </w:p>
        </w:tc>
        <w:tc>
          <w:tcPr>
            <w:tcW w:w="2004" w:type="dxa"/>
            <w:vAlign w:val="center"/>
          </w:tcPr>
          <w:p w14:paraId="7F621C0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2B8A3CB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血压计：</w:t>
            </w:r>
          </w:p>
          <w:p w14:paraId="3A4A5D57">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采用脉搏波法测量法、双气囊双传感器；</w:t>
            </w:r>
          </w:p>
          <w:p w14:paraId="0D21DA6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测量范围：压力（0～200)mmHg [(0~ 30)kPa]；</w:t>
            </w:r>
          </w:p>
          <w:p w14:paraId="1AB10D50">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脉率数40次/分～180次/分</w:t>
            </w:r>
          </w:p>
        </w:tc>
      </w:tr>
      <w:tr w14:paraId="3A3499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0DA1304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3.2.6</w:t>
            </w:r>
          </w:p>
        </w:tc>
        <w:tc>
          <w:tcPr>
            <w:tcW w:w="2004" w:type="dxa"/>
            <w:vAlign w:val="center"/>
          </w:tcPr>
          <w:p w14:paraId="2E4020B0">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243DFDC7">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体温：</w:t>
            </w:r>
          </w:p>
          <w:p w14:paraId="0C3B8217">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体温测量范围应包含32℃~42℃</w:t>
            </w:r>
          </w:p>
        </w:tc>
      </w:tr>
      <w:tr w14:paraId="22EEE1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258FEFF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2004" w:type="dxa"/>
            <w:vAlign w:val="center"/>
          </w:tcPr>
          <w:p w14:paraId="1FC0CB9D">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2E5A4DBE">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r>
      <w:tr w14:paraId="0B6B1C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244155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（二）</w:t>
            </w:r>
          </w:p>
        </w:tc>
        <w:tc>
          <w:tcPr>
            <w:tcW w:w="2004" w:type="dxa"/>
            <w:vAlign w:val="center"/>
          </w:tcPr>
          <w:p w14:paraId="7732915C">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检验设备</w:t>
            </w:r>
          </w:p>
        </w:tc>
        <w:tc>
          <w:tcPr>
            <w:tcW w:w="5155" w:type="dxa"/>
            <w:vAlign w:val="center"/>
          </w:tcPr>
          <w:p w14:paraId="667CA82B">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r>
      <w:tr w14:paraId="4229C1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7AFBE7F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4</w:t>
            </w:r>
          </w:p>
        </w:tc>
        <w:tc>
          <w:tcPr>
            <w:tcW w:w="2004" w:type="dxa"/>
            <w:vAlign w:val="center"/>
          </w:tcPr>
          <w:p w14:paraId="064FCE0B">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en-US" w:bidi="ar-SA"/>
              </w:rPr>
              <w:t>血糖仪</w:t>
            </w:r>
          </w:p>
        </w:tc>
        <w:tc>
          <w:tcPr>
            <w:tcW w:w="5155" w:type="dxa"/>
            <w:vAlign w:val="center"/>
          </w:tcPr>
          <w:p w14:paraId="05B9080C">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r>
      <w:tr w14:paraId="45A965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1F42493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4.1</w:t>
            </w:r>
          </w:p>
        </w:tc>
        <w:tc>
          <w:tcPr>
            <w:tcW w:w="2004" w:type="dxa"/>
            <w:vAlign w:val="center"/>
          </w:tcPr>
          <w:p w14:paraId="294EB87A">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8"/>
                <w:kern w:val="0"/>
                <w:sz w:val="21"/>
                <w:szCs w:val="21"/>
                <w:highlight w:val="none"/>
                <w:lang w:val="en-US" w:eastAsia="zh-CN" w:bidi="ar-SA"/>
              </w:rPr>
            </w:pPr>
          </w:p>
        </w:tc>
        <w:tc>
          <w:tcPr>
            <w:tcW w:w="5155" w:type="dxa"/>
            <w:vAlign w:val="center"/>
          </w:tcPr>
          <w:p w14:paraId="083B5C21">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主要用途：血糖测试</w:t>
            </w:r>
          </w:p>
        </w:tc>
      </w:tr>
      <w:tr w14:paraId="6B4181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8790DC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4.2</w:t>
            </w:r>
          </w:p>
        </w:tc>
        <w:tc>
          <w:tcPr>
            <w:tcW w:w="2004" w:type="dxa"/>
            <w:vAlign w:val="center"/>
          </w:tcPr>
          <w:p w14:paraId="5534A36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8"/>
                <w:kern w:val="0"/>
                <w:sz w:val="21"/>
                <w:szCs w:val="21"/>
                <w:highlight w:val="none"/>
                <w:lang w:val="en-US" w:eastAsia="zh-CN" w:bidi="ar-SA"/>
              </w:rPr>
            </w:pPr>
          </w:p>
        </w:tc>
        <w:tc>
          <w:tcPr>
            <w:tcW w:w="5155" w:type="dxa"/>
            <w:vAlign w:val="center"/>
          </w:tcPr>
          <w:p w14:paraId="0916CD0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主要技术要求</w:t>
            </w:r>
          </w:p>
        </w:tc>
      </w:tr>
      <w:tr w14:paraId="4D4506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72EBE9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4.2.1</w:t>
            </w:r>
          </w:p>
        </w:tc>
        <w:tc>
          <w:tcPr>
            <w:tcW w:w="2004" w:type="dxa"/>
            <w:vAlign w:val="center"/>
          </w:tcPr>
          <w:p w14:paraId="4B36667D">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8"/>
                <w:kern w:val="0"/>
                <w:sz w:val="21"/>
                <w:szCs w:val="21"/>
                <w:highlight w:val="none"/>
                <w:lang w:val="en-US" w:eastAsia="zh-CN" w:bidi="ar-SA"/>
              </w:rPr>
            </w:pPr>
          </w:p>
        </w:tc>
        <w:tc>
          <w:tcPr>
            <w:tcW w:w="5155" w:type="dxa"/>
            <w:vAlign w:val="center"/>
          </w:tcPr>
          <w:p w14:paraId="7546B13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需血量：≤0.5ul；</w:t>
            </w:r>
          </w:p>
        </w:tc>
      </w:tr>
      <w:tr w14:paraId="6C0898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D3052A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4.2.2</w:t>
            </w:r>
          </w:p>
        </w:tc>
        <w:tc>
          <w:tcPr>
            <w:tcW w:w="2004" w:type="dxa"/>
            <w:vAlign w:val="center"/>
          </w:tcPr>
          <w:p w14:paraId="60758C2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8"/>
                <w:kern w:val="0"/>
                <w:sz w:val="21"/>
                <w:szCs w:val="21"/>
                <w:highlight w:val="none"/>
                <w:lang w:val="en-US" w:eastAsia="zh-CN" w:bidi="ar-SA"/>
              </w:rPr>
            </w:pPr>
          </w:p>
        </w:tc>
        <w:tc>
          <w:tcPr>
            <w:tcW w:w="5155" w:type="dxa"/>
            <w:vAlign w:val="center"/>
          </w:tcPr>
          <w:p w14:paraId="2188F0B7">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测量范围：1.5--30mmol/L；</w:t>
            </w:r>
          </w:p>
        </w:tc>
      </w:tr>
      <w:tr w14:paraId="2A9CA7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A49534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4.2.3</w:t>
            </w:r>
          </w:p>
        </w:tc>
        <w:tc>
          <w:tcPr>
            <w:tcW w:w="2004" w:type="dxa"/>
            <w:vAlign w:val="center"/>
          </w:tcPr>
          <w:p w14:paraId="2152FAE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8"/>
                <w:kern w:val="0"/>
                <w:sz w:val="21"/>
                <w:szCs w:val="21"/>
                <w:highlight w:val="none"/>
                <w:lang w:val="en-US" w:eastAsia="zh-CN" w:bidi="ar-SA"/>
              </w:rPr>
            </w:pPr>
          </w:p>
        </w:tc>
        <w:tc>
          <w:tcPr>
            <w:tcW w:w="5155" w:type="dxa"/>
            <w:vAlign w:val="center"/>
          </w:tcPr>
          <w:p w14:paraId="35DEDFB0">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测量时间：≤5秒；</w:t>
            </w:r>
          </w:p>
        </w:tc>
      </w:tr>
      <w:tr w14:paraId="50CFD9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651A65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4.2.4</w:t>
            </w:r>
          </w:p>
        </w:tc>
        <w:tc>
          <w:tcPr>
            <w:tcW w:w="2004" w:type="dxa"/>
            <w:vAlign w:val="center"/>
          </w:tcPr>
          <w:p w14:paraId="56B3763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8"/>
                <w:kern w:val="0"/>
                <w:sz w:val="21"/>
                <w:szCs w:val="21"/>
                <w:highlight w:val="none"/>
                <w:lang w:val="en-US" w:eastAsia="zh-CN" w:bidi="ar-SA"/>
              </w:rPr>
            </w:pPr>
          </w:p>
        </w:tc>
        <w:tc>
          <w:tcPr>
            <w:tcW w:w="5155" w:type="dxa"/>
            <w:vAlign w:val="center"/>
          </w:tcPr>
          <w:p w14:paraId="008F999D">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试纸精密性：cv≤5%；</w:t>
            </w:r>
          </w:p>
        </w:tc>
      </w:tr>
      <w:tr w14:paraId="74552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CB536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4.2.5</w:t>
            </w:r>
          </w:p>
        </w:tc>
        <w:tc>
          <w:tcPr>
            <w:tcW w:w="2004" w:type="dxa"/>
            <w:vAlign w:val="center"/>
          </w:tcPr>
          <w:p w14:paraId="0F5E2FDF">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8"/>
                <w:kern w:val="0"/>
                <w:sz w:val="21"/>
                <w:szCs w:val="21"/>
                <w:highlight w:val="none"/>
                <w:lang w:val="en-US" w:eastAsia="zh-CN" w:bidi="ar-SA"/>
              </w:rPr>
            </w:pPr>
          </w:p>
        </w:tc>
        <w:tc>
          <w:tcPr>
            <w:tcW w:w="5155" w:type="dxa"/>
            <w:vAlign w:val="center"/>
          </w:tcPr>
          <w:p w14:paraId="25B6B2D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红细胞压积范围包含或优于30%--60%；</w:t>
            </w:r>
          </w:p>
        </w:tc>
      </w:tr>
      <w:tr w14:paraId="651F8B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2BE6FD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4.2.6</w:t>
            </w:r>
          </w:p>
        </w:tc>
        <w:tc>
          <w:tcPr>
            <w:tcW w:w="2004" w:type="dxa"/>
            <w:vAlign w:val="center"/>
          </w:tcPr>
          <w:p w14:paraId="4EDDCBC4">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8"/>
                <w:kern w:val="0"/>
                <w:sz w:val="21"/>
                <w:szCs w:val="21"/>
                <w:highlight w:val="none"/>
                <w:lang w:val="en-US" w:eastAsia="zh-CN" w:bidi="ar-SA"/>
              </w:rPr>
            </w:pPr>
          </w:p>
        </w:tc>
        <w:tc>
          <w:tcPr>
            <w:tcW w:w="5155" w:type="dxa"/>
            <w:vAlign w:val="center"/>
          </w:tcPr>
          <w:p w14:paraId="4C591CC4">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数据储存组数：≥300组；</w:t>
            </w:r>
          </w:p>
        </w:tc>
      </w:tr>
      <w:tr w14:paraId="37851B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C9C678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p>
        </w:tc>
        <w:tc>
          <w:tcPr>
            <w:tcW w:w="2004" w:type="dxa"/>
            <w:vAlign w:val="center"/>
          </w:tcPr>
          <w:p w14:paraId="58499CBD">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2D48F4DD">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r>
      <w:tr w14:paraId="21B693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10D788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5</w:t>
            </w:r>
          </w:p>
        </w:tc>
        <w:tc>
          <w:tcPr>
            <w:tcW w:w="2004" w:type="dxa"/>
            <w:vAlign w:val="center"/>
          </w:tcPr>
          <w:p w14:paraId="1152F2DD">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en-US" w:bidi="ar-SA"/>
              </w:rPr>
              <w:t>便携式血液分析仪</w:t>
            </w:r>
          </w:p>
        </w:tc>
        <w:tc>
          <w:tcPr>
            <w:tcW w:w="5155" w:type="dxa"/>
            <w:vAlign w:val="center"/>
          </w:tcPr>
          <w:p w14:paraId="174A717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8"/>
                <w:kern w:val="0"/>
                <w:sz w:val="21"/>
                <w:szCs w:val="21"/>
                <w:highlight w:val="none"/>
                <w:lang w:val="en-US" w:eastAsia="zh-CN" w:bidi="ar-SA"/>
              </w:rPr>
            </w:pPr>
          </w:p>
        </w:tc>
      </w:tr>
      <w:tr w14:paraId="6F2FE6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85883D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5.1</w:t>
            </w:r>
          </w:p>
        </w:tc>
        <w:tc>
          <w:tcPr>
            <w:tcW w:w="2004" w:type="dxa"/>
            <w:vAlign w:val="center"/>
          </w:tcPr>
          <w:p w14:paraId="388DBC5E">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p>
        </w:tc>
        <w:tc>
          <w:tcPr>
            <w:tcW w:w="5155" w:type="dxa"/>
            <w:vAlign w:val="center"/>
          </w:tcPr>
          <w:p w14:paraId="13EF50C8">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sz w:val="21"/>
                <w:szCs w:val="21"/>
                <w:highlight w:val="none"/>
                <w:lang w:val="en-US" w:eastAsia="zh-CN"/>
              </w:rPr>
              <w:t>主要用途：</w:t>
            </w:r>
            <w:r>
              <w:rPr>
                <w:rFonts w:hint="eastAsia" w:ascii="宋体" w:hAnsi="宋体" w:eastAsia="宋体" w:cs="宋体"/>
                <w:color w:val="auto"/>
                <w:spacing w:val="-5"/>
                <w:sz w:val="21"/>
                <w:szCs w:val="21"/>
                <w:highlight w:val="none"/>
              </w:rPr>
              <w:t>血常规等</w:t>
            </w:r>
            <w:r>
              <w:rPr>
                <w:rFonts w:hint="eastAsia" w:ascii="宋体" w:hAnsi="宋体" w:eastAsia="宋体" w:cs="宋体"/>
                <w:color w:val="auto"/>
                <w:spacing w:val="-5"/>
                <w:sz w:val="21"/>
                <w:szCs w:val="21"/>
                <w:highlight w:val="none"/>
                <w:lang w:val="en-US" w:eastAsia="zh-CN"/>
              </w:rPr>
              <w:t>检查</w:t>
            </w:r>
          </w:p>
        </w:tc>
      </w:tr>
      <w:tr w14:paraId="3E8137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F6D79C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5.2</w:t>
            </w:r>
          </w:p>
        </w:tc>
        <w:tc>
          <w:tcPr>
            <w:tcW w:w="2004" w:type="dxa"/>
            <w:vAlign w:val="center"/>
          </w:tcPr>
          <w:p w14:paraId="135AF77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49568D8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主要技术功能</w:t>
            </w:r>
          </w:p>
        </w:tc>
      </w:tr>
      <w:tr w14:paraId="04B69D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A30A36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5.2.1</w:t>
            </w:r>
          </w:p>
        </w:tc>
        <w:tc>
          <w:tcPr>
            <w:tcW w:w="2004" w:type="dxa"/>
            <w:vAlign w:val="center"/>
          </w:tcPr>
          <w:p w14:paraId="1F2764D3">
            <w:pPr>
              <w:pStyle w:val="2"/>
              <w:keepNext w:val="0"/>
              <w:keepLines w:val="0"/>
              <w:pageBreakBefore w:val="0"/>
              <w:suppressLineNumbers w:val="0"/>
              <w:wordWrap/>
              <w:overflowPunct/>
              <w:topLinePunct w:val="0"/>
              <w:bidi w:val="0"/>
              <w:spacing w:before="0" w:beforeAutospacing="0" w:after="0" w:afterAutospacing="0" w:line="360" w:lineRule="exact"/>
              <w:ind w:left="0" w:right="0" w:firstLine="425" w:firstLineChars="0"/>
              <w:jc w:val="both"/>
              <w:rPr>
                <w:rFonts w:hint="eastAsia" w:ascii="宋体" w:hAnsi="宋体" w:eastAsia="宋体" w:cs="宋体"/>
                <w:b/>
                <w:bCs/>
                <w:i/>
                <w:iCs/>
                <w:color w:val="auto"/>
                <w:kern w:val="2"/>
                <w:sz w:val="21"/>
                <w:szCs w:val="21"/>
                <w:highlight w:val="none"/>
                <w:lang w:val="en-US" w:eastAsia="zh-CN" w:bidi="ar-SA"/>
              </w:rPr>
            </w:pPr>
          </w:p>
        </w:tc>
        <w:tc>
          <w:tcPr>
            <w:tcW w:w="5155" w:type="dxa"/>
            <w:vAlign w:val="center"/>
          </w:tcPr>
          <w:p w14:paraId="71C32D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bCs/>
                <w:i/>
                <w:i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1.整机功能：五分类血液细胞分析仪集</w:t>
            </w:r>
          </w:p>
        </w:tc>
      </w:tr>
      <w:tr w14:paraId="5471D9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8B9C62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5.2.2</w:t>
            </w:r>
          </w:p>
        </w:tc>
        <w:tc>
          <w:tcPr>
            <w:tcW w:w="2004" w:type="dxa"/>
            <w:vAlign w:val="center"/>
          </w:tcPr>
          <w:p w14:paraId="0DC8DB1F">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4B70B3B5">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检测原理：</w:t>
            </w:r>
            <w:r>
              <w:rPr>
                <w:rFonts w:hint="eastAsia" w:ascii="宋体" w:hAnsi="宋体" w:eastAsia="宋体" w:cs="宋体"/>
                <w:color w:val="auto"/>
                <w:sz w:val="21"/>
                <w:szCs w:val="21"/>
                <w:highlight w:val="none"/>
              </w:rPr>
              <w:t>半导体激光</w:t>
            </w:r>
          </w:p>
        </w:tc>
      </w:tr>
      <w:tr w14:paraId="543736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A46670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5.2.3</w:t>
            </w:r>
          </w:p>
        </w:tc>
        <w:tc>
          <w:tcPr>
            <w:tcW w:w="2004" w:type="dxa"/>
            <w:vAlign w:val="center"/>
          </w:tcPr>
          <w:p w14:paraId="0873F7D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50E63BE2">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检测通道，</w:t>
            </w:r>
            <w:r>
              <w:rPr>
                <w:rFonts w:hint="eastAsia" w:ascii="宋体" w:hAnsi="宋体" w:eastAsia="宋体" w:cs="宋体"/>
                <w:color w:val="auto"/>
                <w:sz w:val="21"/>
                <w:szCs w:val="21"/>
                <w:highlight w:val="none"/>
              </w:rPr>
              <w:t>具有单独嗜碱性粒细胞检测通道</w:t>
            </w:r>
          </w:p>
        </w:tc>
      </w:tr>
      <w:tr w14:paraId="08AEC9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93A753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5.2.4</w:t>
            </w:r>
          </w:p>
        </w:tc>
        <w:tc>
          <w:tcPr>
            <w:tcW w:w="2004" w:type="dxa"/>
            <w:vAlign w:val="center"/>
          </w:tcPr>
          <w:p w14:paraId="4FB8A1D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354E239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可报告参数≥25 项。</w:t>
            </w:r>
          </w:p>
        </w:tc>
      </w:tr>
      <w:tr w14:paraId="661BD8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4511D7E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5.2.5</w:t>
            </w:r>
          </w:p>
        </w:tc>
        <w:tc>
          <w:tcPr>
            <w:tcW w:w="2004" w:type="dxa"/>
            <w:vAlign w:val="center"/>
          </w:tcPr>
          <w:p w14:paraId="35D615E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4BF8A3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用血量全血和末梢全血模式≤15μl，预稀释模式≤20μl </w:t>
            </w:r>
          </w:p>
        </w:tc>
      </w:tr>
      <w:tr w14:paraId="47CD30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71FF7F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5.2.6</w:t>
            </w:r>
          </w:p>
        </w:tc>
        <w:tc>
          <w:tcPr>
            <w:tcW w:w="2004" w:type="dxa"/>
            <w:vAlign w:val="center"/>
          </w:tcPr>
          <w:p w14:paraId="57D28853">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402892B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图形显示，≥1个散点图，≥3个直方图</w:t>
            </w:r>
          </w:p>
        </w:tc>
      </w:tr>
      <w:tr w14:paraId="311418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5AB6A3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5.2.7</w:t>
            </w:r>
          </w:p>
        </w:tc>
        <w:tc>
          <w:tcPr>
            <w:tcW w:w="2004" w:type="dxa"/>
            <w:vAlign w:val="center"/>
          </w:tcPr>
          <w:p w14:paraId="3D8471F3">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5CF3046B">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主机液晶触摸屏≥10英寸，同屏显示所有检测结果。</w:t>
            </w:r>
          </w:p>
        </w:tc>
      </w:tr>
      <w:tr w14:paraId="27C3D4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69E5611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5.2.8</w:t>
            </w:r>
          </w:p>
        </w:tc>
        <w:tc>
          <w:tcPr>
            <w:tcW w:w="2004" w:type="dxa"/>
            <w:vAlign w:val="center"/>
          </w:tcPr>
          <w:p w14:paraId="25B74397">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1D62A7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分析模式，≥3种，静脉全血模式、末梢全血模式、预稀释模式</w:t>
            </w:r>
          </w:p>
        </w:tc>
      </w:tr>
      <w:tr w14:paraId="1F3C75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306D8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5.2.9</w:t>
            </w:r>
          </w:p>
        </w:tc>
        <w:tc>
          <w:tcPr>
            <w:tcW w:w="2004" w:type="dxa"/>
            <w:vAlign w:val="center"/>
          </w:tcPr>
          <w:p w14:paraId="25AEBA0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6BB80B0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测试速度，≥60个标本/小时</w:t>
            </w:r>
          </w:p>
        </w:tc>
      </w:tr>
      <w:tr w14:paraId="7B2854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4E904A9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5.2.10</w:t>
            </w:r>
          </w:p>
        </w:tc>
        <w:tc>
          <w:tcPr>
            <w:tcW w:w="2004" w:type="dxa"/>
            <w:vAlign w:val="center"/>
          </w:tcPr>
          <w:p w14:paraId="702888C8">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78E202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标准化质控校准：仪器厂家具备校准物和质控物的生产能力</w:t>
            </w:r>
          </w:p>
        </w:tc>
      </w:tr>
      <w:tr w14:paraId="5F6F37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B8E3B1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5.2.11</w:t>
            </w:r>
          </w:p>
        </w:tc>
        <w:tc>
          <w:tcPr>
            <w:tcW w:w="2004" w:type="dxa"/>
            <w:vAlign w:val="center"/>
          </w:tcPr>
          <w:p w14:paraId="3911A7F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65E6C88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数据管理：可存储量≥12000个检测结果</w:t>
            </w:r>
          </w:p>
        </w:tc>
      </w:tr>
      <w:tr w14:paraId="4FA6C1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AC45E4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5.2.12</w:t>
            </w:r>
          </w:p>
        </w:tc>
        <w:tc>
          <w:tcPr>
            <w:tcW w:w="2004" w:type="dxa"/>
            <w:vAlign w:val="center"/>
          </w:tcPr>
          <w:p w14:paraId="634AF1A8">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4770C6F8">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设备端口开放，便于车辆进行信息采集</w:t>
            </w:r>
          </w:p>
        </w:tc>
      </w:tr>
      <w:tr w14:paraId="443701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C562D3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p>
        </w:tc>
        <w:tc>
          <w:tcPr>
            <w:tcW w:w="2004" w:type="dxa"/>
            <w:vAlign w:val="center"/>
          </w:tcPr>
          <w:p w14:paraId="4785CCA0">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29B2C052">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r>
      <w:tr w14:paraId="1171D8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76733F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6</w:t>
            </w:r>
          </w:p>
        </w:tc>
        <w:tc>
          <w:tcPr>
            <w:tcW w:w="2004" w:type="dxa"/>
            <w:vAlign w:val="center"/>
          </w:tcPr>
          <w:p w14:paraId="424A7024">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en-US" w:bidi="ar-SA"/>
              </w:rPr>
              <w:t>尿液分析仪</w:t>
            </w:r>
          </w:p>
        </w:tc>
        <w:tc>
          <w:tcPr>
            <w:tcW w:w="5155" w:type="dxa"/>
            <w:vAlign w:val="center"/>
          </w:tcPr>
          <w:p w14:paraId="1B5A8E84">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r>
      <w:tr w14:paraId="74137C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79FEB0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6.1</w:t>
            </w:r>
          </w:p>
        </w:tc>
        <w:tc>
          <w:tcPr>
            <w:tcW w:w="2004" w:type="dxa"/>
            <w:vAlign w:val="center"/>
          </w:tcPr>
          <w:p w14:paraId="4BA2A8DD">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p>
        </w:tc>
        <w:tc>
          <w:tcPr>
            <w:tcW w:w="5155" w:type="dxa"/>
            <w:vAlign w:val="center"/>
          </w:tcPr>
          <w:p w14:paraId="708A6CE7">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color w:val="auto"/>
                <w:spacing w:val="-5"/>
                <w:sz w:val="21"/>
                <w:szCs w:val="21"/>
                <w:highlight w:val="none"/>
                <w:lang w:val="en-US" w:eastAsia="zh-CN"/>
              </w:rPr>
              <w:t>主要用途：</w:t>
            </w:r>
            <w:r>
              <w:rPr>
                <w:rFonts w:hint="eastAsia" w:ascii="宋体" w:hAnsi="宋体" w:eastAsia="宋体" w:cs="宋体"/>
                <w:color w:val="auto"/>
                <w:spacing w:val="-5"/>
                <w:sz w:val="21"/>
                <w:szCs w:val="21"/>
                <w:highlight w:val="none"/>
              </w:rPr>
              <w:t>尿常规等</w:t>
            </w:r>
          </w:p>
        </w:tc>
      </w:tr>
      <w:tr w14:paraId="0C7D54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C085F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6.2</w:t>
            </w:r>
          </w:p>
        </w:tc>
        <w:tc>
          <w:tcPr>
            <w:tcW w:w="2004" w:type="dxa"/>
            <w:vAlign w:val="center"/>
          </w:tcPr>
          <w:p w14:paraId="7B90C64D">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3B0AD9D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主要技术要求</w:t>
            </w:r>
          </w:p>
        </w:tc>
      </w:tr>
      <w:tr w14:paraId="40991F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419" w:type="dxa"/>
            <w:vAlign w:val="center"/>
          </w:tcPr>
          <w:p w14:paraId="6DFB7F1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6.2.1</w:t>
            </w:r>
          </w:p>
        </w:tc>
        <w:tc>
          <w:tcPr>
            <w:tcW w:w="2004" w:type="dxa"/>
            <w:vAlign w:val="center"/>
          </w:tcPr>
          <w:p w14:paraId="5641571D">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757CE740">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kern w:val="2"/>
                <w:sz w:val="21"/>
                <w:szCs w:val="21"/>
                <w:highlight w:val="none"/>
                <w:vertAlign w:val="baseline"/>
                <w:lang w:val="en-US" w:eastAsia="zh-CN" w:bidi="ar-SA"/>
              </w:rPr>
              <w:t>测试项目：≥11项，包括葡萄糖，胆红素，尿比重，PH，酮体，潜血，蛋白质，尿胆原，亚硝酸盐，白细胞，抗坏血酸等；</w:t>
            </w:r>
          </w:p>
        </w:tc>
      </w:tr>
      <w:tr w14:paraId="0497A8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4F0883F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6.2.2</w:t>
            </w:r>
          </w:p>
        </w:tc>
        <w:tc>
          <w:tcPr>
            <w:tcW w:w="2004" w:type="dxa"/>
            <w:vAlign w:val="center"/>
          </w:tcPr>
          <w:p w14:paraId="0F9F2FD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p>
        </w:tc>
        <w:tc>
          <w:tcPr>
            <w:tcW w:w="5155" w:type="dxa"/>
            <w:vAlign w:val="center"/>
          </w:tcPr>
          <w:p w14:paraId="7275BBDE">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测定原理：反射率及色品分析（反射光电比色法）</w:t>
            </w:r>
          </w:p>
          <w:p w14:paraId="4E2C614D">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kern w:val="2"/>
                <w:sz w:val="21"/>
                <w:szCs w:val="21"/>
                <w:highlight w:val="none"/>
                <w:vertAlign w:val="baseline"/>
                <w:lang w:val="en-US" w:eastAsia="zh-CN" w:bidi="ar-SA"/>
              </w:rPr>
              <w:t>测定速度：≥120 TEST/小时</w:t>
            </w:r>
          </w:p>
        </w:tc>
      </w:tr>
      <w:tr w14:paraId="6F8EFF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6538AB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6.2.3</w:t>
            </w:r>
          </w:p>
        </w:tc>
        <w:tc>
          <w:tcPr>
            <w:tcW w:w="2004" w:type="dxa"/>
            <w:vAlign w:val="center"/>
          </w:tcPr>
          <w:p w14:paraId="62B74FF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p>
        </w:tc>
        <w:tc>
          <w:tcPr>
            <w:tcW w:w="5155" w:type="dxa"/>
            <w:vAlign w:val="center"/>
          </w:tcPr>
          <w:p w14:paraId="14D2AC34">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kern w:val="2"/>
                <w:sz w:val="21"/>
                <w:szCs w:val="21"/>
                <w:highlight w:val="none"/>
                <w:vertAlign w:val="baseline"/>
                <w:lang w:val="en-US" w:eastAsia="zh-CN" w:bidi="ar-SA"/>
              </w:rPr>
              <w:t>测定波长：≥3个</w:t>
            </w:r>
          </w:p>
        </w:tc>
      </w:tr>
      <w:tr w14:paraId="2999A6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0BEC451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6.2.4</w:t>
            </w:r>
          </w:p>
        </w:tc>
        <w:tc>
          <w:tcPr>
            <w:tcW w:w="2004" w:type="dxa"/>
            <w:vAlign w:val="center"/>
          </w:tcPr>
          <w:p w14:paraId="79DE999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p>
        </w:tc>
        <w:tc>
          <w:tcPr>
            <w:tcW w:w="5155" w:type="dxa"/>
            <w:vAlign w:val="center"/>
          </w:tcPr>
          <w:p w14:paraId="6B23977D">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kern w:val="2"/>
                <w:sz w:val="21"/>
                <w:szCs w:val="21"/>
                <w:highlight w:val="none"/>
                <w:vertAlign w:val="baseline"/>
                <w:lang w:val="en-US" w:eastAsia="zh-CN" w:bidi="ar-SA"/>
              </w:rPr>
              <w:t>存储：可自动存储病人数据，测试结果储存数量≥10000，可按日期、尿样编号及项目检索</w:t>
            </w:r>
          </w:p>
        </w:tc>
      </w:tr>
      <w:tr w14:paraId="1AC368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0CB19E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6.2.5</w:t>
            </w:r>
          </w:p>
        </w:tc>
        <w:tc>
          <w:tcPr>
            <w:tcW w:w="2004" w:type="dxa"/>
            <w:vAlign w:val="center"/>
          </w:tcPr>
          <w:p w14:paraId="231098B4">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p>
        </w:tc>
        <w:tc>
          <w:tcPr>
            <w:tcW w:w="5155" w:type="dxa"/>
            <w:vAlign w:val="center"/>
          </w:tcPr>
          <w:p w14:paraId="0464A8F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kern w:val="2"/>
                <w:sz w:val="21"/>
                <w:szCs w:val="21"/>
                <w:highlight w:val="none"/>
                <w:vertAlign w:val="baseline"/>
                <w:lang w:val="en-US" w:eastAsia="zh-CN" w:bidi="ar-SA"/>
              </w:rPr>
              <w:t>显示器：LCD液晶显示器，≥5英寸</w:t>
            </w:r>
          </w:p>
        </w:tc>
      </w:tr>
      <w:tr w14:paraId="6CFB10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2D7AB1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6.2.6</w:t>
            </w:r>
          </w:p>
        </w:tc>
        <w:tc>
          <w:tcPr>
            <w:tcW w:w="2004" w:type="dxa"/>
            <w:vAlign w:val="center"/>
          </w:tcPr>
          <w:p w14:paraId="259B50D0">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p>
        </w:tc>
        <w:tc>
          <w:tcPr>
            <w:tcW w:w="5155" w:type="dxa"/>
            <w:vAlign w:val="center"/>
          </w:tcPr>
          <w:p w14:paraId="482EB22F">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kern w:val="2"/>
                <w:sz w:val="21"/>
                <w:szCs w:val="21"/>
                <w:highlight w:val="none"/>
                <w:vertAlign w:val="baseline"/>
                <w:lang w:val="en-US" w:eastAsia="zh-CN" w:bidi="ar-SA"/>
              </w:rPr>
              <w:t>打印：内置热敏打印机</w:t>
            </w:r>
          </w:p>
        </w:tc>
      </w:tr>
      <w:tr w14:paraId="3F4326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74E231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6.2.7</w:t>
            </w:r>
          </w:p>
        </w:tc>
        <w:tc>
          <w:tcPr>
            <w:tcW w:w="2004" w:type="dxa"/>
            <w:vAlign w:val="center"/>
          </w:tcPr>
          <w:p w14:paraId="68AD072D">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p>
        </w:tc>
        <w:tc>
          <w:tcPr>
            <w:tcW w:w="5155" w:type="dxa"/>
            <w:vAlign w:val="center"/>
          </w:tcPr>
          <w:p w14:paraId="2FA61D84">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kern w:val="2"/>
                <w:sz w:val="21"/>
                <w:szCs w:val="21"/>
                <w:highlight w:val="none"/>
                <w:vertAlign w:val="baseline"/>
                <w:lang w:val="en-US" w:eastAsia="zh-CN" w:bidi="ar-SA"/>
              </w:rPr>
              <w:t>接口：支持RS232C、USB</w:t>
            </w:r>
          </w:p>
        </w:tc>
      </w:tr>
      <w:tr w14:paraId="7FC4A3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A67113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6.2.8</w:t>
            </w:r>
          </w:p>
        </w:tc>
        <w:tc>
          <w:tcPr>
            <w:tcW w:w="2004" w:type="dxa"/>
            <w:vAlign w:val="center"/>
          </w:tcPr>
          <w:p w14:paraId="198DD20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p>
        </w:tc>
        <w:tc>
          <w:tcPr>
            <w:tcW w:w="5155" w:type="dxa"/>
            <w:vAlign w:val="center"/>
          </w:tcPr>
          <w:p w14:paraId="2F55764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kern w:val="2"/>
                <w:sz w:val="21"/>
                <w:szCs w:val="21"/>
                <w:highlight w:val="none"/>
                <w:vertAlign w:val="baseline"/>
                <w:lang w:val="en-US" w:eastAsia="zh-CN" w:bidi="ar-SA"/>
              </w:rPr>
              <w:t>外设功能：外接键盘、外接条码扫描枪</w:t>
            </w:r>
          </w:p>
        </w:tc>
      </w:tr>
      <w:tr w14:paraId="0DAF7E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7D5D94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6.2.9</w:t>
            </w:r>
          </w:p>
        </w:tc>
        <w:tc>
          <w:tcPr>
            <w:tcW w:w="2004" w:type="dxa"/>
            <w:vAlign w:val="center"/>
          </w:tcPr>
          <w:p w14:paraId="5456A39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p>
        </w:tc>
        <w:tc>
          <w:tcPr>
            <w:tcW w:w="5155" w:type="dxa"/>
            <w:vAlign w:val="center"/>
          </w:tcPr>
          <w:p w14:paraId="06B30DD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kern w:val="2"/>
                <w:sz w:val="21"/>
                <w:szCs w:val="21"/>
                <w:highlight w:val="none"/>
                <w:vertAlign w:val="baseline"/>
                <w:lang w:val="en-US" w:eastAsia="zh-CN" w:bidi="ar-SA"/>
              </w:rPr>
              <w:t>报告：中文报告，支持定性和半定量结果</w:t>
            </w:r>
          </w:p>
        </w:tc>
      </w:tr>
      <w:tr w14:paraId="607A19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429384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6.2.10</w:t>
            </w:r>
          </w:p>
        </w:tc>
        <w:tc>
          <w:tcPr>
            <w:tcW w:w="2004" w:type="dxa"/>
            <w:vAlign w:val="center"/>
          </w:tcPr>
          <w:p w14:paraId="17B6EBC8">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p>
        </w:tc>
        <w:tc>
          <w:tcPr>
            <w:tcW w:w="5155" w:type="dxa"/>
            <w:vAlign w:val="center"/>
          </w:tcPr>
          <w:p w14:paraId="1231583D">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kern w:val="2"/>
                <w:sz w:val="21"/>
                <w:szCs w:val="21"/>
                <w:highlight w:val="none"/>
                <w:vertAlign w:val="baseline"/>
                <w:lang w:val="en-US" w:eastAsia="zh-CN" w:bidi="ar-SA"/>
              </w:rPr>
              <w:t>断电保护：具有断电自动保存所有测量数据</w:t>
            </w:r>
          </w:p>
        </w:tc>
      </w:tr>
      <w:tr w14:paraId="3D6CBD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B3D078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6.2.11</w:t>
            </w:r>
          </w:p>
        </w:tc>
        <w:tc>
          <w:tcPr>
            <w:tcW w:w="2004" w:type="dxa"/>
            <w:vAlign w:val="center"/>
          </w:tcPr>
          <w:p w14:paraId="15922A3E">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p>
        </w:tc>
        <w:tc>
          <w:tcPr>
            <w:tcW w:w="5155" w:type="dxa"/>
            <w:vAlign w:val="center"/>
          </w:tcPr>
          <w:p w14:paraId="17D642E3">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设备</w:t>
            </w:r>
            <w:r>
              <w:rPr>
                <w:rFonts w:hint="eastAsia" w:ascii="宋体" w:hAnsi="宋体" w:eastAsia="宋体" w:cs="宋体"/>
                <w:color w:val="auto"/>
                <w:sz w:val="21"/>
                <w:szCs w:val="21"/>
                <w:highlight w:val="none"/>
              </w:rPr>
              <w:t>端口</w:t>
            </w:r>
            <w:r>
              <w:rPr>
                <w:rFonts w:hint="eastAsia" w:ascii="宋体" w:hAnsi="宋体" w:eastAsia="宋体" w:cs="宋体"/>
                <w:color w:val="auto"/>
                <w:sz w:val="21"/>
                <w:szCs w:val="21"/>
                <w:highlight w:val="none"/>
                <w:lang w:val="en-US" w:eastAsia="zh-CN"/>
              </w:rPr>
              <w:t>开放</w:t>
            </w:r>
            <w:r>
              <w:rPr>
                <w:rFonts w:hint="eastAsia" w:ascii="宋体" w:hAnsi="宋体" w:eastAsia="宋体" w:cs="宋体"/>
                <w:color w:val="auto"/>
                <w:sz w:val="21"/>
                <w:szCs w:val="21"/>
                <w:highlight w:val="none"/>
              </w:rPr>
              <w:t>，便于车辆进行信息采集</w:t>
            </w:r>
          </w:p>
        </w:tc>
      </w:tr>
      <w:tr w14:paraId="211F7B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44902A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p>
        </w:tc>
        <w:tc>
          <w:tcPr>
            <w:tcW w:w="2004" w:type="dxa"/>
            <w:vAlign w:val="center"/>
          </w:tcPr>
          <w:p w14:paraId="0BEB1042">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p>
        </w:tc>
        <w:tc>
          <w:tcPr>
            <w:tcW w:w="5155" w:type="dxa"/>
            <w:vAlign w:val="center"/>
          </w:tcPr>
          <w:p w14:paraId="07E4EFE8">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p>
        </w:tc>
      </w:tr>
      <w:tr w14:paraId="3313CF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EBB703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7</w:t>
            </w:r>
          </w:p>
        </w:tc>
        <w:tc>
          <w:tcPr>
            <w:tcW w:w="2004" w:type="dxa"/>
            <w:vAlign w:val="center"/>
          </w:tcPr>
          <w:p w14:paraId="4C0D413E">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color w:val="auto"/>
                <w:spacing w:val="-5"/>
                <w:sz w:val="21"/>
                <w:szCs w:val="21"/>
                <w:highlight w:val="none"/>
                <w:lang w:val="en-US" w:eastAsia="zh-CN"/>
              </w:rPr>
              <w:t>离心机</w:t>
            </w:r>
          </w:p>
        </w:tc>
        <w:tc>
          <w:tcPr>
            <w:tcW w:w="5155" w:type="dxa"/>
            <w:vAlign w:val="center"/>
          </w:tcPr>
          <w:p w14:paraId="568ECB35">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p>
        </w:tc>
      </w:tr>
      <w:tr w14:paraId="2E2E24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C2BBA6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7.1</w:t>
            </w:r>
          </w:p>
        </w:tc>
        <w:tc>
          <w:tcPr>
            <w:tcW w:w="2004" w:type="dxa"/>
            <w:vAlign w:val="center"/>
          </w:tcPr>
          <w:p w14:paraId="1BF0DA6F">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p>
        </w:tc>
        <w:tc>
          <w:tcPr>
            <w:tcW w:w="5155" w:type="dxa"/>
            <w:vAlign w:val="center"/>
          </w:tcPr>
          <w:p w14:paraId="3C610640">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sz w:val="21"/>
                <w:szCs w:val="21"/>
                <w:highlight w:val="none"/>
                <w:lang w:val="en-US" w:eastAsia="zh-CN"/>
              </w:rPr>
              <w:t>主要用途：生化等样本制备</w:t>
            </w:r>
          </w:p>
        </w:tc>
      </w:tr>
      <w:tr w14:paraId="0E7407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A5D173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7.2</w:t>
            </w:r>
          </w:p>
        </w:tc>
        <w:tc>
          <w:tcPr>
            <w:tcW w:w="2004" w:type="dxa"/>
            <w:vAlign w:val="center"/>
          </w:tcPr>
          <w:p w14:paraId="5AC06BB7">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38E2625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主要技术要求</w:t>
            </w:r>
          </w:p>
        </w:tc>
      </w:tr>
      <w:tr w14:paraId="4EAC9D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E89ED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7.2.1</w:t>
            </w:r>
          </w:p>
        </w:tc>
        <w:tc>
          <w:tcPr>
            <w:tcW w:w="2004" w:type="dxa"/>
            <w:vAlign w:val="center"/>
          </w:tcPr>
          <w:p w14:paraId="274B1B80">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14486C4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最高转速：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6000r/min   </w:t>
            </w:r>
          </w:p>
        </w:tc>
      </w:tr>
      <w:tr w14:paraId="4D3D15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B98BAA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7.2.2</w:t>
            </w:r>
          </w:p>
        </w:tc>
        <w:tc>
          <w:tcPr>
            <w:tcW w:w="2004" w:type="dxa"/>
            <w:vAlign w:val="center"/>
          </w:tcPr>
          <w:p w14:paraId="617268C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6B9704E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最大容量：4×400ml</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≥48孔</w:t>
            </w:r>
          </w:p>
        </w:tc>
      </w:tr>
      <w:tr w14:paraId="664A84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6C6D04C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7.2.3</w:t>
            </w:r>
          </w:p>
        </w:tc>
        <w:tc>
          <w:tcPr>
            <w:tcW w:w="2004" w:type="dxa"/>
            <w:vAlign w:val="center"/>
          </w:tcPr>
          <w:p w14:paraId="77D9A77D">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4A224AB2">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最大离心力：</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0xg  </w:t>
            </w:r>
          </w:p>
        </w:tc>
      </w:tr>
      <w:tr w14:paraId="5E05B4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FE643B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7.2.4</w:t>
            </w:r>
          </w:p>
        </w:tc>
        <w:tc>
          <w:tcPr>
            <w:tcW w:w="2004" w:type="dxa"/>
            <w:vAlign w:val="center"/>
          </w:tcPr>
          <w:p w14:paraId="776A4032">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21CF6CBF">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定时范围：0</w:t>
            </w:r>
            <w:r>
              <w:rPr>
                <w:rFonts w:hint="eastAsia" w:ascii="宋体" w:hAnsi="宋体" w:eastAsia="宋体" w:cs="宋体"/>
                <w:color w:val="auto"/>
                <w:sz w:val="21"/>
                <w:szCs w:val="21"/>
                <w:highlight w:val="none"/>
                <w:shd w:val="clear" w:color="auto" w:fill="FFFFFF"/>
              </w:rPr>
              <w:t>～99min</w:t>
            </w:r>
          </w:p>
        </w:tc>
      </w:tr>
      <w:tr w14:paraId="326701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F61DC9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7.2.5</w:t>
            </w:r>
          </w:p>
        </w:tc>
        <w:tc>
          <w:tcPr>
            <w:tcW w:w="2004" w:type="dxa"/>
            <w:vAlign w:val="center"/>
          </w:tcPr>
          <w:p w14:paraId="371014EB">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32909C6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转速精度：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±10r/min </w:t>
            </w:r>
          </w:p>
        </w:tc>
      </w:tr>
      <w:tr w14:paraId="0C5F5E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8BE209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p>
        </w:tc>
        <w:tc>
          <w:tcPr>
            <w:tcW w:w="2004" w:type="dxa"/>
            <w:vAlign w:val="center"/>
          </w:tcPr>
          <w:p w14:paraId="6F4C6CB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p>
        </w:tc>
        <w:tc>
          <w:tcPr>
            <w:tcW w:w="5155" w:type="dxa"/>
            <w:vAlign w:val="center"/>
          </w:tcPr>
          <w:p w14:paraId="498725FE">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p>
        </w:tc>
      </w:tr>
      <w:tr w14:paraId="69DFF0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6ABDFE8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（三）</w:t>
            </w:r>
          </w:p>
        </w:tc>
        <w:tc>
          <w:tcPr>
            <w:tcW w:w="2004" w:type="dxa"/>
            <w:vAlign w:val="center"/>
          </w:tcPr>
          <w:p w14:paraId="057FC01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en-US" w:bidi="ar-SA"/>
              </w:rPr>
              <w:t>影像检查</w:t>
            </w:r>
          </w:p>
        </w:tc>
        <w:tc>
          <w:tcPr>
            <w:tcW w:w="5155" w:type="dxa"/>
            <w:vAlign w:val="center"/>
          </w:tcPr>
          <w:p w14:paraId="3BECB80E">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pacing w:val="-5"/>
                <w:kern w:val="2"/>
                <w:sz w:val="21"/>
                <w:szCs w:val="21"/>
                <w:highlight w:val="none"/>
                <w:lang w:val="en-US" w:eastAsia="zh-CN" w:bidi="ar-SA"/>
              </w:rPr>
            </w:pPr>
          </w:p>
        </w:tc>
      </w:tr>
      <w:tr w14:paraId="0ABF58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67EEE8A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7</w:t>
            </w:r>
          </w:p>
        </w:tc>
        <w:tc>
          <w:tcPr>
            <w:tcW w:w="2004" w:type="dxa"/>
            <w:vAlign w:val="center"/>
          </w:tcPr>
          <w:p w14:paraId="5ED74324">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en-US" w:bidi="ar-SA"/>
              </w:rPr>
              <w:t>便携式超声仪</w:t>
            </w:r>
          </w:p>
        </w:tc>
        <w:tc>
          <w:tcPr>
            <w:tcW w:w="5155" w:type="dxa"/>
            <w:vAlign w:val="center"/>
          </w:tcPr>
          <w:p w14:paraId="508D8DFF">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r>
      <w:tr w14:paraId="1AB12D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BAE44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7.1</w:t>
            </w:r>
          </w:p>
        </w:tc>
        <w:tc>
          <w:tcPr>
            <w:tcW w:w="2004" w:type="dxa"/>
            <w:vAlign w:val="center"/>
          </w:tcPr>
          <w:p w14:paraId="73666567">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37C946EE">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主要用途：检查肝胆脾胰、双肾等。</w:t>
            </w:r>
          </w:p>
        </w:tc>
      </w:tr>
      <w:tr w14:paraId="5ECB53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83201D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7.2</w:t>
            </w:r>
          </w:p>
        </w:tc>
        <w:tc>
          <w:tcPr>
            <w:tcW w:w="2004" w:type="dxa"/>
            <w:vAlign w:val="center"/>
          </w:tcPr>
          <w:p w14:paraId="3CC8E9D2">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1016D6A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主要技术要求：</w:t>
            </w:r>
          </w:p>
        </w:tc>
      </w:tr>
      <w:tr w14:paraId="7CF673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4934684">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1</w:t>
            </w:r>
          </w:p>
        </w:tc>
        <w:tc>
          <w:tcPr>
            <w:tcW w:w="2004" w:type="dxa"/>
            <w:vAlign w:val="center"/>
          </w:tcPr>
          <w:p w14:paraId="17C655DD">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b/>
                <w:color w:val="auto"/>
                <w:kern w:val="2"/>
                <w:sz w:val="21"/>
                <w:szCs w:val="21"/>
                <w:highlight w:val="none"/>
                <w:lang w:val="en-US" w:eastAsia="zh-CN" w:bidi="ar-SA"/>
              </w:rPr>
            </w:pPr>
          </w:p>
        </w:tc>
        <w:tc>
          <w:tcPr>
            <w:tcW w:w="5155" w:type="dxa"/>
            <w:vAlign w:val="center"/>
          </w:tcPr>
          <w:p w14:paraId="17D57F1B">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color w:val="auto"/>
                <w:sz w:val="21"/>
                <w:szCs w:val="21"/>
                <w:highlight w:val="none"/>
              </w:rPr>
              <w:t>基本要求</w:t>
            </w:r>
          </w:p>
        </w:tc>
      </w:tr>
      <w:tr w14:paraId="30226A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3558026A">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1.1</w:t>
            </w:r>
          </w:p>
        </w:tc>
        <w:tc>
          <w:tcPr>
            <w:tcW w:w="2004" w:type="dxa"/>
            <w:vAlign w:val="center"/>
          </w:tcPr>
          <w:p w14:paraId="558C91E0">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5CE16BA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腹部、产科、妇科、心脏、小器官、泌尿、血管、儿科</w:t>
            </w:r>
            <w:r>
              <w:rPr>
                <w:rFonts w:hint="eastAsia" w:ascii="宋体" w:hAnsi="宋体" w:eastAsia="宋体" w:cs="宋体"/>
                <w:color w:val="auto"/>
                <w:sz w:val="21"/>
                <w:szCs w:val="21"/>
                <w:highlight w:val="none"/>
                <w:lang w:val="en-US" w:eastAsia="zh-CN"/>
              </w:rPr>
              <w:t>等</w:t>
            </w:r>
          </w:p>
        </w:tc>
      </w:tr>
      <w:tr w14:paraId="5B390D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69D570B">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2</w:t>
            </w:r>
          </w:p>
        </w:tc>
        <w:tc>
          <w:tcPr>
            <w:tcW w:w="2004" w:type="dxa"/>
            <w:vAlign w:val="center"/>
          </w:tcPr>
          <w:p w14:paraId="0B1AD91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b/>
                <w:color w:val="auto"/>
                <w:kern w:val="2"/>
                <w:sz w:val="21"/>
                <w:szCs w:val="21"/>
                <w:highlight w:val="none"/>
                <w:lang w:val="en-US" w:eastAsia="zh-CN" w:bidi="ar-SA"/>
              </w:rPr>
            </w:pPr>
          </w:p>
        </w:tc>
        <w:tc>
          <w:tcPr>
            <w:tcW w:w="5155" w:type="dxa"/>
            <w:vAlign w:val="center"/>
          </w:tcPr>
          <w:p w14:paraId="103495D1">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color w:val="auto"/>
                <w:sz w:val="21"/>
                <w:szCs w:val="21"/>
                <w:highlight w:val="none"/>
              </w:rPr>
              <w:t>主机系统性能</w:t>
            </w:r>
          </w:p>
        </w:tc>
      </w:tr>
      <w:tr w14:paraId="5EBF10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3148275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2.1</w:t>
            </w:r>
          </w:p>
        </w:tc>
        <w:tc>
          <w:tcPr>
            <w:tcW w:w="2004" w:type="dxa"/>
            <w:vAlign w:val="center"/>
          </w:tcPr>
          <w:p w14:paraId="1A9C367D">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5309D7B1">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全数字化笔记本式便携式彩色多普勒超声诊断系统主机</w:t>
            </w:r>
          </w:p>
        </w:tc>
      </w:tr>
      <w:tr w14:paraId="484FF3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50E3155">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2.2</w:t>
            </w:r>
          </w:p>
        </w:tc>
        <w:tc>
          <w:tcPr>
            <w:tcW w:w="2004" w:type="dxa"/>
            <w:vAlign w:val="center"/>
          </w:tcPr>
          <w:p w14:paraId="5DE1248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4C8B94B7">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≥15”高分辨率彩色液晶显示器</w:t>
            </w:r>
          </w:p>
        </w:tc>
      </w:tr>
      <w:tr w14:paraId="37C096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D49F709">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2.3</w:t>
            </w:r>
          </w:p>
        </w:tc>
        <w:tc>
          <w:tcPr>
            <w:tcW w:w="2004" w:type="dxa"/>
            <w:vAlign w:val="center"/>
          </w:tcPr>
          <w:p w14:paraId="7184BD8D">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6567D8C5">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≥8”触摸屏</w:t>
            </w:r>
          </w:p>
        </w:tc>
      </w:tr>
      <w:tr w14:paraId="4964A1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42FE84D">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2.4</w:t>
            </w:r>
          </w:p>
        </w:tc>
        <w:tc>
          <w:tcPr>
            <w:tcW w:w="2004" w:type="dxa"/>
            <w:vAlign w:val="center"/>
          </w:tcPr>
          <w:p w14:paraId="05B00CB5">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6E2CDEA0">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主机配置≥2个探头接口</w:t>
            </w:r>
          </w:p>
        </w:tc>
      </w:tr>
      <w:tr w14:paraId="365EEF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6A0F6C9A">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2.5</w:t>
            </w:r>
          </w:p>
        </w:tc>
        <w:tc>
          <w:tcPr>
            <w:tcW w:w="2004" w:type="dxa"/>
            <w:vAlign w:val="center"/>
          </w:tcPr>
          <w:p w14:paraId="447A3D99">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736F3307">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数字化可变孔径及动态变迹技术，A/D≥12 bit</w:t>
            </w:r>
          </w:p>
        </w:tc>
      </w:tr>
      <w:tr w14:paraId="2F9BDD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D8EF55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2.6</w:t>
            </w:r>
          </w:p>
        </w:tc>
        <w:tc>
          <w:tcPr>
            <w:tcW w:w="2004" w:type="dxa"/>
            <w:vAlign w:val="center"/>
          </w:tcPr>
          <w:p w14:paraId="4FDA349F">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2E390E13">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二维灰阶成像单元</w:t>
            </w:r>
          </w:p>
        </w:tc>
      </w:tr>
      <w:tr w14:paraId="78B25B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22F8E7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2.7</w:t>
            </w:r>
          </w:p>
        </w:tc>
        <w:tc>
          <w:tcPr>
            <w:tcW w:w="2004" w:type="dxa"/>
            <w:vAlign w:val="center"/>
          </w:tcPr>
          <w:p w14:paraId="3B8574FF">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537AF45A">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解剖M型成像单元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≥3条取样线</w:t>
            </w:r>
          </w:p>
        </w:tc>
      </w:tr>
      <w:tr w14:paraId="6BA794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AF836B7">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2.8</w:t>
            </w:r>
          </w:p>
        </w:tc>
        <w:tc>
          <w:tcPr>
            <w:tcW w:w="2004" w:type="dxa"/>
            <w:vAlign w:val="center"/>
          </w:tcPr>
          <w:p w14:paraId="3DBCDDB2">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12C65984">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彩色多普勒成像单元</w:t>
            </w:r>
          </w:p>
        </w:tc>
      </w:tr>
      <w:tr w14:paraId="7DBFB4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2BD6E00">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2.9</w:t>
            </w:r>
          </w:p>
        </w:tc>
        <w:tc>
          <w:tcPr>
            <w:tcW w:w="2004" w:type="dxa"/>
            <w:vAlign w:val="center"/>
          </w:tcPr>
          <w:p w14:paraId="2A9156E8">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3E85002B">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频谱多普勒成像单元</w:t>
            </w:r>
          </w:p>
        </w:tc>
      </w:tr>
      <w:tr w14:paraId="5D03C8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CB47BD6">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2.10</w:t>
            </w:r>
          </w:p>
        </w:tc>
        <w:tc>
          <w:tcPr>
            <w:tcW w:w="2004" w:type="dxa"/>
            <w:vAlign w:val="center"/>
          </w:tcPr>
          <w:p w14:paraId="1216E630">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3BC3C7F4">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组织多普勒成像单元</w:t>
            </w:r>
          </w:p>
        </w:tc>
      </w:tr>
      <w:tr w14:paraId="22DF52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400890A7">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2.11</w:t>
            </w:r>
          </w:p>
        </w:tc>
        <w:tc>
          <w:tcPr>
            <w:tcW w:w="2004" w:type="dxa"/>
            <w:vAlign w:val="center"/>
          </w:tcPr>
          <w:p w14:paraId="4556CDF2">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24448C9F">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自动射血分数测量，可自动识别左室内膜并计算射血分数</w:t>
            </w:r>
          </w:p>
        </w:tc>
      </w:tr>
      <w:tr w14:paraId="2AC40E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6AD65706">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2.12</w:t>
            </w:r>
          </w:p>
        </w:tc>
        <w:tc>
          <w:tcPr>
            <w:tcW w:w="2004" w:type="dxa"/>
            <w:vAlign w:val="center"/>
          </w:tcPr>
          <w:p w14:paraId="31BE28BD">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5F48D7E0">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空间复合成像</w:t>
            </w:r>
          </w:p>
        </w:tc>
      </w:tr>
      <w:tr w14:paraId="0F6B58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5C16A34">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2.13</w:t>
            </w:r>
          </w:p>
        </w:tc>
        <w:tc>
          <w:tcPr>
            <w:tcW w:w="2004" w:type="dxa"/>
            <w:vAlign w:val="center"/>
          </w:tcPr>
          <w:p w14:paraId="7B9902A4">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630F2F23">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频率复合成像</w:t>
            </w:r>
          </w:p>
        </w:tc>
      </w:tr>
      <w:tr w14:paraId="2FF808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6B093CF">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2.14</w:t>
            </w:r>
          </w:p>
        </w:tc>
        <w:tc>
          <w:tcPr>
            <w:tcW w:w="2004" w:type="dxa"/>
            <w:vAlign w:val="center"/>
          </w:tcPr>
          <w:p w14:paraId="16EB1A1A">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588B5C47">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二维角度独立偏转成像</w:t>
            </w:r>
          </w:p>
        </w:tc>
      </w:tr>
      <w:tr w14:paraId="45470B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6B4E18E">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2.15</w:t>
            </w:r>
          </w:p>
        </w:tc>
        <w:tc>
          <w:tcPr>
            <w:tcW w:w="2004" w:type="dxa"/>
            <w:vAlign w:val="center"/>
          </w:tcPr>
          <w:p w14:paraId="71F2EF16">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2A6D5BB8">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斑点噪音抑制技术，多级可调</w:t>
            </w:r>
          </w:p>
        </w:tc>
      </w:tr>
      <w:tr w14:paraId="2C9356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8E321C7">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2.16</w:t>
            </w:r>
          </w:p>
        </w:tc>
        <w:tc>
          <w:tcPr>
            <w:tcW w:w="2004" w:type="dxa"/>
            <w:vAlign w:val="center"/>
          </w:tcPr>
          <w:p w14:paraId="7657C54E">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5468F235">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扩展成像，支持二维、彩色多普勒模式</w:t>
            </w:r>
          </w:p>
        </w:tc>
      </w:tr>
      <w:tr w14:paraId="30E629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EA0869B">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2.17</w:t>
            </w:r>
          </w:p>
        </w:tc>
        <w:tc>
          <w:tcPr>
            <w:tcW w:w="2004" w:type="dxa"/>
            <w:vAlign w:val="center"/>
          </w:tcPr>
          <w:p w14:paraId="3CFEA2F9">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799B2169">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二维/彩色双实时对比成像</w:t>
            </w:r>
          </w:p>
        </w:tc>
      </w:tr>
      <w:tr w14:paraId="4E3CC8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30788CF">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2.18</w:t>
            </w:r>
          </w:p>
        </w:tc>
        <w:tc>
          <w:tcPr>
            <w:tcW w:w="2004" w:type="dxa"/>
            <w:vAlign w:val="center"/>
          </w:tcPr>
          <w:p w14:paraId="4E42B9EF">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03D408C3">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一键优化，支持二维、彩色及频谱模式</w:t>
            </w:r>
          </w:p>
        </w:tc>
      </w:tr>
      <w:tr w14:paraId="0536CF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A6AC1A8">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2.19</w:t>
            </w:r>
          </w:p>
        </w:tc>
        <w:tc>
          <w:tcPr>
            <w:tcW w:w="2004" w:type="dxa"/>
            <w:vAlign w:val="center"/>
          </w:tcPr>
          <w:p w14:paraId="4141D117">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77785C81">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配置穿刺针增强技术（支持凸阵、线阵探头，）</w:t>
            </w:r>
          </w:p>
        </w:tc>
      </w:tr>
      <w:tr w14:paraId="2A3575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DC108BE">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p>
        </w:tc>
        <w:tc>
          <w:tcPr>
            <w:tcW w:w="2004" w:type="dxa"/>
            <w:vAlign w:val="center"/>
          </w:tcPr>
          <w:p w14:paraId="2091866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5B44552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p>
        </w:tc>
      </w:tr>
      <w:tr w14:paraId="2B3C0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E5C22C0">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2.21</w:t>
            </w:r>
          </w:p>
        </w:tc>
        <w:tc>
          <w:tcPr>
            <w:tcW w:w="2004" w:type="dxa"/>
            <w:vAlign w:val="center"/>
          </w:tcPr>
          <w:p w14:paraId="377533F2">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1397FAD4">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增益调节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B/M/D分别独立可调，≥260</w:t>
            </w:r>
          </w:p>
        </w:tc>
      </w:tr>
      <w:tr w14:paraId="1DB38A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66499E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3</w:t>
            </w:r>
          </w:p>
        </w:tc>
        <w:tc>
          <w:tcPr>
            <w:tcW w:w="2004" w:type="dxa"/>
            <w:vAlign w:val="center"/>
          </w:tcPr>
          <w:p w14:paraId="026EA8B1">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b/>
                <w:color w:val="auto"/>
                <w:kern w:val="2"/>
                <w:sz w:val="21"/>
                <w:szCs w:val="21"/>
                <w:highlight w:val="none"/>
                <w:lang w:val="en-US" w:eastAsia="zh-CN" w:bidi="ar-SA"/>
              </w:rPr>
            </w:pPr>
          </w:p>
        </w:tc>
        <w:tc>
          <w:tcPr>
            <w:tcW w:w="5155" w:type="dxa"/>
            <w:vAlign w:val="center"/>
          </w:tcPr>
          <w:p w14:paraId="577C057E">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b/>
                <w:snapToGrid w:val="0"/>
                <w:color w:val="auto"/>
                <w:kern w:val="0"/>
                <w:sz w:val="21"/>
                <w:szCs w:val="21"/>
                <w:highlight w:val="none"/>
                <w:lang w:val="en-US" w:eastAsia="zh-CN" w:bidi="ar-SA"/>
              </w:rPr>
            </w:pPr>
            <w:r>
              <w:rPr>
                <w:rFonts w:hint="eastAsia" w:ascii="宋体" w:hAnsi="宋体" w:eastAsia="宋体" w:cs="宋体"/>
                <w:b/>
                <w:color w:val="auto"/>
                <w:sz w:val="21"/>
                <w:szCs w:val="21"/>
                <w:highlight w:val="none"/>
              </w:rPr>
              <w:t>测量和分析报告</w:t>
            </w:r>
          </w:p>
        </w:tc>
      </w:tr>
      <w:tr w14:paraId="746D2D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0D48EE35">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3.1</w:t>
            </w:r>
          </w:p>
        </w:tc>
        <w:tc>
          <w:tcPr>
            <w:tcW w:w="2004" w:type="dxa"/>
            <w:vAlign w:val="center"/>
          </w:tcPr>
          <w:p w14:paraId="45499A87">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62B9EA1A">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具备腹部、妇科、心脏、产科、泌尿、小器官、儿科、血管测量软件包</w:t>
            </w:r>
          </w:p>
        </w:tc>
      </w:tr>
      <w:tr w14:paraId="0A4C0E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687698DA">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3.2</w:t>
            </w:r>
          </w:p>
        </w:tc>
        <w:tc>
          <w:tcPr>
            <w:tcW w:w="2004" w:type="dxa"/>
            <w:vAlign w:val="center"/>
          </w:tcPr>
          <w:p w14:paraId="1B9973FD">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1EAF2E4F">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血管测量软件包，支持IMT血管内中膜自动测量</w:t>
            </w:r>
          </w:p>
        </w:tc>
      </w:tr>
      <w:tr w14:paraId="6C7020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E2B8D1D">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4</w:t>
            </w:r>
          </w:p>
        </w:tc>
        <w:tc>
          <w:tcPr>
            <w:tcW w:w="2004" w:type="dxa"/>
            <w:vAlign w:val="center"/>
          </w:tcPr>
          <w:p w14:paraId="51FEB171">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b/>
                <w:color w:val="auto"/>
                <w:kern w:val="2"/>
                <w:sz w:val="21"/>
                <w:szCs w:val="21"/>
                <w:highlight w:val="none"/>
                <w:lang w:val="en-US" w:eastAsia="zh-CN" w:bidi="ar-SA"/>
              </w:rPr>
            </w:pPr>
          </w:p>
        </w:tc>
        <w:tc>
          <w:tcPr>
            <w:tcW w:w="5155" w:type="dxa"/>
            <w:vAlign w:val="center"/>
          </w:tcPr>
          <w:p w14:paraId="026FC4AB">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b/>
                <w:snapToGrid w:val="0"/>
                <w:color w:val="auto"/>
                <w:kern w:val="0"/>
                <w:sz w:val="21"/>
                <w:szCs w:val="21"/>
                <w:highlight w:val="none"/>
                <w:lang w:val="en-US" w:eastAsia="zh-CN" w:bidi="ar-SA"/>
              </w:rPr>
            </w:pPr>
            <w:r>
              <w:rPr>
                <w:rFonts w:hint="eastAsia" w:ascii="宋体" w:hAnsi="宋体" w:eastAsia="宋体" w:cs="宋体"/>
                <w:b/>
                <w:color w:val="auto"/>
                <w:sz w:val="21"/>
                <w:szCs w:val="21"/>
                <w:highlight w:val="none"/>
              </w:rPr>
              <w:t>存储及数据管理</w:t>
            </w:r>
          </w:p>
        </w:tc>
      </w:tr>
      <w:tr w14:paraId="37BABB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D2EF349">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4.1</w:t>
            </w:r>
          </w:p>
        </w:tc>
        <w:tc>
          <w:tcPr>
            <w:tcW w:w="2004" w:type="dxa"/>
            <w:vAlign w:val="center"/>
          </w:tcPr>
          <w:p w14:paraId="551BC2A7">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174A036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≥256G固态硬盘</w:t>
            </w:r>
          </w:p>
        </w:tc>
      </w:tr>
      <w:tr w14:paraId="412ADF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321D7A35">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4.2</w:t>
            </w:r>
          </w:p>
        </w:tc>
        <w:tc>
          <w:tcPr>
            <w:tcW w:w="2004" w:type="dxa"/>
            <w:vAlign w:val="center"/>
          </w:tcPr>
          <w:p w14:paraId="30B879E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3928C89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可实时同屏存储、回放动态及静态图像，可随时调阅、传输、删除图像</w:t>
            </w:r>
          </w:p>
        </w:tc>
      </w:tr>
      <w:tr w14:paraId="6718D7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4E54A050">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4.3</w:t>
            </w:r>
          </w:p>
        </w:tc>
        <w:tc>
          <w:tcPr>
            <w:tcW w:w="2004" w:type="dxa"/>
            <w:vAlign w:val="center"/>
          </w:tcPr>
          <w:p w14:paraId="5108AA6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3FF27F5E">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多种图像格式传输：支持JPEG、WMV、BMP、AVI、TIFF，MP4等格式输出</w:t>
            </w:r>
          </w:p>
        </w:tc>
      </w:tr>
      <w:tr w14:paraId="3A255B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CB60FBD">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p>
        </w:tc>
        <w:tc>
          <w:tcPr>
            <w:tcW w:w="2004" w:type="dxa"/>
            <w:vAlign w:val="center"/>
          </w:tcPr>
          <w:p w14:paraId="39345C5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6892F6E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p>
        </w:tc>
      </w:tr>
      <w:tr w14:paraId="2D1A29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68D5D9E">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5</w:t>
            </w:r>
          </w:p>
        </w:tc>
        <w:tc>
          <w:tcPr>
            <w:tcW w:w="2004" w:type="dxa"/>
            <w:vAlign w:val="center"/>
          </w:tcPr>
          <w:p w14:paraId="25336F1F">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b/>
                <w:color w:val="auto"/>
                <w:kern w:val="2"/>
                <w:sz w:val="21"/>
                <w:szCs w:val="21"/>
                <w:highlight w:val="none"/>
                <w:lang w:val="en-US" w:eastAsia="zh-CN" w:bidi="ar-SA"/>
              </w:rPr>
            </w:pPr>
          </w:p>
        </w:tc>
        <w:tc>
          <w:tcPr>
            <w:tcW w:w="5155" w:type="dxa"/>
            <w:vAlign w:val="center"/>
          </w:tcPr>
          <w:p w14:paraId="19D1178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b/>
                <w:snapToGrid w:val="0"/>
                <w:color w:val="auto"/>
                <w:kern w:val="0"/>
                <w:sz w:val="21"/>
                <w:szCs w:val="21"/>
                <w:highlight w:val="none"/>
                <w:lang w:val="en-US" w:eastAsia="zh-CN" w:bidi="ar-SA"/>
              </w:rPr>
            </w:pPr>
            <w:r>
              <w:rPr>
                <w:rFonts w:hint="eastAsia" w:ascii="宋体" w:hAnsi="宋体" w:eastAsia="宋体" w:cs="宋体"/>
                <w:b/>
                <w:color w:val="auto"/>
                <w:sz w:val="21"/>
                <w:szCs w:val="21"/>
                <w:highlight w:val="none"/>
              </w:rPr>
              <w:t>连通性要求</w:t>
            </w:r>
          </w:p>
        </w:tc>
      </w:tr>
      <w:tr w14:paraId="0500C0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39D047C">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5.1</w:t>
            </w:r>
          </w:p>
        </w:tc>
        <w:tc>
          <w:tcPr>
            <w:tcW w:w="2004" w:type="dxa"/>
            <w:vAlign w:val="center"/>
          </w:tcPr>
          <w:p w14:paraId="1B13384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663AD8E8">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支持DICOM 3.0接口</w:t>
            </w:r>
          </w:p>
        </w:tc>
      </w:tr>
      <w:tr w14:paraId="7B0F64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72B06B7">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5.2</w:t>
            </w:r>
          </w:p>
        </w:tc>
        <w:tc>
          <w:tcPr>
            <w:tcW w:w="2004" w:type="dxa"/>
            <w:vAlign w:val="center"/>
          </w:tcPr>
          <w:p w14:paraId="476E27F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65751467">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支持ECG信号</w:t>
            </w:r>
          </w:p>
        </w:tc>
      </w:tr>
      <w:tr w14:paraId="6309F6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E4EE9AB">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5.3</w:t>
            </w:r>
          </w:p>
        </w:tc>
        <w:tc>
          <w:tcPr>
            <w:tcW w:w="2004" w:type="dxa"/>
            <w:vAlign w:val="center"/>
          </w:tcPr>
          <w:p w14:paraId="19212CD2">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55E52B6F">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设备</w:t>
            </w:r>
            <w:r>
              <w:rPr>
                <w:rFonts w:hint="eastAsia" w:ascii="宋体" w:hAnsi="宋体" w:eastAsia="宋体" w:cs="宋体"/>
                <w:color w:val="auto"/>
                <w:sz w:val="21"/>
                <w:szCs w:val="21"/>
                <w:highlight w:val="none"/>
              </w:rPr>
              <w:t>端口</w:t>
            </w:r>
            <w:r>
              <w:rPr>
                <w:rFonts w:hint="eastAsia" w:ascii="宋体" w:hAnsi="宋体" w:eastAsia="宋体" w:cs="宋体"/>
                <w:color w:val="auto"/>
                <w:sz w:val="21"/>
                <w:szCs w:val="21"/>
                <w:highlight w:val="none"/>
                <w:lang w:val="en-US" w:eastAsia="zh-CN"/>
              </w:rPr>
              <w:t>开放</w:t>
            </w:r>
            <w:r>
              <w:rPr>
                <w:rFonts w:hint="eastAsia" w:ascii="宋体" w:hAnsi="宋体" w:eastAsia="宋体" w:cs="宋体"/>
                <w:color w:val="auto"/>
                <w:sz w:val="21"/>
                <w:szCs w:val="21"/>
                <w:highlight w:val="none"/>
              </w:rPr>
              <w:t>，便于车辆进行信息采集</w:t>
            </w:r>
          </w:p>
        </w:tc>
      </w:tr>
      <w:tr w14:paraId="4F98BC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F9A1127">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6</w:t>
            </w:r>
          </w:p>
        </w:tc>
        <w:tc>
          <w:tcPr>
            <w:tcW w:w="2004" w:type="dxa"/>
            <w:vAlign w:val="center"/>
          </w:tcPr>
          <w:p w14:paraId="54A5022D">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b/>
                <w:color w:val="auto"/>
                <w:kern w:val="2"/>
                <w:sz w:val="21"/>
                <w:szCs w:val="21"/>
                <w:highlight w:val="none"/>
                <w:lang w:val="en-US" w:eastAsia="zh-CN" w:bidi="ar-SA"/>
              </w:rPr>
            </w:pPr>
          </w:p>
        </w:tc>
        <w:tc>
          <w:tcPr>
            <w:tcW w:w="5155" w:type="dxa"/>
            <w:vAlign w:val="center"/>
          </w:tcPr>
          <w:p w14:paraId="669132A3">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color w:val="auto"/>
                <w:sz w:val="21"/>
                <w:szCs w:val="21"/>
                <w:highlight w:val="none"/>
              </w:rPr>
              <w:t>系统技术参数及要求</w:t>
            </w:r>
          </w:p>
        </w:tc>
      </w:tr>
      <w:tr w14:paraId="4EA375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0AB2E8D">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6.1</w:t>
            </w:r>
          </w:p>
        </w:tc>
        <w:tc>
          <w:tcPr>
            <w:tcW w:w="2004" w:type="dxa"/>
            <w:vAlign w:val="center"/>
          </w:tcPr>
          <w:p w14:paraId="3C966170">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214B2A48">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二维灰阶成像单元</w:t>
            </w:r>
          </w:p>
        </w:tc>
      </w:tr>
      <w:tr w14:paraId="41D130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20281090">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6.2</w:t>
            </w:r>
          </w:p>
        </w:tc>
        <w:tc>
          <w:tcPr>
            <w:tcW w:w="2004" w:type="dxa"/>
            <w:vAlign w:val="center"/>
          </w:tcPr>
          <w:p w14:paraId="2F79738D">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78005D8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预设条件：针对不同的检查脏器，预置最佳图像检查条件</w:t>
            </w:r>
          </w:p>
        </w:tc>
      </w:tr>
      <w:tr w14:paraId="429585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613F303">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6.3</w:t>
            </w:r>
          </w:p>
        </w:tc>
        <w:tc>
          <w:tcPr>
            <w:tcW w:w="2004" w:type="dxa"/>
            <w:vAlign w:val="center"/>
          </w:tcPr>
          <w:p w14:paraId="6C18B5D2">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7F295DB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最大显示深度：≥4</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cm（提供图片证明）</w:t>
            </w:r>
          </w:p>
        </w:tc>
      </w:tr>
      <w:tr w14:paraId="3AFE2F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49A731E">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6.5</w:t>
            </w:r>
          </w:p>
        </w:tc>
        <w:tc>
          <w:tcPr>
            <w:tcW w:w="2004" w:type="dxa"/>
            <w:vAlign w:val="center"/>
          </w:tcPr>
          <w:p w14:paraId="0A5D38C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0D1A638F">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动态范围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≥320，可视可调</w:t>
            </w:r>
          </w:p>
        </w:tc>
      </w:tr>
      <w:tr w14:paraId="64E35C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92DB33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p>
        </w:tc>
        <w:tc>
          <w:tcPr>
            <w:tcW w:w="2004" w:type="dxa"/>
            <w:vAlign w:val="center"/>
          </w:tcPr>
          <w:p w14:paraId="625C8634">
            <w:pPr>
              <w:keepNext w:val="0"/>
              <w:keepLines w:val="0"/>
              <w:pageBreakBefore w:val="0"/>
              <w:suppressLineNumbers w:val="0"/>
              <w:tabs>
                <w:tab w:val="left" w:pos="567"/>
                <w:tab w:val="left" w:pos="851"/>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66CACE49">
            <w:pPr>
              <w:keepNext w:val="0"/>
              <w:keepLines w:val="0"/>
              <w:pageBreakBefore w:val="0"/>
              <w:suppressLineNumbers w:val="0"/>
              <w:tabs>
                <w:tab w:val="left" w:pos="567"/>
                <w:tab w:val="left" w:pos="851"/>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p>
        </w:tc>
      </w:tr>
      <w:tr w14:paraId="462F04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A023DC4">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6.7</w:t>
            </w:r>
          </w:p>
        </w:tc>
        <w:tc>
          <w:tcPr>
            <w:tcW w:w="2004" w:type="dxa"/>
            <w:vAlign w:val="center"/>
          </w:tcPr>
          <w:p w14:paraId="620FB2A5">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52213DB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彩色多普勒成像单元</w:t>
            </w:r>
          </w:p>
        </w:tc>
      </w:tr>
      <w:tr w14:paraId="3BC102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3D34EAA">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6.8</w:t>
            </w:r>
          </w:p>
        </w:tc>
        <w:tc>
          <w:tcPr>
            <w:tcW w:w="2004" w:type="dxa"/>
            <w:vAlign w:val="center"/>
          </w:tcPr>
          <w:p w14:paraId="4E74FF48">
            <w:pPr>
              <w:keepNext w:val="0"/>
              <w:keepLines w:val="0"/>
              <w:pageBreakBefore w:val="0"/>
              <w:suppressLineNumbers w:val="0"/>
              <w:tabs>
                <w:tab w:val="left" w:pos="426"/>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19CA47F8">
            <w:pPr>
              <w:keepNext w:val="0"/>
              <w:keepLines w:val="0"/>
              <w:pageBreakBefore w:val="0"/>
              <w:suppressLineNumbers w:val="0"/>
              <w:tabs>
                <w:tab w:val="left" w:pos="426"/>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智能血流追踪技术</w:t>
            </w:r>
          </w:p>
        </w:tc>
      </w:tr>
      <w:tr w14:paraId="272472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FE559B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7</w:t>
            </w:r>
          </w:p>
        </w:tc>
        <w:tc>
          <w:tcPr>
            <w:tcW w:w="2004" w:type="dxa"/>
            <w:vAlign w:val="center"/>
          </w:tcPr>
          <w:p w14:paraId="34ECA71D">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b/>
                <w:color w:val="auto"/>
                <w:kern w:val="2"/>
                <w:sz w:val="21"/>
                <w:szCs w:val="21"/>
                <w:highlight w:val="none"/>
                <w:lang w:val="en-US" w:eastAsia="zh-CN" w:bidi="ar-SA"/>
              </w:rPr>
            </w:pPr>
          </w:p>
        </w:tc>
        <w:tc>
          <w:tcPr>
            <w:tcW w:w="5155" w:type="dxa"/>
            <w:vAlign w:val="center"/>
          </w:tcPr>
          <w:p w14:paraId="77F2F043">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b/>
                <w:snapToGrid w:val="0"/>
                <w:color w:val="auto"/>
                <w:kern w:val="0"/>
                <w:sz w:val="21"/>
                <w:szCs w:val="21"/>
                <w:highlight w:val="none"/>
                <w:lang w:val="en-US" w:eastAsia="zh-CN" w:bidi="ar-SA"/>
              </w:rPr>
            </w:pPr>
            <w:r>
              <w:rPr>
                <w:rFonts w:hint="eastAsia" w:ascii="宋体" w:hAnsi="宋体" w:eastAsia="宋体" w:cs="宋体"/>
                <w:b/>
                <w:color w:val="auto"/>
                <w:sz w:val="21"/>
                <w:szCs w:val="21"/>
                <w:highlight w:val="none"/>
              </w:rPr>
              <w:t>频谱多普勒</w:t>
            </w:r>
          </w:p>
        </w:tc>
      </w:tr>
      <w:tr w14:paraId="12A174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6A43853F">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7.1</w:t>
            </w:r>
          </w:p>
        </w:tc>
        <w:tc>
          <w:tcPr>
            <w:tcW w:w="2004" w:type="dxa"/>
            <w:vAlign w:val="center"/>
          </w:tcPr>
          <w:p w14:paraId="234A6905">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7A2207C7">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显示方式：B，PW，B/PW, B/C/PW, B/CW, B/C/CW等</w:t>
            </w:r>
          </w:p>
        </w:tc>
      </w:tr>
      <w:tr w14:paraId="22EF51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6CD9C84">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7.2</w:t>
            </w:r>
          </w:p>
        </w:tc>
        <w:tc>
          <w:tcPr>
            <w:tcW w:w="2004" w:type="dxa"/>
            <w:vAlign w:val="center"/>
          </w:tcPr>
          <w:p w14:paraId="72A81AAA">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0BDA05C0">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取样容积：1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20mm </w:t>
            </w:r>
          </w:p>
        </w:tc>
      </w:tr>
      <w:tr w14:paraId="40739D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7A40F26">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7.3</w:t>
            </w:r>
          </w:p>
        </w:tc>
        <w:tc>
          <w:tcPr>
            <w:tcW w:w="2004" w:type="dxa"/>
            <w:vAlign w:val="center"/>
          </w:tcPr>
          <w:p w14:paraId="59E60B08">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5A97FA93">
            <w:pPr>
              <w:keepNext w:val="0"/>
              <w:keepLines w:val="0"/>
              <w:pageBreakBefore w:val="0"/>
              <w:suppressLineNumbers w:val="0"/>
              <w:tabs>
                <w:tab w:val="left" w:pos="567"/>
              </w:tabs>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零位移动：≥16级</w:t>
            </w:r>
          </w:p>
        </w:tc>
      </w:tr>
      <w:tr w14:paraId="46F3F0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BC69EB8">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8</w:t>
            </w:r>
          </w:p>
        </w:tc>
        <w:tc>
          <w:tcPr>
            <w:tcW w:w="2004" w:type="dxa"/>
            <w:vAlign w:val="center"/>
          </w:tcPr>
          <w:p w14:paraId="663BAABB">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b/>
                <w:color w:val="auto"/>
                <w:kern w:val="2"/>
                <w:sz w:val="21"/>
                <w:szCs w:val="21"/>
                <w:highlight w:val="none"/>
                <w:lang w:val="en-US" w:eastAsia="zh-CN" w:bidi="ar-SA"/>
              </w:rPr>
            </w:pPr>
          </w:p>
        </w:tc>
        <w:tc>
          <w:tcPr>
            <w:tcW w:w="5155" w:type="dxa"/>
            <w:vAlign w:val="center"/>
          </w:tcPr>
          <w:p w14:paraId="47263325">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b/>
                <w:snapToGrid w:val="0"/>
                <w:color w:val="auto"/>
                <w:kern w:val="0"/>
                <w:sz w:val="21"/>
                <w:szCs w:val="21"/>
                <w:highlight w:val="none"/>
                <w:lang w:val="en-US" w:eastAsia="zh-CN" w:bidi="ar-SA"/>
              </w:rPr>
            </w:pPr>
            <w:r>
              <w:rPr>
                <w:rFonts w:hint="eastAsia" w:ascii="宋体" w:hAnsi="宋体" w:eastAsia="宋体" w:cs="宋体"/>
                <w:b/>
                <w:color w:val="auto"/>
                <w:sz w:val="21"/>
                <w:szCs w:val="21"/>
                <w:highlight w:val="none"/>
              </w:rPr>
              <w:t>探头规格</w:t>
            </w:r>
          </w:p>
        </w:tc>
      </w:tr>
      <w:tr w14:paraId="20C27D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6D6B5D7">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p>
        </w:tc>
        <w:tc>
          <w:tcPr>
            <w:tcW w:w="2004" w:type="dxa"/>
            <w:vAlign w:val="center"/>
          </w:tcPr>
          <w:p w14:paraId="639CCF2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5968030D">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p>
        </w:tc>
      </w:tr>
      <w:tr w14:paraId="5B0E98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86CF5E8">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8.2</w:t>
            </w:r>
          </w:p>
        </w:tc>
        <w:tc>
          <w:tcPr>
            <w:tcW w:w="2004" w:type="dxa"/>
            <w:vAlign w:val="center"/>
          </w:tcPr>
          <w:p w14:paraId="75C44B4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17A95E97">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凸阵探头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2-5MHz</w:t>
            </w:r>
          </w:p>
        </w:tc>
      </w:tr>
      <w:tr w14:paraId="462025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43E76A5">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8.3</w:t>
            </w:r>
          </w:p>
        </w:tc>
        <w:tc>
          <w:tcPr>
            <w:tcW w:w="2004" w:type="dxa"/>
            <w:vAlign w:val="center"/>
          </w:tcPr>
          <w:p w14:paraId="42AFBC35">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4D60DC2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线阵探头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3-12 MHz</w:t>
            </w:r>
          </w:p>
        </w:tc>
      </w:tr>
      <w:tr w14:paraId="534913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880D7DD">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8.4</w:t>
            </w:r>
          </w:p>
        </w:tc>
        <w:tc>
          <w:tcPr>
            <w:tcW w:w="2004" w:type="dxa"/>
            <w:vAlign w:val="center"/>
          </w:tcPr>
          <w:p w14:paraId="00CBA2E3">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2A928D1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相控阵探头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2-4MHz</w:t>
            </w:r>
          </w:p>
        </w:tc>
      </w:tr>
      <w:tr w14:paraId="585BE9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6578034">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9</w:t>
            </w:r>
          </w:p>
        </w:tc>
        <w:tc>
          <w:tcPr>
            <w:tcW w:w="2004" w:type="dxa"/>
            <w:vAlign w:val="center"/>
          </w:tcPr>
          <w:p w14:paraId="37B511D5">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b/>
                <w:color w:val="auto"/>
                <w:kern w:val="2"/>
                <w:sz w:val="21"/>
                <w:szCs w:val="21"/>
                <w:highlight w:val="none"/>
                <w:lang w:val="en-US" w:eastAsia="zh-CN" w:bidi="ar-SA"/>
              </w:rPr>
            </w:pPr>
          </w:p>
        </w:tc>
        <w:tc>
          <w:tcPr>
            <w:tcW w:w="5155" w:type="dxa"/>
            <w:vAlign w:val="center"/>
          </w:tcPr>
          <w:p w14:paraId="14D732F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b/>
                <w:snapToGrid w:val="0"/>
                <w:color w:val="auto"/>
                <w:kern w:val="0"/>
                <w:sz w:val="21"/>
                <w:szCs w:val="21"/>
                <w:highlight w:val="none"/>
                <w:lang w:val="en-US" w:eastAsia="zh-CN" w:bidi="ar-SA"/>
              </w:rPr>
            </w:pPr>
            <w:r>
              <w:rPr>
                <w:rFonts w:hint="eastAsia" w:ascii="宋体" w:hAnsi="宋体" w:eastAsia="宋体" w:cs="宋体"/>
                <w:b/>
                <w:color w:val="auto"/>
                <w:sz w:val="21"/>
                <w:szCs w:val="21"/>
                <w:highlight w:val="none"/>
              </w:rPr>
              <w:t>配置</w:t>
            </w:r>
          </w:p>
        </w:tc>
      </w:tr>
      <w:tr w14:paraId="66ED3F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74BDB4DE">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kern w:val="0"/>
                <w:sz w:val="21"/>
                <w:szCs w:val="21"/>
                <w:highlight w:val="none"/>
                <w:lang w:eastAsia="zh-CN" w:bidi="ar-SA"/>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3</w:t>
            </w:r>
          </w:p>
        </w:tc>
        <w:tc>
          <w:tcPr>
            <w:tcW w:w="2004" w:type="dxa"/>
            <w:vAlign w:val="center"/>
          </w:tcPr>
          <w:p w14:paraId="598B69D2">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0F99D95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主机1台、浅表探头1把、腹部探头1把、心脏探头1把</w:t>
            </w:r>
            <w:r>
              <w:rPr>
                <w:rFonts w:hint="eastAsia" w:ascii="宋体" w:hAnsi="宋体" w:eastAsia="宋体" w:cs="宋体"/>
                <w:color w:val="auto"/>
                <w:sz w:val="21"/>
                <w:szCs w:val="21"/>
                <w:highlight w:val="none"/>
                <w:lang w:val="en-US" w:eastAsia="zh-CN"/>
              </w:rPr>
              <w:t>及其他附件</w:t>
            </w:r>
          </w:p>
        </w:tc>
      </w:tr>
      <w:tr w14:paraId="195169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D3E95C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p>
        </w:tc>
        <w:tc>
          <w:tcPr>
            <w:tcW w:w="2004" w:type="dxa"/>
            <w:vAlign w:val="center"/>
          </w:tcPr>
          <w:p w14:paraId="45DE27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1D3DD2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napToGrid w:val="0"/>
                <w:color w:val="auto"/>
                <w:spacing w:val="-5"/>
                <w:kern w:val="0"/>
                <w:sz w:val="21"/>
                <w:szCs w:val="21"/>
                <w:highlight w:val="none"/>
                <w:lang w:val="en-US" w:eastAsia="zh-CN" w:bidi="ar-SA"/>
              </w:rPr>
            </w:pPr>
          </w:p>
        </w:tc>
      </w:tr>
      <w:tr w14:paraId="46581D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3E0CA3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8"/>
                <w:kern w:val="0"/>
                <w:sz w:val="21"/>
                <w:szCs w:val="21"/>
                <w:highlight w:val="none"/>
                <w:lang w:val="en-US" w:eastAsia="zh-CN" w:bidi="ar-SA"/>
              </w:rPr>
            </w:pPr>
            <w:r>
              <w:rPr>
                <w:rFonts w:hint="eastAsia" w:ascii="宋体" w:hAnsi="宋体" w:eastAsia="宋体" w:cs="宋体"/>
                <w:snapToGrid w:val="0"/>
                <w:color w:val="auto"/>
                <w:spacing w:val="-8"/>
                <w:kern w:val="0"/>
                <w:sz w:val="21"/>
                <w:szCs w:val="21"/>
                <w:highlight w:val="none"/>
                <w:lang w:val="en-US" w:eastAsia="zh-CN" w:bidi="ar-SA"/>
              </w:rPr>
              <w:t>（四）</w:t>
            </w:r>
          </w:p>
        </w:tc>
        <w:tc>
          <w:tcPr>
            <w:tcW w:w="2004" w:type="dxa"/>
            <w:vAlign w:val="center"/>
          </w:tcPr>
          <w:p w14:paraId="07A53C22">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治疗设备</w:t>
            </w:r>
          </w:p>
        </w:tc>
        <w:tc>
          <w:tcPr>
            <w:tcW w:w="5155" w:type="dxa"/>
            <w:vAlign w:val="center"/>
          </w:tcPr>
          <w:p w14:paraId="60ECD66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r>
      <w:tr w14:paraId="433151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569329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8</w:t>
            </w:r>
          </w:p>
        </w:tc>
        <w:tc>
          <w:tcPr>
            <w:tcW w:w="2004" w:type="dxa"/>
            <w:vAlign w:val="center"/>
          </w:tcPr>
          <w:p w14:paraId="399A955E">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便携式吸引器</w:t>
            </w:r>
          </w:p>
        </w:tc>
        <w:tc>
          <w:tcPr>
            <w:tcW w:w="5155" w:type="dxa"/>
            <w:vAlign w:val="center"/>
          </w:tcPr>
          <w:p w14:paraId="32BD9085">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r>
      <w:tr w14:paraId="531ACE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9274A59">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8.1</w:t>
            </w:r>
          </w:p>
        </w:tc>
        <w:tc>
          <w:tcPr>
            <w:tcW w:w="2004" w:type="dxa"/>
            <w:vAlign w:val="center"/>
          </w:tcPr>
          <w:p w14:paraId="3EE0223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1847EF05">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主要用途：口腔、呼吸道疾病治疗</w:t>
            </w:r>
          </w:p>
        </w:tc>
      </w:tr>
      <w:tr w14:paraId="3EB7C2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583D6C9">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8.2</w:t>
            </w:r>
          </w:p>
        </w:tc>
        <w:tc>
          <w:tcPr>
            <w:tcW w:w="2004" w:type="dxa"/>
            <w:vAlign w:val="center"/>
          </w:tcPr>
          <w:p w14:paraId="4860DAC0">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29D99EA1">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主要技术要求</w:t>
            </w:r>
          </w:p>
        </w:tc>
      </w:tr>
      <w:tr w14:paraId="7BF9EC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7A6C7E7B">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8.2.1</w:t>
            </w:r>
          </w:p>
        </w:tc>
        <w:tc>
          <w:tcPr>
            <w:tcW w:w="2004" w:type="dxa"/>
            <w:vAlign w:val="center"/>
          </w:tcPr>
          <w:p w14:paraId="503E7310">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39CD9BE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采用交流、外接直流和机内电池三种供电方式；</w:t>
            </w:r>
          </w:p>
          <w:p w14:paraId="287D6D62">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电源：AC100V～240V,50/60Hz;DC12V。</w:t>
            </w:r>
          </w:p>
        </w:tc>
      </w:tr>
      <w:tr w14:paraId="01E2A8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A003692">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8.2.2</w:t>
            </w:r>
          </w:p>
        </w:tc>
        <w:tc>
          <w:tcPr>
            <w:tcW w:w="2004" w:type="dxa"/>
            <w:vAlign w:val="center"/>
          </w:tcPr>
          <w:p w14:paraId="61AC077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41E94020">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极限负压值：≥0.08MPa(600mmHg)；</w:t>
            </w:r>
          </w:p>
        </w:tc>
      </w:tr>
      <w:tr w14:paraId="5D8C5E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C0978E2">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8.2.3</w:t>
            </w:r>
          </w:p>
        </w:tc>
        <w:tc>
          <w:tcPr>
            <w:tcW w:w="2004" w:type="dxa"/>
            <w:vAlign w:val="center"/>
          </w:tcPr>
          <w:p w14:paraId="78BAB08D">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3A7E3E88">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负压调节范围：0.02MPa(150mmHg)～极限负压值；</w:t>
            </w:r>
          </w:p>
        </w:tc>
      </w:tr>
      <w:tr w14:paraId="7508A3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9CFF8B8">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8.2.4</w:t>
            </w:r>
          </w:p>
        </w:tc>
        <w:tc>
          <w:tcPr>
            <w:tcW w:w="2004" w:type="dxa"/>
            <w:vAlign w:val="center"/>
          </w:tcPr>
          <w:p w14:paraId="5A65B3CF">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23D2DF61">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抽气速率：≥20L/min；</w:t>
            </w:r>
          </w:p>
        </w:tc>
      </w:tr>
      <w:tr w14:paraId="18A7DD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6EF1E72">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8.2.5</w:t>
            </w:r>
          </w:p>
        </w:tc>
        <w:tc>
          <w:tcPr>
            <w:tcW w:w="2004" w:type="dxa"/>
            <w:vAlign w:val="center"/>
          </w:tcPr>
          <w:p w14:paraId="23D2A6F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778D9AC4">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贮液瓶：≥1000mL</w:t>
            </w:r>
          </w:p>
        </w:tc>
      </w:tr>
      <w:tr w14:paraId="6126DF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12A8D19">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p>
        </w:tc>
        <w:tc>
          <w:tcPr>
            <w:tcW w:w="2004" w:type="dxa"/>
            <w:vAlign w:val="center"/>
          </w:tcPr>
          <w:p w14:paraId="61499B54">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49241075">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r>
      <w:tr w14:paraId="7C41DE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366EA43">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9</w:t>
            </w:r>
          </w:p>
        </w:tc>
        <w:tc>
          <w:tcPr>
            <w:tcW w:w="2004" w:type="dxa"/>
            <w:vAlign w:val="center"/>
          </w:tcPr>
          <w:p w14:paraId="76A0FD2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雾化器</w:t>
            </w:r>
          </w:p>
        </w:tc>
        <w:tc>
          <w:tcPr>
            <w:tcW w:w="5155" w:type="dxa"/>
            <w:vAlign w:val="center"/>
          </w:tcPr>
          <w:p w14:paraId="17E1F29D">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r>
      <w:tr w14:paraId="41D6E6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9978830">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9.1</w:t>
            </w:r>
          </w:p>
        </w:tc>
        <w:tc>
          <w:tcPr>
            <w:tcW w:w="2004" w:type="dxa"/>
            <w:vAlign w:val="center"/>
          </w:tcPr>
          <w:p w14:paraId="475CFF44">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7C3DD77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主要用途：用于呼吸道疾病治疗</w:t>
            </w:r>
          </w:p>
        </w:tc>
      </w:tr>
      <w:tr w14:paraId="0D8BAA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07F2667">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9.2</w:t>
            </w:r>
          </w:p>
        </w:tc>
        <w:tc>
          <w:tcPr>
            <w:tcW w:w="2004" w:type="dxa"/>
            <w:vAlign w:val="center"/>
          </w:tcPr>
          <w:p w14:paraId="74A202C1">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1C01C16E">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主要技术要求</w:t>
            </w:r>
          </w:p>
        </w:tc>
      </w:tr>
      <w:tr w14:paraId="496A33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1419" w:type="dxa"/>
            <w:vAlign w:val="center"/>
          </w:tcPr>
          <w:p w14:paraId="41A6FEB2">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9.2.1</w:t>
            </w:r>
          </w:p>
        </w:tc>
        <w:tc>
          <w:tcPr>
            <w:tcW w:w="2004" w:type="dxa"/>
            <w:vAlign w:val="center"/>
          </w:tcPr>
          <w:p w14:paraId="03434F0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2C0FC6E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微米级雾化效果</w:t>
            </w:r>
          </w:p>
          <w:p w14:paraId="00A23D2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采用无油压缩机</w:t>
            </w:r>
          </w:p>
          <w:p w14:paraId="651147BF">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拨片式可调节通气量，成人孩童均可适用</w:t>
            </w:r>
          </w:p>
          <w:p w14:paraId="7981C6C3">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气流量：≥7L/min;</w:t>
            </w:r>
          </w:p>
          <w:p w14:paraId="14EC13A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雾化量：≥0.2mL/min</w:t>
            </w:r>
          </w:p>
        </w:tc>
      </w:tr>
      <w:tr w14:paraId="572F45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C183829">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p>
        </w:tc>
        <w:tc>
          <w:tcPr>
            <w:tcW w:w="2004" w:type="dxa"/>
            <w:vAlign w:val="center"/>
          </w:tcPr>
          <w:p w14:paraId="57B0CAA7">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712C0960">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r>
      <w:tr w14:paraId="2B3BC7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C90B44F">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10</w:t>
            </w:r>
          </w:p>
        </w:tc>
        <w:tc>
          <w:tcPr>
            <w:tcW w:w="2004" w:type="dxa"/>
            <w:vAlign w:val="center"/>
          </w:tcPr>
          <w:p w14:paraId="714B2B5E">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en-US" w:bidi="ar-SA"/>
              </w:rPr>
              <w:t>自动体外除颤仪</w:t>
            </w:r>
          </w:p>
        </w:tc>
        <w:tc>
          <w:tcPr>
            <w:tcW w:w="5155" w:type="dxa"/>
            <w:vAlign w:val="center"/>
          </w:tcPr>
          <w:p w14:paraId="094644F1">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r>
      <w:tr w14:paraId="3D554F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279AAF4">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10.1</w:t>
            </w:r>
          </w:p>
        </w:tc>
        <w:tc>
          <w:tcPr>
            <w:tcW w:w="2004" w:type="dxa"/>
            <w:vAlign w:val="center"/>
          </w:tcPr>
          <w:p w14:paraId="5299AC63">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6958621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主要用途：急救心肺复苏除颤</w:t>
            </w:r>
          </w:p>
        </w:tc>
      </w:tr>
      <w:tr w14:paraId="69E33F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BE775A8">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10.2</w:t>
            </w:r>
          </w:p>
        </w:tc>
        <w:tc>
          <w:tcPr>
            <w:tcW w:w="2004" w:type="dxa"/>
            <w:vAlign w:val="center"/>
          </w:tcPr>
          <w:p w14:paraId="5D4DB8CE">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474059C5">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主要技术要求</w:t>
            </w:r>
          </w:p>
        </w:tc>
      </w:tr>
      <w:tr w14:paraId="6BCCC1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1367E883">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10.2.1</w:t>
            </w:r>
          </w:p>
        </w:tc>
        <w:tc>
          <w:tcPr>
            <w:tcW w:w="2004" w:type="dxa"/>
            <w:vAlign w:val="center"/>
          </w:tcPr>
          <w:p w14:paraId="6DAEC87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35A15F68">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方便操作，设备操作面板上按键数量 ≤3 个（包括软按键）。</w:t>
            </w:r>
          </w:p>
        </w:tc>
      </w:tr>
      <w:tr w14:paraId="43D1F9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64CC12F6">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10.2.2</w:t>
            </w:r>
          </w:p>
        </w:tc>
        <w:tc>
          <w:tcPr>
            <w:tcW w:w="2004" w:type="dxa"/>
            <w:vAlign w:val="center"/>
          </w:tcPr>
          <w:p w14:paraId="55342374">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3B66F1E8">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AED 主机工作温度范围：至少满足-5℃ ~ 50℃</w:t>
            </w:r>
          </w:p>
        </w:tc>
      </w:tr>
      <w:tr w14:paraId="2AAA7E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1E0F94CF">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10.2.3</w:t>
            </w:r>
          </w:p>
        </w:tc>
        <w:tc>
          <w:tcPr>
            <w:tcW w:w="2004" w:type="dxa"/>
            <w:vAlign w:val="center"/>
          </w:tcPr>
          <w:p w14:paraId="14179A35">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5FC2B3E1">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采用双相波技术，波形参数可根据病人阻抗进行自动调节。</w:t>
            </w:r>
          </w:p>
        </w:tc>
      </w:tr>
      <w:tr w14:paraId="031C1E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75D69F5D">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10.2.4</w:t>
            </w:r>
          </w:p>
        </w:tc>
        <w:tc>
          <w:tcPr>
            <w:tcW w:w="2004" w:type="dxa"/>
            <w:vAlign w:val="center"/>
          </w:tcPr>
          <w:p w14:paraId="77D8FB4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1F7E52E2">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en-US" w:bidi="ar-SA"/>
              </w:rPr>
              <w:t>首次电击没有消除室颤时，第二次、第三次电击均会自动提供更高级别能量</w:t>
            </w:r>
          </w:p>
        </w:tc>
      </w:tr>
      <w:tr w14:paraId="30A6A0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2119A0F">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10.2.5</w:t>
            </w:r>
          </w:p>
        </w:tc>
        <w:tc>
          <w:tcPr>
            <w:tcW w:w="2004" w:type="dxa"/>
            <w:vAlign w:val="center"/>
          </w:tcPr>
          <w:p w14:paraId="2EBAF851">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5A14ABB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en-US" w:bidi="ar-SA"/>
              </w:rPr>
              <w:t>成人最大能量可支持</w:t>
            </w:r>
            <w:r>
              <w:rPr>
                <w:rFonts w:hint="eastAsia" w:ascii="宋体" w:hAnsi="宋体" w:eastAsia="宋体" w:cs="宋体"/>
                <w:snapToGrid w:val="0"/>
                <w:color w:val="auto"/>
                <w:spacing w:val="-5"/>
                <w:kern w:val="0"/>
                <w:sz w:val="21"/>
                <w:szCs w:val="21"/>
                <w:highlight w:val="none"/>
                <w:lang w:val="en-US" w:eastAsia="zh-CN" w:bidi="ar-SA"/>
              </w:rPr>
              <w:t>≥</w:t>
            </w:r>
            <w:r>
              <w:rPr>
                <w:rFonts w:hint="eastAsia" w:ascii="宋体" w:hAnsi="宋体" w:eastAsia="宋体" w:cs="宋体"/>
                <w:snapToGrid w:val="0"/>
                <w:color w:val="auto"/>
                <w:spacing w:val="-5"/>
                <w:kern w:val="0"/>
                <w:sz w:val="21"/>
                <w:szCs w:val="21"/>
                <w:highlight w:val="none"/>
                <w:lang w:val="en-US" w:eastAsia="en-US" w:bidi="ar-SA"/>
              </w:rPr>
              <w:t>360J；</w:t>
            </w:r>
          </w:p>
        </w:tc>
      </w:tr>
      <w:tr w14:paraId="298680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0EC582D">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10.2.6</w:t>
            </w:r>
          </w:p>
        </w:tc>
        <w:tc>
          <w:tcPr>
            <w:tcW w:w="2004" w:type="dxa"/>
            <w:vAlign w:val="center"/>
          </w:tcPr>
          <w:p w14:paraId="7188E3A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3CB52C70">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除颤能量精度： ≤±10%。</w:t>
            </w:r>
          </w:p>
        </w:tc>
      </w:tr>
      <w:tr w14:paraId="522E19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F4D070E">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10.2.7</w:t>
            </w:r>
          </w:p>
        </w:tc>
        <w:tc>
          <w:tcPr>
            <w:tcW w:w="2004" w:type="dxa"/>
            <w:vAlign w:val="center"/>
          </w:tcPr>
          <w:p w14:paraId="50BC239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5EAEB68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低电量报警后，至少还可持续30分钟工作时间</w:t>
            </w:r>
          </w:p>
        </w:tc>
      </w:tr>
      <w:tr w14:paraId="5D032C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09921C2B">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10.2.8</w:t>
            </w:r>
          </w:p>
        </w:tc>
        <w:tc>
          <w:tcPr>
            <w:tcW w:w="2004" w:type="dxa"/>
            <w:vAlign w:val="center"/>
          </w:tcPr>
          <w:p w14:paraId="1C7379D4">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69099636">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设备可存储记录数据：自检记录、ECG波形记录、事件数据、现场录音记录等</w:t>
            </w:r>
          </w:p>
        </w:tc>
      </w:tr>
      <w:tr w14:paraId="1AA9B8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7510CCA">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10.2.9</w:t>
            </w:r>
          </w:p>
        </w:tc>
        <w:tc>
          <w:tcPr>
            <w:tcW w:w="2004" w:type="dxa"/>
            <w:vAlign w:val="center"/>
          </w:tcPr>
          <w:p w14:paraId="7788E9A4">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72E38D05">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具有用户自检和设备自检功能</w:t>
            </w:r>
          </w:p>
        </w:tc>
      </w:tr>
      <w:tr w14:paraId="4D8646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6254D977">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10.2.10</w:t>
            </w:r>
          </w:p>
        </w:tc>
        <w:tc>
          <w:tcPr>
            <w:tcW w:w="2004" w:type="dxa"/>
            <w:vAlign w:val="center"/>
          </w:tcPr>
          <w:p w14:paraId="281099E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4010338B">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AED可根据环境嘈杂程度自动调节提示语音播放音量，无需手动设置。</w:t>
            </w:r>
          </w:p>
        </w:tc>
      </w:tr>
      <w:tr w14:paraId="2A2C2B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6EE3BDBC">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10.2.11</w:t>
            </w:r>
          </w:p>
        </w:tc>
        <w:tc>
          <w:tcPr>
            <w:tcW w:w="2004" w:type="dxa"/>
            <w:vAlign w:val="center"/>
          </w:tcPr>
          <w:p w14:paraId="11550145">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02DCDC01">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设备主机内置4G或5G传输模块</w:t>
            </w:r>
          </w:p>
        </w:tc>
      </w:tr>
      <w:tr w14:paraId="6E8439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79213E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p>
        </w:tc>
        <w:tc>
          <w:tcPr>
            <w:tcW w:w="2004" w:type="dxa"/>
            <w:vAlign w:val="center"/>
          </w:tcPr>
          <w:p w14:paraId="201B786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2D5D976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r>
      <w:tr w14:paraId="7CCAAE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D4E47E4">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11</w:t>
            </w:r>
          </w:p>
        </w:tc>
        <w:tc>
          <w:tcPr>
            <w:tcW w:w="2004" w:type="dxa"/>
            <w:vAlign w:val="center"/>
          </w:tcPr>
          <w:p w14:paraId="28A8DB27">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注射泵</w:t>
            </w:r>
          </w:p>
        </w:tc>
        <w:tc>
          <w:tcPr>
            <w:tcW w:w="5155" w:type="dxa"/>
            <w:vAlign w:val="center"/>
          </w:tcPr>
          <w:p w14:paraId="3E8C78B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r>
      <w:tr w14:paraId="48EB92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8534230">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11.1</w:t>
            </w:r>
          </w:p>
        </w:tc>
        <w:tc>
          <w:tcPr>
            <w:tcW w:w="2004" w:type="dxa"/>
            <w:vAlign w:val="center"/>
          </w:tcPr>
          <w:p w14:paraId="4A8DEB5E">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42287B32">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主要用途：急救注射药物治疗</w:t>
            </w:r>
          </w:p>
        </w:tc>
      </w:tr>
      <w:tr w14:paraId="1AF24F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9786745">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11.2</w:t>
            </w:r>
          </w:p>
        </w:tc>
        <w:tc>
          <w:tcPr>
            <w:tcW w:w="2004" w:type="dxa"/>
            <w:vAlign w:val="center"/>
          </w:tcPr>
          <w:p w14:paraId="6010F62B">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598DFFC1">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主要技术要求</w:t>
            </w:r>
          </w:p>
        </w:tc>
      </w:tr>
      <w:tr w14:paraId="4432EB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E2D3643">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11.2.1</w:t>
            </w:r>
          </w:p>
        </w:tc>
        <w:tc>
          <w:tcPr>
            <w:tcW w:w="2004" w:type="dxa"/>
            <w:vAlign w:val="center"/>
          </w:tcPr>
          <w:p w14:paraId="21CA9EBF">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29C07C9F">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≥3.5英寸彩色显示屏</w:t>
            </w:r>
          </w:p>
        </w:tc>
      </w:tr>
      <w:tr w14:paraId="1AAA35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7A316CC">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11.2.2</w:t>
            </w:r>
          </w:p>
        </w:tc>
        <w:tc>
          <w:tcPr>
            <w:tcW w:w="2004" w:type="dxa"/>
            <w:vAlign w:val="center"/>
          </w:tcPr>
          <w:p w14:paraId="7DFB45B3">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lang w:val="en-US" w:eastAsia="zh-CN" w:bidi="ar-SA"/>
              </w:rPr>
            </w:pPr>
          </w:p>
        </w:tc>
        <w:tc>
          <w:tcPr>
            <w:tcW w:w="5155" w:type="dxa"/>
            <w:vAlign w:val="center"/>
          </w:tcPr>
          <w:p w14:paraId="27CE98AE">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color w:val="auto"/>
                <w:kern w:val="0"/>
                <w:sz w:val="21"/>
                <w:szCs w:val="21"/>
                <w:highlight w:val="none"/>
              </w:rPr>
              <w:t>双通道为主机一体化设计</w:t>
            </w:r>
          </w:p>
        </w:tc>
      </w:tr>
      <w:tr w14:paraId="4531D0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2D1A21D0">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11.2.3</w:t>
            </w:r>
          </w:p>
        </w:tc>
        <w:tc>
          <w:tcPr>
            <w:tcW w:w="2004" w:type="dxa"/>
            <w:vAlign w:val="center"/>
          </w:tcPr>
          <w:p w14:paraId="252D80D4">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419A4611">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适用注射器规格：5ml,10ml,20ml,30ml,50（或60ml）等；</w:t>
            </w:r>
          </w:p>
        </w:tc>
      </w:tr>
      <w:tr w14:paraId="6AE525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06CDBB3D">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11.2.4</w:t>
            </w:r>
          </w:p>
        </w:tc>
        <w:tc>
          <w:tcPr>
            <w:tcW w:w="2004" w:type="dxa"/>
            <w:vAlign w:val="center"/>
          </w:tcPr>
          <w:p w14:paraId="0459FAB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083747A7">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注射模式：速度，时间，体重，梯度、序列，剂量，间断给药等、麻醉等</w:t>
            </w:r>
          </w:p>
        </w:tc>
      </w:tr>
      <w:tr w14:paraId="0B1E9F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0EEA836">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11.2.5</w:t>
            </w:r>
          </w:p>
        </w:tc>
        <w:tc>
          <w:tcPr>
            <w:tcW w:w="2004" w:type="dxa"/>
            <w:vAlign w:val="center"/>
          </w:tcPr>
          <w:p w14:paraId="601517F0">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1A0BC40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流速范围：0.1—2000ml/h，可调；</w:t>
            </w:r>
          </w:p>
        </w:tc>
      </w:tr>
      <w:tr w14:paraId="21D93F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69D664D0">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11.2.6</w:t>
            </w:r>
          </w:p>
        </w:tc>
        <w:tc>
          <w:tcPr>
            <w:tcW w:w="2004" w:type="dxa"/>
            <w:vAlign w:val="center"/>
          </w:tcPr>
          <w:p w14:paraId="0DC09DD8">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60416FF5">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KVO流速：0.1—30.0ml/h，可调</w:t>
            </w:r>
          </w:p>
        </w:tc>
      </w:tr>
      <w:tr w14:paraId="0AB707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E719309">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p>
        </w:tc>
        <w:tc>
          <w:tcPr>
            <w:tcW w:w="2004" w:type="dxa"/>
            <w:vAlign w:val="center"/>
          </w:tcPr>
          <w:p w14:paraId="3C706EE1">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4F3908D4">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r>
      <w:tr w14:paraId="281112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0BDDF20">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12</w:t>
            </w:r>
          </w:p>
        </w:tc>
        <w:tc>
          <w:tcPr>
            <w:tcW w:w="2004" w:type="dxa"/>
            <w:vAlign w:val="center"/>
          </w:tcPr>
          <w:p w14:paraId="1F57DDBA">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en-US" w:bidi="ar-SA"/>
              </w:rPr>
              <w:t>输液泵</w:t>
            </w:r>
          </w:p>
        </w:tc>
        <w:tc>
          <w:tcPr>
            <w:tcW w:w="5155" w:type="dxa"/>
            <w:vAlign w:val="center"/>
          </w:tcPr>
          <w:p w14:paraId="01E7E64E">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r>
      <w:tr w14:paraId="0D065B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8776743">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12</w:t>
            </w:r>
          </w:p>
        </w:tc>
        <w:tc>
          <w:tcPr>
            <w:tcW w:w="2004" w:type="dxa"/>
            <w:vAlign w:val="center"/>
          </w:tcPr>
          <w:p w14:paraId="6FE619E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1A5CC388">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主要用途：输液治疗</w:t>
            </w:r>
          </w:p>
        </w:tc>
      </w:tr>
      <w:tr w14:paraId="74C079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141B03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12.1</w:t>
            </w:r>
          </w:p>
        </w:tc>
        <w:tc>
          <w:tcPr>
            <w:tcW w:w="2004" w:type="dxa"/>
            <w:vAlign w:val="center"/>
          </w:tcPr>
          <w:p w14:paraId="7B8975B0">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50C8BA27">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主要技术要求</w:t>
            </w:r>
          </w:p>
        </w:tc>
      </w:tr>
      <w:tr w14:paraId="2CDEAA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8D10602">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12.1.1</w:t>
            </w:r>
          </w:p>
        </w:tc>
        <w:tc>
          <w:tcPr>
            <w:tcW w:w="2004" w:type="dxa"/>
            <w:vAlign w:val="center"/>
          </w:tcPr>
          <w:p w14:paraId="6E2126E3">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lang w:val="en-US" w:eastAsia="zh-CN" w:bidi="ar-SA"/>
              </w:rPr>
            </w:pPr>
          </w:p>
        </w:tc>
        <w:tc>
          <w:tcPr>
            <w:tcW w:w="5155" w:type="dxa"/>
            <w:vAlign w:val="center"/>
          </w:tcPr>
          <w:p w14:paraId="68EB4AC2">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速率范围：0.1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2000ml/h, 最小步进0.01ml/h</w:t>
            </w:r>
          </w:p>
        </w:tc>
      </w:tr>
      <w:tr w14:paraId="1768C3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312EF0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12.1.2</w:t>
            </w:r>
          </w:p>
        </w:tc>
        <w:tc>
          <w:tcPr>
            <w:tcW w:w="2004" w:type="dxa"/>
            <w:vAlign w:val="center"/>
          </w:tcPr>
          <w:p w14:paraId="24CE1E7E">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lang w:val="en-US" w:eastAsia="zh-CN" w:bidi="ar-SA"/>
              </w:rPr>
            </w:pPr>
          </w:p>
        </w:tc>
        <w:tc>
          <w:tcPr>
            <w:tcW w:w="5155" w:type="dxa"/>
            <w:vAlign w:val="center"/>
          </w:tcPr>
          <w:p w14:paraId="7CDB9FA5">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快进流速范围：0.1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2000ml/h</w:t>
            </w:r>
          </w:p>
        </w:tc>
      </w:tr>
      <w:tr w14:paraId="757912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1C4F3493">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12.1.3</w:t>
            </w:r>
          </w:p>
        </w:tc>
        <w:tc>
          <w:tcPr>
            <w:tcW w:w="2004" w:type="dxa"/>
            <w:vAlign w:val="center"/>
          </w:tcPr>
          <w:p w14:paraId="51CC8DF0">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lang w:val="en-US" w:eastAsia="zh-CN" w:bidi="ar-SA"/>
              </w:rPr>
            </w:pPr>
          </w:p>
        </w:tc>
        <w:tc>
          <w:tcPr>
            <w:tcW w:w="5155" w:type="dxa"/>
            <w:vAlign w:val="center"/>
          </w:tcPr>
          <w:p w14:paraId="2F49D8E5">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可自动统计累计量：</w:t>
            </w:r>
            <w:r>
              <w:rPr>
                <w:rFonts w:hint="eastAsia" w:ascii="宋体" w:hAnsi="宋体" w:eastAsia="宋体" w:cs="宋体"/>
                <w:color w:val="auto"/>
                <w:kern w:val="0"/>
                <w:sz w:val="21"/>
                <w:szCs w:val="21"/>
                <w:highlight w:val="none"/>
                <w:lang w:val="en-US" w:eastAsia="zh-CN"/>
              </w:rPr>
              <w:t>包括</w:t>
            </w:r>
            <w:r>
              <w:rPr>
                <w:rFonts w:hint="eastAsia" w:ascii="宋体" w:hAnsi="宋体" w:eastAsia="宋体" w:cs="宋体"/>
                <w:color w:val="auto"/>
                <w:kern w:val="0"/>
                <w:sz w:val="21"/>
                <w:szCs w:val="21"/>
                <w:highlight w:val="none"/>
              </w:rPr>
              <w:t>24h累计量、最近累计量、自定义时间段累计量、定时间隔累计量</w:t>
            </w:r>
            <w:r>
              <w:rPr>
                <w:rFonts w:hint="eastAsia" w:ascii="宋体" w:hAnsi="宋体" w:eastAsia="宋体" w:cs="宋体"/>
                <w:color w:val="auto"/>
                <w:kern w:val="0"/>
                <w:sz w:val="21"/>
                <w:szCs w:val="21"/>
                <w:highlight w:val="none"/>
                <w:lang w:val="en-US" w:eastAsia="zh-CN"/>
              </w:rPr>
              <w:t>等</w:t>
            </w:r>
          </w:p>
        </w:tc>
      </w:tr>
      <w:tr w14:paraId="229C94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419" w:type="dxa"/>
            <w:vAlign w:val="center"/>
          </w:tcPr>
          <w:p w14:paraId="286A522D">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12.1.4</w:t>
            </w:r>
          </w:p>
        </w:tc>
        <w:tc>
          <w:tcPr>
            <w:tcW w:w="2004" w:type="dxa"/>
            <w:vAlign w:val="center"/>
          </w:tcPr>
          <w:p w14:paraId="161144BC">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lang w:val="en-US" w:eastAsia="zh-CN" w:bidi="ar-SA"/>
              </w:rPr>
            </w:pPr>
          </w:p>
        </w:tc>
        <w:tc>
          <w:tcPr>
            <w:tcW w:w="5155" w:type="dxa"/>
            <w:vAlign w:val="center"/>
          </w:tcPr>
          <w:p w14:paraId="605AFF61">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输液模式：</w:t>
            </w:r>
            <w:r>
              <w:rPr>
                <w:rFonts w:hint="eastAsia" w:ascii="宋体" w:hAnsi="宋体" w:eastAsia="宋体" w:cs="宋体"/>
                <w:color w:val="auto"/>
                <w:kern w:val="0"/>
                <w:sz w:val="21"/>
                <w:szCs w:val="21"/>
                <w:highlight w:val="none"/>
                <w:lang w:val="en-US" w:eastAsia="zh-CN"/>
              </w:rPr>
              <w:t>包括</w:t>
            </w:r>
            <w:r>
              <w:rPr>
                <w:rFonts w:hint="eastAsia" w:ascii="宋体" w:hAnsi="宋体" w:eastAsia="宋体" w:cs="宋体"/>
                <w:color w:val="auto"/>
                <w:kern w:val="0"/>
                <w:sz w:val="21"/>
                <w:szCs w:val="21"/>
                <w:highlight w:val="none"/>
              </w:rPr>
              <w:t>速度模式、时间模式、体重模式、梯度模式、序列模式、剂量时间模式、间断给药模式、点滴模式</w:t>
            </w:r>
            <w:r>
              <w:rPr>
                <w:rFonts w:hint="eastAsia" w:ascii="宋体" w:hAnsi="宋体" w:eastAsia="宋体" w:cs="宋体"/>
                <w:color w:val="auto"/>
                <w:kern w:val="0"/>
                <w:sz w:val="21"/>
                <w:szCs w:val="21"/>
                <w:highlight w:val="none"/>
                <w:lang w:val="en-US" w:eastAsia="zh-CN"/>
              </w:rPr>
              <w:t>等</w:t>
            </w:r>
          </w:p>
        </w:tc>
      </w:tr>
      <w:tr w14:paraId="37D930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73C5E27">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12.1.5</w:t>
            </w:r>
          </w:p>
        </w:tc>
        <w:tc>
          <w:tcPr>
            <w:tcW w:w="2004" w:type="dxa"/>
            <w:vAlign w:val="center"/>
          </w:tcPr>
          <w:p w14:paraId="6A7EB1AD">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6847731E">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w:t>
            </w:r>
            <w:r>
              <w:rPr>
                <w:rFonts w:hint="eastAsia" w:ascii="宋体" w:hAnsi="宋体" w:eastAsia="宋体" w:cs="宋体"/>
                <w:color w:val="auto"/>
                <w:kern w:val="0"/>
                <w:sz w:val="21"/>
                <w:szCs w:val="21"/>
                <w:highlight w:val="none"/>
              </w:rPr>
              <w:t>3.5英寸彩色</w:t>
            </w:r>
            <w:r>
              <w:rPr>
                <w:rFonts w:hint="eastAsia" w:ascii="宋体" w:hAnsi="宋体" w:eastAsia="宋体" w:cs="宋体"/>
                <w:color w:val="auto"/>
                <w:kern w:val="0"/>
                <w:sz w:val="21"/>
                <w:szCs w:val="21"/>
                <w:highlight w:val="none"/>
                <w:lang w:val="en-US" w:eastAsia="zh-CN"/>
              </w:rPr>
              <w:t>触摸屏</w:t>
            </w:r>
            <w:r>
              <w:rPr>
                <w:rFonts w:hint="eastAsia" w:ascii="宋体" w:hAnsi="宋体" w:eastAsia="宋体" w:cs="宋体"/>
                <w:color w:val="auto"/>
                <w:kern w:val="0"/>
                <w:sz w:val="21"/>
                <w:szCs w:val="21"/>
                <w:highlight w:val="none"/>
              </w:rPr>
              <w:t>显示</w:t>
            </w:r>
          </w:p>
        </w:tc>
      </w:tr>
      <w:tr w14:paraId="4C6AF2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C3C93F5">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12.1.6</w:t>
            </w:r>
          </w:p>
        </w:tc>
        <w:tc>
          <w:tcPr>
            <w:tcW w:w="2004" w:type="dxa"/>
            <w:vAlign w:val="center"/>
          </w:tcPr>
          <w:p w14:paraId="3448EB01">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lang w:val="en-US" w:eastAsia="zh-CN" w:bidi="ar-SA"/>
              </w:rPr>
            </w:pPr>
          </w:p>
        </w:tc>
        <w:tc>
          <w:tcPr>
            <w:tcW w:w="5155" w:type="dxa"/>
            <w:vAlign w:val="center"/>
          </w:tcPr>
          <w:p w14:paraId="5AB4354E">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压力报警阈值</w:t>
            </w:r>
            <w:r>
              <w:rPr>
                <w:rFonts w:hint="eastAsia" w:ascii="宋体" w:hAnsi="宋体" w:eastAsia="宋体" w:cs="宋体"/>
                <w:color w:val="auto"/>
                <w:kern w:val="0"/>
                <w:sz w:val="21"/>
                <w:szCs w:val="21"/>
                <w:highlight w:val="none"/>
                <w:lang w:val="en-US" w:eastAsia="zh-CN"/>
              </w:rPr>
              <w:t>多档</w:t>
            </w:r>
            <w:r>
              <w:rPr>
                <w:rFonts w:hint="eastAsia" w:ascii="宋体" w:hAnsi="宋体" w:eastAsia="宋体" w:cs="宋体"/>
                <w:color w:val="auto"/>
                <w:kern w:val="0"/>
                <w:sz w:val="21"/>
                <w:szCs w:val="21"/>
                <w:highlight w:val="none"/>
              </w:rPr>
              <w:t>可调，最低可设置150mmHg</w:t>
            </w:r>
          </w:p>
        </w:tc>
      </w:tr>
      <w:tr w14:paraId="1DD3A8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FAE866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12.1.7</w:t>
            </w:r>
          </w:p>
        </w:tc>
        <w:tc>
          <w:tcPr>
            <w:tcW w:w="2004" w:type="dxa"/>
            <w:vAlign w:val="center"/>
          </w:tcPr>
          <w:p w14:paraId="77F2F459">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lang w:val="en-US" w:eastAsia="zh-CN" w:bidi="ar-SA"/>
              </w:rPr>
            </w:pPr>
          </w:p>
        </w:tc>
        <w:tc>
          <w:tcPr>
            <w:tcW w:w="5155" w:type="dxa"/>
            <w:vAlign w:val="center"/>
          </w:tcPr>
          <w:p w14:paraId="1FF78829">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信息储存：可存储5000条的历史记录</w:t>
            </w:r>
          </w:p>
        </w:tc>
      </w:tr>
      <w:tr w14:paraId="74C839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6A73984">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12.1.8</w:t>
            </w:r>
          </w:p>
        </w:tc>
        <w:tc>
          <w:tcPr>
            <w:tcW w:w="2004" w:type="dxa"/>
            <w:vAlign w:val="center"/>
          </w:tcPr>
          <w:p w14:paraId="234576D9">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lang w:val="en-US" w:eastAsia="zh-CN" w:bidi="ar-SA"/>
              </w:rPr>
            </w:pPr>
          </w:p>
        </w:tc>
        <w:tc>
          <w:tcPr>
            <w:tcW w:w="5155" w:type="dxa"/>
            <w:vAlign w:val="center"/>
          </w:tcPr>
          <w:p w14:paraId="674876B9">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具备气泡报警功能，支持最小50μL的单个气泡报警</w:t>
            </w:r>
          </w:p>
        </w:tc>
      </w:tr>
      <w:tr w14:paraId="1E6B73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4E48EE3">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p>
        </w:tc>
        <w:tc>
          <w:tcPr>
            <w:tcW w:w="2004" w:type="dxa"/>
            <w:vAlign w:val="center"/>
          </w:tcPr>
          <w:p w14:paraId="112D480C">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1FB8A44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r>
      <w:tr w14:paraId="30FF09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84D1C1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13</w:t>
            </w:r>
          </w:p>
        </w:tc>
        <w:tc>
          <w:tcPr>
            <w:tcW w:w="2004" w:type="dxa"/>
            <w:vAlign w:val="center"/>
          </w:tcPr>
          <w:p w14:paraId="1BAF8D0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en-US" w:bidi="ar-SA"/>
              </w:rPr>
              <w:t>清创包</w:t>
            </w:r>
          </w:p>
        </w:tc>
        <w:tc>
          <w:tcPr>
            <w:tcW w:w="5155" w:type="dxa"/>
            <w:vAlign w:val="center"/>
          </w:tcPr>
          <w:p w14:paraId="44CBBFB1">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r>
      <w:tr w14:paraId="10AFCD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5234BB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13.1</w:t>
            </w:r>
          </w:p>
        </w:tc>
        <w:tc>
          <w:tcPr>
            <w:tcW w:w="2004" w:type="dxa"/>
            <w:vAlign w:val="center"/>
          </w:tcPr>
          <w:p w14:paraId="5366C71F">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702AFCB9">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主要用途：外伤清创缝合</w:t>
            </w:r>
          </w:p>
        </w:tc>
      </w:tr>
      <w:tr w14:paraId="688867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1D181EA">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13.2</w:t>
            </w:r>
          </w:p>
        </w:tc>
        <w:tc>
          <w:tcPr>
            <w:tcW w:w="2004" w:type="dxa"/>
            <w:vAlign w:val="center"/>
          </w:tcPr>
          <w:p w14:paraId="33B6CB20">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2AD47A4F">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主要技术要求</w:t>
            </w:r>
          </w:p>
        </w:tc>
      </w:tr>
      <w:tr w14:paraId="37C427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1419" w:type="dxa"/>
            <w:vAlign w:val="center"/>
          </w:tcPr>
          <w:p w14:paraId="5D71CF92">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13.2.1</w:t>
            </w:r>
          </w:p>
        </w:tc>
        <w:tc>
          <w:tcPr>
            <w:tcW w:w="2004" w:type="dxa"/>
            <w:vAlign w:val="center"/>
          </w:tcPr>
          <w:p w14:paraId="16867A64">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02D88A4D">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清创包内含碘伏棉球≥0.4g、无菌棉球、≥7.5cm×7.5cm（长/宽）8层纱布块、≥40cm×30cm（长/宽）手术垫单、镊子、塑料托盘；</w:t>
            </w:r>
          </w:p>
          <w:p w14:paraId="74623611">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医用级一次性使用；医用纱布不含荧光剂、透气亲肤；脱脂棉球、吸渗量大、吸液性强；</w:t>
            </w:r>
          </w:p>
        </w:tc>
      </w:tr>
      <w:tr w14:paraId="741B21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C8F3BD7">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p>
        </w:tc>
        <w:tc>
          <w:tcPr>
            <w:tcW w:w="2004" w:type="dxa"/>
            <w:vAlign w:val="center"/>
          </w:tcPr>
          <w:p w14:paraId="13F34EC1">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2381EF6A">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r>
      <w:tr w14:paraId="10C353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D64EA09">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（五）</w:t>
            </w:r>
          </w:p>
        </w:tc>
        <w:tc>
          <w:tcPr>
            <w:tcW w:w="2004" w:type="dxa"/>
            <w:vAlign w:val="center"/>
          </w:tcPr>
          <w:p w14:paraId="11CC2479">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en-US" w:bidi="ar-SA"/>
              </w:rPr>
              <w:t>监测设备</w:t>
            </w:r>
          </w:p>
        </w:tc>
        <w:tc>
          <w:tcPr>
            <w:tcW w:w="5155" w:type="dxa"/>
            <w:vAlign w:val="center"/>
          </w:tcPr>
          <w:p w14:paraId="370FB556">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r>
      <w:tr w14:paraId="2C6C37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1CC98DE">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14</w:t>
            </w:r>
          </w:p>
        </w:tc>
        <w:tc>
          <w:tcPr>
            <w:tcW w:w="2004" w:type="dxa"/>
            <w:vAlign w:val="center"/>
          </w:tcPr>
          <w:p w14:paraId="169F8ED8">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监护仪：</w:t>
            </w:r>
          </w:p>
        </w:tc>
        <w:tc>
          <w:tcPr>
            <w:tcW w:w="5155" w:type="dxa"/>
            <w:vAlign w:val="center"/>
          </w:tcPr>
          <w:p w14:paraId="3526977E">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r>
      <w:tr w14:paraId="58A1E0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23BFB19">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14.1</w:t>
            </w:r>
          </w:p>
        </w:tc>
        <w:tc>
          <w:tcPr>
            <w:tcW w:w="2004" w:type="dxa"/>
            <w:vAlign w:val="center"/>
          </w:tcPr>
          <w:p w14:paraId="1737BFB7">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4C50A4EC">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主要用途：</w:t>
            </w:r>
            <w:r>
              <w:rPr>
                <w:rFonts w:hint="eastAsia" w:ascii="宋体" w:hAnsi="宋体" w:eastAsia="宋体" w:cs="宋体"/>
                <w:color w:val="auto"/>
                <w:spacing w:val="-10"/>
                <w:sz w:val="21"/>
                <w:szCs w:val="21"/>
                <w:highlight w:val="none"/>
              </w:rPr>
              <w:t>心跳、呼吸、脉搏、</w:t>
            </w:r>
            <w:r>
              <w:rPr>
                <w:rFonts w:hint="eastAsia" w:ascii="宋体" w:hAnsi="宋体" w:eastAsia="宋体" w:cs="宋体"/>
                <w:color w:val="auto"/>
                <w:spacing w:val="-5"/>
                <w:sz w:val="21"/>
                <w:szCs w:val="21"/>
                <w:highlight w:val="none"/>
              </w:rPr>
              <w:t>血压、血氧等监测</w:t>
            </w:r>
          </w:p>
        </w:tc>
      </w:tr>
      <w:tr w14:paraId="6BBF3E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EB780E2">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14.2</w:t>
            </w:r>
          </w:p>
        </w:tc>
        <w:tc>
          <w:tcPr>
            <w:tcW w:w="2004" w:type="dxa"/>
            <w:vAlign w:val="center"/>
          </w:tcPr>
          <w:p w14:paraId="5A83D834">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1F07B9CB">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主要技术要求</w:t>
            </w:r>
          </w:p>
        </w:tc>
      </w:tr>
      <w:tr w14:paraId="5DC427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4E08888F">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14.2.1</w:t>
            </w:r>
          </w:p>
        </w:tc>
        <w:tc>
          <w:tcPr>
            <w:tcW w:w="2004" w:type="dxa"/>
            <w:vAlign w:val="center"/>
          </w:tcPr>
          <w:p w14:paraId="2E660936">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lang w:val="en-US" w:eastAsia="zh-CN" w:bidi="ar-SA"/>
              </w:rPr>
            </w:pPr>
          </w:p>
        </w:tc>
        <w:tc>
          <w:tcPr>
            <w:tcW w:w="5155" w:type="dxa"/>
            <w:vAlign w:val="center"/>
          </w:tcPr>
          <w:p w14:paraId="4A3B0CD7">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≥10.1”电容触控屏，支持手势操作，屏幕分辨率1280*800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2"/>
                <w:sz w:val="21"/>
                <w:szCs w:val="21"/>
                <w:highlight w:val="none"/>
                <w:vertAlign w:val="baseline"/>
                <w:lang w:val="en-US" w:eastAsia="zh-CN" w:bidi="ar-SA"/>
              </w:rPr>
              <w:t>≥8通道波形显示</w:t>
            </w:r>
          </w:p>
        </w:tc>
      </w:tr>
      <w:tr w14:paraId="63D9FD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4C0AE5DB">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14.2.2</w:t>
            </w:r>
          </w:p>
        </w:tc>
        <w:tc>
          <w:tcPr>
            <w:tcW w:w="2004" w:type="dxa"/>
            <w:vAlign w:val="center"/>
          </w:tcPr>
          <w:p w14:paraId="7A114780">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lang w:val="en-US" w:eastAsia="zh-CN" w:bidi="ar-SA"/>
              </w:rPr>
            </w:pPr>
          </w:p>
        </w:tc>
        <w:tc>
          <w:tcPr>
            <w:tcW w:w="5155" w:type="dxa"/>
            <w:vAlign w:val="center"/>
          </w:tcPr>
          <w:p w14:paraId="66CD5341">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配置：3/5导ECG、呼吸、脉搏、血压、血氧</w:t>
            </w:r>
            <w:r>
              <w:rPr>
                <w:rFonts w:hint="eastAsia" w:ascii="宋体" w:hAnsi="宋体" w:eastAsia="宋体" w:cs="宋体"/>
                <w:color w:val="auto"/>
                <w:kern w:val="0"/>
                <w:sz w:val="21"/>
                <w:szCs w:val="21"/>
                <w:highlight w:val="none"/>
                <w:lang w:val="en-US" w:eastAsia="zh-CN"/>
              </w:rPr>
              <w:t>和体温监测</w:t>
            </w:r>
            <w:r>
              <w:rPr>
                <w:rFonts w:hint="eastAsia" w:ascii="宋体" w:hAnsi="宋体" w:eastAsia="宋体" w:cs="宋体"/>
                <w:color w:val="auto"/>
                <w:kern w:val="0"/>
                <w:sz w:val="21"/>
                <w:szCs w:val="21"/>
                <w:highlight w:val="none"/>
              </w:rPr>
              <w:t>等功能</w:t>
            </w:r>
          </w:p>
        </w:tc>
      </w:tr>
      <w:tr w14:paraId="4B21BA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932DAD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14.2.3</w:t>
            </w:r>
          </w:p>
        </w:tc>
        <w:tc>
          <w:tcPr>
            <w:tcW w:w="2004" w:type="dxa"/>
            <w:vAlign w:val="center"/>
          </w:tcPr>
          <w:p w14:paraId="13383D3F">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lang w:val="en-US" w:eastAsia="zh-CN" w:bidi="ar-SA"/>
              </w:rPr>
            </w:pPr>
          </w:p>
        </w:tc>
        <w:tc>
          <w:tcPr>
            <w:tcW w:w="5155" w:type="dxa"/>
            <w:vAlign w:val="center"/>
          </w:tcPr>
          <w:p w14:paraId="1DB6DBE5">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 xml:space="preserve">支持≥25种心律失常分析，支持室上性心律失常分析 </w:t>
            </w:r>
          </w:p>
        </w:tc>
      </w:tr>
      <w:tr w14:paraId="31308D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64425265">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14.2.4</w:t>
            </w:r>
          </w:p>
        </w:tc>
        <w:tc>
          <w:tcPr>
            <w:tcW w:w="2004" w:type="dxa"/>
            <w:vAlign w:val="center"/>
          </w:tcPr>
          <w:p w14:paraId="654817DF">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lang w:val="en-US" w:eastAsia="zh-CN" w:bidi="ar-SA"/>
              </w:rPr>
            </w:pPr>
          </w:p>
        </w:tc>
        <w:tc>
          <w:tcPr>
            <w:tcW w:w="5155" w:type="dxa"/>
            <w:vAlign w:val="center"/>
          </w:tcPr>
          <w:p w14:paraId="538FC35C">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 xml:space="preserve">监护仪主机工作温度环境范围：0~40°C </w:t>
            </w:r>
          </w:p>
        </w:tc>
      </w:tr>
      <w:tr w14:paraId="70A42E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7D35496">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14.2.5</w:t>
            </w:r>
          </w:p>
        </w:tc>
        <w:tc>
          <w:tcPr>
            <w:tcW w:w="2004" w:type="dxa"/>
            <w:vAlign w:val="center"/>
          </w:tcPr>
          <w:p w14:paraId="3E59C176">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lang w:val="en-US" w:eastAsia="zh-CN" w:bidi="ar-SA"/>
              </w:rPr>
            </w:pPr>
          </w:p>
        </w:tc>
        <w:tc>
          <w:tcPr>
            <w:tcW w:w="5155" w:type="dxa"/>
            <w:vAlign w:val="center"/>
          </w:tcPr>
          <w:p w14:paraId="66EBBCE4">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 xml:space="preserve">支持所有监测参数报警限一键自动设置功能 </w:t>
            </w:r>
          </w:p>
        </w:tc>
      </w:tr>
      <w:tr w14:paraId="4BD690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512C201C">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14.2.6</w:t>
            </w:r>
          </w:p>
        </w:tc>
        <w:tc>
          <w:tcPr>
            <w:tcW w:w="2004" w:type="dxa"/>
            <w:vAlign w:val="center"/>
          </w:tcPr>
          <w:p w14:paraId="2B6AA29D">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lang w:val="en-US" w:eastAsia="zh-CN" w:bidi="ar-SA"/>
              </w:rPr>
            </w:pPr>
          </w:p>
        </w:tc>
        <w:tc>
          <w:tcPr>
            <w:tcW w:w="5155" w:type="dxa"/>
            <w:vAlign w:val="center"/>
          </w:tcPr>
          <w:p w14:paraId="3ACFAC82">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可升级临床评分系统，包括MEWS、NEWS、NEWS2，支持动态刷新EWS和EWS报警</w:t>
            </w:r>
          </w:p>
        </w:tc>
      </w:tr>
      <w:tr w14:paraId="40179A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419" w:type="dxa"/>
            <w:vAlign w:val="center"/>
          </w:tcPr>
          <w:p w14:paraId="05B72206">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14.2.7</w:t>
            </w:r>
          </w:p>
        </w:tc>
        <w:tc>
          <w:tcPr>
            <w:tcW w:w="2004" w:type="dxa"/>
            <w:vAlign w:val="center"/>
          </w:tcPr>
          <w:p w14:paraId="0E047D39">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lang w:val="en-US" w:eastAsia="zh-CN" w:bidi="ar-SA"/>
              </w:rPr>
            </w:pPr>
          </w:p>
        </w:tc>
        <w:tc>
          <w:tcPr>
            <w:tcW w:w="5155" w:type="dxa"/>
            <w:vAlign w:val="center"/>
          </w:tcPr>
          <w:p w14:paraId="2E080EA7">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数据存储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趋势图120小时@1分钟；事件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1000；NIBP:1000组；全息波形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48小时；ST回顾</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120小时@1分钟</w:t>
            </w:r>
          </w:p>
        </w:tc>
      </w:tr>
      <w:tr w14:paraId="5E24C0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5F323882">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14.2.8</w:t>
            </w:r>
          </w:p>
        </w:tc>
        <w:tc>
          <w:tcPr>
            <w:tcW w:w="2004" w:type="dxa"/>
            <w:vAlign w:val="center"/>
          </w:tcPr>
          <w:p w14:paraId="3D5702BB">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lang w:val="en-US" w:eastAsia="zh-CN" w:bidi="ar-SA"/>
              </w:rPr>
            </w:pPr>
          </w:p>
        </w:tc>
        <w:tc>
          <w:tcPr>
            <w:tcW w:w="5155" w:type="dxa"/>
            <w:vAlign w:val="center"/>
          </w:tcPr>
          <w:p w14:paraId="534F92B0">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主机防水等级≥IPX1，整机抗跌落设计通过0.75米6面跌落测</w:t>
            </w:r>
          </w:p>
        </w:tc>
      </w:tr>
      <w:tr w14:paraId="5BED3B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5BFEE3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14.2.9</w:t>
            </w:r>
          </w:p>
        </w:tc>
        <w:tc>
          <w:tcPr>
            <w:tcW w:w="2004" w:type="dxa"/>
            <w:vAlign w:val="center"/>
          </w:tcPr>
          <w:p w14:paraId="39CDF5D0">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lang w:val="en-US" w:eastAsia="zh-CN" w:bidi="ar-SA"/>
              </w:rPr>
            </w:pPr>
          </w:p>
        </w:tc>
        <w:tc>
          <w:tcPr>
            <w:tcW w:w="5155" w:type="dxa"/>
            <w:vAlign w:val="center"/>
          </w:tcPr>
          <w:p w14:paraId="6204A849">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配置</w:t>
            </w:r>
            <w:r>
              <w:rPr>
                <w:rFonts w:hint="eastAsia" w:ascii="宋体" w:hAnsi="宋体" w:eastAsia="宋体" w:cs="宋体"/>
                <w:color w:val="auto"/>
                <w:kern w:val="0"/>
                <w:sz w:val="21"/>
                <w:szCs w:val="21"/>
                <w:highlight w:val="none"/>
              </w:rPr>
              <w:t>WIFI</w:t>
            </w:r>
            <w:r>
              <w:rPr>
                <w:rFonts w:hint="eastAsia" w:ascii="宋体" w:hAnsi="宋体" w:eastAsia="宋体" w:cs="宋体"/>
                <w:color w:val="auto"/>
                <w:kern w:val="0"/>
                <w:sz w:val="21"/>
                <w:szCs w:val="21"/>
                <w:highlight w:val="none"/>
                <w:lang w:val="en-US" w:eastAsia="zh-CN"/>
              </w:rPr>
              <w:t>传输模块</w:t>
            </w:r>
          </w:p>
        </w:tc>
      </w:tr>
      <w:tr w14:paraId="1D280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1AEFE2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p>
        </w:tc>
        <w:tc>
          <w:tcPr>
            <w:tcW w:w="2004" w:type="dxa"/>
            <w:vAlign w:val="center"/>
          </w:tcPr>
          <w:p w14:paraId="0B5ACDA6">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5DA5A7C2">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r>
      <w:tr w14:paraId="5C120F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5451E77">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15</w:t>
            </w:r>
          </w:p>
        </w:tc>
        <w:tc>
          <w:tcPr>
            <w:tcW w:w="2004" w:type="dxa"/>
            <w:vAlign w:val="center"/>
          </w:tcPr>
          <w:p w14:paraId="2F1A2392">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心电图机</w:t>
            </w:r>
          </w:p>
        </w:tc>
        <w:tc>
          <w:tcPr>
            <w:tcW w:w="5155" w:type="dxa"/>
            <w:vAlign w:val="center"/>
          </w:tcPr>
          <w:p w14:paraId="4B2D0247">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r>
      <w:tr w14:paraId="6413BF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850019C">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15.1</w:t>
            </w:r>
          </w:p>
        </w:tc>
        <w:tc>
          <w:tcPr>
            <w:tcW w:w="2004" w:type="dxa"/>
            <w:vAlign w:val="center"/>
          </w:tcPr>
          <w:p w14:paraId="58AB6F03">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1FEEB210">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主要用途：</w:t>
            </w:r>
            <w:r>
              <w:rPr>
                <w:rFonts w:hint="eastAsia" w:ascii="宋体" w:hAnsi="宋体" w:eastAsia="宋体" w:cs="宋体"/>
                <w:color w:val="auto"/>
                <w:spacing w:val="-5"/>
                <w:sz w:val="21"/>
                <w:szCs w:val="21"/>
                <w:highlight w:val="none"/>
              </w:rPr>
              <w:t>心脏疾病检测、心电图</w:t>
            </w:r>
          </w:p>
        </w:tc>
      </w:tr>
      <w:tr w14:paraId="071594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C5CA867">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15.2</w:t>
            </w:r>
          </w:p>
        </w:tc>
        <w:tc>
          <w:tcPr>
            <w:tcW w:w="2004" w:type="dxa"/>
            <w:vAlign w:val="center"/>
          </w:tcPr>
          <w:p w14:paraId="6EB08080">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5D92F2DA">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主要技术要求</w:t>
            </w:r>
          </w:p>
        </w:tc>
      </w:tr>
      <w:tr w14:paraId="19C31C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7D02A83">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15.2.1</w:t>
            </w:r>
          </w:p>
        </w:tc>
        <w:tc>
          <w:tcPr>
            <w:tcW w:w="2004" w:type="dxa"/>
            <w:vAlign w:val="center"/>
          </w:tcPr>
          <w:p w14:paraId="03CE6E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2362B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导联：12导联同步采集、显示、打印。</w:t>
            </w:r>
          </w:p>
        </w:tc>
      </w:tr>
      <w:tr w14:paraId="0A8A1F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69BD43F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15.2.2</w:t>
            </w:r>
          </w:p>
        </w:tc>
        <w:tc>
          <w:tcPr>
            <w:tcW w:w="2004" w:type="dxa"/>
            <w:vAlign w:val="center"/>
          </w:tcPr>
          <w:p w14:paraId="0F7D5F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190840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rPr>
              <w:t>起搏器采样率</w:t>
            </w:r>
            <w:r>
              <w:rPr>
                <w:rFonts w:hint="eastAsia" w:ascii="宋体" w:hAnsi="宋体" w:eastAsia="宋体" w:cs="宋体"/>
                <w:color w:val="auto"/>
                <w:kern w:val="2"/>
                <w:sz w:val="21"/>
                <w:szCs w:val="21"/>
                <w:highlight w:val="none"/>
                <w:vertAlign w:val="baseline"/>
                <w:lang w:val="en-US" w:eastAsia="zh-CN" w:bidi="ar-SA"/>
              </w:rPr>
              <w:t>≥</w:t>
            </w:r>
            <w:r>
              <w:rPr>
                <w:rFonts w:hint="eastAsia" w:ascii="宋体" w:hAnsi="宋体" w:eastAsia="宋体" w:cs="宋体"/>
                <w:color w:val="auto"/>
                <w:kern w:val="0"/>
                <w:sz w:val="21"/>
                <w:szCs w:val="21"/>
                <w:highlight w:val="none"/>
              </w:rPr>
              <w:t>16,000Hz</w:t>
            </w:r>
            <w:r>
              <w:rPr>
                <w:rFonts w:hint="eastAsia" w:ascii="宋体" w:hAnsi="宋体" w:eastAsia="宋体" w:cs="宋体"/>
                <w:color w:val="auto"/>
                <w:kern w:val="2"/>
                <w:sz w:val="21"/>
                <w:szCs w:val="21"/>
                <w:highlight w:val="none"/>
                <w:vertAlign w:val="baseline"/>
                <w:lang w:val="en-US" w:eastAsia="zh-CN" w:bidi="ar-SA"/>
              </w:rPr>
              <w:t xml:space="preserve"> </w:t>
            </w:r>
          </w:p>
        </w:tc>
      </w:tr>
      <w:tr w14:paraId="40CC2F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BF9287E">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15.2.3</w:t>
            </w:r>
          </w:p>
        </w:tc>
        <w:tc>
          <w:tcPr>
            <w:tcW w:w="2004" w:type="dxa"/>
            <w:vAlign w:val="center"/>
          </w:tcPr>
          <w:p w14:paraId="62CF72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3629A3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模数转换：24bit</w:t>
            </w:r>
          </w:p>
        </w:tc>
      </w:tr>
      <w:tr w14:paraId="2EA743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6130DE5F">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15.2.4</w:t>
            </w:r>
          </w:p>
        </w:tc>
        <w:tc>
          <w:tcPr>
            <w:tcW w:w="2004" w:type="dxa"/>
            <w:vAlign w:val="center"/>
          </w:tcPr>
          <w:p w14:paraId="5A294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7F5AA9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敏感度/增益：2.5，5，10，20，L=10 C=5，L=20 C=10 mm/mV，自动；</w:t>
            </w:r>
          </w:p>
        </w:tc>
      </w:tr>
      <w:tr w14:paraId="0BBAFD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686D57D7">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15.2.5</w:t>
            </w:r>
          </w:p>
        </w:tc>
        <w:tc>
          <w:tcPr>
            <w:tcW w:w="2004" w:type="dxa"/>
            <w:vAlign w:val="center"/>
          </w:tcPr>
          <w:p w14:paraId="1CE949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1CA122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rPr>
              <w:t>无需选择灵敏度，自动检测起搏器工作状态</w:t>
            </w:r>
          </w:p>
        </w:tc>
      </w:tr>
      <w:tr w14:paraId="5D6F72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FD2947A">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15.2.6</w:t>
            </w:r>
          </w:p>
        </w:tc>
        <w:tc>
          <w:tcPr>
            <w:tcW w:w="2004" w:type="dxa"/>
            <w:vAlign w:val="center"/>
          </w:tcPr>
          <w:p w14:paraId="2A6CAE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3F9999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≥8″，液晶显示屏</w:t>
            </w:r>
          </w:p>
        </w:tc>
      </w:tr>
      <w:tr w14:paraId="795B9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A495BC6">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15.2.7</w:t>
            </w:r>
          </w:p>
        </w:tc>
        <w:tc>
          <w:tcPr>
            <w:tcW w:w="2004" w:type="dxa"/>
            <w:vAlign w:val="center"/>
          </w:tcPr>
          <w:p w14:paraId="67A0F5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4306755B">
            <w:pPr>
              <w:pStyle w:val="24"/>
              <w:keepNext w:val="0"/>
              <w:keepLines w:val="0"/>
              <w:pageBreakBefore w:val="0"/>
              <w:suppressLineNumbers w:val="0"/>
              <w:wordWrap/>
              <w:overflowPunct/>
              <w:topLinePunct w:val="0"/>
              <w:bidi w:val="0"/>
              <w:spacing w:before="0" w:beforeAutospacing="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rPr>
              <w:t>屏幕可预览完整的心电图报告</w:t>
            </w:r>
          </w:p>
        </w:tc>
      </w:tr>
      <w:tr w14:paraId="039BB5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2A54B7EE">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15.2.8</w:t>
            </w:r>
          </w:p>
        </w:tc>
        <w:tc>
          <w:tcPr>
            <w:tcW w:w="2004" w:type="dxa"/>
            <w:vAlign w:val="center"/>
          </w:tcPr>
          <w:p w14:paraId="03493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02ACD48F">
            <w:pPr>
              <w:pStyle w:val="24"/>
              <w:keepNext w:val="0"/>
              <w:keepLines w:val="0"/>
              <w:pageBreakBefore w:val="0"/>
              <w:suppressLineNumbers w:val="0"/>
              <w:wordWrap/>
              <w:overflowPunct/>
              <w:topLinePunct w:val="0"/>
              <w:bidi w:val="0"/>
              <w:spacing w:before="0" w:beforeAutospacing="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rPr>
              <w:t>更改患者信息后，可自动再分析心电波形，并作出新的诊断</w:t>
            </w:r>
          </w:p>
        </w:tc>
      </w:tr>
      <w:tr w14:paraId="416B73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342AFE87">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15.2.9</w:t>
            </w:r>
          </w:p>
        </w:tc>
        <w:tc>
          <w:tcPr>
            <w:tcW w:w="2004" w:type="dxa"/>
            <w:vAlign w:val="center"/>
          </w:tcPr>
          <w:p w14:paraId="68122F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70EA7592">
            <w:pPr>
              <w:pStyle w:val="24"/>
              <w:keepNext w:val="0"/>
              <w:keepLines w:val="0"/>
              <w:pageBreakBefore w:val="0"/>
              <w:suppressLineNumbers w:val="0"/>
              <w:wordWrap/>
              <w:overflowPunct/>
              <w:topLinePunct w:val="0"/>
              <w:bidi w:val="0"/>
              <w:spacing w:before="0" w:beforeAutospacing="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rPr>
              <w:t>输入患者信息时，屏幕下方可显示一道ECG实时波形作监护</w:t>
            </w:r>
          </w:p>
        </w:tc>
      </w:tr>
      <w:tr w14:paraId="50D4C2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F2EC5BB">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15.2.10</w:t>
            </w:r>
          </w:p>
        </w:tc>
        <w:tc>
          <w:tcPr>
            <w:tcW w:w="2004" w:type="dxa"/>
            <w:vAlign w:val="center"/>
          </w:tcPr>
          <w:p w14:paraId="370530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25A20B8D">
            <w:pPr>
              <w:pStyle w:val="24"/>
              <w:keepNext w:val="0"/>
              <w:keepLines w:val="0"/>
              <w:pageBreakBefore w:val="0"/>
              <w:suppressLineNumbers w:val="0"/>
              <w:wordWrap/>
              <w:overflowPunct/>
              <w:topLinePunct w:val="0"/>
              <w:bidi w:val="0"/>
              <w:spacing w:before="0" w:beforeAutospacing="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rPr>
              <w:t>开机出波形时间不超过7秒</w:t>
            </w:r>
          </w:p>
        </w:tc>
      </w:tr>
      <w:tr w14:paraId="5A1A5A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6AD39AF9">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15.2.11</w:t>
            </w:r>
          </w:p>
        </w:tc>
        <w:tc>
          <w:tcPr>
            <w:tcW w:w="2004" w:type="dxa"/>
            <w:vAlign w:val="center"/>
          </w:tcPr>
          <w:p w14:paraId="7C8765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45591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电源供电：交流电（无需外置电源转换器）或电池</w:t>
            </w:r>
          </w:p>
        </w:tc>
      </w:tr>
      <w:tr w14:paraId="3E48E9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3073797E">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15.2.12</w:t>
            </w:r>
          </w:p>
        </w:tc>
        <w:tc>
          <w:tcPr>
            <w:tcW w:w="2004" w:type="dxa"/>
            <w:vAlign w:val="center"/>
          </w:tcPr>
          <w:p w14:paraId="5F0137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213CA9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电池类型：可充电锂电池，充满后可支持不少于3.5小时的持续操作</w:t>
            </w:r>
          </w:p>
        </w:tc>
      </w:tr>
      <w:tr w14:paraId="0DA25B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3562570">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15.2.13</w:t>
            </w:r>
          </w:p>
        </w:tc>
        <w:tc>
          <w:tcPr>
            <w:tcW w:w="2004" w:type="dxa"/>
            <w:vAlign w:val="center"/>
          </w:tcPr>
          <w:p w14:paraId="1B0C66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01C1F733">
            <w:pPr>
              <w:pStyle w:val="24"/>
              <w:keepNext w:val="0"/>
              <w:keepLines w:val="0"/>
              <w:pageBreakBefore w:val="0"/>
              <w:suppressLineNumbers w:val="0"/>
              <w:wordWrap/>
              <w:overflowPunct/>
              <w:topLinePunct w:val="0"/>
              <w:bidi w:val="0"/>
              <w:spacing w:before="0" w:beforeAutospacing="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rPr>
              <w:t>内置存储容量不低于800份；</w:t>
            </w:r>
          </w:p>
        </w:tc>
      </w:tr>
      <w:tr w14:paraId="2ACC8D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21E4D7CB">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15.2.14</w:t>
            </w:r>
          </w:p>
        </w:tc>
        <w:tc>
          <w:tcPr>
            <w:tcW w:w="2004" w:type="dxa"/>
            <w:vAlign w:val="center"/>
          </w:tcPr>
          <w:p w14:paraId="77896E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2C75CA62">
            <w:pPr>
              <w:pStyle w:val="24"/>
              <w:keepNext w:val="0"/>
              <w:keepLines w:val="0"/>
              <w:pageBreakBefore w:val="0"/>
              <w:suppressLineNumbers w:val="0"/>
              <w:wordWrap/>
              <w:overflowPunct/>
              <w:topLinePunct w:val="0"/>
              <w:bidi w:val="0"/>
              <w:spacing w:before="0" w:beforeAutospacing="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rPr>
              <w:t>网络：</w:t>
            </w:r>
            <w:r>
              <w:rPr>
                <w:rFonts w:hint="eastAsia" w:ascii="宋体" w:hAnsi="宋体" w:eastAsia="宋体" w:cs="宋体"/>
                <w:color w:val="auto"/>
                <w:kern w:val="0"/>
                <w:sz w:val="21"/>
                <w:szCs w:val="21"/>
                <w:highlight w:val="none"/>
                <w:lang w:val="en-US" w:eastAsia="zh-CN"/>
              </w:rPr>
              <w:t>配有</w:t>
            </w:r>
            <w:r>
              <w:rPr>
                <w:rFonts w:hint="eastAsia" w:ascii="宋体" w:hAnsi="宋体" w:eastAsia="宋体" w:cs="宋体"/>
                <w:color w:val="auto"/>
                <w:kern w:val="0"/>
                <w:sz w:val="21"/>
                <w:szCs w:val="21"/>
                <w:highlight w:val="none"/>
              </w:rPr>
              <w:t>LAN有线网络接口，支持USB方式wifi网络连接，</w:t>
            </w:r>
            <w:r>
              <w:rPr>
                <w:rFonts w:hint="eastAsia" w:ascii="宋体" w:hAnsi="宋体" w:eastAsia="宋体" w:cs="宋体"/>
                <w:color w:val="auto"/>
                <w:kern w:val="0"/>
                <w:sz w:val="21"/>
                <w:szCs w:val="21"/>
                <w:highlight w:val="none"/>
                <w:lang w:val="en-US" w:eastAsia="zh-CN"/>
              </w:rPr>
              <w:t>软件接口开放</w:t>
            </w:r>
            <w:r>
              <w:rPr>
                <w:rFonts w:hint="eastAsia" w:ascii="宋体" w:hAnsi="宋体" w:eastAsia="宋体" w:cs="宋体"/>
                <w:color w:val="auto"/>
                <w:sz w:val="21"/>
                <w:szCs w:val="21"/>
                <w:highlight w:val="none"/>
              </w:rPr>
              <w:t>。</w:t>
            </w:r>
          </w:p>
        </w:tc>
      </w:tr>
      <w:tr w14:paraId="1A1874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6303CEA2">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15.2.15</w:t>
            </w:r>
          </w:p>
        </w:tc>
        <w:tc>
          <w:tcPr>
            <w:tcW w:w="2004" w:type="dxa"/>
            <w:vAlign w:val="center"/>
          </w:tcPr>
          <w:p w14:paraId="2A877F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5B045D62">
            <w:pPr>
              <w:pStyle w:val="24"/>
              <w:keepNext w:val="0"/>
              <w:keepLines w:val="0"/>
              <w:pageBreakBefore w:val="0"/>
              <w:suppressLineNumbers w:val="0"/>
              <w:wordWrap/>
              <w:overflowPunct/>
              <w:topLinePunct w:val="0"/>
              <w:bidi w:val="0"/>
              <w:spacing w:before="0" w:beforeAutospacing="0" w:afterAutospacing="0" w:line="360" w:lineRule="exact"/>
              <w:ind w:left="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rPr>
              <w:t>电池单次充电至少可供打印400份报告</w:t>
            </w:r>
          </w:p>
        </w:tc>
      </w:tr>
      <w:tr w14:paraId="4F9FD2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5DF363C0">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15.2.16</w:t>
            </w:r>
          </w:p>
        </w:tc>
        <w:tc>
          <w:tcPr>
            <w:tcW w:w="2004" w:type="dxa"/>
            <w:vAlign w:val="center"/>
          </w:tcPr>
          <w:p w14:paraId="351BC9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0ACD5D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记录仪技术：热敏点阵式</w:t>
            </w:r>
          </w:p>
          <w:p w14:paraId="0A75FC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记录纸类型：热敏折叠A4纸</w:t>
            </w:r>
          </w:p>
        </w:tc>
      </w:tr>
      <w:tr w14:paraId="2618A8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E93AEF2">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15.2.17</w:t>
            </w:r>
          </w:p>
        </w:tc>
        <w:tc>
          <w:tcPr>
            <w:tcW w:w="2004" w:type="dxa"/>
            <w:vAlign w:val="center"/>
          </w:tcPr>
          <w:p w14:paraId="17124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17582D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color w:val="auto"/>
                <w:kern w:val="2"/>
                <w:sz w:val="21"/>
                <w:szCs w:val="21"/>
                <w:highlight w:val="none"/>
                <w:vertAlign w:val="baseline"/>
                <w:lang w:val="en-US" w:eastAsia="zh-CN" w:bidi="ar-SA"/>
              </w:rPr>
              <w:t>附件：心电导联、专业推车、条码扫描枪、打印机等</w:t>
            </w:r>
          </w:p>
        </w:tc>
      </w:tr>
      <w:tr w14:paraId="0E06C3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4DD7BFD">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p>
        </w:tc>
        <w:tc>
          <w:tcPr>
            <w:tcW w:w="2004" w:type="dxa"/>
            <w:vAlign w:val="center"/>
          </w:tcPr>
          <w:p w14:paraId="1B72EF93">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001BA163">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r>
      <w:tr w14:paraId="26634B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0886EA0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pacing w:val="-15"/>
                <w:sz w:val="21"/>
                <w:szCs w:val="21"/>
                <w:highlight w:val="none"/>
              </w:rPr>
              <w:t>1</w:t>
            </w:r>
            <w:r>
              <w:rPr>
                <w:rFonts w:hint="eastAsia" w:ascii="宋体" w:hAnsi="宋体" w:eastAsia="宋体" w:cs="宋体"/>
                <w:color w:val="auto"/>
                <w:spacing w:val="-15"/>
                <w:sz w:val="21"/>
                <w:szCs w:val="21"/>
                <w:highlight w:val="none"/>
                <w:lang w:val="en-US" w:eastAsia="zh-CN"/>
              </w:rPr>
              <w:t>6</w:t>
            </w:r>
          </w:p>
        </w:tc>
        <w:tc>
          <w:tcPr>
            <w:tcW w:w="2004" w:type="dxa"/>
            <w:vAlign w:val="center"/>
          </w:tcPr>
          <w:p w14:paraId="23036FA1">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sz w:val="21"/>
                <w:szCs w:val="21"/>
                <w:highlight w:val="none"/>
              </w:rPr>
              <w:t>便携式肺功能仪</w:t>
            </w:r>
          </w:p>
        </w:tc>
        <w:tc>
          <w:tcPr>
            <w:tcW w:w="5155" w:type="dxa"/>
            <w:vAlign w:val="center"/>
          </w:tcPr>
          <w:p w14:paraId="65231545">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kern w:val="0"/>
                <w:sz w:val="21"/>
                <w:szCs w:val="21"/>
                <w:highlight w:val="none"/>
                <w:lang w:val="en-US" w:eastAsia="zh-CN" w:bidi="ar-SA"/>
              </w:rPr>
            </w:pPr>
          </w:p>
        </w:tc>
      </w:tr>
      <w:tr w14:paraId="23B74B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68EE0A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pacing w:val="-15"/>
                <w:kern w:val="2"/>
                <w:sz w:val="21"/>
                <w:szCs w:val="21"/>
                <w:highlight w:val="none"/>
                <w:lang w:val="en-US" w:eastAsia="zh-CN" w:bidi="ar-SA"/>
              </w:rPr>
            </w:pPr>
            <w:r>
              <w:rPr>
                <w:rFonts w:hint="eastAsia" w:ascii="宋体" w:hAnsi="宋体" w:eastAsia="宋体" w:cs="宋体"/>
                <w:color w:val="auto"/>
                <w:spacing w:val="-15"/>
                <w:sz w:val="21"/>
                <w:szCs w:val="21"/>
                <w:highlight w:val="none"/>
                <w:lang w:val="en-US" w:eastAsia="zh-CN"/>
              </w:rPr>
              <w:t>16.1</w:t>
            </w:r>
          </w:p>
        </w:tc>
        <w:tc>
          <w:tcPr>
            <w:tcW w:w="2004" w:type="dxa"/>
            <w:vAlign w:val="center"/>
          </w:tcPr>
          <w:p w14:paraId="019F10EE">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color w:val="auto"/>
                <w:spacing w:val="-5"/>
                <w:kern w:val="2"/>
                <w:sz w:val="21"/>
                <w:szCs w:val="21"/>
                <w:highlight w:val="none"/>
                <w:lang w:val="en-US" w:eastAsia="zh-CN" w:bidi="ar-SA"/>
              </w:rPr>
            </w:pPr>
          </w:p>
        </w:tc>
        <w:tc>
          <w:tcPr>
            <w:tcW w:w="5155" w:type="dxa"/>
            <w:vAlign w:val="center"/>
          </w:tcPr>
          <w:p w14:paraId="708AC783">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sz w:val="21"/>
                <w:szCs w:val="21"/>
                <w:highlight w:val="none"/>
                <w:lang w:val="en-US" w:eastAsia="zh-CN"/>
              </w:rPr>
              <w:t>主要功能：</w:t>
            </w:r>
            <w:r>
              <w:rPr>
                <w:rFonts w:hint="eastAsia" w:ascii="宋体" w:hAnsi="宋体" w:eastAsia="宋体" w:cs="宋体"/>
                <w:color w:val="auto"/>
                <w:spacing w:val="-5"/>
                <w:sz w:val="21"/>
                <w:szCs w:val="21"/>
                <w:highlight w:val="none"/>
              </w:rPr>
              <w:t>肺功能监测</w:t>
            </w:r>
          </w:p>
        </w:tc>
      </w:tr>
      <w:tr w14:paraId="40EA72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C184CBC">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16.2</w:t>
            </w:r>
          </w:p>
        </w:tc>
        <w:tc>
          <w:tcPr>
            <w:tcW w:w="2004" w:type="dxa"/>
            <w:vAlign w:val="center"/>
          </w:tcPr>
          <w:p w14:paraId="2A3B6A59">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34165461">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主要技术要求</w:t>
            </w:r>
          </w:p>
        </w:tc>
      </w:tr>
      <w:tr w14:paraId="2B1E1A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287FD9B">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16.2.1</w:t>
            </w:r>
          </w:p>
        </w:tc>
        <w:tc>
          <w:tcPr>
            <w:tcW w:w="2004" w:type="dxa"/>
            <w:vAlign w:val="center"/>
          </w:tcPr>
          <w:p w14:paraId="599701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lang w:val="en-US" w:eastAsia="zh-CN" w:bidi="ar-SA"/>
              </w:rPr>
            </w:pPr>
          </w:p>
        </w:tc>
        <w:tc>
          <w:tcPr>
            <w:tcW w:w="5155" w:type="dxa"/>
            <w:vAlign w:val="center"/>
          </w:tcPr>
          <w:p w14:paraId="6FF3AF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采用压差式流量传感器设计</w:t>
            </w:r>
          </w:p>
        </w:tc>
      </w:tr>
      <w:tr w14:paraId="130099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1E01290">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16.2.2</w:t>
            </w:r>
          </w:p>
        </w:tc>
        <w:tc>
          <w:tcPr>
            <w:tcW w:w="2004" w:type="dxa"/>
            <w:vAlign w:val="center"/>
          </w:tcPr>
          <w:p w14:paraId="2238B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lang w:val="en-US" w:eastAsia="zh-CN" w:bidi="ar-SA"/>
              </w:rPr>
            </w:pPr>
          </w:p>
        </w:tc>
        <w:tc>
          <w:tcPr>
            <w:tcW w:w="5155" w:type="dxa"/>
            <w:vAlign w:val="center"/>
          </w:tcPr>
          <w:p w14:paraId="463710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产品具有容量一时间曲线，容量—流速曲线（F-V)</w:t>
            </w:r>
          </w:p>
        </w:tc>
      </w:tr>
      <w:tr w14:paraId="378509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1AF145C">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16.2.3</w:t>
            </w:r>
          </w:p>
        </w:tc>
        <w:tc>
          <w:tcPr>
            <w:tcW w:w="2004" w:type="dxa"/>
            <w:vAlign w:val="center"/>
          </w:tcPr>
          <w:p w14:paraId="08F862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lang w:val="en-US" w:eastAsia="zh-CN" w:bidi="ar-SA"/>
              </w:rPr>
            </w:pPr>
          </w:p>
        </w:tc>
        <w:tc>
          <w:tcPr>
            <w:tcW w:w="5155" w:type="dxa"/>
            <w:vAlign w:val="center"/>
          </w:tcPr>
          <w:p w14:paraId="186C3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具有多种预测公式</w:t>
            </w:r>
          </w:p>
        </w:tc>
      </w:tr>
      <w:tr w14:paraId="6806E2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419" w:type="dxa"/>
            <w:vAlign w:val="center"/>
          </w:tcPr>
          <w:p w14:paraId="12CF32F6">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16.2.4</w:t>
            </w:r>
          </w:p>
        </w:tc>
        <w:tc>
          <w:tcPr>
            <w:tcW w:w="2004" w:type="dxa"/>
            <w:vAlign w:val="center"/>
          </w:tcPr>
          <w:p w14:paraId="551FB2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lang w:val="en-US" w:eastAsia="zh-CN" w:bidi="ar-SA"/>
              </w:rPr>
            </w:pPr>
          </w:p>
        </w:tc>
        <w:tc>
          <w:tcPr>
            <w:tcW w:w="5155" w:type="dxa"/>
            <w:vAlign w:val="center"/>
          </w:tcPr>
          <w:p w14:paraId="23EFE4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产品具有支气管舒张试验功能及药前药后试验对比功能，可按常规检查患者的通气功能后，加做支气管舒张试验，且在用药后再重测FVC</w:t>
            </w:r>
          </w:p>
        </w:tc>
      </w:tr>
      <w:tr w14:paraId="0FEA69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C80E22F">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16.2.5</w:t>
            </w:r>
          </w:p>
        </w:tc>
        <w:tc>
          <w:tcPr>
            <w:tcW w:w="2004" w:type="dxa"/>
            <w:vAlign w:val="center"/>
          </w:tcPr>
          <w:p w14:paraId="41DD65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lang w:val="en-US" w:eastAsia="zh-CN" w:bidi="ar-SA"/>
              </w:rPr>
            </w:pPr>
          </w:p>
        </w:tc>
        <w:tc>
          <w:tcPr>
            <w:tcW w:w="5155" w:type="dxa"/>
            <w:vAlign w:val="center"/>
          </w:tcPr>
          <w:p w14:paraId="1597C6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测量参数包括：VC，FVC，MVV等</w:t>
            </w:r>
          </w:p>
        </w:tc>
      </w:tr>
      <w:tr w14:paraId="7B822A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419" w:type="dxa"/>
            <w:vAlign w:val="center"/>
          </w:tcPr>
          <w:p w14:paraId="13880590">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16.2.6</w:t>
            </w:r>
          </w:p>
        </w:tc>
        <w:tc>
          <w:tcPr>
            <w:tcW w:w="2004" w:type="dxa"/>
            <w:vAlign w:val="center"/>
          </w:tcPr>
          <w:p w14:paraId="047709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lang w:val="en-US" w:eastAsia="zh-CN" w:bidi="ar-SA"/>
              </w:rPr>
            </w:pPr>
          </w:p>
        </w:tc>
        <w:tc>
          <w:tcPr>
            <w:tcW w:w="5155" w:type="dxa"/>
            <w:vAlign w:val="center"/>
          </w:tcPr>
          <w:p w14:paraId="00E50B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容量：</w:t>
            </w:r>
          </w:p>
          <w:p w14:paraId="11528C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测量范围：0L～9L</w:t>
            </w:r>
          </w:p>
          <w:p w14:paraId="46CC28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测量精度：±50mL或±3% </w:t>
            </w:r>
          </w:p>
        </w:tc>
      </w:tr>
      <w:tr w14:paraId="2EFF41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419" w:type="dxa"/>
            <w:vAlign w:val="center"/>
          </w:tcPr>
          <w:p w14:paraId="3974599D">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16.2.7</w:t>
            </w:r>
          </w:p>
        </w:tc>
        <w:tc>
          <w:tcPr>
            <w:tcW w:w="2004" w:type="dxa"/>
            <w:vAlign w:val="center"/>
          </w:tcPr>
          <w:p w14:paraId="3CE43E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lang w:val="en-US" w:eastAsia="zh-CN" w:bidi="ar-SA"/>
              </w:rPr>
            </w:pPr>
          </w:p>
        </w:tc>
        <w:tc>
          <w:tcPr>
            <w:tcW w:w="5155" w:type="dxa"/>
            <w:vAlign w:val="center"/>
          </w:tcPr>
          <w:p w14:paraId="57A0E2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流速</w:t>
            </w:r>
          </w:p>
          <w:p w14:paraId="252873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流速范围：0～14升/秒</w:t>
            </w:r>
          </w:p>
          <w:p w14:paraId="309BEB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流速精度：5%或0.2升/秒 </w:t>
            </w:r>
          </w:p>
        </w:tc>
      </w:tr>
      <w:tr w14:paraId="330D72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419" w:type="dxa"/>
            <w:vAlign w:val="center"/>
          </w:tcPr>
          <w:p w14:paraId="0928E4AF">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16.2.8</w:t>
            </w:r>
          </w:p>
        </w:tc>
        <w:tc>
          <w:tcPr>
            <w:tcW w:w="2004" w:type="dxa"/>
            <w:vAlign w:val="center"/>
          </w:tcPr>
          <w:p w14:paraId="6A3467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lang w:val="en-US" w:eastAsia="zh-CN" w:bidi="ar-SA"/>
              </w:rPr>
            </w:pPr>
          </w:p>
        </w:tc>
        <w:tc>
          <w:tcPr>
            <w:tcW w:w="5155" w:type="dxa"/>
            <w:vAlign w:val="center"/>
          </w:tcPr>
          <w:p w14:paraId="033D72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呼吸</w:t>
            </w:r>
          </w:p>
          <w:p w14:paraId="02E008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测量范围：4次/分～60次/分 </w:t>
            </w:r>
          </w:p>
          <w:p w14:paraId="7D924E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测量精度：±1次/分或±5%  </w:t>
            </w:r>
          </w:p>
        </w:tc>
      </w:tr>
      <w:tr w14:paraId="61130F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34501DAC">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16.2.9</w:t>
            </w:r>
          </w:p>
        </w:tc>
        <w:tc>
          <w:tcPr>
            <w:tcW w:w="2004" w:type="dxa"/>
            <w:vAlign w:val="center"/>
          </w:tcPr>
          <w:p w14:paraId="3477CD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lang w:val="en-US" w:eastAsia="zh-CN" w:bidi="ar-SA"/>
              </w:rPr>
            </w:pPr>
          </w:p>
        </w:tc>
        <w:tc>
          <w:tcPr>
            <w:tcW w:w="5155" w:type="dxa"/>
            <w:vAlign w:val="center"/>
          </w:tcPr>
          <w:p w14:paraId="54509A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打印功能</w:t>
            </w:r>
          </w:p>
          <w:p w14:paraId="722E86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内置热敏打印机</w:t>
            </w:r>
          </w:p>
        </w:tc>
      </w:tr>
      <w:tr w14:paraId="5EC816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45C8667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16.2.10</w:t>
            </w:r>
          </w:p>
        </w:tc>
        <w:tc>
          <w:tcPr>
            <w:tcW w:w="2004" w:type="dxa"/>
            <w:vAlign w:val="center"/>
          </w:tcPr>
          <w:p w14:paraId="4C96EF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lang w:val="en-US" w:eastAsia="zh-CN" w:bidi="ar-SA"/>
              </w:rPr>
            </w:pPr>
          </w:p>
        </w:tc>
        <w:tc>
          <w:tcPr>
            <w:tcW w:w="5155" w:type="dxa"/>
            <w:vAlign w:val="center"/>
          </w:tcPr>
          <w:p w14:paraId="4447A4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电源</w:t>
            </w:r>
          </w:p>
          <w:p w14:paraId="24D08F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交直流两用，内置充电电池</w:t>
            </w:r>
          </w:p>
        </w:tc>
      </w:tr>
      <w:tr w14:paraId="60A4AE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419" w:type="dxa"/>
            <w:vAlign w:val="center"/>
          </w:tcPr>
          <w:p w14:paraId="72A98F9A">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16.2.11</w:t>
            </w:r>
          </w:p>
        </w:tc>
        <w:tc>
          <w:tcPr>
            <w:tcW w:w="2004" w:type="dxa"/>
            <w:vAlign w:val="center"/>
          </w:tcPr>
          <w:p w14:paraId="59091254">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5CA35C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数据传输</w:t>
            </w:r>
          </w:p>
          <w:p w14:paraId="64D2D097">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网络：配有LAN有线网络接口，支持USB方式wifi网络连接，软件接口开放。</w:t>
            </w:r>
          </w:p>
        </w:tc>
      </w:tr>
      <w:tr w14:paraId="24B930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0F18742">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p>
        </w:tc>
        <w:tc>
          <w:tcPr>
            <w:tcW w:w="2004" w:type="dxa"/>
            <w:vAlign w:val="center"/>
          </w:tcPr>
          <w:p w14:paraId="5776161B">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79A85813">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r>
      <w:tr w14:paraId="2AB540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E662A1A">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17</w:t>
            </w:r>
          </w:p>
        </w:tc>
        <w:tc>
          <w:tcPr>
            <w:tcW w:w="2004" w:type="dxa"/>
            <w:vAlign w:val="center"/>
          </w:tcPr>
          <w:p w14:paraId="5E79BD23">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耳温仪</w:t>
            </w:r>
          </w:p>
        </w:tc>
        <w:tc>
          <w:tcPr>
            <w:tcW w:w="5155" w:type="dxa"/>
            <w:vAlign w:val="center"/>
          </w:tcPr>
          <w:p w14:paraId="33966DDC">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r>
      <w:tr w14:paraId="1BA180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013987E">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17.1</w:t>
            </w:r>
          </w:p>
        </w:tc>
        <w:tc>
          <w:tcPr>
            <w:tcW w:w="2004" w:type="dxa"/>
            <w:vAlign w:val="center"/>
          </w:tcPr>
          <w:p w14:paraId="40F5965C">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spacing w:val="-5"/>
                <w:kern w:val="2"/>
                <w:sz w:val="21"/>
                <w:szCs w:val="21"/>
                <w:highlight w:val="none"/>
                <w:lang w:val="en-US" w:eastAsia="zh-CN" w:bidi="ar-SA"/>
              </w:rPr>
            </w:pPr>
          </w:p>
        </w:tc>
        <w:tc>
          <w:tcPr>
            <w:tcW w:w="5155" w:type="dxa"/>
            <w:vAlign w:val="center"/>
          </w:tcPr>
          <w:p w14:paraId="106BF069">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color w:val="auto"/>
                <w:spacing w:val="-5"/>
                <w:sz w:val="21"/>
                <w:szCs w:val="21"/>
                <w:highlight w:val="none"/>
                <w:lang w:val="en-US" w:eastAsia="zh-CN"/>
              </w:rPr>
              <w:t>主要功能：</w:t>
            </w:r>
            <w:r>
              <w:rPr>
                <w:rFonts w:hint="eastAsia" w:ascii="宋体" w:hAnsi="宋体" w:eastAsia="宋体" w:cs="宋体"/>
                <w:color w:val="auto"/>
                <w:spacing w:val="-7"/>
                <w:sz w:val="21"/>
                <w:szCs w:val="21"/>
                <w:highlight w:val="none"/>
              </w:rPr>
              <w:t>测量体温</w:t>
            </w:r>
          </w:p>
        </w:tc>
      </w:tr>
      <w:tr w14:paraId="2A55B2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75544EB">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17.2</w:t>
            </w:r>
          </w:p>
        </w:tc>
        <w:tc>
          <w:tcPr>
            <w:tcW w:w="2004" w:type="dxa"/>
            <w:vAlign w:val="center"/>
          </w:tcPr>
          <w:p w14:paraId="10424889">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0AEFE76B">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主要技术要求</w:t>
            </w:r>
          </w:p>
        </w:tc>
      </w:tr>
      <w:tr w14:paraId="70B15B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419" w:type="dxa"/>
            <w:vAlign w:val="center"/>
          </w:tcPr>
          <w:p w14:paraId="5BB85B2F">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17.2.1</w:t>
            </w:r>
          </w:p>
        </w:tc>
        <w:tc>
          <w:tcPr>
            <w:tcW w:w="2004" w:type="dxa"/>
            <w:vAlign w:val="center"/>
          </w:tcPr>
          <w:p w14:paraId="1899D401">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73D304F1">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采用红外线测温技术</w:t>
            </w:r>
          </w:p>
          <w:p w14:paraId="7ECE5F56">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测量范围：34.0℃~42.2℃</w:t>
            </w:r>
          </w:p>
          <w:p w14:paraId="54F73AFD">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具有LED显示屏</w:t>
            </w:r>
          </w:p>
          <w:p w14:paraId="6999E501">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配备可更换耳套</w:t>
            </w:r>
          </w:p>
        </w:tc>
      </w:tr>
      <w:tr w14:paraId="4DDD7A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29F162F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2004" w:type="dxa"/>
            <w:vAlign w:val="center"/>
          </w:tcPr>
          <w:p w14:paraId="223CADAA">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2C8FBC00">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r>
      <w:tr w14:paraId="226272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9" w:type="dxa"/>
            <w:vAlign w:val="center"/>
          </w:tcPr>
          <w:p w14:paraId="20D6A23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（六）</w:t>
            </w:r>
          </w:p>
        </w:tc>
        <w:tc>
          <w:tcPr>
            <w:tcW w:w="2004" w:type="dxa"/>
            <w:vAlign w:val="center"/>
          </w:tcPr>
          <w:p w14:paraId="63F47FF5">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en-US" w:bidi="ar-SA"/>
              </w:rPr>
              <w:t>其他设备</w:t>
            </w:r>
          </w:p>
        </w:tc>
        <w:tc>
          <w:tcPr>
            <w:tcW w:w="5155" w:type="dxa"/>
            <w:vAlign w:val="center"/>
          </w:tcPr>
          <w:p w14:paraId="316D841E">
            <w:pPr>
              <w:pStyle w:val="34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exact"/>
              <w:ind w:left="0" w:right="0"/>
              <w:jc w:val="both"/>
              <w:textAlignment w:val="baseline"/>
              <w:rPr>
                <w:rFonts w:hint="eastAsia" w:ascii="宋体" w:hAnsi="宋体" w:eastAsia="宋体" w:cs="宋体"/>
                <w:snapToGrid w:val="0"/>
                <w:color w:val="auto"/>
                <w:spacing w:val="-5"/>
                <w:kern w:val="0"/>
                <w:sz w:val="21"/>
                <w:szCs w:val="21"/>
                <w:highlight w:val="none"/>
                <w:lang w:val="en-US" w:eastAsia="zh-CN" w:bidi="ar-SA"/>
              </w:rPr>
            </w:pPr>
          </w:p>
        </w:tc>
      </w:tr>
      <w:tr w14:paraId="3BE23A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7FE2B10">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18</w:t>
            </w:r>
          </w:p>
        </w:tc>
        <w:tc>
          <w:tcPr>
            <w:tcW w:w="2004" w:type="dxa"/>
            <w:vAlign w:val="center"/>
          </w:tcPr>
          <w:p w14:paraId="08B9D7BD">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kern w:val="2"/>
                <w:sz w:val="21"/>
                <w:szCs w:val="21"/>
                <w:highlight w:val="none"/>
                <w:vertAlign w:val="baseline"/>
                <w:lang w:val="en-US" w:eastAsia="zh-CN" w:bidi="ar-SA"/>
              </w:rPr>
            </w:pPr>
            <w:r>
              <w:rPr>
                <w:rFonts w:hint="eastAsia" w:ascii="宋体" w:hAnsi="宋体" w:eastAsia="宋体" w:cs="宋体"/>
                <w:snapToGrid w:val="0"/>
                <w:color w:val="auto"/>
                <w:spacing w:val="-5"/>
                <w:kern w:val="0"/>
                <w:sz w:val="21"/>
                <w:szCs w:val="21"/>
                <w:highlight w:val="none"/>
                <w:lang w:val="en-US" w:eastAsia="en-US" w:bidi="ar-SA"/>
              </w:rPr>
              <w:t>药柜</w:t>
            </w:r>
          </w:p>
        </w:tc>
        <w:tc>
          <w:tcPr>
            <w:tcW w:w="5155" w:type="dxa"/>
            <w:vAlign w:val="center"/>
          </w:tcPr>
          <w:p w14:paraId="0F0C1527">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p>
        </w:tc>
      </w:tr>
      <w:tr w14:paraId="05A128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344FEB5">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18.1</w:t>
            </w:r>
          </w:p>
        </w:tc>
        <w:tc>
          <w:tcPr>
            <w:tcW w:w="2004" w:type="dxa"/>
            <w:vAlign w:val="center"/>
          </w:tcPr>
          <w:p w14:paraId="2B9E3132">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5F56915C">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主要用途：</w:t>
            </w:r>
            <w:r>
              <w:rPr>
                <w:rFonts w:hint="eastAsia" w:ascii="宋体" w:hAnsi="宋体" w:eastAsia="宋体" w:cs="宋体"/>
                <w:color w:val="auto"/>
                <w:spacing w:val="-8"/>
                <w:sz w:val="21"/>
                <w:szCs w:val="21"/>
                <w:highlight w:val="none"/>
              </w:rPr>
              <w:t>药品存放</w:t>
            </w:r>
          </w:p>
        </w:tc>
      </w:tr>
      <w:tr w14:paraId="483BF4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681E54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18.2</w:t>
            </w:r>
          </w:p>
        </w:tc>
        <w:tc>
          <w:tcPr>
            <w:tcW w:w="2004" w:type="dxa"/>
            <w:vAlign w:val="center"/>
          </w:tcPr>
          <w:p w14:paraId="7E4EA59F">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p>
        </w:tc>
        <w:tc>
          <w:tcPr>
            <w:tcW w:w="5155" w:type="dxa"/>
            <w:vAlign w:val="center"/>
          </w:tcPr>
          <w:p w14:paraId="6D6191F2">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主要技术要求</w:t>
            </w:r>
          </w:p>
        </w:tc>
      </w:tr>
      <w:tr w14:paraId="484C53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419" w:type="dxa"/>
            <w:vAlign w:val="center"/>
          </w:tcPr>
          <w:p w14:paraId="7288306F">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18.2.1</w:t>
            </w:r>
          </w:p>
        </w:tc>
        <w:tc>
          <w:tcPr>
            <w:tcW w:w="2004" w:type="dxa"/>
            <w:vAlign w:val="center"/>
          </w:tcPr>
          <w:p w14:paraId="707BC61C">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4C3D94CA">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药柜尺寸：可定制；</w:t>
            </w:r>
          </w:p>
          <w:p w14:paraId="38B86917">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每个药柜具有多个组合小药格；</w:t>
            </w:r>
          </w:p>
          <w:p w14:paraId="77A84902">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可根据用户需要调整药柜部件</w:t>
            </w:r>
          </w:p>
        </w:tc>
      </w:tr>
      <w:tr w14:paraId="31BFFC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00A413A">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p>
        </w:tc>
        <w:tc>
          <w:tcPr>
            <w:tcW w:w="2004" w:type="dxa"/>
            <w:vAlign w:val="center"/>
          </w:tcPr>
          <w:p w14:paraId="09561AE2">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7E3C038A">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p>
        </w:tc>
      </w:tr>
      <w:tr w14:paraId="6A9979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2473AB0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19</w:t>
            </w:r>
          </w:p>
        </w:tc>
        <w:tc>
          <w:tcPr>
            <w:tcW w:w="2004" w:type="dxa"/>
            <w:vAlign w:val="center"/>
          </w:tcPr>
          <w:p w14:paraId="26088806">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诊疗床（可转为担架）</w:t>
            </w:r>
          </w:p>
        </w:tc>
        <w:tc>
          <w:tcPr>
            <w:tcW w:w="5155" w:type="dxa"/>
            <w:vAlign w:val="center"/>
          </w:tcPr>
          <w:p w14:paraId="1B83024B">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p>
        </w:tc>
      </w:tr>
      <w:tr w14:paraId="19CCCA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7A8D7DE">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19.1</w:t>
            </w:r>
          </w:p>
        </w:tc>
        <w:tc>
          <w:tcPr>
            <w:tcW w:w="2004" w:type="dxa"/>
            <w:vAlign w:val="center"/>
          </w:tcPr>
          <w:p w14:paraId="3C40494B">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07ACFC55">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主要用途：患者平躺检查，也可转为担架转移患者。</w:t>
            </w:r>
          </w:p>
        </w:tc>
      </w:tr>
      <w:tr w14:paraId="5E62AE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31CF372">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19.2</w:t>
            </w:r>
          </w:p>
        </w:tc>
        <w:tc>
          <w:tcPr>
            <w:tcW w:w="2004" w:type="dxa"/>
            <w:vAlign w:val="center"/>
          </w:tcPr>
          <w:p w14:paraId="2CDAB416">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7CA0848D">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主要技术要求</w:t>
            </w:r>
          </w:p>
        </w:tc>
      </w:tr>
      <w:tr w14:paraId="62F7EC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F3C5C2F">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19.2.1</w:t>
            </w:r>
          </w:p>
        </w:tc>
        <w:tc>
          <w:tcPr>
            <w:tcW w:w="2004" w:type="dxa"/>
            <w:vAlign w:val="center"/>
          </w:tcPr>
          <w:p w14:paraId="08998BCD">
            <w:pPr>
              <w:pStyle w:val="24"/>
              <w:keepNext w:val="0"/>
              <w:keepLines w:val="0"/>
              <w:pageBreakBefore w:val="0"/>
              <w:suppressLineNumbers w:val="0"/>
              <w:wordWrap/>
              <w:overflowPunct/>
              <w:topLinePunct w:val="0"/>
              <w:bidi w:val="0"/>
              <w:spacing w:before="0" w:beforeAutospacing="0" w:afterAutospacing="0" w:line="360" w:lineRule="exact"/>
              <w:ind w:left="0" w:right="0"/>
              <w:jc w:val="both"/>
              <w:rPr>
                <w:rFonts w:hint="eastAsia" w:ascii="宋体" w:hAnsi="宋体" w:eastAsia="宋体" w:cs="宋体"/>
                <w:b w:val="0"/>
                <w:bCs w:val="0"/>
                <w:color w:val="auto"/>
                <w:kern w:val="0"/>
                <w:sz w:val="21"/>
                <w:szCs w:val="21"/>
                <w:highlight w:val="none"/>
                <w:lang w:val="en-US" w:eastAsia="zh-CN" w:bidi="ar-SA"/>
              </w:rPr>
            </w:pPr>
          </w:p>
        </w:tc>
        <w:tc>
          <w:tcPr>
            <w:tcW w:w="5155" w:type="dxa"/>
            <w:vAlign w:val="center"/>
          </w:tcPr>
          <w:p w14:paraId="73C549E8">
            <w:pPr>
              <w:keepNext w:val="0"/>
              <w:keepLines w:val="0"/>
              <w:pageBreakBefore w:val="0"/>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采用高强度铝合金材质；</w:t>
            </w:r>
          </w:p>
        </w:tc>
      </w:tr>
      <w:tr w14:paraId="50ABB1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C4DEAC7">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19.2.2</w:t>
            </w:r>
          </w:p>
        </w:tc>
        <w:tc>
          <w:tcPr>
            <w:tcW w:w="2004" w:type="dxa"/>
            <w:vAlign w:val="center"/>
          </w:tcPr>
          <w:p w14:paraId="5750D347">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0A118222">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lang w:val="en-US" w:eastAsia="zh-CN"/>
              </w:rPr>
              <w:t>配备防水海绵床垫；</w:t>
            </w:r>
          </w:p>
        </w:tc>
      </w:tr>
      <w:tr w14:paraId="20EAE2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25A3B81">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19.2.3</w:t>
            </w:r>
          </w:p>
        </w:tc>
        <w:tc>
          <w:tcPr>
            <w:tcW w:w="2004" w:type="dxa"/>
            <w:vAlign w:val="center"/>
          </w:tcPr>
          <w:p w14:paraId="7FC40BB5">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60885166">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lang w:val="en-US" w:eastAsia="zh-CN"/>
              </w:rPr>
              <w:t>担架尺寸：≥长1900mm*宽540mm；</w:t>
            </w:r>
          </w:p>
        </w:tc>
      </w:tr>
      <w:tr w14:paraId="3201FD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5ACAA02">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19.2.4</w:t>
            </w:r>
          </w:p>
        </w:tc>
        <w:tc>
          <w:tcPr>
            <w:tcW w:w="2004" w:type="dxa"/>
            <w:vAlign w:val="center"/>
          </w:tcPr>
          <w:p w14:paraId="7914A83D">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70B4A06D">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lang w:val="en-US" w:eastAsia="zh-CN"/>
              </w:rPr>
              <w:t>头靠部分高度可调节</w:t>
            </w:r>
          </w:p>
        </w:tc>
      </w:tr>
      <w:tr w14:paraId="7CABDF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F6CFF0F">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19.2.5</w:t>
            </w:r>
          </w:p>
        </w:tc>
        <w:tc>
          <w:tcPr>
            <w:tcW w:w="2004" w:type="dxa"/>
            <w:vAlign w:val="center"/>
          </w:tcPr>
          <w:p w14:paraId="628D418E">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4D753CFC">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lang w:val="en-US" w:eastAsia="zh-CN"/>
              </w:rPr>
              <w:t>承重≥200KG</w:t>
            </w:r>
          </w:p>
        </w:tc>
      </w:tr>
      <w:tr w14:paraId="390E98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E2B1817">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19.2.6</w:t>
            </w:r>
          </w:p>
        </w:tc>
        <w:tc>
          <w:tcPr>
            <w:tcW w:w="2004" w:type="dxa"/>
            <w:vAlign w:val="center"/>
          </w:tcPr>
          <w:p w14:paraId="2593C25D">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13E8D718">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lang w:val="en-US" w:eastAsia="zh-CN"/>
              </w:rPr>
              <w:t>仅需1人即可实现担架操作移动患者上下车辆</w:t>
            </w:r>
          </w:p>
        </w:tc>
      </w:tr>
      <w:tr w14:paraId="7CB316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62590AB">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19.2.7</w:t>
            </w:r>
          </w:p>
        </w:tc>
        <w:tc>
          <w:tcPr>
            <w:tcW w:w="2004" w:type="dxa"/>
            <w:vAlign w:val="center"/>
          </w:tcPr>
          <w:p w14:paraId="226EAC25">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04D427C2">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lang w:val="en-US" w:eastAsia="zh-CN"/>
              </w:rPr>
              <w:t>担架可折叠，方便进入狭小空间。</w:t>
            </w:r>
          </w:p>
        </w:tc>
      </w:tr>
      <w:tr w14:paraId="2A6510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3F34886">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p>
        </w:tc>
        <w:tc>
          <w:tcPr>
            <w:tcW w:w="2004" w:type="dxa"/>
            <w:vAlign w:val="center"/>
          </w:tcPr>
          <w:p w14:paraId="1BE19DA8">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7AF4AD41">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p>
        </w:tc>
      </w:tr>
      <w:tr w14:paraId="4A1182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DFFDCE9">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20</w:t>
            </w:r>
          </w:p>
        </w:tc>
        <w:tc>
          <w:tcPr>
            <w:tcW w:w="2004" w:type="dxa"/>
            <w:vAlign w:val="center"/>
          </w:tcPr>
          <w:p w14:paraId="52333E50">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冰箱</w:t>
            </w:r>
          </w:p>
        </w:tc>
        <w:tc>
          <w:tcPr>
            <w:tcW w:w="5155" w:type="dxa"/>
            <w:vAlign w:val="center"/>
          </w:tcPr>
          <w:p w14:paraId="21D6A777">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p>
        </w:tc>
      </w:tr>
      <w:tr w14:paraId="7B0011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5CA815E">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20.1</w:t>
            </w:r>
          </w:p>
        </w:tc>
        <w:tc>
          <w:tcPr>
            <w:tcW w:w="2004" w:type="dxa"/>
            <w:vAlign w:val="center"/>
          </w:tcPr>
          <w:p w14:paraId="019968F1">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101B040A">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主要用途：用于</w:t>
            </w:r>
            <w:r>
              <w:rPr>
                <w:rFonts w:hint="eastAsia" w:ascii="宋体" w:hAnsi="宋体" w:eastAsia="宋体" w:cs="宋体"/>
                <w:color w:val="auto"/>
                <w:spacing w:val="-4"/>
                <w:sz w:val="21"/>
                <w:szCs w:val="21"/>
                <w:highlight w:val="none"/>
              </w:rPr>
              <w:t>储藏药物</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疫苗等</w:t>
            </w:r>
          </w:p>
        </w:tc>
      </w:tr>
      <w:tr w14:paraId="093D04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4B4E3239">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20.2</w:t>
            </w:r>
          </w:p>
        </w:tc>
        <w:tc>
          <w:tcPr>
            <w:tcW w:w="2004" w:type="dxa"/>
            <w:vAlign w:val="center"/>
          </w:tcPr>
          <w:p w14:paraId="147F7731">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p>
        </w:tc>
        <w:tc>
          <w:tcPr>
            <w:tcW w:w="5155" w:type="dxa"/>
            <w:vAlign w:val="center"/>
          </w:tcPr>
          <w:p w14:paraId="4426BCD1">
            <w:pPr>
              <w:keepNext w:val="0"/>
              <w:keepLines w:val="0"/>
              <w:pageBreakBefore w:val="0"/>
              <w:numPr>
                <w:ilvl w:val="0"/>
                <w:numId w:val="0"/>
              </w:numPr>
              <w:suppressLineNumbers w:val="0"/>
              <w:wordWrap/>
              <w:overflowPunct/>
              <w:topLinePunct w:val="0"/>
              <w:bidi w:val="0"/>
              <w:spacing w:before="0" w:beforeAutospacing="0" w:after="0" w:afterAutospacing="0" w:line="360" w:lineRule="exact"/>
              <w:ind w:left="0" w:leftChars="0" w:right="0" w:firstLine="0" w:firstLineChars="0"/>
              <w:jc w:val="both"/>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主要技术要求</w:t>
            </w:r>
          </w:p>
        </w:tc>
      </w:tr>
      <w:tr w14:paraId="7A3D93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419" w:type="dxa"/>
            <w:vAlign w:val="center"/>
          </w:tcPr>
          <w:p w14:paraId="5F9EE0DF">
            <w:pPr>
              <w:keepNext w:val="0"/>
              <w:keepLines w:val="0"/>
              <w:pageBreakBefore w:val="0"/>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snapToGrid w:val="0"/>
                <w:color w:val="auto"/>
                <w:spacing w:val="-5"/>
                <w:kern w:val="0"/>
                <w:sz w:val="21"/>
                <w:szCs w:val="21"/>
                <w:highlight w:val="none"/>
                <w:lang w:val="en-US" w:eastAsia="zh-CN" w:bidi="ar-SA"/>
              </w:rPr>
            </w:pPr>
            <w:r>
              <w:rPr>
                <w:rFonts w:hint="eastAsia" w:ascii="宋体" w:hAnsi="宋体" w:eastAsia="宋体" w:cs="宋体"/>
                <w:snapToGrid w:val="0"/>
                <w:color w:val="auto"/>
                <w:spacing w:val="-5"/>
                <w:kern w:val="0"/>
                <w:sz w:val="21"/>
                <w:szCs w:val="21"/>
                <w:highlight w:val="none"/>
                <w:lang w:val="en-US" w:eastAsia="zh-CN" w:bidi="ar-SA"/>
              </w:rPr>
              <w:t>20.2.1</w:t>
            </w:r>
          </w:p>
        </w:tc>
        <w:tc>
          <w:tcPr>
            <w:tcW w:w="2004" w:type="dxa"/>
            <w:vAlign w:val="center"/>
          </w:tcPr>
          <w:p w14:paraId="7BCBD803">
            <w:pPr>
              <w:pStyle w:val="24"/>
              <w:keepNext w:val="0"/>
              <w:keepLines w:val="0"/>
              <w:pageBreakBefore w:val="0"/>
              <w:numPr>
                <w:ilvl w:val="0"/>
                <w:numId w:val="0"/>
              </w:numPr>
              <w:suppressLineNumbers w:val="0"/>
              <w:kinsoku w:val="0"/>
              <w:wordWrap/>
              <w:overflowPunct/>
              <w:topLinePunct w:val="0"/>
              <w:autoSpaceDE w:val="0"/>
              <w:autoSpaceDN w:val="0"/>
              <w:bidi w:val="0"/>
              <w:adjustRightInd w:val="0"/>
              <w:snapToGrid w:val="0"/>
              <w:spacing w:before="0" w:beforeAutospacing="0" w:afterAutospacing="0" w:line="360" w:lineRule="exact"/>
              <w:ind w:left="0" w:leftChars="0" w:right="0" w:firstLine="0" w:firstLineChars="0"/>
              <w:jc w:val="both"/>
              <w:textAlignment w:val="baseline"/>
              <w:rPr>
                <w:rFonts w:hint="eastAsia" w:ascii="宋体" w:hAnsi="宋体" w:eastAsia="宋体" w:cs="宋体"/>
                <w:color w:val="auto"/>
                <w:kern w:val="0"/>
                <w:sz w:val="21"/>
                <w:szCs w:val="21"/>
                <w:highlight w:val="none"/>
                <w:lang w:val="en-US" w:eastAsia="zh-CN" w:bidi="ar"/>
              </w:rPr>
            </w:pPr>
          </w:p>
        </w:tc>
        <w:tc>
          <w:tcPr>
            <w:tcW w:w="5155" w:type="dxa"/>
            <w:vAlign w:val="center"/>
          </w:tcPr>
          <w:p w14:paraId="2BC5D73B">
            <w:pPr>
              <w:keepNext w:val="0"/>
              <w:keepLines w:val="0"/>
              <w:pageBreakBefore w:val="0"/>
              <w:numPr>
                <w:ilvl w:val="0"/>
                <w:numId w:val="4"/>
              </w:numPr>
              <w:suppressLineNumbers w:val="0"/>
              <w:wordWrap/>
              <w:overflowPunct/>
              <w:topLinePunct w:val="0"/>
              <w:bidi w:val="0"/>
              <w:snapToGrid w:val="0"/>
              <w:spacing w:before="0" w:beforeAutospacing="0" w:after="0" w:afterAutospacing="0" w:line="360" w:lineRule="exact"/>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容量</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20L</w:t>
            </w:r>
            <w:r>
              <w:rPr>
                <w:rFonts w:hint="eastAsia" w:ascii="宋体" w:hAnsi="宋体" w:eastAsia="宋体" w:cs="宋体"/>
                <w:color w:val="auto"/>
                <w:sz w:val="21"/>
                <w:szCs w:val="21"/>
                <w:highlight w:val="none"/>
                <w:lang w:eastAsia="zh-CN"/>
              </w:rPr>
              <w:t>；</w:t>
            </w:r>
          </w:p>
          <w:p w14:paraId="29B99362">
            <w:pPr>
              <w:keepNext w:val="0"/>
              <w:keepLines w:val="0"/>
              <w:pageBreakBefore w:val="0"/>
              <w:numPr>
                <w:ilvl w:val="-1"/>
                <w:numId w:val="0"/>
              </w:numPr>
              <w:suppressLineNumbers w:val="0"/>
              <w:wordWrap/>
              <w:overflowPunct/>
              <w:topLinePunct w:val="0"/>
              <w:bidi w:val="0"/>
              <w:snapToGrid w:val="0"/>
              <w:spacing w:before="0" w:beforeAutospacing="0" w:after="0" w:afterAutospacing="0" w:line="360" w:lineRule="exact"/>
              <w:ind w:left="0" w:right="0"/>
              <w:jc w:val="both"/>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具有温度可调节功能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能适应各类药品的冷藏，冷藏温度达2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8摄氏度</w:t>
            </w:r>
            <w:r>
              <w:rPr>
                <w:rFonts w:hint="eastAsia" w:ascii="宋体" w:hAnsi="宋体" w:eastAsia="宋体" w:cs="宋体"/>
                <w:color w:val="auto"/>
                <w:sz w:val="21"/>
                <w:szCs w:val="21"/>
                <w:highlight w:val="none"/>
                <w:lang w:eastAsia="zh-CN"/>
              </w:rPr>
              <w:t>；</w:t>
            </w:r>
          </w:p>
          <w:p w14:paraId="2387FA0A">
            <w:pPr>
              <w:keepNext w:val="0"/>
              <w:keepLines w:val="0"/>
              <w:pageBreakBefore w:val="0"/>
              <w:numPr>
                <w:ilvl w:val="-1"/>
                <w:numId w:val="0"/>
              </w:numPr>
              <w:suppressLineNumbers w:val="0"/>
              <w:wordWrap/>
              <w:overflowPunct/>
              <w:topLinePunct w:val="0"/>
              <w:bidi w:val="0"/>
              <w:snapToGrid w:val="0"/>
              <w:spacing w:before="0" w:beforeAutospacing="0" w:after="0" w:afterAutospacing="0" w:line="360" w:lineRule="exact"/>
              <w:ind w:left="0" w:right="0"/>
              <w:jc w:val="both"/>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val="en-US" w:eastAsia="zh-CN"/>
              </w:rPr>
              <w:t>3、冰箱</w:t>
            </w:r>
            <w:r>
              <w:rPr>
                <w:rFonts w:hint="eastAsia" w:ascii="宋体" w:hAnsi="宋体" w:eastAsia="宋体" w:cs="宋体"/>
                <w:color w:val="auto"/>
                <w:sz w:val="21"/>
                <w:szCs w:val="21"/>
                <w:highlight w:val="none"/>
              </w:rPr>
              <w:t>面板上可显示温度</w:t>
            </w:r>
            <w:r>
              <w:rPr>
                <w:rFonts w:hint="eastAsia" w:ascii="宋体" w:hAnsi="宋体" w:eastAsia="宋体" w:cs="宋体"/>
                <w:color w:val="auto"/>
                <w:sz w:val="21"/>
                <w:szCs w:val="21"/>
                <w:highlight w:val="none"/>
                <w:lang w:eastAsia="zh-CN"/>
              </w:rPr>
              <w:t>；</w:t>
            </w:r>
          </w:p>
          <w:p w14:paraId="37DD96D7">
            <w:pPr>
              <w:keepNext w:val="0"/>
              <w:keepLines w:val="0"/>
              <w:pageBreakBefore w:val="0"/>
              <w:suppressLineNumbers w:val="0"/>
              <w:wordWrap/>
              <w:overflowPunct/>
              <w:topLinePunct w:val="0"/>
              <w:bidi w:val="0"/>
              <w:snapToGrid w:val="0"/>
              <w:spacing w:before="0" w:beforeAutospacing="0" w:after="0" w:afterAutospacing="0" w:line="360" w:lineRule="exact"/>
              <w:ind w:left="0" w:right="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.电源：DC</w:t>
            </w: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12V；</w:t>
            </w:r>
          </w:p>
          <w:p w14:paraId="6E9C234A">
            <w:pPr>
              <w:pStyle w:val="24"/>
              <w:keepNext w:val="0"/>
              <w:keepLines w:val="0"/>
              <w:pageBreakBefore w:val="0"/>
              <w:numPr>
                <w:ilvl w:val="0"/>
                <w:numId w:val="0"/>
              </w:numPr>
              <w:suppressLineNumbers w:val="0"/>
              <w:kinsoku w:val="0"/>
              <w:wordWrap/>
              <w:overflowPunct/>
              <w:topLinePunct w:val="0"/>
              <w:autoSpaceDE w:val="0"/>
              <w:autoSpaceDN w:val="0"/>
              <w:bidi w:val="0"/>
              <w:adjustRightInd w:val="0"/>
              <w:snapToGrid w:val="0"/>
              <w:spacing w:before="0" w:beforeAutospacing="0" w:afterAutospacing="0" w:line="360" w:lineRule="exact"/>
              <w:ind w:left="0" w:leftChars="0" w:right="0" w:firstLine="0" w:firstLineChars="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.功率：≥6</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W</w:t>
            </w:r>
          </w:p>
        </w:tc>
      </w:tr>
      <w:tr w14:paraId="1D7C3E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12C4F74E">
            <w:pPr>
              <w:keepNext w:val="0"/>
              <w:keepLines w:val="0"/>
              <w:pageBreakBefore w:val="0"/>
              <w:widowControl/>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color w:val="auto"/>
                <w:kern w:val="2"/>
                <w:sz w:val="21"/>
                <w:szCs w:val="21"/>
                <w:highlight w:val="none"/>
                <w:lang w:val="en-US" w:eastAsia="zh-CN" w:bidi="ar-SA"/>
              </w:rPr>
            </w:pPr>
          </w:p>
        </w:tc>
        <w:tc>
          <w:tcPr>
            <w:tcW w:w="2004" w:type="dxa"/>
            <w:vAlign w:val="center"/>
          </w:tcPr>
          <w:p w14:paraId="2F0CA258">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1A0368FC">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r>
      <w:tr w14:paraId="23E7FB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62404F8A">
            <w:pPr>
              <w:keepNext w:val="0"/>
              <w:keepLines w:val="0"/>
              <w:pageBreakBefore w:val="0"/>
              <w:widowControl/>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w:t>
            </w:r>
          </w:p>
        </w:tc>
        <w:tc>
          <w:tcPr>
            <w:tcW w:w="2004" w:type="dxa"/>
            <w:vAlign w:val="center"/>
          </w:tcPr>
          <w:p w14:paraId="243B1B9D">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检查灯</w:t>
            </w:r>
          </w:p>
        </w:tc>
        <w:tc>
          <w:tcPr>
            <w:tcW w:w="5155" w:type="dxa"/>
            <w:vAlign w:val="center"/>
          </w:tcPr>
          <w:p w14:paraId="583F6AFF">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r>
      <w:tr w14:paraId="31EADE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79A85BB0">
            <w:pPr>
              <w:keepNext w:val="0"/>
              <w:keepLines w:val="0"/>
              <w:pageBreakBefore w:val="0"/>
              <w:widowControl/>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22.1</w:t>
            </w:r>
          </w:p>
        </w:tc>
        <w:tc>
          <w:tcPr>
            <w:tcW w:w="2004" w:type="dxa"/>
            <w:vAlign w:val="center"/>
          </w:tcPr>
          <w:p w14:paraId="2C903022">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691F9F42">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主要用途：</w:t>
            </w:r>
            <w:r>
              <w:rPr>
                <w:rFonts w:hint="eastAsia" w:ascii="宋体" w:hAnsi="宋体" w:eastAsia="宋体" w:cs="宋体"/>
                <w:color w:val="auto"/>
                <w:sz w:val="21"/>
                <w:szCs w:val="21"/>
                <w:highlight w:val="none"/>
              </w:rPr>
              <w:t>用于耳鼻喉眼</w:t>
            </w:r>
            <w:r>
              <w:rPr>
                <w:rFonts w:hint="eastAsia" w:ascii="宋体" w:hAnsi="宋体" w:eastAsia="宋体" w:cs="宋体"/>
                <w:color w:val="auto"/>
                <w:sz w:val="21"/>
                <w:szCs w:val="21"/>
                <w:highlight w:val="none"/>
                <w:lang w:val="en-US" w:eastAsia="zh-CN"/>
              </w:rPr>
              <w:t>科检查</w:t>
            </w:r>
          </w:p>
        </w:tc>
      </w:tr>
      <w:tr w14:paraId="6E6B6A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30FF29C7">
            <w:pPr>
              <w:keepNext w:val="0"/>
              <w:keepLines w:val="0"/>
              <w:pageBreakBefore w:val="0"/>
              <w:widowControl/>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22.2</w:t>
            </w:r>
          </w:p>
        </w:tc>
        <w:tc>
          <w:tcPr>
            <w:tcW w:w="2004" w:type="dxa"/>
            <w:vAlign w:val="center"/>
          </w:tcPr>
          <w:p w14:paraId="1FDA6291">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75383AF9">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主要技术要求</w:t>
            </w:r>
          </w:p>
        </w:tc>
      </w:tr>
      <w:tr w14:paraId="1F42AC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0B80ACE2">
            <w:pPr>
              <w:keepNext w:val="0"/>
              <w:keepLines w:val="0"/>
              <w:pageBreakBefore w:val="0"/>
              <w:widowControl/>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22.2.1</w:t>
            </w:r>
          </w:p>
        </w:tc>
        <w:tc>
          <w:tcPr>
            <w:tcW w:w="2004" w:type="dxa"/>
            <w:vAlign w:val="center"/>
          </w:tcPr>
          <w:p w14:paraId="5F096DD1">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p>
        </w:tc>
        <w:tc>
          <w:tcPr>
            <w:tcW w:w="5155" w:type="dxa"/>
            <w:vAlign w:val="center"/>
          </w:tcPr>
          <w:p w14:paraId="0FD35748">
            <w:pPr>
              <w:keepNext w:val="0"/>
              <w:keepLines w:val="0"/>
              <w:pageBreakBefore w:val="0"/>
              <w:widowControl/>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LED光源</w:t>
            </w:r>
          </w:p>
        </w:tc>
      </w:tr>
      <w:tr w14:paraId="26B5E8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9" w:type="dxa"/>
            <w:vAlign w:val="center"/>
          </w:tcPr>
          <w:p w14:paraId="306F5F69">
            <w:pPr>
              <w:keepNext w:val="0"/>
              <w:keepLines w:val="0"/>
              <w:pageBreakBefore w:val="0"/>
              <w:widowControl/>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22.2.2</w:t>
            </w:r>
          </w:p>
        </w:tc>
        <w:tc>
          <w:tcPr>
            <w:tcW w:w="2004" w:type="dxa"/>
            <w:vAlign w:val="center"/>
          </w:tcPr>
          <w:p w14:paraId="2577CB55">
            <w:pPr>
              <w:pStyle w:val="24"/>
              <w:keepNext w:val="0"/>
              <w:keepLines w:val="0"/>
              <w:pageBreakBefore w:val="0"/>
              <w:numPr>
                <w:ilvl w:val="0"/>
                <w:numId w:val="0"/>
              </w:numPr>
              <w:suppressLineNumbers w:val="0"/>
              <w:wordWrap/>
              <w:overflowPunct/>
              <w:topLinePunct w:val="0"/>
              <w:bidi w:val="0"/>
              <w:spacing w:before="0" w:beforeAutospacing="0" w:afterAutospacing="0" w:line="360" w:lineRule="exact"/>
              <w:ind w:left="0" w:leftChars="0" w:right="0" w:firstLine="0" w:firstLineChars="0"/>
              <w:jc w:val="both"/>
              <w:rPr>
                <w:rFonts w:hint="eastAsia" w:ascii="宋体" w:hAnsi="宋体" w:eastAsia="宋体" w:cs="宋体"/>
                <w:color w:val="auto"/>
                <w:kern w:val="0"/>
                <w:sz w:val="21"/>
                <w:szCs w:val="21"/>
                <w:highlight w:val="none"/>
                <w:lang w:val="en-US" w:eastAsia="zh-CN" w:bidi="ar-SA"/>
              </w:rPr>
            </w:pPr>
          </w:p>
        </w:tc>
        <w:tc>
          <w:tcPr>
            <w:tcW w:w="5155" w:type="dxa"/>
            <w:vAlign w:val="center"/>
          </w:tcPr>
          <w:p w14:paraId="0B9CD1E4">
            <w:pPr>
              <w:keepNext w:val="0"/>
              <w:keepLines w:val="0"/>
              <w:pageBreakBefore w:val="0"/>
              <w:widowControl/>
              <w:numPr>
                <w:ilvl w:val="0"/>
                <w:numId w:val="5"/>
              </w:numPr>
              <w:suppressLineNumbers w:val="0"/>
              <w:wordWrap/>
              <w:overflowPunct/>
              <w:topLinePunct w:val="0"/>
              <w:bidi w:val="0"/>
              <w:spacing w:before="0" w:beforeAutospacing="0" w:after="0" w:afterAutospacing="0" w:line="360" w:lineRule="exact"/>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专业级医护灯</w:t>
            </w:r>
          </w:p>
          <w:p w14:paraId="752838A8">
            <w:pPr>
              <w:pStyle w:val="24"/>
              <w:keepNext w:val="0"/>
              <w:keepLines w:val="0"/>
              <w:pageBreakBefore w:val="0"/>
              <w:numPr>
                <w:ilvl w:val="0"/>
                <w:numId w:val="5"/>
              </w:numPr>
              <w:suppressLineNumbers w:val="0"/>
              <w:wordWrap/>
              <w:overflowPunct/>
              <w:topLinePunct w:val="0"/>
              <w:bidi w:val="0"/>
              <w:spacing w:before="0" w:beforeAutospacing="0" w:afterAutospacing="0" w:line="360" w:lineRule="exact"/>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LED光源，黄白双灯光源。</w:t>
            </w:r>
          </w:p>
        </w:tc>
      </w:tr>
      <w:tr w14:paraId="736F0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5F964500">
            <w:pPr>
              <w:keepNext w:val="0"/>
              <w:keepLines w:val="0"/>
              <w:pageBreakBefore w:val="0"/>
              <w:widowControl/>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color w:val="auto"/>
                <w:kern w:val="2"/>
                <w:sz w:val="21"/>
                <w:szCs w:val="21"/>
                <w:highlight w:val="none"/>
                <w:lang w:val="en-US" w:eastAsia="zh-CN" w:bidi="ar-SA"/>
              </w:rPr>
            </w:pPr>
          </w:p>
        </w:tc>
        <w:tc>
          <w:tcPr>
            <w:tcW w:w="2004" w:type="dxa"/>
            <w:vAlign w:val="center"/>
          </w:tcPr>
          <w:p w14:paraId="2AFC22A3">
            <w:pPr>
              <w:pStyle w:val="24"/>
              <w:keepNext w:val="0"/>
              <w:keepLines w:val="0"/>
              <w:pageBreakBefore w:val="0"/>
              <w:numPr>
                <w:ilvl w:val="0"/>
                <w:numId w:val="0"/>
              </w:numPr>
              <w:suppressLineNumbers w:val="0"/>
              <w:wordWrap/>
              <w:overflowPunct/>
              <w:topLinePunct w:val="0"/>
              <w:bidi w:val="0"/>
              <w:spacing w:before="0" w:beforeAutospacing="0" w:afterAutospacing="0" w:line="360" w:lineRule="exact"/>
              <w:ind w:left="0" w:leftChars="0" w:right="0" w:firstLine="0" w:firstLineChars="0"/>
              <w:jc w:val="both"/>
              <w:rPr>
                <w:rFonts w:hint="eastAsia" w:ascii="宋体" w:hAnsi="宋体" w:eastAsia="宋体" w:cs="宋体"/>
                <w:color w:val="auto"/>
                <w:kern w:val="0"/>
                <w:sz w:val="21"/>
                <w:szCs w:val="21"/>
                <w:highlight w:val="none"/>
                <w:lang w:val="en-US" w:eastAsia="zh-CN" w:bidi="ar-SA"/>
              </w:rPr>
            </w:pPr>
          </w:p>
        </w:tc>
        <w:tc>
          <w:tcPr>
            <w:tcW w:w="5155" w:type="dxa"/>
            <w:vAlign w:val="center"/>
          </w:tcPr>
          <w:p w14:paraId="4D07566A">
            <w:pPr>
              <w:pStyle w:val="24"/>
              <w:keepNext w:val="0"/>
              <w:keepLines w:val="0"/>
              <w:pageBreakBefore w:val="0"/>
              <w:numPr>
                <w:ilvl w:val="0"/>
                <w:numId w:val="0"/>
              </w:numPr>
              <w:suppressLineNumbers w:val="0"/>
              <w:wordWrap/>
              <w:overflowPunct/>
              <w:topLinePunct w:val="0"/>
              <w:bidi w:val="0"/>
              <w:spacing w:before="0" w:beforeAutospacing="0" w:afterAutospacing="0" w:line="360" w:lineRule="exact"/>
              <w:ind w:left="0" w:leftChars="0" w:right="0" w:firstLine="0" w:firstLineChars="0"/>
              <w:jc w:val="both"/>
              <w:rPr>
                <w:rFonts w:hint="eastAsia" w:ascii="宋体" w:hAnsi="宋体" w:eastAsia="宋体" w:cs="宋体"/>
                <w:color w:val="auto"/>
                <w:kern w:val="0"/>
                <w:sz w:val="21"/>
                <w:szCs w:val="21"/>
                <w:highlight w:val="none"/>
                <w:lang w:val="en-US" w:eastAsia="zh-CN" w:bidi="ar-SA"/>
              </w:rPr>
            </w:pPr>
          </w:p>
        </w:tc>
      </w:tr>
      <w:tr w14:paraId="5B2E56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9" w:type="dxa"/>
            <w:vAlign w:val="center"/>
          </w:tcPr>
          <w:p w14:paraId="21BDA749">
            <w:pPr>
              <w:keepNext w:val="0"/>
              <w:keepLines w:val="0"/>
              <w:pageBreakBefore w:val="0"/>
              <w:widowControl/>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23</w:t>
            </w:r>
          </w:p>
        </w:tc>
        <w:tc>
          <w:tcPr>
            <w:tcW w:w="2004" w:type="dxa"/>
            <w:vAlign w:val="center"/>
          </w:tcPr>
          <w:p w14:paraId="2768DB78">
            <w:pPr>
              <w:pStyle w:val="24"/>
              <w:keepNext w:val="0"/>
              <w:keepLines w:val="0"/>
              <w:pageBreakBefore w:val="0"/>
              <w:numPr>
                <w:ilvl w:val="0"/>
                <w:numId w:val="0"/>
              </w:numPr>
              <w:suppressLineNumbers w:val="0"/>
              <w:wordWrap/>
              <w:overflowPunct/>
              <w:topLinePunct w:val="0"/>
              <w:bidi w:val="0"/>
              <w:spacing w:before="0" w:beforeAutospacing="0" w:afterAutospacing="0" w:line="360" w:lineRule="exact"/>
              <w:ind w:left="0" w:leftChars="0" w:right="0" w:firstLine="0" w:firstLine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其他</w:t>
            </w:r>
          </w:p>
        </w:tc>
        <w:tc>
          <w:tcPr>
            <w:tcW w:w="5155" w:type="dxa"/>
            <w:vAlign w:val="center"/>
          </w:tcPr>
          <w:p w14:paraId="0DB36B29">
            <w:pPr>
              <w:pStyle w:val="24"/>
              <w:keepNext w:val="0"/>
              <w:keepLines w:val="0"/>
              <w:pageBreakBefore w:val="0"/>
              <w:numPr>
                <w:ilvl w:val="0"/>
                <w:numId w:val="0"/>
              </w:numPr>
              <w:suppressLineNumbers w:val="0"/>
              <w:wordWrap/>
              <w:overflowPunct/>
              <w:topLinePunct w:val="0"/>
              <w:bidi w:val="0"/>
              <w:spacing w:before="0" w:beforeAutospacing="0" w:afterAutospacing="0" w:line="360" w:lineRule="exact"/>
              <w:ind w:left="0" w:leftChars="0" w:right="0" w:firstLine="0" w:firstLineChars="0"/>
              <w:jc w:val="both"/>
              <w:rPr>
                <w:rFonts w:hint="eastAsia" w:ascii="宋体" w:hAnsi="宋体" w:eastAsia="宋体" w:cs="宋体"/>
                <w:color w:val="auto"/>
                <w:kern w:val="0"/>
                <w:sz w:val="21"/>
                <w:szCs w:val="21"/>
                <w:highlight w:val="none"/>
                <w:lang w:val="en-US" w:eastAsia="zh-CN" w:bidi="ar-SA"/>
              </w:rPr>
            </w:pPr>
          </w:p>
        </w:tc>
      </w:tr>
      <w:tr w14:paraId="38FC4B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19" w:type="dxa"/>
            <w:vAlign w:val="center"/>
          </w:tcPr>
          <w:p w14:paraId="1E0220C2">
            <w:pPr>
              <w:keepNext w:val="0"/>
              <w:keepLines w:val="0"/>
              <w:pageBreakBefore w:val="0"/>
              <w:widowControl/>
              <w:suppressLineNumbers w:val="0"/>
              <w:wordWrap/>
              <w:overflowPunct/>
              <w:topLinePunct w:val="0"/>
              <w:bidi w:val="0"/>
              <w:adjustRightInd w:val="0"/>
              <w:spacing w:before="0" w:beforeAutospacing="0" w:after="0" w:afterAutospacing="0" w:line="36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22.3</w:t>
            </w:r>
          </w:p>
        </w:tc>
        <w:tc>
          <w:tcPr>
            <w:tcW w:w="2004" w:type="dxa"/>
            <w:vAlign w:val="center"/>
          </w:tcPr>
          <w:p w14:paraId="3050FEB1">
            <w:pPr>
              <w:pStyle w:val="24"/>
              <w:keepNext w:val="0"/>
              <w:keepLines w:val="0"/>
              <w:pageBreakBefore w:val="0"/>
              <w:numPr>
                <w:ilvl w:val="0"/>
                <w:numId w:val="0"/>
              </w:numPr>
              <w:suppressLineNumbers w:val="0"/>
              <w:wordWrap/>
              <w:overflowPunct/>
              <w:topLinePunct w:val="0"/>
              <w:bidi w:val="0"/>
              <w:spacing w:before="0" w:beforeAutospacing="0" w:afterAutospacing="0" w:line="360" w:lineRule="exact"/>
              <w:ind w:left="0" w:leftChars="0" w:right="0" w:firstLine="0" w:firstLineChars="0"/>
              <w:jc w:val="both"/>
              <w:rPr>
                <w:rFonts w:hint="eastAsia" w:ascii="宋体" w:hAnsi="宋体" w:eastAsia="宋体" w:cs="宋体"/>
                <w:color w:val="auto"/>
                <w:kern w:val="0"/>
                <w:sz w:val="21"/>
                <w:szCs w:val="21"/>
                <w:highlight w:val="none"/>
                <w:lang w:val="en-US" w:eastAsia="zh-CN" w:bidi="ar-SA"/>
              </w:rPr>
            </w:pPr>
          </w:p>
        </w:tc>
        <w:tc>
          <w:tcPr>
            <w:tcW w:w="5155" w:type="dxa"/>
            <w:vAlign w:val="center"/>
          </w:tcPr>
          <w:p w14:paraId="0114E03F">
            <w:pPr>
              <w:pStyle w:val="24"/>
              <w:keepNext w:val="0"/>
              <w:keepLines w:val="0"/>
              <w:pageBreakBefore w:val="0"/>
              <w:numPr>
                <w:ilvl w:val="0"/>
                <w:numId w:val="0"/>
              </w:numPr>
              <w:suppressLineNumbers w:val="0"/>
              <w:wordWrap/>
              <w:overflowPunct/>
              <w:topLinePunct w:val="0"/>
              <w:bidi w:val="0"/>
              <w:spacing w:before="0" w:beforeAutospacing="0" w:afterAutospacing="0" w:line="360" w:lineRule="exact"/>
              <w:ind w:left="0" w:leftChars="0" w:right="0" w:firstLine="0" w:firstLine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医疗废物收纳盒、垃圾桶1个</w:t>
            </w:r>
          </w:p>
        </w:tc>
      </w:tr>
    </w:tbl>
    <w:p w14:paraId="6D3A6281">
      <w:pPr>
        <w:keepNext w:val="0"/>
        <w:keepLines w:val="0"/>
        <w:pageBreakBefore w:val="0"/>
        <w:widowControl w:val="0"/>
        <w:kinsoku/>
        <w:wordWrap/>
        <w:overflowPunct/>
        <w:topLinePunct w:val="0"/>
        <w:autoSpaceDE/>
        <w:autoSpaceDN/>
        <w:bidi w:val="0"/>
        <w:adjustRightInd/>
        <w:snapToGrid/>
        <w:spacing w:beforeAutospacing="0" w:line="360" w:lineRule="exact"/>
        <w:textAlignment w:val="auto"/>
        <w:rPr>
          <w:rFonts w:hint="eastAsia" w:ascii="宋体" w:hAnsi="宋体" w:eastAsia="宋体" w:cs="宋体"/>
          <w:b/>
          <w:bCs/>
          <w:sz w:val="21"/>
          <w:szCs w:val="21"/>
          <w:highlight w:val="none"/>
          <w:lang w:val="en-US" w:eastAsia="zh-CN"/>
        </w:rPr>
      </w:pPr>
    </w:p>
    <w:p w14:paraId="5D3F7B69">
      <w:pPr>
        <w:pStyle w:val="973"/>
        <w:keepNext w:val="0"/>
        <w:keepLines w:val="0"/>
        <w:pageBreakBefore w:val="0"/>
        <w:widowControl w:val="0"/>
        <w:kinsoku/>
        <w:wordWrap/>
        <w:overflowPunct/>
        <w:topLinePunct w:val="0"/>
        <w:autoSpaceDE/>
        <w:autoSpaceDN/>
        <w:bidi w:val="0"/>
        <w:adjustRightInd/>
        <w:snapToGrid/>
        <w:spacing w:before="0" w:beforeAutospacing="0" w:after="0" w:line="360" w:lineRule="exact"/>
        <w:ind w:left="0" w:leftChars="0" w:firstLine="442" w:firstLineChars="200"/>
        <w:textAlignment w:val="auto"/>
        <w:rPr>
          <w:rFonts w:hint="eastAsia" w:ascii="宋体" w:hAnsi="宋体" w:eastAsia="宋体" w:cs="宋体"/>
          <w:b/>
          <w:bCs/>
          <w:spacing w:val="5"/>
          <w:sz w:val="21"/>
          <w:szCs w:val="21"/>
          <w:highlight w:val="none"/>
          <w:lang w:val="en-US" w:eastAsia="zh-CN"/>
        </w:rPr>
      </w:pPr>
    </w:p>
    <w:p w14:paraId="431BD560">
      <w:pPr>
        <w:rPr>
          <w:rFonts w:hint="eastAsia" w:ascii="宋体" w:hAnsi="宋体" w:eastAsia="宋体" w:cs="宋体"/>
          <w:b/>
          <w:bCs/>
          <w:spacing w:val="5"/>
          <w:sz w:val="21"/>
          <w:szCs w:val="21"/>
          <w:highlight w:val="none"/>
          <w:lang w:val="en-US" w:eastAsia="zh-CN"/>
        </w:rPr>
      </w:pPr>
      <w:r>
        <w:rPr>
          <w:rFonts w:hint="eastAsia" w:ascii="宋体" w:hAnsi="宋体" w:eastAsia="宋体" w:cs="宋体"/>
          <w:b/>
          <w:bCs/>
          <w:spacing w:val="5"/>
          <w:sz w:val="21"/>
          <w:szCs w:val="21"/>
          <w:highlight w:val="none"/>
          <w:lang w:val="en-US" w:eastAsia="zh-CN"/>
        </w:rPr>
        <w:br w:type="page"/>
      </w:r>
    </w:p>
    <w:p w14:paraId="4B5F7D02">
      <w:pPr>
        <w:pStyle w:val="973"/>
        <w:keepNext w:val="0"/>
        <w:keepLines w:val="0"/>
        <w:pageBreakBefore w:val="0"/>
        <w:widowControl w:val="0"/>
        <w:kinsoku/>
        <w:wordWrap/>
        <w:overflowPunct/>
        <w:topLinePunct w:val="0"/>
        <w:autoSpaceDE/>
        <w:autoSpaceDN/>
        <w:bidi w:val="0"/>
        <w:adjustRightInd/>
        <w:snapToGrid/>
        <w:spacing w:before="0" w:beforeAutospacing="0" w:after="0" w:line="360" w:lineRule="exact"/>
        <w:ind w:left="0" w:leftChars="0" w:firstLine="0" w:firstLineChars="0"/>
        <w:textAlignment w:val="auto"/>
        <w:rPr>
          <w:rFonts w:hint="eastAsia" w:ascii="宋体" w:hAnsi="宋体" w:eastAsia="宋体" w:cs="宋体"/>
          <w:b/>
          <w:bCs/>
          <w:spacing w:val="5"/>
          <w:sz w:val="21"/>
          <w:szCs w:val="21"/>
          <w:highlight w:val="none"/>
          <w:lang w:val="en-US" w:eastAsia="zh-CN"/>
        </w:rPr>
      </w:pPr>
      <w:r>
        <w:rPr>
          <w:rFonts w:hint="eastAsia" w:ascii="宋体" w:hAnsi="宋体" w:eastAsia="宋体" w:cs="宋体"/>
          <w:b/>
          <w:bCs/>
          <w:spacing w:val="5"/>
          <w:sz w:val="21"/>
          <w:szCs w:val="21"/>
          <w:highlight w:val="none"/>
          <w:lang w:val="en-US" w:eastAsia="zh-CN"/>
        </w:rPr>
        <w:t>（四）车辆信息化建设要求</w:t>
      </w:r>
    </w:p>
    <w:p w14:paraId="3C23BC0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lang w:val="en-US" w:eastAsia="zh-CN"/>
        </w:rPr>
      </w:pPr>
    </w:p>
    <w:p w14:paraId="6A6A2B13">
      <w:pPr>
        <w:pStyle w:val="973"/>
        <w:adjustRightInd/>
        <w:ind w:left="0" w:leftChars="0" w:firstLine="0" w:firstLineChars="0"/>
        <w:textAlignment w:val="auto"/>
        <w:rPr>
          <w:rFonts w:ascii="宋体" w:hAnsi="宋体" w:eastAsia="宋体" w:cs="宋体"/>
          <w:b w:val="0"/>
          <w:bCs w:val="0"/>
          <w:kern w:val="2"/>
          <w:highlight w:val="none"/>
        </w:rPr>
      </w:pPr>
      <w:r>
        <w:rPr>
          <w:rFonts w:hint="eastAsia" w:ascii="宋体" w:hAnsi="宋体" w:eastAsia="宋体" w:cs="宋体"/>
          <w:b w:val="0"/>
          <w:bCs w:val="0"/>
          <w:kern w:val="2"/>
          <w:highlight w:val="none"/>
        </w:rPr>
        <w:t>1、</w:t>
      </w:r>
      <w:r>
        <w:rPr>
          <w:rFonts w:hint="eastAsia" w:ascii="宋体" w:hAnsi="宋体" w:eastAsia="宋体" w:cs="宋体"/>
          <w:b w:val="0"/>
          <w:bCs w:val="0"/>
          <w:spacing w:val="-2"/>
          <w:sz w:val="24"/>
          <w:szCs w:val="24"/>
          <w:highlight w:val="none"/>
          <w:lang w:val="en-US" w:eastAsia="zh-CN"/>
        </w:rPr>
        <w:t>数据传输目标</w:t>
      </w:r>
    </w:p>
    <w:tbl>
      <w:tblPr>
        <w:tblStyle w:val="6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7241"/>
      </w:tblGrid>
      <w:tr w14:paraId="30B0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37" w:type="pct"/>
            <w:tcBorders>
              <w:tl2br w:val="nil"/>
              <w:tr2bl w:val="nil"/>
            </w:tcBorders>
            <w:noWrap w:val="0"/>
            <w:vAlign w:val="center"/>
          </w:tcPr>
          <w:p w14:paraId="594DE590">
            <w:pPr>
              <w:pStyle w:val="976"/>
              <w:bidi w:val="0"/>
              <w:rPr>
                <w:highlight w:val="none"/>
              </w:rPr>
            </w:pPr>
            <w:r>
              <w:rPr>
                <w:rFonts w:hint="eastAsia"/>
                <w:highlight w:val="none"/>
              </w:rPr>
              <w:t>序号</w:t>
            </w:r>
          </w:p>
        </w:tc>
        <w:tc>
          <w:tcPr>
            <w:tcW w:w="4262" w:type="pct"/>
            <w:tcBorders>
              <w:tl2br w:val="nil"/>
              <w:tr2bl w:val="nil"/>
            </w:tcBorders>
            <w:noWrap w:val="0"/>
            <w:vAlign w:val="center"/>
          </w:tcPr>
          <w:p w14:paraId="71EBF6E3">
            <w:pPr>
              <w:pStyle w:val="976"/>
              <w:bidi w:val="0"/>
              <w:rPr>
                <w:highlight w:val="none"/>
              </w:rPr>
            </w:pPr>
            <w:r>
              <w:rPr>
                <w:rFonts w:hint="eastAsia"/>
                <w:highlight w:val="none"/>
              </w:rPr>
              <w:t>招标要求</w:t>
            </w:r>
          </w:p>
        </w:tc>
      </w:tr>
      <w:tr w14:paraId="1BF8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pct"/>
            <w:tcBorders>
              <w:tl2br w:val="nil"/>
              <w:tr2bl w:val="nil"/>
            </w:tcBorders>
            <w:noWrap w:val="0"/>
            <w:vAlign w:val="center"/>
          </w:tcPr>
          <w:p w14:paraId="15A4677B">
            <w:pPr>
              <w:pStyle w:val="976"/>
              <w:bidi w:val="0"/>
              <w:rPr>
                <w:highlight w:val="none"/>
              </w:rPr>
            </w:pPr>
            <w:r>
              <w:rPr>
                <w:rFonts w:hint="eastAsia"/>
                <w:highlight w:val="none"/>
              </w:rPr>
              <w:t>一</w:t>
            </w:r>
          </w:p>
        </w:tc>
        <w:tc>
          <w:tcPr>
            <w:tcW w:w="4262" w:type="pct"/>
            <w:tcBorders>
              <w:tl2br w:val="nil"/>
              <w:tr2bl w:val="nil"/>
            </w:tcBorders>
            <w:noWrap w:val="0"/>
            <w:vAlign w:val="center"/>
          </w:tcPr>
          <w:p w14:paraId="28C74885">
            <w:pPr>
              <w:pStyle w:val="976"/>
              <w:bidi w:val="0"/>
              <w:rPr>
                <w:highlight w:val="none"/>
              </w:rPr>
            </w:pPr>
            <w:r>
              <w:rPr>
                <w:rFonts w:hint="eastAsia"/>
                <w:highlight w:val="none"/>
              </w:rPr>
              <w:t>总体要求</w:t>
            </w:r>
          </w:p>
        </w:tc>
      </w:tr>
      <w:tr w14:paraId="330E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pct"/>
            <w:tcBorders>
              <w:tl2br w:val="nil"/>
              <w:tr2bl w:val="nil"/>
            </w:tcBorders>
            <w:noWrap w:val="0"/>
            <w:vAlign w:val="center"/>
          </w:tcPr>
          <w:p w14:paraId="2630C9E8">
            <w:pPr>
              <w:pStyle w:val="976"/>
              <w:bidi w:val="0"/>
              <w:rPr>
                <w:rFonts w:hint="default"/>
                <w:highlight w:val="none"/>
                <w:lang w:val="en-US" w:eastAsia="zh-CN"/>
              </w:rPr>
            </w:pPr>
            <w:r>
              <w:rPr>
                <w:rFonts w:hint="eastAsia"/>
                <w:highlight w:val="none"/>
              </w:rPr>
              <w:t>1</w:t>
            </w:r>
            <w:r>
              <w:rPr>
                <w:rFonts w:hint="eastAsia"/>
                <w:highlight w:val="none"/>
                <w:lang w:eastAsia="zh-CN"/>
              </w:rPr>
              <w:t>.</w:t>
            </w:r>
            <w:r>
              <w:rPr>
                <w:rFonts w:hint="eastAsia"/>
                <w:highlight w:val="none"/>
                <w:lang w:val="en-US" w:eastAsia="zh-CN"/>
              </w:rPr>
              <w:t>1</w:t>
            </w:r>
          </w:p>
        </w:tc>
        <w:tc>
          <w:tcPr>
            <w:tcW w:w="4262" w:type="pct"/>
            <w:tcBorders>
              <w:tl2br w:val="nil"/>
              <w:tr2bl w:val="nil"/>
            </w:tcBorders>
            <w:noWrap w:val="0"/>
            <w:vAlign w:val="center"/>
          </w:tcPr>
          <w:p w14:paraId="4AF783BC">
            <w:pPr>
              <w:pStyle w:val="976"/>
              <w:bidi w:val="0"/>
              <w:rPr>
                <w:highlight w:val="none"/>
              </w:rPr>
            </w:pPr>
            <w:r>
              <w:rPr>
                <w:rFonts w:hint="eastAsia"/>
                <w:highlight w:val="none"/>
                <w:lang w:val="en-US" w:eastAsia="zh-CN"/>
              </w:rPr>
              <w:t>智慧流动医院巡回诊疗车，基于车载信息平台，将车辆轨迹数据、人员打卡数据上传至省平台，同时支持省平台按需查询实时视频数据。</w:t>
            </w:r>
          </w:p>
        </w:tc>
      </w:tr>
    </w:tbl>
    <w:p w14:paraId="38413325">
      <w:pPr>
        <w:spacing w:line="360" w:lineRule="auto"/>
        <w:rPr>
          <w:sz w:val="24"/>
          <w:szCs w:val="24"/>
          <w:highlight w:val="none"/>
        </w:rPr>
      </w:pPr>
      <w:r>
        <w:rPr>
          <w:rFonts w:hint="eastAsia"/>
          <w:sz w:val="24"/>
          <w:szCs w:val="24"/>
          <w:highlight w:val="none"/>
        </w:rPr>
        <w:t>2、车辆信息化建设</w:t>
      </w:r>
    </w:p>
    <w:tbl>
      <w:tblPr>
        <w:tblStyle w:val="6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7230"/>
      </w:tblGrid>
      <w:tr w14:paraId="1E49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pct"/>
            <w:noWrap w:val="0"/>
            <w:vAlign w:val="center"/>
          </w:tcPr>
          <w:p w14:paraId="64D6443B">
            <w:pPr>
              <w:pStyle w:val="976"/>
              <w:bidi w:val="0"/>
              <w:rPr>
                <w:highlight w:val="none"/>
              </w:rPr>
            </w:pPr>
            <w:r>
              <w:rPr>
                <w:rFonts w:hint="eastAsia"/>
                <w:highlight w:val="none"/>
                <w:lang w:val="en-US" w:eastAsia="zh-CN"/>
              </w:rPr>
              <w:t>▲2.</w:t>
            </w:r>
            <w:r>
              <w:rPr>
                <w:rFonts w:hint="eastAsia"/>
                <w:highlight w:val="none"/>
              </w:rPr>
              <w:t>1</w:t>
            </w:r>
          </w:p>
        </w:tc>
        <w:tc>
          <w:tcPr>
            <w:tcW w:w="4256" w:type="pct"/>
            <w:noWrap w:val="0"/>
            <w:vAlign w:val="top"/>
          </w:tcPr>
          <w:p w14:paraId="1791A832">
            <w:pPr>
              <w:pStyle w:val="976"/>
              <w:bidi w:val="0"/>
              <w:rPr>
                <w:highlight w:val="none"/>
              </w:rPr>
            </w:pPr>
            <w:r>
              <w:rPr>
                <w:rFonts w:hint="eastAsia"/>
                <w:highlight w:val="none"/>
                <w:lang w:val="en-US" w:eastAsia="zh-CN"/>
              </w:rPr>
              <w:t>智慧流动医院</w:t>
            </w:r>
            <w:r>
              <w:rPr>
                <w:rFonts w:hint="eastAsia"/>
                <w:highlight w:val="none"/>
              </w:rPr>
              <w:t>巡回</w:t>
            </w:r>
            <w:r>
              <w:rPr>
                <w:rFonts w:hint="eastAsia"/>
                <w:highlight w:val="none"/>
                <w:lang w:val="en-US" w:eastAsia="zh-CN"/>
              </w:rPr>
              <w:t>诊</w:t>
            </w:r>
            <w:r>
              <w:rPr>
                <w:rFonts w:hint="eastAsia"/>
                <w:highlight w:val="none"/>
              </w:rPr>
              <w:t>疗车内置的信息化终端</w:t>
            </w:r>
            <w:r>
              <w:rPr>
                <w:rFonts w:hint="eastAsia"/>
                <w:highlight w:val="none"/>
                <w:lang w:val="en-US" w:eastAsia="zh-CN"/>
              </w:rPr>
              <w:t>采用高强度铝合金外壳，一体化固态散热结构，隐蔽式安装于车体内部，终端无需人为干预，自动自主工作；其计算核心，网络通讯核心，数据处理核心、数据存储核心组件须实现集成一体化设计；终端采用 5G 通讯网络，具有不少于8个直连的 RJ45 接口，支持提供车内 Wifi 网络环境；采用安全加固操作系统；具有网络通讯、车辆轨迹、医疗设备数据采集、行车电脑数据对接、音视频记录等模块与一体，实现巡回诊疗车的各项智慧化需求；（提供相关证明材料佐证）</w:t>
            </w:r>
          </w:p>
        </w:tc>
      </w:tr>
      <w:tr w14:paraId="7DF6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pct"/>
            <w:noWrap w:val="0"/>
            <w:vAlign w:val="center"/>
          </w:tcPr>
          <w:p w14:paraId="0FBCF9F4">
            <w:pPr>
              <w:pStyle w:val="976"/>
              <w:bidi w:val="0"/>
              <w:rPr>
                <w:rFonts w:hint="default"/>
                <w:highlight w:val="none"/>
                <w:lang w:val="en-US" w:eastAsia="zh-CN"/>
              </w:rPr>
            </w:pPr>
            <w:r>
              <w:rPr>
                <w:rFonts w:hint="eastAsia"/>
                <w:highlight w:val="none"/>
              </w:rPr>
              <w:t>2</w:t>
            </w:r>
            <w:r>
              <w:rPr>
                <w:rFonts w:hint="eastAsia"/>
                <w:highlight w:val="none"/>
                <w:lang w:eastAsia="zh-CN"/>
              </w:rPr>
              <w:t>.</w:t>
            </w:r>
            <w:r>
              <w:rPr>
                <w:rFonts w:hint="eastAsia"/>
                <w:highlight w:val="none"/>
                <w:lang w:val="en-US" w:eastAsia="zh-CN"/>
              </w:rPr>
              <w:t>2</w:t>
            </w:r>
          </w:p>
        </w:tc>
        <w:tc>
          <w:tcPr>
            <w:tcW w:w="4256" w:type="pct"/>
            <w:noWrap w:val="0"/>
            <w:vAlign w:val="top"/>
          </w:tcPr>
          <w:p w14:paraId="21EEA024">
            <w:pPr>
              <w:pStyle w:val="976"/>
              <w:bidi w:val="0"/>
              <w:rPr>
                <w:highlight w:val="none"/>
              </w:rPr>
            </w:pPr>
            <w:r>
              <w:rPr>
                <w:rFonts w:hint="eastAsia"/>
                <w:highlight w:val="none"/>
                <w:lang w:val="en-US" w:eastAsia="zh-CN"/>
              </w:rPr>
              <w:t>智慧流动医院</w:t>
            </w:r>
            <w:r>
              <w:rPr>
                <w:rFonts w:hint="eastAsia"/>
                <w:highlight w:val="none"/>
              </w:rPr>
              <w:t>巡回</w:t>
            </w:r>
            <w:r>
              <w:rPr>
                <w:rFonts w:hint="eastAsia"/>
                <w:highlight w:val="none"/>
                <w:lang w:val="en-US" w:eastAsia="zh-CN"/>
              </w:rPr>
              <w:t>诊</w:t>
            </w:r>
            <w:r>
              <w:rPr>
                <w:rFonts w:hint="eastAsia"/>
                <w:highlight w:val="none"/>
              </w:rPr>
              <w:t>疗车内置的信息化终端</w:t>
            </w:r>
            <w:r>
              <w:rPr>
                <w:rFonts w:hint="eastAsia"/>
                <w:highlight w:val="none"/>
                <w:lang w:val="en-US" w:eastAsia="zh-CN"/>
              </w:rPr>
              <w:t>支持与车辆行车电脑数据对接（自动实时采集车速，燃油余量，门开关状态等行车电脑数据），实现车辆全数据链在线；</w:t>
            </w:r>
          </w:p>
        </w:tc>
      </w:tr>
      <w:tr w14:paraId="4915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pct"/>
            <w:noWrap w:val="0"/>
            <w:vAlign w:val="center"/>
          </w:tcPr>
          <w:p w14:paraId="680B3496">
            <w:pPr>
              <w:pStyle w:val="976"/>
              <w:bidi w:val="0"/>
              <w:rPr>
                <w:highlight w:val="none"/>
              </w:rPr>
            </w:pPr>
            <w:r>
              <w:rPr>
                <w:rFonts w:hint="eastAsia"/>
                <w:highlight w:val="none"/>
                <w:lang w:val="en-US" w:eastAsia="zh-CN"/>
              </w:rPr>
              <w:t>▲2.</w:t>
            </w:r>
            <w:r>
              <w:rPr>
                <w:rFonts w:hint="eastAsia"/>
                <w:highlight w:val="none"/>
              </w:rPr>
              <w:t>3</w:t>
            </w:r>
          </w:p>
        </w:tc>
        <w:tc>
          <w:tcPr>
            <w:tcW w:w="4256" w:type="pct"/>
            <w:noWrap w:val="0"/>
            <w:vAlign w:val="top"/>
          </w:tcPr>
          <w:p w14:paraId="576608A1">
            <w:pPr>
              <w:pStyle w:val="976"/>
              <w:bidi w:val="0"/>
              <w:rPr>
                <w:highlight w:val="none"/>
              </w:rPr>
            </w:pPr>
            <w:r>
              <w:rPr>
                <w:rFonts w:hint="eastAsia"/>
                <w:highlight w:val="none"/>
                <w:lang w:val="en-US" w:eastAsia="zh-CN"/>
              </w:rPr>
              <w:t>智慧流动医院</w:t>
            </w:r>
            <w:r>
              <w:rPr>
                <w:rFonts w:hint="eastAsia"/>
                <w:highlight w:val="none"/>
              </w:rPr>
              <w:t>巡回</w:t>
            </w:r>
            <w:r>
              <w:rPr>
                <w:rFonts w:hint="eastAsia"/>
                <w:highlight w:val="none"/>
                <w:lang w:val="en-US" w:eastAsia="zh-CN"/>
              </w:rPr>
              <w:t>诊</w:t>
            </w:r>
            <w:r>
              <w:rPr>
                <w:rFonts w:hint="eastAsia"/>
                <w:highlight w:val="none"/>
              </w:rPr>
              <w:t>疗车内置的信息化终端</w:t>
            </w:r>
            <w:r>
              <w:rPr>
                <w:rFonts w:hint="eastAsia"/>
                <w:highlight w:val="none"/>
                <w:lang w:val="en-US" w:eastAsia="zh-CN"/>
              </w:rPr>
              <w:t>采用单北斗定位系统（提供相关证明材料佐证）</w:t>
            </w:r>
          </w:p>
        </w:tc>
      </w:tr>
      <w:tr w14:paraId="6BD3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pct"/>
            <w:noWrap w:val="0"/>
            <w:vAlign w:val="center"/>
          </w:tcPr>
          <w:p w14:paraId="0DD63CD7">
            <w:pPr>
              <w:pStyle w:val="976"/>
              <w:bidi w:val="0"/>
              <w:rPr>
                <w:highlight w:val="none"/>
              </w:rPr>
            </w:pPr>
            <w:r>
              <w:rPr>
                <w:rFonts w:hint="eastAsia"/>
                <w:highlight w:val="none"/>
                <w:lang w:val="en-US" w:eastAsia="zh-CN"/>
              </w:rPr>
              <w:t>2.</w:t>
            </w:r>
            <w:r>
              <w:rPr>
                <w:rFonts w:hint="eastAsia"/>
                <w:highlight w:val="none"/>
              </w:rPr>
              <w:t>4</w:t>
            </w:r>
            <w:bookmarkStart w:id="577" w:name="_GoBack"/>
            <w:bookmarkEnd w:id="577"/>
          </w:p>
        </w:tc>
        <w:tc>
          <w:tcPr>
            <w:tcW w:w="4256" w:type="pct"/>
            <w:noWrap w:val="0"/>
            <w:vAlign w:val="top"/>
          </w:tcPr>
          <w:p w14:paraId="5DEE2F77">
            <w:pPr>
              <w:pStyle w:val="976"/>
              <w:bidi w:val="0"/>
              <w:rPr>
                <w:highlight w:val="none"/>
              </w:rPr>
            </w:pPr>
            <w:r>
              <w:rPr>
                <w:rFonts w:hint="eastAsia"/>
                <w:highlight w:val="none"/>
                <w:lang w:val="en-US" w:eastAsia="zh-CN"/>
              </w:rPr>
              <w:t>智慧流动医院</w:t>
            </w:r>
            <w:r>
              <w:rPr>
                <w:rFonts w:hint="eastAsia"/>
                <w:highlight w:val="none"/>
              </w:rPr>
              <w:t>巡回</w:t>
            </w:r>
            <w:r>
              <w:rPr>
                <w:rFonts w:hint="eastAsia"/>
                <w:highlight w:val="none"/>
                <w:lang w:val="en-US" w:eastAsia="zh-CN"/>
              </w:rPr>
              <w:t>诊</w:t>
            </w:r>
            <w:r>
              <w:rPr>
                <w:rFonts w:hint="eastAsia"/>
                <w:highlight w:val="none"/>
              </w:rPr>
              <w:t>疗车内置的信息化终端</w:t>
            </w:r>
            <w:r>
              <w:rPr>
                <w:rFonts w:hint="eastAsia"/>
                <w:highlight w:val="none"/>
                <w:lang w:val="en-US" w:eastAsia="zh-CN"/>
              </w:rPr>
              <w:t>支持与车辆配备的医疗设备（支持对接迈瑞、卓尔、科曼等品牌医疗设备）对接，实现医疗设备数据的实时采集与传输；</w:t>
            </w:r>
          </w:p>
        </w:tc>
      </w:tr>
      <w:tr w14:paraId="08C0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pct"/>
            <w:noWrap w:val="0"/>
            <w:vAlign w:val="center"/>
          </w:tcPr>
          <w:p w14:paraId="78776C83">
            <w:pPr>
              <w:pStyle w:val="976"/>
              <w:bidi w:val="0"/>
              <w:rPr>
                <w:highlight w:val="none"/>
              </w:rPr>
            </w:pPr>
            <w:r>
              <w:rPr>
                <w:rFonts w:hint="eastAsia"/>
                <w:highlight w:val="none"/>
                <w:lang w:val="en-US" w:eastAsia="zh-CN"/>
              </w:rPr>
              <w:t>2.</w:t>
            </w:r>
            <w:r>
              <w:rPr>
                <w:rFonts w:hint="eastAsia"/>
                <w:highlight w:val="none"/>
              </w:rPr>
              <w:t>5</w:t>
            </w:r>
          </w:p>
        </w:tc>
        <w:tc>
          <w:tcPr>
            <w:tcW w:w="4256" w:type="pct"/>
            <w:noWrap w:val="0"/>
            <w:vAlign w:val="top"/>
          </w:tcPr>
          <w:p w14:paraId="3272B512">
            <w:pPr>
              <w:pStyle w:val="976"/>
              <w:bidi w:val="0"/>
              <w:rPr>
                <w:highlight w:val="none"/>
              </w:rPr>
            </w:pPr>
            <w:r>
              <w:rPr>
                <w:rFonts w:hint="eastAsia"/>
                <w:highlight w:val="none"/>
                <w:lang w:val="en-US" w:eastAsia="zh-CN"/>
              </w:rPr>
              <w:t>智慧流动医院</w:t>
            </w:r>
            <w:r>
              <w:rPr>
                <w:rFonts w:hint="eastAsia"/>
                <w:highlight w:val="none"/>
              </w:rPr>
              <w:t>巡回</w:t>
            </w:r>
            <w:r>
              <w:rPr>
                <w:rFonts w:hint="eastAsia"/>
                <w:highlight w:val="none"/>
                <w:lang w:val="en-US" w:eastAsia="zh-CN"/>
              </w:rPr>
              <w:t>诊</w:t>
            </w:r>
            <w:r>
              <w:rPr>
                <w:rFonts w:hint="eastAsia"/>
                <w:highlight w:val="none"/>
              </w:rPr>
              <w:t>疗车内置的信息化终端核心单元采用国产CPU芯片，不低于四核64位Cortex-A55，CPU主频≥2.0GHz；配备内存≥</w:t>
            </w:r>
            <w:r>
              <w:rPr>
                <w:rFonts w:hint="eastAsia"/>
                <w:highlight w:val="none"/>
                <w:lang w:val="en-US" w:eastAsia="zh-CN"/>
              </w:rPr>
              <w:t>4</w:t>
            </w:r>
            <w:r>
              <w:rPr>
                <w:rFonts w:hint="eastAsia"/>
                <w:highlight w:val="none"/>
              </w:rPr>
              <w:t>G；内置硬盘容量≥500G SSD，支持M.2接口；内置GPU，具备良好的图像处理性能；可提供≥1Tops NPU神经网络算力</w:t>
            </w:r>
          </w:p>
        </w:tc>
      </w:tr>
      <w:tr w14:paraId="4C60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pct"/>
            <w:noWrap w:val="0"/>
            <w:vAlign w:val="center"/>
          </w:tcPr>
          <w:p w14:paraId="02B8A21B">
            <w:pPr>
              <w:pStyle w:val="976"/>
              <w:bidi w:val="0"/>
              <w:rPr>
                <w:highlight w:val="none"/>
              </w:rPr>
            </w:pPr>
            <w:r>
              <w:rPr>
                <w:rFonts w:hint="eastAsia"/>
                <w:highlight w:val="none"/>
                <w:lang w:val="en-US" w:eastAsia="zh-CN"/>
              </w:rPr>
              <w:t>2.</w:t>
            </w:r>
            <w:r>
              <w:rPr>
                <w:rFonts w:hint="eastAsia"/>
                <w:highlight w:val="none"/>
              </w:rPr>
              <w:t>6</w:t>
            </w:r>
          </w:p>
        </w:tc>
        <w:tc>
          <w:tcPr>
            <w:tcW w:w="4256" w:type="pct"/>
            <w:noWrap w:val="0"/>
            <w:vAlign w:val="center"/>
          </w:tcPr>
          <w:p w14:paraId="562C5EB7">
            <w:pPr>
              <w:pStyle w:val="976"/>
              <w:bidi w:val="0"/>
              <w:rPr>
                <w:highlight w:val="none"/>
              </w:rPr>
            </w:pPr>
            <w:r>
              <w:rPr>
                <w:rFonts w:hint="eastAsia"/>
                <w:highlight w:val="none"/>
                <w:lang w:val="en-US" w:eastAsia="zh-CN"/>
              </w:rPr>
              <w:t>智慧流动医院</w:t>
            </w:r>
            <w:r>
              <w:rPr>
                <w:rFonts w:hint="eastAsia"/>
                <w:highlight w:val="none"/>
              </w:rPr>
              <w:t>巡回</w:t>
            </w:r>
            <w:r>
              <w:rPr>
                <w:rFonts w:hint="eastAsia"/>
                <w:highlight w:val="none"/>
                <w:lang w:val="en-US" w:eastAsia="zh-CN"/>
              </w:rPr>
              <w:t>诊</w:t>
            </w:r>
            <w:r>
              <w:rPr>
                <w:rFonts w:hint="eastAsia"/>
                <w:highlight w:val="none"/>
              </w:rPr>
              <w:t>疗车内置的信息化终端</w:t>
            </w:r>
            <w:r>
              <w:rPr>
                <w:rFonts w:hint="eastAsia"/>
                <w:highlight w:val="none"/>
                <w:lang w:val="en-US" w:eastAsia="zh-CN"/>
              </w:rPr>
              <w:t>采用独立磷酸铁锂电池供电，电芯容量≥60AH，在车辆熄火状态下支持信息化终端≥72 小时的运行时间</w:t>
            </w:r>
          </w:p>
        </w:tc>
      </w:tr>
      <w:tr w14:paraId="773E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pct"/>
            <w:noWrap w:val="0"/>
            <w:vAlign w:val="center"/>
          </w:tcPr>
          <w:p w14:paraId="21C67F27">
            <w:pPr>
              <w:pStyle w:val="976"/>
              <w:bidi w:val="0"/>
              <w:rPr>
                <w:highlight w:val="none"/>
              </w:rPr>
            </w:pPr>
            <w:r>
              <w:rPr>
                <w:rFonts w:hint="eastAsia"/>
                <w:highlight w:val="none"/>
                <w:lang w:val="en-US" w:eastAsia="zh-CN"/>
              </w:rPr>
              <w:t>2.</w:t>
            </w:r>
            <w:r>
              <w:rPr>
                <w:rFonts w:hint="eastAsia"/>
                <w:highlight w:val="none"/>
              </w:rPr>
              <w:t>7</w:t>
            </w:r>
          </w:p>
        </w:tc>
        <w:tc>
          <w:tcPr>
            <w:tcW w:w="4256" w:type="pct"/>
            <w:noWrap w:val="0"/>
            <w:vAlign w:val="center"/>
          </w:tcPr>
          <w:p w14:paraId="345F2562">
            <w:pPr>
              <w:pStyle w:val="976"/>
              <w:bidi w:val="0"/>
              <w:rPr>
                <w:highlight w:val="none"/>
              </w:rPr>
            </w:pPr>
            <w:r>
              <w:rPr>
                <w:rFonts w:hint="eastAsia"/>
                <w:highlight w:val="none"/>
                <w:lang w:val="en-US" w:eastAsia="zh-CN"/>
              </w:rPr>
              <w:t>智慧流动医院</w:t>
            </w:r>
            <w:r>
              <w:rPr>
                <w:rFonts w:hint="eastAsia"/>
                <w:highlight w:val="none"/>
              </w:rPr>
              <w:t>巡回</w:t>
            </w:r>
            <w:r>
              <w:rPr>
                <w:rFonts w:hint="eastAsia"/>
                <w:highlight w:val="none"/>
                <w:lang w:val="en-US" w:eastAsia="zh-CN"/>
              </w:rPr>
              <w:t>诊</w:t>
            </w:r>
            <w:r>
              <w:rPr>
                <w:rFonts w:hint="eastAsia"/>
                <w:highlight w:val="none"/>
              </w:rPr>
              <w:t>疗车内置的信息化终端在蜂窝网络离线或不稳定状态下，仍具备正常运行能力，保持对数据的采集、处理、计算分析与存储能力，支持在网络恢复正常后，进行数据上传；信息化终端具有离线缓存能力，巡回诊疗业务数据（含音视频），离线缓存时间≥30 天；</w:t>
            </w:r>
          </w:p>
        </w:tc>
      </w:tr>
      <w:tr w14:paraId="4055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pct"/>
            <w:noWrap w:val="0"/>
            <w:vAlign w:val="center"/>
          </w:tcPr>
          <w:p w14:paraId="35D256FF">
            <w:pPr>
              <w:pStyle w:val="976"/>
              <w:bidi w:val="0"/>
              <w:rPr>
                <w:rFonts w:hint="eastAsia"/>
                <w:highlight w:val="none"/>
                <w:lang w:eastAsia="zh-CN"/>
              </w:rPr>
            </w:pPr>
            <w:r>
              <w:rPr>
                <w:rFonts w:hint="eastAsia"/>
                <w:highlight w:val="none"/>
                <w:lang w:val="en-US" w:eastAsia="zh-CN"/>
              </w:rPr>
              <w:t>2.8</w:t>
            </w:r>
          </w:p>
        </w:tc>
        <w:tc>
          <w:tcPr>
            <w:tcW w:w="4256" w:type="pct"/>
            <w:noWrap w:val="0"/>
            <w:vAlign w:val="top"/>
          </w:tcPr>
          <w:p w14:paraId="67D21C8B">
            <w:pPr>
              <w:pStyle w:val="976"/>
              <w:bidi w:val="0"/>
              <w:rPr>
                <w:highlight w:val="none"/>
              </w:rPr>
            </w:pPr>
            <w:r>
              <w:rPr>
                <w:rFonts w:hint="eastAsia"/>
                <w:highlight w:val="none"/>
                <w:lang w:val="en-US" w:eastAsia="zh-CN"/>
              </w:rPr>
              <w:t>智慧流动医院</w:t>
            </w:r>
            <w:r>
              <w:rPr>
                <w:rFonts w:hint="eastAsia"/>
                <w:highlight w:val="none"/>
              </w:rPr>
              <w:t>巡回</w:t>
            </w:r>
            <w:r>
              <w:rPr>
                <w:rFonts w:hint="eastAsia"/>
                <w:highlight w:val="none"/>
                <w:lang w:val="en-US" w:eastAsia="zh-CN"/>
              </w:rPr>
              <w:t>诊</w:t>
            </w:r>
            <w:r>
              <w:rPr>
                <w:rFonts w:hint="eastAsia"/>
                <w:highlight w:val="none"/>
              </w:rPr>
              <w:t>疗车</w:t>
            </w:r>
            <w:r>
              <w:rPr>
                <w:rFonts w:hint="eastAsia"/>
                <w:highlight w:val="none"/>
                <w:lang w:val="en-US" w:eastAsia="zh-CN"/>
              </w:rPr>
              <w:t>配置的智慧医护联动终端</w:t>
            </w:r>
            <w:r>
              <w:rPr>
                <w:rFonts w:hint="eastAsia"/>
                <w:highlight w:val="none"/>
              </w:rPr>
              <w:t>支持巡回任务</w:t>
            </w:r>
            <w:r>
              <w:rPr>
                <w:rFonts w:hint="eastAsia"/>
                <w:highlight w:val="none"/>
                <w:lang w:eastAsia="zh-CN"/>
              </w:rPr>
              <w:t>、</w:t>
            </w:r>
            <w:r>
              <w:rPr>
                <w:rFonts w:hint="eastAsia"/>
                <w:highlight w:val="none"/>
                <w:lang w:val="en-US" w:eastAsia="zh-CN"/>
              </w:rPr>
              <w:t>人员上班信息</w:t>
            </w:r>
            <w:r>
              <w:rPr>
                <w:rFonts w:hint="eastAsia"/>
                <w:highlight w:val="none"/>
              </w:rPr>
              <w:t>的查看；</w:t>
            </w:r>
          </w:p>
        </w:tc>
      </w:tr>
      <w:tr w14:paraId="3EC7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pct"/>
            <w:noWrap w:val="0"/>
            <w:vAlign w:val="center"/>
          </w:tcPr>
          <w:p w14:paraId="353CCDE0">
            <w:pPr>
              <w:pStyle w:val="976"/>
              <w:bidi w:val="0"/>
              <w:rPr>
                <w:rFonts w:hint="eastAsia"/>
                <w:highlight w:val="none"/>
                <w:lang w:eastAsia="zh-CN"/>
              </w:rPr>
            </w:pPr>
            <w:r>
              <w:rPr>
                <w:rFonts w:hint="eastAsia"/>
                <w:highlight w:val="none"/>
                <w:lang w:val="en-US" w:eastAsia="zh-CN"/>
              </w:rPr>
              <w:t>2.9</w:t>
            </w:r>
          </w:p>
        </w:tc>
        <w:tc>
          <w:tcPr>
            <w:tcW w:w="4256" w:type="pct"/>
            <w:noWrap w:val="0"/>
            <w:vAlign w:val="top"/>
          </w:tcPr>
          <w:p w14:paraId="1372A725">
            <w:pPr>
              <w:pStyle w:val="976"/>
              <w:bidi w:val="0"/>
              <w:rPr>
                <w:highlight w:val="none"/>
              </w:rPr>
            </w:pPr>
            <w:r>
              <w:rPr>
                <w:rFonts w:hint="eastAsia"/>
                <w:highlight w:val="none"/>
                <w:lang w:val="en-US" w:eastAsia="zh-CN"/>
              </w:rPr>
              <w:t>智慧流动医院</w:t>
            </w:r>
            <w:r>
              <w:rPr>
                <w:rFonts w:hint="eastAsia"/>
                <w:highlight w:val="none"/>
              </w:rPr>
              <w:t>巡回</w:t>
            </w:r>
            <w:r>
              <w:rPr>
                <w:rFonts w:hint="eastAsia"/>
                <w:highlight w:val="none"/>
                <w:lang w:val="en-US" w:eastAsia="zh-CN"/>
              </w:rPr>
              <w:t>诊</w:t>
            </w:r>
            <w:r>
              <w:rPr>
                <w:rFonts w:hint="eastAsia"/>
                <w:highlight w:val="none"/>
              </w:rPr>
              <w:t>疗车</w:t>
            </w:r>
            <w:r>
              <w:rPr>
                <w:rFonts w:hint="eastAsia"/>
                <w:highlight w:val="none"/>
                <w:lang w:val="en-US" w:eastAsia="zh-CN"/>
              </w:rPr>
              <w:t>配置的智慧医护联动终端</w:t>
            </w:r>
            <w:r>
              <w:rPr>
                <w:rFonts w:hint="eastAsia"/>
                <w:highlight w:val="none"/>
              </w:rPr>
              <w:t>配置不低于 8 核 CPU，8G RAM，256G EMMC；屏幕为≥10.1</w:t>
            </w:r>
            <w:r>
              <w:rPr>
                <w:rFonts w:hint="eastAsia"/>
                <w:highlight w:val="none"/>
                <w:lang w:val="en-US" w:eastAsia="zh-CN"/>
              </w:rPr>
              <w:t>英寸</w:t>
            </w:r>
            <w:r>
              <w:rPr>
                <w:rFonts w:hint="eastAsia"/>
                <w:highlight w:val="none"/>
              </w:rPr>
              <w:t>、分辨率≥1920*1200、亮度≥400Nit 的 IPS 触摸屏，内置 SIM 卡槽，支持 5G 数据通讯；支持 TPYE-C/座充等充电方式，车内配有固定支架，可向医护联动终端提供自动充电功能；</w:t>
            </w:r>
          </w:p>
        </w:tc>
      </w:tr>
      <w:tr w14:paraId="3316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pct"/>
            <w:noWrap w:val="0"/>
            <w:vAlign w:val="center"/>
          </w:tcPr>
          <w:p w14:paraId="5CAD8A13">
            <w:pPr>
              <w:pStyle w:val="976"/>
              <w:bidi w:val="0"/>
              <w:rPr>
                <w:rFonts w:hint="eastAsia"/>
                <w:highlight w:val="none"/>
                <w:lang w:eastAsia="zh-CN"/>
              </w:rPr>
            </w:pPr>
            <w:r>
              <w:rPr>
                <w:rFonts w:hint="eastAsia"/>
                <w:highlight w:val="none"/>
                <w:lang w:val="en-US" w:eastAsia="zh-CN"/>
              </w:rPr>
              <w:t>▲2.</w:t>
            </w:r>
            <w:r>
              <w:rPr>
                <w:rFonts w:hint="eastAsia"/>
                <w:highlight w:val="none"/>
              </w:rPr>
              <w:t>1</w:t>
            </w:r>
            <w:r>
              <w:rPr>
                <w:rFonts w:hint="eastAsia"/>
                <w:highlight w:val="none"/>
                <w:lang w:val="en-US" w:eastAsia="zh-CN"/>
              </w:rPr>
              <w:t>0</w:t>
            </w:r>
          </w:p>
        </w:tc>
        <w:tc>
          <w:tcPr>
            <w:tcW w:w="4256" w:type="pct"/>
            <w:noWrap w:val="0"/>
            <w:vAlign w:val="top"/>
          </w:tcPr>
          <w:p w14:paraId="4B1EB598">
            <w:pPr>
              <w:pStyle w:val="976"/>
              <w:bidi w:val="0"/>
              <w:rPr>
                <w:highlight w:val="none"/>
              </w:rPr>
            </w:pPr>
            <w:r>
              <w:rPr>
                <w:rFonts w:hint="eastAsia"/>
                <w:highlight w:val="none"/>
                <w:lang w:val="en-US" w:eastAsia="zh-CN"/>
              </w:rPr>
              <w:t>智慧流动医院</w:t>
            </w:r>
            <w:r>
              <w:rPr>
                <w:rFonts w:hint="eastAsia"/>
                <w:highlight w:val="none"/>
              </w:rPr>
              <w:t>巡回</w:t>
            </w:r>
            <w:r>
              <w:rPr>
                <w:rFonts w:hint="eastAsia"/>
                <w:highlight w:val="none"/>
                <w:lang w:val="en-US" w:eastAsia="zh-CN"/>
              </w:rPr>
              <w:t>诊</w:t>
            </w:r>
            <w:r>
              <w:rPr>
                <w:rFonts w:hint="eastAsia"/>
                <w:highlight w:val="none"/>
              </w:rPr>
              <w:t>疗车</w:t>
            </w:r>
            <w:r>
              <w:rPr>
                <w:rFonts w:hint="eastAsia"/>
                <w:highlight w:val="none"/>
                <w:lang w:val="en-US" w:eastAsia="zh-CN"/>
              </w:rPr>
              <w:t>配置的智慧医护联动终端具备三防能力（防尘、防水、防摔），防尘防水能力≥IP68；（提供第三方机构检测报告佐证）</w:t>
            </w:r>
          </w:p>
        </w:tc>
      </w:tr>
      <w:tr w14:paraId="0D9B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pct"/>
            <w:noWrap w:val="0"/>
            <w:vAlign w:val="center"/>
          </w:tcPr>
          <w:p w14:paraId="41D23C2C">
            <w:pPr>
              <w:pStyle w:val="976"/>
              <w:bidi w:val="0"/>
              <w:rPr>
                <w:rFonts w:hint="eastAsia"/>
                <w:highlight w:val="none"/>
                <w:lang w:eastAsia="zh-CN"/>
              </w:rPr>
            </w:pPr>
            <w:r>
              <w:rPr>
                <w:rFonts w:hint="eastAsia"/>
                <w:highlight w:val="none"/>
                <w:lang w:val="en-US" w:eastAsia="zh-CN"/>
              </w:rPr>
              <w:t>2.</w:t>
            </w:r>
            <w:r>
              <w:rPr>
                <w:rFonts w:hint="eastAsia"/>
                <w:highlight w:val="none"/>
              </w:rPr>
              <w:t>1</w:t>
            </w:r>
            <w:r>
              <w:rPr>
                <w:rFonts w:hint="eastAsia"/>
                <w:highlight w:val="none"/>
                <w:lang w:val="en-US" w:eastAsia="zh-CN"/>
              </w:rPr>
              <w:t>1</w:t>
            </w:r>
          </w:p>
        </w:tc>
        <w:tc>
          <w:tcPr>
            <w:tcW w:w="4256" w:type="pct"/>
            <w:noWrap w:val="0"/>
            <w:vAlign w:val="top"/>
          </w:tcPr>
          <w:p w14:paraId="00651B77">
            <w:pPr>
              <w:pStyle w:val="976"/>
              <w:bidi w:val="0"/>
              <w:rPr>
                <w:highlight w:val="none"/>
              </w:rPr>
            </w:pPr>
            <w:r>
              <w:rPr>
                <w:rFonts w:hint="eastAsia"/>
                <w:highlight w:val="none"/>
                <w:lang w:val="en-US" w:eastAsia="zh-CN"/>
              </w:rPr>
              <w:t>摄像头：后置摄像头像素不低于1300万，带LED闪光灯；前置定焦摄像头，像素不低于500万；</w:t>
            </w:r>
          </w:p>
        </w:tc>
      </w:tr>
      <w:tr w14:paraId="361E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pct"/>
            <w:noWrap w:val="0"/>
            <w:vAlign w:val="center"/>
          </w:tcPr>
          <w:p w14:paraId="20045E6F">
            <w:pPr>
              <w:pStyle w:val="976"/>
              <w:bidi w:val="0"/>
              <w:rPr>
                <w:rFonts w:hint="eastAsia"/>
                <w:highlight w:val="none"/>
                <w:lang w:eastAsia="zh-CN"/>
              </w:rPr>
            </w:pPr>
            <w:r>
              <w:rPr>
                <w:rFonts w:hint="eastAsia"/>
                <w:highlight w:val="none"/>
                <w:lang w:val="en-US" w:eastAsia="zh-CN"/>
              </w:rPr>
              <w:t>2.</w:t>
            </w:r>
            <w:r>
              <w:rPr>
                <w:rFonts w:hint="eastAsia"/>
                <w:highlight w:val="none"/>
              </w:rPr>
              <w:t>1</w:t>
            </w:r>
            <w:r>
              <w:rPr>
                <w:rFonts w:hint="eastAsia"/>
                <w:highlight w:val="none"/>
                <w:lang w:val="en-US" w:eastAsia="zh-CN"/>
              </w:rPr>
              <w:t>2</w:t>
            </w:r>
          </w:p>
        </w:tc>
        <w:tc>
          <w:tcPr>
            <w:tcW w:w="4256" w:type="pct"/>
            <w:noWrap w:val="0"/>
            <w:vAlign w:val="top"/>
          </w:tcPr>
          <w:p w14:paraId="28582D79">
            <w:pPr>
              <w:pStyle w:val="976"/>
              <w:bidi w:val="0"/>
              <w:rPr>
                <w:highlight w:val="none"/>
              </w:rPr>
            </w:pPr>
            <w:r>
              <w:rPr>
                <w:rFonts w:hint="eastAsia"/>
                <w:highlight w:val="none"/>
                <w:lang w:val="en-US" w:eastAsia="zh-CN"/>
              </w:rPr>
              <w:t>智慧流动医院</w:t>
            </w:r>
            <w:r>
              <w:rPr>
                <w:rFonts w:hint="eastAsia"/>
                <w:highlight w:val="none"/>
              </w:rPr>
              <w:t>巡回</w:t>
            </w:r>
            <w:r>
              <w:rPr>
                <w:rFonts w:hint="eastAsia"/>
                <w:highlight w:val="none"/>
                <w:lang w:val="en-US" w:eastAsia="zh-CN"/>
              </w:rPr>
              <w:t>诊</w:t>
            </w:r>
            <w:r>
              <w:rPr>
                <w:rFonts w:hint="eastAsia"/>
                <w:highlight w:val="none"/>
              </w:rPr>
              <w:t>疗车</w:t>
            </w:r>
            <w:r>
              <w:rPr>
                <w:rFonts w:hint="eastAsia"/>
                <w:highlight w:val="none"/>
                <w:lang w:val="en-US" w:eastAsia="zh-CN"/>
              </w:rPr>
              <w:t>配置的智慧医护联动终端具备TPYE-C，3.5耳机，USB及Mini HDMI接口；</w:t>
            </w:r>
          </w:p>
        </w:tc>
      </w:tr>
    </w:tbl>
    <w:p w14:paraId="74035CFE">
      <w:pPr>
        <w:rPr>
          <w:rFonts w:hint="eastAsia" w:ascii="宋体" w:hAnsi="宋体" w:cs="宋体"/>
          <w:b/>
          <w:sz w:val="21"/>
          <w:szCs w:val="21"/>
          <w:highlight w:val="none"/>
          <w:lang w:eastAsia="zh-CN"/>
        </w:rPr>
      </w:pPr>
    </w:p>
    <w:p w14:paraId="73CE51D8">
      <w:pPr>
        <w:keepNext w:val="0"/>
        <w:keepLines w:val="0"/>
        <w:pageBreakBefore w:val="0"/>
        <w:widowControl w:val="0"/>
        <w:numPr>
          <w:ilvl w:val="0"/>
          <w:numId w:val="6"/>
        </w:numPr>
        <w:kinsoku/>
        <w:wordWrap/>
        <w:overflowPunct/>
        <w:topLinePunct w:val="0"/>
        <w:autoSpaceDE/>
        <w:autoSpaceDN/>
        <w:bidi w:val="0"/>
        <w:adjustRightInd w:val="0"/>
        <w:snapToGrid/>
        <w:spacing w:line="360" w:lineRule="exact"/>
        <w:textAlignment w:val="auto"/>
        <w:rPr>
          <w:rFonts w:hint="eastAsia" w:ascii="宋体" w:hAnsi="宋体" w:cs="宋体"/>
          <w:b/>
          <w:sz w:val="21"/>
          <w:szCs w:val="21"/>
          <w:highlight w:val="none"/>
          <w:lang w:eastAsia="zh-CN"/>
        </w:rPr>
      </w:pPr>
      <w:r>
        <w:rPr>
          <w:rFonts w:hint="eastAsia" w:ascii="宋体" w:hAnsi="宋体" w:cs="宋体"/>
          <w:b/>
          <w:sz w:val="21"/>
          <w:szCs w:val="21"/>
          <w:highlight w:val="none"/>
          <w:lang w:eastAsia="zh-CN"/>
        </w:rPr>
        <w:t>其他要求：</w:t>
      </w:r>
    </w:p>
    <w:p w14:paraId="68F662AB">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firstLine="420" w:firstLineChars="200"/>
        <w:textAlignment w:val="auto"/>
        <w:rPr>
          <w:rFonts w:hint="eastAsia"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▲1.质保期：车辆（不含改装部分及相关设备）质保期3年或6万公里，具体按底盘车保修手册执行；医疗舱及车载医疗设备和其他设备设施质保期3年。</w:t>
      </w:r>
    </w:p>
    <w:p w14:paraId="114D9460">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firstLine="420" w:firstLineChars="200"/>
        <w:textAlignment w:val="auto"/>
        <w:rPr>
          <w:rFonts w:hint="eastAsia"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2.车辆召回：按照国家《缺陷汽车召回管理规定》质保期内车辆如有重大生产质量问题，厂方予以召回。</w:t>
      </w:r>
    </w:p>
    <w:p w14:paraId="6EFCD037">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firstLine="420" w:firstLineChars="200"/>
        <w:textAlignment w:val="auto"/>
        <w:rPr>
          <w:rFonts w:hint="eastAsia"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3.中标供应商应协助采购人办理特种车上牌、入户手续。</w:t>
      </w:r>
    </w:p>
    <w:p w14:paraId="5DA4C27E">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firstLine="420" w:firstLineChars="200"/>
        <w:textAlignment w:val="auto"/>
        <w:rPr>
          <w:rFonts w:hint="eastAsia"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4.智慧流动医院数字管理平台未按规定时间完成建设并通过验收的，每超出1天，中标单位须向采购人支付合同总金额的3‰作为违约款。当累计违约款金额达到合同总价的6%时，采购人有权终止全部合同，中标单位必须退还全部货款；同时，中标单位赔偿采购人合同总价的30%。如果采购人的损失大于该赔偿金，采购人保留继续要求中标单位赔偿的权利。</w:t>
      </w:r>
    </w:p>
    <w:p w14:paraId="53316B6E">
      <w:pPr>
        <w:keepNext w:val="0"/>
        <w:keepLines w:val="0"/>
        <w:pageBreakBefore w:val="0"/>
        <w:widowControl w:val="0"/>
        <w:kinsoku/>
        <w:wordWrap/>
        <w:overflowPunct/>
        <w:topLinePunct w:val="0"/>
        <w:autoSpaceDE/>
        <w:autoSpaceDN/>
        <w:bidi w:val="0"/>
        <w:adjustRightInd w:val="0"/>
        <w:snapToGrid/>
        <w:spacing w:line="360" w:lineRule="exact"/>
        <w:ind w:firstLine="723" w:firstLineChars="200"/>
        <w:textAlignment w:val="auto"/>
        <w:rPr>
          <w:rFonts w:hint="eastAsia" w:ascii="宋体" w:hAnsi="宋体" w:cs="宋体"/>
          <w:b/>
          <w:sz w:val="36"/>
          <w:szCs w:val="36"/>
          <w:highlight w:val="none"/>
        </w:rPr>
      </w:pPr>
      <w:r>
        <w:rPr>
          <w:rFonts w:hint="eastAsia" w:ascii="宋体" w:hAnsi="宋体" w:cs="宋体"/>
          <w:b/>
          <w:sz w:val="36"/>
          <w:szCs w:val="36"/>
          <w:highlight w:val="none"/>
        </w:rPr>
        <w:br w:type="page"/>
      </w:r>
    </w:p>
    <w:p w14:paraId="66E9F86E">
      <w:pPr>
        <w:snapToGrid w:val="0"/>
        <w:jc w:val="center"/>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32" w:name="_Toc184314433"/>
      <w:bookmarkEnd w:id="32"/>
      <w:bookmarkStart w:id="33" w:name="_Toc184313266"/>
      <w:bookmarkEnd w:id="33"/>
      <w:bookmarkStart w:id="34" w:name="_Toc184312115"/>
      <w:bookmarkEnd w:id="34"/>
      <w:bookmarkStart w:id="35" w:name="_Toc184312135"/>
      <w:bookmarkEnd w:id="35"/>
      <w:bookmarkStart w:id="36" w:name="_Toc184310333"/>
      <w:bookmarkEnd w:id="36"/>
      <w:bookmarkStart w:id="37" w:name="_Toc184308068"/>
      <w:bookmarkEnd w:id="37"/>
      <w:bookmarkStart w:id="38" w:name="_Toc184314472"/>
      <w:bookmarkEnd w:id="38"/>
      <w:bookmarkStart w:id="39" w:name="_Toc184312118"/>
      <w:bookmarkEnd w:id="39"/>
      <w:bookmarkStart w:id="40" w:name="_Toc184308041"/>
      <w:bookmarkEnd w:id="40"/>
      <w:bookmarkStart w:id="41" w:name="_Toc184308054"/>
      <w:bookmarkEnd w:id="41"/>
      <w:bookmarkStart w:id="42" w:name="_Toc184313249"/>
      <w:bookmarkEnd w:id="42"/>
      <w:bookmarkStart w:id="43" w:name="_Toc184310325"/>
      <w:bookmarkEnd w:id="43"/>
      <w:bookmarkStart w:id="44" w:name="_Toc184308052"/>
      <w:bookmarkEnd w:id="44"/>
      <w:bookmarkStart w:id="45" w:name="_Toc184314468"/>
      <w:bookmarkEnd w:id="45"/>
      <w:bookmarkStart w:id="46" w:name="_Toc184312078"/>
      <w:bookmarkEnd w:id="46"/>
      <w:bookmarkStart w:id="47" w:name="_Toc184312120"/>
      <w:bookmarkEnd w:id="47"/>
      <w:bookmarkStart w:id="48" w:name="_Toc184314475"/>
      <w:bookmarkEnd w:id="48"/>
      <w:bookmarkStart w:id="49" w:name="_Toc184310280"/>
      <w:bookmarkEnd w:id="49"/>
      <w:bookmarkStart w:id="50" w:name="_Toc184312099"/>
      <w:bookmarkEnd w:id="50"/>
      <w:bookmarkStart w:id="51" w:name="_Toc184314465"/>
      <w:bookmarkEnd w:id="51"/>
      <w:bookmarkStart w:id="52" w:name="_Toc184310277"/>
      <w:bookmarkEnd w:id="52"/>
      <w:bookmarkStart w:id="53" w:name="_Toc184313295"/>
      <w:bookmarkEnd w:id="53"/>
      <w:bookmarkStart w:id="54" w:name="_Toc184312119"/>
      <w:bookmarkEnd w:id="54"/>
      <w:bookmarkStart w:id="55" w:name="_Toc184314420"/>
      <w:bookmarkEnd w:id="55"/>
      <w:bookmarkStart w:id="56" w:name="_Toc184308105"/>
      <w:bookmarkEnd w:id="56"/>
      <w:bookmarkStart w:id="57" w:name="_Toc184310315"/>
      <w:bookmarkEnd w:id="57"/>
      <w:bookmarkStart w:id="58" w:name="_Toc184314424"/>
      <w:bookmarkEnd w:id="58"/>
      <w:bookmarkStart w:id="59" w:name="_Toc184308073"/>
      <w:bookmarkEnd w:id="59"/>
      <w:bookmarkStart w:id="60" w:name="_Toc184312077"/>
      <w:bookmarkEnd w:id="60"/>
      <w:bookmarkStart w:id="61" w:name="_Toc184313243"/>
      <w:bookmarkEnd w:id="61"/>
      <w:bookmarkStart w:id="62" w:name="_Toc184310326"/>
      <w:bookmarkEnd w:id="62"/>
      <w:bookmarkStart w:id="63" w:name="_Toc184310312"/>
      <w:bookmarkEnd w:id="63"/>
      <w:bookmarkStart w:id="64" w:name="_Toc184310313"/>
      <w:bookmarkEnd w:id="64"/>
      <w:bookmarkStart w:id="65" w:name="_Toc184314461"/>
      <w:bookmarkEnd w:id="65"/>
      <w:bookmarkStart w:id="66" w:name="_Toc184308036"/>
      <w:bookmarkEnd w:id="66"/>
      <w:bookmarkStart w:id="67" w:name="_Toc184314467"/>
      <w:bookmarkEnd w:id="67"/>
      <w:bookmarkStart w:id="68" w:name="_Toc184312102"/>
      <w:bookmarkEnd w:id="68"/>
      <w:bookmarkStart w:id="69" w:name="_Toc184312137"/>
      <w:bookmarkEnd w:id="69"/>
      <w:bookmarkStart w:id="70" w:name="_Toc184314477"/>
      <w:bookmarkEnd w:id="70"/>
      <w:bookmarkStart w:id="71" w:name="_Toc184312090"/>
      <w:bookmarkEnd w:id="71"/>
      <w:bookmarkStart w:id="72" w:name="_Toc184312129"/>
      <w:bookmarkEnd w:id="72"/>
      <w:bookmarkStart w:id="73" w:name="_Toc184313290"/>
      <w:bookmarkEnd w:id="73"/>
      <w:bookmarkStart w:id="74" w:name="_Toc184310335"/>
      <w:bookmarkEnd w:id="74"/>
      <w:bookmarkStart w:id="75" w:name="_Toc184313244"/>
      <w:bookmarkEnd w:id="75"/>
      <w:bookmarkStart w:id="76" w:name="_Toc184308104"/>
      <w:bookmarkEnd w:id="76"/>
      <w:bookmarkStart w:id="77" w:name="_Toc184313299"/>
      <w:bookmarkEnd w:id="77"/>
      <w:bookmarkStart w:id="78" w:name="_Toc184310332"/>
      <w:bookmarkEnd w:id="78"/>
      <w:bookmarkStart w:id="79" w:name="_Toc184310285"/>
      <w:bookmarkEnd w:id="79"/>
      <w:bookmarkStart w:id="80" w:name="_Toc184314439"/>
      <w:bookmarkEnd w:id="80"/>
      <w:bookmarkStart w:id="81" w:name="_Toc184310316"/>
      <w:bookmarkEnd w:id="81"/>
      <w:bookmarkStart w:id="82" w:name="_Toc184310303"/>
      <w:bookmarkEnd w:id="82"/>
      <w:bookmarkStart w:id="83" w:name="_Toc184312122"/>
      <w:bookmarkEnd w:id="83"/>
      <w:bookmarkStart w:id="84" w:name="_Toc184314432"/>
      <w:bookmarkEnd w:id="84"/>
      <w:bookmarkStart w:id="85" w:name="_Toc184308051"/>
      <w:bookmarkEnd w:id="85"/>
      <w:bookmarkStart w:id="86" w:name="_Toc184314436"/>
      <w:bookmarkEnd w:id="86"/>
      <w:bookmarkStart w:id="87" w:name="_Toc184314443"/>
      <w:bookmarkEnd w:id="87"/>
      <w:bookmarkStart w:id="88" w:name="_Toc184314427"/>
      <w:bookmarkEnd w:id="88"/>
      <w:bookmarkStart w:id="89" w:name="_Toc184310290"/>
      <w:bookmarkEnd w:id="89"/>
      <w:bookmarkStart w:id="90" w:name="_Toc184313239"/>
      <w:bookmarkEnd w:id="90"/>
      <w:bookmarkStart w:id="91" w:name="_Toc184314446"/>
      <w:bookmarkEnd w:id="91"/>
      <w:bookmarkStart w:id="92" w:name="_Toc184313268"/>
      <w:bookmarkEnd w:id="92"/>
      <w:bookmarkStart w:id="93" w:name="_Toc184314415"/>
      <w:bookmarkEnd w:id="93"/>
      <w:bookmarkStart w:id="94" w:name="_Toc184314459"/>
      <w:bookmarkEnd w:id="94"/>
      <w:bookmarkStart w:id="95" w:name="_Toc184313280"/>
      <w:bookmarkEnd w:id="95"/>
      <w:bookmarkStart w:id="96" w:name="_Toc184308060"/>
      <w:bookmarkEnd w:id="96"/>
      <w:bookmarkStart w:id="97" w:name="_Toc184313262"/>
      <w:bookmarkEnd w:id="97"/>
      <w:bookmarkStart w:id="98" w:name="_Toc184314454"/>
      <w:bookmarkEnd w:id="98"/>
      <w:bookmarkStart w:id="99" w:name="_Toc184313269"/>
      <w:bookmarkEnd w:id="99"/>
      <w:bookmarkStart w:id="100" w:name="_Toc184314450"/>
      <w:bookmarkEnd w:id="100"/>
      <w:bookmarkStart w:id="101" w:name="_Toc184308047"/>
      <w:bookmarkEnd w:id="101"/>
      <w:bookmarkStart w:id="102" w:name="_Toc184314482"/>
      <w:bookmarkEnd w:id="102"/>
      <w:bookmarkStart w:id="103" w:name="_Toc184310308"/>
      <w:bookmarkEnd w:id="103"/>
      <w:bookmarkStart w:id="104" w:name="_Toc184313270"/>
      <w:bookmarkEnd w:id="104"/>
      <w:bookmarkStart w:id="105" w:name="_Toc184312068"/>
      <w:bookmarkEnd w:id="105"/>
      <w:bookmarkStart w:id="106" w:name="_Toc184310341"/>
      <w:bookmarkEnd w:id="106"/>
      <w:bookmarkStart w:id="107" w:name="_Toc184312127"/>
      <w:bookmarkEnd w:id="107"/>
      <w:bookmarkStart w:id="108" w:name="_Toc184313288"/>
      <w:bookmarkEnd w:id="108"/>
      <w:bookmarkStart w:id="109" w:name="_Toc184310344"/>
      <w:bookmarkEnd w:id="109"/>
      <w:bookmarkStart w:id="110" w:name="_Toc184312111"/>
      <w:bookmarkEnd w:id="110"/>
      <w:bookmarkStart w:id="111" w:name="_Toc184313245"/>
      <w:bookmarkEnd w:id="111"/>
      <w:bookmarkStart w:id="112" w:name="_Toc184308078"/>
      <w:bookmarkEnd w:id="112"/>
      <w:bookmarkStart w:id="113" w:name="_Toc184308080"/>
      <w:bookmarkEnd w:id="113"/>
      <w:bookmarkStart w:id="114" w:name="_Toc184314473"/>
      <w:bookmarkEnd w:id="114"/>
      <w:bookmarkStart w:id="115" w:name="_Toc184314463"/>
      <w:bookmarkEnd w:id="115"/>
      <w:bookmarkStart w:id="116" w:name="_Toc184312104"/>
      <w:bookmarkEnd w:id="116"/>
      <w:bookmarkStart w:id="117" w:name="_Toc184313293"/>
      <w:bookmarkEnd w:id="117"/>
      <w:bookmarkStart w:id="118" w:name="_Toc184310322"/>
      <w:bookmarkEnd w:id="118"/>
      <w:bookmarkStart w:id="119" w:name="_Toc184314478"/>
      <w:bookmarkEnd w:id="119"/>
      <w:bookmarkStart w:id="120" w:name="_Toc184314452"/>
      <w:bookmarkEnd w:id="120"/>
      <w:bookmarkStart w:id="121" w:name="_Toc184310329"/>
      <w:bookmarkEnd w:id="121"/>
      <w:bookmarkStart w:id="122" w:name="_Toc184313260"/>
      <w:bookmarkEnd w:id="122"/>
      <w:bookmarkStart w:id="123" w:name="_Toc184312069"/>
      <w:bookmarkEnd w:id="123"/>
      <w:bookmarkStart w:id="124" w:name="_Toc184308093"/>
      <w:bookmarkEnd w:id="124"/>
      <w:bookmarkStart w:id="125" w:name="_Toc184312105"/>
      <w:bookmarkEnd w:id="125"/>
      <w:bookmarkStart w:id="126" w:name="_Toc184314428"/>
      <w:bookmarkEnd w:id="126"/>
      <w:bookmarkStart w:id="127" w:name="_Toc184312075"/>
      <w:bookmarkEnd w:id="127"/>
      <w:bookmarkStart w:id="128" w:name="_Toc184308091"/>
      <w:bookmarkEnd w:id="128"/>
      <w:bookmarkStart w:id="129" w:name="_Toc184314442"/>
      <w:bookmarkEnd w:id="129"/>
      <w:bookmarkStart w:id="130" w:name="_Toc184314448"/>
      <w:bookmarkEnd w:id="130"/>
      <w:bookmarkStart w:id="131" w:name="_Toc184308090"/>
      <w:bookmarkEnd w:id="131"/>
      <w:bookmarkStart w:id="132" w:name="_Toc184314479"/>
      <w:bookmarkEnd w:id="132"/>
      <w:bookmarkStart w:id="133" w:name="_Toc184313287"/>
      <w:bookmarkEnd w:id="133"/>
      <w:bookmarkStart w:id="134" w:name="_Toc184312084"/>
      <w:bookmarkEnd w:id="134"/>
      <w:bookmarkStart w:id="135" w:name="_Toc184312121"/>
      <w:bookmarkEnd w:id="135"/>
      <w:bookmarkStart w:id="136" w:name="_Toc184314435"/>
      <w:bookmarkEnd w:id="136"/>
      <w:bookmarkStart w:id="137" w:name="_Toc184310297"/>
      <w:bookmarkEnd w:id="137"/>
      <w:bookmarkStart w:id="138" w:name="_Toc184314444"/>
      <w:bookmarkEnd w:id="138"/>
      <w:bookmarkStart w:id="139" w:name="_Toc184310294"/>
      <w:bookmarkEnd w:id="139"/>
      <w:bookmarkStart w:id="140" w:name="_Toc184312133"/>
      <w:bookmarkEnd w:id="140"/>
      <w:bookmarkStart w:id="141" w:name="_Toc184312086"/>
      <w:bookmarkEnd w:id="141"/>
      <w:bookmarkStart w:id="142" w:name="_Toc184310276"/>
      <w:bookmarkEnd w:id="142"/>
      <w:bookmarkStart w:id="143" w:name="_Toc184310318"/>
      <w:bookmarkEnd w:id="143"/>
      <w:bookmarkStart w:id="144" w:name="_Toc184314419"/>
      <w:bookmarkEnd w:id="144"/>
      <w:bookmarkStart w:id="145" w:name="_Toc184310283"/>
      <w:bookmarkEnd w:id="145"/>
      <w:bookmarkStart w:id="146" w:name="_Toc184312073"/>
      <w:bookmarkEnd w:id="146"/>
      <w:bookmarkStart w:id="147" w:name="_Toc184310317"/>
      <w:bookmarkEnd w:id="147"/>
      <w:bookmarkStart w:id="148" w:name="_Toc184313241"/>
      <w:bookmarkEnd w:id="148"/>
      <w:bookmarkStart w:id="149" w:name="_Toc184310286"/>
      <w:bookmarkEnd w:id="149"/>
      <w:bookmarkStart w:id="150" w:name="_Toc184310287"/>
      <w:bookmarkEnd w:id="150"/>
      <w:bookmarkStart w:id="151" w:name="_Toc184310328"/>
      <w:bookmarkEnd w:id="151"/>
      <w:bookmarkStart w:id="152" w:name="_Toc184313302"/>
      <w:bookmarkEnd w:id="152"/>
      <w:bookmarkStart w:id="153" w:name="_Toc184313292"/>
      <w:bookmarkEnd w:id="153"/>
      <w:bookmarkStart w:id="154" w:name="_Toc184314418"/>
      <w:bookmarkEnd w:id="154"/>
      <w:bookmarkStart w:id="155" w:name="_Toc184313247"/>
      <w:bookmarkEnd w:id="155"/>
      <w:bookmarkStart w:id="156" w:name="_Toc184313303"/>
      <w:bookmarkEnd w:id="156"/>
      <w:bookmarkStart w:id="157" w:name="_Toc184310323"/>
      <w:bookmarkEnd w:id="157"/>
      <w:bookmarkStart w:id="158" w:name="_Toc184310339"/>
      <w:bookmarkEnd w:id="158"/>
      <w:bookmarkStart w:id="159" w:name="_Toc184308045"/>
      <w:bookmarkEnd w:id="159"/>
      <w:bookmarkStart w:id="160" w:name="_Toc184313254"/>
      <w:bookmarkEnd w:id="160"/>
      <w:bookmarkStart w:id="161" w:name="_Toc184308083"/>
      <w:bookmarkEnd w:id="161"/>
      <w:bookmarkStart w:id="162" w:name="_Toc184312128"/>
      <w:bookmarkEnd w:id="162"/>
      <w:bookmarkStart w:id="163" w:name="_Toc184308095"/>
      <w:bookmarkEnd w:id="163"/>
      <w:bookmarkStart w:id="164" w:name="_Toc184313256"/>
      <w:bookmarkEnd w:id="164"/>
      <w:bookmarkStart w:id="165" w:name="_Toc184313304"/>
      <w:bookmarkEnd w:id="165"/>
      <w:bookmarkStart w:id="166" w:name="_Toc184314481"/>
      <w:bookmarkEnd w:id="166"/>
      <w:bookmarkStart w:id="167" w:name="_Toc184314456"/>
      <w:bookmarkEnd w:id="167"/>
      <w:bookmarkStart w:id="168" w:name="_Toc184314457"/>
      <w:bookmarkEnd w:id="168"/>
      <w:bookmarkStart w:id="169" w:name="_Toc184308085"/>
      <w:bookmarkEnd w:id="169"/>
      <w:bookmarkStart w:id="170" w:name="_Toc184310309"/>
      <w:bookmarkEnd w:id="170"/>
      <w:bookmarkStart w:id="171" w:name="_Toc184314440"/>
      <w:bookmarkEnd w:id="171"/>
      <w:bookmarkStart w:id="172" w:name="_Toc184312096"/>
      <w:bookmarkEnd w:id="172"/>
      <w:bookmarkStart w:id="173" w:name="_Toc184312093"/>
      <w:bookmarkEnd w:id="173"/>
      <w:bookmarkStart w:id="174" w:name="_Toc184314466"/>
      <w:bookmarkEnd w:id="174"/>
      <w:bookmarkStart w:id="175" w:name="_Toc184313286"/>
      <w:bookmarkEnd w:id="175"/>
      <w:bookmarkStart w:id="176" w:name="_Toc184310330"/>
      <w:bookmarkEnd w:id="176"/>
      <w:bookmarkStart w:id="177" w:name="_Toc184313279"/>
      <w:bookmarkEnd w:id="177"/>
      <w:bookmarkStart w:id="178" w:name="_Toc184313301"/>
      <w:bookmarkEnd w:id="178"/>
      <w:bookmarkStart w:id="179" w:name="_Toc184312101"/>
      <w:bookmarkEnd w:id="179"/>
      <w:bookmarkStart w:id="180" w:name="_Toc184312139"/>
      <w:bookmarkEnd w:id="180"/>
      <w:bookmarkStart w:id="181" w:name="_Toc184313282"/>
      <w:bookmarkEnd w:id="181"/>
      <w:bookmarkStart w:id="182" w:name="_Toc184312110"/>
      <w:bookmarkEnd w:id="182"/>
      <w:bookmarkStart w:id="183" w:name="_Toc184310321"/>
      <w:bookmarkEnd w:id="183"/>
      <w:bookmarkStart w:id="184" w:name="_Toc184313271"/>
      <w:bookmarkEnd w:id="184"/>
      <w:bookmarkStart w:id="185" w:name="_Toc184313250"/>
      <w:bookmarkEnd w:id="185"/>
      <w:bookmarkStart w:id="186" w:name="_Toc184314449"/>
      <w:bookmarkEnd w:id="186"/>
      <w:bookmarkStart w:id="187" w:name="_Toc184308079"/>
      <w:bookmarkEnd w:id="187"/>
      <w:bookmarkStart w:id="188" w:name="_Toc184314431"/>
      <w:bookmarkEnd w:id="188"/>
      <w:bookmarkStart w:id="189" w:name="_Toc184308094"/>
      <w:bookmarkEnd w:id="189"/>
      <w:bookmarkStart w:id="190" w:name="_Toc184312092"/>
      <w:bookmarkEnd w:id="190"/>
      <w:bookmarkStart w:id="191" w:name="_Toc184313306"/>
      <w:bookmarkEnd w:id="191"/>
      <w:bookmarkStart w:id="192" w:name="_Toc184314441"/>
      <w:bookmarkEnd w:id="192"/>
      <w:bookmarkStart w:id="193" w:name="_Toc184310295"/>
      <w:bookmarkEnd w:id="193"/>
      <w:bookmarkStart w:id="194" w:name="_Toc184313257"/>
      <w:bookmarkEnd w:id="194"/>
      <w:bookmarkStart w:id="195" w:name="_Toc184312108"/>
      <w:bookmarkEnd w:id="195"/>
      <w:bookmarkStart w:id="196" w:name="_Toc184312072"/>
      <w:bookmarkEnd w:id="196"/>
      <w:bookmarkStart w:id="197" w:name="_Toc184310278"/>
      <w:bookmarkEnd w:id="197"/>
      <w:bookmarkStart w:id="198" w:name="_Toc184310338"/>
      <w:bookmarkEnd w:id="198"/>
      <w:bookmarkStart w:id="199" w:name="_Toc184312100"/>
      <w:bookmarkEnd w:id="199"/>
      <w:bookmarkStart w:id="200" w:name="_Toc184310307"/>
      <w:bookmarkEnd w:id="200"/>
      <w:bookmarkStart w:id="201" w:name="_Toc184308059"/>
      <w:bookmarkEnd w:id="201"/>
      <w:bookmarkStart w:id="202" w:name="_Toc184312114"/>
      <w:bookmarkEnd w:id="202"/>
      <w:bookmarkStart w:id="203" w:name="_Toc184312083"/>
      <w:bookmarkEnd w:id="203"/>
      <w:bookmarkStart w:id="204" w:name="_Toc184313272"/>
      <w:bookmarkEnd w:id="204"/>
      <w:bookmarkStart w:id="205" w:name="_Toc184314476"/>
      <w:bookmarkEnd w:id="205"/>
      <w:bookmarkStart w:id="206" w:name="_Toc184310305"/>
      <w:bookmarkEnd w:id="206"/>
      <w:bookmarkStart w:id="207" w:name="_Toc184313309"/>
      <w:bookmarkEnd w:id="207"/>
      <w:bookmarkStart w:id="208" w:name="_Toc184308065"/>
      <w:bookmarkEnd w:id="208"/>
      <w:bookmarkStart w:id="209" w:name="_Toc184308050"/>
      <w:bookmarkEnd w:id="209"/>
      <w:bookmarkStart w:id="210" w:name="_Toc184313242"/>
      <w:bookmarkEnd w:id="210"/>
      <w:bookmarkStart w:id="211" w:name="_Toc184314410"/>
      <w:bookmarkEnd w:id="211"/>
      <w:bookmarkStart w:id="212" w:name="_Toc184308075"/>
      <w:bookmarkEnd w:id="212"/>
      <w:bookmarkStart w:id="213" w:name="_Toc184310284"/>
      <w:bookmarkEnd w:id="213"/>
      <w:bookmarkStart w:id="214" w:name="_Toc184308107"/>
      <w:bookmarkEnd w:id="214"/>
      <w:bookmarkStart w:id="215" w:name="_Toc184308039"/>
      <w:bookmarkEnd w:id="215"/>
      <w:bookmarkStart w:id="216" w:name="_Toc184313296"/>
      <w:bookmarkEnd w:id="216"/>
      <w:bookmarkStart w:id="217" w:name="_Toc184312081"/>
      <w:bookmarkEnd w:id="217"/>
      <w:bookmarkStart w:id="218" w:name="_Toc184310274"/>
      <w:bookmarkEnd w:id="218"/>
      <w:bookmarkStart w:id="219" w:name="_Toc184308038"/>
      <w:bookmarkEnd w:id="219"/>
      <w:bookmarkStart w:id="220" w:name="_Toc184313265"/>
      <w:bookmarkEnd w:id="220"/>
      <w:bookmarkStart w:id="221" w:name="_Toc184313264"/>
      <w:bookmarkEnd w:id="221"/>
      <w:bookmarkStart w:id="222" w:name="_Toc184312070"/>
      <w:bookmarkEnd w:id="222"/>
      <w:bookmarkStart w:id="223" w:name="_Toc184314455"/>
      <w:bookmarkEnd w:id="223"/>
      <w:bookmarkStart w:id="224" w:name="_Toc184308089"/>
      <w:bookmarkEnd w:id="224"/>
      <w:bookmarkStart w:id="225" w:name="_Toc184312088"/>
      <w:bookmarkEnd w:id="225"/>
      <w:bookmarkStart w:id="226" w:name="_Toc184314413"/>
      <w:bookmarkEnd w:id="226"/>
      <w:bookmarkStart w:id="227" w:name="_Toc184314460"/>
      <w:bookmarkEnd w:id="227"/>
      <w:bookmarkStart w:id="228" w:name="_Toc184308046"/>
      <w:bookmarkEnd w:id="228"/>
      <w:bookmarkStart w:id="229" w:name="_Toc184312125"/>
      <w:bookmarkEnd w:id="229"/>
      <w:bookmarkStart w:id="230" w:name="_Toc184314422"/>
      <w:bookmarkEnd w:id="230"/>
      <w:bookmarkStart w:id="231" w:name="_Toc184308048"/>
      <w:bookmarkEnd w:id="231"/>
      <w:bookmarkStart w:id="232" w:name="_Toc184314470"/>
      <w:bookmarkEnd w:id="232"/>
      <w:bookmarkStart w:id="233" w:name="_Toc184310300"/>
      <w:bookmarkEnd w:id="233"/>
      <w:bookmarkStart w:id="234" w:name="_Toc184314423"/>
      <w:bookmarkEnd w:id="234"/>
      <w:bookmarkStart w:id="235" w:name="_Toc184314430"/>
      <w:bookmarkEnd w:id="235"/>
      <w:bookmarkStart w:id="236" w:name="_Toc184312087"/>
      <w:bookmarkEnd w:id="236"/>
      <w:bookmarkStart w:id="237" w:name="_Toc184314445"/>
      <w:bookmarkEnd w:id="237"/>
      <w:bookmarkStart w:id="238" w:name="_Toc184308097"/>
      <w:bookmarkEnd w:id="238"/>
      <w:bookmarkStart w:id="239" w:name="_Toc184308101"/>
      <w:bookmarkEnd w:id="239"/>
      <w:bookmarkStart w:id="240" w:name="_Toc184312076"/>
      <w:bookmarkEnd w:id="240"/>
      <w:bookmarkStart w:id="241" w:name="_Toc184312107"/>
      <w:bookmarkEnd w:id="241"/>
      <w:bookmarkStart w:id="242" w:name="_Toc184308071"/>
      <w:bookmarkEnd w:id="242"/>
      <w:bookmarkStart w:id="243" w:name="_Toc184312130"/>
      <w:bookmarkEnd w:id="243"/>
      <w:bookmarkStart w:id="244" w:name="_Toc184308076"/>
      <w:bookmarkEnd w:id="244"/>
      <w:bookmarkStart w:id="245" w:name="_Toc184314425"/>
      <w:bookmarkEnd w:id="245"/>
      <w:bookmarkStart w:id="246" w:name="_Toc184310301"/>
      <w:bookmarkEnd w:id="246"/>
      <w:bookmarkStart w:id="247" w:name="_Toc184312124"/>
      <w:bookmarkEnd w:id="247"/>
      <w:bookmarkStart w:id="248" w:name="_Toc184308061"/>
      <w:bookmarkEnd w:id="248"/>
      <w:bookmarkStart w:id="249" w:name="_Toc184313253"/>
      <w:bookmarkEnd w:id="249"/>
      <w:bookmarkStart w:id="250" w:name="_Toc184313305"/>
      <w:bookmarkEnd w:id="250"/>
      <w:bookmarkStart w:id="251" w:name="_Toc184310291"/>
      <w:bookmarkEnd w:id="251"/>
      <w:bookmarkStart w:id="252" w:name="_Toc184308062"/>
      <w:bookmarkEnd w:id="252"/>
      <w:bookmarkStart w:id="253" w:name="_Toc184308055"/>
      <w:bookmarkEnd w:id="253"/>
      <w:bookmarkStart w:id="254" w:name="_Toc184310324"/>
      <w:bookmarkEnd w:id="254"/>
      <w:bookmarkStart w:id="255" w:name="_Toc184308088"/>
      <w:bookmarkEnd w:id="255"/>
      <w:bookmarkStart w:id="256" w:name="_Toc184310282"/>
      <w:bookmarkEnd w:id="256"/>
      <w:bookmarkStart w:id="257" w:name="_Toc184308082"/>
      <w:bookmarkEnd w:id="257"/>
      <w:bookmarkStart w:id="258" w:name="_Toc184308064"/>
      <w:bookmarkEnd w:id="258"/>
      <w:bookmarkStart w:id="259" w:name="_Toc184308043"/>
      <w:bookmarkEnd w:id="259"/>
      <w:bookmarkStart w:id="260" w:name="_Toc184313310"/>
      <w:bookmarkEnd w:id="260"/>
      <w:bookmarkStart w:id="261" w:name="_Toc184312132"/>
      <w:bookmarkEnd w:id="261"/>
      <w:bookmarkStart w:id="262" w:name="_Toc184310336"/>
      <w:bookmarkEnd w:id="262"/>
      <w:bookmarkStart w:id="263" w:name="_Toc184312067"/>
      <w:bookmarkEnd w:id="263"/>
      <w:bookmarkStart w:id="264" w:name="_Toc184314451"/>
      <w:bookmarkEnd w:id="264"/>
      <w:bookmarkStart w:id="265" w:name="_Toc184310299"/>
      <w:bookmarkEnd w:id="265"/>
      <w:bookmarkStart w:id="266" w:name="_Toc184313240"/>
      <w:bookmarkEnd w:id="266"/>
      <w:bookmarkStart w:id="267" w:name="_Toc184314469"/>
      <w:bookmarkEnd w:id="267"/>
      <w:bookmarkStart w:id="268" w:name="_Toc184308098"/>
      <w:bookmarkEnd w:id="268"/>
      <w:bookmarkStart w:id="269" w:name="_Toc184312131"/>
      <w:bookmarkEnd w:id="269"/>
      <w:bookmarkStart w:id="270" w:name="_Toc184310306"/>
      <w:bookmarkEnd w:id="270"/>
      <w:bookmarkStart w:id="271" w:name="_Toc184312103"/>
      <w:bookmarkEnd w:id="271"/>
      <w:bookmarkStart w:id="272" w:name="_Toc184312082"/>
      <w:bookmarkEnd w:id="272"/>
      <w:bookmarkStart w:id="273" w:name="_Toc184313273"/>
      <w:bookmarkEnd w:id="273"/>
      <w:bookmarkStart w:id="274" w:name="_Toc184308108"/>
      <w:bookmarkEnd w:id="274"/>
      <w:bookmarkStart w:id="275" w:name="_Toc184313307"/>
      <w:bookmarkEnd w:id="275"/>
      <w:bookmarkStart w:id="276" w:name="_Toc184310337"/>
      <w:bookmarkEnd w:id="276"/>
      <w:bookmarkStart w:id="277" w:name="_Toc184310320"/>
      <w:bookmarkEnd w:id="277"/>
      <w:bookmarkStart w:id="278" w:name="_Toc184308102"/>
      <w:bookmarkEnd w:id="278"/>
      <w:bookmarkStart w:id="279" w:name="_Toc184314480"/>
      <w:bookmarkEnd w:id="279"/>
      <w:bookmarkStart w:id="280" w:name="_Toc184308058"/>
      <w:bookmarkEnd w:id="280"/>
      <w:bookmarkStart w:id="281" w:name="_Toc184310311"/>
      <w:bookmarkEnd w:id="281"/>
      <w:bookmarkStart w:id="282" w:name="_Toc184313284"/>
      <w:bookmarkEnd w:id="282"/>
      <w:bookmarkStart w:id="283" w:name="_Toc184314434"/>
      <w:bookmarkEnd w:id="283"/>
      <w:bookmarkStart w:id="284" w:name="_Toc184314417"/>
      <w:bookmarkEnd w:id="284"/>
      <w:bookmarkStart w:id="285" w:name="_Toc184312095"/>
      <w:bookmarkEnd w:id="285"/>
      <w:bookmarkStart w:id="286" w:name="_Toc184313297"/>
      <w:bookmarkEnd w:id="286"/>
      <w:bookmarkStart w:id="287" w:name="_Toc184308040"/>
      <w:bookmarkEnd w:id="287"/>
      <w:bookmarkStart w:id="288" w:name="_Toc184308044"/>
      <w:bookmarkEnd w:id="288"/>
      <w:bookmarkStart w:id="289" w:name="_Toc184313246"/>
      <w:bookmarkEnd w:id="289"/>
      <w:bookmarkStart w:id="290" w:name="_Toc184310289"/>
      <w:bookmarkEnd w:id="290"/>
      <w:bookmarkStart w:id="291" w:name="_Toc184310296"/>
      <w:bookmarkEnd w:id="291"/>
      <w:bookmarkStart w:id="292" w:name="_Toc184310314"/>
      <w:bookmarkEnd w:id="292"/>
      <w:bookmarkStart w:id="293" w:name="_Toc184313276"/>
      <w:bookmarkEnd w:id="293"/>
      <w:bookmarkStart w:id="294" w:name="_Toc184308084"/>
      <w:bookmarkEnd w:id="294"/>
      <w:bookmarkStart w:id="295" w:name="_Toc184313238"/>
      <w:bookmarkEnd w:id="295"/>
      <w:bookmarkStart w:id="296" w:name="_Toc184313283"/>
      <w:bookmarkEnd w:id="296"/>
      <w:bookmarkStart w:id="297" w:name="_Toc184308057"/>
      <w:bookmarkEnd w:id="297"/>
      <w:bookmarkStart w:id="298" w:name="_Toc184312138"/>
      <w:bookmarkEnd w:id="298"/>
      <w:bookmarkStart w:id="299" w:name="_Toc184308072"/>
      <w:bookmarkEnd w:id="299"/>
      <w:bookmarkStart w:id="300" w:name="_Toc184308106"/>
      <w:bookmarkEnd w:id="300"/>
      <w:bookmarkStart w:id="301" w:name="_Toc184313277"/>
      <w:bookmarkEnd w:id="301"/>
      <w:bookmarkStart w:id="302" w:name="_Toc184312116"/>
      <w:bookmarkEnd w:id="302"/>
      <w:bookmarkStart w:id="303" w:name="_Toc184310342"/>
      <w:bookmarkEnd w:id="303"/>
      <w:bookmarkStart w:id="304" w:name="_Toc184314474"/>
      <w:bookmarkEnd w:id="304"/>
      <w:bookmarkStart w:id="305" w:name="_Toc184308087"/>
      <w:bookmarkEnd w:id="305"/>
      <w:bookmarkStart w:id="306" w:name="_Toc184313308"/>
      <w:bookmarkEnd w:id="306"/>
      <w:bookmarkStart w:id="307" w:name="_Toc184312112"/>
      <w:bookmarkEnd w:id="307"/>
      <w:bookmarkStart w:id="308" w:name="_Toc184310319"/>
      <w:bookmarkEnd w:id="308"/>
      <w:bookmarkStart w:id="309" w:name="_Toc184308103"/>
      <w:bookmarkEnd w:id="309"/>
      <w:bookmarkStart w:id="310" w:name="_Toc184308067"/>
      <w:bookmarkEnd w:id="310"/>
      <w:bookmarkStart w:id="311" w:name="_Toc184308086"/>
      <w:bookmarkEnd w:id="311"/>
      <w:bookmarkStart w:id="312" w:name="_Toc184314438"/>
      <w:bookmarkEnd w:id="312"/>
      <w:bookmarkStart w:id="313" w:name="_Toc184308063"/>
      <w:bookmarkEnd w:id="313"/>
      <w:bookmarkStart w:id="314" w:name="_Toc184310302"/>
      <w:bookmarkEnd w:id="314"/>
      <w:bookmarkStart w:id="315" w:name="_Toc184312134"/>
      <w:bookmarkEnd w:id="315"/>
      <w:bookmarkStart w:id="316" w:name="_Toc184313255"/>
      <w:bookmarkEnd w:id="316"/>
      <w:bookmarkStart w:id="317" w:name="_Toc184312085"/>
      <w:bookmarkEnd w:id="317"/>
      <w:bookmarkStart w:id="318" w:name="_Toc184310310"/>
      <w:bookmarkEnd w:id="318"/>
      <w:bookmarkStart w:id="319" w:name="_Toc184308092"/>
      <w:bookmarkEnd w:id="319"/>
      <w:bookmarkStart w:id="320" w:name="_Toc184313251"/>
      <w:bookmarkEnd w:id="320"/>
      <w:bookmarkStart w:id="321" w:name="_Toc184313275"/>
      <w:bookmarkEnd w:id="321"/>
      <w:bookmarkStart w:id="322" w:name="_Toc184312080"/>
      <w:bookmarkEnd w:id="322"/>
      <w:bookmarkStart w:id="323" w:name="_Toc184310293"/>
      <w:bookmarkEnd w:id="323"/>
      <w:bookmarkStart w:id="324" w:name="_Toc184313278"/>
      <w:bookmarkEnd w:id="324"/>
      <w:bookmarkStart w:id="325" w:name="_Toc184308100"/>
      <w:bookmarkEnd w:id="325"/>
      <w:bookmarkStart w:id="326" w:name="_Toc184314464"/>
      <w:bookmarkEnd w:id="326"/>
      <w:bookmarkStart w:id="327" w:name="_Toc184312074"/>
      <w:bookmarkEnd w:id="327"/>
      <w:bookmarkStart w:id="328" w:name="_Toc184312094"/>
      <w:bookmarkEnd w:id="328"/>
      <w:bookmarkStart w:id="329" w:name="_Toc184310304"/>
      <w:bookmarkEnd w:id="329"/>
      <w:bookmarkStart w:id="330" w:name="_Toc184308042"/>
      <w:bookmarkEnd w:id="330"/>
      <w:bookmarkStart w:id="331" w:name="_Toc184310331"/>
      <w:bookmarkEnd w:id="331"/>
      <w:bookmarkStart w:id="332" w:name="_Toc184312113"/>
      <w:bookmarkEnd w:id="332"/>
      <w:bookmarkStart w:id="333" w:name="_Toc184312097"/>
      <w:bookmarkEnd w:id="333"/>
      <w:bookmarkStart w:id="334" w:name="_Toc184308066"/>
      <w:bookmarkEnd w:id="334"/>
      <w:bookmarkStart w:id="335" w:name="_Toc184312091"/>
      <w:bookmarkEnd w:id="335"/>
      <w:bookmarkStart w:id="336" w:name="_Toc184312098"/>
      <w:bookmarkEnd w:id="336"/>
      <w:bookmarkStart w:id="337" w:name="_Toc184310275"/>
      <w:bookmarkEnd w:id="337"/>
      <w:bookmarkStart w:id="338" w:name="_Toc184312109"/>
      <w:bookmarkEnd w:id="338"/>
      <w:bookmarkStart w:id="339" w:name="_Toc184313248"/>
      <w:bookmarkEnd w:id="339"/>
      <w:bookmarkStart w:id="340" w:name="_Toc184313285"/>
      <w:bookmarkEnd w:id="340"/>
      <w:bookmarkStart w:id="341" w:name="_Toc184314471"/>
      <w:bookmarkEnd w:id="341"/>
      <w:bookmarkStart w:id="342" w:name="_Toc184314453"/>
      <w:bookmarkEnd w:id="342"/>
      <w:bookmarkStart w:id="343" w:name="_Toc184308069"/>
      <w:bookmarkEnd w:id="343"/>
      <w:bookmarkStart w:id="344" w:name="_Toc184313259"/>
      <w:bookmarkEnd w:id="344"/>
      <w:bookmarkStart w:id="345" w:name="_Toc184310279"/>
      <w:bookmarkEnd w:id="345"/>
      <w:bookmarkStart w:id="346" w:name="_Toc184310334"/>
      <w:bookmarkEnd w:id="346"/>
      <w:bookmarkStart w:id="347" w:name="_Toc184308099"/>
      <w:bookmarkEnd w:id="347"/>
      <w:bookmarkStart w:id="348" w:name="_Toc184314416"/>
      <w:bookmarkEnd w:id="348"/>
      <w:bookmarkStart w:id="349" w:name="_Toc184314447"/>
      <w:bookmarkEnd w:id="349"/>
      <w:bookmarkStart w:id="350" w:name="_Toc184313291"/>
      <w:bookmarkEnd w:id="350"/>
      <w:bookmarkStart w:id="351" w:name="_Toc184308096"/>
      <w:bookmarkEnd w:id="351"/>
      <w:bookmarkStart w:id="352" w:name="_Toc184314414"/>
      <w:bookmarkEnd w:id="352"/>
      <w:bookmarkStart w:id="353" w:name="_Toc184313289"/>
      <w:bookmarkEnd w:id="353"/>
      <w:bookmarkStart w:id="354" w:name="_Toc184308037"/>
      <w:bookmarkEnd w:id="354"/>
      <w:bookmarkStart w:id="355" w:name="_Toc184312071"/>
      <w:bookmarkEnd w:id="355"/>
      <w:bookmarkStart w:id="356" w:name="_Toc184312106"/>
      <w:bookmarkEnd w:id="356"/>
      <w:bookmarkStart w:id="357" w:name="_Toc184313300"/>
      <w:bookmarkEnd w:id="357"/>
      <w:bookmarkStart w:id="358" w:name="_Toc184310327"/>
      <w:bookmarkEnd w:id="358"/>
      <w:bookmarkStart w:id="359" w:name="_Toc184314462"/>
      <w:bookmarkEnd w:id="359"/>
      <w:bookmarkStart w:id="360" w:name="_Toc184310340"/>
      <w:bookmarkEnd w:id="360"/>
      <w:bookmarkStart w:id="361" w:name="_Toc184310292"/>
      <w:bookmarkEnd w:id="361"/>
      <w:bookmarkStart w:id="362" w:name="_Toc184314437"/>
      <w:bookmarkEnd w:id="362"/>
      <w:bookmarkStart w:id="363" w:name="_Toc184313252"/>
      <w:bookmarkEnd w:id="363"/>
      <w:bookmarkStart w:id="364" w:name="_Toc184313261"/>
      <w:bookmarkEnd w:id="364"/>
      <w:bookmarkStart w:id="365" w:name="_Toc184308081"/>
      <w:bookmarkEnd w:id="365"/>
      <w:bookmarkStart w:id="366" w:name="_Toc184310281"/>
      <w:bookmarkEnd w:id="366"/>
      <w:bookmarkStart w:id="367" w:name="_Toc184308053"/>
      <w:bookmarkEnd w:id="367"/>
      <w:bookmarkStart w:id="368" w:name="_Toc184310273"/>
      <w:bookmarkEnd w:id="368"/>
      <w:bookmarkStart w:id="369" w:name="_Toc184310343"/>
      <w:bookmarkEnd w:id="369"/>
      <w:bookmarkStart w:id="370" w:name="_Toc184313294"/>
      <w:bookmarkEnd w:id="370"/>
      <w:bookmarkStart w:id="371" w:name="_Toc184312126"/>
      <w:bookmarkEnd w:id="371"/>
      <w:bookmarkStart w:id="372" w:name="_Toc184312123"/>
      <w:bookmarkEnd w:id="372"/>
      <w:bookmarkStart w:id="373" w:name="_Toc184308070"/>
      <w:bookmarkEnd w:id="373"/>
      <w:bookmarkStart w:id="374" w:name="_Toc184312117"/>
      <w:bookmarkEnd w:id="374"/>
      <w:bookmarkStart w:id="375" w:name="_Toc184310272"/>
      <w:bookmarkEnd w:id="375"/>
      <w:bookmarkStart w:id="376" w:name="_Toc184313274"/>
      <w:bookmarkEnd w:id="376"/>
      <w:bookmarkStart w:id="377" w:name="_Toc184308077"/>
      <w:bookmarkEnd w:id="377"/>
      <w:bookmarkStart w:id="378" w:name="_Toc184310288"/>
      <w:bookmarkEnd w:id="378"/>
      <w:bookmarkStart w:id="379" w:name="_Toc184308056"/>
      <w:bookmarkEnd w:id="379"/>
      <w:bookmarkStart w:id="380" w:name="_Toc184314411"/>
      <w:bookmarkEnd w:id="380"/>
      <w:bookmarkStart w:id="381" w:name="_Toc184308074"/>
      <w:bookmarkEnd w:id="381"/>
      <w:bookmarkStart w:id="382" w:name="_Toc184314426"/>
      <w:bookmarkEnd w:id="382"/>
      <w:bookmarkStart w:id="383" w:name="_Toc184310298"/>
      <w:bookmarkEnd w:id="383"/>
      <w:bookmarkStart w:id="384" w:name="_Toc184313298"/>
      <w:bookmarkEnd w:id="384"/>
      <w:bookmarkStart w:id="385" w:name="_Toc184314412"/>
      <w:bookmarkEnd w:id="385"/>
      <w:bookmarkStart w:id="386" w:name="_Toc184312089"/>
      <w:bookmarkEnd w:id="386"/>
      <w:bookmarkStart w:id="387" w:name="_Toc184314429"/>
      <w:bookmarkEnd w:id="387"/>
      <w:bookmarkStart w:id="388" w:name="_Toc184312079"/>
      <w:bookmarkEnd w:id="388"/>
      <w:bookmarkStart w:id="389" w:name="_Toc184314458"/>
      <w:bookmarkEnd w:id="389"/>
      <w:bookmarkStart w:id="390" w:name="_Toc184313263"/>
      <w:bookmarkEnd w:id="390"/>
      <w:bookmarkStart w:id="391" w:name="_Toc184313267"/>
      <w:bookmarkEnd w:id="391"/>
      <w:bookmarkStart w:id="392" w:name="_Toc184312136"/>
      <w:bookmarkEnd w:id="392"/>
      <w:bookmarkStart w:id="393" w:name="_Toc184313281"/>
      <w:bookmarkEnd w:id="393"/>
      <w:bookmarkStart w:id="394" w:name="_Toc184314421"/>
      <w:bookmarkEnd w:id="394"/>
      <w:bookmarkStart w:id="395" w:name="_Toc184308049"/>
      <w:bookmarkEnd w:id="395"/>
      <w:bookmarkStart w:id="396" w:name="_Toc184313258"/>
      <w:bookmarkEnd w:id="396"/>
      <w:r>
        <w:rPr>
          <w:rFonts w:hint="eastAsia" w:ascii="宋体" w:hAnsi="宋体" w:cs="宋体"/>
          <w:b/>
          <w:sz w:val="36"/>
          <w:szCs w:val="36"/>
          <w:highlight w:val="none"/>
        </w:rPr>
        <w:t>评标办法</w:t>
      </w:r>
    </w:p>
    <w:p w14:paraId="1EB36832">
      <w:pPr>
        <w:snapToGrid w:val="0"/>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4"/>
        <w:tblpPr w:leftFromText="180" w:rightFromText="180" w:vertAnchor="text" w:horzAnchor="page" w:tblpX="1341" w:tblpY="126"/>
        <w:tblW w:w="52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295"/>
        <w:gridCol w:w="5991"/>
        <w:gridCol w:w="821"/>
      </w:tblGrid>
      <w:tr w14:paraId="33CA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8" w:type="pct"/>
            <w:vAlign w:val="center"/>
          </w:tcPr>
          <w:p w14:paraId="4FC5CA37">
            <w:pPr>
              <w:jc w:val="center"/>
              <w:outlineLvl w:val="0"/>
              <w:rPr>
                <w:rFonts w:ascii="宋体" w:hAnsi="宋体" w:cs="宋体"/>
                <w:b/>
                <w:bCs w:val="0"/>
                <w:szCs w:val="21"/>
                <w:highlight w:val="none"/>
              </w:rPr>
            </w:pPr>
            <w:r>
              <w:rPr>
                <w:rFonts w:hint="eastAsia" w:ascii="宋体" w:hAnsi="宋体" w:cs="宋体"/>
                <w:b/>
                <w:bCs w:val="0"/>
                <w:szCs w:val="21"/>
                <w:highlight w:val="none"/>
              </w:rPr>
              <w:t>序号</w:t>
            </w:r>
          </w:p>
        </w:tc>
        <w:tc>
          <w:tcPr>
            <w:tcW w:w="4099" w:type="pct"/>
            <w:gridSpan w:val="2"/>
            <w:vAlign w:val="center"/>
          </w:tcPr>
          <w:p w14:paraId="2E2A769B">
            <w:pPr>
              <w:ind w:firstLine="2846" w:firstLineChars="1350"/>
              <w:outlineLvl w:val="0"/>
              <w:rPr>
                <w:rFonts w:ascii="宋体" w:hAnsi="宋体" w:cs="宋体"/>
                <w:b/>
                <w:bCs w:val="0"/>
                <w:szCs w:val="21"/>
                <w:highlight w:val="none"/>
              </w:rPr>
            </w:pPr>
            <w:r>
              <w:rPr>
                <w:rFonts w:hint="eastAsia" w:ascii="宋体" w:hAnsi="宋体" w:cs="宋体"/>
                <w:b/>
                <w:bCs w:val="0"/>
                <w:szCs w:val="21"/>
                <w:highlight w:val="none"/>
              </w:rPr>
              <w:t>评标标准</w:t>
            </w:r>
          </w:p>
        </w:tc>
        <w:tc>
          <w:tcPr>
            <w:tcW w:w="461" w:type="pct"/>
            <w:vAlign w:val="center"/>
          </w:tcPr>
          <w:p w14:paraId="694D7482">
            <w:pPr>
              <w:jc w:val="center"/>
              <w:outlineLvl w:val="0"/>
              <w:rPr>
                <w:rFonts w:ascii="宋体" w:hAnsi="宋体" w:cs="宋体"/>
                <w:b/>
                <w:bCs w:val="0"/>
                <w:szCs w:val="21"/>
                <w:highlight w:val="none"/>
              </w:rPr>
            </w:pPr>
            <w:r>
              <w:rPr>
                <w:rFonts w:hint="eastAsia" w:ascii="宋体" w:hAnsi="宋体" w:cs="宋体"/>
                <w:b/>
                <w:bCs w:val="0"/>
                <w:szCs w:val="21"/>
                <w:highlight w:val="none"/>
              </w:rPr>
              <w:t>分值</w:t>
            </w:r>
          </w:p>
        </w:tc>
      </w:tr>
      <w:tr w14:paraId="4D63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8" w:type="pct"/>
            <w:vAlign w:val="center"/>
          </w:tcPr>
          <w:p w14:paraId="511F3F42">
            <w:pPr>
              <w:keepNext w:val="0"/>
              <w:keepLines w:val="0"/>
              <w:pageBreakBefore w:val="0"/>
              <w:kinsoku/>
              <w:wordWrap/>
              <w:overflowPunct/>
              <w:topLinePunct w:val="0"/>
              <w:autoSpaceDE/>
              <w:autoSpaceDN/>
              <w:bidi w:val="0"/>
              <w:snapToGrid/>
              <w:spacing w:line="280" w:lineRule="exact"/>
              <w:ind w:firstLine="210" w:firstLineChars="100"/>
              <w:textAlignment w:val="auto"/>
              <w:outlineLvl w:val="0"/>
              <w:rPr>
                <w:rFonts w:ascii="宋体" w:hAnsi="宋体" w:cs="宋体"/>
                <w:szCs w:val="21"/>
                <w:highlight w:val="none"/>
              </w:rPr>
            </w:pPr>
            <w:r>
              <w:rPr>
                <w:rFonts w:hint="eastAsia" w:ascii="宋体" w:hAnsi="宋体" w:cs="宋体"/>
                <w:szCs w:val="21"/>
                <w:highlight w:val="none"/>
              </w:rPr>
              <w:t>1</w:t>
            </w:r>
          </w:p>
        </w:tc>
        <w:tc>
          <w:tcPr>
            <w:tcW w:w="728" w:type="pct"/>
            <w:vAlign w:val="center"/>
          </w:tcPr>
          <w:p w14:paraId="0C3C1BEA">
            <w:pPr>
              <w:keepNext w:val="0"/>
              <w:keepLines w:val="0"/>
              <w:pageBreakBefore w:val="0"/>
              <w:widowControl/>
              <w:kinsoku/>
              <w:wordWrap/>
              <w:overflowPunct/>
              <w:topLinePunct w:val="0"/>
              <w:autoSpaceDE/>
              <w:autoSpaceDN/>
              <w:bidi w:val="0"/>
              <w:adjustRightInd/>
              <w:snapToGrid/>
              <w:spacing w:line="280" w:lineRule="exact"/>
              <w:contextualSpacing/>
              <w:jc w:val="center"/>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采购需求响应情况</w:t>
            </w:r>
          </w:p>
        </w:tc>
        <w:tc>
          <w:tcPr>
            <w:tcW w:w="3371" w:type="pct"/>
            <w:vAlign w:val="center"/>
          </w:tcPr>
          <w:p w14:paraId="2D91AC2D">
            <w:pPr>
              <w:keepNext w:val="0"/>
              <w:keepLines w:val="0"/>
              <w:pageBreakBefore w:val="0"/>
              <w:widowControl/>
              <w:kinsoku/>
              <w:wordWrap/>
              <w:overflowPunct/>
              <w:topLinePunct w:val="0"/>
              <w:autoSpaceDE/>
              <w:autoSpaceDN/>
              <w:bidi w:val="0"/>
              <w:adjustRightInd/>
              <w:snapToGrid/>
              <w:spacing w:line="280" w:lineRule="exact"/>
              <w:contextualSpacing/>
              <w:jc w:val="left"/>
              <w:textAlignment w:val="auto"/>
              <w:rPr>
                <w:rFonts w:hint="eastAsia"/>
                <w:color w:val="auto"/>
                <w:highlight w:val="none"/>
                <w:lang w:val="en-US" w:eastAsia="zh-CN"/>
              </w:rPr>
            </w:pPr>
            <w:r>
              <w:rPr>
                <w:rFonts w:hint="eastAsia" w:ascii="宋体" w:hAnsi="宋体" w:eastAsia="宋体" w:cs="宋体"/>
                <w:kern w:val="0"/>
                <w:szCs w:val="21"/>
                <w:highlight w:val="none"/>
                <w:lang w:val="en-US" w:eastAsia="zh-CN"/>
              </w:rPr>
              <w:t>根据各供应商针对招标文件第三部分采购内容及要求逐项响应情况，</w:t>
            </w:r>
            <w:r>
              <w:rPr>
                <w:rFonts w:hint="eastAsia" w:ascii="宋体" w:hAnsi="宋体" w:eastAsia="宋体" w:cs="宋体"/>
                <w:color w:val="auto"/>
                <w:kern w:val="0"/>
                <w:szCs w:val="21"/>
                <w:highlight w:val="none"/>
                <w:lang w:val="en-US" w:eastAsia="zh-CN"/>
              </w:rPr>
              <w:t>完全满足招标文件第三部分采购内容及要求的得</w:t>
            </w:r>
            <w:r>
              <w:rPr>
                <w:rFonts w:hint="eastAsia" w:ascii="宋体" w:hAnsi="宋体" w:cs="宋体"/>
                <w:color w:val="auto"/>
                <w:kern w:val="0"/>
                <w:szCs w:val="21"/>
                <w:highlight w:val="none"/>
                <w:lang w:val="en-US" w:eastAsia="zh-CN"/>
              </w:rPr>
              <w:t>满分</w:t>
            </w:r>
            <w:r>
              <w:rPr>
                <w:rFonts w:hint="eastAsia" w:ascii="宋体" w:hAnsi="宋体" w:eastAsia="宋体" w:cs="宋体"/>
                <w:color w:val="auto"/>
                <w:kern w:val="0"/>
                <w:szCs w:val="21"/>
                <w:highlight w:val="none"/>
                <w:lang w:val="en-US" w:eastAsia="zh-CN"/>
              </w:rPr>
              <w:t>；</w:t>
            </w:r>
          </w:p>
          <w:p w14:paraId="0ED85300">
            <w:pPr>
              <w:keepNext w:val="0"/>
              <w:keepLines w:val="0"/>
              <w:pageBreakBefore w:val="0"/>
              <w:widowControl/>
              <w:kinsoku/>
              <w:wordWrap/>
              <w:overflowPunct/>
              <w:topLinePunct w:val="0"/>
              <w:autoSpaceDE/>
              <w:autoSpaceDN/>
              <w:bidi w:val="0"/>
              <w:adjustRightInd/>
              <w:snapToGrid/>
              <w:spacing w:line="280" w:lineRule="exact"/>
              <w:contextualSpacing/>
              <w:jc w:val="left"/>
              <w:textAlignment w:val="auto"/>
              <w:rPr>
                <w:rFonts w:hint="default" w:ascii="宋体" w:hAnsi="宋体" w:eastAsia="宋体" w:cs="宋体"/>
                <w:kern w:val="0"/>
                <w:szCs w:val="21"/>
                <w:highlight w:val="none"/>
                <w:lang w:val="en-US" w:eastAsia="zh-CN"/>
              </w:rPr>
            </w:pPr>
            <w:r>
              <w:rPr>
                <w:rFonts w:hint="eastAsia" w:ascii="宋体" w:hAnsi="宋体" w:eastAsia="宋体" w:cs="宋体"/>
                <w:color w:val="auto"/>
                <w:kern w:val="0"/>
                <w:szCs w:val="21"/>
                <w:highlight w:val="none"/>
                <w:lang w:val="en-US" w:eastAsia="zh-CN"/>
              </w:rPr>
              <w:t>注：</w:t>
            </w:r>
            <w:r>
              <w:rPr>
                <w:rFonts w:hint="eastAsia" w:ascii="宋体" w:hAnsi="宋体" w:cs="宋体"/>
                <w:color w:val="auto"/>
                <w:kern w:val="0"/>
                <w:szCs w:val="21"/>
                <w:highlight w:val="none"/>
                <w:lang w:val="en-US" w:eastAsia="zh-CN"/>
              </w:rPr>
              <w:t>带</w:t>
            </w:r>
            <w:r>
              <w:rPr>
                <w:rFonts w:hint="eastAsia" w:ascii="宋体" w:hAnsi="宋体" w:eastAsia="宋体" w:cs="宋体"/>
                <w:color w:val="auto"/>
                <w:kern w:val="0"/>
                <w:szCs w:val="21"/>
                <w:highlight w:val="none"/>
                <w:lang w:val="zh-CN" w:eastAsia="zh-CN"/>
              </w:rPr>
              <w:t>“▲”条款是实质性条款，有一项不满足项的，作无效标处理；</w:t>
            </w:r>
            <w:r>
              <w:rPr>
                <w:rFonts w:hint="eastAsia" w:ascii="宋体" w:hAnsi="宋体" w:cs="宋体"/>
                <w:color w:val="auto"/>
                <w:kern w:val="0"/>
                <w:szCs w:val="21"/>
                <w:highlight w:val="none"/>
                <w:lang w:val="zh-CN" w:eastAsia="zh-CN"/>
              </w:rPr>
              <w:t>其他内容</w:t>
            </w:r>
            <w:r>
              <w:rPr>
                <w:rFonts w:hint="eastAsia" w:ascii="宋体" w:hAnsi="宋体" w:eastAsia="宋体" w:cs="宋体"/>
                <w:color w:val="auto"/>
                <w:kern w:val="0"/>
                <w:szCs w:val="21"/>
                <w:highlight w:val="none"/>
                <w:lang w:val="zh-CN" w:eastAsia="zh-CN"/>
              </w:rPr>
              <w:t>负偏离</w:t>
            </w:r>
            <w:r>
              <w:rPr>
                <w:rFonts w:hint="eastAsia" w:ascii="宋体" w:hAnsi="宋体" w:cs="宋体"/>
                <w:color w:val="auto"/>
                <w:kern w:val="0"/>
                <w:szCs w:val="21"/>
                <w:highlight w:val="none"/>
                <w:lang w:val="zh-CN" w:eastAsia="zh-CN"/>
              </w:rPr>
              <w:t>（</w:t>
            </w:r>
            <w:r>
              <w:rPr>
                <w:rFonts w:hint="eastAsia" w:ascii="宋体" w:hAnsi="宋体" w:cs="宋体"/>
                <w:color w:val="auto"/>
                <w:kern w:val="0"/>
                <w:szCs w:val="21"/>
                <w:highlight w:val="none"/>
                <w:lang w:val="en-US" w:eastAsia="zh-CN"/>
              </w:rPr>
              <w:t>或未响应</w:t>
            </w:r>
            <w:r>
              <w:rPr>
                <w:rFonts w:hint="eastAsia" w:ascii="宋体" w:hAnsi="宋体" w:cs="宋体"/>
                <w:color w:val="auto"/>
                <w:kern w:val="0"/>
                <w:szCs w:val="21"/>
                <w:highlight w:val="none"/>
                <w:lang w:val="zh-CN" w:eastAsia="zh-CN"/>
              </w:rPr>
              <w:t>）</w:t>
            </w:r>
            <w:r>
              <w:rPr>
                <w:rFonts w:hint="eastAsia" w:ascii="宋体" w:hAnsi="宋体" w:eastAsia="宋体" w:cs="宋体"/>
                <w:color w:val="auto"/>
                <w:kern w:val="0"/>
                <w:szCs w:val="21"/>
                <w:highlight w:val="none"/>
                <w:lang w:val="zh-CN" w:eastAsia="zh-CN"/>
              </w:rPr>
              <w:t>每一项扣</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zh-CN" w:eastAsia="zh-CN"/>
              </w:rPr>
              <w:t>分</w:t>
            </w:r>
            <w:r>
              <w:rPr>
                <w:rFonts w:hint="eastAsia" w:ascii="宋体" w:hAnsi="宋体" w:cs="宋体"/>
                <w:color w:val="auto"/>
                <w:kern w:val="0"/>
                <w:szCs w:val="21"/>
                <w:highlight w:val="none"/>
                <w:lang w:val="zh-CN" w:eastAsia="zh-CN"/>
              </w:rPr>
              <w:t>，</w:t>
            </w:r>
            <w:r>
              <w:rPr>
                <w:rFonts w:hint="eastAsia" w:ascii="宋体" w:hAnsi="宋体" w:eastAsia="宋体" w:cs="宋体"/>
                <w:color w:val="000000"/>
                <w:sz w:val="22"/>
                <w:szCs w:val="22"/>
                <w:highlight w:val="none"/>
              </w:rPr>
              <w:t>有15项不符合的，作无效标处理</w:t>
            </w:r>
            <w:r>
              <w:rPr>
                <w:rFonts w:hint="eastAsia" w:ascii="宋体" w:hAnsi="宋体" w:eastAsia="宋体" w:cs="宋体"/>
                <w:color w:val="000000"/>
                <w:sz w:val="22"/>
                <w:szCs w:val="22"/>
                <w:highlight w:val="none"/>
                <w:lang w:eastAsia="zh-CN"/>
              </w:rPr>
              <w:t>。</w:t>
            </w:r>
            <w:r>
              <w:rPr>
                <w:rFonts w:hint="eastAsia" w:ascii="宋体" w:hAnsi="宋体" w:cs="宋体"/>
                <w:b/>
                <w:bCs/>
                <w:color w:val="auto"/>
                <w:kern w:val="0"/>
                <w:szCs w:val="21"/>
                <w:highlight w:val="none"/>
                <w:lang w:val="en-US" w:eastAsia="zh-CN"/>
              </w:rPr>
              <w:t>须提供商务技术偏离表，未提供得分</w:t>
            </w:r>
            <w:r>
              <w:rPr>
                <w:rFonts w:hint="eastAsia" w:ascii="宋体" w:hAnsi="宋体" w:eastAsia="宋体" w:cs="宋体"/>
                <w:b/>
                <w:bCs/>
                <w:color w:val="auto"/>
                <w:kern w:val="0"/>
                <w:szCs w:val="21"/>
                <w:highlight w:val="none"/>
                <w:lang w:val="en-US" w:eastAsia="zh-CN"/>
              </w:rPr>
              <w:t>。</w:t>
            </w:r>
          </w:p>
        </w:tc>
        <w:tc>
          <w:tcPr>
            <w:tcW w:w="461" w:type="pct"/>
            <w:vAlign w:val="center"/>
          </w:tcPr>
          <w:p w14:paraId="4DAF79D1">
            <w:pPr>
              <w:keepNext w:val="0"/>
              <w:keepLines w:val="0"/>
              <w:pageBreakBefore w:val="0"/>
              <w:kinsoku/>
              <w:wordWrap/>
              <w:overflowPunct/>
              <w:topLinePunct w:val="0"/>
              <w:autoSpaceDE/>
              <w:autoSpaceDN/>
              <w:bidi w:val="0"/>
              <w:snapToGrid/>
              <w:spacing w:line="280" w:lineRule="exact"/>
              <w:jc w:val="center"/>
              <w:textAlignment w:val="auto"/>
              <w:outlineLvl w:val="0"/>
              <w:rPr>
                <w:rFonts w:ascii="宋体" w:hAnsi="宋体" w:cs="宋体"/>
                <w:szCs w:val="21"/>
                <w:highlight w:val="none"/>
              </w:rPr>
            </w:pPr>
            <w:r>
              <w:rPr>
                <w:rFonts w:hint="eastAsia" w:ascii="宋体" w:hAnsi="宋体" w:cs="宋体"/>
                <w:szCs w:val="21"/>
                <w:highlight w:val="none"/>
                <w:lang w:val="en-US" w:eastAsia="zh-CN"/>
              </w:rPr>
              <w:t>33</w:t>
            </w:r>
            <w:r>
              <w:rPr>
                <w:rFonts w:hint="eastAsia" w:ascii="宋体" w:hAnsi="宋体" w:cs="宋体"/>
                <w:szCs w:val="21"/>
                <w:highlight w:val="none"/>
              </w:rPr>
              <w:t>分</w:t>
            </w:r>
          </w:p>
        </w:tc>
      </w:tr>
      <w:tr w14:paraId="3D77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38" w:type="pct"/>
            <w:vAlign w:val="center"/>
          </w:tcPr>
          <w:p w14:paraId="22BBA0F3">
            <w:pPr>
              <w:keepNext w:val="0"/>
              <w:keepLines w:val="0"/>
              <w:pageBreakBefore w:val="0"/>
              <w:kinsoku/>
              <w:wordWrap/>
              <w:overflowPunct/>
              <w:topLinePunct w:val="0"/>
              <w:autoSpaceDE/>
              <w:autoSpaceDN/>
              <w:bidi w:val="0"/>
              <w:snapToGrid/>
              <w:spacing w:line="280" w:lineRule="exact"/>
              <w:ind w:firstLine="210" w:firstLineChars="100"/>
              <w:textAlignment w:val="auto"/>
              <w:outlineLvl w:val="0"/>
              <w:rPr>
                <w:rFonts w:ascii="宋体" w:hAnsi="宋体" w:cs="宋体"/>
                <w:szCs w:val="21"/>
                <w:highlight w:val="none"/>
              </w:rPr>
            </w:pPr>
            <w:r>
              <w:rPr>
                <w:rFonts w:hint="eastAsia" w:ascii="宋体" w:hAnsi="宋体" w:cs="宋体"/>
                <w:szCs w:val="21"/>
                <w:highlight w:val="none"/>
              </w:rPr>
              <w:t>2</w:t>
            </w:r>
          </w:p>
        </w:tc>
        <w:tc>
          <w:tcPr>
            <w:tcW w:w="728" w:type="pct"/>
            <w:vAlign w:val="center"/>
          </w:tcPr>
          <w:p w14:paraId="734F742F">
            <w:pPr>
              <w:keepNext w:val="0"/>
              <w:keepLines w:val="0"/>
              <w:pageBreakBefore w:val="0"/>
              <w:kinsoku/>
              <w:wordWrap/>
              <w:overflowPunct/>
              <w:topLinePunct w:val="0"/>
              <w:autoSpaceDE/>
              <w:autoSpaceDN/>
              <w:bidi w:val="0"/>
              <w:snapToGrid/>
              <w:spacing w:line="280" w:lineRule="exact"/>
              <w:jc w:val="center"/>
              <w:textAlignment w:val="auto"/>
              <w:rPr>
                <w:rFonts w:ascii="宋体" w:hAnsi="宋体" w:cs="宋体"/>
                <w:szCs w:val="21"/>
                <w:highlight w:val="none"/>
              </w:rPr>
            </w:pPr>
            <w:r>
              <w:rPr>
                <w:rFonts w:hint="eastAsia" w:ascii="宋体" w:hAnsi="宋体" w:cs="宋体"/>
                <w:szCs w:val="21"/>
                <w:highlight w:val="none"/>
              </w:rPr>
              <w:t>同类业绩</w:t>
            </w:r>
          </w:p>
        </w:tc>
        <w:tc>
          <w:tcPr>
            <w:tcW w:w="3371" w:type="pct"/>
            <w:vAlign w:val="center"/>
          </w:tcPr>
          <w:p w14:paraId="44A3F553">
            <w:pPr>
              <w:keepNext w:val="0"/>
              <w:keepLines w:val="0"/>
              <w:pageBreakBefore w:val="0"/>
              <w:widowControl/>
              <w:kinsoku/>
              <w:wordWrap/>
              <w:overflowPunct/>
              <w:topLinePunct w:val="0"/>
              <w:autoSpaceDE/>
              <w:autoSpaceDN/>
              <w:bidi w:val="0"/>
              <w:adjustRightInd/>
              <w:snapToGrid/>
              <w:spacing w:line="280" w:lineRule="exact"/>
              <w:contextualSpacing/>
              <w:jc w:val="left"/>
              <w:textAlignment w:val="auto"/>
              <w:rPr>
                <w:rFonts w:ascii="宋体" w:hAnsi="宋体" w:cs="宋体"/>
                <w:szCs w:val="21"/>
                <w:highlight w:val="none"/>
              </w:rPr>
            </w:pPr>
            <w:r>
              <w:rPr>
                <w:rFonts w:hint="eastAsia" w:ascii="宋体" w:hAnsi="宋体"/>
                <w:color w:val="auto"/>
                <w:szCs w:val="21"/>
                <w:highlight w:val="none"/>
              </w:rPr>
              <w:t>供应商提供20</w:t>
            </w:r>
            <w:r>
              <w:rPr>
                <w:rFonts w:hint="eastAsia" w:ascii="宋体" w:hAnsi="宋体"/>
                <w:color w:val="auto"/>
                <w:szCs w:val="21"/>
                <w:highlight w:val="none"/>
                <w:lang w:val="en-US" w:eastAsia="zh-CN"/>
              </w:rPr>
              <w:t>20</w:t>
            </w:r>
            <w:r>
              <w:rPr>
                <w:rFonts w:hint="eastAsia" w:ascii="宋体" w:hAnsi="宋体"/>
                <w:color w:val="auto"/>
                <w:szCs w:val="21"/>
                <w:highlight w:val="none"/>
              </w:rPr>
              <w:t>年1月1日至今（以合同签订时间为准）具</w:t>
            </w:r>
            <w:r>
              <w:rPr>
                <w:rFonts w:hint="eastAsia" w:ascii="宋体" w:hAnsi="宋体" w:eastAsia="宋体" w:cs="Times New Roman"/>
                <w:color w:val="auto"/>
                <w:szCs w:val="21"/>
                <w:highlight w:val="none"/>
              </w:rPr>
              <w:t>有同</w:t>
            </w:r>
            <w:r>
              <w:rPr>
                <w:rFonts w:hint="eastAsia" w:ascii="宋体" w:hAnsi="宋体" w:eastAsia="宋体" w:cs="Times New Roman"/>
                <w:color w:val="auto"/>
                <w:szCs w:val="21"/>
                <w:highlight w:val="none"/>
                <w:lang w:eastAsia="zh-CN"/>
              </w:rPr>
              <w:t>类</w:t>
            </w:r>
            <w:r>
              <w:rPr>
                <w:rFonts w:hint="eastAsia" w:ascii="宋体" w:hAnsi="宋体" w:cs="Times New Roman"/>
                <w:color w:val="auto"/>
                <w:szCs w:val="21"/>
                <w:highlight w:val="none"/>
                <w:lang w:eastAsia="zh-CN"/>
              </w:rPr>
              <w:t>项目</w:t>
            </w:r>
            <w:r>
              <w:rPr>
                <w:rFonts w:hint="eastAsia" w:ascii="宋体" w:hAnsi="宋体"/>
                <w:color w:val="auto"/>
                <w:szCs w:val="21"/>
                <w:highlight w:val="none"/>
              </w:rPr>
              <w:t>业绩的，每提供一个得</w:t>
            </w:r>
            <w:r>
              <w:rPr>
                <w:rFonts w:hint="eastAsia" w:ascii="宋体" w:hAnsi="宋体"/>
                <w:color w:val="auto"/>
                <w:szCs w:val="21"/>
                <w:highlight w:val="none"/>
                <w:lang w:val="en-US" w:eastAsia="zh-CN"/>
              </w:rPr>
              <w:t>1</w:t>
            </w:r>
            <w:r>
              <w:rPr>
                <w:rFonts w:hint="eastAsia" w:ascii="宋体" w:hAnsi="宋体"/>
                <w:color w:val="auto"/>
                <w:szCs w:val="21"/>
                <w:highlight w:val="none"/>
              </w:rPr>
              <w:t>.5分，同一</w:t>
            </w:r>
            <w:r>
              <w:rPr>
                <w:rFonts w:hint="eastAsia" w:ascii="宋体" w:hAnsi="宋体"/>
                <w:color w:val="auto"/>
                <w:szCs w:val="21"/>
                <w:highlight w:val="none"/>
                <w:lang w:eastAsia="zh-CN"/>
              </w:rPr>
              <w:t>业绩</w:t>
            </w:r>
            <w:r>
              <w:rPr>
                <w:rFonts w:hint="eastAsia" w:ascii="宋体" w:hAnsi="宋体"/>
                <w:color w:val="auto"/>
                <w:szCs w:val="21"/>
                <w:highlight w:val="none"/>
              </w:rPr>
              <w:t>不累计得分，最高得</w:t>
            </w:r>
            <w:r>
              <w:rPr>
                <w:rFonts w:hint="eastAsia" w:ascii="宋体" w:hAnsi="宋体"/>
                <w:color w:val="auto"/>
                <w:szCs w:val="21"/>
                <w:highlight w:val="none"/>
                <w:lang w:val="en-US" w:eastAsia="zh-CN"/>
              </w:rPr>
              <w:t>3</w:t>
            </w:r>
            <w:r>
              <w:rPr>
                <w:rFonts w:hint="eastAsia" w:ascii="宋体" w:hAnsi="宋体"/>
                <w:color w:val="auto"/>
                <w:szCs w:val="21"/>
                <w:highlight w:val="none"/>
              </w:rPr>
              <w:t>分。提供</w:t>
            </w:r>
            <w:r>
              <w:rPr>
                <w:rFonts w:hint="eastAsia" w:ascii="宋体" w:hAnsi="宋体"/>
                <w:b/>
                <w:color w:val="auto"/>
                <w:szCs w:val="21"/>
                <w:highlight w:val="none"/>
                <w:lang w:val="zh-CN"/>
              </w:rPr>
              <w:t>合同彩色</w:t>
            </w:r>
            <w:r>
              <w:rPr>
                <w:rFonts w:hint="eastAsia" w:ascii="宋体" w:hAnsi="宋体" w:cs="宋体"/>
                <w:b/>
                <w:color w:val="auto"/>
                <w:szCs w:val="21"/>
                <w:highlight w:val="none"/>
              </w:rPr>
              <w:t>扫描件加盖供应商公章</w:t>
            </w:r>
            <w:r>
              <w:rPr>
                <w:rFonts w:hint="eastAsia" w:ascii="宋体" w:hAnsi="宋体"/>
                <w:color w:val="auto"/>
                <w:szCs w:val="21"/>
                <w:highlight w:val="none"/>
              </w:rPr>
              <w:t>（合同内容应清楚可见</w:t>
            </w:r>
            <w:r>
              <w:rPr>
                <w:rFonts w:hint="eastAsia" w:ascii="宋体" w:hAnsi="宋体"/>
                <w:color w:val="auto"/>
                <w:szCs w:val="21"/>
                <w:highlight w:val="none"/>
                <w:lang w:eastAsia="zh-CN"/>
              </w:rPr>
              <w:t>产品内容等</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未</w:t>
            </w:r>
            <w:r>
              <w:rPr>
                <w:rFonts w:hint="eastAsia" w:ascii="宋体" w:hAnsi="宋体"/>
                <w:color w:val="auto"/>
                <w:szCs w:val="21"/>
                <w:highlight w:val="none"/>
              </w:rPr>
              <w:t>提供或无法辨认的不得分</w:t>
            </w:r>
            <w:r>
              <w:rPr>
                <w:rFonts w:hint="eastAsia" w:ascii="宋体" w:hAnsi="宋体"/>
                <w:color w:val="auto"/>
                <w:szCs w:val="21"/>
                <w:highlight w:val="none"/>
                <w:lang w:eastAsia="zh-CN"/>
              </w:rPr>
              <w:t>。</w:t>
            </w:r>
          </w:p>
        </w:tc>
        <w:tc>
          <w:tcPr>
            <w:tcW w:w="461" w:type="pct"/>
            <w:vAlign w:val="center"/>
          </w:tcPr>
          <w:p w14:paraId="6975F803">
            <w:pPr>
              <w:keepNext w:val="0"/>
              <w:keepLines w:val="0"/>
              <w:pageBreakBefore w:val="0"/>
              <w:kinsoku/>
              <w:wordWrap/>
              <w:overflowPunct/>
              <w:topLinePunct w:val="0"/>
              <w:autoSpaceDE/>
              <w:autoSpaceDN/>
              <w:bidi w:val="0"/>
              <w:snapToGrid/>
              <w:spacing w:line="280" w:lineRule="exact"/>
              <w:jc w:val="center"/>
              <w:textAlignment w:val="auto"/>
              <w:outlineLvl w:val="0"/>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分</w:t>
            </w:r>
          </w:p>
        </w:tc>
      </w:tr>
      <w:tr w14:paraId="2395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38" w:type="pct"/>
            <w:vAlign w:val="center"/>
          </w:tcPr>
          <w:p w14:paraId="4163A78B">
            <w:pPr>
              <w:keepNext w:val="0"/>
              <w:keepLines w:val="0"/>
              <w:pageBreakBefore w:val="0"/>
              <w:kinsoku/>
              <w:wordWrap/>
              <w:overflowPunct/>
              <w:topLinePunct w:val="0"/>
              <w:autoSpaceDE/>
              <w:autoSpaceDN/>
              <w:bidi w:val="0"/>
              <w:snapToGrid/>
              <w:spacing w:line="280" w:lineRule="exact"/>
              <w:ind w:firstLine="210" w:firstLineChars="100"/>
              <w:textAlignment w:val="auto"/>
              <w:outlineLvl w:val="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728" w:type="pct"/>
            <w:vMerge w:val="restart"/>
            <w:vAlign w:val="center"/>
          </w:tcPr>
          <w:p w14:paraId="0E48E4E4">
            <w:pPr>
              <w:keepNext w:val="0"/>
              <w:keepLines w:val="0"/>
              <w:pageBreakBefore w:val="0"/>
              <w:kinsoku/>
              <w:wordWrap/>
              <w:overflowPunct/>
              <w:topLinePunct w:val="0"/>
              <w:autoSpaceDE/>
              <w:autoSpaceDN/>
              <w:bidi w:val="0"/>
              <w:snapToGrid/>
              <w:spacing w:line="280" w:lineRule="exact"/>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lang w:eastAsia="zh-CN"/>
              </w:rPr>
              <w:t>技术方案</w:t>
            </w:r>
          </w:p>
        </w:tc>
        <w:tc>
          <w:tcPr>
            <w:tcW w:w="3371" w:type="pct"/>
            <w:vAlign w:val="center"/>
          </w:tcPr>
          <w:p w14:paraId="24E8C225">
            <w:pPr>
              <w:keepNext w:val="0"/>
              <w:keepLines w:val="0"/>
              <w:pageBreakBefore w:val="0"/>
              <w:widowControl/>
              <w:kinsoku/>
              <w:wordWrap/>
              <w:overflowPunct/>
              <w:topLinePunct w:val="0"/>
              <w:autoSpaceDE/>
              <w:autoSpaceDN/>
              <w:bidi w:val="0"/>
              <w:adjustRightInd/>
              <w:snapToGrid/>
              <w:spacing w:line="280" w:lineRule="exact"/>
              <w:contextualSpacing/>
              <w:jc w:val="left"/>
              <w:textAlignment w:val="auto"/>
              <w:rPr>
                <w:rFonts w:hint="eastAsia" w:ascii="宋体" w:hAnsi="宋体" w:eastAsia="宋体" w:cs="宋体"/>
                <w:kern w:val="0"/>
                <w:szCs w:val="21"/>
                <w:highlight w:val="none"/>
                <w:lang w:val="en-US" w:eastAsia="zh-CN"/>
              </w:rPr>
            </w:pPr>
            <w:r>
              <w:rPr>
                <w:rFonts w:hint="eastAsia" w:ascii="宋体" w:hAnsi="宋体"/>
                <w:color w:val="auto"/>
                <w:szCs w:val="21"/>
                <w:highlight w:val="none"/>
              </w:rPr>
              <w:t>对本项目信息化建设的总体方案</w:t>
            </w:r>
            <w:r>
              <w:rPr>
                <w:rFonts w:hint="eastAsia" w:ascii="宋体" w:hAnsi="宋体" w:eastAsia="宋体" w:cs="宋体"/>
                <w:kern w:val="0"/>
                <w:szCs w:val="21"/>
                <w:highlight w:val="none"/>
                <w:lang w:val="en-US" w:eastAsia="zh-CN"/>
              </w:rPr>
              <w:t>进行综合评审。</w:t>
            </w:r>
          </w:p>
          <w:p w14:paraId="4A9D1FAA">
            <w:pPr>
              <w:keepNext w:val="0"/>
              <w:keepLines w:val="0"/>
              <w:pageBreakBefore w:val="0"/>
              <w:widowControl/>
              <w:kinsoku/>
              <w:wordWrap/>
              <w:overflowPunct/>
              <w:topLinePunct w:val="0"/>
              <w:autoSpaceDE/>
              <w:autoSpaceDN/>
              <w:bidi w:val="0"/>
              <w:adjustRightInd/>
              <w:snapToGrid/>
              <w:spacing w:line="280" w:lineRule="exact"/>
              <w:contextualSpacing/>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内容描述基本齐全的得</w:t>
            </w:r>
            <w:r>
              <w:rPr>
                <w:rFonts w:hint="eastAsia" w:ascii="宋体" w:hAnsi="宋体" w:cs="宋体"/>
                <w:kern w:val="0"/>
                <w:szCs w:val="21"/>
                <w:highlight w:val="none"/>
                <w:lang w:val="en-US" w:eastAsia="zh-CN"/>
              </w:rPr>
              <w:t>2</w:t>
            </w:r>
            <w:r>
              <w:rPr>
                <w:rFonts w:hint="eastAsia" w:ascii="宋体" w:hAnsi="宋体" w:eastAsia="宋体" w:cs="宋体"/>
                <w:kern w:val="0"/>
                <w:szCs w:val="21"/>
                <w:highlight w:val="none"/>
                <w:lang w:val="en-US" w:eastAsia="zh-CN"/>
              </w:rPr>
              <w:t>分，内容描述比较合理可行的得</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lang w:val="en-US" w:eastAsia="zh-CN"/>
              </w:rPr>
              <w:t>分，内容描述详细完整、合理可行的得</w:t>
            </w: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lang w:val="en-US" w:eastAsia="zh-CN"/>
              </w:rPr>
              <w:t>分，内容描述全面清晰、科学合理、符合项目实际可行性高的得</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lang w:val="en-US" w:eastAsia="zh-CN"/>
              </w:rPr>
              <w:t>分。</w:t>
            </w:r>
          </w:p>
          <w:p w14:paraId="49436B23">
            <w:pPr>
              <w:keepNext w:val="0"/>
              <w:keepLines w:val="0"/>
              <w:pageBreakBefore w:val="0"/>
              <w:widowControl/>
              <w:kinsoku/>
              <w:wordWrap/>
              <w:overflowPunct/>
              <w:topLinePunct w:val="0"/>
              <w:autoSpaceDE/>
              <w:autoSpaceDN/>
              <w:bidi w:val="0"/>
              <w:adjustRightInd/>
              <w:snapToGrid/>
              <w:spacing w:line="280" w:lineRule="exact"/>
              <w:contextualSpacing/>
              <w:jc w:val="left"/>
              <w:textAlignment w:val="auto"/>
              <w:rPr>
                <w:rFonts w:hint="eastAsia" w:ascii="宋体" w:hAnsi="宋体"/>
                <w:color w:val="auto"/>
                <w:szCs w:val="21"/>
                <w:highlight w:val="none"/>
              </w:rPr>
            </w:pPr>
            <w:r>
              <w:rPr>
                <w:rFonts w:hint="eastAsia" w:ascii="宋体" w:hAnsi="宋体" w:eastAsia="宋体" w:cs="宋体"/>
                <w:kern w:val="0"/>
                <w:szCs w:val="21"/>
                <w:highlight w:val="none"/>
                <w:lang w:val="en-US" w:eastAsia="zh-CN"/>
              </w:rPr>
              <w:t>注：未提供不得分。</w:t>
            </w:r>
          </w:p>
        </w:tc>
        <w:tc>
          <w:tcPr>
            <w:tcW w:w="461" w:type="pct"/>
            <w:vAlign w:val="center"/>
          </w:tcPr>
          <w:p w14:paraId="22E77C6E">
            <w:pPr>
              <w:keepNext w:val="0"/>
              <w:keepLines w:val="0"/>
              <w:pageBreakBefore w:val="0"/>
              <w:kinsoku/>
              <w:wordWrap/>
              <w:overflowPunct/>
              <w:topLinePunct w:val="0"/>
              <w:autoSpaceDE/>
              <w:autoSpaceDN/>
              <w:bidi w:val="0"/>
              <w:snapToGrid/>
              <w:spacing w:line="280" w:lineRule="exact"/>
              <w:jc w:val="center"/>
              <w:textAlignment w:val="auto"/>
              <w:outlineLvl w:val="0"/>
              <w:rPr>
                <w:rFonts w:hint="eastAsia" w:ascii="宋体" w:hAnsi="宋体" w:cs="宋体"/>
                <w:szCs w:val="21"/>
                <w:highlight w:val="none"/>
                <w:lang w:val="en-US" w:eastAsia="zh-CN"/>
              </w:rPr>
            </w:pP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lang w:val="en-US" w:eastAsia="zh-CN"/>
              </w:rPr>
              <w:t>分</w:t>
            </w:r>
          </w:p>
        </w:tc>
      </w:tr>
      <w:tr w14:paraId="1BF0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38" w:type="pct"/>
            <w:vAlign w:val="center"/>
          </w:tcPr>
          <w:p w14:paraId="50BD9ED6">
            <w:pPr>
              <w:keepNext w:val="0"/>
              <w:keepLines w:val="0"/>
              <w:pageBreakBefore w:val="0"/>
              <w:kinsoku/>
              <w:wordWrap/>
              <w:overflowPunct/>
              <w:topLinePunct w:val="0"/>
              <w:autoSpaceDE/>
              <w:autoSpaceDN/>
              <w:bidi w:val="0"/>
              <w:snapToGrid/>
              <w:spacing w:line="280" w:lineRule="exact"/>
              <w:ind w:firstLine="210" w:firstLineChars="100"/>
              <w:textAlignment w:val="auto"/>
              <w:outlineLvl w:val="0"/>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728" w:type="pct"/>
            <w:vMerge w:val="continue"/>
            <w:vAlign w:val="center"/>
          </w:tcPr>
          <w:p w14:paraId="1A4C83CA">
            <w:pPr>
              <w:keepNext w:val="0"/>
              <w:keepLines w:val="0"/>
              <w:pageBreakBefore w:val="0"/>
              <w:kinsoku/>
              <w:wordWrap/>
              <w:overflowPunct/>
              <w:topLinePunct w:val="0"/>
              <w:autoSpaceDE/>
              <w:autoSpaceDN/>
              <w:bidi w:val="0"/>
              <w:snapToGrid/>
              <w:spacing w:line="280" w:lineRule="exact"/>
              <w:jc w:val="center"/>
              <w:textAlignment w:val="auto"/>
              <w:rPr>
                <w:rFonts w:hint="eastAsia" w:ascii="宋体" w:hAnsi="宋体" w:cs="宋体"/>
                <w:szCs w:val="21"/>
                <w:highlight w:val="none"/>
                <w:lang w:eastAsia="zh-CN"/>
              </w:rPr>
            </w:pPr>
          </w:p>
        </w:tc>
        <w:tc>
          <w:tcPr>
            <w:tcW w:w="3371" w:type="pct"/>
            <w:vAlign w:val="center"/>
          </w:tcPr>
          <w:p w14:paraId="5FCD7AB7">
            <w:pPr>
              <w:keepNext w:val="0"/>
              <w:keepLines w:val="0"/>
              <w:pageBreakBefore w:val="0"/>
              <w:widowControl/>
              <w:kinsoku/>
              <w:wordWrap/>
              <w:overflowPunct/>
              <w:topLinePunct w:val="0"/>
              <w:autoSpaceDE/>
              <w:autoSpaceDN/>
              <w:bidi w:val="0"/>
              <w:adjustRightInd/>
              <w:snapToGrid/>
              <w:spacing w:line="280" w:lineRule="exact"/>
              <w:contextualSpacing/>
              <w:jc w:val="left"/>
              <w:textAlignment w:val="auto"/>
              <w:rPr>
                <w:rFonts w:hint="eastAsia" w:ascii="宋体" w:hAnsi="宋体" w:eastAsia="宋体" w:cs="宋体"/>
                <w:kern w:val="0"/>
                <w:szCs w:val="21"/>
                <w:highlight w:val="none"/>
                <w:lang w:val="en-US" w:eastAsia="zh-CN"/>
              </w:rPr>
            </w:pPr>
            <w:r>
              <w:rPr>
                <w:rFonts w:hint="eastAsia" w:ascii="宋体" w:hAnsi="宋体"/>
                <w:color w:val="auto"/>
                <w:szCs w:val="21"/>
                <w:highlight w:val="none"/>
              </w:rPr>
              <w:t>数据采集传输方案：包括但不限于车辆数据和医疗设备检查数据的采集传输方案、与医疗机构、巡回诊疗管理平台对接方案</w:t>
            </w:r>
            <w:r>
              <w:rPr>
                <w:rFonts w:hint="eastAsia" w:ascii="宋体" w:hAnsi="宋体" w:eastAsia="宋体" w:cs="宋体"/>
                <w:kern w:val="0"/>
                <w:szCs w:val="21"/>
                <w:highlight w:val="none"/>
                <w:lang w:val="en-US" w:eastAsia="zh-CN"/>
              </w:rPr>
              <w:t>进行综合评审。</w:t>
            </w:r>
          </w:p>
          <w:p w14:paraId="22C0C359">
            <w:pPr>
              <w:keepNext w:val="0"/>
              <w:keepLines w:val="0"/>
              <w:pageBreakBefore w:val="0"/>
              <w:widowControl/>
              <w:kinsoku/>
              <w:wordWrap/>
              <w:overflowPunct/>
              <w:topLinePunct w:val="0"/>
              <w:autoSpaceDE/>
              <w:autoSpaceDN/>
              <w:bidi w:val="0"/>
              <w:adjustRightInd/>
              <w:snapToGrid/>
              <w:spacing w:line="280" w:lineRule="exact"/>
              <w:contextualSpacing/>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内容描述基本齐全的得5分，内容描述比较合理可行的得</w:t>
            </w: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lang w:val="en-US" w:eastAsia="zh-CN"/>
              </w:rPr>
              <w:t>分，内容描述详细完整、合理可行的得</w:t>
            </w:r>
            <w:r>
              <w:rPr>
                <w:rFonts w:hint="eastAsia" w:ascii="宋体" w:hAnsi="宋体" w:cs="宋体"/>
                <w:kern w:val="0"/>
                <w:szCs w:val="21"/>
                <w:highlight w:val="none"/>
                <w:lang w:val="en-US" w:eastAsia="zh-CN"/>
              </w:rPr>
              <w:t>7</w:t>
            </w:r>
            <w:r>
              <w:rPr>
                <w:rFonts w:hint="eastAsia" w:ascii="宋体" w:hAnsi="宋体" w:eastAsia="宋体" w:cs="宋体"/>
                <w:kern w:val="0"/>
                <w:szCs w:val="21"/>
                <w:highlight w:val="none"/>
                <w:lang w:val="en-US" w:eastAsia="zh-CN"/>
              </w:rPr>
              <w:t>分，内容描述全面清晰、科学合理、符合项目实际可行性高的得</w:t>
            </w:r>
            <w:r>
              <w:rPr>
                <w:rFonts w:hint="eastAsia" w:ascii="宋体" w:hAnsi="宋体" w:cs="宋体"/>
                <w:kern w:val="0"/>
                <w:szCs w:val="21"/>
                <w:highlight w:val="none"/>
                <w:lang w:val="en-US" w:eastAsia="zh-CN"/>
              </w:rPr>
              <w:t>8</w:t>
            </w:r>
            <w:r>
              <w:rPr>
                <w:rFonts w:hint="eastAsia" w:ascii="宋体" w:hAnsi="宋体" w:eastAsia="宋体" w:cs="宋体"/>
                <w:kern w:val="0"/>
                <w:szCs w:val="21"/>
                <w:highlight w:val="none"/>
                <w:lang w:val="en-US" w:eastAsia="zh-CN"/>
              </w:rPr>
              <w:t>分。</w:t>
            </w:r>
          </w:p>
          <w:p w14:paraId="4DD37427">
            <w:pPr>
              <w:keepNext w:val="0"/>
              <w:keepLines w:val="0"/>
              <w:pageBreakBefore w:val="0"/>
              <w:widowControl/>
              <w:kinsoku/>
              <w:wordWrap/>
              <w:overflowPunct/>
              <w:topLinePunct w:val="0"/>
              <w:autoSpaceDE/>
              <w:autoSpaceDN/>
              <w:bidi w:val="0"/>
              <w:adjustRightInd/>
              <w:snapToGrid/>
              <w:spacing w:line="280" w:lineRule="exact"/>
              <w:contextualSpacing/>
              <w:jc w:val="left"/>
              <w:textAlignment w:val="auto"/>
              <w:rPr>
                <w:rFonts w:hint="eastAsia" w:ascii="宋体" w:hAnsi="宋体"/>
                <w:color w:val="auto"/>
                <w:szCs w:val="21"/>
                <w:highlight w:val="none"/>
              </w:rPr>
            </w:pPr>
            <w:r>
              <w:rPr>
                <w:rFonts w:hint="eastAsia" w:ascii="宋体" w:hAnsi="宋体" w:eastAsia="宋体" w:cs="宋体"/>
                <w:kern w:val="0"/>
                <w:szCs w:val="21"/>
                <w:highlight w:val="none"/>
                <w:lang w:val="en-US" w:eastAsia="zh-CN"/>
              </w:rPr>
              <w:t>注：未提供不得分。</w:t>
            </w:r>
          </w:p>
        </w:tc>
        <w:tc>
          <w:tcPr>
            <w:tcW w:w="461" w:type="pct"/>
            <w:vAlign w:val="center"/>
          </w:tcPr>
          <w:p w14:paraId="07D7501C">
            <w:pPr>
              <w:keepNext w:val="0"/>
              <w:keepLines w:val="0"/>
              <w:pageBreakBefore w:val="0"/>
              <w:kinsoku/>
              <w:wordWrap/>
              <w:overflowPunct/>
              <w:topLinePunct w:val="0"/>
              <w:autoSpaceDE/>
              <w:autoSpaceDN/>
              <w:bidi w:val="0"/>
              <w:snapToGrid/>
              <w:spacing w:line="280" w:lineRule="exact"/>
              <w:jc w:val="center"/>
              <w:textAlignment w:val="auto"/>
              <w:outlineLvl w:val="0"/>
              <w:rPr>
                <w:rFonts w:hint="default" w:ascii="宋体" w:hAnsi="宋体" w:cs="宋体"/>
                <w:szCs w:val="21"/>
                <w:highlight w:val="none"/>
                <w:lang w:val="en-US" w:eastAsia="zh-CN"/>
              </w:rPr>
            </w:pPr>
            <w:r>
              <w:rPr>
                <w:rFonts w:hint="eastAsia" w:ascii="宋体" w:hAnsi="宋体" w:cs="宋体"/>
                <w:szCs w:val="21"/>
                <w:highlight w:val="none"/>
                <w:lang w:val="en-US" w:eastAsia="zh-CN"/>
              </w:rPr>
              <w:t>8分</w:t>
            </w:r>
          </w:p>
        </w:tc>
      </w:tr>
      <w:tr w14:paraId="671B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38" w:type="pct"/>
            <w:vAlign w:val="center"/>
          </w:tcPr>
          <w:p w14:paraId="5873DE40">
            <w:pPr>
              <w:keepNext w:val="0"/>
              <w:keepLines w:val="0"/>
              <w:pageBreakBefore w:val="0"/>
              <w:kinsoku/>
              <w:wordWrap/>
              <w:overflowPunct/>
              <w:topLinePunct w:val="0"/>
              <w:autoSpaceDE/>
              <w:autoSpaceDN/>
              <w:bidi w:val="0"/>
              <w:snapToGrid/>
              <w:spacing w:line="280" w:lineRule="exact"/>
              <w:ind w:firstLine="210" w:firstLineChars="100"/>
              <w:textAlignment w:val="auto"/>
              <w:outlineLvl w:val="0"/>
              <w:rPr>
                <w:rFonts w:hint="default" w:ascii="宋体" w:hAnsi="宋体" w:cs="宋体"/>
                <w:szCs w:val="21"/>
                <w:highlight w:val="none"/>
                <w:lang w:val="en-US" w:eastAsia="zh-CN"/>
              </w:rPr>
            </w:pPr>
            <w:r>
              <w:rPr>
                <w:rFonts w:hint="eastAsia" w:ascii="宋体" w:hAnsi="宋体" w:cs="宋体"/>
                <w:szCs w:val="21"/>
                <w:highlight w:val="none"/>
                <w:lang w:val="en-US" w:eastAsia="zh-CN"/>
              </w:rPr>
              <w:t>5</w:t>
            </w:r>
          </w:p>
        </w:tc>
        <w:tc>
          <w:tcPr>
            <w:tcW w:w="728" w:type="pct"/>
            <w:vMerge w:val="continue"/>
            <w:vAlign w:val="center"/>
          </w:tcPr>
          <w:p w14:paraId="6283E759">
            <w:pPr>
              <w:keepNext w:val="0"/>
              <w:keepLines w:val="0"/>
              <w:pageBreakBefore w:val="0"/>
              <w:kinsoku/>
              <w:wordWrap/>
              <w:overflowPunct/>
              <w:topLinePunct w:val="0"/>
              <w:autoSpaceDE/>
              <w:autoSpaceDN/>
              <w:bidi w:val="0"/>
              <w:snapToGrid/>
              <w:spacing w:line="280" w:lineRule="exact"/>
              <w:jc w:val="center"/>
              <w:textAlignment w:val="auto"/>
              <w:rPr>
                <w:rFonts w:hint="eastAsia" w:ascii="宋体" w:hAnsi="宋体" w:cs="宋体"/>
                <w:szCs w:val="21"/>
                <w:highlight w:val="none"/>
                <w:lang w:eastAsia="zh-CN"/>
              </w:rPr>
            </w:pPr>
          </w:p>
        </w:tc>
        <w:tc>
          <w:tcPr>
            <w:tcW w:w="3371" w:type="pct"/>
            <w:vAlign w:val="center"/>
          </w:tcPr>
          <w:p w14:paraId="11B4A681">
            <w:pPr>
              <w:keepNext w:val="0"/>
              <w:keepLines w:val="0"/>
              <w:pageBreakBefore w:val="0"/>
              <w:widowControl/>
              <w:kinsoku/>
              <w:wordWrap/>
              <w:overflowPunct/>
              <w:topLinePunct w:val="0"/>
              <w:autoSpaceDE/>
              <w:autoSpaceDN/>
              <w:bidi w:val="0"/>
              <w:adjustRightInd/>
              <w:snapToGrid/>
              <w:spacing w:line="280" w:lineRule="exact"/>
              <w:contextualSpacing/>
              <w:jc w:val="left"/>
              <w:textAlignment w:val="auto"/>
              <w:rPr>
                <w:rFonts w:hint="eastAsia" w:ascii="宋体" w:hAnsi="宋体" w:eastAsia="宋体" w:cs="宋体"/>
                <w:kern w:val="0"/>
                <w:szCs w:val="21"/>
                <w:highlight w:val="none"/>
                <w:lang w:val="en-US" w:eastAsia="zh-CN"/>
              </w:rPr>
            </w:pPr>
            <w:r>
              <w:rPr>
                <w:rFonts w:hint="eastAsia" w:ascii="宋体" w:hAnsi="宋体"/>
                <w:color w:val="auto"/>
                <w:szCs w:val="21"/>
                <w:highlight w:val="none"/>
              </w:rPr>
              <w:t>包括但不限于整体构架设计、业务流程设计、网络构架设计</w:t>
            </w:r>
            <w:r>
              <w:rPr>
                <w:rFonts w:hint="eastAsia" w:ascii="宋体" w:hAnsi="宋体"/>
                <w:color w:val="auto"/>
                <w:szCs w:val="21"/>
                <w:highlight w:val="none"/>
                <w:lang w:eastAsia="zh-CN"/>
              </w:rPr>
              <w:t>等</w:t>
            </w:r>
            <w:r>
              <w:rPr>
                <w:rFonts w:hint="eastAsia" w:ascii="宋体" w:hAnsi="宋体" w:eastAsia="宋体" w:cs="宋体"/>
                <w:kern w:val="0"/>
                <w:szCs w:val="21"/>
                <w:highlight w:val="none"/>
                <w:lang w:val="en-US" w:eastAsia="zh-CN"/>
              </w:rPr>
              <w:t>进行综合评审。</w:t>
            </w:r>
          </w:p>
          <w:p w14:paraId="60223350">
            <w:pPr>
              <w:keepNext w:val="0"/>
              <w:keepLines w:val="0"/>
              <w:pageBreakBefore w:val="0"/>
              <w:widowControl/>
              <w:kinsoku/>
              <w:wordWrap/>
              <w:overflowPunct/>
              <w:topLinePunct w:val="0"/>
              <w:autoSpaceDE/>
              <w:autoSpaceDN/>
              <w:bidi w:val="0"/>
              <w:adjustRightInd/>
              <w:snapToGrid/>
              <w:spacing w:line="280" w:lineRule="exact"/>
              <w:contextualSpacing/>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内容描述基本齐全的得</w:t>
            </w:r>
            <w:r>
              <w:rPr>
                <w:rFonts w:hint="eastAsia" w:ascii="宋体" w:hAnsi="宋体" w:cs="宋体"/>
                <w:kern w:val="0"/>
                <w:szCs w:val="21"/>
                <w:highlight w:val="none"/>
                <w:lang w:val="en-US" w:eastAsia="zh-CN"/>
              </w:rPr>
              <w:t>2</w:t>
            </w:r>
            <w:r>
              <w:rPr>
                <w:rFonts w:hint="eastAsia" w:ascii="宋体" w:hAnsi="宋体" w:eastAsia="宋体" w:cs="宋体"/>
                <w:kern w:val="0"/>
                <w:szCs w:val="21"/>
                <w:highlight w:val="none"/>
                <w:lang w:val="en-US" w:eastAsia="zh-CN"/>
              </w:rPr>
              <w:t>分，内容描述比较合理可行的得</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lang w:val="en-US" w:eastAsia="zh-CN"/>
              </w:rPr>
              <w:t>分，内容描述详细完整、合理可行的得</w:t>
            </w: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lang w:val="en-US" w:eastAsia="zh-CN"/>
              </w:rPr>
              <w:t>分，内容描述全面清晰、科学合理、符合项目实际可行性高的得</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lang w:val="en-US" w:eastAsia="zh-CN"/>
              </w:rPr>
              <w:t>分。</w:t>
            </w:r>
          </w:p>
          <w:p w14:paraId="05415D06">
            <w:pPr>
              <w:keepNext w:val="0"/>
              <w:keepLines w:val="0"/>
              <w:pageBreakBefore w:val="0"/>
              <w:widowControl/>
              <w:kinsoku/>
              <w:wordWrap/>
              <w:overflowPunct/>
              <w:topLinePunct w:val="0"/>
              <w:autoSpaceDE/>
              <w:autoSpaceDN/>
              <w:bidi w:val="0"/>
              <w:adjustRightInd/>
              <w:snapToGrid/>
              <w:spacing w:line="280" w:lineRule="exact"/>
              <w:contextualSpacing/>
              <w:jc w:val="left"/>
              <w:textAlignment w:val="auto"/>
              <w:rPr>
                <w:rFonts w:hint="eastAsia" w:ascii="宋体" w:hAnsi="宋体" w:eastAsia="宋体"/>
                <w:color w:val="auto"/>
                <w:szCs w:val="21"/>
                <w:highlight w:val="none"/>
                <w:lang w:eastAsia="zh-CN"/>
              </w:rPr>
            </w:pPr>
            <w:r>
              <w:rPr>
                <w:rFonts w:hint="eastAsia" w:ascii="宋体" w:hAnsi="宋体" w:eastAsia="宋体" w:cs="宋体"/>
                <w:kern w:val="0"/>
                <w:szCs w:val="21"/>
                <w:highlight w:val="none"/>
                <w:lang w:val="en-US" w:eastAsia="zh-CN"/>
              </w:rPr>
              <w:t>注：未提供不得分。</w:t>
            </w:r>
          </w:p>
        </w:tc>
        <w:tc>
          <w:tcPr>
            <w:tcW w:w="461" w:type="pct"/>
            <w:vAlign w:val="center"/>
          </w:tcPr>
          <w:p w14:paraId="31ADCECA">
            <w:pPr>
              <w:keepNext w:val="0"/>
              <w:keepLines w:val="0"/>
              <w:pageBreakBefore w:val="0"/>
              <w:kinsoku/>
              <w:wordWrap/>
              <w:overflowPunct/>
              <w:topLinePunct w:val="0"/>
              <w:autoSpaceDE/>
              <w:autoSpaceDN/>
              <w:bidi w:val="0"/>
              <w:snapToGrid/>
              <w:spacing w:line="280" w:lineRule="exact"/>
              <w:jc w:val="center"/>
              <w:textAlignment w:val="auto"/>
              <w:outlineLvl w:val="0"/>
              <w:rPr>
                <w:rFonts w:hint="default" w:ascii="宋体" w:hAnsi="宋体" w:cs="宋体"/>
                <w:szCs w:val="21"/>
                <w:highlight w:val="none"/>
                <w:lang w:val="en-US" w:eastAsia="zh-CN"/>
              </w:rPr>
            </w:pPr>
            <w:r>
              <w:rPr>
                <w:rFonts w:hint="eastAsia" w:ascii="宋体" w:hAnsi="宋体" w:cs="宋体"/>
                <w:szCs w:val="21"/>
                <w:highlight w:val="none"/>
                <w:lang w:val="en-US" w:eastAsia="zh-CN"/>
              </w:rPr>
              <w:t>5分</w:t>
            </w:r>
          </w:p>
        </w:tc>
      </w:tr>
      <w:tr w14:paraId="1090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438" w:type="pct"/>
            <w:vAlign w:val="center"/>
          </w:tcPr>
          <w:p w14:paraId="3A918B61">
            <w:pPr>
              <w:keepNext w:val="0"/>
              <w:keepLines w:val="0"/>
              <w:pageBreakBefore w:val="0"/>
              <w:kinsoku/>
              <w:wordWrap/>
              <w:overflowPunct/>
              <w:topLinePunct w:val="0"/>
              <w:autoSpaceDE/>
              <w:autoSpaceDN/>
              <w:bidi w:val="0"/>
              <w:snapToGrid/>
              <w:spacing w:line="280" w:lineRule="exact"/>
              <w:ind w:firstLine="210" w:firstLineChars="100"/>
              <w:textAlignment w:val="auto"/>
              <w:outlineLvl w:val="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6</w:t>
            </w:r>
          </w:p>
        </w:tc>
        <w:tc>
          <w:tcPr>
            <w:tcW w:w="728" w:type="pct"/>
            <w:shd w:val="clear" w:color="auto" w:fill="auto"/>
            <w:vAlign w:val="center"/>
          </w:tcPr>
          <w:p w14:paraId="39A140A4">
            <w:pPr>
              <w:keepNext w:val="0"/>
              <w:keepLines w:val="0"/>
              <w:pageBreakBefore w:val="0"/>
              <w:kinsoku/>
              <w:wordWrap/>
              <w:overflowPunct/>
              <w:topLinePunct w:val="0"/>
              <w:autoSpaceDE/>
              <w:autoSpaceDN/>
              <w:bidi w:val="0"/>
              <w:snapToGrid/>
              <w:spacing w:line="28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供货</w:t>
            </w:r>
            <w:r>
              <w:rPr>
                <w:rFonts w:hint="eastAsia" w:ascii="宋体" w:hAnsi="宋体" w:eastAsia="宋体" w:cs="宋体"/>
                <w:szCs w:val="21"/>
                <w:highlight w:val="none"/>
              </w:rPr>
              <w:t>方案</w:t>
            </w:r>
          </w:p>
          <w:p w14:paraId="27BB7A05">
            <w:pPr>
              <w:keepNext w:val="0"/>
              <w:keepLines w:val="0"/>
              <w:pageBreakBefore w:val="0"/>
              <w:kinsoku/>
              <w:wordWrap/>
              <w:overflowPunct/>
              <w:topLinePunct w:val="0"/>
              <w:autoSpaceDE/>
              <w:autoSpaceDN/>
              <w:bidi w:val="0"/>
              <w:snapToGrid/>
              <w:spacing w:line="280" w:lineRule="exact"/>
              <w:jc w:val="center"/>
              <w:textAlignment w:val="auto"/>
              <w:rPr>
                <w:rFonts w:hint="eastAsia" w:ascii="宋体" w:hAnsi="宋体" w:eastAsia="宋体" w:cs="宋体"/>
                <w:szCs w:val="21"/>
                <w:highlight w:val="none"/>
                <w:lang w:val="en-US" w:eastAsia="zh-CN"/>
              </w:rPr>
            </w:pPr>
          </w:p>
        </w:tc>
        <w:tc>
          <w:tcPr>
            <w:tcW w:w="3371" w:type="pct"/>
            <w:shd w:val="clear" w:color="auto" w:fill="auto"/>
            <w:vAlign w:val="center"/>
          </w:tcPr>
          <w:p w14:paraId="42AAE616">
            <w:pPr>
              <w:keepNext w:val="0"/>
              <w:keepLines w:val="0"/>
              <w:pageBreakBefore w:val="0"/>
              <w:widowControl/>
              <w:kinsoku/>
              <w:wordWrap/>
              <w:overflowPunct/>
              <w:topLinePunct w:val="0"/>
              <w:autoSpaceDE/>
              <w:autoSpaceDN/>
              <w:bidi w:val="0"/>
              <w:adjustRightInd/>
              <w:snapToGrid/>
              <w:spacing w:line="280" w:lineRule="exact"/>
              <w:contextualSpacing/>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根据投标人提供的实施方案（包括但不仅限于实施人员的配备、产品供货、运输装卸、安装调试、协助验收环节等）进行综合评审。</w:t>
            </w:r>
          </w:p>
          <w:p w14:paraId="0426FF3D">
            <w:pPr>
              <w:keepNext w:val="0"/>
              <w:keepLines w:val="0"/>
              <w:pageBreakBefore w:val="0"/>
              <w:widowControl/>
              <w:kinsoku/>
              <w:wordWrap/>
              <w:overflowPunct/>
              <w:topLinePunct w:val="0"/>
              <w:autoSpaceDE/>
              <w:autoSpaceDN/>
              <w:bidi w:val="0"/>
              <w:adjustRightInd/>
              <w:snapToGrid/>
              <w:spacing w:line="280" w:lineRule="exact"/>
              <w:contextualSpacing/>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内容描述基本齐全的得</w:t>
            </w:r>
            <w:r>
              <w:rPr>
                <w:rFonts w:hint="eastAsia" w:ascii="宋体" w:hAnsi="宋体" w:cs="宋体"/>
                <w:kern w:val="0"/>
                <w:szCs w:val="21"/>
                <w:highlight w:val="none"/>
                <w:lang w:val="en-US" w:eastAsia="zh-CN"/>
              </w:rPr>
              <w:t>2</w:t>
            </w:r>
            <w:r>
              <w:rPr>
                <w:rFonts w:hint="eastAsia" w:ascii="宋体" w:hAnsi="宋体" w:eastAsia="宋体" w:cs="宋体"/>
                <w:kern w:val="0"/>
                <w:szCs w:val="21"/>
                <w:highlight w:val="none"/>
                <w:lang w:val="en-US" w:eastAsia="zh-CN"/>
              </w:rPr>
              <w:t>分，内容描述比较合理可行的得</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lang w:val="en-US" w:eastAsia="zh-CN"/>
              </w:rPr>
              <w:t>分，内容描述详细完整、合理可行的得</w:t>
            </w: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lang w:val="en-US" w:eastAsia="zh-CN"/>
              </w:rPr>
              <w:t>分，内容描述全面清晰、科学合理、符合项目实际可行性高的得</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lang w:val="en-US" w:eastAsia="zh-CN"/>
              </w:rPr>
              <w:t>分。</w:t>
            </w:r>
          </w:p>
          <w:p w14:paraId="37759F48">
            <w:pPr>
              <w:keepNext w:val="0"/>
              <w:keepLines w:val="0"/>
              <w:pageBreakBefore w:val="0"/>
              <w:widowControl/>
              <w:kinsoku/>
              <w:wordWrap/>
              <w:overflowPunct/>
              <w:topLinePunct w:val="0"/>
              <w:autoSpaceDE/>
              <w:autoSpaceDN/>
              <w:bidi w:val="0"/>
              <w:adjustRightInd/>
              <w:snapToGrid/>
              <w:spacing w:line="280" w:lineRule="exact"/>
              <w:contextualSpacing/>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注：未提供不得分。</w:t>
            </w:r>
          </w:p>
        </w:tc>
        <w:tc>
          <w:tcPr>
            <w:tcW w:w="461" w:type="pct"/>
            <w:shd w:val="clear" w:color="auto" w:fill="auto"/>
            <w:vAlign w:val="center"/>
          </w:tcPr>
          <w:p w14:paraId="2C509192">
            <w:pPr>
              <w:keepNext w:val="0"/>
              <w:keepLines w:val="0"/>
              <w:pageBreakBefore w:val="0"/>
              <w:kinsoku/>
              <w:wordWrap/>
              <w:overflowPunct/>
              <w:topLinePunct w:val="0"/>
              <w:autoSpaceDE/>
              <w:autoSpaceDN/>
              <w:bidi w:val="0"/>
              <w:snapToGrid/>
              <w:spacing w:line="280" w:lineRule="exact"/>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5分</w:t>
            </w:r>
          </w:p>
        </w:tc>
      </w:tr>
      <w:tr w14:paraId="6AC8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38" w:type="pct"/>
            <w:vAlign w:val="center"/>
          </w:tcPr>
          <w:p w14:paraId="1CEB382B">
            <w:pPr>
              <w:keepNext w:val="0"/>
              <w:keepLines w:val="0"/>
              <w:pageBreakBefore w:val="0"/>
              <w:kinsoku/>
              <w:wordWrap/>
              <w:overflowPunct/>
              <w:topLinePunct w:val="0"/>
              <w:autoSpaceDE/>
              <w:autoSpaceDN/>
              <w:bidi w:val="0"/>
              <w:snapToGrid/>
              <w:spacing w:line="280" w:lineRule="exact"/>
              <w:ind w:firstLine="210" w:firstLineChars="100"/>
              <w:textAlignment w:val="auto"/>
              <w:outlineLvl w:val="0"/>
              <w:rPr>
                <w:rFonts w:hint="default" w:ascii="宋体" w:hAnsi="宋体" w:cs="宋体"/>
                <w:szCs w:val="21"/>
                <w:highlight w:val="none"/>
                <w:lang w:val="en-US" w:eastAsia="zh-CN"/>
              </w:rPr>
            </w:pPr>
            <w:r>
              <w:rPr>
                <w:rFonts w:hint="eastAsia" w:ascii="宋体" w:hAnsi="宋体" w:cs="宋体"/>
                <w:szCs w:val="21"/>
                <w:highlight w:val="none"/>
                <w:lang w:val="en-US" w:eastAsia="zh-CN"/>
              </w:rPr>
              <w:t>7</w:t>
            </w:r>
          </w:p>
        </w:tc>
        <w:tc>
          <w:tcPr>
            <w:tcW w:w="728" w:type="pct"/>
            <w:shd w:val="clear" w:color="auto" w:fill="auto"/>
            <w:vAlign w:val="center"/>
          </w:tcPr>
          <w:p w14:paraId="1B4E8586">
            <w:pPr>
              <w:keepNext w:val="0"/>
              <w:keepLines w:val="0"/>
              <w:pageBreakBefore w:val="0"/>
              <w:kinsoku/>
              <w:wordWrap/>
              <w:overflowPunct/>
              <w:topLinePunct w:val="0"/>
              <w:autoSpaceDE/>
              <w:autoSpaceDN/>
              <w:bidi w:val="0"/>
              <w:snapToGrid/>
              <w:spacing w:line="280" w:lineRule="exact"/>
              <w:jc w:val="center"/>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质量保证措施</w:t>
            </w:r>
          </w:p>
        </w:tc>
        <w:tc>
          <w:tcPr>
            <w:tcW w:w="3371" w:type="pct"/>
            <w:shd w:val="clear" w:color="auto" w:fill="auto"/>
            <w:vAlign w:val="center"/>
          </w:tcPr>
          <w:p w14:paraId="3C4AAC7B">
            <w:pPr>
              <w:keepNext w:val="0"/>
              <w:keepLines w:val="0"/>
              <w:pageBreakBefore w:val="0"/>
              <w:widowControl/>
              <w:kinsoku/>
              <w:wordWrap/>
              <w:overflowPunct/>
              <w:topLinePunct w:val="0"/>
              <w:autoSpaceDE/>
              <w:autoSpaceDN/>
              <w:bidi w:val="0"/>
              <w:adjustRightInd/>
              <w:snapToGrid/>
              <w:spacing w:line="280" w:lineRule="exact"/>
              <w:contextualSpacing/>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根据投标人提供的项目质量保证措施（包括但不仅限于项目实施时间安排、质量保证措施及</w:t>
            </w:r>
            <w:r>
              <w:rPr>
                <w:rFonts w:hint="eastAsia" w:ascii="宋体" w:hAnsi="宋体" w:eastAsia="宋体" w:cs="宋体"/>
                <w:kern w:val="0"/>
                <w:szCs w:val="21"/>
                <w:highlight w:val="none"/>
                <w:lang w:val="zh-CN" w:eastAsia="zh-CN"/>
              </w:rPr>
              <w:t>技术服务、技术支持等承诺</w:t>
            </w:r>
            <w:r>
              <w:rPr>
                <w:rFonts w:hint="eastAsia" w:ascii="宋体" w:hAnsi="宋体" w:eastAsia="宋体" w:cs="宋体"/>
                <w:kern w:val="0"/>
                <w:szCs w:val="21"/>
                <w:highlight w:val="none"/>
                <w:lang w:val="en-US" w:eastAsia="zh-CN"/>
              </w:rPr>
              <w:t>）合理性、科学性进行综合评分。</w:t>
            </w:r>
          </w:p>
          <w:p w14:paraId="2A0A8C3D">
            <w:pPr>
              <w:keepNext w:val="0"/>
              <w:keepLines w:val="0"/>
              <w:pageBreakBefore w:val="0"/>
              <w:widowControl/>
              <w:kinsoku/>
              <w:wordWrap/>
              <w:overflowPunct/>
              <w:topLinePunct w:val="0"/>
              <w:autoSpaceDE/>
              <w:autoSpaceDN/>
              <w:bidi w:val="0"/>
              <w:adjustRightInd/>
              <w:snapToGrid/>
              <w:spacing w:line="280" w:lineRule="exact"/>
              <w:contextualSpacing/>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内容描述基本齐全的得</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lang w:val="en-US" w:eastAsia="zh-CN"/>
              </w:rPr>
              <w:t>分，内容描述比较合理可行的得</w:t>
            </w: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lang w:val="en-US" w:eastAsia="zh-CN"/>
              </w:rPr>
              <w:t>分，内容描述详细完整、合理可行的得</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lang w:val="en-US" w:eastAsia="zh-CN"/>
              </w:rPr>
              <w:t>分，内容描述全面清晰、科学合理、符合项目实际可行性高的得</w:t>
            </w: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lang w:val="en-US" w:eastAsia="zh-CN"/>
              </w:rPr>
              <w:t>分。</w:t>
            </w:r>
          </w:p>
          <w:p w14:paraId="275E2C6C">
            <w:pPr>
              <w:keepNext w:val="0"/>
              <w:keepLines w:val="0"/>
              <w:pageBreakBefore w:val="0"/>
              <w:widowControl/>
              <w:kinsoku/>
              <w:wordWrap/>
              <w:overflowPunct/>
              <w:topLinePunct w:val="0"/>
              <w:autoSpaceDE/>
              <w:autoSpaceDN/>
              <w:bidi w:val="0"/>
              <w:adjustRightInd/>
              <w:snapToGrid/>
              <w:spacing w:line="280" w:lineRule="exact"/>
              <w:contextualSpacing/>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注：未提供不得分。</w:t>
            </w:r>
          </w:p>
        </w:tc>
        <w:tc>
          <w:tcPr>
            <w:tcW w:w="461" w:type="pct"/>
            <w:shd w:val="clear" w:color="auto" w:fill="auto"/>
            <w:vAlign w:val="center"/>
          </w:tcPr>
          <w:p w14:paraId="763C1638">
            <w:pPr>
              <w:keepNext w:val="0"/>
              <w:keepLines w:val="0"/>
              <w:pageBreakBefore w:val="0"/>
              <w:kinsoku/>
              <w:wordWrap/>
              <w:overflowPunct/>
              <w:topLinePunct w:val="0"/>
              <w:autoSpaceDE/>
              <w:autoSpaceDN/>
              <w:bidi w:val="0"/>
              <w:snapToGrid/>
              <w:spacing w:line="280" w:lineRule="exact"/>
              <w:jc w:val="center"/>
              <w:textAlignment w:val="auto"/>
              <w:outlineLvl w:val="0"/>
              <w:rPr>
                <w:rFonts w:hint="default" w:ascii="宋体" w:hAnsi="宋体" w:cs="宋体"/>
                <w:szCs w:val="21"/>
                <w:highlight w:val="none"/>
                <w:lang w:val="en-US" w:eastAsia="zh-CN"/>
              </w:rPr>
            </w:pPr>
            <w:r>
              <w:rPr>
                <w:rFonts w:hint="eastAsia" w:ascii="宋体" w:hAnsi="宋体" w:cs="宋体"/>
                <w:szCs w:val="21"/>
                <w:highlight w:val="none"/>
                <w:lang w:val="en-US" w:eastAsia="zh-CN"/>
              </w:rPr>
              <w:t>6分</w:t>
            </w:r>
          </w:p>
        </w:tc>
      </w:tr>
      <w:tr w14:paraId="7E45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438" w:type="pct"/>
            <w:vAlign w:val="center"/>
          </w:tcPr>
          <w:p w14:paraId="0369F846">
            <w:pPr>
              <w:keepNext w:val="0"/>
              <w:keepLines w:val="0"/>
              <w:pageBreakBefore w:val="0"/>
              <w:kinsoku/>
              <w:wordWrap/>
              <w:overflowPunct/>
              <w:topLinePunct w:val="0"/>
              <w:autoSpaceDE/>
              <w:autoSpaceDN/>
              <w:bidi w:val="0"/>
              <w:snapToGrid/>
              <w:spacing w:line="280" w:lineRule="exact"/>
              <w:ind w:firstLine="210" w:firstLineChars="100"/>
              <w:textAlignment w:val="auto"/>
              <w:outlineLvl w:val="0"/>
              <w:rPr>
                <w:rFonts w:hint="default" w:ascii="宋体" w:hAnsi="宋体" w:cs="宋体"/>
                <w:szCs w:val="21"/>
                <w:highlight w:val="none"/>
                <w:lang w:val="en-US" w:eastAsia="zh-CN"/>
              </w:rPr>
            </w:pPr>
            <w:r>
              <w:rPr>
                <w:rFonts w:hint="eastAsia" w:ascii="宋体" w:hAnsi="宋体" w:cs="宋体"/>
                <w:szCs w:val="21"/>
                <w:highlight w:val="none"/>
                <w:lang w:val="en-US" w:eastAsia="zh-CN"/>
              </w:rPr>
              <w:t>8</w:t>
            </w:r>
          </w:p>
        </w:tc>
        <w:tc>
          <w:tcPr>
            <w:tcW w:w="728" w:type="pct"/>
            <w:shd w:val="clear" w:color="auto" w:fill="auto"/>
            <w:vAlign w:val="center"/>
          </w:tcPr>
          <w:p w14:paraId="7D34CE41">
            <w:pPr>
              <w:keepNext w:val="0"/>
              <w:keepLines w:val="0"/>
              <w:pageBreakBefore w:val="0"/>
              <w:kinsoku/>
              <w:overflowPunct/>
              <w:topLinePunct w:val="0"/>
              <w:bidi w:val="0"/>
              <w:spacing w:line="288" w:lineRule="auto"/>
              <w:ind w:firstLine="210" w:firstLineChars="100"/>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Cs w:val="21"/>
                <w:highlight w:val="none"/>
                <w:lang w:val="en-US" w:eastAsia="zh-CN"/>
              </w:rPr>
              <w:t>售后服务方案</w:t>
            </w:r>
          </w:p>
        </w:tc>
        <w:tc>
          <w:tcPr>
            <w:tcW w:w="3371" w:type="pct"/>
            <w:shd w:val="clear" w:color="auto" w:fill="auto"/>
            <w:vAlign w:val="center"/>
          </w:tcPr>
          <w:p w14:paraId="14A2A89D">
            <w:pPr>
              <w:keepNext w:val="0"/>
              <w:keepLines w:val="0"/>
              <w:pageBreakBefore w:val="0"/>
              <w:widowControl/>
              <w:kinsoku/>
              <w:wordWrap/>
              <w:overflowPunct/>
              <w:topLinePunct w:val="0"/>
              <w:autoSpaceDE/>
              <w:autoSpaceDN/>
              <w:bidi w:val="0"/>
              <w:adjustRightInd/>
              <w:snapToGrid/>
              <w:spacing w:line="280" w:lineRule="exact"/>
              <w:contextualSpacing/>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根据投标人提供的售后服务的具体内容和措施（包括车辆保养、车辆维修和配件、车辆安全检测、质保期内的售后服务具体方案及质保期满后的售后服务具体方案）等情况综合评分。</w:t>
            </w:r>
          </w:p>
          <w:p w14:paraId="3A5D3B40">
            <w:pPr>
              <w:keepNext w:val="0"/>
              <w:keepLines w:val="0"/>
              <w:pageBreakBefore w:val="0"/>
              <w:widowControl/>
              <w:kinsoku/>
              <w:wordWrap/>
              <w:overflowPunct/>
              <w:topLinePunct w:val="0"/>
              <w:autoSpaceDE/>
              <w:autoSpaceDN/>
              <w:bidi w:val="0"/>
              <w:adjustRightInd/>
              <w:snapToGrid/>
              <w:spacing w:line="280" w:lineRule="exact"/>
              <w:contextualSpacing/>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内容描述基本齐全的得</w:t>
            </w:r>
            <w:r>
              <w:rPr>
                <w:rFonts w:hint="eastAsia" w:ascii="宋体" w:hAnsi="宋体" w:cs="宋体"/>
                <w:kern w:val="0"/>
                <w:szCs w:val="21"/>
                <w:highlight w:val="none"/>
                <w:lang w:val="en-US" w:eastAsia="zh-CN"/>
              </w:rPr>
              <w:t>2</w:t>
            </w:r>
            <w:r>
              <w:rPr>
                <w:rFonts w:hint="eastAsia" w:ascii="宋体" w:hAnsi="宋体" w:eastAsia="宋体" w:cs="宋体"/>
                <w:kern w:val="0"/>
                <w:szCs w:val="21"/>
                <w:highlight w:val="none"/>
                <w:lang w:val="en-US" w:eastAsia="zh-CN"/>
              </w:rPr>
              <w:t>分，内容描述比较合理可行的得</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lang w:val="en-US" w:eastAsia="zh-CN"/>
              </w:rPr>
              <w:t>分，内容描述详细完整、合理可行的得</w:t>
            </w: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lang w:val="en-US" w:eastAsia="zh-CN"/>
              </w:rPr>
              <w:t>分，内容描述全面清晰、科学合理、符合项目实际可行性高的得</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lang w:val="en-US" w:eastAsia="zh-CN"/>
              </w:rPr>
              <w:t>分。</w:t>
            </w:r>
          </w:p>
          <w:p w14:paraId="3C666A1B">
            <w:pPr>
              <w:keepNext w:val="0"/>
              <w:keepLines w:val="0"/>
              <w:pageBreakBefore w:val="0"/>
              <w:widowControl/>
              <w:kinsoku/>
              <w:wordWrap/>
              <w:overflowPunct/>
              <w:topLinePunct w:val="0"/>
              <w:autoSpaceDE/>
              <w:autoSpaceDN/>
              <w:bidi w:val="0"/>
              <w:adjustRightInd/>
              <w:snapToGrid/>
              <w:spacing w:line="280" w:lineRule="exact"/>
              <w:contextualSpacing/>
              <w:jc w:val="left"/>
              <w:textAlignment w:val="auto"/>
              <w:rPr>
                <w:rFonts w:hint="eastAsia" w:ascii="宋体" w:hAnsi="宋体" w:eastAsia="新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kern w:val="0"/>
                <w:szCs w:val="21"/>
                <w:highlight w:val="none"/>
                <w:lang w:val="en-US" w:eastAsia="zh-CN"/>
              </w:rPr>
              <w:t>注：未提供不得分。</w:t>
            </w:r>
          </w:p>
        </w:tc>
        <w:tc>
          <w:tcPr>
            <w:tcW w:w="461" w:type="pct"/>
            <w:shd w:val="clear" w:color="auto" w:fill="auto"/>
            <w:vAlign w:val="center"/>
          </w:tcPr>
          <w:p w14:paraId="7CE8D8E6">
            <w:pPr>
              <w:keepNext w:val="0"/>
              <w:keepLines w:val="0"/>
              <w:pageBreakBefore w:val="0"/>
              <w:kinsoku/>
              <w:wordWrap/>
              <w:overflowPunct/>
              <w:topLinePunct w:val="0"/>
              <w:autoSpaceDE/>
              <w:autoSpaceDN/>
              <w:bidi w:val="0"/>
              <w:snapToGrid/>
              <w:spacing w:line="280" w:lineRule="exact"/>
              <w:jc w:val="center"/>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5</w:t>
            </w:r>
            <w:r>
              <w:rPr>
                <w:rFonts w:hint="eastAsia" w:ascii="宋体" w:hAnsi="宋体" w:cs="宋体"/>
                <w:szCs w:val="21"/>
                <w:highlight w:val="none"/>
              </w:rPr>
              <w:t>分</w:t>
            </w:r>
          </w:p>
        </w:tc>
      </w:tr>
      <w:tr w14:paraId="0C7F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438" w:type="pct"/>
            <w:vAlign w:val="center"/>
          </w:tcPr>
          <w:p w14:paraId="27D6ADEC">
            <w:pPr>
              <w:keepNext w:val="0"/>
              <w:keepLines w:val="0"/>
              <w:pageBreakBefore w:val="0"/>
              <w:kinsoku/>
              <w:wordWrap/>
              <w:overflowPunct/>
              <w:topLinePunct w:val="0"/>
              <w:autoSpaceDE/>
              <w:autoSpaceDN/>
              <w:bidi w:val="0"/>
              <w:snapToGrid/>
              <w:spacing w:line="280" w:lineRule="exact"/>
              <w:ind w:firstLine="210" w:firstLineChars="100"/>
              <w:textAlignment w:val="auto"/>
              <w:outlineLvl w:val="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6</w:t>
            </w:r>
          </w:p>
        </w:tc>
        <w:tc>
          <w:tcPr>
            <w:tcW w:w="4099" w:type="pct"/>
            <w:gridSpan w:val="2"/>
          </w:tcPr>
          <w:p w14:paraId="309B6DEE">
            <w:pPr>
              <w:keepNext w:val="0"/>
              <w:keepLines w:val="0"/>
              <w:pageBreakBefore w:val="0"/>
              <w:kinsoku/>
              <w:wordWrap/>
              <w:overflowPunct/>
              <w:topLinePunct w:val="0"/>
              <w:autoSpaceDE/>
              <w:autoSpaceDN/>
              <w:bidi w:val="0"/>
              <w:snapToGrid/>
              <w:spacing w:line="280" w:lineRule="exact"/>
              <w:textAlignment w:val="auto"/>
              <w:outlineLvl w:val="0"/>
              <w:rPr>
                <w:rFonts w:ascii="宋体" w:hAnsi="宋体" w:cs="宋体"/>
                <w:szCs w:val="21"/>
                <w:highlight w:val="none"/>
              </w:rPr>
            </w:pPr>
            <w:r>
              <w:rPr>
                <w:rFonts w:hint="eastAsia" w:ascii="宋体" w:hAnsi="宋体" w:cs="宋体"/>
                <w:szCs w:val="21"/>
                <w:highlight w:val="none"/>
              </w:rPr>
              <w:t>有效投标报价的最低价作为评标基准价，其最低报价为满分；按［投标报价得分=（评标基准价/投标报价）*</w:t>
            </w:r>
            <w:r>
              <w:rPr>
                <w:rFonts w:hint="eastAsia" w:ascii="宋体" w:hAnsi="宋体" w:cs="宋体"/>
                <w:szCs w:val="21"/>
                <w:highlight w:val="none"/>
                <w:lang w:val="en-US" w:eastAsia="zh-CN"/>
              </w:rPr>
              <w:t>3</w:t>
            </w:r>
            <w:r>
              <w:rPr>
                <w:rFonts w:hint="eastAsia" w:ascii="宋体" w:hAnsi="宋体" w:cs="宋体"/>
                <w:szCs w:val="21"/>
                <w:highlight w:val="none"/>
              </w:rPr>
              <w:t>0］的计算公式计算。</w:t>
            </w:r>
          </w:p>
          <w:p w14:paraId="51131892">
            <w:pPr>
              <w:keepNext w:val="0"/>
              <w:keepLines w:val="0"/>
              <w:pageBreakBefore w:val="0"/>
              <w:widowControl/>
              <w:shd w:val="clear" w:color="auto" w:fill="FFFFFF"/>
              <w:kinsoku/>
              <w:wordWrap/>
              <w:overflowPunct/>
              <w:topLinePunct w:val="0"/>
              <w:autoSpaceDE/>
              <w:autoSpaceDN/>
              <w:bidi w:val="0"/>
              <w:adjustRightInd/>
              <w:snapToGrid/>
              <w:spacing w:line="280" w:lineRule="exact"/>
              <w:ind w:firstLine="420"/>
              <w:jc w:val="left"/>
              <w:textAlignment w:val="auto"/>
              <w:rPr>
                <w:rFonts w:ascii="宋体" w:hAnsi="宋体" w:cs="宋体"/>
                <w:szCs w:val="21"/>
                <w:highlight w:val="none"/>
              </w:rPr>
            </w:pPr>
            <w:r>
              <w:rPr>
                <w:rFonts w:hint="eastAsia" w:ascii="宋体" w:hAnsi="宋体" w:cs="宋体"/>
                <w:szCs w:val="21"/>
                <w:highlight w:val="none"/>
              </w:rPr>
              <w:t>评标过程中，不得去掉报价中的最高报价和最低报价。</w:t>
            </w:r>
          </w:p>
          <w:p w14:paraId="42EA2660">
            <w:pPr>
              <w:keepNext w:val="0"/>
              <w:keepLines w:val="0"/>
              <w:pageBreakBefore w:val="0"/>
              <w:widowControl/>
              <w:shd w:val="clear" w:color="auto" w:fill="FFFFFF"/>
              <w:kinsoku/>
              <w:wordWrap/>
              <w:overflowPunct/>
              <w:topLinePunct w:val="0"/>
              <w:autoSpaceDE/>
              <w:autoSpaceDN/>
              <w:bidi w:val="0"/>
              <w:adjustRightInd/>
              <w:snapToGrid/>
              <w:spacing w:line="280" w:lineRule="exact"/>
              <w:ind w:firstLine="420"/>
              <w:jc w:val="left"/>
              <w:textAlignment w:val="auto"/>
              <w:rPr>
                <w:rFonts w:ascii="宋体" w:hAnsi="宋体" w:cs="宋体"/>
                <w:szCs w:val="21"/>
                <w:highlight w:val="none"/>
              </w:rPr>
            </w:pPr>
            <w:r>
              <w:rPr>
                <w:rFonts w:hint="eastAsia" w:ascii="宋体" w:hAnsi="宋体" w:cs="宋体"/>
                <w:szCs w:val="21"/>
                <w:highlight w:val="none"/>
              </w:rPr>
              <w:t>因落实政府采购政策需要进行价格调整的，以调整后的价格计算评标基准价和投标报价。</w:t>
            </w:r>
          </w:p>
        </w:tc>
        <w:tc>
          <w:tcPr>
            <w:tcW w:w="461" w:type="pct"/>
            <w:vAlign w:val="center"/>
          </w:tcPr>
          <w:p w14:paraId="1EF211F5">
            <w:pPr>
              <w:keepNext w:val="0"/>
              <w:keepLines w:val="0"/>
              <w:pageBreakBefore w:val="0"/>
              <w:kinsoku/>
              <w:wordWrap/>
              <w:overflowPunct/>
              <w:topLinePunct w:val="0"/>
              <w:autoSpaceDE/>
              <w:autoSpaceDN/>
              <w:bidi w:val="0"/>
              <w:snapToGrid/>
              <w:spacing w:line="280" w:lineRule="exact"/>
              <w:jc w:val="center"/>
              <w:textAlignment w:val="auto"/>
              <w:outlineLvl w:val="0"/>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0分</w:t>
            </w:r>
          </w:p>
        </w:tc>
      </w:tr>
    </w:tbl>
    <w:p w14:paraId="7C841870">
      <w:pPr>
        <w:rPr>
          <w:rFonts w:hint="eastAsia" w:ascii="宋体" w:hAnsi="宋体" w:cs="宋体"/>
          <w:sz w:val="24"/>
          <w:highlight w:val="none"/>
        </w:rPr>
      </w:pPr>
      <w:r>
        <w:rPr>
          <w:rFonts w:hint="eastAsia" w:ascii="宋体" w:hAnsi="宋体" w:cs="宋体"/>
          <w:sz w:val="20"/>
          <w:szCs w:val="20"/>
          <w:highlight w:val="none"/>
          <w:shd w:val="clear" w:color="auto" w:fill="FFFFFF"/>
        </w:rPr>
        <w:t>*</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w:t>
      </w:r>
    </w:p>
    <w:p w14:paraId="674D14F9">
      <w:pPr>
        <w:rPr>
          <w:rFonts w:ascii="宋体" w:hAnsi="宋体" w:cs="宋体"/>
          <w:b/>
          <w:sz w:val="24"/>
          <w:highlight w:val="none"/>
        </w:rPr>
      </w:pPr>
      <w:r>
        <w:rPr>
          <w:rFonts w:hint="eastAsia" w:ascii="宋体" w:hAnsi="宋体" w:cs="宋体"/>
          <w:sz w:val="24"/>
          <w:highlight w:val="none"/>
        </w:rPr>
        <w:t>内容）提供评标标准相应的商务技术资料。 </w:t>
      </w:r>
    </w:p>
    <w:p w14:paraId="7BC3ABF6">
      <w:pPr>
        <w:snapToGrid w:val="0"/>
        <w:spacing w:line="360" w:lineRule="exact"/>
        <w:rPr>
          <w:rFonts w:hint="eastAsia" w:ascii="宋体" w:hAnsi="宋体" w:cs="宋体"/>
          <w:b/>
          <w:sz w:val="32"/>
          <w:highlight w:val="none"/>
        </w:rPr>
      </w:pPr>
    </w:p>
    <w:p w14:paraId="54CCA130">
      <w:pPr>
        <w:snapToGrid w:val="0"/>
        <w:spacing w:line="360" w:lineRule="exact"/>
        <w:rPr>
          <w:rFonts w:ascii="宋体" w:hAnsi="宋体" w:cs="宋体"/>
          <w:b/>
          <w:sz w:val="28"/>
          <w:szCs w:val="28"/>
          <w:highlight w:val="none"/>
        </w:rPr>
      </w:pPr>
      <w:r>
        <w:rPr>
          <w:rFonts w:hint="eastAsia" w:ascii="宋体" w:hAnsi="宋体" w:cs="宋体"/>
          <w:b/>
          <w:sz w:val="32"/>
          <w:highlight w:val="none"/>
        </w:rPr>
        <w:t>一、评标方法</w:t>
      </w:r>
    </w:p>
    <w:p w14:paraId="78B848FD">
      <w:pPr>
        <w:adjustRightInd/>
        <w:spacing w:line="360" w:lineRule="exact"/>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18DE4FF1">
      <w:pPr>
        <w:adjustRightInd/>
        <w:spacing w:line="360" w:lineRule="exact"/>
        <w:rPr>
          <w:rFonts w:ascii="宋体" w:hAnsi="宋体" w:cs="宋体"/>
          <w:kern w:val="0"/>
          <w:sz w:val="24"/>
          <w:highlight w:val="none"/>
        </w:rPr>
      </w:pPr>
      <w:r>
        <w:rPr>
          <w:rFonts w:hint="eastAsia" w:ascii="宋体" w:hAnsi="宋体" w:cs="宋体"/>
          <w:b/>
          <w:sz w:val="32"/>
          <w:highlight w:val="none"/>
        </w:rPr>
        <w:t>二、评标标准</w:t>
      </w:r>
    </w:p>
    <w:p w14:paraId="6C6208CC">
      <w:pPr>
        <w:spacing w:line="360" w:lineRule="exact"/>
        <w:ind w:firstLine="472" w:firstLineChars="196"/>
        <w:rPr>
          <w:rFonts w:ascii="宋体" w:hAnsi="宋体" w:cs="宋体"/>
          <w:b/>
          <w:sz w:val="24"/>
          <w:highlight w:val="none"/>
        </w:rPr>
      </w:pPr>
      <w:r>
        <w:rPr>
          <w:rFonts w:hint="eastAsia" w:ascii="宋体" w:hAnsi="宋体" w:cs="宋体"/>
          <w:b/>
          <w:sz w:val="24"/>
          <w:highlight w:val="none"/>
        </w:rPr>
        <w:t>2.评标标准：</w:t>
      </w:r>
      <w:r>
        <w:rPr>
          <w:rFonts w:hint="eastAsia" w:ascii="宋体" w:hAnsi="宋体" w:cs="宋体"/>
          <w:kern w:val="0"/>
          <w:sz w:val="24"/>
          <w:highlight w:val="none"/>
        </w:rPr>
        <w:t>见评标办法前附表。</w:t>
      </w:r>
    </w:p>
    <w:p w14:paraId="4BFAAFEE">
      <w:pPr>
        <w:spacing w:line="360" w:lineRule="exact"/>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5BF6EA9C">
      <w:pPr>
        <w:spacing w:line="360" w:lineRule="exact"/>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348D4BA0">
      <w:pPr>
        <w:spacing w:line="360" w:lineRule="exact"/>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4F9DE087">
      <w:pPr>
        <w:spacing w:line="360" w:lineRule="exact"/>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33AFCF37">
      <w:pPr>
        <w:spacing w:line="360" w:lineRule="exact"/>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3B6BDEDF">
      <w:pPr>
        <w:pStyle w:val="134"/>
        <w:spacing w:before="0" w:line="360" w:lineRule="exact"/>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708E49B6">
      <w:pPr>
        <w:pStyle w:val="134"/>
        <w:spacing w:before="0" w:line="360" w:lineRule="exact"/>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6243B338">
      <w:pPr>
        <w:pStyle w:val="134"/>
        <w:spacing w:before="0" w:line="360" w:lineRule="exact"/>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319C95B3">
      <w:pPr>
        <w:pStyle w:val="134"/>
        <w:spacing w:before="0" w:line="360" w:lineRule="exact"/>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43ACF70D">
      <w:pPr>
        <w:pStyle w:val="134"/>
        <w:spacing w:before="0" w:line="360" w:lineRule="exact"/>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341575CE">
      <w:pPr>
        <w:pStyle w:val="134"/>
        <w:spacing w:before="0" w:line="360" w:lineRule="exact"/>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385BF53">
      <w:pPr>
        <w:snapToGrid w:val="0"/>
        <w:spacing w:line="3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6A09F004">
      <w:pPr>
        <w:snapToGrid w:val="0"/>
        <w:spacing w:line="3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003DEF00">
      <w:pPr>
        <w:pStyle w:val="134"/>
        <w:spacing w:before="0" w:line="360" w:lineRule="exact"/>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511F1F1">
      <w:pPr>
        <w:pStyle w:val="134"/>
        <w:spacing w:before="0" w:line="360" w:lineRule="exact"/>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C7255FC">
      <w:pPr>
        <w:spacing w:line="360" w:lineRule="exact"/>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76CF209">
      <w:pPr>
        <w:spacing w:line="360" w:lineRule="exact"/>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3C25987">
      <w:pPr>
        <w:spacing w:line="360" w:lineRule="exact"/>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B51BD9E">
      <w:pPr>
        <w:widowControl/>
        <w:shd w:val="clear" w:color="auto" w:fill="FFFFFF"/>
        <w:adjustRightInd/>
        <w:spacing w:after="225" w:line="360" w:lineRule="exact"/>
        <w:jc w:val="left"/>
        <w:rPr>
          <w:rFonts w:ascii="宋体" w:hAnsi="宋体" w:cs="宋体"/>
          <w:b/>
          <w:sz w:val="32"/>
          <w:highlight w:val="none"/>
        </w:rPr>
      </w:pPr>
      <w:r>
        <w:rPr>
          <w:rFonts w:hint="eastAsia" w:ascii="宋体" w:hAnsi="宋体" w:cs="宋体"/>
          <w:b/>
          <w:sz w:val="32"/>
          <w:highlight w:val="none"/>
        </w:rPr>
        <w:t>四、评标中的其他事项</w:t>
      </w:r>
    </w:p>
    <w:p w14:paraId="3CBD51ED">
      <w:pPr>
        <w:pStyle w:val="134"/>
        <w:spacing w:before="0" w:line="360" w:lineRule="exact"/>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A47904">
      <w:pPr>
        <w:pStyle w:val="16"/>
        <w:spacing w:line="360" w:lineRule="exact"/>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有下列情况之一的，投标无效：</w:t>
      </w:r>
    </w:p>
    <w:p w14:paraId="3396666F">
      <w:pPr>
        <w:spacing w:line="360" w:lineRule="exact"/>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7F47C10E">
      <w:pPr>
        <w:spacing w:line="360" w:lineRule="exact"/>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704A9401">
      <w:pPr>
        <w:spacing w:line="360" w:lineRule="exact"/>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5FEEB82F">
      <w:pPr>
        <w:spacing w:line="360" w:lineRule="exact"/>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3E0F2882">
      <w:pPr>
        <w:spacing w:line="360" w:lineRule="exact"/>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75623DBD">
      <w:pPr>
        <w:snapToGrid w:val="0"/>
        <w:spacing w:line="360" w:lineRule="exact"/>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255F3F5D">
      <w:pPr>
        <w:spacing w:line="360" w:lineRule="exact"/>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68F10F98">
      <w:pPr>
        <w:spacing w:line="360" w:lineRule="exact"/>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B1BCD1F">
      <w:pPr>
        <w:spacing w:line="360" w:lineRule="exact"/>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69BB04E4">
      <w:pPr>
        <w:spacing w:line="360" w:lineRule="exact"/>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3F0D1298">
      <w:pPr>
        <w:spacing w:line="360" w:lineRule="exact"/>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7B3960D8">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kern w:val="0"/>
          <w:sz w:val="24"/>
          <w:highlight w:val="none"/>
        </w:rPr>
        <w:t>4.2.12</w:t>
      </w:r>
      <w:r>
        <w:rPr>
          <w:rFonts w:hint="eastAsia" w:ascii="宋体" w:hAnsi="宋体" w:cs="宋体"/>
          <w:color w:val="000000" w:themeColor="text1"/>
          <w:kern w:val="0"/>
          <w:sz w:val="24"/>
          <w:highlight w:val="none"/>
          <w14:textFill>
            <w14:solidFill>
              <w14:schemeClr w14:val="tx1"/>
            </w14:solidFill>
          </w14:textFill>
        </w:rPr>
        <w:t>参与同一个采购包（标段）的投标人存在下列情形之一且无法合理解释的：1.不同投标人的电子投标（响应）文件上传计算机的网卡MAC地址或硬盘序列号等硬件信息相同的；2.上传的电子投标（响应）文件若出现使用本项目其他投标（响应）</w:t>
      </w:r>
      <w:r>
        <w:rPr>
          <w:rFonts w:hint="eastAsia" w:ascii="宋体" w:hAnsi="宋体" w:cs="宋体"/>
          <w:color w:val="000000" w:themeColor="text1"/>
          <w:kern w:val="0"/>
          <w:sz w:val="24"/>
          <w:highlight w:val="none"/>
          <w:lang w:eastAsia="zh-CN"/>
          <w14:textFill>
            <w14:solidFill>
              <w14:schemeClr w14:val="tx1"/>
            </w14:solidFill>
          </w14:textFill>
        </w:rPr>
        <w:t>人</w:t>
      </w:r>
      <w:r>
        <w:rPr>
          <w:rFonts w:hint="eastAsia" w:ascii="宋体" w:hAnsi="宋体" w:cs="宋体"/>
          <w:color w:val="000000" w:themeColor="text1"/>
          <w:kern w:val="0"/>
          <w:sz w:val="24"/>
          <w:highlight w:val="none"/>
          <w14:textFill>
            <w14:solidFill>
              <w14:schemeClr w14:val="tx1"/>
            </w14:solidFill>
          </w14:textFill>
        </w:rPr>
        <w:t>的数字证书加密的，或者加盖本项目其他投标（响应）</w:t>
      </w:r>
      <w:r>
        <w:rPr>
          <w:rFonts w:hint="eastAsia" w:ascii="宋体" w:hAnsi="宋体" w:cs="宋体"/>
          <w:color w:val="000000" w:themeColor="text1"/>
          <w:kern w:val="0"/>
          <w:sz w:val="24"/>
          <w:highlight w:val="none"/>
          <w:lang w:eastAsia="zh-CN"/>
          <w14:textFill>
            <w14:solidFill>
              <w14:schemeClr w14:val="tx1"/>
            </w14:solidFill>
          </w14:textFill>
        </w:rPr>
        <w:t>人</w:t>
      </w:r>
      <w:r>
        <w:rPr>
          <w:rFonts w:hint="eastAsia" w:ascii="宋体" w:hAnsi="宋体" w:cs="宋体"/>
          <w:color w:val="000000" w:themeColor="text1"/>
          <w:kern w:val="0"/>
          <w:sz w:val="24"/>
          <w:highlight w:val="none"/>
          <w14:textFill>
            <w14:solidFill>
              <w14:schemeClr w14:val="tx1"/>
            </w14:solidFill>
          </w14:textFill>
        </w:rPr>
        <w:t>的电子印章的；3.不同投标人的投标（响应）文件的内容存在三处（含）以上错误一致的；4.不同投标人联系人为同一人或不同联系人的联系电话一致的</w:t>
      </w:r>
      <w:r>
        <w:rPr>
          <w:rFonts w:hint="eastAsia" w:ascii="宋体" w:hAnsi="宋体" w:cs="宋体"/>
          <w:color w:val="000000" w:themeColor="text1"/>
          <w:kern w:val="0"/>
          <w:sz w:val="24"/>
          <w:highlight w:val="none"/>
          <w:lang w:eastAsia="zh-CN"/>
          <w14:textFill>
            <w14:solidFill>
              <w14:schemeClr w14:val="tx1"/>
            </w14:solidFill>
          </w14:textFill>
        </w:rPr>
        <w:t>；</w:t>
      </w:r>
    </w:p>
    <w:p w14:paraId="56F2802F">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宋体" w:hAnsi="宋体" w:cs="宋体"/>
          <w:kern w:val="0"/>
          <w:sz w:val="24"/>
          <w:highlight w:val="none"/>
        </w:rPr>
      </w:pPr>
      <w:r>
        <w:rPr>
          <w:rFonts w:hint="eastAsia" w:ascii="宋体" w:hAnsi="宋体" w:eastAsia="宋体" w:cs="宋体"/>
          <w:b w:val="0"/>
          <w:bCs w:val="0"/>
          <w:kern w:val="0"/>
          <w:sz w:val="24"/>
          <w:szCs w:val="24"/>
          <w:highlight w:val="none"/>
          <w:lang w:val="en-US"/>
        </w:rPr>
        <w:t>4.2.13</w:t>
      </w:r>
      <w:r>
        <w:rPr>
          <w:rFonts w:hint="eastAsia" w:ascii="宋体" w:hAnsi="宋体" w:cs="宋体"/>
          <w:kern w:val="0"/>
          <w:sz w:val="24"/>
          <w:highlight w:val="none"/>
        </w:rPr>
        <w:t>投标人仅提交备份投标文件，没有在电子交易平台传输递交投标文件的，投标无效；</w:t>
      </w:r>
    </w:p>
    <w:p w14:paraId="306DB5D3">
      <w:pPr>
        <w:pStyle w:val="3"/>
        <w:spacing w:line="360" w:lineRule="exact"/>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w:t>
      </w:r>
      <w:r>
        <w:rPr>
          <w:rFonts w:hint="eastAsia" w:ascii="宋体" w:hAnsi="宋体" w:eastAsia="宋体" w:cs="宋体"/>
          <w:b w:val="0"/>
          <w:bCs w:val="0"/>
          <w:kern w:val="0"/>
          <w:sz w:val="24"/>
          <w:szCs w:val="24"/>
          <w:highlight w:val="none"/>
          <w:lang w:val="en-US" w:eastAsia="zh-CN"/>
        </w:rPr>
        <w:t>4</w:t>
      </w:r>
      <w:r>
        <w:rPr>
          <w:rFonts w:hint="eastAsia" w:ascii="宋体" w:hAnsi="宋体" w:eastAsia="宋体" w:cs="宋体"/>
          <w:b w:val="0"/>
          <w:bCs w:val="0"/>
          <w:kern w:val="0"/>
          <w:sz w:val="24"/>
          <w:szCs w:val="24"/>
          <w:highlight w:val="none"/>
          <w:lang w:val="en-US"/>
        </w:rPr>
        <w:t>投标文件不满足招标文件的其它实质性要求的；</w:t>
      </w:r>
    </w:p>
    <w:p w14:paraId="150C02D3">
      <w:pPr>
        <w:spacing w:line="360" w:lineRule="exact"/>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5</w:t>
      </w:r>
      <w:r>
        <w:rPr>
          <w:rFonts w:hint="eastAsia" w:ascii="宋体" w:hAnsi="宋体" w:cs="宋体"/>
          <w:kern w:val="0"/>
          <w:sz w:val="24"/>
          <w:highlight w:val="none"/>
        </w:rPr>
        <w:t>法律、法规、规章（适用本市的）及省级以上规范性文件（适用本市的）规定的其他无效情形。</w:t>
      </w:r>
    </w:p>
    <w:p w14:paraId="558EE4CB">
      <w:pPr>
        <w:pStyle w:val="16"/>
        <w:snapToGrid w:val="0"/>
        <w:spacing w:line="360" w:lineRule="exact"/>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52643E01">
      <w:pPr>
        <w:pStyle w:val="16"/>
        <w:snapToGrid w:val="0"/>
        <w:spacing w:line="360" w:lineRule="exact"/>
        <w:rPr>
          <w:rFonts w:cs="宋体"/>
          <w:highlight w:val="none"/>
        </w:rPr>
      </w:pPr>
      <w:r>
        <w:rPr>
          <w:rFonts w:hint="eastAsia" w:cs="宋体"/>
          <w:highlight w:val="none"/>
        </w:rPr>
        <w:t>5.1符合专业条件的供应商或者对招标文件作实质响应的供应商不足3家的；</w:t>
      </w:r>
    </w:p>
    <w:p w14:paraId="13610D6E">
      <w:pPr>
        <w:pStyle w:val="16"/>
        <w:snapToGrid w:val="0"/>
        <w:spacing w:line="360" w:lineRule="exact"/>
        <w:rPr>
          <w:rFonts w:cs="宋体"/>
          <w:highlight w:val="none"/>
        </w:rPr>
      </w:pPr>
      <w:r>
        <w:rPr>
          <w:rFonts w:hint="eastAsia" w:cs="宋体"/>
          <w:highlight w:val="none"/>
        </w:rPr>
        <w:t>5.2出现影响采购公正的违法、违规行为的；</w:t>
      </w:r>
    </w:p>
    <w:p w14:paraId="3C5A0C66">
      <w:pPr>
        <w:pStyle w:val="16"/>
        <w:snapToGrid w:val="0"/>
        <w:spacing w:line="360" w:lineRule="exact"/>
        <w:rPr>
          <w:rFonts w:cs="宋体"/>
          <w:highlight w:val="none"/>
        </w:rPr>
      </w:pPr>
      <w:r>
        <w:rPr>
          <w:rFonts w:hint="eastAsia" w:cs="宋体"/>
          <w:highlight w:val="none"/>
        </w:rPr>
        <w:t>5.3投标人的报价均超过了采购预算，采购人不能支付的；</w:t>
      </w:r>
    </w:p>
    <w:p w14:paraId="1DE5B4B8">
      <w:pPr>
        <w:pStyle w:val="16"/>
        <w:snapToGrid w:val="0"/>
        <w:spacing w:line="360" w:lineRule="exact"/>
        <w:rPr>
          <w:rFonts w:cs="宋体"/>
          <w:highlight w:val="none"/>
        </w:rPr>
      </w:pPr>
      <w:r>
        <w:rPr>
          <w:rFonts w:hint="eastAsia" w:cs="宋体"/>
          <w:highlight w:val="none"/>
        </w:rPr>
        <w:t>5.4因重大变故，采购任务取消的。</w:t>
      </w:r>
    </w:p>
    <w:p w14:paraId="2C83EDEA">
      <w:pPr>
        <w:pStyle w:val="16"/>
        <w:snapToGrid w:val="0"/>
        <w:spacing w:line="360" w:lineRule="exact"/>
        <w:rPr>
          <w:rFonts w:cs="宋体"/>
          <w:highlight w:val="none"/>
        </w:rPr>
      </w:pPr>
      <w:r>
        <w:rPr>
          <w:rFonts w:hint="eastAsia" w:cs="宋体"/>
          <w:highlight w:val="none"/>
        </w:rPr>
        <w:t>废标后，采购机构应当将废标理由通知所有投标人。</w:t>
      </w:r>
    </w:p>
    <w:p w14:paraId="74F8D2ED">
      <w:pPr>
        <w:pStyle w:val="16"/>
        <w:snapToGrid w:val="0"/>
        <w:spacing w:line="360" w:lineRule="exact"/>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57AB1B5">
      <w:pPr>
        <w:pStyle w:val="16"/>
        <w:snapToGrid w:val="0"/>
        <w:spacing w:line="360" w:lineRule="exact"/>
        <w:ind w:firstLine="590" w:firstLineChars="245"/>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有政府采购法第七十一条、第七十二条规定的违法行为之一，影响或者可能影响中标、成交结果的，依照下列规定处理：</w:t>
      </w:r>
    </w:p>
    <w:p w14:paraId="36D8E090">
      <w:pPr>
        <w:pStyle w:val="16"/>
        <w:snapToGrid w:val="0"/>
        <w:spacing w:line="360" w:lineRule="exact"/>
        <w:ind w:firstLine="600" w:firstLineChars="250"/>
        <w:rPr>
          <w:rFonts w:cs="宋体"/>
          <w:highlight w:val="none"/>
        </w:rPr>
      </w:pPr>
      <w:r>
        <w:rPr>
          <w:rFonts w:hint="eastAsia" w:cs="宋体"/>
          <w:highlight w:val="none"/>
        </w:rPr>
        <w:t>7.1未确定中标或者中标人的，终止本次政府采购活动，重新开展政府采购活动。</w:t>
      </w:r>
    </w:p>
    <w:p w14:paraId="7FC610BE">
      <w:pPr>
        <w:pStyle w:val="16"/>
        <w:snapToGrid w:val="0"/>
        <w:spacing w:line="360" w:lineRule="exact"/>
        <w:ind w:firstLine="600" w:firstLineChars="250"/>
        <w:rPr>
          <w:rFonts w:cs="宋体"/>
          <w:highlight w:val="none"/>
        </w:rPr>
      </w:pPr>
      <w:r>
        <w:rPr>
          <w:rFonts w:hint="eastAsia" w:cs="宋体"/>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66F1194D">
      <w:pPr>
        <w:pStyle w:val="16"/>
        <w:snapToGrid w:val="0"/>
        <w:spacing w:line="360" w:lineRule="exact"/>
        <w:ind w:firstLine="600" w:firstLineChars="250"/>
        <w:rPr>
          <w:rFonts w:cs="宋体"/>
          <w:highlight w:val="none"/>
        </w:rPr>
      </w:pPr>
      <w:r>
        <w:rPr>
          <w:rFonts w:hint="eastAsia" w:cs="宋体"/>
          <w:highlight w:val="none"/>
        </w:rPr>
        <w:t>7.3政府采购合同已签订但尚未履行的，撤销合同，从合格的中标或者成交候选人中另行确定中标或者中标人；没有合格的中标或者成交候选人的，重新开展政府采购活动。</w:t>
      </w:r>
    </w:p>
    <w:p w14:paraId="55F8955F">
      <w:pPr>
        <w:pStyle w:val="16"/>
        <w:snapToGrid w:val="0"/>
        <w:spacing w:line="360" w:lineRule="exact"/>
        <w:rPr>
          <w:rFonts w:cs="宋体"/>
          <w:highlight w:val="none"/>
        </w:rPr>
      </w:pPr>
      <w:r>
        <w:rPr>
          <w:rFonts w:hint="eastAsia" w:cs="宋体"/>
          <w:highlight w:val="none"/>
        </w:rPr>
        <w:t>7.4政府采购合同已经履行，给采购人、供应商造成损失的，由责任人承担赔偿责任。</w:t>
      </w:r>
    </w:p>
    <w:p w14:paraId="36ABAA3B">
      <w:pPr>
        <w:pStyle w:val="16"/>
        <w:snapToGrid w:val="0"/>
        <w:spacing w:line="360" w:lineRule="exact"/>
        <w:rPr>
          <w:rFonts w:cs="宋体"/>
          <w:highlight w:val="none"/>
        </w:rPr>
      </w:pPr>
      <w:r>
        <w:rPr>
          <w:rFonts w:hint="eastAsia" w:cs="宋体"/>
          <w:highlight w:val="none"/>
        </w:rPr>
        <w:t>7.5政府采购当事人有其他违反政府采购法</w:t>
      </w:r>
      <w:r>
        <w:rPr>
          <w:rFonts w:hint="eastAsia" w:cs="宋体"/>
          <w:kern w:val="0"/>
          <w:highlight w:val="none"/>
        </w:rPr>
        <w:t>或者政府采购法实施条例等法律法规规定</w:t>
      </w:r>
      <w:r>
        <w:rPr>
          <w:rFonts w:hint="eastAsia" w:cs="宋体"/>
          <w:highlight w:val="none"/>
        </w:rPr>
        <w:t>的行为，经改正后仍然影响或者可能影响中标、成交结果或者依法被认定为中标、成交无效的，依照7.1-7.4规定处理。</w:t>
      </w:r>
    </w:p>
    <w:bookmarkEnd w:id="27"/>
    <w:p w14:paraId="4AE12419">
      <w:pPr>
        <w:pStyle w:val="81"/>
        <w:ind w:left="0" w:leftChars="0" w:firstLine="0" w:firstLineChars="0"/>
        <w:rPr>
          <w:rFonts w:hint="eastAsia" w:ascii="宋体" w:hAnsi="宋体" w:cs="宋体"/>
          <w:b/>
          <w:sz w:val="36"/>
          <w:szCs w:val="36"/>
          <w:highlight w:val="none"/>
        </w:rPr>
      </w:pPr>
      <w:bookmarkStart w:id="397" w:name="_Toc86217003"/>
      <w:bookmarkStart w:id="398" w:name="第五部分"/>
    </w:p>
    <w:p w14:paraId="7BFA7F1F">
      <w:pPr>
        <w:rPr>
          <w:rFonts w:hint="eastAsia" w:ascii="仿宋" w:hAnsi="仿宋" w:eastAsia="仿宋" w:cs="FangSong_GB2312"/>
          <w:b/>
          <w:sz w:val="36"/>
          <w:szCs w:val="36"/>
          <w:highlight w:val="none"/>
        </w:rPr>
      </w:pPr>
      <w:bookmarkStart w:id="399" w:name="_Toc95295965"/>
      <w:bookmarkStart w:id="400" w:name="_Toc95295211"/>
      <w:bookmarkStart w:id="401" w:name="_Toc102565158"/>
      <w:bookmarkStart w:id="402" w:name="_Toc102563665"/>
      <w:bookmarkStart w:id="403" w:name="_Toc95296770"/>
      <w:bookmarkStart w:id="404" w:name="_Toc102564010"/>
      <w:bookmarkStart w:id="405" w:name="_Toc102563942"/>
      <w:bookmarkStart w:id="406" w:name="_Toc95232854"/>
      <w:bookmarkStart w:id="407" w:name="_Toc102563872"/>
      <w:bookmarkStart w:id="408" w:name="_Toc95296641"/>
      <w:bookmarkStart w:id="409" w:name="_Toc10340"/>
      <w:bookmarkStart w:id="410" w:name="_Toc1814"/>
      <w:bookmarkStart w:id="411" w:name="_Toc22618"/>
      <w:r>
        <w:rPr>
          <w:rFonts w:hint="eastAsia" w:ascii="仿宋" w:hAnsi="仿宋" w:eastAsia="仿宋" w:cs="FangSong_GB2312"/>
          <w:b/>
          <w:sz w:val="36"/>
          <w:szCs w:val="36"/>
          <w:highlight w:val="none"/>
        </w:rPr>
        <w:br w:type="page"/>
      </w:r>
    </w:p>
    <w:p w14:paraId="6289BE48">
      <w:pPr>
        <w:spacing w:line="360" w:lineRule="auto"/>
        <w:jc w:val="center"/>
        <w:outlineLvl w:val="0"/>
        <w:rPr>
          <w:rFonts w:ascii="仿宋" w:hAnsi="仿宋" w:eastAsia="仿宋" w:cs="FangSong_GB2312"/>
          <w:b/>
          <w:sz w:val="36"/>
          <w:szCs w:val="36"/>
          <w:highlight w:val="none"/>
        </w:rPr>
      </w:pPr>
      <w:r>
        <w:rPr>
          <w:rFonts w:hint="eastAsia" w:ascii="仿宋" w:hAnsi="仿宋" w:eastAsia="仿宋" w:cs="FangSong_GB2312"/>
          <w:b/>
          <w:sz w:val="36"/>
          <w:szCs w:val="36"/>
          <w:highlight w:val="none"/>
        </w:rPr>
        <w:t>第五部分</w:t>
      </w:r>
      <w:r>
        <w:rPr>
          <w:rFonts w:ascii="仿宋" w:hAnsi="仿宋" w:eastAsia="仿宋" w:cs="FangSong_GB2312"/>
          <w:b/>
          <w:sz w:val="36"/>
          <w:szCs w:val="36"/>
          <w:highlight w:val="none"/>
        </w:rPr>
        <w:t xml:space="preserve"> </w:t>
      </w:r>
      <w:r>
        <w:rPr>
          <w:rFonts w:hint="eastAsia" w:ascii="仿宋" w:hAnsi="仿宋" w:eastAsia="仿宋" w:cs="FangSong_GB2312"/>
          <w:b/>
          <w:sz w:val="36"/>
          <w:szCs w:val="36"/>
          <w:highlight w:val="none"/>
        </w:rPr>
        <w:t>拟签订的合同文本</w:t>
      </w:r>
      <w:bookmarkEnd w:id="399"/>
      <w:bookmarkEnd w:id="400"/>
      <w:bookmarkEnd w:id="401"/>
      <w:bookmarkEnd w:id="402"/>
      <w:bookmarkEnd w:id="403"/>
      <w:bookmarkEnd w:id="404"/>
      <w:bookmarkEnd w:id="405"/>
      <w:bookmarkEnd w:id="406"/>
      <w:bookmarkEnd w:id="407"/>
      <w:bookmarkEnd w:id="408"/>
    </w:p>
    <w:p w14:paraId="5B2BEC22">
      <w:pPr>
        <w:rPr>
          <w:rFonts w:ascii="仿宋" w:hAnsi="仿宋" w:eastAsia="仿宋"/>
          <w:sz w:val="24"/>
          <w:highlight w:val="none"/>
          <w:u w:val="single"/>
        </w:rPr>
      </w:pPr>
      <w:r>
        <w:rPr>
          <w:rFonts w:hint="eastAsia" w:ascii="仿宋" w:hAnsi="仿宋" w:eastAsia="仿宋"/>
          <w:sz w:val="24"/>
          <w:highlight w:val="none"/>
        </w:rPr>
        <w:t>合同编号：</w:t>
      </w:r>
      <w:r>
        <w:rPr>
          <w:rFonts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ascii="仿宋" w:hAnsi="仿宋" w:eastAsia="仿宋"/>
          <w:sz w:val="24"/>
          <w:highlight w:val="none"/>
          <w:u w:val="single"/>
        </w:rPr>
        <w:t xml:space="preserve">  </w:t>
      </w:r>
    </w:p>
    <w:p w14:paraId="09888C84">
      <w:pPr>
        <w:spacing w:line="480" w:lineRule="auto"/>
        <w:jc w:val="center"/>
        <w:rPr>
          <w:rFonts w:ascii="仿宋" w:hAnsi="仿宋" w:eastAsia="仿宋"/>
          <w:b/>
          <w:sz w:val="28"/>
          <w:szCs w:val="28"/>
          <w:highlight w:val="none"/>
        </w:rPr>
      </w:pPr>
    </w:p>
    <w:p w14:paraId="7D2265CF">
      <w:pPr>
        <w:spacing w:line="480" w:lineRule="auto"/>
        <w:jc w:val="center"/>
        <w:rPr>
          <w:rFonts w:ascii="仿宋" w:hAnsi="仿宋" w:eastAsia="仿宋"/>
          <w:b/>
          <w:sz w:val="24"/>
          <w:highlight w:val="none"/>
        </w:rPr>
      </w:pPr>
    </w:p>
    <w:p w14:paraId="6BA981F1">
      <w:pPr>
        <w:spacing w:line="480" w:lineRule="auto"/>
        <w:jc w:val="center"/>
        <w:rPr>
          <w:rFonts w:ascii="仿宋" w:hAnsi="仿宋" w:eastAsia="仿宋"/>
          <w:b/>
          <w:sz w:val="24"/>
          <w:highlight w:val="none"/>
        </w:rPr>
      </w:pPr>
    </w:p>
    <w:p w14:paraId="46D15CAE">
      <w:pPr>
        <w:spacing w:line="480" w:lineRule="auto"/>
        <w:jc w:val="center"/>
        <w:rPr>
          <w:rFonts w:ascii="仿宋" w:hAnsi="仿宋" w:eastAsia="仿宋"/>
          <w:b/>
          <w:sz w:val="24"/>
          <w:highlight w:val="none"/>
        </w:rPr>
      </w:pPr>
    </w:p>
    <w:p w14:paraId="38412CB1">
      <w:pPr>
        <w:spacing w:line="480" w:lineRule="auto"/>
        <w:jc w:val="center"/>
        <w:rPr>
          <w:rFonts w:ascii="FangSong_GB2312" w:hAnsi="仿宋" w:eastAsia="FangSong_GB2312" w:cs="FangSong_GB2312"/>
          <w:b/>
          <w:sz w:val="36"/>
          <w:szCs w:val="36"/>
          <w:highlight w:val="none"/>
        </w:rPr>
      </w:pPr>
      <w:r>
        <w:rPr>
          <w:rFonts w:hint="eastAsia" w:ascii="FangSong_GB2312" w:hAnsi="仿宋" w:eastAsia="FangSong_GB2312" w:cs="FangSong_GB2312"/>
          <w:b/>
          <w:sz w:val="36"/>
          <w:szCs w:val="36"/>
          <w:highlight w:val="none"/>
        </w:rPr>
        <w:t>政府采购合同参考范本</w:t>
      </w:r>
    </w:p>
    <w:p w14:paraId="3F64E9AE">
      <w:pPr>
        <w:spacing w:line="480" w:lineRule="auto"/>
        <w:jc w:val="center"/>
        <w:rPr>
          <w:rFonts w:ascii="FangSong_GB2312" w:hAnsi="仿宋" w:eastAsia="FangSong_GB2312" w:cs="FangSong_GB2312"/>
          <w:b/>
          <w:sz w:val="36"/>
          <w:szCs w:val="36"/>
          <w:highlight w:val="none"/>
        </w:rPr>
      </w:pPr>
      <w:r>
        <w:rPr>
          <w:rFonts w:hint="eastAsia" w:ascii="FangSong_GB2312" w:hAnsi="仿宋" w:eastAsia="FangSong_GB2312" w:cs="FangSong_GB2312"/>
          <w:b/>
          <w:sz w:val="36"/>
          <w:szCs w:val="36"/>
          <w:highlight w:val="none"/>
        </w:rPr>
        <w:t>（</w:t>
      </w:r>
      <w:r>
        <w:rPr>
          <w:rFonts w:hint="eastAsia" w:ascii="FangSong_GB2312" w:hAnsi="仿宋" w:eastAsia="FangSong_GB2312" w:cs="FangSong_GB2312"/>
          <w:b/>
          <w:sz w:val="36"/>
          <w:szCs w:val="36"/>
          <w:highlight w:val="none"/>
          <w:lang w:eastAsia="zh-CN"/>
        </w:rPr>
        <w:t>货物</w:t>
      </w:r>
      <w:r>
        <w:rPr>
          <w:rFonts w:hint="eastAsia" w:ascii="FangSong_GB2312" w:hAnsi="仿宋" w:eastAsia="FangSong_GB2312" w:cs="FangSong_GB2312"/>
          <w:b/>
          <w:sz w:val="36"/>
          <w:szCs w:val="36"/>
          <w:highlight w:val="none"/>
        </w:rPr>
        <w:t>类）</w:t>
      </w:r>
    </w:p>
    <w:p w14:paraId="617B752C">
      <w:pPr>
        <w:pStyle w:val="704"/>
        <w:jc w:val="center"/>
        <w:rPr>
          <w:rFonts w:ascii="仿宋" w:hAnsi="仿宋" w:eastAsia="仿宋"/>
          <w:szCs w:val="24"/>
          <w:highlight w:val="none"/>
        </w:rPr>
      </w:pPr>
    </w:p>
    <w:p w14:paraId="3893D309">
      <w:pPr>
        <w:pStyle w:val="704"/>
        <w:rPr>
          <w:rFonts w:ascii="仿宋" w:hAnsi="仿宋" w:eastAsia="仿宋"/>
          <w:szCs w:val="24"/>
          <w:highlight w:val="none"/>
        </w:rPr>
      </w:pPr>
    </w:p>
    <w:p w14:paraId="00425107">
      <w:pPr>
        <w:pStyle w:val="704"/>
        <w:rPr>
          <w:rFonts w:ascii="仿宋" w:hAnsi="仿宋" w:eastAsia="仿宋"/>
          <w:szCs w:val="24"/>
          <w:highlight w:val="none"/>
        </w:rPr>
      </w:pPr>
    </w:p>
    <w:p w14:paraId="3D8D7FB2">
      <w:pPr>
        <w:spacing w:before="120" w:line="22" w:lineRule="atLeast"/>
        <w:rPr>
          <w:rFonts w:ascii="仿宋" w:hAnsi="仿宋" w:eastAsia="仿宋"/>
          <w:sz w:val="24"/>
          <w:highlight w:val="none"/>
        </w:rPr>
      </w:pPr>
    </w:p>
    <w:p w14:paraId="7DA8B0A5">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项目名称：</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 xml:space="preserve">     </w:t>
      </w:r>
    </w:p>
    <w:p w14:paraId="402D9968">
      <w:pPr>
        <w:rPr>
          <w:rFonts w:ascii="仿宋" w:hAnsi="仿宋" w:eastAsia="仿宋"/>
          <w:sz w:val="24"/>
          <w:highlight w:val="none"/>
        </w:rPr>
      </w:pPr>
    </w:p>
    <w:p w14:paraId="00F677EC">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甲方：</w:t>
      </w:r>
      <w:r>
        <w:rPr>
          <w:rFonts w:hint="eastAsia" w:ascii="仿宋" w:hAnsi="仿宋" w:eastAsia="仿宋"/>
          <w:sz w:val="24"/>
          <w:highlight w:val="none"/>
          <w:lang w:val="en-US" w:eastAsia="zh-CN"/>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 xml:space="preserve"> </w:t>
      </w:r>
    </w:p>
    <w:p w14:paraId="2EA2735D">
      <w:pPr>
        <w:spacing w:before="120" w:line="22" w:lineRule="atLeast"/>
        <w:rPr>
          <w:rFonts w:ascii="仿宋" w:hAnsi="仿宋" w:eastAsia="仿宋"/>
          <w:sz w:val="24"/>
          <w:highlight w:val="none"/>
        </w:rPr>
      </w:pPr>
    </w:p>
    <w:p w14:paraId="45C568B0">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乙方：</w:t>
      </w:r>
      <w:r>
        <w:rPr>
          <w:rFonts w:hint="eastAsia" w:ascii="仿宋" w:hAnsi="仿宋" w:eastAsia="仿宋"/>
          <w:sz w:val="24"/>
          <w:highlight w:val="none"/>
          <w:lang w:val="en-US" w:eastAsia="zh-CN"/>
        </w:rPr>
        <w:t xml:space="preserve">    </w:t>
      </w:r>
      <w:r>
        <w:rPr>
          <w:rFonts w:hint="eastAsia" w:ascii="仿宋" w:hAnsi="仿宋" w:eastAsia="仿宋"/>
          <w:sz w:val="24"/>
          <w:highlight w:val="none"/>
          <w:u w:val="single"/>
        </w:rPr>
        <w:t xml:space="preserve">                      </w:t>
      </w:r>
    </w:p>
    <w:p w14:paraId="64F6DDA2">
      <w:pPr>
        <w:spacing w:before="120" w:line="22" w:lineRule="atLeast"/>
        <w:rPr>
          <w:rFonts w:ascii="仿宋" w:hAnsi="仿宋" w:eastAsia="仿宋"/>
          <w:sz w:val="24"/>
          <w:highlight w:val="none"/>
        </w:rPr>
      </w:pPr>
    </w:p>
    <w:p w14:paraId="62C35F0D">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签订地：</w:t>
      </w:r>
      <w:r>
        <w:rPr>
          <w:rFonts w:hint="eastAsia" w:ascii="仿宋" w:hAnsi="仿宋" w:eastAsia="仿宋"/>
          <w:sz w:val="24"/>
          <w:highlight w:val="none"/>
          <w:lang w:val="en-US" w:eastAsia="zh-CN"/>
        </w:rPr>
        <w:t xml:space="preserve">  </w:t>
      </w:r>
      <w:r>
        <w:rPr>
          <w:rFonts w:hint="eastAsia" w:ascii="仿宋" w:hAnsi="仿宋" w:eastAsia="仿宋"/>
          <w:sz w:val="24"/>
          <w:highlight w:val="none"/>
          <w:u w:val="single"/>
        </w:rPr>
        <w:t xml:space="preserve">                      </w:t>
      </w:r>
    </w:p>
    <w:p w14:paraId="7FDFF93C">
      <w:pPr>
        <w:spacing w:before="120" w:line="22" w:lineRule="atLeast"/>
        <w:rPr>
          <w:rFonts w:ascii="仿宋" w:hAnsi="仿宋" w:eastAsia="仿宋"/>
          <w:sz w:val="24"/>
          <w:highlight w:val="none"/>
        </w:rPr>
      </w:pPr>
    </w:p>
    <w:p w14:paraId="63E5C4F9">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 xml:space="preserve">签订日期：  </w:t>
      </w:r>
      <w:r>
        <w:rPr>
          <w:rFonts w:hint="eastAsia" w:ascii="仿宋" w:hAnsi="仿宋" w:eastAsia="仿宋"/>
          <w:sz w:val="24"/>
          <w:highlight w:val="none"/>
          <w:lang w:val="en-US" w:eastAsia="zh-CN"/>
        </w:rPr>
        <w:t xml:space="preserve">      </w:t>
      </w:r>
      <w:r>
        <w:rPr>
          <w:rFonts w:hint="eastAsia" w:ascii="仿宋" w:hAnsi="仿宋" w:eastAsia="仿宋"/>
          <w:sz w:val="24"/>
          <w:highlight w:val="none"/>
        </w:rPr>
        <w:t xml:space="preserve">年  </w:t>
      </w:r>
      <w:r>
        <w:rPr>
          <w:rFonts w:hint="eastAsia" w:ascii="仿宋" w:hAnsi="仿宋" w:eastAsia="仿宋"/>
          <w:sz w:val="24"/>
          <w:highlight w:val="none"/>
          <w:lang w:val="en-US" w:eastAsia="zh-CN"/>
        </w:rPr>
        <w:t xml:space="preserve">  </w:t>
      </w:r>
      <w:r>
        <w:rPr>
          <w:rFonts w:hint="eastAsia" w:ascii="仿宋" w:hAnsi="仿宋" w:eastAsia="仿宋"/>
          <w:sz w:val="24"/>
          <w:highlight w:val="none"/>
        </w:rPr>
        <w:t>月</w:t>
      </w:r>
      <w:r>
        <w:rPr>
          <w:rFonts w:hint="eastAsia" w:ascii="仿宋" w:hAnsi="仿宋" w:eastAsia="仿宋"/>
          <w:sz w:val="24"/>
          <w:highlight w:val="none"/>
          <w:lang w:val="en-US" w:eastAsia="zh-CN"/>
        </w:rPr>
        <w:t xml:space="preserve">  </w:t>
      </w:r>
      <w:r>
        <w:rPr>
          <w:rFonts w:hint="eastAsia" w:ascii="仿宋" w:hAnsi="仿宋" w:eastAsia="仿宋"/>
          <w:sz w:val="24"/>
          <w:highlight w:val="none"/>
        </w:rPr>
        <w:t xml:space="preserve">  日</w:t>
      </w:r>
    </w:p>
    <w:p w14:paraId="6DD1E9CD">
      <w:pPr>
        <w:widowControl/>
        <w:jc w:val="left"/>
        <w:rPr>
          <w:rFonts w:ascii="仿宋" w:hAnsi="仿宋" w:eastAsia="仿宋"/>
          <w:kern w:val="0"/>
          <w:sz w:val="24"/>
          <w:highlight w:val="none"/>
        </w:rPr>
        <w:sectPr>
          <w:headerReference r:id="rId9" w:type="first"/>
          <w:footerReference r:id="rId12" w:type="first"/>
          <w:headerReference r:id="rId8" w:type="default"/>
          <w:footerReference r:id="rId10" w:type="default"/>
          <w:footerReference r:id="rId11" w:type="even"/>
          <w:pgSz w:w="11907" w:h="16840"/>
          <w:pgMar w:top="1474" w:right="1814" w:bottom="1474" w:left="1814" w:header="851" w:footer="851" w:gutter="0"/>
          <w:pgBorders>
            <w:top w:val="none" w:sz="0" w:space="0"/>
            <w:left w:val="none" w:sz="0" w:space="0"/>
            <w:bottom w:val="none" w:sz="0" w:space="0"/>
            <w:right w:val="none" w:sz="0" w:space="0"/>
          </w:pgBorders>
          <w:cols w:space="720" w:num="1"/>
        </w:sectPr>
      </w:pPr>
    </w:p>
    <w:bookmarkEnd w:id="409"/>
    <w:bookmarkEnd w:id="410"/>
    <w:bookmarkEnd w:id="411"/>
    <w:p w14:paraId="651A411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sz w:val="24"/>
          <w:szCs w:val="24"/>
          <w:highlight w:val="none"/>
        </w:rPr>
      </w:pPr>
      <w:r>
        <w:rPr>
          <w:sz w:val="24"/>
          <w:szCs w:val="24"/>
          <w:highlight w:val="none"/>
          <w:u w:val="single"/>
          <w:lang w:val="zh-CN"/>
        </w:rPr>
        <w:t xml:space="preserve">        </w:t>
      </w:r>
      <w:r>
        <w:rPr>
          <w:sz w:val="24"/>
          <w:szCs w:val="24"/>
          <w:highlight w:val="none"/>
          <w:lang w:val="zh-CN"/>
        </w:rPr>
        <w:t>年</w:t>
      </w:r>
      <w:r>
        <w:rPr>
          <w:sz w:val="24"/>
          <w:szCs w:val="24"/>
          <w:highlight w:val="none"/>
          <w:u w:val="single"/>
          <w:lang w:val="zh-CN"/>
        </w:rPr>
        <w:t xml:space="preserve">    </w:t>
      </w:r>
      <w:r>
        <w:rPr>
          <w:sz w:val="24"/>
          <w:szCs w:val="24"/>
          <w:highlight w:val="none"/>
          <w:lang w:val="zh-CN"/>
        </w:rPr>
        <w:t>月</w:t>
      </w:r>
      <w:r>
        <w:rPr>
          <w:sz w:val="24"/>
          <w:szCs w:val="24"/>
          <w:highlight w:val="none"/>
          <w:u w:val="single"/>
          <w:lang w:val="zh-CN"/>
        </w:rPr>
        <w:t xml:space="preserve">    </w:t>
      </w:r>
      <w:r>
        <w:rPr>
          <w:sz w:val="24"/>
          <w:szCs w:val="24"/>
          <w:highlight w:val="none"/>
          <w:lang w:val="zh-CN"/>
        </w:rPr>
        <w:t>日</w:t>
      </w:r>
      <w:r>
        <w:rPr>
          <w:sz w:val="24"/>
          <w:szCs w:val="24"/>
          <w:highlight w:val="none"/>
        </w:rPr>
        <w:t>，</w:t>
      </w:r>
      <w:r>
        <w:rPr>
          <w:sz w:val="24"/>
          <w:szCs w:val="24"/>
          <w:highlight w:val="none"/>
          <w:u w:val="single"/>
        </w:rPr>
        <w:t xml:space="preserve">   （采购人）   </w:t>
      </w:r>
      <w:r>
        <w:rPr>
          <w:sz w:val="24"/>
          <w:szCs w:val="24"/>
          <w:highlight w:val="none"/>
        </w:rPr>
        <w:t>以</w:t>
      </w:r>
      <w:r>
        <w:rPr>
          <w:sz w:val="24"/>
          <w:szCs w:val="24"/>
          <w:highlight w:val="none"/>
          <w:u w:val="single"/>
        </w:rPr>
        <w:t xml:space="preserve">   （政府采购方式）  </w:t>
      </w:r>
      <w:r>
        <w:rPr>
          <w:sz w:val="24"/>
          <w:szCs w:val="24"/>
          <w:highlight w:val="none"/>
        </w:rPr>
        <w:t>对</w:t>
      </w:r>
      <w:r>
        <w:rPr>
          <w:sz w:val="24"/>
          <w:szCs w:val="24"/>
          <w:highlight w:val="none"/>
          <w:u w:val="single"/>
        </w:rPr>
        <w:t xml:space="preserve">   （同前页项目名称）   </w:t>
      </w:r>
      <w:r>
        <w:rPr>
          <w:sz w:val="24"/>
          <w:szCs w:val="24"/>
          <w:highlight w:val="none"/>
        </w:rPr>
        <w:t>项目进行了采购。经</w:t>
      </w:r>
      <w:r>
        <w:rPr>
          <w:sz w:val="24"/>
          <w:szCs w:val="24"/>
          <w:highlight w:val="none"/>
          <w:u w:val="single"/>
        </w:rPr>
        <w:t xml:space="preserve">   （相关评定主体名称）   </w:t>
      </w:r>
      <w:r>
        <w:rPr>
          <w:sz w:val="24"/>
          <w:szCs w:val="24"/>
          <w:highlight w:val="none"/>
        </w:rPr>
        <w:t>评定，</w:t>
      </w:r>
      <w:r>
        <w:rPr>
          <w:sz w:val="24"/>
          <w:szCs w:val="24"/>
          <w:highlight w:val="none"/>
          <w:u w:val="single"/>
        </w:rPr>
        <w:t xml:space="preserve">   （中标供应商名称）</w:t>
      </w:r>
      <w:r>
        <w:rPr>
          <w:sz w:val="24"/>
          <w:szCs w:val="24"/>
          <w:highlight w:val="none"/>
        </w:rPr>
        <w:t>为该项目中标供应商。现于中标通知书发出之日起三十日内，按照采购文件确定的事项签订本合同。</w:t>
      </w:r>
    </w:p>
    <w:p w14:paraId="678E3D0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sz w:val="24"/>
          <w:szCs w:val="24"/>
          <w:highlight w:val="none"/>
        </w:rPr>
      </w:pPr>
      <w:r>
        <w:rPr>
          <w:sz w:val="24"/>
          <w:szCs w:val="24"/>
          <w:highlight w:val="none"/>
          <w:lang w:val="zh-CN"/>
        </w:rPr>
        <w:t>根据《中华人民共和国民法典》、《中华人民共和国政府采购法》等相关法律法规之规定，按照平等、自愿、公平、诚实信用和绿色的原则，经</w:t>
      </w:r>
      <w:r>
        <w:rPr>
          <w:sz w:val="24"/>
          <w:szCs w:val="24"/>
          <w:highlight w:val="none"/>
          <w:u w:val="single"/>
        </w:rPr>
        <w:t xml:space="preserve">   （采购人）   </w:t>
      </w:r>
      <w:r>
        <w:rPr>
          <w:rFonts w:hint="eastAsia"/>
          <w:sz w:val="24"/>
          <w:szCs w:val="24"/>
          <w:highlight w:val="none"/>
          <w:lang w:val="zh-CN"/>
        </w:rPr>
        <w:t>（</w:t>
      </w:r>
      <w:r>
        <w:rPr>
          <w:sz w:val="24"/>
          <w:szCs w:val="24"/>
          <w:highlight w:val="none"/>
          <w:lang w:val="zh-CN"/>
        </w:rPr>
        <w:t>以下简称：甲方</w:t>
      </w:r>
      <w:r>
        <w:rPr>
          <w:rFonts w:hint="eastAsia"/>
          <w:sz w:val="24"/>
          <w:szCs w:val="24"/>
          <w:highlight w:val="none"/>
          <w:lang w:val="zh-CN"/>
        </w:rPr>
        <w:t>）</w:t>
      </w:r>
      <w:r>
        <w:rPr>
          <w:sz w:val="24"/>
          <w:szCs w:val="24"/>
          <w:highlight w:val="none"/>
          <w:lang w:val="zh-CN"/>
        </w:rPr>
        <w:t>和</w:t>
      </w:r>
      <w:r>
        <w:rPr>
          <w:sz w:val="24"/>
          <w:szCs w:val="24"/>
          <w:highlight w:val="none"/>
          <w:u w:val="single"/>
        </w:rPr>
        <w:t xml:space="preserve">   （中标供应商名称）   </w:t>
      </w:r>
      <w:r>
        <w:rPr>
          <w:rFonts w:hint="eastAsia"/>
          <w:sz w:val="24"/>
          <w:szCs w:val="24"/>
          <w:highlight w:val="none"/>
          <w:lang w:val="zh-CN"/>
        </w:rPr>
        <w:t>（</w:t>
      </w:r>
      <w:r>
        <w:rPr>
          <w:sz w:val="24"/>
          <w:szCs w:val="24"/>
          <w:highlight w:val="none"/>
          <w:lang w:val="zh-CN"/>
        </w:rPr>
        <w:t>以下简称：乙方</w:t>
      </w:r>
      <w:r>
        <w:rPr>
          <w:rFonts w:hint="eastAsia"/>
          <w:sz w:val="24"/>
          <w:szCs w:val="24"/>
          <w:highlight w:val="none"/>
          <w:lang w:val="zh-CN"/>
        </w:rPr>
        <w:t>）</w:t>
      </w:r>
      <w:r>
        <w:rPr>
          <w:sz w:val="24"/>
          <w:szCs w:val="24"/>
          <w:highlight w:val="none"/>
          <w:lang w:val="zh-CN"/>
        </w:rPr>
        <w:t>协商一致，约定以下合同</w:t>
      </w:r>
      <w:r>
        <w:rPr>
          <w:sz w:val="24"/>
          <w:szCs w:val="24"/>
          <w:highlight w:val="none"/>
        </w:rPr>
        <w:t>条款，以兹共同遵守、全面履行。</w:t>
      </w:r>
    </w:p>
    <w:p w14:paraId="6A8C40F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outlineLvl w:val="0"/>
        <w:rPr>
          <w:b/>
          <w:sz w:val="24"/>
          <w:szCs w:val="24"/>
          <w:highlight w:val="none"/>
        </w:rPr>
      </w:pPr>
      <w:bookmarkStart w:id="412" w:name="_Toc3029"/>
      <w:bookmarkStart w:id="413" w:name="_Toc24059"/>
      <w:bookmarkStart w:id="414" w:name="_Toc2232"/>
      <w:r>
        <w:rPr>
          <w:b/>
          <w:sz w:val="24"/>
          <w:szCs w:val="24"/>
          <w:highlight w:val="none"/>
        </w:rPr>
        <w:t>1.1 合同组成部分</w:t>
      </w:r>
      <w:bookmarkEnd w:id="412"/>
      <w:bookmarkEnd w:id="413"/>
      <w:bookmarkEnd w:id="414"/>
    </w:p>
    <w:p w14:paraId="7B2F25F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sz w:val="24"/>
          <w:szCs w:val="24"/>
          <w:highlight w:val="none"/>
        </w:rPr>
      </w:pPr>
      <w:r>
        <w:rPr>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4C0F2C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sz w:val="24"/>
          <w:szCs w:val="24"/>
          <w:highlight w:val="none"/>
        </w:rPr>
      </w:pPr>
      <w:r>
        <w:rPr>
          <w:sz w:val="24"/>
          <w:szCs w:val="24"/>
          <w:highlight w:val="none"/>
        </w:rPr>
        <w:t>1.1.1 本合同及其补充合同、变更协议；</w:t>
      </w:r>
    </w:p>
    <w:p w14:paraId="368C502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sz w:val="24"/>
          <w:szCs w:val="24"/>
          <w:highlight w:val="none"/>
        </w:rPr>
      </w:pPr>
      <w:r>
        <w:rPr>
          <w:sz w:val="24"/>
          <w:szCs w:val="24"/>
          <w:highlight w:val="none"/>
        </w:rPr>
        <w:t>1.1.2 中标通知书；</w:t>
      </w:r>
    </w:p>
    <w:p w14:paraId="45093D2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sz w:val="24"/>
          <w:szCs w:val="24"/>
          <w:highlight w:val="none"/>
        </w:rPr>
      </w:pPr>
      <w:r>
        <w:rPr>
          <w:sz w:val="24"/>
          <w:szCs w:val="24"/>
          <w:highlight w:val="none"/>
        </w:rPr>
        <w:t>1.1.3 投标文件（含澄清或者说明文件）；</w:t>
      </w:r>
    </w:p>
    <w:p w14:paraId="45E30E5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sz w:val="24"/>
          <w:szCs w:val="24"/>
          <w:highlight w:val="none"/>
        </w:rPr>
      </w:pPr>
      <w:r>
        <w:rPr>
          <w:sz w:val="24"/>
          <w:szCs w:val="24"/>
          <w:highlight w:val="none"/>
        </w:rPr>
        <w:t>1.1.4 招标文件（含澄清或者修改文件）；</w:t>
      </w:r>
    </w:p>
    <w:p w14:paraId="2CEE6F2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sz w:val="24"/>
          <w:szCs w:val="24"/>
          <w:highlight w:val="none"/>
        </w:rPr>
      </w:pPr>
      <w:r>
        <w:rPr>
          <w:sz w:val="24"/>
          <w:szCs w:val="24"/>
          <w:highlight w:val="none"/>
        </w:rPr>
        <w:t>1.1.5 其他相关采购文件。</w:t>
      </w:r>
    </w:p>
    <w:p w14:paraId="0E8E6106">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outlineLvl w:val="0"/>
        <w:rPr>
          <w:b/>
          <w:sz w:val="24"/>
          <w:szCs w:val="24"/>
          <w:highlight w:val="none"/>
        </w:rPr>
      </w:pPr>
      <w:bookmarkStart w:id="415" w:name="_Toc27126"/>
      <w:bookmarkStart w:id="416" w:name="_Toc24300"/>
      <w:bookmarkStart w:id="417" w:name="_Toc21295"/>
      <w:r>
        <w:rPr>
          <w:b/>
          <w:sz w:val="24"/>
          <w:szCs w:val="24"/>
          <w:highlight w:val="none"/>
        </w:rPr>
        <w:t>1.2 货物</w:t>
      </w:r>
      <w:bookmarkEnd w:id="415"/>
      <w:bookmarkEnd w:id="416"/>
      <w:bookmarkEnd w:id="417"/>
    </w:p>
    <w:p w14:paraId="5651366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sz w:val="24"/>
          <w:szCs w:val="24"/>
          <w:highlight w:val="none"/>
          <w:u w:val="single"/>
        </w:rPr>
      </w:pPr>
      <w:r>
        <w:rPr>
          <w:sz w:val="24"/>
          <w:szCs w:val="24"/>
          <w:highlight w:val="none"/>
        </w:rPr>
        <w:t>1.2.1 货物名称：</w:t>
      </w:r>
      <w:r>
        <w:rPr>
          <w:sz w:val="24"/>
          <w:szCs w:val="24"/>
          <w:highlight w:val="none"/>
          <w:u w:val="single"/>
        </w:rPr>
        <w:t xml:space="preserve">                                                </w:t>
      </w:r>
      <w:r>
        <w:rPr>
          <w:sz w:val="24"/>
          <w:szCs w:val="24"/>
          <w:highlight w:val="none"/>
        </w:rPr>
        <w:t>；</w:t>
      </w:r>
    </w:p>
    <w:p w14:paraId="4FD26FB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sz w:val="24"/>
          <w:szCs w:val="24"/>
          <w:highlight w:val="none"/>
          <w:u w:val="single"/>
        </w:rPr>
      </w:pPr>
      <w:r>
        <w:rPr>
          <w:sz w:val="24"/>
          <w:szCs w:val="24"/>
          <w:highlight w:val="none"/>
        </w:rPr>
        <w:t>1.2.2 货物数量：</w:t>
      </w:r>
      <w:r>
        <w:rPr>
          <w:sz w:val="24"/>
          <w:szCs w:val="24"/>
          <w:highlight w:val="none"/>
          <w:u w:val="single"/>
        </w:rPr>
        <w:t xml:space="preserve">                                                </w:t>
      </w:r>
      <w:r>
        <w:rPr>
          <w:sz w:val="24"/>
          <w:szCs w:val="24"/>
          <w:highlight w:val="none"/>
        </w:rPr>
        <w:t>；</w:t>
      </w:r>
    </w:p>
    <w:p w14:paraId="489B535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sz w:val="24"/>
          <w:szCs w:val="24"/>
          <w:highlight w:val="none"/>
        </w:rPr>
      </w:pPr>
      <w:r>
        <w:rPr>
          <w:sz w:val="24"/>
          <w:szCs w:val="24"/>
          <w:highlight w:val="none"/>
        </w:rPr>
        <w:t>1.2.3 货物质量：</w:t>
      </w:r>
      <w:r>
        <w:rPr>
          <w:sz w:val="24"/>
          <w:szCs w:val="24"/>
          <w:highlight w:val="none"/>
          <w:u w:val="single"/>
        </w:rPr>
        <w:t xml:space="preserve">　　　　　　　　　                      　      </w:t>
      </w:r>
      <w:r>
        <w:rPr>
          <w:sz w:val="24"/>
          <w:szCs w:val="24"/>
          <w:highlight w:val="none"/>
        </w:rPr>
        <w:t>。</w:t>
      </w:r>
    </w:p>
    <w:p w14:paraId="0EE8F4CB">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outlineLvl w:val="0"/>
        <w:rPr>
          <w:b/>
          <w:sz w:val="24"/>
          <w:szCs w:val="24"/>
          <w:highlight w:val="none"/>
        </w:rPr>
      </w:pPr>
      <w:bookmarkStart w:id="418" w:name="_Toc21551"/>
      <w:bookmarkStart w:id="419" w:name="_Toc21631"/>
      <w:bookmarkStart w:id="420" w:name="_Toc23292"/>
      <w:r>
        <w:rPr>
          <w:b/>
          <w:sz w:val="24"/>
          <w:szCs w:val="24"/>
          <w:highlight w:val="none"/>
        </w:rPr>
        <w:t>1.3 价款</w:t>
      </w:r>
      <w:bookmarkEnd w:id="418"/>
      <w:bookmarkEnd w:id="419"/>
      <w:bookmarkEnd w:id="420"/>
    </w:p>
    <w:p w14:paraId="09DEFFE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sz w:val="24"/>
          <w:szCs w:val="24"/>
          <w:highlight w:val="none"/>
        </w:rPr>
      </w:pPr>
      <w:r>
        <w:rPr>
          <w:sz w:val="24"/>
          <w:szCs w:val="24"/>
          <w:highlight w:val="none"/>
        </w:rPr>
        <w:t>本合同总价为：￥</w:t>
      </w:r>
      <w:r>
        <w:rPr>
          <w:sz w:val="24"/>
          <w:szCs w:val="24"/>
          <w:highlight w:val="none"/>
          <w:u w:val="single"/>
        </w:rPr>
        <w:t xml:space="preserve">           </w:t>
      </w:r>
      <w:r>
        <w:rPr>
          <w:sz w:val="24"/>
          <w:szCs w:val="24"/>
          <w:highlight w:val="none"/>
        </w:rPr>
        <w:t>元（大写：</w:t>
      </w:r>
      <w:r>
        <w:rPr>
          <w:sz w:val="24"/>
          <w:szCs w:val="24"/>
          <w:highlight w:val="none"/>
          <w:u w:val="single"/>
        </w:rPr>
        <w:t xml:space="preserve">               </w:t>
      </w:r>
      <w:r>
        <w:rPr>
          <w:sz w:val="24"/>
          <w:szCs w:val="24"/>
          <w:highlight w:val="none"/>
        </w:rPr>
        <w:t>元人民币）。</w:t>
      </w:r>
    </w:p>
    <w:p w14:paraId="738598CE">
      <w:pPr>
        <w:keepNext w:val="0"/>
        <w:keepLines w:val="0"/>
        <w:pageBreakBefore w:val="0"/>
        <w:widowControl w:val="0"/>
        <w:kinsoku/>
        <w:wordWrap/>
        <w:overflowPunct/>
        <w:topLinePunct w:val="0"/>
        <w:autoSpaceDE/>
        <w:autoSpaceDN/>
        <w:bidi w:val="0"/>
        <w:adjustRightInd w:val="0"/>
        <w:snapToGrid/>
        <w:spacing w:line="500" w:lineRule="exact"/>
        <w:ind w:firstLine="420" w:firstLineChars="200"/>
        <w:textAlignment w:val="auto"/>
        <w:rPr>
          <w:highlight w:val="none"/>
          <w:u w:val="single"/>
        </w:rPr>
      </w:pPr>
      <w:r>
        <w:rPr>
          <w:highlight w:val="none"/>
        </w:rPr>
        <w:br w:type="page"/>
      </w:r>
      <w:r>
        <w:rPr>
          <w:highlight w:val="none"/>
        </w:rPr>
        <w:t>分项价格：</w:t>
      </w:r>
    </w:p>
    <w:tbl>
      <w:tblPr>
        <w:tblStyle w:val="64"/>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048"/>
        <w:gridCol w:w="2048"/>
      </w:tblGrid>
      <w:tr w14:paraId="17AE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25DB543">
            <w:pPr>
              <w:pStyle w:val="323"/>
              <w:adjustRightInd w:val="0"/>
              <w:snapToGrid w:val="0"/>
              <w:spacing w:line="360" w:lineRule="auto"/>
              <w:jc w:val="center"/>
              <w:rPr>
                <w:rFonts w:ascii="Times New Roman" w:hAnsi="Times New Roman" w:eastAsia="仿宋"/>
                <w:sz w:val="24"/>
                <w:szCs w:val="24"/>
                <w:highlight w:val="none"/>
                <w:lang w:val="en-US" w:eastAsia="zh-CN"/>
              </w:rPr>
            </w:pPr>
            <w:r>
              <w:rPr>
                <w:rFonts w:ascii="Times New Roman" w:hAnsi="Times New Roman" w:eastAsia="仿宋"/>
                <w:sz w:val="24"/>
                <w:szCs w:val="24"/>
                <w:highlight w:val="none"/>
                <w:lang w:val="en-US" w:eastAsia="zh-CN"/>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7CAF381">
            <w:pPr>
              <w:pStyle w:val="323"/>
              <w:adjustRightInd w:val="0"/>
              <w:snapToGrid w:val="0"/>
              <w:spacing w:line="360" w:lineRule="auto"/>
              <w:jc w:val="center"/>
              <w:rPr>
                <w:rFonts w:ascii="Times New Roman" w:hAnsi="Times New Roman" w:eastAsia="仿宋"/>
                <w:sz w:val="24"/>
                <w:szCs w:val="24"/>
                <w:highlight w:val="none"/>
                <w:lang w:val="en-US" w:eastAsia="zh-CN"/>
              </w:rPr>
            </w:pPr>
            <w:r>
              <w:rPr>
                <w:rFonts w:ascii="Times New Roman" w:hAnsi="Times New Roman" w:eastAsia="仿宋"/>
                <w:sz w:val="24"/>
                <w:szCs w:val="24"/>
                <w:highlight w:val="none"/>
                <w:lang w:val="en-US" w:eastAsia="zh-CN"/>
              </w:rPr>
              <w:t>分项名称</w:t>
            </w:r>
          </w:p>
        </w:tc>
        <w:tc>
          <w:tcPr>
            <w:tcW w:w="2048" w:type="dxa"/>
            <w:tcBorders>
              <w:top w:val="single" w:color="auto" w:sz="4" w:space="0"/>
              <w:left w:val="single" w:color="auto" w:sz="4" w:space="0"/>
              <w:bottom w:val="single" w:color="auto" w:sz="4" w:space="0"/>
              <w:right w:val="single" w:color="auto" w:sz="4" w:space="0"/>
            </w:tcBorders>
            <w:noWrap w:val="0"/>
            <w:vAlign w:val="center"/>
          </w:tcPr>
          <w:p w14:paraId="71F87C63">
            <w:pPr>
              <w:pStyle w:val="323"/>
              <w:adjustRightInd w:val="0"/>
              <w:snapToGrid w:val="0"/>
              <w:spacing w:line="360" w:lineRule="auto"/>
              <w:jc w:val="center"/>
              <w:rPr>
                <w:rFonts w:ascii="Times New Roman" w:hAnsi="Times New Roman" w:eastAsia="仿宋"/>
                <w:sz w:val="24"/>
                <w:szCs w:val="24"/>
                <w:highlight w:val="none"/>
                <w:lang w:val="en-US" w:eastAsia="zh-CN"/>
              </w:rPr>
            </w:pPr>
            <w:r>
              <w:rPr>
                <w:rFonts w:ascii="Times New Roman" w:hAnsi="Times New Roman" w:eastAsia="仿宋"/>
                <w:sz w:val="24"/>
                <w:szCs w:val="24"/>
                <w:highlight w:val="none"/>
                <w:lang w:val="en-US" w:eastAsia="zh-CN"/>
              </w:rPr>
              <w:t>规格型号</w:t>
            </w:r>
          </w:p>
        </w:tc>
        <w:tc>
          <w:tcPr>
            <w:tcW w:w="2048" w:type="dxa"/>
            <w:tcBorders>
              <w:top w:val="single" w:color="auto" w:sz="4" w:space="0"/>
              <w:left w:val="single" w:color="auto" w:sz="4" w:space="0"/>
              <w:bottom w:val="single" w:color="auto" w:sz="4" w:space="0"/>
              <w:right w:val="single" w:color="auto" w:sz="4" w:space="0"/>
            </w:tcBorders>
            <w:noWrap w:val="0"/>
            <w:vAlign w:val="top"/>
          </w:tcPr>
          <w:p w14:paraId="474E612C">
            <w:pPr>
              <w:pStyle w:val="323"/>
              <w:adjustRightInd w:val="0"/>
              <w:snapToGrid w:val="0"/>
              <w:spacing w:line="360" w:lineRule="auto"/>
              <w:jc w:val="center"/>
              <w:rPr>
                <w:rFonts w:ascii="Times New Roman" w:hAnsi="Times New Roman" w:eastAsia="仿宋"/>
                <w:sz w:val="24"/>
                <w:szCs w:val="24"/>
                <w:highlight w:val="none"/>
                <w:lang w:val="en-US" w:eastAsia="zh-CN"/>
              </w:rPr>
            </w:pPr>
            <w:r>
              <w:rPr>
                <w:rFonts w:ascii="Times New Roman" w:hAnsi="Times New Roman" w:eastAsia="仿宋"/>
                <w:sz w:val="24"/>
                <w:szCs w:val="24"/>
                <w:highlight w:val="none"/>
                <w:lang w:val="en-US" w:eastAsia="zh-CN"/>
              </w:rPr>
              <w:t>分项价格</w:t>
            </w:r>
          </w:p>
        </w:tc>
      </w:tr>
      <w:tr w14:paraId="06FD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2080547">
            <w:pPr>
              <w:pStyle w:val="323"/>
              <w:adjustRightInd w:val="0"/>
              <w:snapToGrid w:val="0"/>
              <w:spacing w:line="360" w:lineRule="auto"/>
              <w:jc w:val="center"/>
              <w:rPr>
                <w:rFonts w:ascii="Times New Roman" w:hAnsi="Times New Roman" w:eastAsia="仿宋"/>
                <w:sz w:val="24"/>
                <w:szCs w:val="24"/>
                <w:highlight w:val="none"/>
                <w:lang w:val="en-US" w:eastAsia="zh-CN"/>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AAD758D">
            <w:pPr>
              <w:pStyle w:val="323"/>
              <w:adjustRightInd w:val="0"/>
              <w:snapToGrid w:val="0"/>
              <w:spacing w:line="360" w:lineRule="auto"/>
              <w:jc w:val="center"/>
              <w:rPr>
                <w:rFonts w:ascii="Times New Roman" w:hAnsi="Times New Roman" w:eastAsia="仿宋"/>
                <w:sz w:val="24"/>
                <w:szCs w:val="24"/>
                <w:highlight w:val="none"/>
                <w:lang w:val="en-US" w:eastAsia="zh-CN"/>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14:paraId="0A2CEA67">
            <w:pPr>
              <w:pStyle w:val="323"/>
              <w:adjustRightInd w:val="0"/>
              <w:snapToGrid w:val="0"/>
              <w:spacing w:line="360" w:lineRule="auto"/>
              <w:jc w:val="center"/>
              <w:rPr>
                <w:rFonts w:ascii="Times New Roman" w:hAnsi="Times New Roman" w:eastAsia="仿宋"/>
                <w:sz w:val="24"/>
                <w:szCs w:val="24"/>
                <w:highlight w:val="none"/>
                <w:lang w:val="en-US" w:eastAsia="zh-CN"/>
              </w:rPr>
            </w:pPr>
          </w:p>
        </w:tc>
        <w:tc>
          <w:tcPr>
            <w:tcW w:w="2048" w:type="dxa"/>
            <w:tcBorders>
              <w:top w:val="single" w:color="auto" w:sz="4" w:space="0"/>
              <w:left w:val="single" w:color="auto" w:sz="4" w:space="0"/>
              <w:bottom w:val="single" w:color="auto" w:sz="4" w:space="0"/>
              <w:right w:val="single" w:color="auto" w:sz="4" w:space="0"/>
            </w:tcBorders>
            <w:noWrap w:val="0"/>
            <w:vAlign w:val="top"/>
          </w:tcPr>
          <w:p w14:paraId="2A3918A7">
            <w:pPr>
              <w:pStyle w:val="323"/>
              <w:adjustRightInd w:val="0"/>
              <w:snapToGrid w:val="0"/>
              <w:spacing w:line="360" w:lineRule="auto"/>
              <w:jc w:val="center"/>
              <w:rPr>
                <w:rFonts w:ascii="Times New Roman" w:hAnsi="Times New Roman" w:eastAsia="仿宋"/>
                <w:sz w:val="24"/>
                <w:szCs w:val="24"/>
                <w:highlight w:val="none"/>
                <w:lang w:val="en-US" w:eastAsia="zh-CN"/>
              </w:rPr>
            </w:pPr>
          </w:p>
        </w:tc>
      </w:tr>
      <w:tr w14:paraId="5335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B73D4E1">
            <w:pPr>
              <w:pStyle w:val="323"/>
              <w:adjustRightInd w:val="0"/>
              <w:snapToGrid w:val="0"/>
              <w:spacing w:line="360" w:lineRule="auto"/>
              <w:jc w:val="center"/>
              <w:rPr>
                <w:rFonts w:ascii="Times New Roman" w:hAnsi="Times New Roman" w:eastAsia="仿宋"/>
                <w:sz w:val="24"/>
                <w:szCs w:val="24"/>
                <w:highlight w:val="none"/>
                <w:lang w:val="en-US" w:eastAsia="zh-CN"/>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BEFD75A">
            <w:pPr>
              <w:pStyle w:val="323"/>
              <w:adjustRightInd w:val="0"/>
              <w:snapToGrid w:val="0"/>
              <w:spacing w:line="360" w:lineRule="auto"/>
              <w:jc w:val="center"/>
              <w:rPr>
                <w:rFonts w:ascii="Times New Roman" w:hAnsi="Times New Roman" w:eastAsia="仿宋"/>
                <w:sz w:val="24"/>
                <w:szCs w:val="24"/>
                <w:highlight w:val="none"/>
                <w:lang w:val="en-US" w:eastAsia="zh-CN"/>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14:paraId="47961504">
            <w:pPr>
              <w:pStyle w:val="323"/>
              <w:adjustRightInd w:val="0"/>
              <w:snapToGrid w:val="0"/>
              <w:spacing w:line="360" w:lineRule="auto"/>
              <w:jc w:val="center"/>
              <w:rPr>
                <w:rFonts w:ascii="Times New Roman" w:hAnsi="Times New Roman" w:eastAsia="仿宋"/>
                <w:sz w:val="24"/>
                <w:szCs w:val="24"/>
                <w:highlight w:val="none"/>
                <w:lang w:val="en-US" w:eastAsia="zh-CN"/>
              </w:rPr>
            </w:pPr>
          </w:p>
        </w:tc>
        <w:tc>
          <w:tcPr>
            <w:tcW w:w="2048" w:type="dxa"/>
            <w:tcBorders>
              <w:top w:val="single" w:color="auto" w:sz="4" w:space="0"/>
              <w:left w:val="single" w:color="auto" w:sz="4" w:space="0"/>
              <w:bottom w:val="single" w:color="auto" w:sz="4" w:space="0"/>
              <w:right w:val="single" w:color="auto" w:sz="4" w:space="0"/>
            </w:tcBorders>
            <w:noWrap w:val="0"/>
            <w:vAlign w:val="top"/>
          </w:tcPr>
          <w:p w14:paraId="2F51AE59">
            <w:pPr>
              <w:pStyle w:val="323"/>
              <w:adjustRightInd w:val="0"/>
              <w:snapToGrid w:val="0"/>
              <w:spacing w:line="360" w:lineRule="auto"/>
              <w:jc w:val="center"/>
              <w:rPr>
                <w:rFonts w:ascii="Times New Roman" w:hAnsi="Times New Roman" w:eastAsia="仿宋"/>
                <w:sz w:val="24"/>
                <w:szCs w:val="24"/>
                <w:highlight w:val="none"/>
                <w:lang w:val="en-US" w:eastAsia="zh-CN"/>
              </w:rPr>
            </w:pPr>
          </w:p>
        </w:tc>
      </w:tr>
      <w:tr w14:paraId="6ED2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45F38B9">
            <w:pPr>
              <w:pStyle w:val="323"/>
              <w:adjustRightInd w:val="0"/>
              <w:snapToGrid w:val="0"/>
              <w:spacing w:line="360" w:lineRule="auto"/>
              <w:jc w:val="center"/>
              <w:rPr>
                <w:rFonts w:ascii="Times New Roman" w:hAnsi="Times New Roman" w:eastAsia="仿宋"/>
                <w:sz w:val="24"/>
                <w:szCs w:val="24"/>
                <w:highlight w:val="none"/>
                <w:lang w:val="en-US" w:eastAsia="zh-CN"/>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DDE5BF8">
            <w:pPr>
              <w:pStyle w:val="323"/>
              <w:adjustRightInd w:val="0"/>
              <w:snapToGrid w:val="0"/>
              <w:spacing w:line="360" w:lineRule="auto"/>
              <w:jc w:val="center"/>
              <w:rPr>
                <w:rFonts w:ascii="Times New Roman" w:hAnsi="Times New Roman" w:eastAsia="仿宋"/>
                <w:sz w:val="24"/>
                <w:szCs w:val="24"/>
                <w:highlight w:val="none"/>
                <w:lang w:val="en-US" w:eastAsia="zh-CN"/>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14:paraId="48CEEE69">
            <w:pPr>
              <w:pStyle w:val="323"/>
              <w:adjustRightInd w:val="0"/>
              <w:snapToGrid w:val="0"/>
              <w:spacing w:line="360" w:lineRule="auto"/>
              <w:jc w:val="center"/>
              <w:rPr>
                <w:rFonts w:ascii="Times New Roman" w:hAnsi="Times New Roman" w:eastAsia="仿宋"/>
                <w:sz w:val="24"/>
                <w:szCs w:val="24"/>
                <w:highlight w:val="none"/>
                <w:lang w:val="en-US" w:eastAsia="zh-CN"/>
              </w:rPr>
            </w:pPr>
          </w:p>
        </w:tc>
        <w:tc>
          <w:tcPr>
            <w:tcW w:w="2048" w:type="dxa"/>
            <w:tcBorders>
              <w:top w:val="single" w:color="auto" w:sz="4" w:space="0"/>
              <w:left w:val="single" w:color="auto" w:sz="4" w:space="0"/>
              <w:bottom w:val="single" w:color="auto" w:sz="4" w:space="0"/>
              <w:right w:val="single" w:color="auto" w:sz="4" w:space="0"/>
            </w:tcBorders>
            <w:noWrap w:val="0"/>
            <w:vAlign w:val="top"/>
          </w:tcPr>
          <w:p w14:paraId="0CE0E9F8">
            <w:pPr>
              <w:pStyle w:val="323"/>
              <w:adjustRightInd w:val="0"/>
              <w:snapToGrid w:val="0"/>
              <w:spacing w:line="360" w:lineRule="auto"/>
              <w:jc w:val="center"/>
              <w:rPr>
                <w:rFonts w:ascii="Times New Roman" w:hAnsi="Times New Roman" w:eastAsia="仿宋"/>
                <w:sz w:val="24"/>
                <w:szCs w:val="24"/>
                <w:highlight w:val="none"/>
                <w:lang w:val="en-US" w:eastAsia="zh-CN"/>
              </w:rPr>
            </w:pPr>
          </w:p>
        </w:tc>
      </w:tr>
      <w:tr w14:paraId="7414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5CDCDCA">
            <w:pPr>
              <w:pStyle w:val="323"/>
              <w:adjustRightInd w:val="0"/>
              <w:snapToGrid w:val="0"/>
              <w:spacing w:line="360" w:lineRule="auto"/>
              <w:jc w:val="center"/>
              <w:rPr>
                <w:rFonts w:ascii="Times New Roman" w:hAnsi="Times New Roman" w:eastAsia="仿宋"/>
                <w:sz w:val="24"/>
                <w:szCs w:val="24"/>
                <w:highlight w:val="none"/>
                <w:lang w:val="en-US" w:eastAsia="zh-CN"/>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3E6D691">
            <w:pPr>
              <w:pStyle w:val="323"/>
              <w:adjustRightInd w:val="0"/>
              <w:snapToGrid w:val="0"/>
              <w:spacing w:line="360" w:lineRule="auto"/>
              <w:jc w:val="center"/>
              <w:rPr>
                <w:rFonts w:ascii="Times New Roman" w:hAnsi="Times New Roman" w:eastAsia="仿宋"/>
                <w:sz w:val="24"/>
                <w:szCs w:val="24"/>
                <w:highlight w:val="none"/>
                <w:lang w:val="en-US" w:eastAsia="zh-CN"/>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14:paraId="43594DC9">
            <w:pPr>
              <w:pStyle w:val="323"/>
              <w:adjustRightInd w:val="0"/>
              <w:snapToGrid w:val="0"/>
              <w:spacing w:line="360" w:lineRule="auto"/>
              <w:jc w:val="center"/>
              <w:rPr>
                <w:rFonts w:ascii="Times New Roman" w:hAnsi="Times New Roman" w:eastAsia="仿宋"/>
                <w:sz w:val="24"/>
                <w:szCs w:val="24"/>
                <w:highlight w:val="none"/>
                <w:lang w:val="en-US" w:eastAsia="zh-CN"/>
              </w:rPr>
            </w:pPr>
          </w:p>
        </w:tc>
        <w:tc>
          <w:tcPr>
            <w:tcW w:w="2048" w:type="dxa"/>
            <w:tcBorders>
              <w:top w:val="single" w:color="auto" w:sz="4" w:space="0"/>
              <w:left w:val="single" w:color="auto" w:sz="4" w:space="0"/>
              <w:bottom w:val="single" w:color="auto" w:sz="4" w:space="0"/>
              <w:right w:val="single" w:color="auto" w:sz="4" w:space="0"/>
            </w:tcBorders>
            <w:noWrap w:val="0"/>
            <w:vAlign w:val="top"/>
          </w:tcPr>
          <w:p w14:paraId="1BF40985">
            <w:pPr>
              <w:pStyle w:val="323"/>
              <w:adjustRightInd w:val="0"/>
              <w:snapToGrid w:val="0"/>
              <w:spacing w:line="360" w:lineRule="auto"/>
              <w:jc w:val="center"/>
              <w:rPr>
                <w:rFonts w:ascii="Times New Roman" w:hAnsi="Times New Roman" w:eastAsia="仿宋"/>
                <w:sz w:val="24"/>
                <w:szCs w:val="24"/>
                <w:highlight w:val="none"/>
                <w:lang w:val="en-US" w:eastAsia="zh-CN"/>
              </w:rPr>
            </w:pPr>
          </w:p>
        </w:tc>
      </w:tr>
      <w:tr w14:paraId="556B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13F5FAC9">
            <w:pPr>
              <w:pStyle w:val="323"/>
              <w:adjustRightInd w:val="0"/>
              <w:snapToGrid w:val="0"/>
              <w:spacing w:line="360" w:lineRule="auto"/>
              <w:jc w:val="center"/>
              <w:rPr>
                <w:rFonts w:ascii="Times New Roman" w:hAnsi="Times New Roman" w:eastAsia="仿宋"/>
                <w:sz w:val="24"/>
                <w:szCs w:val="24"/>
                <w:highlight w:val="none"/>
                <w:lang w:val="en-US" w:eastAsia="zh-CN"/>
              </w:rPr>
            </w:pPr>
            <w:r>
              <w:rPr>
                <w:rFonts w:ascii="Times New Roman" w:hAnsi="Times New Roman" w:eastAsia="仿宋"/>
                <w:sz w:val="24"/>
                <w:szCs w:val="24"/>
                <w:highlight w:val="none"/>
                <w:lang w:val="en-US" w:eastAsia="zh-CN"/>
              </w:rPr>
              <w:t>总价</w:t>
            </w:r>
          </w:p>
        </w:tc>
        <w:tc>
          <w:tcPr>
            <w:tcW w:w="2048" w:type="dxa"/>
            <w:tcBorders>
              <w:top w:val="single" w:color="auto" w:sz="4" w:space="0"/>
              <w:left w:val="single" w:color="auto" w:sz="4" w:space="0"/>
              <w:bottom w:val="single" w:color="auto" w:sz="4" w:space="0"/>
              <w:right w:val="single" w:color="auto" w:sz="4" w:space="0"/>
            </w:tcBorders>
            <w:noWrap w:val="0"/>
            <w:vAlign w:val="center"/>
          </w:tcPr>
          <w:p w14:paraId="51A30B1C">
            <w:pPr>
              <w:pStyle w:val="323"/>
              <w:adjustRightInd w:val="0"/>
              <w:snapToGrid w:val="0"/>
              <w:spacing w:line="360" w:lineRule="auto"/>
              <w:jc w:val="center"/>
              <w:rPr>
                <w:rFonts w:ascii="Times New Roman" w:hAnsi="Times New Roman" w:eastAsia="仿宋"/>
                <w:sz w:val="24"/>
                <w:szCs w:val="24"/>
                <w:highlight w:val="none"/>
                <w:lang w:val="en-US" w:eastAsia="zh-CN"/>
              </w:rPr>
            </w:pPr>
          </w:p>
        </w:tc>
        <w:tc>
          <w:tcPr>
            <w:tcW w:w="2048" w:type="dxa"/>
            <w:tcBorders>
              <w:top w:val="single" w:color="auto" w:sz="4" w:space="0"/>
              <w:left w:val="single" w:color="auto" w:sz="4" w:space="0"/>
              <w:bottom w:val="single" w:color="auto" w:sz="4" w:space="0"/>
              <w:right w:val="single" w:color="auto" w:sz="4" w:space="0"/>
            </w:tcBorders>
            <w:noWrap w:val="0"/>
            <w:vAlign w:val="top"/>
          </w:tcPr>
          <w:p w14:paraId="6C39A111">
            <w:pPr>
              <w:pStyle w:val="323"/>
              <w:adjustRightInd w:val="0"/>
              <w:snapToGrid w:val="0"/>
              <w:spacing w:line="360" w:lineRule="auto"/>
              <w:jc w:val="center"/>
              <w:rPr>
                <w:rFonts w:ascii="Times New Roman" w:hAnsi="Times New Roman" w:eastAsia="仿宋"/>
                <w:sz w:val="24"/>
                <w:szCs w:val="24"/>
                <w:highlight w:val="none"/>
                <w:lang w:val="en-US" w:eastAsia="zh-CN"/>
              </w:rPr>
            </w:pPr>
          </w:p>
        </w:tc>
      </w:tr>
    </w:tbl>
    <w:p w14:paraId="24A7EBCD">
      <w:pPr>
        <w:pStyle w:val="16"/>
        <w:rPr>
          <w:rFonts w:hint="eastAsia"/>
          <w:b/>
          <w:highlight w:val="none"/>
          <w:lang w:val="en-US" w:eastAsia="zh-CN"/>
        </w:rPr>
      </w:pPr>
      <w:r>
        <w:rPr>
          <w:b/>
          <w:highlight w:val="none"/>
        </w:rPr>
        <w:t>1.4 付款方式、时间和条件</w:t>
      </w:r>
      <w:r>
        <w:rPr>
          <w:rFonts w:hint="eastAsia"/>
          <w:b/>
          <w:highlight w:val="none"/>
          <w:lang w:eastAsia="zh-CN"/>
        </w:rPr>
        <w:t>，选择以下付款方式</w:t>
      </w:r>
      <w:r>
        <w:rPr>
          <w:sz w:val="24"/>
          <w:szCs w:val="24"/>
          <w:highlight w:val="none"/>
          <w:u w:val="single"/>
        </w:rPr>
        <w:t xml:space="preserve">  </w:t>
      </w:r>
      <w:r>
        <w:rPr>
          <w:rFonts w:hint="eastAsia"/>
          <w:sz w:val="24"/>
          <w:szCs w:val="24"/>
          <w:highlight w:val="none"/>
          <w:u w:val="single"/>
          <w:lang w:val="en-US" w:eastAsia="zh-CN"/>
        </w:rPr>
        <w:t xml:space="preserve">    </w:t>
      </w:r>
      <w:r>
        <w:rPr>
          <w:rFonts w:hint="eastAsia"/>
          <w:b/>
          <w:highlight w:val="none"/>
          <w:lang w:val="en-US" w:eastAsia="zh-CN"/>
        </w:rPr>
        <w:t xml:space="preserve">进行付款。  </w:t>
      </w:r>
    </w:p>
    <w:p w14:paraId="39F11791">
      <w:pPr>
        <w:pStyle w:val="16"/>
        <w:rPr>
          <w:rFonts w:hint="eastAsia" w:ascii="仿宋" w:hAnsi="仿宋" w:eastAsia="宋体" w:cs="仿宋"/>
          <w:kern w:val="0"/>
          <w:sz w:val="24"/>
          <w:szCs w:val="24"/>
          <w:highlight w:val="none"/>
          <w:lang w:val="en-US" w:eastAsia="zh-CN" w:bidi="ar-SA"/>
        </w:rPr>
      </w:pPr>
      <w:r>
        <w:rPr>
          <w:rFonts w:hint="eastAsia" w:ascii="仿宋" w:hAnsi="仿宋" w:eastAsia="宋体" w:cs="仿宋"/>
          <w:kern w:val="0"/>
          <w:sz w:val="24"/>
          <w:szCs w:val="24"/>
          <w:highlight w:val="none"/>
          <w:lang w:val="en-US" w:eastAsia="zh-CN" w:bidi="ar-SA"/>
        </w:rPr>
        <w:t>1.4.1付款方式一：</w:t>
      </w:r>
      <w:r>
        <w:rPr>
          <w:rFonts w:hint="eastAsia" w:ascii="仿宋" w:hAnsi="仿宋" w:cs="仿宋"/>
          <w:kern w:val="0"/>
          <w:sz w:val="24"/>
          <w:szCs w:val="24"/>
          <w:highlight w:val="none"/>
          <w:lang w:val="en-US" w:eastAsia="zh-CN" w:bidi="ar-SA"/>
        </w:rPr>
        <w:t>车辆</w:t>
      </w:r>
      <w:r>
        <w:rPr>
          <w:rFonts w:hint="eastAsia" w:ascii="仿宋" w:hAnsi="仿宋" w:eastAsia="宋体" w:cs="仿宋"/>
          <w:kern w:val="0"/>
          <w:sz w:val="24"/>
          <w:szCs w:val="24"/>
          <w:highlight w:val="none"/>
          <w:lang w:val="en-US" w:eastAsia="zh-CN" w:bidi="ar-SA"/>
        </w:rPr>
        <w:t>到货</w:t>
      </w:r>
      <w:r>
        <w:rPr>
          <w:rFonts w:hint="eastAsia" w:ascii="仿宋" w:hAnsi="仿宋" w:cs="仿宋"/>
          <w:kern w:val="0"/>
          <w:sz w:val="24"/>
          <w:szCs w:val="24"/>
          <w:highlight w:val="none"/>
          <w:lang w:val="en-US" w:eastAsia="zh-CN" w:bidi="ar-SA"/>
        </w:rPr>
        <w:t>上牌、相关配套设备</w:t>
      </w:r>
      <w:r>
        <w:rPr>
          <w:rFonts w:hint="eastAsia" w:ascii="仿宋" w:hAnsi="仿宋" w:eastAsia="宋体" w:cs="仿宋"/>
          <w:kern w:val="0"/>
          <w:sz w:val="24"/>
          <w:szCs w:val="24"/>
          <w:highlight w:val="none"/>
          <w:lang w:val="en-US" w:eastAsia="zh-CN" w:bidi="ar-SA"/>
        </w:rPr>
        <w:t>安装调试完成</w:t>
      </w:r>
      <w:r>
        <w:rPr>
          <w:rFonts w:hint="eastAsia" w:ascii="仿宋" w:hAnsi="仿宋" w:cs="仿宋"/>
          <w:kern w:val="0"/>
          <w:sz w:val="24"/>
          <w:szCs w:val="24"/>
          <w:highlight w:val="none"/>
          <w:lang w:val="en-US" w:eastAsia="zh-CN" w:bidi="ar-SA"/>
        </w:rPr>
        <w:t>经</w:t>
      </w:r>
      <w:r>
        <w:rPr>
          <w:rFonts w:hint="eastAsia" w:ascii="仿宋" w:hAnsi="仿宋" w:eastAsia="宋体" w:cs="仿宋"/>
          <w:kern w:val="0"/>
          <w:sz w:val="24"/>
          <w:szCs w:val="24"/>
          <w:highlight w:val="none"/>
          <w:lang w:val="en-US" w:eastAsia="zh-CN" w:bidi="ar-SA"/>
        </w:rPr>
        <w:t>验收合格</w:t>
      </w:r>
      <w:r>
        <w:rPr>
          <w:rFonts w:hint="eastAsia" w:ascii="仿宋" w:hAnsi="仿宋" w:cs="仿宋"/>
          <w:kern w:val="0"/>
          <w:sz w:val="24"/>
          <w:szCs w:val="24"/>
          <w:highlight w:val="none"/>
          <w:lang w:val="en-US" w:eastAsia="zh-CN" w:bidi="ar-SA"/>
        </w:rPr>
        <w:t>后，</w:t>
      </w:r>
      <w:r>
        <w:rPr>
          <w:rFonts w:hint="eastAsia" w:ascii="仿宋" w:hAnsi="仿宋" w:eastAsia="宋体" w:cs="仿宋"/>
          <w:kern w:val="0"/>
          <w:sz w:val="24"/>
          <w:szCs w:val="24"/>
          <w:highlight w:val="none"/>
          <w:lang w:val="en-US" w:eastAsia="zh-CN" w:bidi="ar-SA"/>
        </w:rPr>
        <w:t>在收到乙方</w:t>
      </w:r>
      <w:r>
        <w:rPr>
          <w:rFonts w:hint="eastAsia" w:ascii="仿宋" w:hAnsi="仿宋" w:cs="仿宋"/>
          <w:sz w:val="24"/>
          <w:szCs w:val="24"/>
          <w:highlight w:val="none"/>
        </w:rPr>
        <w:t>全额、有效的增值税专用发票</w:t>
      </w:r>
      <w:r>
        <w:rPr>
          <w:rFonts w:hint="eastAsia" w:ascii="仿宋" w:hAnsi="仿宋" w:eastAsia="宋体" w:cs="仿宋"/>
          <w:kern w:val="0"/>
          <w:sz w:val="24"/>
          <w:szCs w:val="24"/>
          <w:highlight w:val="none"/>
          <w:lang w:val="en-US" w:eastAsia="zh-CN" w:bidi="ar-SA"/>
        </w:rPr>
        <w:t>后在7个工作日内支付合同总额的100%。</w:t>
      </w:r>
    </w:p>
    <w:p w14:paraId="78B21907">
      <w:pPr>
        <w:pStyle w:val="961"/>
        <w:keepNext w:val="0"/>
        <w:keepLines w:val="0"/>
        <w:pageBreakBefore w:val="0"/>
        <w:kinsoku/>
        <w:wordWrap/>
        <w:overflowPunct/>
        <w:topLinePunct w:val="0"/>
        <w:autoSpaceDE/>
        <w:autoSpaceDN/>
        <w:bidi w:val="0"/>
        <w:snapToGrid/>
        <w:spacing w:before="0" w:beforeAutospacing="0" w:after="0" w:afterAutospacing="0" w:line="500" w:lineRule="exact"/>
        <w:ind w:firstLine="480"/>
        <w:textAlignment w:val="auto"/>
        <w:rPr>
          <w:rFonts w:hint="eastAsia" w:ascii="仿宋" w:hAnsi="仿宋" w:cs="仿宋"/>
          <w:sz w:val="24"/>
          <w:szCs w:val="24"/>
          <w:highlight w:val="none"/>
        </w:rPr>
      </w:pPr>
      <w:r>
        <w:rPr>
          <w:rFonts w:hint="eastAsia" w:ascii="仿宋" w:hAnsi="仿宋" w:cs="仿宋"/>
          <w:sz w:val="24"/>
          <w:szCs w:val="24"/>
          <w:highlight w:val="none"/>
        </w:rPr>
        <w:t>1.4.</w:t>
      </w:r>
      <w:r>
        <w:rPr>
          <w:rFonts w:hint="eastAsia" w:ascii="仿宋" w:hAnsi="仿宋" w:cs="仿宋"/>
          <w:sz w:val="24"/>
          <w:szCs w:val="24"/>
          <w:highlight w:val="none"/>
          <w:lang w:val="en-US" w:eastAsia="zh-CN"/>
        </w:rPr>
        <w:t>2付款方式二：</w:t>
      </w:r>
      <w:r>
        <w:rPr>
          <w:rFonts w:hint="eastAsia" w:ascii="仿宋" w:hAnsi="仿宋" w:cs="仿宋"/>
          <w:sz w:val="24"/>
          <w:szCs w:val="24"/>
          <w:highlight w:val="none"/>
        </w:rPr>
        <w:t>合同签订生效以及具备实施条件后7个工作日内，甲方向乙方支付合同价的40%预付款；</w:t>
      </w:r>
      <w:r>
        <w:rPr>
          <w:rFonts w:hint="eastAsia" w:ascii="仿宋" w:hAnsi="仿宋" w:cs="仿宋"/>
          <w:kern w:val="0"/>
          <w:sz w:val="24"/>
          <w:szCs w:val="24"/>
          <w:highlight w:val="none"/>
          <w:lang w:val="en-US" w:eastAsia="zh-CN" w:bidi="ar-SA"/>
        </w:rPr>
        <w:t>车辆</w:t>
      </w:r>
      <w:r>
        <w:rPr>
          <w:rFonts w:hint="eastAsia" w:ascii="仿宋" w:hAnsi="仿宋" w:eastAsia="宋体" w:cs="仿宋"/>
          <w:kern w:val="0"/>
          <w:sz w:val="24"/>
          <w:szCs w:val="24"/>
          <w:highlight w:val="none"/>
          <w:lang w:val="en-US" w:eastAsia="zh-CN" w:bidi="ar-SA"/>
        </w:rPr>
        <w:t>到货</w:t>
      </w:r>
      <w:r>
        <w:rPr>
          <w:rFonts w:hint="eastAsia" w:ascii="仿宋" w:hAnsi="仿宋" w:cs="仿宋"/>
          <w:kern w:val="0"/>
          <w:sz w:val="24"/>
          <w:szCs w:val="24"/>
          <w:highlight w:val="none"/>
          <w:lang w:val="en-US" w:eastAsia="zh-CN" w:bidi="ar-SA"/>
        </w:rPr>
        <w:t>上牌、相关配套设备</w:t>
      </w:r>
      <w:r>
        <w:rPr>
          <w:rFonts w:hint="eastAsia" w:ascii="仿宋" w:hAnsi="仿宋" w:eastAsia="宋体" w:cs="仿宋"/>
          <w:kern w:val="0"/>
          <w:sz w:val="24"/>
          <w:szCs w:val="24"/>
          <w:highlight w:val="none"/>
          <w:lang w:val="en-US" w:eastAsia="zh-CN" w:bidi="ar-SA"/>
        </w:rPr>
        <w:t>安装调试完成</w:t>
      </w:r>
      <w:r>
        <w:rPr>
          <w:rFonts w:hint="eastAsia" w:ascii="仿宋" w:hAnsi="仿宋" w:cs="仿宋"/>
          <w:sz w:val="24"/>
          <w:szCs w:val="24"/>
          <w:highlight w:val="none"/>
        </w:rPr>
        <w:t>后</w:t>
      </w:r>
      <w:r>
        <w:rPr>
          <w:rFonts w:hint="eastAsia" w:ascii="仿宋" w:hAnsi="仿宋" w:cs="仿宋"/>
          <w:sz w:val="24"/>
          <w:szCs w:val="24"/>
          <w:highlight w:val="none"/>
          <w:lang w:eastAsia="zh-CN"/>
        </w:rPr>
        <w:t>，在</w:t>
      </w:r>
      <w:r>
        <w:rPr>
          <w:rFonts w:hint="eastAsia" w:ascii="仿宋" w:hAnsi="仿宋" w:cs="仿宋"/>
          <w:sz w:val="24"/>
          <w:szCs w:val="24"/>
          <w:highlight w:val="none"/>
        </w:rPr>
        <w:t>收到全额、有效的增值税专用发票后7个工作日内，支付到合同额100%。</w:t>
      </w:r>
    </w:p>
    <w:p w14:paraId="50A21ED9">
      <w:pPr>
        <w:pStyle w:val="961"/>
        <w:keepNext w:val="0"/>
        <w:keepLines w:val="0"/>
        <w:pageBreakBefore w:val="0"/>
        <w:kinsoku/>
        <w:wordWrap/>
        <w:overflowPunct/>
        <w:topLinePunct w:val="0"/>
        <w:autoSpaceDE/>
        <w:autoSpaceDN/>
        <w:bidi w:val="0"/>
        <w:snapToGrid/>
        <w:spacing w:before="0" w:beforeAutospacing="0" w:after="0" w:afterAutospacing="0" w:line="500" w:lineRule="exact"/>
        <w:ind w:firstLine="480"/>
        <w:textAlignment w:val="auto"/>
        <w:rPr>
          <w:rFonts w:hint="eastAsia" w:ascii="仿宋" w:hAnsi="仿宋" w:cs="仿宋"/>
          <w:b/>
          <w:bCs/>
          <w:sz w:val="24"/>
          <w:szCs w:val="24"/>
          <w:highlight w:val="none"/>
        </w:rPr>
      </w:pPr>
      <w:r>
        <w:rPr>
          <w:rFonts w:hint="eastAsia" w:ascii="仿宋" w:hAnsi="仿宋" w:cs="仿宋"/>
          <w:b/>
          <w:bCs/>
          <w:sz w:val="24"/>
          <w:szCs w:val="24"/>
          <w:highlight w:val="none"/>
        </w:rPr>
        <w:t>注：在签订合同时，供应商明确表示无需预付款或者主动要求降低预付款比例的，双方可另行协商确定付款方式。</w:t>
      </w:r>
    </w:p>
    <w:p w14:paraId="21B7EE53">
      <w:pPr>
        <w:keepNext w:val="0"/>
        <w:keepLines w:val="0"/>
        <w:pageBreakBefore w:val="0"/>
        <w:kinsoku/>
        <w:wordWrap/>
        <w:overflowPunct/>
        <w:topLinePunct w:val="0"/>
        <w:autoSpaceDE/>
        <w:autoSpaceDN/>
        <w:bidi w:val="0"/>
        <w:snapToGrid/>
        <w:spacing w:line="500" w:lineRule="exact"/>
        <w:ind w:firstLine="480" w:firstLineChars="200"/>
        <w:textAlignment w:val="auto"/>
        <w:rPr>
          <w:sz w:val="24"/>
          <w:szCs w:val="24"/>
          <w:highlight w:val="none"/>
        </w:rPr>
      </w:pPr>
      <w:r>
        <w:rPr>
          <w:sz w:val="24"/>
          <w:szCs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1587A3BF">
      <w:pPr>
        <w:keepNext w:val="0"/>
        <w:keepLines w:val="0"/>
        <w:pageBreakBefore w:val="0"/>
        <w:kinsoku/>
        <w:wordWrap/>
        <w:overflowPunct/>
        <w:topLinePunct w:val="0"/>
        <w:autoSpaceDE/>
        <w:autoSpaceDN/>
        <w:bidi w:val="0"/>
        <w:snapToGrid/>
        <w:spacing w:line="500" w:lineRule="exact"/>
        <w:ind w:firstLine="480" w:firstLineChars="200"/>
        <w:textAlignment w:val="auto"/>
        <w:outlineLvl w:val="0"/>
        <w:rPr>
          <w:sz w:val="24"/>
          <w:szCs w:val="24"/>
          <w:highlight w:val="none"/>
        </w:rPr>
      </w:pPr>
      <w:r>
        <w:rPr>
          <w:sz w:val="24"/>
          <w:szCs w:val="24"/>
          <w:highlight w:val="none"/>
        </w:rPr>
        <w:t>1.4.4资金支付的方式、时间和条件详见</w:t>
      </w:r>
      <w:r>
        <w:rPr>
          <w:b/>
          <w:i/>
          <w:sz w:val="24"/>
          <w:szCs w:val="24"/>
          <w:highlight w:val="none"/>
          <w:u w:val="single"/>
        </w:rPr>
        <w:t>合同专用条款</w:t>
      </w:r>
      <w:r>
        <w:rPr>
          <w:sz w:val="24"/>
          <w:szCs w:val="24"/>
          <w:highlight w:val="none"/>
        </w:rPr>
        <w:t>。</w:t>
      </w:r>
    </w:p>
    <w:p w14:paraId="15F4CACC">
      <w:pPr>
        <w:keepNext w:val="0"/>
        <w:keepLines w:val="0"/>
        <w:pageBreakBefore w:val="0"/>
        <w:kinsoku/>
        <w:wordWrap/>
        <w:overflowPunct/>
        <w:topLinePunct w:val="0"/>
        <w:autoSpaceDE/>
        <w:autoSpaceDN/>
        <w:bidi w:val="0"/>
        <w:snapToGrid/>
        <w:spacing w:line="500" w:lineRule="exact"/>
        <w:ind w:firstLine="482" w:firstLineChars="200"/>
        <w:textAlignment w:val="auto"/>
        <w:outlineLvl w:val="0"/>
        <w:rPr>
          <w:b/>
          <w:sz w:val="24"/>
          <w:szCs w:val="24"/>
          <w:highlight w:val="none"/>
        </w:rPr>
      </w:pPr>
      <w:bookmarkStart w:id="421" w:name="_Toc2846"/>
      <w:bookmarkStart w:id="422" w:name="_Toc32071"/>
      <w:bookmarkStart w:id="423" w:name="_Toc19304"/>
      <w:r>
        <w:rPr>
          <w:b/>
          <w:sz w:val="24"/>
          <w:szCs w:val="24"/>
          <w:highlight w:val="none"/>
        </w:rPr>
        <w:t>1.5 货物交付期限、地点</w:t>
      </w:r>
      <w:r>
        <w:rPr>
          <w:rFonts w:hint="eastAsia"/>
          <w:b/>
          <w:sz w:val="24"/>
          <w:szCs w:val="24"/>
          <w:highlight w:val="none"/>
          <w:lang w:eastAsia="zh-CN"/>
        </w:rPr>
        <w:t>、</w:t>
      </w:r>
      <w:r>
        <w:rPr>
          <w:b/>
          <w:sz w:val="24"/>
          <w:szCs w:val="24"/>
          <w:highlight w:val="none"/>
        </w:rPr>
        <w:t>方式</w:t>
      </w:r>
      <w:bookmarkEnd w:id="421"/>
      <w:bookmarkEnd w:id="422"/>
      <w:bookmarkEnd w:id="423"/>
      <w:r>
        <w:rPr>
          <w:rFonts w:hint="eastAsia"/>
          <w:b/>
          <w:sz w:val="24"/>
          <w:szCs w:val="24"/>
          <w:highlight w:val="none"/>
          <w:lang w:eastAsia="zh-CN"/>
        </w:rPr>
        <w:t>及售后服务</w:t>
      </w:r>
    </w:p>
    <w:p w14:paraId="54FC4F3A">
      <w:pPr>
        <w:keepNext w:val="0"/>
        <w:keepLines w:val="0"/>
        <w:pageBreakBefore w:val="0"/>
        <w:kinsoku/>
        <w:wordWrap/>
        <w:overflowPunct/>
        <w:topLinePunct w:val="0"/>
        <w:autoSpaceDE/>
        <w:autoSpaceDN/>
        <w:bidi w:val="0"/>
        <w:snapToGrid/>
        <w:spacing w:line="500" w:lineRule="exact"/>
        <w:ind w:firstLine="480" w:firstLineChars="200"/>
        <w:textAlignment w:val="auto"/>
        <w:rPr>
          <w:sz w:val="24"/>
          <w:szCs w:val="24"/>
          <w:highlight w:val="none"/>
          <w:u w:val="single"/>
        </w:rPr>
      </w:pPr>
      <w:r>
        <w:rPr>
          <w:sz w:val="24"/>
          <w:szCs w:val="24"/>
          <w:highlight w:val="none"/>
        </w:rPr>
        <w:t>1.5.1 交付期限：详见</w:t>
      </w:r>
      <w:r>
        <w:rPr>
          <w:b/>
          <w:i/>
          <w:sz w:val="24"/>
          <w:szCs w:val="24"/>
          <w:highlight w:val="none"/>
          <w:u w:val="single"/>
        </w:rPr>
        <w:t>合同专用条款</w:t>
      </w:r>
      <w:r>
        <w:rPr>
          <w:sz w:val="24"/>
          <w:szCs w:val="24"/>
          <w:highlight w:val="none"/>
        </w:rPr>
        <w:t>；</w:t>
      </w:r>
    </w:p>
    <w:p w14:paraId="0392F500">
      <w:pPr>
        <w:keepNext w:val="0"/>
        <w:keepLines w:val="0"/>
        <w:pageBreakBefore w:val="0"/>
        <w:kinsoku/>
        <w:wordWrap/>
        <w:overflowPunct/>
        <w:topLinePunct w:val="0"/>
        <w:autoSpaceDE/>
        <w:autoSpaceDN/>
        <w:bidi w:val="0"/>
        <w:snapToGrid/>
        <w:spacing w:line="500" w:lineRule="exact"/>
        <w:ind w:firstLine="480" w:firstLineChars="200"/>
        <w:textAlignment w:val="auto"/>
        <w:rPr>
          <w:sz w:val="24"/>
          <w:szCs w:val="24"/>
          <w:highlight w:val="none"/>
        </w:rPr>
      </w:pPr>
      <w:r>
        <w:rPr>
          <w:sz w:val="24"/>
          <w:szCs w:val="24"/>
          <w:highlight w:val="none"/>
        </w:rPr>
        <w:t>1.5.2 交付地点：</w:t>
      </w:r>
      <w:r>
        <w:rPr>
          <w:b/>
          <w:i/>
          <w:sz w:val="24"/>
          <w:szCs w:val="24"/>
          <w:highlight w:val="none"/>
          <w:u w:val="single"/>
        </w:rPr>
        <w:t>合同专用条款</w:t>
      </w:r>
      <w:r>
        <w:rPr>
          <w:sz w:val="24"/>
          <w:szCs w:val="24"/>
          <w:highlight w:val="none"/>
        </w:rPr>
        <w:t>；</w:t>
      </w:r>
    </w:p>
    <w:p w14:paraId="7B7A0DD9">
      <w:pPr>
        <w:keepNext w:val="0"/>
        <w:keepLines w:val="0"/>
        <w:pageBreakBefore w:val="0"/>
        <w:kinsoku/>
        <w:wordWrap/>
        <w:overflowPunct/>
        <w:topLinePunct w:val="0"/>
        <w:autoSpaceDE/>
        <w:autoSpaceDN/>
        <w:bidi w:val="0"/>
        <w:snapToGrid/>
        <w:spacing w:line="500" w:lineRule="exact"/>
        <w:ind w:firstLine="480" w:firstLineChars="200"/>
        <w:textAlignment w:val="auto"/>
        <w:rPr>
          <w:sz w:val="24"/>
          <w:szCs w:val="24"/>
          <w:highlight w:val="none"/>
        </w:rPr>
      </w:pPr>
      <w:r>
        <w:rPr>
          <w:sz w:val="24"/>
          <w:szCs w:val="24"/>
          <w:highlight w:val="none"/>
        </w:rPr>
        <w:t>1.5.3 交付方式：</w:t>
      </w:r>
      <w:r>
        <w:rPr>
          <w:b/>
          <w:i/>
          <w:sz w:val="24"/>
          <w:szCs w:val="24"/>
          <w:highlight w:val="none"/>
          <w:u w:val="single"/>
        </w:rPr>
        <w:t>合同专用条款</w:t>
      </w:r>
      <w:r>
        <w:rPr>
          <w:sz w:val="24"/>
          <w:szCs w:val="24"/>
          <w:highlight w:val="none"/>
        </w:rPr>
        <w:t>。</w:t>
      </w:r>
    </w:p>
    <w:p w14:paraId="28153828">
      <w:pPr>
        <w:pStyle w:val="16"/>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1.5.4售后服务：免费保修</w:t>
      </w:r>
      <w:r>
        <w:rPr>
          <w:sz w:val="24"/>
          <w:szCs w:val="24"/>
          <w:highlight w:val="none"/>
          <w:u w:val="single"/>
        </w:rPr>
        <w:t xml:space="preserve">  </w:t>
      </w:r>
      <w:r>
        <w:rPr>
          <w:rFonts w:hint="eastAsia"/>
          <w:sz w:val="24"/>
          <w:szCs w:val="24"/>
          <w:highlight w:val="none"/>
          <w:u w:val="single"/>
          <w:lang w:val="en-US" w:eastAsia="zh-CN"/>
        </w:rPr>
        <w:t xml:space="preserve">    </w:t>
      </w:r>
      <w:r>
        <w:rPr>
          <w:rFonts w:hint="eastAsia" w:ascii="Times New Roman" w:hAnsi="Times New Roman" w:eastAsia="宋体" w:cs="Times New Roman"/>
          <w:kern w:val="2"/>
          <w:sz w:val="24"/>
          <w:szCs w:val="24"/>
          <w:highlight w:val="none"/>
          <w:lang w:val="en-US" w:eastAsia="zh-CN" w:bidi="ar-SA"/>
        </w:rPr>
        <w:t xml:space="preserve">年。所有在保修期内损坏的配件一概包换，不接受对此配件进行维修。保修期满后：维修服务只收取零配件费、不另外收取人工费及其他额外费用。设备终生维修，软件升级终生免费。 </w:t>
      </w:r>
    </w:p>
    <w:p w14:paraId="1F1A6DB0">
      <w:pPr>
        <w:keepNext w:val="0"/>
        <w:keepLines w:val="0"/>
        <w:pageBreakBefore w:val="0"/>
        <w:kinsoku/>
        <w:wordWrap/>
        <w:overflowPunct/>
        <w:topLinePunct w:val="0"/>
        <w:autoSpaceDE/>
        <w:autoSpaceDN/>
        <w:bidi w:val="0"/>
        <w:snapToGrid/>
        <w:spacing w:line="500" w:lineRule="exact"/>
        <w:ind w:firstLine="482" w:firstLineChars="200"/>
        <w:textAlignment w:val="auto"/>
        <w:outlineLvl w:val="0"/>
        <w:rPr>
          <w:b/>
          <w:sz w:val="24"/>
          <w:szCs w:val="24"/>
          <w:highlight w:val="none"/>
        </w:rPr>
      </w:pPr>
      <w:bookmarkStart w:id="424" w:name="_Toc27250"/>
      <w:bookmarkStart w:id="425" w:name="_Toc19554"/>
      <w:bookmarkStart w:id="426" w:name="_Toc21423"/>
      <w:r>
        <w:rPr>
          <w:b/>
          <w:sz w:val="24"/>
          <w:szCs w:val="24"/>
          <w:highlight w:val="none"/>
        </w:rPr>
        <w:t>1.6 违约责任</w:t>
      </w:r>
      <w:bookmarkEnd w:id="424"/>
      <w:bookmarkEnd w:id="425"/>
      <w:bookmarkEnd w:id="426"/>
    </w:p>
    <w:p w14:paraId="72C910EC">
      <w:pPr>
        <w:keepNext w:val="0"/>
        <w:keepLines w:val="0"/>
        <w:pageBreakBefore w:val="0"/>
        <w:kinsoku/>
        <w:wordWrap/>
        <w:overflowPunct/>
        <w:topLinePunct w:val="0"/>
        <w:autoSpaceDE/>
        <w:autoSpaceDN/>
        <w:bidi w:val="0"/>
        <w:snapToGrid/>
        <w:spacing w:line="500" w:lineRule="exact"/>
        <w:ind w:firstLine="480" w:firstLineChars="200"/>
        <w:textAlignment w:val="auto"/>
        <w:rPr>
          <w:rFonts w:hint="eastAsia" w:ascii="仿宋" w:hAnsi="仿宋" w:cs="仿宋"/>
          <w:sz w:val="24"/>
          <w:szCs w:val="24"/>
          <w:highlight w:val="none"/>
        </w:rPr>
      </w:pPr>
      <w:r>
        <w:rPr>
          <w:rFonts w:hint="eastAsia" w:ascii="仿宋" w:hAnsi="仿宋" w:cs="仿宋"/>
          <w:sz w:val="24"/>
          <w:szCs w:val="24"/>
          <w:highlight w:val="none"/>
        </w:rPr>
        <w:t>1.6.1 除不可抗力外，如果乙方没有按照本合同约定的期限、地点和方式交付货物，那么甲方可要求乙方支付违约金，违约金最高限额为本合同总价的</w:t>
      </w:r>
      <w:r>
        <w:rPr>
          <w:rFonts w:hint="eastAsia" w:ascii="仿宋" w:hAnsi="仿宋" w:cs="仿宋"/>
          <w:sz w:val="24"/>
          <w:szCs w:val="24"/>
          <w:highlight w:val="none"/>
          <w:u w:val="single"/>
        </w:rPr>
        <w:t xml:space="preserve"> 20  </w:t>
      </w:r>
      <w:r>
        <w:rPr>
          <w:rFonts w:hint="eastAsia" w:ascii="仿宋" w:hAnsi="仿宋" w:cs="仿宋"/>
          <w:sz w:val="24"/>
          <w:szCs w:val="24"/>
          <w:highlight w:val="none"/>
        </w:rPr>
        <w:t>%；逾期交货超过10日的，甲方有权书面通知乙方解除本合同；</w:t>
      </w:r>
    </w:p>
    <w:p w14:paraId="13244ED9">
      <w:pPr>
        <w:keepNext w:val="0"/>
        <w:keepLines w:val="0"/>
        <w:pageBreakBefore w:val="0"/>
        <w:kinsoku/>
        <w:wordWrap/>
        <w:overflowPunct/>
        <w:topLinePunct w:val="0"/>
        <w:autoSpaceDE/>
        <w:autoSpaceDN/>
        <w:bidi w:val="0"/>
        <w:snapToGrid/>
        <w:spacing w:line="500" w:lineRule="exact"/>
        <w:ind w:firstLine="480" w:firstLineChars="200"/>
        <w:textAlignment w:val="auto"/>
        <w:rPr>
          <w:sz w:val="24"/>
          <w:szCs w:val="24"/>
          <w:highlight w:val="none"/>
        </w:rPr>
      </w:pPr>
      <w:r>
        <w:rPr>
          <w:sz w:val="24"/>
          <w:szCs w:val="24"/>
          <w:highlight w:val="none"/>
        </w:rPr>
        <w:t>1.6.2 除不可抗力外，如果甲方没有按照本合同约定的付款方式付款，那么乙方可要求甲方支付违约金，违约金按每迟延付款一日的应付而未付款的</w:t>
      </w:r>
      <w:r>
        <w:rPr>
          <w:sz w:val="24"/>
          <w:szCs w:val="24"/>
          <w:highlight w:val="none"/>
          <w:u w:val="single"/>
        </w:rPr>
        <w:t xml:space="preserve">  0.05  </w:t>
      </w:r>
      <w:r>
        <w:rPr>
          <w:sz w:val="24"/>
          <w:szCs w:val="24"/>
          <w:highlight w:val="none"/>
        </w:rPr>
        <w:t>%计算，最高限额为本合同总价的</w:t>
      </w:r>
      <w:r>
        <w:rPr>
          <w:sz w:val="24"/>
          <w:szCs w:val="24"/>
          <w:highlight w:val="none"/>
          <w:u w:val="single"/>
        </w:rPr>
        <w:t xml:space="preserve">  20   </w:t>
      </w:r>
      <w:r>
        <w:rPr>
          <w:sz w:val="24"/>
          <w:szCs w:val="24"/>
          <w:highlight w:val="none"/>
        </w:rPr>
        <w:t>%；迟延付款的违约金计算数额达到前述最高限额之日起，乙方有权在要求甲方支付违约金的同时，书面通知甲方解除本合同；</w:t>
      </w:r>
    </w:p>
    <w:p w14:paraId="3738EA79">
      <w:pPr>
        <w:keepNext w:val="0"/>
        <w:keepLines w:val="0"/>
        <w:pageBreakBefore w:val="0"/>
        <w:kinsoku/>
        <w:wordWrap/>
        <w:overflowPunct/>
        <w:topLinePunct w:val="0"/>
        <w:autoSpaceDE/>
        <w:autoSpaceDN/>
        <w:bidi w:val="0"/>
        <w:snapToGrid/>
        <w:spacing w:line="500" w:lineRule="exact"/>
        <w:ind w:firstLine="480" w:firstLineChars="200"/>
        <w:textAlignment w:val="auto"/>
        <w:rPr>
          <w:sz w:val="24"/>
          <w:szCs w:val="24"/>
          <w:highlight w:val="none"/>
        </w:rPr>
      </w:pPr>
      <w:r>
        <w:rPr>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DB0985">
      <w:pPr>
        <w:keepNext w:val="0"/>
        <w:keepLines w:val="0"/>
        <w:pageBreakBefore w:val="0"/>
        <w:kinsoku/>
        <w:wordWrap/>
        <w:overflowPunct/>
        <w:topLinePunct w:val="0"/>
        <w:autoSpaceDE/>
        <w:autoSpaceDN/>
        <w:bidi w:val="0"/>
        <w:snapToGrid/>
        <w:spacing w:line="500" w:lineRule="exact"/>
        <w:ind w:firstLine="480" w:firstLineChars="200"/>
        <w:textAlignment w:val="auto"/>
        <w:rPr>
          <w:sz w:val="24"/>
          <w:szCs w:val="24"/>
          <w:highlight w:val="none"/>
        </w:rPr>
      </w:pPr>
      <w:r>
        <w:rPr>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27E9084">
      <w:pPr>
        <w:keepNext w:val="0"/>
        <w:keepLines w:val="0"/>
        <w:pageBreakBefore w:val="0"/>
        <w:kinsoku/>
        <w:wordWrap/>
        <w:overflowPunct/>
        <w:topLinePunct w:val="0"/>
        <w:autoSpaceDE/>
        <w:autoSpaceDN/>
        <w:bidi w:val="0"/>
        <w:snapToGrid/>
        <w:spacing w:line="500" w:lineRule="exact"/>
        <w:ind w:firstLine="480" w:firstLineChars="200"/>
        <w:textAlignment w:val="auto"/>
        <w:rPr>
          <w:sz w:val="24"/>
          <w:szCs w:val="24"/>
          <w:highlight w:val="none"/>
        </w:rPr>
      </w:pPr>
      <w:r>
        <w:rPr>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DBE0D79">
      <w:pPr>
        <w:keepNext w:val="0"/>
        <w:keepLines w:val="0"/>
        <w:pageBreakBefore w:val="0"/>
        <w:kinsoku/>
        <w:wordWrap/>
        <w:overflowPunct/>
        <w:topLinePunct w:val="0"/>
        <w:autoSpaceDE/>
        <w:autoSpaceDN/>
        <w:bidi w:val="0"/>
        <w:snapToGrid/>
        <w:spacing w:line="500" w:lineRule="exact"/>
        <w:ind w:firstLine="480" w:firstLineChars="200"/>
        <w:textAlignment w:val="auto"/>
        <w:rPr>
          <w:sz w:val="24"/>
          <w:szCs w:val="24"/>
          <w:highlight w:val="none"/>
        </w:rPr>
      </w:pPr>
      <w:r>
        <w:rPr>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1B11BFD7">
      <w:pPr>
        <w:keepNext w:val="0"/>
        <w:keepLines w:val="0"/>
        <w:pageBreakBefore w:val="0"/>
        <w:kinsoku/>
        <w:wordWrap/>
        <w:overflowPunct/>
        <w:topLinePunct w:val="0"/>
        <w:autoSpaceDE/>
        <w:autoSpaceDN/>
        <w:bidi w:val="0"/>
        <w:snapToGrid/>
        <w:spacing w:line="500" w:lineRule="exact"/>
        <w:ind w:left="-420" w:leftChars="-200" w:right="-420" w:rightChars="-200" w:firstLine="960" w:firstLineChars="400"/>
        <w:textAlignment w:val="auto"/>
        <w:rPr>
          <w:sz w:val="24"/>
          <w:szCs w:val="24"/>
          <w:highlight w:val="none"/>
        </w:rPr>
      </w:pPr>
      <w:r>
        <w:rPr>
          <w:sz w:val="24"/>
          <w:szCs w:val="24"/>
          <w:highlight w:val="none"/>
        </w:rPr>
        <w:t>1.6.7违约责任</w:t>
      </w:r>
      <w:r>
        <w:rPr>
          <w:b/>
          <w:i/>
          <w:sz w:val="24"/>
          <w:szCs w:val="24"/>
          <w:highlight w:val="none"/>
          <w:u w:val="single"/>
        </w:rPr>
        <w:t>合同专用条款</w:t>
      </w:r>
      <w:r>
        <w:rPr>
          <w:sz w:val="24"/>
          <w:szCs w:val="24"/>
          <w:highlight w:val="none"/>
        </w:rPr>
        <w:t>另有约定的，从其约定。</w:t>
      </w:r>
    </w:p>
    <w:p w14:paraId="31F8ADB7">
      <w:pPr>
        <w:keepNext w:val="0"/>
        <w:keepLines w:val="0"/>
        <w:pageBreakBefore w:val="0"/>
        <w:kinsoku/>
        <w:wordWrap/>
        <w:overflowPunct/>
        <w:topLinePunct w:val="0"/>
        <w:autoSpaceDE/>
        <w:autoSpaceDN/>
        <w:bidi w:val="0"/>
        <w:snapToGrid/>
        <w:spacing w:line="500" w:lineRule="exact"/>
        <w:ind w:firstLine="482" w:firstLineChars="200"/>
        <w:textAlignment w:val="auto"/>
        <w:outlineLvl w:val="0"/>
        <w:rPr>
          <w:b/>
          <w:sz w:val="24"/>
          <w:szCs w:val="24"/>
          <w:highlight w:val="none"/>
        </w:rPr>
      </w:pPr>
      <w:bookmarkStart w:id="427" w:name="_Toc15583"/>
      <w:bookmarkStart w:id="428" w:name="_Toc28375"/>
      <w:bookmarkStart w:id="429" w:name="_Toc16021"/>
      <w:r>
        <w:rPr>
          <w:b/>
          <w:sz w:val="24"/>
          <w:szCs w:val="24"/>
          <w:highlight w:val="none"/>
        </w:rPr>
        <w:t>1.7 合同争议的解决</w:t>
      </w:r>
      <w:bookmarkEnd w:id="427"/>
      <w:bookmarkEnd w:id="428"/>
      <w:bookmarkEnd w:id="429"/>
    </w:p>
    <w:p w14:paraId="66605782">
      <w:pPr>
        <w:keepNext w:val="0"/>
        <w:keepLines w:val="0"/>
        <w:pageBreakBefore w:val="0"/>
        <w:kinsoku/>
        <w:wordWrap/>
        <w:overflowPunct/>
        <w:topLinePunct w:val="0"/>
        <w:autoSpaceDE/>
        <w:autoSpaceDN/>
        <w:bidi w:val="0"/>
        <w:snapToGrid/>
        <w:spacing w:line="500" w:lineRule="exact"/>
        <w:ind w:left="-61" w:leftChars="-29" w:right="-420" w:rightChars="-200" w:firstLine="240" w:firstLineChars="100"/>
        <w:textAlignment w:val="auto"/>
        <w:rPr>
          <w:sz w:val="24"/>
          <w:szCs w:val="24"/>
          <w:highlight w:val="none"/>
        </w:rPr>
      </w:pPr>
      <w:r>
        <w:rPr>
          <w:sz w:val="24"/>
          <w:szCs w:val="24"/>
          <w:highlight w:val="none"/>
        </w:rPr>
        <w:t xml:space="preserve">  本合同履行过程中发生的任何争议，双方当事人均可通过和解或者调解解决；不愿和解、调解或者和解、调解不成的，可以选择以下第</w:t>
      </w:r>
      <w:r>
        <w:rPr>
          <w:b/>
          <w:i/>
          <w:sz w:val="24"/>
          <w:szCs w:val="24"/>
          <w:highlight w:val="none"/>
          <w:u w:val="single"/>
        </w:rPr>
        <w:t xml:space="preserve"> 合同专用条款  </w:t>
      </w:r>
      <w:r>
        <w:rPr>
          <w:sz w:val="24"/>
          <w:szCs w:val="24"/>
          <w:highlight w:val="none"/>
        </w:rPr>
        <w:t>条款规定的方式解决：</w:t>
      </w:r>
    </w:p>
    <w:p w14:paraId="6F325AEE">
      <w:pPr>
        <w:keepNext w:val="0"/>
        <w:keepLines w:val="0"/>
        <w:pageBreakBefore w:val="0"/>
        <w:kinsoku/>
        <w:wordWrap/>
        <w:overflowPunct/>
        <w:topLinePunct w:val="0"/>
        <w:autoSpaceDE/>
        <w:autoSpaceDN/>
        <w:bidi w:val="0"/>
        <w:snapToGrid/>
        <w:spacing w:line="500" w:lineRule="exact"/>
        <w:ind w:left="-420" w:leftChars="-200" w:right="-420" w:rightChars="-200" w:firstLine="600" w:firstLineChars="250"/>
        <w:textAlignment w:val="auto"/>
        <w:rPr>
          <w:sz w:val="24"/>
          <w:szCs w:val="24"/>
          <w:highlight w:val="none"/>
        </w:rPr>
      </w:pPr>
      <w:r>
        <w:rPr>
          <w:sz w:val="24"/>
          <w:szCs w:val="24"/>
          <w:highlight w:val="none"/>
        </w:rPr>
        <w:t>1.7.1 将争议提交</w:t>
      </w:r>
      <w:r>
        <w:rPr>
          <w:b/>
          <w:i/>
          <w:sz w:val="24"/>
          <w:szCs w:val="24"/>
          <w:highlight w:val="none"/>
          <w:u w:val="single"/>
        </w:rPr>
        <w:t>合同专用条款</w:t>
      </w:r>
      <w:r>
        <w:rPr>
          <w:sz w:val="24"/>
          <w:szCs w:val="24"/>
          <w:highlight w:val="none"/>
        </w:rPr>
        <w:t>仲裁委员会依申请仲裁时其现行有效的仲裁规则裁决；</w:t>
      </w:r>
    </w:p>
    <w:p w14:paraId="55135950">
      <w:pPr>
        <w:keepNext w:val="0"/>
        <w:keepLines w:val="0"/>
        <w:pageBreakBefore w:val="0"/>
        <w:kinsoku/>
        <w:wordWrap/>
        <w:overflowPunct/>
        <w:topLinePunct w:val="0"/>
        <w:autoSpaceDE/>
        <w:autoSpaceDN/>
        <w:bidi w:val="0"/>
        <w:snapToGrid/>
        <w:spacing w:line="500" w:lineRule="exact"/>
        <w:ind w:left="-420" w:leftChars="-200" w:right="-420" w:rightChars="-200" w:firstLine="600" w:firstLineChars="250"/>
        <w:textAlignment w:val="auto"/>
        <w:rPr>
          <w:sz w:val="24"/>
          <w:szCs w:val="24"/>
          <w:highlight w:val="none"/>
        </w:rPr>
      </w:pPr>
      <w:r>
        <w:rPr>
          <w:sz w:val="24"/>
          <w:szCs w:val="24"/>
          <w:highlight w:val="none"/>
        </w:rPr>
        <w:t>1.7.2 向</w:t>
      </w:r>
      <w:r>
        <w:rPr>
          <w:b/>
          <w:i/>
          <w:sz w:val="24"/>
          <w:szCs w:val="24"/>
          <w:highlight w:val="none"/>
          <w:u w:val="single"/>
        </w:rPr>
        <w:t>合同专用条款</w:t>
      </w:r>
      <w:r>
        <w:rPr>
          <w:sz w:val="24"/>
          <w:szCs w:val="24"/>
          <w:highlight w:val="none"/>
        </w:rPr>
        <w:t>人民法院起诉。</w:t>
      </w:r>
    </w:p>
    <w:p w14:paraId="77FDDBB8">
      <w:pPr>
        <w:keepNext w:val="0"/>
        <w:keepLines w:val="0"/>
        <w:pageBreakBefore w:val="0"/>
        <w:kinsoku/>
        <w:wordWrap/>
        <w:overflowPunct/>
        <w:topLinePunct w:val="0"/>
        <w:autoSpaceDE/>
        <w:autoSpaceDN/>
        <w:bidi w:val="0"/>
        <w:snapToGrid/>
        <w:spacing w:line="500" w:lineRule="exact"/>
        <w:ind w:firstLine="482" w:firstLineChars="200"/>
        <w:textAlignment w:val="auto"/>
        <w:outlineLvl w:val="0"/>
        <w:rPr>
          <w:b/>
          <w:sz w:val="24"/>
          <w:szCs w:val="24"/>
          <w:highlight w:val="none"/>
        </w:rPr>
      </w:pPr>
      <w:bookmarkStart w:id="430" w:name="_Toc15322"/>
      <w:bookmarkStart w:id="431" w:name="_Toc11173"/>
      <w:bookmarkStart w:id="432" w:name="_Toc7245"/>
      <w:r>
        <w:rPr>
          <w:b/>
          <w:sz w:val="24"/>
          <w:szCs w:val="24"/>
          <w:highlight w:val="none"/>
        </w:rPr>
        <w:t>1.8 合同生效</w:t>
      </w:r>
      <w:bookmarkEnd w:id="430"/>
      <w:bookmarkEnd w:id="431"/>
      <w:bookmarkEnd w:id="432"/>
    </w:p>
    <w:p w14:paraId="77AFF103">
      <w:pPr>
        <w:keepNext w:val="0"/>
        <w:keepLines w:val="0"/>
        <w:pageBreakBefore w:val="0"/>
        <w:kinsoku/>
        <w:wordWrap/>
        <w:overflowPunct/>
        <w:topLinePunct w:val="0"/>
        <w:autoSpaceDE/>
        <w:autoSpaceDN/>
        <w:bidi w:val="0"/>
        <w:snapToGrid/>
        <w:spacing w:line="500" w:lineRule="exact"/>
        <w:ind w:left="-420" w:leftChars="-200" w:right="-420" w:rightChars="-200" w:firstLine="600" w:firstLineChars="250"/>
        <w:textAlignment w:val="auto"/>
        <w:rPr>
          <w:sz w:val="24"/>
          <w:szCs w:val="24"/>
          <w:highlight w:val="none"/>
        </w:rPr>
      </w:pPr>
      <w:r>
        <w:rPr>
          <w:sz w:val="24"/>
          <w:szCs w:val="24"/>
          <w:highlight w:val="none"/>
        </w:rPr>
        <w:t>1. 合同执行中涉及采购资金和采购内容修改或补充的，须经财政部门审批，并签书面补充协议报江山市财政局备案，方可作为主合同不可分割的一部分。</w:t>
      </w:r>
    </w:p>
    <w:p w14:paraId="12111211">
      <w:pPr>
        <w:keepNext w:val="0"/>
        <w:keepLines w:val="0"/>
        <w:pageBreakBefore w:val="0"/>
        <w:kinsoku/>
        <w:wordWrap/>
        <w:overflowPunct/>
        <w:topLinePunct w:val="0"/>
        <w:autoSpaceDE/>
        <w:autoSpaceDN/>
        <w:bidi w:val="0"/>
        <w:snapToGrid/>
        <w:spacing w:line="500" w:lineRule="exact"/>
        <w:ind w:left="-420" w:leftChars="-200" w:right="-420" w:rightChars="-200" w:firstLine="600" w:firstLineChars="250"/>
        <w:textAlignment w:val="auto"/>
        <w:rPr>
          <w:sz w:val="24"/>
          <w:szCs w:val="24"/>
          <w:highlight w:val="none"/>
        </w:rPr>
      </w:pPr>
      <w:r>
        <w:rPr>
          <w:sz w:val="24"/>
          <w:szCs w:val="24"/>
          <w:highlight w:val="none"/>
        </w:rPr>
        <w:t>2. 本合同未尽事宜，遵照《民法典》有关条文执行。</w:t>
      </w:r>
    </w:p>
    <w:p w14:paraId="2B28A5AB">
      <w:pPr>
        <w:keepNext w:val="0"/>
        <w:keepLines w:val="0"/>
        <w:pageBreakBefore w:val="0"/>
        <w:kinsoku/>
        <w:wordWrap/>
        <w:overflowPunct/>
        <w:topLinePunct w:val="0"/>
        <w:autoSpaceDE/>
        <w:autoSpaceDN/>
        <w:bidi w:val="0"/>
        <w:snapToGrid/>
        <w:spacing w:line="500" w:lineRule="exact"/>
        <w:ind w:left="-420" w:leftChars="-200" w:right="-420" w:rightChars="-200" w:firstLine="600" w:firstLineChars="250"/>
        <w:textAlignment w:val="auto"/>
        <w:rPr>
          <w:sz w:val="24"/>
          <w:szCs w:val="24"/>
          <w:highlight w:val="none"/>
        </w:rPr>
      </w:pPr>
      <w:r>
        <w:rPr>
          <w:sz w:val="24"/>
          <w:szCs w:val="24"/>
          <w:highlight w:val="none"/>
        </w:rPr>
        <w:t>3. 本合同经甲方、乙方法定代表人或其委托人签字并加盖双方公章，江山市财政局备案（合同备案前必须进行合同公告）后生效。</w:t>
      </w:r>
    </w:p>
    <w:p w14:paraId="067F37D6">
      <w:pPr>
        <w:keepNext w:val="0"/>
        <w:keepLines w:val="0"/>
        <w:pageBreakBefore w:val="0"/>
        <w:kinsoku/>
        <w:wordWrap/>
        <w:overflowPunct/>
        <w:topLinePunct w:val="0"/>
        <w:autoSpaceDE/>
        <w:autoSpaceDN/>
        <w:bidi w:val="0"/>
        <w:snapToGrid/>
        <w:spacing w:line="500" w:lineRule="exact"/>
        <w:ind w:left="-420" w:leftChars="-200" w:right="-420" w:rightChars="-200" w:firstLine="600" w:firstLineChars="250"/>
        <w:textAlignment w:val="auto"/>
        <w:rPr>
          <w:highlight w:val="none"/>
        </w:rPr>
      </w:pPr>
      <w:r>
        <w:rPr>
          <w:sz w:val="24"/>
          <w:szCs w:val="24"/>
          <w:highlight w:val="none"/>
        </w:rPr>
        <w:t>4. 合同一式捌份，具有同等法律效力，甲方执肆份、乙方执肆份。</w:t>
      </w:r>
      <w:r>
        <w:rPr>
          <w:highlight w:val="none"/>
        </w:rPr>
        <w:t xml:space="preserve"> </w:t>
      </w:r>
    </w:p>
    <w:p w14:paraId="5FC2725E">
      <w:pPr>
        <w:autoSpaceDE w:val="0"/>
        <w:autoSpaceDN w:val="0"/>
        <w:spacing w:line="560" w:lineRule="exact"/>
        <w:rPr>
          <w:highlight w:val="none"/>
          <w:lang w:val="zh-CN"/>
        </w:rPr>
      </w:pPr>
    </w:p>
    <w:p w14:paraId="7953EB2A">
      <w:pPr>
        <w:autoSpaceDE w:val="0"/>
        <w:autoSpaceDN w:val="0"/>
        <w:spacing w:line="560" w:lineRule="exact"/>
        <w:rPr>
          <w:highlight w:val="none"/>
          <w:lang w:val="zh-CN"/>
        </w:rPr>
      </w:pPr>
      <w:r>
        <w:rPr>
          <w:b/>
          <w:highlight w:val="none"/>
          <w:lang w:val="zh-CN"/>
        </w:rPr>
        <w:t>甲方</w:t>
      </w:r>
      <w:r>
        <w:rPr>
          <w:highlight w:val="none"/>
          <w:lang w:val="zh-CN"/>
        </w:rPr>
        <w:t xml:space="preserve">：                             </w:t>
      </w:r>
      <w:r>
        <w:rPr>
          <w:b/>
          <w:highlight w:val="none"/>
          <w:lang w:val="zh-CN"/>
        </w:rPr>
        <w:t xml:space="preserve">      乙方</w:t>
      </w:r>
      <w:r>
        <w:rPr>
          <w:highlight w:val="none"/>
          <w:lang w:val="zh-CN"/>
        </w:rPr>
        <w:t>：</w:t>
      </w:r>
    </w:p>
    <w:p w14:paraId="49FABD34">
      <w:pPr>
        <w:autoSpaceDE w:val="0"/>
        <w:autoSpaceDN w:val="0"/>
        <w:spacing w:line="560" w:lineRule="exact"/>
        <w:rPr>
          <w:highlight w:val="none"/>
          <w:lang w:val="zh-CN"/>
        </w:rPr>
      </w:pPr>
      <w:r>
        <w:rPr>
          <w:highlight w:val="none"/>
          <w:lang w:val="zh-CN"/>
        </w:rPr>
        <w:t>统一社会信用代码：                       统一社会信用代码或身份证号码：</w:t>
      </w:r>
    </w:p>
    <w:p w14:paraId="1668F041">
      <w:pPr>
        <w:autoSpaceDE w:val="0"/>
        <w:autoSpaceDN w:val="0"/>
        <w:spacing w:line="560" w:lineRule="exact"/>
        <w:rPr>
          <w:highlight w:val="none"/>
          <w:lang w:val="zh-CN"/>
        </w:rPr>
      </w:pPr>
    </w:p>
    <w:p w14:paraId="0CB1ABF1">
      <w:pPr>
        <w:autoSpaceDE w:val="0"/>
        <w:autoSpaceDN w:val="0"/>
        <w:spacing w:line="560" w:lineRule="exact"/>
        <w:rPr>
          <w:highlight w:val="none"/>
          <w:lang w:val="zh-CN"/>
        </w:rPr>
      </w:pPr>
      <w:r>
        <w:rPr>
          <w:highlight w:val="none"/>
          <w:lang w:val="zh-CN"/>
        </w:rPr>
        <w:t>住所：                                   住所：</w:t>
      </w:r>
    </w:p>
    <w:p w14:paraId="00794672">
      <w:pPr>
        <w:autoSpaceDE w:val="0"/>
        <w:autoSpaceDN w:val="0"/>
        <w:spacing w:line="560" w:lineRule="exact"/>
        <w:rPr>
          <w:highlight w:val="none"/>
          <w:lang w:val="zh-CN"/>
        </w:rPr>
      </w:pPr>
      <w:r>
        <w:rPr>
          <w:highlight w:val="none"/>
          <w:lang w:val="zh-CN"/>
        </w:rPr>
        <w:t>法定代表人或                             法定代表人</w:t>
      </w:r>
    </w:p>
    <w:p w14:paraId="7B0D4788">
      <w:pPr>
        <w:autoSpaceDE w:val="0"/>
        <w:autoSpaceDN w:val="0"/>
        <w:spacing w:line="560" w:lineRule="exact"/>
        <w:rPr>
          <w:highlight w:val="none"/>
          <w:lang w:val="zh-CN"/>
        </w:rPr>
      </w:pPr>
      <w:r>
        <w:rPr>
          <w:highlight w:val="none"/>
          <w:lang w:val="zh-CN"/>
        </w:rPr>
        <w:t xml:space="preserve">授权代表（签字）：                        或授权代表（签字）: </w:t>
      </w:r>
    </w:p>
    <w:p w14:paraId="201DD3A4">
      <w:pPr>
        <w:autoSpaceDE w:val="0"/>
        <w:autoSpaceDN w:val="0"/>
        <w:spacing w:line="560" w:lineRule="exact"/>
        <w:rPr>
          <w:highlight w:val="none"/>
          <w:lang w:val="zh-CN"/>
        </w:rPr>
      </w:pPr>
      <w:r>
        <w:rPr>
          <w:highlight w:val="none"/>
          <w:lang w:val="zh-CN"/>
        </w:rPr>
        <w:t>联系人：                                 联系人：</w:t>
      </w:r>
    </w:p>
    <w:p w14:paraId="029CF261">
      <w:pPr>
        <w:autoSpaceDE w:val="0"/>
        <w:autoSpaceDN w:val="0"/>
        <w:spacing w:line="560" w:lineRule="exact"/>
        <w:rPr>
          <w:highlight w:val="none"/>
          <w:lang w:val="zh-CN"/>
        </w:rPr>
      </w:pPr>
      <w:r>
        <w:rPr>
          <w:highlight w:val="none"/>
          <w:lang w:val="zh-CN"/>
        </w:rPr>
        <w:t>约定送达地址：                           约定送达地址：</w:t>
      </w:r>
    </w:p>
    <w:p w14:paraId="20495C69">
      <w:pPr>
        <w:autoSpaceDE w:val="0"/>
        <w:autoSpaceDN w:val="0"/>
        <w:spacing w:line="560" w:lineRule="exact"/>
        <w:rPr>
          <w:highlight w:val="none"/>
          <w:lang w:val="zh-CN"/>
        </w:rPr>
      </w:pPr>
      <w:r>
        <w:rPr>
          <w:highlight w:val="none"/>
          <w:lang w:val="zh-CN"/>
        </w:rPr>
        <w:t>邮政编码：                               邮政编码：</w:t>
      </w:r>
    </w:p>
    <w:p w14:paraId="72C337B1">
      <w:pPr>
        <w:autoSpaceDE w:val="0"/>
        <w:autoSpaceDN w:val="0"/>
        <w:spacing w:line="560" w:lineRule="exact"/>
        <w:rPr>
          <w:highlight w:val="none"/>
          <w:lang w:val="zh-CN"/>
        </w:rPr>
      </w:pPr>
      <w:r>
        <w:rPr>
          <w:highlight w:val="none"/>
          <w:lang w:val="zh-CN"/>
        </w:rPr>
        <w:t xml:space="preserve">电话:                                    电话: </w:t>
      </w:r>
    </w:p>
    <w:p w14:paraId="22CF06D6">
      <w:pPr>
        <w:autoSpaceDE w:val="0"/>
        <w:autoSpaceDN w:val="0"/>
        <w:spacing w:line="560" w:lineRule="exact"/>
        <w:rPr>
          <w:b/>
          <w:szCs w:val="24"/>
          <w:highlight w:val="none"/>
        </w:rPr>
      </w:pPr>
      <w:r>
        <w:rPr>
          <w:highlight w:val="none"/>
          <w:lang w:val="zh-CN"/>
        </w:rPr>
        <w:t>传真:                                    传真:</w:t>
      </w:r>
      <w:bookmarkStart w:id="433" w:name="_Toc331685783"/>
    </w:p>
    <w:p w14:paraId="3A21D8C2">
      <w:pPr>
        <w:pStyle w:val="704"/>
        <w:spacing w:line="560" w:lineRule="exact"/>
        <w:ind w:left="480" w:firstLine="482"/>
        <w:jc w:val="center"/>
        <w:rPr>
          <w:b/>
          <w:szCs w:val="24"/>
          <w:highlight w:val="none"/>
        </w:rPr>
      </w:pPr>
    </w:p>
    <w:p w14:paraId="134C7344">
      <w:pPr>
        <w:pStyle w:val="704"/>
        <w:spacing w:line="560" w:lineRule="exact"/>
        <w:ind w:left="480" w:firstLine="482"/>
        <w:jc w:val="left"/>
        <w:rPr>
          <w:rFonts w:hint="eastAsia"/>
          <w:b w:val="0"/>
          <w:bCs/>
          <w:szCs w:val="24"/>
          <w:highlight w:val="none"/>
          <w:lang w:eastAsia="zh-CN"/>
        </w:rPr>
      </w:pPr>
      <w:r>
        <w:rPr>
          <w:rFonts w:hint="eastAsia"/>
          <w:b w:val="0"/>
          <w:bCs/>
          <w:szCs w:val="24"/>
          <w:highlight w:val="none"/>
          <w:lang w:eastAsia="zh-CN"/>
        </w:rPr>
        <w:t>鉴证方（盖章）：</w:t>
      </w:r>
    </w:p>
    <w:p w14:paraId="51338FA8">
      <w:pPr>
        <w:pStyle w:val="704"/>
        <w:keepNext w:val="0"/>
        <w:keepLines w:val="0"/>
        <w:pageBreakBefore w:val="0"/>
        <w:kinsoku/>
        <w:wordWrap/>
        <w:overflowPunct/>
        <w:topLinePunct w:val="0"/>
        <w:bidi w:val="0"/>
        <w:spacing w:after="0" w:line="500" w:lineRule="exact"/>
        <w:ind w:left="480" w:firstLine="482"/>
        <w:jc w:val="left"/>
        <w:textAlignment w:val="auto"/>
        <w:rPr>
          <w:b/>
          <w:sz w:val="24"/>
          <w:szCs w:val="24"/>
          <w:highlight w:val="none"/>
        </w:rPr>
      </w:pPr>
      <w:r>
        <w:rPr>
          <w:rFonts w:hint="eastAsia"/>
          <w:b w:val="0"/>
          <w:bCs/>
          <w:szCs w:val="24"/>
          <w:highlight w:val="none"/>
          <w:lang w:eastAsia="zh-CN"/>
        </w:rPr>
        <w:t>经办人：</w:t>
      </w:r>
      <w:r>
        <w:rPr>
          <w:b/>
          <w:szCs w:val="24"/>
          <w:highlight w:val="none"/>
        </w:rPr>
        <w:br w:type="page"/>
      </w:r>
      <w:r>
        <w:rPr>
          <w:b/>
          <w:sz w:val="24"/>
          <w:szCs w:val="24"/>
          <w:highlight w:val="none"/>
        </w:rPr>
        <w:t>第二部分 合同一般条款</w:t>
      </w:r>
      <w:bookmarkEnd w:id="433"/>
    </w:p>
    <w:p w14:paraId="573EB7BD">
      <w:pPr>
        <w:keepNext w:val="0"/>
        <w:keepLines w:val="0"/>
        <w:pageBreakBefore w:val="0"/>
        <w:kinsoku/>
        <w:wordWrap/>
        <w:overflowPunct/>
        <w:topLinePunct w:val="0"/>
        <w:bidi w:val="0"/>
        <w:spacing w:line="500" w:lineRule="exact"/>
        <w:ind w:firstLine="482" w:firstLineChars="200"/>
        <w:textAlignment w:val="auto"/>
        <w:outlineLvl w:val="0"/>
        <w:rPr>
          <w:b/>
          <w:sz w:val="24"/>
          <w:szCs w:val="24"/>
          <w:highlight w:val="none"/>
        </w:rPr>
      </w:pPr>
      <w:bookmarkStart w:id="434" w:name="_Ref467379195"/>
      <w:bookmarkStart w:id="435" w:name="_Toc487900349"/>
      <w:bookmarkStart w:id="436" w:name="_Toc16917"/>
      <w:bookmarkStart w:id="437" w:name="_Ref467379225"/>
      <w:bookmarkStart w:id="438" w:name="_Toc259093669"/>
      <w:bookmarkStart w:id="439" w:name="_Ref467379094"/>
      <w:bookmarkStart w:id="440" w:name="_Ref467378404"/>
      <w:bookmarkStart w:id="441" w:name="_Toc279701240"/>
      <w:bookmarkStart w:id="442" w:name="_Toc28763"/>
      <w:bookmarkStart w:id="443" w:name="_Ref467379101"/>
      <w:bookmarkStart w:id="444" w:name="_Ref467378463"/>
      <w:bookmarkStart w:id="445" w:name="_Ref467378499"/>
      <w:bookmarkStart w:id="446" w:name="_Ref467379205"/>
      <w:bookmarkStart w:id="447" w:name="_Toc19614"/>
      <w:bookmarkStart w:id="448" w:name="_Ref467379214"/>
      <w:bookmarkStart w:id="449" w:name="_Ref467379109"/>
      <w:r>
        <w:rPr>
          <w:b/>
          <w:sz w:val="24"/>
          <w:szCs w:val="24"/>
          <w:highlight w:val="none"/>
        </w:rPr>
        <w:t>2.1 定义</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27EC6627">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本合同中的下列词语应按以下内容进行解释：</w:t>
      </w:r>
    </w:p>
    <w:p w14:paraId="1138D78A">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2.1.1 “合同”系指采购人和中标供应商签订的载明双方当事人所达成的协议，并包括所有的附件、附录和构成合同的其他文件。</w:t>
      </w:r>
    </w:p>
    <w:p w14:paraId="7F39EA7E">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2.1.2 “合同价”系指根据合同约定，中标供应商在完全履行合同义务后，采购人应支付给中标供应商的价格。</w:t>
      </w:r>
    </w:p>
    <w:p w14:paraId="73A45AB9">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2.1.3 “货物”系指中标供应商根据合同约定应向采购人交付的一切各种形态和种类的物品，包括原材料、燃料、设备、机械、仪表、备件、计算机软件、产品等，并包括工具、手册等其他相关资料。</w:t>
      </w:r>
    </w:p>
    <w:p w14:paraId="3CC0C72C">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bookmarkStart w:id="450" w:name="_Ref467378840"/>
      <w:r>
        <w:rPr>
          <w:sz w:val="24"/>
          <w:szCs w:val="24"/>
          <w:highlight w:val="none"/>
        </w:rPr>
        <w:t>2.1.4 “甲方”系指与中标供应商签署合同的采购人</w:t>
      </w:r>
      <w:bookmarkEnd w:id="450"/>
      <w:r>
        <w:rPr>
          <w:sz w:val="24"/>
          <w:szCs w:val="24"/>
          <w:highlight w:val="none"/>
        </w:rPr>
        <w:t>；采购人委托采购代理机构代表其与乙方签订合同的，采购人的授权委托书作为合同附件。</w:t>
      </w:r>
    </w:p>
    <w:p w14:paraId="6CFFEE9C">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bookmarkStart w:id="451" w:name="_Ref467379400"/>
      <w:r>
        <w:rPr>
          <w:sz w:val="24"/>
          <w:szCs w:val="24"/>
          <w:highlight w:val="none"/>
        </w:rPr>
        <w:t>2.1.5 “乙方”系指根据合同约定交付货物的中标供应商</w:t>
      </w:r>
      <w:bookmarkEnd w:id="451"/>
      <w:r>
        <w:rPr>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C319997">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bookmarkStart w:id="452" w:name="_Ref467379436"/>
      <w:r>
        <w:rPr>
          <w:sz w:val="24"/>
          <w:szCs w:val="24"/>
          <w:highlight w:val="none"/>
        </w:rPr>
        <w:t>2.1.6 “现场”系指合同约定货物将要运至或者安装的地点。</w:t>
      </w:r>
      <w:bookmarkEnd w:id="452"/>
    </w:p>
    <w:p w14:paraId="4641C367">
      <w:pPr>
        <w:keepNext w:val="0"/>
        <w:keepLines w:val="0"/>
        <w:pageBreakBefore w:val="0"/>
        <w:kinsoku/>
        <w:wordWrap/>
        <w:overflowPunct/>
        <w:topLinePunct w:val="0"/>
        <w:bidi w:val="0"/>
        <w:spacing w:line="500" w:lineRule="exact"/>
        <w:ind w:firstLine="482" w:firstLineChars="200"/>
        <w:textAlignment w:val="auto"/>
        <w:outlineLvl w:val="0"/>
        <w:rPr>
          <w:b/>
          <w:sz w:val="24"/>
          <w:szCs w:val="24"/>
          <w:highlight w:val="none"/>
        </w:rPr>
      </w:pPr>
      <w:bookmarkStart w:id="453" w:name="_Toc279701241"/>
      <w:bookmarkStart w:id="454" w:name="_Toc27635"/>
      <w:bookmarkStart w:id="455" w:name="_Toc13336"/>
      <w:bookmarkStart w:id="456" w:name="_Toc259093670"/>
      <w:bookmarkStart w:id="457" w:name="_Toc32504"/>
      <w:bookmarkStart w:id="458" w:name="_Toc487900350"/>
      <w:r>
        <w:rPr>
          <w:b/>
          <w:sz w:val="24"/>
          <w:szCs w:val="24"/>
          <w:highlight w:val="none"/>
        </w:rPr>
        <w:t>2.2 技术规范</w:t>
      </w:r>
      <w:bookmarkEnd w:id="453"/>
      <w:bookmarkEnd w:id="454"/>
      <w:bookmarkEnd w:id="455"/>
      <w:bookmarkEnd w:id="456"/>
      <w:bookmarkEnd w:id="457"/>
      <w:bookmarkEnd w:id="458"/>
    </w:p>
    <w:p w14:paraId="09268827">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货物所应遵守的技术规范应与采购文件规定的技术规范和技术规范附件</w:t>
      </w:r>
      <w:r>
        <w:rPr>
          <w:rFonts w:hint="eastAsia"/>
          <w:sz w:val="24"/>
          <w:szCs w:val="24"/>
          <w:highlight w:val="none"/>
        </w:rPr>
        <w:t>（</w:t>
      </w:r>
      <w:r>
        <w:rPr>
          <w:sz w:val="24"/>
          <w:szCs w:val="24"/>
          <w:highlight w:val="none"/>
        </w:rPr>
        <w:t>如果有的话</w:t>
      </w:r>
      <w:r>
        <w:rPr>
          <w:rFonts w:hint="eastAsia"/>
          <w:sz w:val="24"/>
          <w:szCs w:val="24"/>
          <w:highlight w:val="none"/>
        </w:rPr>
        <w:t>）</w:t>
      </w:r>
      <w:r>
        <w:rPr>
          <w:sz w:val="24"/>
          <w:szCs w:val="24"/>
          <w:highlight w:val="none"/>
        </w:rPr>
        <w:t>及其技术规范偏差表</w:t>
      </w:r>
      <w:r>
        <w:rPr>
          <w:rFonts w:hint="eastAsia"/>
          <w:sz w:val="24"/>
          <w:szCs w:val="24"/>
          <w:highlight w:val="none"/>
        </w:rPr>
        <w:t>（</w:t>
      </w:r>
      <w:r>
        <w:rPr>
          <w:sz w:val="24"/>
          <w:szCs w:val="24"/>
          <w:highlight w:val="none"/>
        </w:rPr>
        <w:t>如果被甲方接受的话</w:t>
      </w:r>
      <w:r>
        <w:rPr>
          <w:rFonts w:hint="eastAsia"/>
          <w:sz w:val="24"/>
          <w:szCs w:val="24"/>
          <w:highlight w:val="none"/>
        </w:rPr>
        <w:t>）</w:t>
      </w:r>
      <w:r>
        <w:rPr>
          <w:sz w:val="24"/>
          <w:szCs w:val="24"/>
          <w:highlight w:val="none"/>
        </w:rPr>
        <w:t>相一致；如果采购文件中没有技术规范的相应说明，那么应以国家有关部门最新颁布的相应标准和规范为准。</w:t>
      </w:r>
    </w:p>
    <w:p w14:paraId="06047356">
      <w:pPr>
        <w:keepNext w:val="0"/>
        <w:keepLines w:val="0"/>
        <w:pageBreakBefore w:val="0"/>
        <w:kinsoku/>
        <w:wordWrap/>
        <w:overflowPunct/>
        <w:topLinePunct w:val="0"/>
        <w:bidi w:val="0"/>
        <w:spacing w:line="500" w:lineRule="exact"/>
        <w:ind w:firstLine="482" w:firstLineChars="200"/>
        <w:textAlignment w:val="auto"/>
        <w:outlineLvl w:val="0"/>
        <w:rPr>
          <w:b/>
          <w:sz w:val="24"/>
          <w:szCs w:val="24"/>
          <w:highlight w:val="none"/>
        </w:rPr>
      </w:pPr>
      <w:bookmarkStart w:id="459" w:name="_Toc27853"/>
      <w:bookmarkStart w:id="460" w:name="_Toc31634"/>
      <w:bookmarkStart w:id="461" w:name="_Toc259093671"/>
      <w:bookmarkStart w:id="462" w:name="_Toc9829"/>
      <w:bookmarkStart w:id="463" w:name="_Toc487900351"/>
      <w:bookmarkStart w:id="464" w:name="_Toc279701242"/>
      <w:r>
        <w:rPr>
          <w:b/>
          <w:sz w:val="24"/>
          <w:szCs w:val="24"/>
          <w:highlight w:val="none"/>
        </w:rPr>
        <w:t>2.3 知识产权</w:t>
      </w:r>
      <w:bookmarkEnd w:id="459"/>
      <w:bookmarkEnd w:id="460"/>
      <w:bookmarkEnd w:id="461"/>
      <w:bookmarkEnd w:id="462"/>
      <w:bookmarkEnd w:id="463"/>
      <w:bookmarkEnd w:id="464"/>
    </w:p>
    <w:p w14:paraId="018F08ED">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B8DCFEF">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2.3.2具有知识产权的计算机软件等货物的知识产权归属，详见</w:t>
      </w:r>
      <w:r>
        <w:rPr>
          <w:b/>
          <w:i/>
          <w:sz w:val="24"/>
          <w:szCs w:val="24"/>
          <w:highlight w:val="none"/>
          <w:u w:val="single"/>
        </w:rPr>
        <w:t>合同专用条款</w:t>
      </w:r>
      <w:r>
        <w:rPr>
          <w:sz w:val="24"/>
          <w:szCs w:val="24"/>
          <w:highlight w:val="none"/>
        </w:rPr>
        <w:t>。</w:t>
      </w:r>
    </w:p>
    <w:p w14:paraId="21E22BC4">
      <w:pPr>
        <w:keepNext w:val="0"/>
        <w:keepLines w:val="0"/>
        <w:pageBreakBefore w:val="0"/>
        <w:kinsoku/>
        <w:wordWrap/>
        <w:overflowPunct/>
        <w:topLinePunct w:val="0"/>
        <w:bidi w:val="0"/>
        <w:spacing w:line="500" w:lineRule="exact"/>
        <w:ind w:firstLine="482" w:firstLineChars="200"/>
        <w:textAlignment w:val="auto"/>
        <w:outlineLvl w:val="0"/>
        <w:rPr>
          <w:b/>
          <w:sz w:val="24"/>
          <w:szCs w:val="24"/>
          <w:highlight w:val="none"/>
        </w:rPr>
      </w:pPr>
      <w:bookmarkStart w:id="465" w:name="_Toc29149"/>
      <w:bookmarkStart w:id="466" w:name="_Toc11932"/>
      <w:bookmarkStart w:id="467" w:name="_Toc4194"/>
      <w:r>
        <w:rPr>
          <w:b/>
          <w:sz w:val="24"/>
          <w:szCs w:val="24"/>
          <w:highlight w:val="none"/>
        </w:rPr>
        <w:t>2.4 包装和装运</w:t>
      </w:r>
      <w:bookmarkEnd w:id="465"/>
      <w:bookmarkEnd w:id="466"/>
      <w:bookmarkEnd w:id="467"/>
    </w:p>
    <w:p w14:paraId="5473D50C">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2.4.1除</w:t>
      </w:r>
      <w:r>
        <w:rPr>
          <w:b/>
          <w:i/>
          <w:sz w:val="24"/>
          <w:szCs w:val="24"/>
          <w:highlight w:val="none"/>
          <w:u w:val="single"/>
        </w:rPr>
        <w:t>合同专用条款</w:t>
      </w:r>
      <w:r>
        <w:rPr>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47038E3">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C15C401">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2.4.2 装运货物的要求和通知，详见</w:t>
      </w:r>
      <w:r>
        <w:rPr>
          <w:b/>
          <w:i/>
          <w:sz w:val="24"/>
          <w:szCs w:val="24"/>
          <w:highlight w:val="none"/>
          <w:u w:val="single"/>
        </w:rPr>
        <w:t>合同专用条款</w:t>
      </w:r>
      <w:r>
        <w:rPr>
          <w:sz w:val="24"/>
          <w:szCs w:val="24"/>
          <w:highlight w:val="none"/>
        </w:rPr>
        <w:t>。</w:t>
      </w:r>
    </w:p>
    <w:p w14:paraId="64CF7F60">
      <w:pPr>
        <w:keepNext w:val="0"/>
        <w:keepLines w:val="0"/>
        <w:pageBreakBefore w:val="0"/>
        <w:kinsoku/>
        <w:wordWrap/>
        <w:overflowPunct/>
        <w:topLinePunct w:val="0"/>
        <w:bidi w:val="0"/>
        <w:spacing w:line="500" w:lineRule="exact"/>
        <w:ind w:firstLine="482" w:firstLineChars="200"/>
        <w:textAlignment w:val="auto"/>
        <w:outlineLvl w:val="0"/>
        <w:rPr>
          <w:b/>
          <w:sz w:val="24"/>
          <w:szCs w:val="24"/>
          <w:highlight w:val="none"/>
        </w:rPr>
      </w:pPr>
      <w:bookmarkStart w:id="468" w:name="_Ref467379536"/>
      <w:bookmarkStart w:id="469" w:name="_Ref467379527"/>
      <w:bookmarkStart w:id="470" w:name="_Ref467378591"/>
      <w:bookmarkStart w:id="471" w:name="_Toc259093674"/>
      <w:bookmarkStart w:id="472" w:name="_Toc487900354"/>
      <w:bookmarkStart w:id="473" w:name="_Ref467379542"/>
      <w:bookmarkStart w:id="474" w:name="_Toc279701245"/>
      <w:bookmarkStart w:id="475" w:name="_Ref467378541"/>
      <w:bookmarkStart w:id="476" w:name="_Toc26182"/>
      <w:bookmarkStart w:id="477" w:name="_Toc30272"/>
      <w:bookmarkStart w:id="478" w:name="_Toc19074"/>
      <w:r>
        <w:rPr>
          <w:b/>
          <w:sz w:val="24"/>
          <w:szCs w:val="24"/>
          <w:highlight w:val="none"/>
        </w:rPr>
        <w:t>2.</w:t>
      </w:r>
      <w:bookmarkEnd w:id="468"/>
      <w:bookmarkEnd w:id="469"/>
      <w:bookmarkEnd w:id="470"/>
      <w:bookmarkEnd w:id="471"/>
      <w:bookmarkEnd w:id="472"/>
      <w:bookmarkEnd w:id="473"/>
      <w:bookmarkEnd w:id="474"/>
      <w:bookmarkEnd w:id="475"/>
      <w:r>
        <w:rPr>
          <w:b/>
          <w:sz w:val="24"/>
          <w:szCs w:val="24"/>
          <w:highlight w:val="none"/>
        </w:rPr>
        <w:t>5 履约检查和问题反馈</w:t>
      </w:r>
      <w:bookmarkEnd w:id="476"/>
      <w:bookmarkEnd w:id="477"/>
      <w:bookmarkEnd w:id="478"/>
    </w:p>
    <w:p w14:paraId="6BAC4C85">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bookmarkStart w:id="479" w:name="_Ref467379657"/>
      <w:r>
        <w:rPr>
          <w:sz w:val="24"/>
          <w:szCs w:val="24"/>
          <w:highlight w:val="none"/>
        </w:rPr>
        <w:t>2.5.1</w:t>
      </w:r>
      <w:bookmarkEnd w:id="479"/>
      <w:bookmarkStart w:id="480" w:name="_Toc186431854"/>
      <w:bookmarkStart w:id="481" w:name="_Ref467379807"/>
      <w:bookmarkStart w:id="482" w:name="_Ref467379793"/>
      <w:bookmarkStart w:id="483" w:name="_Toc279701247"/>
      <w:bookmarkStart w:id="484" w:name="_Toc487900357"/>
      <w:bookmarkStart w:id="485" w:name="_Toc259093676"/>
      <w:r>
        <w:rPr>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76A8500">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2.5.2 合同履行期间，甲方有权将履行过程中出现的问题反馈给乙方，双方当事人应以书面形式约定需要完善和改进的内容</w:t>
      </w:r>
      <w:bookmarkEnd w:id="480"/>
      <w:bookmarkStart w:id="486" w:name="_Toc186431855"/>
      <w:r>
        <w:rPr>
          <w:sz w:val="24"/>
          <w:szCs w:val="24"/>
          <w:highlight w:val="none"/>
        </w:rPr>
        <w:t>。</w:t>
      </w:r>
      <w:bookmarkEnd w:id="481"/>
      <w:bookmarkEnd w:id="482"/>
      <w:bookmarkEnd w:id="483"/>
      <w:bookmarkEnd w:id="484"/>
      <w:bookmarkEnd w:id="485"/>
      <w:bookmarkEnd w:id="486"/>
    </w:p>
    <w:p w14:paraId="3F0A1B7B">
      <w:pPr>
        <w:keepNext w:val="0"/>
        <w:keepLines w:val="0"/>
        <w:pageBreakBefore w:val="0"/>
        <w:kinsoku/>
        <w:wordWrap/>
        <w:overflowPunct/>
        <w:topLinePunct w:val="0"/>
        <w:bidi w:val="0"/>
        <w:spacing w:line="500" w:lineRule="exact"/>
        <w:ind w:firstLine="482" w:firstLineChars="200"/>
        <w:textAlignment w:val="auto"/>
        <w:outlineLvl w:val="0"/>
        <w:rPr>
          <w:b/>
          <w:sz w:val="24"/>
          <w:szCs w:val="24"/>
          <w:highlight w:val="none"/>
        </w:rPr>
      </w:pPr>
      <w:bookmarkStart w:id="487" w:name="_Ref467379923"/>
      <w:bookmarkStart w:id="488" w:name="_Toc259093677"/>
      <w:bookmarkStart w:id="489" w:name="_Toc487900358"/>
      <w:bookmarkStart w:id="490" w:name="_Ref467379852"/>
      <w:bookmarkStart w:id="491" w:name="_Toc279701248"/>
      <w:bookmarkStart w:id="492" w:name="_Ref467379863"/>
      <w:bookmarkStart w:id="493" w:name="_Toc774"/>
      <w:bookmarkStart w:id="494" w:name="_Toc3225"/>
      <w:bookmarkStart w:id="495" w:name="_Toc16110"/>
      <w:r>
        <w:rPr>
          <w:b/>
          <w:sz w:val="24"/>
          <w:szCs w:val="24"/>
          <w:highlight w:val="none"/>
        </w:rPr>
        <w:t>2.6 技术资料</w:t>
      </w:r>
      <w:bookmarkEnd w:id="487"/>
      <w:bookmarkEnd w:id="488"/>
      <w:bookmarkEnd w:id="489"/>
      <w:bookmarkEnd w:id="490"/>
      <w:bookmarkEnd w:id="491"/>
      <w:bookmarkEnd w:id="492"/>
      <w:r>
        <w:rPr>
          <w:b/>
          <w:sz w:val="24"/>
          <w:szCs w:val="24"/>
          <w:highlight w:val="none"/>
        </w:rPr>
        <w:t>和保密义务</w:t>
      </w:r>
      <w:bookmarkEnd w:id="493"/>
      <w:bookmarkEnd w:id="494"/>
      <w:bookmarkEnd w:id="495"/>
    </w:p>
    <w:p w14:paraId="2152FAFB">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2.6.1 乙方有权依据合同约定和项目需要，向甲方了解有关情况，调阅有关资料等，甲方应予积极配合；</w:t>
      </w:r>
    </w:p>
    <w:p w14:paraId="124906F1">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2.6.2 乙方有义务妥善保管和保护由甲方提供的前款信息和资料等；</w:t>
      </w:r>
    </w:p>
    <w:p w14:paraId="2F37078D">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686955A">
      <w:pPr>
        <w:keepNext w:val="0"/>
        <w:keepLines w:val="0"/>
        <w:pageBreakBefore w:val="0"/>
        <w:kinsoku/>
        <w:wordWrap/>
        <w:overflowPunct/>
        <w:topLinePunct w:val="0"/>
        <w:bidi w:val="0"/>
        <w:spacing w:line="500" w:lineRule="exact"/>
        <w:ind w:firstLine="482" w:firstLineChars="200"/>
        <w:textAlignment w:val="auto"/>
        <w:outlineLvl w:val="0"/>
        <w:rPr>
          <w:b/>
          <w:sz w:val="24"/>
          <w:szCs w:val="24"/>
          <w:highlight w:val="none"/>
        </w:rPr>
      </w:pPr>
      <w:bookmarkStart w:id="496" w:name="_Toc7860"/>
      <w:r>
        <w:rPr>
          <w:b/>
          <w:sz w:val="24"/>
          <w:szCs w:val="24"/>
          <w:highlight w:val="none"/>
        </w:rPr>
        <w:t>2.7 质量保证</w:t>
      </w:r>
      <w:bookmarkEnd w:id="496"/>
    </w:p>
    <w:p w14:paraId="46CB9CE3">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2.7.1 乙方应建立和完善履行合同的内部质量保证体系，并提供相关内部规章制度给甲方，以便甲方进行监督检查；</w:t>
      </w:r>
    </w:p>
    <w:p w14:paraId="048D81FA">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2.7.2 乙方应保证履行合同的人员数量和素质、软件和硬件设备的配置、场地、环境和设施等满足全面履行合同的要求，并应接受甲方的监督检查。</w:t>
      </w:r>
    </w:p>
    <w:p w14:paraId="3B5C92A6">
      <w:pPr>
        <w:keepNext w:val="0"/>
        <w:keepLines w:val="0"/>
        <w:pageBreakBefore w:val="0"/>
        <w:kinsoku/>
        <w:wordWrap/>
        <w:overflowPunct/>
        <w:topLinePunct w:val="0"/>
        <w:bidi w:val="0"/>
        <w:spacing w:line="500" w:lineRule="exact"/>
        <w:ind w:firstLine="480" w:firstLineChars="200"/>
        <w:textAlignment w:val="auto"/>
        <w:rPr>
          <w:rFonts w:ascii="Times New Roman" w:hAnsi="Times New Roman" w:cs="Times New Roman"/>
          <w:b/>
          <w:i/>
          <w:sz w:val="24"/>
          <w:szCs w:val="24"/>
          <w:highlight w:val="none"/>
          <w:u w:val="single"/>
        </w:rPr>
      </w:pPr>
      <w:r>
        <w:rPr>
          <w:rFonts w:hint="eastAsia" w:ascii="Times New Roman" w:hAnsi="Times New Roman" w:cs="Times New Roman"/>
          <w:sz w:val="24"/>
          <w:szCs w:val="24"/>
          <w:highlight w:val="none"/>
        </w:rPr>
        <w:t>2.7.3 乙方提供的产品在质保期内出现质量问题时的解决方式及违约责任按</w:t>
      </w:r>
      <w:r>
        <w:rPr>
          <w:rFonts w:hint="eastAsia" w:ascii="Times New Roman" w:hAnsi="Times New Roman" w:cs="Times New Roman"/>
          <w:b/>
          <w:i/>
          <w:sz w:val="24"/>
          <w:szCs w:val="24"/>
          <w:highlight w:val="none"/>
          <w:u w:val="single"/>
        </w:rPr>
        <w:t>合同专用条款1.6.7履行。</w:t>
      </w:r>
    </w:p>
    <w:p w14:paraId="334193C6">
      <w:pPr>
        <w:keepNext w:val="0"/>
        <w:keepLines w:val="0"/>
        <w:pageBreakBefore w:val="0"/>
        <w:kinsoku/>
        <w:wordWrap/>
        <w:overflowPunct/>
        <w:topLinePunct w:val="0"/>
        <w:bidi w:val="0"/>
        <w:spacing w:line="500" w:lineRule="exact"/>
        <w:ind w:firstLine="480" w:firstLineChars="200"/>
        <w:textAlignment w:val="auto"/>
        <w:rPr>
          <w:rFonts w:ascii="Times New Roman" w:hAnsi="Times New Roman" w:cs="Times New Roman"/>
          <w:sz w:val="24"/>
          <w:szCs w:val="24"/>
          <w:highlight w:val="none"/>
        </w:rPr>
      </w:pPr>
      <w:bookmarkStart w:id="497" w:name="_Toc17244"/>
      <w:bookmarkStart w:id="498" w:name="_Toc279701252"/>
      <w:bookmarkStart w:id="499" w:name="_Toc259093681"/>
      <w:bookmarkStart w:id="500" w:name="_Toc487900362"/>
      <w:r>
        <w:rPr>
          <w:rFonts w:ascii="Times New Roman" w:hAnsi="Times New Roman" w:cs="Times New Roman"/>
          <w:sz w:val="24"/>
          <w:szCs w:val="24"/>
          <w:highlight w:val="none"/>
        </w:rPr>
        <w:t>2.8 货物的风险负担</w:t>
      </w:r>
      <w:bookmarkEnd w:id="497"/>
    </w:p>
    <w:p w14:paraId="173C13F9">
      <w:pPr>
        <w:keepNext w:val="0"/>
        <w:keepLines w:val="0"/>
        <w:pageBreakBefore w:val="0"/>
        <w:kinsoku/>
        <w:wordWrap/>
        <w:overflowPunct/>
        <w:topLinePunct w:val="0"/>
        <w:bidi w:val="0"/>
        <w:spacing w:line="500" w:lineRule="exact"/>
        <w:ind w:firstLine="480" w:firstLineChars="200"/>
        <w:textAlignment w:val="auto"/>
        <w:rPr>
          <w:b/>
          <w:sz w:val="24"/>
          <w:szCs w:val="24"/>
          <w:highlight w:val="none"/>
        </w:rPr>
      </w:pPr>
      <w:r>
        <w:rPr>
          <w:sz w:val="24"/>
          <w:szCs w:val="24"/>
          <w:highlight w:val="none"/>
        </w:rPr>
        <w:t>货物或者在途货物或者交付给第一承运人后的货物毁损、灭失的风险负担详见</w:t>
      </w:r>
      <w:r>
        <w:rPr>
          <w:b/>
          <w:i/>
          <w:sz w:val="24"/>
          <w:szCs w:val="24"/>
          <w:highlight w:val="none"/>
          <w:u w:val="single"/>
        </w:rPr>
        <w:t>合同专用条款</w:t>
      </w:r>
      <w:r>
        <w:rPr>
          <w:sz w:val="24"/>
          <w:szCs w:val="24"/>
          <w:highlight w:val="none"/>
        </w:rPr>
        <w:t>。</w:t>
      </w:r>
    </w:p>
    <w:p w14:paraId="0802817E">
      <w:pPr>
        <w:keepNext w:val="0"/>
        <w:keepLines w:val="0"/>
        <w:pageBreakBefore w:val="0"/>
        <w:kinsoku/>
        <w:wordWrap/>
        <w:overflowPunct/>
        <w:topLinePunct w:val="0"/>
        <w:bidi w:val="0"/>
        <w:spacing w:line="500" w:lineRule="exact"/>
        <w:ind w:firstLine="482" w:firstLineChars="200"/>
        <w:textAlignment w:val="auto"/>
        <w:outlineLvl w:val="0"/>
        <w:rPr>
          <w:b/>
          <w:sz w:val="24"/>
          <w:szCs w:val="24"/>
          <w:highlight w:val="none"/>
        </w:rPr>
      </w:pPr>
      <w:bookmarkStart w:id="501" w:name="_Toc14055"/>
      <w:r>
        <w:rPr>
          <w:b/>
          <w:sz w:val="24"/>
          <w:szCs w:val="24"/>
          <w:highlight w:val="none"/>
        </w:rPr>
        <w:t>2.9 延迟交货</w:t>
      </w:r>
      <w:bookmarkEnd w:id="498"/>
      <w:bookmarkEnd w:id="499"/>
      <w:bookmarkEnd w:id="500"/>
      <w:bookmarkEnd w:id="501"/>
    </w:p>
    <w:p w14:paraId="47165994">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A2C7ADE">
      <w:pPr>
        <w:keepNext w:val="0"/>
        <w:keepLines w:val="0"/>
        <w:pageBreakBefore w:val="0"/>
        <w:kinsoku/>
        <w:wordWrap/>
        <w:overflowPunct/>
        <w:topLinePunct w:val="0"/>
        <w:bidi w:val="0"/>
        <w:spacing w:line="500" w:lineRule="exact"/>
        <w:ind w:firstLine="482" w:firstLineChars="200"/>
        <w:textAlignment w:val="auto"/>
        <w:outlineLvl w:val="0"/>
        <w:rPr>
          <w:b/>
          <w:sz w:val="24"/>
          <w:szCs w:val="24"/>
          <w:highlight w:val="none"/>
        </w:rPr>
      </w:pPr>
      <w:bookmarkStart w:id="502" w:name="_Toc7502"/>
      <w:bookmarkStart w:id="503" w:name="_Ref467378121"/>
      <w:bookmarkStart w:id="504" w:name="_Toc259093683"/>
      <w:bookmarkStart w:id="505" w:name="_Toc279701254"/>
      <w:bookmarkStart w:id="506" w:name="_Toc487900364"/>
      <w:r>
        <w:rPr>
          <w:b/>
          <w:sz w:val="24"/>
          <w:szCs w:val="24"/>
          <w:highlight w:val="none"/>
        </w:rPr>
        <w:t>2.10 合同变更</w:t>
      </w:r>
      <w:bookmarkEnd w:id="502"/>
    </w:p>
    <w:p w14:paraId="1711EA2D">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507" w:name="_Toc279701259"/>
      <w:bookmarkStart w:id="508" w:name="_Toc259093688"/>
      <w:bookmarkStart w:id="509" w:name="_Toc487900369"/>
    </w:p>
    <w:p w14:paraId="29E604D6">
      <w:pPr>
        <w:keepNext w:val="0"/>
        <w:keepLines w:val="0"/>
        <w:pageBreakBefore w:val="0"/>
        <w:kinsoku/>
        <w:wordWrap/>
        <w:overflowPunct/>
        <w:topLinePunct w:val="0"/>
        <w:bidi w:val="0"/>
        <w:spacing w:line="500" w:lineRule="exact"/>
        <w:ind w:firstLine="482" w:firstLineChars="200"/>
        <w:textAlignment w:val="auto"/>
        <w:outlineLvl w:val="0"/>
        <w:rPr>
          <w:b/>
          <w:sz w:val="24"/>
          <w:szCs w:val="24"/>
          <w:highlight w:val="none"/>
        </w:rPr>
      </w:pPr>
      <w:bookmarkStart w:id="510" w:name="_Toc10366"/>
      <w:bookmarkStart w:id="511" w:name="_Toc22955"/>
      <w:bookmarkStart w:id="512" w:name="_Toc15237"/>
      <w:r>
        <w:rPr>
          <w:b/>
          <w:sz w:val="24"/>
          <w:szCs w:val="24"/>
          <w:highlight w:val="none"/>
        </w:rPr>
        <w:t>2.11 合同转让</w:t>
      </w:r>
      <w:bookmarkEnd w:id="507"/>
      <w:bookmarkEnd w:id="508"/>
      <w:bookmarkEnd w:id="509"/>
      <w:r>
        <w:rPr>
          <w:b/>
          <w:sz w:val="24"/>
          <w:szCs w:val="24"/>
          <w:highlight w:val="none"/>
        </w:rPr>
        <w:t>和分包</w:t>
      </w:r>
      <w:bookmarkEnd w:id="510"/>
      <w:bookmarkEnd w:id="511"/>
      <w:bookmarkEnd w:id="512"/>
    </w:p>
    <w:p w14:paraId="00B8A5FE">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E1B101D">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2.11.2乙方采取分包方式履行合同的，甲方可直接向分包供应商支付款项。</w:t>
      </w:r>
    </w:p>
    <w:p w14:paraId="19A5166E">
      <w:pPr>
        <w:keepNext w:val="0"/>
        <w:keepLines w:val="0"/>
        <w:pageBreakBefore w:val="0"/>
        <w:kinsoku/>
        <w:wordWrap/>
        <w:overflowPunct/>
        <w:topLinePunct w:val="0"/>
        <w:bidi w:val="0"/>
        <w:spacing w:line="500" w:lineRule="exact"/>
        <w:ind w:firstLine="482" w:firstLineChars="200"/>
        <w:textAlignment w:val="auto"/>
        <w:outlineLvl w:val="0"/>
        <w:rPr>
          <w:b/>
          <w:sz w:val="24"/>
          <w:szCs w:val="24"/>
          <w:highlight w:val="none"/>
        </w:rPr>
      </w:pPr>
      <w:bookmarkStart w:id="513" w:name="_Toc16508"/>
      <w:bookmarkStart w:id="514" w:name="_Toc13566"/>
      <w:bookmarkStart w:id="515" w:name="_Toc14066"/>
      <w:r>
        <w:rPr>
          <w:b/>
          <w:sz w:val="24"/>
          <w:szCs w:val="24"/>
          <w:highlight w:val="none"/>
        </w:rPr>
        <w:t>2.12 不可抗力</w:t>
      </w:r>
      <w:bookmarkEnd w:id="513"/>
      <w:bookmarkEnd w:id="514"/>
      <w:bookmarkEnd w:id="515"/>
    </w:p>
    <w:p w14:paraId="094562CF">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2.12.1如果任何一方遭遇法律规定的不可抗力，致使合同履行受阻时，履行合同的期限应予延长，延长的期限应相当于不可抗力所影响的时间；</w:t>
      </w:r>
    </w:p>
    <w:p w14:paraId="155D6456">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2.12.2 因不可抗力致使不能实现合同目的的，当事人可以解除合同；</w:t>
      </w:r>
    </w:p>
    <w:p w14:paraId="0B48E154">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2.12.3 因不可抗力致使合同有变更必要的，双方当事人应在</w:t>
      </w:r>
      <w:r>
        <w:rPr>
          <w:b/>
          <w:i/>
          <w:sz w:val="24"/>
          <w:szCs w:val="24"/>
          <w:highlight w:val="none"/>
          <w:u w:val="single"/>
        </w:rPr>
        <w:t>合同专用条款</w:t>
      </w:r>
      <w:r>
        <w:rPr>
          <w:sz w:val="24"/>
          <w:szCs w:val="24"/>
          <w:highlight w:val="none"/>
        </w:rPr>
        <w:t>约定时间内以书面形式变更合同；</w:t>
      </w:r>
    </w:p>
    <w:p w14:paraId="3C510A9D">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2.12.4受不可抗力影响的一方在不可抗力发生后，应在</w:t>
      </w:r>
      <w:r>
        <w:rPr>
          <w:b/>
          <w:i/>
          <w:sz w:val="24"/>
          <w:szCs w:val="24"/>
          <w:highlight w:val="none"/>
          <w:u w:val="single"/>
        </w:rPr>
        <w:t>合同专用条款</w:t>
      </w:r>
      <w:r>
        <w:rPr>
          <w:sz w:val="24"/>
          <w:szCs w:val="24"/>
          <w:highlight w:val="none"/>
        </w:rPr>
        <w:t>约定时间内以书面形式通知对方当事人，并在</w:t>
      </w:r>
      <w:r>
        <w:rPr>
          <w:b/>
          <w:i/>
          <w:sz w:val="24"/>
          <w:szCs w:val="24"/>
          <w:highlight w:val="none"/>
          <w:u w:val="single"/>
        </w:rPr>
        <w:t>合同专用条款</w:t>
      </w:r>
      <w:r>
        <w:rPr>
          <w:sz w:val="24"/>
          <w:szCs w:val="24"/>
          <w:highlight w:val="none"/>
        </w:rPr>
        <w:t>约定时间内，将有关部门出具的证明文件送达对方当事人。</w:t>
      </w:r>
    </w:p>
    <w:p w14:paraId="54734D58">
      <w:pPr>
        <w:keepNext w:val="0"/>
        <w:keepLines w:val="0"/>
        <w:pageBreakBefore w:val="0"/>
        <w:kinsoku/>
        <w:wordWrap/>
        <w:overflowPunct/>
        <w:topLinePunct w:val="0"/>
        <w:bidi w:val="0"/>
        <w:spacing w:line="500" w:lineRule="exact"/>
        <w:ind w:firstLine="482" w:firstLineChars="200"/>
        <w:textAlignment w:val="auto"/>
        <w:outlineLvl w:val="0"/>
        <w:rPr>
          <w:b/>
          <w:sz w:val="24"/>
          <w:szCs w:val="24"/>
          <w:highlight w:val="none"/>
        </w:rPr>
      </w:pPr>
      <w:bookmarkStart w:id="516" w:name="_Toc259093684"/>
      <w:bookmarkStart w:id="517" w:name="_Toc6969"/>
      <w:bookmarkStart w:id="518" w:name="_Toc689"/>
      <w:bookmarkStart w:id="519" w:name="_Toc279701255"/>
      <w:bookmarkStart w:id="520" w:name="_Toc487900365"/>
      <w:bookmarkStart w:id="521" w:name="_Toc30676"/>
      <w:r>
        <w:rPr>
          <w:b/>
          <w:sz w:val="24"/>
          <w:szCs w:val="24"/>
          <w:highlight w:val="none"/>
        </w:rPr>
        <w:t>2.13 税费</w:t>
      </w:r>
      <w:bookmarkEnd w:id="516"/>
      <w:bookmarkEnd w:id="517"/>
      <w:bookmarkEnd w:id="518"/>
      <w:bookmarkEnd w:id="519"/>
      <w:bookmarkEnd w:id="520"/>
      <w:bookmarkEnd w:id="521"/>
    </w:p>
    <w:p w14:paraId="7C94154D">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与合同有关的一切税费，均按照中华人民共和国法律的相关规定。</w:t>
      </w:r>
    </w:p>
    <w:p w14:paraId="183651CF">
      <w:pPr>
        <w:keepNext w:val="0"/>
        <w:keepLines w:val="0"/>
        <w:pageBreakBefore w:val="0"/>
        <w:kinsoku/>
        <w:wordWrap/>
        <w:overflowPunct/>
        <w:topLinePunct w:val="0"/>
        <w:bidi w:val="0"/>
        <w:spacing w:line="500" w:lineRule="exact"/>
        <w:ind w:firstLine="482" w:firstLineChars="200"/>
        <w:textAlignment w:val="auto"/>
        <w:outlineLvl w:val="0"/>
        <w:rPr>
          <w:b/>
          <w:sz w:val="24"/>
          <w:szCs w:val="24"/>
          <w:highlight w:val="none"/>
        </w:rPr>
      </w:pPr>
      <w:bookmarkStart w:id="522" w:name="_Toc259093687"/>
      <w:bookmarkStart w:id="523" w:name="_Toc487900368"/>
      <w:bookmarkStart w:id="524" w:name="_Toc279701258"/>
      <w:bookmarkStart w:id="525" w:name="_Toc8298"/>
      <w:bookmarkStart w:id="526" w:name="_Toc7102"/>
      <w:bookmarkStart w:id="527" w:name="_Toc16959"/>
      <w:r>
        <w:rPr>
          <w:b/>
          <w:sz w:val="24"/>
          <w:szCs w:val="24"/>
          <w:highlight w:val="none"/>
        </w:rPr>
        <w:t>2.14乙方破产</w:t>
      </w:r>
      <w:bookmarkEnd w:id="522"/>
      <w:bookmarkEnd w:id="523"/>
      <w:bookmarkEnd w:id="524"/>
      <w:bookmarkEnd w:id="525"/>
      <w:bookmarkEnd w:id="526"/>
      <w:bookmarkEnd w:id="527"/>
    </w:p>
    <w:p w14:paraId="64FE3EC1">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197D2CD">
      <w:pPr>
        <w:keepNext w:val="0"/>
        <w:keepLines w:val="0"/>
        <w:pageBreakBefore w:val="0"/>
        <w:kinsoku/>
        <w:wordWrap/>
        <w:overflowPunct/>
        <w:topLinePunct w:val="0"/>
        <w:bidi w:val="0"/>
        <w:spacing w:line="500" w:lineRule="exact"/>
        <w:ind w:firstLine="482" w:firstLineChars="200"/>
        <w:textAlignment w:val="auto"/>
        <w:outlineLvl w:val="0"/>
        <w:rPr>
          <w:b/>
          <w:sz w:val="24"/>
          <w:szCs w:val="24"/>
          <w:highlight w:val="none"/>
        </w:rPr>
      </w:pPr>
      <w:bookmarkStart w:id="528" w:name="_Toc29333"/>
      <w:bookmarkStart w:id="529" w:name="_Toc6134"/>
      <w:bookmarkStart w:id="530" w:name="_Toc15387"/>
      <w:r>
        <w:rPr>
          <w:b/>
          <w:sz w:val="24"/>
          <w:szCs w:val="24"/>
          <w:highlight w:val="none"/>
        </w:rPr>
        <w:t>2.15 合同中止、终止</w:t>
      </w:r>
      <w:bookmarkEnd w:id="528"/>
      <w:bookmarkEnd w:id="529"/>
      <w:bookmarkEnd w:id="530"/>
    </w:p>
    <w:p w14:paraId="32687E2F">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2.15.1 双方当事人不得擅自中止或者终止合同；</w:t>
      </w:r>
    </w:p>
    <w:p w14:paraId="4DC4468D">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2.15.2合同继续履行将损害国家利益和社会公共利益的，双方当事人应当中止或者终止合同。有过错的一方应当承担赔偿责任，双方当事人都有过错的，各自承担相应的责任。</w:t>
      </w:r>
    </w:p>
    <w:p w14:paraId="3EA9935A">
      <w:pPr>
        <w:keepNext w:val="0"/>
        <w:keepLines w:val="0"/>
        <w:pageBreakBefore w:val="0"/>
        <w:kinsoku/>
        <w:wordWrap/>
        <w:overflowPunct/>
        <w:topLinePunct w:val="0"/>
        <w:bidi w:val="0"/>
        <w:spacing w:line="500" w:lineRule="exact"/>
        <w:ind w:firstLine="482" w:firstLineChars="200"/>
        <w:textAlignment w:val="auto"/>
        <w:outlineLvl w:val="0"/>
        <w:rPr>
          <w:b/>
          <w:sz w:val="24"/>
          <w:szCs w:val="24"/>
          <w:highlight w:val="none"/>
        </w:rPr>
      </w:pPr>
      <w:bookmarkStart w:id="531" w:name="_Toc14563"/>
      <w:bookmarkStart w:id="532" w:name="_Toc1125"/>
      <w:bookmarkStart w:id="533" w:name="_Toc6596"/>
      <w:r>
        <w:rPr>
          <w:b/>
          <w:sz w:val="24"/>
          <w:szCs w:val="24"/>
          <w:highlight w:val="none"/>
        </w:rPr>
        <w:t>2.16检验和验收</w:t>
      </w:r>
      <w:bookmarkEnd w:id="531"/>
      <w:bookmarkEnd w:id="532"/>
      <w:bookmarkEnd w:id="533"/>
    </w:p>
    <w:p w14:paraId="46AD6183">
      <w:pPr>
        <w:keepNext w:val="0"/>
        <w:keepLines w:val="0"/>
        <w:pageBreakBefore w:val="0"/>
        <w:tabs>
          <w:tab w:val="left" w:pos="360"/>
          <w:tab w:val="left" w:pos="540"/>
          <w:tab w:val="left" w:pos="1080"/>
        </w:tabs>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2.16.1货物交付前，乙方应对货物的质量、数量等方面进行详细、全面的检验，并向甲方出具证明货物符合合同约定的文件；货物交付时，乙方在</w:t>
      </w:r>
      <w:r>
        <w:rPr>
          <w:b/>
          <w:i/>
          <w:sz w:val="24"/>
          <w:szCs w:val="24"/>
          <w:highlight w:val="none"/>
          <w:u w:val="single"/>
        </w:rPr>
        <w:t>合同专用条款</w:t>
      </w:r>
      <w:r>
        <w:rPr>
          <w:sz w:val="24"/>
          <w:szCs w:val="24"/>
          <w:highlight w:val="none"/>
        </w:rPr>
        <w:t>约定时间内组织验收，并可依法邀请相关方参加，验收应出具验收书。</w:t>
      </w:r>
    </w:p>
    <w:p w14:paraId="056AF4FB">
      <w:pPr>
        <w:keepNext w:val="0"/>
        <w:keepLines w:val="0"/>
        <w:pageBreakBefore w:val="0"/>
        <w:tabs>
          <w:tab w:val="left" w:pos="360"/>
          <w:tab w:val="left" w:pos="540"/>
          <w:tab w:val="left" w:pos="1080"/>
        </w:tabs>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AD72A68">
      <w:pPr>
        <w:keepNext w:val="0"/>
        <w:keepLines w:val="0"/>
        <w:pageBreakBefore w:val="0"/>
        <w:tabs>
          <w:tab w:val="left" w:pos="360"/>
          <w:tab w:val="left" w:pos="540"/>
          <w:tab w:val="left" w:pos="1080"/>
        </w:tabs>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2.16.3 检验和验收标准、程序等具体内容以及前述验收书的效力详见</w:t>
      </w:r>
      <w:r>
        <w:rPr>
          <w:b/>
          <w:i/>
          <w:sz w:val="24"/>
          <w:szCs w:val="24"/>
          <w:highlight w:val="none"/>
          <w:u w:val="single"/>
        </w:rPr>
        <w:t>合同专用条款</w:t>
      </w:r>
      <w:r>
        <w:rPr>
          <w:i/>
          <w:sz w:val="24"/>
          <w:szCs w:val="24"/>
          <w:highlight w:val="none"/>
        </w:rPr>
        <w:t>。</w:t>
      </w:r>
      <w:bookmarkEnd w:id="503"/>
      <w:bookmarkEnd w:id="504"/>
      <w:bookmarkEnd w:id="505"/>
      <w:bookmarkEnd w:id="506"/>
    </w:p>
    <w:p w14:paraId="2403CE26">
      <w:pPr>
        <w:keepNext w:val="0"/>
        <w:keepLines w:val="0"/>
        <w:pageBreakBefore w:val="0"/>
        <w:kinsoku/>
        <w:wordWrap/>
        <w:overflowPunct/>
        <w:topLinePunct w:val="0"/>
        <w:bidi w:val="0"/>
        <w:spacing w:line="500" w:lineRule="exact"/>
        <w:ind w:firstLine="482" w:firstLineChars="200"/>
        <w:textAlignment w:val="auto"/>
        <w:outlineLvl w:val="0"/>
        <w:rPr>
          <w:b/>
          <w:sz w:val="24"/>
          <w:szCs w:val="24"/>
          <w:highlight w:val="none"/>
        </w:rPr>
      </w:pPr>
      <w:bookmarkStart w:id="534" w:name="_Toc259093690"/>
      <w:bookmarkStart w:id="535" w:name="_Toc487900371"/>
      <w:bookmarkStart w:id="536" w:name="_Toc279701261"/>
      <w:bookmarkStart w:id="537" w:name="_Toc25182"/>
      <w:bookmarkStart w:id="538" w:name="_Toc11284"/>
      <w:bookmarkStart w:id="539" w:name="_Toc19604"/>
      <w:r>
        <w:rPr>
          <w:b/>
          <w:sz w:val="24"/>
          <w:szCs w:val="24"/>
          <w:highlight w:val="none"/>
        </w:rPr>
        <w:t>2.17 通知</w:t>
      </w:r>
      <w:bookmarkEnd w:id="534"/>
      <w:bookmarkEnd w:id="535"/>
      <w:bookmarkEnd w:id="536"/>
      <w:r>
        <w:rPr>
          <w:b/>
          <w:sz w:val="24"/>
          <w:szCs w:val="24"/>
          <w:highlight w:val="none"/>
        </w:rPr>
        <w:t>和送达</w:t>
      </w:r>
      <w:bookmarkEnd w:id="537"/>
      <w:bookmarkEnd w:id="538"/>
      <w:bookmarkEnd w:id="539"/>
    </w:p>
    <w:p w14:paraId="2F9F52FE">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bookmarkStart w:id="540" w:name="_Toc6698"/>
      <w:bookmarkStart w:id="541" w:name="_Toc3135"/>
      <w:bookmarkStart w:id="542" w:name="_Toc487900372"/>
      <w:bookmarkStart w:id="543" w:name="_Toc279701262"/>
      <w:bookmarkStart w:id="544" w:name="_Toc259093691"/>
      <w:r>
        <w:rPr>
          <w:sz w:val="24"/>
          <w:szCs w:val="24"/>
          <w:highlight w:val="none"/>
        </w:rPr>
        <w:t xml:space="preserve">2.17.1任何一方因履行合同而以合同第一部分尾部所列明的传真或电子邮件 </w:t>
      </w:r>
      <w:r>
        <w:rPr>
          <w:sz w:val="24"/>
          <w:szCs w:val="24"/>
          <w:highlight w:val="none"/>
          <w:u w:val="single"/>
        </w:rPr>
        <w:t xml:space="preserve">       </w:t>
      </w:r>
      <w:r>
        <w:rPr>
          <w:sz w:val="24"/>
          <w:szCs w:val="24"/>
          <w:highlight w:val="none"/>
        </w:rPr>
        <w:t>发出的所有通知、文件、材料，均视为已向对方当事人送达；任何一方变更上述送达方式或者地址的，应于</w:t>
      </w:r>
      <w:r>
        <w:rPr>
          <w:sz w:val="24"/>
          <w:szCs w:val="24"/>
          <w:highlight w:val="none"/>
          <w:u w:val="single"/>
        </w:rPr>
        <w:t>3</w:t>
      </w:r>
      <w:r>
        <w:rPr>
          <w:sz w:val="24"/>
          <w:szCs w:val="24"/>
          <w:highlight w:val="none"/>
        </w:rPr>
        <w:t>个工作日内书面通知对方当事人，在对方当事人收到有关变更通知之前，变更前的约定送达方式或者地址仍视为有效。</w:t>
      </w:r>
      <w:bookmarkEnd w:id="540"/>
      <w:bookmarkEnd w:id="541"/>
    </w:p>
    <w:p w14:paraId="0E4EBC4D">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bookmarkStart w:id="545" w:name="_Toc23128"/>
      <w:bookmarkStart w:id="546" w:name="_Toc23294"/>
      <w:r>
        <w:rPr>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5"/>
      <w:bookmarkEnd w:id="546"/>
    </w:p>
    <w:p w14:paraId="3C443A20">
      <w:pPr>
        <w:keepNext w:val="0"/>
        <w:keepLines w:val="0"/>
        <w:pageBreakBefore w:val="0"/>
        <w:kinsoku/>
        <w:wordWrap/>
        <w:overflowPunct/>
        <w:topLinePunct w:val="0"/>
        <w:bidi w:val="0"/>
        <w:spacing w:line="500" w:lineRule="exact"/>
        <w:ind w:firstLine="482" w:firstLineChars="200"/>
        <w:textAlignment w:val="auto"/>
        <w:outlineLvl w:val="0"/>
        <w:rPr>
          <w:b/>
          <w:sz w:val="24"/>
          <w:szCs w:val="24"/>
          <w:highlight w:val="none"/>
        </w:rPr>
      </w:pPr>
      <w:bookmarkStart w:id="547" w:name="_Toc18540"/>
      <w:bookmarkStart w:id="548" w:name="_Toc4355"/>
      <w:bookmarkStart w:id="549" w:name="_Toc30599"/>
      <w:r>
        <w:rPr>
          <w:b/>
          <w:sz w:val="24"/>
          <w:szCs w:val="24"/>
          <w:highlight w:val="none"/>
        </w:rPr>
        <w:t>2.18 计量单位</w:t>
      </w:r>
      <w:bookmarkEnd w:id="542"/>
      <w:bookmarkEnd w:id="543"/>
      <w:bookmarkEnd w:id="544"/>
      <w:bookmarkEnd w:id="547"/>
      <w:bookmarkEnd w:id="548"/>
      <w:bookmarkEnd w:id="549"/>
    </w:p>
    <w:p w14:paraId="3F2CE4EB">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除技术规范中另有规定外,合同的计量单位均使用国家法定计量单位。</w:t>
      </w:r>
    </w:p>
    <w:p w14:paraId="7B81ED20">
      <w:pPr>
        <w:keepNext w:val="0"/>
        <w:keepLines w:val="0"/>
        <w:pageBreakBefore w:val="0"/>
        <w:kinsoku/>
        <w:wordWrap/>
        <w:overflowPunct/>
        <w:topLinePunct w:val="0"/>
        <w:bidi w:val="0"/>
        <w:spacing w:line="500" w:lineRule="exact"/>
        <w:ind w:firstLine="482" w:firstLineChars="200"/>
        <w:textAlignment w:val="auto"/>
        <w:outlineLvl w:val="0"/>
        <w:rPr>
          <w:b/>
          <w:sz w:val="24"/>
          <w:szCs w:val="24"/>
          <w:highlight w:val="none"/>
        </w:rPr>
      </w:pPr>
      <w:bookmarkStart w:id="550" w:name="_Toc487900373"/>
      <w:bookmarkStart w:id="551" w:name="_Toc259093692"/>
      <w:bookmarkStart w:id="552" w:name="_Toc279701263"/>
      <w:bookmarkStart w:id="553" w:name="_Toc10330"/>
      <w:bookmarkStart w:id="554" w:name="_Toc18567"/>
      <w:bookmarkStart w:id="555" w:name="_Toc12773"/>
      <w:r>
        <w:rPr>
          <w:b/>
          <w:sz w:val="24"/>
          <w:szCs w:val="24"/>
          <w:highlight w:val="none"/>
        </w:rPr>
        <w:t>2.19 合同使用的文字和适用的法律</w:t>
      </w:r>
      <w:bookmarkEnd w:id="550"/>
      <w:bookmarkEnd w:id="551"/>
      <w:bookmarkEnd w:id="552"/>
      <w:bookmarkEnd w:id="553"/>
      <w:bookmarkEnd w:id="554"/>
      <w:bookmarkEnd w:id="555"/>
    </w:p>
    <w:p w14:paraId="5E5B0639">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2.19.1 合同使用汉语书就、变更和解释；</w:t>
      </w:r>
    </w:p>
    <w:p w14:paraId="08E08ABB">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2.19.2 合同适用中华人民共和国法律。</w:t>
      </w:r>
    </w:p>
    <w:p w14:paraId="46D321A7">
      <w:pPr>
        <w:keepNext w:val="0"/>
        <w:keepLines w:val="0"/>
        <w:pageBreakBefore w:val="0"/>
        <w:kinsoku/>
        <w:wordWrap/>
        <w:overflowPunct/>
        <w:topLinePunct w:val="0"/>
        <w:bidi w:val="0"/>
        <w:spacing w:line="500" w:lineRule="exact"/>
        <w:ind w:firstLine="482" w:firstLineChars="200"/>
        <w:textAlignment w:val="auto"/>
        <w:outlineLvl w:val="0"/>
        <w:rPr>
          <w:b/>
          <w:sz w:val="24"/>
          <w:szCs w:val="24"/>
          <w:highlight w:val="none"/>
        </w:rPr>
      </w:pPr>
      <w:bookmarkStart w:id="556" w:name="_Toc16673"/>
      <w:bookmarkStart w:id="557" w:name="_Toc12004"/>
      <w:bookmarkStart w:id="558" w:name="_Toc279701264"/>
      <w:bookmarkStart w:id="559" w:name="_Toc259093693"/>
      <w:bookmarkStart w:id="560" w:name="_Toc3148"/>
      <w:bookmarkStart w:id="561" w:name="_Toc487900374"/>
      <w:r>
        <w:rPr>
          <w:b/>
          <w:sz w:val="24"/>
          <w:szCs w:val="24"/>
          <w:highlight w:val="none"/>
        </w:rPr>
        <w:t>2.20 履约保证金</w:t>
      </w:r>
      <w:bookmarkEnd w:id="556"/>
      <w:bookmarkEnd w:id="557"/>
      <w:bookmarkEnd w:id="558"/>
      <w:bookmarkEnd w:id="559"/>
      <w:bookmarkEnd w:id="560"/>
    </w:p>
    <w:p w14:paraId="7BB308A4">
      <w:pPr>
        <w:pStyle w:val="961"/>
        <w:keepNext w:val="0"/>
        <w:keepLines w:val="0"/>
        <w:pageBreakBefore w:val="0"/>
        <w:kinsoku/>
        <w:wordWrap/>
        <w:overflowPunct/>
        <w:topLinePunct w:val="0"/>
        <w:bidi w:val="0"/>
        <w:spacing w:before="0" w:beforeAutospacing="0" w:after="0" w:afterAutospacing="0" w:line="500" w:lineRule="exact"/>
        <w:ind w:firstLine="420"/>
        <w:textAlignment w:val="auto"/>
        <w:rPr>
          <w:rFonts w:ascii="Times New Roman" w:hAnsi="Times New Roman" w:cs="Times New Roman"/>
          <w:sz w:val="24"/>
          <w:szCs w:val="24"/>
          <w:highlight w:val="none"/>
        </w:rPr>
      </w:pPr>
      <w:r>
        <w:rPr>
          <w:rFonts w:ascii="Times New Roman" w:hAnsi="Times New Roman" w:cs="Times New Roman"/>
          <w:sz w:val="24"/>
          <w:szCs w:val="24"/>
          <w:highlight w:val="none"/>
        </w:rPr>
        <w:t>2.20.1 采购文件要求乙方提交履约保证金的，乙方应按</w:t>
      </w:r>
      <w:r>
        <w:rPr>
          <w:rFonts w:ascii="Times New Roman" w:hAnsi="Times New Roman" w:cs="Times New Roman"/>
          <w:b/>
          <w:i/>
          <w:sz w:val="24"/>
          <w:szCs w:val="24"/>
          <w:highlight w:val="none"/>
          <w:u w:val="single"/>
        </w:rPr>
        <w:t>合同专用条款</w:t>
      </w:r>
      <w:r>
        <w:rPr>
          <w:rFonts w:ascii="Times New Roman" w:hAnsi="Times New Roman" w:cs="Times New Roman"/>
          <w:sz w:val="24"/>
          <w:szCs w:val="24"/>
          <w:highlight w:val="none"/>
        </w:rPr>
        <w:t>约定的方式，以支票、汇票、本票或者金融机构、担保机构出具的保函等非现金形式，提交不超过合同金额1%的履约保证金；鼓励和支持乙方以银行、保险公司出具的保函形式提供履约保证。</w:t>
      </w:r>
    </w:p>
    <w:p w14:paraId="3C6AB6D6">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2.20.2  履约保证金在</w:t>
      </w:r>
      <w:r>
        <w:rPr>
          <w:b/>
          <w:i/>
          <w:sz w:val="24"/>
          <w:szCs w:val="24"/>
          <w:highlight w:val="none"/>
          <w:u w:val="single"/>
        </w:rPr>
        <w:t>合同专用条款</w:t>
      </w:r>
      <w:r>
        <w:rPr>
          <w:sz w:val="24"/>
          <w:szCs w:val="24"/>
          <w:highlight w:val="none"/>
        </w:rPr>
        <w:t>约定期间内不予退还。乙方在前述约定期间届满前能履行完合同约定义务事项的，甲方在前述约定期间届满之日起</w:t>
      </w:r>
      <w:r>
        <w:rPr>
          <w:sz w:val="24"/>
          <w:szCs w:val="24"/>
          <w:highlight w:val="none"/>
          <w:u w:val="single"/>
        </w:rPr>
        <w:t xml:space="preserve"> 5 </w:t>
      </w:r>
      <w:r>
        <w:rPr>
          <w:sz w:val="24"/>
          <w:szCs w:val="24"/>
          <w:highlight w:val="none"/>
        </w:rPr>
        <w:t>个工作日内，按</w:t>
      </w:r>
      <w:r>
        <w:rPr>
          <w:b/>
          <w:i/>
          <w:sz w:val="24"/>
          <w:szCs w:val="24"/>
          <w:highlight w:val="none"/>
          <w:u w:val="single"/>
        </w:rPr>
        <w:t>合同专用条款</w:t>
      </w:r>
      <w:r>
        <w:rPr>
          <w:sz w:val="24"/>
          <w:szCs w:val="24"/>
          <w:highlight w:val="none"/>
        </w:rPr>
        <w:t>约定的方式将履约保证金退还乙方，逾期退还的，乙方可要求甲方支付违约金，违约金按每迟延退还一日的应退还而未退还金额的</w:t>
      </w:r>
      <w:r>
        <w:rPr>
          <w:sz w:val="24"/>
          <w:szCs w:val="24"/>
          <w:highlight w:val="none"/>
          <w:u w:val="single"/>
        </w:rPr>
        <w:t xml:space="preserve">  0.05  </w:t>
      </w:r>
      <w:r>
        <w:rPr>
          <w:sz w:val="24"/>
          <w:szCs w:val="24"/>
          <w:highlight w:val="none"/>
        </w:rPr>
        <w:t>%计算，最高限额为本合同履约保证金的</w:t>
      </w:r>
      <w:r>
        <w:rPr>
          <w:sz w:val="24"/>
          <w:szCs w:val="24"/>
          <w:highlight w:val="none"/>
          <w:u w:val="single"/>
        </w:rPr>
        <w:t xml:space="preserve">  20   </w:t>
      </w:r>
      <w:r>
        <w:rPr>
          <w:sz w:val="24"/>
          <w:szCs w:val="24"/>
          <w:highlight w:val="none"/>
        </w:rPr>
        <w:t xml:space="preserve">%； </w:t>
      </w:r>
    </w:p>
    <w:p w14:paraId="60934879">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B545196">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2.20.4甲方在乙方履行完合同约定义务事项后及时退还，延迟退还的，应当按照合同约定和法律规定承担相应的赔偿责任。</w:t>
      </w:r>
    </w:p>
    <w:p w14:paraId="4B855A02">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2.21对于因甲方原因导致变更、中止或者终止政府采购合同的，甲方应当依照合同约定对供应商受到的损失予以赔偿或者补偿。</w:t>
      </w:r>
      <w:bookmarkEnd w:id="561"/>
    </w:p>
    <w:p w14:paraId="4DFCF053">
      <w:pPr>
        <w:keepNext w:val="0"/>
        <w:keepLines w:val="0"/>
        <w:pageBreakBefore w:val="0"/>
        <w:kinsoku/>
        <w:wordWrap/>
        <w:overflowPunct/>
        <w:topLinePunct w:val="0"/>
        <w:bidi w:val="0"/>
        <w:spacing w:line="500" w:lineRule="exact"/>
        <w:ind w:firstLine="482" w:firstLineChars="200"/>
        <w:textAlignment w:val="auto"/>
        <w:outlineLvl w:val="0"/>
        <w:rPr>
          <w:b/>
          <w:sz w:val="24"/>
          <w:szCs w:val="24"/>
          <w:highlight w:val="none"/>
        </w:rPr>
      </w:pPr>
      <w:bookmarkStart w:id="562" w:name="_Toc14001"/>
      <w:bookmarkStart w:id="563" w:name="_Toc19890"/>
      <w:bookmarkStart w:id="564" w:name="_Toc6885"/>
      <w:r>
        <w:rPr>
          <w:b/>
          <w:sz w:val="24"/>
          <w:szCs w:val="24"/>
          <w:highlight w:val="none"/>
        </w:rPr>
        <w:t>2.22合同份数</w:t>
      </w:r>
      <w:bookmarkEnd w:id="562"/>
      <w:bookmarkEnd w:id="563"/>
      <w:bookmarkEnd w:id="564"/>
    </w:p>
    <w:p w14:paraId="2C8C855D">
      <w:pPr>
        <w:keepNext w:val="0"/>
        <w:keepLines w:val="0"/>
        <w:pageBreakBefore w:val="0"/>
        <w:kinsoku/>
        <w:wordWrap/>
        <w:overflowPunct/>
        <w:topLinePunct w:val="0"/>
        <w:bidi w:val="0"/>
        <w:spacing w:line="500" w:lineRule="exact"/>
        <w:ind w:firstLine="480" w:firstLineChars="200"/>
        <w:textAlignment w:val="auto"/>
        <w:rPr>
          <w:sz w:val="24"/>
          <w:szCs w:val="24"/>
          <w:highlight w:val="none"/>
        </w:rPr>
      </w:pPr>
      <w:r>
        <w:rPr>
          <w:sz w:val="24"/>
          <w:szCs w:val="24"/>
          <w:highlight w:val="none"/>
        </w:rPr>
        <w:t>合同份数按</w:t>
      </w:r>
      <w:r>
        <w:rPr>
          <w:b/>
          <w:i/>
          <w:sz w:val="24"/>
          <w:szCs w:val="24"/>
          <w:highlight w:val="none"/>
          <w:u w:val="single"/>
        </w:rPr>
        <w:t>合同专用条款</w:t>
      </w:r>
      <w:r>
        <w:rPr>
          <w:sz w:val="24"/>
          <w:szCs w:val="24"/>
          <w:highlight w:val="none"/>
        </w:rPr>
        <w:t>规定，每份均具有同等法律效力。</w:t>
      </w:r>
    </w:p>
    <w:p w14:paraId="20D1DDDC">
      <w:pPr>
        <w:pStyle w:val="704"/>
        <w:keepNext w:val="0"/>
        <w:keepLines w:val="0"/>
        <w:pageBreakBefore w:val="0"/>
        <w:widowControl w:val="0"/>
        <w:kinsoku/>
        <w:wordWrap/>
        <w:overflowPunct/>
        <w:topLinePunct w:val="0"/>
        <w:bidi w:val="0"/>
        <w:adjustRightInd w:val="0"/>
        <w:spacing w:after="0" w:line="500" w:lineRule="exact"/>
        <w:ind w:left="0" w:leftChars="0" w:firstLine="0" w:firstLineChars="0"/>
        <w:jc w:val="center"/>
        <w:textAlignment w:val="auto"/>
        <w:rPr>
          <w:b/>
          <w:sz w:val="24"/>
          <w:szCs w:val="24"/>
          <w:highlight w:val="none"/>
        </w:rPr>
      </w:pPr>
      <w:r>
        <w:rPr>
          <w:kern w:val="0"/>
          <w:szCs w:val="24"/>
          <w:highlight w:val="none"/>
        </w:rPr>
        <w:br w:type="page"/>
      </w:r>
      <w:r>
        <w:rPr>
          <w:b/>
          <w:sz w:val="24"/>
          <w:szCs w:val="24"/>
          <w:highlight w:val="none"/>
        </w:rPr>
        <w:t>第三部分  合同专用条款</w:t>
      </w:r>
    </w:p>
    <w:p w14:paraId="0229A5A8">
      <w:pPr>
        <w:keepNext w:val="0"/>
        <w:keepLines w:val="0"/>
        <w:pageBreakBefore w:val="0"/>
        <w:widowControl w:val="0"/>
        <w:kinsoku/>
        <w:wordWrap/>
        <w:overflowPunct/>
        <w:topLinePunct w:val="0"/>
        <w:bidi w:val="0"/>
        <w:adjustRightInd w:val="0"/>
        <w:spacing w:line="500" w:lineRule="exact"/>
        <w:ind w:left="-420" w:leftChars="-200" w:right="-420" w:rightChars="-200" w:firstLine="480" w:firstLineChars="200"/>
        <w:textAlignment w:val="auto"/>
        <w:rPr>
          <w:highlight w:val="none"/>
        </w:rPr>
      </w:pPr>
      <w:r>
        <w:rPr>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613AC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noWrap w:val="0"/>
            <w:vAlign w:val="center"/>
          </w:tcPr>
          <w:p w14:paraId="3E50F28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b/>
                <w:sz w:val="24"/>
                <w:szCs w:val="24"/>
                <w:highlight w:val="none"/>
              </w:rPr>
            </w:pPr>
            <w:r>
              <w:rPr>
                <w:b/>
                <w:sz w:val="24"/>
                <w:szCs w:val="24"/>
                <w:highlight w:val="none"/>
              </w:rPr>
              <w:t>条款号</w:t>
            </w:r>
          </w:p>
        </w:tc>
        <w:tc>
          <w:tcPr>
            <w:tcW w:w="4533" w:type="pct"/>
            <w:noWrap w:val="0"/>
            <w:vAlign w:val="center"/>
          </w:tcPr>
          <w:p w14:paraId="1A7ABFE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b/>
                <w:sz w:val="24"/>
                <w:szCs w:val="24"/>
                <w:highlight w:val="none"/>
              </w:rPr>
            </w:pPr>
            <w:r>
              <w:rPr>
                <w:b/>
                <w:sz w:val="24"/>
                <w:szCs w:val="24"/>
                <w:highlight w:val="none"/>
              </w:rPr>
              <w:t>约定内容</w:t>
            </w:r>
          </w:p>
        </w:tc>
      </w:tr>
      <w:tr w14:paraId="324A2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69" w:hRule="atLeast"/>
        </w:trPr>
        <w:tc>
          <w:tcPr>
            <w:tcW w:w="466" w:type="pct"/>
            <w:tcBorders>
              <w:left w:val="single" w:color="auto" w:sz="4" w:space="0"/>
            </w:tcBorders>
            <w:noWrap w:val="0"/>
            <w:vAlign w:val="center"/>
          </w:tcPr>
          <w:p w14:paraId="39DC6E49">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1.4.4</w:t>
            </w:r>
          </w:p>
        </w:tc>
        <w:tc>
          <w:tcPr>
            <w:tcW w:w="4533" w:type="pct"/>
            <w:noWrap w:val="0"/>
            <w:vAlign w:val="center"/>
          </w:tcPr>
          <w:p w14:paraId="0DBAB6B2">
            <w:pPr>
              <w:pStyle w:val="961"/>
              <w:keepNext w:val="0"/>
              <w:keepLines w:val="0"/>
              <w:pageBreakBefore w:val="0"/>
              <w:kinsoku/>
              <w:wordWrap/>
              <w:overflowPunct/>
              <w:topLinePunct w:val="0"/>
              <w:autoSpaceDE/>
              <w:autoSpaceDN/>
              <w:bidi w:val="0"/>
              <w:snapToGrid/>
              <w:spacing w:before="0" w:beforeAutospacing="0" w:after="0" w:afterAutospacing="0" w:line="360" w:lineRule="exact"/>
              <w:textAlignment w:val="auto"/>
              <w:rPr>
                <w:rFonts w:hint="eastAsia" w:ascii="宋体" w:hAnsi="宋体" w:eastAsia="宋体" w:cs="宋体"/>
                <w:highlight w:val="none"/>
                <w:lang w:val="en-US" w:eastAsia="zh-CN"/>
              </w:rPr>
            </w:pPr>
            <w:r>
              <w:rPr>
                <w:sz w:val="24"/>
                <w:szCs w:val="24"/>
                <w:highlight w:val="none"/>
              </w:rPr>
              <w:t>资金支付的方式、时间和条件：1、普通方式：</w:t>
            </w:r>
            <w:r>
              <w:rPr>
                <w:rFonts w:hint="eastAsia" w:ascii="仿宋" w:hAnsi="仿宋" w:cs="仿宋"/>
                <w:kern w:val="0"/>
                <w:sz w:val="24"/>
                <w:szCs w:val="24"/>
                <w:highlight w:val="none"/>
                <w:lang w:val="en-US" w:eastAsia="zh-CN" w:bidi="ar-SA"/>
              </w:rPr>
              <w:t>车辆</w:t>
            </w:r>
            <w:r>
              <w:rPr>
                <w:rFonts w:hint="eastAsia" w:ascii="仿宋" w:hAnsi="仿宋" w:eastAsia="宋体" w:cs="仿宋"/>
                <w:kern w:val="0"/>
                <w:sz w:val="24"/>
                <w:szCs w:val="24"/>
                <w:highlight w:val="none"/>
                <w:lang w:val="en-US" w:eastAsia="zh-CN" w:bidi="ar-SA"/>
              </w:rPr>
              <w:t>到货</w:t>
            </w:r>
            <w:r>
              <w:rPr>
                <w:rFonts w:hint="eastAsia" w:ascii="仿宋" w:hAnsi="仿宋" w:cs="仿宋"/>
                <w:kern w:val="0"/>
                <w:sz w:val="24"/>
                <w:szCs w:val="24"/>
                <w:highlight w:val="none"/>
                <w:lang w:val="en-US" w:eastAsia="zh-CN" w:bidi="ar-SA"/>
              </w:rPr>
              <w:t>上牌、相关配套设备</w:t>
            </w:r>
            <w:r>
              <w:rPr>
                <w:rFonts w:hint="eastAsia" w:ascii="仿宋" w:hAnsi="仿宋" w:eastAsia="宋体" w:cs="仿宋"/>
                <w:kern w:val="0"/>
                <w:sz w:val="24"/>
                <w:szCs w:val="24"/>
                <w:highlight w:val="none"/>
                <w:lang w:val="en-US" w:eastAsia="zh-CN" w:bidi="ar-SA"/>
              </w:rPr>
              <w:t>安装调试完成</w:t>
            </w:r>
            <w:r>
              <w:rPr>
                <w:rFonts w:hint="eastAsia" w:ascii="仿宋" w:hAnsi="仿宋" w:cs="仿宋"/>
                <w:kern w:val="0"/>
                <w:sz w:val="24"/>
                <w:szCs w:val="24"/>
                <w:highlight w:val="none"/>
                <w:lang w:val="en-US" w:eastAsia="zh-CN" w:bidi="ar-SA"/>
              </w:rPr>
              <w:t>经</w:t>
            </w:r>
            <w:r>
              <w:rPr>
                <w:rFonts w:hint="eastAsia" w:ascii="仿宋" w:hAnsi="仿宋" w:eastAsia="宋体" w:cs="仿宋"/>
                <w:kern w:val="0"/>
                <w:sz w:val="24"/>
                <w:szCs w:val="24"/>
                <w:highlight w:val="none"/>
                <w:lang w:val="en-US" w:eastAsia="zh-CN" w:bidi="ar-SA"/>
              </w:rPr>
              <w:t>验收合格</w:t>
            </w:r>
            <w:r>
              <w:rPr>
                <w:rFonts w:hint="eastAsia" w:ascii="仿宋" w:hAnsi="仿宋" w:cs="仿宋"/>
                <w:kern w:val="0"/>
                <w:sz w:val="24"/>
                <w:szCs w:val="24"/>
                <w:highlight w:val="none"/>
                <w:lang w:val="en-US" w:eastAsia="zh-CN" w:bidi="ar-SA"/>
              </w:rPr>
              <w:t>后，</w:t>
            </w:r>
            <w:r>
              <w:rPr>
                <w:rFonts w:hint="eastAsia" w:ascii="仿宋" w:hAnsi="仿宋" w:eastAsia="宋体" w:cs="仿宋"/>
                <w:kern w:val="0"/>
                <w:sz w:val="24"/>
                <w:szCs w:val="24"/>
                <w:highlight w:val="none"/>
                <w:lang w:val="en-US" w:eastAsia="zh-CN" w:bidi="ar-SA"/>
              </w:rPr>
              <w:t>在收到乙方</w:t>
            </w:r>
            <w:r>
              <w:rPr>
                <w:rFonts w:hint="eastAsia" w:ascii="仿宋" w:hAnsi="仿宋" w:cs="仿宋"/>
                <w:sz w:val="24"/>
                <w:szCs w:val="24"/>
                <w:highlight w:val="none"/>
              </w:rPr>
              <w:t>全额、有效的增值税专用发票</w:t>
            </w:r>
            <w:r>
              <w:rPr>
                <w:rFonts w:hint="eastAsia" w:ascii="仿宋" w:hAnsi="仿宋" w:eastAsia="宋体" w:cs="仿宋"/>
                <w:kern w:val="0"/>
                <w:sz w:val="24"/>
                <w:szCs w:val="24"/>
                <w:highlight w:val="none"/>
                <w:lang w:val="en-US" w:eastAsia="zh-CN" w:bidi="ar-SA"/>
              </w:rPr>
              <w:t>后在7个工作日内支付合同总额的100%。</w:t>
            </w:r>
          </w:p>
          <w:p w14:paraId="1180E13D">
            <w:pPr>
              <w:keepNext w:val="0"/>
              <w:keepLines w:val="0"/>
              <w:pageBreakBefore w:val="0"/>
              <w:widowControl w:val="0"/>
              <w:kinsoku/>
              <w:wordWrap/>
              <w:overflowPunct/>
              <w:topLinePunct w:val="0"/>
              <w:autoSpaceDE/>
              <w:autoSpaceDN/>
              <w:bidi w:val="0"/>
              <w:adjustRightInd w:val="0"/>
              <w:snapToGrid/>
              <w:spacing w:line="360" w:lineRule="exact"/>
              <w:textAlignment w:val="auto"/>
              <w:rPr>
                <w:sz w:val="24"/>
                <w:szCs w:val="24"/>
                <w:highlight w:val="none"/>
              </w:rPr>
            </w:pPr>
            <w:r>
              <w:rPr>
                <w:sz w:val="24"/>
                <w:szCs w:val="24"/>
                <w:highlight w:val="none"/>
              </w:rPr>
              <w:t>2、中小企业方式：预付款金额为合同款金额的40%。在合同签订生效并具备实施条件后，中标人须向采购人提交与预付款等额的“预付款保函”。买方在收到“预付款保函”后7个工作日内支付预付款；合同总金额的60%，在</w:t>
            </w:r>
            <w:r>
              <w:rPr>
                <w:rFonts w:hint="eastAsia" w:ascii="仿宋" w:hAnsi="仿宋" w:cs="仿宋"/>
                <w:kern w:val="0"/>
                <w:sz w:val="24"/>
                <w:szCs w:val="24"/>
                <w:highlight w:val="none"/>
                <w:lang w:val="en-US" w:eastAsia="zh-CN" w:bidi="ar-SA"/>
              </w:rPr>
              <w:t>车辆</w:t>
            </w:r>
            <w:r>
              <w:rPr>
                <w:rFonts w:hint="eastAsia" w:ascii="仿宋" w:hAnsi="仿宋" w:eastAsia="宋体" w:cs="仿宋"/>
                <w:kern w:val="0"/>
                <w:sz w:val="24"/>
                <w:szCs w:val="24"/>
                <w:highlight w:val="none"/>
                <w:lang w:val="en-US" w:eastAsia="zh-CN" w:bidi="ar-SA"/>
              </w:rPr>
              <w:t>到货</w:t>
            </w:r>
            <w:r>
              <w:rPr>
                <w:rFonts w:hint="eastAsia" w:ascii="仿宋" w:hAnsi="仿宋" w:cs="仿宋"/>
                <w:kern w:val="0"/>
                <w:sz w:val="24"/>
                <w:szCs w:val="24"/>
                <w:highlight w:val="none"/>
                <w:lang w:val="en-US" w:eastAsia="zh-CN" w:bidi="ar-SA"/>
              </w:rPr>
              <w:t>上牌、相关配套设备</w:t>
            </w:r>
            <w:r>
              <w:rPr>
                <w:rFonts w:hint="eastAsia" w:ascii="仿宋" w:hAnsi="仿宋" w:eastAsia="宋体" w:cs="仿宋"/>
                <w:kern w:val="0"/>
                <w:sz w:val="24"/>
                <w:szCs w:val="24"/>
                <w:highlight w:val="none"/>
                <w:lang w:val="en-US" w:eastAsia="zh-CN" w:bidi="ar-SA"/>
              </w:rPr>
              <w:t>安装调试完成</w:t>
            </w:r>
            <w:r>
              <w:rPr>
                <w:sz w:val="24"/>
                <w:szCs w:val="24"/>
                <w:highlight w:val="none"/>
              </w:rPr>
              <w:t>后，自收到发票后7个工作日内支付。</w:t>
            </w:r>
          </w:p>
          <w:p w14:paraId="74EEA9D4">
            <w:pPr>
              <w:pStyle w:val="961"/>
              <w:keepNext w:val="0"/>
              <w:keepLines w:val="0"/>
              <w:pageBreakBefore w:val="0"/>
              <w:kinsoku/>
              <w:wordWrap/>
              <w:overflowPunct/>
              <w:topLinePunct w:val="0"/>
              <w:autoSpaceDE/>
              <w:autoSpaceDN/>
              <w:bidi w:val="0"/>
              <w:snapToGrid/>
              <w:spacing w:before="0" w:beforeAutospacing="0" w:after="0" w:afterAutospacing="0" w:line="360" w:lineRule="exact"/>
              <w:ind w:firstLine="480"/>
              <w:textAlignment w:val="auto"/>
              <w:rPr>
                <w:sz w:val="24"/>
                <w:szCs w:val="24"/>
                <w:highlight w:val="none"/>
              </w:rPr>
            </w:pPr>
            <w:r>
              <w:rPr>
                <w:b/>
                <w:bCs/>
                <w:sz w:val="24"/>
                <w:szCs w:val="24"/>
                <w:highlight w:val="none"/>
              </w:rPr>
              <w:t>注：在签订合同时，供应商明确表示无需预付款或者主动要求降低预付款比例的，双方可另行协商确定付款方式。</w:t>
            </w:r>
          </w:p>
        </w:tc>
      </w:tr>
      <w:tr w14:paraId="42631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2AF7073D">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 xml:space="preserve">1.5.1 </w:t>
            </w:r>
          </w:p>
        </w:tc>
        <w:tc>
          <w:tcPr>
            <w:tcW w:w="4533" w:type="pct"/>
            <w:noWrap w:val="0"/>
            <w:vAlign w:val="center"/>
          </w:tcPr>
          <w:p w14:paraId="1C9E89BF">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交付期限：</w:t>
            </w:r>
            <w:r>
              <w:rPr>
                <w:rFonts w:hint="eastAsia"/>
                <w:sz w:val="24"/>
                <w:szCs w:val="24"/>
                <w:highlight w:val="none"/>
                <w:lang w:val="en-US" w:eastAsia="zh-CN"/>
              </w:rPr>
              <w:t>在中标结果公告发出之日起10个工作日内完成车辆购置，并按甲方要求</w:t>
            </w:r>
            <w:r>
              <w:rPr>
                <w:sz w:val="24"/>
                <w:szCs w:val="24"/>
                <w:highlight w:val="none"/>
              </w:rPr>
              <w:t>安装调试</w:t>
            </w:r>
            <w:r>
              <w:rPr>
                <w:rFonts w:hint="eastAsia"/>
                <w:sz w:val="24"/>
                <w:szCs w:val="24"/>
                <w:highlight w:val="none"/>
                <w:lang w:eastAsia="zh-CN"/>
              </w:rPr>
              <w:t>。</w:t>
            </w:r>
            <w:r>
              <w:rPr>
                <w:sz w:val="24"/>
                <w:szCs w:val="24"/>
                <w:highlight w:val="none"/>
              </w:rPr>
              <w:t>如在规定的时间内由于卖方的原因不能送达货物并安装调试完成通过验收的，中标方应承担由此给用户造成的损失。</w:t>
            </w:r>
          </w:p>
        </w:tc>
      </w:tr>
      <w:tr w14:paraId="23C22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6" w:type="pct"/>
            <w:tcBorders>
              <w:left w:val="single" w:color="auto" w:sz="4" w:space="0"/>
            </w:tcBorders>
            <w:noWrap w:val="0"/>
            <w:vAlign w:val="center"/>
          </w:tcPr>
          <w:p w14:paraId="50EC9911">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1.5.2</w:t>
            </w:r>
          </w:p>
        </w:tc>
        <w:tc>
          <w:tcPr>
            <w:tcW w:w="4533" w:type="pct"/>
            <w:noWrap w:val="0"/>
            <w:vAlign w:val="center"/>
          </w:tcPr>
          <w:p w14:paraId="5A73F972">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交付地点：甲方指定</w:t>
            </w:r>
          </w:p>
        </w:tc>
      </w:tr>
      <w:tr w14:paraId="4358A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7946B6A7">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 xml:space="preserve">1.5.3 </w:t>
            </w:r>
          </w:p>
        </w:tc>
        <w:tc>
          <w:tcPr>
            <w:tcW w:w="4533" w:type="pct"/>
            <w:noWrap w:val="0"/>
            <w:vAlign w:val="center"/>
          </w:tcPr>
          <w:p w14:paraId="3D43775D">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交付方式：乙方提供中标货物的安装、培训和技术指导。</w:t>
            </w:r>
          </w:p>
        </w:tc>
      </w:tr>
      <w:tr w14:paraId="2E6AC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71E528DE">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1.6.7</w:t>
            </w:r>
          </w:p>
        </w:tc>
        <w:tc>
          <w:tcPr>
            <w:tcW w:w="4533" w:type="pct"/>
            <w:noWrap w:val="0"/>
            <w:vAlign w:val="center"/>
          </w:tcPr>
          <w:p w14:paraId="2689502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sz w:val="24"/>
                <w:szCs w:val="24"/>
                <w:highlight w:val="none"/>
              </w:rPr>
            </w:pPr>
            <w:r>
              <w:rPr>
                <w:rFonts w:hint="eastAsia"/>
                <w:sz w:val="24"/>
                <w:szCs w:val="24"/>
                <w:highlight w:val="none"/>
              </w:rPr>
              <w:t>违约责任：</w:t>
            </w:r>
            <w:r>
              <w:rPr>
                <w:rFonts w:hint="eastAsia"/>
                <w:sz w:val="24"/>
                <w:szCs w:val="24"/>
                <w:highlight w:val="none"/>
                <w:lang w:val="en-US" w:eastAsia="zh-CN"/>
              </w:rPr>
              <w:t>1.</w:t>
            </w:r>
            <w:r>
              <w:rPr>
                <w:rFonts w:hint="eastAsia"/>
                <w:sz w:val="24"/>
                <w:szCs w:val="24"/>
                <w:highlight w:val="none"/>
              </w:rPr>
              <w:t>由于乙方原因（除不可抗力外）不能按期交付合同标的，对超出交付期的每一天，乙方应按合同总价款的万分之六向甲方支付逾期付款利息，在合同货款支付时一次性扣除。若超出交付期十天（含十天）以上的，甲方有权终止合同，并要求乙方按合同总价款的20%承担违约金。</w:t>
            </w:r>
          </w:p>
          <w:p w14:paraId="0614C5C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eastAsia="宋体"/>
                <w:sz w:val="24"/>
                <w:szCs w:val="24"/>
                <w:highlight w:val="none"/>
                <w:lang w:eastAsia="zh-CN"/>
              </w:rPr>
            </w:pPr>
            <w:r>
              <w:rPr>
                <w:rFonts w:hint="eastAsia"/>
                <w:sz w:val="24"/>
                <w:szCs w:val="24"/>
                <w:highlight w:val="none"/>
              </w:rPr>
              <w:t>智慧流动医院数字管理平台未按规定时间完成建设并通过验收的，每超出1天，</w:t>
            </w:r>
            <w:r>
              <w:rPr>
                <w:rFonts w:hint="eastAsia"/>
                <w:sz w:val="24"/>
                <w:szCs w:val="24"/>
                <w:highlight w:val="none"/>
                <w:lang w:eastAsia="zh-CN"/>
              </w:rPr>
              <w:t>乙方</w:t>
            </w:r>
            <w:r>
              <w:rPr>
                <w:rFonts w:hint="eastAsia"/>
                <w:sz w:val="24"/>
                <w:szCs w:val="24"/>
                <w:highlight w:val="none"/>
              </w:rPr>
              <w:t>须向</w:t>
            </w:r>
            <w:r>
              <w:rPr>
                <w:rFonts w:hint="eastAsia"/>
                <w:sz w:val="24"/>
                <w:szCs w:val="24"/>
                <w:highlight w:val="none"/>
                <w:lang w:eastAsia="zh-CN"/>
              </w:rPr>
              <w:t>甲方</w:t>
            </w:r>
            <w:r>
              <w:rPr>
                <w:rFonts w:hint="eastAsia"/>
                <w:sz w:val="24"/>
                <w:szCs w:val="24"/>
                <w:highlight w:val="none"/>
              </w:rPr>
              <w:t>支付合同总金额的3‰作为违约款。当累计违约款金额达到合同总价的6%时，</w:t>
            </w:r>
            <w:r>
              <w:rPr>
                <w:rFonts w:hint="eastAsia"/>
                <w:sz w:val="24"/>
                <w:szCs w:val="24"/>
                <w:highlight w:val="none"/>
                <w:lang w:eastAsia="zh-CN"/>
              </w:rPr>
              <w:t>甲方</w:t>
            </w:r>
            <w:r>
              <w:rPr>
                <w:rFonts w:hint="eastAsia"/>
                <w:sz w:val="24"/>
                <w:szCs w:val="24"/>
                <w:highlight w:val="none"/>
              </w:rPr>
              <w:t>有权终止全部合同，</w:t>
            </w:r>
            <w:r>
              <w:rPr>
                <w:rFonts w:hint="eastAsia"/>
                <w:sz w:val="24"/>
                <w:szCs w:val="24"/>
                <w:highlight w:val="none"/>
                <w:lang w:eastAsia="zh-CN"/>
              </w:rPr>
              <w:t>乙方</w:t>
            </w:r>
            <w:r>
              <w:rPr>
                <w:rFonts w:hint="eastAsia"/>
                <w:sz w:val="24"/>
                <w:szCs w:val="24"/>
                <w:highlight w:val="none"/>
              </w:rPr>
              <w:t>必须退还全部货款；同时，</w:t>
            </w:r>
            <w:r>
              <w:rPr>
                <w:rFonts w:hint="eastAsia"/>
                <w:sz w:val="24"/>
                <w:szCs w:val="24"/>
                <w:highlight w:val="none"/>
                <w:lang w:eastAsia="zh-CN"/>
              </w:rPr>
              <w:t>乙方</w:t>
            </w:r>
            <w:r>
              <w:rPr>
                <w:rFonts w:hint="eastAsia"/>
                <w:sz w:val="24"/>
                <w:szCs w:val="24"/>
                <w:highlight w:val="none"/>
              </w:rPr>
              <w:t>赔偿</w:t>
            </w:r>
            <w:r>
              <w:rPr>
                <w:rFonts w:hint="eastAsia"/>
                <w:sz w:val="24"/>
                <w:szCs w:val="24"/>
                <w:highlight w:val="none"/>
                <w:lang w:eastAsia="zh-CN"/>
              </w:rPr>
              <w:t>甲方</w:t>
            </w:r>
            <w:r>
              <w:rPr>
                <w:rFonts w:hint="eastAsia"/>
                <w:sz w:val="24"/>
                <w:szCs w:val="24"/>
                <w:highlight w:val="none"/>
              </w:rPr>
              <w:t>合同总价的30%。如果</w:t>
            </w:r>
            <w:r>
              <w:rPr>
                <w:rFonts w:hint="eastAsia"/>
                <w:sz w:val="24"/>
                <w:szCs w:val="24"/>
                <w:highlight w:val="none"/>
                <w:lang w:eastAsia="zh-CN"/>
              </w:rPr>
              <w:t>甲方</w:t>
            </w:r>
            <w:r>
              <w:rPr>
                <w:rFonts w:hint="eastAsia"/>
                <w:sz w:val="24"/>
                <w:szCs w:val="24"/>
                <w:highlight w:val="none"/>
              </w:rPr>
              <w:t>的损失大于该赔偿金，</w:t>
            </w:r>
            <w:r>
              <w:rPr>
                <w:rFonts w:hint="eastAsia"/>
                <w:sz w:val="24"/>
                <w:szCs w:val="24"/>
                <w:highlight w:val="none"/>
                <w:lang w:eastAsia="zh-CN"/>
              </w:rPr>
              <w:t>甲方</w:t>
            </w:r>
            <w:r>
              <w:rPr>
                <w:rFonts w:hint="eastAsia"/>
                <w:sz w:val="24"/>
                <w:szCs w:val="24"/>
                <w:highlight w:val="none"/>
              </w:rPr>
              <w:t>保留继续要求</w:t>
            </w:r>
            <w:r>
              <w:rPr>
                <w:rFonts w:hint="eastAsia"/>
                <w:sz w:val="24"/>
                <w:szCs w:val="24"/>
                <w:highlight w:val="none"/>
                <w:lang w:eastAsia="zh-CN"/>
              </w:rPr>
              <w:t>乙方</w:t>
            </w:r>
            <w:r>
              <w:rPr>
                <w:rFonts w:hint="eastAsia"/>
                <w:sz w:val="24"/>
                <w:szCs w:val="24"/>
                <w:highlight w:val="none"/>
              </w:rPr>
              <w:t>赔偿的权利</w:t>
            </w:r>
            <w:r>
              <w:rPr>
                <w:rFonts w:hint="eastAsia"/>
                <w:sz w:val="24"/>
                <w:szCs w:val="24"/>
                <w:highlight w:val="none"/>
                <w:lang w:eastAsia="zh-CN"/>
              </w:rPr>
              <w:t>。</w:t>
            </w:r>
          </w:p>
          <w:p w14:paraId="6CE52347">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sz w:val="24"/>
                <w:szCs w:val="24"/>
                <w:highlight w:val="none"/>
              </w:rPr>
            </w:pPr>
            <w:r>
              <w:rPr>
                <w:rFonts w:hint="eastAsia"/>
                <w:sz w:val="24"/>
                <w:szCs w:val="24"/>
                <w:highlight w:val="none"/>
                <w:lang w:val="en-US" w:eastAsia="zh-CN"/>
              </w:rPr>
              <w:t>2.</w:t>
            </w:r>
            <w:r>
              <w:rPr>
                <w:rFonts w:hint="eastAsia"/>
                <w:sz w:val="24"/>
                <w:szCs w:val="24"/>
                <w:highlight w:val="none"/>
              </w:rPr>
              <w:t>乙方按合同要求将货物送达甲方后，经验收合格后，甲方超出付款期支付货款的，每逾一天，甲方应向乙方支付合同货物金额的万分之四的滞纳金。如遇特殊情况甲方要求推迟供货或验收的，必须事先征得乙方的同意，否则应承担由此给乙方造成的损失。</w:t>
            </w:r>
          </w:p>
          <w:p w14:paraId="68D2C877">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rFonts w:hint="eastAsia"/>
                <w:sz w:val="24"/>
                <w:szCs w:val="24"/>
                <w:highlight w:val="none"/>
                <w:lang w:val="en-US" w:eastAsia="zh-CN"/>
              </w:rPr>
              <w:t>3.</w:t>
            </w:r>
            <w:r>
              <w:rPr>
                <w:rFonts w:hint="eastAsia"/>
                <w:sz w:val="24"/>
                <w:szCs w:val="24"/>
                <w:highlight w:val="none"/>
              </w:rPr>
              <w:t>乙方提供的产品在质保期内出现质量问题时，应接到甲方通知后24小时内到场解决（包括但不限于维修、换货、现场技术指导等方式），逾期未响应或未到场的，甲方有权自行寻求第三方维修，产生的维修费用或配件更换的费用均由乙方承担。</w:t>
            </w:r>
          </w:p>
        </w:tc>
      </w:tr>
      <w:tr w14:paraId="37304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1BBE9818">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1.7</w:t>
            </w:r>
          </w:p>
        </w:tc>
        <w:tc>
          <w:tcPr>
            <w:tcW w:w="4533" w:type="pct"/>
            <w:noWrap w:val="0"/>
            <w:vAlign w:val="center"/>
          </w:tcPr>
          <w:p w14:paraId="3D7C44B4">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 xml:space="preserve"> 本合同履行过程中发生的任何争议，双方当事人均可通过和解或者调解解决；不愿和解、调解或者和解、调解不成的，可以选择以下第 1.7.2  条款规定的方式解决：</w:t>
            </w:r>
          </w:p>
        </w:tc>
      </w:tr>
      <w:tr w14:paraId="051A7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75210A20">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1.7.1</w:t>
            </w:r>
          </w:p>
        </w:tc>
        <w:tc>
          <w:tcPr>
            <w:tcW w:w="4533" w:type="pct"/>
            <w:noWrap w:val="0"/>
            <w:vAlign w:val="center"/>
          </w:tcPr>
          <w:p w14:paraId="58B4E8BB">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w:t>
            </w:r>
          </w:p>
        </w:tc>
      </w:tr>
      <w:tr w14:paraId="58F30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6602A695">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1.7.2</w:t>
            </w:r>
          </w:p>
        </w:tc>
        <w:tc>
          <w:tcPr>
            <w:tcW w:w="4533" w:type="pct"/>
            <w:noWrap w:val="0"/>
            <w:vAlign w:val="center"/>
          </w:tcPr>
          <w:p w14:paraId="10AE2518">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向</w:t>
            </w:r>
            <w:r>
              <w:rPr>
                <w:b/>
                <w:i/>
                <w:sz w:val="24"/>
                <w:szCs w:val="24"/>
                <w:highlight w:val="none"/>
                <w:u w:val="single"/>
              </w:rPr>
              <w:t>江山市人民法院</w:t>
            </w:r>
            <w:r>
              <w:rPr>
                <w:sz w:val="24"/>
                <w:szCs w:val="24"/>
                <w:highlight w:val="none"/>
              </w:rPr>
              <w:t>人民法院起诉</w:t>
            </w:r>
          </w:p>
        </w:tc>
      </w:tr>
      <w:tr w14:paraId="112F3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2E7D7B3C">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2.3.2</w:t>
            </w:r>
          </w:p>
        </w:tc>
        <w:tc>
          <w:tcPr>
            <w:tcW w:w="4533" w:type="pct"/>
            <w:noWrap w:val="0"/>
            <w:vAlign w:val="center"/>
          </w:tcPr>
          <w:p w14:paraId="718CF30A">
            <w:pPr>
              <w:keepNext w:val="0"/>
              <w:keepLines w:val="0"/>
              <w:pageBreakBefore w:val="0"/>
              <w:widowControl w:val="0"/>
              <w:kinsoku/>
              <w:wordWrap/>
              <w:overflowPunct/>
              <w:topLinePunct w:val="0"/>
              <w:autoSpaceDE/>
              <w:autoSpaceDN/>
              <w:bidi w:val="0"/>
              <w:adjustRightInd w:val="0"/>
              <w:snapToGrid/>
              <w:spacing w:line="400" w:lineRule="exact"/>
              <w:ind w:left="-420" w:leftChars="-200" w:right="-420" w:rightChars="-200" w:firstLine="480" w:firstLineChars="200"/>
              <w:textAlignment w:val="auto"/>
              <w:rPr>
                <w:sz w:val="24"/>
                <w:szCs w:val="24"/>
                <w:highlight w:val="none"/>
              </w:rPr>
            </w:pPr>
            <w:r>
              <w:rPr>
                <w:sz w:val="24"/>
                <w:szCs w:val="24"/>
                <w:highlight w:val="none"/>
              </w:rPr>
              <w:t>具有知识产权的计算机软件等货物的知识产权归属：甲方。</w:t>
            </w:r>
          </w:p>
        </w:tc>
      </w:tr>
      <w:tr w14:paraId="003A6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1EEBE110">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2.4.1</w:t>
            </w:r>
          </w:p>
        </w:tc>
        <w:tc>
          <w:tcPr>
            <w:tcW w:w="4533" w:type="pct"/>
            <w:noWrap w:val="0"/>
            <w:vAlign w:val="center"/>
          </w:tcPr>
          <w:p w14:paraId="18F4D7EB">
            <w:pPr>
              <w:keepNext w:val="0"/>
              <w:keepLines w:val="0"/>
              <w:pageBreakBefore w:val="0"/>
              <w:widowControl w:val="0"/>
              <w:kinsoku/>
              <w:wordWrap/>
              <w:overflowPunct/>
              <w:topLinePunct w:val="0"/>
              <w:autoSpaceDE/>
              <w:autoSpaceDN/>
              <w:bidi w:val="0"/>
              <w:adjustRightInd w:val="0"/>
              <w:snapToGrid/>
              <w:spacing w:line="400" w:lineRule="exact"/>
              <w:ind w:left="-420" w:leftChars="-200" w:right="-420" w:rightChars="-200" w:firstLine="480" w:firstLineChars="200"/>
              <w:textAlignment w:val="auto"/>
              <w:rPr>
                <w:sz w:val="24"/>
                <w:szCs w:val="24"/>
                <w:highlight w:val="none"/>
              </w:rPr>
            </w:pPr>
            <w:r>
              <w:rPr>
                <w:sz w:val="24"/>
                <w:szCs w:val="24"/>
                <w:highlight w:val="none"/>
              </w:rPr>
              <w:t>/</w:t>
            </w:r>
          </w:p>
        </w:tc>
      </w:tr>
      <w:tr w14:paraId="1ADF0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5D166E9E">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2.4.2</w:t>
            </w:r>
          </w:p>
        </w:tc>
        <w:tc>
          <w:tcPr>
            <w:tcW w:w="4533" w:type="pct"/>
            <w:noWrap w:val="0"/>
            <w:vAlign w:val="center"/>
          </w:tcPr>
          <w:p w14:paraId="587831D3">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装运货物的要求和通知：按乙方投标方案中施工进度要求。</w:t>
            </w:r>
          </w:p>
        </w:tc>
      </w:tr>
      <w:tr w14:paraId="5D551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64ED65B8">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 xml:space="preserve">2.8 </w:t>
            </w:r>
          </w:p>
        </w:tc>
        <w:tc>
          <w:tcPr>
            <w:tcW w:w="4533" w:type="pct"/>
            <w:noWrap w:val="0"/>
            <w:vAlign w:val="top"/>
          </w:tcPr>
          <w:p w14:paraId="26CF6504">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货物或者在途货物或者交付给第一承运人后的货物毁损、灭失的风险负担</w:t>
            </w:r>
            <w:r>
              <w:rPr>
                <w:b/>
                <w:bCs/>
                <w:sz w:val="24"/>
                <w:szCs w:val="24"/>
                <w:highlight w:val="none"/>
                <w:u w:val="single"/>
              </w:rPr>
              <w:t>都由乙方自行负责。</w:t>
            </w:r>
          </w:p>
        </w:tc>
      </w:tr>
      <w:tr w14:paraId="1E820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5251A5A1">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2.12.3</w:t>
            </w:r>
          </w:p>
        </w:tc>
        <w:tc>
          <w:tcPr>
            <w:tcW w:w="4533" w:type="pct"/>
            <w:noWrap w:val="0"/>
            <w:vAlign w:val="center"/>
          </w:tcPr>
          <w:p w14:paraId="3DBB283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eastAsia="宋体"/>
                <w:sz w:val="24"/>
                <w:szCs w:val="24"/>
                <w:highlight w:val="none"/>
                <w:lang w:eastAsia="zh-CN"/>
              </w:rPr>
            </w:pPr>
            <w:r>
              <w:rPr>
                <w:sz w:val="24"/>
                <w:szCs w:val="24"/>
                <w:highlight w:val="none"/>
              </w:rPr>
              <w:t>因不可抗力致使合同有变更必要的，双方当事人应在30日内以书面形式变更合同</w:t>
            </w:r>
            <w:r>
              <w:rPr>
                <w:rFonts w:hint="eastAsia"/>
                <w:sz w:val="24"/>
                <w:szCs w:val="24"/>
                <w:highlight w:val="none"/>
                <w:lang w:eastAsia="zh-CN"/>
              </w:rPr>
              <w:t>。</w:t>
            </w:r>
          </w:p>
        </w:tc>
      </w:tr>
      <w:tr w14:paraId="5C3D9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7CC06B4B">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2.12.4</w:t>
            </w:r>
          </w:p>
        </w:tc>
        <w:tc>
          <w:tcPr>
            <w:tcW w:w="4533" w:type="pct"/>
            <w:noWrap w:val="0"/>
            <w:vAlign w:val="center"/>
          </w:tcPr>
          <w:p w14:paraId="66D3532A">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受不可抗力影响的一方在不可抗力发生后，应在7日内以书面形式通知对方当事人，并在14日内，将有关部门出具的证明文件送达对方当事人。</w:t>
            </w:r>
          </w:p>
        </w:tc>
      </w:tr>
      <w:tr w14:paraId="58F3B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5052AB01">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2.16.1</w:t>
            </w:r>
          </w:p>
        </w:tc>
        <w:tc>
          <w:tcPr>
            <w:tcW w:w="4533" w:type="pct"/>
            <w:noWrap w:val="0"/>
            <w:vAlign w:val="center"/>
          </w:tcPr>
          <w:p w14:paraId="10CE04BA">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货物交付前，乙方应对货物的质量、数量等方面进行详细、全面的检验，并向甲方出具证明货物符合合同约定的文件；货物交付时，乙方在</w:t>
            </w:r>
            <w:r>
              <w:rPr>
                <w:b/>
                <w:bCs/>
                <w:sz w:val="24"/>
                <w:szCs w:val="24"/>
                <w:highlight w:val="none"/>
                <w:u w:val="single"/>
              </w:rPr>
              <w:t>货物安装调试完成3日内</w:t>
            </w:r>
            <w:r>
              <w:rPr>
                <w:sz w:val="24"/>
                <w:szCs w:val="24"/>
                <w:highlight w:val="none"/>
              </w:rPr>
              <w:t>组织验收，并可依法邀请相关方参加，验收应出具验收书。</w:t>
            </w:r>
          </w:p>
        </w:tc>
      </w:tr>
      <w:tr w14:paraId="778DD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2" w:hRule="atLeast"/>
        </w:trPr>
        <w:tc>
          <w:tcPr>
            <w:tcW w:w="466" w:type="pct"/>
            <w:tcBorders>
              <w:left w:val="single" w:color="auto" w:sz="4" w:space="0"/>
            </w:tcBorders>
            <w:noWrap w:val="0"/>
            <w:vAlign w:val="top"/>
          </w:tcPr>
          <w:p w14:paraId="56E6519C">
            <w:pPr>
              <w:keepNext w:val="0"/>
              <w:keepLines w:val="0"/>
              <w:pageBreakBefore w:val="0"/>
              <w:widowControl w:val="0"/>
              <w:kinsoku/>
              <w:wordWrap/>
              <w:overflowPunct/>
              <w:topLinePunct w:val="0"/>
              <w:autoSpaceDE/>
              <w:autoSpaceDN/>
              <w:bidi w:val="0"/>
              <w:adjustRightInd w:val="0"/>
              <w:snapToGrid/>
              <w:spacing w:line="400" w:lineRule="exact"/>
              <w:textAlignment w:val="auto"/>
              <w:rPr>
                <w:sz w:val="24"/>
                <w:szCs w:val="24"/>
                <w:highlight w:val="none"/>
              </w:rPr>
            </w:pPr>
            <w:r>
              <w:rPr>
                <w:sz w:val="24"/>
                <w:szCs w:val="24"/>
                <w:highlight w:val="none"/>
              </w:rPr>
              <w:t>2.20.1</w:t>
            </w:r>
          </w:p>
        </w:tc>
        <w:tc>
          <w:tcPr>
            <w:tcW w:w="4533" w:type="pct"/>
            <w:noWrap w:val="0"/>
            <w:vAlign w:val="top"/>
          </w:tcPr>
          <w:p w14:paraId="38986AD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eastAsia="宋体"/>
                <w:sz w:val="24"/>
                <w:szCs w:val="24"/>
                <w:highlight w:val="none"/>
                <w:lang w:eastAsia="zh-CN"/>
              </w:rPr>
            </w:pPr>
            <w:r>
              <w:rPr>
                <w:sz w:val="24"/>
                <w:szCs w:val="24"/>
                <w:highlight w:val="none"/>
              </w:rPr>
              <w:t>履约保证金：</w:t>
            </w:r>
            <w:r>
              <w:rPr>
                <w:rFonts w:ascii="Times New Roman" w:hAnsi="Times New Roman" w:cs="Times New Roman"/>
                <w:sz w:val="24"/>
                <w:szCs w:val="24"/>
                <w:highlight w:val="none"/>
              </w:rPr>
              <w:t>以支票、汇票、本票或者金融机构、担保机构出具的保函等非现金形式，提交合同金额1%的履约保证金</w:t>
            </w:r>
            <w:r>
              <w:rPr>
                <w:rFonts w:hint="eastAsia" w:cs="Times New Roman"/>
                <w:sz w:val="24"/>
                <w:szCs w:val="24"/>
                <w:highlight w:val="none"/>
                <w:lang w:eastAsia="zh-CN"/>
              </w:rPr>
              <w:t>。</w:t>
            </w:r>
          </w:p>
        </w:tc>
      </w:tr>
      <w:tr w14:paraId="1DC01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2" w:hRule="atLeast"/>
        </w:trPr>
        <w:tc>
          <w:tcPr>
            <w:tcW w:w="466" w:type="pct"/>
            <w:tcBorders>
              <w:left w:val="single" w:color="auto" w:sz="4" w:space="0"/>
            </w:tcBorders>
            <w:noWrap w:val="0"/>
            <w:vAlign w:val="top"/>
          </w:tcPr>
          <w:p w14:paraId="62363B7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default" w:eastAsia="宋体"/>
                <w:sz w:val="24"/>
                <w:szCs w:val="24"/>
                <w:highlight w:val="none"/>
                <w:lang w:val="en-US" w:eastAsia="zh-CN"/>
              </w:rPr>
            </w:pPr>
            <w:r>
              <w:rPr>
                <w:rFonts w:hint="eastAsia"/>
                <w:sz w:val="24"/>
                <w:szCs w:val="24"/>
                <w:highlight w:val="none"/>
                <w:lang w:val="en-US" w:eastAsia="zh-CN"/>
              </w:rPr>
              <w:t>2.20.2</w:t>
            </w:r>
          </w:p>
        </w:tc>
        <w:tc>
          <w:tcPr>
            <w:tcW w:w="4533" w:type="pct"/>
            <w:noWrap w:val="0"/>
            <w:vAlign w:val="top"/>
          </w:tcPr>
          <w:p w14:paraId="202B5A7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eastAsia="宋体"/>
                <w:sz w:val="24"/>
                <w:szCs w:val="24"/>
                <w:highlight w:val="none"/>
                <w:lang w:eastAsia="zh-CN"/>
              </w:rPr>
            </w:pPr>
            <w:r>
              <w:rPr>
                <w:sz w:val="24"/>
                <w:szCs w:val="24"/>
                <w:highlight w:val="none"/>
              </w:rPr>
              <w:t>履约保证金</w:t>
            </w:r>
            <w:r>
              <w:rPr>
                <w:rFonts w:hint="eastAsia"/>
                <w:sz w:val="24"/>
                <w:szCs w:val="24"/>
                <w:highlight w:val="none"/>
                <w:lang w:eastAsia="zh-CN"/>
              </w:rPr>
              <w:t>退还：车辆安装调试完成并经验收合格后不计息退还。</w:t>
            </w:r>
          </w:p>
        </w:tc>
      </w:tr>
    </w:tbl>
    <w:p w14:paraId="07EA7520">
      <w:pPr>
        <w:rPr>
          <w:rFonts w:hint="eastAsia" w:ascii="宋体" w:hAnsi="宋体" w:cs="宋体"/>
          <w:b/>
          <w:sz w:val="36"/>
          <w:szCs w:val="20"/>
          <w:highlight w:val="none"/>
        </w:rPr>
      </w:pPr>
      <w:r>
        <w:rPr>
          <w:rFonts w:hint="eastAsia" w:ascii="宋体" w:hAnsi="宋体" w:cs="宋体"/>
          <w:b/>
          <w:sz w:val="36"/>
          <w:szCs w:val="20"/>
          <w:highlight w:val="none"/>
        </w:rPr>
        <w:br w:type="page"/>
      </w:r>
    </w:p>
    <w:p w14:paraId="0F8A2F88">
      <w:pPr>
        <w:spacing w:line="360" w:lineRule="auto"/>
        <w:ind w:left="720" w:firstLine="1084" w:firstLineChars="3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7"/>
      <w:bookmarkEnd w:id="398"/>
      <w:r>
        <w:rPr>
          <w:rFonts w:hint="eastAsia" w:ascii="宋体" w:hAnsi="宋体" w:cs="宋体"/>
          <w:b/>
          <w:sz w:val="36"/>
          <w:szCs w:val="20"/>
          <w:highlight w:val="none"/>
          <w:lang w:val="en-US" w:eastAsia="zh-CN"/>
        </w:rPr>
        <w:t xml:space="preserve">  </w:t>
      </w:r>
      <w:r>
        <w:rPr>
          <w:rFonts w:hint="eastAsia" w:ascii="宋体" w:hAnsi="宋体" w:cs="宋体"/>
          <w:b/>
          <w:sz w:val="36"/>
          <w:szCs w:val="20"/>
          <w:highlight w:val="none"/>
        </w:rPr>
        <w:t>应提交的有关格式范例</w:t>
      </w:r>
    </w:p>
    <w:p w14:paraId="7D1949C6">
      <w:pPr>
        <w:spacing w:line="360" w:lineRule="auto"/>
        <w:jc w:val="center"/>
        <w:outlineLvl w:val="0"/>
        <w:rPr>
          <w:rFonts w:ascii="宋体" w:hAnsi="宋体" w:cs="宋体"/>
          <w:b/>
          <w:kern w:val="0"/>
          <w:sz w:val="36"/>
          <w:szCs w:val="36"/>
          <w:highlight w:val="none"/>
        </w:rPr>
      </w:pPr>
    </w:p>
    <w:p w14:paraId="465F3BAF">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75BD140D">
      <w:pPr>
        <w:tabs>
          <w:tab w:val="left" w:pos="840"/>
        </w:tabs>
        <w:spacing w:beforeLines="100"/>
        <w:jc w:val="center"/>
        <w:outlineLvl w:val="1"/>
        <w:rPr>
          <w:rFonts w:ascii="宋体" w:hAnsi="宋体" w:cs="宋体"/>
          <w:b/>
          <w:sz w:val="28"/>
          <w:szCs w:val="28"/>
          <w:highlight w:val="none"/>
        </w:rPr>
      </w:pPr>
    </w:p>
    <w:p w14:paraId="36C41E81">
      <w:pPr>
        <w:tabs>
          <w:tab w:val="left" w:pos="840"/>
        </w:tabs>
        <w:spacing w:beforeLines="100"/>
        <w:jc w:val="center"/>
        <w:outlineLvl w:val="1"/>
        <w:rPr>
          <w:rFonts w:ascii="宋体" w:hAnsi="宋体" w:cs="宋体"/>
          <w:sz w:val="28"/>
          <w:szCs w:val="28"/>
          <w:highlight w:val="none"/>
        </w:rPr>
      </w:pPr>
      <w:r>
        <w:rPr>
          <w:rFonts w:hint="eastAsia" w:ascii="宋体" w:hAnsi="宋体" w:cs="宋体"/>
          <w:b/>
          <w:sz w:val="28"/>
          <w:szCs w:val="28"/>
          <w:highlight w:val="none"/>
        </w:rPr>
        <w:t>投标文件封面</w:t>
      </w:r>
    </w:p>
    <w:p w14:paraId="3312BA81">
      <w:pPr>
        <w:jc w:val="center"/>
        <w:rPr>
          <w:rFonts w:ascii="宋体" w:hAnsi="宋体" w:cs="宋体"/>
          <w:sz w:val="24"/>
          <w:highlight w:val="none"/>
        </w:rPr>
      </w:pPr>
    </w:p>
    <w:p w14:paraId="19A5E81C">
      <w:pPr>
        <w:jc w:val="center"/>
        <w:rPr>
          <w:rFonts w:ascii="宋体" w:hAnsi="宋体" w:cs="宋体"/>
          <w:sz w:val="28"/>
          <w:szCs w:val="28"/>
          <w:highlight w:val="none"/>
        </w:rPr>
      </w:pPr>
    </w:p>
    <w:p w14:paraId="420592F1">
      <w:pPr>
        <w:jc w:val="center"/>
        <w:rPr>
          <w:rFonts w:ascii="宋体" w:hAnsi="宋体" w:cs="宋体"/>
          <w:sz w:val="28"/>
          <w:szCs w:val="28"/>
          <w:highlight w:val="none"/>
        </w:rPr>
      </w:pPr>
    </w:p>
    <w:p w14:paraId="7B7C3481">
      <w:pPr>
        <w:jc w:val="center"/>
        <w:rPr>
          <w:rFonts w:ascii="宋体" w:hAnsi="宋体" w:cs="宋体"/>
          <w:sz w:val="28"/>
          <w:szCs w:val="28"/>
          <w:highlight w:val="none"/>
        </w:rPr>
      </w:pPr>
    </w:p>
    <w:p w14:paraId="59D4DA86">
      <w:pPr>
        <w:jc w:val="center"/>
        <w:rPr>
          <w:rFonts w:ascii="宋体" w:hAnsi="宋体" w:cs="宋体"/>
          <w:sz w:val="28"/>
          <w:szCs w:val="28"/>
          <w:highlight w:val="none"/>
        </w:rPr>
      </w:pPr>
    </w:p>
    <w:p w14:paraId="159F372A">
      <w:pPr>
        <w:jc w:val="center"/>
        <w:rPr>
          <w:rFonts w:ascii="宋体" w:hAnsi="宋体" w:cs="宋体"/>
          <w:sz w:val="28"/>
          <w:szCs w:val="28"/>
          <w:highlight w:val="none"/>
        </w:rPr>
      </w:pPr>
    </w:p>
    <w:p w14:paraId="69992AB8">
      <w:pPr>
        <w:snapToGrid w:val="0"/>
        <w:jc w:val="center"/>
        <w:rPr>
          <w:rFonts w:ascii="宋体" w:hAnsi="宋体" w:cs="宋体"/>
          <w:sz w:val="28"/>
          <w:szCs w:val="28"/>
          <w:highlight w:val="none"/>
        </w:rPr>
      </w:pPr>
    </w:p>
    <w:p w14:paraId="0A318A27">
      <w:pPr>
        <w:snapToGrid w:val="0"/>
        <w:jc w:val="center"/>
        <w:rPr>
          <w:rFonts w:ascii="宋体" w:hAnsi="宋体" w:cs="宋体"/>
          <w:sz w:val="28"/>
          <w:szCs w:val="28"/>
          <w:highlight w:val="none"/>
        </w:rPr>
      </w:pPr>
    </w:p>
    <w:p w14:paraId="67374C05">
      <w:pPr>
        <w:snapToGrid w:val="0"/>
        <w:jc w:val="center"/>
        <w:rPr>
          <w:rFonts w:ascii="宋体" w:hAnsi="宋体" w:cs="宋体"/>
          <w:sz w:val="28"/>
          <w:szCs w:val="28"/>
          <w:highlight w:val="none"/>
        </w:rPr>
      </w:pPr>
      <w:r>
        <w:rPr>
          <w:rFonts w:hint="eastAsia" w:ascii="宋体" w:hAnsi="宋体" w:cs="宋体"/>
          <w:sz w:val="28"/>
          <w:szCs w:val="28"/>
          <w:highlight w:val="none"/>
        </w:rPr>
        <w:t>资格文件</w:t>
      </w:r>
    </w:p>
    <w:p w14:paraId="10848872">
      <w:pPr>
        <w:snapToGrid w:val="0"/>
        <w:jc w:val="center"/>
        <w:rPr>
          <w:rFonts w:ascii="宋体" w:hAnsi="宋体" w:cs="宋体"/>
          <w:sz w:val="28"/>
          <w:szCs w:val="28"/>
          <w:highlight w:val="none"/>
        </w:rPr>
      </w:pPr>
      <w:bookmarkStart w:id="565" w:name="_Toc357410801"/>
      <w:r>
        <w:rPr>
          <w:rFonts w:hint="eastAsia" w:ascii="宋体" w:hAnsi="宋体" w:cs="宋体"/>
          <w:sz w:val="28"/>
          <w:szCs w:val="28"/>
          <w:highlight w:val="none"/>
        </w:rPr>
        <w:t>（商务技术文件、报价文件）</w:t>
      </w:r>
      <w:bookmarkEnd w:id="565"/>
    </w:p>
    <w:p w14:paraId="77BCB59B">
      <w:pPr>
        <w:jc w:val="center"/>
        <w:rPr>
          <w:rFonts w:ascii="宋体" w:hAnsi="宋体" w:cs="宋体"/>
          <w:sz w:val="28"/>
          <w:szCs w:val="28"/>
          <w:highlight w:val="none"/>
        </w:rPr>
      </w:pPr>
    </w:p>
    <w:p w14:paraId="1DF683CA">
      <w:pPr>
        <w:jc w:val="center"/>
        <w:rPr>
          <w:rFonts w:ascii="宋体" w:hAnsi="宋体" w:cs="宋体"/>
          <w:sz w:val="28"/>
          <w:szCs w:val="28"/>
          <w:highlight w:val="none"/>
        </w:rPr>
      </w:pPr>
    </w:p>
    <w:p w14:paraId="5F1224C5">
      <w:pPr>
        <w:jc w:val="center"/>
        <w:rPr>
          <w:rFonts w:ascii="宋体" w:hAnsi="宋体" w:cs="宋体"/>
          <w:sz w:val="28"/>
          <w:szCs w:val="28"/>
          <w:highlight w:val="none"/>
        </w:rPr>
      </w:pPr>
    </w:p>
    <w:p w14:paraId="0119BEBD">
      <w:pPr>
        <w:jc w:val="center"/>
        <w:rPr>
          <w:rFonts w:ascii="宋体" w:hAnsi="宋体" w:cs="宋体"/>
          <w:sz w:val="28"/>
          <w:szCs w:val="28"/>
          <w:highlight w:val="none"/>
        </w:rPr>
      </w:pPr>
    </w:p>
    <w:p w14:paraId="62230903">
      <w:pPr>
        <w:snapToGrid w:val="0"/>
        <w:spacing w:line="560" w:lineRule="exact"/>
        <w:ind w:left="1438" w:leftChars="685"/>
        <w:rPr>
          <w:rFonts w:ascii="宋体" w:hAnsi="宋体" w:cs="宋体"/>
          <w:sz w:val="28"/>
          <w:szCs w:val="28"/>
          <w:highlight w:val="none"/>
          <w:u w:val="single"/>
        </w:rPr>
      </w:pPr>
      <w:bookmarkStart w:id="566" w:name="_Toc357410802"/>
      <w:r>
        <w:rPr>
          <w:rFonts w:hint="eastAsia" w:ascii="宋体" w:hAnsi="宋体" w:cs="宋体"/>
          <w:sz w:val="28"/>
          <w:szCs w:val="28"/>
          <w:highlight w:val="none"/>
        </w:rPr>
        <w:t>项目名称：</w:t>
      </w:r>
      <w:bookmarkEnd w:id="566"/>
    </w:p>
    <w:p w14:paraId="5109B1F3">
      <w:pPr>
        <w:snapToGrid w:val="0"/>
        <w:spacing w:line="560" w:lineRule="exact"/>
        <w:ind w:left="1438" w:leftChars="685"/>
        <w:rPr>
          <w:rFonts w:ascii="宋体" w:hAnsi="宋体" w:cs="宋体"/>
          <w:sz w:val="28"/>
          <w:szCs w:val="28"/>
          <w:highlight w:val="none"/>
          <w:u w:val="single"/>
        </w:rPr>
      </w:pPr>
      <w:bookmarkStart w:id="567" w:name="_Toc357410803"/>
      <w:r>
        <w:rPr>
          <w:rFonts w:hint="eastAsia" w:ascii="宋体" w:hAnsi="宋体" w:cs="宋体"/>
          <w:sz w:val="28"/>
          <w:szCs w:val="28"/>
          <w:highlight w:val="none"/>
        </w:rPr>
        <w:t>项目编号：</w:t>
      </w:r>
      <w:bookmarkEnd w:id="567"/>
    </w:p>
    <w:p w14:paraId="35CE748E">
      <w:pPr>
        <w:snapToGrid w:val="0"/>
        <w:spacing w:line="560" w:lineRule="exact"/>
        <w:ind w:left="1438" w:leftChars="685"/>
        <w:rPr>
          <w:rFonts w:ascii="宋体" w:hAnsi="宋体" w:cs="宋体"/>
          <w:sz w:val="28"/>
          <w:szCs w:val="28"/>
          <w:highlight w:val="none"/>
        </w:rPr>
      </w:pPr>
      <w:bookmarkStart w:id="568" w:name="_Toc357410804"/>
      <w:r>
        <w:rPr>
          <w:rFonts w:hint="eastAsia" w:ascii="宋体" w:hAnsi="宋体" w:cs="宋体"/>
          <w:sz w:val="28"/>
          <w:szCs w:val="28"/>
          <w:highlight w:val="none"/>
        </w:rPr>
        <w:t>投标人全称：</w:t>
      </w:r>
      <w:r>
        <w:rPr>
          <w:rFonts w:hint="eastAsia" w:ascii="宋体" w:hAnsi="宋体" w:cs="宋体"/>
          <w:sz w:val="28"/>
          <w:szCs w:val="28"/>
          <w:highlight w:val="none"/>
          <w:u w:val="single"/>
        </w:rPr>
        <w:t xml:space="preserve">                  （CA签章）</w:t>
      </w:r>
      <w:bookmarkEnd w:id="568"/>
    </w:p>
    <w:p w14:paraId="2EAFDCFA">
      <w:pPr>
        <w:snapToGrid w:val="0"/>
        <w:spacing w:line="560" w:lineRule="exact"/>
        <w:ind w:left="1438" w:leftChars="685"/>
        <w:rPr>
          <w:rFonts w:ascii="宋体" w:hAnsi="宋体" w:cs="宋体"/>
          <w:sz w:val="28"/>
          <w:szCs w:val="28"/>
          <w:highlight w:val="none"/>
        </w:rPr>
      </w:pPr>
      <w:bookmarkStart w:id="569" w:name="_Toc357410805"/>
      <w:r>
        <w:rPr>
          <w:rFonts w:hint="eastAsia" w:ascii="宋体" w:hAnsi="宋体" w:cs="宋体"/>
          <w:sz w:val="28"/>
          <w:szCs w:val="28"/>
          <w:highlight w:val="none"/>
        </w:rPr>
        <w:t xml:space="preserve">日期：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年</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 xml:space="preserve">  月</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 xml:space="preserve">  日</w:t>
      </w:r>
      <w:bookmarkEnd w:id="569"/>
    </w:p>
    <w:p w14:paraId="218D1479">
      <w:pPr>
        <w:snapToGrid w:val="0"/>
        <w:spacing w:line="360" w:lineRule="auto"/>
        <w:ind w:firstLine="480" w:firstLineChars="200"/>
        <w:rPr>
          <w:rFonts w:ascii="宋体" w:hAnsi="宋体" w:cs="宋体"/>
          <w:sz w:val="24"/>
          <w:highlight w:val="none"/>
        </w:rPr>
      </w:pPr>
    </w:p>
    <w:p w14:paraId="6090EE09">
      <w:pPr>
        <w:spacing w:line="360" w:lineRule="auto"/>
        <w:ind w:firstLine="480" w:firstLineChars="200"/>
        <w:rPr>
          <w:rFonts w:ascii="宋体" w:hAnsi="宋体" w:cs="宋体"/>
          <w:sz w:val="24"/>
          <w:highlight w:val="none"/>
        </w:rPr>
      </w:pPr>
    </w:p>
    <w:p w14:paraId="0FDC64A3">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4737DC56">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102D5EC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我方参与（项目名称）【招标编号：（采购编号）】政府采购活动，郑重承诺：</w:t>
      </w:r>
    </w:p>
    <w:p w14:paraId="67C1D2F7">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48DA8B7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74F2C90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5320B7C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55CE4AA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40D0FE9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0922725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2DD8DBE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w:t>
      </w:r>
      <w:r>
        <w:rPr>
          <w:rFonts w:hint="eastAsia" w:ascii="宋体" w:hAnsi="宋体" w:cs="宋体"/>
          <w:snapToGrid w:val="0"/>
          <w:kern w:val="28"/>
          <w:sz w:val="24"/>
          <w:szCs w:val="20"/>
          <w:highlight w:val="none"/>
        </w:rPr>
        <w:t>未被“信用中国”（www.creditchina.gov.cn)、中国政府采购网（www.ccgp.gov.cn）列入失信被执行人、重大税收违法失信主体、政府采购严重违法失信行为记录名单</w:t>
      </w:r>
      <w:r>
        <w:rPr>
          <w:rFonts w:hint="eastAsia" w:ascii="宋体" w:hAnsi="宋体" w:cs="宋体"/>
          <w:sz w:val="24"/>
          <w:highlight w:val="none"/>
        </w:rPr>
        <w:t>。</w:t>
      </w:r>
    </w:p>
    <w:p w14:paraId="0C1932A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3747339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A7E6DB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6E5097B4">
      <w:pPr>
        <w:snapToGrid w:val="0"/>
        <w:spacing w:line="360" w:lineRule="auto"/>
        <w:ind w:firstLine="5520" w:firstLineChars="2300"/>
        <w:jc w:val="left"/>
        <w:rPr>
          <w:rFonts w:hint="eastAsia" w:ascii="宋体" w:hAnsi="宋体" w:cs="宋体"/>
          <w:kern w:val="0"/>
          <w:sz w:val="24"/>
          <w:highlight w:val="none"/>
          <w:lang w:val="zh-CN"/>
        </w:rPr>
      </w:pPr>
    </w:p>
    <w:p w14:paraId="09ADD87F">
      <w:pPr>
        <w:snapToGrid w:val="0"/>
        <w:spacing w:line="360" w:lineRule="auto"/>
        <w:ind w:firstLine="5520" w:firstLineChars="2300"/>
        <w:jc w:val="left"/>
        <w:rPr>
          <w:rFonts w:hint="eastAsia" w:ascii="宋体" w:hAnsi="宋体" w:cs="宋体"/>
          <w:kern w:val="0"/>
          <w:sz w:val="24"/>
          <w:highlight w:val="none"/>
          <w:lang w:val="zh-CN"/>
        </w:rPr>
      </w:pPr>
    </w:p>
    <w:p w14:paraId="3FC39CDB">
      <w:pPr>
        <w:snapToGrid w:val="0"/>
        <w:spacing w:line="360" w:lineRule="auto"/>
        <w:ind w:firstLine="5520" w:firstLineChars="2300"/>
        <w:jc w:val="left"/>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78459E22">
      <w:pPr>
        <w:snapToGrid w:val="0"/>
        <w:spacing w:line="360" w:lineRule="auto"/>
        <w:jc w:val="right"/>
        <w:rPr>
          <w:rFonts w:hint="eastAsia"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 xml:space="preserve">年  </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日</w:t>
      </w:r>
    </w:p>
    <w:p w14:paraId="2952DD2E">
      <w:pPr>
        <w:pStyle w:val="81"/>
        <w:rPr>
          <w:rFonts w:hint="eastAsia" w:ascii="宋体" w:hAnsi="宋体" w:cs="宋体"/>
          <w:kern w:val="0"/>
          <w:sz w:val="24"/>
          <w:highlight w:val="none"/>
          <w:lang w:val="zh-CN"/>
        </w:rPr>
      </w:pPr>
    </w:p>
    <w:p w14:paraId="5EF88EA8">
      <w:pPr>
        <w:pStyle w:val="81"/>
        <w:rPr>
          <w:rFonts w:hint="eastAsia" w:ascii="宋体" w:hAnsi="宋体" w:cs="宋体"/>
          <w:kern w:val="0"/>
          <w:sz w:val="24"/>
          <w:highlight w:val="none"/>
          <w:lang w:val="zh-CN"/>
        </w:rPr>
      </w:pPr>
    </w:p>
    <w:p w14:paraId="577FCCD2">
      <w:pPr>
        <w:snapToGrid w:val="0"/>
        <w:spacing w:line="360" w:lineRule="auto"/>
        <w:ind w:right="480"/>
        <w:jc w:val="center"/>
        <w:rPr>
          <w:rFonts w:ascii="宋体" w:hAnsi="宋体" w:cs="宋体"/>
          <w:b/>
          <w:kern w:val="0"/>
          <w:sz w:val="32"/>
          <w:szCs w:val="32"/>
          <w:highlight w:val="none"/>
        </w:rPr>
      </w:pPr>
    </w:p>
    <w:p w14:paraId="666E4FEB">
      <w:pPr>
        <w:snapToGrid w:val="0"/>
        <w:spacing w:line="360" w:lineRule="auto"/>
        <w:ind w:right="480"/>
        <w:jc w:val="center"/>
        <w:rPr>
          <w:rFonts w:ascii="宋体" w:hAnsi="宋体" w:cs="宋体"/>
          <w:b/>
          <w:kern w:val="0"/>
          <w:sz w:val="32"/>
          <w:szCs w:val="32"/>
          <w:highlight w:val="none"/>
        </w:rPr>
      </w:pPr>
    </w:p>
    <w:p w14:paraId="4C849127">
      <w:pPr>
        <w:snapToGrid w:val="0"/>
        <w:spacing w:line="360" w:lineRule="auto"/>
        <w:ind w:right="480"/>
        <w:jc w:val="center"/>
        <w:rPr>
          <w:rFonts w:ascii="宋体" w:hAnsi="宋体" w:cs="宋体"/>
          <w:b/>
          <w:kern w:val="0"/>
          <w:sz w:val="32"/>
          <w:szCs w:val="32"/>
          <w:highlight w:val="none"/>
        </w:rPr>
      </w:pPr>
    </w:p>
    <w:p w14:paraId="24011B86">
      <w:pPr>
        <w:rPr>
          <w:rFonts w:ascii="宋体" w:hAnsi="宋体" w:cs="宋体"/>
          <w:highlight w:val="none"/>
        </w:rPr>
      </w:pPr>
    </w:p>
    <w:p w14:paraId="7174ED7E">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454608E6">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二、落实政府采购政策需满足的资格要求</w:t>
      </w:r>
    </w:p>
    <w:p w14:paraId="3901C49E">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47A6F700">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6E62425D">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3E15354">
      <w:pPr>
        <w:snapToGrid w:val="0"/>
        <w:spacing w:before="50" w:after="50" w:line="360" w:lineRule="auto"/>
        <w:jc w:val="center"/>
        <w:rPr>
          <w:rFonts w:hint="eastAsia" w:ascii="宋体" w:hAnsi="宋体" w:cs="宋体"/>
          <w:b/>
          <w:kern w:val="0"/>
          <w:sz w:val="32"/>
          <w:szCs w:val="32"/>
          <w:highlight w:val="none"/>
          <w:lang w:val="zh-CN"/>
        </w:rPr>
      </w:pPr>
    </w:p>
    <w:p w14:paraId="1831507C">
      <w:pPr>
        <w:snapToGrid w:val="0"/>
        <w:spacing w:before="50" w:after="50" w:line="360" w:lineRule="auto"/>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联合协议</w:t>
      </w:r>
    </w:p>
    <w:p w14:paraId="36BBBF5A">
      <w:pPr>
        <w:keepNext w:val="0"/>
        <w:keepLines w:val="0"/>
        <w:pageBreakBefore w:val="0"/>
        <w:widowControl w:val="0"/>
        <w:kinsoku/>
        <w:wordWrap/>
        <w:overflowPunct/>
        <w:topLinePunct w:val="0"/>
        <w:autoSpaceDE/>
        <w:autoSpaceDN/>
        <w:bidi w:val="0"/>
        <w:adjustRightInd w:val="0"/>
        <w:snapToGrid w:val="0"/>
        <w:spacing w:line="300" w:lineRule="exact"/>
        <w:ind w:firstLine="576"/>
        <w:textAlignment w:val="auto"/>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14:paraId="5345E5E9">
      <w:pPr>
        <w:keepNext w:val="0"/>
        <w:keepLines w:val="0"/>
        <w:pageBreakBefore w:val="0"/>
        <w:widowControl w:val="0"/>
        <w:kinsoku/>
        <w:wordWrap/>
        <w:overflowPunct/>
        <w:topLinePunct w:val="0"/>
        <w:autoSpaceDE/>
        <w:autoSpaceDN/>
        <w:bidi w:val="0"/>
        <w:adjustRightInd w:val="0"/>
        <w:snapToGrid w:val="0"/>
        <w:spacing w:line="300" w:lineRule="exact"/>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0A9BF3D1">
      <w:pPr>
        <w:keepNext w:val="0"/>
        <w:keepLines w:val="0"/>
        <w:pageBreakBefore w:val="0"/>
        <w:widowControl w:val="0"/>
        <w:kinsoku/>
        <w:wordWrap/>
        <w:overflowPunct/>
        <w:topLinePunct w:val="0"/>
        <w:autoSpaceDE/>
        <w:autoSpaceDN/>
        <w:bidi w:val="0"/>
        <w:adjustRightInd w:val="0"/>
        <w:snapToGrid w:val="0"/>
        <w:spacing w:line="300" w:lineRule="exact"/>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14:paraId="2456F2BF">
      <w:pPr>
        <w:keepNext w:val="0"/>
        <w:keepLines w:val="0"/>
        <w:pageBreakBefore w:val="0"/>
        <w:widowControl w:val="0"/>
        <w:kinsoku/>
        <w:wordWrap/>
        <w:overflowPunct/>
        <w:topLinePunct w:val="0"/>
        <w:autoSpaceDE/>
        <w:autoSpaceDN/>
        <w:bidi w:val="0"/>
        <w:adjustRightInd w:val="0"/>
        <w:snapToGrid w:val="0"/>
        <w:spacing w:line="300" w:lineRule="exact"/>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r>
        <w:rPr>
          <w:rFonts w:hint="eastAsia" w:ascii="宋体" w:hAnsi="宋体" w:cs="宋体"/>
          <w:kern w:val="0"/>
          <w:sz w:val="24"/>
          <w:highlight w:val="none"/>
          <w:u w:val="single"/>
        </w:rPr>
        <w:t>（联合体其中一方成员名称）</w:t>
      </w:r>
      <w:r>
        <w:rPr>
          <w:rFonts w:hint="eastAsia" w:ascii="宋体" w:hAnsi="宋体" w:cs="宋体"/>
          <w:kern w:val="0"/>
          <w:sz w:val="24"/>
          <w:highlight w:val="none"/>
          <w:lang w:val="zh-CN"/>
        </w:rPr>
        <w:t>承担的工作和义务为：；</w:t>
      </w:r>
      <w:r>
        <w:rPr>
          <w:rFonts w:hint="eastAsia" w:ascii="宋体" w:hAnsi="宋体" w:cs="宋体"/>
          <w:kern w:val="0"/>
          <w:sz w:val="24"/>
          <w:highlight w:val="none"/>
          <w:u w:val="single"/>
        </w:rPr>
        <w:t>（联合体其中一方成员名称）</w:t>
      </w:r>
      <w:r>
        <w:rPr>
          <w:rFonts w:hint="eastAsia" w:ascii="宋体" w:hAnsi="宋体" w:cs="宋体"/>
          <w:kern w:val="0"/>
          <w:sz w:val="24"/>
          <w:highlight w:val="none"/>
          <w:lang w:val="zh-CN"/>
        </w:rPr>
        <w:t>承担的工作和义务为： ；……。</w:t>
      </w:r>
    </w:p>
    <w:p w14:paraId="6E7B1A8E">
      <w:pPr>
        <w:keepNext w:val="0"/>
        <w:keepLines w:val="0"/>
        <w:pageBreakBefore w:val="0"/>
        <w:widowControl w:val="0"/>
        <w:kinsoku/>
        <w:wordWrap/>
        <w:overflowPunct/>
        <w:topLinePunct w:val="0"/>
        <w:autoSpaceDE/>
        <w:autoSpaceDN/>
        <w:bidi w:val="0"/>
        <w:adjustRightInd w:val="0"/>
        <w:snapToGrid w:val="0"/>
        <w:spacing w:line="300" w:lineRule="exact"/>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四、</w:t>
      </w:r>
      <w:r>
        <w:rPr>
          <w:rFonts w:hint="eastAsia" w:ascii="宋体" w:hAnsi="宋体" w:cs="宋体"/>
          <w:sz w:val="24"/>
          <w:highlight w:val="none"/>
        </w:rPr>
        <w:t>中小企业合同金额达到%，小微企业合同金额达到%</w:t>
      </w:r>
      <w:r>
        <w:rPr>
          <w:rFonts w:hint="eastAsia" w:ascii="宋体" w:hAnsi="宋体" w:cs="宋体"/>
          <w:kern w:val="0"/>
          <w:sz w:val="24"/>
          <w:highlight w:val="none"/>
          <w:lang w:val="zh-CN"/>
        </w:rPr>
        <w:t>。</w:t>
      </w:r>
    </w:p>
    <w:p w14:paraId="4B910782">
      <w:pPr>
        <w:keepNext w:val="0"/>
        <w:keepLines w:val="0"/>
        <w:pageBreakBefore w:val="0"/>
        <w:widowControl w:val="0"/>
        <w:kinsoku/>
        <w:wordWrap/>
        <w:overflowPunct/>
        <w:topLinePunct w:val="0"/>
        <w:autoSpaceDE/>
        <w:autoSpaceDN/>
        <w:bidi w:val="0"/>
        <w:adjustRightInd w:val="0"/>
        <w:snapToGrid w:val="0"/>
        <w:spacing w:line="300" w:lineRule="exact"/>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32BCB615">
      <w:pPr>
        <w:keepNext w:val="0"/>
        <w:keepLines w:val="0"/>
        <w:pageBreakBefore w:val="0"/>
        <w:widowControl w:val="0"/>
        <w:kinsoku/>
        <w:wordWrap/>
        <w:overflowPunct/>
        <w:topLinePunct w:val="0"/>
        <w:autoSpaceDE/>
        <w:autoSpaceDN/>
        <w:bidi w:val="0"/>
        <w:adjustRightInd w:val="0"/>
        <w:snapToGrid w:val="0"/>
        <w:spacing w:line="300" w:lineRule="exact"/>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3AC60BBB">
      <w:pPr>
        <w:keepNext w:val="0"/>
        <w:keepLines w:val="0"/>
        <w:pageBreakBefore w:val="0"/>
        <w:widowControl w:val="0"/>
        <w:kinsoku/>
        <w:wordWrap/>
        <w:overflowPunct/>
        <w:topLinePunct w:val="0"/>
        <w:autoSpaceDE/>
        <w:autoSpaceDN/>
        <w:bidi w:val="0"/>
        <w:adjustRightInd w:val="0"/>
        <w:snapToGrid w:val="0"/>
        <w:spacing w:line="300" w:lineRule="exact"/>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0599E36E">
      <w:pPr>
        <w:keepNext w:val="0"/>
        <w:keepLines w:val="0"/>
        <w:pageBreakBefore w:val="0"/>
        <w:widowControl w:val="0"/>
        <w:kinsoku/>
        <w:wordWrap/>
        <w:overflowPunct/>
        <w:topLinePunct w:val="0"/>
        <w:autoSpaceDE/>
        <w:autoSpaceDN/>
        <w:bidi w:val="0"/>
        <w:adjustRightInd w:val="0"/>
        <w:snapToGrid w:val="0"/>
        <w:spacing w:line="300" w:lineRule="exact"/>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2D12047F">
      <w:pPr>
        <w:keepNext w:val="0"/>
        <w:keepLines w:val="0"/>
        <w:pageBreakBefore w:val="0"/>
        <w:widowControl w:val="0"/>
        <w:kinsoku/>
        <w:wordWrap/>
        <w:overflowPunct/>
        <w:topLinePunct w:val="0"/>
        <w:autoSpaceDE/>
        <w:autoSpaceDN/>
        <w:bidi w:val="0"/>
        <w:adjustRightInd w:val="0"/>
        <w:snapToGrid w:val="0"/>
        <w:spacing w:line="300" w:lineRule="exact"/>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14EDB762">
      <w:pPr>
        <w:keepNext w:val="0"/>
        <w:keepLines w:val="0"/>
        <w:pageBreakBefore w:val="0"/>
        <w:widowControl w:val="0"/>
        <w:kinsoku/>
        <w:wordWrap/>
        <w:overflowPunct/>
        <w:topLinePunct w:val="0"/>
        <w:autoSpaceDE/>
        <w:autoSpaceDN/>
        <w:bidi w:val="0"/>
        <w:adjustRightInd w:val="0"/>
        <w:snapToGrid w:val="0"/>
        <w:spacing w:line="300" w:lineRule="exact"/>
        <w:ind w:firstLine="5040" w:firstLineChars="2100"/>
        <w:textAlignment w:val="auto"/>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3E74239">
      <w:pPr>
        <w:keepNext w:val="0"/>
        <w:keepLines w:val="0"/>
        <w:pageBreakBefore w:val="0"/>
        <w:widowControl w:val="0"/>
        <w:kinsoku/>
        <w:wordWrap/>
        <w:overflowPunct/>
        <w:topLinePunct w:val="0"/>
        <w:autoSpaceDE/>
        <w:autoSpaceDN/>
        <w:bidi w:val="0"/>
        <w:adjustRightInd w:val="0"/>
        <w:snapToGrid w:val="0"/>
        <w:spacing w:line="300" w:lineRule="exact"/>
        <w:ind w:firstLine="5040" w:firstLineChars="2100"/>
        <w:textAlignment w:val="auto"/>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E7CB82C">
      <w:pPr>
        <w:keepNext w:val="0"/>
        <w:keepLines w:val="0"/>
        <w:pageBreakBefore w:val="0"/>
        <w:widowControl w:val="0"/>
        <w:kinsoku/>
        <w:wordWrap/>
        <w:overflowPunct/>
        <w:topLinePunct w:val="0"/>
        <w:autoSpaceDE/>
        <w:autoSpaceDN/>
        <w:bidi w:val="0"/>
        <w:adjustRightInd w:val="0"/>
        <w:snapToGrid w:val="0"/>
        <w:spacing w:line="300" w:lineRule="exact"/>
        <w:ind w:firstLine="5760" w:firstLineChars="2400"/>
        <w:textAlignment w:val="auto"/>
        <w:rPr>
          <w:rFonts w:ascii="宋体" w:hAnsi="宋体" w:cs="宋体"/>
          <w:highlight w:val="none"/>
        </w:rPr>
      </w:pPr>
      <w:r>
        <w:rPr>
          <w:rFonts w:hint="eastAsia" w:ascii="宋体" w:hAnsi="宋体" w:cs="宋体"/>
          <w:kern w:val="0"/>
          <w:sz w:val="24"/>
          <w:highlight w:val="none"/>
          <w:lang w:val="zh-CN"/>
        </w:rPr>
        <w:t>……</w:t>
      </w:r>
    </w:p>
    <w:p w14:paraId="4ACCA7E2">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6F4534D">
      <w:pPr>
        <w:spacing w:line="360" w:lineRule="auto"/>
        <w:ind w:firstLine="480" w:firstLineChars="200"/>
        <w:rPr>
          <w:rFonts w:ascii="宋体" w:hAnsi="宋体" w:cs="宋体"/>
          <w:sz w:val="24"/>
          <w:highlight w:val="none"/>
        </w:rPr>
      </w:pPr>
    </w:p>
    <w:p w14:paraId="28E18E95">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0F35E168">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分包意向协议</w:t>
      </w:r>
    </w:p>
    <w:p w14:paraId="70F1148A">
      <w:pPr>
        <w:pageBreakBefore w:val="0"/>
        <w:widowControl/>
        <w:kinsoku/>
        <w:wordWrap/>
        <w:overflowPunct/>
        <w:topLinePunct w:val="0"/>
        <w:autoSpaceDE/>
        <w:autoSpaceDN/>
        <w:bidi w:val="0"/>
        <w:spacing w:line="340" w:lineRule="exact"/>
        <w:ind w:firstLine="120" w:firstLineChars="50"/>
        <w:jc w:val="left"/>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4E8BF00F">
      <w:pPr>
        <w:pageBreakBefore w:val="0"/>
        <w:kinsoku/>
        <w:wordWrap/>
        <w:overflowPunct/>
        <w:topLinePunct w:val="0"/>
        <w:autoSpaceDE/>
        <w:autoSpaceDN/>
        <w:bidi w:val="0"/>
        <w:snapToGrid w:val="0"/>
        <w:spacing w:line="340" w:lineRule="exact"/>
        <w:ind w:firstLine="576"/>
        <w:textAlignment w:val="auto"/>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02B27F41">
      <w:pPr>
        <w:pageBreakBefore w:val="0"/>
        <w:kinsoku/>
        <w:wordWrap/>
        <w:overflowPunct/>
        <w:topLinePunct w:val="0"/>
        <w:autoSpaceDE/>
        <w:autoSpaceDN/>
        <w:bidi w:val="0"/>
        <w:snapToGrid w:val="0"/>
        <w:spacing w:line="340" w:lineRule="exact"/>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4C2C2A1F">
      <w:pPr>
        <w:pageBreakBefore w:val="0"/>
        <w:kinsoku/>
        <w:wordWrap/>
        <w:overflowPunct/>
        <w:topLinePunct w:val="0"/>
        <w:autoSpaceDE/>
        <w:autoSpaceDN/>
        <w:bidi w:val="0"/>
        <w:snapToGrid w:val="0"/>
        <w:spacing w:line="340" w:lineRule="exact"/>
        <w:ind w:firstLine="576"/>
        <w:textAlignment w:val="auto"/>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（某分包供应商名称）</w:t>
      </w:r>
      <w:r>
        <w:rPr>
          <w:rFonts w:hint="eastAsia" w:ascii="宋体" w:hAnsi="宋体" w:cs="宋体"/>
          <w:kern w:val="0"/>
          <w:sz w:val="24"/>
          <w:highlight w:val="none"/>
          <w:lang w:val="zh-CN"/>
        </w:rPr>
        <w:t>，</w:t>
      </w:r>
      <w:r>
        <w:rPr>
          <w:rFonts w:hint="eastAsia" w:ascii="宋体" w:hAnsi="宋体" w:cs="宋体"/>
          <w:kern w:val="0"/>
          <w:sz w:val="24"/>
          <w:highlight w:val="none"/>
          <w:u w:val="single"/>
        </w:rPr>
        <w:t>（某分包供应商名称），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157E76F3">
      <w:pPr>
        <w:pStyle w:val="3"/>
        <w:pageBreakBefore w:val="0"/>
        <w:kinsoku/>
        <w:wordWrap/>
        <w:overflowPunct/>
        <w:topLinePunct w:val="0"/>
        <w:autoSpaceDE/>
        <w:autoSpaceDN/>
        <w:bidi w:val="0"/>
        <w:spacing w:line="340" w:lineRule="exact"/>
        <w:ind w:left="664" w:leftChars="316" w:firstLine="229" w:firstLineChars="95"/>
        <w:textAlignment w:val="auto"/>
        <w:rPr>
          <w:rFonts w:ascii="宋体" w:hAnsi="宋体" w:eastAsia="宋体" w:cs="宋体"/>
          <w:highlight w:val="none"/>
        </w:rPr>
      </w:pPr>
      <w:r>
        <w:rPr>
          <w:rFonts w:hint="eastAsia" w:ascii="宋体" w:hAnsi="宋体" w:eastAsia="宋体" w:cs="宋体"/>
          <w:kern w:val="0"/>
          <w:sz w:val="24"/>
          <w:szCs w:val="24"/>
          <w:highlight w:val="none"/>
        </w:rPr>
        <w:t>……</w:t>
      </w:r>
    </w:p>
    <w:p w14:paraId="279FD3C6">
      <w:pPr>
        <w:pageBreakBefore w:val="0"/>
        <w:kinsoku/>
        <w:wordWrap/>
        <w:overflowPunct/>
        <w:topLinePunct w:val="0"/>
        <w:autoSpaceDE/>
        <w:autoSpaceDN/>
        <w:bidi w:val="0"/>
        <w:snapToGrid w:val="0"/>
        <w:spacing w:line="340" w:lineRule="exact"/>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二、分包工作履行期限、地点、方式</w:t>
      </w:r>
    </w:p>
    <w:p w14:paraId="0353A38A">
      <w:pPr>
        <w:pageBreakBefore w:val="0"/>
        <w:kinsoku/>
        <w:wordWrap/>
        <w:overflowPunct/>
        <w:topLinePunct w:val="0"/>
        <w:autoSpaceDE/>
        <w:autoSpaceDN/>
        <w:bidi w:val="0"/>
        <w:snapToGrid w:val="0"/>
        <w:spacing w:line="340" w:lineRule="exact"/>
        <w:ind w:firstLine="576"/>
        <w:textAlignment w:val="auto"/>
        <w:rPr>
          <w:rFonts w:ascii="宋体" w:hAnsi="宋体" w:cs="宋体"/>
          <w:highlight w:val="none"/>
          <w:u w:val="single"/>
        </w:rPr>
      </w:pPr>
    </w:p>
    <w:p w14:paraId="584C36CB">
      <w:pPr>
        <w:pageBreakBefore w:val="0"/>
        <w:kinsoku/>
        <w:wordWrap/>
        <w:overflowPunct/>
        <w:topLinePunct w:val="0"/>
        <w:autoSpaceDE/>
        <w:autoSpaceDN/>
        <w:bidi w:val="0"/>
        <w:snapToGrid w:val="0"/>
        <w:spacing w:line="340" w:lineRule="exact"/>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三、质量</w:t>
      </w:r>
    </w:p>
    <w:p w14:paraId="6B142104">
      <w:pPr>
        <w:pageBreakBefore w:val="0"/>
        <w:kinsoku/>
        <w:wordWrap/>
        <w:overflowPunct/>
        <w:topLinePunct w:val="0"/>
        <w:autoSpaceDE/>
        <w:autoSpaceDN/>
        <w:bidi w:val="0"/>
        <w:snapToGrid w:val="0"/>
        <w:spacing w:line="340" w:lineRule="exact"/>
        <w:ind w:firstLine="576"/>
        <w:textAlignment w:val="auto"/>
        <w:rPr>
          <w:rFonts w:ascii="宋体" w:hAnsi="宋体" w:cs="宋体"/>
          <w:kern w:val="0"/>
          <w:sz w:val="24"/>
          <w:highlight w:val="none"/>
          <w:lang w:val="zh-CN"/>
        </w:rPr>
      </w:pPr>
    </w:p>
    <w:p w14:paraId="20EC73E7">
      <w:pPr>
        <w:pageBreakBefore w:val="0"/>
        <w:kinsoku/>
        <w:wordWrap/>
        <w:overflowPunct/>
        <w:topLinePunct w:val="0"/>
        <w:autoSpaceDE/>
        <w:autoSpaceDN/>
        <w:bidi w:val="0"/>
        <w:snapToGrid w:val="0"/>
        <w:spacing w:line="340" w:lineRule="exact"/>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四、价款或者报酬</w:t>
      </w:r>
    </w:p>
    <w:p w14:paraId="4692CE72">
      <w:pPr>
        <w:pageBreakBefore w:val="0"/>
        <w:kinsoku/>
        <w:wordWrap/>
        <w:overflowPunct/>
        <w:topLinePunct w:val="0"/>
        <w:autoSpaceDE/>
        <w:autoSpaceDN/>
        <w:bidi w:val="0"/>
        <w:snapToGrid w:val="0"/>
        <w:spacing w:line="340" w:lineRule="exact"/>
        <w:ind w:left="573" w:leftChars="273"/>
        <w:textAlignment w:val="auto"/>
        <w:rPr>
          <w:rFonts w:ascii="宋体" w:hAnsi="宋体" w:cs="宋体"/>
          <w:kern w:val="0"/>
          <w:sz w:val="24"/>
          <w:highlight w:val="none"/>
          <w:lang w:val="zh-CN"/>
        </w:rPr>
      </w:pPr>
    </w:p>
    <w:p w14:paraId="1E90FC68">
      <w:pPr>
        <w:pageBreakBefore w:val="0"/>
        <w:kinsoku/>
        <w:wordWrap/>
        <w:overflowPunct/>
        <w:topLinePunct w:val="0"/>
        <w:autoSpaceDE/>
        <w:autoSpaceDN/>
        <w:bidi w:val="0"/>
        <w:snapToGrid w:val="0"/>
        <w:spacing w:line="340" w:lineRule="exact"/>
        <w:ind w:left="573" w:leftChars="273"/>
        <w:textAlignment w:val="auto"/>
        <w:rPr>
          <w:rFonts w:ascii="宋体" w:hAnsi="宋体" w:cs="宋体"/>
          <w:kern w:val="0"/>
          <w:sz w:val="24"/>
          <w:highlight w:val="none"/>
          <w:lang w:val="zh-CN"/>
        </w:rPr>
      </w:pPr>
      <w:r>
        <w:rPr>
          <w:rFonts w:hint="eastAsia" w:ascii="宋体" w:hAnsi="宋体" w:cs="宋体"/>
          <w:kern w:val="0"/>
          <w:sz w:val="24"/>
          <w:highlight w:val="none"/>
          <w:lang w:val="zh-CN"/>
        </w:rPr>
        <w:t>五、违约责任</w:t>
      </w:r>
    </w:p>
    <w:p w14:paraId="5DBAA258">
      <w:pPr>
        <w:pageBreakBefore w:val="0"/>
        <w:kinsoku/>
        <w:wordWrap/>
        <w:overflowPunct/>
        <w:topLinePunct w:val="0"/>
        <w:autoSpaceDE/>
        <w:autoSpaceDN/>
        <w:bidi w:val="0"/>
        <w:snapToGrid w:val="0"/>
        <w:spacing w:line="340" w:lineRule="exact"/>
        <w:ind w:firstLine="576"/>
        <w:textAlignment w:val="auto"/>
        <w:rPr>
          <w:rFonts w:ascii="宋体" w:hAnsi="宋体" w:cs="宋体"/>
          <w:kern w:val="0"/>
          <w:sz w:val="24"/>
          <w:highlight w:val="none"/>
          <w:lang w:val="zh-CN"/>
        </w:rPr>
      </w:pPr>
    </w:p>
    <w:p w14:paraId="49B19394">
      <w:pPr>
        <w:pageBreakBefore w:val="0"/>
        <w:kinsoku/>
        <w:wordWrap/>
        <w:overflowPunct/>
        <w:topLinePunct w:val="0"/>
        <w:autoSpaceDE/>
        <w:autoSpaceDN/>
        <w:bidi w:val="0"/>
        <w:snapToGrid w:val="0"/>
        <w:spacing w:line="340" w:lineRule="exact"/>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六、争议解决的办法</w:t>
      </w:r>
    </w:p>
    <w:p w14:paraId="3346BEA6">
      <w:pPr>
        <w:pageBreakBefore w:val="0"/>
        <w:kinsoku/>
        <w:wordWrap/>
        <w:overflowPunct/>
        <w:topLinePunct w:val="0"/>
        <w:autoSpaceDE/>
        <w:autoSpaceDN/>
        <w:bidi w:val="0"/>
        <w:snapToGrid w:val="0"/>
        <w:spacing w:line="340" w:lineRule="exact"/>
        <w:ind w:firstLine="576"/>
        <w:textAlignment w:val="auto"/>
        <w:rPr>
          <w:rFonts w:ascii="宋体" w:hAnsi="宋体" w:cs="宋体"/>
          <w:kern w:val="0"/>
          <w:sz w:val="24"/>
          <w:highlight w:val="none"/>
          <w:lang w:val="zh-CN"/>
        </w:rPr>
      </w:pPr>
    </w:p>
    <w:p w14:paraId="79E377EA">
      <w:pPr>
        <w:pageBreakBefore w:val="0"/>
        <w:kinsoku/>
        <w:wordWrap/>
        <w:overflowPunct/>
        <w:topLinePunct w:val="0"/>
        <w:autoSpaceDE/>
        <w:autoSpaceDN/>
        <w:bidi w:val="0"/>
        <w:snapToGrid w:val="0"/>
        <w:spacing w:line="340" w:lineRule="exact"/>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七、其他</w:t>
      </w:r>
    </w:p>
    <w:p w14:paraId="39CCA00A">
      <w:pPr>
        <w:pageBreakBefore w:val="0"/>
        <w:kinsoku/>
        <w:wordWrap/>
        <w:overflowPunct/>
        <w:topLinePunct w:val="0"/>
        <w:autoSpaceDE/>
        <w:autoSpaceDN/>
        <w:bidi w:val="0"/>
        <w:snapToGrid w:val="0"/>
        <w:spacing w:line="340" w:lineRule="exact"/>
        <w:ind w:left="5758" w:leftChars="342" w:hanging="5040" w:hangingChars="2100"/>
        <w:textAlignment w:val="auto"/>
        <w:rPr>
          <w:rFonts w:ascii="宋体" w:hAnsi="宋体" w:cs="宋体"/>
          <w:kern w:val="0"/>
          <w:sz w:val="24"/>
          <w:highlight w:val="none"/>
          <w:lang w:val="zh-CN"/>
        </w:rPr>
      </w:pPr>
      <w:r>
        <w:rPr>
          <w:rFonts w:hint="eastAsia" w:ascii="宋体" w:hAnsi="宋体" w:cs="宋体"/>
          <w:sz w:val="24"/>
          <w:highlight w:val="none"/>
        </w:rPr>
        <w:t>中小企业合同金额达到%，小微企业合同金额达到%</w:t>
      </w:r>
      <w:r>
        <w:rPr>
          <w:rFonts w:hint="eastAsia" w:ascii="宋体" w:hAnsi="宋体" w:cs="宋体"/>
          <w:kern w:val="0"/>
          <w:sz w:val="24"/>
          <w:highlight w:val="none"/>
          <w:lang w:val="zh-CN"/>
        </w:rPr>
        <w:t xml:space="preserve">  。                                           投标人名称(电子签名)：</w:t>
      </w:r>
    </w:p>
    <w:p w14:paraId="6E35D3E1">
      <w:pPr>
        <w:pageBreakBefore w:val="0"/>
        <w:kinsoku/>
        <w:wordWrap/>
        <w:overflowPunct/>
        <w:topLinePunct w:val="0"/>
        <w:autoSpaceDE/>
        <w:autoSpaceDN/>
        <w:bidi w:val="0"/>
        <w:snapToGrid w:val="0"/>
        <w:spacing w:line="340" w:lineRule="exact"/>
        <w:ind w:firstLine="5640" w:firstLineChars="2350"/>
        <w:textAlignment w:val="auto"/>
        <w:rPr>
          <w:rFonts w:ascii="宋体" w:hAnsi="宋体" w:cs="宋体"/>
          <w:kern w:val="0"/>
          <w:sz w:val="24"/>
          <w:highlight w:val="none"/>
          <w:lang w:val="zh-CN"/>
        </w:rPr>
      </w:pPr>
      <w:r>
        <w:rPr>
          <w:rFonts w:hint="eastAsia" w:ascii="宋体" w:hAnsi="宋体" w:cs="宋体"/>
          <w:kern w:val="0"/>
          <w:sz w:val="24"/>
          <w:highlight w:val="none"/>
          <w:lang w:val="zh-CN"/>
        </w:rPr>
        <w:t>分包供应商名称：</w:t>
      </w:r>
    </w:p>
    <w:p w14:paraId="07F7AA87">
      <w:pPr>
        <w:pageBreakBefore w:val="0"/>
        <w:kinsoku/>
        <w:wordWrap/>
        <w:overflowPunct/>
        <w:topLinePunct w:val="0"/>
        <w:autoSpaceDE/>
        <w:autoSpaceDN/>
        <w:bidi w:val="0"/>
        <w:snapToGrid w:val="0"/>
        <w:spacing w:line="340" w:lineRule="exact"/>
        <w:ind w:firstLine="5760" w:firstLineChars="2400"/>
        <w:textAlignment w:val="auto"/>
        <w:rPr>
          <w:rFonts w:ascii="宋体" w:hAnsi="宋体" w:cs="宋体"/>
          <w:highlight w:val="none"/>
        </w:rPr>
      </w:pPr>
      <w:r>
        <w:rPr>
          <w:rFonts w:hint="eastAsia" w:ascii="宋体" w:hAnsi="宋体" w:cs="宋体"/>
          <w:kern w:val="0"/>
          <w:sz w:val="24"/>
          <w:highlight w:val="none"/>
          <w:lang w:val="zh-CN"/>
        </w:rPr>
        <w:t>……</w:t>
      </w:r>
    </w:p>
    <w:p w14:paraId="6879D789">
      <w:pPr>
        <w:pageBreakBefore w:val="0"/>
        <w:kinsoku/>
        <w:wordWrap/>
        <w:overflowPunct/>
        <w:topLinePunct w:val="0"/>
        <w:autoSpaceDE/>
        <w:autoSpaceDN/>
        <w:bidi w:val="0"/>
        <w:spacing w:line="340" w:lineRule="exact"/>
        <w:jc w:val="center"/>
        <w:textAlignment w:val="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FB477F7">
      <w:pPr>
        <w:widowControl/>
        <w:spacing w:line="360" w:lineRule="auto"/>
        <w:ind w:left="150"/>
        <w:jc w:val="center"/>
        <w:rPr>
          <w:rFonts w:ascii="宋体" w:hAnsi="宋体" w:cs="宋体"/>
          <w:b/>
          <w:kern w:val="0"/>
          <w:sz w:val="32"/>
          <w:szCs w:val="32"/>
          <w:highlight w:val="none"/>
        </w:rPr>
      </w:pPr>
    </w:p>
    <w:p w14:paraId="6F6AFE0F">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三、本项目的特定资格要求</w:t>
      </w:r>
    </w:p>
    <w:p w14:paraId="1BC80F89">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57C33A30">
      <w:pPr>
        <w:rPr>
          <w:rFonts w:ascii="宋体" w:hAnsi="宋体" w:cs="宋体"/>
          <w:highlight w:val="none"/>
        </w:rPr>
      </w:pPr>
    </w:p>
    <w:p w14:paraId="5AEC7932">
      <w:pPr>
        <w:snapToGrid w:val="0"/>
        <w:spacing w:line="360" w:lineRule="auto"/>
        <w:ind w:right="480"/>
        <w:jc w:val="center"/>
        <w:rPr>
          <w:rFonts w:ascii="宋体" w:hAnsi="宋体" w:cs="宋体"/>
          <w:b/>
          <w:kern w:val="0"/>
          <w:sz w:val="32"/>
          <w:szCs w:val="32"/>
          <w:highlight w:val="none"/>
        </w:rPr>
      </w:pPr>
    </w:p>
    <w:p w14:paraId="60EE3AAB">
      <w:pPr>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四、政府采购活动现场确认声明书</w:t>
      </w:r>
    </w:p>
    <w:p w14:paraId="5E442B59">
      <w:pPr>
        <w:pStyle w:val="966"/>
        <w:widowControl w:val="0"/>
        <w:snapToGrid w:val="0"/>
        <w:jc w:val="both"/>
        <w:rPr>
          <w:rFonts w:hint="default" w:hAnsi="宋体" w:cs="宋体"/>
          <w:b/>
          <w:color w:val="000000"/>
          <w:sz w:val="28"/>
          <w:szCs w:val="21"/>
          <w:highlight w:val="none"/>
        </w:rPr>
      </w:pPr>
      <w:r>
        <w:rPr>
          <w:rFonts w:hAnsi="宋体" w:cs="宋体"/>
          <w:color w:val="000000"/>
          <w:kern w:val="0"/>
          <w:sz w:val="28"/>
          <w:szCs w:val="21"/>
          <w:highlight w:val="none"/>
        </w:rPr>
        <w:t>（采购组织机构名称）：</w:t>
      </w:r>
    </w:p>
    <w:p w14:paraId="2115C588">
      <w:pPr>
        <w:pStyle w:val="966"/>
        <w:widowControl w:val="0"/>
        <w:snapToGrid w:val="0"/>
        <w:ind w:firstLine="584" w:firstLineChars="200"/>
        <w:jc w:val="both"/>
        <w:rPr>
          <w:rFonts w:hint="default" w:hAnsi="宋体" w:cs="宋体"/>
          <w:color w:val="000000"/>
          <w:spacing w:val="6"/>
          <w:sz w:val="28"/>
          <w:szCs w:val="21"/>
          <w:highlight w:val="none"/>
        </w:rPr>
      </w:pPr>
      <w:r>
        <w:rPr>
          <w:rFonts w:hAnsi="宋体" w:cs="宋体"/>
          <w:color w:val="000000"/>
          <w:spacing w:val="6"/>
          <w:sz w:val="28"/>
          <w:szCs w:val="21"/>
          <w:highlight w:val="none"/>
        </w:rPr>
        <w:t>本人经由</w:t>
      </w:r>
      <w:r>
        <w:rPr>
          <w:rFonts w:hAnsi="宋体" w:cs="宋体"/>
          <w:color w:val="000000"/>
          <w:spacing w:val="6"/>
          <w:sz w:val="28"/>
          <w:szCs w:val="21"/>
          <w:highlight w:val="none"/>
          <w:u w:val="single"/>
        </w:rPr>
        <w:t xml:space="preserve">                  （单位）</w:t>
      </w:r>
      <w:r>
        <w:rPr>
          <w:rFonts w:hAnsi="宋体" w:cs="宋体"/>
          <w:color w:val="000000"/>
          <w:spacing w:val="6"/>
          <w:sz w:val="28"/>
          <w:szCs w:val="21"/>
          <w:highlight w:val="none"/>
        </w:rPr>
        <w:t>负责人</w:t>
      </w:r>
      <w:r>
        <w:rPr>
          <w:rFonts w:hAnsi="宋体" w:cs="宋体"/>
          <w:color w:val="000000"/>
          <w:spacing w:val="6"/>
          <w:sz w:val="28"/>
          <w:szCs w:val="21"/>
          <w:highlight w:val="none"/>
          <w:u w:val="single"/>
        </w:rPr>
        <w:t xml:space="preserve">        （姓名）</w:t>
      </w:r>
      <w:r>
        <w:rPr>
          <w:rFonts w:hAnsi="宋体" w:cs="宋体"/>
          <w:color w:val="000000"/>
          <w:spacing w:val="6"/>
          <w:sz w:val="28"/>
          <w:szCs w:val="21"/>
          <w:highlight w:val="none"/>
        </w:rPr>
        <w:t xml:space="preserve">合法授权参加项目（编号：）政府采购活动，经与本单位法人代表（负责人）联系确认，现就有关公平竞争事项郑重声明如下： </w:t>
      </w:r>
    </w:p>
    <w:p w14:paraId="0B20D65A">
      <w:pPr>
        <w:pStyle w:val="967"/>
        <w:widowControl/>
        <w:numPr>
          <w:ilvl w:val="0"/>
          <w:numId w:val="7"/>
        </w:numPr>
        <w:snapToGrid w:val="0"/>
        <w:ind w:firstLine="529" w:firstLineChars="189"/>
        <w:rPr>
          <w:rFonts w:hint="default" w:ascii="宋体" w:hAnsi="宋体" w:cs="宋体"/>
          <w:color w:val="000000"/>
          <w:kern w:val="0"/>
          <w:sz w:val="28"/>
          <w:szCs w:val="21"/>
          <w:highlight w:val="none"/>
        </w:rPr>
      </w:pPr>
      <w:r>
        <w:rPr>
          <w:rFonts w:ascii="宋体" w:hAnsi="宋体" w:cs="宋体"/>
          <w:color w:val="000000"/>
          <w:kern w:val="0"/>
          <w:sz w:val="28"/>
          <w:szCs w:val="21"/>
          <w:highlight w:val="none"/>
        </w:rPr>
        <w:t>本单位与采购人之间 □不存在利害关系 □存在下列利害关系：</w:t>
      </w:r>
    </w:p>
    <w:p w14:paraId="6E445588">
      <w:pPr>
        <w:pStyle w:val="967"/>
        <w:widowControl/>
        <w:snapToGrid w:val="0"/>
        <w:rPr>
          <w:rFonts w:hint="default" w:ascii="宋体" w:hAnsi="宋体" w:cs="宋体"/>
          <w:color w:val="000000"/>
          <w:kern w:val="0"/>
          <w:sz w:val="28"/>
          <w:szCs w:val="21"/>
          <w:highlight w:val="none"/>
        </w:rPr>
      </w:pPr>
      <w:r>
        <w:rPr>
          <w:rFonts w:ascii="宋体" w:hAnsi="宋体" w:cs="宋体"/>
          <w:color w:val="000000"/>
          <w:kern w:val="0"/>
          <w:sz w:val="28"/>
          <w:szCs w:val="21"/>
          <w:highlight w:val="none"/>
        </w:rPr>
        <w:t xml:space="preserve">  A.投资关系    B.行政隶属关系    C.业务指导关系</w:t>
      </w:r>
    </w:p>
    <w:p w14:paraId="144370A3">
      <w:pPr>
        <w:pStyle w:val="967"/>
        <w:widowControl/>
        <w:snapToGrid w:val="0"/>
        <w:rPr>
          <w:rFonts w:hint="default" w:ascii="宋体" w:hAnsi="宋体" w:cs="宋体"/>
          <w:color w:val="000000"/>
          <w:kern w:val="0"/>
          <w:sz w:val="28"/>
          <w:szCs w:val="21"/>
          <w:highlight w:val="none"/>
        </w:rPr>
      </w:pPr>
      <w:r>
        <w:rPr>
          <w:rFonts w:ascii="宋体" w:hAnsi="宋体" w:cs="宋体"/>
          <w:color w:val="000000"/>
          <w:kern w:val="0"/>
          <w:sz w:val="28"/>
          <w:szCs w:val="21"/>
          <w:highlight w:val="none"/>
        </w:rPr>
        <w:t xml:space="preserve">  D.其他可能</w:t>
      </w:r>
      <w:r>
        <w:rPr>
          <w:rFonts w:ascii="宋体" w:hAnsi="宋体" w:cs="宋体"/>
          <w:color w:val="000000"/>
          <w:sz w:val="28"/>
          <w:szCs w:val="21"/>
          <w:highlight w:val="none"/>
        </w:rPr>
        <w:t>影响采购公正的</w:t>
      </w:r>
      <w:r>
        <w:rPr>
          <w:rFonts w:ascii="宋体" w:hAnsi="宋体" w:cs="宋体"/>
          <w:color w:val="000000"/>
          <w:kern w:val="0"/>
          <w:sz w:val="28"/>
          <w:szCs w:val="21"/>
          <w:highlight w:val="none"/>
        </w:rPr>
        <w:t>利害关系</w:t>
      </w:r>
      <w:r>
        <w:rPr>
          <w:rFonts w:ascii="宋体" w:hAnsi="宋体" w:cs="宋体"/>
          <w:color w:val="000000"/>
          <w:kern w:val="0"/>
          <w:sz w:val="28"/>
          <w:szCs w:val="21"/>
          <w:highlight w:val="none"/>
          <w:u w:val="single"/>
        </w:rPr>
        <w:t xml:space="preserve">（如有，请如实说明）                 </w:t>
      </w:r>
      <w:r>
        <w:rPr>
          <w:rFonts w:ascii="宋体" w:hAnsi="宋体" w:cs="宋体"/>
          <w:color w:val="000000"/>
          <w:kern w:val="0"/>
          <w:sz w:val="28"/>
          <w:szCs w:val="21"/>
          <w:highlight w:val="none"/>
        </w:rPr>
        <w:t>。</w:t>
      </w:r>
    </w:p>
    <w:p w14:paraId="66304A64">
      <w:pPr>
        <w:pStyle w:val="967"/>
        <w:widowControl/>
        <w:snapToGrid w:val="0"/>
        <w:rPr>
          <w:rFonts w:hint="default" w:ascii="宋体" w:hAnsi="宋体" w:cs="宋体"/>
          <w:color w:val="000000"/>
          <w:kern w:val="0"/>
          <w:sz w:val="28"/>
          <w:szCs w:val="21"/>
          <w:highlight w:val="none"/>
        </w:rPr>
      </w:pPr>
      <w:r>
        <w:rPr>
          <w:rFonts w:ascii="宋体" w:hAnsi="宋体" w:cs="宋体"/>
          <w:color w:val="000000"/>
          <w:spacing w:val="6"/>
          <w:sz w:val="28"/>
          <w:szCs w:val="21"/>
          <w:highlight w:val="none"/>
        </w:rPr>
        <w:t xml:space="preserve">  二、</w:t>
      </w:r>
      <w:r>
        <w:rPr>
          <w:rFonts w:ascii="宋体" w:hAnsi="宋体" w:cs="宋体"/>
          <w:color w:val="000000"/>
          <w:kern w:val="0"/>
          <w:sz w:val="28"/>
          <w:szCs w:val="21"/>
          <w:highlight w:val="none"/>
        </w:rPr>
        <w:t>现已清楚知道参加本项目采购活动的其他所有供应商名称，本单位 □与其他所有供应商之间均不存在利害关系 □与</w:t>
      </w:r>
      <w:r>
        <w:rPr>
          <w:rFonts w:ascii="宋体" w:hAnsi="宋体" w:cs="宋体"/>
          <w:color w:val="000000"/>
          <w:kern w:val="0"/>
          <w:sz w:val="28"/>
          <w:szCs w:val="21"/>
          <w:highlight w:val="none"/>
          <w:u w:val="single"/>
        </w:rPr>
        <w:t xml:space="preserve">           （供应商名称）</w:t>
      </w:r>
      <w:r>
        <w:rPr>
          <w:rFonts w:ascii="宋体" w:hAnsi="宋体" w:cs="宋体"/>
          <w:color w:val="000000"/>
          <w:kern w:val="0"/>
          <w:sz w:val="28"/>
          <w:szCs w:val="21"/>
          <w:highlight w:val="none"/>
        </w:rPr>
        <w:t>之间存在下列利害关系：</w:t>
      </w:r>
    </w:p>
    <w:p w14:paraId="554EF1D8">
      <w:pPr>
        <w:pStyle w:val="966"/>
        <w:widowControl w:val="0"/>
        <w:snapToGrid w:val="0"/>
        <w:jc w:val="both"/>
        <w:rPr>
          <w:rFonts w:hint="default" w:hAnsi="宋体" w:cs="宋体"/>
          <w:color w:val="000000"/>
          <w:kern w:val="0"/>
          <w:sz w:val="28"/>
          <w:szCs w:val="21"/>
          <w:highlight w:val="none"/>
        </w:rPr>
      </w:pPr>
      <w:r>
        <w:rPr>
          <w:rFonts w:hAnsi="宋体" w:cs="宋体"/>
          <w:color w:val="000000"/>
          <w:kern w:val="0"/>
          <w:sz w:val="28"/>
          <w:szCs w:val="21"/>
          <w:highlight w:val="none"/>
        </w:rPr>
        <w:t xml:space="preserve">  A.法定代表人或负责人或实际控制人是同一人</w:t>
      </w:r>
    </w:p>
    <w:p w14:paraId="3A41D166">
      <w:pPr>
        <w:pStyle w:val="966"/>
        <w:widowControl w:val="0"/>
        <w:snapToGrid w:val="0"/>
        <w:jc w:val="both"/>
        <w:rPr>
          <w:rFonts w:hint="default" w:hAnsi="宋体" w:cs="宋体"/>
          <w:color w:val="000000"/>
          <w:spacing w:val="6"/>
          <w:sz w:val="28"/>
          <w:szCs w:val="21"/>
          <w:highlight w:val="none"/>
        </w:rPr>
      </w:pPr>
      <w:r>
        <w:rPr>
          <w:rFonts w:hAnsi="宋体" w:cs="宋体"/>
          <w:color w:val="000000"/>
          <w:kern w:val="0"/>
          <w:sz w:val="28"/>
          <w:szCs w:val="21"/>
          <w:highlight w:val="none"/>
        </w:rPr>
        <w:t xml:space="preserve">  B.法定代表人或负责人或实际控制人是夫妻关系</w:t>
      </w:r>
    </w:p>
    <w:p w14:paraId="6C339EBC">
      <w:pPr>
        <w:pStyle w:val="966"/>
        <w:widowControl w:val="0"/>
        <w:snapToGrid w:val="0"/>
        <w:jc w:val="both"/>
        <w:rPr>
          <w:rFonts w:hint="default" w:hAnsi="宋体" w:cs="宋体"/>
          <w:color w:val="000000"/>
          <w:spacing w:val="6"/>
          <w:sz w:val="28"/>
          <w:szCs w:val="21"/>
          <w:highlight w:val="none"/>
        </w:rPr>
      </w:pPr>
      <w:r>
        <w:rPr>
          <w:rFonts w:hAnsi="宋体" w:cs="宋体"/>
          <w:color w:val="000000"/>
          <w:kern w:val="0"/>
          <w:sz w:val="28"/>
          <w:szCs w:val="21"/>
          <w:highlight w:val="none"/>
        </w:rPr>
        <w:t xml:space="preserve">  C.法定代表人或负责人或实际控制人是直系血亲关系</w:t>
      </w:r>
    </w:p>
    <w:p w14:paraId="1F6D9AE4">
      <w:pPr>
        <w:pStyle w:val="966"/>
        <w:widowControl w:val="0"/>
        <w:snapToGrid w:val="0"/>
        <w:jc w:val="both"/>
        <w:rPr>
          <w:rFonts w:hint="default" w:hAnsi="宋体" w:cs="宋体"/>
          <w:color w:val="000000"/>
          <w:spacing w:val="6"/>
          <w:sz w:val="28"/>
          <w:szCs w:val="21"/>
          <w:highlight w:val="none"/>
        </w:rPr>
      </w:pPr>
      <w:r>
        <w:rPr>
          <w:rFonts w:hAnsi="宋体" w:cs="宋体"/>
          <w:color w:val="000000"/>
          <w:kern w:val="0"/>
          <w:sz w:val="28"/>
          <w:szCs w:val="21"/>
          <w:highlight w:val="none"/>
        </w:rPr>
        <w:t xml:space="preserve">  D.法定代表人或负责人或实际控制人存在三代以内旁系血亲关系</w:t>
      </w:r>
    </w:p>
    <w:p w14:paraId="5CCEF4EB">
      <w:pPr>
        <w:pStyle w:val="966"/>
        <w:widowControl w:val="0"/>
        <w:snapToGrid w:val="0"/>
        <w:jc w:val="both"/>
        <w:rPr>
          <w:rFonts w:hint="default" w:hAnsi="宋体" w:cs="宋体"/>
          <w:color w:val="000000"/>
          <w:kern w:val="0"/>
          <w:sz w:val="28"/>
          <w:szCs w:val="21"/>
          <w:highlight w:val="none"/>
        </w:rPr>
      </w:pPr>
      <w:r>
        <w:rPr>
          <w:rFonts w:hAnsi="宋体" w:cs="宋体"/>
          <w:color w:val="000000"/>
          <w:kern w:val="0"/>
          <w:sz w:val="28"/>
          <w:szCs w:val="21"/>
          <w:highlight w:val="none"/>
        </w:rPr>
        <w:t xml:space="preserve">  E.法定代表人或负责人或实际控制人存在近姻亲关系</w:t>
      </w:r>
    </w:p>
    <w:p w14:paraId="3B4BE1EC">
      <w:pPr>
        <w:pStyle w:val="966"/>
        <w:widowControl w:val="0"/>
        <w:snapToGrid w:val="0"/>
        <w:jc w:val="both"/>
        <w:rPr>
          <w:rFonts w:hint="default" w:hAnsi="宋体" w:cs="宋体"/>
          <w:color w:val="000000"/>
          <w:kern w:val="0"/>
          <w:sz w:val="28"/>
          <w:szCs w:val="21"/>
          <w:highlight w:val="none"/>
        </w:rPr>
      </w:pPr>
      <w:r>
        <w:rPr>
          <w:rFonts w:hAnsi="宋体" w:cs="宋体"/>
          <w:color w:val="000000"/>
          <w:kern w:val="0"/>
          <w:sz w:val="28"/>
          <w:szCs w:val="21"/>
          <w:highlight w:val="none"/>
        </w:rPr>
        <w:t xml:space="preserve">  F.法定代表人或负责人或实际控制人存在股份控制或实际控制关系</w:t>
      </w:r>
    </w:p>
    <w:p w14:paraId="5FF48384">
      <w:pPr>
        <w:pStyle w:val="966"/>
        <w:widowControl w:val="0"/>
        <w:snapToGrid w:val="0"/>
        <w:jc w:val="both"/>
        <w:rPr>
          <w:rFonts w:hint="default" w:hAnsi="宋体" w:cs="宋体"/>
          <w:color w:val="000000"/>
          <w:kern w:val="0"/>
          <w:sz w:val="28"/>
          <w:szCs w:val="21"/>
          <w:highlight w:val="none"/>
        </w:rPr>
      </w:pPr>
      <w:r>
        <w:rPr>
          <w:rFonts w:hAnsi="宋体" w:cs="宋体"/>
          <w:color w:val="000000"/>
          <w:kern w:val="0"/>
          <w:sz w:val="28"/>
          <w:szCs w:val="21"/>
          <w:highlight w:val="none"/>
        </w:rPr>
        <w:t xml:space="preserve">  G.存在共同直接或间接投资设立子公司、联营企业和合营企业情况</w:t>
      </w:r>
    </w:p>
    <w:p w14:paraId="60C799E8">
      <w:pPr>
        <w:pStyle w:val="966"/>
        <w:widowControl w:val="0"/>
        <w:snapToGrid w:val="0"/>
        <w:jc w:val="both"/>
        <w:rPr>
          <w:rFonts w:hint="default" w:hAnsi="宋体" w:cs="宋体"/>
          <w:color w:val="000000"/>
          <w:sz w:val="28"/>
          <w:szCs w:val="21"/>
          <w:highlight w:val="none"/>
        </w:rPr>
      </w:pPr>
      <w:r>
        <w:rPr>
          <w:rFonts w:hAnsi="宋体" w:cs="宋体"/>
          <w:color w:val="000000"/>
          <w:kern w:val="0"/>
          <w:sz w:val="28"/>
          <w:szCs w:val="21"/>
          <w:highlight w:val="none"/>
        </w:rPr>
        <w:t xml:space="preserve">  H.存在分级代理或代销关系、同一生产制造商关系、</w:t>
      </w:r>
      <w:r>
        <w:rPr>
          <w:rFonts w:hAnsi="宋体" w:cs="宋体"/>
          <w:color w:val="000000"/>
          <w:sz w:val="28"/>
          <w:szCs w:val="21"/>
          <w:highlight w:val="none"/>
        </w:rPr>
        <w:t>管理关系、重要业务（占主营业务收入50%以上）或重要财务往来关系（如融资）等其他实质性控制关系</w:t>
      </w:r>
    </w:p>
    <w:p w14:paraId="53EB4226">
      <w:pPr>
        <w:pStyle w:val="966"/>
        <w:widowControl w:val="0"/>
        <w:snapToGrid w:val="0"/>
        <w:jc w:val="both"/>
        <w:rPr>
          <w:rFonts w:hint="default" w:hAnsi="宋体" w:cs="宋体"/>
          <w:color w:val="000000"/>
          <w:spacing w:val="6"/>
          <w:sz w:val="28"/>
          <w:szCs w:val="21"/>
          <w:highlight w:val="none"/>
        </w:rPr>
      </w:pPr>
      <w:r>
        <w:rPr>
          <w:rFonts w:hAnsi="宋体" w:cs="宋体"/>
          <w:color w:val="000000"/>
          <w:sz w:val="28"/>
          <w:szCs w:val="21"/>
          <w:highlight w:val="none"/>
        </w:rPr>
        <w:t xml:space="preserve">    I</w:t>
      </w:r>
      <w:r>
        <w:rPr>
          <w:rFonts w:hAnsi="宋体" w:cs="宋体"/>
          <w:color w:val="000000"/>
          <w:kern w:val="0"/>
          <w:sz w:val="28"/>
          <w:szCs w:val="21"/>
          <w:highlight w:val="none"/>
        </w:rPr>
        <w:t>.</w:t>
      </w:r>
      <w:r>
        <w:rPr>
          <w:rFonts w:hAnsi="宋体" w:cs="宋体"/>
          <w:color w:val="000000"/>
          <w:sz w:val="28"/>
          <w:szCs w:val="21"/>
          <w:highlight w:val="none"/>
        </w:rPr>
        <w:t>其他利害关系情况</w:t>
      </w:r>
      <w:r>
        <w:rPr>
          <w:rFonts w:hAnsi="宋体" w:cs="宋体"/>
          <w:color w:val="000000"/>
          <w:kern w:val="0"/>
          <w:sz w:val="28"/>
          <w:szCs w:val="21"/>
          <w:highlight w:val="none"/>
        </w:rPr>
        <w:t>。</w:t>
      </w:r>
    </w:p>
    <w:p w14:paraId="74812B66">
      <w:pPr>
        <w:pStyle w:val="967"/>
        <w:widowControl/>
        <w:numPr>
          <w:ilvl w:val="0"/>
          <w:numId w:val="8"/>
        </w:numPr>
        <w:snapToGrid w:val="0"/>
        <w:ind w:firstLine="529" w:firstLineChars="189"/>
        <w:rPr>
          <w:rFonts w:hint="default" w:ascii="宋体" w:hAnsi="宋体" w:cs="宋体"/>
          <w:color w:val="000000"/>
          <w:kern w:val="0"/>
          <w:sz w:val="28"/>
          <w:szCs w:val="21"/>
          <w:highlight w:val="none"/>
        </w:rPr>
      </w:pPr>
      <w:r>
        <w:rPr>
          <w:rFonts w:ascii="宋体" w:hAnsi="宋体" w:cs="宋体"/>
          <w:color w:val="000000"/>
          <w:sz w:val="28"/>
          <w:szCs w:val="21"/>
          <w:highlight w:val="none"/>
        </w:rPr>
        <w:t>现已清楚知道并</w:t>
      </w:r>
      <w:r>
        <w:rPr>
          <w:rFonts w:ascii="宋体" w:hAnsi="宋体" w:cs="宋体"/>
          <w:color w:val="000000"/>
          <w:kern w:val="0"/>
          <w:sz w:val="28"/>
          <w:szCs w:val="21"/>
          <w:highlight w:val="none"/>
        </w:rPr>
        <w:t>严格遵守政府采购法律法规和现场纪律。</w:t>
      </w:r>
    </w:p>
    <w:p w14:paraId="095DC32E">
      <w:pPr>
        <w:pStyle w:val="967"/>
        <w:widowControl/>
        <w:numPr>
          <w:ilvl w:val="0"/>
          <w:numId w:val="8"/>
        </w:numPr>
        <w:snapToGrid w:val="0"/>
        <w:ind w:firstLine="529" w:firstLineChars="189"/>
        <w:rPr>
          <w:rFonts w:hint="default" w:ascii="宋体" w:hAnsi="宋体" w:cs="宋体"/>
          <w:color w:val="000000"/>
          <w:kern w:val="0"/>
          <w:sz w:val="28"/>
          <w:szCs w:val="21"/>
          <w:highlight w:val="none"/>
        </w:rPr>
      </w:pPr>
      <w:r>
        <w:rPr>
          <w:rFonts w:ascii="宋体" w:hAnsi="宋体" w:cs="宋体"/>
          <w:color w:val="000000"/>
          <w:kern w:val="0"/>
          <w:sz w:val="28"/>
          <w:szCs w:val="21"/>
          <w:highlight w:val="none"/>
        </w:rPr>
        <w:t>我发现供应商之间存在或可能存在上述第二条第项利害关系。</w:t>
      </w:r>
    </w:p>
    <w:p w14:paraId="75836935">
      <w:pPr>
        <w:pStyle w:val="966"/>
        <w:widowControl w:val="0"/>
        <w:snapToGrid w:val="0"/>
        <w:ind w:firstLine="560" w:firstLineChars="200"/>
        <w:jc w:val="both"/>
        <w:rPr>
          <w:rFonts w:hint="default" w:hAnsi="宋体" w:cs="宋体"/>
          <w:color w:val="000000"/>
          <w:sz w:val="28"/>
          <w:szCs w:val="21"/>
          <w:highlight w:val="none"/>
        </w:rPr>
      </w:pPr>
      <w:r>
        <w:rPr>
          <w:rFonts w:hAnsi="宋体" w:cs="宋体"/>
          <w:color w:val="000000"/>
          <w:sz w:val="28"/>
          <w:szCs w:val="21"/>
          <w:highlight w:val="none"/>
        </w:rPr>
        <w:t xml:space="preserve">                                （供应商代表签名）</w:t>
      </w:r>
    </w:p>
    <w:p w14:paraId="565EC68C">
      <w:pPr>
        <w:rPr>
          <w:rFonts w:ascii="宋体" w:hAnsi="宋体" w:cs="宋体"/>
          <w:color w:val="000000"/>
          <w:sz w:val="28"/>
          <w:szCs w:val="21"/>
          <w:highlight w:val="none"/>
        </w:rPr>
      </w:pPr>
      <w:r>
        <w:rPr>
          <w:rFonts w:hint="eastAsia" w:ascii="宋体" w:hAnsi="宋体" w:cs="宋体"/>
          <w:color w:val="000000"/>
          <w:sz w:val="28"/>
          <w:szCs w:val="21"/>
          <w:highlight w:val="none"/>
        </w:rPr>
        <w:t xml:space="preserve">                                    年  月  日</w:t>
      </w:r>
    </w:p>
    <w:p w14:paraId="746AFBA2">
      <w:pPr>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4FBFC5EC">
      <w:pPr>
        <w:snapToGrid w:val="0"/>
        <w:spacing w:line="400" w:lineRule="exact"/>
        <w:jc w:val="center"/>
        <w:outlineLvl w:val="0"/>
        <w:rPr>
          <w:rFonts w:ascii="宋体" w:hAnsi="宋体" w:cs="宋体"/>
          <w:b/>
          <w:sz w:val="32"/>
          <w:szCs w:val="32"/>
          <w:highlight w:val="none"/>
        </w:rPr>
      </w:pPr>
      <w:r>
        <w:rPr>
          <w:rFonts w:hint="eastAsia" w:ascii="宋体" w:hAnsi="宋体" w:cs="宋体"/>
          <w:b/>
          <w:kern w:val="0"/>
          <w:sz w:val="32"/>
          <w:szCs w:val="32"/>
          <w:highlight w:val="none"/>
        </w:rPr>
        <w:t>五、投标</w:t>
      </w:r>
      <w:r>
        <w:rPr>
          <w:rFonts w:hint="eastAsia" w:ascii="宋体" w:hAnsi="宋体" w:cs="宋体"/>
          <w:b/>
          <w:sz w:val="32"/>
          <w:szCs w:val="32"/>
          <w:highlight w:val="none"/>
        </w:rPr>
        <w:t>函</w:t>
      </w:r>
    </w:p>
    <w:p w14:paraId="41B7CCA9">
      <w:pPr>
        <w:snapToGrid w:val="0"/>
        <w:spacing w:line="360" w:lineRule="exact"/>
        <w:rPr>
          <w:rFonts w:ascii="宋体" w:hAnsi="宋体" w:cs="宋体"/>
          <w:sz w:val="24"/>
          <w:highlight w:val="none"/>
        </w:rPr>
      </w:pPr>
      <w:r>
        <w:rPr>
          <w:rFonts w:hint="eastAsia" w:ascii="宋体" w:hAnsi="宋体" w:cs="宋体"/>
          <w:sz w:val="24"/>
          <w:highlight w:val="none"/>
        </w:rPr>
        <w:t>（采购人）、（采购代理机构）：</w:t>
      </w:r>
    </w:p>
    <w:p w14:paraId="6E6B166A">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14:paraId="2C765300">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7B8DD152">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5F7EABC5">
      <w:pPr>
        <w:snapToGrid w:val="0"/>
        <w:spacing w:line="360" w:lineRule="exact"/>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315E9675">
      <w:pPr>
        <w:snapToGrid w:val="0"/>
        <w:spacing w:line="36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.1.1资格文件封面；</w:t>
      </w:r>
    </w:p>
    <w:p w14:paraId="241F46F2">
      <w:pPr>
        <w:snapToGrid w:val="0"/>
        <w:spacing w:line="36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.1.2▲投标函；</w:t>
      </w:r>
    </w:p>
    <w:p w14:paraId="5D6F3136">
      <w:pPr>
        <w:snapToGrid w:val="0"/>
        <w:spacing w:line="36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.1.3▲符合参加政府采购活动应当具备的一般条件的承诺函；</w:t>
      </w:r>
    </w:p>
    <w:p w14:paraId="2D9D2E35">
      <w:pPr>
        <w:snapToGrid w:val="0"/>
        <w:spacing w:line="36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.1.4▲有效的《企业法人营业执照》扫描件；</w:t>
      </w:r>
    </w:p>
    <w:p w14:paraId="188984E1">
      <w:pPr>
        <w:snapToGrid w:val="0"/>
        <w:spacing w:line="36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.1.5▲落实政府采购政策需满足的资格要求（提供中小企业声明函）；</w:t>
      </w:r>
    </w:p>
    <w:p w14:paraId="2952DDA8">
      <w:pPr>
        <w:snapToGrid w:val="0"/>
        <w:spacing w:line="36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.1.6▲授权委托书或法定代表人（单位负责人、自然人本人）身份证明；被授权人身份证明、被授权人投标前3个月在本单位社保证明；</w:t>
      </w:r>
    </w:p>
    <w:p w14:paraId="611C0E5C">
      <w:pPr>
        <w:snapToGrid w:val="0"/>
        <w:spacing w:line="36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.1.7信用中国等网站信用查询结果；</w:t>
      </w:r>
    </w:p>
    <w:p w14:paraId="00CC56BB">
      <w:pPr>
        <w:snapToGrid w:val="0"/>
        <w:spacing w:line="36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.1.8▲政府采购活动现场确认声明书；</w:t>
      </w:r>
    </w:p>
    <w:p w14:paraId="09C51E0E">
      <w:pPr>
        <w:snapToGrid w:val="0"/>
        <w:spacing w:line="36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.1.9▲政府采购供应商廉洁自律承诺书；</w:t>
      </w:r>
    </w:p>
    <w:p w14:paraId="27899F92">
      <w:pPr>
        <w:snapToGrid w:val="0"/>
        <w:spacing w:line="36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.1.10▲本项目的特定资格要求</w:t>
      </w:r>
      <w:r>
        <w:rPr>
          <w:rFonts w:hint="eastAsia" w:ascii="宋体" w:hAnsi="宋体" w:cs="宋体"/>
          <w:sz w:val="24"/>
          <w:highlight w:val="none"/>
          <w:lang w:eastAsia="zh-CN"/>
        </w:rPr>
        <w:t>（如有）</w:t>
      </w:r>
      <w:r>
        <w:rPr>
          <w:rFonts w:hint="eastAsia" w:ascii="宋体" w:hAnsi="宋体" w:cs="宋体"/>
          <w:sz w:val="24"/>
          <w:highlight w:val="none"/>
        </w:rPr>
        <w:t>。</w:t>
      </w:r>
    </w:p>
    <w:p w14:paraId="3817CF9C">
      <w:pPr>
        <w:snapToGrid w:val="0"/>
        <w:spacing w:line="36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.2商务技术文件：</w:t>
      </w:r>
    </w:p>
    <w:p w14:paraId="591DF7F3">
      <w:pPr>
        <w:snapToGrid w:val="0"/>
        <w:spacing w:line="36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.2.1商务技术文件封面；</w:t>
      </w:r>
    </w:p>
    <w:p w14:paraId="09DAFCF7">
      <w:pPr>
        <w:snapToGrid w:val="0"/>
        <w:spacing w:line="36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.2.2▲符合性审查资料；</w:t>
      </w:r>
    </w:p>
    <w:p w14:paraId="5CAF4926">
      <w:pPr>
        <w:snapToGrid w:val="0"/>
        <w:spacing w:line="36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.2.3评标标准相应的商务技术资料；</w:t>
      </w:r>
    </w:p>
    <w:p w14:paraId="6FEEC74C">
      <w:pPr>
        <w:snapToGrid w:val="0"/>
        <w:spacing w:line="36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.2.4商务技术偏离表；</w:t>
      </w:r>
    </w:p>
    <w:p w14:paraId="3E32A40C">
      <w:pPr>
        <w:snapToGrid w:val="0"/>
        <w:spacing w:line="36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.3报价文件：</w:t>
      </w:r>
    </w:p>
    <w:p w14:paraId="034F0879">
      <w:pPr>
        <w:snapToGrid w:val="0"/>
        <w:spacing w:line="36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.3.1▲开标一览表（报价表）；</w:t>
      </w:r>
    </w:p>
    <w:p w14:paraId="63194CD4">
      <w:pPr>
        <w:snapToGrid w:val="0"/>
        <w:spacing w:line="36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.3.2中小企业声明函。</w:t>
      </w:r>
    </w:p>
    <w:p w14:paraId="1A5DABAB">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3A165A2C">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348C1161">
      <w:pPr>
        <w:snapToGrid w:val="0"/>
        <w:spacing w:line="360" w:lineRule="exact"/>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46DE3151">
      <w:pPr>
        <w:snapToGrid w:val="0"/>
        <w:spacing w:line="360" w:lineRule="exact"/>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220B90CB">
      <w:pPr>
        <w:snapToGrid w:val="0"/>
        <w:spacing w:line="360" w:lineRule="exact"/>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306B84D6">
      <w:pPr>
        <w:snapToGrid w:val="0"/>
        <w:spacing w:line="360" w:lineRule="exact"/>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1233ADA3">
      <w:pPr>
        <w:snapToGrid w:val="0"/>
        <w:spacing w:line="360" w:lineRule="exact"/>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p>
    <w:p w14:paraId="5A71C4F9">
      <w:pPr>
        <w:spacing w:line="400" w:lineRule="exact"/>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4B417CA9">
      <w:pPr>
        <w:spacing w:line="400" w:lineRule="exact"/>
        <w:jc w:val="center"/>
        <w:rPr>
          <w:rFonts w:ascii="宋体" w:hAnsi="宋体" w:cs="宋体"/>
          <w:sz w:val="24"/>
          <w:highlight w:val="none"/>
        </w:rPr>
      </w:pPr>
      <w:r>
        <w:rPr>
          <w:rFonts w:hint="eastAsia" w:ascii="宋体" w:hAnsi="宋体" w:cs="宋体"/>
          <w:sz w:val="24"/>
          <w:highlight w:val="none"/>
        </w:rPr>
        <w:t xml:space="preserve">     日期：  年   月   日</w:t>
      </w:r>
    </w:p>
    <w:p w14:paraId="4D66AC44">
      <w:pP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71CD6136">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六、授权委托书或法定代表人（单位负责人、自然人本人）身份证明</w:t>
      </w:r>
    </w:p>
    <w:p w14:paraId="1C82AC8A">
      <w:pPr>
        <w:snapToGrid w:val="0"/>
        <w:spacing w:line="360" w:lineRule="auto"/>
        <w:rPr>
          <w:rFonts w:ascii="宋体" w:hAnsi="宋体" w:cs="宋体"/>
          <w:sz w:val="24"/>
          <w:highlight w:val="none"/>
        </w:rPr>
      </w:pPr>
    </w:p>
    <w:p w14:paraId="2BECAD58">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p>
    <w:p w14:paraId="738049F5">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4821EAF8">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3868F15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自年月日起至年月日止。</w:t>
      </w:r>
    </w:p>
    <w:p w14:paraId="3BE3D921">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14:paraId="18597719">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75503411">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6833520B">
      <w:pPr>
        <w:snapToGrid w:val="0"/>
        <w:spacing w:line="360" w:lineRule="auto"/>
        <w:rPr>
          <w:rFonts w:ascii="宋体" w:hAnsi="宋体" w:cs="宋体"/>
          <w:sz w:val="24"/>
          <w:highlight w:val="none"/>
        </w:rPr>
      </w:pPr>
    </w:p>
    <w:p w14:paraId="091CDDFD">
      <w:pPr>
        <w:snapToGrid w:val="0"/>
        <w:spacing w:line="360" w:lineRule="auto"/>
        <w:rPr>
          <w:rFonts w:ascii="宋体" w:hAnsi="宋体" w:cs="宋体"/>
          <w:sz w:val="24"/>
          <w:highlight w:val="none"/>
        </w:rPr>
      </w:pPr>
    </w:p>
    <w:p w14:paraId="3A7736EA">
      <w:pPr>
        <w:snapToGrid w:val="0"/>
        <w:spacing w:line="360" w:lineRule="auto"/>
        <w:rPr>
          <w:rFonts w:ascii="宋体" w:hAnsi="宋体" w:cs="宋体"/>
          <w:sz w:val="24"/>
          <w:highlight w:val="none"/>
        </w:rPr>
      </w:pPr>
    </w:p>
    <w:p w14:paraId="547C8B0B">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授权委托书（适用于联合体投标）</w:t>
      </w:r>
    </w:p>
    <w:p w14:paraId="5264B400">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3CFEDC3B">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4A87D0A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自年月日起至年月日止。</w:t>
      </w:r>
    </w:p>
    <w:p w14:paraId="279E7C9C">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14:paraId="04C32DBA">
      <w:pPr>
        <w:jc w:val="center"/>
        <w:rPr>
          <w:rFonts w:ascii="宋体" w:hAnsi="宋体" w:cs="宋体"/>
          <w:b/>
          <w:kern w:val="0"/>
          <w:sz w:val="32"/>
          <w:szCs w:val="32"/>
          <w:highlight w:val="none"/>
        </w:rPr>
      </w:pPr>
    </w:p>
    <w:p w14:paraId="0252037E">
      <w:pPr>
        <w:jc w:val="center"/>
        <w:rPr>
          <w:rFonts w:ascii="宋体" w:hAnsi="宋体" w:cs="宋体"/>
          <w:b/>
          <w:kern w:val="0"/>
          <w:sz w:val="32"/>
          <w:szCs w:val="32"/>
          <w:highlight w:val="none"/>
        </w:rPr>
      </w:pPr>
    </w:p>
    <w:p w14:paraId="16DA2516">
      <w:pPr>
        <w:jc w:val="center"/>
        <w:rPr>
          <w:rFonts w:ascii="宋体" w:hAnsi="宋体" w:cs="宋体"/>
          <w:b/>
          <w:kern w:val="0"/>
          <w:sz w:val="32"/>
          <w:szCs w:val="32"/>
          <w:highlight w:val="none"/>
        </w:rPr>
      </w:pPr>
    </w:p>
    <w:p w14:paraId="0077FC6D">
      <w:pPr>
        <w:rPr>
          <w:rFonts w:ascii="宋体" w:hAnsi="宋体" w:cs="宋体"/>
          <w:highlight w:val="none"/>
        </w:rPr>
      </w:pPr>
    </w:p>
    <w:p w14:paraId="2526BD5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80CA1F5">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79EA509">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63F3463F">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F4532F9">
      <w:pP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679078E3">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6A59EE8A">
      <w:pPr>
        <w:pStyle w:val="152"/>
        <w:spacing w:line="360" w:lineRule="auto"/>
        <w:rPr>
          <w:rFonts w:hAnsi="宋体" w:cs="宋体"/>
          <w:bCs/>
          <w:sz w:val="24"/>
          <w:highlight w:val="none"/>
        </w:rPr>
      </w:pPr>
      <w:r>
        <w:rPr>
          <w:rFonts w:hint="eastAsia" w:hAnsi="宋体" w:cs="宋体"/>
          <w:bCs/>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C4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5CD5888">
            <w:pPr>
              <w:pStyle w:val="152"/>
              <w:adjustRightInd w:val="0"/>
              <w:spacing w:line="360" w:lineRule="auto"/>
              <w:rPr>
                <w:rFonts w:hAnsi="宋体" w:cs="宋体"/>
                <w:bCs/>
                <w:sz w:val="24"/>
                <w:highlight w:val="none"/>
              </w:rPr>
            </w:pPr>
            <w:r>
              <w:rPr>
                <w:rFonts w:hint="eastAsia" w:hAnsi="宋体" w:cs="宋体"/>
                <w:bCs/>
                <w:sz w:val="24"/>
                <w:highlight w:val="none"/>
              </w:rPr>
              <w:t>正面：                                 反面：</w:t>
            </w:r>
          </w:p>
          <w:p w14:paraId="70136C6A">
            <w:pPr>
              <w:pStyle w:val="152"/>
              <w:adjustRightInd w:val="0"/>
              <w:spacing w:line="360" w:lineRule="auto"/>
              <w:rPr>
                <w:rFonts w:hAnsi="宋体" w:cs="宋体"/>
                <w:bCs/>
                <w:sz w:val="24"/>
                <w:highlight w:val="none"/>
              </w:rPr>
            </w:pPr>
          </w:p>
        </w:tc>
      </w:tr>
    </w:tbl>
    <w:p w14:paraId="5AC46E8B">
      <w:pPr>
        <w:snapToGrid w:val="0"/>
        <w:spacing w:line="360" w:lineRule="auto"/>
        <w:ind w:firstLine="576"/>
        <w:jc w:val="center"/>
        <w:rPr>
          <w:rFonts w:ascii="宋体" w:hAnsi="宋体" w:cs="宋体"/>
          <w:kern w:val="0"/>
          <w:sz w:val="24"/>
          <w:highlight w:val="none"/>
          <w:lang w:val="zh-CN"/>
        </w:rPr>
      </w:pPr>
    </w:p>
    <w:p w14:paraId="776F119C">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72D3074D">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BA705A2">
      <w:pPr>
        <w:jc w:val="center"/>
        <w:rPr>
          <w:rFonts w:ascii="宋体" w:hAnsi="宋体" w:cs="宋体"/>
          <w:b/>
          <w:kern w:val="0"/>
          <w:sz w:val="32"/>
          <w:szCs w:val="32"/>
          <w:highlight w:val="none"/>
        </w:rPr>
      </w:pPr>
    </w:p>
    <w:p w14:paraId="6B4AB0B7">
      <w:pPr>
        <w:jc w:val="center"/>
        <w:rPr>
          <w:rFonts w:ascii="宋体" w:hAnsi="宋体" w:cs="宋体"/>
          <w:b/>
          <w:kern w:val="0"/>
          <w:sz w:val="32"/>
          <w:szCs w:val="32"/>
          <w:highlight w:val="none"/>
        </w:rPr>
      </w:pPr>
    </w:p>
    <w:p w14:paraId="4B983133">
      <w:pPr>
        <w:jc w:val="center"/>
        <w:rPr>
          <w:rFonts w:ascii="宋体" w:hAnsi="宋体" w:cs="宋体"/>
          <w:b/>
          <w:kern w:val="0"/>
          <w:sz w:val="32"/>
          <w:szCs w:val="32"/>
          <w:highlight w:val="none"/>
        </w:rPr>
      </w:pPr>
    </w:p>
    <w:p w14:paraId="707D2B39">
      <w:pPr>
        <w:jc w:val="center"/>
        <w:rPr>
          <w:rFonts w:ascii="宋体" w:hAnsi="宋体" w:cs="宋体"/>
          <w:b/>
          <w:kern w:val="0"/>
          <w:sz w:val="32"/>
          <w:szCs w:val="32"/>
          <w:highlight w:val="none"/>
        </w:rPr>
      </w:pPr>
    </w:p>
    <w:p w14:paraId="23A14E6F">
      <w:pPr>
        <w:jc w:val="center"/>
        <w:rPr>
          <w:rFonts w:ascii="宋体" w:hAnsi="宋体" w:cs="宋体"/>
          <w:b/>
          <w:kern w:val="0"/>
          <w:sz w:val="32"/>
          <w:szCs w:val="32"/>
          <w:highlight w:val="none"/>
        </w:rPr>
      </w:pPr>
    </w:p>
    <w:p w14:paraId="074B62C3">
      <w:pPr>
        <w:jc w:val="center"/>
        <w:rPr>
          <w:rFonts w:ascii="宋体" w:hAnsi="宋体" w:cs="宋体"/>
          <w:b/>
          <w:kern w:val="0"/>
          <w:sz w:val="32"/>
          <w:szCs w:val="32"/>
          <w:highlight w:val="none"/>
        </w:rPr>
      </w:pPr>
    </w:p>
    <w:p w14:paraId="481612E8">
      <w:pPr>
        <w:jc w:val="center"/>
        <w:rPr>
          <w:rFonts w:ascii="宋体" w:hAnsi="宋体" w:cs="宋体"/>
          <w:b/>
          <w:kern w:val="0"/>
          <w:sz w:val="32"/>
          <w:szCs w:val="32"/>
          <w:highlight w:val="none"/>
        </w:rPr>
      </w:pPr>
    </w:p>
    <w:p w14:paraId="4B07DAD0">
      <w:pPr>
        <w:jc w:val="center"/>
        <w:rPr>
          <w:rFonts w:ascii="宋体" w:hAnsi="宋体" w:cs="宋体"/>
          <w:b/>
          <w:kern w:val="0"/>
          <w:sz w:val="32"/>
          <w:szCs w:val="32"/>
          <w:highlight w:val="none"/>
        </w:rPr>
      </w:pPr>
    </w:p>
    <w:p w14:paraId="1FD16277">
      <w:pPr>
        <w:jc w:val="center"/>
        <w:rPr>
          <w:rFonts w:ascii="宋体" w:hAnsi="宋体" w:cs="宋体"/>
          <w:b/>
          <w:kern w:val="0"/>
          <w:sz w:val="32"/>
          <w:szCs w:val="32"/>
          <w:highlight w:val="none"/>
        </w:rPr>
      </w:pPr>
    </w:p>
    <w:p w14:paraId="2BC05922">
      <w:pPr>
        <w:jc w:val="center"/>
        <w:rPr>
          <w:rFonts w:ascii="宋体" w:hAnsi="宋体" w:cs="宋体"/>
          <w:b/>
          <w:kern w:val="0"/>
          <w:sz w:val="32"/>
          <w:szCs w:val="32"/>
          <w:highlight w:val="none"/>
        </w:rPr>
      </w:pPr>
    </w:p>
    <w:p w14:paraId="7C307020">
      <w:pPr>
        <w:jc w:val="center"/>
        <w:rPr>
          <w:rFonts w:ascii="宋体" w:hAnsi="宋体" w:cs="宋体"/>
          <w:b/>
          <w:kern w:val="0"/>
          <w:sz w:val="32"/>
          <w:szCs w:val="32"/>
          <w:highlight w:val="none"/>
        </w:rPr>
      </w:pPr>
    </w:p>
    <w:p w14:paraId="7C09AB24">
      <w:pPr>
        <w:jc w:val="center"/>
        <w:rPr>
          <w:rFonts w:ascii="宋体" w:hAnsi="宋体" w:cs="宋体"/>
          <w:b/>
          <w:kern w:val="0"/>
          <w:sz w:val="32"/>
          <w:szCs w:val="32"/>
          <w:highlight w:val="none"/>
        </w:rPr>
      </w:pPr>
    </w:p>
    <w:p w14:paraId="373A505D">
      <w:pPr>
        <w:jc w:val="center"/>
        <w:rPr>
          <w:rFonts w:ascii="宋体" w:hAnsi="宋体" w:cs="宋体"/>
          <w:b/>
          <w:kern w:val="0"/>
          <w:sz w:val="32"/>
          <w:szCs w:val="32"/>
          <w:highlight w:val="none"/>
        </w:rPr>
      </w:pPr>
    </w:p>
    <w:p w14:paraId="51C48BBA">
      <w:pPr>
        <w:jc w:val="center"/>
        <w:rPr>
          <w:rFonts w:ascii="宋体" w:hAnsi="宋体" w:cs="宋体"/>
          <w:b/>
          <w:kern w:val="0"/>
          <w:sz w:val="32"/>
          <w:szCs w:val="32"/>
          <w:highlight w:val="none"/>
        </w:rPr>
      </w:pPr>
    </w:p>
    <w:p w14:paraId="36E36352">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351ECDC8">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rPr>
        <w:t>七、</w:t>
      </w:r>
      <w:r>
        <w:rPr>
          <w:rFonts w:hint="eastAsia" w:ascii="宋体" w:hAnsi="宋体" w:cs="宋体"/>
          <w:b/>
          <w:kern w:val="0"/>
          <w:sz w:val="32"/>
          <w:szCs w:val="32"/>
          <w:highlight w:val="none"/>
          <w:lang w:val="zh-CN"/>
        </w:rPr>
        <w:t>联合协议</w:t>
      </w:r>
    </w:p>
    <w:p w14:paraId="770D7AA8">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184BAC3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14:paraId="6A52073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0310BEC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14:paraId="1CE3F7E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r>
        <w:rPr>
          <w:rFonts w:hint="eastAsia" w:ascii="宋体" w:hAnsi="宋体" w:cs="宋体"/>
          <w:kern w:val="0"/>
          <w:sz w:val="24"/>
          <w:highlight w:val="none"/>
          <w:u w:val="single"/>
        </w:rPr>
        <w:t>（联合体其中一方成员名称）</w:t>
      </w:r>
      <w:r>
        <w:rPr>
          <w:rFonts w:hint="eastAsia" w:ascii="宋体" w:hAnsi="宋体" w:cs="宋体"/>
          <w:kern w:val="0"/>
          <w:sz w:val="24"/>
          <w:highlight w:val="none"/>
          <w:lang w:val="zh-CN"/>
        </w:rPr>
        <w:t>承担的工作和义务为：；……。</w:t>
      </w:r>
    </w:p>
    <w:p w14:paraId="0E8360B6">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四、</w:t>
      </w:r>
      <w:r>
        <w:rPr>
          <w:rFonts w:hint="eastAsia" w:ascii="宋体" w:hAnsi="宋体" w:cs="宋体"/>
          <w:kern w:val="0"/>
          <w:sz w:val="24"/>
          <w:highlight w:val="none"/>
          <w:u w:val="single"/>
        </w:rPr>
        <w:t>（联合体其中一方成员名称）</w:t>
      </w:r>
      <w:r>
        <w:rPr>
          <w:rFonts w:hint="eastAsia" w:ascii="宋体" w:hAnsi="宋体" w:cs="宋体"/>
          <w:kern w:val="0"/>
          <w:sz w:val="24"/>
          <w:highlight w:val="none"/>
        </w:rPr>
        <w:t>提供的全部货物由小微企业制造，其合同份额占到合同总金额%以上；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kern w:val="0"/>
          <w:sz w:val="24"/>
          <w:highlight w:val="none"/>
        </w:rPr>
        <w:t>6</w:t>
      </w:r>
      <w:r>
        <w:rPr>
          <w:rFonts w:hint="eastAsia" w:ascii="宋体" w:hAnsi="宋体" w:cs="宋体"/>
          <w:b/>
          <w:kern w:val="0"/>
          <w:sz w:val="24"/>
          <w:highlight w:val="none"/>
          <w:lang w:val="zh-CN"/>
        </w:rPr>
        <w:t>%的扣除）</w:t>
      </w:r>
    </w:p>
    <w:p w14:paraId="25D3CD9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1B5D070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2E70092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7E01A24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0BC8A99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1D4A9398">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41A5E90">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C718AD2">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542CDD7">
      <w:pPr>
        <w:snapToGrid w:val="0"/>
        <w:spacing w:line="360" w:lineRule="auto"/>
        <w:ind w:right="480"/>
        <w:rPr>
          <w:rFonts w:ascii="宋体" w:hAnsi="宋体" w:cs="宋体"/>
          <w:b/>
          <w:kern w:val="0"/>
          <w:sz w:val="32"/>
          <w:szCs w:val="32"/>
          <w:highlight w:val="none"/>
          <w:lang w:val="zh-CN"/>
        </w:rPr>
        <w:sectPr>
          <w:headerReference r:id="rId14" w:type="first"/>
          <w:footerReference r:id="rId16" w:type="first"/>
          <w:headerReference r:id="rId13" w:type="default"/>
          <w:footerReference r:id="rId15" w:type="default"/>
          <w:pgSz w:w="11906" w:h="16838"/>
          <w:pgMar w:top="1559"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9B36738">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八、分包意向协议</w:t>
      </w:r>
    </w:p>
    <w:p w14:paraId="6FB7CCC9">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45199F8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1BBDC28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1CEFF4A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（某分包供应商名称）</w:t>
      </w:r>
      <w:r>
        <w:rPr>
          <w:rFonts w:hint="eastAsia" w:ascii="宋体" w:hAnsi="宋体" w:cs="宋体"/>
          <w:kern w:val="0"/>
          <w:sz w:val="24"/>
          <w:highlight w:val="none"/>
          <w:lang w:val="zh-CN"/>
        </w:rPr>
        <w:t>，</w:t>
      </w:r>
      <w:r>
        <w:rPr>
          <w:rFonts w:hint="eastAsia" w:ascii="宋体" w:hAnsi="宋体" w:cs="宋体"/>
          <w:kern w:val="0"/>
          <w:sz w:val="24"/>
          <w:highlight w:val="none"/>
          <w:u w:val="single"/>
        </w:rPr>
        <w:t>（某分包供应商名称），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0A7FBE5E">
      <w:pPr>
        <w:pStyle w:val="3"/>
        <w:ind w:left="664" w:leftChars="316" w:firstLine="229" w:firstLineChars="95"/>
        <w:rPr>
          <w:rFonts w:ascii="宋体" w:hAnsi="宋体" w:eastAsia="宋体" w:cs="宋体"/>
          <w:highlight w:val="none"/>
        </w:rPr>
      </w:pPr>
      <w:r>
        <w:rPr>
          <w:rFonts w:hint="eastAsia" w:ascii="宋体" w:hAnsi="宋体" w:eastAsia="宋体" w:cs="宋体"/>
          <w:kern w:val="0"/>
          <w:sz w:val="24"/>
          <w:szCs w:val="24"/>
          <w:highlight w:val="none"/>
        </w:rPr>
        <w:t>……</w:t>
      </w:r>
    </w:p>
    <w:p w14:paraId="480FA73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二、分包工作履行期限、地点、方式</w:t>
      </w:r>
    </w:p>
    <w:p w14:paraId="059EC89F">
      <w:pPr>
        <w:snapToGrid w:val="0"/>
        <w:spacing w:line="360" w:lineRule="auto"/>
        <w:ind w:firstLine="576"/>
        <w:rPr>
          <w:rFonts w:ascii="宋体" w:hAnsi="宋体" w:cs="宋体"/>
          <w:highlight w:val="none"/>
          <w:u w:val="single"/>
        </w:rPr>
      </w:pPr>
    </w:p>
    <w:p w14:paraId="471F38E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三、质量</w:t>
      </w:r>
    </w:p>
    <w:p w14:paraId="2A50D798">
      <w:pPr>
        <w:snapToGrid w:val="0"/>
        <w:spacing w:line="360" w:lineRule="auto"/>
        <w:ind w:firstLine="576"/>
        <w:rPr>
          <w:rFonts w:ascii="宋体" w:hAnsi="宋体" w:cs="宋体"/>
          <w:kern w:val="0"/>
          <w:sz w:val="24"/>
          <w:highlight w:val="none"/>
          <w:lang w:val="zh-CN"/>
        </w:rPr>
      </w:pPr>
    </w:p>
    <w:p w14:paraId="72E3EC3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四、价款或者报酬</w:t>
      </w:r>
    </w:p>
    <w:p w14:paraId="51FF3657">
      <w:pPr>
        <w:snapToGrid w:val="0"/>
        <w:spacing w:line="360" w:lineRule="auto"/>
        <w:ind w:left="573" w:leftChars="273"/>
        <w:rPr>
          <w:rFonts w:ascii="宋体" w:hAnsi="宋体" w:cs="宋体"/>
          <w:kern w:val="0"/>
          <w:sz w:val="24"/>
          <w:highlight w:val="none"/>
          <w:lang w:val="zh-CN"/>
        </w:rPr>
      </w:pPr>
    </w:p>
    <w:p w14:paraId="5B66F5CD">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五、违约责任</w:t>
      </w:r>
    </w:p>
    <w:p w14:paraId="0820A799">
      <w:pPr>
        <w:snapToGrid w:val="0"/>
        <w:spacing w:line="360" w:lineRule="auto"/>
        <w:ind w:firstLine="576"/>
        <w:rPr>
          <w:rFonts w:ascii="宋体" w:hAnsi="宋体" w:cs="宋体"/>
          <w:kern w:val="0"/>
          <w:sz w:val="24"/>
          <w:highlight w:val="none"/>
          <w:lang w:val="zh-CN"/>
        </w:rPr>
      </w:pPr>
    </w:p>
    <w:p w14:paraId="4F746D1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六、争议解决的办法</w:t>
      </w:r>
    </w:p>
    <w:p w14:paraId="78F33B20">
      <w:pPr>
        <w:snapToGrid w:val="0"/>
        <w:spacing w:line="360" w:lineRule="auto"/>
        <w:ind w:firstLine="576"/>
        <w:rPr>
          <w:rFonts w:ascii="宋体" w:hAnsi="宋体" w:cs="宋体"/>
          <w:kern w:val="0"/>
          <w:sz w:val="24"/>
          <w:highlight w:val="none"/>
          <w:lang w:val="zh-CN"/>
        </w:rPr>
      </w:pPr>
    </w:p>
    <w:p w14:paraId="60D645C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七、其他</w:t>
      </w:r>
    </w:p>
    <w:p w14:paraId="716A73C4">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u w:val="single"/>
        </w:rPr>
        <w:t>（分包供应商名称）提供的货物全部由小微企业制造，</w:t>
      </w:r>
      <w:r>
        <w:rPr>
          <w:rFonts w:hint="eastAsia" w:ascii="宋体" w:hAnsi="宋体" w:cs="宋体"/>
          <w:kern w:val="0"/>
          <w:sz w:val="24"/>
          <w:highlight w:val="none"/>
        </w:rPr>
        <w:t>其合同份额占到合同总金额%以上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kern w:val="0"/>
          <w:sz w:val="24"/>
          <w:highlight w:val="none"/>
        </w:rPr>
        <w:t>6</w:t>
      </w:r>
      <w:r>
        <w:rPr>
          <w:rFonts w:hint="eastAsia" w:ascii="宋体" w:hAnsi="宋体" w:cs="宋体"/>
          <w:b/>
          <w:kern w:val="0"/>
          <w:sz w:val="24"/>
          <w:highlight w:val="none"/>
          <w:lang w:val="zh-CN"/>
        </w:rPr>
        <w:t>%的扣除）</w:t>
      </w:r>
    </w:p>
    <w:p w14:paraId="0790411D">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14:paraId="595ACBF7">
      <w:pPr>
        <w:snapToGrid w:val="0"/>
        <w:spacing w:line="360" w:lineRule="auto"/>
        <w:ind w:firstLine="5640" w:firstLineChars="2350"/>
        <w:rPr>
          <w:rFonts w:ascii="宋体" w:hAnsi="宋体" w:cs="宋体"/>
          <w:kern w:val="0"/>
          <w:sz w:val="24"/>
          <w:highlight w:val="none"/>
          <w:lang w:val="zh-CN"/>
        </w:rPr>
      </w:pPr>
      <w:r>
        <w:rPr>
          <w:rFonts w:hint="eastAsia" w:ascii="宋体" w:hAnsi="宋体" w:cs="宋体"/>
          <w:kern w:val="0"/>
          <w:sz w:val="24"/>
          <w:highlight w:val="none"/>
          <w:lang w:val="zh-CN"/>
        </w:rPr>
        <w:t>分包供应商名称：</w:t>
      </w:r>
    </w:p>
    <w:p w14:paraId="297F56A3">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6AD67283">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A1BA3F8">
      <w:pPr>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7E02FB45">
      <w:pPr>
        <w:ind w:firstLine="1911" w:firstLineChars="595"/>
        <w:rPr>
          <w:rFonts w:ascii="宋体" w:hAnsi="宋体" w:cs="宋体"/>
          <w:b/>
          <w:kern w:val="0"/>
          <w:sz w:val="32"/>
          <w:szCs w:val="32"/>
          <w:highlight w:val="none"/>
        </w:rPr>
      </w:pPr>
      <w:r>
        <w:rPr>
          <w:rFonts w:hint="eastAsia" w:ascii="宋体" w:hAnsi="宋体" w:cs="宋体"/>
          <w:b/>
          <w:kern w:val="0"/>
          <w:sz w:val="32"/>
          <w:szCs w:val="32"/>
          <w:highlight w:val="none"/>
        </w:rPr>
        <w:t>九、</w:t>
      </w:r>
      <w:r>
        <w:rPr>
          <w:rFonts w:hint="eastAsia" w:ascii="宋体" w:hAnsi="宋体" w:cs="宋体"/>
          <w:b/>
          <w:kern w:val="0"/>
          <w:sz w:val="32"/>
          <w:szCs w:val="32"/>
          <w:highlight w:val="none"/>
          <w:lang w:val="zh-CN"/>
        </w:rPr>
        <w:t>政府采购供应商廉洁自律承诺书</w:t>
      </w:r>
    </w:p>
    <w:p w14:paraId="1E0C0DD1">
      <w:pPr>
        <w:snapToGrid w:val="0"/>
        <w:spacing w:line="360" w:lineRule="auto"/>
        <w:rPr>
          <w:rFonts w:ascii="宋体" w:hAnsi="宋体" w:cs="宋体"/>
          <w:sz w:val="24"/>
          <w:highlight w:val="none"/>
        </w:rPr>
      </w:pPr>
    </w:p>
    <w:p w14:paraId="455D71EC">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1EA68F3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383368D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4AEE78A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610F5A7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739D36A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0C590667">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46A64605">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59A74CBB">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4AF97FD7">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7833805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0AFB577D">
      <w:pPr>
        <w:autoSpaceDE w:val="0"/>
        <w:autoSpaceDN w:val="0"/>
        <w:spacing w:line="360" w:lineRule="auto"/>
        <w:ind w:left="2"/>
        <w:jc w:val="left"/>
        <w:rPr>
          <w:rFonts w:ascii="宋体" w:hAnsi="宋体" w:cs="宋体"/>
          <w:kern w:val="0"/>
          <w:sz w:val="24"/>
          <w:highlight w:val="none"/>
          <w:lang w:val="zh-CN"/>
        </w:rPr>
      </w:pPr>
    </w:p>
    <w:p w14:paraId="06D2E4C9">
      <w:pPr>
        <w:autoSpaceDE w:val="0"/>
        <w:autoSpaceDN w:val="0"/>
        <w:spacing w:line="360" w:lineRule="auto"/>
        <w:ind w:left="2"/>
        <w:jc w:val="left"/>
        <w:rPr>
          <w:rFonts w:ascii="宋体" w:hAnsi="宋体" w:cs="宋体"/>
          <w:kern w:val="0"/>
          <w:sz w:val="24"/>
          <w:highlight w:val="none"/>
          <w:lang w:val="zh-CN"/>
        </w:rPr>
      </w:pPr>
    </w:p>
    <w:p w14:paraId="48CC50CA">
      <w:pPr>
        <w:autoSpaceDE w:val="0"/>
        <w:autoSpaceDN w:val="0"/>
        <w:spacing w:line="360" w:lineRule="auto"/>
        <w:ind w:left="2"/>
        <w:jc w:val="left"/>
        <w:rPr>
          <w:rFonts w:ascii="宋体" w:hAnsi="宋体" w:cs="宋体"/>
          <w:kern w:val="0"/>
          <w:sz w:val="24"/>
          <w:highlight w:val="none"/>
          <w:lang w:val="zh-CN"/>
        </w:rPr>
      </w:pPr>
    </w:p>
    <w:p w14:paraId="2A7DD6E7">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0BFCA81F">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281FF2AA">
      <w:pPr>
        <w:spacing w:line="360" w:lineRule="auto"/>
        <w:jc w:val="center"/>
        <w:rPr>
          <w:rFonts w:ascii="宋体" w:hAnsi="宋体" w:cs="宋体"/>
          <w:b/>
          <w:bCs/>
          <w:sz w:val="24"/>
          <w:highlight w:val="none"/>
        </w:rPr>
      </w:pPr>
    </w:p>
    <w:p w14:paraId="18B7188F">
      <w:pPr>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424BD2E4">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12F11503">
      <w:pPr>
        <w:jc w:val="center"/>
        <w:rPr>
          <w:rFonts w:ascii="宋体" w:hAnsi="宋体" w:cs="宋体"/>
          <w:b/>
          <w:kern w:val="0"/>
          <w:sz w:val="32"/>
          <w:szCs w:val="32"/>
          <w:highlight w:val="none"/>
        </w:rPr>
      </w:pPr>
      <w:r>
        <w:rPr>
          <w:rFonts w:hint="eastAsia" w:ascii="宋体" w:hAnsi="宋体" w:cs="宋体"/>
          <w:b/>
          <w:kern w:val="0"/>
          <w:sz w:val="32"/>
          <w:szCs w:val="32"/>
          <w:highlight w:val="none"/>
        </w:rPr>
        <w:t>一、符合性审查资料</w:t>
      </w:r>
    </w:p>
    <w:p w14:paraId="7054622A">
      <w:pPr>
        <w:jc w:val="center"/>
        <w:rPr>
          <w:rFonts w:ascii="宋体" w:hAnsi="宋体" w:cs="宋体"/>
          <w:b/>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4238"/>
        <w:gridCol w:w="2545"/>
        <w:gridCol w:w="2311"/>
      </w:tblGrid>
      <w:tr w14:paraId="53E3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12" w:type="dxa"/>
            <w:vAlign w:val="center"/>
          </w:tcPr>
          <w:p w14:paraId="217F1C41">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238" w:type="dxa"/>
            <w:vAlign w:val="center"/>
          </w:tcPr>
          <w:p w14:paraId="78DEB583">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45" w:type="dxa"/>
            <w:vAlign w:val="center"/>
          </w:tcPr>
          <w:p w14:paraId="31EDDED6">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2311" w:type="dxa"/>
            <w:vAlign w:val="center"/>
          </w:tcPr>
          <w:p w14:paraId="7F7D5867">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3EBBE30B">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5CDD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12" w:type="dxa"/>
            <w:vAlign w:val="center"/>
          </w:tcPr>
          <w:p w14:paraId="034EB35E">
            <w:pPr>
              <w:rPr>
                <w:rFonts w:ascii="宋体" w:hAnsi="宋体" w:cs="宋体"/>
                <w:sz w:val="24"/>
                <w:highlight w:val="none"/>
              </w:rPr>
            </w:pPr>
            <w:r>
              <w:rPr>
                <w:rFonts w:hint="eastAsia" w:ascii="宋体" w:hAnsi="宋体" w:cs="宋体"/>
                <w:sz w:val="24"/>
                <w:highlight w:val="none"/>
              </w:rPr>
              <w:t>1</w:t>
            </w:r>
          </w:p>
        </w:tc>
        <w:tc>
          <w:tcPr>
            <w:tcW w:w="4238" w:type="dxa"/>
            <w:vAlign w:val="center"/>
          </w:tcPr>
          <w:p w14:paraId="23AB8229">
            <w:pPr>
              <w:spacing w:line="360" w:lineRule="auto"/>
              <w:jc w:val="center"/>
              <w:rPr>
                <w:rFonts w:ascii="宋体" w:hAnsi="宋体" w:cs="宋体"/>
                <w:sz w:val="24"/>
                <w:highlight w:val="none"/>
              </w:rPr>
            </w:pPr>
            <w:r>
              <w:rPr>
                <w:rFonts w:hint="eastAsia" w:ascii="宋体" w:hAnsi="宋体" w:cs="宋体"/>
                <w:sz w:val="24"/>
                <w:highlight w:val="none"/>
              </w:rPr>
              <w:t>投标文件按照招标文件要求签署、盖章。</w:t>
            </w:r>
          </w:p>
        </w:tc>
        <w:tc>
          <w:tcPr>
            <w:tcW w:w="2545" w:type="dxa"/>
            <w:vAlign w:val="center"/>
          </w:tcPr>
          <w:p w14:paraId="24DF140A">
            <w:pPr>
              <w:jc w:val="cente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2311" w:type="dxa"/>
            <w:vAlign w:val="center"/>
          </w:tcPr>
          <w:p w14:paraId="3E5FC680">
            <w:pPr>
              <w:jc w:val="center"/>
              <w:rPr>
                <w:rFonts w:ascii="宋体" w:hAnsi="宋体" w:cs="宋体"/>
                <w:sz w:val="24"/>
                <w:highlight w:val="none"/>
              </w:rPr>
            </w:pPr>
            <w:r>
              <w:rPr>
                <w:rFonts w:hint="eastAsia" w:ascii="宋体" w:hAnsi="宋体" w:cs="宋体"/>
                <w:sz w:val="24"/>
                <w:highlight w:val="none"/>
              </w:rPr>
              <w:t>见投标文件</w:t>
            </w:r>
          </w:p>
          <w:p w14:paraId="61BB18DD">
            <w:pPr>
              <w:jc w:val="cente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页</w:t>
            </w:r>
          </w:p>
        </w:tc>
      </w:tr>
      <w:tr w14:paraId="2773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12" w:type="dxa"/>
            <w:vAlign w:val="center"/>
          </w:tcPr>
          <w:p w14:paraId="40E7169D">
            <w:pPr>
              <w:spacing w:line="360" w:lineRule="auto"/>
              <w:rPr>
                <w:rFonts w:ascii="宋体" w:hAnsi="宋体" w:cs="宋体"/>
                <w:sz w:val="24"/>
                <w:highlight w:val="none"/>
              </w:rPr>
            </w:pPr>
            <w:r>
              <w:rPr>
                <w:rFonts w:hint="eastAsia" w:ascii="宋体" w:hAnsi="宋体" w:cs="宋体"/>
                <w:sz w:val="24"/>
                <w:highlight w:val="none"/>
              </w:rPr>
              <w:t>2</w:t>
            </w:r>
          </w:p>
        </w:tc>
        <w:tc>
          <w:tcPr>
            <w:tcW w:w="4238" w:type="dxa"/>
            <w:vAlign w:val="center"/>
          </w:tcPr>
          <w:p w14:paraId="320C0B0D">
            <w:pPr>
              <w:spacing w:line="360" w:lineRule="auto"/>
              <w:jc w:val="center"/>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45" w:type="dxa"/>
            <w:vAlign w:val="center"/>
          </w:tcPr>
          <w:p w14:paraId="3E13A00B">
            <w:pPr>
              <w:jc w:val="center"/>
              <w:rPr>
                <w:rFonts w:ascii="宋体" w:hAnsi="宋体" w:cs="宋体"/>
                <w:sz w:val="24"/>
                <w:highlight w:val="none"/>
              </w:rPr>
            </w:pPr>
            <w:r>
              <w:rPr>
                <w:rFonts w:hint="eastAsia" w:ascii="宋体" w:hAnsi="宋体" w:cs="宋体"/>
                <w:sz w:val="24"/>
                <w:highlight w:val="none"/>
              </w:rPr>
              <w:t>投标函</w:t>
            </w:r>
          </w:p>
        </w:tc>
        <w:tc>
          <w:tcPr>
            <w:tcW w:w="2311" w:type="dxa"/>
            <w:vAlign w:val="center"/>
          </w:tcPr>
          <w:p w14:paraId="6271B5FD">
            <w:pPr>
              <w:jc w:val="cente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页</w:t>
            </w:r>
          </w:p>
        </w:tc>
      </w:tr>
      <w:tr w14:paraId="2589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12" w:type="dxa"/>
            <w:vAlign w:val="center"/>
          </w:tcPr>
          <w:p w14:paraId="6E1CB2EF">
            <w:pPr>
              <w:rPr>
                <w:rFonts w:ascii="宋体" w:hAnsi="宋体" w:cs="宋体"/>
                <w:sz w:val="24"/>
                <w:highlight w:val="none"/>
              </w:rPr>
            </w:pPr>
            <w:r>
              <w:rPr>
                <w:rFonts w:hint="eastAsia" w:ascii="宋体" w:hAnsi="宋体" w:cs="宋体"/>
                <w:sz w:val="24"/>
                <w:highlight w:val="none"/>
              </w:rPr>
              <w:t>3</w:t>
            </w:r>
          </w:p>
        </w:tc>
        <w:tc>
          <w:tcPr>
            <w:tcW w:w="4238" w:type="dxa"/>
            <w:vAlign w:val="center"/>
          </w:tcPr>
          <w:p w14:paraId="27932229">
            <w:pPr>
              <w:spacing w:line="360" w:lineRule="auto"/>
              <w:jc w:val="center"/>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45" w:type="dxa"/>
            <w:vAlign w:val="center"/>
          </w:tcPr>
          <w:p w14:paraId="4B0FAF6C">
            <w:pPr>
              <w:jc w:val="cente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2311" w:type="dxa"/>
            <w:vAlign w:val="center"/>
          </w:tcPr>
          <w:p w14:paraId="1F728C0D">
            <w:pPr>
              <w:jc w:val="cente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页</w:t>
            </w:r>
          </w:p>
        </w:tc>
      </w:tr>
    </w:tbl>
    <w:p w14:paraId="6020D082">
      <w:pPr>
        <w:jc w:val="center"/>
        <w:rPr>
          <w:rFonts w:ascii="宋体" w:hAnsi="宋体" w:cs="宋体"/>
          <w:b/>
          <w:kern w:val="0"/>
          <w:sz w:val="32"/>
          <w:szCs w:val="32"/>
          <w:highlight w:val="none"/>
        </w:rPr>
      </w:pPr>
    </w:p>
    <w:p w14:paraId="62E447D7">
      <w:pPr>
        <w:pStyle w:val="61"/>
        <w:ind w:firstLine="420"/>
        <w:rPr>
          <w:rFonts w:cs="宋体"/>
          <w:highlight w:val="none"/>
        </w:rPr>
      </w:pPr>
    </w:p>
    <w:p w14:paraId="2A0DE8C1">
      <w:pPr>
        <w:jc w:val="center"/>
        <w:rPr>
          <w:rFonts w:ascii="宋体" w:hAnsi="宋体" w:cs="宋体"/>
          <w:highlight w:val="none"/>
        </w:rPr>
      </w:pPr>
      <w:r>
        <w:rPr>
          <w:rFonts w:hint="eastAsia" w:ascii="宋体" w:hAnsi="宋体" w:cs="宋体"/>
          <w:b/>
          <w:kern w:val="0"/>
          <w:sz w:val="32"/>
          <w:szCs w:val="32"/>
          <w:highlight w:val="none"/>
        </w:rPr>
        <w:t>二、评标标准相应的商务技术资料</w:t>
      </w:r>
    </w:p>
    <w:p w14:paraId="0978C72D">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008513B9">
      <w:pPr>
        <w:jc w:val="center"/>
        <w:rPr>
          <w:rFonts w:ascii="宋体" w:hAnsi="宋体" w:cs="宋体"/>
          <w:b/>
          <w:kern w:val="0"/>
          <w:sz w:val="32"/>
          <w:szCs w:val="32"/>
          <w:highlight w:val="none"/>
        </w:rPr>
      </w:pPr>
    </w:p>
    <w:p w14:paraId="241F428F">
      <w:pPr>
        <w:pStyle w:val="60"/>
        <w:rPr>
          <w:rFonts w:hAnsi="宋体" w:cs="宋体"/>
          <w:b/>
          <w:kern w:val="0"/>
          <w:sz w:val="32"/>
          <w:szCs w:val="32"/>
          <w:highlight w:val="none"/>
        </w:rPr>
      </w:pPr>
    </w:p>
    <w:p w14:paraId="6FE427D1">
      <w:pPr>
        <w:rPr>
          <w:rFonts w:ascii="宋体" w:hAnsi="宋体" w:cs="宋体"/>
          <w:highlight w:val="none"/>
        </w:rPr>
      </w:pPr>
    </w:p>
    <w:p w14:paraId="79847C5D">
      <w:pPr>
        <w:jc w:val="center"/>
        <w:rPr>
          <w:rFonts w:ascii="宋体" w:hAnsi="宋体" w:cs="宋体"/>
          <w:b/>
          <w:kern w:val="0"/>
          <w:sz w:val="32"/>
          <w:szCs w:val="32"/>
          <w:highlight w:val="none"/>
        </w:rPr>
      </w:pPr>
    </w:p>
    <w:p w14:paraId="4817E45C">
      <w:pPr>
        <w:jc w:val="center"/>
        <w:rPr>
          <w:rFonts w:ascii="宋体" w:hAnsi="宋体" w:cs="宋体"/>
          <w:b/>
          <w:kern w:val="0"/>
          <w:sz w:val="32"/>
          <w:szCs w:val="32"/>
          <w:highlight w:val="none"/>
        </w:rPr>
      </w:pPr>
      <w:r>
        <w:rPr>
          <w:rFonts w:hint="eastAsia" w:ascii="宋体" w:hAnsi="宋体" w:cs="宋体"/>
          <w:b/>
          <w:kern w:val="0"/>
          <w:sz w:val="32"/>
          <w:szCs w:val="32"/>
          <w:highlight w:val="none"/>
        </w:rPr>
        <w:t>三、商务技术偏离表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701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7A98DC">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3B11752E">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17CB6434">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6E019F7C">
            <w:pPr>
              <w:jc w:val="center"/>
              <w:rPr>
                <w:rFonts w:ascii="宋体" w:hAnsi="宋体" w:cs="宋体"/>
                <w:b/>
                <w:bCs/>
                <w:sz w:val="24"/>
                <w:highlight w:val="none"/>
              </w:rPr>
            </w:pPr>
            <w:r>
              <w:rPr>
                <w:rFonts w:hint="eastAsia" w:ascii="宋体" w:hAnsi="宋体" w:cs="宋体"/>
                <w:b/>
                <w:bCs/>
                <w:sz w:val="24"/>
                <w:highlight w:val="none"/>
              </w:rPr>
              <w:t>偏离说明</w:t>
            </w:r>
          </w:p>
        </w:tc>
      </w:tr>
      <w:tr w14:paraId="4EF4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113FD0">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0A21536B">
            <w:pPr>
              <w:jc w:val="center"/>
              <w:rPr>
                <w:rFonts w:ascii="宋体" w:hAnsi="宋体" w:cs="宋体"/>
                <w:b/>
                <w:kern w:val="0"/>
                <w:sz w:val="32"/>
                <w:szCs w:val="32"/>
                <w:highlight w:val="none"/>
              </w:rPr>
            </w:pPr>
          </w:p>
        </w:tc>
        <w:tc>
          <w:tcPr>
            <w:tcW w:w="3546" w:type="dxa"/>
          </w:tcPr>
          <w:p w14:paraId="56C33EE8">
            <w:pPr>
              <w:jc w:val="center"/>
              <w:rPr>
                <w:rFonts w:ascii="宋体" w:hAnsi="宋体" w:cs="宋体"/>
                <w:b/>
                <w:kern w:val="0"/>
                <w:sz w:val="32"/>
                <w:szCs w:val="32"/>
                <w:highlight w:val="none"/>
              </w:rPr>
            </w:pPr>
          </w:p>
        </w:tc>
        <w:tc>
          <w:tcPr>
            <w:tcW w:w="1276" w:type="dxa"/>
          </w:tcPr>
          <w:p w14:paraId="3368711F">
            <w:pPr>
              <w:jc w:val="center"/>
              <w:rPr>
                <w:rFonts w:ascii="宋体" w:hAnsi="宋体" w:cs="宋体"/>
                <w:b/>
                <w:kern w:val="0"/>
                <w:sz w:val="32"/>
                <w:szCs w:val="32"/>
                <w:highlight w:val="none"/>
              </w:rPr>
            </w:pPr>
          </w:p>
        </w:tc>
      </w:tr>
      <w:tr w14:paraId="15DC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449231">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5F76E5C3">
            <w:pPr>
              <w:jc w:val="center"/>
              <w:rPr>
                <w:rFonts w:ascii="宋体" w:hAnsi="宋体" w:cs="宋体"/>
                <w:b/>
                <w:kern w:val="0"/>
                <w:sz w:val="32"/>
                <w:szCs w:val="32"/>
                <w:highlight w:val="none"/>
              </w:rPr>
            </w:pPr>
          </w:p>
        </w:tc>
        <w:tc>
          <w:tcPr>
            <w:tcW w:w="3546" w:type="dxa"/>
          </w:tcPr>
          <w:p w14:paraId="68810454">
            <w:pPr>
              <w:jc w:val="center"/>
              <w:rPr>
                <w:rFonts w:ascii="宋体" w:hAnsi="宋体" w:cs="宋体"/>
                <w:b/>
                <w:kern w:val="0"/>
                <w:sz w:val="32"/>
                <w:szCs w:val="32"/>
                <w:highlight w:val="none"/>
              </w:rPr>
            </w:pPr>
          </w:p>
        </w:tc>
        <w:tc>
          <w:tcPr>
            <w:tcW w:w="1276" w:type="dxa"/>
          </w:tcPr>
          <w:p w14:paraId="041939E4">
            <w:pPr>
              <w:jc w:val="center"/>
              <w:rPr>
                <w:rFonts w:ascii="宋体" w:hAnsi="宋体" w:cs="宋体"/>
                <w:b/>
                <w:kern w:val="0"/>
                <w:sz w:val="32"/>
                <w:szCs w:val="32"/>
                <w:highlight w:val="none"/>
              </w:rPr>
            </w:pPr>
          </w:p>
        </w:tc>
      </w:tr>
      <w:tr w14:paraId="260A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2C69ED">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7AE9E817">
            <w:pPr>
              <w:jc w:val="center"/>
              <w:rPr>
                <w:rFonts w:ascii="宋体" w:hAnsi="宋体" w:cs="宋体"/>
                <w:b/>
                <w:kern w:val="0"/>
                <w:sz w:val="32"/>
                <w:szCs w:val="32"/>
                <w:highlight w:val="none"/>
              </w:rPr>
            </w:pPr>
          </w:p>
        </w:tc>
        <w:tc>
          <w:tcPr>
            <w:tcW w:w="3546" w:type="dxa"/>
          </w:tcPr>
          <w:p w14:paraId="30FFF681">
            <w:pPr>
              <w:jc w:val="center"/>
              <w:rPr>
                <w:rFonts w:ascii="宋体" w:hAnsi="宋体" w:cs="宋体"/>
                <w:b/>
                <w:kern w:val="0"/>
                <w:sz w:val="32"/>
                <w:szCs w:val="32"/>
                <w:highlight w:val="none"/>
              </w:rPr>
            </w:pPr>
          </w:p>
        </w:tc>
        <w:tc>
          <w:tcPr>
            <w:tcW w:w="1276" w:type="dxa"/>
          </w:tcPr>
          <w:p w14:paraId="300DBC5E">
            <w:pPr>
              <w:jc w:val="center"/>
              <w:rPr>
                <w:rFonts w:ascii="宋体" w:hAnsi="宋体" w:cs="宋体"/>
                <w:b/>
                <w:kern w:val="0"/>
                <w:sz w:val="32"/>
                <w:szCs w:val="32"/>
                <w:highlight w:val="none"/>
              </w:rPr>
            </w:pPr>
          </w:p>
        </w:tc>
      </w:tr>
    </w:tbl>
    <w:p w14:paraId="11FFE62A">
      <w:pPr>
        <w:jc w:val="center"/>
        <w:rPr>
          <w:rFonts w:ascii="宋体" w:hAnsi="宋体" w:cs="宋体"/>
          <w:b/>
          <w:kern w:val="0"/>
          <w:sz w:val="32"/>
          <w:szCs w:val="32"/>
          <w:highlight w:val="none"/>
        </w:rPr>
      </w:pPr>
    </w:p>
    <w:p w14:paraId="1272601F">
      <w:pPr>
        <w:jc w:val="center"/>
        <w:rPr>
          <w:rFonts w:ascii="宋体" w:hAnsi="宋体" w:cs="宋体"/>
          <w:b/>
          <w:kern w:val="0"/>
          <w:sz w:val="32"/>
          <w:szCs w:val="32"/>
          <w:highlight w:val="none"/>
        </w:rPr>
      </w:pPr>
    </w:p>
    <w:p w14:paraId="3BEB8B67">
      <w:pPr>
        <w:jc w:val="center"/>
        <w:rPr>
          <w:rFonts w:ascii="宋体" w:hAnsi="宋体" w:cs="宋体"/>
          <w:b/>
          <w:kern w:val="0"/>
          <w:sz w:val="32"/>
          <w:szCs w:val="32"/>
          <w:highlight w:val="none"/>
        </w:rPr>
      </w:pPr>
    </w:p>
    <w:p w14:paraId="48E6B5E3">
      <w:pPr>
        <w:jc w:val="center"/>
        <w:rPr>
          <w:rFonts w:ascii="宋体" w:hAnsi="宋体" w:cs="宋体"/>
          <w:b/>
          <w:kern w:val="0"/>
          <w:sz w:val="32"/>
          <w:szCs w:val="32"/>
          <w:highlight w:val="none"/>
        </w:rPr>
      </w:pPr>
    </w:p>
    <w:p w14:paraId="2BED35C3">
      <w:pPr>
        <w:spacing w:line="360" w:lineRule="auto"/>
        <w:jc w:val="center"/>
        <w:rPr>
          <w:rFonts w:ascii="宋体" w:hAnsi="宋体" w:cs="宋体"/>
          <w:b/>
          <w:bCs/>
          <w:sz w:val="24"/>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607040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7663947B">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24588554">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1660D204">
      <w:pPr>
        <w:snapToGrid w:val="0"/>
        <w:spacing w:line="360" w:lineRule="auto"/>
        <w:ind w:firstLine="482"/>
        <w:rPr>
          <w:rFonts w:ascii="宋体" w:hAnsi="宋体" w:cs="宋体"/>
          <w:b/>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3BD6D452">
      <w:pPr>
        <w:snapToGrid w:val="0"/>
        <w:spacing w:line="300" w:lineRule="exact"/>
        <w:ind w:left="480" w:firstLine="1446" w:firstLineChars="600"/>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4"/>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204"/>
        <w:gridCol w:w="1378"/>
        <w:gridCol w:w="1827"/>
        <w:gridCol w:w="927"/>
        <w:gridCol w:w="843"/>
        <w:gridCol w:w="916"/>
        <w:gridCol w:w="1350"/>
      </w:tblGrid>
      <w:tr w14:paraId="5D6F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692" w:type="dxa"/>
            <w:vAlign w:val="center"/>
          </w:tcPr>
          <w:p w14:paraId="044D4B01">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序号</w:t>
            </w:r>
          </w:p>
        </w:tc>
        <w:tc>
          <w:tcPr>
            <w:tcW w:w="1204" w:type="dxa"/>
            <w:vAlign w:val="center"/>
          </w:tcPr>
          <w:p w14:paraId="1529DEA6">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名称</w:t>
            </w:r>
          </w:p>
        </w:tc>
        <w:tc>
          <w:tcPr>
            <w:tcW w:w="1378" w:type="dxa"/>
          </w:tcPr>
          <w:p w14:paraId="25812AB5">
            <w:pPr>
              <w:spacing w:line="360" w:lineRule="auto"/>
              <w:jc w:val="center"/>
              <w:rPr>
                <w:rFonts w:ascii="仿宋_GB2312" w:hAnsi="仿宋" w:eastAsia="仿宋_GB2312"/>
                <w:b/>
                <w:color w:val="000000" w:themeColor="text1"/>
                <w:sz w:val="24"/>
                <w:highlight w:val="none"/>
                <w14:textFill>
                  <w14:solidFill>
                    <w14:schemeClr w14:val="tx1"/>
                  </w14:solidFill>
                </w14:textFill>
              </w:rPr>
            </w:pPr>
          </w:p>
          <w:p w14:paraId="4A0CB817">
            <w:pPr>
              <w:spacing w:line="360" w:lineRule="auto"/>
              <w:jc w:val="center"/>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品牌</w:t>
            </w:r>
          </w:p>
          <w:p w14:paraId="47B69660">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（如果有）</w:t>
            </w:r>
          </w:p>
        </w:tc>
        <w:tc>
          <w:tcPr>
            <w:tcW w:w="1827" w:type="dxa"/>
            <w:vAlign w:val="center"/>
          </w:tcPr>
          <w:p w14:paraId="7CA2ACB7">
            <w:pPr>
              <w:spacing w:line="360" w:lineRule="auto"/>
              <w:jc w:val="center"/>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规格型号</w:t>
            </w:r>
          </w:p>
          <w:p w14:paraId="6B82603B">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（或具体服务）</w:t>
            </w:r>
          </w:p>
        </w:tc>
        <w:tc>
          <w:tcPr>
            <w:tcW w:w="927" w:type="dxa"/>
            <w:vAlign w:val="center"/>
          </w:tcPr>
          <w:p w14:paraId="51DC51BF">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数量</w:t>
            </w:r>
          </w:p>
        </w:tc>
        <w:tc>
          <w:tcPr>
            <w:tcW w:w="843" w:type="dxa"/>
            <w:vAlign w:val="center"/>
          </w:tcPr>
          <w:p w14:paraId="3F82374C">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单价</w:t>
            </w:r>
          </w:p>
        </w:tc>
        <w:tc>
          <w:tcPr>
            <w:tcW w:w="916" w:type="dxa"/>
            <w:vAlign w:val="center"/>
          </w:tcPr>
          <w:p w14:paraId="30340E58">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总价</w:t>
            </w:r>
          </w:p>
        </w:tc>
        <w:tc>
          <w:tcPr>
            <w:tcW w:w="1350" w:type="dxa"/>
            <w:vAlign w:val="center"/>
          </w:tcPr>
          <w:p w14:paraId="5A476182">
            <w:pPr>
              <w:spacing w:line="360" w:lineRule="auto"/>
              <w:jc w:val="center"/>
              <w:rPr>
                <w:rFonts w:ascii="仿宋_GB2312" w:hAnsi="仿宋" w:eastAsia="仿宋_GB2312"/>
                <w:b/>
                <w:color w:val="000000" w:themeColor="text1"/>
                <w:sz w:val="24"/>
                <w:highlight w:val="none"/>
                <w14:textFill>
                  <w14:solidFill>
                    <w14:schemeClr w14:val="tx1"/>
                  </w14:solidFill>
                </w14:textFill>
              </w:rPr>
            </w:pPr>
          </w:p>
          <w:p w14:paraId="2C6289E5">
            <w:pPr>
              <w:spacing w:line="360" w:lineRule="auto"/>
              <w:jc w:val="center"/>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服务要求</w:t>
            </w:r>
          </w:p>
          <w:p w14:paraId="172FD97E">
            <w:pPr>
              <w:spacing w:line="360" w:lineRule="auto"/>
              <w:jc w:val="center"/>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（年限）</w:t>
            </w:r>
          </w:p>
        </w:tc>
      </w:tr>
      <w:tr w14:paraId="70B0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692" w:type="dxa"/>
            <w:vAlign w:val="center"/>
          </w:tcPr>
          <w:p w14:paraId="5F5123FB">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w:t>
            </w:r>
          </w:p>
        </w:tc>
        <w:tc>
          <w:tcPr>
            <w:tcW w:w="1204" w:type="dxa"/>
            <w:vAlign w:val="center"/>
          </w:tcPr>
          <w:p w14:paraId="116A5515">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378" w:type="dxa"/>
            <w:vAlign w:val="center"/>
          </w:tcPr>
          <w:p w14:paraId="5FCF2A15">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827" w:type="dxa"/>
            <w:vAlign w:val="center"/>
          </w:tcPr>
          <w:p w14:paraId="03601DB6">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927" w:type="dxa"/>
            <w:vAlign w:val="center"/>
          </w:tcPr>
          <w:p w14:paraId="4D8FADB4">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843" w:type="dxa"/>
            <w:vAlign w:val="center"/>
          </w:tcPr>
          <w:p w14:paraId="4D94D6A9">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916" w:type="dxa"/>
            <w:vAlign w:val="center"/>
          </w:tcPr>
          <w:p w14:paraId="7DD5DC5F">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350" w:type="dxa"/>
            <w:vAlign w:val="center"/>
          </w:tcPr>
          <w:p w14:paraId="692CC219">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r>
      <w:tr w14:paraId="1572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101" w:type="dxa"/>
            <w:gridSpan w:val="4"/>
            <w:vAlign w:val="center"/>
          </w:tcPr>
          <w:p w14:paraId="47274BA7">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投标报价（小写）</w:t>
            </w:r>
          </w:p>
        </w:tc>
        <w:tc>
          <w:tcPr>
            <w:tcW w:w="4036" w:type="dxa"/>
            <w:gridSpan w:val="4"/>
            <w:vAlign w:val="center"/>
          </w:tcPr>
          <w:p w14:paraId="26A96DAF">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r>
      <w:tr w14:paraId="1A80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01" w:type="dxa"/>
            <w:gridSpan w:val="4"/>
            <w:vAlign w:val="center"/>
          </w:tcPr>
          <w:p w14:paraId="66D49322">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投标报价（大写）</w:t>
            </w:r>
          </w:p>
        </w:tc>
        <w:tc>
          <w:tcPr>
            <w:tcW w:w="4036" w:type="dxa"/>
            <w:gridSpan w:val="4"/>
            <w:vAlign w:val="center"/>
          </w:tcPr>
          <w:p w14:paraId="004D7572">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r>
    </w:tbl>
    <w:p w14:paraId="0D7988EB">
      <w:pPr>
        <w:snapToGrid w:val="0"/>
        <w:spacing w:line="300" w:lineRule="exact"/>
        <w:ind w:left="480"/>
        <w:rPr>
          <w:rFonts w:hint="eastAsia" w:ascii="宋体" w:hAnsi="宋体" w:cs="宋体"/>
          <w:b/>
          <w:kern w:val="0"/>
          <w:sz w:val="24"/>
          <w:highlight w:val="none"/>
          <w:lang w:val="zh-CN"/>
        </w:rPr>
      </w:pPr>
    </w:p>
    <w:p w14:paraId="60020A58">
      <w:pPr>
        <w:snapToGrid w:val="0"/>
        <w:spacing w:line="300" w:lineRule="exact"/>
        <w:ind w:left="480"/>
        <w:rPr>
          <w:rFonts w:hint="eastAsia" w:ascii="宋体" w:hAnsi="宋体" w:cs="宋体"/>
          <w:b/>
          <w:kern w:val="0"/>
          <w:sz w:val="24"/>
          <w:highlight w:val="none"/>
          <w:lang w:val="zh-CN"/>
        </w:rPr>
      </w:pPr>
    </w:p>
    <w:p w14:paraId="75DFF0A7">
      <w:pPr>
        <w:snapToGrid w:val="0"/>
        <w:spacing w:line="300" w:lineRule="exact"/>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3A2D9884">
      <w:pPr>
        <w:spacing w:line="300" w:lineRule="exact"/>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1、投标人需按本表格式填写，不得自行更改。</w:t>
      </w:r>
    </w:p>
    <w:p w14:paraId="240779E7">
      <w:pPr>
        <w:spacing w:line="30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投标文件含有采购人不能接受的附加条件的，投标无效</w:t>
      </w:r>
      <w:r>
        <w:rPr>
          <w:rFonts w:hint="eastAsia" w:ascii="宋体" w:hAnsi="宋体" w:cs="宋体"/>
          <w:b/>
          <w:kern w:val="0"/>
          <w:sz w:val="24"/>
          <w:highlight w:val="none"/>
          <w:lang w:val="zh-CN"/>
        </w:rPr>
        <w:t>。</w:t>
      </w:r>
    </w:p>
    <w:p w14:paraId="0DD36AF4">
      <w:pPr>
        <w:snapToGrid w:val="0"/>
        <w:spacing w:line="300" w:lineRule="exact"/>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3、以上表格要求细分项目及报价，在“规格型号（或具体服务）”一栏中，货物类项目填写规格型号，服务类项目填写具体服务。</w:t>
      </w:r>
    </w:p>
    <w:p w14:paraId="14434675">
      <w:pPr>
        <w:snapToGrid w:val="0"/>
        <w:spacing w:line="300" w:lineRule="exact"/>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4、特别提示：采购机构将对项目名称和项目编号，中标供应商名称、地址和中标金额，主要中标标的的名称、规格型号、数量、单价、服务要求等予以公示。</w:t>
      </w:r>
    </w:p>
    <w:p w14:paraId="14F6C0AD">
      <w:pPr>
        <w:snapToGrid w:val="0"/>
        <w:spacing w:line="300" w:lineRule="exact"/>
        <w:ind w:firstLine="480" w:firstLineChars="200"/>
        <w:jc w:val="left"/>
        <w:rPr>
          <w:rFonts w:ascii="宋体" w:hAnsi="宋体" w:cs="宋体"/>
          <w:kern w:val="0"/>
          <w:sz w:val="24"/>
          <w:highlight w:val="none"/>
          <w:lang w:val="zh-CN"/>
        </w:rPr>
      </w:pPr>
      <w:r>
        <w:rPr>
          <w:rFonts w:hint="eastAsia" w:ascii="宋体" w:hAnsi="宋体" w:cs="宋体"/>
          <w:kern w:val="0"/>
          <w:sz w:val="24"/>
          <w:szCs w:val="22"/>
          <w:highlight w:val="none"/>
          <w:lang w:val="zh-CN"/>
        </w:rPr>
        <w:t>5、</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E13ADDF">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6C7B8E19">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2224D80B">
      <w:pPr>
        <w:spacing w:line="360" w:lineRule="auto"/>
        <w:ind w:firstLine="482" w:firstLineChars="200"/>
        <w:rPr>
          <w:rFonts w:ascii="宋体" w:hAnsi="宋体" w:cs="宋体"/>
          <w:b/>
          <w:kern w:val="0"/>
          <w:sz w:val="24"/>
          <w:highlight w:val="none"/>
        </w:rPr>
      </w:pPr>
    </w:p>
    <w:p w14:paraId="2330823E">
      <w:pPr>
        <w:rPr>
          <w:rFonts w:ascii="宋体" w:hAnsi="宋体" w:cs="宋体"/>
          <w:sz w:val="32"/>
          <w:szCs w:val="32"/>
          <w:highlight w:val="none"/>
        </w:rPr>
      </w:pPr>
      <w:r>
        <w:rPr>
          <w:rFonts w:hint="eastAsia" w:ascii="宋体" w:hAnsi="宋体" w:cs="宋体"/>
          <w:sz w:val="32"/>
          <w:szCs w:val="32"/>
          <w:highlight w:val="none"/>
        </w:rPr>
        <w:br w:type="page"/>
      </w:r>
    </w:p>
    <w:p w14:paraId="3DC56BA9">
      <w:pPr>
        <w:pStyle w:val="695"/>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p>
    <w:p w14:paraId="6837C9F2">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0699F43A">
      <w:pPr>
        <w:pStyle w:val="695"/>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14:paraId="77CCE790">
      <w:pPr>
        <w:spacing w:line="360" w:lineRule="auto"/>
        <w:ind w:right="420" w:firstLine="3614" w:firstLineChars="1000"/>
        <w:rPr>
          <w:rFonts w:ascii="宋体" w:hAnsi="宋体" w:cs="宋体"/>
          <w:b/>
          <w:kern w:val="0"/>
          <w:sz w:val="36"/>
          <w:szCs w:val="36"/>
          <w:highlight w:val="none"/>
        </w:rPr>
      </w:pPr>
    </w:p>
    <w:p w14:paraId="412713BE">
      <w:pPr>
        <w:spacing w:line="360" w:lineRule="auto"/>
        <w:ind w:right="420" w:firstLine="3614" w:firstLineChars="1000"/>
        <w:rPr>
          <w:rFonts w:ascii="宋体" w:hAnsi="宋体" w:cs="宋体"/>
          <w:b/>
          <w:kern w:val="0"/>
          <w:sz w:val="36"/>
          <w:szCs w:val="36"/>
          <w:highlight w:val="none"/>
        </w:rPr>
      </w:pPr>
    </w:p>
    <w:p w14:paraId="4BF94043">
      <w:pPr>
        <w:spacing w:line="360" w:lineRule="auto"/>
        <w:ind w:right="420" w:firstLine="3614" w:firstLineChars="1000"/>
        <w:rPr>
          <w:rFonts w:ascii="宋体" w:hAnsi="宋体" w:cs="宋体"/>
          <w:b/>
          <w:kern w:val="0"/>
          <w:sz w:val="36"/>
          <w:szCs w:val="36"/>
          <w:highlight w:val="none"/>
        </w:rPr>
      </w:pPr>
    </w:p>
    <w:p w14:paraId="2CF64565">
      <w:pPr>
        <w:spacing w:line="360" w:lineRule="auto"/>
        <w:ind w:right="420" w:firstLine="3614" w:firstLineChars="1000"/>
        <w:rPr>
          <w:rFonts w:ascii="宋体" w:hAnsi="宋体" w:cs="宋体"/>
          <w:b/>
          <w:kern w:val="0"/>
          <w:sz w:val="36"/>
          <w:szCs w:val="36"/>
          <w:highlight w:val="none"/>
        </w:rPr>
      </w:pPr>
    </w:p>
    <w:p w14:paraId="50E61F8B">
      <w:pPr>
        <w:spacing w:line="360" w:lineRule="auto"/>
        <w:ind w:right="420" w:firstLine="3614" w:firstLineChars="1000"/>
        <w:rPr>
          <w:rFonts w:ascii="宋体" w:hAnsi="宋体" w:cs="宋体"/>
          <w:b/>
          <w:kern w:val="0"/>
          <w:sz w:val="36"/>
          <w:szCs w:val="36"/>
          <w:highlight w:val="none"/>
        </w:rPr>
      </w:pPr>
    </w:p>
    <w:p w14:paraId="39F7503D">
      <w:pPr>
        <w:spacing w:line="360" w:lineRule="auto"/>
        <w:ind w:right="420" w:firstLine="3614" w:firstLineChars="1000"/>
        <w:rPr>
          <w:rFonts w:ascii="宋体" w:hAnsi="宋体" w:cs="宋体"/>
          <w:b/>
          <w:kern w:val="0"/>
          <w:sz w:val="36"/>
          <w:szCs w:val="36"/>
          <w:highlight w:val="none"/>
        </w:rPr>
      </w:pPr>
    </w:p>
    <w:p w14:paraId="1A3DD688">
      <w:pPr>
        <w:spacing w:line="360" w:lineRule="auto"/>
        <w:ind w:right="420" w:firstLine="3614" w:firstLineChars="1000"/>
        <w:rPr>
          <w:rFonts w:ascii="宋体" w:hAnsi="宋体" w:cs="宋体"/>
          <w:b/>
          <w:kern w:val="0"/>
          <w:sz w:val="36"/>
          <w:szCs w:val="36"/>
          <w:highlight w:val="none"/>
        </w:rPr>
      </w:pPr>
    </w:p>
    <w:p w14:paraId="33DC894C">
      <w:pPr>
        <w:spacing w:line="360" w:lineRule="auto"/>
        <w:ind w:right="420" w:firstLine="3614" w:firstLineChars="1000"/>
        <w:rPr>
          <w:rFonts w:ascii="宋体" w:hAnsi="宋体" w:cs="宋体"/>
          <w:b/>
          <w:kern w:val="0"/>
          <w:sz w:val="36"/>
          <w:szCs w:val="36"/>
          <w:highlight w:val="none"/>
        </w:rPr>
      </w:pPr>
    </w:p>
    <w:p w14:paraId="3E53F09A">
      <w:pPr>
        <w:spacing w:line="360" w:lineRule="auto"/>
        <w:ind w:right="420" w:firstLine="3614" w:firstLineChars="1000"/>
        <w:rPr>
          <w:rFonts w:ascii="宋体" w:hAnsi="宋体" w:cs="宋体"/>
          <w:b/>
          <w:kern w:val="0"/>
          <w:sz w:val="36"/>
          <w:szCs w:val="36"/>
          <w:highlight w:val="none"/>
        </w:rPr>
      </w:pPr>
    </w:p>
    <w:p w14:paraId="7344BC7E">
      <w:pPr>
        <w:spacing w:line="360" w:lineRule="auto"/>
        <w:ind w:right="420" w:firstLine="3614" w:firstLineChars="1000"/>
        <w:rPr>
          <w:rFonts w:ascii="宋体" w:hAnsi="宋体" w:cs="宋体"/>
          <w:b/>
          <w:kern w:val="0"/>
          <w:sz w:val="36"/>
          <w:szCs w:val="36"/>
          <w:highlight w:val="none"/>
        </w:rPr>
      </w:pPr>
    </w:p>
    <w:p w14:paraId="32A5AC6E">
      <w:pPr>
        <w:spacing w:line="360" w:lineRule="auto"/>
        <w:ind w:right="420" w:firstLine="3614" w:firstLineChars="1000"/>
        <w:rPr>
          <w:rFonts w:ascii="宋体" w:hAnsi="宋体" w:cs="宋体"/>
          <w:b/>
          <w:kern w:val="0"/>
          <w:sz w:val="36"/>
          <w:szCs w:val="36"/>
          <w:highlight w:val="none"/>
        </w:rPr>
      </w:pPr>
    </w:p>
    <w:p w14:paraId="16A5B2EA">
      <w:pPr>
        <w:spacing w:line="360" w:lineRule="auto"/>
        <w:ind w:right="420" w:firstLine="3614" w:firstLineChars="1000"/>
        <w:rPr>
          <w:rFonts w:ascii="宋体" w:hAnsi="宋体" w:cs="宋体"/>
          <w:b/>
          <w:kern w:val="0"/>
          <w:sz w:val="36"/>
          <w:szCs w:val="36"/>
          <w:highlight w:val="none"/>
        </w:rPr>
      </w:pPr>
    </w:p>
    <w:p w14:paraId="3AE0DEDF">
      <w:pPr>
        <w:spacing w:line="360" w:lineRule="auto"/>
        <w:ind w:right="420" w:firstLine="3614" w:firstLineChars="1000"/>
        <w:rPr>
          <w:rFonts w:ascii="宋体" w:hAnsi="宋体" w:cs="宋体"/>
          <w:b/>
          <w:kern w:val="0"/>
          <w:sz w:val="36"/>
          <w:szCs w:val="36"/>
          <w:highlight w:val="none"/>
        </w:rPr>
      </w:pPr>
    </w:p>
    <w:p w14:paraId="6E12C493">
      <w:pPr>
        <w:spacing w:line="360" w:lineRule="auto"/>
        <w:ind w:right="420" w:firstLine="3614" w:firstLineChars="1000"/>
        <w:rPr>
          <w:rFonts w:ascii="宋体" w:hAnsi="宋体" w:cs="宋体"/>
          <w:b/>
          <w:kern w:val="0"/>
          <w:sz w:val="36"/>
          <w:szCs w:val="36"/>
          <w:highlight w:val="none"/>
        </w:rPr>
      </w:pPr>
    </w:p>
    <w:p w14:paraId="774B4D85">
      <w:pPr>
        <w:spacing w:line="360" w:lineRule="auto"/>
        <w:ind w:right="420" w:firstLine="3614" w:firstLineChars="1000"/>
        <w:rPr>
          <w:rFonts w:ascii="宋体" w:hAnsi="宋体" w:cs="宋体"/>
          <w:b/>
          <w:kern w:val="0"/>
          <w:sz w:val="36"/>
          <w:szCs w:val="36"/>
          <w:highlight w:val="none"/>
        </w:rPr>
      </w:pPr>
    </w:p>
    <w:p w14:paraId="2CDE2D96">
      <w:pPr>
        <w:pStyle w:val="2"/>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570" w:name="_Toc465665161"/>
      <w:r>
        <w:rPr>
          <w:rFonts w:hint="eastAsia" w:ascii="宋体" w:hAnsi="宋体" w:cs="宋体"/>
          <w:highlight w:val="none"/>
        </w:rPr>
        <w:t>附件</w:t>
      </w:r>
      <w:bookmarkEnd w:id="570"/>
    </w:p>
    <w:p w14:paraId="6C0C1187">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6580132F">
      <w:pPr>
        <w:spacing w:line="360" w:lineRule="auto"/>
        <w:jc w:val="center"/>
        <w:rPr>
          <w:rFonts w:ascii="宋体" w:hAnsi="宋体" w:cs="宋体"/>
          <w:b/>
          <w:spacing w:val="6"/>
          <w:sz w:val="32"/>
          <w:szCs w:val="32"/>
          <w:highlight w:val="none"/>
        </w:rPr>
      </w:pPr>
      <w:bookmarkStart w:id="571" w:name="OLE_LINK13"/>
      <w:bookmarkStart w:id="572" w:name="OLE_LINK14"/>
      <w:r>
        <w:rPr>
          <w:rFonts w:hint="eastAsia" w:ascii="宋体" w:hAnsi="宋体" w:cs="宋体"/>
          <w:b/>
          <w:spacing w:val="6"/>
          <w:sz w:val="32"/>
          <w:szCs w:val="32"/>
          <w:highlight w:val="none"/>
        </w:rPr>
        <w:t>残疾人福利性单位声明函</w:t>
      </w:r>
    </w:p>
    <w:bookmarkEnd w:id="571"/>
    <w:bookmarkEnd w:id="572"/>
    <w:p w14:paraId="464B2823">
      <w:pPr>
        <w:spacing w:line="360" w:lineRule="auto"/>
        <w:rPr>
          <w:rFonts w:ascii="宋体" w:hAnsi="宋体" w:cs="宋体"/>
          <w:b/>
          <w:spacing w:val="6"/>
          <w:sz w:val="30"/>
          <w:szCs w:val="30"/>
          <w:highlight w:val="none"/>
        </w:rPr>
      </w:pPr>
    </w:p>
    <w:p w14:paraId="6A6FB0A4">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185DB3A">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55BEEEB4">
      <w:pPr>
        <w:spacing w:line="360" w:lineRule="auto"/>
        <w:ind w:firstLine="480" w:firstLineChars="200"/>
        <w:rPr>
          <w:rFonts w:ascii="宋体" w:hAnsi="宋体" w:cs="宋体"/>
          <w:sz w:val="24"/>
          <w:highlight w:val="none"/>
        </w:rPr>
      </w:pPr>
    </w:p>
    <w:p w14:paraId="031C5417">
      <w:pPr>
        <w:spacing w:line="360" w:lineRule="auto"/>
        <w:ind w:firstLine="480" w:firstLineChars="200"/>
        <w:rPr>
          <w:rFonts w:ascii="宋体" w:hAnsi="宋体" w:cs="宋体"/>
          <w:sz w:val="24"/>
          <w:highlight w:val="none"/>
        </w:rPr>
      </w:pPr>
    </w:p>
    <w:p w14:paraId="6AF5232E">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26956C39">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126C5BE0">
      <w:pPr>
        <w:spacing w:line="360" w:lineRule="auto"/>
        <w:ind w:firstLine="480" w:firstLineChars="200"/>
        <w:rPr>
          <w:rFonts w:ascii="宋体" w:hAnsi="宋体" w:cs="宋体"/>
          <w:sz w:val="24"/>
          <w:highlight w:val="none"/>
        </w:rPr>
      </w:pPr>
    </w:p>
    <w:p w14:paraId="74B314C1">
      <w:pPr>
        <w:spacing w:line="360" w:lineRule="auto"/>
        <w:ind w:firstLine="420" w:firstLineChars="200"/>
        <w:rPr>
          <w:rFonts w:ascii="宋体" w:hAnsi="宋体" w:cs="宋体"/>
          <w:highlight w:val="none"/>
        </w:rPr>
      </w:pPr>
    </w:p>
    <w:p w14:paraId="5AA77622">
      <w:pPr>
        <w:spacing w:line="360" w:lineRule="auto"/>
        <w:ind w:firstLine="420" w:firstLineChars="200"/>
        <w:rPr>
          <w:rFonts w:ascii="宋体" w:hAnsi="宋体" w:cs="宋体"/>
          <w:highlight w:val="none"/>
        </w:rPr>
      </w:pPr>
    </w:p>
    <w:p w14:paraId="7A59987A">
      <w:pPr>
        <w:spacing w:line="360" w:lineRule="auto"/>
        <w:ind w:firstLine="420" w:firstLineChars="200"/>
        <w:rPr>
          <w:rFonts w:ascii="宋体" w:hAnsi="宋体" w:cs="宋体"/>
          <w:highlight w:val="none"/>
        </w:rPr>
      </w:pPr>
    </w:p>
    <w:p w14:paraId="71A05BB3">
      <w:pPr>
        <w:spacing w:line="360" w:lineRule="auto"/>
        <w:ind w:firstLine="420" w:firstLineChars="200"/>
        <w:rPr>
          <w:rFonts w:ascii="宋体" w:hAnsi="宋体" w:cs="宋体"/>
          <w:highlight w:val="none"/>
        </w:rPr>
      </w:pPr>
    </w:p>
    <w:p w14:paraId="2E8D9B58">
      <w:pPr>
        <w:spacing w:line="360" w:lineRule="auto"/>
        <w:rPr>
          <w:rFonts w:ascii="宋体" w:hAnsi="宋体" w:cs="宋体"/>
          <w:b/>
          <w:sz w:val="24"/>
          <w:highlight w:val="none"/>
        </w:rPr>
      </w:pPr>
    </w:p>
    <w:p w14:paraId="276F1FCE">
      <w:pPr>
        <w:spacing w:line="360" w:lineRule="auto"/>
        <w:rPr>
          <w:rFonts w:ascii="宋体" w:hAnsi="宋体" w:cs="宋体"/>
          <w:b/>
          <w:sz w:val="24"/>
          <w:highlight w:val="none"/>
        </w:rPr>
      </w:pPr>
    </w:p>
    <w:p w14:paraId="7C80D721">
      <w:pPr>
        <w:spacing w:line="360" w:lineRule="auto"/>
        <w:rPr>
          <w:rFonts w:ascii="宋体" w:hAnsi="宋体" w:cs="宋体"/>
          <w:b/>
          <w:sz w:val="24"/>
          <w:highlight w:val="none"/>
        </w:rPr>
      </w:pPr>
    </w:p>
    <w:p w14:paraId="5FF3543C">
      <w:pPr>
        <w:spacing w:line="360" w:lineRule="auto"/>
        <w:rPr>
          <w:rFonts w:ascii="宋体" w:hAnsi="宋体" w:cs="宋体"/>
          <w:b/>
          <w:sz w:val="24"/>
          <w:highlight w:val="none"/>
        </w:rPr>
      </w:pPr>
    </w:p>
    <w:p w14:paraId="5A45A6E7">
      <w:pPr>
        <w:spacing w:line="360" w:lineRule="auto"/>
        <w:rPr>
          <w:rFonts w:ascii="宋体" w:hAnsi="宋体" w:cs="宋体"/>
          <w:b/>
          <w:sz w:val="24"/>
          <w:highlight w:val="none"/>
        </w:rPr>
      </w:pPr>
    </w:p>
    <w:p w14:paraId="43A983A2">
      <w:pPr>
        <w:spacing w:line="360" w:lineRule="auto"/>
        <w:rPr>
          <w:rFonts w:ascii="宋体" w:hAnsi="宋体" w:cs="宋体"/>
          <w:b/>
          <w:sz w:val="24"/>
          <w:highlight w:val="none"/>
        </w:rPr>
      </w:pPr>
    </w:p>
    <w:p w14:paraId="4F5BD66E">
      <w:pPr>
        <w:spacing w:line="360" w:lineRule="auto"/>
        <w:rPr>
          <w:rFonts w:ascii="宋体" w:hAnsi="宋体" w:cs="宋体"/>
          <w:b/>
          <w:sz w:val="24"/>
          <w:highlight w:val="none"/>
        </w:rPr>
      </w:pPr>
    </w:p>
    <w:p w14:paraId="61A3135D">
      <w:pPr>
        <w:spacing w:line="360" w:lineRule="auto"/>
        <w:rPr>
          <w:rFonts w:ascii="宋体" w:hAnsi="宋体" w:cs="宋体"/>
          <w:b/>
          <w:sz w:val="24"/>
          <w:highlight w:val="none"/>
        </w:rPr>
      </w:pPr>
    </w:p>
    <w:p w14:paraId="0FC9706B">
      <w:pPr>
        <w:spacing w:line="360" w:lineRule="auto"/>
        <w:rPr>
          <w:rFonts w:ascii="宋体" w:hAnsi="宋体" w:cs="宋体"/>
          <w:b/>
          <w:sz w:val="24"/>
          <w:highlight w:val="none"/>
        </w:rPr>
      </w:pPr>
    </w:p>
    <w:p w14:paraId="176FEC08">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37A1ABA9">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092595A1">
      <w:pPr>
        <w:snapToGrid w:val="0"/>
        <w:spacing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3C8CED5D">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14:paraId="6F3A44BD">
      <w:pPr>
        <w:snapToGrid w:val="0"/>
        <w:spacing w:line="360" w:lineRule="auto"/>
        <w:rPr>
          <w:rFonts w:ascii="宋体" w:hAnsi="宋体" w:cs="宋体"/>
          <w:sz w:val="24"/>
          <w:highlight w:val="none"/>
        </w:rPr>
      </w:pPr>
      <w:r>
        <w:rPr>
          <w:rFonts w:hint="eastAsia" w:ascii="宋体" w:hAnsi="宋体" w:cs="宋体"/>
          <w:sz w:val="24"/>
          <w:highlight w:val="none"/>
        </w:rPr>
        <w:t>地址：邮编：</w:t>
      </w:r>
    </w:p>
    <w:p w14:paraId="742A494F">
      <w:pPr>
        <w:snapToGrid w:val="0"/>
        <w:spacing w:line="360" w:lineRule="auto"/>
        <w:rPr>
          <w:rFonts w:ascii="宋体" w:hAnsi="宋体" w:cs="宋体"/>
          <w:sz w:val="24"/>
          <w:highlight w:val="none"/>
        </w:rPr>
      </w:pPr>
      <w:r>
        <w:rPr>
          <w:rFonts w:hint="eastAsia" w:ascii="宋体" w:hAnsi="宋体" w:cs="宋体"/>
          <w:sz w:val="24"/>
          <w:highlight w:val="none"/>
        </w:rPr>
        <w:t>联系人：联系电话：</w:t>
      </w:r>
    </w:p>
    <w:p w14:paraId="0DEAA185">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14:paraId="14F70F43">
      <w:pPr>
        <w:snapToGrid w:val="0"/>
        <w:spacing w:line="360" w:lineRule="auto"/>
        <w:rPr>
          <w:rFonts w:ascii="宋体" w:hAnsi="宋体" w:cs="宋体"/>
          <w:sz w:val="24"/>
          <w:highlight w:val="none"/>
        </w:rPr>
      </w:pPr>
      <w:r>
        <w:rPr>
          <w:rFonts w:hint="eastAsia" w:ascii="宋体" w:hAnsi="宋体" w:cs="宋体"/>
          <w:sz w:val="24"/>
          <w:highlight w:val="none"/>
        </w:rPr>
        <w:t>联系电话：</w:t>
      </w:r>
    </w:p>
    <w:p w14:paraId="43B26093">
      <w:pPr>
        <w:snapToGrid w:val="0"/>
        <w:spacing w:line="360" w:lineRule="auto"/>
        <w:rPr>
          <w:rFonts w:ascii="宋体" w:hAnsi="宋体" w:cs="宋体"/>
          <w:sz w:val="24"/>
          <w:highlight w:val="none"/>
        </w:rPr>
      </w:pPr>
      <w:r>
        <w:rPr>
          <w:rFonts w:hint="eastAsia" w:ascii="宋体" w:hAnsi="宋体" w:cs="宋体"/>
          <w:sz w:val="24"/>
          <w:highlight w:val="none"/>
        </w:rPr>
        <w:t>地址： 邮编：</w:t>
      </w:r>
    </w:p>
    <w:p w14:paraId="65690D9F">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46D36703">
      <w:pPr>
        <w:snapToGrid w:val="0"/>
        <w:spacing w:line="360" w:lineRule="auto"/>
        <w:rPr>
          <w:rFonts w:ascii="宋体" w:hAnsi="宋体" w:cs="宋体"/>
          <w:sz w:val="24"/>
          <w:highlight w:val="none"/>
        </w:rPr>
      </w:pPr>
      <w:r>
        <w:rPr>
          <w:rFonts w:hint="eastAsia" w:ascii="宋体" w:hAnsi="宋体" w:cs="宋体"/>
          <w:sz w:val="24"/>
          <w:highlight w:val="none"/>
        </w:rPr>
        <w:t>质疑项目的名称：</w:t>
      </w:r>
    </w:p>
    <w:p w14:paraId="30FDA4AA">
      <w:pPr>
        <w:snapToGrid w:val="0"/>
        <w:spacing w:line="360" w:lineRule="auto"/>
        <w:rPr>
          <w:rFonts w:ascii="宋体" w:hAnsi="宋体" w:cs="宋体"/>
          <w:sz w:val="24"/>
          <w:highlight w:val="none"/>
        </w:rPr>
      </w:pPr>
      <w:r>
        <w:rPr>
          <w:rFonts w:hint="eastAsia" w:ascii="宋体" w:hAnsi="宋体" w:cs="宋体"/>
          <w:sz w:val="24"/>
          <w:highlight w:val="none"/>
        </w:rPr>
        <w:t>质疑项目的编号：包号：</w:t>
      </w:r>
    </w:p>
    <w:p w14:paraId="1083426A">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14:paraId="5ED0099C">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14:paraId="6508FF1A">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133503D4">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14:paraId="6898B1EA">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14:paraId="33E84035">
      <w:pPr>
        <w:snapToGrid w:val="0"/>
        <w:spacing w:line="360" w:lineRule="auto"/>
        <w:rPr>
          <w:rFonts w:ascii="宋体" w:hAnsi="宋体" w:cs="宋体"/>
          <w:sz w:val="24"/>
          <w:highlight w:val="none"/>
        </w:rPr>
      </w:pPr>
    </w:p>
    <w:p w14:paraId="66215CA8">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14:paraId="21CBD104">
      <w:pPr>
        <w:snapToGrid w:val="0"/>
        <w:spacing w:line="360" w:lineRule="auto"/>
        <w:rPr>
          <w:rFonts w:ascii="宋体" w:hAnsi="宋体" w:cs="宋体"/>
          <w:sz w:val="24"/>
          <w:highlight w:val="none"/>
          <w:u w:val="dotted"/>
        </w:rPr>
      </w:pPr>
    </w:p>
    <w:p w14:paraId="52291016">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33382130">
      <w:pPr>
        <w:snapToGrid w:val="0"/>
        <w:spacing w:line="360" w:lineRule="auto"/>
        <w:rPr>
          <w:rFonts w:ascii="宋体" w:hAnsi="宋体" w:cs="宋体"/>
          <w:sz w:val="24"/>
          <w:highlight w:val="none"/>
        </w:rPr>
      </w:pPr>
      <w:r>
        <w:rPr>
          <w:rFonts w:hint="eastAsia" w:ascii="宋体" w:hAnsi="宋体" w:cs="宋体"/>
          <w:sz w:val="24"/>
          <w:highlight w:val="none"/>
        </w:rPr>
        <w:t>……</w:t>
      </w:r>
    </w:p>
    <w:p w14:paraId="20334682">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152047BF">
      <w:pPr>
        <w:snapToGrid w:val="0"/>
        <w:spacing w:line="360" w:lineRule="auto"/>
        <w:rPr>
          <w:rFonts w:ascii="宋体" w:hAnsi="宋体" w:cs="宋体"/>
          <w:sz w:val="24"/>
          <w:highlight w:val="none"/>
          <w:u w:val="dotted"/>
        </w:rPr>
      </w:pPr>
      <w:r>
        <w:rPr>
          <w:rFonts w:hint="eastAsia" w:ascii="宋体" w:hAnsi="宋体" w:cs="宋体"/>
          <w:sz w:val="24"/>
          <w:highlight w:val="none"/>
        </w:rPr>
        <w:t>请求：</w:t>
      </w:r>
    </w:p>
    <w:p w14:paraId="2441644D">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4B5EF20C">
      <w:pPr>
        <w:spacing w:line="360" w:lineRule="auto"/>
        <w:rPr>
          <w:rFonts w:ascii="宋体" w:hAnsi="宋体" w:cs="宋体"/>
          <w:sz w:val="24"/>
          <w:highlight w:val="none"/>
        </w:rPr>
      </w:pPr>
      <w:r>
        <w:rPr>
          <w:rFonts w:hint="eastAsia" w:ascii="宋体" w:hAnsi="宋体" w:cs="宋体"/>
          <w:sz w:val="24"/>
          <w:highlight w:val="none"/>
        </w:rPr>
        <w:t xml:space="preserve">日期：    </w:t>
      </w:r>
    </w:p>
    <w:p w14:paraId="429B27DF">
      <w:pPr>
        <w:spacing w:line="360" w:lineRule="auto"/>
        <w:jc w:val="center"/>
        <w:rPr>
          <w:rFonts w:ascii="宋体" w:hAnsi="宋体" w:cs="宋体"/>
          <w:b/>
          <w:bCs/>
          <w:sz w:val="24"/>
          <w:highlight w:val="none"/>
        </w:rPr>
      </w:pPr>
    </w:p>
    <w:p w14:paraId="73555ED3">
      <w:pPr>
        <w:spacing w:line="360" w:lineRule="auto"/>
        <w:rPr>
          <w:rFonts w:ascii="宋体" w:hAnsi="宋体" w:cs="宋体"/>
          <w:b/>
          <w:sz w:val="24"/>
          <w:highlight w:val="none"/>
        </w:rPr>
      </w:pPr>
    </w:p>
    <w:p w14:paraId="53A07C79">
      <w:pPr>
        <w:spacing w:line="360" w:lineRule="auto"/>
        <w:rPr>
          <w:rFonts w:ascii="宋体" w:hAnsi="宋体" w:cs="宋体"/>
          <w:b/>
          <w:sz w:val="24"/>
          <w:highlight w:val="none"/>
        </w:rPr>
      </w:pPr>
    </w:p>
    <w:p w14:paraId="57048751">
      <w:pPr>
        <w:spacing w:line="360" w:lineRule="auto"/>
        <w:rPr>
          <w:rFonts w:ascii="宋体" w:hAnsi="宋体" w:cs="宋体"/>
          <w:b/>
          <w:sz w:val="24"/>
          <w:highlight w:val="none"/>
        </w:rPr>
      </w:pPr>
    </w:p>
    <w:p w14:paraId="5B169027">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5C3C496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6A554C3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20F0639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7AD20F2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482060D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1395308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65DC4C01">
      <w:pPr>
        <w:widowControl/>
        <w:spacing w:line="360" w:lineRule="auto"/>
        <w:ind w:firstLine="600" w:firstLineChars="200"/>
        <w:jc w:val="left"/>
        <w:rPr>
          <w:rFonts w:ascii="宋体" w:hAnsi="宋体" w:cs="宋体"/>
          <w:sz w:val="30"/>
          <w:szCs w:val="30"/>
          <w:highlight w:val="none"/>
        </w:rPr>
      </w:pPr>
    </w:p>
    <w:p w14:paraId="2CC06B2F">
      <w:pPr>
        <w:spacing w:line="360" w:lineRule="auto"/>
        <w:jc w:val="center"/>
        <w:rPr>
          <w:rFonts w:ascii="宋体" w:hAnsi="宋体" w:cs="宋体"/>
          <w:b/>
          <w:spacing w:val="6"/>
          <w:sz w:val="32"/>
          <w:szCs w:val="32"/>
          <w:highlight w:val="none"/>
        </w:rPr>
      </w:pPr>
    </w:p>
    <w:p w14:paraId="13D6353F">
      <w:pPr>
        <w:spacing w:line="360" w:lineRule="auto"/>
        <w:jc w:val="center"/>
        <w:rPr>
          <w:rFonts w:ascii="宋体" w:hAnsi="宋体" w:cs="宋体"/>
          <w:b/>
          <w:spacing w:val="6"/>
          <w:sz w:val="32"/>
          <w:szCs w:val="32"/>
          <w:highlight w:val="none"/>
        </w:rPr>
      </w:pPr>
    </w:p>
    <w:p w14:paraId="0B79CBBE">
      <w:pPr>
        <w:spacing w:line="360" w:lineRule="auto"/>
        <w:jc w:val="center"/>
        <w:rPr>
          <w:rFonts w:ascii="宋体" w:hAnsi="宋体" w:cs="宋体"/>
          <w:b/>
          <w:spacing w:val="6"/>
          <w:sz w:val="32"/>
          <w:szCs w:val="32"/>
          <w:highlight w:val="none"/>
        </w:rPr>
      </w:pPr>
    </w:p>
    <w:p w14:paraId="440F9E71">
      <w:pPr>
        <w:spacing w:line="360" w:lineRule="auto"/>
        <w:jc w:val="center"/>
        <w:rPr>
          <w:rFonts w:ascii="宋体" w:hAnsi="宋体" w:cs="宋体"/>
          <w:b/>
          <w:spacing w:val="6"/>
          <w:sz w:val="32"/>
          <w:szCs w:val="32"/>
          <w:highlight w:val="none"/>
        </w:rPr>
      </w:pPr>
    </w:p>
    <w:p w14:paraId="024EF587">
      <w:pPr>
        <w:spacing w:line="360" w:lineRule="auto"/>
        <w:jc w:val="center"/>
        <w:rPr>
          <w:rFonts w:ascii="宋体" w:hAnsi="宋体" w:cs="宋体"/>
          <w:b/>
          <w:spacing w:val="6"/>
          <w:sz w:val="32"/>
          <w:szCs w:val="32"/>
          <w:highlight w:val="none"/>
        </w:rPr>
      </w:pPr>
    </w:p>
    <w:p w14:paraId="6F3A16A5">
      <w:pPr>
        <w:spacing w:line="360" w:lineRule="auto"/>
        <w:jc w:val="center"/>
        <w:rPr>
          <w:rFonts w:ascii="宋体" w:hAnsi="宋体" w:cs="宋体"/>
          <w:b/>
          <w:spacing w:val="6"/>
          <w:sz w:val="32"/>
          <w:szCs w:val="32"/>
          <w:highlight w:val="none"/>
        </w:rPr>
      </w:pPr>
    </w:p>
    <w:p w14:paraId="1E2D56BC">
      <w:pPr>
        <w:spacing w:line="360" w:lineRule="auto"/>
        <w:jc w:val="center"/>
        <w:rPr>
          <w:rFonts w:ascii="宋体" w:hAnsi="宋体" w:cs="宋体"/>
          <w:b/>
          <w:spacing w:val="6"/>
          <w:sz w:val="32"/>
          <w:szCs w:val="32"/>
          <w:highlight w:val="none"/>
        </w:rPr>
      </w:pPr>
    </w:p>
    <w:p w14:paraId="50BF6657">
      <w:pPr>
        <w:spacing w:line="360" w:lineRule="auto"/>
        <w:jc w:val="center"/>
        <w:rPr>
          <w:rFonts w:ascii="宋体" w:hAnsi="宋体" w:cs="宋体"/>
          <w:b/>
          <w:spacing w:val="6"/>
          <w:sz w:val="32"/>
          <w:szCs w:val="32"/>
          <w:highlight w:val="none"/>
        </w:rPr>
      </w:pPr>
    </w:p>
    <w:p w14:paraId="63A0DB85">
      <w:pPr>
        <w:spacing w:line="360" w:lineRule="auto"/>
        <w:jc w:val="center"/>
        <w:rPr>
          <w:rFonts w:ascii="宋体" w:hAnsi="宋体" w:cs="宋体"/>
          <w:b/>
          <w:spacing w:val="6"/>
          <w:sz w:val="32"/>
          <w:szCs w:val="32"/>
          <w:highlight w:val="none"/>
        </w:rPr>
      </w:pPr>
    </w:p>
    <w:p w14:paraId="05226A54">
      <w:pPr>
        <w:spacing w:line="360" w:lineRule="auto"/>
        <w:jc w:val="center"/>
        <w:rPr>
          <w:rFonts w:ascii="宋体" w:hAnsi="宋体" w:cs="宋体"/>
          <w:b/>
          <w:spacing w:val="6"/>
          <w:sz w:val="32"/>
          <w:szCs w:val="32"/>
          <w:highlight w:val="none"/>
        </w:rPr>
      </w:pPr>
    </w:p>
    <w:p w14:paraId="04233243">
      <w:pPr>
        <w:spacing w:line="360" w:lineRule="auto"/>
        <w:jc w:val="center"/>
        <w:rPr>
          <w:rFonts w:ascii="宋体" w:hAnsi="宋体" w:cs="宋体"/>
          <w:b/>
          <w:spacing w:val="6"/>
          <w:sz w:val="32"/>
          <w:szCs w:val="32"/>
          <w:highlight w:val="none"/>
        </w:rPr>
      </w:pPr>
    </w:p>
    <w:p w14:paraId="3ACA8C36">
      <w:pPr>
        <w:spacing w:line="360" w:lineRule="auto"/>
        <w:jc w:val="center"/>
        <w:rPr>
          <w:rFonts w:ascii="宋体" w:hAnsi="宋体" w:cs="宋体"/>
          <w:b/>
          <w:spacing w:val="6"/>
          <w:sz w:val="32"/>
          <w:szCs w:val="32"/>
          <w:highlight w:val="none"/>
        </w:rPr>
      </w:pPr>
    </w:p>
    <w:p w14:paraId="526EC94F">
      <w:pPr>
        <w:spacing w:line="360" w:lineRule="auto"/>
        <w:jc w:val="left"/>
        <w:rPr>
          <w:rFonts w:ascii="宋体" w:hAnsi="宋体" w:cs="宋体"/>
          <w:b/>
          <w:spacing w:val="6"/>
          <w:sz w:val="32"/>
          <w:szCs w:val="32"/>
          <w:highlight w:val="none"/>
        </w:rPr>
      </w:pPr>
    </w:p>
    <w:p w14:paraId="2DE58845">
      <w:pPr>
        <w:spacing w:line="360" w:lineRule="auto"/>
        <w:jc w:val="left"/>
        <w:rPr>
          <w:rFonts w:ascii="宋体" w:hAnsi="宋体" w:cs="宋体"/>
          <w:b/>
          <w:spacing w:val="6"/>
          <w:sz w:val="32"/>
          <w:szCs w:val="32"/>
          <w:highlight w:val="none"/>
        </w:rPr>
      </w:pPr>
    </w:p>
    <w:p w14:paraId="5B488767">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28FEF6E7">
      <w:pPr>
        <w:spacing w:line="360" w:lineRule="auto"/>
        <w:jc w:val="center"/>
        <w:rPr>
          <w:rFonts w:ascii="宋体" w:hAnsi="宋体" w:cs="宋体"/>
          <w:b/>
          <w:sz w:val="24"/>
          <w:highlight w:val="none"/>
        </w:rPr>
      </w:pPr>
    </w:p>
    <w:p w14:paraId="5CA1E7A8">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6E046680">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02A6B435">
      <w:pPr>
        <w:spacing w:line="360" w:lineRule="auto"/>
        <w:rPr>
          <w:rFonts w:ascii="宋体" w:hAnsi="宋体" w:cs="宋体"/>
          <w:sz w:val="24"/>
          <w:highlight w:val="none"/>
          <w:u w:val="dotted"/>
        </w:rPr>
      </w:pPr>
      <w:r>
        <w:rPr>
          <w:rFonts w:hint="eastAsia" w:ascii="宋体" w:hAnsi="宋体" w:cs="宋体"/>
          <w:sz w:val="24"/>
          <w:highlight w:val="none"/>
        </w:rPr>
        <w:t>投诉人：</w:t>
      </w:r>
    </w:p>
    <w:p w14:paraId="2E96F985">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6AF75C64">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p>
    <w:p w14:paraId="2C8CAD8B">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p>
    <w:p w14:paraId="5091F079">
      <w:pPr>
        <w:spacing w:line="360" w:lineRule="auto"/>
        <w:rPr>
          <w:rFonts w:ascii="宋体" w:hAnsi="宋体" w:cs="宋体"/>
          <w:sz w:val="24"/>
          <w:highlight w:val="none"/>
          <w:u w:val="dotted"/>
        </w:rPr>
      </w:pPr>
      <w:r>
        <w:rPr>
          <w:rFonts w:hint="eastAsia" w:ascii="宋体" w:hAnsi="宋体" w:cs="宋体"/>
          <w:sz w:val="24"/>
          <w:highlight w:val="none"/>
        </w:rPr>
        <w:t>授权代表：联系电话</w:t>
      </w:r>
      <w:r>
        <w:rPr>
          <w:rFonts w:hint="eastAsia" w:ascii="宋体" w:hAnsi="宋体" w:cs="宋体"/>
          <w:sz w:val="24"/>
          <w:highlight w:val="none"/>
          <w:u w:val="dotted"/>
        </w:rPr>
        <w:t xml:space="preserve">：                  </w:t>
      </w:r>
    </w:p>
    <w:p w14:paraId="758A20BC">
      <w:pPr>
        <w:spacing w:line="360" w:lineRule="auto"/>
        <w:rPr>
          <w:rFonts w:ascii="宋体" w:hAnsi="宋体" w:cs="宋体"/>
          <w:sz w:val="24"/>
          <w:highlight w:val="none"/>
          <w:u w:val="dotted"/>
        </w:rPr>
      </w:pPr>
      <w:r>
        <w:rPr>
          <w:rFonts w:hint="eastAsia" w:ascii="宋体" w:hAnsi="宋体" w:cs="宋体"/>
          <w:sz w:val="24"/>
          <w:highlight w:val="none"/>
        </w:rPr>
        <w:t>地     址：邮编：</w:t>
      </w:r>
    </w:p>
    <w:p w14:paraId="41B812FB">
      <w:pPr>
        <w:spacing w:line="360" w:lineRule="auto"/>
        <w:rPr>
          <w:rFonts w:ascii="宋体" w:hAnsi="宋体" w:cs="宋体"/>
          <w:sz w:val="24"/>
          <w:highlight w:val="none"/>
          <w:u w:val="single"/>
        </w:rPr>
      </w:pPr>
      <w:r>
        <w:rPr>
          <w:rFonts w:hint="eastAsia" w:ascii="宋体" w:hAnsi="宋体" w:cs="宋体"/>
          <w:sz w:val="24"/>
          <w:highlight w:val="none"/>
        </w:rPr>
        <w:t>被投诉人1：</w:t>
      </w:r>
    </w:p>
    <w:p w14:paraId="3BCB0F94">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1F6190CA">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14:paraId="2F502369">
      <w:pPr>
        <w:spacing w:line="360" w:lineRule="auto"/>
        <w:rPr>
          <w:rFonts w:ascii="宋体" w:hAnsi="宋体" w:cs="宋体"/>
          <w:sz w:val="24"/>
          <w:highlight w:val="none"/>
        </w:rPr>
      </w:pPr>
      <w:r>
        <w:rPr>
          <w:rFonts w:hint="eastAsia" w:ascii="宋体" w:hAnsi="宋体" w:cs="宋体"/>
          <w:sz w:val="24"/>
          <w:highlight w:val="none"/>
        </w:rPr>
        <w:t>被投诉人2</w:t>
      </w:r>
    </w:p>
    <w:p w14:paraId="7E1CD74C">
      <w:pPr>
        <w:spacing w:line="360" w:lineRule="auto"/>
        <w:rPr>
          <w:rFonts w:ascii="宋体" w:hAnsi="宋体" w:cs="宋体"/>
          <w:sz w:val="24"/>
          <w:highlight w:val="none"/>
          <w:u w:val="dotted"/>
        </w:rPr>
      </w:pPr>
      <w:r>
        <w:rPr>
          <w:rFonts w:hint="eastAsia" w:ascii="宋体" w:hAnsi="宋体" w:cs="宋体"/>
          <w:sz w:val="24"/>
          <w:highlight w:val="none"/>
        </w:rPr>
        <w:t>……</w:t>
      </w:r>
    </w:p>
    <w:p w14:paraId="4E30D41B">
      <w:pPr>
        <w:spacing w:line="360" w:lineRule="auto"/>
        <w:rPr>
          <w:rFonts w:ascii="宋体" w:hAnsi="宋体" w:cs="宋体"/>
          <w:sz w:val="24"/>
          <w:highlight w:val="none"/>
          <w:u w:val="single"/>
        </w:rPr>
      </w:pPr>
      <w:r>
        <w:rPr>
          <w:rFonts w:hint="eastAsia" w:ascii="宋体" w:hAnsi="宋体" w:cs="宋体"/>
          <w:sz w:val="24"/>
          <w:highlight w:val="none"/>
        </w:rPr>
        <w:t>相关供应商：</w:t>
      </w:r>
    </w:p>
    <w:p w14:paraId="6EE3F2D3">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6F3FF718">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14:paraId="1257C2AD">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774D44FB">
      <w:pPr>
        <w:spacing w:line="360" w:lineRule="auto"/>
        <w:rPr>
          <w:rFonts w:ascii="宋体" w:hAnsi="宋体" w:cs="宋体"/>
          <w:sz w:val="24"/>
          <w:highlight w:val="none"/>
          <w:u w:val="dotted"/>
        </w:rPr>
      </w:pPr>
      <w:r>
        <w:rPr>
          <w:rFonts w:hint="eastAsia" w:ascii="宋体" w:hAnsi="宋体" w:cs="宋体"/>
          <w:sz w:val="24"/>
          <w:highlight w:val="none"/>
        </w:rPr>
        <w:t>采购项目名称：</w:t>
      </w:r>
    </w:p>
    <w:p w14:paraId="04AC268E">
      <w:pPr>
        <w:spacing w:line="360" w:lineRule="auto"/>
        <w:rPr>
          <w:rFonts w:ascii="宋体" w:hAnsi="宋体" w:cs="宋体"/>
          <w:sz w:val="24"/>
          <w:highlight w:val="none"/>
          <w:u w:val="single"/>
        </w:rPr>
      </w:pPr>
      <w:r>
        <w:rPr>
          <w:rFonts w:hint="eastAsia" w:ascii="宋体" w:hAnsi="宋体" w:cs="宋体"/>
          <w:sz w:val="24"/>
          <w:highlight w:val="none"/>
        </w:rPr>
        <w:t>采购项目编号：包号：</w:t>
      </w:r>
    </w:p>
    <w:p w14:paraId="736A8120">
      <w:pPr>
        <w:spacing w:line="360" w:lineRule="auto"/>
        <w:rPr>
          <w:rFonts w:ascii="宋体" w:hAnsi="宋体" w:cs="宋体"/>
          <w:sz w:val="24"/>
          <w:highlight w:val="none"/>
        </w:rPr>
      </w:pPr>
      <w:r>
        <w:rPr>
          <w:rFonts w:hint="eastAsia" w:ascii="宋体" w:hAnsi="宋体" w:cs="宋体"/>
          <w:sz w:val="24"/>
          <w:highlight w:val="none"/>
        </w:rPr>
        <w:t>采购人名称：</w:t>
      </w:r>
    </w:p>
    <w:p w14:paraId="6B7821AC">
      <w:pPr>
        <w:spacing w:line="360" w:lineRule="auto"/>
        <w:rPr>
          <w:rFonts w:ascii="宋体" w:hAnsi="宋体" w:cs="宋体"/>
          <w:sz w:val="24"/>
          <w:highlight w:val="none"/>
          <w:u w:val="single"/>
        </w:rPr>
      </w:pPr>
      <w:r>
        <w:rPr>
          <w:rFonts w:hint="eastAsia" w:ascii="宋体" w:hAnsi="宋体" w:cs="宋体"/>
          <w:sz w:val="24"/>
          <w:highlight w:val="none"/>
        </w:rPr>
        <w:t>代理机构名称：</w:t>
      </w:r>
    </w:p>
    <w:p w14:paraId="7E718331">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421F6245">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14A2C656">
      <w:pPr>
        <w:spacing w:line="360" w:lineRule="auto"/>
        <w:rPr>
          <w:rFonts w:ascii="宋体" w:hAnsi="宋体" w:cs="宋体"/>
          <w:sz w:val="24"/>
          <w:highlight w:val="none"/>
        </w:rPr>
      </w:pPr>
      <w:r>
        <w:rPr>
          <w:rFonts w:hint="eastAsia" w:ascii="宋体" w:hAnsi="宋体" w:cs="宋体"/>
          <w:sz w:val="24"/>
          <w:highlight w:val="none"/>
        </w:rPr>
        <w:t>三、质疑基本情况</w:t>
      </w:r>
    </w:p>
    <w:p w14:paraId="74ED0339">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投诉人于年月日,向提出质疑，质疑事项为：</w:t>
      </w:r>
    </w:p>
    <w:p w14:paraId="77C61EAE">
      <w:pPr>
        <w:spacing w:line="360" w:lineRule="auto"/>
        <w:rPr>
          <w:rFonts w:ascii="宋体" w:hAnsi="宋体" w:cs="宋体"/>
          <w:sz w:val="24"/>
          <w:highlight w:val="none"/>
          <w:u w:val="dotted"/>
        </w:rPr>
      </w:pPr>
    </w:p>
    <w:p w14:paraId="56AF3A0D">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于年月日,就质疑事项作出了答复/没有在法定期限内作出答复。</w:t>
      </w:r>
    </w:p>
    <w:p w14:paraId="11CB9A5A">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48FF40FA">
      <w:pPr>
        <w:spacing w:line="360" w:lineRule="auto"/>
        <w:rPr>
          <w:rFonts w:ascii="宋体" w:hAnsi="宋体" w:cs="宋体"/>
          <w:sz w:val="24"/>
          <w:highlight w:val="none"/>
          <w:u w:val="single"/>
        </w:rPr>
      </w:pPr>
      <w:r>
        <w:rPr>
          <w:rFonts w:hint="eastAsia" w:ascii="宋体" w:hAnsi="宋体" w:cs="宋体"/>
          <w:sz w:val="24"/>
          <w:highlight w:val="none"/>
        </w:rPr>
        <w:t>投诉事项 1：</w:t>
      </w:r>
    </w:p>
    <w:p w14:paraId="49A58263">
      <w:pPr>
        <w:spacing w:line="360" w:lineRule="auto"/>
        <w:rPr>
          <w:rFonts w:ascii="宋体" w:hAnsi="宋体" w:cs="宋体"/>
          <w:sz w:val="24"/>
          <w:highlight w:val="none"/>
        </w:rPr>
      </w:pPr>
      <w:r>
        <w:rPr>
          <w:rFonts w:hint="eastAsia" w:ascii="宋体" w:hAnsi="宋体" w:cs="宋体"/>
          <w:sz w:val="24"/>
          <w:highlight w:val="none"/>
        </w:rPr>
        <w:t>事实依据：</w:t>
      </w:r>
    </w:p>
    <w:p w14:paraId="648FEC27">
      <w:pPr>
        <w:spacing w:line="360" w:lineRule="auto"/>
        <w:rPr>
          <w:rFonts w:ascii="宋体" w:hAnsi="宋体" w:cs="宋体"/>
          <w:sz w:val="24"/>
          <w:highlight w:val="none"/>
          <w:u w:val="dotted"/>
        </w:rPr>
      </w:pPr>
    </w:p>
    <w:p w14:paraId="36AD7645">
      <w:pPr>
        <w:spacing w:line="360" w:lineRule="auto"/>
        <w:rPr>
          <w:rFonts w:ascii="宋体" w:hAnsi="宋体" w:cs="宋体"/>
          <w:sz w:val="24"/>
          <w:highlight w:val="none"/>
          <w:u w:val="single"/>
        </w:rPr>
      </w:pPr>
      <w:r>
        <w:rPr>
          <w:rFonts w:hint="eastAsia" w:ascii="宋体" w:hAnsi="宋体" w:cs="宋体"/>
          <w:sz w:val="24"/>
          <w:highlight w:val="none"/>
        </w:rPr>
        <w:t>法律依据：</w:t>
      </w:r>
    </w:p>
    <w:p w14:paraId="510AE898">
      <w:pPr>
        <w:spacing w:line="360" w:lineRule="auto"/>
        <w:rPr>
          <w:rFonts w:ascii="宋体" w:hAnsi="宋体" w:cs="宋体"/>
          <w:sz w:val="24"/>
          <w:highlight w:val="none"/>
          <w:u w:val="dotted"/>
        </w:rPr>
      </w:pPr>
    </w:p>
    <w:p w14:paraId="3AF43D05">
      <w:pPr>
        <w:spacing w:line="360" w:lineRule="auto"/>
        <w:rPr>
          <w:rFonts w:ascii="宋体" w:hAnsi="宋体" w:cs="宋体"/>
          <w:sz w:val="24"/>
          <w:highlight w:val="none"/>
        </w:rPr>
      </w:pPr>
      <w:r>
        <w:rPr>
          <w:rFonts w:hint="eastAsia" w:ascii="宋体" w:hAnsi="宋体" w:cs="宋体"/>
          <w:sz w:val="24"/>
          <w:highlight w:val="none"/>
        </w:rPr>
        <w:t>投诉事项2</w:t>
      </w:r>
    </w:p>
    <w:p w14:paraId="20F6F48E">
      <w:pPr>
        <w:spacing w:line="360" w:lineRule="auto"/>
        <w:rPr>
          <w:rFonts w:ascii="宋体" w:hAnsi="宋体" w:cs="宋体"/>
          <w:sz w:val="24"/>
          <w:highlight w:val="none"/>
          <w:u w:val="dotted"/>
        </w:rPr>
      </w:pPr>
      <w:r>
        <w:rPr>
          <w:rFonts w:hint="eastAsia" w:ascii="宋体" w:hAnsi="宋体" w:cs="宋体"/>
          <w:sz w:val="24"/>
          <w:highlight w:val="none"/>
        </w:rPr>
        <w:t>……</w:t>
      </w:r>
    </w:p>
    <w:p w14:paraId="1FB9D5F5">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7F5982D7">
      <w:pPr>
        <w:spacing w:line="360" w:lineRule="auto"/>
        <w:rPr>
          <w:rFonts w:ascii="宋体" w:hAnsi="宋体" w:cs="宋体"/>
          <w:sz w:val="24"/>
          <w:highlight w:val="none"/>
        </w:rPr>
      </w:pPr>
      <w:r>
        <w:rPr>
          <w:rFonts w:hint="eastAsia" w:ascii="宋体" w:hAnsi="宋体" w:cs="宋体"/>
          <w:sz w:val="24"/>
          <w:highlight w:val="none"/>
        </w:rPr>
        <w:t>请求：</w:t>
      </w:r>
    </w:p>
    <w:p w14:paraId="7465C157">
      <w:pPr>
        <w:spacing w:line="360" w:lineRule="auto"/>
        <w:rPr>
          <w:rFonts w:ascii="宋体" w:hAnsi="宋体" w:cs="宋体"/>
          <w:sz w:val="24"/>
          <w:highlight w:val="none"/>
          <w:u w:val="single"/>
        </w:rPr>
      </w:pPr>
    </w:p>
    <w:p w14:paraId="4A1B3B6F">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7C3D1091">
      <w:pPr>
        <w:spacing w:line="360" w:lineRule="auto"/>
        <w:rPr>
          <w:rFonts w:ascii="宋体" w:hAnsi="宋体" w:cs="宋体"/>
          <w:sz w:val="24"/>
          <w:highlight w:val="none"/>
        </w:rPr>
      </w:pPr>
      <w:r>
        <w:rPr>
          <w:rFonts w:hint="eastAsia" w:ascii="宋体" w:hAnsi="宋体" w:cs="宋体"/>
          <w:sz w:val="24"/>
          <w:highlight w:val="none"/>
        </w:rPr>
        <w:t xml:space="preserve">日期：    </w:t>
      </w:r>
    </w:p>
    <w:p w14:paraId="548CF8D5">
      <w:pPr>
        <w:spacing w:line="360" w:lineRule="auto"/>
        <w:rPr>
          <w:rFonts w:ascii="宋体" w:hAnsi="宋体" w:cs="宋体"/>
          <w:b/>
          <w:sz w:val="24"/>
          <w:highlight w:val="none"/>
        </w:rPr>
      </w:pPr>
    </w:p>
    <w:p w14:paraId="38635175">
      <w:pPr>
        <w:spacing w:line="360" w:lineRule="auto"/>
        <w:rPr>
          <w:rFonts w:ascii="宋体" w:hAnsi="宋体" w:cs="宋体"/>
          <w:b/>
          <w:sz w:val="24"/>
          <w:highlight w:val="none"/>
        </w:rPr>
      </w:pPr>
    </w:p>
    <w:p w14:paraId="45ACE4B6">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3128CE10">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06792CDE">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0BC2634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0DF740B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64851A4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48E64A9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065A4670">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52510EF4">
      <w:pPr>
        <w:spacing w:line="360" w:lineRule="auto"/>
        <w:rPr>
          <w:rFonts w:ascii="宋体" w:hAnsi="宋体" w:cs="宋体"/>
          <w:b/>
          <w:sz w:val="24"/>
          <w:highlight w:val="none"/>
        </w:rPr>
      </w:pPr>
    </w:p>
    <w:p w14:paraId="54544C25">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0B8DC61C">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78076767">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619CEE99">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你方组织的（项目名称）项目【招标编号：（采购编号）】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3E470773">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5CC7EC37">
      <w:pPr>
        <w:spacing w:line="360" w:lineRule="auto"/>
        <w:ind w:firstLine="494"/>
        <w:rPr>
          <w:rFonts w:ascii="宋体" w:hAnsi="宋体" w:cs="宋体"/>
          <w:sz w:val="24"/>
          <w:highlight w:val="none"/>
        </w:rPr>
      </w:pPr>
    </w:p>
    <w:p w14:paraId="58302DDA">
      <w:pPr>
        <w:spacing w:line="360" w:lineRule="auto"/>
        <w:ind w:firstLine="494"/>
        <w:rPr>
          <w:rFonts w:ascii="宋体" w:hAnsi="宋体" w:cs="宋体"/>
          <w:sz w:val="24"/>
          <w:highlight w:val="none"/>
        </w:rPr>
      </w:pPr>
    </w:p>
    <w:p w14:paraId="1EABD54E">
      <w:pPr>
        <w:spacing w:line="360" w:lineRule="auto"/>
        <w:ind w:firstLine="494"/>
        <w:rPr>
          <w:rFonts w:ascii="宋体" w:hAnsi="宋体" w:cs="宋体"/>
          <w:sz w:val="24"/>
          <w:highlight w:val="none"/>
        </w:rPr>
      </w:pPr>
    </w:p>
    <w:p w14:paraId="25677036">
      <w:pPr>
        <w:spacing w:line="360" w:lineRule="auto"/>
        <w:ind w:firstLine="494"/>
        <w:rPr>
          <w:rFonts w:ascii="宋体" w:hAnsi="宋体" w:cs="宋体"/>
          <w:sz w:val="24"/>
          <w:highlight w:val="none"/>
        </w:rPr>
      </w:pPr>
    </w:p>
    <w:p w14:paraId="623E0ED5">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1B927D73">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696EED4F">
      <w:pPr>
        <w:rPr>
          <w:rFonts w:ascii="宋体" w:hAnsi="宋体" w:cs="宋体"/>
          <w:sz w:val="24"/>
          <w:highlight w:val="none"/>
        </w:rPr>
      </w:pPr>
      <w:r>
        <w:rPr>
          <w:rFonts w:hint="eastAsia" w:ascii="宋体" w:hAnsi="宋体" w:cs="宋体"/>
          <w:b/>
          <w:bCs/>
          <w:sz w:val="24"/>
          <w:highlight w:val="none"/>
        </w:rPr>
        <w:t>附：</w:t>
      </w:r>
    </w:p>
    <w:p w14:paraId="4FF0E011">
      <w:pPr>
        <w:spacing w:line="360" w:lineRule="auto"/>
        <w:rPr>
          <w:rFonts w:ascii="宋体" w:hAnsi="宋体" w:cs="宋体"/>
          <w:bCs/>
          <w:sz w:val="24"/>
          <w:highlight w:val="none"/>
        </w:rPr>
      </w:pPr>
      <w:r>
        <w:rPr>
          <w:rFonts w:ascii="宋体" w:hAnsi="宋体" w:cs="宋体"/>
          <w:b/>
          <w:bCs/>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ACFB90">
                            <w:pPr>
                              <w:jc w:val="center"/>
                            </w:pPr>
                          </w:p>
                        </w:txbxContent>
                      </wps:txbx>
                      <wps:bodyPr vert="horz" wrap="square" lIns="91440" tIns="45720" rIns="91440" bIns="45720" anchor="t"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Ml2/TQCAACkBAAADgAAAGRycy9lMm9Eb2MueG1srVTb&#10;jtMwEH1H4h8sv9Nc6IWtmq4QpQgJsSsWPsB1nMSSb4zdJuXrGbuh7S489IE8JDPx5MycMzNZ3Q9a&#10;kYMAL62paDHJKRGG21qatqI/vm/fvKPEB2ZqpqwRFT0KT+/Xr1+tercUpe2sqgUQBDF+2buKdiG4&#10;ZZZ53gnN/MQ6YfCwsaBZQBfarAbWI7pWWZnn86y3UDuwXHiPbzenQzoiwi2AtmkkFxvL91qYcEIF&#10;oVhASr6TztN1qrZpBA8PTeNFIKqiyDSkOyZBexfv2XrFli0w10k+lsBuKeEFJ82kwaRnqA0LjOxB&#10;/gWlJQfrbRMm3OrsRCQpgiyK/IU2Tx1zInFBqb07i+7/Hyz/engEImuchLycU2KYxp5/Q92YaZUg&#10;xSJK1Du/xMgn9wij59GMfIcGdHwiEzIkWY9nWcUQCMeX5SKfTuczSjieleXs7byYRdTs8rkDHz4J&#10;q0k0KgqYP8nJDl98OIX+CYnZvFWy3kqlkgPt7oMCcmDY4226RvRnYcqQvqJ3szIWwnBwGxwYNLVD&#10;8t60Kd+zL/w1cJ6ufwHHwjbMd6cCEkIMY0stg4BkdYLVH01NwtGhugb3isZitKgpUQLXMFopMjCp&#10;bolE7ZRBCWNnTr2IVhh2A8JEc2frI3YWFx317Cz8wow45kj1554B5lefDc7RXTGdxr1IznS2KNGB&#10;65Pd9QkzHKEqirrtHci2Q+wiCWfs+32wjUzNuuQfK8ThTe0eFy1ux7Wfoi4/l/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c/4wdgAAAAKAQAADwAAAAAAAAABACAAAAAiAAAAZHJzL2Rvd25yZXYu&#10;eG1sUEsBAhQAFAAAAAgAh07iQIjJdv00AgAApAQAAA4AAAAAAAAAAQAgAAAAJwEAAGRycy9lMm9E&#10;b2MueG1sUEsFBgAAAAAGAAYAWQEAAM0FAAAAAA==&#10;">
                <v:fill on="t" focussize="0,0"/>
                <v:stroke color="#000000" joinstyle="miter"/>
                <v:imagedata o:title=""/>
                <o:lock v:ext="edit" aspectratio="f"/>
                <v:textbox>
                  <w:txbxContent>
                    <w:p w14:paraId="71ACFB90">
                      <w:pPr>
                        <w:jc w:val="center"/>
                      </w:pPr>
                    </w:p>
                  </w:txbxContent>
                </v:textbox>
              </v:rect>
            </w:pict>
          </mc:Fallback>
        </mc:AlternateContent>
      </w:r>
      <w:r>
        <w:rPr>
          <w:rFonts w:ascii="宋体" w:hAnsi="宋体" w:cs="宋体"/>
          <w:b/>
          <w:bCs/>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06988D01">
      <w:pPr>
        <w:autoSpaceDE w:val="0"/>
        <w:autoSpaceDN w:val="0"/>
        <w:jc w:val="center"/>
        <w:rPr>
          <w:rFonts w:ascii="宋体" w:hAnsi="宋体" w:cs="宋体"/>
          <w:b/>
          <w:spacing w:val="6"/>
          <w:sz w:val="32"/>
          <w:szCs w:val="32"/>
          <w:highlight w:val="none"/>
        </w:rPr>
      </w:pPr>
    </w:p>
    <w:p w14:paraId="65972E3E">
      <w:pPr>
        <w:autoSpaceDE w:val="0"/>
        <w:autoSpaceDN w:val="0"/>
        <w:jc w:val="center"/>
        <w:rPr>
          <w:rFonts w:ascii="宋体" w:hAnsi="宋体" w:cs="宋体"/>
          <w:b/>
          <w:spacing w:val="6"/>
          <w:sz w:val="32"/>
          <w:szCs w:val="32"/>
          <w:highlight w:val="none"/>
        </w:rPr>
      </w:pPr>
    </w:p>
    <w:p w14:paraId="23F76863">
      <w:pPr>
        <w:autoSpaceDE w:val="0"/>
        <w:autoSpaceDN w:val="0"/>
        <w:jc w:val="center"/>
        <w:rPr>
          <w:rFonts w:ascii="宋体" w:hAnsi="宋体" w:cs="宋体"/>
          <w:b/>
          <w:spacing w:val="6"/>
          <w:sz w:val="32"/>
          <w:szCs w:val="32"/>
          <w:highlight w:val="none"/>
        </w:rPr>
      </w:pPr>
    </w:p>
    <w:p w14:paraId="5A85B47A">
      <w:pPr>
        <w:autoSpaceDE w:val="0"/>
        <w:autoSpaceDN w:val="0"/>
        <w:jc w:val="center"/>
        <w:rPr>
          <w:rFonts w:ascii="宋体" w:hAnsi="宋体" w:cs="宋体"/>
          <w:b/>
          <w:spacing w:val="6"/>
          <w:sz w:val="32"/>
          <w:szCs w:val="32"/>
          <w:highlight w:val="none"/>
        </w:rPr>
      </w:pPr>
    </w:p>
    <w:p w14:paraId="05D52E54">
      <w:pPr>
        <w:autoSpaceDE w:val="0"/>
        <w:autoSpaceDN w:val="0"/>
        <w:jc w:val="center"/>
        <w:rPr>
          <w:rFonts w:ascii="宋体" w:hAnsi="宋体" w:cs="宋体"/>
          <w:b/>
          <w:spacing w:val="6"/>
          <w:sz w:val="32"/>
          <w:szCs w:val="32"/>
          <w:highlight w:val="none"/>
        </w:rPr>
      </w:pPr>
    </w:p>
    <w:p w14:paraId="26322616">
      <w:pPr>
        <w:autoSpaceDE w:val="0"/>
        <w:autoSpaceDN w:val="0"/>
        <w:jc w:val="center"/>
        <w:rPr>
          <w:rFonts w:ascii="宋体" w:hAnsi="宋体" w:cs="宋体"/>
          <w:b/>
          <w:spacing w:val="6"/>
          <w:sz w:val="32"/>
          <w:szCs w:val="32"/>
          <w:highlight w:val="none"/>
        </w:rPr>
      </w:pPr>
    </w:p>
    <w:p w14:paraId="7D66D142">
      <w:pPr>
        <w:autoSpaceDE w:val="0"/>
        <w:autoSpaceDN w:val="0"/>
        <w:jc w:val="center"/>
        <w:rPr>
          <w:rFonts w:ascii="宋体" w:hAnsi="宋体" w:cs="宋体"/>
          <w:b/>
          <w:spacing w:val="6"/>
          <w:sz w:val="32"/>
          <w:szCs w:val="32"/>
          <w:highlight w:val="none"/>
        </w:rPr>
      </w:pPr>
    </w:p>
    <w:p w14:paraId="787ED892">
      <w:pPr>
        <w:autoSpaceDE w:val="0"/>
        <w:autoSpaceDN w:val="0"/>
        <w:jc w:val="center"/>
        <w:rPr>
          <w:rFonts w:ascii="宋体" w:hAnsi="宋体" w:cs="宋体"/>
          <w:b/>
          <w:spacing w:val="6"/>
          <w:sz w:val="32"/>
          <w:szCs w:val="32"/>
          <w:highlight w:val="none"/>
        </w:rPr>
      </w:pPr>
    </w:p>
    <w:p w14:paraId="6C9ABD6D">
      <w:pPr>
        <w:autoSpaceDE w:val="0"/>
        <w:autoSpaceDN w:val="0"/>
        <w:jc w:val="center"/>
        <w:rPr>
          <w:rFonts w:ascii="宋体" w:hAnsi="宋体" w:cs="宋体"/>
          <w:b/>
          <w:spacing w:val="6"/>
          <w:sz w:val="32"/>
          <w:szCs w:val="32"/>
          <w:highlight w:val="none"/>
        </w:rPr>
      </w:pPr>
    </w:p>
    <w:p w14:paraId="4FCDDBA5">
      <w:pPr>
        <w:autoSpaceDE w:val="0"/>
        <w:autoSpaceDN w:val="0"/>
        <w:jc w:val="center"/>
        <w:rPr>
          <w:rFonts w:ascii="宋体" w:hAnsi="宋体" w:cs="宋体"/>
          <w:b/>
          <w:spacing w:val="6"/>
          <w:sz w:val="32"/>
          <w:szCs w:val="32"/>
          <w:highlight w:val="none"/>
        </w:rPr>
      </w:pPr>
    </w:p>
    <w:p w14:paraId="2292DB7C">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4F2ACA2C">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附件5：</w:t>
      </w:r>
      <w:r>
        <w:rPr>
          <w:rFonts w:hint="eastAsia" w:ascii="宋体" w:hAnsi="宋体" w:cs="宋体"/>
          <w:b/>
          <w:sz w:val="32"/>
          <w:szCs w:val="32"/>
          <w:highlight w:val="none"/>
        </w:rPr>
        <w:t>中小企业声明函</w:t>
      </w:r>
    </w:p>
    <w:p w14:paraId="1D54AEB7">
      <w:pPr>
        <w:spacing w:line="360" w:lineRule="auto"/>
        <w:jc w:val="center"/>
        <w:rPr>
          <w:rFonts w:ascii="宋体" w:hAnsi="宋体" w:cs="宋体"/>
          <w:sz w:val="24"/>
          <w:highlight w:val="none"/>
          <w:u w:val="single"/>
        </w:rPr>
      </w:pPr>
    </w:p>
    <w:p w14:paraId="673DE20A">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14:paraId="54CF4A26">
      <w:pPr>
        <w:spacing w:line="360" w:lineRule="auto"/>
        <w:ind w:firstLine="480" w:firstLineChars="200"/>
        <w:rPr>
          <w:rFonts w:ascii="宋体" w:hAnsi="宋体" w:cs="宋体"/>
          <w:sz w:val="24"/>
          <w:highlight w:val="none"/>
        </w:rPr>
      </w:pPr>
      <w:r>
        <w:rPr>
          <w:rFonts w:hint="eastAsia" w:ascii="宋体" w:hAnsi="宋体" w:cs="宋体"/>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68E97EEB">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5F477142">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4D144A02">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14:paraId="76530200">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2C5ACD14">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7A210A09">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4F681F25">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14:paraId="296922FB">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7C5ACD92">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BCFF402">
      <w:pPr>
        <w:spacing w:line="360" w:lineRule="auto"/>
        <w:jc w:val="center"/>
        <w:rPr>
          <w:rFonts w:ascii="宋体" w:hAnsi="宋体" w:cs="宋体"/>
          <w:b/>
          <w:sz w:val="32"/>
          <w:szCs w:val="32"/>
          <w:highlight w:val="none"/>
        </w:rPr>
      </w:pPr>
    </w:p>
    <w:p w14:paraId="6AE7BA10">
      <w:pPr>
        <w:spacing w:line="360" w:lineRule="auto"/>
        <w:jc w:val="center"/>
        <w:rPr>
          <w:rFonts w:ascii="宋体" w:hAnsi="宋体" w:cs="宋体"/>
          <w:b/>
          <w:sz w:val="32"/>
          <w:szCs w:val="32"/>
          <w:highlight w:val="none"/>
        </w:rPr>
      </w:pPr>
    </w:p>
    <w:p w14:paraId="6D6B0D13">
      <w:pPr>
        <w:spacing w:line="360" w:lineRule="auto"/>
        <w:jc w:val="center"/>
        <w:rPr>
          <w:rFonts w:ascii="宋体" w:hAnsi="宋体" w:cs="宋体"/>
          <w:b/>
          <w:sz w:val="32"/>
          <w:szCs w:val="32"/>
          <w:highlight w:val="none"/>
        </w:rPr>
      </w:pPr>
    </w:p>
    <w:p w14:paraId="7C7B35E2">
      <w:pPr>
        <w:spacing w:line="360" w:lineRule="auto"/>
        <w:jc w:val="center"/>
        <w:rPr>
          <w:rFonts w:ascii="宋体" w:hAnsi="宋体" w:cs="宋体"/>
          <w:b/>
          <w:sz w:val="32"/>
          <w:szCs w:val="32"/>
          <w:highlight w:val="none"/>
        </w:rPr>
      </w:pPr>
    </w:p>
    <w:p w14:paraId="27F100D6">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中小企业声明函（工程、服务）</w:t>
      </w:r>
    </w:p>
    <w:p w14:paraId="6CD94769">
      <w:pPr>
        <w:spacing w:line="360" w:lineRule="auto"/>
        <w:rPr>
          <w:rFonts w:ascii="宋体" w:hAnsi="宋体" w:cs="宋体"/>
          <w:highlight w:val="none"/>
        </w:rPr>
      </w:pPr>
    </w:p>
    <w:p w14:paraId="1F2BCDF1">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2F58EAA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6B0833B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07582B5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1BAB76C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36F2CC1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30B46D6">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4A5173F5">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1893412B">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404AE8E8">
      <w:pPr>
        <w:spacing w:line="360" w:lineRule="auto"/>
        <w:ind w:right="420"/>
        <w:rPr>
          <w:rFonts w:ascii="宋体" w:hAnsi="宋体" w:cs="宋体"/>
          <w:sz w:val="24"/>
          <w:highlight w:val="none"/>
        </w:rPr>
      </w:pPr>
    </w:p>
    <w:p w14:paraId="33F858E1">
      <w:pPr>
        <w:spacing w:line="360" w:lineRule="auto"/>
        <w:ind w:right="420"/>
        <w:rPr>
          <w:rFonts w:ascii="宋体" w:hAnsi="宋体" w:cs="宋体"/>
          <w:sz w:val="24"/>
          <w:highlight w:val="none"/>
        </w:rPr>
      </w:pPr>
      <w:r>
        <w:rPr>
          <w:rFonts w:hint="eastAsia" w:ascii="宋体" w:hAnsi="宋体" w:cs="宋体"/>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5A07E1E">
      <w:pPr>
        <w:pStyle w:val="3"/>
        <w:rPr>
          <w:rFonts w:ascii="宋体" w:hAnsi="宋体" w:eastAsia="宋体" w:cs="宋体"/>
          <w:highlight w:val="none"/>
          <w:lang w:val="en-US"/>
        </w:rPr>
      </w:pPr>
    </w:p>
    <w:p w14:paraId="0B819F36">
      <w:pPr>
        <w:spacing w:line="360" w:lineRule="auto"/>
        <w:ind w:right="420"/>
        <w:rPr>
          <w:rFonts w:ascii="宋体" w:hAnsi="宋体" w:cs="宋体"/>
          <w:highlight w:val="none"/>
        </w:rPr>
      </w:pPr>
    </w:p>
    <w:p w14:paraId="14F988A7">
      <w:pPr>
        <w:spacing w:line="360" w:lineRule="auto"/>
        <w:rPr>
          <w:rFonts w:ascii="宋体" w:hAnsi="宋体" w:cs="宋体"/>
          <w:bCs/>
          <w:sz w:val="24"/>
          <w:highlight w:val="none"/>
        </w:rPr>
      </w:pPr>
    </w:p>
    <w:sectPr>
      <w:headerReference r:id="rId22" w:type="first"/>
      <w:footerReference r:id="rId25" w:type="first"/>
      <w:headerReference r:id="rId21" w:type="default"/>
      <w:footerReference r:id="rId23" w:type="default"/>
      <w:footerReference r:id="rId24" w:type="even"/>
      <w:pgSz w:w="11906" w:h="16838"/>
      <w:pgMar w:top="1247" w:right="1417" w:bottom="1276" w:left="1417"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000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Futura Lt">
    <w:altName w:val="Segoe Print"/>
    <w:panose1 w:val="00000000000000000000"/>
    <w:charset w:val="00"/>
    <w:family w:val="auto"/>
    <w:pitch w:val="default"/>
    <w:sig w:usb0="00000000" w:usb1="00000000" w:usb2="00000000" w:usb3="00000000" w:csb0="000001FB" w:csb1="00000000"/>
  </w:font>
  <w:font w:name="FangSong_GB2312">
    <w:altName w:val="仿宋_GB2312"/>
    <w:panose1 w:val="02010609060101010101"/>
    <w:charset w:val="86"/>
    <w:family w:val="modern"/>
    <w:pitch w:val="default"/>
    <w:sig w:usb0="00000000" w:usb1="00000000"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7AB5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E12C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7E4711F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3D60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2D6CD">
    <w:pPr>
      <w:pStyle w:val="39"/>
      <w:framePr w:wrap="around" w:vAnchor="text" w:hAnchor="margin" w:xAlign="right" w:y="1"/>
      <w:rPr>
        <w:rStyle w:val="74"/>
      </w:rPr>
    </w:pPr>
    <w:r>
      <w:fldChar w:fldCharType="begin"/>
    </w:r>
    <w:r>
      <w:rPr>
        <w:rStyle w:val="74"/>
      </w:rPr>
      <w:instrText xml:space="preserve">PAGE  </w:instrText>
    </w:r>
    <w:r>
      <w:fldChar w:fldCharType="end"/>
    </w:r>
  </w:p>
  <w:p w14:paraId="43778ED4">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A284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bookmarkStart w:id="573" w:name="_Toc131845147"/>
    <w:bookmarkStart w:id="574" w:name="_Toc36110187"/>
    <w:bookmarkStart w:id="575" w:name="_Toc164085800"/>
    <w:bookmarkStart w:id="576" w:name="_Toc91899912"/>
    <w:r>
      <w:rPr>
        <w:rFonts w:hint="eastAsia" w:ascii="仿宋_GB2312" w:eastAsia="仿宋_GB2312"/>
        <w:kern w:val="0"/>
        <w:szCs w:val="21"/>
      </w:rPr>
      <w:t xml:space="preserve"> 页</w:t>
    </w:r>
    <w:bookmarkEnd w:id="573"/>
    <w:bookmarkEnd w:id="574"/>
    <w:bookmarkEnd w:id="575"/>
    <w:bookmarkEnd w:id="57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0288E">
    <w:pPr>
      <w:pStyle w:val="39"/>
      <w:framePr w:wrap="around" w:vAnchor="text" w:hAnchor="margin" w:xAlign="right" w:y="1"/>
      <w:rPr>
        <w:rStyle w:val="74"/>
      </w:rPr>
    </w:pPr>
    <w:r>
      <w:fldChar w:fldCharType="begin"/>
    </w:r>
    <w:r>
      <w:rPr>
        <w:rStyle w:val="74"/>
      </w:rPr>
      <w:instrText xml:space="preserve">PAGE  </w:instrText>
    </w:r>
    <w:r>
      <w:fldChar w:fldCharType="end"/>
    </w:r>
  </w:p>
  <w:p w14:paraId="43A0A00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DE44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B1CAE">
    <w:pPr>
      <w:pStyle w:val="39"/>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22</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75</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6391F">
    <w:pPr>
      <w:pStyle w:val="39"/>
      <w:framePr w:wrap="around" w:vAnchor="text" w:hAnchor="margin" w:xAlign="right" w:y="1"/>
      <w:rPr>
        <w:rStyle w:val="74"/>
      </w:rPr>
    </w:pPr>
    <w:r>
      <w:fldChar w:fldCharType="begin"/>
    </w:r>
    <w:r>
      <w:rPr>
        <w:rStyle w:val="74"/>
      </w:rPr>
      <w:instrText xml:space="preserve">PAGE  </w:instrText>
    </w:r>
    <w:r>
      <w:fldChar w:fldCharType="end"/>
    </w:r>
  </w:p>
  <w:p w14:paraId="266BE59E">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C2A24">
    <w:pPr>
      <w:pStyle w:val="39"/>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2059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0B930E8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006F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26531DC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FD82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583C499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F079">
    <w:pPr>
      <w:pStyle w:val="40"/>
      <w:pBdr>
        <w:bottom w:val="none" w:color="auto" w:sz="0" w:space="4"/>
      </w:pBdr>
      <w:jc w:val="right"/>
    </w:pPr>
    <w:r>
      <w:t></w:t>
    </w:r>
  </w:p>
  <w:p w14:paraId="7B6E1469">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1356F">
    <w:pPr>
      <w:pStyle w:val="4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33697">
    <w:pPr>
      <w:pStyle w:val="40"/>
      <w:pBdr>
        <w:bottom w:val="none" w:color="auto" w:sz="0" w:space="0"/>
      </w:pBdr>
      <w:tabs>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8F3AD">
    <w:pPr>
      <w:pStyle w:val="40"/>
      <w:pBdr>
        <w:top w:val="none" w:color="auto" w:sz="0" w:space="0"/>
        <w:left w:val="none" w:color="auto" w:sz="0" w:space="0"/>
        <w:bottom w:val="none" w:color="auto" w:sz="0" w:space="4"/>
        <w:right w:val="none" w:color="auto" w:sz="0" w:space="0"/>
        <w:between w:val="none" w:color="auto" w:sz="0" w:space="0"/>
      </w:pBdr>
      <w:jc w:val="right"/>
    </w:pPr>
    <w:r>
      <w:t></w:t>
    </w:r>
  </w:p>
  <w:p w14:paraId="72A91F16">
    <w:pPr>
      <w:pStyle w:val="58"/>
      <w:tabs>
        <w:tab w:val="center" w:pos="4535"/>
        <w:tab w:val="right" w:pos="9070"/>
      </w:tabs>
      <w:ind w:firstLine="180" w:firstLineChars="100"/>
      <w:jc w:val="both"/>
      <w:rPr>
        <w:rFonts w:ascii="FangSong_GB2312" w:eastAsia="FangSong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D202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6669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F3074">
    <w:pPr>
      <w:pStyle w:val="40"/>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D48A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1D38C">
    <w:pPr>
      <w:pStyle w:val="40"/>
      <w:pBdr>
        <w:bottom w:val="none" w:color="auto" w:sz="0" w:space="1"/>
      </w:pBdr>
      <w:tabs>
        <w:tab w:val="clear" w:pos="4153"/>
      </w:tabs>
      <w:jc w:val="both"/>
    </w:pPr>
    <w:r>
      <w:rPr>
        <w:rFonts w:hint="eastAsia"/>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A40E4">
    <w:pPr>
      <w:pStyle w:val="40"/>
      <w:pBdr>
        <w:bottom w:val="none" w:color="auto" w:sz="0" w:space="1"/>
      </w:pBdr>
      <w:jc w:val="both"/>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2F88E"/>
    <w:multiLevelType w:val="singleLevel"/>
    <w:tmpl w:val="D3F2F88E"/>
    <w:lvl w:ilvl="0" w:tentative="0">
      <w:start w:val="1"/>
      <w:numFmt w:val="decimal"/>
      <w:suff w:val="nothing"/>
      <w:lvlText w:val="%1、"/>
      <w:lvlJc w:val="left"/>
    </w:lvl>
  </w:abstractNum>
  <w:abstractNum w:abstractNumId="1">
    <w:nsid w:val="DED81865"/>
    <w:multiLevelType w:val="singleLevel"/>
    <w:tmpl w:val="DED81865"/>
    <w:lvl w:ilvl="0" w:tentative="0">
      <w:start w:val="1"/>
      <w:numFmt w:val="decimal"/>
      <w:suff w:val="nothing"/>
      <w:lvlText w:val="%1）"/>
      <w:lvlJc w:val="left"/>
    </w:lvl>
  </w:abstractNum>
  <w:abstractNum w:abstractNumId="2">
    <w:nsid w:val="EAFBB688"/>
    <w:multiLevelType w:val="singleLevel"/>
    <w:tmpl w:val="EAFBB688"/>
    <w:lvl w:ilvl="0" w:tentative="0">
      <w:start w:val="5"/>
      <w:numFmt w:val="chineseCounting"/>
      <w:suff w:val="nothing"/>
      <w:lvlText w:val="%1、"/>
      <w:lvlJc w:val="left"/>
      <w:rPr>
        <w:rFonts w:hint="eastAsia"/>
      </w:rPr>
    </w:lvl>
  </w:abstractNum>
  <w:abstractNum w:abstractNumId="3">
    <w:nsid w:val="00000000"/>
    <w:multiLevelType w:val="multilevel"/>
    <w:tmpl w:val="0000000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1"/>
    <w:multiLevelType w:val="singleLevel"/>
    <w:tmpl w:val="00000001"/>
    <w:lvl w:ilvl="0" w:tentative="0">
      <w:start w:val="1"/>
      <w:numFmt w:val="chineseCounting"/>
      <w:suff w:val="nothing"/>
      <w:lvlText w:val="%1、"/>
      <w:lvlJc w:val="left"/>
    </w:lvl>
  </w:abstractNum>
  <w:abstractNum w:abstractNumId="5">
    <w:nsid w:val="00000002"/>
    <w:multiLevelType w:val="singleLevel"/>
    <w:tmpl w:val="00000002"/>
    <w:lvl w:ilvl="0" w:tentative="0">
      <w:start w:val="3"/>
      <w:numFmt w:val="chineseCounting"/>
      <w:suff w:val="nothing"/>
      <w:lvlText w:val="%1、"/>
      <w:lvlJc w:val="left"/>
    </w:lvl>
  </w:abstractNum>
  <w:abstractNum w:abstractNumId="6">
    <w:nsid w:val="393D6382"/>
    <w:multiLevelType w:val="singleLevel"/>
    <w:tmpl w:val="393D6382"/>
    <w:lvl w:ilvl="0" w:tentative="0">
      <w:start w:val="3"/>
      <w:numFmt w:val="chineseCounting"/>
      <w:suff w:val="space"/>
      <w:lvlText w:val="第%1部分"/>
      <w:lvlJc w:val="left"/>
      <w:rPr>
        <w:rFonts w:hint="eastAsia"/>
      </w:rPr>
    </w:lvl>
  </w:abstractNum>
  <w:abstractNum w:abstractNumId="7">
    <w:nsid w:val="6FAAC4C4"/>
    <w:multiLevelType w:val="singleLevel"/>
    <w:tmpl w:val="6FAAC4C4"/>
    <w:lvl w:ilvl="0" w:tentative="0">
      <w:start w:val="1"/>
      <w:numFmt w:val="decimal"/>
      <w:suff w:val="nothing"/>
      <w:lvlText w:val="%1、"/>
      <w:lvlJc w:val="left"/>
    </w:lvl>
  </w:abstractNum>
  <w:num w:numId="1">
    <w:abstractNumId w:val="3"/>
  </w:num>
  <w:num w:numId="2">
    <w:abstractNumId w:val="6"/>
  </w:num>
  <w:num w:numId="3">
    <w:abstractNumId w:val="1"/>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ODE4ZmFmYTJiYjg0ZTVjOTUzOTExNWRkOGJlZjAifQ=="/>
  </w:docVars>
  <w:rsids>
    <w:rsidRoot w:val="00000000"/>
    <w:rsid w:val="00525893"/>
    <w:rsid w:val="0087167F"/>
    <w:rsid w:val="00951FEE"/>
    <w:rsid w:val="009F52E4"/>
    <w:rsid w:val="00B2005C"/>
    <w:rsid w:val="00B20DF2"/>
    <w:rsid w:val="01064C9A"/>
    <w:rsid w:val="01236AF3"/>
    <w:rsid w:val="015F39DA"/>
    <w:rsid w:val="01A26BB2"/>
    <w:rsid w:val="01A809CD"/>
    <w:rsid w:val="01E850A3"/>
    <w:rsid w:val="0250441F"/>
    <w:rsid w:val="028F68B9"/>
    <w:rsid w:val="02C64EB8"/>
    <w:rsid w:val="02E37041"/>
    <w:rsid w:val="0301396B"/>
    <w:rsid w:val="03056101"/>
    <w:rsid w:val="03171F7E"/>
    <w:rsid w:val="03321D76"/>
    <w:rsid w:val="034D6BB0"/>
    <w:rsid w:val="03577A2F"/>
    <w:rsid w:val="03820DC6"/>
    <w:rsid w:val="03B67770"/>
    <w:rsid w:val="04073203"/>
    <w:rsid w:val="04103AA3"/>
    <w:rsid w:val="04323463"/>
    <w:rsid w:val="04441D61"/>
    <w:rsid w:val="04C50D6B"/>
    <w:rsid w:val="050634BB"/>
    <w:rsid w:val="05085485"/>
    <w:rsid w:val="050F05C1"/>
    <w:rsid w:val="05412745"/>
    <w:rsid w:val="05856AD5"/>
    <w:rsid w:val="06317000"/>
    <w:rsid w:val="064047AA"/>
    <w:rsid w:val="06530982"/>
    <w:rsid w:val="06F16739"/>
    <w:rsid w:val="07593D76"/>
    <w:rsid w:val="078057A6"/>
    <w:rsid w:val="07CD4764"/>
    <w:rsid w:val="082C3A9F"/>
    <w:rsid w:val="08420AFA"/>
    <w:rsid w:val="08AE4799"/>
    <w:rsid w:val="08E23383"/>
    <w:rsid w:val="090B10A0"/>
    <w:rsid w:val="0911242E"/>
    <w:rsid w:val="09322AD0"/>
    <w:rsid w:val="093A21B9"/>
    <w:rsid w:val="0984657C"/>
    <w:rsid w:val="0996660F"/>
    <w:rsid w:val="09966C5E"/>
    <w:rsid w:val="09A82D92"/>
    <w:rsid w:val="09E638BB"/>
    <w:rsid w:val="0A165F4E"/>
    <w:rsid w:val="0A4A5BF8"/>
    <w:rsid w:val="0A5170E0"/>
    <w:rsid w:val="0A5D3B7D"/>
    <w:rsid w:val="0A71361E"/>
    <w:rsid w:val="0ABC02E8"/>
    <w:rsid w:val="0AF3003D"/>
    <w:rsid w:val="0BC96FF0"/>
    <w:rsid w:val="0BD66CAD"/>
    <w:rsid w:val="0C1D1832"/>
    <w:rsid w:val="0C272694"/>
    <w:rsid w:val="0C5745FC"/>
    <w:rsid w:val="0C6A432F"/>
    <w:rsid w:val="0C8F7674"/>
    <w:rsid w:val="0CB87790"/>
    <w:rsid w:val="0CE760D6"/>
    <w:rsid w:val="0CFD499E"/>
    <w:rsid w:val="0D074274"/>
    <w:rsid w:val="0D0D38A1"/>
    <w:rsid w:val="0D1349C7"/>
    <w:rsid w:val="0D156991"/>
    <w:rsid w:val="0D366907"/>
    <w:rsid w:val="0D4032E2"/>
    <w:rsid w:val="0D474670"/>
    <w:rsid w:val="0EDD528C"/>
    <w:rsid w:val="0EEE56EB"/>
    <w:rsid w:val="0F4470B9"/>
    <w:rsid w:val="0F4C0664"/>
    <w:rsid w:val="0F503CB0"/>
    <w:rsid w:val="0F933B9D"/>
    <w:rsid w:val="0FE8213B"/>
    <w:rsid w:val="0FF930AB"/>
    <w:rsid w:val="10264F22"/>
    <w:rsid w:val="102E0898"/>
    <w:rsid w:val="10401F77"/>
    <w:rsid w:val="10615A49"/>
    <w:rsid w:val="108160EB"/>
    <w:rsid w:val="108C5FCF"/>
    <w:rsid w:val="10973B61"/>
    <w:rsid w:val="10C5422A"/>
    <w:rsid w:val="10F20D97"/>
    <w:rsid w:val="10FB40F0"/>
    <w:rsid w:val="11230F50"/>
    <w:rsid w:val="115C56A5"/>
    <w:rsid w:val="11B33522"/>
    <w:rsid w:val="11BC3733"/>
    <w:rsid w:val="11E44B84"/>
    <w:rsid w:val="12080872"/>
    <w:rsid w:val="12577104"/>
    <w:rsid w:val="128A1139"/>
    <w:rsid w:val="12971BF6"/>
    <w:rsid w:val="12A130B7"/>
    <w:rsid w:val="12B65663"/>
    <w:rsid w:val="12DA1AE3"/>
    <w:rsid w:val="12DD3E21"/>
    <w:rsid w:val="12FB1A9E"/>
    <w:rsid w:val="13013A9E"/>
    <w:rsid w:val="13427DB4"/>
    <w:rsid w:val="1347361C"/>
    <w:rsid w:val="13477178"/>
    <w:rsid w:val="135A4867"/>
    <w:rsid w:val="137A158F"/>
    <w:rsid w:val="137B5074"/>
    <w:rsid w:val="13A7230D"/>
    <w:rsid w:val="13C7650B"/>
    <w:rsid w:val="144D6A10"/>
    <w:rsid w:val="1450733C"/>
    <w:rsid w:val="1457163D"/>
    <w:rsid w:val="14A01236"/>
    <w:rsid w:val="14ED3A5E"/>
    <w:rsid w:val="151A2E67"/>
    <w:rsid w:val="151C5693"/>
    <w:rsid w:val="152A4FA3"/>
    <w:rsid w:val="15511CF9"/>
    <w:rsid w:val="15A3568B"/>
    <w:rsid w:val="15C56A7A"/>
    <w:rsid w:val="15D64EC1"/>
    <w:rsid w:val="15E909BB"/>
    <w:rsid w:val="16077093"/>
    <w:rsid w:val="162E0AC3"/>
    <w:rsid w:val="163A7468"/>
    <w:rsid w:val="16681163"/>
    <w:rsid w:val="16796819"/>
    <w:rsid w:val="169052DA"/>
    <w:rsid w:val="16F05D79"/>
    <w:rsid w:val="176875D2"/>
    <w:rsid w:val="1783099B"/>
    <w:rsid w:val="17874E52"/>
    <w:rsid w:val="17B5270A"/>
    <w:rsid w:val="17B97353"/>
    <w:rsid w:val="183028D1"/>
    <w:rsid w:val="18A4506D"/>
    <w:rsid w:val="1922397A"/>
    <w:rsid w:val="19874772"/>
    <w:rsid w:val="19AE52C2"/>
    <w:rsid w:val="19E424E4"/>
    <w:rsid w:val="19EA6AAF"/>
    <w:rsid w:val="1A07140F"/>
    <w:rsid w:val="1A314416"/>
    <w:rsid w:val="1A3146DE"/>
    <w:rsid w:val="1A4408B5"/>
    <w:rsid w:val="1A8213DE"/>
    <w:rsid w:val="1AA50C28"/>
    <w:rsid w:val="1AA72C6C"/>
    <w:rsid w:val="1AC612CA"/>
    <w:rsid w:val="1AD87250"/>
    <w:rsid w:val="1B293607"/>
    <w:rsid w:val="1B6B3C20"/>
    <w:rsid w:val="1C0C0F5F"/>
    <w:rsid w:val="1C707260"/>
    <w:rsid w:val="1C8925AF"/>
    <w:rsid w:val="1C9A47BD"/>
    <w:rsid w:val="1CBF2475"/>
    <w:rsid w:val="1CE123EB"/>
    <w:rsid w:val="1D0F64D2"/>
    <w:rsid w:val="1D5C1A72"/>
    <w:rsid w:val="1D6B43AB"/>
    <w:rsid w:val="1DCD6828"/>
    <w:rsid w:val="1E4D3E77"/>
    <w:rsid w:val="1ECE4BF1"/>
    <w:rsid w:val="1EE14925"/>
    <w:rsid w:val="1F134CFA"/>
    <w:rsid w:val="1F7F413E"/>
    <w:rsid w:val="1FA15E62"/>
    <w:rsid w:val="1FA37E2C"/>
    <w:rsid w:val="1FA83694"/>
    <w:rsid w:val="1FB262C1"/>
    <w:rsid w:val="1FDB75C6"/>
    <w:rsid w:val="1FE94B5A"/>
    <w:rsid w:val="1FFC12EA"/>
    <w:rsid w:val="20016901"/>
    <w:rsid w:val="202F346E"/>
    <w:rsid w:val="20401A50"/>
    <w:rsid w:val="209D2ACD"/>
    <w:rsid w:val="20A50C38"/>
    <w:rsid w:val="20D64805"/>
    <w:rsid w:val="213A5705"/>
    <w:rsid w:val="21537AB3"/>
    <w:rsid w:val="21D56297"/>
    <w:rsid w:val="21DA13D2"/>
    <w:rsid w:val="22596EC8"/>
    <w:rsid w:val="228F28EA"/>
    <w:rsid w:val="229C7ECF"/>
    <w:rsid w:val="22E10C8A"/>
    <w:rsid w:val="235A4CA6"/>
    <w:rsid w:val="237A70F6"/>
    <w:rsid w:val="23EB1DA2"/>
    <w:rsid w:val="242F7EE0"/>
    <w:rsid w:val="2463684B"/>
    <w:rsid w:val="24B108F5"/>
    <w:rsid w:val="24D26ABE"/>
    <w:rsid w:val="24F3399B"/>
    <w:rsid w:val="25396B3D"/>
    <w:rsid w:val="25407ECB"/>
    <w:rsid w:val="254C6FAD"/>
    <w:rsid w:val="25B82157"/>
    <w:rsid w:val="25B83F05"/>
    <w:rsid w:val="25B974F6"/>
    <w:rsid w:val="26856FC0"/>
    <w:rsid w:val="26F947D6"/>
    <w:rsid w:val="2714160F"/>
    <w:rsid w:val="27147861"/>
    <w:rsid w:val="271A6AFD"/>
    <w:rsid w:val="27435A51"/>
    <w:rsid w:val="2753038A"/>
    <w:rsid w:val="276F6846"/>
    <w:rsid w:val="278B4BE3"/>
    <w:rsid w:val="27A44741"/>
    <w:rsid w:val="27F03E2A"/>
    <w:rsid w:val="28622A7C"/>
    <w:rsid w:val="295A26B2"/>
    <w:rsid w:val="296740C8"/>
    <w:rsid w:val="29AC3D81"/>
    <w:rsid w:val="29B80978"/>
    <w:rsid w:val="29BB3FC4"/>
    <w:rsid w:val="29C238F5"/>
    <w:rsid w:val="29E03A2B"/>
    <w:rsid w:val="29EE6148"/>
    <w:rsid w:val="29FA689B"/>
    <w:rsid w:val="29FB2613"/>
    <w:rsid w:val="2A6E7289"/>
    <w:rsid w:val="2A7E3970"/>
    <w:rsid w:val="2AB729DE"/>
    <w:rsid w:val="2AD43590"/>
    <w:rsid w:val="2B8054C5"/>
    <w:rsid w:val="2B8E536D"/>
    <w:rsid w:val="2B9920E3"/>
    <w:rsid w:val="2BBE1B4A"/>
    <w:rsid w:val="2BFD6B16"/>
    <w:rsid w:val="2C1F083A"/>
    <w:rsid w:val="2C365B84"/>
    <w:rsid w:val="2C5F7BAE"/>
    <w:rsid w:val="2C81312E"/>
    <w:rsid w:val="2C867DFB"/>
    <w:rsid w:val="2CD47877"/>
    <w:rsid w:val="2D2A393B"/>
    <w:rsid w:val="2D2C1F30"/>
    <w:rsid w:val="2D4B2462"/>
    <w:rsid w:val="2D6410F5"/>
    <w:rsid w:val="2D8F379E"/>
    <w:rsid w:val="2E1819E5"/>
    <w:rsid w:val="2E3C1B78"/>
    <w:rsid w:val="2E75050B"/>
    <w:rsid w:val="2E993178"/>
    <w:rsid w:val="2EDC7307"/>
    <w:rsid w:val="2F416D1A"/>
    <w:rsid w:val="2F7103D5"/>
    <w:rsid w:val="2FEE3B30"/>
    <w:rsid w:val="306B04F2"/>
    <w:rsid w:val="30961EF6"/>
    <w:rsid w:val="30A47560"/>
    <w:rsid w:val="30D50061"/>
    <w:rsid w:val="30D8602A"/>
    <w:rsid w:val="30E42053"/>
    <w:rsid w:val="30F54260"/>
    <w:rsid w:val="310D15A9"/>
    <w:rsid w:val="310F3573"/>
    <w:rsid w:val="313A1C72"/>
    <w:rsid w:val="319475D5"/>
    <w:rsid w:val="31B77767"/>
    <w:rsid w:val="32496611"/>
    <w:rsid w:val="329D4BAF"/>
    <w:rsid w:val="32B55A55"/>
    <w:rsid w:val="3316226B"/>
    <w:rsid w:val="3320382D"/>
    <w:rsid w:val="336B25B7"/>
    <w:rsid w:val="33995376"/>
    <w:rsid w:val="33E34843"/>
    <w:rsid w:val="33E660E2"/>
    <w:rsid w:val="345435AA"/>
    <w:rsid w:val="34873898"/>
    <w:rsid w:val="34951FE2"/>
    <w:rsid w:val="349A13A6"/>
    <w:rsid w:val="34E645EB"/>
    <w:rsid w:val="34F860CC"/>
    <w:rsid w:val="35215623"/>
    <w:rsid w:val="353B0AD1"/>
    <w:rsid w:val="354E3F3E"/>
    <w:rsid w:val="3555351F"/>
    <w:rsid w:val="357408A8"/>
    <w:rsid w:val="35B3638F"/>
    <w:rsid w:val="364A6DFC"/>
    <w:rsid w:val="36D668E1"/>
    <w:rsid w:val="36E7289C"/>
    <w:rsid w:val="37021484"/>
    <w:rsid w:val="372907BF"/>
    <w:rsid w:val="373B04F2"/>
    <w:rsid w:val="376C4B50"/>
    <w:rsid w:val="377F2AD5"/>
    <w:rsid w:val="37863C01"/>
    <w:rsid w:val="37E741C2"/>
    <w:rsid w:val="37EA18CB"/>
    <w:rsid w:val="380A05F1"/>
    <w:rsid w:val="38507FCD"/>
    <w:rsid w:val="38E726E0"/>
    <w:rsid w:val="38FA46F6"/>
    <w:rsid w:val="3922196A"/>
    <w:rsid w:val="39754190"/>
    <w:rsid w:val="397C3770"/>
    <w:rsid w:val="397F5C0F"/>
    <w:rsid w:val="39FA28E7"/>
    <w:rsid w:val="3A085004"/>
    <w:rsid w:val="3A407447"/>
    <w:rsid w:val="3A612966"/>
    <w:rsid w:val="3A6A35C8"/>
    <w:rsid w:val="3A8B1791"/>
    <w:rsid w:val="3A8C79E3"/>
    <w:rsid w:val="3AA74337"/>
    <w:rsid w:val="3B1A75E7"/>
    <w:rsid w:val="3B673FAC"/>
    <w:rsid w:val="3B710987"/>
    <w:rsid w:val="3BA42B0A"/>
    <w:rsid w:val="3BE5518E"/>
    <w:rsid w:val="3C2B6D87"/>
    <w:rsid w:val="3C3814A4"/>
    <w:rsid w:val="3C3E4D0D"/>
    <w:rsid w:val="3C700C3E"/>
    <w:rsid w:val="3CEA4A31"/>
    <w:rsid w:val="3D346110"/>
    <w:rsid w:val="3D4C5207"/>
    <w:rsid w:val="3D6D1752"/>
    <w:rsid w:val="3D8E5820"/>
    <w:rsid w:val="3DB334D8"/>
    <w:rsid w:val="3DE44CCD"/>
    <w:rsid w:val="3DF31B27"/>
    <w:rsid w:val="3E455441"/>
    <w:rsid w:val="3E99447C"/>
    <w:rsid w:val="3EDF5C43"/>
    <w:rsid w:val="3F2226C4"/>
    <w:rsid w:val="3F7D78FA"/>
    <w:rsid w:val="3FA171C1"/>
    <w:rsid w:val="3FB35F57"/>
    <w:rsid w:val="3FB53538"/>
    <w:rsid w:val="400022D9"/>
    <w:rsid w:val="400B542E"/>
    <w:rsid w:val="40275AB8"/>
    <w:rsid w:val="406E1939"/>
    <w:rsid w:val="409E13A8"/>
    <w:rsid w:val="4105229D"/>
    <w:rsid w:val="41570055"/>
    <w:rsid w:val="41690F08"/>
    <w:rsid w:val="41AF7802"/>
    <w:rsid w:val="41C37A62"/>
    <w:rsid w:val="41F05C59"/>
    <w:rsid w:val="41F67E38"/>
    <w:rsid w:val="422A188F"/>
    <w:rsid w:val="423C2277"/>
    <w:rsid w:val="42843695"/>
    <w:rsid w:val="428B4A24"/>
    <w:rsid w:val="431344AA"/>
    <w:rsid w:val="436112E1"/>
    <w:rsid w:val="43B967C9"/>
    <w:rsid w:val="43D67F21"/>
    <w:rsid w:val="4413082D"/>
    <w:rsid w:val="44136EA3"/>
    <w:rsid w:val="4439400C"/>
    <w:rsid w:val="444924A1"/>
    <w:rsid w:val="44BD4C3D"/>
    <w:rsid w:val="44C64E05"/>
    <w:rsid w:val="4521341D"/>
    <w:rsid w:val="456357E4"/>
    <w:rsid w:val="458C4D3B"/>
    <w:rsid w:val="45A2455E"/>
    <w:rsid w:val="45C1250B"/>
    <w:rsid w:val="4658048C"/>
    <w:rsid w:val="46882F91"/>
    <w:rsid w:val="469D6AD4"/>
    <w:rsid w:val="46C71DA3"/>
    <w:rsid w:val="46C73B51"/>
    <w:rsid w:val="47525B10"/>
    <w:rsid w:val="475C073D"/>
    <w:rsid w:val="47881487"/>
    <w:rsid w:val="47B9793D"/>
    <w:rsid w:val="47D82F91"/>
    <w:rsid w:val="48401E0D"/>
    <w:rsid w:val="48541414"/>
    <w:rsid w:val="48592ECE"/>
    <w:rsid w:val="48675A1F"/>
    <w:rsid w:val="48892DCC"/>
    <w:rsid w:val="489A3CD6"/>
    <w:rsid w:val="48A203D1"/>
    <w:rsid w:val="48B22D24"/>
    <w:rsid w:val="48C52312"/>
    <w:rsid w:val="49042270"/>
    <w:rsid w:val="49244228"/>
    <w:rsid w:val="496E6505"/>
    <w:rsid w:val="4976381A"/>
    <w:rsid w:val="498D2D28"/>
    <w:rsid w:val="49D547D7"/>
    <w:rsid w:val="4A0B1FA6"/>
    <w:rsid w:val="4A7B5051"/>
    <w:rsid w:val="4AF60EA8"/>
    <w:rsid w:val="4B24602C"/>
    <w:rsid w:val="4B295874"/>
    <w:rsid w:val="4B6E47CE"/>
    <w:rsid w:val="4B72052F"/>
    <w:rsid w:val="4B9C774F"/>
    <w:rsid w:val="4BAB57EF"/>
    <w:rsid w:val="4BBE3774"/>
    <w:rsid w:val="4BBF74EC"/>
    <w:rsid w:val="4BCA31CF"/>
    <w:rsid w:val="4C3E497A"/>
    <w:rsid w:val="4C5B0854"/>
    <w:rsid w:val="4C801545"/>
    <w:rsid w:val="4C82770F"/>
    <w:rsid w:val="4CB659EA"/>
    <w:rsid w:val="4D153868"/>
    <w:rsid w:val="4D1B69A4"/>
    <w:rsid w:val="4D2770F7"/>
    <w:rsid w:val="4D2B1A76"/>
    <w:rsid w:val="4D5F0F87"/>
    <w:rsid w:val="4D924EB8"/>
    <w:rsid w:val="4D9724CF"/>
    <w:rsid w:val="4DFA1C57"/>
    <w:rsid w:val="4E3C4E24"/>
    <w:rsid w:val="4E676345"/>
    <w:rsid w:val="4E97033B"/>
    <w:rsid w:val="4F133DD7"/>
    <w:rsid w:val="4F2558B8"/>
    <w:rsid w:val="4F8B6063"/>
    <w:rsid w:val="4FBA5EC6"/>
    <w:rsid w:val="50067498"/>
    <w:rsid w:val="500E27F0"/>
    <w:rsid w:val="502D711A"/>
    <w:rsid w:val="505E043D"/>
    <w:rsid w:val="507C1E50"/>
    <w:rsid w:val="50EA5EA6"/>
    <w:rsid w:val="50FB0FC7"/>
    <w:rsid w:val="515E27BB"/>
    <w:rsid w:val="517D19DC"/>
    <w:rsid w:val="517F7502"/>
    <w:rsid w:val="51905BB3"/>
    <w:rsid w:val="51E41A5B"/>
    <w:rsid w:val="51E90E1F"/>
    <w:rsid w:val="521C2FA3"/>
    <w:rsid w:val="52B96A43"/>
    <w:rsid w:val="533F6E7B"/>
    <w:rsid w:val="53C47430"/>
    <w:rsid w:val="53C47D96"/>
    <w:rsid w:val="53CE4770"/>
    <w:rsid w:val="53D22A0C"/>
    <w:rsid w:val="54041F40"/>
    <w:rsid w:val="54717DB0"/>
    <w:rsid w:val="5479570C"/>
    <w:rsid w:val="54B35714"/>
    <w:rsid w:val="54EE5766"/>
    <w:rsid w:val="555962BC"/>
    <w:rsid w:val="55635090"/>
    <w:rsid w:val="557F21C6"/>
    <w:rsid w:val="558477DD"/>
    <w:rsid w:val="558A2919"/>
    <w:rsid w:val="561C17DC"/>
    <w:rsid w:val="564E7DEA"/>
    <w:rsid w:val="56964F86"/>
    <w:rsid w:val="569F0646"/>
    <w:rsid w:val="56B91708"/>
    <w:rsid w:val="56C81381"/>
    <w:rsid w:val="5730129E"/>
    <w:rsid w:val="5794182D"/>
    <w:rsid w:val="57945CD1"/>
    <w:rsid w:val="57CF2865"/>
    <w:rsid w:val="584343D6"/>
    <w:rsid w:val="586114A6"/>
    <w:rsid w:val="586456A3"/>
    <w:rsid w:val="590D6AC3"/>
    <w:rsid w:val="593212FE"/>
    <w:rsid w:val="5943175D"/>
    <w:rsid w:val="594A4899"/>
    <w:rsid w:val="598002BB"/>
    <w:rsid w:val="59814033"/>
    <w:rsid w:val="598D3AEE"/>
    <w:rsid w:val="599827B6"/>
    <w:rsid w:val="59DE4FE1"/>
    <w:rsid w:val="5A115E87"/>
    <w:rsid w:val="5A1E64AA"/>
    <w:rsid w:val="5A35278E"/>
    <w:rsid w:val="5A756F46"/>
    <w:rsid w:val="5AF104EE"/>
    <w:rsid w:val="5B1C12B7"/>
    <w:rsid w:val="5B392E17"/>
    <w:rsid w:val="5B3A26EB"/>
    <w:rsid w:val="5B4041A6"/>
    <w:rsid w:val="5B897396"/>
    <w:rsid w:val="5B9C5154"/>
    <w:rsid w:val="5C657C3C"/>
    <w:rsid w:val="5C8C51C9"/>
    <w:rsid w:val="5C9A66BF"/>
    <w:rsid w:val="5CBD35D4"/>
    <w:rsid w:val="5CD728E8"/>
    <w:rsid w:val="5CE2128D"/>
    <w:rsid w:val="5D0B07E3"/>
    <w:rsid w:val="5D673943"/>
    <w:rsid w:val="5D890DB0"/>
    <w:rsid w:val="5DA744B4"/>
    <w:rsid w:val="5DBC1ADE"/>
    <w:rsid w:val="5DD11BD9"/>
    <w:rsid w:val="5E1B5DB0"/>
    <w:rsid w:val="5E5F029D"/>
    <w:rsid w:val="5E5F0DE7"/>
    <w:rsid w:val="5EBE3A29"/>
    <w:rsid w:val="5EE930EA"/>
    <w:rsid w:val="5EF66FDC"/>
    <w:rsid w:val="5F1C1A53"/>
    <w:rsid w:val="5F2C16DC"/>
    <w:rsid w:val="5F4C7F44"/>
    <w:rsid w:val="5F89161D"/>
    <w:rsid w:val="5F991BF1"/>
    <w:rsid w:val="60255718"/>
    <w:rsid w:val="604638E0"/>
    <w:rsid w:val="605815DF"/>
    <w:rsid w:val="609B59DA"/>
    <w:rsid w:val="610572F8"/>
    <w:rsid w:val="616D262E"/>
    <w:rsid w:val="61B8759A"/>
    <w:rsid w:val="61E86B8B"/>
    <w:rsid w:val="62682234"/>
    <w:rsid w:val="62B76B40"/>
    <w:rsid w:val="62C3746A"/>
    <w:rsid w:val="62D6719E"/>
    <w:rsid w:val="62F6339C"/>
    <w:rsid w:val="635B76A3"/>
    <w:rsid w:val="637F5A87"/>
    <w:rsid w:val="63AE1A45"/>
    <w:rsid w:val="63B76713"/>
    <w:rsid w:val="63BF7C32"/>
    <w:rsid w:val="63C776A3"/>
    <w:rsid w:val="64346872"/>
    <w:rsid w:val="649966D5"/>
    <w:rsid w:val="64B61035"/>
    <w:rsid w:val="64D80116"/>
    <w:rsid w:val="64F078C4"/>
    <w:rsid w:val="64F102BF"/>
    <w:rsid w:val="653852E7"/>
    <w:rsid w:val="65C14135"/>
    <w:rsid w:val="65E9368C"/>
    <w:rsid w:val="65FD3A5C"/>
    <w:rsid w:val="6659611C"/>
    <w:rsid w:val="66E16111"/>
    <w:rsid w:val="66ED2B70"/>
    <w:rsid w:val="66F422E8"/>
    <w:rsid w:val="66F620CC"/>
    <w:rsid w:val="67303449"/>
    <w:rsid w:val="67481025"/>
    <w:rsid w:val="677F6056"/>
    <w:rsid w:val="67890C82"/>
    <w:rsid w:val="67AF4EA5"/>
    <w:rsid w:val="67E265E5"/>
    <w:rsid w:val="68077DF9"/>
    <w:rsid w:val="682D3D04"/>
    <w:rsid w:val="68863414"/>
    <w:rsid w:val="68A85138"/>
    <w:rsid w:val="68AD274F"/>
    <w:rsid w:val="68DE109F"/>
    <w:rsid w:val="68E32614"/>
    <w:rsid w:val="68E63EB3"/>
    <w:rsid w:val="690C1B6B"/>
    <w:rsid w:val="691C72DF"/>
    <w:rsid w:val="691E5BA6"/>
    <w:rsid w:val="69205616"/>
    <w:rsid w:val="692B454E"/>
    <w:rsid w:val="6980220B"/>
    <w:rsid w:val="69B905E2"/>
    <w:rsid w:val="69CE0BCF"/>
    <w:rsid w:val="69EA149B"/>
    <w:rsid w:val="6A06041A"/>
    <w:rsid w:val="6A0E546F"/>
    <w:rsid w:val="6A31115D"/>
    <w:rsid w:val="6A6553A9"/>
    <w:rsid w:val="6A6E4160"/>
    <w:rsid w:val="6A876FCF"/>
    <w:rsid w:val="6A9F07BD"/>
    <w:rsid w:val="6AB2229E"/>
    <w:rsid w:val="6AE83F12"/>
    <w:rsid w:val="6AEA5DDF"/>
    <w:rsid w:val="6AEF52A0"/>
    <w:rsid w:val="6B0A032C"/>
    <w:rsid w:val="6BA0659B"/>
    <w:rsid w:val="6BD9385B"/>
    <w:rsid w:val="6BE15407"/>
    <w:rsid w:val="6BE96194"/>
    <w:rsid w:val="6C1B513B"/>
    <w:rsid w:val="6C352415"/>
    <w:rsid w:val="6C5D26DE"/>
    <w:rsid w:val="6C5F0204"/>
    <w:rsid w:val="6C924135"/>
    <w:rsid w:val="6CA16A6E"/>
    <w:rsid w:val="6CC369E5"/>
    <w:rsid w:val="6CDE737B"/>
    <w:rsid w:val="6D003795"/>
    <w:rsid w:val="6D3E250F"/>
    <w:rsid w:val="6D4B2536"/>
    <w:rsid w:val="6D935D9F"/>
    <w:rsid w:val="6D9A5D5C"/>
    <w:rsid w:val="6DA34120"/>
    <w:rsid w:val="6DC93334"/>
    <w:rsid w:val="6DF8446C"/>
    <w:rsid w:val="6DFD5140"/>
    <w:rsid w:val="6E2A65EF"/>
    <w:rsid w:val="6E42661A"/>
    <w:rsid w:val="6E5378F4"/>
    <w:rsid w:val="6E5A6ED5"/>
    <w:rsid w:val="6E7D29AB"/>
    <w:rsid w:val="6E8379F2"/>
    <w:rsid w:val="6F0230C8"/>
    <w:rsid w:val="6F202446"/>
    <w:rsid w:val="6F435BBB"/>
    <w:rsid w:val="6F573414"/>
    <w:rsid w:val="6F5B73A8"/>
    <w:rsid w:val="6F984159"/>
    <w:rsid w:val="6FCB033F"/>
    <w:rsid w:val="70455963"/>
    <w:rsid w:val="705D2CAC"/>
    <w:rsid w:val="707B75D6"/>
    <w:rsid w:val="709919BA"/>
    <w:rsid w:val="709A7081"/>
    <w:rsid w:val="709B37D5"/>
    <w:rsid w:val="71125845"/>
    <w:rsid w:val="71614A1E"/>
    <w:rsid w:val="719A5DCE"/>
    <w:rsid w:val="71E60A7F"/>
    <w:rsid w:val="71FE111C"/>
    <w:rsid w:val="72AB5F51"/>
    <w:rsid w:val="72D059B7"/>
    <w:rsid w:val="72D53F62"/>
    <w:rsid w:val="736425A4"/>
    <w:rsid w:val="73987733"/>
    <w:rsid w:val="74031DBD"/>
    <w:rsid w:val="74181AC4"/>
    <w:rsid w:val="74516B1E"/>
    <w:rsid w:val="74B310ED"/>
    <w:rsid w:val="74CF1C9F"/>
    <w:rsid w:val="7510653F"/>
    <w:rsid w:val="756123D3"/>
    <w:rsid w:val="757C5983"/>
    <w:rsid w:val="75906A2E"/>
    <w:rsid w:val="75A31F5B"/>
    <w:rsid w:val="75C612F4"/>
    <w:rsid w:val="75C94940"/>
    <w:rsid w:val="75F12E94"/>
    <w:rsid w:val="76CA0970"/>
    <w:rsid w:val="76D24B93"/>
    <w:rsid w:val="76DA32A9"/>
    <w:rsid w:val="76E53BB4"/>
    <w:rsid w:val="77075720"/>
    <w:rsid w:val="77170059"/>
    <w:rsid w:val="77996CC0"/>
    <w:rsid w:val="77F57C6E"/>
    <w:rsid w:val="78670B6C"/>
    <w:rsid w:val="786F17CF"/>
    <w:rsid w:val="788334CC"/>
    <w:rsid w:val="78917997"/>
    <w:rsid w:val="78B6564F"/>
    <w:rsid w:val="78C7785D"/>
    <w:rsid w:val="78E41F7C"/>
    <w:rsid w:val="78EE1FD1"/>
    <w:rsid w:val="79202AC9"/>
    <w:rsid w:val="79CB6ED9"/>
    <w:rsid w:val="79D57D57"/>
    <w:rsid w:val="7A3B4F9D"/>
    <w:rsid w:val="7A457BB9"/>
    <w:rsid w:val="7A60132A"/>
    <w:rsid w:val="7AF95CC7"/>
    <w:rsid w:val="7B166879"/>
    <w:rsid w:val="7B2249A1"/>
    <w:rsid w:val="7B4A207F"/>
    <w:rsid w:val="7B71585E"/>
    <w:rsid w:val="7B7C11F9"/>
    <w:rsid w:val="7B871525"/>
    <w:rsid w:val="7BA9149B"/>
    <w:rsid w:val="7BB5399C"/>
    <w:rsid w:val="7BFC5A6F"/>
    <w:rsid w:val="7C345209"/>
    <w:rsid w:val="7C520C9F"/>
    <w:rsid w:val="7C8614B7"/>
    <w:rsid w:val="7CB0143D"/>
    <w:rsid w:val="7CC7654B"/>
    <w:rsid w:val="7D116A51"/>
    <w:rsid w:val="7D3D00ED"/>
    <w:rsid w:val="7D4C1C23"/>
    <w:rsid w:val="7D5E0064"/>
    <w:rsid w:val="7D755AD9"/>
    <w:rsid w:val="7DA956A4"/>
    <w:rsid w:val="7DD32800"/>
    <w:rsid w:val="7DDF73F6"/>
    <w:rsid w:val="7DE14F1D"/>
    <w:rsid w:val="7DFD5ACF"/>
    <w:rsid w:val="7E026C41"/>
    <w:rsid w:val="7E040C0B"/>
    <w:rsid w:val="7E290672"/>
    <w:rsid w:val="7E2E7A36"/>
    <w:rsid w:val="7E3E1B66"/>
    <w:rsid w:val="7E4436FD"/>
    <w:rsid w:val="7E543940"/>
    <w:rsid w:val="7EA877A1"/>
    <w:rsid w:val="7EB97C47"/>
    <w:rsid w:val="7EC043FC"/>
    <w:rsid w:val="7F2A7876"/>
    <w:rsid w:val="7F2C5E41"/>
    <w:rsid w:val="7F540BF0"/>
    <w:rsid w:val="7F5D4A77"/>
    <w:rsid w:val="7F8B2ADE"/>
    <w:rsid w:val="7FF30F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qFormat/>
    <w:uiPriority w:val="1"/>
  </w:style>
  <w:style w:type="table" w:default="1" w:styleId="64">
    <w:name w:val="Normal Table"/>
    <w:autoRedefine/>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6"/>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268"/>
    <w:qFormat/>
    <w:uiPriority w:val="0"/>
    <w:pPr>
      <w:spacing w:line="480" w:lineRule="exact"/>
      <w:ind w:firstLine="480" w:firstLineChars="200"/>
    </w:pPr>
    <w:rPr>
      <w:rFonts w:ascii="宋体" w:hAnsi="宋体"/>
      <w:sz w:val="24"/>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8"/>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4"/>
    <w:qFormat/>
    <w:uiPriority w:val="0"/>
    <w:pPr>
      <w:ind w:left="100" w:leftChars="2500"/>
    </w:pPr>
    <w:rPr>
      <w:rFonts w:ascii="宋体"/>
      <w:sz w:val="24"/>
      <w:szCs w:val="21"/>
      <w:lang w:val="zh-CN"/>
    </w:rPr>
  </w:style>
  <w:style w:type="paragraph" w:styleId="36">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3"/>
    <w:autoRedefine/>
    <w:qFormat/>
    <w:uiPriority w:val="0"/>
    <w:rPr>
      <w:lang w:val="zh-CN"/>
    </w:rPr>
  </w:style>
  <w:style w:type="paragraph" w:styleId="38">
    <w:name w:val="Balloon Text"/>
    <w:basedOn w:val="1"/>
    <w:link w:val="191"/>
    <w:autoRedefine/>
    <w:qFormat/>
    <w:uiPriority w:val="0"/>
    <w:rPr>
      <w:sz w:val="18"/>
      <w:szCs w:val="18"/>
    </w:rPr>
  </w:style>
  <w:style w:type="paragraph" w:styleId="39">
    <w:name w:val="footer"/>
    <w:basedOn w:val="1"/>
    <w:link w:val="387"/>
    <w:autoRedefine/>
    <w:qFormat/>
    <w:uiPriority w:val="99"/>
    <w:pPr>
      <w:tabs>
        <w:tab w:val="center" w:pos="4153"/>
        <w:tab w:val="right" w:pos="8306"/>
      </w:tabs>
      <w:snapToGrid w:val="0"/>
      <w:jc w:val="left"/>
    </w:pPr>
    <w:rPr>
      <w:sz w:val="18"/>
      <w:szCs w:val="18"/>
    </w:rPr>
  </w:style>
  <w:style w:type="paragraph" w:styleId="40">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9"/>
    <w:autoRedefine/>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5"/>
    <w:autoRedefine/>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9"/>
    <w:autoRedefine/>
    <w:qFormat/>
    <w:uiPriority w:val="0"/>
    <w:rPr>
      <w:b/>
      <w:bCs/>
    </w:rPr>
  </w:style>
  <w:style w:type="paragraph" w:styleId="60">
    <w:name w:val="Body Text First Indent"/>
    <w:basedOn w:val="24"/>
    <w:next w:val="1"/>
    <w:link w:val="325"/>
    <w:autoRedefine/>
    <w:qFormat/>
    <w:uiPriority w:val="0"/>
    <w:pPr>
      <w:ind w:firstLine="420"/>
    </w:pPr>
    <w:rPr>
      <w:rFonts w:hAnsi="Calibri" w:cs="Times New Roman"/>
      <w:snapToGrid/>
      <w:szCs w:val="20"/>
    </w:rPr>
  </w:style>
  <w:style w:type="paragraph" w:styleId="61">
    <w:name w:val="Body Text First Indent 2"/>
    <w:basedOn w:val="16"/>
    <w:next w:val="62"/>
    <w:link w:val="124"/>
    <w:autoRedefine/>
    <w:qFormat/>
    <w:uiPriority w:val="0"/>
    <w:pPr>
      <w:adjustRightInd/>
      <w:spacing w:after="120" w:line="240" w:lineRule="auto"/>
      <w:ind w:left="420" w:leftChars="200" w:firstLine="210"/>
    </w:pPr>
    <w:rPr>
      <w:sz w:val="21"/>
    </w:rPr>
  </w:style>
  <w:style w:type="paragraph" w:customStyle="1" w:styleId="62">
    <w:name w:val="文章正文"/>
    <w:basedOn w:val="1"/>
    <w:next w:val="63"/>
    <w:autoRedefine/>
    <w:qFormat/>
    <w:uiPriority w:val="0"/>
    <w:pPr>
      <w:spacing w:line="360" w:lineRule="auto"/>
      <w:ind w:firstLine="200" w:firstLineChars="200"/>
    </w:pPr>
    <w:rPr>
      <w:sz w:val="24"/>
    </w:rPr>
  </w:style>
  <w:style w:type="paragraph" w:customStyle="1" w:styleId="63">
    <w:name w:val="公式样式 变量"/>
    <w:qFormat/>
    <w:uiPriority w:val="0"/>
    <w:rPr>
      <w:rFonts w:ascii="Times New Roman" w:hAnsi="Times New Roman" w:eastAsia="宋体" w:cs="Times New Roman"/>
      <w:i/>
      <w:lang w:val="en-US" w:eastAsia="zh-CN" w:bidi="ar-SA"/>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2">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83">
    <w:name w:val="表格文字"/>
    <w:basedOn w:val="84"/>
    <w:next w:val="24"/>
    <w:qFormat/>
    <w:uiPriority w:val="0"/>
    <w:pPr>
      <w:adjustRightInd/>
      <w:ind w:firstLine="200" w:firstLineChars="200"/>
    </w:pPr>
    <w:rPr>
      <w:rFonts w:ascii="Arial" w:hAnsi="Arial"/>
      <w:spacing w:val="-5"/>
      <w:kern w:val="0"/>
      <w:sz w:val="24"/>
      <w:szCs w:val="20"/>
    </w:rPr>
  </w:style>
  <w:style w:type="paragraph" w:customStyle="1" w:styleId="84">
    <w:name w:val="表格文字（两侧对齐）"/>
    <w:basedOn w:val="1"/>
    <w:qFormat/>
    <w:uiPriority w:val="0"/>
    <w:pPr>
      <w:snapToGrid w:val="0"/>
    </w:pPr>
    <w:rPr>
      <w:sz w:val="20"/>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_5e0e5ca1-b4e1-457e-80f2-2690cee78721"/>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_8dd5810d-e720-4d3b-b3cf-402da474d3b2"/>
    <w:qFormat/>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6"/>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5"/>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qFormat/>
    <w:uiPriority w:val="99"/>
    <w:rPr>
      <w:rFonts w:ascii="Times New Roman" w:hAnsi="Times New Roman" w:eastAsia="宋体" w:cs="Times New Roman"/>
      <w:szCs w:val="24"/>
    </w:rPr>
  </w:style>
  <w:style w:type="character" w:customStyle="1" w:styleId="191">
    <w:name w:val="批注框文本 Char"/>
    <w:link w:val="38"/>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9"/>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1"/>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29"/>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_9465c98e-864c-4381-a754-5e6f4f2bf2d9"/>
    <w:autoRedefine/>
    <w:qFormat/>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7"/>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16"/>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_3966ace0-8633-49cf-a38e-2b4897748fc4"/>
    <w:autoRedefine/>
    <w:qFormat/>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2"/>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8"/>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1"/>
    <w:autoRedefine/>
    <w:qFormat/>
    <w:uiPriority w:val="0"/>
    <w:rPr>
      <w:rFonts w:ascii="仿宋_GB2312" w:eastAsia="仿宋_GB2312"/>
      <w:kern w:val="2"/>
      <w:sz w:val="28"/>
    </w:rPr>
  </w:style>
  <w:style w:type="character" w:customStyle="1" w:styleId="302">
    <w:name w:val="文本正文 Char Char"/>
    <w:autoRedefine/>
    <w:qFormat/>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6"/>
    <w:autoRedefine/>
    <w:qFormat/>
    <w:uiPriority w:val="0"/>
    <w:rPr>
      <w:rFonts w:ascii="黑体" w:hAnsi="Courier New" w:eastAsia="黑体"/>
    </w:rPr>
  </w:style>
  <w:style w:type="character" w:customStyle="1" w:styleId="305">
    <w:name w:val="正文文本 2 Char1"/>
    <w:link w:val="55"/>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7"/>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8"/>
    <w:qFormat/>
    <w:uiPriority w:val="0"/>
    <w:rPr>
      <w:b/>
      <w:bCs/>
      <w:kern w:val="2"/>
      <w:sz w:val="24"/>
      <w:szCs w:val="24"/>
    </w:rPr>
  </w:style>
  <w:style w:type="character" w:customStyle="1" w:styleId="311">
    <w:name w:val="正文文本缩进 2 Char"/>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49"/>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324"/>
    <w:link w:val="322"/>
    <w:qFormat/>
    <w:uiPriority w:val="0"/>
    <w:pPr>
      <w:tabs>
        <w:tab w:val="right" w:leader="dot" w:pos="8268"/>
      </w:tabs>
      <w:adjustRightInd/>
    </w:pPr>
    <w:rPr>
      <w:rFonts w:ascii="宋体" w:hAnsi="Courier New"/>
      <w:kern w:val="0"/>
      <w:sz w:val="20"/>
      <w:szCs w:val="20"/>
    </w:rPr>
  </w:style>
  <w:style w:type="paragraph" w:customStyle="1" w:styleId="324">
    <w:name w:val="正文1"/>
    <w:basedOn w:val="31"/>
    <w:autoRedefine/>
    <w:qFormat/>
    <w:uiPriority w:val="0"/>
    <w:pPr>
      <w:ind w:left="0" w:leftChars="0" w:firstLine="480" w:firstLineChars="200"/>
    </w:pPr>
    <w:rPr>
      <w:rFonts w:ascii="仿宋_GB2312" w:hAnsi="Courier New" w:eastAsia="仿宋_GB2312"/>
      <w:kern w:val="28"/>
      <w:sz w:val="24"/>
    </w:rPr>
  </w:style>
  <w:style w:type="character" w:customStyle="1" w:styleId="325">
    <w:name w:val="正文首行缩进 Char"/>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2"/>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qFormat/>
    <w:uiPriority w:val="0"/>
    <w:rPr>
      <w:kern w:val="2"/>
      <w:sz w:val="21"/>
      <w:szCs w:val="24"/>
    </w:rPr>
  </w:style>
  <w:style w:type="character" w:customStyle="1" w:styleId="349">
    <w:name w:val="签名 Char"/>
    <w:link w:val="41"/>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2"/>
    <w:qFormat/>
    <w:uiPriority w:val="0"/>
    <w:rPr>
      <w:kern w:val="2"/>
      <w:sz w:val="24"/>
    </w:rPr>
  </w:style>
  <w:style w:type="character" w:customStyle="1" w:styleId="380">
    <w:name w:val="日期 Char1"/>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39"/>
    <w:qFormat/>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0"/>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5">
    <w:name w:val="gray6"/>
    <w:basedOn w:val="71"/>
    <w:qFormat/>
    <w:uiPriority w:val="0"/>
    <w:rPr>
      <w:rFonts w:ascii="Arial" w:hAnsi="Arial" w:eastAsia="黑体" w:cs="Arial"/>
      <w:snapToGrid w:val="0"/>
      <w:kern w:val="0"/>
      <w:szCs w:val="21"/>
    </w:rPr>
  </w:style>
  <w:style w:type="character" w:customStyle="1" w:styleId="436">
    <w:name w:val="hui"/>
    <w:basedOn w:val="71"/>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autoRedefine/>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outlineLvl w:val="5"/>
    </w:pPr>
  </w:style>
  <w:style w:type="paragraph" w:customStyle="1" w:styleId="478">
    <w:name w:val="5级标题"/>
    <w:basedOn w:val="479"/>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4"/>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4"/>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6"/>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autoRedefine/>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1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5"/>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ind w:left="1680"/>
      <w:outlineLvl w:val="2"/>
    </w:pPr>
  </w:style>
  <w:style w:type="paragraph" w:customStyle="1" w:styleId="661">
    <w:name w:val="章标题"/>
    <w:next w:val="6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1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3"/>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autoRedefine/>
    <w:qFormat/>
    <w:uiPriority w:val="0"/>
    <w:pPr>
      <w:tabs>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7"/>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9"/>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1"/>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1"/>
    <w:autoRedefine/>
    <w:qFormat/>
    <w:uiPriority w:val="0"/>
    <w:rPr>
      <w:b w:val="0"/>
      <w:sz w:val="20"/>
    </w:rPr>
  </w:style>
  <w:style w:type="paragraph" w:customStyle="1" w:styleId="8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7"/>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autoRedefine/>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7"/>
    <w:qFormat/>
    <w:uiPriority w:val="0"/>
    <w:rPr>
      <w:kern w:val="2"/>
      <w:sz w:val="21"/>
      <w:szCs w:val="24"/>
      <w:lang w:val="zh-CN"/>
    </w:rPr>
  </w:style>
  <w:style w:type="character" w:customStyle="1" w:styleId="934">
    <w:name w:val="无间隔 Char"/>
    <w:link w:val="487"/>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Heading1"/>
    <w:basedOn w:val="1"/>
    <w:next w:val="1"/>
    <w:autoRedefine/>
    <w:qFormat/>
    <w:uiPriority w:val="0"/>
    <w:pPr>
      <w:keepNext/>
      <w:keepLines/>
      <w:spacing w:before="340" w:after="330" w:line="576" w:lineRule="auto"/>
      <w:textAlignment w:val="baseline"/>
    </w:pPr>
    <w:rPr>
      <w:b/>
      <w:bCs/>
      <w:kern w:val="44"/>
      <w:sz w:val="44"/>
      <w:szCs w:val="44"/>
    </w:rPr>
  </w:style>
  <w:style w:type="paragraph" w:customStyle="1" w:styleId="966">
    <w:name w:val="纯文本3"/>
    <w:basedOn w:val="967"/>
    <w:autoRedefine/>
    <w:qFormat/>
    <w:uiPriority w:val="0"/>
    <w:pPr>
      <w:widowControl/>
      <w:jc w:val="left"/>
    </w:pPr>
    <w:rPr>
      <w:rFonts w:ascii="宋体" w:hAnsi="Courier New"/>
    </w:rPr>
  </w:style>
  <w:style w:type="paragraph" w:customStyle="1" w:styleId="967">
    <w:name w:val="正文7"/>
    <w:qFormat/>
    <w:uiPriority w:val="0"/>
    <w:pPr>
      <w:widowControl w:val="0"/>
      <w:jc w:val="both"/>
    </w:pPr>
    <w:rPr>
      <w:rFonts w:hint="eastAsia" w:ascii="Calibri" w:hAnsi="Calibri" w:eastAsia="宋体" w:cs="Times New Roman"/>
      <w:kern w:val="2"/>
      <w:sz w:val="21"/>
      <w:lang w:val="en-US" w:eastAsia="zh-CN" w:bidi="ar-SA"/>
    </w:rPr>
  </w:style>
  <w:style w:type="paragraph" w:customStyle="1" w:styleId="968">
    <w:name w:val="列出段落6"/>
    <w:basedOn w:val="1"/>
    <w:autoRedefine/>
    <w:qFormat/>
    <w:uiPriority w:val="99"/>
    <w:pPr>
      <w:widowControl/>
      <w:ind w:firstLine="420" w:firstLineChars="200"/>
      <w:jc w:val="left"/>
    </w:pPr>
    <w:rPr>
      <w:rFonts w:ascii="Calibri" w:hAnsi="Calibri" w:cs="Calibri"/>
      <w:szCs w:val="21"/>
    </w:rPr>
  </w:style>
  <w:style w:type="character" w:customStyle="1" w:styleId="969">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970">
    <w:name w:val="ZQ正文"/>
    <w:basedOn w:val="1"/>
    <w:autoRedefine/>
    <w:qFormat/>
    <w:uiPriority w:val="0"/>
    <w:pPr>
      <w:spacing w:line="360" w:lineRule="auto"/>
      <w:ind w:firstLine="200" w:firstLineChars="200"/>
    </w:pPr>
    <w:rPr>
      <w:rFonts w:ascii="Calibri" w:hAnsi="Calibri"/>
      <w:sz w:val="24"/>
    </w:rPr>
  </w:style>
  <w:style w:type="paragraph" w:customStyle="1" w:styleId="971">
    <w:name w:val="Body Text First Indent 21"/>
    <w:basedOn w:val="1"/>
    <w:qFormat/>
    <w:uiPriority w:val="0"/>
    <w:pPr>
      <w:adjustRightInd/>
      <w:spacing w:after="120"/>
      <w:ind w:left="420" w:leftChars="200" w:firstLine="420" w:firstLineChars="200"/>
    </w:pPr>
  </w:style>
  <w:style w:type="character" w:customStyle="1" w:styleId="972">
    <w:name w:val="Anrede1IhrZeichen"/>
    <w:qFormat/>
    <w:uiPriority w:val="0"/>
    <w:rPr>
      <w:rFonts w:hint="default" w:ascii="Arial" w:hAnsi="Arial" w:eastAsia="宋体" w:cs="Times New Roman"/>
      <w:sz w:val="20"/>
    </w:rPr>
  </w:style>
  <w:style w:type="paragraph" w:customStyle="1" w:styleId="973">
    <w:name w:val="正文首行缩进 21"/>
    <w:basedOn w:val="974"/>
    <w:next w:val="1"/>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974">
    <w:name w:val="正文文本缩进111"/>
    <w:basedOn w:val="1"/>
    <w:qFormat/>
    <w:uiPriority w:val="99"/>
    <w:pPr>
      <w:spacing w:after="120"/>
      <w:ind w:left="420" w:leftChars="200"/>
    </w:pPr>
    <w:rPr>
      <w:rFonts w:cs="黑体"/>
    </w:rPr>
  </w:style>
  <w:style w:type="paragraph" w:customStyle="1" w:styleId="975">
    <w:name w:val="*Body Text"/>
    <w:qFormat/>
    <w:uiPriority w:val="0"/>
    <w:pPr>
      <w:spacing w:line="360" w:lineRule="auto"/>
    </w:pPr>
    <w:rPr>
      <w:rFonts w:ascii="Futura Lt" w:hAnsi="Futura Lt" w:cs="Futura Lt" w:eastAsiaTheme="minorEastAsia"/>
      <w:kern w:val="2"/>
      <w:sz w:val="21"/>
      <w:szCs w:val="21"/>
      <w:lang w:val="en-US" w:eastAsia="en-US" w:bidi="ar-SA"/>
    </w:rPr>
  </w:style>
  <w:style w:type="paragraph" w:customStyle="1" w:styleId="976">
    <w:name w:val="!表格正文"/>
    <w:basedOn w:val="1"/>
    <w:qFormat/>
    <w:uiPriority w:val="0"/>
    <w:pPr>
      <w:ind w:firstLine="0" w:firstLineChars="0"/>
    </w:pPr>
    <w:rPr>
      <w:rFonts w:ascii="Calibri" w:hAnsi="Calibri" w:cs="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23738</Words>
  <Characters>27210</Characters>
  <Paragraphs>2162</Paragraphs>
  <TotalTime>2</TotalTime>
  <ScaleCrop>false</ScaleCrop>
  <LinksUpToDate>false</LinksUpToDate>
  <CharactersWithSpaces>27631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2024-03-27T09:01:00Z</dcterms:created>
  <dc:creator>玥</dc:creator>
  <cp:lastModifiedBy>晨曦</cp:lastModifiedBy>
  <cp:lastPrinted>2021-12-27T03:06:00Z</cp:lastPrinted>
  <dcterms:modified xsi:type="dcterms:W3CDTF">2025-07-17T03:03:40Z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14B786716B554611ABCF39C0D970F3B0_13</vt:lpwstr>
  </property>
  <property fmtid="{D5CDD505-2E9C-101B-9397-08002B2CF9AE}" pid="5" name="KSOTemplateDocerSaveRecord">
    <vt:lpwstr>eyJoZGlkIjoiNmE5ODE4ZmFmYTJiYjg0ZTVjOTUzOTExNWRkOGJlZjAiLCJ1c2VySWQiOiIzMzk1MTg2MjQifQ==</vt:lpwstr>
  </property>
</Properties>
</file>