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A63CF"/>
    <w:p w14:paraId="6B840960"/>
    <w:p w14:paraId="1FFFCEC8"/>
    <w:p w14:paraId="2004B8E0">
      <w:pPr>
        <w:jc w:val="center"/>
        <w:rPr>
          <w:b/>
          <w:bCs/>
          <w:sz w:val="48"/>
          <w:szCs w:val="48"/>
        </w:rPr>
      </w:pPr>
      <w:r>
        <w:rPr>
          <w:rFonts w:hint="eastAsia"/>
          <w:b/>
          <w:bCs/>
          <w:sz w:val="48"/>
          <w:szCs w:val="48"/>
        </w:rPr>
        <w:t>湖州职业技术学院虚拟仿真实训教学管理平台等软件采购项目</w:t>
      </w:r>
    </w:p>
    <w:p w14:paraId="5C52D491">
      <w:pPr>
        <w:jc w:val="center"/>
        <w:rPr>
          <w:b/>
          <w:bCs/>
          <w:sz w:val="32"/>
          <w:szCs w:val="32"/>
        </w:rPr>
      </w:pPr>
      <w:r>
        <w:rPr>
          <w:rFonts w:hint="eastAsia"/>
          <w:b/>
          <w:bCs/>
          <w:sz w:val="28"/>
          <w:szCs w:val="28"/>
        </w:rPr>
        <w:t>（财政审批编号：[2025]7664号、[2025]7665号、[2025]7666号 ）</w:t>
      </w:r>
    </w:p>
    <w:p w14:paraId="525A2897">
      <w:pPr>
        <w:jc w:val="center"/>
        <w:rPr>
          <w:b/>
          <w:bCs/>
          <w:sz w:val="32"/>
          <w:szCs w:val="32"/>
        </w:rPr>
      </w:pPr>
    </w:p>
    <w:p w14:paraId="52B3E917">
      <w:pPr>
        <w:jc w:val="center"/>
        <w:rPr>
          <w:b/>
          <w:bCs/>
          <w:sz w:val="32"/>
          <w:szCs w:val="32"/>
        </w:rPr>
      </w:pPr>
    </w:p>
    <w:p w14:paraId="49F439F1">
      <w:pPr>
        <w:jc w:val="center"/>
        <w:rPr>
          <w:b/>
          <w:bCs/>
          <w:sz w:val="32"/>
          <w:szCs w:val="32"/>
        </w:rPr>
      </w:pPr>
    </w:p>
    <w:p w14:paraId="398052B5">
      <w:pPr>
        <w:jc w:val="center"/>
        <w:rPr>
          <w:b/>
          <w:bCs/>
          <w:sz w:val="72"/>
          <w:szCs w:val="72"/>
        </w:rPr>
      </w:pPr>
      <w:r>
        <w:rPr>
          <w:rFonts w:hint="eastAsia"/>
          <w:b/>
          <w:bCs/>
          <w:sz w:val="72"/>
          <w:szCs w:val="72"/>
        </w:rPr>
        <w:t>公开采购文件</w:t>
      </w:r>
    </w:p>
    <w:p w14:paraId="4CA2294F">
      <w:pPr>
        <w:jc w:val="center"/>
        <w:rPr>
          <w:sz w:val="30"/>
          <w:szCs w:val="30"/>
        </w:rPr>
      </w:pPr>
      <w:r>
        <w:rPr>
          <w:rFonts w:hint="eastAsia"/>
          <w:sz w:val="30"/>
          <w:szCs w:val="30"/>
        </w:rPr>
        <w:t>（全流程电子）</w:t>
      </w:r>
    </w:p>
    <w:p w14:paraId="13ED04DF">
      <w:pPr>
        <w:jc w:val="center"/>
        <w:rPr>
          <w:sz w:val="30"/>
          <w:szCs w:val="30"/>
        </w:rPr>
      </w:pPr>
    </w:p>
    <w:p w14:paraId="74EA102B">
      <w:pPr>
        <w:jc w:val="center"/>
        <w:rPr>
          <w:sz w:val="30"/>
          <w:szCs w:val="30"/>
        </w:rPr>
      </w:pPr>
    </w:p>
    <w:p w14:paraId="5F35137D">
      <w:pPr>
        <w:rPr>
          <w:sz w:val="30"/>
          <w:szCs w:val="30"/>
        </w:rPr>
      </w:pPr>
    </w:p>
    <w:p w14:paraId="0D482AE8">
      <w:pPr>
        <w:rPr>
          <w:sz w:val="30"/>
          <w:szCs w:val="30"/>
        </w:rPr>
      </w:pPr>
    </w:p>
    <w:p w14:paraId="47FE6A25">
      <w:pPr>
        <w:rPr>
          <w:sz w:val="30"/>
          <w:szCs w:val="30"/>
        </w:rPr>
      </w:pPr>
    </w:p>
    <w:p w14:paraId="0DA39807">
      <w:pPr>
        <w:rPr>
          <w:sz w:val="28"/>
          <w:szCs w:val="28"/>
          <w:u w:val="single"/>
        </w:rPr>
      </w:pPr>
      <w:r>
        <w:rPr>
          <w:rFonts w:hint="eastAsia"/>
          <w:sz w:val="28"/>
          <w:szCs w:val="28"/>
        </w:rPr>
        <w:t>项目编号：</w:t>
      </w:r>
      <w:r>
        <w:rPr>
          <w:rFonts w:hint="eastAsia"/>
          <w:sz w:val="28"/>
          <w:szCs w:val="28"/>
          <w:u w:val="single"/>
          <w:lang w:eastAsia="zh-CN"/>
        </w:rPr>
        <w:t>CTZB-2025060537</w:t>
      </w:r>
      <w:r>
        <w:rPr>
          <w:sz w:val="28"/>
          <w:szCs w:val="28"/>
          <w:u w:val="single"/>
        </w:rPr>
        <w:t xml:space="preserve">         </w:t>
      </w:r>
      <w:r>
        <w:rPr>
          <w:rFonts w:hint="eastAsia"/>
          <w:sz w:val="28"/>
          <w:szCs w:val="28"/>
          <w:u w:val="single"/>
        </w:rPr>
        <w:t xml:space="preserve"> </w:t>
      </w:r>
    </w:p>
    <w:p w14:paraId="7ABF9BE2">
      <w:pPr>
        <w:rPr>
          <w:sz w:val="28"/>
          <w:szCs w:val="28"/>
          <w:u w:val="single"/>
        </w:rPr>
      </w:pPr>
      <w:r>
        <w:rPr>
          <w:rFonts w:hint="eastAsia"/>
          <w:sz w:val="28"/>
          <w:szCs w:val="28"/>
        </w:rPr>
        <w:t>项目名称：</w:t>
      </w:r>
      <w:r>
        <w:rPr>
          <w:sz w:val="28"/>
          <w:szCs w:val="28"/>
          <w:u w:val="single"/>
        </w:rPr>
        <w:t xml:space="preserve"> </w:t>
      </w:r>
      <w:r>
        <w:rPr>
          <w:rFonts w:hint="eastAsia"/>
          <w:sz w:val="28"/>
          <w:szCs w:val="28"/>
          <w:u w:val="single"/>
        </w:rPr>
        <w:t xml:space="preserve">湖州职业技术学院虚拟仿真实训教学管理平台等软件采购项目 </w:t>
      </w:r>
      <w:r>
        <w:rPr>
          <w:sz w:val="28"/>
          <w:szCs w:val="28"/>
          <w:u w:val="single"/>
        </w:rPr>
        <w:t xml:space="preserve">     </w:t>
      </w:r>
    </w:p>
    <w:p w14:paraId="2D6C5C9C">
      <w:pPr>
        <w:rPr>
          <w:sz w:val="28"/>
          <w:szCs w:val="28"/>
        </w:rPr>
      </w:pPr>
      <w:r>
        <w:rPr>
          <w:rFonts w:hint="eastAsia"/>
          <w:sz w:val="28"/>
          <w:szCs w:val="28"/>
        </w:rPr>
        <w:t>采 购 人：</w:t>
      </w:r>
      <w:r>
        <w:rPr>
          <w:rFonts w:hint="eastAsia"/>
          <w:sz w:val="28"/>
          <w:szCs w:val="28"/>
          <w:u w:val="single"/>
        </w:rPr>
        <w:t xml:space="preserve"> 湖州职业技术学院 </w:t>
      </w:r>
      <w:r>
        <w:rPr>
          <w:sz w:val="28"/>
          <w:szCs w:val="28"/>
          <w:u w:val="single"/>
        </w:rPr>
        <w:t xml:space="preserve">         </w:t>
      </w:r>
      <w:r>
        <w:rPr>
          <w:rFonts w:hint="eastAsia"/>
          <w:sz w:val="28"/>
          <w:szCs w:val="28"/>
          <w:u w:val="single"/>
        </w:rPr>
        <w:t xml:space="preserve">                    （盖章）</w:t>
      </w:r>
    </w:p>
    <w:p w14:paraId="3F840D57">
      <w:pPr>
        <w:rPr>
          <w:sz w:val="28"/>
          <w:szCs w:val="28"/>
        </w:rPr>
      </w:pPr>
      <w:r>
        <w:rPr>
          <w:rFonts w:hint="eastAsia"/>
          <w:sz w:val="28"/>
          <w:szCs w:val="28"/>
        </w:rPr>
        <w:t>代理机构：</w:t>
      </w:r>
      <w:r>
        <w:rPr>
          <w:rFonts w:hint="eastAsia"/>
          <w:sz w:val="28"/>
          <w:szCs w:val="28"/>
          <w:u w:val="single"/>
        </w:rPr>
        <w:t xml:space="preserve"> 浙江省成套招标代理有限公司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（盖章）</w:t>
      </w:r>
    </w:p>
    <w:p w14:paraId="4C020658">
      <w:pPr>
        <w:jc w:val="center"/>
        <w:rPr>
          <w:sz w:val="30"/>
          <w:szCs w:val="30"/>
        </w:rPr>
      </w:pPr>
      <w:r>
        <w:rPr>
          <w:rFonts w:hint="eastAsia"/>
          <w:sz w:val="30"/>
          <w:szCs w:val="30"/>
        </w:rPr>
        <w:t>2025年6月</w:t>
      </w:r>
    </w:p>
    <w:sdt>
      <w:sdtPr>
        <w:rPr>
          <w:rFonts w:ascii="宋体" w:hAnsi="宋体" w:eastAsia="宋体" w:cstheme="minorBidi"/>
          <w:color w:val="auto"/>
          <w:kern w:val="2"/>
          <w:sz w:val="24"/>
          <w:szCs w:val="22"/>
          <w:lang w:val="zh-CN"/>
        </w:rPr>
        <w:id w:val="443736178"/>
        <w:docPartObj>
          <w:docPartGallery w:val="Table of Contents"/>
          <w:docPartUnique/>
        </w:docPartObj>
      </w:sdtPr>
      <w:sdtEndPr>
        <w:rPr>
          <w:rFonts w:ascii="宋体" w:hAnsi="宋体" w:eastAsia="宋体" w:cstheme="minorBidi"/>
          <w:b/>
          <w:bCs/>
          <w:color w:val="auto"/>
          <w:kern w:val="2"/>
          <w:sz w:val="24"/>
          <w:szCs w:val="22"/>
          <w:lang w:val="zh-CN"/>
        </w:rPr>
      </w:sdtEndPr>
      <w:sdtContent>
        <w:p w14:paraId="4D572909">
          <w:pPr>
            <w:pStyle w:val="39"/>
            <w:jc w:val="center"/>
            <w:rPr>
              <w:rFonts w:ascii="宋体" w:hAnsi="宋体" w:eastAsia="宋体"/>
              <w:color w:val="auto"/>
              <w:sz w:val="44"/>
              <w:szCs w:val="44"/>
            </w:rPr>
          </w:pPr>
          <w:r>
            <w:rPr>
              <w:rFonts w:ascii="宋体" w:hAnsi="宋体" w:eastAsia="宋体"/>
              <w:color w:val="auto"/>
              <w:sz w:val="44"/>
              <w:szCs w:val="44"/>
              <w:lang w:val="zh-CN"/>
            </w:rPr>
            <w:t>目</w:t>
          </w:r>
          <w:r>
            <w:rPr>
              <w:rFonts w:hint="eastAsia" w:ascii="宋体" w:hAnsi="宋体" w:eastAsia="宋体"/>
              <w:color w:val="auto"/>
              <w:sz w:val="44"/>
              <w:szCs w:val="44"/>
              <w:lang w:val="zh-CN"/>
            </w:rPr>
            <w:t xml:space="preserve"> </w:t>
          </w:r>
          <w:r>
            <w:rPr>
              <w:rFonts w:ascii="宋体" w:hAnsi="宋体" w:eastAsia="宋体"/>
              <w:color w:val="auto"/>
              <w:sz w:val="44"/>
              <w:szCs w:val="44"/>
              <w:lang w:val="zh-CN"/>
            </w:rPr>
            <w:t xml:space="preserve"> 录</w:t>
          </w:r>
        </w:p>
        <w:p w14:paraId="76018450">
          <w:pPr>
            <w:pStyle w:val="15"/>
            <w:tabs>
              <w:tab w:val="right" w:leader="dot" w:pos="9060"/>
            </w:tabs>
            <w:rPr>
              <w:sz w:val="28"/>
              <w:szCs w:val="28"/>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"_Toc130455797" </w:instrText>
          </w:r>
          <w:r>
            <w:fldChar w:fldCharType="separate"/>
          </w:r>
          <w:r>
            <w:rPr>
              <w:rStyle w:val="24"/>
              <w:sz w:val="28"/>
              <w:szCs w:val="28"/>
            </w:rPr>
            <w:t>第一章 公开招标采购公告</w:t>
          </w:r>
          <w:r>
            <w:rPr>
              <w:sz w:val="28"/>
              <w:szCs w:val="28"/>
            </w:rPr>
            <w:tab/>
          </w:r>
          <w:r>
            <w:rPr>
              <w:sz w:val="28"/>
              <w:szCs w:val="28"/>
            </w:rPr>
            <w:fldChar w:fldCharType="begin"/>
          </w:r>
          <w:r>
            <w:rPr>
              <w:sz w:val="28"/>
              <w:szCs w:val="28"/>
            </w:rPr>
            <w:instrText xml:space="preserve"> PAGEREF _Toc130455797 \h </w:instrText>
          </w:r>
          <w:r>
            <w:rPr>
              <w:sz w:val="28"/>
              <w:szCs w:val="28"/>
            </w:rPr>
            <w:fldChar w:fldCharType="separate"/>
          </w:r>
          <w:r>
            <w:rPr>
              <w:sz w:val="28"/>
              <w:szCs w:val="28"/>
            </w:rPr>
            <w:t>1</w:t>
          </w:r>
          <w:r>
            <w:rPr>
              <w:sz w:val="28"/>
              <w:szCs w:val="28"/>
            </w:rPr>
            <w:fldChar w:fldCharType="end"/>
          </w:r>
          <w:r>
            <w:rPr>
              <w:sz w:val="28"/>
              <w:szCs w:val="28"/>
            </w:rPr>
            <w:fldChar w:fldCharType="end"/>
          </w:r>
        </w:p>
        <w:p w14:paraId="4B7C3077">
          <w:pPr>
            <w:pStyle w:val="15"/>
            <w:tabs>
              <w:tab w:val="right" w:leader="dot" w:pos="9060"/>
            </w:tabs>
            <w:rPr>
              <w:sz w:val="28"/>
              <w:szCs w:val="28"/>
            </w:rPr>
          </w:pPr>
          <w:r>
            <w:fldChar w:fldCharType="begin"/>
          </w:r>
          <w:r>
            <w:instrText xml:space="preserve"> HYPERLINK \l "_Toc130455798" </w:instrText>
          </w:r>
          <w:r>
            <w:fldChar w:fldCharType="separate"/>
          </w:r>
          <w:r>
            <w:rPr>
              <w:rStyle w:val="24"/>
              <w:sz w:val="28"/>
              <w:szCs w:val="28"/>
            </w:rPr>
            <w:t>第二章 采购需求</w:t>
          </w:r>
          <w:r>
            <w:rPr>
              <w:sz w:val="28"/>
              <w:szCs w:val="28"/>
            </w:rPr>
            <w:tab/>
          </w:r>
          <w:r>
            <w:rPr>
              <w:sz w:val="28"/>
              <w:szCs w:val="28"/>
            </w:rPr>
            <w:fldChar w:fldCharType="begin"/>
          </w:r>
          <w:r>
            <w:rPr>
              <w:sz w:val="28"/>
              <w:szCs w:val="28"/>
            </w:rPr>
            <w:instrText xml:space="preserve"> PAGEREF _Toc130455798 \h </w:instrText>
          </w:r>
          <w:r>
            <w:rPr>
              <w:sz w:val="28"/>
              <w:szCs w:val="28"/>
            </w:rPr>
            <w:fldChar w:fldCharType="separate"/>
          </w:r>
          <w:r>
            <w:rPr>
              <w:sz w:val="28"/>
              <w:szCs w:val="28"/>
            </w:rPr>
            <w:t>6</w:t>
          </w:r>
          <w:r>
            <w:rPr>
              <w:sz w:val="28"/>
              <w:szCs w:val="28"/>
            </w:rPr>
            <w:fldChar w:fldCharType="end"/>
          </w:r>
          <w:r>
            <w:rPr>
              <w:sz w:val="28"/>
              <w:szCs w:val="28"/>
            </w:rPr>
            <w:fldChar w:fldCharType="end"/>
          </w:r>
        </w:p>
        <w:p w14:paraId="3587E82D">
          <w:pPr>
            <w:pStyle w:val="15"/>
            <w:tabs>
              <w:tab w:val="right" w:leader="dot" w:pos="9060"/>
            </w:tabs>
            <w:rPr>
              <w:sz w:val="28"/>
              <w:szCs w:val="28"/>
            </w:rPr>
          </w:pPr>
          <w:r>
            <w:fldChar w:fldCharType="begin"/>
          </w:r>
          <w:r>
            <w:instrText xml:space="preserve"> HYPERLINK \l "_Toc130455799" </w:instrText>
          </w:r>
          <w:r>
            <w:fldChar w:fldCharType="separate"/>
          </w:r>
          <w:r>
            <w:rPr>
              <w:rStyle w:val="24"/>
              <w:sz w:val="28"/>
              <w:szCs w:val="28"/>
            </w:rPr>
            <w:t>第三章 供应商须知</w:t>
          </w:r>
          <w:r>
            <w:rPr>
              <w:sz w:val="28"/>
              <w:szCs w:val="28"/>
            </w:rPr>
            <w:tab/>
          </w:r>
          <w:r>
            <w:rPr>
              <w:sz w:val="28"/>
              <w:szCs w:val="28"/>
            </w:rPr>
            <w:fldChar w:fldCharType="begin"/>
          </w:r>
          <w:r>
            <w:rPr>
              <w:sz w:val="28"/>
              <w:szCs w:val="28"/>
            </w:rPr>
            <w:instrText xml:space="preserve"> PAGEREF _Toc130455799 \h </w:instrText>
          </w:r>
          <w:r>
            <w:rPr>
              <w:sz w:val="28"/>
              <w:szCs w:val="28"/>
            </w:rPr>
            <w:fldChar w:fldCharType="separate"/>
          </w:r>
          <w:r>
            <w:rPr>
              <w:sz w:val="28"/>
              <w:szCs w:val="28"/>
            </w:rPr>
            <w:t>11</w:t>
          </w:r>
          <w:r>
            <w:rPr>
              <w:sz w:val="28"/>
              <w:szCs w:val="28"/>
            </w:rPr>
            <w:fldChar w:fldCharType="end"/>
          </w:r>
          <w:r>
            <w:rPr>
              <w:sz w:val="28"/>
              <w:szCs w:val="28"/>
            </w:rPr>
            <w:fldChar w:fldCharType="end"/>
          </w:r>
        </w:p>
        <w:p w14:paraId="5508F7C9">
          <w:pPr>
            <w:pStyle w:val="17"/>
            <w:tabs>
              <w:tab w:val="right" w:leader="dot" w:pos="9060"/>
            </w:tabs>
            <w:ind w:left="480"/>
            <w:rPr>
              <w:sz w:val="28"/>
              <w:szCs w:val="28"/>
            </w:rPr>
          </w:pPr>
          <w:r>
            <w:fldChar w:fldCharType="begin"/>
          </w:r>
          <w:r>
            <w:instrText xml:space="preserve"> HYPERLINK \l "_Toc130455800" </w:instrText>
          </w:r>
          <w:r>
            <w:fldChar w:fldCharType="separate"/>
          </w:r>
          <w:r>
            <w:rPr>
              <w:rStyle w:val="24"/>
              <w:sz w:val="28"/>
              <w:szCs w:val="28"/>
            </w:rPr>
            <w:t>前附表</w:t>
          </w:r>
          <w:r>
            <w:rPr>
              <w:sz w:val="28"/>
              <w:szCs w:val="28"/>
            </w:rPr>
            <w:tab/>
          </w:r>
          <w:r>
            <w:rPr>
              <w:sz w:val="28"/>
              <w:szCs w:val="28"/>
            </w:rPr>
            <w:fldChar w:fldCharType="begin"/>
          </w:r>
          <w:r>
            <w:rPr>
              <w:sz w:val="28"/>
              <w:szCs w:val="28"/>
            </w:rPr>
            <w:instrText xml:space="preserve"> PAGEREF _Toc130455800 \h </w:instrText>
          </w:r>
          <w:r>
            <w:rPr>
              <w:sz w:val="28"/>
              <w:szCs w:val="28"/>
            </w:rPr>
            <w:fldChar w:fldCharType="separate"/>
          </w:r>
          <w:r>
            <w:rPr>
              <w:sz w:val="28"/>
              <w:szCs w:val="28"/>
            </w:rPr>
            <w:t>11</w:t>
          </w:r>
          <w:r>
            <w:rPr>
              <w:sz w:val="28"/>
              <w:szCs w:val="28"/>
            </w:rPr>
            <w:fldChar w:fldCharType="end"/>
          </w:r>
          <w:r>
            <w:rPr>
              <w:sz w:val="28"/>
              <w:szCs w:val="28"/>
            </w:rPr>
            <w:fldChar w:fldCharType="end"/>
          </w:r>
        </w:p>
        <w:p w14:paraId="5410E7B5">
          <w:pPr>
            <w:pStyle w:val="17"/>
            <w:tabs>
              <w:tab w:val="right" w:leader="dot" w:pos="9060"/>
            </w:tabs>
            <w:ind w:left="480"/>
            <w:rPr>
              <w:sz w:val="28"/>
              <w:szCs w:val="28"/>
            </w:rPr>
          </w:pPr>
          <w:r>
            <w:fldChar w:fldCharType="begin"/>
          </w:r>
          <w:r>
            <w:instrText xml:space="preserve"> HYPERLINK \l "_Toc130455801" </w:instrText>
          </w:r>
          <w:r>
            <w:fldChar w:fldCharType="separate"/>
          </w:r>
          <w:r>
            <w:rPr>
              <w:rStyle w:val="24"/>
              <w:sz w:val="28"/>
              <w:szCs w:val="28"/>
            </w:rPr>
            <w:t>一、总则</w:t>
          </w:r>
          <w:r>
            <w:rPr>
              <w:sz w:val="28"/>
              <w:szCs w:val="28"/>
            </w:rPr>
            <w:tab/>
          </w:r>
          <w:r>
            <w:rPr>
              <w:sz w:val="28"/>
              <w:szCs w:val="28"/>
            </w:rPr>
            <w:fldChar w:fldCharType="begin"/>
          </w:r>
          <w:r>
            <w:rPr>
              <w:sz w:val="28"/>
              <w:szCs w:val="28"/>
            </w:rPr>
            <w:instrText xml:space="preserve"> PAGEREF _Toc130455801 \h </w:instrText>
          </w:r>
          <w:r>
            <w:rPr>
              <w:sz w:val="28"/>
              <w:szCs w:val="28"/>
            </w:rPr>
            <w:fldChar w:fldCharType="separate"/>
          </w:r>
          <w:r>
            <w:rPr>
              <w:sz w:val="28"/>
              <w:szCs w:val="28"/>
            </w:rPr>
            <w:t>14</w:t>
          </w:r>
          <w:r>
            <w:rPr>
              <w:sz w:val="28"/>
              <w:szCs w:val="28"/>
            </w:rPr>
            <w:fldChar w:fldCharType="end"/>
          </w:r>
          <w:r>
            <w:rPr>
              <w:sz w:val="28"/>
              <w:szCs w:val="28"/>
            </w:rPr>
            <w:fldChar w:fldCharType="end"/>
          </w:r>
        </w:p>
        <w:p w14:paraId="63B8CCB6">
          <w:pPr>
            <w:pStyle w:val="17"/>
            <w:tabs>
              <w:tab w:val="right" w:leader="dot" w:pos="9060"/>
            </w:tabs>
            <w:ind w:left="480"/>
            <w:rPr>
              <w:sz w:val="28"/>
              <w:szCs w:val="28"/>
            </w:rPr>
          </w:pPr>
          <w:r>
            <w:fldChar w:fldCharType="begin"/>
          </w:r>
          <w:r>
            <w:instrText xml:space="preserve"> HYPERLINK \l "_Toc130455802" </w:instrText>
          </w:r>
          <w:r>
            <w:fldChar w:fldCharType="separate"/>
          </w:r>
          <w:r>
            <w:rPr>
              <w:rStyle w:val="24"/>
              <w:sz w:val="28"/>
              <w:szCs w:val="28"/>
            </w:rPr>
            <w:t>二、采购文件</w:t>
          </w:r>
          <w:r>
            <w:rPr>
              <w:sz w:val="28"/>
              <w:szCs w:val="28"/>
            </w:rPr>
            <w:tab/>
          </w:r>
          <w:r>
            <w:rPr>
              <w:sz w:val="28"/>
              <w:szCs w:val="28"/>
            </w:rPr>
            <w:fldChar w:fldCharType="begin"/>
          </w:r>
          <w:r>
            <w:rPr>
              <w:sz w:val="28"/>
              <w:szCs w:val="28"/>
            </w:rPr>
            <w:instrText xml:space="preserve"> PAGEREF _Toc130455802 \h </w:instrText>
          </w:r>
          <w:r>
            <w:rPr>
              <w:sz w:val="28"/>
              <w:szCs w:val="28"/>
            </w:rPr>
            <w:fldChar w:fldCharType="separate"/>
          </w:r>
          <w:r>
            <w:rPr>
              <w:sz w:val="28"/>
              <w:szCs w:val="28"/>
            </w:rPr>
            <w:t>18</w:t>
          </w:r>
          <w:r>
            <w:rPr>
              <w:sz w:val="28"/>
              <w:szCs w:val="28"/>
            </w:rPr>
            <w:fldChar w:fldCharType="end"/>
          </w:r>
          <w:r>
            <w:rPr>
              <w:sz w:val="28"/>
              <w:szCs w:val="28"/>
            </w:rPr>
            <w:fldChar w:fldCharType="end"/>
          </w:r>
        </w:p>
        <w:p w14:paraId="7A7AD4A3">
          <w:pPr>
            <w:pStyle w:val="17"/>
            <w:tabs>
              <w:tab w:val="right" w:leader="dot" w:pos="9060"/>
            </w:tabs>
            <w:ind w:left="480"/>
            <w:rPr>
              <w:sz w:val="28"/>
              <w:szCs w:val="28"/>
            </w:rPr>
          </w:pPr>
          <w:r>
            <w:fldChar w:fldCharType="begin"/>
          </w:r>
          <w:r>
            <w:instrText xml:space="preserve"> HYPERLINK \l "_Toc130455803" </w:instrText>
          </w:r>
          <w:r>
            <w:fldChar w:fldCharType="separate"/>
          </w:r>
          <w:r>
            <w:rPr>
              <w:rStyle w:val="24"/>
              <w:sz w:val="28"/>
              <w:szCs w:val="28"/>
            </w:rPr>
            <w:t>三、投标文件的编制要求</w:t>
          </w:r>
          <w:r>
            <w:rPr>
              <w:sz w:val="28"/>
              <w:szCs w:val="28"/>
            </w:rPr>
            <w:tab/>
          </w:r>
          <w:r>
            <w:rPr>
              <w:sz w:val="28"/>
              <w:szCs w:val="28"/>
            </w:rPr>
            <w:fldChar w:fldCharType="begin"/>
          </w:r>
          <w:r>
            <w:rPr>
              <w:sz w:val="28"/>
              <w:szCs w:val="28"/>
            </w:rPr>
            <w:instrText xml:space="preserve"> PAGEREF _Toc130455803 \h </w:instrText>
          </w:r>
          <w:r>
            <w:rPr>
              <w:sz w:val="28"/>
              <w:szCs w:val="28"/>
            </w:rPr>
            <w:fldChar w:fldCharType="separate"/>
          </w:r>
          <w:r>
            <w:rPr>
              <w:sz w:val="28"/>
              <w:szCs w:val="28"/>
            </w:rPr>
            <w:t>19</w:t>
          </w:r>
          <w:r>
            <w:rPr>
              <w:sz w:val="28"/>
              <w:szCs w:val="28"/>
            </w:rPr>
            <w:fldChar w:fldCharType="end"/>
          </w:r>
          <w:r>
            <w:rPr>
              <w:sz w:val="28"/>
              <w:szCs w:val="28"/>
            </w:rPr>
            <w:fldChar w:fldCharType="end"/>
          </w:r>
        </w:p>
        <w:p w14:paraId="7ED6FA99">
          <w:pPr>
            <w:pStyle w:val="17"/>
            <w:tabs>
              <w:tab w:val="right" w:leader="dot" w:pos="9060"/>
            </w:tabs>
            <w:ind w:left="480"/>
            <w:rPr>
              <w:sz w:val="28"/>
              <w:szCs w:val="28"/>
            </w:rPr>
          </w:pPr>
          <w:r>
            <w:fldChar w:fldCharType="begin"/>
          </w:r>
          <w:r>
            <w:instrText xml:space="preserve"> HYPERLINK \l "_Toc130455804" </w:instrText>
          </w:r>
          <w:r>
            <w:fldChar w:fldCharType="separate"/>
          </w:r>
          <w:r>
            <w:rPr>
              <w:rStyle w:val="24"/>
              <w:sz w:val="28"/>
              <w:szCs w:val="28"/>
            </w:rPr>
            <w:t>四、开标</w:t>
          </w:r>
          <w:r>
            <w:rPr>
              <w:sz w:val="28"/>
              <w:szCs w:val="28"/>
            </w:rPr>
            <w:tab/>
          </w:r>
          <w:r>
            <w:rPr>
              <w:sz w:val="28"/>
              <w:szCs w:val="28"/>
            </w:rPr>
            <w:fldChar w:fldCharType="begin"/>
          </w:r>
          <w:r>
            <w:rPr>
              <w:sz w:val="28"/>
              <w:szCs w:val="28"/>
            </w:rPr>
            <w:instrText xml:space="preserve"> PAGEREF _Toc130455804 \h </w:instrText>
          </w:r>
          <w:r>
            <w:rPr>
              <w:sz w:val="28"/>
              <w:szCs w:val="28"/>
            </w:rPr>
            <w:fldChar w:fldCharType="separate"/>
          </w:r>
          <w:r>
            <w:rPr>
              <w:sz w:val="28"/>
              <w:szCs w:val="28"/>
            </w:rPr>
            <w:t>26</w:t>
          </w:r>
          <w:r>
            <w:rPr>
              <w:sz w:val="28"/>
              <w:szCs w:val="28"/>
            </w:rPr>
            <w:fldChar w:fldCharType="end"/>
          </w:r>
          <w:r>
            <w:rPr>
              <w:sz w:val="28"/>
              <w:szCs w:val="28"/>
            </w:rPr>
            <w:fldChar w:fldCharType="end"/>
          </w:r>
        </w:p>
        <w:p w14:paraId="3DD58A65">
          <w:pPr>
            <w:pStyle w:val="17"/>
            <w:tabs>
              <w:tab w:val="right" w:leader="dot" w:pos="9060"/>
            </w:tabs>
            <w:ind w:left="480"/>
            <w:rPr>
              <w:sz w:val="28"/>
              <w:szCs w:val="28"/>
            </w:rPr>
          </w:pPr>
          <w:r>
            <w:fldChar w:fldCharType="begin"/>
          </w:r>
          <w:r>
            <w:instrText xml:space="preserve"> HYPERLINK \l "_Toc130455805" </w:instrText>
          </w:r>
          <w:r>
            <w:fldChar w:fldCharType="separate"/>
          </w:r>
          <w:r>
            <w:rPr>
              <w:rStyle w:val="24"/>
              <w:sz w:val="28"/>
              <w:szCs w:val="28"/>
            </w:rPr>
            <w:t>五、评标</w:t>
          </w:r>
          <w:r>
            <w:rPr>
              <w:sz w:val="28"/>
              <w:szCs w:val="28"/>
            </w:rPr>
            <w:tab/>
          </w:r>
          <w:r>
            <w:rPr>
              <w:sz w:val="28"/>
              <w:szCs w:val="28"/>
            </w:rPr>
            <w:fldChar w:fldCharType="begin"/>
          </w:r>
          <w:r>
            <w:rPr>
              <w:sz w:val="28"/>
              <w:szCs w:val="28"/>
            </w:rPr>
            <w:instrText xml:space="preserve"> PAGEREF _Toc130455805 \h </w:instrText>
          </w:r>
          <w:r>
            <w:rPr>
              <w:sz w:val="28"/>
              <w:szCs w:val="28"/>
            </w:rPr>
            <w:fldChar w:fldCharType="separate"/>
          </w:r>
          <w:r>
            <w:rPr>
              <w:sz w:val="28"/>
              <w:szCs w:val="28"/>
            </w:rPr>
            <w:t>28</w:t>
          </w:r>
          <w:r>
            <w:rPr>
              <w:sz w:val="28"/>
              <w:szCs w:val="28"/>
            </w:rPr>
            <w:fldChar w:fldCharType="end"/>
          </w:r>
          <w:r>
            <w:rPr>
              <w:sz w:val="28"/>
              <w:szCs w:val="28"/>
            </w:rPr>
            <w:fldChar w:fldCharType="end"/>
          </w:r>
        </w:p>
        <w:p w14:paraId="402DF001">
          <w:pPr>
            <w:pStyle w:val="17"/>
            <w:tabs>
              <w:tab w:val="right" w:leader="dot" w:pos="9060"/>
            </w:tabs>
            <w:ind w:left="480"/>
            <w:rPr>
              <w:sz w:val="28"/>
              <w:szCs w:val="28"/>
            </w:rPr>
          </w:pPr>
          <w:r>
            <w:fldChar w:fldCharType="begin"/>
          </w:r>
          <w:r>
            <w:instrText xml:space="preserve"> HYPERLINK \l "_Toc130455806" </w:instrText>
          </w:r>
          <w:r>
            <w:fldChar w:fldCharType="separate"/>
          </w:r>
          <w:r>
            <w:rPr>
              <w:rStyle w:val="24"/>
              <w:sz w:val="28"/>
              <w:szCs w:val="28"/>
            </w:rPr>
            <w:t>六、定标</w:t>
          </w:r>
          <w:r>
            <w:rPr>
              <w:sz w:val="28"/>
              <w:szCs w:val="28"/>
            </w:rPr>
            <w:tab/>
          </w:r>
          <w:r>
            <w:rPr>
              <w:sz w:val="28"/>
              <w:szCs w:val="28"/>
            </w:rPr>
            <w:fldChar w:fldCharType="begin"/>
          </w:r>
          <w:r>
            <w:rPr>
              <w:sz w:val="28"/>
              <w:szCs w:val="28"/>
            </w:rPr>
            <w:instrText xml:space="preserve"> PAGEREF _Toc130455806 \h </w:instrText>
          </w:r>
          <w:r>
            <w:rPr>
              <w:sz w:val="28"/>
              <w:szCs w:val="28"/>
            </w:rPr>
            <w:fldChar w:fldCharType="separate"/>
          </w:r>
          <w:r>
            <w:rPr>
              <w:sz w:val="28"/>
              <w:szCs w:val="28"/>
            </w:rPr>
            <w:t>29</w:t>
          </w:r>
          <w:r>
            <w:rPr>
              <w:sz w:val="28"/>
              <w:szCs w:val="28"/>
            </w:rPr>
            <w:fldChar w:fldCharType="end"/>
          </w:r>
          <w:r>
            <w:rPr>
              <w:sz w:val="28"/>
              <w:szCs w:val="28"/>
            </w:rPr>
            <w:fldChar w:fldCharType="end"/>
          </w:r>
        </w:p>
        <w:p w14:paraId="0630CC8B">
          <w:pPr>
            <w:pStyle w:val="17"/>
            <w:tabs>
              <w:tab w:val="right" w:leader="dot" w:pos="9060"/>
            </w:tabs>
            <w:ind w:left="480"/>
            <w:rPr>
              <w:sz w:val="28"/>
              <w:szCs w:val="28"/>
            </w:rPr>
          </w:pPr>
          <w:r>
            <w:fldChar w:fldCharType="begin"/>
          </w:r>
          <w:r>
            <w:instrText xml:space="preserve"> HYPERLINK \l "_Toc130455807" </w:instrText>
          </w:r>
          <w:r>
            <w:fldChar w:fldCharType="separate"/>
          </w:r>
          <w:r>
            <w:rPr>
              <w:rStyle w:val="24"/>
              <w:sz w:val="28"/>
              <w:szCs w:val="28"/>
            </w:rPr>
            <w:t>七、合同授予</w:t>
          </w:r>
          <w:r>
            <w:rPr>
              <w:sz w:val="28"/>
              <w:szCs w:val="28"/>
            </w:rPr>
            <w:tab/>
          </w:r>
          <w:r>
            <w:rPr>
              <w:sz w:val="28"/>
              <w:szCs w:val="28"/>
            </w:rPr>
            <w:fldChar w:fldCharType="begin"/>
          </w:r>
          <w:r>
            <w:rPr>
              <w:sz w:val="28"/>
              <w:szCs w:val="28"/>
            </w:rPr>
            <w:instrText xml:space="preserve"> PAGEREF _Toc130455807 \h </w:instrText>
          </w:r>
          <w:r>
            <w:rPr>
              <w:sz w:val="28"/>
              <w:szCs w:val="28"/>
            </w:rPr>
            <w:fldChar w:fldCharType="separate"/>
          </w:r>
          <w:r>
            <w:rPr>
              <w:sz w:val="28"/>
              <w:szCs w:val="28"/>
            </w:rPr>
            <w:t>29</w:t>
          </w:r>
          <w:r>
            <w:rPr>
              <w:sz w:val="28"/>
              <w:szCs w:val="28"/>
            </w:rPr>
            <w:fldChar w:fldCharType="end"/>
          </w:r>
          <w:r>
            <w:rPr>
              <w:sz w:val="28"/>
              <w:szCs w:val="28"/>
            </w:rPr>
            <w:fldChar w:fldCharType="end"/>
          </w:r>
        </w:p>
        <w:p w14:paraId="3C5B6329">
          <w:pPr>
            <w:pStyle w:val="15"/>
            <w:tabs>
              <w:tab w:val="right" w:leader="dot" w:pos="9060"/>
            </w:tabs>
            <w:rPr>
              <w:sz w:val="28"/>
              <w:szCs w:val="28"/>
            </w:rPr>
          </w:pPr>
          <w:r>
            <w:fldChar w:fldCharType="begin"/>
          </w:r>
          <w:r>
            <w:instrText xml:space="preserve"> HYPERLINK \l "_Toc130455808" </w:instrText>
          </w:r>
          <w:r>
            <w:fldChar w:fldCharType="separate"/>
          </w:r>
          <w:r>
            <w:rPr>
              <w:rStyle w:val="24"/>
              <w:sz w:val="28"/>
              <w:szCs w:val="28"/>
            </w:rPr>
            <w:t>第四章 评标办法及评分标准</w:t>
          </w:r>
          <w:r>
            <w:rPr>
              <w:sz w:val="28"/>
              <w:szCs w:val="28"/>
            </w:rPr>
            <w:tab/>
          </w:r>
          <w:r>
            <w:rPr>
              <w:sz w:val="28"/>
              <w:szCs w:val="28"/>
            </w:rPr>
            <w:fldChar w:fldCharType="begin"/>
          </w:r>
          <w:r>
            <w:rPr>
              <w:sz w:val="28"/>
              <w:szCs w:val="28"/>
            </w:rPr>
            <w:instrText xml:space="preserve"> PAGEREF _Toc130455808 \h </w:instrText>
          </w:r>
          <w:r>
            <w:rPr>
              <w:sz w:val="28"/>
              <w:szCs w:val="28"/>
            </w:rPr>
            <w:fldChar w:fldCharType="separate"/>
          </w:r>
          <w:r>
            <w:rPr>
              <w:sz w:val="28"/>
              <w:szCs w:val="28"/>
            </w:rPr>
            <w:t>31</w:t>
          </w:r>
          <w:r>
            <w:rPr>
              <w:sz w:val="28"/>
              <w:szCs w:val="28"/>
            </w:rPr>
            <w:fldChar w:fldCharType="end"/>
          </w:r>
          <w:r>
            <w:rPr>
              <w:sz w:val="28"/>
              <w:szCs w:val="28"/>
            </w:rPr>
            <w:fldChar w:fldCharType="end"/>
          </w:r>
        </w:p>
        <w:p w14:paraId="6A854140">
          <w:pPr>
            <w:pStyle w:val="15"/>
            <w:tabs>
              <w:tab w:val="right" w:leader="dot" w:pos="9060"/>
            </w:tabs>
            <w:rPr>
              <w:sz w:val="28"/>
              <w:szCs w:val="28"/>
            </w:rPr>
          </w:pPr>
          <w:r>
            <w:fldChar w:fldCharType="begin"/>
          </w:r>
          <w:r>
            <w:instrText xml:space="preserve"> HYPERLINK \l "_Toc130455809" </w:instrText>
          </w:r>
          <w:r>
            <w:fldChar w:fldCharType="separate"/>
          </w:r>
          <w:r>
            <w:rPr>
              <w:rStyle w:val="24"/>
              <w:sz w:val="28"/>
              <w:szCs w:val="28"/>
            </w:rPr>
            <w:t>第五章 合同主要条款</w:t>
          </w:r>
          <w:r>
            <w:rPr>
              <w:sz w:val="28"/>
              <w:szCs w:val="28"/>
            </w:rPr>
            <w:tab/>
          </w:r>
          <w:r>
            <w:rPr>
              <w:sz w:val="28"/>
              <w:szCs w:val="28"/>
            </w:rPr>
            <w:fldChar w:fldCharType="begin"/>
          </w:r>
          <w:r>
            <w:rPr>
              <w:sz w:val="28"/>
              <w:szCs w:val="28"/>
            </w:rPr>
            <w:instrText xml:space="preserve"> PAGEREF _Toc130455809 \h </w:instrText>
          </w:r>
          <w:r>
            <w:rPr>
              <w:sz w:val="28"/>
              <w:szCs w:val="28"/>
            </w:rPr>
            <w:fldChar w:fldCharType="separate"/>
          </w:r>
          <w:r>
            <w:rPr>
              <w:sz w:val="28"/>
              <w:szCs w:val="28"/>
            </w:rPr>
            <w:t>36</w:t>
          </w:r>
          <w:r>
            <w:rPr>
              <w:sz w:val="28"/>
              <w:szCs w:val="28"/>
            </w:rPr>
            <w:fldChar w:fldCharType="end"/>
          </w:r>
          <w:r>
            <w:rPr>
              <w:sz w:val="28"/>
              <w:szCs w:val="28"/>
            </w:rPr>
            <w:fldChar w:fldCharType="end"/>
          </w:r>
        </w:p>
        <w:p w14:paraId="73AC1B79">
          <w:pPr>
            <w:pStyle w:val="15"/>
            <w:tabs>
              <w:tab w:val="right" w:leader="dot" w:pos="9060"/>
            </w:tabs>
            <w:rPr>
              <w:sz w:val="28"/>
              <w:szCs w:val="28"/>
            </w:rPr>
          </w:pPr>
          <w:r>
            <w:fldChar w:fldCharType="begin"/>
          </w:r>
          <w:r>
            <w:instrText xml:space="preserve"> HYPERLINK \l "_Toc130455810" </w:instrText>
          </w:r>
          <w:r>
            <w:fldChar w:fldCharType="separate"/>
          </w:r>
          <w:r>
            <w:rPr>
              <w:rStyle w:val="24"/>
              <w:sz w:val="28"/>
              <w:szCs w:val="28"/>
            </w:rPr>
            <w:t>第六章 投标文件格式</w:t>
          </w:r>
          <w:r>
            <w:rPr>
              <w:sz w:val="28"/>
              <w:szCs w:val="28"/>
            </w:rPr>
            <w:tab/>
          </w:r>
          <w:r>
            <w:rPr>
              <w:sz w:val="28"/>
              <w:szCs w:val="28"/>
            </w:rPr>
            <w:fldChar w:fldCharType="begin"/>
          </w:r>
          <w:r>
            <w:rPr>
              <w:sz w:val="28"/>
              <w:szCs w:val="28"/>
            </w:rPr>
            <w:instrText xml:space="preserve"> PAGEREF _Toc130455810 \h </w:instrText>
          </w:r>
          <w:r>
            <w:rPr>
              <w:sz w:val="28"/>
              <w:szCs w:val="28"/>
            </w:rPr>
            <w:fldChar w:fldCharType="separate"/>
          </w:r>
          <w:r>
            <w:rPr>
              <w:sz w:val="28"/>
              <w:szCs w:val="28"/>
            </w:rPr>
            <w:t>40</w:t>
          </w:r>
          <w:r>
            <w:rPr>
              <w:sz w:val="28"/>
              <w:szCs w:val="28"/>
            </w:rPr>
            <w:fldChar w:fldCharType="end"/>
          </w:r>
          <w:r>
            <w:rPr>
              <w:sz w:val="28"/>
              <w:szCs w:val="28"/>
            </w:rPr>
            <w:fldChar w:fldCharType="end"/>
          </w:r>
        </w:p>
        <w:p w14:paraId="107FFE3A">
          <w:r>
            <w:rPr>
              <w:b/>
              <w:bCs/>
              <w:sz w:val="28"/>
              <w:szCs w:val="28"/>
              <w:lang w:val="zh-CN"/>
            </w:rPr>
            <w:fldChar w:fldCharType="end"/>
          </w:r>
        </w:p>
      </w:sdtContent>
    </w:sdt>
    <w:p w14:paraId="7560BB7D">
      <w:pPr>
        <w:rPr>
          <w:sz w:val="30"/>
          <w:szCs w:val="30"/>
        </w:rPr>
      </w:pPr>
    </w:p>
    <w:p w14:paraId="43E76303">
      <w:pPr>
        <w:jc w:val="center"/>
        <w:rPr>
          <w:sz w:val="30"/>
          <w:szCs w:val="30"/>
        </w:rPr>
        <w:sectPr>
          <w:headerReference r:id="rId5" w:type="default"/>
          <w:pgSz w:w="11906" w:h="16838"/>
          <w:pgMar w:top="1418" w:right="1418" w:bottom="1418" w:left="1418" w:header="1020" w:footer="992" w:gutter="0"/>
          <w:cols w:space="425" w:num="1"/>
          <w:docGrid w:type="lines" w:linePitch="326" w:charSpace="0"/>
        </w:sectPr>
      </w:pPr>
    </w:p>
    <w:p w14:paraId="214CF93B">
      <w:pPr>
        <w:pStyle w:val="2"/>
      </w:pPr>
      <w:bookmarkStart w:id="0" w:name="_Toc130455797"/>
      <w:r>
        <w:rPr>
          <w:rFonts w:hint="eastAsia"/>
        </w:rPr>
        <w:t>第一章 公开招标采购公告</w:t>
      </w:r>
      <w:bookmarkEnd w:id="0"/>
    </w:p>
    <w:p w14:paraId="2AD1E69B">
      <w:pPr>
        <w:jc w:val="center"/>
        <w:rPr>
          <w:b/>
          <w:bCs/>
        </w:rPr>
      </w:pPr>
      <w:r>
        <w:rPr>
          <w:rFonts w:hint="eastAsia"/>
          <w:b/>
          <w:bCs/>
        </w:rPr>
        <w:t>（本项目为电子招投标项目）</w:t>
      </w:r>
    </w:p>
    <w:p w14:paraId="5633E961">
      <w:pPr>
        <w:ind w:firstLine="480" w:firstLineChars="200"/>
      </w:pPr>
      <w:r>
        <w:rPr>
          <w:rFonts w:hint="eastAsia"/>
        </w:rPr>
        <w:t>根据《中华人民共和国政府采购法》、《政府采购货物和服务招标投标管理办法》及相关法律、法规等规定，经湖州市财政局</w:t>
      </w:r>
      <w:r>
        <w:rPr>
          <w:rFonts w:hint="eastAsia" w:cs="宋体"/>
          <w:kern w:val="0"/>
          <w:szCs w:val="24"/>
        </w:rPr>
        <w:t>监管科</w:t>
      </w:r>
      <w:r>
        <w:rPr>
          <w:rFonts w:hint="eastAsia"/>
        </w:rPr>
        <w:t>（财政审批编号：[2025]7664号、[2025]7665号、[2025]7666号 ）批准，现就</w:t>
      </w:r>
      <w:r>
        <w:rPr>
          <w:rFonts w:hint="eastAsia"/>
          <w:u w:val="single"/>
        </w:rPr>
        <w:t xml:space="preserve"> 湖州职业技术学院虚拟仿真实训教学管理平台等软件采购项目 </w:t>
      </w:r>
      <w:r>
        <w:rPr>
          <w:rFonts w:hint="eastAsia"/>
        </w:rPr>
        <w:t>进行公开招标，欢迎中华人民共和国境内的合格供应商前来参加投标。</w:t>
      </w:r>
    </w:p>
    <w:p w14:paraId="6F2019FE">
      <w:pPr>
        <w:rPr>
          <w:rFonts w:hint="eastAsia" w:eastAsia="宋体"/>
          <w:b/>
          <w:lang w:eastAsia="zh-CN"/>
        </w:rPr>
      </w:pPr>
      <w:r>
        <w:rPr>
          <w:rFonts w:hint="eastAsia"/>
          <w:b/>
          <w:bCs/>
        </w:rPr>
        <w:t>一、项目编号：</w:t>
      </w:r>
      <w:r>
        <w:rPr>
          <w:rFonts w:hint="eastAsia"/>
          <w:lang w:eastAsia="zh-CN"/>
        </w:rPr>
        <w:t>CTZB-2025060537</w:t>
      </w:r>
    </w:p>
    <w:p w14:paraId="4F3875CB">
      <w:pPr>
        <w:rPr>
          <w:bCs/>
        </w:rPr>
      </w:pPr>
      <w:r>
        <w:rPr>
          <w:rFonts w:hint="eastAsia"/>
          <w:b/>
        </w:rPr>
        <w:t>二、采购组织类型：</w:t>
      </w:r>
      <w:r>
        <w:rPr>
          <w:rFonts w:hint="eastAsia"/>
          <w:bCs/>
        </w:rPr>
        <w:t>分散采购委托代理</w:t>
      </w:r>
    </w:p>
    <w:p w14:paraId="1615151A">
      <w:pPr>
        <w:rPr>
          <w:bCs/>
        </w:rPr>
      </w:pPr>
      <w:r>
        <w:rPr>
          <w:rFonts w:hint="eastAsia"/>
          <w:b/>
        </w:rPr>
        <w:t>三、采购方式：</w:t>
      </w:r>
      <w:r>
        <w:rPr>
          <w:rFonts w:hint="eastAsia"/>
          <w:bCs/>
        </w:rPr>
        <w:t>公开招标</w:t>
      </w:r>
    </w:p>
    <w:p w14:paraId="386EBF18">
      <w:pPr>
        <w:rPr>
          <w:b/>
        </w:rPr>
      </w:pPr>
      <w:r>
        <w:rPr>
          <w:rFonts w:hint="eastAsia"/>
          <w:b/>
        </w:rPr>
        <w:t>四、采购项目概况：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6095"/>
        <w:gridCol w:w="1694"/>
      </w:tblGrid>
      <w:tr w14:paraId="2AD7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65E2A864">
            <w:pPr>
              <w:jc w:val="center"/>
            </w:pPr>
            <w:r>
              <w:rPr>
                <w:rFonts w:hint="eastAsia"/>
              </w:rPr>
              <w:t>标项</w:t>
            </w:r>
          </w:p>
        </w:tc>
        <w:tc>
          <w:tcPr>
            <w:tcW w:w="6095" w:type="dxa"/>
            <w:vAlign w:val="center"/>
          </w:tcPr>
          <w:p w14:paraId="69DC2623">
            <w:pPr>
              <w:jc w:val="center"/>
            </w:pPr>
            <w:r>
              <w:rPr>
                <w:rFonts w:hint="eastAsia"/>
              </w:rPr>
              <w:t>内容</w:t>
            </w:r>
          </w:p>
        </w:tc>
        <w:tc>
          <w:tcPr>
            <w:tcW w:w="1694" w:type="dxa"/>
            <w:vAlign w:val="center"/>
          </w:tcPr>
          <w:p w14:paraId="0C4D335B">
            <w:pPr>
              <w:jc w:val="center"/>
            </w:pPr>
            <w:r>
              <w:rPr>
                <w:rFonts w:hint="eastAsia"/>
              </w:rPr>
              <w:t>预算金额</w:t>
            </w:r>
          </w:p>
        </w:tc>
      </w:tr>
      <w:tr w14:paraId="7456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06844341">
            <w:pPr>
              <w:jc w:val="center"/>
            </w:pPr>
            <w:r>
              <w:rPr>
                <w:rFonts w:hint="eastAsia"/>
              </w:rPr>
              <w:t>标项一</w:t>
            </w:r>
          </w:p>
        </w:tc>
        <w:tc>
          <w:tcPr>
            <w:tcW w:w="6095" w:type="dxa"/>
            <w:vAlign w:val="center"/>
          </w:tcPr>
          <w:p w14:paraId="54DF5CC9">
            <w:pPr>
              <w:jc w:val="center"/>
            </w:pPr>
            <w:r>
              <w:rPr>
                <w:rFonts w:hint="eastAsia" w:ascii="微软雅黑" w:hAnsi="微软雅黑" w:cs="微软雅黑"/>
              </w:rPr>
              <w:t>电梯智能设计实训室设备采购项目</w:t>
            </w:r>
          </w:p>
        </w:tc>
        <w:tc>
          <w:tcPr>
            <w:tcW w:w="1694" w:type="dxa"/>
            <w:vAlign w:val="center"/>
          </w:tcPr>
          <w:p w14:paraId="33443BA5">
            <w:pPr>
              <w:jc w:val="center"/>
            </w:pPr>
            <w:r>
              <w:rPr>
                <w:rFonts w:hint="eastAsia"/>
              </w:rPr>
              <w:t>46万元</w:t>
            </w:r>
          </w:p>
        </w:tc>
      </w:tr>
      <w:tr w14:paraId="67B9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1673BA59">
            <w:pPr>
              <w:jc w:val="center"/>
            </w:pPr>
            <w:r>
              <w:rPr>
                <w:rFonts w:hint="eastAsia"/>
              </w:rPr>
              <w:t>标项二</w:t>
            </w:r>
          </w:p>
        </w:tc>
        <w:tc>
          <w:tcPr>
            <w:tcW w:w="6095" w:type="dxa"/>
            <w:vAlign w:val="center"/>
          </w:tcPr>
          <w:p w14:paraId="237C9228">
            <w:pPr>
              <w:jc w:val="center"/>
            </w:pPr>
            <w:r>
              <w:rPr>
                <w:rFonts w:hint="eastAsia" w:ascii="微软雅黑" w:hAnsi="微软雅黑" w:cs="微软雅黑"/>
              </w:rPr>
              <w:t>智慧财经实训项目一期</w:t>
            </w:r>
          </w:p>
        </w:tc>
        <w:tc>
          <w:tcPr>
            <w:tcW w:w="1694" w:type="dxa"/>
            <w:vAlign w:val="center"/>
          </w:tcPr>
          <w:p w14:paraId="151C0C2E">
            <w:pPr>
              <w:jc w:val="center"/>
            </w:pPr>
            <w:r>
              <w:rPr>
                <w:rFonts w:hint="eastAsia"/>
              </w:rPr>
              <w:t>35万元</w:t>
            </w:r>
          </w:p>
        </w:tc>
      </w:tr>
      <w:tr w14:paraId="471C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7C2D2654">
            <w:pPr>
              <w:jc w:val="center"/>
            </w:pPr>
            <w:r>
              <w:rPr>
                <w:rFonts w:hint="eastAsia"/>
              </w:rPr>
              <w:t>标项三</w:t>
            </w:r>
          </w:p>
        </w:tc>
        <w:tc>
          <w:tcPr>
            <w:tcW w:w="6095" w:type="dxa"/>
            <w:vAlign w:val="center"/>
          </w:tcPr>
          <w:p w14:paraId="5327DA1D">
            <w:pPr>
              <w:jc w:val="center"/>
            </w:pPr>
            <w:r>
              <w:rPr>
                <w:rFonts w:hint="eastAsia" w:ascii="微软雅黑" w:hAnsi="微软雅黑" w:cs="微软雅黑"/>
              </w:rPr>
              <w:t>虚拟仿真实训教学管理及资源共享平台设备采购项目</w:t>
            </w:r>
          </w:p>
        </w:tc>
        <w:tc>
          <w:tcPr>
            <w:tcW w:w="1694" w:type="dxa"/>
            <w:vAlign w:val="center"/>
          </w:tcPr>
          <w:p w14:paraId="1677072C">
            <w:pPr>
              <w:jc w:val="center"/>
            </w:pPr>
            <w:r>
              <w:rPr>
                <w:rFonts w:hint="eastAsia"/>
              </w:rPr>
              <w:t>29万元</w:t>
            </w:r>
          </w:p>
        </w:tc>
      </w:tr>
    </w:tbl>
    <w:p w14:paraId="599EAB67">
      <w:pPr>
        <w:ind w:firstLine="482" w:firstLineChars="200"/>
      </w:pPr>
      <w:r>
        <w:rPr>
          <w:rFonts w:hint="eastAsia"/>
          <w:b/>
          <w:bCs/>
        </w:rPr>
        <w:t>注：本项目共三个标项，每个标项确定1家中标供应商，供应商可以自行选择参与的标项（即可以同时参与三个标项的投标，也可以选择其中任意标项投标），但不允许同时中标，同一供应商只能中一个标项。标项一中标供应商不再推荐为标项二、三的中标供应商，其投标文件仍然进入对应标项的评审。标项二中标供应商不再推荐为标项三的中标供应商，以此类推。第一中标候选人放弃中标资格的,则由采购人按该标项中标候选人排序依次选取。</w:t>
      </w:r>
    </w:p>
    <w:p w14:paraId="6D038E9D">
      <w:pPr>
        <w:rPr>
          <w:b/>
          <w:bCs/>
        </w:rPr>
      </w:pPr>
      <w:r>
        <w:rPr>
          <w:rFonts w:hint="eastAsia"/>
          <w:b/>
          <w:bCs/>
        </w:rPr>
        <w:t>五、供应商资格要求：</w:t>
      </w:r>
    </w:p>
    <w:p w14:paraId="236E8C1F">
      <w:pPr>
        <w:ind w:firstLine="480" w:firstLineChars="200"/>
      </w:pPr>
      <w:r>
        <w:rPr>
          <w:rFonts w:hint="eastAsia"/>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509B8789">
      <w:pPr>
        <w:widowControl/>
        <w:adjustRightInd w:val="0"/>
        <w:snapToGrid w:val="0"/>
        <w:ind w:firstLine="480" w:firstLineChars="200"/>
        <w:jc w:val="left"/>
        <w:rPr>
          <w:rFonts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2.落实政府采购政策需满足的资格要求：专门面向中小企业；货物全部由符合政策要求的中小企业制造，提供中小企业声明函。</w:t>
      </w:r>
    </w:p>
    <w:p w14:paraId="3155F6D7">
      <w:pPr>
        <w:ind w:firstLine="480" w:firstLineChars="200"/>
      </w:pPr>
      <w:r>
        <w:rPr>
          <w:rFonts w:hint="eastAsia"/>
        </w:rPr>
        <w:t>3、本项目不接受联合体投标。</w:t>
      </w:r>
    </w:p>
    <w:p w14:paraId="1CD0413C">
      <w:pPr>
        <w:rPr>
          <w:b/>
          <w:bCs/>
        </w:rPr>
      </w:pPr>
      <w:r>
        <w:rPr>
          <w:rFonts w:hint="eastAsia"/>
          <w:b/>
          <w:bCs/>
        </w:rPr>
        <w:t>六、获取采购文件时间及地点：</w:t>
      </w:r>
    </w:p>
    <w:p w14:paraId="6DE973D8">
      <w:pPr>
        <w:ind w:firstLine="480" w:firstLineChars="200"/>
      </w:pPr>
      <w:r>
        <w:rPr>
          <w:rFonts w:hint="eastAsia"/>
        </w:rPr>
        <w:t>获取文件时间：公告发布时间至投标截止时间止（潜在供应商获取采购文件前应当在电子交易平台上注册账号并登录，截止时间后不再接受潜在供应商报名及获取采购文件）</w:t>
      </w:r>
    </w:p>
    <w:p w14:paraId="1C946B3D">
      <w:pPr>
        <w:ind w:firstLine="480" w:firstLineChars="200"/>
      </w:pPr>
      <w:r>
        <w:rPr>
          <w:rFonts w:hint="eastAsia"/>
        </w:rPr>
        <w:t>地点：本次采购文件实行网上获取，不接受供应商现场报名，供应商须登录浙江政府采购网（http://zfcg.czt.zj.gov.cn/）进入政采云系统“项目采购”模块“获取采购文件”菜单，进行网上获取采购文件（“政采云”注册账号、密码登录系统后获取采购文件）</w:t>
      </w:r>
    </w:p>
    <w:p w14:paraId="3032BEC2">
      <w:pPr>
        <w:rPr>
          <w:b/>
          <w:bCs/>
        </w:rPr>
      </w:pPr>
      <w:r>
        <w:rPr>
          <w:rFonts w:hint="eastAsia"/>
          <w:b/>
          <w:bCs/>
        </w:rPr>
        <w:t>七、递交投标文件截止时间、开标时间及地点：</w:t>
      </w:r>
    </w:p>
    <w:p w14:paraId="1894F8F9">
      <w:pPr>
        <w:ind w:firstLine="480" w:firstLineChars="200"/>
        <w:rPr>
          <w:bCs/>
        </w:rPr>
      </w:pPr>
      <w:r>
        <w:rPr>
          <w:rFonts w:hint="eastAsia"/>
        </w:rPr>
        <w:t>投标文件递交的截止时间（投标截止时间）：2025年</w:t>
      </w:r>
      <w:r>
        <w:rPr>
          <w:rFonts w:hint="eastAsia"/>
          <w:bCs/>
          <w:lang w:val="en-US" w:eastAsia="zh-CN"/>
        </w:rPr>
        <w:t>7</w:t>
      </w:r>
      <w:r>
        <w:rPr>
          <w:rFonts w:hint="eastAsia"/>
          <w:bCs/>
        </w:rPr>
        <w:t>月</w:t>
      </w:r>
      <w:r>
        <w:rPr>
          <w:rFonts w:hint="eastAsia"/>
          <w:bCs/>
          <w:lang w:val="en-US" w:eastAsia="zh-CN"/>
        </w:rPr>
        <w:t>22</w:t>
      </w:r>
      <w:r>
        <w:rPr>
          <w:rFonts w:hint="eastAsia"/>
          <w:bCs/>
        </w:rPr>
        <w:t>日</w:t>
      </w:r>
      <w:r>
        <w:rPr>
          <w:bCs/>
        </w:rPr>
        <w:t>9</w:t>
      </w:r>
      <w:r>
        <w:rPr>
          <w:rFonts w:hint="eastAsia"/>
          <w:bCs/>
        </w:rPr>
        <w:t>时</w:t>
      </w:r>
      <w:r>
        <w:rPr>
          <w:bCs/>
        </w:rPr>
        <w:t>30</w:t>
      </w:r>
      <w:r>
        <w:rPr>
          <w:rFonts w:hint="eastAsia"/>
          <w:bCs/>
        </w:rPr>
        <w:t>分（北京时间）</w:t>
      </w:r>
    </w:p>
    <w:p w14:paraId="1073B61E">
      <w:pPr>
        <w:ind w:firstLine="480" w:firstLineChars="200"/>
        <w:rPr>
          <w:bCs/>
          <w:u w:val="single"/>
        </w:rPr>
      </w:pPr>
      <w:r>
        <w:rPr>
          <w:rFonts w:hint="eastAsia"/>
        </w:rPr>
        <w:t>地点：通过“政府采购云平台（http://www.zcygov.cn）”实行在线投标及开标</w:t>
      </w:r>
    </w:p>
    <w:p w14:paraId="37ABFB87">
      <w:pPr>
        <w:rPr>
          <w:b/>
          <w:bCs/>
        </w:rPr>
      </w:pPr>
      <w:r>
        <w:rPr>
          <w:rFonts w:hint="eastAsia"/>
          <w:b/>
          <w:bCs/>
        </w:rPr>
        <w:t>八、其他补充事宜</w:t>
      </w:r>
    </w:p>
    <w:p w14:paraId="1D515E91">
      <w:pPr>
        <w:ind w:firstLine="480" w:firstLineChars="200"/>
      </w:pPr>
      <w:r>
        <w:rPr>
          <w:rFonts w:hint="eastAsia"/>
        </w:rPr>
        <w:t>1、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31EFEE">
      <w:pPr>
        <w:ind w:firstLine="480" w:firstLineChars="200"/>
      </w:pPr>
      <w:r>
        <w:rPr>
          <w:rFonts w:hint="eastAsia"/>
        </w:rPr>
        <w:t>2、根据《中华人民共和国财政部令第94号-政府采购质疑和投诉办法》规定，供应商在法定质疑期内须一次性提出针对同一采购程序环节的质疑。质疑供应商对采购人、采购代理机构的答复不满意或者采购人、采购代理机构未在规定的时间内作出答复的，可以在答复期满后十五个工作日内向同级政府采购监督管理部门投诉。</w:t>
      </w:r>
    </w:p>
    <w:p w14:paraId="3F9A842E">
      <w:pPr>
        <w:ind w:firstLine="480" w:firstLineChars="200"/>
      </w:pPr>
      <w:r>
        <w:rPr>
          <w:rFonts w:hint="eastAsia"/>
        </w:rPr>
        <w:t>3、潜在供应商已依法获取（依法获取指：供应商按本项目招标公告要求在政采云系统上获取并报名成功）其可质疑的采购文件，可以对该文件提出质疑。未按照规定方式依法获取采购文件的，不得对采购文件提起质疑投诉。</w:t>
      </w:r>
    </w:p>
    <w:p w14:paraId="6539C076">
      <w:pPr>
        <w:ind w:firstLine="480" w:firstLineChars="200"/>
      </w:pPr>
      <w:r>
        <w:rPr>
          <w:rFonts w:hint="eastAsia"/>
        </w:rPr>
        <w:t>4、答疑内容是采购文件的组成部分，并将在网上发布补充（答疑、澄清）文件，潜在供应商应自行关注网站公告，采购人不再一一通知，供应商因自身贻误行为导致投标失效的，责任自负。</w:t>
      </w:r>
    </w:p>
    <w:p w14:paraId="58C7F86C">
      <w:pPr>
        <w:ind w:firstLine="480" w:firstLineChars="200"/>
      </w:pPr>
      <w:r>
        <w:rPr>
          <w:rFonts w:hint="eastAsia"/>
        </w:rPr>
        <w:t>5、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14:paraId="3047C5A8">
      <w:pPr>
        <w:ind w:firstLine="480" w:firstLineChars="200"/>
      </w:pPr>
      <w:r>
        <w:rPr>
          <w:rFonts w:hint="eastAsia"/>
        </w:rPr>
        <w:t>6</w:t>
      </w:r>
      <w:r>
        <w:t>、本项目是否专门面向中小企业采购：</w:t>
      </w:r>
      <w:r>
        <w:rPr>
          <w:rFonts w:hint="eastAsia"/>
          <w:lang w:eastAsia="zh-CN"/>
        </w:rPr>
        <w:t>是</w:t>
      </w:r>
      <w:r>
        <w:rPr>
          <w:rFonts w:hint="eastAsia"/>
        </w:rPr>
        <w:t>。</w:t>
      </w:r>
    </w:p>
    <w:p w14:paraId="710F8965">
      <w:pPr>
        <w:ind w:firstLine="480" w:firstLineChars="200"/>
        <w:rPr>
          <w:rFonts w:cs="仿宋"/>
        </w:rPr>
      </w:pPr>
      <w:r>
        <w:rPr>
          <w:rFonts w:hint="eastAsia" w:cs="仿宋"/>
        </w:rPr>
        <w:t>7、本项目公告发布网站：浙江政府采购网：http://zfcg.czt.zj.gov.cn/</w:t>
      </w:r>
      <w:r>
        <w:rPr>
          <w:rFonts w:hint="eastAsia"/>
        </w:rPr>
        <w:t>，</w:t>
      </w:r>
      <w:r>
        <w:rPr>
          <w:rFonts w:hint="eastAsia" w:cs="仿宋"/>
        </w:rPr>
        <w:t>湖州市公共资源交易信息网：</w:t>
      </w:r>
      <w:r>
        <w:rPr>
          <w:rFonts w:cs="仿宋"/>
        </w:rPr>
        <w:t>http://ggzyjy.huzhou.gov.cn/</w:t>
      </w:r>
      <w:r>
        <w:rPr>
          <w:rFonts w:hint="eastAsia" w:cs="仿宋"/>
        </w:rPr>
        <w:t>-“政府采购”模块</w:t>
      </w:r>
    </w:p>
    <w:p w14:paraId="2453B68C">
      <w:pPr>
        <w:ind w:firstLine="480" w:firstLineChars="200"/>
      </w:pPr>
      <w:r>
        <w:rPr>
          <w:rFonts w:hint="eastAsia"/>
        </w:rPr>
        <w:t>8、投标事项：</w:t>
      </w:r>
    </w:p>
    <w:p w14:paraId="49E0E099">
      <w:pPr>
        <w:ind w:firstLine="480" w:firstLineChars="200"/>
      </w:pPr>
      <w:r>
        <w:rPr>
          <w:rFonts w:hint="eastAsia"/>
        </w:rPr>
        <w:t>（1）本项目为电子招投标项目，实行网上招投标，应按照本采购文件及政采云平台的要求编制、加密，要求供应商通过政采云系统在线投标响应，投标截止时间前须完成电子投标文件的上传，供应商在使用系统进行投标的过程中遇到涉及平台使用的任何问题，可致电政采云平台技术支持热线咨询，联系方式：</w:t>
      </w:r>
      <w:r>
        <w:t>95763</w:t>
      </w:r>
      <w:r>
        <w:rPr>
          <w:rFonts w:hint="eastAsia"/>
        </w:rPr>
        <w:t>。</w:t>
      </w:r>
    </w:p>
    <w:p w14:paraId="4EFDAF49">
      <w:pPr>
        <w:ind w:firstLine="480" w:firstLineChars="200"/>
      </w:pPr>
      <w:r>
        <w:rPr>
          <w:rFonts w:hint="eastAsia"/>
        </w:rPr>
        <w:t>（2）参与政府采购项目的注册供应商，需登录浙江政府采购云平台（http://www.zcygov.cn）进行网上报名，尚未注册的供应商应当先在浙江政府采购云平台上申请注册。</w:t>
      </w:r>
    </w:p>
    <w:p w14:paraId="4ED268B9">
      <w:pPr>
        <w:ind w:firstLine="480" w:firstLineChars="200"/>
        <w:rPr>
          <w:b/>
          <w:bCs/>
        </w:rPr>
      </w:pPr>
      <w:r>
        <w:rPr>
          <w:rFonts w:hint="eastAsia"/>
        </w:rPr>
        <w:t>（3）具体的投标文件文件加密上传等操作详见政采云平台操作指南。https://edu.zcygov.cn/luban/e-biding?utm=a0004.2ef5001f.0001.0109.da8b35e0da8611e98d8937b7ef8a3544</w:t>
      </w:r>
    </w:p>
    <w:p w14:paraId="49DDBE32">
      <w:pPr>
        <w:ind w:firstLine="480" w:firstLineChars="200"/>
      </w:pPr>
      <w:r>
        <w:rPr>
          <w:rFonts w:hint="eastAsia"/>
        </w:rPr>
        <w:t>（4）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供应商自行把握时间），申领流程请自行前往“浙江政府采购网-下载专区-电子交易客户端-CA驱动和申领流程”进行查阅。并登陆“浙江政府采购网”（http://zfcg.czt.zj.gov.cn/），进入“下载专区”下载“政采云电子交易客户端”，制作投标文件。</w:t>
      </w:r>
    </w:p>
    <w:p w14:paraId="4CB5A450">
      <w:pPr>
        <w:ind w:firstLine="480" w:firstLineChars="200"/>
      </w:pPr>
      <w:r>
        <w:rPr>
          <w:rFonts w:hint="eastAsia"/>
        </w:rPr>
        <w:t>（5）投标供应商应当在投标截止时间前，将生成的“电子加密投标文件”上传递交至“政府采购云平台”。投标截止时间以后上传递交的投标文件将被“政府采购云平台”拒收。</w:t>
      </w:r>
    </w:p>
    <w:p w14:paraId="099019DC">
      <w:pPr>
        <w:ind w:firstLine="480" w:firstLineChars="200"/>
      </w:pPr>
      <w:r>
        <w:rPr>
          <w:rFonts w:hint="eastAsia"/>
        </w:rPr>
        <w:t>（6）备份投标文件：根据“浙江省政府采购项目电子交易管理暂行办法”第二十条规定，本次招标允许供应商递交备份投标文件，仅提交备份投标文件的，投标无效。本项目不强制要求供应商提交备份投标文件，但由于未提交备份投标文件而造成项目开评标活动无法进行下去的，投标无效的，相关风险由供应商自行承担。</w:t>
      </w:r>
      <w:r>
        <w:t>备份</w:t>
      </w:r>
      <w:r>
        <w:rPr>
          <w:rFonts w:hint="eastAsia"/>
        </w:rPr>
        <w:t>投标文件：1份。</w:t>
      </w:r>
      <w:r>
        <w:t>以介质存储的数据电文形式的备份</w:t>
      </w:r>
      <w:r>
        <w:rPr>
          <w:rFonts w:hint="eastAsia"/>
        </w:rPr>
        <w:t>投标文件（</w:t>
      </w:r>
      <w:r>
        <w:t>BFBS格式</w:t>
      </w:r>
      <w:r>
        <w:rPr>
          <w:rFonts w:hint="eastAsia"/>
        </w:rPr>
        <w:t>）</w:t>
      </w:r>
      <w:r>
        <w:t>，按政采云平台项目采购-电子交易操作指南中上传的电子</w:t>
      </w:r>
      <w:r>
        <w:rPr>
          <w:rFonts w:hint="eastAsia"/>
        </w:rPr>
        <w:t>投标文件</w:t>
      </w:r>
      <w:r>
        <w:t>格式，以U盘形式存储提供。</w:t>
      </w:r>
      <w:r>
        <w:rPr>
          <w:rFonts w:hint="eastAsia"/>
        </w:rPr>
        <w:t>供应商如需提交数据电子备份投标文件（U盘）的，可采取下列两种方式递交：</w:t>
      </w:r>
    </w:p>
    <w:p w14:paraId="7F419ADC">
      <w:pPr>
        <w:ind w:firstLine="480" w:firstLineChars="200"/>
      </w:pPr>
      <w:r>
        <w:rPr>
          <w:rFonts w:hint="eastAsia"/>
        </w:rPr>
        <w:t>①如</w:t>
      </w:r>
      <w:r>
        <w:t>通过邮寄快递方式送达，邮寄地址为：</w:t>
      </w:r>
      <w:r>
        <w:rPr>
          <w:rFonts w:hint="eastAsia"/>
        </w:rPr>
        <w:t>浙江省成套招标代理有限公司（浙江省湖州市凤凰路137号国际贸易大厦9楼906室）</w:t>
      </w:r>
      <w:r>
        <w:t>，联系人：</w:t>
      </w:r>
      <w:r>
        <w:rPr>
          <w:rFonts w:hint="eastAsia"/>
        </w:rPr>
        <w:t>顾先生</w:t>
      </w:r>
      <w:r>
        <w:t>，联系电话：</w:t>
      </w:r>
      <w:r>
        <w:rPr>
          <w:rFonts w:hint="eastAsia"/>
        </w:rPr>
        <w:t>15167296678</w:t>
      </w:r>
      <w:r>
        <w:t>。邮寄截止时间：投标单位应于</w:t>
      </w:r>
      <w:r>
        <w:rPr>
          <w:rFonts w:hint="eastAsia"/>
        </w:rPr>
        <w:t xml:space="preserve">2025年 </w:t>
      </w:r>
      <w:r>
        <w:rPr>
          <w:rFonts w:hint="eastAsia"/>
          <w:lang w:val="en-US" w:eastAsia="zh-CN"/>
        </w:rPr>
        <w:t>7</w:t>
      </w:r>
      <w:r>
        <w:t>月</w:t>
      </w:r>
      <w:r>
        <w:rPr>
          <w:rFonts w:hint="eastAsia"/>
          <w:lang w:val="en-US" w:eastAsia="zh-CN"/>
        </w:rPr>
        <w:t>21</w:t>
      </w:r>
      <w:r>
        <w:t>日</w:t>
      </w:r>
      <w:r>
        <w:rPr>
          <w:rFonts w:hint="eastAsia"/>
        </w:rPr>
        <w:t>16时30分</w:t>
      </w:r>
      <w:r>
        <w:t>前准时送达，逾期不予受理。</w:t>
      </w:r>
    </w:p>
    <w:p w14:paraId="56E8A15F">
      <w:pPr>
        <w:ind w:firstLine="480" w:firstLineChars="200"/>
      </w:pPr>
      <w:r>
        <w:rPr>
          <w:rFonts w:hint="eastAsia"/>
        </w:rPr>
        <w:t>②</w:t>
      </w:r>
      <w:r>
        <w:t>如现场提交备份响应文件（</w:t>
      </w:r>
      <w:r>
        <w:rPr>
          <w:rFonts w:hint="eastAsia"/>
        </w:rPr>
        <w:t>U盘</w:t>
      </w:r>
      <w:r>
        <w:t>）的，</w:t>
      </w:r>
      <w:r>
        <w:rPr>
          <w:rFonts w:hint="eastAsia"/>
        </w:rPr>
        <w:t>应在投标截止时间前于开标现场以密封、包装的形式递交</w:t>
      </w:r>
      <w:r>
        <w:t>，逾期不予受理。</w:t>
      </w:r>
    </w:p>
    <w:p w14:paraId="312824DA">
      <w:pPr>
        <w:ind w:firstLine="480" w:firstLineChars="200"/>
      </w:pPr>
      <w:r>
        <w:rPr>
          <w:rFonts w:hint="eastAsia"/>
        </w:rPr>
        <w:t>（7）本项目开评标会议通过政采云电子交易系统在线完成，请潜在供应商代表自行准备联网的计算机设备、“政府采购云平台”CA数字证书。开评标会议开始后，应全程关注政采云电子交易系统的各类通知：在线询标等，及时澄清、响应，避免逾期无效等情况的发生。</w:t>
      </w:r>
    </w:p>
    <w:p w14:paraId="132ECD1F">
      <w:pPr>
        <w:rPr>
          <w:b/>
          <w:bCs/>
        </w:rPr>
      </w:pPr>
      <w:r>
        <w:rPr>
          <w:rFonts w:hint="eastAsia"/>
          <w:b/>
          <w:bCs/>
        </w:rPr>
        <w:t>九、联系方式：</w:t>
      </w:r>
    </w:p>
    <w:p w14:paraId="5EFF3077">
      <w:pPr>
        <w:ind w:firstLine="480" w:firstLineChars="200"/>
      </w:pPr>
      <w:r>
        <w:rPr>
          <w:rFonts w:hint="eastAsia"/>
        </w:rPr>
        <w:t>1、采购代理机构名称：浙江省成套招标代理有限公司</w:t>
      </w:r>
    </w:p>
    <w:p w14:paraId="0AA3D16F">
      <w:pPr>
        <w:ind w:firstLine="480" w:firstLineChars="200"/>
      </w:pPr>
      <w:r>
        <w:rPr>
          <w:rFonts w:hint="eastAsia"/>
        </w:rPr>
        <w:t>联系人：顾先生</w:t>
      </w:r>
    </w:p>
    <w:p w14:paraId="2306F9D1">
      <w:pPr>
        <w:ind w:firstLine="480" w:firstLineChars="200"/>
      </w:pPr>
      <w:r>
        <w:rPr>
          <w:rFonts w:hint="eastAsia"/>
        </w:rPr>
        <w:t>联系电话：15167296678</w:t>
      </w:r>
    </w:p>
    <w:p w14:paraId="3ACE2A97">
      <w:pPr>
        <w:snapToGrid w:val="0"/>
        <w:spacing w:line="460" w:lineRule="exact"/>
        <w:ind w:firstLine="470" w:firstLineChars="196"/>
        <w:rPr>
          <w:rFonts w:cs="宋体"/>
          <w:kern w:val="0"/>
        </w:rPr>
      </w:pPr>
      <w:r>
        <w:rPr>
          <w:rFonts w:hint="eastAsia" w:cs="宋体"/>
          <w:szCs w:val="24"/>
        </w:rPr>
        <w:t>供应商质疑函接收人：俞女士</w:t>
      </w:r>
      <w:r>
        <w:rPr>
          <w:rFonts w:cs="宋体"/>
          <w:szCs w:val="24"/>
        </w:rPr>
        <w:t>    </w:t>
      </w:r>
      <w:r>
        <w:rPr>
          <w:rFonts w:hint="eastAsia" w:cs="宋体"/>
          <w:szCs w:val="24"/>
        </w:rPr>
        <w:t>联系电话：</w:t>
      </w:r>
      <w:r>
        <w:rPr>
          <w:rFonts w:cs="宋体"/>
          <w:szCs w:val="24"/>
        </w:rPr>
        <w:t>0572-</w:t>
      </w:r>
      <w:r>
        <w:rPr>
          <w:rFonts w:hint="eastAsia" w:cs="宋体"/>
          <w:kern w:val="0"/>
        </w:rPr>
        <w:t>2275851</w:t>
      </w:r>
    </w:p>
    <w:p w14:paraId="645C358C">
      <w:pPr>
        <w:ind w:firstLine="480" w:firstLineChars="200"/>
      </w:pPr>
      <w:r>
        <w:rPr>
          <w:rFonts w:hint="eastAsia" w:cs="宋体"/>
          <w:szCs w:val="24"/>
        </w:rPr>
        <w:t>电子邮箱：</w:t>
      </w:r>
      <w:r>
        <w:fldChar w:fldCharType="begin"/>
      </w:r>
      <w:r>
        <w:instrText xml:space="preserve"> HYPERLINK "mailto:huayaohz@163.com" </w:instrText>
      </w:r>
      <w:r>
        <w:fldChar w:fldCharType="separate"/>
      </w:r>
      <w:r>
        <w:rPr>
          <w:rFonts w:hint="eastAsia" w:cs="宋体"/>
          <w:szCs w:val="24"/>
        </w:rPr>
        <w:t>272271260@qq.com</w:t>
      </w:r>
      <w:r>
        <w:rPr>
          <w:rFonts w:hint="eastAsia" w:cs="宋体"/>
          <w:szCs w:val="24"/>
        </w:rPr>
        <w:fldChar w:fldCharType="end"/>
      </w:r>
    </w:p>
    <w:p w14:paraId="25C26DC3">
      <w:pPr>
        <w:ind w:firstLine="480" w:firstLineChars="200"/>
        <w:rPr>
          <w:rFonts w:cs="宋体"/>
          <w:kern w:val="0"/>
          <w:szCs w:val="21"/>
        </w:rPr>
      </w:pPr>
      <w:r>
        <w:rPr>
          <w:rFonts w:hint="eastAsia"/>
        </w:rPr>
        <w:t>2、</w:t>
      </w:r>
      <w:r>
        <w:rPr>
          <w:rFonts w:hint="eastAsia" w:cs="宋体"/>
          <w:kern w:val="0"/>
          <w:szCs w:val="21"/>
        </w:rPr>
        <w:t>名称：湖州职业技术学院</w:t>
      </w:r>
    </w:p>
    <w:p w14:paraId="5565F6F3">
      <w:pPr>
        <w:ind w:firstLine="480" w:firstLineChars="200"/>
        <w:rPr>
          <w:rFonts w:cs="宋体"/>
          <w:kern w:val="0"/>
          <w:szCs w:val="21"/>
        </w:rPr>
      </w:pPr>
      <w:r>
        <w:rPr>
          <w:rFonts w:hint="eastAsia" w:cs="宋体"/>
          <w:kern w:val="0"/>
          <w:szCs w:val="21"/>
        </w:rPr>
        <w:t>地址：湖州市学府路299号</w:t>
      </w:r>
    </w:p>
    <w:p w14:paraId="5592135F">
      <w:pPr>
        <w:ind w:firstLine="480" w:firstLineChars="200"/>
        <w:rPr>
          <w:rFonts w:cs="宋体"/>
          <w:kern w:val="0"/>
          <w:szCs w:val="21"/>
        </w:rPr>
      </w:pPr>
      <w:r>
        <w:rPr>
          <w:rFonts w:hint="eastAsia" w:cs="宋体"/>
          <w:kern w:val="0"/>
          <w:szCs w:val="21"/>
        </w:rPr>
        <w:t>项目联系人（询问）：陈邢凯</w:t>
      </w:r>
    </w:p>
    <w:p w14:paraId="6418A307">
      <w:pPr>
        <w:ind w:firstLine="480" w:firstLineChars="200"/>
        <w:rPr>
          <w:rFonts w:cs="宋体"/>
          <w:kern w:val="0"/>
          <w:szCs w:val="21"/>
        </w:rPr>
      </w:pPr>
      <w:r>
        <w:rPr>
          <w:rFonts w:hint="eastAsia" w:cs="宋体"/>
          <w:kern w:val="0"/>
          <w:szCs w:val="21"/>
        </w:rPr>
        <w:t>项目联系方式（询问）：0572-2363699</w:t>
      </w:r>
    </w:p>
    <w:p w14:paraId="06A53DD5">
      <w:pPr>
        <w:ind w:firstLine="480" w:firstLineChars="200"/>
        <w:rPr>
          <w:rFonts w:cs="宋体"/>
          <w:kern w:val="0"/>
          <w:szCs w:val="21"/>
        </w:rPr>
      </w:pPr>
      <w:r>
        <w:rPr>
          <w:rFonts w:hint="eastAsia" w:cs="宋体"/>
          <w:kern w:val="0"/>
          <w:szCs w:val="21"/>
        </w:rPr>
        <w:t>质疑联系人：郑老师</w:t>
      </w:r>
      <w:r>
        <w:rPr>
          <w:rFonts w:hint="eastAsia" w:cs="宋体"/>
          <w:bCs/>
          <w:kern w:val="0"/>
        </w:rPr>
        <w:t xml:space="preserve"> </w:t>
      </w:r>
    </w:p>
    <w:p w14:paraId="026D477D">
      <w:pPr>
        <w:ind w:firstLine="480" w:firstLineChars="200"/>
      </w:pPr>
      <w:r>
        <w:rPr>
          <w:rFonts w:hint="eastAsia" w:cs="宋体"/>
          <w:kern w:val="0"/>
          <w:szCs w:val="21"/>
        </w:rPr>
        <w:t>质疑联系方式：0572-2363627</w:t>
      </w:r>
    </w:p>
    <w:p w14:paraId="02A750B1">
      <w:pPr>
        <w:ind w:firstLine="480" w:firstLineChars="200"/>
      </w:pPr>
      <w:r>
        <w:rPr>
          <w:rFonts w:hint="eastAsia"/>
        </w:rPr>
        <w:t>4、同级政府采购监督管理部门名称：湖州市财政局政府采购监管处</w:t>
      </w:r>
    </w:p>
    <w:p w14:paraId="01AA1630">
      <w:pPr>
        <w:ind w:firstLine="480" w:firstLineChars="200"/>
      </w:pPr>
      <w:r>
        <w:rPr>
          <w:rFonts w:hint="eastAsia"/>
        </w:rPr>
        <w:t>联系人：程先生</w:t>
      </w:r>
    </w:p>
    <w:p w14:paraId="19D65C5F">
      <w:pPr>
        <w:ind w:firstLine="480" w:firstLineChars="200"/>
      </w:pPr>
      <w:r>
        <w:rPr>
          <w:rFonts w:hint="eastAsia"/>
        </w:rPr>
        <w:t>监督投诉电话：0572-2150216</w:t>
      </w:r>
    </w:p>
    <w:p w14:paraId="5D63692A">
      <w:pPr>
        <w:ind w:firstLine="480" w:firstLineChars="200"/>
      </w:pPr>
      <w:r>
        <w:rPr>
          <w:rFonts w:hint="eastAsia"/>
        </w:rPr>
        <w:t>地址：湖州市吴兴区龙王山路5</w:t>
      </w:r>
      <w:r>
        <w:t>18</w:t>
      </w:r>
      <w:r>
        <w:rPr>
          <w:rFonts w:hint="eastAsia"/>
        </w:rPr>
        <w:t>号</w:t>
      </w:r>
      <w:r>
        <w:br w:type="page"/>
      </w:r>
    </w:p>
    <w:p w14:paraId="3498E53D">
      <w:pPr>
        <w:pStyle w:val="2"/>
      </w:pPr>
      <w:bookmarkStart w:id="1" w:name="_Toc130455798"/>
      <w:r>
        <w:rPr>
          <w:rFonts w:hint="eastAsia"/>
        </w:rPr>
        <w:t>第二章</w:t>
      </w:r>
      <w:r>
        <w:t xml:space="preserve"> </w:t>
      </w:r>
      <w:r>
        <w:rPr>
          <w:rFonts w:hint="eastAsia"/>
        </w:rPr>
        <w:t>采购需求</w:t>
      </w:r>
      <w:bookmarkEnd w:id="1"/>
    </w:p>
    <w:p w14:paraId="3797599A">
      <w:bookmarkStart w:id="2" w:name="_Toc298856057"/>
      <w:bookmarkStart w:id="3" w:name="_Toc388261186"/>
      <w:r>
        <w:rPr>
          <w:rFonts w:hint="eastAsia"/>
          <w:b/>
          <w:bCs/>
        </w:rPr>
        <w:t>一、</w:t>
      </w:r>
      <w:bookmarkEnd w:id="2"/>
      <w:bookmarkEnd w:id="3"/>
      <w:r>
        <w:rPr>
          <w:rFonts w:hint="eastAsia"/>
          <w:b/>
          <w:bCs/>
        </w:rPr>
        <w:t>项目名称：</w:t>
      </w:r>
      <w:r>
        <w:rPr>
          <w:rFonts w:hint="eastAsia"/>
        </w:rPr>
        <w:t>湖州职业技术学院虚拟仿真实训教学管理平台等软件采购项目</w:t>
      </w:r>
    </w:p>
    <w:p w14:paraId="4EF0FDBC">
      <w:pPr>
        <w:rPr>
          <w:b/>
          <w:bCs/>
        </w:rPr>
      </w:pPr>
      <w:r>
        <w:rPr>
          <w:rFonts w:hint="eastAsia"/>
          <w:b/>
          <w:bCs/>
        </w:rPr>
        <w:t>二、采购范围：</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6095"/>
        <w:gridCol w:w="1694"/>
      </w:tblGrid>
      <w:tr w14:paraId="594F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3B96D745">
            <w:pPr>
              <w:jc w:val="center"/>
            </w:pPr>
            <w:r>
              <w:rPr>
                <w:rFonts w:hint="eastAsia"/>
              </w:rPr>
              <w:t>标项</w:t>
            </w:r>
          </w:p>
        </w:tc>
        <w:tc>
          <w:tcPr>
            <w:tcW w:w="6095" w:type="dxa"/>
            <w:vAlign w:val="center"/>
          </w:tcPr>
          <w:p w14:paraId="2A855510">
            <w:pPr>
              <w:jc w:val="center"/>
            </w:pPr>
            <w:r>
              <w:rPr>
                <w:rFonts w:hint="eastAsia"/>
              </w:rPr>
              <w:t>内容</w:t>
            </w:r>
          </w:p>
        </w:tc>
        <w:tc>
          <w:tcPr>
            <w:tcW w:w="1694" w:type="dxa"/>
            <w:vAlign w:val="center"/>
          </w:tcPr>
          <w:p w14:paraId="7A8338E6">
            <w:pPr>
              <w:jc w:val="center"/>
            </w:pPr>
            <w:r>
              <w:rPr>
                <w:rFonts w:hint="eastAsia"/>
              </w:rPr>
              <w:t>预算金额</w:t>
            </w:r>
          </w:p>
        </w:tc>
      </w:tr>
      <w:tr w14:paraId="7516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253488A1">
            <w:pPr>
              <w:jc w:val="center"/>
            </w:pPr>
            <w:r>
              <w:rPr>
                <w:rFonts w:hint="eastAsia"/>
              </w:rPr>
              <w:t>标项一</w:t>
            </w:r>
          </w:p>
        </w:tc>
        <w:tc>
          <w:tcPr>
            <w:tcW w:w="6095" w:type="dxa"/>
            <w:vAlign w:val="center"/>
          </w:tcPr>
          <w:p w14:paraId="74E5C3E9">
            <w:pPr>
              <w:jc w:val="center"/>
            </w:pPr>
            <w:r>
              <w:rPr>
                <w:rFonts w:hint="eastAsia" w:ascii="微软雅黑" w:hAnsi="微软雅黑" w:cs="微软雅黑"/>
              </w:rPr>
              <w:t>电梯智能设计实训室设备采购项目</w:t>
            </w:r>
          </w:p>
        </w:tc>
        <w:tc>
          <w:tcPr>
            <w:tcW w:w="1694" w:type="dxa"/>
            <w:vAlign w:val="center"/>
          </w:tcPr>
          <w:p w14:paraId="02E6B065">
            <w:pPr>
              <w:jc w:val="center"/>
            </w:pPr>
            <w:r>
              <w:rPr>
                <w:rFonts w:hint="eastAsia"/>
              </w:rPr>
              <w:t>46万元</w:t>
            </w:r>
          </w:p>
        </w:tc>
      </w:tr>
      <w:tr w14:paraId="2124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05DB9846">
            <w:pPr>
              <w:jc w:val="center"/>
            </w:pPr>
            <w:r>
              <w:rPr>
                <w:rFonts w:hint="eastAsia"/>
              </w:rPr>
              <w:t>标项二</w:t>
            </w:r>
          </w:p>
        </w:tc>
        <w:tc>
          <w:tcPr>
            <w:tcW w:w="6095" w:type="dxa"/>
            <w:vAlign w:val="center"/>
          </w:tcPr>
          <w:p w14:paraId="4F114BA1">
            <w:pPr>
              <w:jc w:val="center"/>
            </w:pPr>
            <w:r>
              <w:rPr>
                <w:rFonts w:hint="eastAsia" w:ascii="微软雅黑" w:hAnsi="微软雅黑" w:cs="微软雅黑"/>
              </w:rPr>
              <w:t>智慧财经实训项目一期</w:t>
            </w:r>
          </w:p>
        </w:tc>
        <w:tc>
          <w:tcPr>
            <w:tcW w:w="1694" w:type="dxa"/>
            <w:vAlign w:val="center"/>
          </w:tcPr>
          <w:p w14:paraId="07EF13E3">
            <w:pPr>
              <w:jc w:val="center"/>
            </w:pPr>
            <w:r>
              <w:rPr>
                <w:rFonts w:hint="eastAsia"/>
              </w:rPr>
              <w:t>35万元</w:t>
            </w:r>
          </w:p>
        </w:tc>
      </w:tr>
      <w:tr w14:paraId="1522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1E2A9683">
            <w:pPr>
              <w:jc w:val="center"/>
            </w:pPr>
            <w:r>
              <w:rPr>
                <w:rFonts w:hint="eastAsia"/>
              </w:rPr>
              <w:t>标项三</w:t>
            </w:r>
          </w:p>
        </w:tc>
        <w:tc>
          <w:tcPr>
            <w:tcW w:w="6095" w:type="dxa"/>
            <w:vAlign w:val="center"/>
          </w:tcPr>
          <w:p w14:paraId="56B7AEAD">
            <w:pPr>
              <w:jc w:val="center"/>
            </w:pPr>
            <w:r>
              <w:rPr>
                <w:rFonts w:hint="eastAsia" w:ascii="微软雅黑" w:hAnsi="微软雅黑" w:cs="微软雅黑"/>
              </w:rPr>
              <w:t>虚拟仿真实训教学管理及资源共享平台设备采购项目</w:t>
            </w:r>
          </w:p>
        </w:tc>
        <w:tc>
          <w:tcPr>
            <w:tcW w:w="1694" w:type="dxa"/>
            <w:vAlign w:val="center"/>
          </w:tcPr>
          <w:p w14:paraId="48CB5F96">
            <w:pPr>
              <w:jc w:val="center"/>
            </w:pPr>
            <w:r>
              <w:rPr>
                <w:rFonts w:hint="eastAsia"/>
              </w:rPr>
              <w:t>29万元</w:t>
            </w:r>
          </w:p>
        </w:tc>
      </w:tr>
    </w:tbl>
    <w:p w14:paraId="0BA74233">
      <w:pPr>
        <w:ind w:firstLine="482" w:firstLineChars="200"/>
      </w:pPr>
      <w:r>
        <w:rPr>
          <w:rFonts w:hint="eastAsia"/>
          <w:b/>
          <w:bCs/>
        </w:rPr>
        <w:t>注：本项目共三个标项，每个标项确定1家中标供应商，供应商可以自行选择参与的标项（即可以同时参与三个标项的投标，也可以选择其中任意标项投标），但不允许同时中标，同一供应商只能中一个标项。标项一中标供应商不再推荐为标项二、三的中标供应商，其投标文件仍然进入对应标项的评审。标项二中标供应商不再推荐为标项三的中标供应商，以此类推。第一中标候选人放弃中标资格的,则由采购人按该标项中标候选人排序依次选取。</w:t>
      </w:r>
    </w:p>
    <w:p w14:paraId="67DC3064">
      <w:pPr>
        <w:rPr>
          <w:b/>
          <w:bCs/>
        </w:rPr>
      </w:pPr>
      <w:r>
        <w:rPr>
          <w:rFonts w:hint="eastAsia"/>
          <w:b/>
          <w:bCs/>
        </w:rPr>
        <w:t>三、采购内容</w:t>
      </w:r>
    </w:p>
    <w:p w14:paraId="09D82674">
      <w:pPr>
        <w:rPr>
          <w:b/>
          <w:bCs/>
        </w:rPr>
      </w:pPr>
      <w:r>
        <w:rPr>
          <w:rFonts w:hint="eastAsia"/>
          <w:b/>
          <w:bCs/>
        </w:rPr>
        <w:t>标项一：</w:t>
      </w:r>
    </w:p>
    <w:p w14:paraId="06838965">
      <w:pPr>
        <w:rPr>
          <w:b/>
          <w:bCs/>
        </w:rPr>
      </w:pPr>
      <w:r>
        <w:rPr>
          <w:rFonts w:hint="eastAsia"/>
          <w:b/>
          <w:bCs/>
        </w:rPr>
        <w:t>1、</w:t>
      </w:r>
      <w:r>
        <w:rPr>
          <w:rFonts w:hint="eastAsia" w:ascii="微软雅黑" w:hAnsi="微软雅黑" w:cs="微软雅黑"/>
          <w:b/>
          <w:bCs/>
        </w:rPr>
        <w:t>招标清单：</w:t>
      </w:r>
    </w:p>
    <w:tbl>
      <w:tblPr>
        <w:tblStyle w:val="21"/>
        <w:tblW w:w="5118" w:type="pct"/>
        <w:tblInd w:w="-205" w:type="dxa"/>
        <w:tblLayout w:type="autofit"/>
        <w:tblCellMar>
          <w:top w:w="0" w:type="dxa"/>
          <w:left w:w="108" w:type="dxa"/>
          <w:bottom w:w="0" w:type="dxa"/>
          <w:right w:w="108" w:type="dxa"/>
        </w:tblCellMar>
      </w:tblPr>
      <w:tblGrid>
        <w:gridCol w:w="1426"/>
        <w:gridCol w:w="5104"/>
        <w:gridCol w:w="1487"/>
        <w:gridCol w:w="1488"/>
      </w:tblGrid>
      <w:tr w14:paraId="2BCE6969">
        <w:tblPrEx>
          <w:tblCellMar>
            <w:top w:w="0" w:type="dxa"/>
            <w:left w:w="108" w:type="dxa"/>
            <w:bottom w:w="0" w:type="dxa"/>
            <w:right w:w="108" w:type="dxa"/>
          </w:tblCellMar>
        </w:tblPrEx>
        <w:trPr>
          <w:trHeight w:val="370"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1853A">
            <w:pPr>
              <w:widowControl/>
              <w:adjustRightInd w:val="0"/>
              <w:snapToGrid w:val="0"/>
              <w:jc w:val="center"/>
              <w:textAlignment w:val="center"/>
              <w:rPr>
                <w:rFonts w:cs="宋体"/>
                <w:b/>
                <w:bCs/>
                <w:color w:val="000000"/>
                <w:sz w:val="22"/>
              </w:rPr>
            </w:pPr>
            <w:r>
              <w:rPr>
                <w:rFonts w:hint="eastAsia" w:cs="宋体"/>
                <w:b/>
                <w:bCs/>
                <w:color w:val="000000"/>
                <w:kern w:val="0"/>
                <w:sz w:val="22"/>
                <w:lang w:bidi="ar"/>
              </w:rPr>
              <w:t>序号</w:t>
            </w:r>
          </w:p>
        </w:tc>
        <w:tc>
          <w:tcPr>
            <w:tcW w:w="2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AF07">
            <w:pPr>
              <w:widowControl/>
              <w:adjustRightInd w:val="0"/>
              <w:snapToGrid w:val="0"/>
              <w:jc w:val="center"/>
              <w:textAlignment w:val="center"/>
              <w:rPr>
                <w:rFonts w:cs="宋体"/>
                <w:b/>
                <w:bCs/>
                <w:color w:val="000000"/>
                <w:sz w:val="22"/>
              </w:rPr>
            </w:pPr>
            <w:r>
              <w:rPr>
                <w:rFonts w:hint="eastAsia" w:cs="宋体"/>
                <w:b/>
                <w:bCs/>
                <w:color w:val="000000"/>
                <w:kern w:val="0"/>
                <w:sz w:val="22"/>
                <w:lang w:bidi="ar"/>
              </w:rPr>
              <w:t>设备/软件名称</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F2491">
            <w:pPr>
              <w:widowControl/>
              <w:adjustRightInd w:val="0"/>
              <w:snapToGrid w:val="0"/>
              <w:jc w:val="center"/>
              <w:textAlignment w:val="center"/>
              <w:rPr>
                <w:rFonts w:cs="宋体"/>
                <w:b/>
                <w:bCs/>
                <w:color w:val="000000"/>
                <w:sz w:val="22"/>
              </w:rPr>
            </w:pPr>
            <w:r>
              <w:rPr>
                <w:rFonts w:hint="eastAsia" w:cs="宋体"/>
                <w:b/>
                <w:bCs/>
                <w:color w:val="000000"/>
                <w:kern w:val="0"/>
                <w:sz w:val="22"/>
                <w:lang w:bidi="ar"/>
              </w:rPr>
              <w:t>数量</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1E4B0">
            <w:pPr>
              <w:widowControl/>
              <w:adjustRightInd w:val="0"/>
              <w:snapToGrid w:val="0"/>
              <w:jc w:val="center"/>
              <w:textAlignment w:val="center"/>
              <w:rPr>
                <w:rFonts w:cs="宋体"/>
                <w:b/>
                <w:bCs/>
                <w:color w:val="000000"/>
                <w:kern w:val="0"/>
                <w:sz w:val="22"/>
                <w:lang w:bidi="ar"/>
              </w:rPr>
            </w:pPr>
            <w:r>
              <w:rPr>
                <w:rFonts w:hint="eastAsia" w:cs="宋体"/>
                <w:b/>
                <w:bCs/>
                <w:color w:val="000000"/>
                <w:kern w:val="0"/>
                <w:sz w:val="22"/>
                <w:lang w:bidi="ar"/>
              </w:rPr>
              <w:t>备注</w:t>
            </w:r>
          </w:p>
        </w:tc>
      </w:tr>
      <w:tr w14:paraId="22A87A35">
        <w:tblPrEx>
          <w:tblCellMar>
            <w:top w:w="0" w:type="dxa"/>
            <w:left w:w="108" w:type="dxa"/>
            <w:bottom w:w="0" w:type="dxa"/>
            <w:right w:w="108" w:type="dxa"/>
          </w:tblCellMar>
        </w:tblPrEx>
        <w:trPr>
          <w:trHeight w:val="370"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D8392">
            <w:pPr>
              <w:snapToGrid w:val="0"/>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w:t>
            </w:r>
          </w:p>
        </w:tc>
        <w:tc>
          <w:tcPr>
            <w:tcW w:w="2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56ACD">
            <w:pPr>
              <w:widowControl/>
              <w:jc w:val="center"/>
              <w:textAlignment w:val="center"/>
              <w:rPr>
                <w:rFonts w:cs="宋体"/>
                <w:color w:val="000000" w:themeColor="text1"/>
                <w14:textFill>
                  <w14:solidFill>
                    <w14:schemeClr w14:val="tx1"/>
                  </w14:solidFill>
                </w14:textFill>
              </w:rPr>
            </w:pPr>
            <w:r>
              <w:rPr>
                <w:rFonts w:hint="eastAsia" w:asciiTheme="majorEastAsia" w:hAnsiTheme="majorEastAsia" w:eastAsiaTheme="majorEastAsia"/>
                <w:sz w:val="21"/>
                <w:szCs w:val="21"/>
              </w:rPr>
              <w:t>电梯数字化实训平台功能</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7FB1E">
            <w:pPr>
              <w:widowControl/>
              <w:jc w:val="center"/>
              <w:textAlignment w:val="center"/>
              <w:rPr>
                <w:rFonts w:cs="宋体"/>
                <w:color w:val="000000"/>
                <w:kern w:val="0"/>
                <w:sz w:val="22"/>
                <w:lang w:bidi="ar"/>
              </w:rPr>
            </w:pPr>
            <w:r>
              <w:rPr>
                <w:rFonts w:hint="eastAsia" w:cs="宋体"/>
                <w:color w:val="000000"/>
                <w:kern w:val="0"/>
                <w:sz w:val="22"/>
                <w:lang w:bidi="ar"/>
              </w:rPr>
              <w:t>46台</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74DBE">
            <w:pPr>
              <w:widowControl/>
              <w:adjustRightInd w:val="0"/>
              <w:snapToGrid w:val="0"/>
              <w:jc w:val="center"/>
              <w:textAlignment w:val="center"/>
              <w:rPr>
                <w:rFonts w:cs="宋体"/>
                <w:color w:val="000000"/>
                <w:kern w:val="0"/>
                <w:sz w:val="20"/>
                <w:szCs w:val="20"/>
                <w:lang w:bidi="ar"/>
              </w:rPr>
            </w:pPr>
          </w:p>
        </w:tc>
      </w:tr>
      <w:tr w14:paraId="678B9C0D">
        <w:tblPrEx>
          <w:tblCellMar>
            <w:top w:w="0" w:type="dxa"/>
            <w:left w:w="108" w:type="dxa"/>
            <w:bottom w:w="0" w:type="dxa"/>
            <w:right w:w="108" w:type="dxa"/>
          </w:tblCellMar>
        </w:tblPrEx>
        <w:trPr>
          <w:trHeight w:val="370"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0AEE9">
            <w:pPr>
              <w:snapToGrid w:val="0"/>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w:t>
            </w:r>
          </w:p>
        </w:tc>
        <w:tc>
          <w:tcPr>
            <w:tcW w:w="2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328F3">
            <w:pPr>
              <w:widowControl/>
              <w:jc w:val="center"/>
              <w:textAlignment w:val="center"/>
              <w:rPr>
                <w:rFonts w:cs="宋体"/>
                <w:color w:val="000000"/>
                <w:kern w:val="0"/>
                <w:sz w:val="22"/>
                <w:lang w:bidi="ar"/>
              </w:rPr>
            </w:pPr>
            <w:r>
              <w:rPr>
                <w:rFonts w:hint="eastAsia" w:asciiTheme="majorEastAsia" w:hAnsiTheme="majorEastAsia" w:eastAsiaTheme="majorEastAsia"/>
                <w:sz w:val="21"/>
                <w:szCs w:val="21"/>
              </w:rPr>
              <w:t>电梯数字化实训平台建设</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6B4A5">
            <w:pPr>
              <w:widowControl/>
              <w:jc w:val="center"/>
              <w:textAlignment w:val="center"/>
              <w:rPr>
                <w:rFonts w:cs="宋体"/>
                <w:color w:val="000000"/>
                <w:kern w:val="0"/>
                <w:sz w:val="22"/>
                <w:lang w:bidi="ar"/>
              </w:rPr>
            </w:pPr>
            <w:r>
              <w:rPr>
                <w:rFonts w:hint="eastAsia" w:cs="宋体"/>
                <w:color w:val="000000"/>
                <w:kern w:val="0"/>
                <w:sz w:val="22"/>
                <w:lang w:bidi="ar"/>
              </w:rPr>
              <w:t>/</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3C2EE">
            <w:pPr>
              <w:widowControl/>
              <w:adjustRightInd w:val="0"/>
              <w:snapToGrid w:val="0"/>
              <w:jc w:val="center"/>
              <w:textAlignment w:val="center"/>
              <w:rPr>
                <w:rFonts w:cs="宋体"/>
                <w:color w:val="000000"/>
                <w:kern w:val="0"/>
                <w:sz w:val="20"/>
                <w:szCs w:val="20"/>
                <w:lang w:bidi="ar"/>
              </w:rPr>
            </w:pPr>
          </w:p>
        </w:tc>
      </w:tr>
    </w:tbl>
    <w:p w14:paraId="23CFB897">
      <w:pPr>
        <w:rPr>
          <w:b/>
          <w:bCs/>
        </w:rPr>
      </w:pPr>
      <w:r>
        <w:rPr>
          <w:rFonts w:hint="eastAsia" w:ascii="微软雅黑" w:hAnsi="微软雅黑" w:eastAsia="微软雅黑" w:cs="微软雅黑"/>
          <w:b/>
          <w:bCs/>
          <w:sz w:val="21"/>
          <w:szCs w:val="21"/>
        </w:rPr>
        <w:t>设备功能配置技术要求：</w:t>
      </w:r>
    </w:p>
    <w:tbl>
      <w:tblPr>
        <w:tblStyle w:val="21"/>
        <w:tblW w:w="4849" w:type="pct"/>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456"/>
        <w:gridCol w:w="537"/>
        <w:gridCol w:w="7557"/>
      </w:tblGrid>
      <w:tr w14:paraId="4C0E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253" w:type="pct"/>
            <w:vAlign w:val="center"/>
          </w:tcPr>
          <w:p w14:paraId="42AC90F3">
            <w:pPr>
              <w:widowControl/>
              <w:snapToGrid w:val="0"/>
              <w:spacing w:line="240" w:lineRule="auto"/>
              <w:rPr>
                <w:b/>
                <w:bCs/>
                <w:sz w:val="21"/>
                <w:szCs w:val="21"/>
              </w:rPr>
            </w:pPr>
            <w:r>
              <w:rPr>
                <w:rFonts w:hint="eastAsia"/>
                <w:b/>
                <w:bCs/>
                <w:sz w:val="21"/>
                <w:szCs w:val="21"/>
              </w:rPr>
              <w:t>序号</w:t>
            </w:r>
          </w:p>
        </w:tc>
        <w:tc>
          <w:tcPr>
            <w:tcW w:w="253" w:type="pct"/>
            <w:vAlign w:val="center"/>
          </w:tcPr>
          <w:p w14:paraId="5C6DB25D">
            <w:pPr>
              <w:widowControl/>
              <w:snapToGrid w:val="0"/>
              <w:spacing w:line="240" w:lineRule="auto"/>
              <w:rPr>
                <w:b/>
                <w:bCs/>
                <w:sz w:val="21"/>
                <w:szCs w:val="21"/>
              </w:rPr>
            </w:pPr>
            <w:r>
              <w:rPr>
                <w:rFonts w:hint="eastAsia"/>
                <w:b/>
                <w:bCs/>
                <w:sz w:val="21"/>
                <w:szCs w:val="21"/>
              </w:rPr>
              <w:t>货物名称</w:t>
            </w:r>
          </w:p>
        </w:tc>
        <w:tc>
          <w:tcPr>
            <w:tcW w:w="298" w:type="pct"/>
            <w:vAlign w:val="center"/>
          </w:tcPr>
          <w:p w14:paraId="1A0F0F4D">
            <w:pPr>
              <w:widowControl/>
              <w:snapToGrid w:val="0"/>
              <w:spacing w:line="240" w:lineRule="auto"/>
              <w:rPr>
                <w:b/>
                <w:bCs/>
                <w:sz w:val="21"/>
                <w:szCs w:val="21"/>
              </w:rPr>
            </w:pPr>
            <w:r>
              <w:rPr>
                <w:rFonts w:hint="eastAsia"/>
                <w:b/>
                <w:bCs/>
                <w:sz w:val="21"/>
                <w:szCs w:val="21"/>
              </w:rPr>
              <w:t>数量/单位</w:t>
            </w:r>
          </w:p>
        </w:tc>
        <w:tc>
          <w:tcPr>
            <w:tcW w:w="4193" w:type="pct"/>
            <w:vAlign w:val="center"/>
          </w:tcPr>
          <w:p w14:paraId="762AE66F">
            <w:pPr>
              <w:widowControl/>
              <w:snapToGrid w:val="0"/>
              <w:spacing w:line="240" w:lineRule="auto"/>
              <w:jc w:val="center"/>
              <w:rPr>
                <w:b/>
                <w:bCs/>
                <w:sz w:val="21"/>
                <w:szCs w:val="21"/>
              </w:rPr>
            </w:pPr>
            <w:r>
              <w:rPr>
                <w:rFonts w:hint="eastAsia"/>
                <w:b/>
                <w:bCs/>
                <w:sz w:val="21"/>
                <w:szCs w:val="21"/>
              </w:rPr>
              <w:t>规格及参数</w:t>
            </w:r>
          </w:p>
        </w:tc>
      </w:tr>
      <w:tr w14:paraId="5F68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3" w:type="pct"/>
            <w:vAlign w:val="center"/>
          </w:tcPr>
          <w:p w14:paraId="32CD56C2">
            <w:pPr>
              <w:widowControl/>
              <w:snapToGrid w:val="0"/>
              <w:spacing w:line="4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1</w:t>
            </w:r>
          </w:p>
        </w:tc>
        <w:tc>
          <w:tcPr>
            <w:tcW w:w="253" w:type="pct"/>
            <w:vAlign w:val="center"/>
          </w:tcPr>
          <w:p w14:paraId="5A3014D3">
            <w:pPr>
              <w:widowControl/>
              <w:snapToGrid w:val="0"/>
              <w:spacing w:line="4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电梯数字化实训平台功能</w:t>
            </w:r>
          </w:p>
        </w:tc>
        <w:tc>
          <w:tcPr>
            <w:tcW w:w="298" w:type="pct"/>
            <w:vAlign w:val="center"/>
          </w:tcPr>
          <w:p w14:paraId="5FC79B09">
            <w:pPr>
              <w:widowControl/>
              <w:snapToGrid w:val="0"/>
              <w:spacing w:line="4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46套</w:t>
            </w:r>
          </w:p>
        </w:tc>
        <w:tc>
          <w:tcPr>
            <w:tcW w:w="4193" w:type="pct"/>
          </w:tcPr>
          <w:p w14:paraId="64643BBE">
            <w:pPr>
              <w:rPr>
                <w:sz w:val="21"/>
                <w:szCs w:val="21"/>
              </w:rPr>
            </w:pPr>
            <w:r>
              <w:rPr>
                <w:rFonts w:hint="eastAsia"/>
                <w:sz w:val="21"/>
                <w:szCs w:val="21"/>
              </w:rPr>
              <w:t>1、界面风格：</w:t>
            </w:r>
          </w:p>
          <w:p w14:paraId="319C1488">
            <w:pPr>
              <w:rPr>
                <w:sz w:val="21"/>
                <w:szCs w:val="21"/>
              </w:rPr>
            </w:pPr>
            <w:r>
              <w:rPr>
                <w:rFonts w:hint="eastAsia"/>
                <w:sz w:val="21"/>
                <w:szCs w:val="21"/>
              </w:rPr>
              <w:t>软件用户交互模式须为完全的Windows风格，软件功能界面分区合理清晰，提供全中文界面，界面一致，菜单统一，图形交互界面友好，易学易用。</w:t>
            </w:r>
          </w:p>
          <w:p w14:paraId="7A9F44A2">
            <w:pPr>
              <w:rPr>
                <w:sz w:val="21"/>
                <w:szCs w:val="21"/>
              </w:rPr>
            </w:pPr>
            <w:r>
              <w:rPr>
                <w:rFonts w:hint="eastAsia"/>
                <w:sz w:val="21"/>
                <w:szCs w:val="21"/>
              </w:rPr>
              <w:t>2、三维建模：</w:t>
            </w:r>
            <w:r>
              <w:rPr>
                <w:rFonts w:hint="eastAsia" w:ascii="黑体" w:hAnsi="黑体" w:eastAsia="黑体"/>
                <w:sz w:val="20"/>
                <w:szCs w:val="21"/>
              </w:rPr>
              <w:t>★</w:t>
            </w:r>
          </w:p>
          <w:p w14:paraId="256C8232">
            <w:pPr>
              <w:rPr>
                <w:sz w:val="21"/>
                <w:szCs w:val="21"/>
              </w:rPr>
            </w:pPr>
            <w:r>
              <w:rPr>
                <w:rFonts w:hint="eastAsia"/>
                <w:sz w:val="21"/>
                <w:szCs w:val="21"/>
              </w:rPr>
              <w:t>（1） 支持灵活的参数化建模，可根据零部件特点与复杂程度进行非参、部分参数或全参数化建模，可以在设计过程中或者设计完成后，进行参数化处理；</w:t>
            </w:r>
          </w:p>
          <w:p w14:paraId="7FE7426E">
            <w:pPr>
              <w:rPr>
                <w:sz w:val="21"/>
                <w:szCs w:val="21"/>
              </w:rPr>
            </w:pPr>
            <w:r>
              <w:rPr>
                <w:rFonts w:hint="eastAsia"/>
                <w:sz w:val="21"/>
                <w:szCs w:val="21"/>
              </w:rPr>
              <w:t>（2） 支持多几何体与布尔运算建模技术，以满足复杂零件建模需求，包括支持几何体相加、相减、相交、相互修剪；</w:t>
            </w:r>
          </w:p>
          <w:p w14:paraId="1E8FCD51">
            <w:pPr>
              <w:rPr>
                <w:sz w:val="21"/>
                <w:szCs w:val="21"/>
              </w:rPr>
            </w:pPr>
            <w:r>
              <w:rPr>
                <w:rFonts w:hint="eastAsia"/>
                <w:sz w:val="21"/>
                <w:szCs w:val="21"/>
              </w:rPr>
              <w:t>（3） 支持复杂实体的建模与编辑能力，包括：扫掠、混合、多截面实体、抽壳、移除面、替换面、阵列、曲面缝合生成实体、曲面包络生成实体等一系列实体建模与编辑工具；</w:t>
            </w:r>
          </w:p>
          <w:p w14:paraId="718927F3">
            <w:pPr>
              <w:rPr>
                <w:sz w:val="21"/>
                <w:szCs w:val="21"/>
              </w:rPr>
            </w:pPr>
            <w:r>
              <w:rPr>
                <w:rFonts w:hint="eastAsia"/>
                <w:sz w:val="21"/>
                <w:szCs w:val="21"/>
              </w:rPr>
              <w:t>（4） 支持钣金设计，可以在折弯状态或者展平状态进行钣金特征创建并编辑；提供直观方便的草图分析工具；支持紧固件快速装配，支持成套标准件自动安装，支持标准件替换和更新；</w:t>
            </w:r>
          </w:p>
          <w:p w14:paraId="2D9EB196">
            <w:pPr>
              <w:rPr>
                <w:sz w:val="21"/>
                <w:szCs w:val="21"/>
              </w:rPr>
            </w:pPr>
            <w:r>
              <w:rPr>
                <w:rFonts w:hint="eastAsia"/>
                <w:sz w:val="21"/>
                <w:szCs w:val="21"/>
              </w:rPr>
              <w:t>（5） 支持全参数化设计，建模过程中的尺寸标注、特征参数等会自动同步到变量表中，支持在变量表中管理所有参数；</w:t>
            </w:r>
          </w:p>
          <w:p w14:paraId="39D5B1AB">
            <w:pPr>
              <w:rPr>
                <w:sz w:val="21"/>
                <w:szCs w:val="21"/>
              </w:rPr>
            </w:pPr>
            <w:r>
              <w:rPr>
                <w:rFonts w:hint="eastAsia"/>
                <w:sz w:val="21"/>
                <w:szCs w:val="21"/>
              </w:rPr>
              <w:t>（6） 支持创建变量、函数、方程式、变量规则，支持变量之间的链接关系，通过变量驱动生成模型。</w:t>
            </w:r>
          </w:p>
          <w:p w14:paraId="7CDF4DDA">
            <w:pPr>
              <w:rPr>
                <w:sz w:val="21"/>
                <w:szCs w:val="21"/>
              </w:rPr>
            </w:pPr>
            <w:r>
              <w:rPr>
                <w:rFonts w:hint="eastAsia"/>
                <w:sz w:val="21"/>
                <w:szCs w:val="21"/>
              </w:rPr>
              <w:t>3、参数化驱动工具：</w:t>
            </w:r>
            <w:r>
              <w:rPr>
                <w:rFonts w:hint="eastAsia" w:ascii="黑体" w:hAnsi="黑体" w:eastAsia="黑体"/>
                <w:sz w:val="20"/>
                <w:szCs w:val="21"/>
              </w:rPr>
              <w:t>★</w:t>
            </w:r>
          </w:p>
          <w:p w14:paraId="54ECF98E">
            <w:pPr>
              <w:ind w:firstLine="210" w:firstLineChars="100"/>
              <w:rPr>
                <w:sz w:val="21"/>
                <w:szCs w:val="21"/>
              </w:rPr>
            </w:pPr>
            <w:r>
              <w:rPr>
                <w:rFonts w:hint="eastAsia"/>
                <w:sz w:val="21"/>
                <w:szCs w:val="21"/>
              </w:rPr>
              <w:t xml:space="preserve"> 可以将参数化模型通过界面填写参数，后台参数驱动模型与更新图纸，支持装配级的参数驱动，支持数据重复编辑，支持批量修改模型文件名称与属性；</w:t>
            </w:r>
          </w:p>
          <w:p w14:paraId="7698401F">
            <w:pPr>
              <w:rPr>
                <w:sz w:val="21"/>
                <w:szCs w:val="21"/>
              </w:rPr>
            </w:pPr>
            <w:r>
              <w:rPr>
                <w:rFonts w:hint="eastAsia"/>
                <w:sz w:val="21"/>
                <w:szCs w:val="21"/>
              </w:rPr>
              <w:t>4、高级装配</w:t>
            </w:r>
          </w:p>
          <w:p w14:paraId="4FE2781C">
            <w:pPr>
              <w:pStyle w:val="4"/>
              <w:rPr>
                <w:sz w:val="22"/>
                <w:szCs w:val="22"/>
              </w:rPr>
            </w:pPr>
            <w:r>
              <w:rPr>
                <w:rFonts w:hint="eastAsia" w:asciiTheme="majorEastAsia" w:hAnsiTheme="majorEastAsia" w:eastAsiaTheme="majorEastAsia"/>
                <w:sz w:val="22"/>
                <w:szCs w:val="21"/>
              </w:rPr>
              <w:t xml:space="preserve">（1） </w:t>
            </w:r>
            <w:r>
              <w:rPr>
                <w:rFonts w:hint="eastAsia"/>
                <w:sz w:val="22"/>
                <w:szCs w:val="22"/>
              </w:rPr>
              <w:t>支持自顶向下的产品设计方式，可以通过定义专门的骨架文件，实现对整体产品的参数化驱动。</w:t>
            </w:r>
          </w:p>
          <w:p w14:paraId="3CEED059">
            <w:pPr>
              <w:rPr>
                <w:rFonts w:asciiTheme="majorEastAsia" w:hAnsiTheme="majorEastAsia" w:eastAsiaTheme="majorEastAsia"/>
                <w:sz w:val="21"/>
                <w:szCs w:val="21"/>
              </w:rPr>
            </w:pPr>
            <w:r>
              <w:rPr>
                <w:rFonts w:hint="eastAsia" w:asciiTheme="majorEastAsia" w:hAnsiTheme="majorEastAsia" w:eastAsiaTheme="majorEastAsia"/>
                <w:sz w:val="21"/>
                <w:szCs w:val="21"/>
              </w:rPr>
              <w:t>（2） 支持丰富的装配建模与编辑能力，包括：快速实例化、镜像、替换、自动装配、自动约束等；</w:t>
            </w:r>
          </w:p>
          <w:p w14:paraId="70635463">
            <w:pPr>
              <w:rPr>
                <w:rFonts w:asciiTheme="majorEastAsia" w:hAnsiTheme="majorEastAsia" w:eastAsiaTheme="majorEastAsia"/>
                <w:sz w:val="21"/>
                <w:szCs w:val="21"/>
              </w:rPr>
            </w:pPr>
            <w:r>
              <w:rPr>
                <w:rFonts w:hint="eastAsia" w:asciiTheme="majorEastAsia" w:hAnsiTheme="majorEastAsia" w:eastAsiaTheme="majorEastAsia"/>
                <w:sz w:val="21"/>
                <w:szCs w:val="21"/>
              </w:rPr>
              <w:t>（3） 支持丰富的装配建模与编辑能力，包括：快速实例化、镜像、替换、自动装配、自动约束等；</w:t>
            </w:r>
          </w:p>
          <w:p w14:paraId="573C13E2">
            <w:pPr>
              <w:rPr>
                <w:rFonts w:asciiTheme="majorEastAsia" w:hAnsiTheme="majorEastAsia" w:eastAsiaTheme="majorEastAsia"/>
                <w:sz w:val="21"/>
                <w:szCs w:val="21"/>
              </w:rPr>
            </w:pPr>
            <w:r>
              <w:rPr>
                <w:rFonts w:hint="eastAsia" w:asciiTheme="majorEastAsia" w:hAnsiTheme="majorEastAsia" w:eastAsiaTheme="majorEastAsia"/>
                <w:sz w:val="21"/>
                <w:szCs w:val="21"/>
              </w:rPr>
              <w:t>（4） 支持将装配生成关联零件，当装配发生变化时，关联零件能够同步更新；</w:t>
            </w:r>
          </w:p>
          <w:p w14:paraId="1802A2E0">
            <w:pPr>
              <w:rPr>
                <w:rFonts w:asciiTheme="majorEastAsia" w:hAnsiTheme="majorEastAsia" w:eastAsiaTheme="majorEastAsia"/>
                <w:sz w:val="21"/>
                <w:szCs w:val="21"/>
              </w:rPr>
            </w:pPr>
            <w:r>
              <w:rPr>
                <w:rFonts w:hint="eastAsia" w:asciiTheme="majorEastAsia" w:hAnsiTheme="majorEastAsia" w:eastAsiaTheme="majorEastAsia"/>
                <w:sz w:val="21"/>
                <w:szCs w:val="21"/>
              </w:rPr>
              <w:t>（5） 支持丰富的数字样机分析功能，包括静态干涉检查，动态干涉检查，截面分析、接触分析等；</w:t>
            </w:r>
          </w:p>
          <w:p w14:paraId="0E5EED0A">
            <w:pPr>
              <w:rPr>
                <w:rFonts w:asciiTheme="majorEastAsia" w:hAnsiTheme="majorEastAsia" w:eastAsiaTheme="majorEastAsia"/>
                <w:sz w:val="21"/>
                <w:szCs w:val="21"/>
              </w:rPr>
            </w:pPr>
            <w:r>
              <w:rPr>
                <w:rFonts w:hint="eastAsia" w:asciiTheme="majorEastAsia" w:hAnsiTheme="majorEastAsia" w:eastAsiaTheme="majorEastAsia"/>
                <w:sz w:val="21"/>
                <w:szCs w:val="21"/>
              </w:rPr>
              <w:t>（6） 支持快速定义干涉检查对象，可选择全部检查、指定对象检查、分组检查等；</w:t>
            </w:r>
          </w:p>
          <w:p w14:paraId="3D49C263">
            <w:pPr>
              <w:rPr>
                <w:rFonts w:asciiTheme="majorEastAsia" w:hAnsiTheme="majorEastAsia" w:eastAsiaTheme="majorEastAsia"/>
                <w:sz w:val="21"/>
                <w:szCs w:val="21"/>
              </w:rPr>
            </w:pPr>
            <w:r>
              <w:rPr>
                <w:rFonts w:hint="eastAsia" w:asciiTheme="majorEastAsia" w:hAnsiTheme="majorEastAsia" w:eastAsiaTheme="majorEastAsia"/>
                <w:sz w:val="21"/>
                <w:szCs w:val="21"/>
              </w:rPr>
              <w:t>（7） 支持对产品的动态拆解，进行装配拆解过程模拟；</w:t>
            </w:r>
          </w:p>
          <w:p w14:paraId="2F871BF5">
            <w:pPr>
              <w:rPr>
                <w:rFonts w:asciiTheme="majorEastAsia" w:hAnsiTheme="majorEastAsia" w:eastAsiaTheme="majorEastAsia"/>
                <w:sz w:val="21"/>
                <w:szCs w:val="21"/>
              </w:rPr>
            </w:pPr>
            <w:r>
              <w:rPr>
                <w:rFonts w:hint="eastAsia" w:asciiTheme="majorEastAsia" w:hAnsiTheme="majorEastAsia" w:eastAsiaTheme="majorEastAsia"/>
                <w:sz w:val="21"/>
                <w:szCs w:val="21"/>
              </w:rPr>
              <w:t>（8） 可以交互式地建立装配路径，并能方便地编辑和修改装配路径；</w:t>
            </w:r>
          </w:p>
          <w:p w14:paraId="5D838165">
            <w:pPr>
              <w:rPr>
                <w:rFonts w:asciiTheme="majorEastAsia" w:hAnsiTheme="majorEastAsia" w:eastAsiaTheme="majorEastAsia"/>
                <w:sz w:val="21"/>
                <w:szCs w:val="21"/>
              </w:rPr>
            </w:pPr>
            <w:r>
              <w:rPr>
                <w:rFonts w:hint="eastAsia" w:asciiTheme="majorEastAsia" w:hAnsiTheme="majorEastAsia" w:eastAsiaTheme="majorEastAsia"/>
                <w:sz w:val="21"/>
                <w:szCs w:val="21"/>
              </w:rPr>
              <w:t>（9） 支持定义装配仿真场景，产生装配的爆炸状态。</w:t>
            </w:r>
          </w:p>
          <w:p w14:paraId="61DAD3AE">
            <w:pPr>
              <w:rPr>
                <w:sz w:val="21"/>
                <w:szCs w:val="21"/>
              </w:rPr>
            </w:pPr>
            <w:r>
              <w:rPr>
                <w:rFonts w:hint="eastAsia"/>
                <w:sz w:val="21"/>
                <w:szCs w:val="21"/>
              </w:rPr>
              <w:t>5、工程图</w:t>
            </w:r>
          </w:p>
          <w:p w14:paraId="6E99E08D">
            <w:pPr>
              <w:rPr>
                <w:rFonts w:asciiTheme="majorEastAsia" w:hAnsiTheme="majorEastAsia" w:eastAsiaTheme="majorEastAsia"/>
                <w:sz w:val="21"/>
                <w:szCs w:val="21"/>
              </w:rPr>
            </w:pPr>
            <w:r>
              <w:rPr>
                <w:rFonts w:hint="eastAsia" w:asciiTheme="majorEastAsia" w:hAnsiTheme="majorEastAsia" w:eastAsiaTheme="majorEastAsia"/>
                <w:sz w:val="21"/>
                <w:szCs w:val="21"/>
              </w:rPr>
              <w:t>（1） 支持自动生成零部件投影视图，包括主、左、右、俯、仰、背、轴侧等各向视图，支持对各种视图进行再投影，支持自定义视图摆放位置与方向；</w:t>
            </w:r>
          </w:p>
          <w:p w14:paraId="71B817C8">
            <w:pPr>
              <w:rPr>
                <w:rFonts w:asciiTheme="majorEastAsia" w:hAnsiTheme="majorEastAsia" w:eastAsiaTheme="majorEastAsia"/>
                <w:sz w:val="21"/>
                <w:szCs w:val="21"/>
              </w:rPr>
            </w:pPr>
            <w:r>
              <w:rPr>
                <w:rFonts w:hint="eastAsia" w:asciiTheme="majorEastAsia" w:hAnsiTheme="majorEastAsia" w:eastAsiaTheme="majorEastAsia"/>
                <w:sz w:val="21"/>
                <w:szCs w:val="21"/>
              </w:rPr>
              <w:t>（2） 支持自动生成钣金二维展开图；</w:t>
            </w:r>
          </w:p>
          <w:p w14:paraId="1AF17F47">
            <w:pPr>
              <w:rPr>
                <w:rFonts w:asciiTheme="majorEastAsia" w:hAnsiTheme="majorEastAsia" w:eastAsiaTheme="majorEastAsia"/>
                <w:sz w:val="21"/>
                <w:szCs w:val="21"/>
              </w:rPr>
            </w:pPr>
            <w:r>
              <w:rPr>
                <w:rFonts w:hint="eastAsia" w:asciiTheme="majorEastAsia" w:hAnsiTheme="majorEastAsia" w:eastAsiaTheme="majorEastAsia"/>
                <w:sz w:val="21"/>
                <w:szCs w:val="21"/>
              </w:rPr>
              <w:t>（3） 支持将三维标注模型直接生成带标注的二维图；</w:t>
            </w:r>
          </w:p>
          <w:p w14:paraId="26BE2C7D">
            <w:pPr>
              <w:rPr>
                <w:rFonts w:asciiTheme="majorEastAsia" w:hAnsiTheme="majorEastAsia" w:eastAsiaTheme="majorEastAsia"/>
                <w:sz w:val="21"/>
                <w:szCs w:val="21"/>
              </w:rPr>
            </w:pPr>
            <w:r>
              <w:rPr>
                <w:rFonts w:hint="eastAsia" w:asciiTheme="majorEastAsia" w:hAnsiTheme="majorEastAsia" w:eastAsiaTheme="majorEastAsia"/>
                <w:sz w:val="21"/>
                <w:szCs w:val="21"/>
              </w:rPr>
              <w:t>（4） 支持基于二维投影视图快速生成和修改各种辅助视图，包括剖视图、局部剖视图、断面图、局部放大视图、向视图、裁剪视图等；</w:t>
            </w:r>
          </w:p>
          <w:p w14:paraId="27C9C9E1">
            <w:pPr>
              <w:rPr>
                <w:rFonts w:asciiTheme="majorEastAsia" w:hAnsiTheme="majorEastAsia" w:eastAsiaTheme="majorEastAsia"/>
                <w:sz w:val="21"/>
                <w:szCs w:val="21"/>
              </w:rPr>
            </w:pPr>
            <w:r>
              <w:rPr>
                <w:rFonts w:hint="eastAsia" w:asciiTheme="majorEastAsia" w:hAnsiTheme="majorEastAsia" w:eastAsiaTheme="majorEastAsia"/>
                <w:sz w:val="21"/>
                <w:szCs w:val="21"/>
              </w:rPr>
              <w:t>（5） 剖视图与断面图支持阶梯剖与旋转剖，旋转剖视图断面自动展开，支持自定义视图摆放位置与方向；</w:t>
            </w:r>
          </w:p>
          <w:p w14:paraId="511126BA">
            <w:pPr>
              <w:rPr>
                <w:rFonts w:asciiTheme="majorEastAsia" w:hAnsiTheme="majorEastAsia" w:eastAsiaTheme="majorEastAsia"/>
                <w:sz w:val="21"/>
                <w:szCs w:val="21"/>
              </w:rPr>
            </w:pPr>
            <w:r>
              <w:rPr>
                <w:rFonts w:hint="eastAsia" w:asciiTheme="majorEastAsia" w:hAnsiTheme="majorEastAsia" w:eastAsiaTheme="majorEastAsia"/>
                <w:sz w:val="21"/>
                <w:szCs w:val="21"/>
              </w:rPr>
              <w:t>（6） 支持自动生成孔位置与尺寸表；</w:t>
            </w:r>
          </w:p>
          <w:p w14:paraId="449AD42F">
            <w:pPr>
              <w:rPr>
                <w:rFonts w:asciiTheme="majorEastAsia" w:hAnsiTheme="majorEastAsia" w:eastAsiaTheme="majorEastAsia"/>
                <w:sz w:val="21"/>
                <w:szCs w:val="21"/>
              </w:rPr>
            </w:pPr>
            <w:r>
              <w:rPr>
                <w:rFonts w:hint="eastAsia" w:asciiTheme="majorEastAsia" w:hAnsiTheme="majorEastAsia" w:eastAsiaTheme="majorEastAsia"/>
                <w:sz w:val="21"/>
                <w:szCs w:val="21"/>
              </w:rPr>
              <w:t>（7） 支持轻量化模型投影生成视图；</w:t>
            </w:r>
          </w:p>
          <w:p w14:paraId="1591A00E">
            <w:pPr>
              <w:rPr>
                <w:rFonts w:asciiTheme="majorEastAsia" w:hAnsiTheme="majorEastAsia" w:eastAsiaTheme="majorEastAsia"/>
                <w:sz w:val="21"/>
                <w:szCs w:val="21"/>
              </w:rPr>
            </w:pPr>
            <w:r>
              <w:rPr>
                <w:rFonts w:hint="eastAsia" w:asciiTheme="majorEastAsia" w:hAnsiTheme="majorEastAsia" w:eastAsiaTheme="majorEastAsia"/>
                <w:sz w:val="21"/>
                <w:szCs w:val="21"/>
              </w:rPr>
              <w:t>（8） 支持国标出图标准，支持自定义标准；</w:t>
            </w:r>
          </w:p>
          <w:p w14:paraId="0ABBB84C">
            <w:pPr>
              <w:rPr>
                <w:rFonts w:asciiTheme="majorEastAsia" w:hAnsiTheme="majorEastAsia" w:eastAsiaTheme="majorEastAsia"/>
                <w:sz w:val="21"/>
                <w:szCs w:val="21"/>
              </w:rPr>
            </w:pPr>
            <w:r>
              <w:rPr>
                <w:rFonts w:hint="eastAsia" w:asciiTheme="majorEastAsia" w:hAnsiTheme="majorEastAsia" w:eastAsiaTheme="majorEastAsia"/>
                <w:sz w:val="21"/>
                <w:szCs w:val="21"/>
              </w:rPr>
              <w:t>（9） 支持符合国标的图形化焊接标注工具；</w:t>
            </w:r>
          </w:p>
          <w:p w14:paraId="1AA0CE9D">
            <w:pPr>
              <w:rPr>
                <w:rFonts w:asciiTheme="majorEastAsia" w:hAnsiTheme="majorEastAsia" w:eastAsiaTheme="majorEastAsia"/>
                <w:sz w:val="21"/>
                <w:szCs w:val="21"/>
              </w:rPr>
            </w:pPr>
            <w:r>
              <w:rPr>
                <w:rFonts w:hint="eastAsia" w:asciiTheme="majorEastAsia" w:hAnsiTheme="majorEastAsia" w:eastAsiaTheme="majorEastAsia"/>
                <w:sz w:val="21"/>
                <w:szCs w:val="21"/>
              </w:rPr>
              <w:t>（10）支持符合国标的图形化表面粗糙度标注工具；</w:t>
            </w:r>
          </w:p>
          <w:p w14:paraId="0937EF56">
            <w:pPr>
              <w:rPr>
                <w:rFonts w:asciiTheme="majorEastAsia" w:hAnsiTheme="majorEastAsia" w:eastAsiaTheme="majorEastAsia"/>
                <w:sz w:val="21"/>
                <w:szCs w:val="21"/>
              </w:rPr>
            </w:pPr>
            <w:r>
              <w:rPr>
                <w:rFonts w:hint="eastAsia" w:asciiTheme="majorEastAsia" w:hAnsiTheme="majorEastAsia" w:eastAsiaTheme="majorEastAsia"/>
                <w:sz w:val="21"/>
                <w:szCs w:val="21"/>
              </w:rPr>
              <w:t>（11）支持修改实体投影轮廓，具备完整的二维图编辑修改功能；</w:t>
            </w:r>
          </w:p>
          <w:p w14:paraId="4EA39D4F">
            <w:pPr>
              <w:rPr>
                <w:sz w:val="21"/>
                <w:szCs w:val="21"/>
              </w:rPr>
            </w:pPr>
            <w:r>
              <w:rPr>
                <w:rFonts w:hint="eastAsia" w:asciiTheme="majorEastAsia" w:hAnsiTheme="majorEastAsia" w:eastAsiaTheme="majorEastAsia"/>
                <w:sz w:val="21"/>
                <w:szCs w:val="21"/>
              </w:rPr>
              <w:t xml:space="preserve">（12）支持自动生成各类辅助线，包括圆和椭圆中心线、对称中心线、螺纹等； </w:t>
            </w:r>
          </w:p>
        </w:tc>
      </w:tr>
      <w:tr w14:paraId="4A9E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3" w:type="pct"/>
            <w:vAlign w:val="center"/>
          </w:tcPr>
          <w:p w14:paraId="2DF47F7A">
            <w:pPr>
              <w:widowControl/>
              <w:snapToGrid w:val="0"/>
              <w:spacing w:line="4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2</w:t>
            </w:r>
          </w:p>
        </w:tc>
        <w:tc>
          <w:tcPr>
            <w:tcW w:w="253" w:type="pct"/>
            <w:vAlign w:val="center"/>
          </w:tcPr>
          <w:p w14:paraId="43F49F73">
            <w:pPr>
              <w:widowControl/>
              <w:snapToGrid w:val="0"/>
              <w:spacing w:line="40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电梯数字化实训平台建设</w:t>
            </w:r>
          </w:p>
        </w:tc>
        <w:tc>
          <w:tcPr>
            <w:tcW w:w="298" w:type="pct"/>
            <w:vAlign w:val="center"/>
          </w:tcPr>
          <w:p w14:paraId="6E7CC100">
            <w:pPr>
              <w:widowControl/>
              <w:snapToGrid w:val="0"/>
              <w:spacing w:line="40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w:t>
            </w:r>
          </w:p>
        </w:tc>
        <w:tc>
          <w:tcPr>
            <w:tcW w:w="4193" w:type="pct"/>
          </w:tcPr>
          <w:p w14:paraId="6EDDC239">
            <w:pPr>
              <w:rPr>
                <w:sz w:val="21"/>
                <w:szCs w:val="21"/>
              </w:rPr>
            </w:pPr>
            <w:r>
              <w:rPr>
                <w:rFonts w:hint="eastAsia"/>
                <w:sz w:val="21"/>
                <w:szCs w:val="21"/>
              </w:rPr>
              <w:t>1、培训</w:t>
            </w:r>
          </w:p>
          <w:p w14:paraId="5CAF056B">
            <w:pPr>
              <w:pStyle w:val="4"/>
              <w:rPr>
                <w:rFonts w:asciiTheme="majorEastAsia" w:hAnsiTheme="majorEastAsia" w:eastAsiaTheme="majorEastAsia"/>
                <w:sz w:val="22"/>
                <w:szCs w:val="21"/>
              </w:rPr>
            </w:pPr>
            <w:r>
              <w:rPr>
                <w:rFonts w:hint="eastAsia" w:asciiTheme="majorEastAsia" w:hAnsiTheme="majorEastAsia" w:eastAsiaTheme="majorEastAsia"/>
                <w:sz w:val="22"/>
                <w:szCs w:val="21"/>
              </w:rPr>
              <w:t>（1） 提供电梯行业相关的专业培训服务；</w:t>
            </w:r>
          </w:p>
          <w:p w14:paraId="2B7279BA">
            <w:pPr>
              <w:pStyle w:val="4"/>
              <w:rPr>
                <w:rFonts w:asciiTheme="majorEastAsia" w:hAnsiTheme="majorEastAsia" w:eastAsiaTheme="majorEastAsia"/>
                <w:sz w:val="22"/>
                <w:szCs w:val="21"/>
              </w:rPr>
            </w:pPr>
            <w:r>
              <w:rPr>
                <w:rFonts w:hint="eastAsia" w:asciiTheme="majorEastAsia" w:hAnsiTheme="majorEastAsia" w:eastAsiaTheme="majorEastAsia"/>
                <w:sz w:val="22"/>
                <w:szCs w:val="21"/>
              </w:rPr>
              <w:t>（2） 提供定期的专业答疑服务，及时解决在学习过程中遇到的问题 。</w:t>
            </w:r>
          </w:p>
          <w:p w14:paraId="400D7630">
            <w:pPr>
              <w:rPr>
                <w:sz w:val="21"/>
                <w:szCs w:val="21"/>
              </w:rPr>
            </w:pPr>
            <w:r>
              <w:rPr>
                <w:rFonts w:hint="eastAsia"/>
                <w:sz w:val="21"/>
                <w:szCs w:val="21"/>
              </w:rPr>
              <w:t>2、技术支持</w:t>
            </w:r>
          </w:p>
          <w:p w14:paraId="76B747DD">
            <w:pPr>
              <w:pStyle w:val="5"/>
              <w:spacing w:after="97"/>
              <w:ind w:firstLine="420"/>
              <w:rPr>
                <w:rFonts w:asciiTheme="majorEastAsia" w:hAnsiTheme="majorEastAsia" w:eastAsiaTheme="majorEastAsia"/>
                <w:sz w:val="21"/>
                <w:szCs w:val="21"/>
              </w:rPr>
            </w:pPr>
            <w:r>
              <w:rPr>
                <w:rFonts w:hint="eastAsia" w:asciiTheme="majorEastAsia" w:hAnsiTheme="majorEastAsia" w:eastAsiaTheme="majorEastAsia"/>
                <w:sz w:val="21"/>
                <w:szCs w:val="21"/>
              </w:rPr>
              <w:t>提供电梯行业的应用经验，为院校提供专业的技术指导。</w:t>
            </w:r>
          </w:p>
          <w:p w14:paraId="7FEB2FBB">
            <w:pPr>
              <w:rPr>
                <w:sz w:val="21"/>
                <w:szCs w:val="21"/>
              </w:rPr>
            </w:pPr>
            <w:r>
              <w:rPr>
                <w:rFonts w:hint="eastAsia"/>
                <w:sz w:val="21"/>
                <w:szCs w:val="21"/>
              </w:rPr>
              <w:t>3、服务人员资质</w:t>
            </w:r>
            <w:r>
              <w:rPr>
                <w:rFonts w:hint="eastAsia" w:ascii="黑体" w:hAnsi="黑体" w:eastAsia="黑体"/>
                <w:sz w:val="20"/>
                <w:szCs w:val="21"/>
              </w:rPr>
              <w:t>★</w:t>
            </w:r>
          </w:p>
          <w:p w14:paraId="510CA725">
            <w:pPr>
              <w:pStyle w:val="4"/>
              <w:rPr>
                <w:rFonts w:asciiTheme="majorEastAsia" w:hAnsiTheme="majorEastAsia" w:eastAsiaTheme="majorEastAsia"/>
                <w:sz w:val="22"/>
                <w:szCs w:val="21"/>
              </w:rPr>
            </w:pPr>
            <w:r>
              <w:rPr>
                <w:rFonts w:hint="eastAsia" w:asciiTheme="majorEastAsia" w:hAnsiTheme="majorEastAsia" w:eastAsiaTheme="majorEastAsia"/>
                <w:sz w:val="22"/>
                <w:szCs w:val="21"/>
              </w:rPr>
              <w:t>（1） 三维设计软件从业经验10年以上；</w:t>
            </w:r>
          </w:p>
          <w:p w14:paraId="31C506A5">
            <w:pPr>
              <w:pStyle w:val="4"/>
              <w:rPr>
                <w:rFonts w:asciiTheme="majorEastAsia" w:hAnsiTheme="majorEastAsia" w:eastAsiaTheme="majorEastAsia"/>
                <w:sz w:val="22"/>
                <w:szCs w:val="21"/>
              </w:rPr>
            </w:pPr>
            <w:r>
              <w:rPr>
                <w:rFonts w:hint="eastAsia" w:asciiTheme="majorEastAsia" w:hAnsiTheme="majorEastAsia" w:eastAsiaTheme="majorEastAsia"/>
                <w:sz w:val="22"/>
                <w:szCs w:val="21"/>
              </w:rPr>
              <w:t>（2） 具有电梯行业10年以上服务经验。</w:t>
            </w:r>
          </w:p>
          <w:p w14:paraId="25CAE010">
            <w:pPr>
              <w:rPr>
                <w:sz w:val="21"/>
                <w:szCs w:val="21"/>
              </w:rPr>
            </w:pPr>
            <w:r>
              <w:rPr>
                <w:rFonts w:hint="eastAsia"/>
                <w:sz w:val="21"/>
                <w:szCs w:val="21"/>
              </w:rPr>
              <w:t>4、电梯行业解决方案</w:t>
            </w:r>
            <w:r>
              <w:rPr>
                <w:rFonts w:hint="eastAsia" w:ascii="黑体" w:hAnsi="黑体" w:eastAsia="黑体"/>
                <w:sz w:val="20"/>
                <w:szCs w:val="21"/>
              </w:rPr>
              <w:t>★</w:t>
            </w:r>
          </w:p>
          <w:p w14:paraId="4C281E6B">
            <w:pPr>
              <w:pStyle w:val="4"/>
              <w:rPr>
                <w:rFonts w:asciiTheme="majorEastAsia" w:hAnsiTheme="majorEastAsia" w:eastAsiaTheme="majorEastAsia"/>
                <w:sz w:val="22"/>
                <w:szCs w:val="21"/>
              </w:rPr>
            </w:pPr>
            <w:r>
              <w:rPr>
                <w:rFonts w:hint="eastAsia" w:asciiTheme="majorEastAsia" w:hAnsiTheme="majorEastAsia" w:eastAsiaTheme="majorEastAsia"/>
                <w:sz w:val="22"/>
                <w:szCs w:val="21"/>
              </w:rPr>
              <w:t>（1） 投标方拥有完整的数字化电梯行业解决方案；</w:t>
            </w:r>
          </w:p>
          <w:p w14:paraId="0F17C948">
            <w:pPr>
              <w:pStyle w:val="4"/>
              <w:rPr>
                <w:rFonts w:asciiTheme="majorEastAsia" w:hAnsiTheme="majorEastAsia" w:eastAsiaTheme="majorEastAsia"/>
                <w:sz w:val="22"/>
                <w:szCs w:val="21"/>
              </w:rPr>
            </w:pPr>
            <w:r>
              <w:rPr>
                <w:rFonts w:hint="eastAsia" w:asciiTheme="majorEastAsia" w:hAnsiTheme="majorEastAsia" w:eastAsiaTheme="majorEastAsia"/>
                <w:sz w:val="22"/>
                <w:szCs w:val="21"/>
              </w:rPr>
              <w:t>（2） 解决方案包括电梯行业CAD/CAM/CAE以及计价报价系统、土建图、选型配置、数据管理；</w:t>
            </w:r>
          </w:p>
          <w:p w14:paraId="494A0629">
            <w:pPr>
              <w:pStyle w:val="5"/>
              <w:spacing w:after="97"/>
              <w:ind w:left="0" w:firstLine="0" w:firstLineChars="0"/>
              <w:rPr>
                <w:rFonts w:asciiTheme="majorEastAsia" w:hAnsiTheme="majorEastAsia" w:eastAsiaTheme="majorEastAsia"/>
                <w:sz w:val="21"/>
                <w:szCs w:val="21"/>
              </w:rPr>
            </w:pPr>
            <w:r>
              <w:rPr>
                <w:rFonts w:hint="eastAsia" w:asciiTheme="majorEastAsia" w:hAnsiTheme="majorEastAsia" w:eastAsiaTheme="majorEastAsia"/>
                <w:sz w:val="21"/>
                <w:szCs w:val="21"/>
              </w:rPr>
              <w:t>（3） 投标方提供不少于3家知名电梯行业客户案例，涉及三维软件推广应用、报价、选型配置、数据管理等数字化平台建设。</w:t>
            </w:r>
          </w:p>
        </w:tc>
      </w:tr>
    </w:tbl>
    <w:p w14:paraId="583DD1D6">
      <w:pPr>
        <w:rPr>
          <w:b/>
          <w:bCs/>
        </w:rPr>
      </w:pPr>
      <w:r>
        <w:rPr>
          <w:rFonts w:hint="eastAsia"/>
          <w:b/>
          <w:bCs/>
        </w:rPr>
        <w:t>标项二：</w:t>
      </w:r>
    </w:p>
    <w:p w14:paraId="6A64525D">
      <w:pPr>
        <w:rPr>
          <w:b/>
          <w:bCs/>
        </w:rPr>
      </w:pPr>
      <w:r>
        <w:rPr>
          <w:rFonts w:hint="eastAsia"/>
          <w:b/>
          <w:bCs/>
        </w:rPr>
        <w:t>1、</w:t>
      </w:r>
      <w:r>
        <w:rPr>
          <w:rFonts w:hint="eastAsia" w:ascii="微软雅黑" w:hAnsi="微软雅黑" w:cs="微软雅黑"/>
          <w:b/>
          <w:bCs/>
        </w:rPr>
        <w:t>招标清单：</w:t>
      </w:r>
    </w:p>
    <w:tbl>
      <w:tblPr>
        <w:tblStyle w:val="21"/>
        <w:tblW w:w="5118" w:type="pct"/>
        <w:tblInd w:w="-205" w:type="dxa"/>
        <w:tblLayout w:type="autofit"/>
        <w:tblCellMar>
          <w:top w:w="0" w:type="dxa"/>
          <w:left w:w="108" w:type="dxa"/>
          <w:bottom w:w="0" w:type="dxa"/>
          <w:right w:w="108" w:type="dxa"/>
        </w:tblCellMar>
      </w:tblPr>
      <w:tblGrid>
        <w:gridCol w:w="1426"/>
        <w:gridCol w:w="5104"/>
        <w:gridCol w:w="1487"/>
        <w:gridCol w:w="1488"/>
      </w:tblGrid>
      <w:tr w14:paraId="2DE5C5AA">
        <w:tblPrEx>
          <w:tblCellMar>
            <w:top w:w="0" w:type="dxa"/>
            <w:left w:w="108" w:type="dxa"/>
            <w:bottom w:w="0" w:type="dxa"/>
            <w:right w:w="108" w:type="dxa"/>
          </w:tblCellMar>
        </w:tblPrEx>
        <w:trPr>
          <w:trHeight w:val="370"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7C9BD">
            <w:pPr>
              <w:widowControl/>
              <w:adjustRightInd w:val="0"/>
              <w:snapToGrid w:val="0"/>
              <w:jc w:val="center"/>
              <w:textAlignment w:val="center"/>
              <w:rPr>
                <w:rFonts w:cs="宋体"/>
                <w:b/>
                <w:bCs/>
                <w:color w:val="000000"/>
                <w:sz w:val="22"/>
              </w:rPr>
            </w:pPr>
            <w:r>
              <w:rPr>
                <w:rFonts w:hint="eastAsia" w:cs="宋体"/>
                <w:b/>
                <w:bCs/>
                <w:color w:val="000000"/>
                <w:kern w:val="0"/>
                <w:sz w:val="22"/>
                <w:lang w:bidi="ar"/>
              </w:rPr>
              <w:t>序号</w:t>
            </w:r>
          </w:p>
        </w:tc>
        <w:tc>
          <w:tcPr>
            <w:tcW w:w="2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0983F">
            <w:pPr>
              <w:widowControl/>
              <w:adjustRightInd w:val="0"/>
              <w:snapToGrid w:val="0"/>
              <w:jc w:val="center"/>
              <w:textAlignment w:val="center"/>
              <w:rPr>
                <w:rFonts w:cs="宋体"/>
                <w:b/>
                <w:bCs/>
                <w:color w:val="000000"/>
                <w:sz w:val="22"/>
              </w:rPr>
            </w:pPr>
            <w:r>
              <w:rPr>
                <w:rFonts w:hint="eastAsia" w:cs="宋体"/>
                <w:b/>
                <w:bCs/>
                <w:color w:val="000000"/>
                <w:kern w:val="0"/>
                <w:sz w:val="22"/>
                <w:lang w:bidi="ar"/>
              </w:rPr>
              <w:t>设备/软件名称</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80E75">
            <w:pPr>
              <w:widowControl/>
              <w:adjustRightInd w:val="0"/>
              <w:snapToGrid w:val="0"/>
              <w:jc w:val="center"/>
              <w:textAlignment w:val="center"/>
              <w:rPr>
                <w:rFonts w:cs="宋体"/>
                <w:b/>
                <w:bCs/>
                <w:color w:val="000000"/>
                <w:sz w:val="22"/>
              </w:rPr>
            </w:pPr>
            <w:r>
              <w:rPr>
                <w:rFonts w:hint="eastAsia" w:cs="宋体"/>
                <w:b/>
                <w:bCs/>
                <w:color w:val="000000"/>
                <w:kern w:val="0"/>
                <w:sz w:val="22"/>
                <w:lang w:bidi="ar"/>
              </w:rPr>
              <w:t>数量</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6D8A7">
            <w:pPr>
              <w:widowControl/>
              <w:adjustRightInd w:val="0"/>
              <w:snapToGrid w:val="0"/>
              <w:jc w:val="center"/>
              <w:textAlignment w:val="center"/>
              <w:rPr>
                <w:rFonts w:cs="宋体"/>
                <w:b/>
                <w:bCs/>
                <w:color w:val="000000"/>
                <w:kern w:val="0"/>
                <w:sz w:val="22"/>
                <w:lang w:bidi="ar"/>
              </w:rPr>
            </w:pPr>
            <w:r>
              <w:rPr>
                <w:rFonts w:hint="eastAsia" w:cs="宋体"/>
                <w:b/>
                <w:bCs/>
                <w:color w:val="000000"/>
                <w:kern w:val="0"/>
                <w:sz w:val="22"/>
                <w:lang w:bidi="ar"/>
              </w:rPr>
              <w:t>备注</w:t>
            </w:r>
          </w:p>
        </w:tc>
      </w:tr>
      <w:tr w14:paraId="4FFE3726">
        <w:tblPrEx>
          <w:tblCellMar>
            <w:top w:w="0" w:type="dxa"/>
            <w:left w:w="108" w:type="dxa"/>
            <w:bottom w:w="0" w:type="dxa"/>
            <w:right w:w="108" w:type="dxa"/>
          </w:tblCellMar>
        </w:tblPrEx>
        <w:trPr>
          <w:trHeight w:val="370"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51766">
            <w:pPr>
              <w:snapToGrid w:val="0"/>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w:t>
            </w:r>
          </w:p>
        </w:tc>
        <w:tc>
          <w:tcPr>
            <w:tcW w:w="2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5590D">
            <w:pPr>
              <w:widowControl/>
              <w:jc w:val="center"/>
              <w:textAlignment w:val="center"/>
              <w:rPr>
                <w:rFonts w:cs="宋体"/>
                <w:color w:val="000000" w:themeColor="text1"/>
                <w14:textFill>
                  <w14:solidFill>
                    <w14:schemeClr w14:val="tx1"/>
                  </w14:solidFill>
                </w14:textFill>
              </w:rPr>
            </w:pPr>
            <w:r>
              <w:rPr>
                <w:rFonts w:hint="eastAsia" w:cs="宋体"/>
                <w:color w:val="000000"/>
                <w:kern w:val="0"/>
                <w:sz w:val="22"/>
                <w:lang w:bidi="ar"/>
              </w:rPr>
              <w:t>财务数字化平台</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F5EE6">
            <w:pPr>
              <w:widowControl/>
              <w:jc w:val="center"/>
              <w:textAlignment w:val="center"/>
              <w:rPr>
                <w:rFonts w:cs="宋体"/>
                <w:color w:val="000000"/>
                <w:kern w:val="0"/>
                <w:sz w:val="22"/>
                <w:lang w:bidi="ar"/>
              </w:rPr>
            </w:pPr>
            <w:r>
              <w:rPr>
                <w:rFonts w:hint="eastAsia" w:cs="宋体"/>
                <w:color w:val="000000"/>
                <w:kern w:val="0"/>
                <w:sz w:val="22"/>
                <w:lang w:bidi="ar"/>
              </w:rPr>
              <w:t>1台</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39F7C">
            <w:pPr>
              <w:widowControl/>
              <w:adjustRightInd w:val="0"/>
              <w:snapToGrid w:val="0"/>
              <w:jc w:val="center"/>
              <w:textAlignment w:val="center"/>
              <w:rPr>
                <w:rFonts w:cs="宋体"/>
                <w:color w:val="000000"/>
                <w:kern w:val="0"/>
                <w:sz w:val="20"/>
                <w:szCs w:val="20"/>
                <w:lang w:bidi="ar"/>
              </w:rPr>
            </w:pPr>
          </w:p>
        </w:tc>
      </w:tr>
    </w:tbl>
    <w:p w14:paraId="5DA0108A">
      <w:pPr>
        <w:rPr>
          <w:b/>
          <w:bCs/>
        </w:rPr>
      </w:pPr>
      <w:r>
        <w:rPr>
          <w:rFonts w:hint="eastAsia" w:ascii="微软雅黑" w:hAnsi="微软雅黑" w:eastAsia="微软雅黑" w:cs="微软雅黑"/>
          <w:b/>
          <w:bCs/>
          <w:sz w:val="21"/>
          <w:szCs w:val="21"/>
        </w:rPr>
        <w:t>设备功能配置技术要求：</w:t>
      </w:r>
    </w:p>
    <w:tbl>
      <w:tblPr>
        <w:tblStyle w:val="21"/>
        <w:tblW w:w="4740"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456"/>
        <w:gridCol w:w="456"/>
        <w:gridCol w:w="7435"/>
      </w:tblGrid>
      <w:tr w14:paraId="5478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259" w:type="pct"/>
            <w:vAlign w:val="center"/>
          </w:tcPr>
          <w:p w14:paraId="3C0DC6FE">
            <w:pPr>
              <w:widowControl/>
              <w:snapToGrid w:val="0"/>
              <w:spacing w:line="24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序号</w:t>
            </w:r>
          </w:p>
        </w:tc>
        <w:tc>
          <w:tcPr>
            <w:tcW w:w="259" w:type="pct"/>
            <w:vAlign w:val="center"/>
          </w:tcPr>
          <w:p w14:paraId="616B4265">
            <w:pPr>
              <w:widowControl/>
              <w:snapToGrid w:val="0"/>
              <w:spacing w:line="24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货物名称</w:t>
            </w:r>
          </w:p>
        </w:tc>
        <w:tc>
          <w:tcPr>
            <w:tcW w:w="259" w:type="pct"/>
            <w:vAlign w:val="center"/>
          </w:tcPr>
          <w:p w14:paraId="227F6D29">
            <w:pPr>
              <w:widowControl/>
              <w:snapToGrid w:val="0"/>
              <w:spacing w:line="240" w:lineRule="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数量/单位</w:t>
            </w:r>
          </w:p>
        </w:tc>
        <w:tc>
          <w:tcPr>
            <w:tcW w:w="4221" w:type="pct"/>
            <w:vAlign w:val="center"/>
          </w:tcPr>
          <w:p w14:paraId="623E173F">
            <w:pPr>
              <w:widowControl/>
              <w:snapToGrid w:val="0"/>
              <w:spacing w:line="240" w:lineRule="auto"/>
              <w:jc w:val="center"/>
              <w:rPr>
                <w:rFonts w:ascii="微软雅黑" w:hAnsi="微软雅黑" w:eastAsia="微软雅黑" w:cs="微软雅黑"/>
                <w:b/>
                <w:bCs/>
                <w:sz w:val="21"/>
                <w:szCs w:val="21"/>
              </w:rPr>
            </w:pPr>
            <w:r>
              <w:rPr>
                <w:rFonts w:hint="eastAsia" w:ascii="微软雅黑" w:hAnsi="微软雅黑" w:eastAsia="微软雅黑" w:cs="微软雅黑"/>
                <w:b/>
                <w:bCs/>
                <w:sz w:val="21"/>
                <w:szCs w:val="21"/>
              </w:rPr>
              <w:t>规格及参数</w:t>
            </w:r>
          </w:p>
        </w:tc>
      </w:tr>
      <w:tr w14:paraId="2216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59" w:type="pct"/>
            <w:vAlign w:val="center"/>
          </w:tcPr>
          <w:p w14:paraId="7A8EC363">
            <w:pPr>
              <w:widowControl/>
              <w:snapToGrid w:val="0"/>
              <w:spacing w:line="4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1</w:t>
            </w:r>
          </w:p>
        </w:tc>
        <w:tc>
          <w:tcPr>
            <w:tcW w:w="259" w:type="pct"/>
            <w:vAlign w:val="center"/>
          </w:tcPr>
          <w:p w14:paraId="07FD57D6">
            <w:pPr>
              <w:widowControl/>
              <w:snapToGrid w:val="0"/>
              <w:spacing w:line="4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财务数字化平台</w:t>
            </w:r>
          </w:p>
        </w:tc>
        <w:tc>
          <w:tcPr>
            <w:tcW w:w="259" w:type="pct"/>
            <w:vAlign w:val="center"/>
          </w:tcPr>
          <w:p w14:paraId="3CB39417">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1套</w:t>
            </w:r>
          </w:p>
        </w:tc>
        <w:tc>
          <w:tcPr>
            <w:tcW w:w="4221" w:type="pct"/>
          </w:tcPr>
          <w:p w14:paraId="2F3B71A8">
            <w:pPr>
              <w:rPr>
                <w:rFonts w:ascii="微软雅黑" w:hAnsi="微软雅黑" w:eastAsia="微软雅黑" w:cs="微软雅黑"/>
                <w:sz w:val="21"/>
                <w:szCs w:val="21"/>
              </w:rPr>
            </w:pPr>
          </w:p>
          <w:p w14:paraId="045B18FB">
            <w:pPr>
              <w:spacing w:line="240" w:lineRule="auto"/>
              <w:rPr>
                <w:rFonts w:ascii="微软雅黑" w:hAnsi="微软雅黑" w:eastAsia="微软雅黑" w:cs="微软雅黑"/>
                <w:b/>
                <w:sz w:val="18"/>
                <w:szCs w:val="18"/>
              </w:rPr>
            </w:pPr>
            <w:r>
              <w:rPr>
                <w:rFonts w:hint="eastAsia" w:ascii="微软雅黑" w:hAnsi="微软雅黑" w:eastAsia="微软雅黑" w:cs="微软雅黑"/>
                <w:b/>
                <w:sz w:val="18"/>
                <w:szCs w:val="18"/>
              </w:rPr>
              <w:t>一、总体技术指标</w:t>
            </w:r>
          </w:p>
          <w:p w14:paraId="09ED9520">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1.平台基于企业级分布式架构开发，具有较强的可伸缩性、灵活性、易维护性；并遵循RESTful API设计原则，开放提供专有与标准两类OpenAPI。</w:t>
            </w:r>
          </w:p>
          <w:p w14:paraId="52D2E13A">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2.平台支持公有云、专属云、私有云基本部署模式，能够根据学校具体情况灵活调整部署方案。</w:t>
            </w:r>
          </w:p>
          <w:p w14:paraId="76CB23A4">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3.平台基于SOA面向服务架构思想设计，实现前后端分离架构；后端采用Controller/Service/DAO/Entity四层架构，整体设计清晰；前端基于业内主流框架构建，实现数据与结构分离，最大限度提高浏览器页面加载与响应速度。</w:t>
            </w:r>
          </w:p>
          <w:p w14:paraId="10BB523A">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4.平台采用关系型数据库、NoSQL非关系型数据、文件系统三者结合并用的数据存储设计方案，全面保障用户数据的安全性与可靠性。关系型数据库实现数据持久化，支持多线程与事务处理，满足多用户高并发的使用场景；NoSQL非关系型数据库实现数据缓存，提高平台业务处理的效率，加快用户请求响应的速度。</w:t>
            </w:r>
          </w:p>
          <w:p w14:paraId="2B94B75D">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5.平台及服务可部署在Windows或Linux系统服务器，支持分布式集群部署，可根据教学需要进行动态的横向扩展，提高系统处理能力，满足学校大规模用户并发的教学应用场景。</w:t>
            </w:r>
          </w:p>
          <w:p w14:paraId="398E7672">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6.平台兼容基于Chromium内核的主流浏览器，无需安装任何客户端或插件；并通过加密校验等机制保证浏览器客户端与平台服务端之间的数据传输安全，有效保障用户数据的安全。</w:t>
            </w:r>
          </w:p>
          <w:p w14:paraId="41E950CC">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7.平台提供严格的权限管理功能，包括功能权限管理和数据访问权限管理，通过简单的配置实现权限划分的调整，不可非法访问受限资源。</w:t>
            </w:r>
          </w:p>
          <w:p w14:paraId="5978E835">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8.平台搭载日志管理系统，满足问题追踪、状态监控、安全审计等平台安全要求，提供完整的审计日志，实现操作的可追溯</w:t>
            </w:r>
          </w:p>
          <w:p w14:paraId="5F9F51E0">
            <w:pPr>
              <w:spacing w:line="240" w:lineRule="auto"/>
              <w:rPr>
                <w:rFonts w:hint="eastAsia" w:ascii="微软雅黑" w:hAnsi="微软雅黑" w:eastAsia="微软雅黑" w:cs="微软雅黑"/>
                <w:sz w:val="18"/>
                <w:szCs w:val="18"/>
              </w:rPr>
            </w:pPr>
            <w:r>
              <w:rPr>
                <w:rFonts w:ascii="微软雅黑" w:hAnsi="微软雅黑" w:eastAsia="微软雅黑" w:cs="微软雅黑"/>
                <w:sz w:val="18"/>
                <w:szCs w:val="18"/>
              </w:rPr>
              <w:t>9.平台满足国产化信创认证要求，确保在国产化环境中能够稳定运行，可部署于麒麟等国产操作系统，兼容达梦等国产数据库。</w:t>
            </w:r>
            <w:r>
              <w:rPr>
                <w:rFonts w:ascii="微软雅黑" w:hAnsi="微软雅黑" w:eastAsia="微软雅黑" w:cs="微软雅黑"/>
                <w:b/>
                <w:sz w:val="18"/>
                <w:szCs w:val="18"/>
              </w:rPr>
              <w:t>（提供国产操作系统或数据库厂商的适配认证或兼容互认证证书报告复印件加盖投标人公章予以佐证）</w:t>
            </w:r>
          </w:p>
          <w:p w14:paraId="5848FD17">
            <w:pPr>
              <w:spacing w:line="240" w:lineRule="auto"/>
              <w:rPr>
                <w:rFonts w:ascii="微软雅黑" w:hAnsi="微软雅黑" w:eastAsia="微软雅黑" w:cs="微软雅黑"/>
                <w:b/>
                <w:sz w:val="18"/>
                <w:szCs w:val="18"/>
              </w:rPr>
            </w:pPr>
            <w:r>
              <w:rPr>
                <w:rFonts w:hint="eastAsia" w:ascii="微软雅黑" w:hAnsi="微软雅黑" w:eastAsia="微软雅黑" w:cs="微软雅黑"/>
                <w:b/>
                <w:sz w:val="18"/>
                <w:szCs w:val="18"/>
              </w:rPr>
              <w:t>二、平台功能指标</w:t>
            </w:r>
          </w:p>
          <w:p w14:paraId="601356BA">
            <w:pPr>
              <w:spacing w:line="240" w:lineRule="auto"/>
              <w:rPr>
                <w:rFonts w:ascii="微软雅黑" w:hAnsi="微软雅黑" w:eastAsia="微软雅黑" w:cs="微软雅黑"/>
                <w:b/>
                <w:sz w:val="18"/>
                <w:szCs w:val="18"/>
              </w:rPr>
            </w:pPr>
            <w:r>
              <w:rPr>
                <w:rFonts w:hint="eastAsia" w:ascii="微软雅黑" w:hAnsi="微软雅黑" w:eastAsia="微软雅黑" w:cs="微软雅黑"/>
                <w:b/>
                <w:sz w:val="18"/>
                <w:szCs w:val="18"/>
              </w:rPr>
              <w:t>（一）企业经营管理实训模块</w:t>
            </w:r>
          </w:p>
          <w:p w14:paraId="03C1127B">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1.▲平台提供企业经营业务中心，包含了销售、生产、采购、仓储、企管、资金六类典型业务场景；融合企业经营场景，支持学生进行沉浸式实践体验，通过担任CEO\CMO\CFO\COO四个角色，分别进行企业经营管理业务的决策、审批、执行等；且平台支持学生单人切换角色或组队协助，通过分岗经营理解企业各岗位间的协作关系和主要审批流程，并掌握管理决策能力，从而培养学生一人多能、团队协作等素养能力。</w:t>
            </w:r>
          </w:p>
          <w:p w14:paraId="3B6CDB54">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2.平台提供智能生产制造业的模拟经营管理流程，通过人财物、产供销的计划和执行，系统地体验企业的经营管理；通过编制销售计划、生产计划、采购计划，实现计划与预测数据的联动及数据共享；通过智能生产制造业的全盘生产经营管理实训，提升学生的全局把控与战略分解的能力；通过价格预测与市场价格走势分析，提升学生的企业产供销的库存数量控制、产供销计划制定、执行与监控的职业技能。</w:t>
            </w:r>
          </w:p>
          <w:p w14:paraId="31B74038">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3.★平台集成AI能力服务，提供AI问答、AI经营助手、AI业财分析、AI报告评分等智能工具；其中AI经营助手能根据学生运营企业的现状，针对员工招聘、薪酬设计、原材料采购等业务场景与学生进行问答交互，提出业务决策建议，并支持学生对多次问答得到的建议进行对比选择，辅助学生完成企业经营决策；AI业财分析与AI报告评分能根据学生企业经营成果与提交实训报告，给出学生经营改进方向与实训报告评分，辅助教师进行实训教学管理，提高教学工作效率。</w:t>
            </w:r>
            <w:r>
              <w:rPr>
                <w:rFonts w:hint="eastAsia" w:ascii="微软雅黑" w:hAnsi="微软雅黑" w:eastAsia="微软雅黑" w:cs="微软雅黑"/>
                <w:b/>
                <w:bCs/>
                <w:sz w:val="18"/>
                <w:szCs w:val="18"/>
              </w:rPr>
              <w:t>（提供软件系统演示）</w:t>
            </w:r>
          </w:p>
          <w:p w14:paraId="1EF0F96C">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4.销售管理业务实训</w:t>
            </w:r>
          </w:p>
          <w:p w14:paraId="76249CB3">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1）广告投放：系统提供市场营销管理功能，支持学生根据市场分析结论，对细分市场进行营销管理，包括广告费用投入；根据细分市场的营销费用投入金额，系统经过市场营销算法模型，将对销售订单产生影响，直观体现在销售订单需求数量增加，满足学生在经营企业中对市场营销策略分析、制定到执行的实训需求。</w:t>
            </w:r>
          </w:p>
          <w:p w14:paraId="45EF83F4">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2）▲电商运营：系统提供3个仿真电商运营平台，支持学生查看各电商平台的服务费用、数字员工数，根据企业营销计划开通1至3个电商平台；且系统提供教学仿真电商运营商家工作后台，展示完整电商商家后台需具备的营销管理、交易管理、商品管理、店铺管理、推广、物流、客服、内容、财务等菜单，并支持学生进行流量广告投放、直播推广活动投放、在售商品价格调整（成本加成、随行就市）、商品累计销售、商品近30日销量统计、成交订单查询等操作；且电商成交订单当天收款至电商账户，支持学生实时查询电商销售收入，通过完整电商运营管理流程，培养学生电商营销、电商运营、电商销售分析的实践能力。</w:t>
            </w:r>
            <w:r>
              <w:rPr>
                <w:rFonts w:hint="eastAsia" w:ascii="微软雅黑" w:hAnsi="微软雅黑" w:eastAsia="微软雅黑" w:cs="微软雅黑"/>
                <w:b/>
                <w:bCs/>
                <w:sz w:val="18"/>
                <w:szCs w:val="18"/>
              </w:rPr>
              <w:t>（投标人需提供功能截图予以佐证，不能提供或者不满足视为投标无效）</w:t>
            </w:r>
          </w:p>
          <w:p w14:paraId="296F8015">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3）★销售订单承接：系统提供销售订单池，支持学生查看池中订单的经销商名称、需求产品、需求数量、约定交货日期、付款方式、一次性付款或分期付款规则及订单违约金比例；学生选择意向订单，与经销商洽谈报价，系统提供该经销商过往交易记录，辅助学生进行报价管理，价格谈判分为2轮，2轮报价未能协商成功则学生失去该笔订单交易机会，若洽谈成功，将与经销商完成销售合同签订；通过销售价格谈判流程，提高学生价格谈判的认知，培养学生把握客户价格敏感度的能力。</w:t>
            </w:r>
            <w:r>
              <w:rPr>
                <w:rFonts w:hint="eastAsia" w:ascii="微软雅黑" w:hAnsi="微软雅黑" w:eastAsia="微软雅黑" w:cs="微软雅黑"/>
                <w:b/>
                <w:bCs/>
                <w:sz w:val="18"/>
                <w:szCs w:val="18"/>
              </w:rPr>
              <w:t>（提供软件系统演示）</w:t>
            </w:r>
          </w:p>
          <w:p w14:paraId="5CB26780">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4）销售合同管理：系统提供销售合同管理功能，支持学生查看订单合同的签订日期、产品数量、付款方式、交货截止日期、应收款状态及日期等销售关键信息；支持学生根据企业产品库存情况，对订单对交货期管理，减少库存损失和过剩库存的问题；提高学生库存管理及企业资金利用效率的意识。</w:t>
            </w:r>
          </w:p>
          <w:p w14:paraId="665D302A">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5）经销商评价管理：系统提供经销商评价评分体系，支持学生查看当月订单交易总额、订单总笔数、参与经销商总数、经销商交易量排名、经销商信用变动等图表；学生对交易总金额排名前5的经销商手动进行评价，根据品牌特性、信用履约、偿债能力、盈利能力分别进行评分，系统汇总为经销商评价表，并支持下载报告导出PDF格式文件。</w:t>
            </w:r>
            <w:r>
              <w:rPr>
                <w:rFonts w:hint="eastAsia" w:ascii="微软雅黑" w:hAnsi="微软雅黑" w:eastAsia="微软雅黑" w:cs="微软雅黑"/>
                <w:b/>
                <w:bCs/>
                <w:color w:val="000000"/>
                <w:sz w:val="18"/>
                <w:szCs w:val="18"/>
              </w:rPr>
              <w:t>（提供盖有</w:t>
            </w:r>
            <w:r>
              <w:rPr>
                <w:rFonts w:ascii="微软雅黑" w:hAnsi="微软雅黑" w:eastAsia="微软雅黑" w:cs="微软雅黑"/>
                <w:b/>
                <w:bCs/>
                <w:color w:val="000000"/>
                <w:sz w:val="18"/>
                <w:szCs w:val="18"/>
              </w:rPr>
              <w:t>CMA（中国计量认证）或CNAS（中国合格评定国家认可委员会认证）标志的软件测试报告需能对应显示本条参数内容</w:t>
            </w:r>
            <w:r>
              <w:rPr>
                <w:rFonts w:hint="eastAsia" w:ascii="微软雅黑" w:hAnsi="微软雅黑" w:eastAsia="微软雅黑" w:cs="微软雅黑"/>
                <w:b/>
                <w:bCs/>
                <w:color w:val="000000"/>
                <w:sz w:val="18"/>
                <w:szCs w:val="18"/>
              </w:rPr>
              <w:t>，复印件加盖投标人公章予以佐证）</w:t>
            </w:r>
          </w:p>
          <w:p w14:paraId="5CA06DF4">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5.生产管理业务实训</w:t>
            </w:r>
          </w:p>
          <w:p w14:paraId="150A8534">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1）产品研发管理：系统提供产品研发功能，包含技术改造与工艺提升两类研发方向；技术改造投入金额越高，辅料消耗越少，生产线工艺提升投入金额越高，产品良品率越高，支持学生根据市场需要、销售计划去迭代研发新技术，以适应企业的经营计划与市场趋势，提升企业价值。</w:t>
            </w:r>
          </w:p>
          <w:p w14:paraId="4BFE6D89">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2）★产品生产管理：系统提供企业生产管理功能，包含新增生产排程、领料投产、产成入库三个环节；支持学生填写计划生产数量和计划开始时间，创建生产排程，系统汇总排程数据并生成一份生产计划甘特图；学生在已有生产排程上，进行领料操作，确认原材料库存与生产线员工就位后进行生产排程执行，完成生产周期，对已产出产品进行申请入库操作；培养学生生产控制、进度控制、生产调度的能力。</w:t>
            </w:r>
            <w:r>
              <w:rPr>
                <w:rFonts w:hint="eastAsia" w:ascii="微软雅黑" w:hAnsi="微软雅黑" w:eastAsia="微软雅黑" w:cs="微软雅黑"/>
                <w:b/>
                <w:bCs/>
                <w:sz w:val="18"/>
                <w:szCs w:val="18"/>
              </w:rPr>
              <w:t>（提供软件系统演示）</w:t>
            </w:r>
          </w:p>
          <w:p w14:paraId="67952434">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6.采购管理业务实训</w:t>
            </w:r>
          </w:p>
          <w:p w14:paraId="407DD4C9">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1）▲原材料采购：系统提供原材料采购功能，支持两种采购方式，常规采购到货时间较长，可享受商业折扣，紧急采购价格较高，到货时间短，但无法享受商业折扣；支持学生选择计划采购的原材料，提交采购需求量，系统将自动从供应商库中调取符合条件的供应商列表，列示材料报价单价、含运费折算单价、货款金额、运费金额、价税合计金额与商业折扣，同时提示供应商的运输距离与运输时效，学生与供应商完成合同签订，双方盖章；为辅助采购决策，系统提供供应商评估模型，根据学生自定义价格、品质、交货期与服务水平维度权重，通过供应商评估算法模型对供应商进行评估排序，提供建议成交的供应商列表。</w:t>
            </w:r>
            <w:r>
              <w:rPr>
                <w:rFonts w:hint="eastAsia" w:ascii="微软雅黑" w:hAnsi="微软雅黑" w:eastAsia="微软雅黑" w:cs="微软雅黑"/>
                <w:b/>
                <w:bCs/>
                <w:sz w:val="18"/>
                <w:szCs w:val="18"/>
              </w:rPr>
              <w:t>（投标人需提供功能截图予以佐证，不能提供或者不满足视为投标无效）</w:t>
            </w:r>
          </w:p>
          <w:p w14:paraId="1D652A67">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2）采购合同管理：系统提供采购合同管理功能，支持学生查看采购合同的签订日期、原材料数量、合同总价款、是否经CEO审核、约定交货日期、实际交货日期、到货合格数量、应付款金额与日期、采购成本等采购关键信息；支持学生进行发票索取、到货验收操作，提供学生对审查采购合同、跟踪采购进度、防控采购风险的意识。</w:t>
            </w:r>
          </w:p>
          <w:p w14:paraId="74E7B9E0">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3）★供应商评价管理：系统提供供应商评价评分体系，支持学生查看当月采购交易总额、交易总笔数、参与供应商总数、供应商交易量排名、供应商交货准确性、供应商产品质量合格率等图表；学生对交易总金额排名前5的供应商手动进行评价，根据供应商总体情况、价格、质量管理、交货期、公司管理状况、服务情况分别进行评分，系统汇总为供应商评价表，并支持下载报告导出PDF格式文件。</w:t>
            </w:r>
            <w:r>
              <w:rPr>
                <w:rFonts w:hint="eastAsia" w:ascii="微软雅黑" w:hAnsi="微软雅黑" w:eastAsia="微软雅黑" w:cs="微软雅黑"/>
                <w:b/>
                <w:bCs/>
                <w:sz w:val="18"/>
                <w:szCs w:val="18"/>
              </w:rPr>
              <w:t>（提供软件系统演示）</w:t>
            </w:r>
          </w:p>
          <w:p w14:paraId="60776783">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4）固定资产采购：系统提供固定资产采购功能，支持学生置办厂房、办公用房、宿舍、生产线、电脑、打印机及复印机等固定资产；房产置办支持一次性付款与按揭付款两种付款方式，选择按揭付款后可选择按揭年限；生产线置办支持短期租赁与融资租赁两种租赁方式，不同租赁方式的租赁周期与首付金额、每期还款金额均有差异；学生进行固定资产采购时，需确认固定资产折旧月份与净残值率，系统每月将自动计算固定资产折旧。</w:t>
            </w:r>
            <w:r>
              <w:rPr>
                <w:rFonts w:hint="eastAsia" w:ascii="微软雅黑" w:hAnsi="微软雅黑" w:eastAsia="微软雅黑" w:cs="微软雅黑"/>
                <w:b/>
                <w:bCs/>
                <w:color w:val="000000"/>
                <w:sz w:val="18"/>
                <w:szCs w:val="18"/>
              </w:rPr>
              <w:t>（提供盖有</w:t>
            </w:r>
            <w:r>
              <w:rPr>
                <w:rFonts w:ascii="微软雅黑" w:hAnsi="微软雅黑" w:eastAsia="微软雅黑" w:cs="微软雅黑"/>
                <w:b/>
                <w:bCs/>
                <w:color w:val="000000"/>
                <w:sz w:val="18"/>
                <w:szCs w:val="18"/>
              </w:rPr>
              <w:t>CMA（中国计量认证）或CNAS（中国合格评定国家认可委员会认证）标志的软件测试报告需能对应显示本条参数内容</w:t>
            </w:r>
            <w:r>
              <w:rPr>
                <w:rFonts w:hint="eastAsia" w:ascii="微软雅黑" w:hAnsi="微软雅黑" w:eastAsia="微软雅黑" w:cs="微软雅黑"/>
                <w:b/>
                <w:bCs/>
                <w:color w:val="000000"/>
                <w:sz w:val="18"/>
                <w:szCs w:val="18"/>
              </w:rPr>
              <w:t>，复印件加盖投标人公章予以佐证）</w:t>
            </w:r>
          </w:p>
          <w:p w14:paraId="3688603E">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7.仓储管理业务实训</w:t>
            </w:r>
          </w:p>
          <w:p w14:paraId="38764951">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1）原材料仓储管理：系统提供原材料库存管理功能，支持按月查询原材料入出库台账，台账体现每笔原材料入库数量单价金额与出库数量单价金额，并自动生成每笔入出库记录的时点库存数量与金额，系统采用移动平均加权算法进行原材料库存单价计算；支持学生进行原材料入库验收、查看验收单与入库单、原材料领用出库、查看领用单操作；支持学生随时进行台账与财务对账，每月进行库存盘点，实现企业账实相符的管理目标，培养学生产品控制、库存控制、成本控制、生产调度的能力。</w:t>
            </w:r>
          </w:p>
          <w:p w14:paraId="4C276F50">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2）半成品仓储管理：系统提供半成品库存管理功能，支持按月查询半成品入出库台账，台账体现每笔半成品入库数量单价金额与出库数量单价金额，并自动生成每笔入出库记录的时点库存数量与金额，系统采用移动平均加权算法进行半成品库存单价计算；支持学生进行半成品生产入库验收、查看验收单与入库单、半成品生产领用出库、查看领用单操作；支持学生随时进行台账与财务对账，每月进行库存盘点，实现企业账实相符的管理目标，培养学生产品控制、库存控制、成本控制、生产调度的能力。</w:t>
            </w:r>
          </w:p>
          <w:p w14:paraId="2D85FBE2">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3）★产成品仓储管理：系统提供产成品库存管理功能，支持按月查询产成品入出库台账，台账体现每笔产成品入库数量单价金额、出库数量单价金额与调拨数量单价金额，并自动生成每笔入出库记录的时点库存数量与金额，系统采用移动平均加权算法进行半成品库存单价计算；支持学生进行产成品生产入库验收、查看验收单与入库单、产成品销售出库、查看出库单、产成品调拨操作；支持学生随时进行台账与财务对账，每月进行库存盘点，实现企业账实相符的管理目标，培养学生产品控制、库存控制、成本控制、生产调度的能力。</w:t>
            </w:r>
            <w:r>
              <w:rPr>
                <w:rFonts w:hint="eastAsia" w:ascii="微软雅黑" w:hAnsi="微软雅黑" w:eastAsia="微软雅黑" w:cs="微软雅黑"/>
                <w:b/>
                <w:bCs/>
                <w:sz w:val="18"/>
                <w:szCs w:val="18"/>
              </w:rPr>
              <w:t>（提供软件系统演示）</w:t>
            </w:r>
          </w:p>
          <w:p w14:paraId="6D3D8B9B">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4）电商仓储管理：系统提供电商库存管理功能，支持按月查询电商商品入出库台账，台账体现每笔电商商品调拨入库数量单价金额与销售出库数量单价金额，并自动生成每笔入出库记录的时点库存数量与金额，系统采用移动平均加权算法进行半成品库存单价计算；支持学生随时进行台账与财务对账，每月进行库存盘点，实现企业账实相符的管理目标，培养学生产品控制、库存控制、成本控制、生产调度的能力。</w:t>
            </w:r>
          </w:p>
          <w:p w14:paraId="3CA0012A">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8.企业管理业务实训</w:t>
            </w:r>
          </w:p>
          <w:p w14:paraId="38E6CF31">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1）人力资源管理：系统提供员工管理功能，支持学生根据生产线用工计划进行员工招聘，员工招聘人数受员工宿舍剩余面积限制；员工招聘后需要若干天到岗，到岗时间与单次招聘数量相关，招聘费用随累计招聘人数而增加；支持学生对未上岗及生产线未开工的员工进行解聘操作，同时需支付解聘赔偿金；支持学生每月开展员工培训活动；通过企业经营中的人力资源管理各项活动，培养学生分析和解决人力资源管理问题的能力。</w:t>
            </w:r>
          </w:p>
          <w:p w14:paraId="1814FDAF">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2）员工薪酬管理：系统提供员工薪酬管理工作台，展示前12个月社会平均薪酬趋势可视化图表，支持学生对比上月基本薪与计件工资，制定当月基本薪与各产品计件工资，生产工人的薪酬结构为基本薪资+计件工资，生产工人工资低于平均值将会造成一定的人员流失；培养学生薪酬设计与薪酬管理的能力。</w:t>
            </w:r>
          </w:p>
          <w:p w14:paraId="1F78D0F7">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3）绩效奖金及薪酬汇总：系统提供绩效考核数据采集功能，自动汇总每月各部门绩效数据，按管理层、生产部门、销售部门分别列示绩效奖金总额及计提依据，生产部计提依据为良品入库数，销售部计提依据为回款金额，计提基础数值均在汇总表上直观体现；且系统通过内置工资计算算法，自动生成工资汇总表，列示各部门人员基本工资、绩效工资、应付工资、社保公积金扣款、个人所得税扣款、实发工资及单位承担社保公积金金额。</w:t>
            </w:r>
            <w:r>
              <w:rPr>
                <w:rFonts w:hint="eastAsia" w:ascii="微软雅黑" w:hAnsi="微软雅黑" w:eastAsia="微软雅黑" w:cs="微软雅黑"/>
                <w:b/>
                <w:bCs/>
                <w:color w:val="000000"/>
                <w:sz w:val="18"/>
                <w:szCs w:val="18"/>
              </w:rPr>
              <w:t>（提供盖有</w:t>
            </w:r>
            <w:r>
              <w:rPr>
                <w:rFonts w:ascii="微软雅黑" w:hAnsi="微软雅黑" w:eastAsia="微软雅黑" w:cs="微软雅黑"/>
                <w:b/>
                <w:bCs/>
                <w:color w:val="000000"/>
                <w:sz w:val="18"/>
                <w:szCs w:val="18"/>
              </w:rPr>
              <w:t>CMA（中国计量认证）或CNAS（中国合格评定国家认可委员会认证）标志的软件测试报告需能对应显示本条参数内容</w:t>
            </w:r>
            <w:r>
              <w:rPr>
                <w:rFonts w:hint="eastAsia" w:ascii="微软雅黑" w:hAnsi="微软雅黑" w:eastAsia="微软雅黑" w:cs="微软雅黑"/>
                <w:b/>
                <w:bCs/>
                <w:color w:val="000000"/>
                <w:sz w:val="18"/>
                <w:szCs w:val="18"/>
              </w:rPr>
              <w:t>，复印件加盖投标人公章予以佐证）</w:t>
            </w:r>
          </w:p>
          <w:p w14:paraId="160A5512">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4）固定资产管理：系统提供固定资产管理功能，支持学生维护厂房、生产线、复印机、打印机及办公电脑等固定资产，固定资产信息包含折旧期限、获得日期、厂房售价租金、占地面积、生产线售价租金、占地面积；支持学生进行生产线退租与出售操作。</w:t>
            </w:r>
          </w:p>
          <w:p w14:paraId="3EC2CCE1">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5）★节能环保管理：系统提供节能减排治理投资项目，支持学生进行项目投入和建设，提升企业的能源利用效率并减少污染排放，提高学生对企业在环境治理方面的社会责任的认知，理解保护环境和节约能源的重要性；且系统提供固废企业投资项目，支持学生模拟参股一家专门从事电子固废处理业务的公司，对该公司进行股权投资，提升环保处理水平，从而达到进军国家环保新兴产业的战略目标，培养学生战略投资决策的能力和全局思维。</w:t>
            </w:r>
            <w:r>
              <w:rPr>
                <w:rFonts w:hint="eastAsia" w:ascii="微软雅黑" w:hAnsi="微软雅黑" w:eastAsia="微软雅黑" w:cs="微软雅黑"/>
                <w:b/>
                <w:bCs/>
                <w:sz w:val="18"/>
                <w:szCs w:val="18"/>
              </w:rPr>
              <w:t>（提供软件系统演示）</w:t>
            </w:r>
          </w:p>
          <w:p w14:paraId="298F9663">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9.财务管理业务实训</w:t>
            </w:r>
          </w:p>
          <w:p w14:paraId="2897A4B0">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1）银行账户管理：系统提供网上银行教学仿真网站，显示学生经营企业的银联账号、开户银行及支行名称、银行账户余额、账户类型、币种信息；支持学生根据起止时间、交易金额范围、交易类型、对方户名等条件进行银行流水查询，在银行流水列表中查看交易回单，银行回单需明确体现交易借贷方标志、交易摘要、付款人户名与开户行名称、收款人户名与开户行名称、交易大写金额，并盖有银行会计业务章证实交易真实有效；满足学生对账、查账业务实训需求。</w:t>
            </w:r>
          </w:p>
          <w:p w14:paraId="2B21373F">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2）电商账户管理：系统提供企业电商账户管理，显示电商销售订单收入的流水号、流水摘要、电商订单号、流水金额记录；支持学生进行账户提现操作，确认提现所绑定的银行账户信息，录入提现金额完成提现操作；且系统支持流水收入与支出统计，汇总收入总金额与收入流水笔数、支出总金额与支出流水笔数。</w:t>
            </w:r>
            <w:r>
              <w:rPr>
                <w:rFonts w:hint="eastAsia" w:ascii="微软雅黑" w:hAnsi="微软雅黑" w:eastAsia="微软雅黑" w:cs="微软雅黑"/>
                <w:b/>
                <w:bCs/>
                <w:color w:val="000000"/>
                <w:sz w:val="18"/>
                <w:szCs w:val="18"/>
              </w:rPr>
              <w:t>（提供满足该条款系统功能截图并加盖投标人公章）</w:t>
            </w:r>
          </w:p>
          <w:p w14:paraId="65FE79C3">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3）★银行贷款：系统提供资金贷款功能，根据学生经营企业的当前信誉值，系统依托信用评分模型计算企业当前可贷款额度，学生根据经营资金缺口及资金使用计划，录入贷款金额与贷款期限，完成贷款后将根据贷款期限进行每期还款，系统自动生成“银行短期借款合同”、“贷款手续费回单”、“借款单据”、“还贷本金回单”、“还贷利息回单”共5类单据，提现借款业务的完整性与真实性；贷款记录列表中显示贷款金额、费用、利息、已还款金额及未还款金额，满足学生融资流程体验、融资分析决策及融资费用计算分析的实训需求，培养学生运用融资与履约手段，助力企业经营的财务思维。</w:t>
            </w:r>
            <w:r>
              <w:rPr>
                <w:rFonts w:hint="eastAsia" w:ascii="微软雅黑" w:hAnsi="微软雅黑" w:eastAsia="微软雅黑" w:cs="微软雅黑"/>
                <w:b/>
                <w:bCs/>
                <w:sz w:val="18"/>
                <w:szCs w:val="18"/>
              </w:rPr>
              <w:t>（提供软件系统演示）</w:t>
            </w:r>
          </w:p>
          <w:p w14:paraId="0798EAD6">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4）★股票交易：系统提供仿真股市交易平台，支持学生查看并分析股票K线图，通过线性回归、时间序列等机器学习算法进行价格走势预测，结合市场环境咨询等外部信息，关注并挖掘交易性金融资产投资机会，进行股票交易；系统采集学生股票交易信息，自动计算成交价格、成交数量、成交金额、单笔损益、手续费用、投资利得数据，满足学生对投资行为进行复盘分析的数据需求，培养学生运用合理投资方法为企业获取利益及价值增长的能力。</w:t>
            </w:r>
            <w:r>
              <w:rPr>
                <w:rFonts w:hint="eastAsia" w:ascii="微软雅黑" w:hAnsi="微软雅黑" w:eastAsia="微软雅黑" w:cs="微软雅黑"/>
                <w:b/>
                <w:bCs/>
                <w:sz w:val="18"/>
                <w:szCs w:val="18"/>
              </w:rPr>
              <w:t>（提供软件系统演示）</w:t>
            </w:r>
          </w:p>
          <w:p w14:paraId="45BE5F93">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5）碳排放交易：系统提供仿真碳排放交易平台，支持学生查看并分析碳排放价格走势K线图，进行碳资源交易，并采集学生碳排放交易信息，统计学生经营企业的碳资源持有数（吨）；通过碳排放交易，引导学生理解制造业行业与环境资源的密切关系，了解双碳概念，正确认知碳达峰与碳中和，培养学生可持续绿色发展经营理念。</w:t>
            </w:r>
            <w:r>
              <w:rPr>
                <w:rFonts w:hint="eastAsia" w:ascii="微软雅黑" w:hAnsi="微软雅黑" w:eastAsia="微软雅黑" w:cs="微软雅黑"/>
                <w:b/>
                <w:bCs/>
                <w:color w:val="000000"/>
                <w:sz w:val="18"/>
                <w:szCs w:val="18"/>
              </w:rPr>
              <w:t>（提供满足该条款系统功能截图并加盖投标人公章）</w:t>
            </w:r>
          </w:p>
          <w:p w14:paraId="6A7542AA">
            <w:pPr>
              <w:spacing w:line="240" w:lineRule="auto"/>
              <w:rPr>
                <w:rFonts w:ascii="微软雅黑" w:hAnsi="微软雅黑" w:eastAsia="微软雅黑" w:cs="微软雅黑"/>
                <w:b/>
                <w:sz w:val="18"/>
                <w:szCs w:val="18"/>
              </w:rPr>
            </w:pPr>
            <w:r>
              <w:rPr>
                <w:rFonts w:hint="eastAsia" w:ascii="微软雅黑" w:hAnsi="微软雅黑" w:eastAsia="微软雅黑" w:cs="微软雅黑"/>
                <w:b/>
                <w:sz w:val="18"/>
                <w:szCs w:val="18"/>
              </w:rPr>
              <w:t>（二）企业经营财税处理实训模块</w:t>
            </w:r>
          </w:p>
          <w:p w14:paraId="4EE0497E">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1.财税中心：结合数字化“实时会计”理念，通过数据ELT技术实时呈现企业当前的盈利状况、债权债务及现金流等信息，实现商务智能风险监控；系统包含财务机器人、成本核算、总账、报表、固定资产、工资薪酬、税务申报、电子档案、基础数据设置等功能模块；并根据企业财务部设置总账会计、往来会计、成本会计、税务会计4个岗位，支持学生担任各岗位，协同配合。</w:t>
            </w:r>
          </w:p>
          <w:p w14:paraId="53C84386">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2.★财务机器人：提供核算机器人、开票机器人、认证机器人等替代人力执行重复工作；核算机器人支持凭证建模，根据企业会计准则与公司财务制度要求，完成采购、销售、收款、付款、生产、费用等业务模型，机器人批量生成业务记账凭证，并实时更新当前账期的账簿与报表；培养学生运用智能工具将业务数据加工成财务信息的能力，提升业财融合认知水平。</w:t>
            </w:r>
            <w:r>
              <w:rPr>
                <w:rFonts w:hint="eastAsia" w:ascii="微软雅黑" w:hAnsi="微软雅黑" w:eastAsia="微软雅黑" w:cs="微软雅黑"/>
                <w:b/>
                <w:bCs/>
                <w:sz w:val="18"/>
                <w:szCs w:val="18"/>
              </w:rPr>
              <w:t>（提供软件系统演示）</w:t>
            </w:r>
          </w:p>
          <w:p w14:paraId="012D6368">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3.★智能税务申报：提供国家税务总局虚拟仿真工作场景，可进行增值税月报、房产税、印花税、土地使用税季报、所得税季报、企业所得税汇算清缴等；其中税费申报符合以下申报流程和规定：（1）申报税（费）清册，分按期应税申报、其他申报、逾期申报模块，可支持所有税种纳税申报；（2）清缴税款，支持所有税种通过三方协议与银联两种方式缴款实现网络缴纳税款；（3）申报更正/申报作废，申报结果错误的情况可通过更正/作废进行重新申报提交；（4）申报查询，按照申报日期和申报所属期进行查询申报结果；（5）缴款查询，已申报以及缴费的纳税税种可进行打印电子缴税凭证作为留抵凭证。</w:t>
            </w:r>
            <w:r>
              <w:rPr>
                <w:rFonts w:hint="eastAsia" w:ascii="微软雅黑" w:hAnsi="微软雅黑" w:eastAsia="微软雅黑" w:cs="微软雅黑"/>
                <w:b/>
                <w:bCs/>
                <w:sz w:val="18"/>
                <w:szCs w:val="18"/>
              </w:rPr>
              <w:t>（提供软件系统演示）</w:t>
            </w:r>
          </w:p>
          <w:p w14:paraId="2C05769A">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4.★成本核算管理：提供制造费用分配、半成品成本核算、产成品成本核算及数量金额明细表；固定资产管理提供固定资产折旧表、固定资产明细表等，并支持一键对账，核对资产原值、累计折旧与科目余额项目的数值平衡；工资薪酬管理提供工资汇总表与薪酬费用明细表，按部门与人员呈现基本工资、绩效、应付工资等数额；电子档案管理提供合同、发票、回单等票据档案，并可查看关联凭证与现金流量项目。</w:t>
            </w:r>
            <w:r>
              <w:rPr>
                <w:rFonts w:hint="eastAsia" w:ascii="微软雅黑" w:hAnsi="微软雅黑" w:eastAsia="微软雅黑" w:cs="微软雅黑"/>
                <w:b/>
                <w:bCs/>
                <w:sz w:val="18"/>
                <w:szCs w:val="18"/>
              </w:rPr>
              <w:t>（提供软件系统演示）</w:t>
            </w:r>
          </w:p>
          <w:p w14:paraId="7D6B30B4">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5.▲辅助稽查：根据学生企业经营管理与决策情况，自动出具参考账务处理结果，并支持教师检查学生账务处理结果与参考账务处理结果的对比情况，对学生账务处理金额有误的地方给予警示；稽查范围包括特殊业务凭证、成本业务凭证、期末结转凭证、科目余额表及财务报表，其中特殊业务包含但不限于融资租赁、房产按揭、碳排放、材料报损、电商费用结算、违约金、延期利息等业务。</w:t>
            </w:r>
            <w:r>
              <w:rPr>
                <w:rFonts w:hint="eastAsia" w:ascii="微软雅黑" w:hAnsi="微软雅黑" w:eastAsia="微软雅黑" w:cs="微软雅黑"/>
                <w:b/>
                <w:kern w:val="0"/>
                <w:sz w:val="18"/>
                <w:szCs w:val="18"/>
              </w:rPr>
              <w:t>（投标人需提供功能截图予以佐证，不能提供或者不满足视为投标无效）</w:t>
            </w:r>
          </w:p>
          <w:p w14:paraId="7EE0B467">
            <w:pPr>
              <w:spacing w:line="240" w:lineRule="auto"/>
              <w:rPr>
                <w:rFonts w:ascii="微软雅黑" w:hAnsi="微软雅黑" w:eastAsia="微软雅黑" w:cs="微软雅黑"/>
                <w:b/>
                <w:sz w:val="18"/>
                <w:szCs w:val="18"/>
              </w:rPr>
            </w:pPr>
            <w:r>
              <w:rPr>
                <w:rFonts w:hint="eastAsia" w:ascii="微软雅黑" w:hAnsi="微软雅黑" w:eastAsia="微软雅黑" w:cs="微软雅黑"/>
                <w:b/>
                <w:sz w:val="18"/>
                <w:szCs w:val="18"/>
              </w:rPr>
              <w:t>（三）企业大数据中心</w:t>
            </w:r>
          </w:p>
          <w:p w14:paraId="13C89A32">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1.宏观经济数据：系统汇集企业经营所需要参考的宏观数据，包含货币供应量M0、M1、M2指标、国内生产总值GDP、居民价格消费指数CPI、工业生产者出厂价格指数PPI、商品零售价格指数RPI、社平工资与失业率指数、贷款基准利率等，通过柱形图、折线图、组合图等图表形式呈现，并支持切换图表或表格模式。</w:t>
            </w:r>
          </w:p>
          <w:p w14:paraId="306543A5">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2.行业数据看板：系统汇集企业经营行业数据（以制造业为例），包含所属行业厂商销售额数据、上市公司股票代码及行业专业度、所属行业地区注册资金分布地图、行业细分销售额、产品细分销售额等，通过柱形图、饼图、行政地区地图等图表形式呈现，并支持切换图表或表格模式。</w:t>
            </w:r>
          </w:p>
          <w:p w14:paraId="7E373C53">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3.市场数据看板：系统汇集所属产业上下游市场数据，包含供应商认证体系、供应商地区来源、供应商信用等级分布、供应商规模分布、原材料平均价格指数、经销商企业规模分类、经销商企业管理素质、经销商地区来源、经销商信用等级分布、经销商风险评估、产品平均价格指数等，通过柱形图、折线图、散点图、环形图等图表形式呈现，并支持切换图表或表格模式。</w:t>
            </w:r>
          </w:p>
          <w:p w14:paraId="1C924D0A">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4.★企业数据：系统汇集企业经营产生的业务、财务数据，提供采购主题、生产主题、销售主题、人力主题、合同数据等多种业务主题看板，业务主题与数据指标密切相关，如采购主题突出采购成本、材料周转、库存成本等指标，人力主题突出人力成本、人均净利润、人效比等指标，合同主题突出应收应付、回款率等指标；财务数据则提供资产负债表、利润表与现金流量表三个报表看板，及偿债能力、盈利能力、营运能力、发展能力四方面财务指标看板。</w:t>
            </w:r>
            <w:r>
              <w:rPr>
                <w:rFonts w:hint="eastAsia" w:ascii="微软雅黑" w:hAnsi="微软雅黑" w:eastAsia="微软雅黑" w:cs="微软雅黑"/>
                <w:b/>
                <w:bCs/>
                <w:sz w:val="18"/>
                <w:szCs w:val="18"/>
              </w:rPr>
              <w:t>（提供软件系统演示）</w:t>
            </w:r>
          </w:p>
          <w:p w14:paraId="12E2F636">
            <w:pPr>
              <w:spacing w:line="240" w:lineRule="auto"/>
              <w:rPr>
                <w:rFonts w:ascii="微软雅黑" w:hAnsi="微软雅黑" w:eastAsia="微软雅黑" w:cs="微软雅黑"/>
                <w:b/>
                <w:sz w:val="18"/>
                <w:szCs w:val="18"/>
              </w:rPr>
            </w:pPr>
            <w:r>
              <w:rPr>
                <w:rFonts w:hint="eastAsia" w:ascii="微软雅黑" w:hAnsi="微软雅黑" w:eastAsia="微软雅黑" w:cs="微软雅黑"/>
                <w:b/>
                <w:sz w:val="18"/>
                <w:szCs w:val="18"/>
              </w:rPr>
              <w:t>（四）企业经营决策中心</w:t>
            </w:r>
          </w:p>
          <w:p w14:paraId="5256B689">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1.经营分析决策报告：系统支持学生完成教师布置的决策分析报告任务，根据任务要求与任务资料，采用合适决策工具，可预测经济走势并分析宏观经济变化趋势，根据大数据业务看板分析业务数据进行管理决策，并进行数据统计形成经营分析与财务分析决策报告。</w:t>
            </w:r>
          </w:p>
          <w:p w14:paraId="6F137155">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2.分析决策模型：系统依托管理会计分析决策理论模型，提供测算、预测、分析、决策等多类模型，采用线性回归、时间序列等机器学习算法，支持进行按揭测算、融资租赁测算、销售预测、原材料或产品价格预测、盈亏平衡分析、新产品生产决策、固定资产采购决策。</w:t>
            </w:r>
            <w:r>
              <w:rPr>
                <w:rFonts w:hint="eastAsia" w:ascii="微软雅黑" w:hAnsi="微软雅黑" w:eastAsia="微软雅黑" w:cs="微软雅黑"/>
                <w:b/>
                <w:bCs/>
                <w:color w:val="000000"/>
                <w:sz w:val="18"/>
                <w:szCs w:val="18"/>
              </w:rPr>
              <w:t>（提供满足该条款系统功能截图并加盖投标人公章）</w:t>
            </w:r>
          </w:p>
          <w:p w14:paraId="10CC5352">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3.商业智能分析：系统内置商业智能分析系统，支持进行数据分析可视化，可用图形包括：柱状图、折线图、饼图、玫瑰图、雷达图、地图等20多个数据可视化组件，并提供15种以上风格主体模板让用户对图表进一步美化；支持通过对数据进行过滤、排序、排名、条件格式化、切换统计维度和指标、切换行/列切面、选择可视化插件、容器、组件等操作，对不同数据分析场景进行个性化设置；且支持数据透视表、图表联动、数据钻取、数据切片器等交互式分析功能。</w:t>
            </w:r>
          </w:p>
          <w:p w14:paraId="54BC5C7A">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4.企业经营业财数据集：系统实时采集学生企业经营过程中产生的各类数据，在BI工具中生成数据集供学生进行商业智能分析，数据集范围包含销售计划、生产计划、采购计划、采购记录、生产下达记录、材料入出库记录、产品入出库记录、电商平台结算记录、银行回单、碳资源、股票交易、资产负债表、利润表等25项业财数据。</w:t>
            </w:r>
            <w:r>
              <w:rPr>
                <w:rFonts w:hint="eastAsia" w:ascii="微软雅黑" w:hAnsi="微软雅黑" w:eastAsia="微软雅黑" w:cs="微软雅黑"/>
                <w:b/>
                <w:bCs/>
                <w:sz w:val="18"/>
                <w:szCs w:val="18"/>
              </w:rPr>
              <w:t>（提供盖有</w:t>
            </w:r>
            <w:r>
              <w:rPr>
                <w:rFonts w:ascii="微软雅黑" w:hAnsi="微软雅黑" w:eastAsia="微软雅黑" w:cs="微软雅黑"/>
                <w:b/>
                <w:bCs/>
                <w:sz w:val="18"/>
                <w:szCs w:val="18"/>
              </w:rPr>
              <w:t>CMA（中国计量认证）或CNAS（中国合格评定国家认可委员会认证）标志的软件测试报告需能对应显示本条参数内容</w:t>
            </w:r>
            <w:r>
              <w:rPr>
                <w:rFonts w:hint="eastAsia" w:ascii="微软雅黑" w:hAnsi="微软雅黑" w:eastAsia="微软雅黑" w:cs="微软雅黑"/>
                <w:b/>
                <w:bCs/>
                <w:sz w:val="18"/>
                <w:szCs w:val="18"/>
              </w:rPr>
              <w:t>，复印件加盖投标人公章予以佐证）</w:t>
            </w:r>
          </w:p>
          <w:p w14:paraId="44575BC6">
            <w:pPr>
              <w:spacing w:line="240" w:lineRule="auto"/>
              <w:rPr>
                <w:rFonts w:ascii="微软雅黑" w:hAnsi="微软雅黑" w:eastAsia="微软雅黑" w:cs="微软雅黑"/>
                <w:b/>
                <w:sz w:val="18"/>
                <w:szCs w:val="18"/>
              </w:rPr>
            </w:pPr>
            <w:r>
              <w:rPr>
                <w:rFonts w:hint="eastAsia" w:ascii="微软雅黑" w:hAnsi="微软雅黑" w:eastAsia="微软雅黑" w:cs="微软雅黑"/>
                <w:b/>
                <w:sz w:val="18"/>
                <w:szCs w:val="18"/>
              </w:rPr>
              <w:t>（五）教学管理模块</w:t>
            </w:r>
          </w:p>
          <w:p w14:paraId="3AD2D24D">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1.实训教学管理：支持教师创建实训批次，设置实训名称、实训起始时间与结束时间、实训企业、企业经营年份、企业初始资金、企业财务核算模式；支持通过调取系统凭证模块资源，为当前实训设置需要训练的凭证模板；支持教师根据教学计划，按需暂停或启用批次，批次处于暂停状态下，学生将暂时无法进入实训，待教师重新启用批次后学生方可再次继续实训。</w:t>
            </w:r>
            <w:r>
              <w:rPr>
                <w:rFonts w:hint="eastAsia" w:ascii="微软雅黑" w:hAnsi="微软雅黑" w:eastAsia="微软雅黑" w:cs="微软雅黑"/>
                <w:b/>
                <w:bCs/>
                <w:color w:val="000000"/>
                <w:sz w:val="18"/>
                <w:szCs w:val="18"/>
              </w:rPr>
              <w:t>（提供满足该条款系统功能截图并加盖投标人公章）</w:t>
            </w:r>
          </w:p>
          <w:p w14:paraId="55EA1E7C">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2.分析决策报告任务管理：支持教师根据教学计划布置决策分析报告任务，并设置建议决策工具、任务资料、报告判分点；且支持查看学生提交的任务报告并进行评分管理。</w:t>
            </w:r>
          </w:p>
          <w:p w14:paraId="0E6DB8F8">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3.实训学生管理：支持教师设置参与该批次的学生名单，并支持进行学生分组，根据实训教学计划，进行单人多岗实训、团队多人多岗等多种实训组织方式；且系统提供快捷账号导入功能，支持教师从Excel一键批量导入账号，并自动完成分组及组员角色设置。</w:t>
            </w:r>
          </w:p>
          <w:p w14:paraId="3B67C72E">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4.实训成绩设置：支持教师对实训成绩进行分数权重设置，可分别设置经营、财税、ESG评价三个维度的权重分值，并支持对维度下明细指标设置分值；针对不同批次的学生设置不同考核标准，进行适应型授课教学。</w:t>
            </w:r>
          </w:p>
          <w:p w14:paraId="3891E7B3">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5.▲实训成绩统计分析：支持教师查看学生实训成绩，系统将采集学生企业经营实训、财税处理实训、ESG评价等多种教学成果数据源；企业经营实训成绩根据每月经营结果指标统计得分，指标包含销售净利率、现金比率等财务指标，也包含销售计划、生产计划等计划完成率指标，还包含人员流动情况、设备开机率等关键业务指标；财税处理实训成绩根据学生成本核算（制造费用分配、完工产品与月末在产品成本分配）、经济业务账务处理、纳税申报及清缴统计得分；ESG评价得分统计根据学生E维度、S维度、G维度明细指标统计得分，包含企业水资源利用率、社保覆盖率、董事会结构等评价指标；系统提供成绩稽查功能，辅助教师查看学生账务处理学生报表数值与标准答案对比、增值税及附加税申报填报结果与正确答案对比、所得税季度申报填报结果与正确答案对比、财产行为税季度申报填报结果与正确答案对比、企业所得税年度申报填报结果与正确答案对比，针对不同经营结果的学生数据，快速定位学生易错点，提供点对点教学指导，提高实践教学效率。</w:t>
            </w:r>
            <w:r>
              <w:rPr>
                <w:rFonts w:hint="eastAsia" w:ascii="微软雅黑" w:hAnsi="微软雅黑" w:eastAsia="微软雅黑" w:cs="微软雅黑"/>
                <w:b/>
                <w:bCs/>
                <w:sz w:val="18"/>
                <w:szCs w:val="18"/>
              </w:rPr>
              <w:t>（投标人需提供功能截图予以佐证，不能提供或者不满足视为投标无效）</w:t>
            </w:r>
          </w:p>
          <w:p w14:paraId="54B15F38">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6. ▲教学互动中心：支持文件统计，问答统计，用户统计，排行榜，平台动态显示；支持查看系统内置分享的文件，查看其他用户上传文件或上传个人文件，查看个人收藏，查看个人贡献；查看问题或提出问题，用户自己提出的问题列表，用户的回答列表；支持内容违规审查。</w:t>
            </w:r>
            <w:r>
              <w:rPr>
                <w:rFonts w:hint="eastAsia" w:ascii="微软雅黑" w:hAnsi="微软雅黑" w:eastAsia="微软雅黑" w:cs="微软雅黑"/>
                <w:b/>
                <w:bCs/>
                <w:sz w:val="18"/>
                <w:szCs w:val="18"/>
              </w:rPr>
              <w:t>（投标人需提供功能截图予以佐证，不能提供或者不满足视为投标无效）</w:t>
            </w:r>
          </w:p>
          <w:p w14:paraId="2C0AABC2">
            <w:pPr>
              <w:spacing w:line="240" w:lineRule="auto"/>
              <w:rPr>
                <w:rFonts w:ascii="微软雅黑" w:hAnsi="微软雅黑" w:eastAsia="微软雅黑" w:cs="微软雅黑"/>
                <w:b/>
                <w:sz w:val="18"/>
                <w:szCs w:val="18"/>
              </w:rPr>
            </w:pPr>
            <w:r>
              <w:rPr>
                <w:rFonts w:hint="eastAsia" w:ascii="微软雅黑" w:hAnsi="微软雅黑" w:eastAsia="微软雅黑" w:cs="微软雅黑"/>
                <w:b/>
                <w:sz w:val="18"/>
                <w:szCs w:val="18"/>
              </w:rPr>
              <w:t>（六）会计实务岗课赛训模块</w:t>
            </w:r>
          </w:p>
          <w:p w14:paraId="6376C9F6">
            <w:pPr>
              <w:spacing w:line="240" w:lineRule="auto"/>
              <w:rPr>
                <w:rFonts w:ascii="微软雅黑" w:hAnsi="微软雅黑" w:eastAsia="微软雅黑" w:cs="微软雅黑"/>
                <w:b/>
                <w:sz w:val="18"/>
                <w:szCs w:val="18"/>
              </w:rPr>
            </w:pPr>
            <w:r>
              <w:rPr>
                <w:rFonts w:hint="eastAsia" w:ascii="微软雅黑" w:hAnsi="微软雅黑" w:eastAsia="微软雅黑" w:cs="微软雅黑"/>
                <w:b/>
                <w:sz w:val="18"/>
                <w:szCs w:val="18"/>
              </w:rPr>
              <w:t>1.赛务端</w:t>
            </w:r>
          </w:p>
          <w:p w14:paraId="017439E7">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支持管理员在此模块对竞赛及实训操作的后台进行基本设置，模块具备比赛管理、考场监控、竞赛试卷管理、选手管理、教师管理、系统管理、修改密码、系统帮助、退出系统等功能</w:t>
            </w:r>
          </w:p>
          <w:p w14:paraId="58BBD77D">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1、比赛管理功能</w:t>
            </w:r>
          </w:p>
          <w:p w14:paraId="03D83ABF">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1.1新增比赛</w:t>
            </w:r>
          </w:p>
          <w:p w14:paraId="7E8DB9DE">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（1）▲要求新增比赛时，支持对比赛的名称、比赛模式（竞赛/练习）、单据整理模式（扫描/系统整理）、角色模式（多人分岗/一人多岗）以及竞赛方式（团队/个人）进行设置。</w:t>
            </w:r>
            <w:r>
              <w:rPr>
                <w:rFonts w:hint="eastAsia" w:ascii="微软雅黑" w:hAnsi="微软雅黑" w:eastAsia="微软雅黑" w:cs="微软雅黑"/>
                <w:b/>
                <w:kern w:val="0"/>
                <w:sz w:val="18"/>
                <w:szCs w:val="18"/>
              </w:rPr>
              <w:t>（投标人需提供功能截图予以佐证，不能提供或者不满足视为投标无效）</w:t>
            </w:r>
          </w:p>
          <w:p w14:paraId="72890432">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（2）比赛模式设置成练习模式时，在每个任务完成后支持查看答案和解析，方便比对结果。</w:t>
            </w:r>
          </w:p>
          <w:p w14:paraId="1DCE6F8A">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3）角色模式设置成一人多岗时，支持单个人在平台内随意切换不同角色进行实训操作，便于熟悉不同岗位实训任务；角色模式设置成多人分岗模式时，每位选手只能操作自己所属角色对应的任务，支持各岗位分工协作完成所有任务，该模式有利于培养团队协作精神，通过两种模式满足学生不同的实训需求。</w:t>
            </w:r>
          </w:p>
          <w:p w14:paraId="050D0BBA">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1.2编辑比赛</w:t>
            </w:r>
          </w:p>
          <w:p w14:paraId="0B27D011">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支持修改已有比赛的比赛名称、比赛模式、单据整理模式。</w:t>
            </w:r>
          </w:p>
          <w:p w14:paraId="792321BE">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1.3场次管理</w:t>
            </w:r>
          </w:p>
          <w:p w14:paraId="47214553">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（1）在场次管理中，支持新增场次，设置场次名称、比赛起止时间，是否IP筛选，是否PK场次，是否显示成绩，竞赛试卷是通过选择还是导入方式等操作。</w:t>
            </w:r>
          </w:p>
          <w:p w14:paraId="522F4990">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（2）比赛开始时间支持按固定时间开启和现场动态开启两种操作方式，比赛起止时间设置灵活便捷。</w:t>
            </w:r>
          </w:p>
          <w:p w14:paraId="717B8884">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（3）对于比赛或者实训结束后是否要让学生看到自己的成绩，支持对成绩显示进行设置。</w:t>
            </w:r>
          </w:p>
          <w:p w14:paraId="4939B77B">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1.4竞赛成绩查询</w:t>
            </w:r>
          </w:p>
          <w:p w14:paraId="01D63DC7">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支持查看本场次各代表队的竞赛总成绩，同时支持查看各代表队各岗位各任务的详细得分情况，方便分析学生对知识点的掌握情况，还可以强制学生结束竞赛。</w:t>
            </w:r>
          </w:p>
          <w:p w14:paraId="230C1EEF">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1.5比赛成绩分析</w:t>
            </w:r>
          </w:p>
          <w:p w14:paraId="45DAC643">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要求可查看本场比赛每个任务题的最高分、最低分、平均分信息及试题成绩分布情况，方便在各参赛队选手之间进行相同任务做题结果的对比分析。</w:t>
            </w:r>
          </w:p>
          <w:p w14:paraId="2D63534C">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1.6 IP筛选</w:t>
            </w:r>
          </w:p>
          <w:p w14:paraId="191B7D28">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支持对比赛场次登录的IP进行设置，防止作弊。</w:t>
            </w:r>
          </w:p>
          <w:p w14:paraId="093518F0">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1.7 补时</w:t>
            </w:r>
          </w:p>
          <w:p w14:paraId="5E16B5B2">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比赛过程中出现意外状况时，支持在比赛时间结束后进行补时操作。</w:t>
            </w:r>
          </w:p>
          <w:p w14:paraId="14B51CF6">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1.8实时成绩显示</w:t>
            </w:r>
          </w:p>
          <w:p w14:paraId="20A7D1B7">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支持对学生做题结果实时判分，实时显示竞赛过程当前时间点各代表队得分情况、总成绩排名前十队伍、题目完成率排名前十队伍以及可直接对比各团队中相同角色的得分情况。</w:t>
            </w:r>
          </w:p>
          <w:p w14:paraId="7447CF7C">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1.9最终分数统计</w:t>
            </w:r>
          </w:p>
          <w:p w14:paraId="73D25AA8">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要求以表格形式显示各选手的最终分数，同时支持导出团体和各个岗位的成绩，并且进行排名设置，方便统计各选手的得分情况。</w:t>
            </w:r>
          </w:p>
          <w:p w14:paraId="19F31C62">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2、考场监控功能</w:t>
            </w:r>
          </w:p>
          <w:p w14:paraId="449F09AE">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（1）要求可以查看当前日期包含的比赛场次，开始时间、结束时间。对于其中的某个场次支持“按登录时间排序”、“按选手排序”和“按IP排序”等方式查阅。</w:t>
            </w:r>
          </w:p>
          <w:p w14:paraId="13852767">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（2）比赛或实训中出现因学生误操作提早结束竞赛的情况时，支持“时间重置”操作，恢复为继续比赛状态，同时要求系统保留学生做题数据。</w:t>
            </w:r>
          </w:p>
          <w:p w14:paraId="272DF2C9">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（3）比赛或实训中因选手操作失误出现角色丢失的情况时，支持通过“重置题目角色”来找回丢失的角色。</w:t>
            </w:r>
          </w:p>
          <w:p w14:paraId="4EEC4F9A">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3、竞赛试卷管理功能</w:t>
            </w:r>
          </w:p>
          <w:p w14:paraId="3EE20B52">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支持教师选择要模拟的试卷以及对之前的模拟记录进行清除操作。</w:t>
            </w:r>
          </w:p>
          <w:p w14:paraId="4C6BF79C">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4、选手管理功能</w:t>
            </w:r>
          </w:p>
          <w:p w14:paraId="035B5C45">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要求提供便捷的用户管理系统，可通过EXCEL表格批量导入学生账号信息，也可以按系统规则快速批量生成学生账号信息，方便老师教学使用。</w:t>
            </w:r>
          </w:p>
          <w:p w14:paraId="14D5BEEF">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5、教师管理功能</w:t>
            </w:r>
          </w:p>
          <w:p w14:paraId="1699513D">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支持新增或者删除教师，设置教师权限以及登录密码。</w:t>
            </w:r>
          </w:p>
          <w:p w14:paraId="38E72857">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6、系统管理功能</w:t>
            </w:r>
          </w:p>
          <w:p w14:paraId="5D78D69D">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支持学生在结束竞赛后查看做题结果以及结束后重置做题数据（重置做题会清空原有的做题数据，重新练习）的设置，支持双屏操作设置等。</w:t>
            </w:r>
          </w:p>
          <w:p w14:paraId="76D96278">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6.1双屏模式：支持做题区域和背景区域在多屏显示，方便学生操作。</w:t>
            </w:r>
          </w:p>
          <w:p w14:paraId="605796E7">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7、系统帮助功能</w:t>
            </w:r>
          </w:p>
          <w:p w14:paraId="1A9D126E">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要求平台内置系统操作说明，方便快速掌握平台功能。</w:t>
            </w:r>
          </w:p>
          <w:p w14:paraId="3BD14B28">
            <w:pPr>
              <w:spacing w:line="240" w:lineRule="auto"/>
              <w:rPr>
                <w:rFonts w:ascii="微软雅黑" w:hAnsi="微软雅黑" w:eastAsia="微软雅黑" w:cs="微软雅黑"/>
                <w:b/>
                <w:sz w:val="18"/>
                <w:szCs w:val="18"/>
              </w:rPr>
            </w:pPr>
            <w:r>
              <w:rPr>
                <w:rFonts w:hint="eastAsia" w:ascii="微软雅黑" w:hAnsi="微软雅黑" w:eastAsia="微软雅黑" w:cs="微软雅黑"/>
                <w:b/>
                <w:sz w:val="18"/>
                <w:szCs w:val="18"/>
              </w:rPr>
              <w:t>2.学生端</w:t>
            </w:r>
          </w:p>
          <w:p w14:paraId="2AAF72A5">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支持学生通过该模块进行竞赛或实训操作，主要包括比赛场次区、主窗口区、任务区、材料区及其他功能等。</w:t>
            </w:r>
          </w:p>
          <w:p w14:paraId="0ACBC2A3">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1.比赛场次区功能</w:t>
            </w:r>
          </w:p>
          <w:p w14:paraId="49BC5D13">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要求可以查看多场同时进行的比赛列表，比赛开始倒计时，核对账号相关信息以及退出平台返回登录界面。</w:t>
            </w:r>
          </w:p>
          <w:p w14:paraId="096A24E2">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2、主窗口区功能</w:t>
            </w:r>
          </w:p>
          <w:p w14:paraId="68FBF482">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2.1竞赛剩时</w:t>
            </w:r>
          </w:p>
          <w:p w14:paraId="651EC29F">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要求显示当前竞赛所剩余的时间。</w:t>
            </w:r>
          </w:p>
          <w:p w14:paraId="14CA4D2A">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2.2全部任务</w:t>
            </w:r>
          </w:p>
          <w:p w14:paraId="24BA1B0E">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要求显示全部岗位的全部任务，以便快速切换查找（以数字方式呈现）。</w:t>
            </w:r>
          </w:p>
          <w:p w14:paraId="1368FB7F">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2.3我的任务</w:t>
            </w:r>
          </w:p>
          <w:p w14:paraId="5E468B75">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显示当前岗位所需操作的任务。</w:t>
            </w:r>
          </w:p>
          <w:p w14:paraId="09220711">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2.4结束竞赛</w:t>
            </w:r>
          </w:p>
          <w:p w14:paraId="6889F4F5">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全部任务完成，确认不再修改后，支持结束竞赛操作，只有最后一个岗位才可结束竞赛。</w:t>
            </w:r>
          </w:p>
          <w:p w14:paraId="19BBB417">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2.5企业信息</w:t>
            </w:r>
          </w:p>
          <w:p w14:paraId="039471BD">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支持显示主体企业的相关信息。</w:t>
            </w:r>
          </w:p>
          <w:p w14:paraId="3D763EC2">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2.6任务列表</w:t>
            </w:r>
          </w:p>
          <w:p w14:paraId="7DE63F11">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支持显示全部岗位的全部任务，以便快速切换查找（以文字方式呈现）。</w:t>
            </w:r>
          </w:p>
          <w:p w14:paraId="2D7B4F44">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2.7标记本任务</w:t>
            </w:r>
            <w:r>
              <w:rPr>
                <w:rFonts w:hint="eastAsia" w:ascii="微软雅黑" w:hAnsi="微软雅黑" w:eastAsia="微软雅黑" w:cs="微软雅黑"/>
                <w:sz w:val="18"/>
                <w:szCs w:val="18"/>
              </w:rPr>
              <w:tab/>
            </w:r>
          </w:p>
          <w:p w14:paraId="4944C814">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要返回重新操作或者修改某个任务时，支持对该任务做标记，以节省查找时间。</w:t>
            </w:r>
          </w:p>
          <w:p w14:paraId="2237BB3D">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2.8锁定</w:t>
            </w:r>
            <w:r>
              <w:rPr>
                <w:rFonts w:hint="eastAsia" w:ascii="微软雅黑" w:hAnsi="微软雅黑" w:eastAsia="微软雅黑" w:cs="微软雅黑"/>
                <w:sz w:val="18"/>
                <w:szCs w:val="18"/>
              </w:rPr>
              <w:tab/>
            </w:r>
          </w:p>
          <w:p w14:paraId="25A46BA9">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前面的任务未完成时，支持对本任务进行锁定，主要用于涉及关联业务的多人流转使用。</w:t>
            </w:r>
          </w:p>
          <w:p w14:paraId="4021789F">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2.9上笔任务/下笔任务</w:t>
            </w:r>
            <w:r>
              <w:rPr>
                <w:rFonts w:hint="eastAsia" w:ascii="微软雅黑" w:hAnsi="微软雅黑" w:eastAsia="微软雅黑" w:cs="微软雅黑"/>
                <w:sz w:val="18"/>
                <w:szCs w:val="18"/>
              </w:rPr>
              <w:tab/>
            </w:r>
          </w:p>
          <w:p w14:paraId="445AF4FB">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支持切换至当前任务的上一个任务、下一个任务页面。</w:t>
            </w:r>
          </w:p>
          <w:p w14:paraId="61720E71">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3、任务区功能</w:t>
            </w:r>
          </w:p>
          <w:p w14:paraId="2B073ADB">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3.1任务内容</w:t>
            </w:r>
          </w:p>
          <w:p w14:paraId="597896B6">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要求显示当前任务的描述及分值。</w:t>
            </w:r>
          </w:p>
          <w:p w14:paraId="27FBD570">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3.2结果提交区</w:t>
            </w:r>
          </w:p>
          <w:p w14:paraId="4F6424A6">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选手须根据竞赛任务要求，将完成的任务结果录入指定位置，以便模块自动评分。</w:t>
            </w:r>
          </w:p>
          <w:p w14:paraId="0D0E8E4C">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3.3保存数据</w:t>
            </w:r>
          </w:p>
          <w:p w14:paraId="161B226F">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当前任务完成后，点击保存数据，也可通过点击下笔任务或提交下一岗位自动保存当前任务。</w:t>
            </w:r>
          </w:p>
          <w:p w14:paraId="2642358E">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3.4提交下一岗位</w:t>
            </w:r>
          </w:p>
          <w:p w14:paraId="371A7068">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对于需要多人分工完成的任务，前一岗位完成后，提交下一岗位继续操作。</w:t>
            </w:r>
          </w:p>
          <w:p w14:paraId="69690F51">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3.5退回修改</w:t>
            </w:r>
          </w:p>
          <w:p w14:paraId="09AA3F70">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上一岗位提交的任务需要修改时，支持通过退回修改按钮实现修改操作。</w:t>
            </w:r>
          </w:p>
          <w:p w14:paraId="53F1D36A">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4、材料区功能</w:t>
            </w:r>
          </w:p>
          <w:p w14:paraId="01E0DCB6">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要求显示当前任务的相关背景资料。</w:t>
            </w:r>
          </w:p>
          <w:p w14:paraId="0EF899D4">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5、其他功能</w:t>
            </w:r>
          </w:p>
          <w:p w14:paraId="22A834D8">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5.1要求平台设有EXCEL插件实用工具，学生可通过EXCEL插件直接在表单上自由运算及运用函数公式计算，同时可以将实训中Excel表格的数据复制到本机Excel中，或者将本机Excel的计算结果粘贴到平台中，提高学生做题效率。</w:t>
            </w:r>
          </w:p>
          <w:p w14:paraId="52F8C380">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5.2 要求平台中内嵌计算器，方便学生计算操作。</w:t>
            </w:r>
          </w:p>
          <w:p w14:paraId="6FDF0F85">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5.3★要求平台支持多种题型，包括单选题、多选题、判断题、综合题、票据整理、票据验真、业财税资融合业务处理、大数据业财分析、企业内部控制设计、电子税务局报税、Python应用、RPA财务机器人设计与开发、Excel应用、前置题等。</w:t>
            </w:r>
            <w:r>
              <w:rPr>
                <w:rFonts w:hint="eastAsia" w:ascii="微软雅黑" w:hAnsi="微软雅黑" w:eastAsia="微软雅黑" w:cs="微软雅黑"/>
                <w:b/>
                <w:bCs/>
                <w:sz w:val="18"/>
                <w:szCs w:val="18"/>
              </w:rPr>
              <w:t>（提供软件系统演示）</w:t>
            </w:r>
          </w:p>
          <w:p w14:paraId="7969C2D3">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5.4要求平台提供大数据处理工具，支持利用大数据技术采集企业内外部环境的结构化、非结构化数据，进行数据存储、数据清洗、数据连接、数据加工、数据建模分析及可视化呈现操作。平台内置Python开发环境，用户无需本地安装，集成Jupyter Notebook平台或Python原生环境两种配置，支持直接通过浏览器使用平台内部Python开发环境，进行Python代码的编写、调试与运行操作；且要求平台与各数据处理工具无缝集成，内置Numpy、Pandas、Matplotlib等常用第三方模块，在无需用户自己搭建编程环境条件下，通过虚拟工作场景，满足用户对大数据的采集、处理、可视化的使用需求，以及各类场景的应用，实现Python开发与应用无缝衔接。</w:t>
            </w:r>
          </w:p>
          <w:p w14:paraId="1EF5700C">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5.5★要求平台提供商务数据分析BI系统，支持利用平台内置的商业智能分析系统进行数据采集、建模操作。平台支持使用Oracle、SQL Server、Mysql、SQLite等21个关系型数据源，支持Excel、Json、CSV、Xml文件型数据源，支持MongoDB等NoSQL型数据源；并对数据集的数据进行新建计算列、新建度量值、设置数值格式、数值单位、缩放类型等操作，对数据集内的数据进一步进行加工。</w:t>
            </w:r>
            <w:r>
              <w:rPr>
                <w:rFonts w:hint="eastAsia" w:ascii="微软雅黑" w:hAnsi="微软雅黑" w:eastAsia="微软雅黑" w:cs="微软雅黑"/>
                <w:b/>
                <w:bCs/>
                <w:sz w:val="18"/>
                <w:szCs w:val="18"/>
              </w:rPr>
              <w:t>（提供软件系统演示）</w:t>
            </w:r>
          </w:p>
          <w:p w14:paraId="0A679B56">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5.6要求平台提供商务数据分析BI系统，支持利用平台内置的商业智能分析系统进行数据分析、可视化操作。平台通过所选择的数据参数，系统自动选择合适的图表进行可视化呈现，支持图形包括：柱状图、折线图、饼图、雷达图、地图等38个数据可视化图形，并提供10种风格主体模板让用户对图表进一步美化；支持通过对数据进行过滤、排序、排名、条件格式化、切换统计维度和指标、切换行/列切面、选择可视化插件、容器、组件等操作将，对不同数据分析场景进行个性化设置；且支持数据透视表、图表联动、数据钻取、数据切片器、OLAP 等交互式分析功能。</w:t>
            </w:r>
          </w:p>
          <w:p w14:paraId="243189D7">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5.7大数据中心</w:t>
            </w:r>
          </w:p>
          <w:p w14:paraId="1894CE5E">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大数据中心提供丰富的公共数据资源，要求数据内容涵盖上市公司XBRL数据、中国建设银行数据、中国农业银行数据、中国工商银行数据、国家统计局等多种数据来源渠道。</w:t>
            </w:r>
          </w:p>
          <w:p w14:paraId="5CA8C32E">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6、税务业务处理</w:t>
            </w:r>
          </w:p>
          <w:p w14:paraId="5218B496">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支持在仿真电子税务局开具数电票、执行增值税专用发票勾选确认，完成流转税及附加税费、年度所得税及社保费申报；在自然人电子税务局（扣缴端）完成个税申报。</w:t>
            </w:r>
          </w:p>
          <w:p w14:paraId="65E59223">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6.1 电子税务局—税费申报及缴纳模块符合以下申报流程和规定：（1）申报税（费）清册，可支持所有税种纳税申报；（2）清缴税款，支持所有税种通过三方协议缴款实现网络缴纳税款；（3）申报更正/申报作废，申报结果错误的情况可通过更正/作废进行重新申报提交；（4）申报查询及打印，按照申报日期和申报所属期查询申报结果；（5）缴款查询及打印，已申报以及缴费的纳税税种可进行打印电子缴税凭证作为留抵凭证。</w:t>
            </w:r>
          </w:p>
          <w:p w14:paraId="00743A7A">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6.2 电子税务局纳税申报系统支持以下税种申报：增值税及附加税费纳税申报（一般、小规模），企业所得税纳税申报（年度汇算、查账征收、核定征收），消费税及附加税费纳税申报（烟类、酒类），社保费申报，印花税申报等。</w:t>
            </w:r>
          </w:p>
          <w:p w14:paraId="4042F6F3">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6.3 电子税务局纳税申报系统具备信息采集功能，可以通过社会保险费信息采集登记企业员工社保增员、减员，并会根据登记的信息自动生成社保纳税申报表。</w:t>
            </w:r>
          </w:p>
          <w:p w14:paraId="35CB0553">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6.4 申报表具备自动取值功能（增值税申报表附表一和附表二可以自动读取发票开具及税务数字账户中发票勾选确认的数据），主表与附表间也具有自动计算功能，支持跨月自动累计数据功能，满足纳税申报教学实训。</w:t>
            </w:r>
          </w:p>
          <w:p w14:paraId="242CB4D8">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6.5 电子税务局—开票业务，系统模块包括：蓝字发票开具、红字发票开具、开票信息维护3个功能模块。</w:t>
            </w:r>
          </w:p>
          <w:p w14:paraId="0D837376">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6.6 开票信息维护包括项目信息维护、客户信息维护、附加信息维护3个模块，项目信息维护可以维护开票常用的商品信息和分类；客户信息维护可以维护开票常用的客户信息和分类；附加信息维护可以维护开票常用的场景特权与附加信息及其二者的关联，可以快速应用于结构化备注信息填写。</w:t>
            </w:r>
          </w:p>
          <w:p w14:paraId="583C9A7E">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6.7 蓝字发票开具功能包括立即开票、发票草稿、扫码开票、复制开票、批量开票5个功能。</w:t>
            </w:r>
          </w:p>
          <w:p w14:paraId="2E4D1062">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6.8蓝字发票开具支持数电发票开具，可开具类型包括：增值税专用发票、普通发票、建筑服务电子发票、旅客运输服务电子发票、货物运输服务电子发票、不动产销售电子发票、不动产经营租赁电子发票、农产品收购电子发票、自产农产品销售电子发票。</w:t>
            </w:r>
          </w:p>
          <w:p w14:paraId="2D65A57B">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6.9 立即开票功能支持表单视图、票样视图两种视图开票界面，开票过程，购买方信息支持输入或从客户信息维护中选择企业信息；开票信息支持输入或者从项目信息维护中选择商品信息，并支持折扣、含税、不含税、增减行等操作；备注信息支持各类型场景模板选择。</w:t>
            </w:r>
          </w:p>
          <w:p w14:paraId="6E5BDCC2">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6.10 红字发票开具常用功能包括红字发票确认信息录入、红字发票确认信息处理、红字发票开具，3个功能模块，增值税专用发票和普通发票都支持红字发票信息录入及红字发票开具。</w:t>
            </w:r>
          </w:p>
          <w:p w14:paraId="4811F8FC">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6.11电子税务局—税务数字账户，系统模块包括：发票勾选确认、发票查询统计、发票查验、红字信息确认单、授信额度调整、海关缴款书采集等票据业务。</w:t>
            </w:r>
          </w:p>
          <w:p w14:paraId="7E4F2A26">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6.12发票勾选确认其中用票业务功能包括：抵扣类勾选、不抵扣勾选、逾期抵扣申请、注销勾选4个模块功能。</w:t>
            </w:r>
          </w:p>
          <w:p w14:paraId="2E441E12">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6.13 自然人电子税务局（扣缴端）系统具备人员信息采集、专项附加扣除信息采集、综合所得申报、分类所得申报、非居民所得申报、限售股所得申报、申报更正、申报作废、税款缴纳、查询统计、系统设置。</w:t>
            </w:r>
          </w:p>
          <w:p w14:paraId="05AA9EA0">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7、会计实务处理</w:t>
            </w:r>
          </w:p>
          <w:p w14:paraId="4E1A9102">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7.1支持原始票据识别判断与整理，票据验真、票据审核、票据整理等；支持审核不通过时进行驳回等操作。</w:t>
            </w:r>
          </w:p>
          <w:p w14:paraId="3BAD52D8">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7.2会计信息系统</w:t>
            </w:r>
          </w:p>
          <w:p w14:paraId="41195E1E">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支持销售与应收共享、采购与应付共享、费用共享、成本及核算业务处理等全面业财融合业务处理。</w:t>
            </w:r>
          </w:p>
          <w:p w14:paraId="3C0F0B42">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（1）系统设置：支持企业信息、基础档案维护、期初业财对账及账套创建。</w:t>
            </w:r>
          </w:p>
          <w:p w14:paraId="5F3DE5AD">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2）总账：支持自动生成记账凭证及其他财务处理，支持凭证查询、审核、过账、自动结转损益、结账到生成账簿、报表等全部会计处理过程；支持报表默认公式提前设置好，同时支持自定义编制财务报表公式，强化学生对账表取值逻辑的理解。</w:t>
            </w:r>
          </w:p>
          <w:p w14:paraId="06C35CB0">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（3）采购管理：支持采购订单、采购到货单、采购入库单、采购发票、采购结算等采购业务处理。</w:t>
            </w:r>
          </w:p>
          <w:p w14:paraId="279F5425">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（4）销售管理：以销售订单为核心，支持对销售发货单、销售出库单、销售发票、销售结算等销售业务处理。</w:t>
            </w:r>
          </w:p>
          <w:p w14:paraId="6F3BA4EA">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（5）库存管理：支持库存出入库、库存调拨等库存业务处理。</w:t>
            </w:r>
          </w:p>
          <w:p w14:paraId="2A7C5869">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（6）应收款管理：支持处理企业所有债权业务及相关管理工作，应收账款确认及完成审批后，可自动生成记账凭证。</w:t>
            </w:r>
          </w:p>
          <w:p w14:paraId="25DF0CEF">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（7）应付款管理：支持处理企业所有债务业务及相关管理工作，应付账款确认及完成审批后，可自动生成记账凭证，支持应付核销。</w:t>
            </w:r>
          </w:p>
          <w:p w14:paraId="70BD4538">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（8）商旅费控管理：对企业日常发生的需审批的日常费用报销业务，在共享中心中完成审批及并自动生成记账凭证</w:t>
            </w:r>
          </w:p>
          <w:p w14:paraId="7E8EBD07">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7.3企业内部控制设计</w:t>
            </w:r>
          </w:p>
          <w:p w14:paraId="4C1083F6">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遵循《企业内部控制基本规范》与《企业内部控制配套指引》相关法规，支持在合同管理、采购与付款业务、销售与收款业务、资金会计业务、资产管理业务等业务中完成业务表单设计、业务流程梳理和业务流程设计。支持运用数字化流程设计工具设计业务流程，实现业务流、资金流、信息流三流合一。</w:t>
            </w:r>
          </w:p>
          <w:p w14:paraId="75D0941C">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7.4 RPA财务机器人设计</w:t>
            </w:r>
          </w:p>
          <w:p w14:paraId="4932FF02">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支持在财务数字化系统中将重复性操作采用智能RPA工具，完成RPA财务机器人的参数设置、开发与自动运行。（如RPA智能开票、RPA网银付款等）</w:t>
            </w:r>
          </w:p>
          <w:p w14:paraId="6FD7901C">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7.5要求提供智能化答案比对功能，即允许学生采用和标准答案不同的正确答案表达方式（比如：人民币大写“元”“整”和“圆”“正”互认），允许学生答案顺序与标准答案不同（比如会计分录多借多贷时允许借和贷各行分录顺序不同），评分系统能够智能识别互认为正确，而不是僵化的只要和正确答案不一样就判错。</w:t>
            </w:r>
          </w:p>
          <w:p w14:paraId="302423C2">
            <w:pPr>
              <w:spacing w:line="240" w:lineRule="auto"/>
              <w:rPr>
                <w:rFonts w:ascii="微软雅黑" w:hAnsi="微软雅黑" w:eastAsia="微软雅黑" w:cs="微软雅黑"/>
                <w:b/>
                <w:sz w:val="18"/>
                <w:szCs w:val="18"/>
              </w:rPr>
            </w:pPr>
            <w:r>
              <w:rPr>
                <w:rFonts w:hint="eastAsia" w:ascii="微软雅黑" w:hAnsi="微软雅黑" w:eastAsia="微软雅黑" w:cs="微软雅黑"/>
                <w:b/>
                <w:sz w:val="18"/>
                <w:szCs w:val="18"/>
              </w:rPr>
              <w:t>3.平台预置实训案例内容</w:t>
            </w:r>
          </w:p>
          <w:p w14:paraId="0BEF7A81">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1、平台预置案例能够支持教师及学生参加金砖大赛会计实务赛项方面的练习训练和培训。</w:t>
            </w:r>
          </w:p>
          <w:p w14:paraId="06D6FC32">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2、平台支持在会计信息系统中完成企业业务合规性判断、基础档案维护、业财融合业务处理、业财税资共享业务处理、财务报表编制、税务业务处理，并能运用数据模型完成大数据业财分析。</w:t>
            </w:r>
          </w:p>
          <w:p w14:paraId="6D1E2921">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3、平台支持在企业财务数字化系统中设计或运用数据模型，完成财务大数据的采集、处理、挖掘、可视化与分析，辅助企业完成投融资分析与决策、营运活动分析与决策、预算编制、预算执行分析、绩效管理及企业内部控制设计等典型工作任务。同时，运用数字化流程设计工具，进行业财一体流程设计、RPA财务机器人的设计开发与自动化执行。</w:t>
            </w:r>
          </w:p>
          <w:p w14:paraId="4687C25B">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4、平台预置3家实训企业案例资料如下:</w:t>
            </w:r>
          </w:p>
          <w:p w14:paraId="58BA5115">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实训案例（一）</w:t>
            </w:r>
          </w:p>
          <w:p w14:paraId="672D194D">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模块一：业财信息化业务处理</w:t>
            </w:r>
          </w:p>
          <w:p w14:paraId="06BF2C44">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【案例名称】XX电气有限公司</w:t>
            </w:r>
          </w:p>
          <w:p w14:paraId="1C5E30AE">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【案例类型】业财信息化企业案例</w:t>
            </w:r>
          </w:p>
          <w:p w14:paraId="793765F8">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【领域设置】基础档案维护、职业判断与业务票据处理、业财税资融合业务处理、税务业务处理、财务报表编制、大数据业财分析六部分</w:t>
            </w:r>
          </w:p>
          <w:p w14:paraId="50CD9DF3">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模块二：财务数字化业务处理</w:t>
            </w:r>
          </w:p>
          <w:p w14:paraId="3232872E">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【案例名称】XX度假村有限公司</w:t>
            </w:r>
          </w:p>
          <w:p w14:paraId="4DF33C72">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【案例类型】财务数字化企业案例（旅游企业）</w:t>
            </w:r>
          </w:p>
          <w:p w14:paraId="131A4569">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【领域设置】公共资源、投融资管理领域、预算管理领域、营运分析领域、绩效内控领域五部分</w:t>
            </w:r>
          </w:p>
          <w:p w14:paraId="04A3E4FC">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实训案例（二）</w:t>
            </w:r>
          </w:p>
          <w:p w14:paraId="48FC19FA">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模块一：业财信息化业务处理</w:t>
            </w:r>
          </w:p>
          <w:p w14:paraId="417E8E78">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【案例名称】XX服饰有限公司</w:t>
            </w:r>
          </w:p>
          <w:p w14:paraId="7A204A75">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【案例类型】业财信息化企业案例</w:t>
            </w:r>
          </w:p>
          <w:p w14:paraId="75C6CF86">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【领域设置】基础档案维护、职业判断与业务票据处理、业财税资融合业务处理、税务业务处理、财务报表编制、大数据业财分析六部分</w:t>
            </w:r>
          </w:p>
          <w:p w14:paraId="46F1DE32">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模块二：财务数字化业务处理</w:t>
            </w:r>
          </w:p>
          <w:p w14:paraId="047C9000">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【案例名称】XX珠宝股份有限公司</w:t>
            </w:r>
          </w:p>
          <w:p w14:paraId="2E8FA6D4">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【案例类型】财务数字化企业案例（零售企业 ）</w:t>
            </w:r>
          </w:p>
          <w:p w14:paraId="3FC2EB10">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【领域设置】公共资源、投融资管理领域、预算管理领域、营运分析领域、绩效内控领域五部分</w:t>
            </w:r>
          </w:p>
          <w:p w14:paraId="0D3EA6AC">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实训案例（三）</w:t>
            </w:r>
          </w:p>
          <w:p w14:paraId="7219C59F">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模块一：业财信息化业务处理</w:t>
            </w:r>
          </w:p>
          <w:p w14:paraId="75FF9998">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【案例名称】XX科技有限公司</w:t>
            </w:r>
          </w:p>
          <w:p w14:paraId="624C20A5">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【案例类型】业财信息化企业案例</w:t>
            </w:r>
          </w:p>
          <w:p w14:paraId="693060A9">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【领域设置】基础档案维护、职业判断与业务票据处理、业财税资融合业务处理、税务业务处理、财务报表编制、大数据业财分析六部分</w:t>
            </w:r>
          </w:p>
          <w:p w14:paraId="70E40814">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模块二：财务数字化业务处理</w:t>
            </w:r>
          </w:p>
          <w:p w14:paraId="67CE975E">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【案例名称】XX物业管理有限公司</w:t>
            </w:r>
          </w:p>
          <w:p w14:paraId="03FB9CE5">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【案例类型】财务数字化企业案例（物业服务企业 ）</w:t>
            </w:r>
          </w:p>
          <w:p w14:paraId="41C91BC5">
            <w:pPr>
              <w:spacing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【领域设置】公共资源、投融资管理领域、预算管理领域、营运分析领域、绩效内控领域五部分</w:t>
            </w:r>
          </w:p>
          <w:p w14:paraId="412D7269">
            <w:pPr>
              <w:spacing w:line="240" w:lineRule="auto"/>
              <w:rPr>
                <w:rFonts w:hint="eastAsia" w:ascii="微软雅黑" w:hAnsi="微软雅黑" w:eastAsia="微软雅黑" w:cs="微软雅黑"/>
                <w:sz w:val="18"/>
                <w:szCs w:val="18"/>
              </w:rPr>
            </w:pPr>
          </w:p>
        </w:tc>
      </w:tr>
    </w:tbl>
    <w:p w14:paraId="23875C0D">
      <w:pPr>
        <w:rPr>
          <w:b/>
          <w:bCs/>
        </w:rPr>
      </w:pPr>
      <w:r>
        <w:rPr>
          <w:rFonts w:hint="eastAsia"/>
          <w:b/>
          <w:bCs/>
        </w:rPr>
        <w:t>标项三：</w:t>
      </w:r>
    </w:p>
    <w:p w14:paraId="00A53707">
      <w:pPr>
        <w:rPr>
          <w:b/>
          <w:bCs/>
        </w:rPr>
      </w:pPr>
      <w:r>
        <w:rPr>
          <w:rFonts w:hint="eastAsia"/>
          <w:b/>
          <w:bCs/>
        </w:rPr>
        <w:t>1</w:t>
      </w:r>
      <w:r>
        <w:rPr>
          <w:rFonts w:hint="eastAsia" w:ascii="微软雅黑" w:hAnsi="微软雅黑" w:cs="微软雅黑"/>
          <w:b/>
          <w:bCs/>
        </w:rPr>
        <w:t>项目招标清单：</w:t>
      </w:r>
    </w:p>
    <w:tbl>
      <w:tblPr>
        <w:tblStyle w:val="21"/>
        <w:tblW w:w="5118" w:type="pct"/>
        <w:tblInd w:w="-205" w:type="dxa"/>
        <w:tblLayout w:type="autofit"/>
        <w:tblCellMar>
          <w:top w:w="0" w:type="dxa"/>
          <w:left w:w="108" w:type="dxa"/>
          <w:bottom w:w="0" w:type="dxa"/>
          <w:right w:w="108" w:type="dxa"/>
        </w:tblCellMar>
      </w:tblPr>
      <w:tblGrid>
        <w:gridCol w:w="1426"/>
        <w:gridCol w:w="5104"/>
        <w:gridCol w:w="1487"/>
        <w:gridCol w:w="1488"/>
      </w:tblGrid>
      <w:tr w14:paraId="5FF732B1">
        <w:tblPrEx>
          <w:tblCellMar>
            <w:top w:w="0" w:type="dxa"/>
            <w:left w:w="108" w:type="dxa"/>
            <w:bottom w:w="0" w:type="dxa"/>
            <w:right w:w="108" w:type="dxa"/>
          </w:tblCellMar>
        </w:tblPrEx>
        <w:trPr>
          <w:trHeight w:val="370"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1D9D0">
            <w:pPr>
              <w:widowControl/>
              <w:adjustRightInd w:val="0"/>
              <w:snapToGrid w:val="0"/>
              <w:jc w:val="center"/>
              <w:textAlignment w:val="center"/>
              <w:rPr>
                <w:rFonts w:cs="宋体"/>
                <w:b/>
                <w:bCs/>
                <w:color w:val="000000"/>
                <w:sz w:val="22"/>
              </w:rPr>
            </w:pPr>
            <w:r>
              <w:rPr>
                <w:rFonts w:hint="eastAsia" w:cs="宋体"/>
                <w:b/>
                <w:bCs/>
                <w:color w:val="000000"/>
                <w:kern w:val="0"/>
                <w:sz w:val="22"/>
                <w:lang w:bidi="ar"/>
              </w:rPr>
              <w:t>序号</w:t>
            </w:r>
          </w:p>
        </w:tc>
        <w:tc>
          <w:tcPr>
            <w:tcW w:w="2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2F26D">
            <w:pPr>
              <w:widowControl/>
              <w:adjustRightInd w:val="0"/>
              <w:snapToGrid w:val="0"/>
              <w:jc w:val="center"/>
              <w:textAlignment w:val="center"/>
              <w:rPr>
                <w:rFonts w:cs="宋体"/>
                <w:b/>
                <w:bCs/>
                <w:color w:val="000000"/>
                <w:sz w:val="22"/>
              </w:rPr>
            </w:pPr>
            <w:r>
              <w:rPr>
                <w:rFonts w:hint="eastAsia" w:cs="宋体"/>
                <w:b/>
                <w:bCs/>
                <w:color w:val="000000"/>
                <w:kern w:val="0"/>
                <w:sz w:val="22"/>
                <w:lang w:bidi="ar"/>
              </w:rPr>
              <w:t>设备/软件名称</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0C34B">
            <w:pPr>
              <w:widowControl/>
              <w:adjustRightInd w:val="0"/>
              <w:snapToGrid w:val="0"/>
              <w:jc w:val="center"/>
              <w:textAlignment w:val="center"/>
              <w:rPr>
                <w:rFonts w:cs="宋体"/>
                <w:b/>
                <w:bCs/>
                <w:color w:val="000000"/>
                <w:sz w:val="22"/>
              </w:rPr>
            </w:pPr>
            <w:r>
              <w:rPr>
                <w:rFonts w:hint="eastAsia" w:cs="宋体"/>
                <w:b/>
                <w:bCs/>
                <w:color w:val="000000"/>
                <w:kern w:val="0"/>
                <w:sz w:val="22"/>
                <w:lang w:bidi="ar"/>
              </w:rPr>
              <w:t>数量</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E52D1">
            <w:pPr>
              <w:widowControl/>
              <w:adjustRightInd w:val="0"/>
              <w:snapToGrid w:val="0"/>
              <w:jc w:val="center"/>
              <w:textAlignment w:val="center"/>
              <w:rPr>
                <w:rFonts w:cs="宋体"/>
                <w:b/>
                <w:bCs/>
                <w:color w:val="000000"/>
                <w:kern w:val="0"/>
                <w:sz w:val="22"/>
                <w:lang w:bidi="ar"/>
              </w:rPr>
            </w:pPr>
            <w:r>
              <w:rPr>
                <w:rFonts w:hint="eastAsia" w:cs="宋体"/>
                <w:b/>
                <w:bCs/>
                <w:color w:val="000000"/>
                <w:kern w:val="0"/>
                <w:sz w:val="22"/>
                <w:lang w:bidi="ar"/>
              </w:rPr>
              <w:t>备注</w:t>
            </w:r>
          </w:p>
        </w:tc>
      </w:tr>
      <w:tr w14:paraId="3E50BCC5">
        <w:tblPrEx>
          <w:tblCellMar>
            <w:top w:w="0" w:type="dxa"/>
            <w:left w:w="108" w:type="dxa"/>
            <w:bottom w:w="0" w:type="dxa"/>
            <w:right w:w="108" w:type="dxa"/>
          </w:tblCellMar>
        </w:tblPrEx>
        <w:trPr>
          <w:trHeight w:val="370"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BCA30">
            <w:pPr>
              <w:snapToGrid w:val="0"/>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w:t>
            </w:r>
          </w:p>
        </w:tc>
        <w:tc>
          <w:tcPr>
            <w:tcW w:w="2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DF4B4">
            <w:pPr>
              <w:widowControl/>
              <w:jc w:val="center"/>
              <w:textAlignment w:val="center"/>
              <w:rPr>
                <w:rFonts w:cs="宋体"/>
                <w:color w:val="000000" w:themeColor="text1"/>
                <w14:textFill>
                  <w14:solidFill>
                    <w14:schemeClr w14:val="tx1"/>
                  </w14:solidFill>
                </w14:textFill>
              </w:rPr>
            </w:pPr>
            <w:r>
              <w:rPr>
                <w:rFonts w:hint="eastAsia" w:cs="宋体"/>
                <w:color w:val="000000"/>
                <w:kern w:val="0"/>
                <w:sz w:val="22"/>
                <w:lang w:bidi="ar"/>
              </w:rPr>
              <w:t>虚拟仿真实训教学管理及资源共享平台</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56DE4">
            <w:pPr>
              <w:widowControl/>
              <w:jc w:val="center"/>
              <w:textAlignment w:val="center"/>
              <w:rPr>
                <w:rFonts w:cs="宋体"/>
                <w:color w:val="000000"/>
                <w:kern w:val="0"/>
                <w:sz w:val="22"/>
                <w:lang w:bidi="ar"/>
              </w:rPr>
            </w:pPr>
            <w:r>
              <w:rPr>
                <w:rFonts w:hint="eastAsia" w:cs="宋体"/>
                <w:color w:val="000000"/>
                <w:kern w:val="0"/>
                <w:sz w:val="22"/>
                <w:lang w:bidi="ar"/>
              </w:rPr>
              <w:t>1台</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FB9E9">
            <w:pPr>
              <w:widowControl/>
              <w:adjustRightInd w:val="0"/>
              <w:snapToGrid w:val="0"/>
              <w:jc w:val="center"/>
              <w:textAlignment w:val="center"/>
              <w:rPr>
                <w:rFonts w:cs="宋体"/>
                <w:color w:val="000000"/>
                <w:kern w:val="0"/>
                <w:sz w:val="20"/>
                <w:szCs w:val="20"/>
                <w:lang w:bidi="ar"/>
              </w:rPr>
            </w:pPr>
          </w:p>
        </w:tc>
      </w:tr>
    </w:tbl>
    <w:p w14:paraId="606B187F">
      <w:pPr>
        <w:rPr>
          <w:b/>
          <w:bCs/>
        </w:rPr>
      </w:pPr>
      <w:r>
        <w:rPr>
          <w:rFonts w:hint="eastAsia" w:ascii="微软雅黑" w:hAnsi="微软雅黑" w:eastAsia="微软雅黑" w:cs="微软雅黑"/>
          <w:b/>
          <w:bCs/>
          <w:sz w:val="21"/>
          <w:szCs w:val="21"/>
        </w:rPr>
        <w:t>设备功能配置技术要求：</w:t>
      </w:r>
    </w:p>
    <w:tbl>
      <w:tblPr>
        <w:tblStyle w:val="21"/>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
        <w:gridCol w:w="467"/>
        <w:gridCol w:w="467"/>
        <w:gridCol w:w="7608"/>
      </w:tblGrid>
      <w:tr w14:paraId="5DF3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259" w:type="pct"/>
            <w:vAlign w:val="center"/>
          </w:tcPr>
          <w:p w14:paraId="049C5708">
            <w:pPr>
              <w:widowControl/>
              <w:snapToGrid w:val="0"/>
              <w:spacing w:line="240" w:lineRule="auto"/>
              <w:rPr>
                <w:rFonts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序号</w:t>
            </w:r>
          </w:p>
        </w:tc>
        <w:tc>
          <w:tcPr>
            <w:tcW w:w="259" w:type="pct"/>
            <w:vAlign w:val="center"/>
          </w:tcPr>
          <w:p w14:paraId="5230B358">
            <w:pPr>
              <w:widowControl/>
              <w:snapToGrid w:val="0"/>
              <w:spacing w:line="240" w:lineRule="auto"/>
              <w:rPr>
                <w:rFonts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货物名称</w:t>
            </w:r>
          </w:p>
        </w:tc>
        <w:tc>
          <w:tcPr>
            <w:tcW w:w="259" w:type="pct"/>
            <w:vAlign w:val="center"/>
          </w:tcPr>
          <w:p w14:paraId="5C716FFB">
            <w:pPr>
              <w:widowControl/>
              <w:snapToGrid w:val="0"/>
              <w:spacing w:line="240" w:lineRule="auto"/>
              <w:rPr>
                <w:rFonts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数量/单位</w:t>
            </w:r>
          </w:p>
        </w:tc>
        <w:tc>
          <w:tcPr>
            <w:tcW w:w="4221" w:type="pct"/>
            <w:vAlign w:val="center"/>
          </w:tcPr>
          <w:p w14:paraId="4B54AF2A">
            <w:pPr>
              <w:widowControl/>
              <w:snapToGrid w:val="0"/>
              <w:spacing w:line="240" w:lineRule="auto"/>
              <w:jc w:val="center"/>
              <w:rPr>
                <w:rFonts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规格及参数</w:t>
            </w:r>
          </w:p>
        </w:tc>
      </w:tr>
      <w:tr w14:paraId="7C0A6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9" w:type="pct"/>
            <w:vAlign w:val="center"/>
          </w:tcPr>
          <w:p w14:paraId="3335D686">
            <w:pPr>
              <w:widowControl/>
              <w:snapToGrid w:val="0"/>
              <w:spacing w:line="400" w:lineRule="exact"/>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259" w:type="pct"/>
            <w:vAlign w:val="center"/>
          </w:tcPr>
          <w:p w14:paraId="7493068D">
            <w:pPr>
              <w:widowControl/>
              <w:snapToGrid w:val="0"/>
              <w:spacing w:line="400" w:lineRule="exact"/>
              <w:rPr>
                <w:rFonts w:ascii="微软雅黑" w:hAnsi="微软雅黑" w:eastAsia="微软雅黑" w:cs="微软雅黑"/>
                <w:color w:val="auto"/>
                <w:sz w:val="21"/>
                <w:szCs w:val="21"/>
              </w:rPr>
            </w:pPr>
            <w:r>
              <w:rPr>
                <w:rFonts w:hint="eastAsia" w:ascii="微软雅黑" w:hAnsi="微软雅黑" w:cs="微软雅黑"/>
                <w:color w:val="auto"/>
                <w:sz w:val="21"/>
                <w:szCs w:val="21"/>
              </w:rPr>
              <w:t>虚拟仿真实训教学管理及资源共享平台</w:t>
            </w:r>
          </w:p>
        </w:tc>
        <w:tc>
          <w:tcPr>
            <w:tcW w:w="259" w:type="pct"/>
            <w:vAlign w:val="center"/>
          </w:tcPr>
          <w:p w14:paraId="5B1E3C63">
            <w:pP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1套</w:t>
            </w:r>
          </w:p>
        </w:tc>
        <w:tc>
          <w:tcPr>
            <w:tcW w:w="4221" w:type="pct"/>
          </w:tcPr>
          <w:p w14:paraId="401DDFDC">
            <w:pPr>
              <w:pStyle w:val="4"/>
              <w:spacing w:line="240" w:lineRule="auto"/>
              <w:rPr>
                <w:b w:val="0"/>
                <w:bCs w:val="0"/>
                <w:color w:val="auto"/>
                <w:sz w:val="18"/>
                <w:szCs w:val="18"/>
              </w:rPr>
            </w:pPr>
            <w:r>
              <w:rPr>
                <w:rFonts w:hint="eastAsia"/>
                <w:b w:val="0"/>
                <w:bCs w:val="0"/>
                <w:color w:val="auto"/>
                <w:sz w:val="18"/>
                <w:szCs w:val="18"/>
              </w:rPr>
              <w:t>一、整体要求</w:t>
            </w:r>
          </w:p>
          <w:p w14:paraId="679C60AA">
            <w:pPr>
              <w:pStyle w:val="4"/>
              <w:spacing w:line="240" w:lineRule="auto"/>
              <w:rPr>
                <w:b w:val="0"/>
                <w:bCs w:val="0"/>
                <w:color w:val="auto"/>
                <w:sz w:val="18"/>
                <w:szCs w:val="18"/>
              </w:rPr>
            </w:pPr>
            <w:r>
              <w:rPr>
                <w:rFonts w:hint="eastAsia"/>
                <w:b w:val="0"/>
                <w:bCs w:val="0"/>
                <w:color w:val="auto"/>
                <w:sz w:val="18"/>
                <w:szCs w:val="18"/>
              </w:rPr>
              <w:t>用于对虚拟仿真实训资源进行跨专业、跨院校、跨地域的统筹管理，具备虚拟仿真实训教学过程的监控分析及虚拟仿真实训资源汇聚分配的管控统计等功能，服务虚拟仿真实训教学管理全过程。</w:t>
            </w:r>
          </w:p>
          <w:p w14:paraId="637B0D09">
            <w:pPr>
              <w:pStyle w:val="4"/>
              <w:spacing w:line="240" w:lineRule="auto"/>
              <w:rPr>
                <w:b w:val="0"/>
                <w:bCs w:val="0"/>
                <w:color w:val="auto"/>
                <w:sz w:val="18"/>
                <w:szCs w:val="18"/>
              </w:rPr>
            </w:pPr>
            <w:r>
              <w:rPr>
                <w:rFonts w:hint="eastAsia"/>
                <w:b w:val="0"/>
                <w:bCs w:val="0"/>
                <w:color w:val="auto"/>
                <w:sz w:val="18"/>
                <w:szCs w:val="18"/>
              </w:rPr>
              <w:t>(一)技术要求</w:t>
            </w:r>
          </w:p>
          <w:p w14:paraId="44F7C35B">
            <w:pPr>
              <w:pStyle w:val="4"/>
              <w:spacing w:line="240" w:lineRule="auto"/>
              <w:rPr>
                <w:b w:val="0"/>
                <w:bCs w:val="0"/>
                <w:color w:val="auto"/>
                <w:sz w:val="18"/>
                <w:szCs w:val="18"/>
              </w:rPr>
            </w:pPr>
            <w:r>
              <w:rPr>
                <w:rFonts w:hint="eastAsia"/>
                <w:b w:val="0"/>
                <w:bCs w:val="0"/>
                <w:color w:val="auto"/>
                <w:sz w:val="18"/>
                <w:szCs w:val="18"/>
              </w:rPr>
              <w:t>1. 平台账号覆盖院校师生及社会学员的需求，单台普通WEB通信在线大于2000个；</w:t>
            </w:r>
          </w:p>
          <w:p w14:paraId="2F558DFF">
            <w:pPr>
              <w:pStyle w:val="4"/>
              <w:spacing w:line="240" w:lineRule="auto"/>
              <w:rPr>
                <w:b w:val="0"/>
                <w:bCs w:val="0"/>
                <w:color w:val="auto"/>
                <w:sz w:val="18"/>
                <w:szCs w:val="18"/>
              </w:rPr>
            </w:pPr>
            <w:r>
              <w:rPr>
                <w:rFonts w:hint="eastAsia"/>
                <w:b w:val="0"/>
                <w:bCs w:val="0"/>
                <w:color w:val="auto"/>
                <w:sz w:val="18"/>
                <w:szCs w:val="18"/>
              </w:rPr>
              <w:t>2. 支持2K30FPS在线播放，资源加载、运行、交互等操作，画面显示流畅，要素展示齐全、准确，无明显卡滞、停顿；</w:t>
            </w:r>
          </w:p>
          <w:p w14:paraId="6905F6A2">
            <w:pPr>
              <w:pStyle w:val="4"/>
              <w:spacing w:line="240" w:lineRule="auto"/>
              <w:rPr>
                <w:b w:val="0"/>
                <w:bCs w:val="0"/>
                <w:color w:val="auto"/>
                <w:sz w:val="18"/>
                <w:szCs w:val="18"/>
              </w:rPr>
            </w:pPr>
            <w:r>
              <w:rPr>
                <w:rFonts w:hint="eastAsia"/>
                <w:b w:val="0"/>
                <w:bCs w:val="0"/>
                <w:color w:val="auto"/>
                <w:sz w:val="18"/>
                <w:szCs w:val="18"/>
              </w:rPr>
              <w:t>3. 支持虚仿资源的动态光影实时渲染，平均帧率不少于50帧/秒；支持多种VR常用三维数据格式，如fbx、obj、3ds等，资源可重复利用；资源场景加载时间不超过15秒；</w:t>
            </w:r>
          </w:p>
          <w:p w14:paraId="612F3677">
            <w:pPr>
              <w:pStyle w:val="4"/>
              <w:spacing w:line="240" w:lineRule="auto"/>
              <w:rPr>
                <w:b w:val="0"/>
                <w:bCs w:val="0"/>
                <w:color w:val="auto"/>
                <w:sz w:val="18"/>
                <w:szCs w:val="18"/>
              </w:rPr>
            </w:pPr>
            <w:r>
              <w:rPr>
                <w:rFonts w:hint="eastAsia"/>
                <w:b w:val="0"/>
                <w:bCs w:val="0"/>
                <w:color w:val="auto"/>
                <w:sz w:val="18"/>
                <w:szCs w:val="18"/>
              </w:rPr>
              <w:t>4. 系统应保障7×24小时正常运行，系统的设计必须按照灵活扩展容量的要求进行设计开发，同时保证系统扩展操作简便易行。</w:t>
            </w:r>
          </w:p>
          <w:p w14:paraId="03E1926D">
            <w:pPr>
              <w:pStyle w:val="4"/>
              <w:spacing w:line="240" w:lineRule="auto"/>
              <w:rPr>
                <w:b w:val="0"/>
                <w:bCs w:val="0"/>
                <w:color w:val="auto"/>
                <w:sz w:val="18"/>
                <w:szCs w:val="18"/>
              </w:rPr>
            </w:pPr>
            <w:r>
              <w:rPr>
                <w:rFonts w:hint="eastAsia"/>
                <w:b w:val="0"/>
                <w:bCs w:val="0"/>
                <w:color w:val="auto"/>
                <w:sz w:val="18"/>
                <w:szCs w:val="18"/>
              </w:rPr>
              <w:t>5. 对接学校现有统一身份认证平台，实现单点登录，无需在平台重新注册账户。</w:t>
            </w:r>
          </w:p>
          <w:p w14:paraId="0B772C6F">
            <w:pPr>
              <w:pStyle w:val="4"/>
              <w:spacing w:line="240" w:lineRule="auto"/>
              <w:rPr>
                <w:b w:val="0"/>
                <w:bCs w:val="0"/>
                <w:color w:val="auto"/>
                <w:sz w:val="18"/>
                <w:szCs w:val="18"/>
              </w:rPr>
            </w:pPr>
            <w:r>
              <w:rPr>
                <w:rFonts w:hint="eastAsia"/>
                <w:b w:val="0"/>
                <w:bCs w:val="0"/>
                <w:color w:val="auto"/>
                <w:sz w:val="18"/>
                <w:szCs w:val="18"/>
              </w:rPr>
              <w:t>(二)安全要求</w:t>
            </w:r>
          </w:p>
          <w:p w14:paraId="7C6234A5">
            <w:pPr>
              <w:pStyle w:val="4"/>
              <w:spacing w:line="240" w:lineRule="auto"/>
              <w:rPr>
                <w:b w:val="0"/>
                <w:bCs w:val="0"/>
                <w:color w:val="auto"/>
                <w:sz w:val="18"/>
                <w:szCs w:val="18"/>
              </w:rPr>
            </w:pPr>
            <w:r>
              <w:rPr>
                <w:rFonts w:hint="eastAsia"/>
                <w:b w:val="0"/>
                <w:bCs w:val="0"/>
                <w:color w:val="auto"/>
                <w:sz w:val="18"/>
                <w:szCs w:val="18"/>
              </w:rPr>
              <w:t>1. 本项目相关系统及网络安全按等级保护二级及以上进行安全性标准建设，投标人需提供针对本项目的等级保护二级及以上申请方案（包括系统拓扑结构及说明、系统安全组织机构和管理制度、系统安全保护设施设计实施方案或者改建实施方案）、安全技术方案（应用安全、数据安全、数据备份）、安全管理方案、安全总体策略部署设计方案；</w:t>
            </w:r>
          </w:p>
          <w:p w14:paraId="583D245E">
            <w:pPr>
              <w:pStyle w:val="4"/>
              <w:spacing w:line="240" w:lineRule="auto"/>
              <w:rPr>
                <w:b w:val="0"/>
                <w:bCs w:val="0"/>
                <w:color w:val="auto"/>
                <w:sz w:val="18"/>
                <w:szCs w:val="18"/>
              </w:rPr>
            </w:pPr>
            <w:r>
              <w:rPr>
                <w:rFonts w:hint="eastAsia"/>
                <w:b w:val="0"/>
                <w:bCs w:val="0"/>
                <w:color w:val="auto"/>
                <w:sz w:val="18"/>
                <w:szCs w:val="18"/>
              </w:rPr>
              <w:t>2. 投标人需承诺配合甲方及甲方授权的第三方进行系统安全检测，并提供相关的文档资料；</w:t>
            </w:r>
          </w:p>
          <w:p w14:paraId="06571C31">
            <w:pPr>
              <w:pStyle w:val="4"/>
              <w:spacing w:line="240" w:lineRule="auto"/>
              <w:rPr>
                <w:b w:val="0"/>
                <w:bCs w:val="0"/>
                <w:color w:val="auto"/>
                <w:sz w:val="18"/>
                <w:szCs w:val="18"/>
              </w:rPr>
            </w:pPr>
            <w:r>
              <w:rPr>
                <w:rFonts w:hint="eastAsia"/>
                <w:b w:val="0"/>
                <w:bCs w:val="0"/>
                <w:color w:val="auto"/>
                <w:sz w:val="18"/>
                <w:szCs w:val="18"/>
              </w:rPr>
              <w:t>3. ★平台需部署系统运行监测系统，对平台系统实施全方位监测，提供24小时无人值守巡检，并能为维护人员提供清晰的故障分析报告和预警信息，具体要求如下：</w:t>
            </w:r>
            <w:r>
              <w:rPr>
                <w:rFonts w:hint="eastAsia"/>
                <w:b/>
                <w:bCs/>
                <w:color w:val="auto"/>
                <w:sz w:val="18"/>
                <w:szCs w:val="18"/>
              </w:rPr>
              <w:t>（需提供截图以验证功能，亦可要求供应商提供加盖公章的承诺函）</w:t>
            </w:r>
          </w:p>
          <w:p w14:paraId="3EB0B255">
            <w:pPr>
              <w:pStyle w:val="4"/>
              <w:spacing w:line="240" w:lineRule="auto"/>
              <w:rPr>
                <w:b w:val="0"/>
                <w:bCs w:val="0"/>
                <w:color w:val="auto"/>
                <w:sz w:val="18"/>
                <w:szCs w:val="18"/>
              </w:rPr>
            </w:pPr>
            <w:r>
              <w:rPr>
                <w:rFonts w:hint="eastAsia"/>
                <w:b w:val="0"/>
                <w:bCs w:val="0"/>
                <w:color w:val="auto"/>
                <w:sz w:val="18"/>
                <w:szCs w:val="18"/>
              </w:rPr>
              <w:t>（1）系统需支持实时查看服务器资源CPU、内存、硬盘、负载等监控数据，具备底层、操作系统监控能力；当服务器资源达到预设的告警规则时，系统可快速预警并通过邮件、钉钉、企业微信等其中一种形式的消息通知运营管理员，以便管理员及时处理预警信息，保障平台正常运行；</w:t>
            </w:r>
          </w:p>
          <w:p w14:paraId="6C8A2569">
            <w:pPr>
              <w:pStyle w:val="4"/>
              <w:spacing w:line="240" w:lineRule="auto"/>
              <w:rPr>
                <w:b w:val="0"/>
                <w:bCs w:val="0"/>
                <w:color w:val="auto"/>
                <w:sz w:val="18"/>
                <w:szCs w:val="18"/>
              </w:rPr>
            </w:pPr>
            <w:r>
              <w:rPr>
                <w:rFonts w:hint="eastAsia"/>
                <w:b w:val="0"/>
                <w:bCs w:val="0"/>
                <w:color w:val="auto"/>
                <w:sz w:val="18"/>
                <w:szCs w:val="18"/>
              </w:rPr>
              <w:t>（2）系统需具备实时监测功能，实时监测平台后台服务接口运行时长、运行异常等情况，指定时间段后台服务接口调用量、运行异常数等情况，实时查看后台接口运行详情，跟踪代码运行耗时；</w:t>
            </w:r>
          </w:p>
          <w:p w14:paraId="61A305F6">
            <w:pPr>
              <w:pStyle w:val="4"/>
              <w:spacing w:line="240" w:lineRule="auto"/>
              <w:rPr>
                <w:b w:val="0"/>
                <w:bCs w:val="0"/>
                <w:color w:val="auto"/>
                <w:sz w:val="18"/>
                <w:szCs w:val="18"/>
              </w:rPr>
            </w:pPr>
            <w:r>
              <w:rPr>
                <w:rFonts w:hint="eastAsia"/>
                <w:b w:val="0"/>
                <w:bCs w:val="0"/>
                <w:color w:val="auto"/>
                <w:sz w:val="18"/>
                <w:szCs w:val="18"/>
              </w:rPr>
              <w:t>（3）需实时查询后台服务CPU、内存负载情况，在应用平台服务不可用或运行异常时，及时提醒相关人员，并自动尝试重启平台服务，运维人员可通过对平台日志分析，快速定位并处理异常情况；</w:t>
            </w:r>
          </w:p>
          <w:p w14:paraId="511816DA">
            <w:pPr>
              <w:pStyle w:val="4"/>
              <w:spacing w:line="240" w:lineRule="auto"/>
              <w:rPr>
                <w:b w:val="0"/>
                <w:bCs w:val="0"/>
                <w:color w:val="auto"/>
                <w:sz w:val="18"/>
                <w:szCs w:val="18"/>
              </w:rPr>
            </w:pPr>
            <w:r>
              <w:rPr>
                <w:rFonts w:hint="eastAsia"/>
                <w:b w:val="0"/>
                <w:bCs w:val="0"/>
                <w:color w:val="auto"/>
                <w:sz w:val="18"/>
                <w:szCs w:val="18"/>
              </w:rPr>
              <w:t>（4）系统支持定时、自动备份数据库和重要数据，杜绝数据丢失风险。</w:t>
            </w:r>
          </w:p>
          <w:p w14:paraId="2F4B3381">
            <w:pPr>
              <w:pStyle w:val="4"/>
              <w:spacing w:line="240" w:lineRule="auto"/>
              <w:rPr>
                <w:b w:val="0"/>
                <w:bCs w:val="0"/>
                <w:color w:val="auto"/>
                <w:sz w:val="18"/>
                <w:szCs w:val="18"/>
              </w:rPr>
            </w:pPr>
            <w:r>
              <w:rPr>
                <w:rFonts w:hint="eastAsia"/>
                <w:b w:val="0"/>
                <w:bCs w:val="0"/>
                <w:color w:val="auto"/>
                <w:sz w:val="18"/>
                <w:szCs w:val="18"/>
              </w:rPr>
              <w:t>4.★平台需满足《国家智慧教育平台数字教育资源内容审核规范》，在人工审核内容的基础上，提供自动化的内容监管，涵盖文本监测和图片监测，具体要求如下：</w:t>
            </w:r>
            <w:r>
              <w:rPr>
                <w:rFonts w:hint="eastAsia"/>
                <w:b/>
                <w:bCs/>
                <w:color w:val="auto"/>
                <w:sz w:val="18"/>
                <w:szCs w:val="18"/>
              </w:rPr>
              <w:t>（为保证教学质量，此项需提供视频演示）</w:t>
            </w:r>
          </w:p>
          <w:p w14:paraId="5E63494E">
            <w:pPr>
              <w:pStyle w:val="4"/>
              <w:spacing w:line="240" w:lineRule="auto"/>
              <w:rPr>
                <w:b w:val="0"/>
                <w:bCs w:val="0"/>
                <w:color w:val="auto"/>
                <w:sz w:val="18"/>
                <w:szCs w:val="18"/>
              </w:rPr>
            </w:pPr>
            <w:r>
              <w:rPr>
                <w:rFonts w:hint="eastAsia"/>
                <w:b w:val="0"/>
                <w:bCs w:val="0"/>
                <w:color w:val="auto"/>
                <w:sz w:val="18"/>
                <w:szCs w:val="18"/>
              </w:rPr>
              <w:t>（1）文本检测</w:t>
            </w:r>
          </w:p>
          <w:p w14:paraId="084DA8BD">
            <w:pPr>
              <w:pStyle w:val="4"/>
              <w:spacing w:line="240" w:lineRule="auto"/>
              <w:rPr>
                <w:b w:val="0"/>
                <w:bCs w:val="0"/>
                <w:color w:val="auto"/>
                <w:sz w:val="18"/>
                <w:szCs w:val="18"/>
              </w:rPr>
            </w:pPr>
            <w:r>
              <w:rPr>
                <w:rFonts w:hint="eastAsia"/>
                <w:b w:val="0"/>
                <w:bCs w:val="0"/>
                <w:color w:val="auto"/>
                <w:sz w:val="18"/>
                <w:szCs w:val="18"/>
              </w:rPr>
              <w:t>支持基于快速规则算法过滤特定敏感文本；</w:t>
            </w:r>
          </w:p>
          <w:p w14:paraId="11FF0BA1">
            <w:pPr>
              <w:pStyle w:val="4"/>
              <w:spacing w:line="240" w:lineRule="auto"/>
              <w:rPr>
                <w:b w:val="0"/>
                <w:bCs w:val="0"/>
                <w:color w:val="auto"/>
                <w:sz w:val="18"/>
                <w:szCs w:val="18"/>
              </w:rPr>
            </w:pPr>
            <w:r>
              <w:rPr>
                <w:rFonts w:hint="eastAsia"/>
                <w:b w:val="0"/>
                <w:bCs w:val="0"/>
                <w:color w:val="auto"/>
                <w:sz w:val="18"/>
                <w:szCs w:val="18"/>
              </w:rPr>
              <w:t xml:space="preserve">支持检测涉政、漫骂、灌水等多种类型的敏感文本； </w:t>
            </w:r>
          </w:p>
          <w:p w14:paraId="0B942C4C">
            <w:pPr>
              <w:pStyle w:val="4"/>
              <w:spacing w:line="240" w:lineRule="auto"/>
              <w:rPr>
                <w:b w:val="0"/>
                <w:bCs w:val="0"/>
                <w:color w:val="auto"/>
                <w:sz w:val="18"/>
                <w:szCs w:val="18"/>
              </w:rPr>
            </w:pPr>
            <w:r>
              <w:rPr>
                <w:rFonts w:hint="eastAsia"/>
                <w:b w:val="0"/>
                <w:bCs w:val="0"/>
                <w:color w:val="auto"/>
                <w:sz w:val="18"/>
                <w:szCs w:val="18"/>
              </w:rPr>
              <w:t xml:space="preserve">支持对变种敏感文本检测。 </w:t>
            </w:r>
          </w:p>
          <w:p w14:paraId="217FB647">
            <w:pPr>
              <w:pStyle w:val="4"/>
              <w:spacing w:line="240" w:lineRule="auto"/>
              <w:rPr>
                <w:b w:val="0"/>
                <w:bCs w:val="0"/>
                <w:color w:val="auto"/>
                <w:sz w:val="18"/>
                <w:szCs w:val="18"/>
              </w:rPr>
            </w:pPr>
            <w:r>
              <w:rPr>
                <w:rFonts w:hint="eastAsia"/>
                <w:b w:val="0"/>
                <w:bCs w:val="0"/>
                <w:color w:val="auto"/>
                <w:sz w:val="18"/>
                <w:szCs w:val="18"/>
              </w:rPr>
              <w:t>（2）图片检测</w:t>
            </w:r>
          </w:p>
          <w:p w14:paraId="40A56B23">
            <w:pPr>
              <w:pStyle w:val="4"/>
              <w:spacing w:line="240" w:lineRule="auto"/>
              <w:rPr>
                <w:b w:val="0"/>
                <w:bCs w:val="0"/>
                <w:color w:val="auto"/>
                <w:sz w:val="18"/>
                <w:szCs w:val="18"/>
              </w:rPr>
            </w:pPr>
            <w:r>
              <w:rPr>
                <w:rFonts w:hint="eastAsia"/>
                <w:b w:val="0"/>
                <w:bCs w:val="0"/>
                <w:color w:val="auto"/>
                <w:sz w:val="18"/>
                <w:szCs w:val="18"/>
              </w:rPr>
              <w:t>支持识别图像中的色情和性感内容，包含各类色情违禁、儿童裸露、女性性感、艺术品色情等。</w:t>
            </w:r>
          </w:p>
          <w:p w14:paraId="478CE929">
            <w:pPr>
              <w:pStyle w:val="4"/>
              <w:spacing w:line="240" w:lineRule="auto"/>
              <w:rPr>
                <w:b w:val="0"/>
                <w:bCs w:val="0"/>
                <w:color w:val="auto"/>
                <w:sz w:val="18"/>
                <w:szCs w:val="18"/>
              </w:rPr>
            </w:pPr>
            <w:r>
              <w:rPr>
                <w:rFonts w:hint="eastAsia"/>
                <w:b w:val="0"/>
                <w:bCs w:val="0"/>
                <w:color w:val="auto"/>
                <w:sz w:val="18"/>
                <w:szCs w:val="18"/>
              </w:rPr>
              <w:t>(三)互通互联</w:t>
            </w:r>
          </w:p>
          <w:p w14:paraId="4C3BDF78">
            <w:pPr>
              <w:pStyle w:val="4"/>
              <w:spacing w:line="240" w:lineRule="auto"/>
              <w:rPr>
                <w:b w:val="0"/>
                <w:bCs w:val="0"/>
                <w:color w:val="auto"/>
                <w:sz w:val="18"/>
                <w:szCs w:val="18"/>
              </w:rPr>
            </w:pPr>
            <w:r>
              <w:rPr>
                <w:rFonts w:hint="eastAsia"/>
                <w:b w:val="0"/>
                <w:bCs w:val="0"/>
                <w:color w:val="auto"/>
                <w:sz w:val="18"/>
                <w:szCs w:val="18"/>
              </w:rPr>
              <w:t>1. 虚拟仿真实训教学管理及资源共享平台应具备与相应系统互联互通的能力并预留相应接口，符合信息化建设规范；</w:t>
            </w:r>
          </w:p>
          <w:p w14:paraId="4C431AFA">
            <w:pPr>
              <w:pStyle w:val="4"/>
              <w:spacing w:line="240" w:lineRule="auto"/>
              <w:rPr>
                <w:b w:val="0"/>
                <w:bCs w:val="0"/>
                <w:color w:val="auto"/>
                <w:sz w:val="18"/>
                <w:szCs w:val="18"/>
              </w:rPr>
            </w:pPr>
            <w:r>
              <w:rPr>
                <w:rFonts w:hint="eastAsia"/>
                <w:b w:val="0"/>
                <w:bCs w:val="0"/>
                <w:color w:val="auto"/>
                <w:sz w:val="18"/>
                <w:szCs w:val="18"/>
              </w:rPr>
              <w:t>2. 平台应通过采用统一的数据规范和数据标准、建立跨系统的数据服务中心等方式消除信息孤岛，实现宏观架构中各系统间的数据共享和数据服务；平台需支持与职教大脑数据中台对接；</w:t>
            </w:r>
          </w:p>
          <w:p w14:paraId="7591DCCA">
            <w:pPr>
              <w:pStyle w:val="4"/>
              <w:spacing w:line="240" w:lineRule="auto"/>
              <w:rPr>
                <w:b w:val="0"/>
                <w:bCs w:val="0"/>
                <w:color w:val="auto"/>
                <w:sz w:val="18"/>
                <w:szCs w:val="18"/>
              </w:rPr>
            </w:pPr>
            <w:r>
              <w:rPr>
                <w:rFonts w:hint="eastAsia"/>
                <w:b w:val="0"/>
                <w:bCs w:val="0"/>
                <w:color w:val="auto"/>
                <w:sz w:val="18"/>
                <w:szCs w:val="18"/>
              </w:rPr>
              <w:t>3.支持跨平台浏览和多硬件终端适配：包括但不限于PC、桌面式一体机等主流虚拟仿真教学实训设备。</w:t>
            </w:r>
          </w:p>
          <w:p w14:paraId="4C6E3C60">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b/>
                <w:bCs/>
                <w:color w:val="auto"/>
                <w:sz w:val="18"/>
                <w:szCs w:val="18"/>
              </w:rPr>
            </w:pPr>
            <w:r>
              <w:rPr>
                <w:rFonts w:hint="eastAsia"/>
                <w:b w:val="0"/>
                <w:bCs w:val="0"/>
                <w:color w:val="auto"/>
                <w:sz w:val="18"/>
                <w:szCs w:val="18"/>
              </w:rPr>
              <w:t>★4.平台需能够与国家职业教育智慧教育平台进行对接并实现数据上传，通过对虚拟仿真实训资源的实训操作，能够将实训应用数据同步至国家智慧教育公共服务平台虚拟仿真实训中心板块，并能在该板块查看以上启动数据、过程数据、结果数据和实训报告。</w:t>
            </w:r>
            <w:r>
              <w:rPr>
                <w:rFonts w:hint="eastAsia"/>
                <w:b/>
                <w:bCs/>
                <w:color w:val="auto"/>
                <w:sz w:val="18"/>
                <w:szCs w:val="18"/>
              </w:rPr>
              <w:t>（需提供截图以验证功能）</w:t>
            </w:r>
          </w:p>
          <w:p w14:paraId="07F21CE1">
            <w:pPr>
              <w:pStyle w:val="4"/>
              <w:spacing w:line="240" w:lineRule="auto"/>
              <w:rPr>
                <w:b w:val="0"/>
                <w:bCs w:val="0"/>
                <w:color w:val="auto"/>
                <w:sz w:val="18"/>
                <w:szCs w:val="18"/>
              </w:rPr>
            </w:pPr>
          </w:p>
          <w:p w14:paraId="6A41FD57">
            <w:pPr>
              <w:pStyle w:val="4"/>
              <w:spacing w:line="240" w:lineRule="auto"/>
              <w:rPr>
                <w:b w:val="0"/>
                <w:bCs w:val="0"/>
                <w:color w:val="auto"/>
                <w:sz w:val="18"/>
                <w:szCs w:val="18"/>
              </w:rPr>
            </w:pPr>
            <w:r>
              <w:rPr>
                <w:rFonts w:hint="eastAsia"/>
                <w:b w:val="0"/>
                <w:bCs w:val="0"/>
                <w:color w:val="auto"/>
                <w:sz w:val="18"/>
                <w:szCs w:val="18"/>
              </w:rPr>
              <w:t>二、实训基地门户</w:t>
            </w:r>
          </w:p>
          <w:p w14:paraId="1C2B49CE">
            <w:pPr>
              <w:pStyle w:val="4"/>
              <w:spacing w:line="240" w:lineRule="auto"/>
              <w:rPr>
                <w:b w:val="0"/>
                <w:bCs w:val="0"/>
                <w:color w:val="auto"/>
                <w:sz w:val="18"/>
                <w:szCs w:val="18"/>
              </w:rPr>
            </w:pPr>
            <w:r>
              <w:rPr>
                <w:rFonts w:hint="eastAsia"/>
                <w:b w:val="0"/>
                <w:bCs w:val="0"/>
                <w:color w:val="auto"/>
                <w:sz w:val="18"/>
                <w:szCs w:val="18"/>
              </w:rPr>
              <w:t>实训基地通过构建统一的智慧门户，为教学工作者、学习者提供可实现的虚拟仿真教学实训空间。智慧门户作为平台各业务功能的入口，包括首页、教学中心、资源中心、实训中心、应用中心、平台资讯等功能。</w:t>
            </w:r>
          </w:p>
          <w:p w14:paraId="103A9096">
            <w:pPr>
              <w:pStyle w:val="4"/>
              <w:spacing w:line="240" w:lineRule="auto"/>
              <w:rPr>
                <w:b w:val="0"/>
                <w:bCs w:val="0"/>
                <w:color w:val="auto"/>
                <w:sz w:val="18"/>
                <w:szCs w:val="18"/>
              </w:rPr>
            </w:pPr>
            <w:r>
              <w:rPr>
                <w:rFonts w:hint="eastAsia"/>
                <w:b w:val="0"/>
                <w:bCs w:val="0"/>
                <w:color w:val="auto"/>
                <w:sz w:val="18"/>
                <w:szCs w:val="18"/>
              </w:rPr>
              <w:t>(一)统一管理</w:t>
            </w:r>
          </w:p>
          <w:p w14:paraId="4B6E54BB">
            <w:pPr>
              <w:pStyle w:val="4"/>
              <w:spacing w:line="240" w:lineRule="auto"/>
              <w:rPr>
                <w:b w:val="0"/>
                <w:bCs w:val="0"/>
                <w:color w:val="auto"/>
                <w:sz w:val="18"/>
                <w:szCs w:val="18"/>
              </w:rPr>
            </w:pPr>
            <w:r>
              <w:rPr>
                <w:rFonts w:hint="eastAsia"/>
                <w:b w:val="0"/>
                <w:bCs w:val="0"/>
                <w:color w:val="auto"/>
                <w:sz w:val="18"/>
                <w:szCs w:val="18"/>
              </w:rPr>
              <w:t>1.统一门户</w:t>
            </w:r>
          </w:p>
          <w:p w14:paraId="047088F6">
            <w:pPr>
              <w:pStyle w:val="4"/>
              <w:spacing w:line="240" w:lineRule="auto"/>
              <w:rPr>
                <w:b w:val="0"/>
                <w:bCs w:val="0"/>
                <w:color w:val="auto"/>
                <w:sz w:val="18"/>
                <w:szCs w:val="18"/>
              </w:rPr>
            </w:pPr>
            <w:r>
              <w:rPr>
                <w:rFonts w:hint="eastAsia"/>
                <w:b w:val="0"/>
                <w:bCs w:val="0"/>
                <w:color w:val="auto"/>
                <w:sz w:val="18"/>
                <w:szCs w:val="18"/>
              </w:rPr>
              <w:t>实训基地门户系统需支持集成智慧教学、智慧实训、资源中心等应用数据，并支持统一展现。</w:t>
            </w:r>
          </w:p>
          <w:p w14:paraId="1258A142">
            <w:pPr>
              <w:pStyle w:val="4"/>
              <w:spacing w:line="240" w:lineRule="auto"/>
              <w:rPr>
                <w:b w:val="0"/>
                <w:bCs w:val="0"/>
                <w:color w:val="auto"/>
                <w:sz w:val="18"/>
                <w:szCs w:val="18"/>
              </w:rPr>
            </w:pPr>
            <w:r>
              <w:rPr>
                <w:rFonts w:hint="eastAsia"/>
                <w:b w:val="0"/>
                <w:bCs w:val="0"/>
                <w:color w:val="auto"/>
                <w:sz w:val="18"/>
                <w:szCs w:val="18"/>
              </w:rPr>
              <w:t>2.统一空间</w:t>
            </w:r>
          </w:p>
          <w:p w14:paraId="726D3C42">
            <w:pPr>
              <w:pStyle w:val="4"/>
              <w:spacing w:line="240" w:lineRule="auto"/>
              <w:rPr>
                <w:b w:val="0"/>
                <w:bCs w:val="0"/>
                <w:color w:val="auto"/>
                <w:sz w:val="18"/>
                <w:szCs w:val="18"/>
              </w:rPr>
            </w:pPr>
            <w:r>
              <w:rPr>
                <w:rFonts w:hint="eastAsia"/>
                <w:b w:val="0"/>
                <w:bCs w:val="0"/>
                <w:color w:val="auto"/>
                <w:sz w:val="18"/>
                <w:szCs w:val="18"/>
              </w:rPr>
              <w:t>实训基地门户系统需为不同的角色分别提供对应的统一的空间，涵盖与用户有关的智慧教学、智慧实训、资源中心等内容，用户可以通过一个空间进行统一的管理。</w:t>
            </w:r>
          </w:p>
          <w:p w14:paraId="09DEA12D">
            <w:pPr>
              <w:pStyle w:val="4"/>
              <w:spacing w:line="240" w:lineRule="auto"/>
              <w:rPr>
                <w:b w:val="0"/>
                <w:bCs w:val="0"/>
                <w:color w:val="auto"/>
                <w:sz w:val="18"/>
                <w:szCs w:val="18"/>
              </w:rPr>
            </w:pPr>
            <w:r>
              <w:rPr>
                <w:rFonts w:hint="eastAsia"/>
                <w:b w:val="0"/>
                <w:bCs w:val="0"/>
                <w:color w:val="auto"/>
                <w:sz w:val="18"/>
                <w:szCs w:val="18"/>
              </w:rPr>
              <w:t>3.统一管理</w:t>
            </w:r>
          </w:p>
          <w:p w14:paraId="46057B9F">
            <w:pPr>
              <w:pStyle w:val="4"/>
              <w:spacing w:line="240" w:lineRule="auto"/>
              <w:rPr>
                <w:b w:val="0"/>
                <w:bCs w:val="0"/>
                <w:color w:val="auto"/>
                <w:sz w:val="18"/>
                <w:szCs w:val="18"/>
              </w:rPr>
            </w:pPr>
            <w:r>
              <w:rPr>
                <w:rFonts w:hint="eastAsia"/>
                <w:b w:val="0"/>
                <w:bCs w:val="0"/>
                <w:color w:val="auto"/>
                <w:sz w:val="18"/>
                <w:szCs w:val="18"/>
              </w:rPr>
              <w:t>（1）支持展示新增课程、热门课程、热门实训课程等内容，支持管理员从本校资源库中选择课程、图片、文档、视频、虚拟仿真资源等资源，并进行上下架管理，支持根据不同类型的资源访问校本资源库并查阅内容的详细信息。</w:t>
            </w:r>
          </w:p>
          <w:p w14:paraId="563D9D48">
            <w:pPr>
              <w:pStyle w:val="4"/>
              <w:spacing w:line="240" w:lineRule="auto"/>
              <w:rPr>
                <w:b w:val="0"/>
                <w:bCs w:val="0"/>
                <w:color w:val="auto"/>
                <w:sz w:val="18"/>
                <w:szCs w:val="18"/>
              </w:rPr>
            </w:pPr>
            <w:r>
              <w:rPr>
                <w:rFonts w:hint="eastAsia"/>
                <w:b w:val="0"/>
                <w:bCs w:val="0"/>
                <w:color w:val="auto"/>
                <w:sz w:val="18"/>
                <w:szCs w:val="18"/>
              </w:rPr>
              <w:t>(二)门户展示功能</w:t>
            </w:r>
          </w:p>
          <w:p w14:paraId="6881493E">
            <w:pPr>
              <w:pStyle w:val="4"/>
              <w:spacing w:line="240" w:lineRule="auto"/>
              <w:rPr>
                <w:b w:val="0"/>
                <w:bCs w:val="0"/>
                <w:color w:val="auto"/>
                <w:sz w:val="18"/>
                <w:szCs w:val="18"/>
              </w:rPr>
            </w:pPr>
            <w:r>
              <w:rPr>
                <w:rFonts w:hint="eastAsia"/>
                <w:b w:val="0"/>
                <w:bCs w:val="0"/>
                <w:color w:val="auto"/>
                <w:sz w:val="18"/>
                <w:szCs w:val="18"/>
              </w:rPr>
              <w:t>1.首页</w:t>
            </w:r>
          </w:p>
          <w:p w14:paraId="650A6F20">
            <w:pPr>
              <w:pStyle w:val="4"/>
              <w:spacing w:line="240" w:lineRule="auto"/>
              <w:rPr>
                <w:b w:val="0"/>
                <w:bCs w:val="0"/>
                <w:color w:val="auto"/>
                <w:sz w:val="18"/>
                <w:szCs w:val="18"/>
              </w:rPr>
            </w:pPr>
            <w:r>
              <w:rPr>
                <w:rFonts w:hint="eastAsia"/>
                <w:b w:val="0"/>
                <w:bCs w:val="0"/>
                <w:color w:val="auto"/>
                <w:sz w:val="18"/>
                <w:szCs w:val="18"/>
              </w:rPr>
              <w:t>门户首页具备全局搜索、图片轮播展示、资讯展示、精品课程展示、推荐资源展示和最新发布实训展示等功能。</w:t>
            </w:r>
          </w:p>
          <w:p w14:paraId="6B52AE1C">
            <w:pPr>
              <w:pStyle w:val="4"/>
              <w:spacing w:line="240" w:lineRule="auto"/>
              <w:rPr>
                <w:b w:val="0"/>
                <w:bCs w:val="0"/>
                <w:color w:val="auto"/>
                <w:sz w:val="18"/>
                <w:szCs w:val="18"/>
              </w:rPr>
            </w:pPr>
            <w:r>
              <w:rPr>
                <w:rFonts w:hint="eastAsia"/>
                <w:b w:val="0"/>
                <w:bCs w:val="0"/>
                <w:color w:val="auto"/>
                <w:sz w:val="18"/>
                <w:szCs w:val="18"/>
              </w:rPr>
              <w:t>2.应用中心</w:t>
            </w:r>
          </w:p>
          <w:p w14:paraId="37FF11FC">
            <w:pPr>
              <w:pStyle w:val="4"/>
              <w:spacing w:line="240" w:lineRule="auto"/>
              <w:rPr>
                <w:b w:val="0"/>
                <w:bCs w:val="0"/>
                <w:color w:val="auto"/>
                <w:sz w:val="18"/>
                <w:szCs w:val="18"/>
              </w:rPr>
            </w:pPr>
            <w:r>
              <w:rPr>
                <w:rFonts w:hint="eastAsia"/>
                <w:b w:val="0"/>
                <w:bCs w:val="0"/>
                <w:color w:val="auto"/>
                <w:sz w:val="18"/>
                <w:szCs w:val="18"/>
              </w:rPr>
              <w:t>应用中心为用户提供可实现虚拟仿真实训平台客户端、虚拟仿真课件制作系统以及其它应用组件的下载。</w:t>
            </w:r>
          </w:p>
          <w:p w14:paraId="621D0AAE">
            <w:pPr>
              <w:pStyle w:val="4"/>
              <w:spacing w:line="240" w:lineRule="auto"/>
              <w:rPr>
                <w:b w:val="0"/>
                <w:bCs w:val="0"/>
                <w:color w:val="auto"/>
                <w:sz w:val="18"/>
                <w:szCs w:val="18"/>
              </w:rPr>
            </w:pPr>
            <w:r>
              <w:rPr>
                <w:rFonts w:hint="eastAsia"/>
                <w:b w:val="0"/>
                <w:bCs w:val="0"/>
                <w:color w:val="auto"/>
                <w:sz w:val="18"/>
                <w:szCs w:val="18"/>
              </w:rPr>
              <w:t>3.平台资讯</w:t>
            </w:r>
          </w:p>
          <w:p w14:paraId="7198CAFD">
            <w:pPr>
              <w:pStyle w:val="4"/>
              <w:spacing w:line="240" w:lineRule="auto"/>
              <w:rPr>
                <w:b w:val="0"/>
                <w:bCs w:val="0"/>
                <w:color w:val="auto"/>
                <w:sz w:val="18"/>
                <w:szCs w:val="18"/>
              </w:rPr>
            </w:pPr>
            <w:r>
              <w:rPr>
                <w:rFonts w:hint="eastAsia"/>
                <w:b w:val="0"/>
                <w:bCs w:val="0"/>
                <w:color w:val="auto"/>
                <w:sz w:val="18"/>
                <w:szCs w:val="18"/>
              </w:rPr>
              <w:t>实训基地门户支持新闻资讯的展示，管理员可对资讯内容进行编辑管理，包括资讯内容的创建、发布与删除、对资讯内容进行统一的管理。支持发布学校最新的实训动态、实训公告、实训风采、校园大事记等，以展示学校最新的教学实训动态与风采。</w:t>
            </w:r>
          </w:p>
          <w:p w14:paraId="16A096A6">
            <w:pPr>
              <w:pStyle w:val="4"/>
              <w:spacing w:line="240" w:lineRule="auto"/>
              <w:rPr>
                <w:b w:val="0"/>
                <w:bCs w:val="0"/>
                <w:color w:val="auto"/>
                <w:sz w:val="18"/>
                <w:szCs w:val="18"/>
              </w:rPr>
            </w:pPr>
            <w:r>
              <w:rPr>
                <w:rFonts w:hint="eastAsia"/>
                <w:b w:val="0"/>
                <w:bCs w:val="0"/>
                <w:color w:val="auto"/>
                <w:sz w:val="18"/>
                <w:szCs w:val="18"/>
              </w:rPr>
              <w:t>4.实训中心</w:t>
            </w:r>
          </w:p>
          <w:p w14:paraId="05DC8A2A">
            <w:pPr>
              <w:pStyle w:val="4"/>
              <w:spacing w:line="240" w:lineRule="auto"/>
              <w:rPr>
                <w:b w:val="0"/>
                <w:bCs w:val="0"/>
                <w:color w:val="auto"/>
                <w:sz w:val="18"/>
                <w:szCs w:val="18"/>
              </w:rPr>
            </w:pPr>
            <w:r>
              <w:rPr>
                <w:rFonts w:hint="eastAsia"/>
                <w:b w:val="0"/>
                <w:bCs w:val="0"/>
                <w:color w:val="auto"/>
                <w:sz w:val="18"/>
                <w:szCs w:val="18"/>
              </w:rPr>
              <w:t>★支持按实训基地-专业实训中心-实训室三级结构展示实训资源，支持按照自定义多层级标签展示资源，同时支持按照专业筛选展示资源。实训资源支持实训详情展示，包含实训统计数据、学习行为分析和详细实训记录，可以自定义实训详情版块内容，支持链接到对应理论知识指导和对应资源扩展，为老师理实一体化教学提供便利。</w:t>
            </w:r>
            <w:r>
              <w:rPr>
                <w:rFonts w:hint="eastAsia" w:ascii="Arial" w:hAnsi="Arial" w:eastAsia="黑体" w:cstheme="minorBidi"/>
                <w:b/>
                <w:bCs/>
                <w:color w:val="auto"/>
                <w:kern w:val="2"/>
                <w:sz w:val="18"/>
                <w:szCs w:val="18"/>
                <w:lang w:val="en-US" w:eastAsia="zh-CN" w:bidi="ar-SA"/>
              </w:rPr>
              <w:t>（需提供截图以验证功能）</w:t>
            </w:r>
          </w:p>
          <w:p w14:paraId="3BCB6FB0">
            <w:pPr>
              <w:pStyle w:val="4"/>
              <w:spacing w:line="240" w:lineRule="auto"/>
              <w:rPr>
                <w:b w:val="0"/>
                <w:bCs w:val="0"/>
                <w:color w:val="auto"/>
                <w:sz w:val="18"/>
                <w:szCs w:val="18"/>
              </w:rPr>
            </w:pPr>
            <w:r>
              <w:rPr>
                <w:rFonts w:hint="eastAsia"/>
                <w:b w:val="0"/>
                <w:bCs w:val="0"/>
                <w:color w:val="auto"/>
                <w:sz w:val="18"/>
                <w:szCs w:val="18"/>
              </w:rPr>
              <w:t>5.门户样式管理</w:t>
            </w:r>
          </w:p>
          <w:p w14:paraId="616F3D87">
            <w:pPr>
              <w:pStyle w:val="4"/>
              <w:spacing w:line="240" w:lineRule="auto"/>
              <w:rPr>
                <w:b w:val="0"/>
                <w:bCs w:val="0"/>
                <w:color w:val="auto"/>
                <w:sz w:val="18"/>
                <w:szCs w:val="18"/>
              </w:rPr>
            </w:pPr>
            <w:r>
              <w:rPr>
                <w:rFonts w:hint="eastAsia"/>
                <w:b w:val="0"/>
                <w:bCs w:val="0"/>
                <w:color w:val="auto"/>
                <w:sz w:val="18"/>
                <w:szCs w:val="18"/>
              </w:rPr>
              <w:t>系统支持门户样式的个性化设置，包括对平台登录logo、门户logo和后台logo进行设置，可以自由设置轮播图，对首页推荐位和平台资讯进行管理与设置。</w:t>
            </w:r>
          </w:p>
          <w:p w14:paraId="6D3252D3">
            <w:pPr>
              <w:pStyle w:val="4"/>
              <w:spacing w:line="240" w:lineRule="auto"/>
              <w:rPr>
                <w:b w:val="0"/>
                <w:bCs w:val="0"/>
                <w:color w:val="auto"/>
                <w:sz w:val="18"/>
                <w:szCs w:val="18"/>
              </w:rPr>
            </w:pPr>
            <w:r>
              <w:rPr>
                <w:rFonts w:hint="eastAsia"/>
                <w:b w:val="0"/>
                <w:bCs w:val="0"/>
                <w:color w:val="auto"/>
                <w:sz w:val="18"/>
                <w:szCs w:val="18"/>
              </w:rPr>
              <w:t>6.用户中心</w:t>
            </w:r>
          </w:p>
          <w:p w14:paraId="1A4E22A9">
            <w:pPr>
              <w:pStyle w:val="4"/>
              <w:spacing w:line="240" w:lineRule="auto"/>
              <w:rPr>
                <w:b w:val="0"/>
                <w:bCs w:val="0"/>
                <w:color w:val="auto"/>
                <w:sz w:val="18"/>
                <w:szCs w:val="18"/>
              </w:rPr>
            </w:pPr>
            <w:r>
              <w:rPr>
                <w:rFonts w:hint="eastAsia"/>
                <w:b w:val="0"/>
                <w:bCs w:val="0"/>
                <w:color w:val="auto"/>
                <w:sz w:val="18"/>
                <w:szCs w:val="18"/>
              </w:rPr>
              <w:t>具有账户信息设置、用户收藏查看管理以及意见反馈等功能，支持对个人信息，包括手机号、姓名、性别、学号、角色、头像的展示，支持对姓名、头像、性别、学号的修改。</w:t>
            </w:r>
          </w:p>
          <w:p w14:paraId="14547CB5">
            <w:pPr>
              <w:pStyle w:val="4"/>
              <w:spacing w:line="240" w:lineRule="auto"/>
              <w:rPr>
                <w:b w:val="0"/>
                <w:bCs w:val="0"/>
                <w:color w:val="auto"/>
                <w:sz w:val="18"/>
                <w:szCs w:val="18"/>
              </w:rPr>
            </w:pPr>
            <w:r>
              <w:rPr>
                <w:rFonts w:hint="eastAsia"/>
                <w:b w:val="0"/>
                <w:bCs w:val="0"/>
                <w:color w:val="auto"/>
                <w:sz w:val="18"/>
                <w:szCs w:val="18"/>
              </w:rPr>
              <w:t>三、虚拟仿真教学管理系统</w:t>
            </w:r>
          </w:p>
          <w:p w14:paraId="236E67CD">
            <w:pPr>
              <w:pStyle w:val="4"/>
              <w:spacing w:line="240" w:lineRule="auto"/>
              <w:rPr>
                <w:b w:val="0"/>
                <w:bCs w:val="0"/>
                <w:color w:val="auto"/>
                <w:sz w:val="18"/>
                <w:szCs w:val="18"/>
              </w:rPr>
            </w:pPr>
            <w:r>
              <w:rPr>
                <w:rFonts w:hint="eastAsia"/>
                <w:b w:val="0"/>
                <w:bCs w:val="0"/>
                <w:color w:val="auto"/>
                <w:sz w:val="18"/>
                <w:szCs w:val="18"/>
              </w:rPr>
              <w:t>虚拟仿真教学管理系统打通课前、课中、课后、教学测评等环节，为教学工作者提供虚拟仿真备课、虚拟仿真课件编辑、教学管理、个人资源库等功能模块。</w:t>
            </w:r>
          </w:p>
          <w:p w14:paraId="6C1019AA">
            <w:pPr>
              <w:pStyle w:val="4"/>
              <w:spacing w:line="240" w:lineRule="auto"/>
              <w:rPr>
                <w:b w:val="0"/>
                <w:bCs w:val="0"/>
                <w:color w:val="auto"/>
                <w:sz w:val="18"/>
                <w:szCs w:val="18"/>
              </w:rPr>
            </w:pPr>
            <w:r>
              <w:rPr>
                <w:rFonts w:hint="eastAsia"/>
                <w:b w:val="0"/>
                <w:bCs w:val="0"/>
                <w:color w:val="auto"/>
                <w:sz w:val="18"/>
                <w:szCs w:val="18"/>
              </w:rPr>
              <w:t>(一)虚拟仿真备课系统</w:t>
            </w:r>
          </w:p>
          <w:p w14:paraId="46B2D9CB">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b w:val="0"/>
                <w:bCs w:val="0"/>
                <w:color w:val="auto"/>
                <w:sz w:val="18"/>
                <w:szCs w:val="18"/>
              </w:rPr>
            </w:pPr>
            <w:r>
              <w:rPr>
                <w:rFonts w:hint="eastAsia"/>
                <w:b w:val="0"/>
                <w:bCs w:val="0"/>
                <w:color w:val="auto"/>
                <w:sz w:val="18"/>
                <w:szCs w:val="18"/>
              </w:rPr>
              <w:t>1.★系统需提供新建、引用教学示范包、导入课程等备课方式，教师可使用已有的课程体系加入快速备课，根据自己的教学情况进行调整，达到按需教学、精准教学的目标；</w:t>
            </w:r>
            <w:r>
              <w:rPr>
                <w:rFonts w:hint="eastAsia"/>
                <w:b/>
                <w:bCs/>
                <w:color w:val="auto"/>
                <w:sz w:val="18"/>
                <w:szCs w:val="18"/>
              </w:rPr>
              <w:t>（需提供截图以验证功能）</w:t>
            </w:r>
          </w:p>
          <w:p w14:paraId="14DCECD4">
            <w:pPr>
              <w:pStyle w:val="4"/>
              <w:spacing w:line="240" w:lineRule="auto"/>
              <w:rPr>
                <w:b w:val="0"/>
                <w:bCs w:val="0"/>
                <w:color w:val="auto"/>
                <w:sz w:val="18"/>
                <w:szCs w:val="18"/>
              </w:rPr>
            </w:pPr>
          </w:p>
          <w:p w14:paraId="133C44E9">
            <w:pPr>
              <w:pStyle w:val="4"/>
              <w:spacing w:line="240" w:lineRule="auto"/>
              <w:rPr>
                <w:b w:val="0"/>
                <w:bCs w:val="0"/>
                <w:color w:val="auto"/>
                <w:sz w:val="18"/>
                <w:szCs w:val="18"/>
              </w:rPr>
            </w:pPr>
            <w:r>
              <w:rPr>
                <w:rFonts w:hint="eastAsia"/>
                <w:b w:val="0"/>
                <w:bCs w:val="0"/>
                <w:color w:val="auto"/>
                <w:sz w:val="18"/>
                <w:szCs w:val="18"/>
              </w:rPr>
              <w:t>2.为了满足教师的个性化备课需求，支持手动创建课程进行备课，创建时填写课程名称即可，支持通过个性化自定义的资源标签快速引用资源加入备课；</w:t>
            </w:r>
          </w:p>
          <w:p w14:paraId="1004F8E6">
            <w:pPr>
              <w:pStyle w:val="4"/>
              <w:spacing w:line="240" w:lineRule="auto"/>
              <w:rPr>
                <w:b w:val="0"/>
                <w:bCs w:val="0"/>
                <w:color w:val="auto"/>
                <w:sz w:val="18"/>
                <w:szCs w:val="18"/>
              </w:rPr>
            </w:pPr>
            <w:r>
              <w:rPr>
                <w:rFonts w:hint="eastAsia"/>
                <w:b w:val="0"/>
                <w:bCs w:val="0"/>
                <w:color w:val="auto"/>
                <w:sz w:val="18"/>
                <w:szCs w:val="18"/>
              </w:rPr>
              <w:t>3.支持课程管理，包括但不限于重命名、复制、删除、编辑、模糊搜索等；</w:t>
            </w:r>
          </w:p>
          <w:p w14:paraId="4A1675EF">
            <w:pPr>
              <w:pStyle w:val="4"/>
              <w:spacing w:line="240" w:lineRule="auto"/>
              <w:rPr>
                <w:b w:val="0"/>
                <w:bCs w:val="0"/>
                <w:color w:val="auto"/>
                <w:sz w:val="18"/>
                <w:szCs w:val="18"/>
              </w:rPr>
            </w:pPr>
            <w:r>
              <w:rPr>
                <w:rFonts w:hint="eastAsia"/>
                <w:b w:val="0"/>
                <w:bCs w:val="0"/>
                <w:color w:val="auto"/>
                <w:sz w:val="18"/>
                <w:szCs w:val="18"/>
              </w:rPr>
              <w:t>4.支持教师对自己已有的课程进行复制，支持对复制后的副本进行调整；</w:t>
            </w:r>
          </w:p>
          <w:p w14:paraId="72F6762A">
            <w:pPr>
              <w:pStyle w:val="4"/>
              <w:spacing w:line="240" w:lineRule="auto"/>
              <w:rPr>
                <w:b w:val="0"/>
                <w:bCs w:val="0"/>
                <w:color w:val="auto"/>
                <w:sz w:val="18"/>
                <w:szCs w:val="18"/>
              </w:rPr>
            </w:pPr>
            <w:r>
              <w:rPr>
                <w:rFonts w:hint="eastAsia"/>
                <w:b w:val="0"/>
                <w:bCs w:val="0"/>
                <w:color w:val="auto"/>
                <w:sz w:val="18"/>
                <w:szCs w:val="18"/>
              </w:rPr>
              <w:t>5.★教师可创建章节，支持新建章节标记为模块或积件，并在章节内添加模块与积件。支持对章节调整顺序，也可自定义资源的标签栏目，如课件、教案、拓展资料等；</w:t>
            </w:r>
            <w:r>
              <w:rPr>
                <w:rFonts w:hint="eastAsia"/>
                <w:b/>
                <w:bCs/>
                <w:color w:val="auto"/>
                <w:sz w:val="18"/>
                <w:szCs w:val="18"/>
              </w:rPr>
              <w:t>（需提供截图以验证功能）</w:t>
            </w:r>
          </w:p>
          <w:p w14:paraId="50EBDC25">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b w:val="0"/>
                <w:bCs w:val="0"/>
                <w:color w:val="auto"/>
                <w:sz w:val="18"/>
                <w:szCs w:val="18"/>
              </w:rPr>
            </w:pPr>
            <w:r>
              <w:rPr>
                <w:rFonts w:hint="eastAsia"/>
                <w:b w:val="0"/>
                <w:bCs w:val="0"/>
                <w:color w:val="auto"/>
                <w:sz w:val="18"/>
                <w:szCs w:val="18"/>
              </w:rPr>
              <w:t>6.★按照平台接入规范接入的软件，支持将实训软件的场景或项目接入平台中，教师可在平台中直接将实训软件内部的场景或项目嵌入到备课中，实现在教学中精准使用实训软件。</w:t>
            </w:r>
            <w:r>
              <w:rPr>
                <w:rFonts w:hint="eastAsia"/>
                <w:b/>
                <w:bCs/>
                <w:color w:val="auto"/>
                <w:sz w:val="18"/>
                <w:szCs w:val="18"/>
              </w:rPr>
              <w:t>（需提供截图以验证功能）</w:t>
            </w:r>
          </w:p>
          <w:p w14:paraId="7494AF45">
            <w:pPr>
              <w:pStyle w:val="4"/>
              <w:spacing w:line="240" w:lineRule="auto"/>
              <w:rPr>
                <w:b w:val="0"/>
                <w:bCs w:val="0"/>
                <w:color w:val="auto"/>
                <w:sz w:val="18"/>
                <w:szCs w:val="18"/>
              </w:rPr>
            </w:pPr>
          </w:p>
          <w:p w14:paraId="0641A9CC">
            <w:pPr>
              <w:pStyle w:val="4"/>
              <w:spacing w:line="240" w:lineRule="auto"/>
              <w:rPr>
                <w:b w:val="0"/>
                <w:bCs w:val="0"/>
                <w:color w:val="auto"/>
                <w:sz w:val="18"/>
                <w:szCs w:val="18"/>
              </w:rPr>
            </w:pPr>
            <w:r>
              <w:rPr>
                <w:rFonts w:hint="eastAsia"/>
                <w:b w:val="0"/>
                <w:bCs w:val="0"/>
                <w:color w:val="auto"/>
                <w:sz w:val="18"/>
                <w:szCs w:val="18"/>
              </w:rPr>
              <w:t>7.对学校已有的课程资源，支持按平台的要求进行快速导入，通过课程设计功能作为教师授课的课程资源；</w:t>
            </w:r>
          </w:p>
          <w:p w14:paraId="7C9AD147">
            <w:pPr>
              <w:pStyle w:val="4"/>
              <w:spacing w:line="240" w:lineRule="auto"/>
              <w:rPr>
                <w:b w:val="0"/>
                <w:bCs w:val="0"/>
                <w:color w:val="auto"/>
                <w:sz w:val="18"/>
                <w:szCs w:val="18"/>
              </w:rPr>
            </w:pPr>
            <w:r>
              <w:rPr>
                <w:rFonts w:hint="eastAsia"/>
                <w:b w:val="0"/>
                <w:bCs w:val="0"/>
                <w:color w:val="auto"/>
                <w:sz w:val="18"/>
                <w:szCs w:val="18"/>
              </w:rPr>
              <w:t>8.支持下载课件编辑客户端，通过客户端创建新的VR课件资源；</w:t>
            </w:r>
          </w:p>
          <w:p w14:paraId="50B8D658">
            <w:pPr>
              <w:pStyle w:val="4"/>
              <w:spacing w:line="240" w:lineRule="auto"/>
              <w:rPr>
                <w:b w:val="0"/>
                <w:bCs w:val="0"/>
                <w:color w:val="auto"/>
                <w:sz w:val="18"/>
                <w:szCs w:val="18"/>
              </w:rPr>
            </w:pPr>
            <w:r>
              <w:rPr>
                <w:rFonts w:hint="eastAsia"/>
                <w:b w:val="0"/>
                <w:bCs w:val="0"/>
                <w:color w:val="auto"/>
                <w:sz w:val="18"/>
                <w:szCs w:val="18"/>
              </w:rPr>
              <w:t>9.支持在线添加试题，添加的试题包括（单选题、多选题、判断题、填空题、简答题），试题支持设置题目解析，支持教师按照试题的模板导入试题（支持EXCEL表模板）；</w:t>
            </w:r>
          </w:p>
          <w:p w14:paraId="2FFB58BA">
            <w:pPr>
              <w:pStyle w:val="4"/>
              <w:spacing w:line="240" w:lineRule="auto"/>
              <w:rPr>
                <w:b w:val="0"/>
                <w:bCs w:val="0"/>
                <w:color w:val="auto"/>
                <w:sz w:val="18"/>
                <w:szCs w:val="18"/>
              </w:rPr>
            </w:pPr>
            <w:r>
              <w:rPr>
                <w:rFonts w:hint="eastAsia"/>
                <w:b w:val="0"/>
                <w:bCs w:val="0"/>
                <w:color w:val="auto"/>
                <w:sz w:val="18"/>
                <w:szCs w:val="18"/>
              </w:rPr>
              <w:t>10.支持老师手动组卷，加入/移除校本、课程试题，支持老师在试卷中对试题顺序的拖动；</w:t>
            </w:r>
          </w:p>
          <w:p w14:paraId="0CD12850">
            <w:pPr>
              <w:pStyle w:val="4"/>
              <w:spacing w:line="240" w:lineRule="auto"/>
              <w:rPr>
                <w:b w:val="0"/>
                <w:bCs w:val="0"/>
                <w:color w:val="auto"/>
                <w:sz w:val="18"/>
                <w:szCs w:val="18"/>
              </w:rPr>
            </w:pPr>
            <w:r>
              <w:rPr>
                <w:rFonts w:hint="eastAsia"/>
                <w:b w:val="0"/>
                <w:bCs w:val="0"/>
                <w:color w:val="auto"/>
                <w:sz w:val="18"/>
                <w:szCs w:val="18"/>
              </w:rPr>
              <w:t>11.★支持教师基于课程标准要求的技能点，选择平台实训资源发布实训任务，在学生实操完成后，学生可以提交实训数据或上传附件形式的实训数据，教师批阅后生成个人实训报告，包含技能点掌握情况、教师评价和实训详情等内容，实训操作步骤记录可导出为PDF文件；支持生成班级实训报告，包含班级实训报告提交和未交人数统计、批阅和未批阅报告统计、班级人数统计和班级最高分、最低分和平均分统计；包含实训成绩分布统计和实训技能点掌握情况分析，统计信息可以导出为excel表格；（</w:t>
            </w:r>
            <w:r>
              <w:rPr>
                <w:rFonts w:hint="eastAsia"/>
                <w:b/>
                <w:bCs/>
                <w:color w:val="auto"/>
                <w:sz w:val="18"/>
                <w:szCs w:val="18"/>
              </w:rPr>
              <w:t>为保障采购质量，此项需提供视频演示。</w:t>
            </w:r>
            <w:r>
              <w:rPr>
                <w:rFonts w:hint="eastAsia"/>
                <w:b w:val="0"/>
                <w:bCs w:val="0"/>
                <w:color w:val="auto"/>
                <w:sz w:val="18"/>
                <w:szCs w:val="18"/>
              </w:rPr>
              <w:t>）</w:t>
            </w:r>
          </w:p>
          <w:p w14:paraId="485378B8">
            <w:pPr>
              <w:pStyle w:val="4"/>
              <w:spacing w:line="240" w:lineRule="auto"/>
              <w:rPr>
                <w:b w:val="0"/>
                <w:bCs w:val="0"/>
                <w:color w:val="auto"/>
                <w:sz w:val="18"/>
                <w:szCs w:val="18"/>
              </w:rPr>
            </w:pPr>
            <w:r>
              <w:rPr>
                <w:rFonts w:hint="eastAsia"/>
                <w:b w:val="0"/>
                <w:bCs w:val="0"/>
                <w:color w:val="auto"/>
                <w:sz w:val="18"/>
                <w:szCs w:val="18"/>
              </w:rPr>
              <w:t>12.★实训伴学功能：教师在发布实训任务时，可自主选择开启或关闭该功能，并能从实训软件的各实训步骤中自由选取组成实训任务，实训软件会依教师设置精准跳转至相应步骤，实现对关键技能的针对性强化训练；平台可依据教师所设步骤智能生成操作指导及评分规则，教师也可按需手动对其进行调整；学生在实训过程中可随时申请操作指导，在出现错误的时候，平台会给出对应提示信息，平台能够按照评分规则自动生成实训得分及明细；（</w:t>
            </w:r>
            <w:r>
              <w:rPr>
                <w:rFonts w:hint="eastAsia"/>
                <w:b/>
                <w:bCs/>
                <w:color w:val="auto"/>
                <w:sz w:val="18"/>
                <w:szCs w:val="18"/>
              </w:rPr>
              <w:t>为保障采购质量，此项需提供视频演示。</w:t>
            </w:r>
            <w:r>
              <w:rPr>
                <w:rFonts w:hint="eastAsia"/>
                <w:b w:val="0"/>
                <w:bCs w:val="0"/>
                <w:color w:val="auto"/>
                <w:sz w:val="18"/>
                <w:szCs w:val="18"/>
              </w:rPr>
              <w:t>）</w:t>
            </w:r>
          </w:p>
          <w:p w14:paraId="75C0C984">
            <w:pPr>
              <w:pStyle w:val="4"/>
              <w:spacing w:line="240" w:lineRule="auto"/>
              <w:rPr>
                <w:b w:val="0"/>
                <w:bCs w:val="0"/>
                <w:color w:val="auto"/>
                <w:sz w:val="18"/>
                <w:szCs w:val="18"/>
              </w:rPr>
            </w:pPr>
            <w:r>
              <w:rPr>
                <w:rFonts w:hint="eastAsia"/>
                <w:b w:val="0"/>
                <w:bCs w:val="0"/>
                <w:color w:val="auto"/>
                <w:sz w:val="18"/>
                <w:szCs w:val="18"/>
              </w:rPr>
              <w:t>13.支持共享发布课程，审核通过后校级资源库可获得更多优质课程资源。提高校级资源库的使用效率。</w:t>
            </w:r>
          </w:p>
          <w:p w14:paraId="4C99E6F5">
            <w:pPr>
              <w:pStyle w:val="4"/>
              <w:spacing w:line="240" w:lineRule="auto"/>
              <w:rPr>
                <w:b w:val="0"/>
                <w:bCs w:val="0"/>
                <w:color w:val="auto"/>
                <w:sz w:val="18"/>
                <w:szCs w:val="18"/>
              </w:rPr>
            </w:pPr>
            <w:r>
              <w:rPr>
                <w:rFonts w:hint="eastAsia"/>
                <w:b w:val="0"/>
                <w:bCs w:val="0"/>
                <w:color w:val="auto"/>
                <w:sz w:val="18"/>
                <w:szCs w:val="18"/>
              </w:rPr>
              <w:t>14.支持规范学生在线学习行为，课程视频进度防拖拽，支持课程视频插入测验试题，答题正确后方可继续学习；支持视频在线学习数据的采集，包括学习时长、对应的知识点/技能点。</w:t>
            </w:r>
          </w:p>
          <w:p w14:paraId="1FA5A326">
            <w:pPr>
              <w:pStyle w:val="4"/>
              <w:spacing w:line="240" w:lineRule="auto"/>
              <w:rPr>
                <w:b w:val="0"/>
                <w:bCs w:val="0"/>
                <w:color w:val="auto"/>
                <w:sz w:val="18"/>
                <w:szCs w:val="18"/>
              </w:rPr>
            </w:pPr>
            <w:r>
              <w:rPr>
                <w:rFonts w:hint="eastAsia"/>
                <w:b w:val="0"/>
                <w:bCs w:val="0"/>
                <w:color w:val="auto"/>
                <w:sz w:val="18"/>
                <w:szCs w:val="18"/>
              </w:rPr>
              <w:t>(二)虚拟仿真课件编辑系统</w:t>
            </w:r>
          </w:p>
          <w:p w14:paraId="0277EC6A">
            <w:pPr>
              <w:pStyle w:val="4"/>
              <w:spacing w:line="240" w:lineRule="auto"/>
              <w:rPr>
                <w:b w:val="0"/>
                <w:bCs w:val="0"/>
                <w:color w:val="auto"/>
                <w:sz w:val="18"/>
                <w:szCs w:val="18"/>
              </w:rPr>
            </w:pPr>
            <w:r>
              <w:rPr>
                <w:rFonts w:hint="eastAsia"/>
                <w:b w:val="0"/>
                <w:bCs w:val="0"/>
                <w:color w:val="auto"/>
                <w:sz w:val="18"/>
                <w:szCs w:val="18"/>
              </w:rPr>
              <w:t>1.支持创建PPT/Word文档或者本地导入PPT/Word文档进行备课，支持对创建或者导入的课件进行二次编辑，支持Microsoft Office自有编辑功能；</w:t>
            </w:r>
          </w:p>
          <w:p w14:paraId="013BD782">
            <w:pPr>
              <w:pStyle w:val="4"/>
              <w:spacing w:line="240" w:lineRule="auto"/>
              <w:rPr>
                <w:b w:val="0"/>
                <w:bCs w:val="0"/>
                <w:color w:val="auto"/>
                <w:sz w:val="18"/>
                <w:szCs w:val="18"/>
              </w:rPr>
            </w:pPr>
            <w:r>
              <w:rPr>
                <w:rFonts w:hint="eastAsia"/>
                <w:b w:val="0"/>
                <w:bCs w:val="0"/>
                <w:color w:val="auto"/>
                <w:sz w:val="18"/>
                <w:szCs w:val="18"/>
              </w:rPr>
              <w:t>2.支持直接调用课件编辑系统进行课件的编辑，编辑完成后可同步至教学中心，实现一站式体验；</w:t>
            </w:r>
          </w:p>
          <w:p w14:paraId="1708D935">
            <w:pPr>
              <w:pStyle w:val="4"/>
              <w:spacing w:line="240" w:lineRule="auto"/>
              <w:rPr>
                <w:b w:val="0"/>
                <w:bCs w:val="0"/>
                <w:color w:val="auto"/>
                <w:sz w:val="18"/>
                <w:szCs w:val="18"/>
              </w:rPr>
            </w:pPr>
            <w:r>
              <w:rPr>
                <w:rFonts w:hint="eastAsia"/>
                <w:b w:val="0"/>
                <w:bCs w:val="0"/>
                <w:color w:val="auto"/>
                <w:sz w:val="18"/>
                <w:szCs w:val="18"/>
              </w:rPr>
              <w:t>3.支持在线预览虚拟仿真实训平台资源中心的素材资源，并且可直接调动资源中心的素材资源用于制作虚拟仿真教学课件；</w:t>
            </w:r>
          </w:p>
          <w:p w14:paraId="01013D75">
            <w:pPr>
              <w:pStyle w:val="4"/>
              <w:spacing w:line="240" w:lineRule="auto"/>
              <w:rPr>
                <w:b w:val="0"/>
                <w:bCs w:val="0"/>
                <w:color w:val="auto"/>
                <w:sz w:val="18"/>
                <w:szCs w:val="18"/>
              </w:rPr>
            </w:pPr>
            <w:r>
              <w:rPr>
                <w:rFonts w:hint="eastAsia"/>
                <w:b w:val="0"/>
                <w:bCs w:val="0"/>
                <w:color w:val="auto"/>
                <w:sz w:val="18"/>
                <w:szCs w:val="18"/>
              </w:rPr>
              <w:t>4.支持在用户预览的同时一键插入该资源到制作的课件PPT、Word文档中，方便用户编辑；</w:t>
            </w:r>
          </w:p>
          <w:p w14:paraId="1A81ECF5">
            <w:pPr>
              <w:pStyle w:val="4"/>
              <w:spacing w:line="240" w:lineRule="auto"/>
              <w:rPr>
                <w:b w:val="0"/>
                <w:bCs w:val="0"/>
                <w:color w:val="auto"/>
                <w:sz w:val="18"/>
                <w:szCs w:val="18"/>
              </w:rPr>
            </w:pPr>
            <w:r>
              <w:rPr>
                <w:rFonts w:hint="eastAsia"/>
                <w:b w:val="0"/>
                <w:bCs w:val="0"/>
                <w:color w:val="auto"/>
                <w:sz w:val="18"/>
                <w:szCs w:val="18"/>
              </w:rPr>
              <w:t>5.支持在课件中插入相应的3D模型资源，支持导入的模型格式包括但不限于.fbx、.obj、.gltf、.glb、.stl等；</w:t>
            </w:r>
          </w:p>
          <w:p w14:paraId="728B966A">
            <w:pPr>
              <w:pStyle w:val="4"/>
              <w:spacing w:line="240" w:lineRule="auto"/>
              <w:rPr>
                <w:b w:val="0"/>
                <w:bCs w:val="0"/>
                <w:color w:val="auto"/>
                <w:sz w:val="18"/>
                <w:szCs w:val="18"/>
              </w:rPr>
            </w:pPr>
            <w:r>
              <w:rPr>
                <w:rFonts w:hint="eastAsia"/>
                <w:b w:val="0"/>
                <w:bCs w:val="0"/>
                <w:color w:val="auto"/>
                <w:sz w:val="18"/>
                <w:szCs w:val="18"/>
              </w:rPr>
              <w:t>6.★兼容市面上主流的及特殊行业软件制作的3D模型，包括但不限于3DsMAX、Maya、sketchup、Solidworks、Paint3D、Motionbuilder、AutoCAD、DRACO、Meshmixer、LDraw、Rhino、Gromacs、SWISS-MODEL、python、openPhase等行业软件制作的3D模型，兼容模型格式包括但不限于fbx、obj、stl、3ds、drc、amf、kmz、3mf、3dm、pcd、pdb、mdd、xyz、lwo、ifc、vox、vtk、prwm、gcode、ply、mpd、tilt</w:t>
            </w:r>
          </w:p>
          <w:p w14:paraId="6874745D">
            <w:pPr>
              <w:pStyle w:val="4"/>
              <w:spacing w:line="240" w:lineRule="auto"/>
              <w:rPr>
                <w:b w:val="0"/>
                <w:bCs w:val="0"/>
                <w:color w:val="auto"/>
                <w:sz w:val="18"/>
                <w:szCs w:val="18"/>
              </w:rPr>
            </w:pPr>
            <w:r>
              <w:rPr>
                <w:rFonts w:hint="eastAsia"/>
                <w:b w:val="0"/>
                <w:bCs w:val="0"/>
                <w:color w:val="auto"/>
                <w:sz w:val="18"/>
                <w:szCs w:val="18"/>
              </w:rPr>
              <w:t>等格式，支持上述3D模型在线预览，支持对模型自由旋转、缩放；</w:t>
            </w:r>
          </w:p>
          <w:p w14:paraId="0AAF4066">
            <w:pPr>
              <w:pStyle w:val="4"/>
              <w:keepNext/>
              <w:keepLines/>
              <w:pageBreakBefore w:val="0"/>
              <w:widowControl w:val="0"/>
              <w:kinsoku/>
              <w:wordWrap/>
              <w:overflowPunct/>
              <w:topLinePunct w:val="0"/>
              <w:autoSpaceDE/>
              <w:autoSpaceDN/>
              <w:bidi w:val="0"/>
              <w:adjustRightInd/>
              <w:snapToGrid/>
              <w:spacing w:line="240" w:lineRule="auto"/>
              <w:textAlignment w:val="auto"/>
              <w:rPr>
                <w:b w:val="0"/>
                <w:bCs w:val="0"/>
                <w:color w:val="auto"/>
                <w:sz w:val="18"/>
                <w:szCs w:val="18"/>
              </w:rPr>
            </w:pPr>
            <w:r>
              <w:rPr>
                <w:rFonts w:hint="eastAsia"/>
                <w:b w:val="0"/>
                <w:bCs w:val="0"/>
                <w:color w:val="auto"/>
                <w:sz w:val="18"/>
                <w:szCs w:val="18"/>
              </w:rPr>
              <w:t>7.★系统自带编辑引擎，支持3D可视化模型编辑，支持对.fbx、.gltf、.glb 等主流的格式模型进行编辑与修改，模型编辑完成后点击保存实时更新编辑后的效果，使不懂模型制作的人员也能借助该工具制作出个性化的仿真模型、3D动画。模型编辑功能应包括对模型的材质、颜色、光滑度、动画、位置、标签等进行编辑。针对模型编辑，应具备如下功能：</w:t>
            </w:r>
            <w:r>
              <w:rPr>
                <w:rFonts w:hint="eastAsia"/>
                <w:b/>
                <w:bCs/>
                <w:color w:val="auto"/>
                <w:sz w:val="18"/>
                <w:szCs w:val="18"/>
              </w:rPr>
              <w:t>（为保障采购质量，编辑引擎需为制造厂商自主研发软件，需提供相关计算机软件著作权登记证书，并对以上模型格式在线预览及编辑功能逐一进行视频演示。）</w:t>
            </w:r>
          </w:p>
          <w:p w14:paraId="7BE30C70">
            <w:pPr>
              <w:pStyle w:val="4"/>
              <w:spacing w:line="240" w:lineRule="auto"/>
              <w:rPr>
                <w:b w:val="0"/>
                <w:bCs w:val="0"/>
                <w:color w:val="auto"/>
                <w:sz w:val="18"/>
                <w:szCs w:val="18"/>
              </w:rPr>
            </w:pPr>
            <w:r>
              <w:rPr>
                <w:rFonts w:hint="eastAsia"/>
                <w:b w:val="0"/>
                <w:bCs w:val="0"/>
                <w:color w:val="auto"/>
                <w:sz w:val="18"/>
                <w:szCs w:val="18"/>
              </w:rPr>
              <w:t>（1）系统提供不少于4类材质，材质数量不少于28个，种类应包含塑料、金属、固体、玻璃等。</w:t>
            </w:r>
          </w:p>
          <w:p w14:paraId="152CB3AF">
            <w:pPr>
              <w:pStyle w:val="4"/>
              <w:spacing w:line="240" w:lineRule="auto"/>
              <w:rPr>
                <w:b w:val="0"/>
                <w:bCs w:val="0"/>
                <w:color w:val="auto"/>
                <w:sz w:val="18"/>
                <w:szCs w:val="18"/>
              </w:rPr>
            </w:pPr>
            <w:r>
              <w:rPr>
                <w:rFonts w:hint="eastAsia"/>
                <w:b w:val="0"/>
                <w:bCs w:val="0"/>
                <w:color w:val="auto"/>
                <w:sz w:val="18"/>
                <w:szCs w:val="18"/>
              </w:rPr>
              <w:t>（2）材质颜色与光滑度的调整，需支持滑块选择、十六进制颜色值输入等方式进行编辑；</w:t>
            </w:r>
          </w:p>
          <w:p w14:paraId="264AB69F">
            <w:pPr>
              <w:pStyle w:val="4"/>
              <w:spacing w:line="240" w:lineRule="auto"/>
              <w:rPr>
                <w:b w:val="0"/>
                <w:bCs w:val="0"/>
                <w:color w:val="auto"/>
                <w:sz w:val="18"/>
                <w:szCs w:val="18"/>
              </w:rPr>
            </w:pPr>
            <w:r>
              <w:rPr>
                <w:rFonts w:hint="eastAsia"/>
                <w:b w:val="0"/>
                <w:bCs w:val="0"/>
                <w:color w:val="auto"/>
                <w:sz w:val="18"/>
                <w:szCs w:val="18"/>
              </w:rPr>
              <w:t>（3）可以通过在线编辑，设置模型的位置信息与角度，支持对模型添加标签、简介，并能对各部件进行隐藏等设置。</w:t>
            </w:r>
          </w:p>
          <w:p w14:paraId="38DBDF61">
            <w:pPr>
              <w:pStyle w:val="4"/>
              <w:spacing w:line="240" w:lineRule="auto"/>
              <w:rPr>
                <w:b w:val="0"/>
                <w:bCs w:val="0"/>
                <w:color w:val="auto"/>
                <w:sz w:val="18"/>
                <w:szCs w:val="18"/>
              </w:rPr>
            </w:pPr>
            <w:r>
              <w:rPr>
                <w:rFonts w:hint="eastAsia"/>
                <w:b w:val="0"/>
                <w:bCs w:val="0"/>
                <w:color w:val="auto"/>
                <w:sz w:val="18"/>
                <w:szCs w:val="18"/>
              </w:rPr>
              <w:t>（4）系统需支持设置模型动画，包括展示增强动画、闲置动画等不同的动画类型。</w:t>
            </w:r>
          </w:p>
          <w:p w14:paraId="6F4BB9FA">
            <w:pPr>
              <w:pStyle w:val="4"/>
              <w:spacing w:line="240" w:lineRule="auto"/>
              <w:rPr>
                <w:b w:val="0"/>
                <w:bCs w:val="0"/>
                <w:color w:val="auto"/>
                <w:sz w:val="18"/>
                <w:szCs w:val="18"/>
              </w:rPr>
            </w:pPr>
            <w:r>
              <w:rPr>
                <w:rFonts w:hint="eastAsia"/>
                <w:b w:val="0"/>
                <w:bCs w:val="0"/>
                <w:color w:val="auto"/>
                <w:sz w:val="18"/>
                <w:szCs w:val="18"/>
              </w:rPr>
              <w:t>(三)虚拟仿真教学系统</w:t>
            </w:r>
          </w:p>
          <w:p w14:paraId="0396DC48">
            <w:pPr>
              <w:pStyle w:val="4"/>
              <w:spacing w:line="240" w:lineRule="auto"/>
              <w:rPr>
                <w:b w:val="0"/>
                <w:bCs w:val="0"/>
                <w:color w:val="auto"/>
                <w:sz w:val="18"/>
                <w:szCs w:val="18"/>
              </w:rPr>
            </w:pPr>
            <w:r>
              <w:rPr>
                <w:rFonts w:hint="eastAsia"/>
                <w:b w:val="0"/>
                <w:bCs w:val="0"/>
                <w:color w:val="auto"/>
                <w:sz w:val="18"/>
                <w:szCs w:val="18"/>
              </w:rPr>
              <w:t>1.系统支持线下面授课程，支持教师调用备课系统编辑的课堂教学资源，同时，教师也可随时调用平台内置的教学资源，用于课堂教学。系统支持课堂系统中在线查看教案资料、课件资源、测验试题、实训内容，课程资源支持Word、PDF、PPT、Excel、MP3、MP4等资源格式；</w:t>
            </w:r>
          </w:p>
          <w:p w14:paraId="5258B23E">
            <w:pPr>
              <w:pStyle w:val="4"/>
              <w:spacing w:line="240" w:lineRule="auto"/>
              <w:rPr>
                <w:b w:val="0"/>
                <w:bCs w:val="0"/>
                <w:color w:val="auto"/>
                <w:sz w:val="18"/>
                <w:szCs w:val="18"/>
              </w:rPr>
            </w:pPr>
            <w:r>
              <w:rPr>
                <w:rFonts w:hint="eastAsia"/>
                <w:b w:val="0"/>
                <w:bCs w:val="0"/>
                <w:color w:val="auto"/>
                <w:sz w:val="18"/>
                <w:szCs w:val="18"/>
              </w:rPr>
              <w:t>2.系统提供相应的课堂记录，课堂记录数据包括所属课程名称下的开课时间、课程时长、学生数量等信息；</w:t>
            </w:r>
          </w:p>
          <w:p w14:paraId="03F5989F">
            <w:pPr>
              <w:pStyle w:val="4"/>
              <w:spacing w:line="240" w:lineRule="auto"/>
              <w:rPr>
                <w:b w:val="0"/>
                <w:bCs w:val="0"/>
                <w:color w:val="auto"/>
                <w:sz w:val="18"/>
                <w:szCs w:val="18"/>
              </w:rPr>
            </w:pPr>
            <w:r>
              <w:rPr>
                <w:rFonts w:hint="eastAsia"/>
                <w:b w:val="0"/>
                <w:bCs w:val="0"/>
                <w:color w:val="auto"/>
                <w:sz w:val="18"/>
                <w:szCs w:val="18"/>
              </w:rPr>
              <w:t>3.教师可组建班课，根据课程的章节内容把教学资源发送给学生预习或复习；</w:t>
            </w:r>
          </w:p>
          <w:p w14:paraId="5938DA7C">
            <w:pPr>
              <w:pStyle w:val="4"/>
              <w:spacing w:line="240" w:lineRule="auto"/>
              <w:rPr>
                <w:b w:val="0"/>
                <w:bCs w:val="0"/>
                <w:color w:val="auto"/>
                <w:sz w:val="18"/>
                <w:szCs w:val="18"/>
              </w:rPr>
            </w:pPr>
            <w:r>
              <w:rPr>
                <w:rFonts w:hint="eastAsia"/>
                <w:b w:val="0"/>
                <w:bCs w:val="0"/>
                <w:color w:val="auto"/>
                <w:sz w:val="18"/>
                <w:szCs w:val="18"/>
              </w:rPr>
              <w:t>4.★支持在线打开Web GL课程资源；</w:t>
            </w:r>
            <w:r>
              <w:rPr>
                <w:rFonts w:hint="eastAsia"/>
                <w:b/>
                <w:bCs/>
                <w:color w:val="auto"/>
                <w:sz w:val="18"/>
                <w:szCs w:val="18"/>
              </w:rPr>
              <w:t>（需提供截图以验证功能）</w:t>
            </w:r>
          </w:p>
          <w:p w14:paraId="025E16DC">
            <w:pPr>
              <w:pStyle w:val="4"/>
              <w:spacing w:line="240" w:lineRule="auto"/>
              <w:rPr>
                <w:b w:val="0"/>
                <w:bCs w:val="0"/>
                <w:color w:val="auto"/>
                <w:sz w:val="18"/>
                <w:szCs w:val="18"/>
              </w:rPr>
            </w:pPr>
            <w:r>
              <w:rPr>
                <w:rFonts w:hint="eastAsia"/>
                <w:b w:val="0"/>
                <w:bCs w:val="0"/>
                <w:color w:val="auto"/>
                <w:sz w:val="18"/>
                <w:szCs w:val="18"/>
              </w:rPr>
              <w:t>5.★支持查看班课中接入的虚拟仿真实训资源的学生实训数据和班级整体实训情况统计，实训数据精确到学生进行实训的次数、实训时间、实训时长以及每一次实训所产生的操作步骤明细，班级整体实训情况包含实训人数、实训总次数、人均实训次数与实训平均用时；</w:t>
            </w:r>
            <w:r>
              <w:rPr>
                <w:rFonts w:hint="eastAsia"/>
                <w:b/>
                <w:bCs/>
                <w:color w:val="auto"/>
                <w:sz w:val="18"/>
                <w:szCs w:val="18"/>
              </w:rPr>
              <w:t>（需提供截图以验证功能）</w:t>
            </w:r>
          </w:p>
          <w:p w14:paraId="165ACFA9">
            <w:pPr>
              <w:pStyle w:val="4"/>
              <w:spacing w:line="240" w:lineRule="auto"/>
              <w:rPr>
                <w:b w:val="0"/>
                <w:bCs w:val="0"/>
                <w:color w:val="auto"/>
                <w:sz w:val="18"/>
                <w:szCs w:val="18"/>
              </w:rPr>
            </w:pPr>
            <w:r>
              <w:rPr>
                <w:rFonts w:hint="eastAsia"/>
                <w:b w:val="0"/>
                <w:bCs w:val="0"/>
                <w:color w:val="auto"/>
                <w:sz w:val="18"/>
                <w:szCs w:val="18"/>
              </w:rPr>
              <w:t>6.★支持教师发布相应的课后作业、考试测评等。系统支持自动评卷、手动评卷，学生完成相应的作业、考试之后，系统自动生成相应的成绩报告；</w:t>
            </w:r>
            <w:r>
              <w:rPr>
                <w:rFonts w:hint="eastAsia"/>
                <w:b/>
                <w:bCs/>
                <w:color w:val="auto"/>
                <w:sz w:val="18"/>
                <w:szCs w:val="18"/>
              </w:rPr>
              <w:t>（需提供截图以验证功能）</w:t>
            </w:r>
          </w:p>
          <w:p w14:paraId="70D0270C">
            <w:pPr>
              <w:pStyle w:val="4"/>
              <w:spacing w:line="240" w:lineRule="auto"/>
              <w:rPr>
                <w:b w:val="0"/>
                <w:bCs w:val="0"/>
                <w:color w:val="auto"/>
                <w:sz w:val="18"/>
                <w:szCs w:val="18"/>
              </w:rPr>
            </w:pPr>
            <w:r>
              <w:rPr>
                <w:rFonts w:hint="eastAsia"/>
                <w:b w:val="0"/>
                <w:bCs w:val="0"/>
                <w:color w:val="auto"/>
                <w:sz w:val="18"/>
                <w:szCs w:val="18"/>
              </w:rPr>
              <w:t>7.课后作业、考试测评支持以实训任务形式发布，学生完成相应的实训之后，可以选择实训数据进行提交或上传并提交实训报告。</w:t>
            </w:r>
          </w:p>
          <w:p w14:paraId="577BC714">
            <w:pPr>
              <w:pStyle w:val="4"/>
              <w:spacing w:line="240" w:lineRule="auto"/>
              <w:rPr>
                <w:b w:val="0"/>
                <w:bCs w:val="0"/>
                <w:color w:val="auto"/>
                <w:sz w:val="18"/>
                <w:szCs w:val="18"/>
              </w:rPr>
            </w:pPr>
            <w:r>
              <w:rPr>
                <w:rFonts w:hint="eastAsia"/>
                <w:b w:val="0"/>
                <w:bCs w:val="0"/>
                <w:color w:val="auto"/>
                <w:sz w:val="18"/>
                <w:szCs w:val="18"/>
              </w:rPr>
              <w:t>8.支持教师在多场景多任务的实训资源下，基于课程标准要求的技能点发布实训任务，在学生实操完成后，可自动生成该实训任务相关技能点的掌握情况。</w:t>
            </w:r>
          </w:p>
          <w:p w14:paraId="09BAEA04">
            <w:pPr>
              <w:pStyle w:val="4"/>
              <w:spacing w:line="240" w:lineRule="auto"/>
              <w:rPr>
                <w:b w:val="0"/>
                <w:bCs w:val="0"/>
                <w:color w:val="auto"/>
                <w:sz w:val="18"/>
                <w:szCs w:val="18"/>
              </w:rPr>
            </w:pPr>
            <w:r>
              <w:rPr>
                <w:rFonts w:hint="eastAsia"/>
                <w:b w:val="0"/>
                <w:bCs w:val="0"/>
                <w:color w:val="auto"/>
                <w:sz w:val="18"/>
                <w:szCs w:val="18"/>
              </w:rPr>
              <w:t>(四)虚拟仿真教学管理</w:t>
            </w:r>
          </w:p>
          <w:p w14:paraId="07EF82CA">
            <w:pPr>
              <w:pStyle w:val="4"/>
              <w:spacing w:line="240" w:lineRule="auto"/>
              <w:rPr>
                <w:b w:val="0"/>
                <w:bCs w:val="0"/>
                <w:color w:val="auto"/>
                <w:sz w:val="18"/>
                <w:szCs w:val="18"/>
              </w:rPr>
            </w:pPr>
            <w:r>
              <w:rPr>
                <w:rFonts w:hint="eastAsia"/>
                <w:b w:val="0"/>
                <w:bCs w:val="0"/>
                <w:color w:val="auto"/>
                <w:sz w:val="18"/>
                <w:szCs w:val="18"/>
              </w:rPr>
              <w:t>1.支持教师添加、编辑和删除班级，支持将学生加入班级或将多个班级合并为一个班级；</w:t>
            </w:r>
          </w:p>
          <w:p w14:paraId="57A840D5">
            <w:pPr>
              <w:pStyle w:val="4"/>
              <w:spacing w:line="240" w:lineRule="auto"/>
              <w:rPr>
                <w:b w:val="0"/>
                <w:bCs w:val="0"/>
                <w:color w:val="auto"/>
                <w:sz w:val="18"/>
                <w:szCs w:val="18"/>
              </w:rPr>
            </w:pPr>
            <w:r>
              <w:rPr>
                <w:rFonts w:hint="eastAsia"/>
                <w:b w:val="0"/>
                <w:bCs w:val="0"/>
                <w:color w:val="auto"/>
                <w:sz w:val="18"/>
                <w:szCs w:val="18"/>
              </w:rPr>
              <w:t>2.支持教师将已备课课程绑定相应的班级，并支持对相应的班课进行创建、编辑、搜索、删除；</w:t>
            </w:r>
          </w:p>
          <w:p w14:paraId="4C71414E">
            <w:pPr>
              <w:pStyle w:val="4"/>
              <w:spacing w:line="240" w:lineRule="auto"/>
              <w:rPr>
                <w:b w:val="0"/>
                <w:bCs w:val="0"/>
                <w:color w:val="auto"/>
                <w:sz w:val="18"/>
                <w:szCs w:val="18"/>
              </w:rPr>
            </w:pPr>
            <w:r>
              <w:rPr>
                <w:rFonts w:hint="eastAsia"/>
                <w:b w:val="0"/>
                <w:bCs w:val="0"/>
                <w:color w:val="auto"/>
                <w:sz w:val="18"/>
                <w:szCs w:val="18"/>
              </w:rPr>
              <w:t>(五)个人资源库</w:t>
            </w:r>
          </w:p>
          <w:p w14:paraId="0908A5E2">
            <w:pPr>
              <w:pStyle w:val="4"/>
              <w:spacing w:line="240" w:lineRule="auto"/>
              <w:rPr>
                <w:b w:val="0"/>
                <w:bCs w:val="0"/>
                <w:color w:val="auto"/>
                <w:sz w:val="18"/>
                <w:szCs w:val="18"/>
              </w:rPr>
            </w:pPr>
            <w:r>
              <w:rPr>
                <w:rFonts w:hint="eastAsia"/>
                <w:b w:val="0"/>
                <w:bCs w:val="0"/>
                <w:color w:val="auto"/>
                <w:sz w:val="18"/>
                <w:szCs w:val="18"/>
              </w:rPr>
              <w:t>1.支持教师将主流格式的本地文本、演示文稿、图片、音频、视频、动画、3D模型、3D场景、全景图片、全景视频、实训软件添加到个人资源库，教师配有至少大于1GB以上的教学资源管理空间。</w:t>
            </w:r>
          </w:p>
          <w:p w14:paraId="3EBFCB54">
            <w:pPr>
              <w:pStyle w:val="4"/>
              <w:spacing w:line="240" w:lineRule="auto"/>
              <w:rPr>
                <w:b w:val="0"/>
                <w:bCs w:val="0"/>
                <w:color w:val="auto"/>
                <w:sz w:val="18"/>
                <w:szCs w:val="18"/>
              </w:rPr>
            </w:pPr>
            <w:r>
              <w:rPr>
                <w:rFonts w:hint="eastAsia"/>
                <w:b w:val="0"/>
                <w:bCs w:val="0"/>
                <w:color w:val="auto"/>
                <w:sz w:val="18"/>
                <w:szCs w:val="18"/>
              </w:rPr>
              <w:t>2.支持在线添加试题，添加的试题包括（单选题、多选题、判断题、填空题、简答题），试题支持设置题目解析，支持教师按照试题的模板导入试题（支持EXCEL表模版）。</w:t>
            </w:r>
          </w:p>
          <w:p w14:paraId="6A91270B">
            <w:pPr>
              <w:pStyle w:val="4"/>
              <w:spacing w:line="240" w:lineRule="auto"/>
              <w:rPr>
                <w:b w:val="0"/>
                <w:bCs w:val="0"/>
                <w:color w:val="auto"/>
                <w:sz w:val="18"/>
                <w:szCs w:val="18"/>
              </w:rPr>
            </w:pPr>
            <w:r>
              <w:rPr>
                <w:rFonts w:hint="eastAsia"/>
                <w:b w:val="0"/>
                <w:bCs w:val="0"/>
                <w:color w:val="auto"/>
                <w:sz w:val="18"/>
                <w:szCs w:val="18"/>
              </w:rPr>
              <w:t>3.支持教师手动组卷，加入/移除校本试题和自己创建的试题，支持教师在试卷中对试题顺序的拖动。</w:t>
            </w:r>
          </w:p>
          <w:p w14:paraId="2467B591">
            <w:pPr>
              <w:pStyle w:val="4"/>
              <w:spacing w:line="240" w:lineRule="auto"/>
              <w:rPr>
                <w:b w:val="0"/>
                <w:bCs w:val="0"/>
                <w:color w:val="auto"/>
                <w:sz w:val="18"/>
                <w:szCs w:val="18"/>
              </w:rPr>
            </w:pPr>
            <w:r>
              <w:rPr>
                <w:rFonts w:hint="eastAsia"/>
                <w:b w:val="0"/>
                <w:bCs w:val="0"/>
                <w:color w:val="auto"/>
                <w:sz w:val="18"/>
                <w:szCs w:val="18"/>
              </w:rPr>
              <w:t>4.支持教师使用资源管理器查看、预览、删除、下载、共享上传的资源。</w:t>
            </w:r>
          </w:p>
          <w:p w14:paraId="704461F5">
            <w:pPr>
              <w:pStyle w:val="4"/>
              <w:spacing w:line="240" w:lineRule="auto"/>
              <w:rPr>
                <w:b w:val="0"/>
                <w:bCs w:val="0"/>
                <w:color w:val="auto"/>
                <w:sz w:val="18"/>
                <w:szCs w:val="18"/>
              </w:rPr>
            </w:pPr>
            <w:r>
              <w:rPr>
                <w:rFonts w:hint="eastAsia"/>
                <w:b w:val="0"/>
                <w:bCs w:val="0"/>
                <w:color w:val="auto"/>
                <w:sz w:val="18"/>
                <w:szCs w:val="18"/>
              </w:rPr>
              <w:t>5.支持上传的主流格式模型资源自动生成3D预览图，预览图支持旋转查看。</w:t>
            </w:r>
          </w:p>
          <w:p w14:paraId="7526FDFD">
            <w:pPr>
              <w:pStyle w:val="4"/>
              <w:spacing w:line="240" w:lineRule="auto"/>
              <w:rPr>
                <w:b w:val="0"/>
                <w:bCs w:val="0"/>
                <w:color w:val="auto"/>
                <w:sz w:val="18"/>
                <w:szCs w:val="18"/>
              </w:rPr>
            </w:pPr>
            <w:r>
              <w:rPr>
                <w:rFonts w:hint="eastAsia"/>
                <w:b w:val="0"/>
                <w:bCs w:val="0"/>
                <w:color w:val="auto"/>
                <w:sz w:val="18"/>
                <w:szCs w:val="18"/>
              </w:rPr>
              <w:t>6.支持查看个人的共享记录，包括但不限于课程、素材、实训软件、试卷等资源的共享。</w:t>
            </w:r>
          </w:p>
          <w:p w14:paraId="6FE81C6C">
            <w:pPr>
              <w:pStyle w:val="4"/>
              <w:spacing w:line="240" w:lineRule="auto"/>
              <w:rPr>
                <w:b w:val="0"/>
                <w:bCs w:val="0"/>
                <w:color w:val="auto"/>
                <w:sz w:val="18"/>
                <w:szCs w:val="18"/>
              </w:rPr>
            </w:pPr>
            <w:r>
              <w:rPr>
                <w:rFonts w:hint="eastAsia"/>
                <w:b w:val="0"/>
                <w:bCs w:val="0"/>
                <w:color w:val="auto"/>
                <w:sz w:val="18"/>
                <w:szCs w:val="18"/>
              </w:rPr>
              <w:t xml:space="preserve">7.支持教师根据课程标准的要求，个性化设置实训资源的技能点，并可共享基于技能点的实训资源。 </w:t>
            </w:r>
          </w:p>
          <w:p w14:paraId="0A907459">
            <w:pPr>
              <w:pStyle w:val="4"/>
              <w:spacing w:line="240" w:lineRule="auto"/>
              <w:rPr>
                <w:b w:val="0"/>
                <w:bCs w:val="0"/>
                <w:color w:val="auto"/>
                <w:sz w:val="18"/>
                <w:szCs w:val="18"/>
              </w:rPr>
            </w:pPr>
            <w:r>
              <w:rPr>
                <w:rFonts w:hint="eastAsia"/>
                <w:b w:val="0"/>
                <w:bCs w:val="0"/>
                <w:color w:val="auto"/>
                <w:sz w:val="18"/>
                <w:szCs w:val="18"/>
              </w:rPr>
              <w:t>四、虚拟仿真实训系统</w:t>
            </w:r>
          </w:p>
          <w:p w14:paraId="27A45DD2">
            <w:pPr>
              <w:pStyle w:val="4"/>
              <w:spacing w:line="240" w:lineRule="auto"/>
              <w:rPr>
                <w:b w:val="0"/>
                <w:bCs w:val="0"/>
                <w:color w:val="auto"/>
                <w:sz w:val="18"/>
                <w:szCs w:val="18"/>
              </w:rPr>
            </w:pPr>
            <w:r>
              <w:rPr>
                <w:rFonts w:hint="eastAsia"/>
                <w:b w:val="0"/>
                <w:bCs w:val="0"/>
                <w:color w:val="auto"/>
                <w:sz w:val="18"/>
                <w:szCs w:val="18"/>
              </w:rPr>
              <w:t>平台需提供线上、线下互动学习客户端，通过该客户端对实训软件、实训记录、实训数据、学习情况、进度、习题、考核、成绩等统一管理，满足不同用户群体在不同场景下的学习需求。</w:t>
            </w:r>
          </w:p>
          <w:p w14:paraId="5F8A6D46">
            <w:pPr>
              <w:pStyle w:val="4"/>
              <w:spacing w:line="240" w:lineRule="auto"/>
              <w:rPr>
                <w:b w:val="0"/>
                <w:bCs w:val="0"/>
                <w:color w:val="auto"/>
                <w:sz w:val="18"/>
                <w:szCs w:val="18"/>
              </w:rPr>
            </w:pPr>
            <w:r>
              <w:rPr>
                <w:rFonts w:hint="eastAsia"/>
                <w:b w:val="0"/>
                <w:bCs w:val="0"/>
                <w:color w:val="auto"/>
                <w:sz w:val="18"/>
                <w:szCs w:val="18"/>
              </w:rPr>
              <w:t>(一)实训资源管理</w:t>
            </w:r>
          </w:p>
          <w:p w14:paraId="50B45970">
            <w:pPr>
              <w:pStyle w:val="4"/>
              <w:spacing w:line="240" w:lineRule="auto"/>
              <w:rPr>
                <w:b w:val="0"/>
                <w:bCs w:val="0"/>
                <w:color w:val="auto"/>
                <w:sz w:val="18"/>
                <w:szCs w:val="18"/>
              </w:rPr>
            </w:pPr>
            <w:r>
              <w:rPr>
                <w:rFonts w:hint="eastAsia"/>
                <w:b w:val="0"/>
                <w:bCs w:val="0"/>
                <w:color w:val="auto"/>
                <w:sz w:val="18"/>
                <w:szCs w:val="18"/>
              </w:rPr>
              <w:t>1.平台需提供虚拟仿真实训资源接入标准，支持第三方虚拟仿真实训软件的接入，实现对虚拟仿真实训资源进行跨专业、跨院校、跨地域的统筹管理，提高虚拟仿真实训资源的使用效率。</w:t>
            </w:r>
          </w:p>
          <w:p w14:paraId="47B7F3BD">
            <w:pPr>
              <w:pStyle w:val="4"/>
              <w:spacing w:line="240" w:lineRule="auto"/>
              <w:rPr>
                <w:b w:val="0"/>
                <w:bCs w:val="0"/>
                <w:color w:val="auto"/>
                <w:sz w:val="18"/>
                <w:szCs w:val="18"/>
              </w:rPr>
            </w:pPr>
            <w:r>
              <w:rPr>
                <w:rFonts w:hint="eastAsia"/>
                <w:b w:val="0"/>
                <w:bCs w:val="0"/>
                <w:color w:val="auto"/>
                <w:sz w:val="18"/>
                <w:szCs w:val="18"/>
              </w:rPr>
              <w:t>2.系统支持对实训教学内容的基本维护和管理，支持对实训课程进行配置等。可对实训课节进行管理，包括实训内容的管理、上课时间的管理。</w:t>
            </w:r>
          </w:p>
          <w:p w14:paraId="05745EC2">
            <w:pPr>
              <w:pStyle w:val="4"/>
              <w:spacing w:line="240" w:lineRule="auto"/>
              <w:rPr>
                <w:b w:val="0"/>
                <w:bCs w:val="0"/>
                <w:color w:val="auto"/>
                <w:sz w:val="18"/>
                <w:szCs w:val="18"/>
              </w:rPr>
            </w:pPr>
            <w:r>
              <w:rPr>
                <w:rFonts w:hint="eastAsia"/>
                <w:b w:val="0"/>
                <w:bCs w:val="0"/>
                <w:color w:val="auto"/>
                <w:sz w:val="18"/>
                <w:szCs w:val="18"/>
              </w:rPr>
              <w:t>3.平台提供用户实训过程快照存档管理，可实时保存用户实训进度和状态，支持一键恢复用户实训进度的场景配置功能。</w:t>
            </w:r>
          </w:p>
          <w:p w14:paraId="28CE082F">
            <w:pPr>
              <w:pStyle w:val="4"/>
              <w:spacing w:line="240" w:lineRule="auto"/>
              <w:rPr>
                <w:b w:val="0"/>
                <w:bCs w:val="0"/>
                <w:color w:val="auto"/>
                <w:sz w:val="18"/>
                <w:szCs w:val="18"/>
              </w:rPr>
            </w:pPr>
            <w:r>
              <w:rPr>
                <w:rFonts w:hint="eastAsia"/>
                <w:b w:val="0"/>
                <w:bCs w:val="0"/>
                <w:color w:val="auto"/>
                <w:sz w:val="18"/>
                <w:szCs w:val="18"/>
              </w:rPr>
              <w:t>4.平台支持对接入的虚拟仿真实训资源进行基本维护和管理，包括但不限于以下功能：</w:t>
            </w:r>
          </w:p>
          <w:p w14:paraId="04D54DAD">
            <w:pPr>
              <w:pStyle w:val="4"/>
              <w:spacing w:line="240" w:lineRule="auto"/>
              <w:rPr>
                <w:b w:val="0"/>
                <w:bCs w:val="0"/>
                <w:color w:val="auto"/>
                <w:sz w:val="18"/>
                <w:szCs w:val="18"/>
              </w:rPr>
            </w:pPr>
            <w:r>
              <w:rPr>
                <w:rFonts w:hint="eastAsia"/>
                <w:b w:val="0"/>
                <w:bCs w:val="0"/>
                <w:color w:val="auto"/>
                <w:sz w:val="18"/>
                <w:szCs w:val="18"/>
              </w:rPr>
              <w:t>（1）支持查看平台上所有的实训资源，支持教育专业大类和专业名称筛选、展示；</w:t>
            </w:r>
          </w:p>
          <w:p w14:paraId="7C9EBFD3">
            <w:pPr>
              <w:pStyle w:val="4"/>
              <w:spacing w:line="240" w:lineRule="auto"/>
              <w:rPr>
                <w:b w:val="0"/>
                <w:bCs w:val="0"/>
                <w:color w:val="auto"/>
                <w:sz w:val="18"/>
                <w:szCs w:val="18"/>
              </w:rPr>
            </w:pPr>
            <w:r>
              <w:rPr>
                <w:rFonts w:hint="eastAsia"/>
                <w:b w:val="0"/>
                <w:bCs w:val="0"/>
                <w:color w:val="auto"/>
                <w:sz w:val="18"/>
                <w:szCs w:val="18"/>
              </w:rPr>
              <w:t>（2）平台支持对资源库的实训资源进行搜索，包括精准搜索、模糊搜索；</w:t>
            </w:r>
          </w:p>
          <w:p w14:paraId="0EAFC7A0">
            <w:pPr>
              <w:pStyle w:val="4"/>
              <w:spacing w:line="240" w:lineRule="auto"/>
              <w:rPr>
                <w:b w:val="0"/>
                <w:bCs w:val="0"/>
                <w:color w:val="auto"/>
                <w:sz w:val="18"/>
                <w:szCs w:val="18"/>
              </w:rPr>
            </w:pPr>
            <w:r>
              <w:rPr>
                <w:rFonts w:hint="eastAsia"/>
                <w:b w:val="0"/>
                <w:bCs w:val="0"/>
                <w:color w:val="auto"/>
                <w:sz w:val="18"/>
                <w:szCs w:val="18"/>
              </w:rPr>
              <w:t>（3）支持查看实训资源详情页，授权的软件支持下载、安装、使用，查看下载状态、进度；</w:t>
            </w:r>
          </w:p>
          <w:p w14:paraId="5D353A7F">
            <w:pPr>
              <w:pStyle w:val="4"/>
              <w:spacing w:line="240" w:lineRule="auto"/>
              <w:rPr>
                <w:b w:val="0"/>
                <w:bCs w:val="0"/>
                <w:color w:val="auto"/>
                <w:sz w:val="18"/>
                <w:szCs w:val="18"/>
              </w:rPr>
            </w:pPr>
            <w:r>
              <w:rPr>
                <w:rFonts w:hint="eastAsia"/>
                <w:b w:val="0"/>
                <w:bCs w:val="0"/>
                <w:color w:val="auto"/>
                <w:sz w:val="18"/>
                <w:szCs w:val="18"/>
              </w:rPr>
              <w:t>（4）★在实训资源支持锚点跳转的情况下，平台支持配置实训资源的实训目录，支持通过实训目录唤起实训资源并跳转到相应实训任务；（</w:t>
            </w:r>
            <w:r>
              <w:rPr>
                <w:rFonts w:hint="eastAsia"/>
                <w:b/>
                <w:bCs/>
                <w:color w:val="auto"/>
                <w:sz w:val="18"/>
                <w:szCs w:val="18"/>
              </w:rPr>
              <w:t>需提供截图以验证功能</w:t>
            </w:r>
            <w:r>
              <w:rPr>
                <w:rFonts w:hint="eastAsia"/>
                <w:b w:val="0"/>
                <w:bCs w:val="0"/>
                <w:color w:val="auto"/>
                <w:sz w:val="18"/>
                <w:szCs w:val="18"/>
              </w:rPr>
              <w:t>）</w:t>
            </w:r>
          </w:p>
          <w:p w14:paraId="70785FB6">
            <w:pPr>
              <w:pStyle w:val="4"/>
              <w:spacing w:line="240" w:lineRule="auto"/>
              <w:rPr>
                <w:b w:val="0"/>
                <w:bCs w:val="0"/>
                <w:color w:val="auto"/>
                <w:sz w:val="18"/>
                <w:szCs w:val="18"/>
              </w:rPr>
            </w:pPr>
            <w:r>
              <w:rPr>
                <w:rFonts w:hint="eastAsia"/>
                <w:b w:val="0"/>
                <w:bCs w:val="0"/>
                <w:color w:val="auto"/>
                <w:sz w:val="18"/>
                <w:szCs w:val="18"/>
              </w:rPr>
              <w:t>（5）依照平台对接指南接入的实训资源，系统支持查看实训报告，自动获取相应实训数据；</w:t>
            </w:r>
          </w:p>
          <w:p w14:paraId="1530148F">
            <w:pPr>
              <w:pStyle w:val="4"/>
              <w:spacing w:line="240" w:lineRule="auto"/>
              <w:rPr>
                <w:b w:val="0"/>
                <w:bCs w:val="0"/>
                <w:color w:val="auto"/>
                <w:sz w:val="18"/>
                <w:szCs w:val="18"/>
              </w:rPr>
            </w:pPr>
            <w:r>
              <w:rPr>
                <w:rFonts w:hint="eastAsia"/>
                <w:b w:val="0"/>
                <w:bCs w:val="0"/>
                <w:color w:val="auto"/>
                <w:sz w:val="18"/>
                <w:szCs w:val="18"/>
              </w:rPr>
              <w:t>（6）实训资源支持显示资源基本信息，包括但不限于资源名称、发布者、文件大小、软件版本、发布时间、发布者、适用教育阶段、关联专业、适配的硬件、亮点特色、相关推荐等；</w:t>
            </w:r>
          </w:p>
          <w:p w14:paraId="402347FB">
            <w:pPr>
              <w:pStyle w:val="4"/>
              <w:spacing w:line="240" w:lineRule="auto"/>
              <w:rPr>
                <w:b w:val="0"/>
                <w:bCs w:val="0"/>
                <w:color w:val="auto"/>
                <w:sz w:val="18"/>
                <w:szCs w:val="18"/>
              </w:rPr>
            </w:pPr>
            <w:r>
              <w:rPr>
                <w:rFonts w:hint="eastAsia"/>
                <w:b w:val="0"/>
                <w:bCs w:val="0"/>
                <w:color w:val="auto"/>
                <w:sz w:val="18"/>
                <w:szCs w:val="18"/>
              </w:rPr>
              <w:t>（7）支持查看实训指导书，包括但不限于Word、PDF、PPT、Excel等多种资源格式。</w:t>
            </w:r>
          </w:p>
          <w:p w14:paraId="1BE692C2">
            <w:pPr>
              <w:pStyle w:val="4"/>
              <w:spacing w:line="240" w:lineRule="auto"/>
              <w:rPr>
                <w:b w:val="0"/>
                <w:bCs w:val="0"/>
                <w:color w:val="auto"/>
                <w:sz w:val="18"/>
                <w:szCs w:val="18"/>
              </w:rPr>
            </w:pPr>
            <w:r>
              <w:rPr>
                <w:rFonts w:hint="eastAsia"/>
                <w:b w:val="0"/>
                <w:bCs w:val="0"/>
                <w:color w:val="auto"/>
                <w:sz w:val="18"/>
                <w:szCs w:val="18"/>
              </w:rPr>
              <w:t>（8）支持对下载的实训软件、实训内容进行管理，包括但不限于下载任务分类筛选、查看下载的进度与状态、下载资源管理、已安装资源的更新提示，支持下载默认文件路径打开访问，方便查找、管理下载后的资源。</w:t>
            </w:r>
          </w:p>
          <w:p w14:paraId="4E5CE9B9">
            <w:pPr>
              <w:pStyle w:val="4"/>
              <w:spacing w:line="240" w:lineRule="auto"/>
              <w:rPr>
                <w:b w:val="0"/>
                <w:bCs w:val="0"/>
                <w:color w:val="auto"/>
                <w:sz w:val="18"/>
                <w:szCs w:val="18"/>
              </w:rPr>
            </w:pPr>
            <w:r>
              <w:rPr>
                <w:rFonts w:hint="eastAsia"/>
                <w:b w:val="0"/>
                <w:bCs w:val="0"/>
                <w:color w:val="auto"/>
                <w:sz w:val="18"/>
                <w:szCs w:val="18"/>
              </w:rPr>
              <w:t>5.系统支持用户查看收藏的课程资源、实训资源，支持展示上次学习内容，按时间排序记录最近学习的实训软件，点击继续学习即可进入学习。</w:t>
            </w:r>
          </w:p>
          <w:p w14:paraId="57A92531">
            <w:pPr>
              <w:pStyle w:val="4"/>
              <w:spacing w:line="240" w:lineRule="auto"/>
              <w:rPr>
                <w:b w:val="0"/>
                <w:bCs w:val="0"/>
                <w:color w:val="auto"/>
                <w:sz w:val="18"/>
                <w:szCs w:val="18"/>
              </w:rPr>
            </w:pPr>
            <w:r>
              <w:rPr>
                <w:rFonts w:hint="eastAsia"/>
                <w:b w:val="0"/>
                <w:bCs w:val="0"/>
                <w:color w:val="auto"/>
                <w:sz w:val="18"/>
                <w:szCs w:val="18"/>
              </w:rPr>
              <w:t>(二)实训数据管理</w:t>
            </w:r>
          </w:p>
          <w:p w14:paraId="15F6400F">
            <w:pPr>
              <w:pStyle w:val="4"/>
              <w:spacing w:line="240" w:lineRule="auto"/>
              <w:rPr>
                <w:b w:val="0"/>
                <w:bCs w:val="0"/>
                <w:color w:val="auto"/>
                <w:sz w:val="18"/>
                <w:szCs w:val="18"/>
              </w:rPr>
            </w:pPr>
            <w:r>
              <w:rPr>
                <w:rFonts w:hint="eastAsia"/>
                <w:b w:val="0"/>
                <w:bCs w:val="0"/>
                <w:color w:val="auto"/>
                <w:sz w:val="18"/>
                <w:szCs w:val="18"/>
              </w:rPr>
              <w:t>1.平台支持采集授权数据，包括但不限于用户信息、资源汇总数据、实训结果数据、实训过程数据、实训结论等基础信息。</w:t>
            </w:r>
          </w:p>
          <w:p w14:paraId="3F8933FB">
            <w:pPr>
              <w:pStyle w:val="4"/>
              <w:spacing w:line="240" w:lineRule="auto"/>
              <w:rPr>
                <w:b w:val="0"/>
                <w:bCs w:val="0"/>
                <w:color w:val="auto"/>
                <w:sz w:val="18"/>
                <w:szCs w:val="18"/>
              </w:rPr>
            </w:pPr>
            <w:r>
              <w:rPr>
                <w:rFonts w:hint="eastAsia"/>
                <w:b w:val="0"/>
                <w:bCs w:val="0"/>
                <w:color w:val="auto"/>
                <w:sz w:val="18"/>
                <w:szCs w:val="18"/>
              </w:rPr>
              <w:t>（1）资源汇总数据包括但不限于资源浏览量、实训人次、实训人数三项标准数据，并支持根据业务需求进行自定义扩展。</w:t>
            </w:r>
          </w:p>
          <w:p w14:paraId="1E9CAE0A">
            <w:pPr>
              <w:pStyle w:val="4"/>
              <w:spacing w:line="240" w:lineRule="auto"/>
              <w:rPr>
                <w:b w:val="0"/>
                <w:bCs w:val="0"/>
                <w:color w:val="auto"/>
                <w:sz w:val="18"/>
                <w:szCs w:val="18"/>
              </w:rPr>
            </w:pPr>
            <w:r>
              <w:rPr>
                <w:rFonts w:hint="eastAsia"/>
                <w:b w:val="0"/>
                <w:bCs w:val="0"/>
                <w:color w:val="auto"/>
                <w:sz w:val="18"/>
                <w:szCs w:val="18"/>
              </w:rPr>
              <w:t>（2）实训结果数据包括但不限于上报时间、实训开始时间、实训结束时间、耗时四项标准数据，同样支持根据业务需求进行自定义扩展，如项目名称、项目完成度、实训明细、场景任务名称、得分等。</w:t>
            </w:r>
          </w:p>
          <w:p w14:paraId="390FBBBD">
            <w:pPr>
              <w:pStyle w:val="4"/>
              <w:spacing w:line="240" w:lineRule="auto"/>
              <w:rPr>
                <w:b w:val="0"/>
                <w:bCs w:val="0"/>
                <w:color w:val="auto"/>
                <w:sz w:val="18"/>
                <w:szCs w:val="18"/>
              </w:rPr>
            </w:pPr>
            <w:r>
              <w:rPr>
                <w:rFonts w:hint="eastAsia"/>
                <w:b w:val="0"/>
                <w:bCs w:val="0"/>
                <w:color w:val="auto"/>
                <w:sz w:val="18"/>
                <w:szCs w:val="18"/>
              </w:rPr>
              <w:t>（3）实训过程数据，支持采集用户使用虚拟仿真实训资源软件过程的操作步骤信息，采集数据包括但不限于操作完成情况信息、操作工具信息、操作时间、考核信息、得分信息等，同时支持收集教学类软件的知识点学习时间，完成进度等数据。</w:t>
            </w:r>
          </w:p>
          <w:p w14:paraId="6A624DBA">
            <w:pPr>
              <w:pStyle w:val="4"/>
              <w:spacing w:line="240" w:lineRule="auto"/>
              <w:rPr>
                <w:b w:val="0"/>
                <w:bCs w:val="0"/>
                <w:color w:val="auto"/>
                <w:sz w:val="18"/>
                <w:szCs w:val="18"/>
              </w:rPr>
            </w:pPr>
            <w:r>
              <w:rPr>
                <w:rFonts w:hint="eastAsia"/>
                <w:b w:val="0"/>
                <w:bCs w:val="0"/>
                <w:color w:val="auto"/>
                <w:sz w:val="18"/>
                <w:szCs w:val="18"/>
              </w:rPr>
              <w:t>2.平台应支持收集终端用户使用实训资源产生的数据，以便真实掌握虚拟仿真实训教学质量，为优化虚拟仿真实训提供切实的依据；</w:t>
            </w:r>
          </w:p>
          <w:p w14:paraId="11F278CA">
            <w:pPr>
              <w:pStyle w:val="4"/>
              <w:keepNext/>
              <w:keepLines/>
              <w:pageBreakBefore w:val="0"/>
              <w:widowControl w:val="0"/>
              <w:kinsoku/>
              <w:wordWrap/>
              <w:overflowPunct/>
              <w:topLinePunct w:val="0"/>
              <w:autoSpaceDE/>
              <w:autoSpaceDN/>
              <w:bidi w:val="0"/>
              <w:adjustRightInd/>
              <w:snapToGrid/>
              <w:spacing w:line="240" w:lineRule="auto"/>
              <w:textAlignment w:val="auto"/>
              <w:rPr>
                <w:b w:val="0"/>
                <w:bCs w:val="0"/>
                <w:color w:val="auto"/>
                <w:sz w:val="18"/>
                <w:szCs w:val="18"/>
              </w:rPr>
            </w:pPr>
            <w:r>
              <w:rPr>
                <w:rFonts w:hint="eastAsia"/>
                <w:b w:val="0"/>
                <w:bCs w:val="0"/>
                <w:color w:val="auto"/>
                <w:sz w:val="18"/>
                <w:szCs w:val="18"/>
              </w:rPr>
              <w:t>3.★平台支持查看采集的实训数据，利用多次实训数据分析用户（如操作错误次数是否减少、操作时长、得分情况）进步情况，教师通过查看相关数据可针对性进行改进教学方式，提高教学质量。</w:t>
            </w:r>
            <w:r>
              <w:rPr>
                <w:rFonts w:hint="eastAsia"/>
                <w:b/>
                <w:bCs/>
                <w:color w:val="auto"/>
                <w:sz w:val="18"/>
                <w:szCs w:val="18"/>
              </w:rPr>
              <w:t>（需提供截图以验证功能）</w:t>
            </w:r>
          </w:p>
          <w:p w14:paraId="25EF1283">
            <w:pPr>
              <w:pStyle w:val="4"/>
              <w:spacing w:line="240" w:lineRule="auto"/>
              <w:rPr>
                <w:b w:val="0"/>
                <w:bCs w:val="0"/>
                <w:color w:val="auto"/>
                <w:sz w:val="18"/>
                <w:szCs w:val="18"/>
              </w:rPr>
            </w:pPr>
            <w:r>
              <w:rPr>
                <w:rFonts w:hint="eastAsia"/>
                <w:b w:val="0"/>
                <w:bCs w:val="0"/>
                <w:color w:val="auto"/>
                <w:sz w:val="18"/>
                <w:szCs w:val="18"/>
              </w:rPr>
              <w:t>五、虚拟仿真资源中心</w:t>
            </w:r>
          </w:p>
          <w:p w14:paraId="79A4A31D">
            <w:pPr>
              <w:pStyle w:val="4"/>
              <w:spacing w:line="240" w:lineRule="auto"/>
              <w:rPr>
                <w:b w:val="0"/>
                <w:bCs w:val="0"/>
                <w:color w:val="auto"/>
                <w:sz w:val="18"/>
                <w:szCs w:val="18"/>
              </w:rPr>
            </w:pPr>
            <w:r>
              <w:rPr>
                <w:rFonts w:hint="eastAsia"/>
                <w:b w:val="0"/>
                <w:bCs w:val="0"/>
                <w:color w:val="auto"/>
                <w:sz w:val="18"/>
                <w:szCs w:val="18"/>
              </w:rPr>
              <w:t>（一）基本要求</w:t>
            </w:r>
          </w:p>
          <w:p w14:paraId="407558D9">
            <w:pPr>
              <w:pStyle w:val="4"/>
              <w:spacing w:line="240" w:lineRule="auto"/>
              <w:rPr>
                <w:b w:val="0"/>
                <w:bCs w:val="0"/>
                <w:color w:val="auto"/>
                <w:sz w:val="18"/>
                <w:szCs w:val="18"/>
              </w:rPr>
            </w:pPr>
            <w:r>
              <w:rPr>
                <w:rFonts w:hint="eastAsia"/>
                <w:b w:val="0"/>
                <w:bCs w:val="0"/>
                <w:color w:val="auto"/>
                <w:sz w:val="18"/>
                <w:szCs w:val="18"/>
              </w:rPr>
              <w:t>1.平台需提供丰富的虚拟仿真教学实训资源，满足职业教育各教育阶段及学科专业学习实训需求，资源分类应参照国家职业教育学科专业分类目录及院校学科专业分类目录，平台提供资源数量不少于1000个。</w:t>
            </w:r>
          </w:p>
          <w:p w14:paraId="044C011D">
            <w:pPr>
              <w:pStyle w:val="4"/>
              <w:spacing w:line="240" w:lineRule="auto"/>
              <w:rPr>
                <w:b w:val="0"/>
                <w:bCs w:val="0"/>
                <w:color w:val="auto"/>
                <w:sz w:val="18"/>
                <w:szCs w:val="18"/>
              </w:rPr>
            </w:pPr>
            <w:r>
              <w:rPr>
                <w:rFonts w:hint="eastAsia"/>
                <w:b w:val="0"/>
                <w:bCs w:val="0"/>
                <w:color w:val="auto"/>
                <w:sz w:val="18"/>
                <w:szCs w:val="18"/>
              </w:rPr>
              <w:t>2.为满足教师教学工作需求，系统需提供多种形式的VR教学资源，包括但不限于文本、图形、视频、音频、3D模型等素材，各素材种类数量不得低于50个。</w:t>
            </w:r>
          </w:p>
          <w:p w14:paraId="76A92B9F">
            <w:pPr>
              <w:pStyle w:val="4"/>
              <w:spacing w:line="240" w:lineRule="auto"/>
              <w:rPr>
                <w:b w:val="0"/>
                <w:bCs w:val="0"/>
                <w:color w:val="auto"/>
                <w:sz w:val="18"/>
                <w:szCs w:val="18"/>
              </w:rPr>
            </w:pPr>
            <w:r>
              <w:rPr>
                <w:rFonts w:hint="eastAsia"/>
                <w:b w:val="0"/>
                <w:bCs w:val="0"/>
                <w:color w:val="auto"/>
                <w:sz w:val="18"/>
                <w:szCs w:val="18"/>
              </w:rPr>
              <w:t>3.系统需提供3D实训软件数量不得低于5个。</w:t>
            </w:r>
          </w:p>
          <w:p w14:paraId="0FB4784B">
            <w:pPr>
              <w:pStyle w:val="4"/>
              <w:spacing w:line="240" w:lineRule="auto"/>
              <w:rPr>
                <w:b w:val="0"/>
                <w:bCs w:val="0"/>
                <w:color w:val="auto"/>
                <w:sz w:val="18"/>
                <w:szCs w:val="18"/>
              </w:rPr>
            </w:pPr>
            <w:r>
              <w:rPr>
                <w:rFonts w:hint="eastAsia"/>
                <w:b w:val="0"/>
                <w:bCs w:val="0"/>
                <w:color w:val="auto"/>
                <w:sz w:val="18"/>
                <w:szCs w:val="18"/>
              </w:rPr>
              <w:t>4.系统需支持不同格式的资源上传、下载，包括但不限于PPT、3D模型、图片、视频、全景图、全景视频等。</w:t>
            </w:r>
          </w:p>
          <w:p w14:paraId="7A7195AF">
            <w:pPr>
              <w:pStyle w:val="4"/>
              <w:spacing w:line="240" w:lineRule="auto"/>
              <w:rPr>
                <w:b w:val="0"/>
                <w:bCs w:val="0"/>
                <w:color w:val="auto"/>
                <w:sz w:val="18"/>
                <w:szCs w:val="18"/>
              </w:rPr>
            </w:pPr>
            <w:r>
              <w:rPr>
                <w:rFonts w:hint="eastAsia"/>
                <w:b w:val="0"/>
                <w:bCs w:val="0"/>
                <w:color w:val="auto"/>
                <w:sz w:val="18"/>
                <w:szCs w:val="18"/>
              </w:rPr>
              <w:t>5.★3D模型资源需支持Web页面直接预览，且满足在主流实训设备，如桌面VR一体机、VR交互学习平板等设备呈现VR立体效果，可实现眼镜追踪、触控笔操作、模型可拖拽/旋转/缩放。（</w:t>
            </w:r>
            <w:r>
              <w:rPr>
                <w:rFonts w:hint="eastAsia"/>
                <w:b/>
                <w:bCs/>
                <w:color w:val="auto"/>
                <w:sz w:val="18"/>
                <w:szCs w:val="18"/>
              </w:rPr>
              <w:t>为保障采购质量，此项需提供视频演示。</w:t>
            </w:r>
            <w:r>
              <w:rPr>
                <w:rFonts w:hint="eastAsia"/>
                <w:b w:val="0"/>
                <w:bCs w:val="0"/>
                <w:color w:val="auto"/>
                <w:sz w:val="18"/>
                <w:szCs w:val="18"/>
              </w:rPr>
              <w:t>）</w:t>
            </w:r>
          </w:p>
          <w:p w14:paraId="61D5A2C9">
            <w:pPr>
              <w:pStyle w:val="4"/>
              <w:spacing w:line="240" w:lineRule="auto"/>
              <w:rPr>
                <w:b w:val="0"/>
                <w:bCs w:val="0"/>
                <w:color w:val="auto"/>
                <w:sz w:val="18"/>
                <w:szCs w:val="18"/>
              </w:rPr>
            </w:pPr>
            <w:r>
              <w:rPr>
                <w:rFonts w:hint="eastAsia"/>
                <w:b w:val="0"/>
                <w:bCs w:val="0"/>
                <w:color w:val="auto"/>
                <w:sz w:val="18"/>
                <w:szCs w:val="18"/>
              </w:rPr>
              <w:t>6.支持对虚拟仿真实训平台资源进行管理，包括资源上传、资源审核、资源授权和资源共享等管理操作。</w:t>
            </w:r>
          </w:p>
          <w:p w14:paraId="1BD10F6C">
            <w:pPr>
              <w:pStyle w:val="4"/>
              <w:spacing w:line="240" w:lineRule="auto"/>
              <w:rPr>
                <w:b w:val="0"/>
                <w:bCs w:val="0"/>
                <w:color w:val="auto"/>
                <w:sz w:val="18"/>
                <w:szCs w:val="18"/>
              </w:rPr>
            </w:pPr>
            <w:r>
              <w:rPr>
                <w:rFonts w:hint="eastAsia"/>
                <w:b w:val="0"/>
                <w:bCs w:val="0"/>
                <w:color w:val="auto"/>
                <w:sz w:val="18"/>
                <w:szCs w:val="18"/>
              </w:rPr>
              <w:t>7.平台支持将学校已有的无版权纠纷和无设备绑定限制的资源通过链接或上传的形式集成到平台。</w:t>
            </w:r>
          </w:p>
          <w:p w14:paraId="3E289175">
            <w:pPr>
              <w:pStyle w:val="4"/>
              <w:spacing w:line="240" w:lineRule="auto"/>
              <w:rPr>
                <w:b w:val="0"/>
                <w:bCs w:val="0"/>
                <w:color w:val="auto"/>
                <w:sz w:val="18"/>
                <w:szCs w:val="18"/>
              </w:rPr>
            </w:pPr>
            <w:r>
              <w:rPr>
                <w:rFonts w:hint="eastAsia"/>
                <w:b w:val="0"/>
                <w:bCs w:val="0"/>
                <w:color w:val="auto"/>
                <w:sz w:val="18"/>
                <w:szCs w:val="18"/>
              </w:rPr>
              <w:t>8.平台需支持区分系统提供的资源与院校上传的资源，并支持在展示资源列表时将院校上传的资源排在前列。</w:t>
            </w:r>
          </w:p>
          <w:p w14:paraId="6C8EE435">
            <w:pPr>
              <w:pStyle w:val="4"/>
              <w:spacing w:line="240" w:lineRule="auto"/>
              <w:rPr>
                <w:b w:val="0"/>
                <w:bCs w:val="0"/>
                <w:color w:val="auto"/>
                <w:sz w:val="18"/>
                <w:szCs w:val="18"/>
              </w:rPr>
            </w:pPr>
            <w:r>
              <w:rPr>
                <w:rFonts w:hint="eastAsia"/>
                <w:b w:val="0"/>
                <w:bCs w:val="0"/>
                <w:color w:val="auto"/>
                <w:sz w:val="18"/>
                <w:szCs w:val="18"/>
              </w:rPr>
              <w:t>9.系统支持对资源进行标签化管理，可自定义资源标签体系，并为资源打标签，对资源进行归类和组织，支持用户通过标签快速搜索和过滤资源。</w:t>
            </w:r>
          </w:p>
          <w:p w14:paraId="35401046">
            <w:pPr>
              <w:pStyle w:val="4"/>
              <w:spacing w:line="240" w:lineRule="auto"/>
              <w:rPr>
                <w:b w:val="0"/>
                <w:bCs w:val="0"/>
                <w:color w:val="auto"/>
                <w:sz w:val="18"/>
                <w:szCs w:val="18"/>
              </w:rPr>
            </w:pPr>
            <w:r>
              <w:rPr>
                <w:rFonts w:hint="eastAsia"/>
                <w:b w:val="0"/>
                <w:bCs w:val="0"/>
                <w:color w:val="auto"/>
                <w:sz w:val="18"/>
                <w:szCs w:val="18"/>
              </w:rPr>
              <w:t>（二）教学与实训资源</w:t>
            </w:r>
          </w:p>
          <w:p w14:paraId="318ADC82">
            <w:pPr>
              <w:pStyle w:val="4"/>
              <w:spacing w:line="240" w:lineRule="auto"/>
              <w:rPr>
                <w:b w:val="0"/>
                <w:bCs w:val="0"/>
                <w:color w:val="auto"/>
                <w:sz w:val="18"/>
                <w:szCs w:val="18"/>
              </w:rPr>
            </w:pPr>
            <w:r>
              <w:rPr>
                <w:rFonts w:hint="eastAsia"/>
                <w:b w:val="0"/>
                <w:bCs w:val="0"/>
                <w:color w:val="auto"/>
                <w:sz w:val="18"/>
                <w:szCs w:val="18"/>
              </w:rPr>
              <w:t>G、土木建筑大类-空间装饰创意VR实训系统</w:t>
            </w:r>
          </w:p>
          <w:p w14:paraId="53B0001E">
            <w:pPr>
              <w:pStyle w:val="4"/>
              <w:spacing w:line="240" w:lineRule="auto"/>
              <w:rPr>
                <w:b w:val="0"/>
                <w:bCs w:val="0"/>
                <w:color w:val="auto"/>
                <w:sz w:val="18"/>
                <w:szCs w:val="18"/>
              </w:rPr>
            </w:pPr>
            <w:r>
              <w:rPr>
                <w:rFonts w:hint="eastAsia"/>
                <w:b w:val="0"/>
                <w:bCs w:val="0"/>
                <w:color w:val="auto"/>
                <w:sz w:val="18"/>
                <w:szCs w:val="18"/>
              </w:rPr>
              <w:t>1. 软件采用先进的VR虚拟仿真技术，真实的再现家居设计的素材，包含家具、家饰、家电、动植物、硬装、厨卫等模型素材，包含中式、欧式、美式、地中海等多种风格的家具。可以实现素材的360°旋转、拖动、缩放等。</w:t>
            </w:r>
          </w:p>
          <w:p w14:paraId="3D34AB74">
            <w:pPr>
              <w:pStyle w:val="4"/>
              <w:spacing w:line="240" w:lineRule="auto"/>
              <w:rPr>
                <w:b w:val="0"/>
                <w:bCs w:val="0"/>
                <w:color w:val="auto"/>
                <w:sz w:val="18"/>
                <w:szCs w:val="18"/>
              </w:rPr>
            </w:pPr>
            <w:r>
              <w:rPr>
                <w:rFonts w:hint="eastAsia"/>
                <w:b w:val="0"/>
                <w:bCs w:val="0"/>
                <w:color w:val="auto"/>
                <w:sz w:val="18"/>
                <w:szCs w:val="18"/>
              </w:rPr>
              <w:t>2. 软件需包含3D资源、3D实训，我的课程等三个模块。</w:t>
            </w:r>
          </w:p>
          <w:p w14:paraId="7EB86D08">
            <w:pPr>
              <w:pStyle w:val="4"/>
              <w:spacing w:line="240" w:lineRule="auto"/>
              <w:rPr>
                <w:b w:val="0"/>
                <w:bCs w:val="0"/>
                <w:color w:val="auto"/>
                <w:sz w:val="18"/>
                <w:szCs w:val="18"/>
              </w:rPr>
            </w:pPr>
            <w:r>
              <w:rPr>
                <w:rFonts w:hint="eastAsia"/>
                <w:b w:val="0"/>
                <w:bCs w:val="0"/>
                <w:color w:val="auto"/>
                <w:sz w:val="18"/>
                <w:szCs w:val="18"/>
              </w:rPr>
              <w:t>3. 资源库浏览中需要能展示家居素材，缩放，360°浏览，细节展示。</w:t>
            </w:r>
          </w:p>
          <w:p w14:paraId="292EFB59">
            <w:pPr>
              <w:pStyle w:val="4"/>
              <w:spacing w:line="240" w:lineRule="auto"/>
              <w:rPr>
                <w:b w:val="0"/>
                <w:bCs w:val="0"/>
                <w:color w:val="auto"/>
                <w:sz w:val="18"/>
                <w:szCs w:val="18"/>
              </w:rPr>
            </w:pPr>
            <w:r>
              <w:rPr>
                <w:rFonts w:hint="eastAsia"/>
                <w:b w:val="0"/>
                <w:bCs w:val="0"/>
                <w:color w:val="auto"/>
                <w:sz w:val="18"/>
                <w:szCs w:val="18"/>
              </w:rPr>
              <w:t>4. 家居设计模块，需要可以自由设置家居素材，并在摆放时，根据空间，方向等因素，实时显示家居素材的摆放。</w:t>
            </w:r>
          </w:p>
          <w:p w14:paraId="0A32FA78">
            <w:pPr>
              <w:pStyle w:val="4"/>
              <w:spacing w:line="240" w:lineRule="auto"/>
              <w:rPr>
                <w:b w:val="0"/>
                <w:bCs w:val="0"/>
                <w:color w:val="auto"/>
                <w:sz w:val="18"/>
                <w:szCs w:val="18"/>
              </w:rPr>
            </w:pPr>
            <w:r>
              <w:rPr>
                <w:rFonts w:hint="eastAsia"/>
                <w:b w:val="0"/>
                <w:bCs w:val="0"/>
                <w:color w:val="auto"/>
                <w:sz w:val="18"/>
                <w:szCs w:val="18"/>
              </w:rPr>
              <w:t>5. 我的课程模块，需要用户可以将资源库中的家居素材导入，形成内容展示课件，并支持文字、模型演示，提供编辑、修改、保存等内容。</w:t>
            </w:r>
          </w:p>
          <w:p w14:paraId="3AA911E1">
            <w:pPr>
              <w:pStyle w:val="4"/>
              <w:spacing w:line="240" w:lineRule="auto"/>
              <w:rPr>
                <w:b w:val="0"/>
                <w:bCs w:val="0"/>
                <w:color w:val="auto"/>
                <w:sz w:val="18"/>
                <w:szCs w:val="18"/>
              </w:rPr>
            </w:pPr>
            <w:r>
              <w:rPr>
                <w:rFonts w:hint="eastAsia"/>
                <w:b w:val="0"/>
                <w:bCs w:val="0"/>
                <w:color w:val="auto"/>
                <w:sz w:val="18"/>
                <w:szCs w:val="18"/>
              </w:rPr>
              <w:t>H、装备制造大类-机电产品DIY智慧实训系统</w:t>
            </w:r>
          </w:p>
          <w:p w14:paraId="272D9207">
            <w:pPr>
              <w:pStyle w:val="4"/>
              <w:spacing w:line="240" w:lineRule="auto"/>
              <w:rPr>
                <w:b w:val="0"/>
                <w:bCs w:val="0"/>
                <w:color w:val="auto"/>
                <w:sz w:val="18"/>
                <w:szCs w:val="18"/>
              </w:rPr>
            </w:pPr>
            <w:r>
              <w:rPr>
                <w:rFonts w:hint="eastAsia"/>
                <w:b w:val="0"/>
                <w:bCs w:val="0"/>
                <w:color w:val="auto"/>
                <w:sz w:val="18"/>
                <w:szCs w:val="18"/>
              </w:rPr>
              <w:t>软件基于机电产品DIY设备展开仿真实训，利用虚拟现实技术将设备立体动态呈现出来，内容涵盖机械部件拆装、电气连接实训、多种DIY方案实训及我的课程。学生可通过仿真软件实现设备结构的多角度认知，了解机构运动原理和电气控制原理，完成不同方案下实验装置的控制实训，有效提升了学生的动手实践能力和思维创新能力，同时虚拟仿真实训软件的应用解决了学校实际教学中因设备缺乏、实验成本昂贵等原因导致实训无法开展的难题。</w:t>
            </w:r>
          </w:p>
          <w:p w14:paraId="0B6073C3">
            <w:pPr>
              <w:pStyle w:val="4"/>
              <w:spacing w:line="240" w:lineRule="auto"/>
              <w:rPr>
                <w:b w:val="0"/>
                <w:bCs w:val="0"/>
                <w:color w:val="auto"/>
                <w:sz w:val="18"/>
                <w:szCs w:val="18"/>
              </w:rPr>
            </w:pPr>
            <w:r>
              <w:rPr>
                <w:rFonts w:hint="eastAsia"/>
                <w:b w:val="0"/>
                <w:bCs w:val="0"/>
                <w:color w:val="auto"/>
                <w:sz w:val="18"/>
                <w:szCs w:val="18"/>
              </w:rPr>
              <w:t>1. 机械部件拆装模块，对机电DIY设备的结构原理进行认知，包含DIY教学系统整体认知，及各组成组件认知，包括架体组件、X轴运动组件、Y轴运动组件、Z轴运动组件、末端执行机构（夹爪式、吸盘式、夹笔式）、供料组件、接料组件、看板组件、触摸屏组件、控制盒组件、气源组件、视觉装配体、电磁阀组件、三层警示灯。其中DIY教学系统整体结构、X轴运动组件、Y轴运动组件、Z轴运动组件、末端执行机构、供料组件、接料组件，需以模型动画的形式展示工作原理。</w:t>
            </w:r>
          </w:p>
          <w:p w14:paraId="526B8BE6">
            <w:pPr>
              <w:pStyle w:val="4"/>
              <w:spacing w:line="240" w:lineRule="auto"/>
              <w:rPr>
                <w:b w:val="0"/>
                <w:bCs w:val="0"/>
                <w:color w:val="auto"/>
                <w:sz w:val="18"/>
                <w:szCs w:val="18"/>
              </w:rPr>
            </w:pPr>
            <w:r>
              <w:rPr>
                <w:rFonts w:hint="eastAsia"/>
                <w:b w:val="0"/>
                <w:bCs w:val="0"/>
                <w:color w:val="auto"/>
                <w:sz w:val="18"/>
                <w:szCs w:val="18"/>
              </w:rPr>
              <w:t>2. 电气连接实训模块，对机电DIY设备的电气系统进行认知，包含DIY教学系统整体认知，及供配电系统、PLC控制系统、视觉控制系统、伺服驱动控制（X轴、Y轴）、步进驱动系统、变频器系统、气动控制回路系统、输入系统。</w:t>
            </w:r>
          </w:p>
          <w:p w14:paraId="2E742657">
            <w:pPr>
              <w:pStyle w:val="4"/>
              <w:spacing w:line="240" w:lineRule="auto"/>
              <w:rPr>
                <w:b w:val="0"/>
                <w:bCs w:val="0"/>
                <w:color w:val="auto"/>
                <w:sz w:val="18"/>
                <w:szCs w:val="18"/>
              </w:rPr>
            </w:pPr>
            <w:r>
              <w:rPr>
                <w:rFonts w:hint="eastAsia"/>
                <w:b w:val="0"/>
                <w:bCs w:val="0"/>
                <w:color w:val="auto"/>
                <w:sz w:val="18"/>
                <w:szCs w:val="18"/>
              </w:rPr>
              <w:t>3. DIY应用案例，通过模拟实训的形式，设置9种实训装置案例，包括：一轴实训装置A、一轴实训装置B、一轴实训装置C、二轴实训装置A、二轴实训装置B、二轴实训装置C、三轴实训装置A、三轴实训装置B、三轴实训装置C。装置搭建完成后，可模拟运行。</w:t>
            </w:r>
          </w:p>
          <w:p w14:paraId="2F031AC0">
            <w:pPr>
              <w:pStyle w:val="4"/>
              <w:spacing w:line="240" w:lineRule="auto"/>
              <w:rPr>
                <w:b w:val="0"/>
                <w:bCs w:val="0"/>
                <w:color w:val="auto"/>
                <w:sz w:val="18"/>
                <w:szCs w:val="18"/>
              </w:rPr>
            </w:pPr>
            <w:r>
              <w:rPr>
                <w:rFonts w:hint="eastAsia"/>
                <w:b w:val="0"/>
                <w:bCs w:val="0"/>
                <w:color w:val="auto"/>
                <w:sz w:val="18"/>
                <w:szCs w:val="18"/>
              </w:rPr>
              <w:t>I、装备制造大类-机床夹具设计VR智慧课堂</w:t>
            </w:r>
          </w:p>
          <w:p w14:paraId="6331A87F">
            <w:pPr>
              <w:pStyle w:val="4"/>
              <w:spacing w:line="240" w:lineRule="auto"/>
              <w:rPr>
                <w:b w:val="0"/>
                <w:bCs w:val="0"/>
                <w:color w:val="auto"/>
                <w:sz w:val="18"/>
                <w:szCs w:val="18"/>
              </w:rPr>
            </w:pPr>
            <w:r>
              <w:rPr>
                <w:rFonts w:hint="eastAsia"/>
                <w:b w:val="0"/>
                <w:bCs w:val="0"/>
                <w:color w:val="auto"/>
                <w:sz w:val="18"/>
                <w:szCs w:val="18"/>
              </w:rPr>
              <w:t>软件利用虚拟现实技术将抽象的机床夹具三维立体呈现出来，系统设有组合夹具和专用夹具2种类型，学生可快速认知不同类型的夹具组成结构，并根据正确的步骤提示拆装夹具，反复练习，不用担心实际教学中的设备损耗问题，系统以三维动画直观的方式呈现定位和夹紧的过程，有效帮助学生理解定位和夹紧的精度问题。</w:t>
            </w:r>
          </w:p>
          <w:p w14:paraId="5DA69AC3">
            <w:pPr>
              <w:pStyle w:val="4"/>
              <w:spacing w:line="240" w:lineRule="auto"/>
              <w:rPr>
                <w:b w:val="0"/>
                <w:bCs w:val="0"/>
                <w:color w:val="auto"/>
                <w:sz w:val="18"/>
                <w:szCs w:val="18"/>
              </w:rPr>
            </w:pPr>
            <w:r>
              <w:rPr>
                <w:rFonts w:hint="eastAsia"/>
                <w:b w:val="0"/>
                <w:bCs w:val="0"/>
                <w:color w:val="auto"/>
                <w:sz w:val="18"/>
                <w:szCs w:val="18"/>
              </w:rPr>
              <w:t>1.系统需包括微型齿轮箱铣床组合夹具、连杆体车床组合夹具、专用铣槽夹具、转换阀体铣床组合夹具。系统在展示区中展示当前模型，可通过选择内容，认知各种夹具，包括：微型齿轮箱铣床组合夹具、连杆体车床组合夹具、专用铣槽夹具、转换阀体铣床组合夹具，并设有单元的文字介绍信息；可通过交互笔对模型位置进行移动旋转，支持单独拖拽：可单独拖拽模型，查看模型细节。支持整体拖拽：拖拽所有模型；（为保证软件质量及教学效果，此项需提供现场/视频演示）</w:t>
            </w:r>
          </w:p>
          <w:p w14:paraId="23883A3E">
            <w:pPr>
              <w:pStyle w:val="4"/>
              <w:spacing w:line="240" w:lineRule="auto"/>
              <w:rPr>
                <w:b w:val="0"/>
                <w:bCs w:val="0"/>
                <w:color w:val="auto"/>
                <w:sz w:val="18"/>
                <w:szCs w:val="18"/>
              </w:rPr>
            </w:pPr>
            <w:r>
              <w:rPr>
                <w:rFonts w:hint="eastAsia"/>
                <w:b w:val="0"/>
                <w:bCs w:val="0"/>
                <w:color w:val="auto"/>
                <w:sz w:val="18"/>
                <w:szCs w:val="18"/>
              </w:rPr>
              <w:t>2.进入3D实训模块，系统右侧列表设有零件列表，可展示所有的零件，装配体，可将零件直接拖入中间装配区，逐步完成整个夹具的装配；并有动画演示装配过程。</w:t>
            </w:r>
          </w:p>
          <w:p w14:paraId="2F7118C4">
            <w:pPr>
              <w:pStyle w:val="4"/>
              <w:spacing w:line="240" w:lineRule="auto"/>
              <w:rPr>
                <w:b w:val="0"/>
                <w:bCs w:val="0"/>
                <w:color w:val="auto"/>
                <w:sz w:val="18"/>
                <w:szCs w:val="18"/>
              </w:rPr>
            </w:pPr>
            <w:r>
              <w:rPr>
                <w:rFonts w:hint="eastAsia"/>
                <w:b w:val="0"/>
                <w:bCs w:val="0"/>
                <w:color w:val="auto"/>
                <w:sz w:val="18"/>
                <w:szCs w:val="18"/>
              </w:rPr>
              <w:t>3. 系统具备四种夹具，可专门针对不同的夹具，进行相关的训练，并且不同的夹具中，还会弹出不同的题目，针对当前夹具的情况，进行提问。需要学生针对当前夹具，进行计算，并回答问题。学生回答后，系统会自行判断学生的的回答正确与否。</w:t>
            </w:r>
          </w:p>
          <w:p w14:paraId="06630E95">
            <w:pPr>
              <w:pStyle w:val="4"/>
              <w:spacing w:line="240" w:lineRule="auto"/>
              <w:rPr>
                <w:b w:val="0"/>
                <w:bCs w:val="0"/>
                <w:color w:val="auto"/>
                <w:sz w:val="18"/>
                <w:szCs w:val="18"/>
              </w:rPr>
            </w:pPr>
            <w:r>
              <w:rPr>
                <w:rFonts w:hint="eastAsia"/>
                <w:b w:val="0"/>
                <w:bCs w:val="0"/>
                <w:color w:val="auto"/>
                <w:sz w:val="18"/>
                <w:szCs w:val="18"/>
              </w:rPr>
              <w:t>4. 系统设有功能标签，对各设备单元的工作内容进行说明；</w:t>
            </w:r>
          </w:p>
          <w:p w14:paraId="52127AB1">
            <w:pPr>
              <w:pStyle w:val="4"/>
              <w:spacing w:line="240" w:lineRule="auto"/>
              <w:rPr>
                <w:b w:val="0"/>
                <w:bCs w:val="0"/>
                <w:color w:val="auto"/>
                <w:sz w:val="18"/>
                <w:szCs w:val="18"/>
              </w:rPr>
            </w:pPr>
            <w:r>
              <w:rPr>
                <w:rFonts w:hint="eastAsia"/>
                <w:b w:val="0"/>
                <w:bCs w:val="0"/>
                <w:color w:val="auto"/>
                <w:sz w:val="18"/>
                <w:szCs w:val="18"/>
              </w:rPr>
              <w:t>5.我的课程模块，支持演示及制作课件。</w:t>
            </w:r>
          </w:p>
          <w:p w14:paraId="16F7959E">
            <w:pPr>
              <w:pStyle w:val="4"/>
              <w:spacing w:line="240" w:lineRule="auto"/>
              <w:rPr>
                <w:b w:val="0"/>
                <w:bCs w:val="0"/>
                <w:color w:val="auto"/>
                <w:sz w:val="18"/>
                <w:szCs w:val="18"/>
              </w:rPr>
            </w:pPr>
            <w:r>
              <w:rPr>
                <w:rFonts w:hint="eastAsia"/>
                <w:b w:val="0"/>
                <w:bCs w:val="0"/>
                <w:color w:val="auto"/>
                <w:sz w:val="18"/>
                <w:szCs w:val="18"/>
              </w:rPr>
              <w:t>J、装备制造大类-汽车喷漆VR智慧课堂软件</w:t>
            </w:r>
          </w:p>
          <w:p w14:paraId="068B1D81">
            <w:pPr>
              <w:pStyle w:val="4"/>
              <w:spacing w:line="240" w:lineRule="auto"/>
              <w:rPr>
                <w:b w:val="0"/>
                <w:bCs w:val="0"/>
                <w:color w:val="auto"/>
                <w:sz w:val="18"/>
                <w:szCs w:val="18"/>
              </w:rPr>
            </w:pPr>
            <w:r>
              <w:rPr>
                <w:rFonts w:hint="eastAsia"/>
                <w:b w:val="0"/>
                <w:bCs w:val="0"/>
                <w:color w:val="auto"/>
                <w:sz w:val="18"/>
                <w:szCs w:val="18"/>
              </w:rPr>
              <w:t>软件以《汽车涂装技术》为理论架构依据，通过文字和VR模型、动画、特效结合，用于展示汽车喷漆过程中学生不易理解的结构及相关原理。</w:t>
            </w:r>
          </w:p>
          <w:p w14:paraId="2D11E796">
            <w:pPr>
              <w:pStyle w:val="4"/>
              <w:spacing w:line="240" w:lineRule="auto"/>
              <w:rPr>
                <w:b w:val="0"/>
                <w:bCs w:val="0"/>
                <w:color w:val="auto"/>
                <w:sz w:val="18"/>
                <w:szCs w:val="18"/>
              </w:rPr>
            </w:pPr>
            <w:r>
              <w:rPr>
                <w:rFonts w:hint="eastAsia"/>
                <w:b w:val="0"/>
                <w:bCs w:val="0"/>
                <w:color w:val="auto"/>
                <w:sz w:val="18"/>
                <w:szCs w:val="18"/>
              </w:rPr>
              <w:t>1.3D资源提供喷漆安全认知、底处理、底漆的涂装、腻子的涂装、中涂底漆涂装和面漆的涂装六个模块。</w:t>
            </w:r>
          </w:p>
          <w:p w14:paraId="613F0067">
            <w:pPr>
              <w:pStyle w:val="4"/>
              <w:spacing w:line="240" w:lineRule="auto"/>
              <w:rPr>
                <w:b w:val="0"/>
                <w:bCs w:val="0"/>
                <w:color w:val="auto"/>
                <w:sz w:val="18"/>
                <w:szCs w:val="18"/>
              </w:rPr>
            </w:pPr>
            <w:r>
              <w:rPr>
                <w:rFonts w:hint="eastAsia"/>
                <w:b w:val="0"/>
                <w:bCs w:val="0"/>
                <w:color w:val="auto"/>
                <w:sz w:val="18"/>
                <w:szCs w:val="18"/>
              </w:rPr>
              <w:t>2.喷漆安全认知提供涂装安全守则、警告标识认知、对人体的危害和安全防护的知识点展示。（1）警告标识认知提供避免皮肤接触、避免眼睛接触、避免呼吸系统接触、避免食用接触、注意防火的展示。</w:t>
            </w:r>
          </w:p>
          <w:p w14:paraId="184577BA">
            <w:pPr>
              <w:pStyle w:val="4"/>
              <w:spacing w:line="240" w:lineRule="auto"/>
              <w:rPr>
                <w:b w:val="0"/>
                <w:bCs w:val="0"/>
                <w:color w:val="auto"/>
                <w:sz w:val="18"/>
                <w:szCs w:val="18"/>
              </w:rPr>
            </w:pPr>
            <w:r>
              <w:rPr>
                <w:rFonts w:hint="eastAsia"/>
                <w:b w:val="0"/>
                <w:bCs w:val="0"/>
                <w:color w:val="auto"/>
                <w:sz w:val="18"/>
                <w:szCs w:val="18"/>
              </w:rPr>
              <w:t>（2）安全防护提供护目镜、防尘口罩、防护手套、耳塞、防护服、防护面罩的展示。</w:t>
            </w:r>
          </w:p>
          <w:p w14:paraId="6327C92B">
            <w:pPr>
              <w:pStyle w:val="4"/>
              <w:spacing w:line="240" w:lineRule="auto"/>
              <w:rPr>
                <w:b w:val="0"/>
                <w:bCs w:val="0"/>
                <w:color w:val="auto"/>
                <w:sz w:val="18"/>
                <w:szCs w:val="18"/>
              </w:rPr>
            </w:pPr>
            <w:r>
              <w:rPr>
                <w:rFonts w:hint="eastAsia"/>
                <w:b w:val="0"/>
                <w:bCs w:val="0"/>
                <w:color w:val="auto"/>
                <w:sz w:val="18"/>
                <w:szCs w:val="18"/>
              </w:rPr>
              <w:t>3.底处理提供整车清洗、车身损伤鉴定、除旧漆膜（打磨）的知识点展示。</w:t>
            </w:r>
          </w:p>
          <w:p w14:paraId="243DD65A">
            <w:pPr>
              <w:pStyle w:val="4"/>
              <w:spacing w:line="240" w:lineRule="auto"/>
              <w:rPr>
                <w:b w:val="0"/>
                <w:bCs w:val="0"/>
                <w:color w:val="auto"/>
                <w:sz w:val="18"/>
                <w:szCs w:val="18"/>
              </w:rPr>
            </w:pPr>
            <w:r>
              <w:rPr>
                <w:rFonts w:hint="eastAsia"/>
                <w:b w:val="0"/>
                <w:bCs w:val="0"/>
                <w:color w:val="auto"/>
                <w:sz w:val="18"/>
                <w:szCs w:val="18"/>
              </w:rPr>
              <w:t>（1）车身损伤鉴定提供目测评估、触摸评估、直尺评估的展示。</w:t>
            </w:r>
          </w:p>
          <w:p w14:paraId="65982128">
            <w:pPr>
              <w:pStyle w:val="4"/>
              <w:spacing w:line="240" w:lineRule="auto"/>
              <w:rPr>
                <w:b w:val="0"/>
                <w:bCs w:val="0"/>
                <w:color w:val="auto"/>
                <w:sz w:val="18"/>
                <w:szCs w:val="18"/>
              </w:rPr>
            </w:pPr>
            <w:r>
              <w:rPr>
                <w:rFonts w:hint="eastAsia"/>
                <w:b w:val="0"/>
                <w:bCs w:val="0"/>
                <w:color w:val="auto"/>
                <w:sz w:val="18"/>
                <w:szCs w:val="18"/>
              </w:rPr>
              <w:t>（2）除旧漆膜（打磨）提供使用工具简介、手工打磨、打磨机打磨的展示。</w:t>
            </w:r>
          </w:p>
          <w:p w14:paraId="222A8289">
            <w:pPr>
              <w:pStyle w:val="4"/>
              <w:spacing w:line="240" w:lineRule="auto"/>
              <w:rPr>
                <w:b w:val="0"/>
                <w:bCs w:val="0"/>
                <w:color w:val="auto"/>
                <w:sz w:val="18"/>
                <w:szCs w:val="18"/>
              </w:rPr>
            </w:pPr>
            <w:r>
              <w:rPr>
                <w:rFonts w:hint="eastAsia"/>
                <w:b w:val="0"/>
                <w:bCs w:val="0"/>
                <w:color w:val="auto"/>
                <w:sz w:val="18"/>
                <w:szCs w:val="18"/>
              </w:rPr>
              <w:t>4.底漆的涂装提供车身准备、喷涂底漆、底漆的干燥、打磨底漆的知识点展示。</w:t>
            </w:r>
          </w:p>
          <w:p w14:paraId="5118D6EA">
            <w:pPr>
              <w:pStyle w:val="4"/>
              <w:spacing w:line="240" w:lineRule="auto"/>
              <w:rPr>
                <w:b w:val="0"/>
                <w:bCs w:val="0"/>
                <w:color w:val="auto"/>
                <w:sz w:val="18"/>
                <w:szCs w:val="18"/>
              </w:rPr>
            </w:pPr>
            <w:r>
              <w:rPr>
                <w:rFonts w:hint="eastAsia"/>
                <w:b w:val="0"/>
                <w:bCs w:val="0"/>
                <w:color w:val="auto"/>
                <w:sz w:val="18"/>
                <w:szCs w:val="18"/>
              </w:rPr>
              <w:t>（1）车身准备提供遮盖车身、除尘与除油的展示。</w:t>
            </w:r>
          </w:p>
          <w:p w14:paraId="38F66113">
            <w:pPr>
              <w:pStyle w:val="4"/>
              <w:spacing w:line="240" w:lineRule="auto"/>
              <w:rPr>
                <w:b w:val="0"/>
                <w:bCs w:val="0"/>
                <w:color w:val="auto"/>
                <w:sz w:val="18"/>
                <w:szCs w:val="18"/>
              </w:rPr>
            </w:pPr>
            <w:r>
              <w:rPr>
                <w:rFonts w:hint="eastAsia"/>
                <w:b w:val="0"/>
                <w:bCs w:val="0"/>
                <w:color w:val="auto"/>
                <w:sz w:val="18"/>
                <w:szCs w:val="18"/>
              </w:rPr>
              <w:t>（2）底漆的干燥提供红外线干燥、常温干燥、烤漆房干燥的展示。</w:t>
            </w:r>
          </w:p>
          <w:p w14:paraId="5CDE4E52">
            <w:pPr>
              <w:pStyle w:val="4"/>
              <w:spacing w:line="240" w:lineRule="auto"/>
              <w:rPr>
                <w:b w:val="0"/>
                <w:bCs w:val="0"/>
                <w:color w:val="auto"/>
                <w:sz w:val="18"/>
                <w:szCs w:val="18"/>
              </w:rPr>
            </w:pPr>
            <w:r>
              <w:rPr>
                <w:rFonts w:hint="eastAsia"/>
                <w:b w:val="0"/>
                <w:bCs w:val="0"/>
                <w:color w:val="auto"/>
                <w:sz w:val="18"/>
                <w:szCs w:val="18"/>
              </w:rPr>
              <w:t>5.腻子的涂装提供相关知识学习、腻子的施涂、腻子的干燥、腻子的打磨与修正的知识点展示。</w:t>
            </w:r>
          </w:p>
          <w:p w14:paraId="49F39782">
            <w:pPr>
              <w:pStyle w:val="4"/>
              <w:spacing w:line="240" w:lineRule="auto"/>
              <w:rPr>
                <w:b w:val="0"/>
                <w:bCs w:val="0"/>
                <w:color w:val="auto"/>
                <w:sz w:val="18"/>
                <w:szCs w:val="18"/>
              </w:rPr>
            </w:pPr>
            <w:r>
              <w:rPr>
                <w:rFonts w:hint="eastAsia"/>
                <w:b w:val="0"/>
                <w:bCs w:val="0"/>
                <w:color w:val="auto"/>
                <w:sz w:val="18"/>
                <w:szCs w:val="18"/>
              </w:rPr>
              <w:t>（1）相关知识学习提供腻子的组成、腻子的种类进行展示。</w:t>
            </w:r>
          </w:p>
          <w:p w14:paraId="04D0280E">
            <w:pPr>
              <w:pStyle w:val="4"/>
              <w:spacing w:line="240" w:lineRule="auto"/>
              <w:rPr>
                <w:b w:val="0"/>
                <w:bCs w:val="0"/>
                <w:color w:val="auto"/>
                <w:sz w:val="18"/>
                <w:szCs w:val="18"/>
              </w:rPr>
            </w:pPr>
            <w:r>
              <w:rPr>
                <w:rFonts w:hint="eastAsia"/>
                <w:b w:val="0"/>
                <w:bCs w:val="0"/>
                <w:color w:val="auto"/>
                <w:sz w:val="18"/>
                <w:szCs w:val="18"/>
              </w:rPr>
              <w:t>（2）腻子的施涂提供腻子的准备、刮腻子（刮涂方法、注意事项）的展示。（为保证软件质量及教学效果，此项需提供现场/视频演示）</w:t>
            </w:r>
          </w:p>
          <w:p w14:paraId="5211851F">
            <w:pPr>
              <w:pStyle w:val="4"/>
              <w:spacing w:line="240" w:lineRule="auto"/>
              <w:rPr>
                <w:b w:val="0"/>
                <w:bCs w:val="0"/>
                <w:color w:val="auto"/>
                <w:sz w:val="18"/>
                <w:szCs w:val="18"/>
              </w:rPr>
            </w:pPr>
            <w:r>
              <w:rPr>
                <w:rFonts w:hint="eastAsia"/>
                <w:b w:val="0"/>
                <w:bCs w:val="0"/>
                <w:color w:val="auto"/>
                <w:sz w:val="18"/>
                <w:szCs w:val="18"/>
              </w:rPr>
              <w:t>（3）腻子的打磨与修正提供手工干打磨腻子、打磨机打磨腻子的展示。（为保证软件质量及教学效果，此项需提供现场/视频演示）</w:t>
            </w:r>
          </w:p>
          <w:p w14:paraId="48E7ACBD">
            <w:pPr>
              <w:pStyle w:val="4"/>
              <w:spacing w:line="240" w:lineRule="auto"/>
              <w:rPr>
                <w:b w:val="0"/>
                <w:bCs w:val="0"/>
                <w:color w:val="auto"/>
                <w:sz w:val="18"/>
                <w:szCs w:val="18"/>
              </w:rPr>
            </w:pPr>
            <w:r>
              <w:rPr>
                <w:rFonts w:hint="eastAsia"/>
                <w:b w:val="0"/>
                <w:bCs w:val="0"/>
                <w:color w:val="auto"/>
                <w:sz w:val="18"/>
                <w:szCs w:val="18"/>
              </w:rPr>
              <w:t>K、交通运输大类-城市轨道交通博物馆VR科普教育软件</w:t>
            </w:r>
          </w:p>
          <w:p w14:paraId="0302892D">
            <w:pPr>
              <w:pStyle w:val="4"/>
              <w:spacing w:line="240" w:lineRule="auto"/>
              <w:rPr>
                <w:b w:val="0"/>
                <w:bCs w:val="0"/>
                <w:color w:val="auto"/>
                <w:sz w:val="18"/>
                <w:szCs w:val="18"/>
              </w:rPr>
            </w:pPr>
            <w:r>
              <w:rPr>
                <w:rFonts w:hint="eastAsia"/>
                <w:b w:val="0"/>
                <w:bCs w:val="0"/>
                <w:color w:val="auto"/>
                <w:sz w:val="18"/>
                <w:szCs w:val="18"/>
              </w:rPr>
              <w:t>1、软件需将先进的VR技术与教学内容相结合，以教材知识点和实践经验为核心，适用于城轨相关专业进行课堂教学。产品需采用主流虚拟引擎制作工具（Unity3D 2019版本及以上），确保技术先进。为了保证教学的可操作性，软件需支持学生对城轨车站机电设备、列车部件的部分模型，进行展开、拖拽、放大、缩小、旋转等交互操作。同时需支持学生在虚拟博物馆内不同点位进行快速跳转的地图功能。为保证教学扩展性，软件需支持运行于桌面式虚拟现实设备、普通PC设备上。</w:t>
            </w:r>
          </w:p>
          <w:p w14:paraId="658B9AA1">
            <w:pPr>
              <w:pStyle w:val="4"/>
              <w:spacing w:line="240" w:lineRule="auto"/>
              <w:rPr>
                <w:b w:val="0"/>
                <w:bCs w:val="0"/>
                <w:color w:val="auto"/>
                <w:sz w:val="18"/>
                <w:szCs w:val="18"/>
              </w:rPr>
            </w:pPr>
            <w:r>
              <w:rPr>
                <w:rFonts w:hint="eastAsia"/>
                <w:b w:val="0"/>
                <w:bCs w:val="0"/>
                <w:color w:val="auto"/>
                <w:sz w:val="18"/>
                <w:szCs w:val="18"/>
              </w:rPr>
              <w:t>2、内容组成要求</w:t>
            </w:r>
          </w:p>
          <w:p w14:paraId="42192A60">
            <w:pPr>
              <w:pStyle w:val="4"/>
              <w:spacing w:line="240" w:lineRule="auto"/>
              <w:rPr>
                <w:b w:val="0"/>
                <w:bCs w:val="0"/>
                <w:color w:val="auto"/>
                <w:sz w:val="18"/>
                <w:szCs w:val="18"/>
              </w:rPr>
            </w:pPr>
            <w:r>
              <w:rPr>
                <w:rFonts w:hint="eastAsia"/>
                <w:b w:val="0"/>
                <w:bCs w:val="0"/>
                <w:color w:val="auto"/>
                <w:sz w:val="18"/>
                <w:szCs w:val="18"/>
              </w:rPr>
              <w:t>软件需包含城轨发展史和城轨博物馆两大部分，具体要求如下：</w:t>
            </w:r>
          </w:p>
          <w:p w14:paraId="3218B3B8">
            <w:pPr>
              <w:pStyle w:val="4"/>
              <w:keepNext/>
              <w:keepLines/>
              <w:pageBreakBefore w:val="0"/>
              <w:widowControl w:val="0"/>
              <w:kinsoku/>
              <w:wordWrap/>
              <w:overflowPunct/>
              <w:topLinePunct w:val="0"/>
              <w:autoSpaceDE/>
              <w:autoSpaceDN/>
              <w:bidi w:val="0"/>
              <w:adjustRightInd/>
              <w:snapToGrid/>
              <w:spacing w:line="240" w:lineRule="auto"/>
              <w:textAlignment w:val="auto"/>
              <w:rPr>
                <w:b w:val="0"/>
                <w:bCs w:val="0"/>
                <w:color w:val="auto"/>
                <w:sz w:val="18"/>
                <w:szCs w:val="18"/>
              </w:rPr>
            </w:pPr>
            <w:r>
              <w:rPr>
                <w:rFonts w:hint="eastAsia"/>
                <w:b w:val="0"/>
                <w:bCs w:val="0"/>
                <w:color w:val="auto"/>
                <w:sz w:val="18"/>
                <w:szCs w:val="18"/>
              </w:rPr>
              <w:t>（1）城轨发展历史：表现形式新颖，需图文结合，内容包含但不限于：（1）初生发展阶段（1863年-1924年），包括但不限于《历史背景总述》、《有轨马车》、《世界上第一条蒸汽机车轨道》、《世界上第一条地铁》、《世界上第一辆有轨电车》、《世界上第一条单轨铁路》、《中国有轨电车发展》、《世界上第一台蒸汽机》、《其他国家地铁发展》；（2）停滞萎靡阶段（1924年-1949年），包括但不限于《历史背景总述》、《莫斯科地铁》、《亚洲第一条地铁线》、《电磁悬浮概念提出》、《内燃机车的出现》；（3）再发展阶段（1949年-1969年），包括但不限于《历史背景总述》、《中国第一条地铁》、《蒙特利尔地铁》、《罗马地铁》、《中国内燃机车的制造》、《磁悬浮列车的研究》；（4）高速发展阶段（1969年-至今），包括但不限于《历史背景总述》、《华盛顿地铁》、《中国地铁历史》、《中国地铁的50年历程》、《中国磁悬浮列车的发展》、《中国城轨之最》、《城轨线路分类》、《城轨交通车站》、《城轨交通供电》；</w:t>
            </w:r>
          </w:p>
          <w:p w14:paraId="794312F2">
            <w:pPr>
              <w:pStyle w:val="4"/>
              <w:spacing w:line="240" w:lineRule="auto"/>
              <w:rPr>
                <w:b w:val="0"/>
                <w:bCs w:val="0"/>
                <w:color w:val="auto"/>
                <w:sz w:val="18"/>
                <w:szCs w:val="18"/>
              </w:rPr>
            </w:pPr>
            <w:r>
              <w:rPr>
                <w:rFonts w:hint="eastAsia"/>
                <w:b w:val="0"/>
                <w:bCs w:val="0"/>
                <w:color w:val="auto"/>
                <w:sz w:val="18"/>
                <w:szCs w:val="18"/>
              </w:rPr>
              <w:t>（2）城轨博物馆，需还原车站地上层入口、售票区、安检区、检票区、客服中心、环控室-环控操作台、环控室-消防报警控制器、垂直升降电梯、轨道上、屏蔽门、司机室等区域，各区域间可通过小地图进行快速跳转切换。</w:t>
            </w:r>
          </w:p>
          <w:p w14:paraId="1C14C3EB">
            <w:pPr>
              <w:pStyle w:val="4"/>
              <w:spacing w:line="240" w:lineRule="auto"/>
              <w:rPr>
                <w:b w:val="0"/>
                <w:bCs w:val="0"/>
                <w:color w:val="auto"/>
                <w:sz w:val="18"/>
                <w:szCs w:val="18"/>
              </w:rPr>
            </w:pPr>
            <w:r>
              <w:rPr>
                <w:rFonts w:hint="eastAsia"/>
                <w:b w:val="0"/>
                <w:bCs w:val="0"/>
                <w:color w:val="auto"/>
                <w:sz w:val="18"/>
                <w:szCs w:val="18"/>
              </w:rPr>
              <w:t>（3）城轨博物馆：（1）需提供的设备模型包括但不限于：电扶梯、自动售票机、安检区、检票机、垂直升降电梯、IPB盘、消防报警控制器、FAS控制柜、气灭主机、感温探测器、感烟探测器、感温电缆、消防警铃、消防电话、屏蔽门、列车、车体、车门系统、贯通道、半自动车钩、半永久车钩、全自动车钩、辅助电源系统代表性模型、转向架、空调、牵引系统代表性模型、受电弓、网络系统代表性模型、烟火报警系统代表性模型、制动系统代表性模型、低压系统代表性模型、司机室；（2）针对以下设备模型提供拓展知识讲解，包括但不限于：电扶梯、检票机、垂直升降电梯、消防报警系统、屏蔽门、车体、车门系统、半永久车钩、转向架、受电弓。（3）针对以下设备模型需提供展开分解功能，包括但不限于：自动售票机、检票机、半自动车钩、半永久车钩、全自动车钩、辅助电源系统、转向架、受电弓、制动系统。</w:t>
            </w:r>
          </w:p>
          <w:p w14:paraId="52222C82">
            <w:pPr>
              <w:pStyle w:val="4"/>
              <w:spacing w:line="240" w:lineRule="auto"/>
              <w:rPr>
                <w:b w:val="0"/>
                <w:bCs w:val="0"/>
                <w:color w:val="auto"/>
                <w:sz w:val="18"/>
                <w:szCs w:val="18"/>
              </w:rPr>
            </w:pPr>
            <w:r>
              <w:rPr>
                <w:rFonts w:hint="eastAsia"/>
                <w:b w:val="0"/>
                <w:bCs w:val="0"/>
                <w:color w:val="auto"/>
                <w:sz w:val="18"/>
                <w:szCs w:val="18"/>
              </w:rPr>
              <w:t>L、交通运输大类-城市轨道交通电客车车门VR教学系统</w:t>
            </w:r>
          </w:p>
          <w:p w14:paraId="45214190">
            <w:pPr>
              <w:pStyle w:val="4"/>
              <w:spacing w:line="240" w:lineRule="auto"/>
              <w:rPr>
                <w:b w:val="0"/>
                <w:bCs w:val="0"/>
                <w:color w:val="auto"/>
                <w:sz w:val="18"/>
                <w:szCs w:val="18"/>
              </w:rPr>
            </w:pPr>
            <w:r>
              <w:rPr>
                <w:rFonts w:hint="eastAsia"/>
                <w:b w:val="0"/>
                <w:bCs w:val="0"/>
                <w:color w:val="auto"/>
                <w:sz w:val="18"/>
                <w:szCs w:val="18"/>
              </w:rPr>
              <w:t>城市轨道交通电客车车门VR教学系统是用于辅助轨道交通课程教学的实训教学产品。该产品主要包含的模块内容是基于地铁普遍采用的塞拉门为原型，按照真实的机械结构和电气系统进行建模，使得电客车车门及相关的结构清晰的展示在学生面前，补充教学过程中资源的不足，方便老师做详细的展示。</w:t>
            </w:r>
          </w:p>
          <w:p w14:paraId="51A392EF">
            <w:pPr>
              <w:pStyle w:val="4"/>
              <w:spacing w:line="240" w:lineRule="auto"/>
              <w:rPr>
                <w:b w:val="0"/>
                <w:bCs w:val="0"/>
                <w:color w:val="auto"/>
                <w:sz w:val="18"/>
                <w:szCs w:val="18"/>
              </w:rPr>
            </w:pPr>
            <w:r>
              <w:rPr>
                <w:rFonts w:hint="eastAsia"/>
                <w:b w:val="0"/>
                <w:bCs w:val="0"/>
                <w:color w:val="auto"/>
                <w:sz w:val="18"/>
                <w:szCs w:val="18"/>
              </w:rPr>
              <w:t>1、软件需包含以下四个模块内容：组成结构、装配拆卸、EDCU控制、故障案例。</w:t>
            </w:r>
          </w:p>
          <w:p w14:paraId="03A26197">
            <w:pPr>
              <w:pStyle w:val="4"/>
              <w:spacing w:line="240" w:lineRule="auto"/>
              <w:rPr>
                <w:b w:val="0"/>
                <w:bCs w:val="0"/>
                <w:color w:val="auto"/>
                <w:sz w:val="18"/>
                <w:szCs w:val="18"/>
              </w:rPr>
            </w:pPr>
            <w:r>
              <w:rPr>
                <w:rFonts w:hint="eastAsia"/>
                <w:b w:val="0"/>
                <w:bCs w:val="0"/>
                <w:color w:val="auto"/>
                <w:sz w:val="18"/>
                <w:szCs w:val="18"/>
              </w:rPr>
              <w:t>2、组成结构需包含接口部件、承载驱动机构、门扇、解锁装置、EDCU。模型支持360°旋转、缩放，通过爆炸功能和隐藏功能相结合的模式辅助学习。其中承载驱动机构：包含右门关到位开关、全程锁闭装置、丝杆、电机组件、中挂架、边挂架、携门架滑筒组件、短导柱、长导柱、传动架、携门架架体、下摆臂组件、平衡轮组件、拖链大支架。</w:t>
            </w:r>
          </w:p>
          <w:p w14:paraId="4C0FE95D">
            <w:pPr>
              <w:pStyle w:val="4"/>
              <w:spacing w:line="240" w:lineRule="auto"/>
              <w:rPr>
                <w:b w:val="0"/>
                <w:bCs w:val="0"/>
                <w:color w:val="auto"/>
                <w:sz w:val="18"/>
                <w:szCs w:val="18"/>
              </w:rPr>
            </w:pPr>
            <w:r>
              <w:rPr>
                <w:rFonts w:hint="eastAsia"/>
                <w:b w:val="0"/>
                <w:bCs w:val="0"/>
                <w:color w:val="auto"/>
                <w:sz w:val="18"/>
                <w:szCs w:val="18"/>
              </w:rPr>
              <w:t>3、装配拆卸需包含安装、拆卸，且实训过程中支持位置提示功能和文字提示操作步骤。</w:t>
            </w:r>
          </w:p>
          <w:p w14:paraId="7C9C9751">
            <w:pPr>
              <w:pStyle w:val="4"/>
              <w:spacing w:line="240" w:lineRule="auto"/>
              <w:rPr>
                <w:b w:val="0"/>
                <w:bCs w:val="0"/>
                <w:color w:val="auto"/>
                <w:sz w:val="18"/>
                <w:szCs w:val="18"/>
              </w:rPr>
            </w:pPr>
            <w:r>
              <w:rPr>
                <w:rFonts w:hint="eastAsia"/>
                <w:b w:val="0"/>
                <w:bCs w:val="0"/>
                <w:color w:val="auto"/>
                <w:sz w:val="18"/>
                <w:szCs w:val="18"/>
              </w:rPr>
              <w:t>★（1）安装：包括安装电车门的实训（安装上压条、安装左右测压条和左右密封条、安装定位机架、安装右门关到位开关、安装全程锁闭装置、安装丝杆和右门支撑、安装电机组件、安装中、边挂架导柱及携门架滑筒组件、安装左右传动架和连接轴线、安装左右携门架架体、安装左右下摆臂组件、安装左右门板（门板带下滑道，不带下挡销）、安装左右门板下挡销、安装左右平衡轮组件、安装隔离开关组件、安装左右拖链大支架、安装拖链和等电位线、安装左右内饰封板、安装内部紧急解锁装置、安装外部紧急解锁装置、连接EDCU）。</w:t>
            </w:r>
            <w:r>
              <w:rPr>
                <w:rFonts w:hint="eastAsia"/>
                <w:b/>
                <w:bCs/>
                <w:color w:val="auto"/>
                <w:sz w:val="18"/>
                <w:szCs w:val="18"/>
              </w:rPr>
              <w:t>（为保证软件质量及教学效果，此项需提供现场/视频演示）</w:t>
            </w:r>
          </w:p>
          <w:p w14:paraId="3F39F4DB">
            <w:pPr>
              <w:pStyle w:val="4"/>
              <w:spacing w:line="240" w:lineRule="auto"/>
              <w:rPr>
                <w:b w:val="0"/>
                <w:bCs w:val="0"/>
                <w:color w:val="auto"/>
                <w:sz w:val="18"/>
                <w:szCs w:val="18"/>
              </w:rPr>
            </w:pPr>
            <w:r>
              <w:rPr>
                <w:rFonts w:hint="eastAsia"/>
                <w:b w:val="0"/>
                <w:bCs w:val="0"/>
                <w:color w:val="auto"/>
                <w:sz w:val="18"/>
                <w:szCs w:val="18"/>
              </w:rPr>
              <w:t>★（2）拆卸：包括拆卸电车门的实训（拆卸EDCU、拆卸外部紧急解锁装置、拆卸内部紧急解锁装置、拆卸左右内饰封板、拆卸拖链和等电位线、拆卸拖链大支架、拆卸隔离开关组件、拆卸平衡轮组件、拆卸门板下挡销、拆卸门板、拆卸下摆臂组件、拆卸携门架架体、拆卸传动架和连接轴线、拆卸挂架导柱及携门架滑筒组件、拆卸电机组件、拆卸丝杆右门支撑、拆卸全程锁闭装置、拆卸右门关到位开关、拆卸定位机架、拆卸侧压条和密封条、拆卸上压条）。</w:t>
            </w:r>
            <w:r>
              <w:rPr>
                <w:rFonts w:hint="eastAsia"/>
                <w:b/>
                <w:bCs/>
                <w:color w:val="auto"/>
                <w:sz w:val="18"/>
                <w:szCs w:val="18"/>
              </w:rPr>
              <w:t>（为保证软件质量及教学效果，此项需提供现场/视频演示）</w:t>
            </w:r>
          </w:p>
          <w:p w14:paraId="3AF92344">
            <w:pPr>
              <w:pStyle w:val="4"/>
              <w:spacing w:line="240" w:lineRule="auto"/>
              <w:rPr>
                <w:b w:val="0"/>
                <w:bCs w:val="0"/>
                <w:color w:val="auto"/>
                <w:sz w:val="18"/>
                <w:szCs w:val="18"/>
              </w:rPr>
            </w:pPr>
            <w:r>
              <w:rPr>
                <w:rFonts w:hint="eastAsia"/>
                <w:b w:val="0"/>
                <w:bCs w:val="0"/>
                <w:color w:val="auto"/>
                <w:sz w:val="18"/>
                <w:szCs w:val="18"/>
              </w:rPr>
              <w:t>3、EDCU控制：该模块需内含EDCU控制模块，模拟实际情况下的车门电子控制单元界面，通过在合理范围内调节参数可实现对车门的控制。</w:t>
            </w:r>
          </w:p>
          <w:p w14:paraId="26D4E368">
            <w:pPr>
              <w:pStyle w:val="4"/>
              <w:spacing w:line="240" w:lineRule="auto"/>
              <w:rPr>
                <w:b w:val="0"/>
                <w:bCs w:val="0"/>
                <w:color w:val="auto"/>
                <w:sz w:val="18"/>
                <w:szCs w:val="18"/>
              </w:rPr>
            </w:pPr>
            <w:r>
              <w:rPr>
                <w:rFonts w:hint="eastAsia"/>
                <w:b w:val="0"/>
                <w:bCs w:val="0"/>
                <w:color w:val="auto"/>
                <w:sz w:val="18"/>
                <w:szCs w:val="18"/>
              </w:rPr>
              <w:t>4、故障案例模块需包含至少10种常见故障：门驱动电机电路断路、全程锁闭开关故障、右门关到位开关故障、门3秒内没有解锁、门位置传感器故障、在固定次数的失败关门过程后，关门过程的障碍检测触发，开门过程障碍检测触发达到6次、EDCU内部安全继电器故障、门未经许可离开了关到位且锁到位位置、全程锁闭装置故障。该模块每种故障都有相对应的故障表现描述及当前故障的解决方案描述。</w:t>
            </w:r>
          </w:p>
          <w:p w14:paraId="4DBA1AC7">
            <w:pPr>
              <w:pStyle w:val="4"/>
              <w:spacing w:line="240" w:lineRule="auto"/>
              <w:rPr>
                <w:b w:val="0"/>
                <w:bCs w:val="0"/>
                <w:color w:val="auto"/>
                <w:sz w:val="18"/>
                <w:szCs w:val="18"/>
              </w:rPr>
            </w:pPr>
            <w:r>
              <w:rPr>
                <w:rFonts w:hint="eastAsia"/>
                <w:b w:val="0"/>
                <w:bCs w:val="0"/>
                <w:color w:val="auto"/>
                <w:sz w:val="18"/>
                <w:szCs w:val="18"/>
              </w:rPr>
              <w:t>T、红色思政大类-思想道德修养与法律基础VR教学软件</w:t>
            </w:r>
          </w:p>
          <w:p w14:paraId="2C79252D">
            <w:pPr>
              <w:pStyle w:val="4"/>
              <w:spacing w:line="240" w:lineRule="auto"/>
              <w:rPr>
                <w:b w:val="0"/>
                <w:bCs w:val="0"/>
                <w:color w:val="auto"/>
                <w:sz w:val="18"/>
                <w:szCs w:val="18"/>
              </w:rPr>
            </w:pPr>
            <w:r>
              <w:rPr>
                <w:rFonts w:hint="eastAsia"/>
                <w:b w:val="0"/>
                <w:bCs w:val="0"/>
                <w:color w:val="auto"/>
                <w:sz w:val="18"/>
                <w:szCs w:val="18"/>
              </w:rPr>
              <w:t>1.总体要求</w:t>
            </w:r>
          </w:p>
          <w:p w14:paraId="5A7821D5">
            <w:pPr>
              <w:pStyle w:val="4"/>
              <w:spacing w:line="240" w:lineRule="auto"/>
              <w:rPr>
                <w:b w:val="0"/>
                <w:bCs w:val="0"/>
                <w:color w:val="auto"/>
                <w:sz w:val="18"/>
                <w:szCs w:val="18"/>
              </w:rPr>
            </w:pPr>
            <w:r>
              <w:rPr>
                <w:rFonts w:hint="eastAsia"/>
                <w:b w:val="0"/>
                <w:bCs w:val="0"/>
                <w:color w:val="auto"/>
                <w:sz w:val="18"/>
                <w:szCs w:val="18"/>
              </w:rPr>
              <w:t>（1）软件需运用先进的AR技术与思想政治教育相结合，以教材知识点为核心，集“场景复原、角色扮演、虚拟展馆、虚拟教室”等表现手法于一体，可用于大学思政课堂教学，能够满足创新“大思政”教学需要。</w:t>
            </w:r>
          </w:p>
          <w:p w14:paraId="0420377E">
            <w:pPr>
              <w:pStyle w:val="4"/>
              <w:spacing w:line="240" w:lineRule="auto"/>
              <w:rPr>
                <w:b w:val="0"/>
                <w:bCs w:val="0"/>
                <w:color w:val="auto"/>
                <w:sz w:val="18"/>
                <w:szCs w:val="18"/>
              </w:rPr>
            </w:pPr>
            <w:r>
              <w:rPr>
                <w:rFonts w:hint="eastAsia"/>
                <w:b w:val="0"/>
                <w:bCs w:val="0"/>
                <w:color w:val="auto"/>
                <w:sz w:val="18"/>
                <w:szCs w:val="18"/>
              </w:rPr>
              <w:t>2、产品采用主流虚拟引擎工具Unity3D制作，确保技术先进。</w:t>
            </w:r>
          </w:p>
          <w:p w14:paraId="3414C40C">
            <w:pPr>
              <w:pStyle w:val="4"/>
              <w:spacing w:line="240" w:lineRule="auto"/>
              <w:rPr>
                <w:b w:val="0"/>
                <w:bCs w:val="0"/>
                <w:color w:val="auto"/>
                <w:sz w:val="18"/>
                <w:szCs w:val="18"/>
              </w:rPr>
            </w:pPr>
            <w:r>
              <w:rPr>
                <w:rFonts w:hint="eastAsia"/>
                <w:b w:val="0"/>
                <w:bCs w:val="0"/>
                <w:color w:val="auto"/>
                <w:sz w:val="18"/>
                <w:szCs w:val="18"/>
              </w:rPr>
              <w:t>（1）产品采用主流虚拟引擎制作工具（如Unity3D 2019版本及以上等），确保技术先进。</w:t>
            </w:r>
          </w:p>
          <w:p w14:paraId="28E212CE">
            <w:pPr>
              <w:pStyle w:val="4"/>
              <w:spacing w:line="240" w:lineRule="auto"/>
              <w:rPr>
                <w:b w:val="0"/>
                <w:bCs w:val="0"/>
                <w:color w:val="auto"/>
                <w:sz w:val="18"/>
                <w:szCs w:val="18"/>
              </w:rPr>
            </w:pPr>
            <w:r>
              <w:rPr>
                <w:rFonts w:hint="eastAsia"/>
                <w:b w:val="0"/>
                <w:bCs w:val="0"/>
                <w:color w:val="auto"/>
                <w:sz w:val="18"/>
                <w:szCs w:val="18"/>
              </w:rPr>
              <w:t>（2）软件中需有教师授课工具以满足教师授课需要，包括但不限于：PPT放映、内置PPT课程等。</w:t>
            </w:r>
          </w:p>
          <w:p w14:paraId="15F92EC7">
            <w:pPr>
              <w:pStyle w:val="4"/>
              <w:spacing w:line="240" w:lineRule="auto"/>
              <w:rPr>
                <w:b w:val="0"/>
                <w:bCs w:val="0"/>
                <w:color w:val="auto"/>
                <w:sz w:val="18"/>
                <w:szCs w:val="18"/>
              </w:rPr>
            </w:pPr>
            <w:r>
              <w:rPr>
                <w:rFonts w:hint="eastAsia"/>
                <w:b w:val="0"/>
                <w:bCs w:val="0"/>
                <w:color w:val="auto"/>
                <w:sz w:val="18"/>
                <w:szCs w:val="18"/>
              </w:rPr>
              <w:t>2.内容要求</w:t>
            </w:r>
          </w:p>
          <w:p w14:paraId="42B1765B">
            <w:pPr>
              <w:pStyle w:val="4"/>
              <w:spacing w:line="240" w:lineRule="auto"/>
              <w:rPr>
                <w:b w:val="0"/>
                <w:bCs w:val="0"/>
                <w:color w:val="auto"/>
                <w:sz w:val="18"/>
                <w:szCs w:val="18"/>
              </w:rPr>
            </w:pPr>
            <w:r>
              <w:rPr>
                <w:rFonts w:hint="eastAsia"/>
                <w:b w:val="0"/>
                <w:bCs w:val="0"/>
                <w:color w:val="auto"/>
                <w:sz w:val="18"/>
                <w:szCs w:val="18"/>
              </w:rPr>
              <w:t>（1）软件教学模块内容需涵盖全部大学思政思修课程PPT，包括1）绪论，正确认识大学、认识新时代、大学生与新时代、做时代新人、走进“思想道德修养与法律基础”课；2）人生的青春之问，正确人生人的本质、树立正确的人生观、人生价值、创造有意义的人生；3）坚定理想信念，理想信念的内涵及重要性、崇高的理想信念、在实现中国梦的实践中放飞青春梦想；4）弘扬中国精神，中国精神是兴国强国之魂、爱国主义极其时代要求、让改革创新成为青春远航的动力；5）践行社会主义核心价值观，全体人民共同的价值追求、坚定价值观自信、做社会主义核心价值观的积极践行者；6）明大德守公德严私德，道德及其变化发展、吸收借鉴优秀道德成果、遵守公民道德标准、向上向善知行合一；7）尊法学法守法用法，社会主义法律的特征和运行、以宪法为核心的中国特色社会主义法律体系、建设中国特色社会主义法制体系、坚持中国特色社会主义法治道路、培养法治思维、依法行使权利与履行义务</w:t>
            </w:r>
          </w:p>
          <w:p w14:paraId="397FFA1D">
            <w:pPr>
              <w:pStyle w:val="4"/>
              <w:spacing w:line="240" w:lineRule="auto"/>
              <w:rPr>
                <w:b w:val="0"/>
                <w:bCs w:val="0"/>
                <w:color w:val="auto"/>
                <w:sz w:val="18"/>
                <w:szCs w:val="18"/>
              </w:rPr>
            </w:pPr>
            <w:r>
              <w:rPr>
                <w:rFonts w:hint="eastAsia"/>
                <w:b w:val="0"/>
                <w:bCs w:val="0"/>
                <w:color w:val="auto"/>
                <w:sz w:val="18"/>
                <w:szCs w:val="18"/>
              </w:rPr>
              <w:t>（2）软件的体验模块内容</w:t>
            </w:r>
          </w:p>
          <w:p w14:paraId="0279DD7E">
            <w:pPr>
              <w:pStyle w:val="4"/>
              <w:spacing w:line="240" w:lineRule="auto"/>
              <w:rPr>
                <w:b w:val="0"/>
                <w:bCs w:val="0"/>
                <w:color w:val="auto"/>
                <w:sz w:val="18"/>
                <w:szCs w:val="18"/>
              </w:rPr>
            </w:pPr>
            <w:r>
              <w:rPr>
                <w:rFonts w:hint="eastAsia"/>
                <w:b w:val="0"/>
                <w:bCs w:val="0"/>
                <w:color w:val="auto"/>
                <w:sz w:val="18"/>
                <w:szCs w:val="18"/>
              </w:rPr>
              <w:t>1）需展现出中国一步步从站起来到富起来再到强起来的整个时代变化，选取历史事件及历史成就展现这些精神，通过模型、文字、图片等方式，让用户感受中华民族在中国共产党的带领下走向复兴的历史进程；</w:t>
            </w:r>
          </w:p>
          <w:p w14:paraId="4604536A">
            <w:pPr>
              <w:pStyle w:val="4"/>
              <w:spacing w:line="240" w:lineRule="auto"/>
              <w:rPr>
                <w:b w:val="0"/>
                <w:bCs w:val="0"/>
                <w:color w:val="auto"/>
                <w:sz w:val="18"/>
                <w:szCs w:val="18"/>
              </w:rPr>
            </w:pPr>
            <w:r>
              <w:rPr>
                <w:rFonts w:hint="eastAsia"/>
                <w:b w:val="0"/>
                <w:bCs w:val="0"/>
                <w:color w:val="auto"/>
                <w:sz w:val="18"/>
                <w:szCs w:val="18"/>
              </w:rPr>
              <w:t>事件及成就选择包括但不限于：建党、占领总统府、开国大典、抗美援朝、第一颗原子弹、改革开放、港澳回归、北京奥运会、上海世博会、粮食成就、交通成就、科技成就、军事成就、国民健康成就</w:t>
            </w:r>
          </w:p>
          <w:p w14:paraId="77F6A391">
            <w:pPr>
              <w:pStyle w:val="4"/>
              <w:spacing w:line="240" w:lineRule="auto"/>
              <w:rPr>
                <w:b w:val="0"/>
                <w:bCs w:val="0"/>
                <w:color w:val="auto"/>
                <w:sz w:val="18"/>
                <w:szCs w:val="18"/>
              </w:rPr>
            </w:pPr>
            <w:r>
              <w:rPr>
                <w:rFonts w:hint="eastAsia"/>
                <w:b w:val="0"/>
                <w:bCs w:val="0"/>
                <w:color w:val="auto"/>
                <w:sz w:val="18"/>
                <w:szCs w:val="18"/>
              </w:rPr>
              <w:t>2）需以习近平青年时期在梁家河知青的经历为背景，可以通过还原习近平当时的居住环境，内置的图片、旁白、视频、模型等手段了解青年习近平在梁家河的经历，引导当代青年学习青年习近平，艰苦顽强、为人民谋幸福、胸怀家国等优良品质，树立正确的人生观、价值观；</w:t>
            </w:r>
          </w:p>
          <w:p w14:paraId="67D99C81">
            <w:pPr>
              <w:pStyle w:val="4"/>
              <w:spacing w:line="240" w:lineRule="auto"/>
              <w:rPr>
                <w:b w:val="0"/>
                <w:bCs w:val="0"/>
                <w:color w:val="auto"/>
                <w:sz w:val="18"/>
                <w:szCs w:val="18"/>
              </w:rPr>
            </w:pPr>
            <w:r>
              <w:rPr>
                <w:rFonts w:hint="eastAsia"/>
                <w:b w:val="0"/>
                <w:bCs w:val="0"/>
                <w:color w:val="auto"/>
                <w:sz w:val="18"/>
                <w:szCs w:val="18"/>
              </w:rPr>
              <w:t>3）需以天眼之父南仁东的故事为背景，让使用者体验南仁东是如何从一名天文爱好者到一名天文学家，再一一步步地西方封锁，带领技术团队艰苦奋斗十几年寻找建造地址、攻克技术难关打造中国天眼的故事，以南仁东的故事激励青年要将自己的理想和中国梦相结合，为实现中华民族伟大复兴奋斗；（为保证软件质量及教学效果，此项需提供现场/视频演示）</w:t>
            </w:r>
          </w:p>
          <w:p w14:paraId="56104688">
            <w:pPr>
              <w:pStyle w:val="4"/>
              <w:spacing w:line="240" w:lineRule="auto"/>
              <w:rPr>
                <w:b w:val="0"/>
                <w:bCs w:val="0"/>
                <w:color w:val="auto"/>
                <w:sz w:val="18"/>
                <w:szCs w:val="18"/>
              </w:rPr>
            </w:pPr>
            <w:r>
              <w:rPr>
                <w:rFonts w:hint="eastAsia"/>
                <w:b w:val="0"/>
                <w:bCs w:val="0"/>
                <w:color w:val="auto"/>
                <w:sz w:val="18"/>
                <w:szCs w:val="18"/>
              </w:rPr>
              <w:t>4）需以一对母女分别参与非典、新冠为背景，母亲参加过抗击“非典”的战斗，而现在的女儿也要奔赴抗击“新冠”的战斗，以母女双方跨时空对话的形式表现同一职业的两代人面对灾难，做出的同一选择，感受作为一名中国人我们需要践行爱国、敬业、诚信、友善的社会主义核心价值观。</w:t>
            </w:r>
          </w:p>
          <w:p w14:paraId="4505D701">
            <w:pPr>
              <w:pStyle w:val="4"/>
              <w:spacing w:line="240" w:lineRule="auto"/>
              <w:rPr>
                <w:b w:val="0"/>
                <w:bCs w:val="0"/>
                <w:color w:val="auto"/>
                <w:sz w:val="18"/>
                <w:szCs w:val="18"/>
              </w:rPr>
            </w:pPr>
            <w:r>
              <w:rPr>
                <w:rFonts w:hint="eastAsia"/>
                <w:b w:val="0"/>
                <w:bCs w:val="0"/>
                <w:color w:val="auto"/>
                <w:sz w:val="18"/>
                <w:szCs w:val="18"/>
              </w:rPr>
              <w:t>5）需以革命道德中的井冈山精神为主线，从三湾改编到大仓会见后上井冈，再到八角楼、雷打石、朱毛会师、挑粮小道、龙源口大捷等，最后柏露村会议以后毛泽东朱德率领的红四方面军下井冈的井冈山斗争过程。了解红军在短短两余年时间是如何在井冈山进行群众路线的探索，进行农村包围城市理论探索，了解艰苦奋斗攻难关、依靠群众求胜利、坚定执着追理想、实事求是闯新路的井冈山精神。</w:t>
            </w:r>
          </w:p>
          <w:p w14:paraId="715B7324">
            <w:pPr>
              <w:pStyle w:val="4"/>
              <w:spacing w:line="240" w:lineRule="auto"/>
              <w:rPr>
                <w:b w:val="0"/>
                <w:bCs w:val="0"/>
                <w:color w:val="auto"/>
                <w:sz w:val="18"/>
                <w:szCs w:val="18"/>
              </w:rPr>
            </w:pPr>
            <w:r>
              <w:rPr>
                <w:rFonts w:hint="eastAsia"/>
                <w:b w:val="0"/>
                <w:bCs w:val="0"/>
                <w:color w:val="auto"/>
                <w:sz w:val="18"/>
                <w:szCs w:val="18"/>
              </w:rPr>
              <w:t>6）需以抗美援朝中上甘岭战役电话班副班长牛保才的故事为背景，通过战场体验可以感受到祖国和人民利益高于一切、为了祖国和民族的尊严而奋不顾身的爱国主义精神；</w:t>
            </w:r>
          </w:p>
          <w:p w14:paraId="099CD323">
            <w:pPr>
              <w:pStyle w:val="4"/>
              <w:spacing w:line="240" w:lineRule="auto"/>
              <w:rPr>
                <w:b w:val="0"/>
                <w:bCs w:val="0"/>
                <w:color w:val="auto"/>
                <w:sz w:val="18"/>
                <w:szCs w:val="18"/>
              </w:rPr>
            </w:pPr>
            <w:r>
              <w:rPr>
                <w:rFonts w:hint="eastAsia"/>
                <w:b w:val="0"/>
                <w:bCs w:val="0"/>
                <w:color w:val="auto"/>
                <w:sz w:val="18"/>
                <w:szCs w:val="18"/>
              </w:rPr>
              <w:t>7）需使用虚拟展馆技术，提供大量的青年维权案例、青年犯罪案例及剖析、相关法律介绍等内容，让青年了解与自己切身相关的法律，懂得遇到事情用法律武器捍卫自己的权力。</w:t>
            </w:r>
          </w:p>
          <w:p w14:paraId="6F3FE3BF">
            <w:pPr>
              <w:pStyle w:val="4"/>
              <w:spacing w:line="240" w:lineRule="auto"/>
              <w:rPr>
                <w:b w:val="0"/>
                <w:bCs w:val="0"/>
                <w:color w:val="auto"/>
                <w:sz w:val="18"/>
                <w:szCs w:val="18"/>
              </w:rPr>
            </w:pPr>
          </w:p>
          <w:p w14:paraId="1A568161">
            <w:pPr>
              <w:pStyle w:val="4"/>
              <w:spacing w:line="240" w:lineRule="auto"/>
              <w:rPr>
                <w:b w:val="0"/>
                <w:bCs w:val="0"/>
                <w:color w:val="auto"/>
                <w:sz w:val="18"/>
                <w:szCs w:val="18"/>
              </w:rPr>
            </w:pPr>
            <w:r>
              <w:rPr>
                <w:rFonts w:hint="eastAsia"/>
                <w:b w:val="0"/>
                <w:bCs w:val="0"/>
                <w:color w:val="auto"/>
                <w:sz w:val="18"/>
                <w:szCs w:val="18"/>
              </w:rPr>
              <w:t>六、对外服务管理</w:t>
            </w:r>
          </w:p>
          <w:p w14:paraId="490936A2">
            <w:pPr>
              <w:pStyle w:val="4"/>
              <w:spacing w:line="240" w:lineRule="auto"/>
              <w:rPr>
                <w:b w:val="0"/>
                <w:bCs w:val="0"/>
                <w:color w:val="auto"/>
                <w:sz w:val="18"/>
                <w:szCs w:val="18"/>
              </w:rPr>
            </w:pPr>
            <w:r>
              <w:rPr>
                <w:rFonts w:hint="eastAsia"/>
                <w:b w:val="0"/>
                <w:bCs w:val="0"/>
                <w:color w:val="auto"/>
                <w:sz w:val="18"/>
                <w:szCs w:val="18"/>
              </w:rPr>
              <w:t>1.平台支持面向校外社会人员提供服务，支持新建对外服务项目，包括但不限于设置项目名称、对外服务类型、对外服务对象、对外服务计划人数、课时数、服务单位名称等，校外学员注册需支持批量导入或者通过邀请码注册账号等方式。</w:t>
            </w:r>
          </w:p>
          <w:p w14:paraId="6A949BA0">
            <w:pPr>
              <w:pStyle w:val="4"/>
              <w:spacing w:line="240" w:lineRule="auto"/>
              <w:rPr>
                <w:b w:val="0"/>
                <w:bCs w:val="0"/>
                <w:color w:val="auto"/>
                <w:sz w:val="18"/>
                <w:szCs w:val="18"/>
              </w:rPr>
            </w:pPr>
            <w:r>
              <w:rPr>
                <w:rFonts w:hint="eastAsia"/>
                <w:b w:val="0"/>
                <w:bCs w:val="0"/>
                <w:color w:val="auto"/>
                <w:sz w:val="18"/>
                <w:szCs w:val="18"/>
              </w:rPr>
              <w:t>2.参与对外服务项目的校外学员在系统中以班级为单位统一管理，教师可以为校外学员创建班课并提供虚拟仿真实训课程。</w:t>
            </w:r>
          </w:p>
          <w:p w14:paraId="0D18A2BC">
            <w:pPr>
              <w:pStyle w:val="4"/>
              <w:spacing w:line="240" w:lineRule="auto"/>
              <w:rPr>
                <w:b w:val="0"/>
                <w:bCs w:val="0"/>
                <w:color w:val="auto"/>
                <w:sz w:val="18"/>
                <w:szCs w:val="18"/>
              </w:rPr>
            </w:pPr>
            <w:r>
              <w:rPr>
                <w:rFonts w:hint="eastAsia"/>
                <w:b w:val="0"/>
                <w:bCs w:val="0"/>
                <w:color w:val="auto"/>
                <w:sz w:val="18"/>
                <w:szCs w:val="18"/>
              </w:rPr>
              <w:t>七、实训基地数据监控管理</w:t>
            </w:r>
          </w:p>
          <w:p w14:paraId="4D9E9C3A">
            <w:pPr>
              <w:pStyle w:val="4"/>
              <w:spacing w:line="240" w:lineRule="auto"/>
              <w:rPr>
                <w:b w:val="0"/>
                <w:bCs w:val="0"/>
                <w:color w:val="auto"/>
                <w:sz w:val="18"/>
                <w:szCs w:val="18"/>
              </w:rPr>
            </w:pPr>
            <w:r>
              <w:rPr>
                <w:rFonts w:hint="eastAsia"/>
                <w:b w:val="0"/>
                <w:bCs w:val="0"/>
                <w:color w:val="auto"/>
                <w:sz w:val="18"/>
                <w:szCs w:val="18"/>
              </w:rPr>
              <w:t>平台支持打通课前、课中、课后全环节，通过多种方式跟踪采集虚拟仿真实训“教、学、考、练、评”过程的数据，利用AI手段对实训过程数据进行挖掘分析，为虚拟仿真实训教学质量的诊断改进提供依据。</w:t>
            </w:r>
          </w:p>
          <w:p w14:paraId="5EDAB49E">
            <w:pPr>
              <w:pStyle w:val="4"/>
              <w:spacing w:line="240" w:lineRule="auto"/>
              <w:rPr>
                <w:b w:val="0"/>
                <w:bCs w:val="0"/>
                <w:color w:val="auto"/>
                <w:sz w:val="18"/>
                <w:szCs w:val="18"/>
              </w:rPr>
            </w:pPr>
            <w:r>
              <w:rPr>
                <w:rFonts w:hint="eastAsia"/>
                <w:b w:val="0"/>
                <w:bCs w:val="0"/>
                <w:color w:val="auto"/>
                <w:sz w:val="18"/>
                <w:szCs w:val="18"/>
              </w:rPr>
              <w:t>(一)管理后台工作台</w:t>
            </w:r>
          </w:p>
          <w:p w14:paraId="4170BADB">
            <w:pPr>
              <w:pStyle w:val="4"/>
              <w:spacing w:line="240" w:lineRule="auto"/>
              <w:rPr>
                <w:b/>
                <w:bCs/>
                <w:color w:val="auto"/>
                <w:sz w:val="18"/>
                <w:szCs w:val="18"/>
              </w:rPr>
            </w:pPr>
            <w:r>
              <w:rPr>
                <w:rFonts w:hint="eastAsia"/>
                <w:b w:val="0"/>
                <w:bCs w:val="0"/>
                <w:color w:val="auto"/>
                <w:sz w:val="18"/>
                <w:szCs w:val="18"/>
              </w:rPr>
              <w:t>1.★支持基地/学校管理员登录管理后台查看平台当日运营数据、今日待办事项、平台综合数据、资源数据、教学数据、对外服务情况、行为日志等数据，系统需支持管理员根据学校实际需求自定义配置展示的数据指标。</w:t>
            </w:r>
            <w:r>
              <w:rPr>
                <w:rFonts w:hint="eastAsia"/>
                <w:b/>
                <w:bCs/>
                <w:color w:val="auto"/>
                <w:sz w:val="18"/>
                <w:szCs w:val="18"/>
              </w:rPr>
              <w:t>（需提供截图以验证功能）</w:t>
            </w:r>
          </w:p>
          <w:p w14:paraId="026F660C">
            <w:pPr>
              <w:pStyle w:val="4"/>
              <w:spacing w:line="240" w:lineRule="auto"/>
              <w:rPr>
                <w:b w:val="0"/>
                <w:bCs w:val="0"/>
                <w:color w:val="auto"/>
                <w:sz w:val="18"/>
                <w:szCs w:val="18"/>
              </w:rPr>
            </w:pPr>
            <w:r>
              <w:rPr>
                <w:rFonts w:hint="eastAsia"/>
                <w:b w:val="0"/>
                <w:bCs w:val="0"/>
                <w:color w:val="auto"/>
                <w:sz w:val="18"/>
                <w:szCs w:val="18"/>
              </w:rPr>
              <w:t>2.平台支持对资源数据进行数据分析下钻，基地/学校管理员可查看各二级学院中各类型资源的详细统计数据。</w:t>
            </w:r>
          </w:p>
          <w:p w14:paraId="193A22A7">
            <w:pPr>
              <w:pStyle w:val="4"/>
              <w:spacing w:line="240" w:lineRule="auto"/>
              <w:rPr>
                <w:b w:val="0"/>
                <w:bCs w:val="0"/>
                <w:color w:val="auto"/>
                <w:sz w:val="18"/>
                <w:szCs w:val="18"/>
              </w:rPr>
            </w:pPr>
            <w:r>
              <w:rPr>
                <w:rFonts w:hint="eastAsia"/>
                <w:b w:val="0"/>
                <w:bCs w:val="0"/>
                <w:color w:val="auto"/>
                <w:sz w:val="18"/>
                <w:szCs w:val="18"/>
              </w:rPr>
              <w:t>3.教学统计：统计备课、班课、实训任务相关数据，基于校级、二级学院，统计包括不同分类课程占比、课程访问量、引用数、课程下各资源占比；班课数、授课时长占比、实训、作业、考试数据；实训任务数、实训时长、实训成绩等。</w:t>
            </w:r>
          </w:p>
          <w:p w14:paraId="579B479C">
            <w:pPr>
              <w:pStyle w:val="4"/>
              <w:spacing w:line="240" w:lineRule="auto"/>
              <w:rPr>
                <w:b w:val="0"/>
                <w:bCs w:val="0"/>
                <w:color w:val="auto"/>
                <w:sz w:val="18"/>
                <w:szCs w:val="18"/>
              </w:rPr>
            </w:pPr>
            <w:r>
              <w:rPr>
                <w:rFonts w:hint="eastAsia"/>
                <w:b w:val="0"/>
                <w:bCs w:val="0"/>
                <w:color w:val="auto"/>
                <w:sz w:val="18"/>
                <w:szCs w:val="18"/>
              </w:rPr>
              <w:t>4.★实训教学统计分析，学校领导可以通过登录虚拟仿真实训系统查看学校实训基地数据统计。</w:t>
            </w:r>
          </w:p>
          <w:p w14:paraId="64FE6AA3">
            <w:pPr>
              <w:pStyle w:val="4"/>
              <w:spacing w:line="240" w:lineRule="auto"/>
              <w:rPr>
                <w:b w:val="0"/>
                <w:bCs w:val="0"/>
                <w:color w:val="auto"/>
                <w:sz w:val="18"/>
                <w:szCs w:val="18"/>
              </w:rPr>
            </w:pPr>
            <w:r>
              <w:rPr>
                <w:rFonts w:hint="eastAsia"/>
                <w:b w:val="0"/>
                <w:bCs w:val="0"/>
                <w:color w:val="auto"/>
                <w:sz w:val="18"/>
                <w:szCs w:val="18"/>
              </w:rPr>
              <w:t>5.★效能填报，内置建设指南关于平台建设指标，支持指标名称自定义及层级自定义，统计平台已有跟指标相关数据，上传；支持效能报告图表展示。</w:t>
            </w:r>
          </w:p>
          <w:p w14:paraId="5B5392B9">
            <w:pPr>
              <w:pStyle w:val="4"/>
              <w:spacing w:line="240" w:lineRule="auto"/>
              <w:rPr>
                <w:b w:val="0"/>
                <w:bCs w:val="0"/>
                <w:color w:val="auto"/>
                <w:sz w:val="18"/>
                <w:szCs w:val="18"/>
              </w:rPr>
            </w:pPr>
            <w:r>
              <w:rPr>
                <w:rFonts w:hint="eastAsia"/>
                <w:b w:val="0"/>
                <w:bCs w:val="0"/>
                <w:color w:val="auto"/>
                <w:sz w:val="18"/>
                <w:szCs w:val="18"/>
              </w:rPr>
              <w:t>(二)BI数据管理</w:t>
            </w:r>
          </w:p>
          <w:p w14:paraId="7440C441">
            <w:pPr>
              <w:pStyle w:val="4"/>
              <w:spacing w:line="240" w:lineRule="auto"/>
              <w:rPr>
                <w:b w:val="0"/>
                <w:bCs w:val="0"/>
                <w:color w:val="auto"/>
                <w:sz w:val="18"/>
                <w:szCs w:val="18"/>
              </w:rPr>
            </w:pPr>
            <w:r>
              <w:rPr>
                <w:rFonts w:hint="eastAsia"/>
                <w:b w:val="0"/>
                <w:bCs w:val="0"/>
                <w:color w:val="auto"/>
                <w:sz w:val="18"/>
                <w:szCs w:val="18"/>
              </w:rPr>
              <w:t>1.支持基地/学校管理员对看板进行维护管理，包括设置筛选条件、新增看板、编辑看板。</w:t>
            </w:r>
          </w:p>
          <w:p w14:paraId="70133B20">
            <w:pPr>
              <w:pStyle w:val="4"/>
              <w:spacing w:line="240" w:lineRule="auto"/>
              <w:rPr>
                <w:b w:val="0"/>
                <w:bCs w:val="0"/>
                <w:color w:val="auto"/>
                <w:sz w:val="18"/>
                <w:szCs w:val="18"/>
              </w:rPr>
            </w:pPr>
            <w:r>
              <w:rPr>
                <w:rFonts w:hint="eastAsia"/>
                <w:b w:val="0"/>
                <w:bCs w:val="0"/>
                <w:color w:val="auto"/>
                <w:sz w:val="18"/>
                <w:szCs w:val="18"/>
              </w:rPr>
              <w:t>2.支持基地/学校管理员对看板进行布局调整、预览、发布、复制、下载、删除。</w:t>
            </w:r>
          </w:p>
          <w:p w14:paraId="74EB8D69">
            <w:pPr>
              <w:pStyle w:val="4"/>
              <w:spacing w:line="240" w:lineRule="auto"/>
              <w:rPr>
                <w:b w:val="0"/>
                <w:bCs w:val="0"/>
                <w:color w:val="auto"/>
                <w:sz w:val="18"/>
                <w:szCs w:val="18"/>
              </w:rPr>
            </w:pPr>
            <w:r>
              <w:rPr>
                <w:rFonts w:hint="eastAsia"/>
                <w:b w:val="0"/>
                <w:bCs w:val="0"/>
                <w:color w:val="auto"/>
                <w:sz w:val="18"/>
                <w:szCs w:val="18"/>
              </w:rPr>
              <w:t>3.支持基地/学校管理员查看和检索可用卡片。</w:t>
            </w:r>
          </w:p>
          <w:p w14:paraId="0AF11A4D">
            <w:pPr>
              <w:pStyle w:val="4"/>
              <w:spacing w:line="240" w:lineRule="auto"/>
              <w:rPr>
                <w:b w:val="0"/>
                <w:bCs w:val="0"/>
                <w:color w:val="auto"/>
                <w:sz w:val="18"/>
                <w:szCs w:val="18"/>
              </w:rPr>
            </w:pPr>
            <w:r>
              <w:rPr>
                <w:rFonts w:hint="eastAsia"/>
                <w:b w:val="0"/>
                <w:bCs w:val="0"/>
                <w:color w:val="auto"/>
                <w:sz w:val="18"/>
                <w:szCs w:val="18"/>
              </w:rPr>
              <w:t>4.支持按卡片维度、卡片类型对卡片进行筛选展示。</w:t>
            </w:r>
          </w:p>
          <w:p w14:paraId="2752318B">
            <w:pPr>
              <w:pStyle w:val="4"/>
              <w:spacing w:line="240" w:lineRule="auto"/>
              <w:rPr>
                <w:b w:val="0"/>
                <w:bCs w:val="0"/>
                <w:color w:val="auto"/>
                <w:sz w:val="18"/>
                <w:szCs w:val="18"/>
              </w:rPr>
            </w:pPr>
            <w:r>
              <w:rPr>
                <w:rFonts w:hint="eastAsia"/>
                <w:b w:val="0"/>
                <w:bCs w:val="0"/>
                <w:color w:val="auto"/>
                <w:sz w:val="18"/>
                <w:szCs w:val="18"/>
              </w:rPr>
              <w:t>(三)看板大屏</w:t>
            </w:r>
          </w:p>
          <w:p w14:paraId="77518729">
            <w:pPr>
              <w:pStyle w:val="4"/>
              <w:spacing w:line="240" w:lineRule="auto"/>
              <w:rPr>
                <w:b w:val="0"/>
                <w:bCs w:val="0"/>
                <w:color w:val="auto"/>
                <w:sz w:val="18"/>
                <w:szCs w:val="18"/>
              </w:rPr>
            </w:pPr>
            <w:r>
              <w:rPr>
                <w:rFonts w:hint="eastAsia"/>
                <w:b w:val="0"/>
                <w:bCs w:val="0"/>
                <w:color w:val="auto"/>
                <w:sz w:val="18"/>
                <w:szCs w:val="18"/>
              </w:rPr>
              <w:t>1.支持对基地/学校综合数据进行展示，包括总体资源、虚仿资源、用户、专业覆盖情况、资源开发方面的总体情况。虚仿基地数据项须包括：基地资源数、虚仿资源数、用户总数、当前用户数、专业数、虚仿资源覆盖专业数、用户分布情况、师生占比和男女占比情况、近一年参与虚仿资源开发的教师情况、资源类型分布及资源数量情况、年度资源更新率（包括虚仿实训资源、非虚仿实训资源以及全类型资源）、最受欢迎资源综合排名、专业大类数量与分布、虚仿资源覆盖率最高的专业TOP排名情况。</w:t>
            </w:r>
          </w:p>
          <w:p w14:paraId="00E66187">
            <w:pPr>
              <w:pStyle w:val="4"/>
              <w:spacing w:line="240" w:lineRule="auto"/>
              <w:rPr>
                <w:b w:val="0"/>
                <w:bCs w:val="0"/>
                <w:color w:val="auto"/>
                <w:sz w:val="18"/>
                <w:szCs w:val="18"/>
              </w:rPr>
            </w:pPr>
            <w:r>
              <w:rPr>
                <w:rFonts w:hint="eastAsia"/>
                <w:b w:val="0"/>
                <w:bCs w:val="0"/>
                <w:color w:val="auto"/>
                <w:sz w:val="18"/>
                <w:szCs w:val="18"/>
              </w:rPr>
              <w:t>2.支持对基地/学校资源数据进行展示。数据项须包括：资源总数、资源种类分布及数量情况、近14天各类型资源更新情况、最受欢迎资源综合排名、访问量最高资源排名情况、近7天资源访问量情况、资源好评度排名、收藏率TOP10的资源排行、点赞数最高的资源排行、近7天欢迎值最高的资源情况。</w:t>
            </w:r>
          </w:p>
          <w:p w14:paraId="20AD44A1">
            <w:pPr>
              <w:pStyle w:val="4"/>
              <w:spacing w:line="240" w:lineRule="auto"/>
              <w:rPr>
                <w:b w:val="0"/>
                <w:bCs w:val="0"/>
                <w:color w:val="auto"/>
                <w:sz w:val="18"/>
                <w:szCs w:val="18"/>
              </w:rPr>
            </w:pPr>
            <w:r>
              <w:rPr>
                <w:rFonts w:hint="eastAsia"/>
                <w:b w:val="0"/>
                <w:bCs w:val="0"/>
                <w:color w:val="auto"/>
                <w:sz w:val="18"/>
                <w:szCs w:val="18"/>
              </w:rPr>
              <w:t>3.★支持对基地/学校虚仿资源数据进行展示。数据项须包括：虚仿资源种类分布及数量情况、近14天各类型虚仿资源更新情况、最受欢迎虚仿资源综合排名、访问量最高虚仿资源排名情况、近7天虚仿资源访问量情况、虚仿资源好评度排名、收藏率TOP10的虚仿资源排行、点赞数最高的虚仿资源排行、近7天欢迎值最高的虚仿资源情况。</w:t>
            </w:r>
          </w:p>
          <w:p w14:paraId="0059D01C">
            <w:pPr>
              <w:pStyle w:val="4"/>
              <w:spacing w:line="240" w:lineRule="auto"/>
              <w:rPr>
                <w:b w:val="0"/>
                <w:bCs w:val="0"/>
                <w:color w:val="auto"/>
                <w:sz w:val="18"/>
                <w:szCs w:val="18"/>
              </w:rPr>
            </w:pPr>
            <w:r>
              <w:rPr>
                <w:rFonts w:hint="eastAsia"/>
                <w:b w:val="0"/>
                <w:bCs w:val="0"/>
                <w:color w:val="auto"/>
                <w:sz w:val="18"/>
                <w:szCs w:val="18"/>
              </w:rPr>
              <w:t>4.支持对基地/学校课程数据进行展示。数据项须包括：课程种类分布及数量情况、近14天各类型课程更新情况、最受欢迎课程综合排名、访问量最高课程排名情况、近7天课程访问量情况、课程好评度排名、收藏率TOP10的课程排行、点赞数最高的课程排行、近7天欢迎值最高的课程情况。</w:t>
            </w:r>
          </w:p>
          <w:p w14:paraId="12838DB2">
            <w:pPr>
              <w:pStyle w:val="4"/>
              <w:spacing w:line="240" w:lineRule="auto"/>
              <w:rPr>
                <w:b w:val="0"/>
                <w:bCs w:val="0"/>
                <w:color w:val="auto"/>
                <w:sz w:val="18"/>
                <w:szCs w:val="18"/>
              </w:rPr>
            </w:pPr>
            <w:r>
              <w:rPr>
                <w:rFonts w:hint="eastAsia"/>
                <w:b w:val="0"/>
                <w:bCs w:val="0"/>
                <w:color w:val="auto"/>
                <w:sz w:val="18"/>
                <w:szCs w:val="18"/>
              </w:rPr>
              <w:t>5.★支持对基地/学校用户数据进行展示。数据项须包括：学生数量、教师数量、用户分布和占比情况、师生比例与男女比例、近14天用户增长趋势、近7天在线用户情况、近7天老师发布资源情况、近7天老师组织班课情况、近一个月活跃用户趋势。</w:t>
            </w:r>
            <w:r>
              <w:rPr>
                <w:rFonts w:hint="eastAsia"/>
                <w:b/>
                <w:bCs/>
                <w:color w:val="auto"/>
                <w:sz w:val="18"/>
                <w:szCs w:val="18"/>
              </w:rPr>
              <w:t>（需提供截图以验证功能）</w:t>
            </w:r>
          </w:p>
          <w:p w14:paraId="37428218">
            <w:pPr>
              <w:pStyle w:val="4"/>
              <w:spacing w:line="240" w:lineRule="auto"/>
              <w:rPr>
                <w:b w:val="0"/>
                <w:bCs w:val="0"/>
                <w:color w:val="auto"/>
                <w:sz w:val="18"/>
                <w:szCs w:val="18"/>
              </w:rPr>
            </w:pPr>
            <w:r>
              <w:rPr>
                <w:rFonts w:hint="eastAsia"/>
                <w:b w:val="0"/>
                <w:bCs w:val="0"/>
                <w:color w:val="auto"/>
                <w:sz w:val="18"/>
                <w:szCs w:val="18"/>
              </w:rPr>
              <w:t>6.支持对基地/学校专业进行展示。数据项包括： 近一年专业数量增长情况、近7天各专业的资源访问量情况、资源访问量TOP10专业排行、各专业的课程分布情况、含有虚仿课程的专业情况、近7天虚仿课程增长TOP10的专业、各专业素材分布情况、近7天含虚仿资源专业增长情况。</w:t>
            </w:r>
          </w:p>
          <w:p w14:paraId="5098EA12">
            <w:pPr>
              <w:pStyle w:val="4"/>
              <w:spacing w:line="240" w:lineRule="auto"/>
              <w:rPr>
                <w:b w:val="0"/>
                <w:bCs w:val="0"/>
                <w:color w:val="auto"/>
                <w:sz w:val="18"/>
                <w:szCs w:val="18"/>
              </w:rPr>
            </w:pPr>
            <w:r>
              <w:rPr>
                <w:rFonts w:hint="eastAsia"/>
                <w:b w:val="0"/>
                <w:bCs w:val="0"/>
                <w:color w:val="auto"/>
                <w:sz w:val="18"/>
                <w:szCs w:val="18"/>
              </w:rPr>
              <w:t>7.支持对基地/学校学情数据进行展示。数据项包括：月度虚仿课程实训完成人数占比、学生虚仿实训课程完成情况。</w:t>
            </w:r>
          </w:p>
          <w:p w14:paraId="74FCC3C9">
            <w:pPr>
              <w:pStyle w:val="4"/>
              <w:spacing w:line="240" w:lineRule="auto"/>
              <w:rPr>
                <w:b w:val="0"/>
                <w:bCs w:val="0"/>
                <w:color w:val="auto"/>
                <w:sz w:val="18"/>
                <w:szCs w:val="18"/>
              </w:rPr>
            </w:pPr>
            <w:r>
              <w:rPr>
                <w:rFonts w:hint="eastAsia"/>
                <w:b w:val="0"/>
                <w:bCs w:val="0"/>
                <w:color w:val="auto"/>
                <w:sz w:val="18"/>
                <w:szCs w:val="18"/>
              </w:rPr>
              <w:t>八、公共基础支撑</w:t>
            </w:r>
          </w:p>
          <w:p w14:paraId="443D833D">
            <w:pPr>
              <w:pStyle w:val="4"/>
              <w:spacing w:line="240" w:lineRule="auto"/>
              <w:rPr>
                <w:b w:val="0"/>
                <w:bCs w:val="0"/>
                <w:color w:val="auto"/>
                <w:sz w:val="18"/>
                <w:szCs w:val="18"/>
              </w:rPr>
            </w:pPr>
            <w:r>
              <w:rPr>
                <w:rFonts w:hint="eastAsia"/>
                <w:b w:val="0"/>
                <w:bCs w:val="0"/>
                <w:color w:val="auto"/>
                <w:sz w:val="18"/>
                <w:szCs w:val="18"/>
              </w:rPr>
              <w:t>(一)系统权限管理</w:t>
            </w:r>
          </w:p>
          <w:p w14:paraId="3BD72140">
            <w:pPr>
              <w:pStyle w:val="4"/>
              <w:spacing w:line="240" w:lineRule="auto"/>
              <w:rPr>
                <w:b w:val="0"/>
                <w:bCs w:val="0"/>
                <w:color w:val="auto"/>
                <w:sz w:val="18"/>
                <w:szCs w:val="18"/>
              </w:rPr>
            </w:pPr>
            <w:r>
              <w:rPr>
                <w:rFonts w:hint="eastAsia"/>
                <w:b w:val="0"/>
                <w:bCs w:val="0"/>
                <w:color w:val="auto"/>
                <w:sz w:val="18"/>
                <w:szCs w:val="18"/>
              </w:rPr>
              <w:t>1.管理与定制系统</w:t>
            </w:r>
          </w:p>
          <w:p w14:paraId="45C1DA64">
            <w:pPr>
              <w:pStyle w:val="4"/>
              <w:spacing w:line="240" w:lineRule="auto"/>
              <w:rPr>
                <w:b w:val="0"/>
                <w:bCs w:val="0"/>
                <w:color w:val="auto"/>
                <w:sz w:val="18"/>
                <w:szCs w:val="18"/>
              </w:rPr>
            </w:pPr>
            <w:r>
              <w:rPr>
                <w:rFonts w:hint="eastAsia"/>
                <w:b w:val="0"/>
                <w:bCs w:val="0"/>
                <w:color w:val="auto"/>
                <w:sz w:val="18"/>
                <w:szCs w:val="18"/>
              </w:rPr>
              <w:t>采用云端一体化的方案向学校、教育机构等提供服务，包括但不限于动态基础信息配置、教师以及学生权限配置、资源配置。</w:t>
            </w:r>
          </w:p>
          <w:p w14:paraId="64161803">
            <w:pPr>
              <w:pStyle w:val="4"/>
              <w:spacing w:line="240" w:lineRule="auto"/>
              <w:rPr>
                <w:b w:val="0"/>
                <w:bCs w:val="0"/>
                <w:color w:val="auto"/>
                <w:sz w:val="18"/>
                <w:szCs w:val="18"/>
              </w:rPr>
            </w:pPr>
            <w:r>
              <w:rPr>
                <w:rFonts w:hint="eastAsia"/>
                <w:b w:val="0"/>
                <w:bCs w:val="0"/>
                <w:color w:val="auto"/>
                <w:sz w:val="18"/>
                <w:szCs w:val="18"/>
              </w:rPr>
              <w:t>2.系统角色管理系统</w:t>
            </w:r>
          </w:p>
          <w:p w14:paraId="4160FFC8">
            <w:pPr>
              <w:pStyle w:val="4"/>
              <w:spacing w:line="240" w:lineRule="auto"/>
              <w:rPr>
                <w:b w:val="0"/>
                <w:bCs w:val="0"/>
                <w:color w:val="auto"/>
                <w:sz w:val="18"/>
                <w:szCs w:val="18"/>
              </w:rPr>
            </w:pPr>
            <w:r>
              <w:rPr>
                <w:rFonts w:hint="eastAsia"/>
                <w:b w:val="0"/>
                <w:bCs w:val="0"/>
                <w:color w:val="auto"/>
                <w:sz w:val="18"/>
                <w:szCs w:val="18"/>
              </w:rPr>
              <w:t>（1）支持系统管理员创建子管理员账号，子管理员账号信息包括但不限于（账号名、姓名、邮箱、手机号、启用/禁用、行政区域以及详细地址）。</w:t>
            </w:r>
          </w:p>
          <w:p w14:paraId="58BCE398">
            <w:pPr>
              <w:pStyle w:val="4"/>
              <w:spacing w:line="240" w:lineRule="auto"/>
              <w:rPr>
                <w:b w:val="0"/>
                <w:bCs w:val="0"/>
                <w:color w:val="auto"/>
                <w:sz w:val="18"/>
                <w:szCs w:val="18"/>
              </w:rPr>
            </w:pPr>
            <w:r>
              <w:rPr>
                <w:rFonts w:hint="eastAsia"/>
                <w:b w:val="0"/>
                <w:bCs w:val="0"/>
                <w:color w:val="auto"/>
                <w:sz w:val="18"/>
                <w:szCs w:val="18"/>
              </w:rPr>
              <w:t>（2）支持系统管理员为子管理员生成密码以及重置密码、删除子管理员功能。</w:t>
            </w:r>
          </w:p>
          <w:p w14:paraId="54FA3D6B">
            <w:pPr>
              <w:pStyle w:val="4"/>
              <w:spacing w:line="240" w:lineRule="auto"/>
              <w:rPr>
                <w:b w:val="0"/>
                <w:bCs w:val="0"/>
                <w:color w:val="auto"/>
                <w:sz w:val="18"/>
                <w:szCs w:val="18"/>
              </w:rPr>
            </w:pPr>
            <w:r>
              <w:rPr>
                <w:rFonts w:hint="eastAsia"/>
                <w:b w:val="0"/>
                <w:bCs w:val="0"/>
                <w:color w:val="auto"/>
                <w:sz w:val="18"/>
                <w:szCs w:val="18"/>
              </w:rPr>
              <w:t>（3）★支持系统管理员为子管理员动态分配角色和权限，且子管理员使用的角色和权限与管理员分配的一致，权限包括具体功能、操作权限。</w:t>
            </w:r>
            <w:r>
              <w:rPr>
                <w:rFonts w:hint="eastAsia"/>
                <w:b/>
                <w:bCs/>
                <w:color w:val="auto"/>
                <w:sz w:val="18"/>
                <w:szCs w:val="18"/>
              </w:rPr>
              <w:t>（需提供截图以验证功能）</w:t>
            </w:r>
          </w:p>
          <w:p w14:paraId="64A810BC">
            <w:pPr>
              <w:pStyle w:val="4"/>
              <w:spacing w:line="240" w:lineRule="auto"/>
              <w:rPr>
                <w:b w:val="0"/>
                <w:bCs w:val="0"/>
                <w:color w:val="auto"/>
                <w:sz w:val="18"/>
                <w:szCs w:val="18"/>
              </w:rPr>
            </w:pPr>
            <w:r>
              <w:rPr>
                <w:rFonts w:hint="eastAsia"/>
                <w:b w:val="0"/>
                <w:bCs w:val="0"/>
                <w:color w:val="auto"/>
                <w:sz w:val="18"/>
                <w:szCs w:val="18"/>
              </w:rPr>
              <w:t>（4）支持系统管理员对系统角色进行管理，包括但不限于创建、删除、编辑角色，角色信息包括但不限于（名称、介绍、支持的权限）等。</w:t>
            </w:r>
          </w:p>
          <w:p w14:paraId="42B01560">
            <w:pPr>
              <w:pStyle w:val="4"/>
              <w:spacing w:line="240" w:lineRule="auto"/>
              <w:rPr>
                <w:b w:val="0"/>
                <w:bCs w:val="0"/>
                <w:color w:val="auto"/>
                <w:sz w:val="18"/>
                <w:szCs w:val="18"/>
              </w:rPr>
            </w:pPr>
            <w:r>
              <w:rPr>
                <w:rFonts w:hint="eastAsia"/>
                <w:b w:val="0"/>
                <w:bCs w:val="0"/>
                <w:color w:val="auto"/>
                <w:sz w:val="18"/>
                <w:szCs w:val="18"/>
              </w:rPr>
              <w:t>(二)公共基础支撑</w:t>
            </w:r>
          </w:p>
          <w:p w14:paraId="1C95025E">
            <w:pPr>
              <w:pStyle w:val="4"/>
              <w:spacing w:line="240" w:lineRule="auto"/>
              <w:rPr>
                <w:b w:val="0"/>
                <w:bCs w:val="0"/>
                <w:color w:val="auto"/>
                <w:sz w:val="18"/>
                <w:szCs w:val="18"/>
              </w:rPr>
            </w:pPr>
            <w:r>
              <w:rPr>
                <w:rFonts w:hint="eastAsia"/>
                <w:b w:val="0"/>
                <w:bCs w:val="0"/>
                <w:color w:val="auto"/>
                <w:sz w:val="18"/>
                <w:szCs w:val="18"/>
              </w:rPr>
              <w:t>1.统一身份认证</w:t>
            </w:r>
          </w:p>
          <w:p w14:paraId="3CA62713">
            <w:pPr>
              <w:pStyle w:val="4"/>
              <w:spacing w:line="240" w:lineRule="auto"/>
              <w:rPr>
                <w:b w:val="0"/>
                <w:bCs w:val="0"/>
                <w:color w:val="auto"/>
                <w:sz w:val="18"/>
                <w:szCs w:val="18"/>
              </w:rPr>
            </w:pPr>
            <w:r>
              <w:rPr>
                <w:rFonts w:hint="eastAsia"/>
                <w:b w:val="0"/>
                <w:bCs w:val="0"/>
                <w:color w:val="auto"/>
                <w:sz w:val="18"/>
                <w:szCs w:val="18"/>
              </w:rPr>
              <w:t>为了解决多系统多账户问题，系统提供统一的信息资源认证访问入口，建立统一的、基于角色的和个性化的信息访问、集成平台。通过统一身份认证功能，使用户只需一个账户就可以访问不同的平台，提高信息系统的易用性、安全性、稳定性，实现用户高速协同办公和访问平台的功能。</w:t>
            </w:r>
          </w:p>
          <w:p w14:paraId="5F3CE750">
            <w:pPr>
              <w:pStyle w:val="4"/>
              <w:spacing w:line="240" w:lineRule="auto"/>
              <w:rPr>
                <w:b w:val="0"/>
                <w:bCs w:val="0"/>
                <w:color w:val="auto"/>
                <w:sz w:val="18"/>
                <w:szCs w:val="18"/>
              </w:rPr>
            </w:pPr>
            <w:r>
              <w:rPr>
                <w:rFonts w:hint="eastAsia"/>
                <w:b w:val="0"/>
                <w:bCs w:val="0"/>
                <w:color w:val="auto"/>
                <w:sz w:val="18"/>
                <w:szCs w:val="18"/>
              </w:rPr>
              <w:t>2.统一权限管理</w:t>
            </w:r>
          </w:p>
          <w:p w14:paraId="2BC76331">
            <w:pPr>
              <w:pStyle w:val="4"/>
              <w:spacing w:line="240" w:lineRule="auto"/>
              <w:rPr>
                <w:b w:val="0"/>
                <w:bCs w:val="0"/>
                <w:color w:val="auto"/>
                <w:sz w:val="18"/>
                <w:szCs w:val="18"/>
              </w:rPr>
            </w:pPr>
            <w:r>
              <w:rPr>
                <w:rFonts w:hint="eastAsia"/>
                <w:b w:val="0"/>
                <w:bCs w:val="0"/>
                <w:color w:val="auto"/>
                <w:sz w:val="18"/>
                <w:szCs w:val="18"/>
              </w:rPr>
              <w:t>应用统一权限管理平台提高权限的集中管理，进一步加快各业务系统之间的信息共享与融合，可以使信息资源重复利用，同时为业务功能组件化管理提供权限服务支撑，提高业务应用及分析决策能力，避免了在权限调整过程中存在用户权限放大的隐患。</w:t>
            </w:r>
          </w:p>
          <w:p w14:paraId="6DB7894A">
            <w:pPr>
              <w:pStyle w:val="4"/>
              <w:spacing w:line="240" w:lineRule="auto"/>
              <w:rPr>
                <w:b w:val="0"/>
                <w:bCs w:val="0"/>
                <w:color w:val="auto"/>
                <w:sz w:val="18"/>
                <w:szCs w:val="18"/>
              </w:rPr>
            </w:pPr>
            <w:r>
              <w:rPr>
                <w:rFonts w:hint="eastAsia"/>
                <w:b w:val="0"/>
                <w:bCs w:val="0"/>
                <w:color w:val="auto"/>
                <w:sz w:val="18"/>
                <w:szCs w:val="18"/>
              </w:rPr>
              <w:t>3.统一消息服务</w:t>
            </w:r>
          </w:p>
          <w:p w14:paraId="7A6035C4">
            <w:pPr>
              <w:pStyle w:val="4"/>
              <w:spacing w:line="240" w:lineRule="auto"/>
              <w:rPr>
                <w:b w:val="0"/>
                <w:bCs w:val="0"/>
                <w:color w:val="auto"/>
                <w:sz w:val="18"/>
                <w:szCs w:val="18"/>
              </w:rPr>
            </w:pPr>
            <w:r>
              <w:rPr>
                <w:rFonts w:hint="eastAsia"/>
                <w:b w:val="0"/>
                <w:bCs w:val="0"/>
                <w:color w:val="auto"/>
                <w:sz w:val="18"/>
                <w:szCs w:val="18"/>
              </w:rPr>
              <w:t>支持采用基于Kafka的信息系统集成方式，支持解决传统点对点的系统集成造成的平台信息化架构蛛网化复杂、应用架构繁复僵化、维护成本高和响应速度缓慢等问题。</w:t>
            </w:r>
          </w:p>
          <w:p w14:paraId="64CE98DC">
            <w:pPr>
              <w:pStyle w:val="4"/>
              <w:spacing w:line="240" w:lineRule="auto"/>
              <w:rPr>
                <w:b w:val="0"/>
                <w:bCs w:val="0"/>
                <w:color w:val="auto"/>
                <w:sz w:val="18"/>
                <w:szCs w:val="18"/>
              </w:rPr>
            </w:pPr>
            <w:r>
              <w:rPr>
                <w:rFonts w:hint="eastAsia"/>
                <w:b w:val="0"/>
                <w:bCs w:val="0"/>
                <w:color w:val="auto"/>
                <w:sz w:val="18"/>
                <w:szCs w:val="18"/>
              </w:rPr>
              <w:t>4.统一数据存储</w:t>
            </w:r>
          </w:p>
          <w:p w14:paraId="668FE42E">
            <w:pPr>
              <w:pStyle w:val="4"/>
              <w:spacing w:line="240" w:lineRule="auto"/>
              <w:rPr>
                <w:b w:val="0"/>
                <w:bCs w:val="0"/>
                <w:color w:val="auto"/>
                <w:sz w:val="18"/>
                <w:szCs w:val="18"/>
              </w:rPr>
            </w:pPr>
            <w:r>
              <w:rPr>
                <w:rFonts w:hint="eastAsia"/>
                <w:b w:val="0"/>
                <w:bCs w:val="0"/>
                <w:color w:val="auto"/>
                <w:sz w:val="18"/>
                <w:szCs w:val="18"/>
              </w:rPr>
              <w:t>可以加强教育数据处理、管理和服务能力，建设集教育信息资源整合和交换共享、教育数据挖掘分析、整合利用、开放共享等功能与一身的统一的教育数据中心。</w:t>
            </w:r>
          </w:p>
          <w:p w14:paraId="1315F40F">
            <w:pPr>
              <w:pStyle w:val="4"/>
              <w:spacing w:line="240" w:lineRule="auto"/>
              <w:rPr>
                <w:b w:val="0"/>
                <w:bCs w:val="0"/>
                <w:color w:val="auto"/>
                <w:sz w:val="18"/>
                <w:szCs w:val="18"/>
              </w:rPr>
            </w:pPr>
            <w:r>
              <w:rPr>
                <w:rFonts w:hint="eastAsia"/>
                <w:b w:val="0"/>
                <w:bCs w:val="0"/>
                <w:color w:val="auto"/>
                <w:sz w:val="18"/>
                <w:szCs w:val="18"/>
              </w:rPr>
              <w:t>5.统一接口标准</w:t>
            </w:r>
          </w:p>
          <w:p w14:paraId="3C359F60">
            <w:pPr>
              <w:pStyle w:val="4"/>
              <w:spacing w:line="240" w:lineRule="auto"/>
              <w:rPr>
                <w:b w:val="0"/>
                <w:bCs w:val="0"/>
                <w:color w:val="auto"/>
                <w:sz w:val="18"/>
                <w:szCs w:val="18"/>
              </w:rPr>
            </w:pPr>
            <w:r>
              <w:rPr>
                <w:rFonts w:hint="eastAsia"/>
                <w:b w:val="0"/>
                <w:bCs w:val="0"/>
                <w:color w:val="auto"/>
                <w:sz w:val="18"/>
                <w:szCs w:val="18"/>
              </w:rPr>
              <w:t>系统采用统一接口标准，有效地进行各系统间的数据交换，实现异构系统之间的互联互通。</w:t>
            </w:r>
          </w:p>
          <w:p w14:paraId="0C493942">
            <w:pPr>
              <w:pStyle w:val="4"/>
              <w:spacing w:line="240" w:lineRule="auto"/>
              <w:rPr>
                <w:rFonts w:ascii="微软雅黑" w:hAnsi="微软雅黑" w:eastAsia="微软雅黑" w:cs="微软雅黑"/>
                <w:b w:val="0"/>
                <w:bCs w:val="0"/>
                <w:color w:val="auto"/>
                <w:sz w:val="15"/>
                <w:szCs w:val="15"/>
              </w:rPr>
            </w:pPr>
          </w:p>
        </w:tc>
      </w:tr>
    </w:tbl>
    <w:p w14:paraId="79A0D57A">
      <w:pPr>
        <w:rPr>
          <w:b/>
          <w:bCs/>
        </w:rPr>
      </w:pPr>
      <w:r>
        <w:rPr>
          <w:rFonts w:hint="eastAsia"/>
          <w:b/>
          <w:bCs/>
        </w:rPr>
        <w:t>四、</w:t>
      </w:r>
      <w:r>
        <w:rPr>
          <w:rFonts w:hint="eastAsia" w:ascii="微软雅黑" w:hAnsi="微软雅黑" w:cs="微软雅黑"/>
          <w:b/>
          <w:bCs/>
        </w:rPr>
        <w:t>交货期</w:t>
      </w:r>
      <w:r>
        <w:rPr>
          <w:rFonts w:hint="eastAsia" w:ascii="微软雅黑" w:hAnsi="微软雅黑"/>
          <w:bCs/>
        </w:rPr>
        <w:t>：合同签订之日起7日内安装调试完毕。</w:t>
      </w:r>
    </w:p>
    <w:p w14:paraId="244B44D1">
      <w:pPr>
        <w:snapToGrid w:val="0"/>
        <w:rPr>
          <w:rFonts w:cs="宋体"/>
          <w:color w:val="000000" w:themeColor="text1"/>
          <w:szCs w:val="21"/>
          <w14:textFill>
            <w14:solidFill>
              <w14:schemeClr w14:val="tx1"/>
            </w14:solidFill>
          </w14:textFill>
        </w:rPr>
      </w:pPr>
      <w:r>
        <w:rPr>
          <w:rFonts w:hint="eastAsia"/>
          <w:b/>
          <w:bCs/>
        </w:rPr>
        <w:t>五、其他要求：</w:t>
      </w:r>
      <w:r>
        <w:rPr>
          <w:rFonts w:hint="eastAsia" w:cs="宋体"/>
          <w:color w:val="000000" w:themeColor="text1"/>
          <w:szCs w:val="21"/>
          <w14:textFill>
            <w14:solidFill>
              <w14:schemeClr w14:val="tx1"/>
            </w14:solidFill>
          </w14:textFill>
        </w:rPr>
        <w:t>1、投标人需提供详细且有针对性的项目组织实施、安装方案，功能测试、试运行方案。</w:t>
      </w:r>
    </w:p>
    <w:p w14:paraId="729CCA22">
      <w:pPr>
        <w:snapToGrid w:val="0"/>
        <w:ind w:firstLine="48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2、设备在安装调试过程中所需的耗材、辅料等均由投标人提供，费用含在投标总价内。</w:t>
      </w:r>
    </w:p>
    <w:p w14:paraId="2EF9CFED">
      <w:pPr>
        <w:snapToGrid w:val="0"/>
        <w:ind w:firstLine="48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3、设备运行中所涉及的易耗件（常用维修配件），包括质保期满后的部件，投标人应提供完整的清单，明确规格产地，并作出报价。</w:t>
      </w:r>
    </w:p>
    <w:p w14:paraId="3A268BC6">
      <w:pPr>
        <w:rPr>
          <w:b/>
          <w:bCs/>
        </w:rPr>
      </w:pPr>
    </w:p>
    <w:p w14:paraId="2521C0E0">
      <w:pPr>
        <w:rPr>
          <w:b/>
          <w:bCs/>
        </w:rPr>
      </w:pPr>
      <w:r>
        <w:rPr>
          <w:rFonts w:hint="eastAsia"/>
          <w:b/>
          <w:bCs/>
        </w:rPr>
        <w:t>六、▲商务条款：</w:t>
      </w:r>
    </w:p>
    <w:p w14:paraId="7C437C24">
      <w:pPr>
        <w:ind w:firstLine="480" w:firstLineChars="200"/>
      </w:pPr>
      <w:r>
        <w:rPr>
          <w:rFonts w:hint="eastAsia"/>
        </w:rPr>
        <w:t>1、质保期：三年（从合同签订之日起计算）。</w:t>
      </w:r>
    </w:p>
    <w:p w14:paraId="49765361">
      <w:pPr>
        <w:ind w:firstLine="480" w:firstLineChars="200"/>
      </w:pPr>
      <w:r>
        <w:t>2</w:t>
      </w:r>
      <w:r>
        <w:rPr>
          <w:rFonts w:hint="eastAsia"/>
        </w:rPr>
        <w:t>、付款方式：</w:t>
      </w:r>
    </w:p>
    <w:p w14:paraId="6C6307D8">
      <w:pPr>
        <w:ind w:firstLine="480" w:firstLineChars="200"/>
      </w:pPr>
      <w:r>
        <w:rPr>
          <w:rFonts w:hint="eastAsia"/>
        </w:rPr>
        <w:t>根据省财政厅《关于进一步发挥政府采购政策功能全力推动经济稳进提质的通知》 （浙财采监【2022】3号）要求,制定如以下付款方式：</w:t>
      </w:r>
    </w:p>
    <w:p w14:paraId="2FC75DE8">
      <w:pPr>
        <w:ind w:firstLine="480" w:firstLineChars="200"/>
      </w:pPr>
      <w:r>
        <w:rPr>
          <w:rFonts w:hint="eastAsia" w:ascii="Arial" w:hAnsi="Arial" w:cs="Arial"/>
          <w:highlight w:val="yellow"/>
        </w:rPr>
        <w:t>合同签订生效且具备实施条件后7个工作日内，甲方向乙方支付合同总价的40%作为预付款，所有产品到货、安装调试验收合格后，甲方收到乙方提供的同等金额的正规增值税发票，在履行财政相关资金审批手续后向乙方支付合同总价6</w:t>
      </w:r>
      <w:r>
        <w:rPr>
          <w:rFonts w:ascii="Arial" w:hAnsi="Arial" w:cs="Arial"/>
          <w:highlight w:val="yellow"/>
        </w:rPr>
        <w:t>0%</w:t>
      </w:r>
      <w:r>
        <w:rPr>
          <w:rFonts w:hint="eastAsia" w:ascii="Arial" w:hAnsi="Arial" w:cs="Arial"/>
          <w:highlight w:val="yellow"/>
        </w:rPr>
        <w:t>的合同款。</w:t>
      </w:r>
    </w:p>
    <w:p w14:paraId="2A75E901">
      <w:pPr>
        <w:ind w:firstLine="480" w:firstLineChars="200"/>
      </w:pPr>
      <w:r>
        <w:t>注：中标供应商在接到采购人通知后的七个工作日内将增值税发票送达采购人，采购人在收到中标供应商发票后于一个月内以转账的方式支付给中标供应商。</w:t>
      </w:r>
    </w:p>
    <w:p w14:paraId="683FE100">
      <w:pPr>
        <w:ind w:firstLine="480" w:firstLineChars="200"/>
      </w:pPr>
      <w:r>
        <w:t>税费：本服务执行中相关的一切税费均由中标供应商负担。</w:t>
      </w:r>
    </w:p>
    <w:p w14:paraId="57FF4D5A">
      <w:pPr>
        <w:ind w:firstLine="482" w:firstLineChars="200"/>
        <w:rPr>
          <w:b/>
          <w:bCs/>
        </w:rPr>
      </w:pPr>
      <w:r>
        <w:rPr>
          <w:b/>
          <w:bCs/>
        </w:rPr>
        <w:t>若中标供应商明</w:t>
      </w:r>
      <w:r>
        <w:rPr>
          <w:rFonts w:hint="eastAsia"/>
          <w:b/>
          <w:bCs/>
        </w:rPr>
        <w:t>确表示无需预付款或者主动要求降低预付款比例的，采购人可不适用前述规定。</w:t>
      </w:r>
    </w:p>
    <w:p w14:paraId="53A442CB">
      <w:pPr>
        <w:ind w:firstLine="482" w:firstLineChars="200"/>
        <w:rPr>
          <w:b/>
          <w:bCs/>
        </w:rPr>
      </w:pPr>
      <w:r>
        <w:rPr>
          <w:rFonts w:hint="eastAsia"/>
          <w:b/>
          <w:bCs/>
        </w:rPr>
        <w:t>七、服务要求</w:t>
      </w:r>
      <w:r>
        <w:rPr>
          <w:rFonts w:hint="eastAsia" w:cs="宋体"/>
          <w:b/>
          <w:bCs/>
          <w:color w:val="000000" w:themeColor="text1"/>
          <w:szCs w:val="21"/>
          <w14:textFill>
            <w14:solidFill>
              <w14:schemeClr w14:val="tx1"/>
            </w14:solidFill>
          </w14:textFill>
        </w:rPr>
        <w:t>（技术要求里另有注明的以技术要求为准）</w:t>
      </w:r>
      <w:r>
        <w:rPr>
          <w:rFonts w:hint="eastAsia" w:cs="宋体"/>
          <w:b/>
          <w:bCs/>
          <w:color w:val="000000" w:themeColor="text1"/>
          <w:szCs w:val="24"/>
          <w14:textFill>
            <w14:solidFill>
              <w14:schemeClr w14:val="tx1"/>
            </w14:solidFill>
          </w14:textFill>
        </w:rPr>
        <w:t>：</w:t>
      </w: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38"/>
        <w:gridCol w:w="6987"/>
      </w:tblGrid>
      <w:tr w14:paraId="317C0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38" w:type="dxa"/>
            <w:tcBorders>
              <w:top w:val="single" w:color="auto" w:sz="4" w:space="0"/>
              <w:bottom w:val="single" w:color="auto" w:sz="4" w:space="0"/>
              <w:right w:val="single" w:color="auto" w:sz="4" w:space="0"/>
            </w:tcBorders>
            <w:vAlign w:val="center"/>
          </w:tcPr>
          <w:p w14:paraId="6EB3E278">
            <w:pPr>
              <w:jc w:val="center"/>
              <w:rPr>
                <w:rFonts w:cs="宋体"/>
                <w:snapToGrid w:val="0"/>
                <w:color w:val="000000" w:themeColor="text1"/>
                <w:kern w:val="0"/>
                <w:szCs w:val="21"/>
                <w14:textFill>
                  <w14:solidFill>
                    <w14:schemeClr w14:val="tx1"/>
                  </w14:solidFill>
                </w14:textFill>
              </w:rPr>
            </w:pPr>
            <w:r>
              <w:rPr>
                <w:rFonts w:hint="eastAsia" w:cs="宋体"/>
                <w:snapToGrid w:val="0"/>
                <w:color w:val="000000" w:themeColor="text1"/>
                <w:kern w:val="0"/>
                <w:szCs w:val="21"/>
                <w14:textFill>
                  <w14:solidFill>
                    <w14:schemeClr w14:val="tx1"/>
                  </w14:solidFill>
                </w14:textFill>
              </w:rPr>
              <w:t>安装调试</w:t>
            </w:r>
          </w:p>
        </w:tc>
        <w:tc>
          <w:tcPr>
            <w:tcW w:w="6987" w:type="dxa"/>
            <w:tcBorders>
              <w:top w:val="single" w:color="auto" w:sz="4" w:space="0"/>
              <w:left w:val="single" w:color="auto" w:sz="4" w:space="0"/>
              <w:bottom w:val="single" w:color="auto" w:sz="4" w:space="0"/>
            </w:tcBorders>
            <w:vAlign w:val="center"/>
          </w:tcPr>
          <w:p w14:paraId="25493740">
            <w:pP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投标人须负责对货物的现场安装、调试和其它服务。合同所订货物到达采购人指定地点后，投标人应在接到采购人通知后指派合格的技术人员到指定地点进行安装调试。如因投标人责任而造成的延期，所有因安装延期而产生的费用由投标人负担。货物运抵现场后，采购人将对货物的质量、规格、数量进行检验，如发现货物的规格或数量或两者都与合同不符，采购人有权向投标人提出索赔。</w:t>
            </w:r>
          </w:p>
          <w:p w14:paraId="0D34ADD8">
            <w:pP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2、投标人人员在现场安装调试培训期间，其食宿、交通等费用均自行承担。</w:t>
            </w:r>
          </w:p>
          <w:p w14:paraId="7A36E927">
            <w:pPr>
              <w:rPr>
                <w:rFonts w:cs="宋体"/>
                <w:snapToGrid w:val="0"/>
                <w:color w:val="000000" w:themeColor="text1"/>
                <w:kern w:val="0"/>
                <w:szCs w:val="21"/>
                <w14:textFill>
                  <w14:solidFill>
                    <w14:schemeClr w14:val="tx1"/>
                  </w14:solidFill>
                </w14:textFill>
              </w:rPr>
            </w:pPr>
            <w:r>
              <w:rPr>
                <w:rFonts w:hint="eastAsia" w:cs="宋体"/>
                <w:color w:val="000000" w:themeColor="text1"/>
                <w:szCs w:val="21"/>
                <w14:textFill>
                  <w14:solidFill>
                    <w14:schemeClr w14:val="tx1"/>
                  </w14:solidFill>
                </w14:textFill>
              </w:rPr>
              <w:t>3、投标人在投标文件中应提供安装调试计划、对安装场地和环境的要求。</w:t>
            </w:r>
          </w:p>
        </w:tc>
      </w:tr>
      <w:tr w14:paraId="42E6B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38" w:type="dxa"/>
            <w:tcBorders>
              <w:top w:val="single" w:color="auto" w:sz="4" w:space="0"/>
              <w:bottom w:val="single" w:color="auto" w:sz="4" w:space="0"/>
              <w:right w:val="single" w:color="auto" w:sz="4" w:space="0"/>
            </w:tcBorders>
            <w:vAlign w:val="center"/>
          </w:tcPr>
          <w:p w14:paraId="585CD3EF">
            <w:pPr>
              <w:jc w:val="center"/>
              <w:rPr>
                <w:rFonts w:cs="宋体"/>
                <w:snapToGrid w:val="0"/>
                <w:color w:val="000000" w:themeColor="text1"/>
                <w:kern w:val="0"/>
                <w:szCs w:val="21"/>
                <w14:textFill>
                  <w14:solidFill>
                    <w14:schemeClr w14:val="tx1"/>
                  </w14:solidFill>
                </w14:textFill>
              </w:rPr>
            </w:pPr>
            <w:r>
              <w:rPr>
                <w:rFonts w:hint="eastAsia" w:cs="宋体"/>
                <w:snapToGrid w:val="0"/>
                <w:color w:val="000000" w:themeColor="text1"/>
                <w:kern w:val="0"/>
                <w:szCs w:val="21"/>
                <w14:textFill>
                  <w14:solidFill>
                    <w14:schemeClr w14:val="tx1"/>
                  </w14:solidFill>
                </w14:textFill>
              </w:rPr>
              <w:t>售后服务</w:t>
            </w:r>
          </w:p>
        </w:tc>
        <w:tc>
          <w:tcPr>
            <w:tcW w:w="6987" w:type="dxa"/>
            <w:tcBorders>
              <w:top w:val="single" w:color="auto" w:sz="4" w:space="0"/>
              <w:left w:val="single" w:color="auto" w:sz="4" w:space="0"/>
              <w:bottom w:val="single" w:color="auto" w:sz="4" w:space="0"/>
            </w:tcBorders>
            <w:vAlign w:val="center"/>
          </w:tcPr>
          <w:p w14:paraId="7AA70D67">
            <w:pPr>
              <w:rPr>
                <w:rFonts w:cs="宋体"/>
                <w:color w:val="000000" w:themeColor="text1"/>
                <w:szCs w:val="21"/>
                <w:highlight w:val="green"/>
                <w14:textFill>
                  <w14:solidFill>
                    <w14:schemeClr w14:val="tx1"/>
                  </w14:solidFill>
                </w14:textFill>
              </w:rPr>
            </w:pPr>
            <w:r>
              <w:rPr>
                <w:rFonts w:hint="eastAsia" w:cs="宋体"/>
                <w:color w:val="000000" w:themeColor="text1"/>
                <w:szCs w:val="21"/>
                <w14:textFill>
                  <w14:solidFill>
                    <w14:schemeClr w14:val="tx1"/>
                  </w14:solidFill>
                </w14:textFill>
              </w:rPr>
              <w:t>1、质保期内，投标人负责为采购人的设备提供维护、保养和更换损坏的和有缺陷的零部件，费用包含在投标总价中，设备质保期后投标人对设备提供终身优惠的技术支持。软件部分提供终</w:t>
            </w:r>
            <w:r>
              <w:rPr>
                <w:rFonts w:hint="eastAsia" w:cs="宋体"/>
                <w:szCs w:val="21"/>
              </w:rPr>
              <w:t>身免费升级</w:t>
            </w:r>
            <w:r>
              <w:rPr>
                <w:rFonts w:hint="eastAsia" w:cs="宋体"/>
                <w:color w:val="000000" w:themeColor="text1"/>
                <w:szCs w:val="21"/>
                <w14:textFill>
                  <w14:solidFill>
                    <w14:schemeClr w14:val="tx1"/>
                  </w14:solidFill>
                </w14:textFill>
              </w:rPr>
              <w:t>。质保期内因故障而影响工作的情况每发生一次，其质保期相应延长7天。质保期满前1个月内投标人应负责一次全面检查（费用包含在投标总价中），并写出正式报告，如发现潜在问题，应负责排除。质保期满后，投标人仍提供整机维修和系统维护服务，对于由此产生的所有费用，</w:t>
            </w:r>
            <w:r>
              <w:rPr>
                <w:rFonts w:hint="eastAsia" w:cs="宋体"/>
                <w:color w:val="000000" w:themeColor="text1"/>
                <w:szCs w:val="21"/>
                <w:highlight w:val="green"/>
                <w14:textFill>
                  <w14:solidFill>
                    <w14:schemeClr w14:val="tx1"/>
                  </w14:solidFill>
                </w14:textFill>
              </w:rPr>
              <w:t>投标人向采购人仅收取成本费。</w:t>
            </w:r>
          </w:p>
          <w:p w14:paraId="0A29C278">
            <w:pPr>
              <w:pStyle w:val="9"/>
              <w:rPr>
                <w:rFonts w:cs="宋体"/>
                <w:color w:val="000000" w:themeColor="text1"/>
                <w:sz w:val="21"/>
                <w:szCs w:val="21"/>
                <w14:textFill>
                  <w14:solidFill>
                    <w14:schemeClr w14:val="tx1"/>
                  </w14:solidFill>
                </w14:textFill>
              </w:rPr>
            </w:pPr>
            <w:r>
              <w:rPr>
                <w:rFonts w:hint="eastAsia" w:cs="宋体"/>
                <w:snapToGrid w:val="0"/>
                <w:color w:val="000000" w:themeColor="text1"/>
                <w:sz w:val="21"/>
                <w:szCs w:val="21"/>
                <w14:textFill>
                  <w14:solidFill>
                    <w14:schemeClr w14:val="tx1"/>
                  </w14:solidFill>
                </w14:textFill>
              </w:rPr>
              <w:t>2、投标人应提供售后服务机构，说明具体地点和人员配置。</w:t>
            </w:r>
          </w:p>
        </w:tc>
      </w:tr>
      <w:tr w14:paraId="45F22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38" w:type="dxa"/>
            <w:tcBorders>
              <w:top w:val="single" w:color="auto" w:sz="4" w:space="0"/>
              <w:bottom w:val="single" w:color="auto" w:sz="4" w:space="0"/>
              <w:right w:val="single" w:color="auto" w:sz="4" w:space="0"/>
            </w:tcBorders>
            <w:vAlign w:val="center"/>
          </w:tcPr>
          <w:p w14:paraId="682C7A57">
            <w:pPr>
              <w:jc w:val="center"/>
              <w:rPr>
                <w:rFonts w:cs="宋体"/>
                <w:snapToGrid w:val="0"/>
                <w:color w:val="000000" w:themeColor="text1"/>
                <w:kern w:val="0"/>
                <w:szCs w:val="21"/>
                <w14:textFill>
                  <w14:solidFill>
                    <w14:schemeClr w14:val="tx1"/>
                  </w14:solidFill>
                </w14:textFill>
              </w:rPr>
            </w:pPr>
            <w:r>
              <w:rPr>
                <w:rFonts w:hint="eastAsia" w:cs="宋体"/>
                <w:snapToGrid w:val="0"/>
                <w:color w:val="000000" w:themeColor="text1"/>
                <w:kern w:val="0"/>
                <w:szCs w:val="21"/>
                <w14:textFill>
                  <w14:solidFill>
                    <w14:schemeClr w14:val="tx1"/>
                  </w14:solidFill>
                </w14:textFill>
              </w:rPr>
              <w:t>服务响应时间</w:t>
            </w:r>
          </w:p>
        </w:tc>
        <w:tc>
          <w:tcPr>
            <w:tcW w:w="6987" w:type="dxa"/>
            <w:tcBorders>
              <w:top w:val="single" w:color="auto" w:sz="4" w:space="0"/>
              <w:left w:val="single" w:color="auto" w:sz="4" w:space="0"/>
              <w:bottom w:val="single" w:color="auto" w:sz="4" w:space="0"/>
            </w:tcBorders>
            <w:vAlign w:val="center"/>
          </w:tcPr>
          <w:p w14:paraId="0393D89F">
            <w:pPr>
              <w:rPr>
                <w:rFonts w:cs="宋体"/>
                <w:snapToGrid w:val="0"/>
                <w:color w:val="000000" w:themeColor="text1"/>
                <w:kern w:val="0"/>
                <w:szCs w:val="21"/>
                <w14:textFill>
                  <w14:solidFill>
                    <w14:schemeClr w14:val="tx1"/>
                  </w14:solidFill>
                </w14:textFill>
              </w:rPr>
            </w:pPr>
            <w:r>
              <w:rPr>
                <w:rFonts w:hint="eastAsia" w:cs="宋体"/>
                <w:snapToGrid w:val="0"/>
                <w:color w:val="000000" w:themeColor="text1"/>
                <w:kern w:val="0"/>
                <w:szCs w:val="21"/>
                <w14:textFill>
                  <w14:solidFill>
                    <w14:schemeClr w14:val="tx1"/>
                  </w14:solidFill>
                </w14:textFill>
              </w:rPr>
              <w:t>合同货物出现故障后，投标人接到采购人通知应在不超过2小时内做出响应，不超过24个小时内解决故障，24小时内无法排除故障的要求提供同规格备用机。</w:t>
            </w:r>
          </w:p>
        </w:tc>
      </w:tr>
      <w:tr w14:paraId="08626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38" w:type="dxa"/>
            <w:tcBorders>
              <w:top w:val="single" w:color="auto" w:sz="4" w:space="0"/>
              <w:bottom w:val="single" w:color="auto" w:sz="4" w:space="0"/>
              <w:right w:val="single" w:color="auto" w:sz="4" w:space="0"/>
            </w:tcBorders>
            <w:vAlign w:val="center"/>
          </w:tcPr>
          <w:p w14:paraId="730FE442">
            <w:pPr>
              <w:jc w:val="center"/>
              <w:rPr>
                <w:rFonts w:cs="宋体"/>
                <w:snapToGrid w:val="0"/>
                <w:color w:val="000000" w:themeColor="text1"/>
                <w:kern w:val="0"/>
                <w:szCs w:val="21"/>
                <w14:textFill>
                  <w14:solidFill>
                    <w14:schemeClr w14:val="tx1"/>
                  </w14:solidFill>
                </w14:textFill>
              </w:rPr>
            </w:pPr>
            <w:r>
              <w:rPr>
                <w:rFonts w:hint="eastAsia" w:cs="宋体"/>
                <w:snapToGrid w:val="0"/>
                <w:color w:val="000000" w:themeColor="text1"/>
                <w:kern w:val="0"/>
                <w:szCs w:val="21"/>
                <w14:textFill>
                  <w14:solidFill>
                    <w14:schemeClr w14:val="tx1"/>
                  </w14:solidFill>
                </w14:textFill>
              </w:rPr>
              <w:t>验收标准</w:t>
            </w:r>
          </w:p>
        </w:tc>
        <w:tc>
          <w:tcPr>
            <w:tcW w:w="6987" w:type="dxa"/>
            <w:tcBorders>
              <w:top w:val="single" w:color="auto" w:sz="4" w:space="0"/>
              <w:left w:val="single" w:color="auto" w:sz="4" w:space="0"/>
              <w:bottom w:val="single" w:color="auto" w:sz="4" w:space="0"/>
            </w:tcBorders>
            <w:vAlign w:val="center"/>
          </w:tcPr>
          <w:p w14:paraId="0FC26201">
            <w:pP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1、采购人对</w:t>
            </w:r>
            <w:r>
              <w:rPr>
                <w:rFonts w:hint="eastAsia" w:cs="宋体"/>
                <w:snapToGrid w:val="0"/>
                <w:color w:val="000000" w:themeColor="text1"/>
                <w:kern w:val="0"/>
                <w:szCs w:val="21"/>
                <w14:textFill>
                  <w14:solidFill>
                    <w14:schemeClr w14:val="tx1"/>
                  </w14:solidFill>
                </w14:textFill>
              </w:rPr>
              <w:t>投标</w:t>
            </w:r>
            <w:r>
              <w:rPr>
                <w:rFonts w:hint="eastAsia" w:cs="宋体"/>
                <w:color w:val="000000" w:themeColor="text1"/>
                <w:szCs w:val="21"/>
                <w14:textFill>
                  <w14:solidFill>
                    <w14:schemeClr w14:val="tx1"/>
                  </w14:solidFill>
                </w14:textFill>
              </w:rPr>
              <w:t>人提交的货物依据采购文件、投标文件上的技术规格要求和国家有关质量标准进行现场初步验收，外观、说明书符合相关文件技术要求的，给予签收，初步验收不合格的不予签收。</w:t>
            </w:r>
          </w:p>
          <w:p w14:paraId="3A055003">
            <w:pPr>
              <w:rPr>
                <w:rFonts w:cs="宋体"/>
                <w:snapToGrid w:val="0"/>
                <w:color w:val="000000" w:themeColor="text1"/>
                <w:kern w:val="0"/>
                <w:szCs w:val="21"/>
                <w14:textFill>
                  <w14:solidFill>
                    <w14:schemeClr w14:val="tx1"/>
                  </w14:solidFill>
                </w14:textFill>
              </w:rPr>
            </w:pPr>
            <w:r>
              <w:rPr>
                <w:rFonts w:hint="eastAsia" w:cs="宋体"/>
                <w:color w:val="000000" w:themeColor="text1"/>
                <w:szCs w:val="21"/>
                <w14:textFill>
                  <w14:solidFill>
                    <w14:schemeClr w14:val="tx1"/>
                  </w14:solidFill>
                </w14:textFill>
              </w:rPr>
              <w:t>2、投</w:t>
            </w:r>
            <w:r>
              <w:rPr>
                <w:rFonts w:hint="eastAsia" w:cs="宋体"/>
                <w:snapToGrid w:val="0"/>
                <w:color w:val="000000" w:themeColor="text1"/>
                <w:kern w:val="0"/>
                <w:szCs w:val="21"/>
                <w14:textFill>
                  <w14:solidFill>
                    <w14:schemeClr w14:val="tx1"/>
                  </w14:solidFill>
                </w14:textFill>
              </w:rPr>
              <w:t>标人交货前应对产品作出全面检查和对验收文件进行整理，并列出清单，作为采购人收货验收和使用的技术条件依据，检验的结果应随货物提交采购人。</w:t>
            </w:r>
          </w:p>
          <w:p w14:paraId="26C65F40">
            <w:pPr>
              <w:rPr>
                <w:rFonts w:cs="宋体"/>
                <w:snapToGrid w:val="0"/>
                <w:color w:val="000000" w:themeColor="text1"/>
                <w:kern w:val="0"/>
                <w:szCs w:val="21"/>
                <w14:textFill>
                  <w14:solidFill>
                    <w14:schemeClr w14:val="tx1"/>
                  </w14:solidFill>
                </w14:textFill>
              </w:rPr>
            </w:pPr>
            <w:r>
              <w:rPr>
                <w:rFonts w:hint="eastAsia" w:cs="宋体"/>
                <w:snapToGrid w:val="0"/>
                <w:color w:val="000000" w:themeColor="text1"/>
                <w:kern w:val="0"/>
                <w:szCs w:val="21"/>
                <w14:textFill>
                  <w14:solidFill>
                    <w14:schemeClr w14:val="tx1"/>
                  </w14:solidFill>
                </w14:textFill>
              </w:rPr>
              <w:t>3、采购人对投标人提供的货物在使用前进行调试时，投标人需负责安装并培训采购人的使用操作人员，并协助采购人一起调试，直到符合技术要求，采购人才做最终验收。</w:t>
            </w:r>
          </w:p>
          <w:p w14:paraId="0885C065">
            <w:pPr>
              <w:rPr>
                <w:rFonts w:cs="宋体"/>
                <w:snapToGrid w:val="0"/>
                <w:color w:val="000000" w:themeColor="text1"/>
                <w:kern w:val="0"/>
                <w:szCs w:val="21"/>
                <w14:textFill>
                  <w14:solidFill>
                    <w14:schemeClr w14:val="tx1"/>
                  </w14:solidFill>
                </w14:textFill>
              </w:rPr>
            </w:pPr>
            <w:r>
              <w:rPr>
                <w:rFonts w:hint="eastAsia" w:cs="宋体"/>
                <w:snapToGrid w:val="0"/>
                <w:color w:val="000000" w:themeColor="text1"/>
                <w:kern w:val="0"/>
                <w:szCs w:val="21"/>
                <w14:textFill>
                  <w14:solidFill>
                    <w14:schemeClr w14:val="tx1"/>
                  </w14:solidFill>
                </w14:textFill>
              </w:rPr>
              <w:t>4、对技术复杂的货物，采购人应请国家认可的专业检测机构参与初步验收及最终验收，并由其出具质量检测报告。</w:t>
            </w:r>
          </w:p>
          <w:p w14:paraId="23E61443">
            <w:pPr>
              <w:rPr>
                <w:rFonts w:cs="宋体"/>
                <w:snapToGrid w:val="0"/>
                <w:color w:val="000000" w:themeColor="text1"/>
                <w:kern w:val="0"/>
                <w:szCs w:val="21"/>
                <w14:textFill>
                  <w14:solidFill>
                    <w14:schemeClr w14:val="tx1"/>
                  </w14:solidFill>
                </w14:textFill>
              </w:rPr>
            </w:pPr>
            <w:r>
              <w:rPr>
                <w:rFonts w:hint="eastAsia" w:cs="宋体"/>
                <w:snapToGrid w:val="0"/>
                <w:color w:val="000000" w:themeColor="text1"/>
                <w:kern w:val="0"/>
                <w:szCs w:val="21"/>
                <w14:textFill>
                  <w14:solidFill>
                    <w14:schemeClr w14:val="tx1"/>
                  </w14:solidFill>
                </w14:textFill>
              </w:rPr>
              <w:t>5、验收时投标人必须在现场，验收完毕后作出验收结果报告。</w:t>
            </w:r>
          </w:p>
          <w:p w14:paraId="32D7CA9D">
            <w:pPr>
              <w:rPr>
                <w:rFonts w:cs="宋体"/>
                <w:snapToGrid w:val="0"/>
                <w:color w:val="000000" w:themeColor="text1"/>
                <w:kern w:val="0"/>
                <w:szCs w:val="21"/>
                <w14:textFill>
                  <w14:solidFill>
                    <w14:schemeClr w14:val="tx1"/>
                  </w14:solidFill>
                </w14:textFill>
              </w:rPr>
            </w:pPr>
            <w:r>
              <w:rPr>
                <w:rFonts w:hint="eastAsia" w:cs="宋体"/>
                <w:snapToGrid w:val="0"/>
                <w:color w:val="000000" w:themeColor="text1"/>
                <w:kern w:val="0"/>
                <w:szCs w:val="21"/>
                <w14:textFill>
                  <w14:solidFill>
                    <w14:schemeClr w14:val="tx1"/>
                  </w14:solidFill>
                </w14:textFill>
              </w:rPr>
              <w:t>6、采购人对设备质量有重大异议，投标人应同意由采购人将设备提交国家法定检测机构鉴定，如检测结果证明产品无质量问题，由采购人承担检测费用；如检测结果证明产品有质量问题，由投标人承担检测费用，同时投标人同意采购人无条件退货并合同条款支付违约赔偿金。</w:t>
            </w:r>
          </w:p>
          <w:p w14:paraId="64F38290">
            <w:pPr>
              <w:rPr>
                <w:rFonts w:cs="宋体"/>
                <w:color w:val="000000" w:themeColor="text1"/>
                <w:szCs w:val="21"/>
                <w14:textFill>
                  <w14:solidFill>
                    <w14:schemeClr w14:val="tx1"/>
                  </w14:solidFill>
                </w14:textFill>
              </w:rPr>
            </w:pPr>
            <w:r>
              <w:rPr>
                <w:rFonts w:hint="eastAsia" w:cs="宋体"/>
                <w:snapToGrid w:val="0"/>
                <w:color w:val="000000" w:themeColor="text1"/>
                <w:kern w:val="0"/>
                <w:szCs w:val="21"/>
                <w14:textFill>
                  <w14:solidFill>
                    <w14:schemeClr w14:val="tx1"/>
                  </w14:solidFill>
                </w14:textFill>
              </w:rPr>
              <w:t>7、合格</w:t>
            </w:r>
            <w:r>
              <w:rPr>
                <w:rFonts w:hint="eastAsia" w:cs="宋体"/>
                <w:color w:val="000000" w:themeColor="text1"/>
                <w:szCs w:val="21"/>
                <w14:textFill>
                  <w14:solidFill>
                    <w14:schemeClr w14:val="tx1"/>
                  </w14:solidFill>
                </w14:textFill>
              </w:rPr>
              <w:t>与否以采购人验收报告为准。</w:t>
            </w:r>
          </w:p>
        </w:tc>
      </w:tr>
      <w:tr w14:paraId="713EF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38" w:type="dxa"/>
            <w:tcBorders>
              <w:top w:val="single" w:color="auto" w:sz="4" w:space="0"/>
              <w:bottom w:val="single" w:color="auto" w:sz="4" w:space="0"/>
              <w:right w:val="single" w:color="auto" w:sz="4" w:space="0"/>
            </w:tcBorders>
            <w:vAlign w:val="center"/>
          </w:tcPr>
          <w:p w14:paraId="6137750F">
            <w:pPr>
              <w:jc w:val="center"/>
              <w:rPr>
                <w:rFonts w:cs="宋体"/>
                <w:snapToGrid w:val="0"/>
                <w:color w:val="000000" w:themeColor="text1"/>
                <w:kern w:val="0"/>
                <w:szCs w:val="21"/>
                <w14:textFill>
                  <w14:solidFill>
                    <w14:schemeClr w14:val="tx1"/>
                  </w14:solidFill>
                </w14:textFill>
              </w:rPr>
            </w:pPr>
            <w:r>
              <w:rPr>
                <w:rFonts w:hint="eastAsia" w:cs="宋体"/>
                <w:snapToGrid w:val="0"/>
                <w:color w:val="000000" w:themeColor="text1"/>
                <w:kern w:val="0"/>
                <w:szCs w:val="21"/>
                <w14:textFill>
                  <w14:solidFill>
                    <w14:schemeClr w14:val="tx1"/>
                  </w14:solidFill>
                </w14:textFill>
              </w:rPr>
              <w:t>培训</w:t>
            </w:r>
          </w:p>
        </w:tc>
        <w:tc>
          <w:tcPr>
            <w:tcW w:w="6987" w:type="dxa"/>
            <w:tcBorders>
              <w:top w:val="single" w:color="auto" w:sz="4" w:space="0"/>
              <w:left w:val="single" w:color="auto" w:sz="4" w:space="0"/>
              <w:bottom w:val="single" w:color="auto" w:sz="4" w:space="0"/>
            </w:tcBorders>
            <w:vAlign w:val="center"/>
          </w:tcPr>
          <w:p w14:paraId="0A2DB36E">
            <w:pP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1、投标人应对采购人的操作人员、维修人员进行培训，费用包含在投标总价中。</w:t>
            </w:r>
          </w:p>
          <w:p w14:paraId="60B2D6F7">
            <w:pP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2、投标人应提供相应的培训计划。</w:t>
            </w:r>
          </w:p>
          <w:p w14:paraId="475EA697">
            <w:pP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3、投标人应对上述内容的实现方式、地点、人数、时间在投标文件中详细说明。</w:t>
            </w:r>
          </w:p>
        </w:tc>
      </w:tr>
    </w:tbl>
    <w:p w14:paraId="35D8D686">
      <w:pPr>
        <w:rPr>
          <w:b/>
          <w:bCs/>
        </w:rPr>
      </w:pPr>
      <w:r>
        <w:rPr>
          <w:rFonts w:hint="eastAsia"/>
          <w:b/>
          <w:bCs/>
        </w:rPr>
        <w:t>注：扶持政策说明：</w:t>
      </w:r>
    </w:p>
    <w:p w14:paraId="4422BF69">
      <w:pPr>
        <w:ind w:firstLine="480" w:firstLineChars="200"/>
      </w:pPr>
      <w:r>
        <w:rPr>
          <w:rFonts w:hint="eastAsia"/>
        </w:rPr>
        <w:t>1、本项目采购标的对应的中小企业划分标准所属行业为其他未列明行业。</w:t>
      </w:r>
    </w:p>
    <w:p w14:paraId="7E11BBFE">
      <w:pPr>
        <w:ind w:firstLine="480" w:firstLineChars="200"/>
      </w:pPr>
      <w:r>
        <w:rPr>
          <w:rFonts w:hint="eastAsia"/>
        </w:rPr>
        <w:t>2、依据《政府采购促进中小企业发展管理办法》（财库【2020】46号）规定享受扶持政策获得政府采购合同的，小微企业不得将合同分包给大中型企业，中型企业不得将合同分包给大型企业。</w:t>
      </w:r>
    </w:p>
    <w:p w14:paraId="5134A044">
      <w:pPr>
        <w:ind w:firstLine="480" w:firstLineChars="200"/>
      </w:pPr>
      <w:r>
        <w:rPr>
          <w:rFonts w:hint="eastAsia"/>
        </w:rPr>
        <w:t>3、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0F1B4A8">
      <w:pPr>
        <w:ind w:firstLine="480" w:firstLineChars="200"/>
      </w:pPr>
      <w:r>
        <w:rPr>
          <w:rFonts w:hint="eastAsia"/>
        </w:rPr>
        <w:t>4、符合中小企业划分标准的个体工商户，在政府采购活动中视同中小企业。</w:t>
      </w:r>
    </w:p>
    <w:p w14:paraId="5DF6CA82">
      <w:pPr>
        <w:ind w:firstLine="480" w:firstLineChars="200"/>
      </w:pPr>
      <w:r>
        <w:rPr>
          <w:rFonts w:hint="eastAsia"/>
        </w:rPr>
        <w:t>5、在政府采购活动中，供应商提供的货物、工程或者服务符合下列情形的，享受本办法规定的中小企业扶持政策：</w:t>
      </w:r>
    </w:p>
    <w:p w14:paraId="7490126E">
      <w:pPr>
        <w:ind w:firstLine="480" w:firstLineChars="200"/>
      </w:pPr>
      <w:r>
        <w:rPr>
          <w:rFonts w:hint="eastAsia"/>
        </w:rPr>
        <w:t>6、在货物采购项目中，货物由中小企业制造，即货物由中小企业生产且使用该中小企业商号或者注册商标；</w:t>
      </w:r>
    </w:p>
    <w:p w14:paraId="16C2CB40">
      <w:pPr>
        <w:ind w:firstLine="480" w:firstLineChars="200"/>
      </w:pPr>
      <w:r>
        <w:rPr>
          <w:rFonts w:hint="eastAsia"/>
        </w:rPr>
        <w:t>7、在工程采购项目中，工程由中小企业承建，即工程施工单位为中小企业；</w:t>
      </w:r>
    </w:p>
    <w:p w14:paraId="084C357B">
      <w:pPr>
        <w:ind w:firstLine="480" w:firstLineChars="200"/>
      </w:pPr>
      <w:r>
        <w:rPr>
          <w:rFonts w:hint="eastAsia"/>
        </w:rPr>
        <w:t>8、在服务采购项目中，服务由中小企业承接，即提供服务的人员为中小企业依照《中华人民共和国劳动合同法》订立劳动合同的从业人员。</w:t>
      </w:r>
    </w:p>
    <w:p w14:paraId="34C7AE89">
      <w:pPr>
        <w:ind w:firstLine="480" w:firstLineChars="200"/>
      </w:pPr>
      <w:r>
        <w:rPr>
          <w:rFonts w:hint="eastAsia"/>
        </w:rPr>
        <w:t>9、在货物采购项目中，供应商提供的货物既有中小企业制造货物，也有大型企业制造货物的，不享受本办法规定的中小企业扶持政策。</w:t>
      </w:r>
    </w:p>
    <w:p w14:paraId="1635B57C">
      <w:pPr>
        <w:ind w:firstLine="480" w:firstLineChars="200"/>
      </w:pPr>
      <w:r>
        <w:rPr>
          <w:rFonts w:hint="eastAsia"/>
        </w:rPr>
        <w:t>10、以联合体形式参加政府采购活动，联合体各方均为中小企业的，联合体视同中小企业。其中，联合体各方均为小微企业的，联合体视同小微企业。</w:t>
      </w:r>
    </w:p>
    <w:p w14:paraId="229CF34F">
      <w:pPr>
        <w:ind w:firstLine="480" w:firstLineChars="200"/>
      </w:pPr>
      <w:r>
        <w:rPr>
          <w:rFonts w:hint="eastAsia"/>
        </w:rPr>
        <w:t>11、监狱企业参加政府采购提供《监狱企业声明函》（见附件）及其相关的充分的证明材料的，视为小型、微型企业，享受小微企业政策扶持；监狱企业属于小型、微型企业的，不重复享受政策。</w:t>
      </w:r>
    </w:p>
    <w:p w14:paraId="75D06203">
      <w:pPr>
        <w:ind w:firstLine="480" w:firstLineChars="200"/>
      </w:pPr>
      <w:r>
        <w:rPr>
          <w:rFonts w:hint="eastAsia"/>
        </w:rPr>
        <w:t>12、残疾人福利性单位参加政府采购提供《残疾人福利性单位声明函》（格式见附件），视为小型、微型企业，享受小微企业政策扶持；残疾人福利性单位属于小型、微型企业的，不重复享受政策。</w:t>
      </w:r>
    </w:p>
    <w:p w14:paraId="33FE5CE6">
      <w:pPr>
        <w:ind w:firstLine="480" w:firstLineChars="200"/>
      </w:pPr>
      <w:r>
        <w:rPr>
          <w:rFonts w:hint="eastAsia"/>
        </w:rPr>
        <w:t>13、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p>
    <w:p w14:paraId="3279D61D">
      <w:pPr>
        <w:widowControl/>
        <w:spacing w:line="240" w:lineRule="auto"/>
        <w:jc w:val="left"/>
      </w:pPr>
      <w:r>
        <w:br w:type="page"/>
      </w:r>
    </w:p>
    <w:p w14:paraId="0CDDFA74">
      <w:pPr>
        <w:pStyle w:val="2"/>
      </w:pPr>
      <w:bookmarkStart w:id="4" w:name="_Toc130455799"/>
      <w:r>
        <w:rPr>
          <w:rFonts w:hint="eastAsia"/>
        </w:rPr>
        <w:t>第三章 供应商须知</w:t>
      </w:r>
      <w:bookmarkEnd w:id="4"/>
    </w:p>
    <w:p w14:paraId="00F21E1A">
      <w:pPr>
        <w:pStyle w:val="3"/>
        <w:jc w:val="center"/>
      </w:pPr>
      <w:bookmarkStart w:id="5" w:name="_Toc130455800"/>
      <w:r>
        <w:rPr>
          <w:rFonts w:hint="eastAsia"/>
        </w:rPr>
        <w:t>前附表</w:t>
      </w:r>
      <w:bookmarkEnd w:id="5"/>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072"/>
      </w:tblGrid>
      <w:tr w14:paraId="262D9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2D02549">
            <w:pPr>
              <w:jc w:val="center"/>
            </w:pPr>
            <w:r>
              <w:rPr>
                <w:rFonts w:hint="eastAsia"/>
              </w:rPr>
              <w:t>序号</w:t>
            </w:r>
          </w:p>
        </w:tc>
        <w:tc>
          <w:tcPr>
            <w:tcW w:w="8072" w:type="dxa"/>
            <w:vAlign w:val="center"/>
          </w:tcPr>
          <w:p w14:paraId="51E1BEA7">
            <w:pPr>
              <w:jc w:val="center"/>
            </w:pPr>
            <w:r>
              <w:rPr>
                <w:rFonts w:hint="eastAsia"/>
              </w:rPr>
              <w:t>内容、要求</w:t>
            </w:r>
          </w:p>
        </w:tc>
      </w:tr>
      <w:tr w14:paraId="2D8A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52A1A50">
            <w:pPr>
              <w:jc w:val="center"/>
            </w:pPr>
            <w:r>
              <w:rPr>
                <w:rFonts w:hint="eastAsia"/>
              </w:rPr>
              <w:t>1</w:t>
            </w:r>
          </w:p>
        </w:tc>
        <w:tc>
          <w:tcPr>
            <w:tcW w:w="8072" w:type="dxa"/>
            <w:vAlign w:val="center"/>
          </w:tcPr>
          <w:p w14:paraId="600698B7">
            <w:r>
              <w:rPr>
                <w:rFonts w:hint="eastAsia"/>
              </w:rPr>
              <w:t>项目名称：</w:t>
            </w:r>
            <w:r>
              <w:rPr>
                <w:rFonts w:hint="eastAsia" w:ascii="仿宋" w:hAnsi="仿宋"/>
              </w:rPr>
              <w:t>湖州职业技术学院虚拟仿真实训教学管理平台等软件采购项目</w:t>
            </w:r>
          </w:p>
        </w:tc>
      </w:tr>
      <w:tr w14:paraId="75D90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A722545">
            <w:pPr>
              <w:jc w:val="center"/>
            </w:pPr>
            <w:r>
              <w:rPr>
                <w:rFonts w:hint="eastAsia"/>
              </w:rPr>
              <w:t>2</w:t>
            </w:r>
          </w:p>
        </w:tc>
        <w:tc>
          <w:tcPr>
            <w:tcW w:w="8072" w:type="dxa"/>
            <w:vAlign w:val="center"/>
          </w:tcPr>
          <w:p w14:paraId="491FBA38">
            <w:r>
              <w:rPr>
                <w:rFonts w:hint="eastAsia"/>
              </w:rPr>
              <w:t>采购内容及数量：详见第二章采购需求</w:t>
            </w:r>
          </w:p>
        </w:tc>
      </w:tr>
      <w:tr w14:paraId="53760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2485721">
            <w:pPr>
              <w:jc w:val="center"/>
            </w:pPr>
            <w:r>
              <w:rPr>
                <w:rFonts w:hint="eastAsia"/>
              </w:rPr>
              <w:t>3</w:t>
            </w:r>
          </w:p>
        </w:tc>
        <w:tc>
          <w:tcPr>
            <w:tcW w:w="8072" w:type="dxa"/>
            <w:vAlign w:val="center"/>
          </w:tcPr>
          <w:p w14:paraId="05A22440">
            <w:r>
              <w:rPr>
                <w:rFonts w:hint="eastAsia"/>
              </w:rPr>
              <w:t>投标保证金：无</w:t>
            </w:r>
          </w:p>
        </w:tc>
      </w:tr>
      <w:tr w14:paraId="4F85F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FF8A121">
            <w:pPr>
              <w:jc w:val="center"/>
            </w:pPr>
            <w:r>
              <w:rPr>
                <w:rFonts w:hint="eastAsia"/>
              </w:rPr>
              <w:t>4</w:t>
            </w:r>
          </w:p>
        </w:tc>
        <w:tc>
          <w:tcPr>
            <w:tcW w:w="8072" w:type="dxa"/>
            <w:vAlign w:val="center"/>
          </w:tcPr>
          <w:p w14:paraId="43BD8935">
            <w:r>
              <w:rPr>
                <w:rFonts w:hint="eastAsia"/>
              </w:rPr>
              <w:t>投标报价及费用：</w:t>
            </w:r>
            <w:r>
              <w:t>1</w:t>
            </w:r>
            <w:r>
              <w:rPr>
                <w:rFonts w:hint="eastAsia"/>
              </w:rPr>
              <w:t>、本项目投标应以人民币报价；</w:t>
            </w:r>
            <w:r>
              <w:t>2</w:t>
            </w:r>
            <w:r>
              <w:rPr>
                <w:rFonts w:hint="eastAsia"/>
              </w:rPr>
              <w:t>、不论投标结果如何，供应商均应自行承担所有与投标有关的全部费用；本项目招标代理服务费按人民币标项一4000元；标项二4000元；标项三4000元计取，在确定中标供应商后，领取中标通知书前，由中标供应商全额支付，请各供应商自行考虑计入投标报价中。</w:t>
            </w:r>
          </w:p>
        </w:tc>
      </w:tr>
      <w:tr w14:paraId="3FE6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CC3D350">
            <w:pPr>
              <w:jc w:val="center"/>
            </w:pPr>
            <w:r>
              <w:rPr>
                <w:rFonts w:hint="eastAsia"/>
              </w:rPr>
              <w:t>5</w:t>
            </w:r>
          </w:p>
        </w:tc>
        <w:tc>
          <w:tcPr>
            <w:tcW w:w="8072" w:type="dxa"/>
            <w:vAlign w:val="center"/>
          </w:tcPr>
          <w:p w14:paraId="2FF25412">
            <w:r>
              <w:rPr>
                <w:rFonts w:hint="eastAsia"/>
              </w:rPr>
              <w:t>答疑与澄清：供应商如认为采购文件表述不清晰、存在歧视性或者其他违法内容的，可以在自获取采购文件之日或者采购文件公告期限届满之日起</w:t>
            </w:r>
            <w:r>
              <w:t>7个工作日内，以书面形式向采购人、采购代理机构提出质疑，根据《中华人民共和国财政部令第94号-政府采购质疑和投诉办法》第十条第二款规定，供应商在法定质疑期内须一次性提出针对同一采购程序环节的质疑，否则采购代理机构有权拒绝第一次质疑以外其他所有质疑。答疑内容是</w:t>
            </w:r>
            <w:r>
              <w:rPr>
                <w:rFonts w:hint="eastAsia"/>
              </w:rPr>
              <w:t>采购</w:t>
            </w:r>
            <w:r>
              <w:t>文件的组成部分，并将在网上发布补充（答疑、澄清）文件，潜在供应商应自行关注网站公告，采购人不再一一通知，供应商因自身贻误行为导致投标失</w:t>
            </w:r>
            <w:r>
              <w:rPr>
                <w:rFonts w:hint="eastAsia"/>
              </w:rPr>
              <w:t>效的，责任自负。</w:t>
            </w:r>
          </w:p>
        </w:tc>
      </w:tr>
      <w:tr w14:paraId="5C2E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23DA284">
            <w:pPr>
              <w:jc w:val="center"/>
            </w:pPr>
            <w:r>
              <w:rPr>
                <w:rFonts w:hint="eastAsia"/>
              </w:rPr>
              <w:t>6</w:t>
            </w:r>
          </w:p>
        </w:tc>
        <w:tc>
          <w:tcPr>
            <w:tcW w:w="8072" w:type="dxa"/>
            <w:vAlign w:val="center"/>
          </w:tcPr>
          <w:p w14:paraId="63CF261D">
            <w:r>
              <w:rPr>
                <w:rFonts w:hint="eastAsia"/>
              </w:rPr>
              <w:t>采购预算：人民币110万元（标项一46万元，标项二35万元，标项三29万元）</w:t>
            </w:r>
          </w:p>
        </w:tc>
      </w:tr>
      <w:tr w14:paraId="698E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92C7E3F">
            <w:pPr>
              <w:jc w:val="center"/>
            </w:pPr>
            <w:r>
              <w:rPr>
                <w:rFonts w:hint="eastAsia"/>
              </w:rPr>
              <w:t>7</w:t>
            </w:r>
          </w:p>
        </w:tc>
        <w:tc>
          <w:tcPr>
            <w:tcW w:w="8072" w:type="dxa"/>
            <w:vAlign w:val="center"/>
          </w:tcPr>
          <w:p w14:paraId="1D02E43D">
            <w:pPr>
              <w:rPr>
                <w:rFonts w:ascii="仿宋" w:hAnsi="仿宋"/>
              </w:rPr>
            </w:pPr>
            <w:r>
              <w:rPr>
                <w:rFonts w:hint="eastAsia" w:ascii="仿宋" w:hAnsi="仿宋"/>
              </w:rPr>
              <w:t>投标文件组成：</w:t>
            </w:r>
          </w:p>
          <w:p w14:paraId="5C39B5D1">
            <w:pPr>
              <w:rPr>
                <w:rFonts w:ascii="仿宋" w:hAnsi="仿宋"/>
              </w:rPr>
            </w:pPr>
            <w:r>
              <w:rPr>
                <w:rFonts w:hint="eastAsia" w:ascii="仿宋" w:hAnsi="仿宋"/>
              </w:rPr>
              <w:t>（1）投标文件组成：资格文件、技术商务资信及其他文件、报价文件。</w:t>
            </w:r>
          </w:p>
          <w:p w14:paraId="7E8F19FD">
            <w:pPr>
              <w:rPr>
                <w:rFonts w:ascii="仿宋" w:hAnsi="仿宋"/>
              </w:rPr>
            </w:pPr>
            <w:r>
              <w:rPr>
                <w:rFonts w:hint="eastAsia" w:ascii="仿宋" w:hAnsi="仿宋"/>
              </w:rPr>
              <w:t>（2）投标文件编制：</w:t>
            </w:r>
          </w:p>
          <w:p w14:paraId="78C313EC">
            <w:pPr>
              <w:rPr>
                <w:rFonts w:ascii="仿宋" w:hAnsi="仿宋"/>
              </w:rPr>
            </w:pPr>
            <w:r>
              <w:rPr>
                <w:rFonts w:hint="eastAsia" w:ascii="仿宋" w:hAnsi="仿宋"/>
              </w:rPr>
              <w:t>供应商应先安装“政采云电子交易客户端”，并按照本采购文件和“政采云平台”的要求，通过“政采云电子交易客户端”编制并加密投标文件。</w:t>
            </w:r>
          </w:p>
          <w:p w14:paraId="45E90ADB">
            <w:pPr>
              <w:rPr>
                <w:rFonts w:ascii="仿宋" w:hAnsi="仿宋"/>
              </w:rPr>
            </w:pPr>
            <w:r>
              <w:rPr>
                <w:rFonts w:hint="eastAsia" w:ascii="仿宋" w:hAnsi="仿宋"/>
              </w:rPr>
              <w:t>（3）投标文件的形式：</w:t>
            </w:r>
          </w:p>
          <w:p w14:paraId="3AD8BB70">
            <w:pPr>
              <w:rPr>
                <w:rFonts w:ascii="仿宋" w:hAnsi="仿宋"/>
              </w:rPr>
            </w:pPr>
            <w:r>
              <w:rPr>
                <w:rFonts w:hint="eastAsia" w:ascii="仿宋" w:hAnsi="仿宋"/>
              </w:rPr>
              <w:t>电子投标文件：“电子加密投标文件”，供应商还可以提供“备份投标文件”，在投标文件编制完成后同时生成。</w:t>
            </w:r>
          </w:p>
          <w:p w14:paraId="50EE0DB9">
            <w:pPr>
              <w:rPr>
                <w:rFonts w:ascii="仿宋" w:hAnsi="仿宋"/>
              </w:rPr>
            </w:pPr>
            <w:r>
              <w:rPr>
                <w:rFonts w:hint="eastAsia" w:ascii="仿宋" w:hAnsi="仿宋"/>
              </w:rPr>
              <w:t>（4）投标文件份数：</w:t>
            </w:r>
          </w:p>
          <w:p w14:paraId="270052FE">
            <w:r>
              <w:rPr>
                <w:rFonts w:hint="eastAsia" w:ascii="仿宋" w:hAnsi="仿宋"/>
              </w:rPr>
              <w:t>“电子加密投标文件”：在线上传递交一份；“备份投标文件”（供应商如需提供的）；</w:t>
            </w:r>
          </w:p>
        </w:tc>
      </w:tr>
      <w:tr w14:paraId="145E0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A5F9B31">
            <w:pPr>
              <w:jc w:val="center"/>
            </w:pPr>
            <w:r>
              <w:rPr>
                <w:rFonts w:hint="eastAsia"/>
              </w:rPr>
              <w:t>8</w:t>
            </w:r>
          </w:p>
        </w:tc>
        <w:tc>
          <w:tcPr>
            <w:tcW w:w="8072" w:type="dxa"/>
            <w:vAlign w:val="center"/>
          </w:tcPr>
          <w:p w14:paraId="5B44B9A9">
            <w:pPr>
              <w:rPr>
                <w:rFonts w:ascii="仿宋" w:hAnsi="仿宋"/>
              </w:rPr>
            </w:pPr>
            <w:r>
              <w:rPr>
                <w:rFonts w:hint="eastAsia" w:ascii="仿宋" w:hAnsi="仿宋"/>
              </w:rPr>
              <w:t>投标文件的制作、递交：</w:t>
            </w:r>
          </w:p>
          <w:p w14:paraId="6120887E">
            <w:pPr>
              <w:rPr>
                <w:rFonts w:ascii="仿宋" w:hAnsi="仿宋"/>
              </w:rPr>
            </w:pPr>
            <w:r>
              <w:rPr>
                <w:rFonts w:hint="eastAsia" w:ascii="仿宋" w:hAnsi="仿宋"/>
              </w:rPr>
              <w:t>1、本项目实行电子招投标。</w:t>
            </w:r>
          </w:p>
          <w:p w14:paraId="2C12E694">
            <w:pPr>
              <w:rPr>
                <w:rFonts w:ascii="仿宋" w:hAnsi="仿宋"/>
              </w:rPr>
            </w:pPr>
            <w:r>
              <w:rPr>
                <w:rFonts w:hint="eastAsia" w:ascii="仿宋" w:hAnsi="仿宋"/>
              </w:rPr>
              <w:t>2、供应商应按要求提供电子投标文件：（1）按政采云平台项目采购-电子交易操作指南及本采购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p>
          <w:p w14:paraId="5B7CE8A1">
            <w:pPr>
              <w:rPr>
                <w:rFonts w:ascii="仿宋" w:hAnsi="仿宋"/>
              </w:rPr>
            </w:pPr>
            <w:r>
              <w:rPr>
                <w:rFonts w:hint="eastAsia" w:ascii="仿宋" w:hAnsi="仿宋"/>
              </w:rPr>
              <w:t>（2）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递交的投标文件，电子交易平台将拒收。</w:t>
            </w:r>
          </w:p>
          <w:p w14:paraId="766998E8">
            <w:pPr>
              <w:rPr>
                <w:rFonts w:ascii="仿宋" w:hAnsi="仿宋"/>
              </w:rPr>
            </w:pPr>
            <w:r>
              <w:rPr>
                <w:rFonts w:hint="eastAsia" w:ascii="仿宋" w:hAnsi="仿宋"/>
              </w:rPr>
              <w:t>（3）“电子加密投标文件”成功上传递交后，供应商可自行打印投标文件接收回执。</w:t>
            </w:r>
          </w:p>
          <w:p w14:paraId="271FBF53">
            <w:pPr>
              <w:rPr>
                <w:rFonts w:ascii="仿宋" w:hAnsi="仿宋"/>
              </w:rPr>
            </w:pPr>
            <w:r>
              <w:rPr>
                <w:rFonts w:hint="eastAsia" w:ascii="仿宋" w:hAnsi="仿宋"/>
              </w:rPr>
              <w:t>（4）供应商如需提交数据电子备份投标文件（U盘）的，可采取下列两种方式递交：</w:t>
            </w:r>
          </w:p>
          <w:p w14:paraId="1B001D64">
            <w:pPr>
              <w:rPr>
                <w:rFonts w:ascii="仿宋" w:hAnsi="仿宋"/>
              </w:rPr>
            </w:pPr>
            <w:r>
              <w:rPr>
                <w:rFonts w:hint="eastAsia" w:ascii="仿宋" w:hAnsi="仿宋"/>
              </w:rPr>
              <w:t>1）如</w:t>
            </w:r>
            <w:r>
              <w:rPr>
                <w:rFonts w:ascii="仿宋" w:hAnsi="仿宋"/>
              </w:rPr>
              <w:t>通过邮寄快递方式送达，邮寄地址为：</w:t>
            </w:r>
            <w:r>
              <w:rPr>
                <w:rFonts w:hint="eastAsia" w:ascii="仿宋" w:hAnsi="仿宋"/>
              </w:rPr>
              <w:t>浙江省成套招标代理有限公司（</w:t>
            </w:r>
            <w:r>
              <w:rPr>
                <w:rFonts w:hint="eastAsia"/>
              </w:rPr>
              <w:t>浙江省湖州市凤凰路137号国际贸易大厦9楼906室</w:t>
            </w:r>
            <w:r>
              <w:rPr>
                <w:rFonts w:hint="eastAsia" w:ascii="仿宋" w:hAnsi="仿宋"/>
              </w:rPr>
              <w:t>）</w:t>
            </w:r>
            <w:r>
              <w:rPr>
                <w:rFonts w:ascii="仿宋" w:hAnsi="仿宋"/>
              </w:rPr>
              <w:t>，联系人：</w:t>
            </w:r>
            <w:r>
              <w:rPr>
                <w:rFonts w:hint="eastAsia" w:ascii="仿宋" w:hAnsi="仿宋"/>
              </w:rPr>
              <w:t>顾先生</w:t>
            </w:r>
            <w:r>
              <w:rPr>
                <w:rFonts w:ascii="仿宋" w:hAnsi="仿宋"/>
              </w:rPr>
              <w:t>，联系电话：</w:t>
            </w:r>
            <w:r>
              <w:rPr>
                <w:rFonts w:hint="eastAsia" w:ascii="仿宋" w:hAnsi="仿宋"/>
              </w:rPr>
              <w:t>15167296678</w:t>
            </w:r>
            <w:r>
              <w:rPr>
                <w:rFonts w:ascii="仿宋" w:hAnsi="仿宋"/>
              </w:rPr>
              <w:t>。邮寄截止时间：投标单位应于</w:t>
            </w:r>
            <w:r>
              <w:rPr>
                <w:rFonts w:hint="eastAsia" w:ascii="仿宋" w:hAnsi="仿宋"/>
              </w:rPr>
              <w:t>2025年</w:t>
            </w:r>
            <w:r>
              <w:rPr>
                <w:rFonts w:hint="eastAsia" w:ascii="仿宋" w:hAnsi="仿宋"/>
                <w:lang w:val="en-US" w:eastAsia="zh-CN"/>
              </w:rPr>
              <w:t>7</w:t>
            </w:r>
            <w:r>
              <w:rPr>
                <w:rFonts w:ascii="仿宋" w:hAnsi="仿宋"/>
              </w:rPr>
              <w:t>月</w:t>
            </w:r>
            <w:r>
              <w:rPr>
                <w:rFonts w:hint="eastAsia" w:ascii="仿宋" w:hAnsi="仿宋"/>
                <w:lang w:val="en-US" w:eastAsia="zh-CN"/>
              </w:rPr>
              <w:t>21</w:t>
            </w:r>
            <w:r>
              <w:rPr>
                <w:rFonts w:ascii="仿宋" w:hAnsi="仿宋"/>
              </w:rPr>
              <w:t>日16</w:t>
            </w:r>
            <w:r>
              <w:rPr>
                <w:rFonts w:hint="eastAsia" w:ascii="仿宋" w:hAnsi="仿宋"/>
              </w:rPr>
              <w:t>时3</w:t>
            </w:r>
            <w:r>
              <w:rPr>
                <w:rFonts w:ascii="仿宋" w:hAnsi="仿宋"/>
              </w:rPr>
              <w:t>0</w:t>
            </w:r>
            <w:r>
              <w:rPr>
                <w:rFonts w:hint="eastAsia" w:ascii="仿宋" w:hAnsi="仿宋"/>
              </w:rPr>
              <w:t>分</w:t>
            </w:r>
            <w:r>
              <w:rPr>
                <w:rFonts w:ascii="仿宋" w:hAnsi="仿宋"/>
              </w:rPr>
              <w:t>前准时送达，逾期不予受理。</w:t>
            </w:r>
          </w:p>
          <w:p w14:paraId="04EDE939">
            <w:pPr>
              <w:rPr>
                <w:b/>
                <w:bCs/>
              </w:rPr>
            </w:pPr>
            <w:r>
              <w:rPr>
                <w:rFonts w:hint="eastAsia" w:ascii="仿宋" w:hAnsi="仿宋"/>
              </w:rPr>
              <w:t>2）</w:t>
            </w:r>
            <w:r>
              <w:rPr>
                <w:rFonts w:ascii="仿宋" w:hAnsi="仿宋"/>
              </w:rPr>
              <w:t>如现场提交备份响应文件（</w:t>
            </w:r>
            <w:r>
              <w:rPr>
                <w:rFonts w:hint="eastAsia" w:ascii="仿宋" w:hAnsi="仿宋"/>
              </w:rPr>
              <w:t>U盘</w:t>
            </w:r>
            <w:r>
              <w:rPr>
                <w:rFonts w:ascii="仿宋" w:hAnsi="仿宋"/>
              </w:rPr>
              <w:t>）的，</w:t>
            </w:r>
            <w:r>
              <w:rPr>
                <w:rFonts w:hint="eastAsia" w:ascii="仿宋" w:hAnsi="仿宋"/>
              </w:rPr>
              <w:t>应在投标截止时间前于开标现场以密封、包装的形式递交</w:t>
            </w:r>
            <w:r>
              <w:rPr>
                <w:rFonts w:ascii="仿宋" w:hAnsi="仿宋"/>
              </w:rPr>
              <w:t>，逾期不予受理。</w:t>
            </w:r>
          </w:p>
        </w:tc>
      </w:tr>
      <w:tr w14:paraId="48AD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DC50371">
            <w:pPr>
              <w:jc w:val="center"/>
            </w:pPr>
            <w:r>
              <w:rPr>
                <w:rFonts w:hint="eastAsia"/>
              </w:rPr>
              <w:t>9</w:t>
            </w:r>
          </w:p>
        </w:tc>
        <w:tc>
          <w:tcPr>
            <w:tcW w:w="8072" w:type="dxa"/>
            <w:vAlign w:val="center"/>
          </w:tcPr>
          <w:p w14:paraId="414A493B">
            <w:pPr>
              <w:rPr>
                <w:rFonts w:ascii="仿宋" w:hAnsi="仿宋"/>
              </w:rPr>
            </w:pPr>
            <w:r>
              <w:rPr>
                <w:rFonts w:hint="eastAsia" w:ascii="仿宋" w:hAnsi="仿宋"/>
              </w:rPr>
              <w:t>投标截止时间：</w:t>
            </w:r>
            <w:r>
              <w:rPr>
                <w:rFonts w:hint="eastAsia"/>
              </w:rPr>
              <w:t>2025年</w:t>
            </w:r>
            <w:r>
              <w:rPr>
                <w:rFonts w:hint="eastAsia"/>
                <w:bCs/>
                <w:lang w:val="en-US" w:eastAsia="zh-CN"/>
              </w:rPr>
              <w:t>7</w:t>
            </w:r>
            <w:r>
              <w:rPr>
                <w:rFonts w:hint="eastAsia"/>
                <w:bCs/>
              </w:rPr>
              <w:t>月</w:t>
            </w:r>
            <w:r>
              <w:rPr>
                <w:rFonts w:hint="eastAsia"/>
                <w:bCs/>
                <w:lang w:val="en-US" w:eastAsia="zh-CN"/>
              </w:rPr>
              <w:t>22</w:t>
            </w:r>
            <w:r>
              <w:rPr>
                <w:rFonts w:hint="eastAsia"/>
                <w:bCs/>
              </w:rPr>
              <w:t>日</w:t>
            </w:r>
            <w:r>
              <w:rPr>
                <w:bCs/>
              </w:rPr>
              <w:t>9</w:t>
            </w:r>
            <w:r>
              <w:rPr>
                <w:rFonts w:hint="eastAsia"/>
                <w:bCs/>
              </w:rPr>
              <w:t>时</w:t>
            </w:r>
            <w:r>
              <w:rPr>
                <w:bCs/>
              </w:rPr>
              <w:t>30</w:t>
            </w:r>
            <w:r>
              <w:rPr>
                <w:rFonts w:hint="eastAsia"/>
                <w:bCs/>
              </w:rPr>
              <w:t>分</w:t>
            </w:r>
          </w:p>
          <w:p w14:paraId="79DFEA27">
            <w:pPr>
              <w:rPr>
                <w:rFonts w:ascii="仿宋" w:hAnsi="仿宋"/>
              </w:rPr>
            </w:pPr>
            <w:r>
              <w:rPr>
                <w:rFonts w:hint="eastAsia" w:ascii="仿宋" w:hAnsi="仿宋"/>
              </w:rPr>
              <w:t>地点：湖州市公共资源交易中心2号楼二楼开标室（湖州市仁皇山片区金盖山路66号），具体详见二楼休息区电子显示屏。</w:t>
            </w:r>
          </w:p>
        </w:tc>
      </w:tr>
      <w:tr w14:paraId="5A37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C81AB91">
            <w:pPr>
              <w:jc w:val="center"/>
            </w:pPr>
            <w:r>
              <w:rPr>
                <w:rFonts w:hint="eastAsia"/>
              </w:rPr>
              <w:t>1</w:t>
            </w:r>
            <w:r>
              <w:t>0</w:t>
            </w:r>
          </w:p>
        </w:tc>
        <w:tc>
          <w:tcPr>
            <w:tcW w:w="8072" w:type="dxa"/>
            <w:vAlign w:val="center"/>
          </w:tcPr>
          <w:p w14:paraId="07829A30">
            <w:pPr>
              <w:rPr>
                <w:rFonts w:ascii="仿宋" w:hAnsi="仿宋"/>
                <w:sz w:val="21"/>
                <w:szCs w:val="21"/>
              </w:rPr>
            </w:pPr>
            <w:r>
              <w:rPr>
                <w:rFonts w:hint="eastAsia" w:ascii="仿宋" w:hAnsi="仿宋"/>
              </w:rPr>
              <w:t>开标时间：</w:t>
            </w:r>
            <w:r>
              <w:rPr>
                <w:rFonts w:hint="eastAsia"/>
              </w:rPr>
              <w:t>2025年</w:t>
            </w:r>
            <w:r>
              <w:rPr>
                <w:rFonts w:hint="eastAsia"/>
                <w:bCs/>
                <w:lang w:val="en-US" w:eastAsia="zh-CN"/>
              </w:rPr>
              <w:t>7</w:t>
            </w:r>
            <w:r>
              <w:rPr>
                <w:rFonts w:hint="eastAsia"/>
                <w:bCs/>
              </w:rPr>
              <w:t>月</w:t>
            </w:r>
            <w:r>
              <w:rPr>
                <w:rFonts w:hint="eastAsia"/>
                <w:bCs/>
                <w:lang w:val="en-US" w:eastAsia="zh-CN"/>
              </w:rPr>
              <w:t>22</w:t>
            </w:r>
            <w:r>
              <w:rPr>
                <w:rFonts w:hint="eastAsia"/>
                <w:bCs/>
              </w:rPr>
              <w:t>日</w:t>
            </w:r>
            <w:r>
              <w:rPr>
                <w:bCs/>
              </w:rPr>
              <w:t>9</w:t>
            </w:r>
            <w:r>
              <w:rPr>
                <w:rFonts w:hint="eastAsia"/>
                <w:bCs/>
              </w:rPr>
              <w:t>时</w:t>
            </w:r>
            <w:r>
              <w:rPr>
                <w:bCs/>
              </w:rPr>
              <w:t>30</w:t>
            </w:r>
            <w:r>
              <w:rPr>
                <w:rFonts w:hint="eastAsia"/>
                <w:bCs/>
              </w:rPr>
              <w:t>分</w:t>
            </w:r>
            <w:bookmarkStart w:id="31" w:name="_GoBack"/>
            <w:bookmarkEnd w:id="31"/>
          </w:p>
          <w:p w14:paraId="6A40B031">
            <w:pPr>
              <w:rPr>
                <w:rFonts w:ascii="仿宋" w:hAnsi="仿宋"/>
              </w:rPr>
            </w:pPr>
            <w:r>
              <w:rPr>
                <w:rFonts w:hint="eastAsia" w:ascii="仿宋" w:hAnsi="仿宋"/>
              </w:rPr>
              <w:t>开标地点：湖州市公共资源交易中心2号楼二楼开标室（湖州市仁皇山片区金盖山路66号），具体详见二楼休息区电子显示屏。</w:t>
            </w:r>
          </w:p>
          <w:p w14:paraId="25B109F7">
            <w:pPr>
              <w:rPr>
                <w:rFonts w:ascii="仿宋" w:hAnsi="仿宋"/>
              </w:rPr>
            </w:pPr>
            <w:r>
              <w:rPr>
                <w:rFonts w:hint="eastAsia" w:ascii="仿宋" w:hAnsi="仿宋"/>
              </w:rPr>
              <w:t>1、开标后，采购组织机构将向各供应商发出“电子加密投标文件”的解密通知，各供应商代表应当在接到解密通知后30分钟内自行完成“电子加密投标文件”的在线解密。</w:t>
            </w:r>
          </w:p>
          <w:p w14:paraId="7285E868">
            <w:pPr>
              <w:rPr>
                <w:rFonts w:ascii="仿宋" w:hAnsi="仿宋"/>
              </w:rPr>
            </w:pPr>
            <w:r>
              <w:rPr>
                <w:rFonts w:hint="eastAsia" w:ascii="仿宋" w:hAnsi="仿宋"/>
              </w:rPr>
              <w:t>2、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供应商仅递交备份投标文件的，投标无效。</w:t>
            </w:r>
          </w:p>
          <w:p w14:paraId="1AF29C4E">
            <w:pPr>
              <w:rPr>
                <w:rFonts w:ascii="仿宋" w:hAnsi="仿宋"/>
              </w:rPr>
            </w:pPr>
            <w:r>
              <w:rPr>
                <w:rFonts w:hint="eastAsia" w:ascii="仿宋" w:hAnsi="仿宋"/>
              </w:rPr>
              <w:t>3、为保障解密成功，派授权代表出席的供应商携带笔记本电脑及CA数字证书至开标现场完成传输、解密等事宜。（交易中心不提供无线网络，请供应商自行解决上网问题）；</w:t>
            </w:r>
            <w:r>
              <w:rPr>
                <w:rFonts w:hint="eastAsia"/>
              </w:rPr>
              <w:t>在线参加开标的供应商请随身携带CA数字证书。</w:t>
            </w:r>
          </w:p>
        </w:tc>
      </w:tr>
      <w:tr w14:paraId="44C6F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CE2A2CE">
            <w:pPr>
              <w:jc w:val="center"/>
            </w:pPr>
            <w:r>
              <w:rPr>
                <w:rFonts w:hint="eastAsia"/>
              </w:rPr>
              <w:t>1</w:t>
            </w:r>
            <w:r>
              <w:t>1</w:t>
            </w:r>
          </w:p>
        </w:tc>
        <w:tc>
          <w:tcPr>
            <w:tcW w:w="8072" w:type="dxa"/>
            <w:vAlign w:val="center"/>
          </w:tcPr>
          <w:p w14:paraId="1DE6BFAA">
            <w:pPr>
              <w:rPr>
                <w:rFonts w:ascii="仿宋" w:hAnsi="仿宋"/>
              </w:rPr>
            </w:pPr>
            <w:r>
              <w:rPr>
                <w:rFonts w:hint="eastAsia" w:ascii="仿宋" w:hAnsi="仿宋"/>
              </w:rPr>
              <w:t>可中止电子交易活动的情形：</w:t>
            </w:r>
          </w:p>
          <w:p w14:paraId="6ADD654B">
            <w:pPr>
              <w:rPr>
                <w:rFonts w:ascii="仿宋" w:hAnsi="仿宋"/>
              </w:rPr>
            </w:pPr>
            <w:r>
              <w:rPr>
                <w:rFonts w:hint="eastAsia" w:ascii="仿宋" w:hAnsi="仿宋"/>
              </w:rPr>
              <w:t>采购过程中出现以下情形，导致电子交易平台无法正常运行，或者无法保证电子交易的公平、公正和安全时，采购组织机构可中止电子交易活动：</w:t>
            </w:r>
          </w:p>
          <w:p w14:paraId="273BCD75">
            <w:pPr>
              <w:rPr>
                <w:rFonts w:ascii="仿宋" w:hAnsi="仿宋"/>
              </w:rPr>
            </w:pPr>
            <w:r>
              <w:rPr>
                <w:rFonts w:hint="eastAsia" w:ascii="仿宋" w:hAnsi="仿宋"/>
              </w:rPr>
              <w:t>（1）电子交易平台发生故障而无法登录访问的；</w:t>
            </w:r>
          </w:p>
          <w:p w14:paraId="4CF4614B">
            <w:pPr>
              <w:rPr>
                <w:rFonts w:ascii="仿宋" w:hAnsi="仿宋"/>
              </w:rPr>
            </w:pPr>
            <w:r>
              <w:rPr>
                <w:rFonts w:hint="eastAsia" w:ascii="仿宋" w:hAnsi="仿宋"/>
              </w:rPr>
              <w:t>（2）电子交易平台应用或数据库出现错误，不能进行正常操作的；</w:t>
            </w:r>
          </w:p>
          <w:p w14:paraId="3028E188">
            <w:pPr>
              <w:rPr>
                <w:rFonts w:ascii="仿宋" w:hAnsi="仿宋"/>
              </w:rPr>
            </w:pPr>
            <w:r>
              <w:rPr>
                <w:rFonts w:hint="eastAsia" w:ascii="仿宋" w:hAnsi="仿宋"/>
              </w:rPr>
              <w:t>（3）电子交易平台发现严重安全漏洞，有潜在泄密危险的；</w:t>
            </w:r>
          </w:p>
          <w:p w14:paraId="05D8E7C8">
            <w:pPr>
              <w:rPr>
                <w:rFonts w:ascii="仿宋" w:hAnsi="仿宋"/>
              </w:rPr>
            </w:pPr>
            <w:r>
              <w:rPr>
                <w:rFonts w:hint="eastAsia" w:ascii="仿宋" w:hAnsi="仿宋"/>
              </w:rPr>
              <w:t>（4）病毒发作导致不能进行正常操作的；</w:t>
            </w:r>
          </w:p>
          <w:p w14:paraId="154CE370">
            <w:pPr>
              <w:rPr>
                <w:rFonts w:ascii="仿宋" w:hAnsi="仿宋"/>
              </w:rPr>
            </w:pPr>
            <w:r>
              <w:rPr>
                <w:rFonts w:hint="eastAsia" w:ascii="仿宋" w:hAnsi="仿宋"/>
              </w:rPr>
              <w:t>（5）其他无法保证电子交易的公平、公正和安全的情况。</w:t>
            </w:r>
          </w:p>
          <w:p w14:paraId="41DE5D8C">
            <w:pPr>
              <w:rPr>
                <w:rFonts w:ascii="仿宋" w:hAnsi="仿宋"/>
              </w:rPr>
            </w:pPr>
            <w:r>
              <w:rPr>
                <w:rFonts w:hint="eastAsia" w:ascii="仿宋" w:hAnsi="仿宋"/>
              </w:rPr>
              <w:t>出现上述情形，不影响采购公平、公正性的，采购组织机构可以待上述情形消除后继续组织电子交易活动，也可以决定某些环节以纸质形式进行；影响或可能影响采购公平、公正性的，应当重新采购。</w:t>
            </w:r>
          </w:p>
        </w:tc>
      </w:tr>
      <w:tr w14:paraId="6C9E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7F19298">
            <w:pPr>
              <w:jc w:val="center"/>
            </w:pPr>
            <w:r>
              <w:rPr>
                <w:rFonts w:hint="eastAsia"/>
              </w:rPr>
              <w:t>1</w:t>
            </w:r>
            <w:r>
              <w:t>2</w:t>
            </w:r>
          </w:p>
        </w:tc>
        <w:tc>
          <w:tcPr>
            <w:tcW w:w="8072" w:type="dxa"/>
            <w:vAlign w:val="center"/>
          </w:tcPr>
          <w:p w14:paraId="40DC248C">
            <w:pPr>
              <w:rPr>
                <w:rFonts w:ascii="仿宋" w:hAnsi="仿宋"/>
              </w:rPr>
            </w:pPr>
            <w:r>
              <w:rPr>
                <w:rFonts w:hint="eastAsia" w:ascii="仿宋" w:hAnsi="仿宋"/>
              </w:rPr>
              <w:t>评标办法及评分标准：按照采购文件第四章评标办法及评分标准</w:t>
            </w:r>
          </w:p>
        </w:tc>
      </w:tr>
      <w:tr w14:paraId="2D65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F1A95F9">
            <w:pPr>
              <w:jc w:val="center"/>
            </w:pPr>
            <w:r>
              <w:rPr>
                <w:rFonts w:hint="eastAsia"/>
              </w:rPr>
              <w:t>1</w:t>
            </w:r>
            <w:r>
              <w:t>3</w:t>
            </w:r>
          </w:p>
        </w:tc>
        <w:tc>
          <w:tcPr>
            <w:tcW w:w="8072" w:type="dxa"/>
            <w:vAlign w:val="center"/>
          </w:tcPr>
          <w:p w14:paraId="0F72D4FE">
            <w:pPr>
              <w:rPr>
                <w:rFonts w:ascii="仿宋" w:hAnsi="仿宋"/>
              </w:rPr>
            </w:pPr>
            <w:r>
              <w:rPr>
                <w:rFonts w:hint="eastAsia" w:ascii="仿宋" w:hAnsi="仿宋"/>
              </w:rPr>
              <w:t>中标结果公告：评标结束后，采购人确认采购结果后，中标公告发布于</w:t>
            </w:r>
          </w:p>
          <w:p w14:paraId="73C35D11">
            <w:pPr>
              <w:rPr>
                <w:rFonts w:ascii="仿宋" w:hAnsi="仿宋"/>
              </w:rPr>
            </w:pPr>
            <w:r>
              <w:rPr>
                <w:rFonts w:hint="eastAsia" w:ascii="仿宋" w:hAnsi="仿宋"/>
              </w:rPr>
              <w:t>浙江政府采购网：(https://zfcg.czt.zj.gov.cn/)</w:t>
            </w:r>
          </w:p>
          <w:p w14:paraId="76206F1B">
            <w:pPr>
              <w:rPr>
                <w:rFonts w:ascii="仿宋" w:hAnsi="仿宋"/>
              </w:rPr>
            </w:pPr>
            <w:r>
              <w:rPr>
                <w:rFonts w:hint="eastAsia" w:ascii="仿宋" w:hAnsi="仿宋"/>
              </w:rPr>
              <w:t>湖州市公共资源交易中心网（</w:t>
            </w:r>
            <w:r>
              <w:rPr>
                <w:rFonts w:ascii="仿宋" w:hAnsi="仿宋"/>
              </w:rPr>
              <w:t>http://ggzyjy.huzhou.gov.cn/</w:t>
            </w:r>
            <w:r>
              <w:rPr>
                <w:rFonts w:hint="eastAsia" w:ascii="仿宋" w:hAnsi="仿宋"/>
              </w:rPr>
              <w:t>）</w:t>
            </w:r>
          </w:p>
        </w:tc>
      </w:tr>
      <w:tr w14:paraId="1B1B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C0F4742">
            <w:pPr>
              <w:jc w:val="center"/>
            </w:pPr>
            <w:r>
              <w:rPr>
                <w:rFonts w:hint="eastAsia"/>
              </w:rPr>
              <w:t>1</w:t>
            </w:r>
            <w:r>
              <w:t>4</w:t>
            </w:r>
          </w:p>
        </w:tc>
        <w:tc>
          <w:tcPr>
            <w:tcW w:w="8072" w:type="dxa"/>
            <w:vAlign w:val="center"/>
          </w:tcPr>
          <w:p w14:paraId="2067200E">
            <w:pPr>
              <w:rPr>
                <w:rFonts w:ascii="仿宋" w:hAnsi="仿宋"/>
              </w:rPr>
            </w:pPr>
            <w:r>
              <w:rPr>
                <w:rFonts w:hint="eastAsia"/>
              </w:rPr>
              <w:t>中标通知书：在发布中标结果公告的同时，向中标供应商发中标通知书</w:t>
            </w:r>
          </w:p>
        </w:tc>
      </w:tr>
      <w:tr w14:paraId="0F70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B53A093">
            <w:pPr>
              <w:jc w:val="center"/>
            </w:pPr>
            <w:r>
              <w:rPr>
                <w:rFonts w:hint="eastAsia"/>
              </w:rPr>
              <w:t>1</w:t>
            </w:r>
            <w:r>
              <w:t>5</w:t>
            </w:r>
          </w:p>
        </w:tc>
        <w:tc>
          <w:tcPr>
            <w:tcW w:w="8072" w:type="dxa"/>
            <w:vAlign w:val="center"/>
          </w:tcPr>
          <w:p w14:paraId="35691F1B">
            <w:r>
              <w:rPr>
                <w:rFonts w:hint="eastAsia" w:ascii="仿宋" w:hAnsi="仿宋"/>
              </w:rPr>
              <w:t>签订合同时间：中标通知书发出后30日内</w:t>
            </w:r>
          </w:p>
        </w:tc>
      </w:tr>
      <w:tr w14:paraId="151C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779AC17">
            <w:pPr>
              <w:jc w:val="center"/>
            </w:pPr>
            <w:r>
              <w:rPr>
                <w:rFonts w:hint="eastAsia"/>
              </w:rPr>
              <w:t>1</w:t>
            </w:r>
            <w:r>
              <w:t>6</w:t>
            </w:r>
          </w:p>
        </w:tc>
        <w:tc>
          <w:tcPr>
            <w:tcW w:w="8072" w:type="dxa"/>
            <w:vAlign w:val="center"/>
          </w:tcPr>
          <w:p w14:paraId="270D9815">
            <w:pPr>
              <w:rPr>
                <w:rFonts w:ascii="仿宋" w:hAnsi="仿宋"/>
              </w:rPr>
            </w:pPr>
            <w:r>
              <w:rPr>
                <w:rFonts w:hint="eastAsia" w:ascii="仿宋" w:hAnsi="仿宋"/>
              </w:rPr>
              <w:t>履约保证金:</w:t>
            </w:r>
            <w:r>
              <w:rPr>
                <w:rFonts w:ascii="仿宋" w:hAnsi="仿宋"/>
              </w:rPr>
              <w:t xml:space="preserve"> 本项目不设履约保证金</w:t>
            </w:r>
          </w:p>
        </w:tc>
      </w:tr>
      <w:tr w14:paraId="1182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6CC1DE8">
            <w:pPr>
              <w:jc w:val="center"/>
            </w:pPr>
            <w:r>
              <w:rPr>
                <w:rFonts w:hint="eastAsia"/>
              </w:rPr>
              <w:t>1</w:t>
            </w:r>
            <w:r>
              <w:t>7</w:t>
            </w:r>
          </w:p>
        </w:tc>
        <w:tc>
          <w:tcPr>
            <w:tcW w:w="8072" w:type="dxa"/>
            <w:vAlign w:val="center"/>
          </w:tcPr>
          <w:p w14:paraId="3CAD7031">
            <w:pPr>
              <w:rPr>
                <w:rFonts w:ascii="仿宋" w:hAnsi="仿宋"/>
              </w:rPr>
            </w:pPr>
            <w:r>
              <w:rPr>
                <w:rFonts w:hint="eastAsia" w:ascii="仿宋" w:hAnsi="仿宋"/>
              </w:rPr>
              <w:t>投标文件有效期：</w:t>
            </w:r>
            <w:r>
              <w:rPr>
                <w:rFonts w:ascii="仿宋" w:hAnsi="仿宋"/>
              </w:rPr>
              <w:t>9</w:t>
            </w:r>
            <w:r>
              <w:rPr>
                <w:rFonts w:hint="eastAsia" w:ascii="仿宋" w:hAnsi="仿宋"/>
              </w:rPr>
              <w:t>0天</w:t>
            </w:r>
          </w:p>
        </w:tc>
      </w:tr>
      <w:tr w14:paraId="19C2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43A6B7B">
            <w:pPr>
              <w:jc w:val="center"/>
            </w:pPr>
            <w:r>
              <w:rPr>
                <w:rFonts w:hint="eastAsia"/>
              </w:rPr>
              <w:t>1</w:t>
            </w:r>
            <w:r>
              <w:t>8</w:t>
            </w:r>
          </w:p>
        </w:tc>
        <w:tc>
          <w:tcPr>
            <w:tcW w:w="8072" w:type="dxa"/>
            <w:vAlign w:val="center"/>
          </w:tcPr>
          <w:p w14:paraId="42359374">
            <w:pPr>
              <w:rPr>
                <w:rFonts w:ascii="仿宋" w:hAnsi="仿宋"/>
              </w:rPr>
            </w:pPr>
            <w:r>
              <w:rPr>
                <w:rFonts w:hint="eastAsia"/>
              </w:rPr>
              <w:t>解释：本采购文件的解释权属于采购人</w:t>
            </w:r>
          </w:p>
        </w:tc>
      </w:tr>
      <w:tr w14:paraId="0F42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4350401">
            <w:pPr>
              <w:jc w:val="center"/>
            </w:pPr>
            <w:r>
              <w:rPr>
                <w:rFonts w:hint="eastAsia"/>
              </w:rPr>
              <w:t>1</w:t>
            </w:r>
            <w:r>
              <w:t>9</w:t>
            </w:r>
          </w:p>
        </w:tc>
        <w:tc>
          <w:tcPr>
            <w:tcW w:w="8072" w:type="dxa"/>
            <w:vAlign w:val="center"/>
          </w:tcPr>
          <w:p w14:paraId="5C163E5D">
            <w:r>
              <w:rPr>
                <w:rFonts w:hint="eastAsia"/>
                <w:b/>
              </w:rPr>
              <w:t>在确定中标供应商后，签订合同前，中标供应商须提供三份完整的纸质投标文件给采购人，纸质投标文件须与电子投标文件格式及内容一致。</w:t>
            </w:r>
          </w:p>
        </w:tc>
      </w:tr>
    </w:tbl>
    <w:p w14:paraId="48EDA551">
      <w:pPr>
        <w:pStyle w:val="3"/>
        <w:jc w:val="center"/>
      </w:pPr>
      <w:bookmarkStart w:id="6" w:name="_Toc130455801"/>
      <w:r>
        <w:rPr>
          <w:rFonts w:hint="eastAsia"/>
        </w:rPr>
        <w:t>一、总则</w:t>
      </w:r>
      <w:bookmarkEnd w:id="6"/>
    </w:p>
    <w:p w14:paraId="29772D98">
      <w:r>
        <w:t>（一）适用范围</w:t>
      </w:r>
    </w:p>
    <w:p w14:paraId="53C8848F">
      <w:pPr>
        <w:ind w:firstLine="480" w:firstLineChars="200"/>
      </w:pPr>
      <w:r>
        <w:t>本</w:t>
      </w:r>
      <w:r>
        <w:rPr>
          <w:rFonts w:hint="eastAsia"/>
        </w:rPr>
        <w:t>采购</w:t>
      </w:r>
      <w:r>
        <w:t>文件适用于</w:t>
      </w:r>
      <w:r>
        <w:rPr>
          <w:rFonts w:hint="eastAsia"/>
          <w:u w:val="single"/>
        </w:rPr>
        <w:t>湖州职业技术学院虚拟仿真实训教学管理平台等软件采购项目</w:t>
      </w:r>
      <w:r>
        <w:t>的招标、投标、评标、定标、验收、合同履约、付款等行为（法律、法规另有规定的，从其规定）。</w:t>
      </w:r>
    </w:p>
    <w:p w14:paraId="79825995">
      <w:r>
        <w:t>（二）采购预算：</w:t>
      </w:r>
      <w:r>
        <w:rPr>
          <w:rFonts w:hint="eastAsia"/>
        </w:rPr>
        <w:t>人民币</w:t>
      </w:r>
      <w:r>
        <w:rPr>
          <w:rFonts w:hint="eastAsia"/>
          <w:bCs/>
        </w:rPr>
        <w:t>110万元</w:t>
      </w:r>
    </w:p>
    <w:p w14:paraId="288EF475">
      <w:r>
        <w:t>（三）定义</w:t>
      </w:r>
    </w:p>
    <w:p w14:paraId="3A6ABEBE">
      <w:pPr>
        <w:ind w:firstLine="480" w:firstLineChars="200"/>
      </w:pPr>
      <w:r>
        <w:t>1</w:t>
      </w:r>
      <w:r>
        <w:rPr>
          <w:rFonts w:hint="eastAsia"/>
        </w:rPr>
        <w:t>、</w:t>
      </w:r>
      <w:r>
        <w:t>采购人系指组织本次项目采购的</w:t>
      </w:r>
      <w:r>
        <w:rPr>
          <w:rFonts w:hint="eastAsia"/>
          <w:u w:val="single"/>
        </w:rPr>
        <w:t>湖州职业技术学院</w:t>
      </w:r>
      <w:r>
        <w:t>；采购代理机构系指采购人授权委托代理本项目</w:t>
      </w:r>
      <w:r>
        <w:rPr>
          <w:rFonts w:hint="eastAsia"/>
        </w:rPr>
        <w:t>采购</w:t>
      </w:r>
      <w:r>
        <w:t>程序的</w:t>
      </w:r>
      <w:r>
        <w:rPr>
          <w:rFonts w:hint="eastAsia"/>
          <w:u w:val="single"/>
        </w:rPr>
        <w:t>浙江省成套招标代理有限公司</w:t>
      </w:r>
      <w:r>
        <w:t>。</w:t>
      </w:r>
    </w:p>
    <w:p w14:paraId="382C1519">
      <w:pPr>
        <w:ind w:firstLine="480" w:firstLineChars="200"/>
      </w:pPr>
      <w:r>
        <w:t>2</w:t>
      </w:r>
      <w:r>
        <w:rPr>
          <w:rFonts w:hint="eastAsia"/>
        </w:rPr>
        <w:t>、</w:t>
      </w:r>
      <w:r>
        <w:t>“供应商”指向采购人提交投标文件的单位。</w:t>
      </w:r>
    </w:p>
    <w:p w14:paraId="51066E09">
      <w:pPr>
        <w:ind w:firstLine="480" w:firstLineChars="200"/>
      </w:pPr>
      <w:r>
        <w:t>3</w:t>
      </w:r>
      <w:r>
        <w:rPr>
          <w:rFonts w:hint="eastAsia"/>
        </w:rPr>
        <w:t>、</w:t>
      </w:r>
      <w:r>
        <w:t>“项目”系指供应商按</w:t>
      </w:r>
      <w:r>
        <w:rPr>
          <w:rFonts w:hint="eastAsia"/>
        </w:rPr>
        <w:t>采购</w:t>
      </w:r>
      <w:r>
        <w:t>文件规定向采购人提供的服务。</w:t>
      </w:r>
    </w:p>
    <w:p w14:paraId="6B4299D7">
      <w:pPr>
        <w:ind w:firstLine="480" w:firstLineChars="200"/>
      </w:pPr>
      <w:r>
        <w:t>4</w:t>
      </w:r>
      <w:r>
        <w:rPr>
          <w:rFonts w:hint="eastAsia"/>
        </w:rPr>
        <w:t>、</w:t>
      </w:r>
      <w:r>
        <w:t>“书面形式”包括信函、传真、电报等。</w:t>
      </w:r>
    </w:p>
    <w:p w14:paraId="3AEFB97F">
      <w:pPr>
        <w:ind w:firstLine="480" w:firstLineChars="200"/>
      </w:pPr>
      <w:r>
        <w:t>5</w:t>
      </w:r>
      <w:r>
        <w:rPr>
          <w:rFonts w:hint="eastAsia"/>
        </w:rPr>
        <w:t>、</w:t>
      </w:r>
      <w:r>
        <w:t>“▲”系指实质性要求条款。</w:t>
      </w:r>
    </w:p>
    <w:p w14:paraId="3E0FC76B">
      <w:r>
        <w:t>（四）</w:t>
      </w:r>
      <w:r>
        <w:rPr>
          <w:rFonts w:hint="eastAsia"/>
        </w:rPr>
        <w:t>采购</w:t>
      </w:r>
      <w:r>
        <w:t>方式</w:t>
      </w:r>
    </w:p>
    <w:p w14:paraId="398DDC93">
      <w:pPr>
        <w:ind w:firstLine="480" w:firstLineChars="200"/>
      </w:pPr>
      <w:r>
        <w:t>本次</w:t>
      </w:r>
      <w:r>
        <w:rPr>
          <w:rFonts w:hint="eastAsia"/>
        </w:rPr>
        <w:t>采购</w:t>
      </w:r>
      <w:r>
        <w:t>采用公开招标方式进行。</w:t>
      </w:r>
    </w:p>
    <w:p w14:paraId="0F311A2D">
      <w:r>
        <w:rPr>
          <w:rFonts w:hint="eastAsia"/>
        </w:rPr>
        <w:t>（五）投标委托</w:t>
      </w:r>
    </w:p>
    <w:p w14:paraId="1FE4426E">
      <w:pPr>
        <w:ind w:firstLine="480" w:firstLineChars="200"/>
        <w:rPr>
          <w:bCs/>
        </w:rPr>
      </w:pPr>
      <w:r>
        <w:t>如现场提交备份响应文件（</w:t>
      </w:r>
      <w:r>
        <w:rPr>
          <w:rFonts w:hint="eastAsia"/>
        </w:rPr>
        <w:t>U盘</w:t>
      </w:r>
      <w:r>
        <w:t>）的</w:t>
      </w:r>
      <w:r>
        <w:rPr>
          <w:rFonts w:hint="eastAsia"/>
        </w:rPr>
        <w:t>供应商代表须携带有效身份证件。如供应商代表不是法定代表人，须有法定代表人出具的授权委托书及授权代理人最近一个月个人社保缴纳证明文件。</w:t>
      </w:r>
      <w:r>
        <w:rPr>
          <w:rFonts w:hint="eastAsia"/>
          <w:bCs/>
        </w:rPr>
        <w:t>在开标时需单独提交一份交给采购人及采购代理机构，以便对供应商资格进行审核，法定代表人授权委托书原件必须由法定代表人签名或盖章并加盖单位公章。</w:t>
      </w:r>
    </w:p>
    <w:p w14:paraId="1C90EF18">
      <w:r>
        <w:t>（</w:t>
      </w:r>
      <w:r>
        <w:rPr>
          <w:rFonts w:hint="eastAsia"/>
        </w:rPr>
        <w:t>六</w:t>
      </w:r>
      <w:r>
        <w:t>）</w:t>
      </w:r>
      <w:r>
        <w:rPr>
          <w:rFonts w:hint="eastAsia"/>
        </w:rPr>
        <w:t>投标费用</w:t>
      </w:r>
    </w:p>
    <w:p w14:paraId="33E37684">
      <w:pPr>
        <w:ind w:firstLine="480" w:firstLineChars="200"/>
      </w:pPr>
      <w:r>
        <w:rPr>
          <w:rFonts w:hint="eastAsia"/>
        </w:rPr>
        <w:t>1、不论投标结果如何，供应商应自行承担投标过程中的所有相关费用，采购代理机构对上述费用不负任何责任。</w:t>
      </w:r>
    </w:p>
    <w:p w14:paraId="381AE1E4">
      <w:pPr>
        <w:ind w:firstLine="480" w:firstLineChars="200"/>
      </w:pPr>
      <w:r>
        <w:rPr>
          <w:rFonts w:hint="eastAsia"/>
        </w:rPr>
        <w:t>2、本项目招标代理服务费标项一4000元、标项二4</w:t>
      </w:r>
      <w:r>
        <w:t>000</w:t>
      </w:r>
      <w:r>
        <w:rPr>
          <w:rFonts w:hint="eastAsia"/>
        </w:rPr>
        <w:t>元、标项三4</w:t>
      </w:r>
      <w:r>
        <w:t>000</w:t>
      </w:r>
      <w:r>
        <w:rPr>
          <w:rFonts w:hint="eastAsia"/>
        </w:rPr>
        <w:t>元由供应商在中标后、领取中标通知书时支付给代理机构，该费用请供应商自行考虑计入投标报价中。</w:t>
      </w:r>
    </w:p>
    <w:p w14:paraId="6646530B">
      <w:pPr>
        <w:ind w:firstLine="482" w:firstLineChars="200"/>
        <w:rPr>
          <w:b/>
          <w:bCs/>
        </w:rPr>
      </w:pPr>
      <w:r>
        <w:rPr>
          <w:rFonts w:hint="eastAsia"/>
          <w:b/>
          <w:bCs/>
        </w:rPr>
        <w:t>代理机构银行账户信息：</w:t>
      </w:r>
    </w:p>
    <w:p w14:paraId="0F5E5AD5">
      <w:pPr>
        <w:ind w:firstLine="482" w:firstLineChars="200"/>
        <w:rPr>
          <w:b/>
          <w:bCs/>
        </w:rPr>
      </w:pPr>
      <w:r>
        <w:rPr>
          <w:b/>
          <w:bCs/>
        </w:rPr>
        <w:t>帐户名称：</w:t>
      </w:r>
      <w:r>
        <w:rPr>
          <w:rFonts w:hint="eastAsia"/>
          <w:b/>
          <w:bCs/>
        </w:rPr>
        <w:t>浙江省成套招标代理有限公司湖州分公司</w:t>
      </w:r>
    </w:p>
    <w:p w14:paraId="7CA63BB1">
      <w:pPr>
        <w:ind w:firstLine="482" w:firstLineChars="200"/>
        <w:rPr>
          <w:b/>
          <w:bCs/>
        </w:rPr>
      </w:pPr>
      <w:r>
        <w:rPr>
          <w:rFonts w:hint="eastAsia"/>
          <w:b/>
          <w:bCs/>
        </w:rPr>
        <w:t>开户银行：湖州银行日月城支行</w:t>
      </w:r>
    </w:p>
    <w:p w14:paraId="58BB0B63">
      <w:pPr>
        <w:ind w:firstLine="482" w:firstLineChars="200"/>
        <w:rPr>
          <w:b/>
          <w:bCs/>
        </w:rPr>
      </w:pPr>
      <w:r>
        <w:rPr>
          <w:rFonts w:hint="eastAsia"/>
          <w:b/>
          <w:bCs/>
        </w:rPr>
        <w:t>银行账号：8000 2764 5000 167</w:t>
      </w:r>
    </w:p>
    <w:p w14:paraId="66D843DA">
      <w:r>
        <w:rPr>
          <w:rFonts w:hint="eastAsia"/>
        </w:rPr>
        <w:t>（七）联合体投标</w:t>
      </w:r>
    </w:p>
    <w:p w14:paraId="6D08B2F1">
      <w:pPr>
        <w:ind w:firstLine="480" w:firstLineChars="200"/>
        <w:rPr>
          <w:bCs/>
        </w:rPr>
      </w:pPr>
      <w:r>
        <w:rPr>
          <w:rFonts w:hint="eastAsia"/>
          <w:bCs/>
        </w:rPr>
        <w:t>本项目不接受联合体投标。</w:t>
      </w:r>
    </w:p>
    <w:p w14:paraId="5624BEE4">
      <w:pPr>
        <w:ind w:firstLine="480" w:firstLineChars="200"/>
        <w:rPr>
          <w:bCs/>
        </w:rPr>
      </w:pPr>
      <w:r>
        <w:rPr>
          <w:rFonts w:hint="eastAsia"/>
          <w:bCs/>
        </w:rPr>
        <w:t>1、本项目接受联合体投标（本项目接受大中型企业与小微企业组成联合体）。</w:t>
      </w:r>
    </w:p>
    <w:p w14:paraId="4A3A0562">
      <w:pPr>
        <w:ind w:firstLine="480" w:firstLineChars="200"/>
        <w:rPr>
          <w:bCs/>
        </w:rPr>
      </w:pPr>
      <w:r>
        <w:rPr>
          <w:rFonts w:hint="eastAsia"/>
          <w:bCs/>
        </w:rPr>
        <w:t>2、由两个以上的供应商组成一个联合体以一个供应商身份共同投标时，应符合下列要求：</w:t>
      </w:r>
    </w:p>
    <w:p w14:paraId="6C8BBD9E">
      <w:pPr>
        <w:ind w:firstLine="480" w:firstLineChars="200"/>
        <w:rPr>
          <w:bCs/>
        </w:rPr>
      </w:pPr>
      <w:r>
        <w:rPr>
          <w:rFonts w:hint="eastAsia"/>
          <w:bCs/>
        </w:rPr>
        <w:t>1）供应商的投标文件及成交后签署的合同对联合体各方均具有法律约束力；</w:t>
      </w:r>
    </w:p>
    <w:p w14:paraId="42B2E298">
      <w:pPr>
        <w:ind w:firstLine="480" w:firstLineChars="200"/>
        <w:rPr>
          <w:bCs/>
        </w:rPr>
      </w:pPr>
      <w:r>
        <w:rPr>
          <w:rFonts w:hint="eastAsia"/>
          <w:bCs/>
        </w:rPr>
        <w:t>2）联合体各方应签订共同投标协议，明确约定各方拟承担的工作和责任，并将该共同投标协议随响应文件一并提交采购人；</w:t>
      </w:r>
    </w:p>
    <w:p w14:paraId="26CA413B">
      <w:pPr>
        <w:ind w:firstLine="480" w:firstLineChars="200"/>
        <w:rPr>
          <w:bCs/>
        </w:rPr>
      </w:pPr>
      <w:r>
        <w:rPr>
          <w:rFonts w:hint="eastAsia"/>
          <w:bCs/>
        </w:rPr>
        <w:t>3）联合体成交后，联合体各方应当共同与采购人签订合同，为履行合同向采购人承担连带责任；</w:t>
      </w:r>
    </w:p>
    <w:p w14:paraId="2F1A922B">
      <w:pPr>
        <w:ind w:firstLine="480" w:firstLineChars="200"/>
        <w:rPr>
          <w:bCs/>
        </w:rPr>
      </w:pPr>
      <w:r>
        <w:rPr>
          <w:rFonts w:hint="eastAsia"/>
          <w:bCs/>
        </w:rPr>
        <w:t>4）联合体的各方应共同推荐一名联合体牵头人，由联合体各方各提交一份授权书，证明其牵头人资格，该授权书作为响应文件的组成部分一并提交采购人；</w:t>
      </w:r>
    </w:p>
    <w:p w14:paraId="298D9A2D">
      <w:pPr>
        <w:ind w:firstLine="480" w:firstLineChars="200"/>
        <w:rPr>
          <w:bCs/>
        </w:rPr>
      </w:pPr>
      <w:r>
        <w:rPr>
          <w:rFonts w:hint="eastAsia"/>
          <w:bCs/>
        </w:rPr>
        <w:t>5）联合体各方不再单独参加或者与其他供应商另外组成联合体参加同一合同项下的政府采购活动；</w:t>
      </w:r>
    </w:p>
    <w:p w14:paraId="1A78CEA7">
      <w:pPr>
        <w:ind w:firstLine="480" w:firstLineChars="200"/>
        <w:rPr>
          <w:bCs/>
        </w:rPr>
      </w:pPr>
      <w:r>
        <w:rPr>
          <w:rFonts w:hint="eastAsia"/>
          <w:bCs/>
        </w:rPr>
        <w:t>6）除非另有规定或说明，本须知中“供应商”一词亦指联合体各方。</w:t>
      </w:r>
    </w:p>
    <w:p w14:paraId="175EE466">
      <w:r>
        <w:rPr>
          <w:rFonts w:hint="eastAsia"/>
        </w:rPr>
        <w:t>（八）转包与分包</w:t>
      </w:r>
    </w:p>
    <w:p w14:paraId="109B4388">
      <w:pPr>
        <w:ind w:firstLine="480" w:firstLineChars="200"/>
      </w:pPr>
      <w:r>
        <w:rPr>
          <w:rFonts w:hint="eastAsia"/>
        </w:rPr>
        <w:t>本项目不允许转包。</w:t>
      </w:r>
    </w:p>
    <w:p w14:paraId="5157FFAD">
      <w:pPr>
        <w:ind w:firstLine="480" w:firstLineChars="200"/>
      </w:pPr>
      <w:r>
        <w:rPr>
          <w:rFonts w:hint="eastAsia"/>
        </w:rPr>
        <w:t>特别说明：</w:t>
      </w:r>
    </w:p>
    <w:p w14:paraId="6BBEE143">
      <w:pPr>
        <w:ind w:firstLine="480" w:firstLineChars="200"/>
      </w:pPr>
      <w:r>
        <w:rPr>
          <w:rFonts w:hint="eastAsia"/>
        </w:rPr>
        <w:t>▲1.单位负责人为同一人或者存在直接控股、管理关系的不同供应商，不得参加同一合同标项下的政府采购项目。</w:t>
      </w:r>
    </w:p>
    <w:p w14:paraId="71939573">
      <w:pPr>
        <w:ind w:firstLine="480" w:firstLineChars="200"/>
      </w:pPr>
      <w:r>
        <w:rPr>
          <w:rFonts w:hint="eastAsia"/>
        </w:rPr>
        <w:t>▲2.供应商投标所使用的资格、信誉、荣誉、业绩与企业认证必须为本法人所拥有。供应商投标所使用的采购项目实施人员必须为本法人员工（或必须为本法人或控股公司正式员工）。</w:t>
      </w:r>
    </w:p>
    <w:p w14:paraId="36DDD746">
      <w:pPr>
        <w:ind w:firstLine="480" w:firstLineChars="200"/>
      </w:pPr>
      <w:r>
        <w:rPr>
          <w:rFonts w:hint="eastAsia"/>
        </w:rPr>
        <w:t>▲3.供应商应仔细阅读采购文件的所有内容，按照采购文件的要求提交投标文件，并对所提供的全部资料的真实性承担法律责任。</w:t>
      </w:r>
    </w:p>
    <w:p w14:paraId="4E728EC6">
      <w:pPr>
        <w:ind w:firstLine="480" w:firstLineChars="200"/>
      </w:pPr>
      <w:r>
        <w:rPr>
          <w:rFonts w:hint="eastAsia"/>
        </w:rPr>
        <w:t>▲4．投标报价说明：</w:t>
      </w:r>
    </w:p>
    <w:p w14:paraId="1C67B39C">
      <w:pPr>
        <w:ind w:firstLine="480" w:firstLineChars="200"/>
      </w:pPr>
      <w:r>
        <w:rPr>
          <w:rFonts w:hint="eastAsia"/>
        </w:rPr>
        <w:t>投标报价只允许有一个报价，任何有选择的报价将不予接受；供应商要对自行计算的最终报价自担全部风险责任，中标后不得以任何理由调整报价或追加任何费用；某个标段中标候选人示为放弃其它标段的中标权力。</w:t>
      </w:r>
    </w:p>
    <w:p w14:paraId="08305759">
      <w:r>
        <w:rPr>
          <w:rFonts w:hint="eastAsia"/>
        </w:rPr>
        <w:t>（九）质疑和投诉</w:t>
      </w:r>
    </w:p>
    <w:p w14:paraId="4B6AF094">
      <w:pPr>
        <w:ind w:firstLine="480" w:firstLineChars="200"/>
      </w:pPr>
      <w:r>
        <w:rPr>
          <w:rFonts w:hint="eastAsia"/>
        </w:rPr>
        <w:t>根据《中华人民共和国财政部令第94号-政府采购质疑和投诉办法》第二章规定。</w:t>
      </w:r>
    </w:p>
    <w:p w14:paraId="2197BE37">
      <w:pPr>
        <w:ind w:firstLine="480" w:firstLineChars="200"/>
      </w:pPr>
      <w:r>
        <w:rPr>
          <w:rFonts w:hint="eastAsia"/>
        </w:rPr>
        <w:t>1、供应商认为采购文件、采购过程、中标或者中标结果使自己的权益受到损害的，可以在知道或者应知其权益受到损害之日起7个工作日内，以书面形式向采购人、采购代理机构提出质疑。采购文件可以要求供应商在法定质疑期内一次性提出针对同一采购程序环节的质疑。</w:t>
      </w:r>
    </w:p>
    <w:p w14:paraId="7CACF056">
      <w:pPr>
        <w:ind w:firstLine="480" w:firstLineChars="200"/>
      </w:pPr>
      <w:r>
        <w:rPr>
          <w:rFonts w:hint="eastAsia"/>
        </w:rPr>
        <w:t>2、提出质疑的供应商（以下简称质疑供应商）应当是参与所质疑项目采购活动的供应商。</w:t>
      </w:r>
    </w:p>
    <w:p w14:paraId="7541BF59">
      <w:pPr>
        <w:ind w:firstLine="480" w:firstLineChars="200"/>
      </w:pPr>
      <w:r>
        <w:rPr>
          <w:rFonts w:hint="eastAsia"/>
        </w:rPr>
        <w:t>潜在供应商已依法获取（</w:t>
      </w:r>
      <w:r>
        <w:rPr>
          <w:rFonts w:hint="eastAsia"/>
          <w:b/>
          <w:u w:val="single"/>
        </w:rPr>
        <w:t>依法获取指：供应商按本项目采购公告要求在政采云系统上获取并报名成功</w:t>
      </w:r>
      <w:r>
        <w:rPr>
          <w:rFonts w:hint="eastAsia"/>
        </w:rPr>
        <w:t>）其可质疑的采购文件，可以对该文件提出质疑。未按照规定方式依法获取采购文件的，不得对采购文件提起质疑投诉。对采购文件提出质疑的，应当在获取采购文件或者采购文件公告期限届满之日起7个工作日内提出。</w:t>
      </w:r>
    </w:p>
    <w:p w14:paraId="7A9B420C">
      <w:pPr>
        <w:ind w:firstLine="480" w:firstLineChars="200"/>
      </w:pPr>
      <w:r>
        <w:rPr>
          <w:rFonts w:hint="eastAsia"/>
        </w:rPr>
        <w:t>3、供应商提出质疑应当提交质疑函和必要的证明材料。质疑函应当包括下列内容:</w:t>
      </w:r>
    </w:p>
    <w:p w14:paraId="65A7B955">
      <w:pPr>
        <w:ind w:firstLine="480" w:firstLineChars="200"/>
      </w:pPr>
      <w:r>
        <w:rPr>
          <w:rFonts w:hint="eastAsia"/>
        </w:rPr>
        <w:t>（1）供应商的姓名或者名称、地址、邮编、联系人及联系电话；</w:t>
      </w:r>
    </w:p>
    <w:p w14:paraId="7705AB78">
      <w:pPr>
        <w:ind w:firstLine="480" w:firstLineChars="200"/>
      </w:pPr>
      <w:r>
        <w:rPr>
          <w:rFonts w:hint="eastAsia"/>
        </w:rPr>
        <w:t>（2）质疑项目的名称、编号；</w:t>
      </w:r>
    </w:p>
    <w:p w14:paraId="24C3D1B9">
      <w:pPr>
        <w:ind w:firstLine="480" w:firstLineChars="200"/>
      </w:pPr>
      <w:r>
        <w:rPr>
          <w:rFonts w:hint="eastAsia"/>
        </w:rPr>
        <w:t>（3）具体、明确的质疑事项和与质疑事项相关的请求；</w:t>
      </w:r>
    </w:p>
    <w:p w14:paraId="4E6B1FFF">
      <w:pPr>
        <w:ind w:firstLine="480" w:firstLineChars="200"/>
      </w:pPr>
      <w:r>
        <w:rPr>
          <w:rFonts w:hint="eastAsia"/>
        </w:rPr>
        <w:t>（4）事实依据；</w:t>
      </w:r>
    </w:p>
    <w:p w14:paraId="68BC8270">
      <w:pPr>
        <w:ind w:firstLine="480" w:firstLineChars="200"/>
      </w:pPr>
      <w:r>
        <w:rPr>
          <w:rFonts w:hint="eastAsia"/>
        </w:rPr>
        <w:t>（5）必要的法律依据；</w:t>
      </w:r>
    </w:p>
    <w:p w14:paraId="5D71A144">
      <w:pPr>
        <w:ind w:firstLine="480" w:firstLineChars="200"/>
      </w:pPr>
      <w:r>
        <w:rPr>
          <w:rFonts w:hint="eastAsia"/>
        </w:rPr>
        <w:t>（6）提出质疑的日期。</w:t>
      </w:r>
    </w:p>
    <w:p w14:paraId="757AEA84">
      <w:pPr>
        <w:ind w:firstLine="480" w:firstLineChars="200"/>
      </w:pPr>
      <w:r>
        <w:rPr>
          <w:rFonts w:hint="eastAsia"/>
        </w:rPr>
        <w:t>供应商为自然人的，应当由本人签字；供应商为法人或者其他组织的，应当由法定代表人、主要负责人，或者其授权代表签字或者盖章，并加盖公章。</w:t>
      </w:r>
    </w:p>
    <w:p w14:paraId="51F9C1BF">
      <w:pPr>
        <w:ind w:firstLine="480" w:firstLineChars="200"/>
      </w:pPr>
      <w:r>
        <w:rPr>
          <w:rFonts w:hint="eastAsia"/>
        </w:rPr>
        <w:t>4、采购人、采购代理机构不得拒收质疑供应商在法定质疑期内发出的质疑函，应当在收到质疑函后7个工作日内作出答复，并以书面形式通知质疑供应商和其他有关供应商。</w:t>
      </w:r>
    </w:p>
    <w:p w14:paraId="0A2BBFD5">
      <w:pPr>
        <w:ind w:firstLine="480" w:firstLineChars="200"/>
      </w:pPr>
      <w:r>
        <w:rPr>
          <w:rFonts w:hint="eastAsia"/>
        </w:rPr>
        <w:t>5、供应商对评审过程、中标或者中标结果提出质疑的，采购人、采购代理机构可以组织原评标委员会、竞争性谈判小组、询价小组或者竞争性磋商小组协助答复质疑。</w:t>
      </w:r>
    </w:p>
    <w:p w14:paraId="60C57412">
      <w:pPr>
        <w:ind w:firstLine="480" w:firstLineChars="200"/>
      </w:pPr>
      <w:r>
        <w:rPr>
          <w:rFonts w:hint="eastAsia"/>
        </w:rPr>
        <w:t>6、质疑答复应当包括下列内容：</w:t>
      </w:r>
    </w:p>
    <w:p w14:paraId="24815C8E">
      <w:pPr>
        <w:ind w:firstLine="480" w:firstLineChars="200"/>
      </w:pPr>
      <w:r>
        <w:rPr>
          <w:rFonts w:hint="eastAsia"/>
        </w:rPr>
        <w:t>（1）质疑供应商的姓名或者名称；</w:t>
      </w:r>
    </w:p>
    <w:p w14:paraId="3101E548">
      <w:pPr>
        <w:ind w:firstLine="480" w:firstLineChars="200"/>
      </w:pPr>
      <w:r>
        <w:rPr>
          <w:rFonts w:hint="eastAsia"/>
        </w:rPr>
        <w:t>（2）收到质疑函的日期、质疑项目名称及编号；</w:t>
      </w:r>
    </w:p>
    <w:p w14:paraId="0DCD4A88">
      <w:pPr>
        <w:ind w:firstLine="480" w:firstLineChars="200"/>
      </w:pPr>
      <w:r>
        <w:rPr>
          <w:rFonts w:hint="eastAsia"/>
        </w:rPr>
        <w:t>（3）质疑事项、质疑答复的具体内容、事实依据和法律依据；</w:t>
      </w:r>
    </w:p>
    <w:p w14:paraId="1697F344">
      <w:pPr>
        <w:ind w:firstLine="480" w:firstLineChars="200"/>
      </w:pPr>
      <w:r>
        <w:rPr>
          <w:rFonts w:hint="eastAsia"/>
        </w:rPr>
        <w:t>（4）告知质疑供应商依法投诉的权利；</w:t>
      </w:r>
    </w:p>
    <w:p w14:paraId="389DF8B8">
      <w:pPr>
        <w:ind w:firstLine="480" w:firstLineChars="200"/>
      </w:pPr>
      <w:r>
        <w:rPr>
          <w:rFonts w:hint="eastAsia"/>
        </w:rPr>
        <w:t>（5）质疑答复人名称；</w:t>
      </w:r>
    </w:p>
    <w:p w14:paraId="0DAE865B">
      <w:pPr>
        <w:ind w:firstLine="480" w:firstLineChars="200"/>
      </w:pPr>
      <w:r>
        <w:rPr>
          <w:rFonts w:hint="eastAsia"/>
        </w:rPr>
        <w:t>（6）答复质疑的日期。</w:t>
      </w:r>
    </w:p>
    <w:p w14:paraId="131057FD">
      <w:pPr>
        <w:ind w:firstLine="480" w:firstLineChars="200"/>
      </w:pPr>
      <w:r>
        <w:rPr>
          <w:rFonts w:hint="eastAsia"/>
        </w:rPr>
        <w:t>质疑答复的内容不得涉及商业秘密。</w:t>
      </w:r>
    </w:p>
    <w:p w14:paraId="105A84EC">
      <w:pPr>
        <w:ind w:firstLine="480" w:firstLineChars="200"/>
      </w:pPr>
      <w:r>
        <w:rPr>
          <w:rFonts w:hint="eastAsia"/>
        </w:rPr>
        <w:t>7、采购人、采购代理机构认为供应商质疑不成立，或者成立但未对中标、中标结果构成影响的，继续开展采购活动；认为供应商质疑成立且影响或者可能影响中标、中标结果的，按照下列情况处理：</w:t>
      </w:r>
    </w:p>
    <w:p w14:paraId="2370C124">
      <w:pPr>
        <w:ind w:firstLine="480" w:firstLineChars="200"/>
      </w:pPr>
      <w:r>
        <w:rPr>
          <w:rFonts w:hint="eastAsia"/>
        </w:rPr>
        <w:t>（1）对采购文件提出的质疑，依法通过澄清或者修改可以继续开展采购活动的，澄清或者修改采购文件后继续开展采购活动；否则应当修改采购文件后重新开展采购活动。</w:t>
      </w:r>
    </w:p>
    <w:p w14:paraId="623EC9DF">
      <w:pPr>
        <w:ind w:firstLine="480" w:firstLineChars="200"/>
      </w:pPr>
      <w:r>
        <w:rPr>
          <w:rFonts w:hint="eastAsia"/>
        </w:rPr>
        <w:t>（2）对采购过程、中标或者中标结果提出的质疑，合格供应商符合法定数量时，可以从合格的中标或者中标候选人中另行确定中标、中标供应商的，应当依法另行确定中标、中标供应商；否则应当重新开展采购活动。</w:t>
      </w:r>
    </w:p>
    <w:p w14:paraId="2AB26B38">
      <w:pPr>
        <w:ind w:firstLine="480" w:firstLineChars="200"/>
      </w:pPr>
      <w:r>
        <w:rPr>
          <w:rFonts w:hint="eastAsia"/>
        </w:rPr>
        <w:t>质疑答复导致中标、中标结果改变的，采购人或者采购代理机构应当将有关情况书面报告本级财政部门。</w:t>
      </w:r>
    </w:p>
    <w:p w14:paraId="409C1855">
      <w:pPr>
        <w:ind w:firstLine="482" w:firstLineChars="200"/>
        <w:rPr>
          <w:b/>
        </w:rPr>
      </w:pPr>
      <w:r>
        <w:rPr>
          <w:rFonts w:hint="eastAsia"/>
          <w:b/>
        </w:rPr>
        <w:t>未按规定格式、内容提出的，采购人、采购代理机构将不予受理。</w:t>
      </w:r>
    </w:p>
    <w:p w14:paraId="4793B1CD">
      <w:pPr>
        <w:ind w:firstLine="480" w:firstLineChars="200"/>
        <w:rPr>
          <w:b/>
        </w:rPr>
      </w:pPr>
      <w:r>
        <w:rPr>
          <w:rFonts w:hint="eastAsia"/>
        </w:rPr>
        <w:t>质疑供应商对采购人、采购代理机构的答复不满意或者采购人、采购代理机构未在规定的时间内作出答复的，可以在答复期满后十五个工作日内向同级政府采购监督管理部门投诉。供应商质疑和投诉需按照《政府采购质疑和投诉办法》（财政部令第94号）规定，范本在浙江政府采购网中“下载专区”内下载，质疑时供应商需在法定质疑期内一次性提出针对同一采购环节的质疑。</w:t>
      </w:r>
    </w:p>
    <w:p w14:paraId="3055731F">
      <w:pPr>
        <w:pStyle w:val="3"/>
        <w:jc w:val="center"/>
      </w:pPr>
      <w:bookmarkStart w:id="7" w:name="_Toc67814471"/>
      <w:bookmarkStart w:id="8" w:name="_Toc130455802"/>
      <w:r>
        <w:rPr>
          <w:rFonts w:hint="eastAsia"/>
        </w:rPr>
        <w:t>二、采购文件</w:t>
      </w:r>
      <w:bookmarkEnd w:id="7"/>
      <w:bookmarkEnd w:id="8"/>
    </w:p>
    <w:p w14:paraId="381BE20B">
      <w:r>
        <w:rPr>
          <w:rFonts w:hint="eastAsia"/>
        </w:rPr>
        <w:t>（一）采购文件的组成</w:t>
      </w:r>
    </w:p>
    <w:p w14:paraId="78D300C6">
      <w:pPr>
        <w:ind w:firstLine="480" w:firstLineChars="200"/>
      </w:pPr>
      <w:r>
        <w:rPr>
          <w:rFonts w:hint="eastAsia"/>
        </w:rPr>
        <w:t>1、公开招标采购公告</w:t>
      </w:r>
    </w:p>
    <w:p w14:paraId="56C185FF">
      <w:pPr>
        <w:ind w:firstLine="480" w:firstLineChars="200"/>
      </w:pPr>
      <w:r>
        <w:rPr>
          <w:rFonts w:hint="eastAsia"/>
        </w:rPr>
        <w:t>2、采购需求</w:t>
      </w:r>
    </w:p>
    <w:p w14:paraId="58849BAC">
      <w:pPr>
        <w:ind w:firstLine="480" w:firstLineChars="200"/>
      </w:pPr>
      <w:r>
        <w:rPr>
          <w:rFonts w:hint="eastAsia"/>
        </w:rPr>
        <w:t>3、供应商须知</w:t>
      </w:r>
    </w:p>
    <w:p w14:paraId="0C90CF1F">
      <w:pPr>
        <w:ind w:firstLine="480" w:firstLineChars="200"/>
      </w:pPr>
      <w:r>
        <w:rPr>
          <w:rFonts w:hint="eastAsia"/>
        </w:rPr>
        <w:t>4、评标办法及标准</w:t>
      </w:r>
    </w:p>
    <w:p w14:paraId="66FAE8B5">
      <w:pPr>
        <w:ind w:firstLine="480" w:firstLineChars="200"/>
      </w:pPr>
      <w:r>
        <w:rPr>
          <w:rFonts w:hint="eastAsia"/>
        </w:rPr>
        <w:t>5、合同主要条款</w:t>
      </w:r>
    </w:p>
    <w:p w14:paraId="1F114E8E">
      <w:pPr>
        <w:ind w:firstLine="480" w:firstLineChars="200"/>
      </w:pPr>
      <w:r>
        <w:rPr>
          <w:rFonts w:hint="eastAsia"/>
        </w:rPr>
        <w:t>6、投标文件格式</w:t>
      </w:r>
    </w:p>
    <w:p w14:paraId="607CF68D">
      <w:pPr>
        <w:ind w:firstLine="480" w:firstLineChars="200"/>
      </w:pPr>
      <w:r>
        <w:rPr>
          <w:rFonts w:hint="eastAsia"/>
        </w:rPr>
        <w:t>7、本项目采购文件的澄清、答复、修改、补充的内容</w:t>
      </w:r>
    </w:p>
    <w:p w14:paraId="13982A1B">
      <w:r>
        <w:rPr>
          <w:rFonts w:hint="eastAsia"/>
        </w:rPr>
        <w:t>（二）供应商的风险</w:t>
      </w:r>
    </w:p>
    <w:p w14:paraId="11283839">
      <w:pPr>
        <w:ind w:firstLine="480" w:firstLineChars="200"/>
      </w:pPr>
      <w:r>
        <w:rPr>
          <w:rFonts w:hint="eastAsia"/>
        </w:rPr>
        <w:t>供应商没有按照采购文件要求提供全部资料，或者供应商没有对采购文件在各方面作出实质性响应是供应商的风险，并可能导致其投标被拒绝。</w:t>
      </w:r>
    </w:p>
    <w:p w14:paraId="45AB1066">
      <w:r>
        <w:rPr>
          <w:rFonts w:hint="eastAsia"/>
        </w:rPr>
        <w:t xml:space="preserve">（三）采购文件的澄清与修改 </w:t>
      </w:r>
    </w:p>
    <w:p w14:paraId="432DEC3E">
      <w:pPr>
        <w:ind w:firstLine="480" w:firstLineChars="200"/>
      </w:pPr>
      <w:r>
        <w:rPr>
          <w:rFonts w:hint="eastAsia"/>
        </w:rPr>
        <w:t>1、在投标截止时间前，招标采购单位对已发出的采购文件进行必要澄清或者修改时，将依法在财政部门指定的政府采购信息发布媒体上发布更正公告，同时政采云系统会向所有已按采购文件规定方式获取采购文件的潜在供应商发送更正提醒信息，潜在供应商请自行到浙江省政府采网上下载澄清（更正）文件。该澄清或者修改的内容为采购文件的组成部分，对所有供应商有约束力。供应商在收到采购文件的澄清修改函后，应以书面形式予以确认。</w:t>
      </w:r>
    </w:p>
    <w:p w14:paraId="5BA14DB9">
      <w:pPr>
        <w:ind w:firstLine="480" w:firstLineChars="200"/>
      </w:pPr>
      <w:r>
        <w:rPr>
          <w:rFonts w:hint="eastAsia"/>
        </w:rPr>
        <w:t>2、招标采购单位可以视采购具体情况，延长投标截止时间和开标时间，并将变更时间书面通知所有采购文件收受人，并在财政部门指定的政府采购信息发布媒体上发布变更公告。</w:t>
      </w:r>
    </w:p>
    <w:p w14:paraId="42D6961C">
      <w:pPr>
        <w:pStyle w:val="3"/>
        <w:jc w:val="center"/>
      </w:pPr>
      <w:bookmarkStart w:id="9" w:name="_Toc67814472"/>
      <w:bookmarkStart w:id="10" w:name="_Toc130455803"/>
      <w:r>
        <w:rPr>
          <w:rFonts w:hint="eastAsia"/>
        </w:rPr>
        <w:t>三、投标文件的编制要求</w:t>
      </w:r>
      <w:bookmarkEnd w:id="9"/>
      <w:bookmarkEnd w:id="10"/>
    </w:p>
    <w:p w14:paraId="3FDFAF61">
      <w:pPr>
        <w:rPr>
          <w:b/>
          <w:bCs/>
        </w:rPr>
      </w:pPr>
      <w:r>
        <w:rPr>
          <w:rFonts w:hint="eastAsia"/>
          <w:b/>
          <w:bCs/>
        </w:rPr>
        <w:t>（一）投标文件的形式和效力：</w:t>
      </w:r>
    </w:p>
    <w:p w14:paraId="49D6F655">
      <w:pPr>
        <w:ind w:firstLine="480" w:firstLineChars="200"/>
      </w:pPr>
      <w:r>
        <w:rPr>
          <w:rFonts w:hint="eastAsia"/>
        </w:rPr>
        <w:t>1、投标文件分为“电子加密投标文件”，供应商还可以提供“备份投标文件”，具体内容如下：</w:t>
      </w:r>
    </w:p>
    <w:p w14:paraId="738A94E4">
      <w:pPr>
        <w:ind w:firstLine="480" w:firstLineChars="200"/>
      </w:pPr>
      <w:r>
        <w:rPr>
          <w:rFonts w:hint="eastAsia"/>
        </w:rPr>
        <w:t>1.1电子投标文件：按政采云平台项目采购-电子交易操作指南及本采购文件要求制作、加密并递交，供应商电子交易操作指南详见网址：https://service.zcygov.cn/#/。</w:t>
      </w:r>
    </w:p>
    <w:p w14:paraId="3B351FBB">
      <w:pPr>
        <w:ind w:firstLine="480" w:firstLineChars="200"/>
      </w:pPr>
      <w:r>
        <w:rPr>
          <w:rFonts w:hint="eastAsia"/>
        </w:rPr>
        <w:t>1.2供应商如需提供数据电子备份投标文件（U盘）：以U盘形式提供的数据电子备份投标文件格式及内容须与政采云平台项目采购-电子交易操作指南中制作、加密并递交的电子投标文件格式及内容一致。“备份投标文件”是指与“电子加密投标文件”同时生成的数据电文形式的电子文件，其他方式编制的备份投标文件无效。供应商应将数据电子备份投标文件（U盘）形式单独密封、包装应并在包装上标注投标项目名称、供应商名称并加盖公章。因不按规定密封、包装的数据电子备份投标文件（U盘）而产生的对投标供应商的不利后果由供应商自行承担。</w:t>
      </w:r>
    </w:p>
    <w:p w14:paraId="2C707AC8">
      <w:pPr>
        <w:ind w:firstLine="480" w:firstLineChars="200"/>
      </w:pPr>
      <w:r>
        <w:rPr>
          <w:rFonts w:hint="eastAsia"/>
        </w:rPr>
        <w:t>2、投标文件的效力：</w:t>
      </w:r>
    </w:p>
    <w:p w14:paraId="1E2E1EB8">
      <w:pPr>
        <w:ind w:firstLine="480" w:firstLineChars="200"/>
      </w:pPr>
      <w:r>
        <w:rPr>
          <w:rFonts w:hint="eastAsia"/>
        </w:rPr>
        <w:t>投标文件的启用：按先后顺位分别为电子投标文件，供应商递交数据电子备份投标文件（U盘）的。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5B15BD00">
      <w:pPr>
        <w:rPr>
          <w:b/>
          <w:bCs/>
        </w:rPr>
      </w:pPr>
      <w:r>
        <w:rPr>
          <w:rFonts w:hint="eastAsia"/>
          <w:b/>
          <w:bCs/>
        </w:rPr>
        <w:t>（二）投标文件的组成（如无格式、格式自拟）</w:t>
      </w:r>
    </w:p>
    <w:p w14:paraId="0799195E">
      <w:pPr>
        <w:ind w:firstLine="480" w:firstLineChars="200"/>
      </w:pPr>
      <w:r>
        <w:rPr>
          <w:rFonts w:hint="eastAsia"/>
        </w:rPr>
        <w:t>投标文件（包括电子投标文件，供应商递交数据电子备份投标文件（U盘）的）由《资格文件》、《技术、商务、资信及其他文件》和《报价文件》组成，其中电子投标文件中所须加盖公章部分均采用CA签章。</w:t>
      </w:r>
    </w:p>
    <w:p w14:paraId="00E891E5">
      <w:pPr>
        <w:ind w:firstLine="480" w:firstLineChars="200"/>
      </w:pPr>
      <w:r>
        <w:rPr>
          <w:rFonts w:hint="eastAsia"/>
        </w:rPr>
        <w:t>1、资格文件：</w:t>
      </w:r>
    </w:p>
    <w:p w14:paraId="427595B7">
      <w:pPr>
        <w:ind w:firstLine="480" w:firstLineChars="200"/>
      </w:pPr>
      <w:r>
        <w:rPr>
          <w:rFonts w:hint="eastAsia"/>
        </w:rPr>
        <w:t>（1）投标声明书；</w:t>
      </w:r>
      <w:r>
        <w:rPr>
          <w:rFonts w:hint="eastAsia"/>
          <w:b/>
          <w:bCs/>
        </w:rPr>
        <w:t>（资格审查条款）</w:t>
      </w:r>
    </w:p>
    <w:p w14:paraId="2A2ADC07">
      <w:pPr>
        <w:ind w:firstLine="480" w:firstLineChars="200"/>
      </w:pPr>
      <w:r>
        <w:rPr>
          <w:rFonts w:hint="eastAsia"/>
        </w:rPr>
        <w:t>（2）具备有效的企业营业执照或事业法人单位法人证书、税务登记证（若多证合一提供企业营业执照或事业法人单位法人证书）；</w:t>
      </w:r>
      <w:r>
        <w:rPr>
          <w:rFonts w:hint="eastAsia"/>
          <w:b/>
          <w:bCs/>
        </w:rPr>
        <w:t>（资格审查条款）</w:t>
      </w:r>
    </w:p>
    <w:p w14:paraId="7166477A">
      <w:pPr>
        <w:ind w:firstLine="480" w:firstLineChars="200"/>
      </w:pPr>
      <w:r>
        <w:rPr>
          <w:rFonts w:hint="eastAsia"/>
        </w:rPr>
        <w:t>（3）法定代表人有效身份证明书及身份证或法定代表人授权书及代理人身份证；</w:t>
      </w:r>
      <w:r>
        <w:rPr>
          <w:rFonts w:hint="eastAsia"/>
          <w:b/>
          <w:bCs/>
        </w:rPr>
        <w:t>（资格审查条款）</w:t>
      </w:r>
    </w:p>
    <w:p w14:paraId="18550E78">
      <w:pPr>
        <w:ind w:firstLine="480" w:firstLineChars="200"/>
      </w:pPr>
      <w:r>
        <w:rPr>
          <w:rFonts w:hint="eastAsia"/>
        </w:rPr>
        <w:t>（4）代理人最近一个月个人社保缴纳证明文件；</w:t>
      </w:r>
      <w:r>
        <w:rPr>
          <w:rFonts w:hint="eastAsia"/>
          <w:b/>
          <w:bCs/>
        </w:rPr>
        <w:t>（资格审查条款）</w:t>
      </w:r>
    </w:p>
    <w:p w14:paraId="632747E1">
      <w:pPr>
        <w:ind w:firstLine="480" w:firstLineChars="200"/>
        <w:rPr>
          <w:b/>
          <w:bCs/>
        </w:rPr>
      </w:pPr>
      <w:r>
        <w:rPr>
          <w:rFonts w:hint="eastAsia"/>
        </w:rPr>
        <w:t>（5）供应商最近三个月企业正常纳税情况和社保基金缴纳情况证明文书；</w:t>
      </w:r>
      <w:r>
        <w:rPr>
          <w:rFonts w:hint="eastAsia"/>
          <w:b/>
          <w:bCs/>
        </w:rPr>
        <w:t>（资格审查条款）</w:t>
      </w:r>
    </w:p>
    <w:p w14:paraId="01027BEB">
      <w:pPr>
        <w:ind w:firstLine="480" w:firstLineChars="200"/>
        <w:rPr>
          <w:b/>
          <w:bCs/>
        </w:rPr>
      </w:pPr>
      <w:r>
        <w:rPr>
          <w:rFonts w:hint="eastAsia"/>
        </w:rPr>
        <w:t>（</w:t>
      </w:r>
      <w:r>
        <w:t>6</w:t>
      </w:r>
      <w:r>
        <w:rPr>
          <w:rFonts w:hint="eastAsia"/>
        </w:rPr>
        <w:t>）信用承诺书；</w:t>
      </w:r>
      <w:r>
        <w:rPr>
          <w:rFonts w:hint="eastAsia"/>
          <w:b/>
          <w:bCs/>
        </w:rPr>
        <w:t>（资格审查条款）</w:t>
      </w:r>
    </w:p>
    <w:p w14:paraId="49306840">
      <w:pPr>
        <w:ind w:firstLine="480" w:firstLineChars="200"/>
        <w:rPr>
          <w:b/>
          <w:bCs/>
        </w:rPr>
      </w:pPr>
      <w:r>
        <w:rPr>
          <w:rFonts w:hint="eastAsia"/>
        </w:rPr>
        <w:t>（</w:t>
      </w:r>
      <w:r>
        <w:t>7</w:t>
      </w:r>
      <w:r>
        <w:rPr>
          <w:rFonts w:hint="eastAsia"/>
        </w:rPr>
        <w:t>）联合体各方共同投标协议或分包意向协议（如有）；</w:t>
      </w:r>
      <w:r>
        <w:rPr>
          <w:rFonts w:hint="eastAsia"/>
          <w:b/>
          <w:bCs/>
        </w:rPr>
        <w:t>（资格审查条款）</w:t>
      </w:r>
    </w:p>
    <w:p w14:paraId="136CF9E0">
      <w:pPr>
        <w:ind w:firstLine="480" w:firstLineChars="200"/>
      </w:pPr>
      <w:r>
        <w:rPr>
          <w:rFonts w:hint="eastAsia"/>
        </w:rPr>
        <w:t>（8）供应商认为需要提供的其他资格文件（如有）。</w:t>
      </w:r>
      <w:r>
        <w:rPr>
          <w:rFonts w:hint="eastAsia"/>
          <w:b/>
          <w:bCs/>
        </w:rPr>
        <w:t>（资格审查条款）</w:t>
      </w:r>
    </w:p>
    <w:p w14:paraId="53D5DABD">
      <w:pPr>
        <w:ind w:firstLine="480" w:firstLineChars="200"/>
      </w:pPr>
      <w:r>
        <w:rPr>
          <w:rFonts w:hint="eastAsia"/>
        </w:rPr>
        <w:t>2、技术、商务、资信及其他文件主要包括下列内容</w:t>
      </w:r>
      <w:r>
        <w:rPr>
          <w:rFonts w:hint="eastAsia"/>
          <w:b/>
        </w:rPr>
        <w:t>（具体根据评分办法自行编制）</w:t>
      </w:r>
      <w:r>
        <w:rPr>
          <w:rFonts w:hint="eastAsia"/>
        </w:rPr>
        <w:t>：</w:t>
      </w:r>
    </w:p>
    <w:p w14:paraId="4D4A52B3">
      <w:pPr>
        <w:ind w:firstLine="480" w:firstLineChars="200"/>
      </w:pPr>
      <w:r>
        <w:rPr>
          <w:rFonts w:hint="eastAsia"/>
        </w:rPr>
        <w:t>（1）评分索引表；</w:t>
      </w:r>
    </w:p>
    <w:p w14:paraId="44259B88">
      <w:pPr>
        <w:ind w:firstLine="480" w:firstLineChars="200"/>
      </w:pPr>
      <w:r>
        <w:rPr>
          <w:rFonts w:hint="eastAsia"/>
        </w:rPr>
        <w:t>（2）技术文件根据评分办法自行编制；</w:t>
      </w:r>
    </w:p>
    <w:p w14:paraId="3BFBC9FC">
      <w:pPr>
        <w:ind w:firstLine="480" w:firstLineChars="200"/>
      </w:pPr>
      <w:r>
        <w:rPr>
          <w:rFonts w:hint="eastAsia"/>
        </w:rPr>
        <w:t>（</w:t>
      </w:r>
      <w:r>
        <w:t>3</w:t>
      </w:r>
      <w:r>
        <w:rPr>
          <w:rFonts w:hint="eastAsia"/>
        </w:rPr>
        <w:t>）供应商认为需要的其他资料。</w:t>
      </w:r>
    </w:p>
    <w:p w14:paraId="26A7DCEC">
      <w:pPr>
        <w:ind w:firstLine="480" w:firstLineChars="200"/>
        <w:rPr>
          <w:rFonts w:ascii="仿宋" w:hAnsi="仿宋"/>
        </w:rPr>
      </w:pPr>
      <w:r>
        <w:rPr>
          <w:rFonts w:hint="eastAsia" w:ascii="仿宋" w:hAnsi="仿宋"/>
        </w:rPr>
        <w:t>3、报价文件：</w:t>
      </w:r>
    </w:p>
    <w:p w14:paraId="3E15C0A2">
      <w:pPr>
        <w:ind w:firstLine="480" w:firstLineChars="200"/>
      </w:pPr>
      <w:r>
        <w:rPr>
          <w:rFonts w:hint="eastAsia"/>
        </w:rPr>
        <w:t>（1）投标函；</w:t>
      </w:r>
    </w:p>
    <w:p w14:paraId="622D5DA2">
      <w:pPr>
        <w:ind w:firstLine="480" w:firstLineChars="200"/>
      </w:pPr>
      <w:r>
        <w:rPr>
          <w:rFonts w:hint="eastAsia"/>
        </w:rPr>
        <w:t>（2）开标一览表（投标报价一览表）；</w:t>
      </w:r>
    </w:p>
    <w:p w14:paraId="25CA7CC3">
      <w:pPr>
        <w:ind w:firstLine="480" w:firstLineChars="200"/>
      </w:pPr>
      <w:r>
        <w:rPr>
          <w:rFonts w:hint="eastAsia"/>
        </w:rPr>
        <w:t>（</w:t>
      </w:r>
      <w:r>
        <w:t>3</w:t>
      </w:r>
      <w:r>
        <w:rPr>
          <w:rFonts w:hint="eastAsia"/>
        </w:rPr>
        <w:t>）政策分相关证明资料</w:t>
      </w:r>
      <w:r>
        <w:t>[</w:t>
      </w:r>
      <w:r>
        <w:rPr>
          <w:rFonts w:hint="eastAsia"/>
        </w:rPr>
        <w:t>中小企业声明函等（如有，格式见附件）</w:t>
      </w:r>
      <w:r>
        <w:t>]</w:t>
      </w:r>
      <w:r>
        <w:rPr>
          <w:rFonts w:hint="eastAsia"/>
        </w:rPr>
        <w:t>；</w:t>
      </w:r>
    </w:p>
    <w:p w14:paraId="3C085342">
      <w:pPr>
        <w:ind w:firstLine="480" w:firstLineChars="200"/>
      </w:pPr>
      <w:r>
        <w:rPr>
          <w:rFonts w:hint="eastAsia"/>
        </w:rPr>
        <w:t>（</w:t>
      </w:r>
      <w:r>
        <w:t>4</w:t>
      </w:r>
      <w:r>
        <w:rPr>
          <w:rFonts w:hint="eastAsia"/>
        </w:rPr>
        <w:t>）招标代理费承诺函；</w:t>
      </w:r>
    </w:p>
    <w:p w14:paraId="49F98ADF">
      <w:pPr>
        <w:ind w:firstLine="480" w:firstLineChars="200"/>
      </w:pPr>
      <w:r>
        <w:rPr>
          <w:rFonts w:hint="eastAsia"/>
        </w:rPr>
        <w:t>（</w:t>
      </w:r>
      <w:r>
        <w:t>5</w:t>
      </w:r>
      <w:r>
        <w:rPr>
          <w:rFonts w:hint="eastAsia"/>
        </w:rPr>
        <w:t>）供应商针对报价需要说明的其他文件和说明。</w:t>
      </w:r>
    </w:p>
    <w:p w14:paraId="03006755">
      <w:pPr>
        <w:ind w:firstLine="480" w:firstLineChars="200"/>
      </w:pPr>
      <w:r>
        <w:rPr>
          <w:rFonts w:hint="eastAsia"/>
        </w:rPr>
        <w:t>▲注：（1）上述内容本采购文件中有提供格式的，供应商须参照格式进行编制（格式中要求提供相关证明材料的还需后附相关证明材料），并按格式要求在指定位置根据要求进行签章，否则视为未提供；</w:t>
      </w:r>
    </w:p>
    <w:p w14:paraId="5B4880F7">
      <w:pPr>
        <w:ind w:firstLine="480" w:firstLineChars="200"/>
      </w:pPr>
      <w:r>
        <w:rPr>
          <w:rFonts w:hint="eastAsia"/>
        </w:rPr>
        <w:t>（2）采购文件未提供格式的，请各供应商自行拟定格式，并加盖单位公章并由法定代表人或其授权代表签署（签字或盖章），否则视为未提供；</w:t>
      </w:r>
    </w:p>
    <w:p w14:paraId="3D89FB32">
      <w:pPr>
        <w:ind w:firstLine="480" w:firstLineChars="200"/>
      </w:pPr>
      <w:r>
        <w:rPr>
          <w:rFonts w:hint="eastAsia"/>
        </w:rPr>
        <w:t>（3）可以提供复制件的相关证明材料必须加盖供应商公章，否则视为未提供（例如：各类资格资质证书、业绩材料等）。</w:t>
      </w:r>
    </w:p>
    <w:p w14:paraId="268FBA35">
      <w:pPr>
        <w:rPr>
          <w:b/>
          <w:bCs/>
        </w:rPr>
      </w:pPr>
      <w:r>
        <w:rPr>
          <w:rFonts w:hint="eastAsia"/>
          <w:b/>
          <w:bCs/>
        </w:rPr>
        <w:t>（三）投标文件的语言及计量</w:t>
      </w:r>
    </w:p>
    <w:p w14:paraId="6CC439EF">
      <w:pPr>
        <w:ind w:firstLine="480" w:firstLineChars="200"/>
      </w:pPr>
      <w:r>
        <w:rPr>
          <w:rFonts w:hint="eastAsia"/>
        </w:rPr>
        <w:t>1、投标文件以及供应商与采购人就有关投标事宜的所有来往函电，均应以中文汉语书写。除签名、盖章、专用名称等特殊情形外，以中文汉语以外的文字表述的投标文件视同未提供。</w:t>
      </w:r>
    </w:p>
    <w:p w14:paraId="541416D9">
      <w:pPr>
        <w:ind w:firstLine="480" w:firstLineChars="200"/>
      </w:pPr>
      <w:r>
        <w:rPr>
          <w:rFonts w:hint="eastAsia"/>
        </w:rPr>
        <w:t>2、投标计量单位，采购文件已有明确规定的，使用采购文件规定的计量单位；采购文件没有规定的，应采用中华人民共和国法定计量单位（货币单位：人民币），否则视同未响应。</w:t>
      </w:r>
    </w:p>
    <w:p w14:paraId="63981B3C">
      <w:pPr>
        <w:rPr>
          <w:b/>
          <w:bCs/>
        </w:rPr>
      </w:pPr>
      <w:r>
        <w:rPr>
          <w:rFonts w:hint="eastAsia"/>
          <w:b/>
          <w:bCs/>
        </w:rPr>
        <w:t>▲（四）投标报价</w:t>
      </w:r>
    </w:p>
    <w:p w14:paraId="6670AD41">
      <w:pPr>
        <w:ind w:firstLine="480" w:firstLineChars="200"/>
      </w:pPr>
      <w:r>
        <w:t>1</w:t>
      </w:r>
      <w:r>
        <w:rPr>
          <w:rFonts w:hint="eastAsia"/>
        </w:rPr>
        <w:t>、投标报价是履行合同的结算依据，应包括含配备人员工资及保险、税费、管理费用、服务内容中所涉及的额外人员及机械设备费用、项目验收费用等其他一切费用。</w:t>
      </w:r>
    </w:p>
    <w:p w14:paraId="375E7014">
      <w:pPr>
        <w:ind w:firstLine="480" w:firstLineChars="200"/>
      </w:pPr>
      <w:r>
        <w:t>2</w:t>
      </w:r>
      <w:r>
        <w:rPr>
          <w:rFonts w:hint="eastAsia"/>
        </w:rPr>
        <w:t>、投标文件只允许有一个报价，有选择的或有条件的报价将不予接受。</w:t>
      </w:r>
    </w:p>
    <w:p w14:paraId="6FF71D2B">
      <w:pPr>
        <w:ind w:firstLine="480" w:firstLineChars="200"/>
      </w:pPr>
      <w:r>
        <w:t>3</w:t>
      </w:r>
      <w:r>
        <w:rPr>
          <w:rFonts w:hint="eastAsia"/>
        </w:rPr>
        <w:t>、供应商的最终报价由供应商自担全部风险责任，中标后不得以任何理由调整报价或追加任何费用。</w:t>
      </w:r>
    </w:p>
    <w:p w14:paraId="31AC7D1A">
      <w:pPr>
        <w:ind w:firstLine="480" w:firstLineChars="200"/>
      </w:pPr>
      <w:r>
        <w:t>4</w:t>
      </w:r>
      <w:r>
        <w:rPr>
          <w:rFonts w:hint="eastAsia"/>
        </w:rPr>
        <w:t>、供应商所有优惠条件和优惠费用不得降低和影响本采购项目质量。</w:t>
      </w:r>
    </w:p>
    <w:p w14:paraId="47CED209">
      <w:pPr>
        <w:ind w:firstLine="480" w:firstLineChars="200"/>
      </w:pPr>
      <w:r>
        <w:t>5</w:t>
      </w:r>
      <w:r>
        <w:rPr>
          <w:rFonts w:hint="eastAsia"/>
        </w:rPr>
        <w:t>、报价如单价与总价不符时，以单价为准；大写与小写不符时以大写为准。</w:t>
      </w:r>
    </w:p>
    <w:p w14:paraId="5799A81D">
      <w:pPr>
        <w:ind w:firstLine="480" w:firstLineChars="200"/>
      </w:pPr>
      <w:r>
        <w:t>6</w:t>
      </w:r>
      <w:r>
        <w:rPr>
          <w:rFonts w:hint="eastAsia"/>
        </w:rPr>
        <w:t>、供应商对采购文件里有关投标报价的全部内容应仔细确认，若有个别异议，应在开标前提出修改意见，否则视同全部确认。</w:t>
      </w:r>
    </w:p>
    <w:p w14:paraId="66E31254">
      <w:pPr>
        <w:ind w:firstLine="482" w:firstLineChars="200"/>
      </w:pPr>
      <w:r>
        <w:rPr>
          <w:rFonts w:hint="eastAsia"/>
          <w:b/>
          <w:bCs/>
        </w:rPr>
        <w:t>▲</w:t>
      </w:r>
      <w:r>
        <w:t>7</w:t>
      </w:r>
      <w:r>
        <w:rPr>
          <w:rFonts w:hint="eastAsia"/>
        </w:rPr>
        <w:t>、供应商在报价中应充分考虑所有可能发生的费用，否则采购人将视投标总价中已包括所有费用。</w:t>
      </w:r>
    </w:p>
    <w:p w14:paraId="300DB94A">
      <w:pPr>
        <w:ind w:firstLine="480" w:firstLineChars="200"/>
      </w:pPr>
      <w:r>
        <w:rPr>
          <w:rFonts w:hint="eastAsia"/>
        </w:rPr>
        <w:t>8、供应商对在合同执行中，除上述费用及采购文件规定的由中标供应商负责的工作范围以外需要采购人协调或提供便利的工作应当在报价文件中说明。</w:t>
      </w:r>
    </w:p>
    <w:p w14:paraId="6EECE0D8">
      <w:pPr>
        <w:rPr>
          <w:b/>
          <w:bCs/>
        </w:rPr>
      </w:pPr>
      <w:r>
        <w:rPr>
          <w:rFonts w:hint="eastAsia"/>
          <w:b/>
          <w:bCs/>
        </w:rPr>
        <w:t>（五）投标文件的有效期</w:t>
      </w:r>
    </w:p>
    <w:p w14:paraId="67FFB18E">
      <w:pPr>
        <w:ind w:firstLine="480" w:firstLineChars="200"/>
      </w:pPr>
      <w:r>
        <w:rPr>
          <w:rFonts w:hint="eastAsia"/>
        </w:rPr>
        <w:t>▲1、自投标截止日起</w:t>
      </w:r>
      <w:r>
        <w:rPr>
          <w:rFonts w:hint="eastAsia"/>
          <w:u w:val="single"/>
        </w:rPr>
        <w:t>90</w:t>
      </w:r>
      <w:r>
        <w:rPr>
          <w:rFonts w:hint="eastAsia"/>
        </w:rPr>
        <w:t>天投标文件应保持有效。有效期不足的投标文件将被拒绝。</w:t>
      </w:r>
    </w:p>
    <w:p w14:paraId="548F4F99">
      <w:pPr>
        <w:ind w:firstLine="480" w:firstLineChars="200"/>
      </w:pPr>
      <w:r>
        <w:rPr>
          <w:rFonts w:hint="eastAsia"/>
        </w:rPr>
        <w:t>2、在特殊情况下，采购人可与供应商协商延长投标书的有效期，这种要求和答复均以书面形式进行。</w:t>
      </w:r>
    </w:p>
    <w:p w14:paraId="7F0A2D3B">
      <w:pPr>
        <w:ind w:firstLine="480" w:firstLineChars="200"/>
      </w:pPr>
      <w:r>
        <w:rPr>
          <w:rFonts w:hint="eastAsia"/>
        </w:rPr>
        <w:t>3、中标供应商的投标文件自开标之日起至合同履行完毕止均应保持有效。</w:t>
      </w:r>
    </w:p>
    <w:p w14:paraId="1BEBD6AD">
      <w:pPr>
        <w:rPr>
          <w:b/>
          <w:bCs/>
        </w:rPr>
      </w:pPr>
      <w:r>
        <w:rPr>
          <w:rFonts w:hint="eastAsia"/>
          <w:b/>
          <w:bCs/>
        </w:rPr>
        <w:t>（六）投标文件的签署和份数</w:t>
      </w:r>
    </w:p>
    <w:p w14:paraId="2330DB38">
      <w:pPr>
        <w:ind w:firstLine="482" w:firstLineChars="200"/>
        <w:rPr>
          <w:b/>
          <w:bCs/>
        </w:rPr>
      </w:pPr>
      <w:r>
        <w:rPr>
          <w:rFonts w:hint="eastAsia"/>
          <w:b/>
          <w:bCs/>
        </w:rPr>
        <w:t>1、电子投标文件：</w:t>
      </w:r>
    </w:p>
    <w:p w14:paraId="382813F5">
      <w:pPr>
        <w:ind w:firstLine="480" w:firstLineChars="200"/>
      </w:pPr>
      <w:r>
        <w:rPr>
          <w:rFonts w:hint="eastAsia"/>
        </w:rPr>
        <w:t>供应商应根据“政采云供应商项目采购-电子招投标操作指南”及本采购文件规定的格式和顺序编制电子投标文件并进行关联定位，若因投标文件内容不完整、编排混乱导致投标文件被误读、漏读或者查找不到相关内容的，是供应商的责任。凡是参加两个或者以上标项投标的，投标文件必须按标项分别制作。</w:t>
      </w:r>
    </w:p>
    <w:p w14:paraId="0C0F1EAA">
      <w:pPr>
        <w:ind w:firstLine="482" w:firstLineChars="200"/>
        <w:rPr>
          <w:b/>
          <w:bCs/>
        </w:rPr>
      </w:pPr>
      <w:r>
        <w:rPr>
          <w:rFonts w:hint="eastAsia"/>
          <w:b/>
          <w:bCs/>
        </w:rPr>
        <w:t>2、供应商如需提供数据电子备份投标文件（U盘）：</w:t>
      </w:r>
    </w:p>
    <w:p w14:paraId="03B7EA36">
      <w:pPr>
        <w:ind w:firstLine="480" w:firstLineChars="200"/>
      </w:pPr>
      <w:r>
        <w:rPr>
          <w:rFonts w:hint="eastAsia"/>
        </w:rPr>
        <w:t>电子投标文件的备份文件以U盘形式存储。数据电子备份投标文件格式及内容须与政采云平台项目采购-电子交易操作指南中制作、加密并递交的电子投标文件格式及内容一致。</w:t>
      </w:r>
      <w:r>
        <w:rPr>
          <w:rFonts w:hint="eastAsia"/>
          <w:b/>
          <w:bCs/>
        </w:rPr>
        <w:t>数据电子备份投标文件（U盘）应包含《资格文件》、《技术、商务、资信及其他文件》和《报价文件》，供应商应将数据电子备份投标文件（U盘）形式单独密封、包装并在包装上标注投标项目名称、供应商名称并加盖公章。不按规定密封、包装的数据电子备份投标文件（U盘）因此产生的不良影响由供应商自行承担。其中《资格文件》、《技术、商务、资信及其他文件》均不得体现报价部分内容。</w:t>
      </w:r>
      <w:r>
        <w:rPr>
          <w:rFonts w:hint="eastAsia"/>
        </w:rPr>
        <w:t>凡是参加两个或者以上标项投标的，必须按标项分别单独密封、包装、单独提交。</w:t>
      </w:r>
    </w:p>
    <w:p w14:paraId="571E8BCA">
      <w:pPr>
        <w:ind w:firstLine="482" w:firstLineChars="200"/>
        <w:rPr>
          <w:b/>
          <w:bCs/>
        </w:rPr>
      </w:pPr>
      <w:r>
        <w:rPr>
          <w:rFonts w:hint="eastAsia"/>
          <w:b/>
          <w:bCs/>
        </w:rPr>
        <w:t>3、其他：</w:t>
      </w:r>
    </w:p>
    <w:p w14:paraId="0F5A342A">
      <w:pPr>
        <w:ind w:firstLine="480" w:firstLineChars="200"/>
      </w:pPr>
      <w:r>
        <w:rPr>
          <w:rFonts w:hint="eastAsia"/>
        </w:rPr>
        <w:t>3.1投标文件需按采购文件要求的格式填写并签字盖章。</w:t>
      </w:r>
    </w:p>
    <w:p w14:paraId="109A2995">
      <w:pPr>
        <w:ind w:firstLine="480" w:firstLineChars="200"/>
      </w:pPr>
      <w:r>
        <w:rPr>
          <w:rFonts w:hint="eastAsia"/>
        </w:rPr>
        <w:t>3.2投标文件不应涂改或行间插字和增删,如有修改，修改处须加盖供应商的公章或由法定代表人或其授权委托人签字或盖章。投标文件因字迹潦草或表达不清所引起的后果由供应商负责。</w:t>
      </w:r>
    </w:p>
    <w:p w14:paraId="45E5F4E3">
      <w:pPr>
        <w:rPr>
          <w:b/>
          <w:bCs/>
        </w:rPr>
      </w:pPr>
      <w:r>
        <w:rPr>
          <w:rFonts w:hint="eastAsia"/>
          <w:b/>
          <w:bCs/>
        </w:rPr>
        <w:t>（七）投标文件的包装、递交、修改和撤回</w:t>
      </w:r>
    </w:p>
    <w:p w14:paraId="4FCBAB7D">
      <w:pPr>
        <w:ind w:firstLine="480" w:firstLineChars="200"/>
      </w:pPr>
      <w:r>
        <w:rPr>
          <w:rFonts w:hint="eastAsia"/>
        </w:rPr>
        <w:t>供应商应按要求提供电子投标文件：按政采云平台项目采购-电子交易操作指南及本采购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p>
    <w:p w14:paraId="46DEC78F">
      <w:pPr>
        <w:ind w:firstLine="480" w:firstLineChars="200"/>
      </w:pPr>
      <w:r>
        <w:rPr>
          <w:rFonts w:hint="eastAsia"/>
        </w:rPr>
        <w:t>1、供应商应当在投标截止时间前完成电子投标文件的传输递交，并可以补充、修改或者撤回电子投标文件。补充或者修改电子投标文件的，应当先行撤回源文件，补充、修改后重新传输递交，投标截止时间前未完成传输的，视为撤回投标文件。投标、响应截止时间后送达的投标文件，将被政采云平台拒收，作无效标处理。</w:t>
      </w:r>
    </w:p>
    <w:p w14:paraId="4E96F5C5">
      <w:pPr>
        <w:ind w:firstLine="480" w:firstLineChars="200"/>
      </w:pPr>
      <w:r>
        <w:rPr>
          <w:rFonts w:hint="eastAsia"/>
        </w:rPr>
        <w:t>2、供应商在“政采云平台”完成“电子加密投标文件”的上传递交后，还可以在投标截止时间前递交以介质（U盘）存储的数据电文形式的“备份投标文件”。“备份投标文件”是指与“电子加密投标文件”同时生成的数据电文形式的电子文件，其他方式编制的备份投标文件无效。“备份投标文件”应当密封包装并在包装上标注投标项目名称、供应商名称并加盖公章。</w:t>
      </w:r>
    </w:p>
    <w:p w14:paraId="6C977BFD">
      <w:pPr>
        <w:ind w:firstLine="480" w:firstLineChars="200"/>
      </w:pPr>
      <w:r>
        <w:rPr>
          <w:rFonts w:hint="eastAsia"/>
        </w:rPr>
        <w:t>3、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供应商仅递交备份投标文件的，投标无效。</w:t>
      </w:r>
    </w:p>
    <w:p w14:paraId="39D3C056">
      <w:pPr>
        <w:ind w:firstLine="480" w:firstLineChars="200"/>
      </w:pPr>
      <w:r>
        <w:rPr>
          <w:rFonts w:hint="eastAsia"/>
        </w:rPr>
        <w:t>4、供应商如需提交数据电子备份投标文件（U盘）的，应当在规定时间前</w:t>
      </w:r>
      <w:r>
        <w:t>采用信封等形式单独密封、包装</w:t>
      </w:r>
      <w:r>
        <w:rPr>
          <w:rFonts w:hint="eastAsia"/>
        </w:rPr>
        <w:t>并在包装上标注投标项目名称、供应商名称</w:t>
      </w:r>
      <w:r>
        <w:t>、项目编号及“开标时启封”字样</w:t>
      </w:r>
      <w:r>
        <w:rPr>
          <w:rFonts w:hint="eastAsia"/>
        </w:rPr>
        <w:t>并加盖公章。</w:t>
      </w:r>
    </w:p>
    <w:p w14:paraId="52E8824D">
      <w:pPr>
        <w:ind w:firstLine="480" w:firstLineChars="200"/>
      </w:pPr>
      <w:r>
        <w:rPr>
          <w:rFonts w:hint="eastAsia"/>
        </w:rPr>
        <w:t>5、供应商如需提交数据电子备份投标文件（U盘）的，可采取下列两种方式递交：</w:t>
      </w:r>
    </w:p>
    <w:p w14:paraId="4D17A22B">
      <w:pPr>
        <w:ind w:firstLine="480" w:firstLineChars="200"/>
      </w:pPr>
      <w:r>
        <w:rPr>
          <w:rFonts w:hint="eastAsia"/>
        </w:rPr>
        <w:t>（1）如</w:t>
      </w:r>
      <w:r>
        <w:t>通过邮寄快递方式送达，邮寄地址为：</w:t>
      </w:r>
      <w:r>
        <w:rPr>
          <w:rFonts w:hint="eastAsia"/>
        </w:rPr>
        <w:t>浙江省成套招标代理有限公司（浙江省湖州市凤凰路137号国际贸易大厦9楼906室）</w:t>
      </w:r>
      <w:r>
        <w:t>，联系人：</w:t>
      </w:r>
      <w:r>
        <w:rPr>
          <w:rFonts w:hint="eastAsia"/>
        </w:rPr>
        <w:t>顾先生</w:t>
      </w:r>
      <w:r>
        <w:t>，联系电话：</w:t>
      </w:r>
      <w:r>
        <w:rPr>
          <w:rFonts w:hint="eastAsia"/>
        </w:rPr>
        <w:t>15167296678</w:t>
      </w:r>
      <w:r>
        <w:t>。邮寄截止时间：投标单位应于</w:t>
      </w:r>
      <w:r>
        <w:rPr>
          <w:rFonts w:hint="eastAsia"/>
        </w:rPr>
        <w:t xml:space="preserve">2025年  </w:t>
      </w:r>
      <w:r>
        <w:t>月</w:t>
      </w:r>
      <w:r>
        <w:rPr>
          <w:rFonts w:hint="eastAsia"/>
        </w:rPr>
        <w:t xml:space="preserve">  </w:t>
      </w:r>
      <w:r>
        <w:t>日16</w:t>
      </w:r>
      <w:r>
        <w:rPr>
          <w:rFonts w:hint="eastAsia"/>
        </w:rPr>
        <w:t>时3</w:t>
      </w:r>
      <w:r>
        <w:t>0</w:t>
      </w:r>
      <w:r>
        <w:rPr>
          <w:rFonts w:hint="eastAsia"/>
        </w:rPr>
        <w:t>分</w:t>
      </w:r>
      <w:r>
        <w:t>前准时送达，逾期不予受理。</w:t>
      </w:r>
    </w:p>
    <w:p w14:paraId="079E9B03">
      <w:pPr>
        <w:ind w:firstLine="480" w:firstLineChars="200"/>
      </w:pPr>
      <w:r>
        <w:rPr>
          <w:rFonts w:hint="eastAsia"/>
        </w:rPr>
        <w:t>（2）</w:t>
      </w:r>
      <w:r>
        <w:t>如现场提交备份响应文件（</w:t>
      </w:r>
      <w:r>
        <w:rPr>
          <w:rFonts w:hint="eastAsia"/>
        </w:rPr>
        <w:t>U盘</w:t>
      </w:r>
      <w:r>
        <w:t>）的，</w:t>
      </w:r>
      <w:r>
        <w:rPr>
          <w:rFonts w:hint="eastAsia"/>
        </w:rPr>
        <w:t>应在投标截止时间前于开标现场以密封、包装的形式递交</w:t>
      </w:r>
      <w:r>
        <w:t>，逾期不予受理。</w:t>
      </w:r>
    </w:p>
    <w:p w14:paraId="5D79BDB5">
      <w:pPr>
        <w:ind w:firstLine="480" w:firstLineChars="200"/>
      </w:pPr>
      <w:r>
        <w:rPr>
          <w:rFonts w:hint="eastAsia"/>
        </w:rPr>
        <w:t>6、因网络或其他非供应商问题造成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14:paraId="26436904">
      <w:pPr>
        <w:rPr>
          <w:b/>
          <w:bCs/>
        </w:rPr>
      </w:pPr>
      <w:r>
        <w:rPr>
          <w:rFonts w:hint="eastAsia"/>
          <w:b/>
          <w:bCs/>
        </w:rPr>
        <w:t>（八）投标无效的情形</w:t>
      </w:r>
    </w:p>
    <w:p w14:paraId="40EFF9D6">
      <w:pPr>
        <w:ind w:firstLine="480" w:firstLineChars="200"/>
        <w:rPr>
          <w:bCs/>
        </w:rPr>
      </w:pPr>
      <w:r>
        <w:rPr>
          <w:rFonts w:hint="eastAsia"/>
          <w:bCs/>
        </w:rPr>
        <w:t>实质上没有响应采购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供应商修改、补正投标文件后，不影响评标委员会对其投标文件所作的评价和评分结果。</w:t>
      </w:r>
    </w:p>
    <w:p w14:paraId="198A0E3B">
      <w:pPr>
        <w:ind w:firstLine="482" w:firstLineChars="200"/>
        <w:rPr>
          <w:b/>
          <w:bCs/>
        </w:rPr>
      </w:pPr>
      <w:r>
        <w:rPr>
          <w:rFonts w:hint="eastAsia"/>
          <w:b/>
          <w:bCs/>
        </w:rPr>
        <w:t>1、在开标结束后（评标开始前），采购人或采购代理机构对供应商的资格进行审查，如发现下列情形之一的，投标文件将被视为无效，不在进行下一步评审：</w:t>
      </w:r>
    </w:p>
    <w:p w14:paraId="31479D75">
      <w:pPr>
        <w:ind w:firstLine="480" w:firstLineChars="200"/>
      </w:pPr>
      <w:r>
        <w:rPr>
          <w:rFonts w:hint="eastAsia"/>
        </w:rPr>
        <w:t>（1）供应商未提供有效的企业营业执照或事业法人单位法人证书；</w:t>
      </w:r>
    </w:p>
    <w:p w14:paraId="4550EE6C">
      <w:pPr>
        <w:ind w:firstLine="480" w:firstLineChars="200"/>
      </w:pPr>
      <w:r>
        <w:rPr>
          <w:rFonts w:hint="eastAsia"/>
        </w:rPr>
        <w:t>（2）未提供法定代表人有效身份证明书及身份证或未提供法定代表人授权书与代理人身份证或与法定代表人授权委托人身份不符的；</w:t>
      </w:r>
    </w:p>
    <w:p w14:paraId="537FDCB1">
      <w:pPr>
        <w:ind w:firstLine="480" w:firstLineChars="200"/>
      </w:pPr>
      <w:r>
        <w:rPr>
          <w:rFonts w:hint="eastAsia"/>
        </w:rPr>
        <w:t>（3）未提供代理人最近一个月个人社保缴纳证明文件；</w:t>
      </w:r>
    </w:p>
    <w:p w14:paraId="6EC15347">
      <w:pPr>
        <w:ind w:firstLine="480" w:firstLineChars="200"/>
      </w:pPr>
      <w:r>
        <w:rPr>
          <w:rFonts w:hint="eastAsia"/>
        </w:rPr>
        <w:t>（4）未提供供应商最近三个月企业正常纳税情况和社保基金缴纳情况证明文书；</w:t>
      </w:r>
    </w:p>
    <w:p w14:paraId="7E2ECB71">
      <w:pPr>
        <w:ind w:firstLine="480" w:firstLineChars="200"/>
      </w:pPr>
      <w:r>
        <w:rPr>
          <w:rFonts w:hint="eastAsia"/>
        </w:rPr>
        <w:t>（5）未提供信用承诺书的；</w:t>
      </w:r>
    </w:p>
    <w:p w14:paraId="2D1F7AA0">
      <w:pPr>
        <w:ind w:firstLine="480" w:firstLineChars="200"/>
      </w:pPr>
      <w:r>
        <w:rPr>
          <w:rFonts w:hint="eastAsia"/>
        </w:rPr>
        <w:t>（6）其他重大违法、违规记录；</w:t>
      </w:r>
    </w:p>
    <w:p w14:paraId="31A00DCF">
      <w:pPr>
        <w:ind w:firstLine="480" w:firstLineChars="200"/>
      </w:pPr>
      <w:r>
        <w:rPr>
          <w:rFonts w:hint="eastAsia"/>
        </w:rPr>
        <w:t>（</w:t>
      </w:r>
      <w:r>
        <w:t>7</w:t>
      </w:r>
      <w:r>
        <w:rPr>
          <w:rFonts w:hint="eastAsia"/>
        </w:rPr>
        <w:t>）资格证明文件不全的，或者不符合采购文件标明的资格要求的。</w:t>
      </w:r>
    </w:p>
    <w:p w14:paraId="03865206">
      <w:pPr>
        <w:ind w:firstLine="482" w:firstLineChars="200"/>
        <w:rPr>
          <w:b/>
          <w:bCs/>
        </w:rPr>
      </w:pPr>
      <w:r>
        <w:rPr>
          <w:rFonts w:hint="eastAsia"/>
          <w:b/>
          <w:bCs/>
        </w:rPr>
        <w:t>2、在符合性审查和商务评审时，如发现下列情形之一的，投标文件将被视为无效：</w:t>
      </w:r>
    </w:p>
    <w:p w14:paraId="0F88E606">
      <w:pPr>
        <w:ind w:firstLine="480" w:firstLineChars="200"/>
      </w:pPr>
      <w:r>
        <w:rPr>
          <w:rFonts w:hint="eastAsia"/>
        </w:rPr>
        <w:t>（1）投标文件未按采购文件要求签字或盖章；</w:t>
      </w:r>
    </w:p>
    <w:p w14:paraId="30ED2597">
      <w:pPr>
        <w:ind w:firstLine="480" w:firstLineChars="200"/>
      </w:pPr>
      <w:r>
        <w:rPr>
          <w:rFonts w:hint="eastAsia"/>
        </w:rPr>
        <w:t>（2）《资格文件》或《技术、商务、资信及其他文件》中出现报价的；</w:t>
      </w:r>
    </w:p>
    <w:p w14:paraId="55C85BB0">
      <w:pPr>
        <w:ind w:firstLine="480" w:firstLineChars="200"/>
      </w:pPr>
      <w:r>
        <w:rPr>
          <w:rFonts w:hint="eastAsia"/>
        </w:rPr>
        <w:t>（3）未在浙江政府采购网（政采云平台）完成本项目网上报名的；</w:t>
      </w:r>
    </w:p>
    <w:p w14:paraId="2BF3094C">
      <w:pPr>
        <w:ind w:firstLine="480" w:firstLineChars="200"/>
      </w:pPr>
      <w:r>
        <w:rPr>
          <w:rFonts w:hint="eastAsia"/>
        </w:rPr>
        <w:t>（4）在投标截止时间以后传送电子投标文件的；</w:t>
      </w:r>
    </w:p>
    <w:p w14:paraId="1CD671BA">
      <w:pPr>
        <w:ind w:firstLine="480" w:firstLineChars="200"/>
      </w:pPr>
      <w:r>
        <w:rPr>
          <w:rFonts w:hint="eastAsia"/>
        </w:rPr>
        <w:t>（5）投标文件格式不规范、项目不齐全或者内容虚假的；</w:t>
      </w:r>
    </w:p>
    <w:p w14:paraId="44D56514">
      <w:pPr>
        <w:ind w:firstLine="480" w:firstLineChars="200"/>
      </w:pPr>
      <w:r>
        <w:rPr>
          <w:rFonts w:hint="eastAsia"/>
        </w:rPr>
        <w:t>（6）投标文件的实质性内容未使用中文表述、意思表述不明确、前后矛盾或者使用计量单位不符合采购文件要求的（经评标委员会认定并允许其当场更正的笔误除外）；</w:t>
      </w:r>
    </w:p>
    <w:p w14:paraId="653C5C1D">
      <w:pPr>
        <w:ind w:firstLine="480" w:firstLineChars="200"/>
      </w:pPr>
      <w:r>
        <w:rPr>
          <w:rFonts w:hint="eastAsia"/>
        </w:rPr>
        <w:t>（7）投标有效期、服务期（工期）、服务质量保证期等商务条款不能满足采购文件要求的；</w:t>
      </w:r>
    </w:p>
    <w:p w14:paraId="7C3C0D3F">
      <w:pPr>
        <w:ind w:firstLine="480" w:firstLineChars="200"/>
      </w:pPr>
      <w:r>
        <w:rPr>
          <w:rFonts w:hint="eastAsia"/>
        </w:rPr>
        <w:t>（8）未实质性响应采购文件要求或者投标文件有采购人不能接受的附加条件的。</w:t>
      </w:r>
    </w:p>
    <w:p w14:paraId="7E2074AD">
      <w:pPr>
        <w:ind w:firstLine="482" w:firstLineChars="200"/>
        <w:rPr>
          <w:b/>
          <w:bCs/>
        </w:rPr>
      </w:pPr>
      <w:r>
        <w:rPr>
          <w:rFonts w:hint="eastAsia"/>
          <w:b/>
          <w:bCs/>
        </w:rPr>
        <w:t>3、在技术评审时，如发现下列情形之一的，投标文件将被视为无效：</w:t>
      </w:r>
    </w:p>
    <w:p w14:paraId="562A4A47">
      <w:pPr>
        <w:ind w:firstLine="480" w:firstLineChars="200"/>
      </w:pPr>
      <w:r>
        <w:rPr>
          <w:rFonts w:hint="eastAsia"/>
        </w:rPr>
        <w:t>（1）未提供或未如实提供投标货物的技术参数，或者投标文件标明的响应或偏离与事实不符或虚假投标的；</w:t>
      </w:r>
    </w:p>
    <w:p w14:paraId="405F544D">
      <w:pPr>
        <w:ind w:firstLine="480" w:firstLineChars="200"/>
      </w:pPr>
      <w:r>
        <w:rPr>
          <w:rFonts w:hint="eastAsia"/>
        </w:rPr>
        <w:t>（2）明显不符合采购文件要求的质量标准，或者与采购文件中标“▲”的技术指标、主要功能项目发生实质性偏离的；</w:t>
      </w:r>
    </w:p>
    <w:p w14:paraId="7A0D3441">
      <w:pPr>
        <w:ind w:firstLine="480" w:firstLineChars="200"/>
      </w:pPr>
      <w:r>
        <w:rPr>
          <w:rFonts w:hint="eastAsia"/>
        </w:rPr>
        <w:t>（3）投标技术方案不明确，存在一个或一个以上备选（替代）投标方案的；</w:t>
      </w:r>
    </w:p>
    <w:p w14:paraId="226325EE">
      <w:pPr>
        <w:ind w:firstLine="480" w:firstLineChars="200"/>
      </w:pPr>
      <w:r>
        <w:rPr>
          <w:rFonts w:hint="eastAsia"/>
        </w:rPr>
        <w:t>（4）与其他参加本次投标供应商的投标文件（技术文件）的文字表述内容相同连续20行以上或者差错相同2处以上的。</w:t>
      </w:r>
    </w:p>
    <w:p w14:paraId="562F54E1">
      <w:pPr>
        <w:ind w:firstLine="482" w:firstLineChars="200"/>
        <w:rPr>
          <w:b/>
          <w:bCs/>
        </w:rPr>
      </w:pPr>
      <w:r>
        <w:rPr>
          <w:rFonts w:hint="eastAsia"/>
          <w:b/>
          <w:bCs/>
        </w:rPr>
        <w:t>4、在报价评审时，如发现下列情形之一的，投标文件将被视为无效：</w:t>
      </w:r>
    </w:p>
    <w:p w14:paraId="0CBE827B">
      <w:pPr>
        <w:ind w:firstLine="480" w:firstLineChars="200"/>
      </w:pPr>
      <w:r>
        <w:rPr>
          <w:rFonts w:hint="eastAsia"/>
        </w:rPr>
        <w:t>（1）未采用折扣报价或者未按照采购文件标明的币种报价的；</w:t>
      </w:r>
    </w:p>
    <w:p w14:paraId="40AAAE0D">
      <w:pPr>
        <w:ind w:firstLine="480" w:firstLineChars="200"/>
      </w:pPr>
      <w:r>
        <w:rPr>
          <w:rFonts w:hint="eastAsia"/>
        </w:rPr>
        <w:t>（2）报价超出最高限价（未设最高限价的以采购预算价为准），采购人不能支付的；</w:t>
      </w:r>
    </w:p>
    <w:p w14:paraId="2A0137F5">
      <w:pPr>
        <w:ind w:firstLine="480" w:firstLineChars="200"/>
      </w:pPr>
      <w:r>
        <w:rPr>
          <w:rFonts w:hint="eastAsia"/>
        </w:rPr>
        <w:t>（3）投标报价具有选择性，或者开标价格与投标文件承诺的优惠（折扣）价格不一致的。</w:t>
      </w:r>
    </w:p>
    <w:p w14:paraId="55FD60E9">
      <w:pPr>
        <w:ind w:firstLine="482" w:firstLineChars="200"/>
        <w:rPr>
          <w:b/>
          <w:bCs/>
        </w:rPr>
      </w:pPr>
      <w:r>
        <w:rPr>
          <w:rFonts w:hint="eastAsia"/>
          <w:b/>
          <w:bCs/>
        </w:rPr>
        <w:t>5、被拒绝的投标文件为无效。</w:t>
      </w:r>
    </w:p>
    <w:p w14:paraId="240B104A">
      <w:pPr>
        <w:ind w:firstLine="482" w:firstLineChars="200"/>
        <w:rPr>
          <w:b/>
          <w:bCs/>
        </w:rPr>
      </w:pPr>
      <w:r>
        <w:rPr>
          <w:rFonts w:hint="eastAsia"/>
          <w:b/>
          <w:bCs/>
        </w:rPr>
        <w:t>6、供应商有下列情形之一的，视为供应商串通投标，其投标无效：</w:t>
      </w:r>
    </w:p>
    <w:p w14:paraId="7F207C9A">
      <w:pPr>
        <w:ind w:firstLine="480" w:firstLineChars="200"/>
      </w:pPr>
      <w:r>
        <w:rPr>
          <w:rFonts w:hint="eastAsia"/>
        </w:rPr>
        <w:t>（</w:t>
      </w:r>
      <w:r>
        <w:t>1</w:t>
      </w:r>
      <w:r>
        <w:rPr>
          <w:rFonts w:hint="eastAsia"/>
        </w:rPr>
        <w:t>）不同供应商的投标（响应）文件由同一单位或者个人编制；</w:t>
      </w:r>
    </w:p>
    <w:p w14:paraId="11C8DC8D">
      <w:pPr>
        <w:ind w:firstLine="480" w:firstLineChars="200"/>
      </w:pPr>
      <w:r>
        <w:rPr>
          <w:rFonts w:hint="eastAsia"/>
        </w:rPr>
        <w:t>（</w:t>
      </w:r>
      <w:r>
        <w:t>2</w:t>
      </w:r>
      <w:r>
        <w:rPr>
          <w:rFonts w:hint="eastAsia"/>
        </w:rPr>
        <w:t>）不同供应商委托同一单位或者个人办理投标事宜；</w:t>
      </w:r>
    </w:p>
    <w:p w14:paraId="6F69F0C1">
      <w:pPr>
        <w:ind w:firstLine="480" w:firstLineChars="200"/>
      </w:pPr>
      <w:r>
        <w:rPr>
          <w:rFonts w:hint="eastAsia"/>
        </w:rPr>
        <w:t>（</w:t>
      </w:r>
      <w:r>
        <w:t>3</w:t>
      </w:r>
      <w:r>
        <w:rPr>
          <w:rFonts w:hint="eastAsia"/>
        </w:rPr>
        <w:t>）不同供应商的投标文件或响应文件载明的项目管理成员或者联系人员为同一人；</w:t>
      </w:r>
    </w:p>
    <w:p w14:paraId="4527B34A">
      <w:pPr>
        <w:ind w:firstLine="480" w:firstLineChars="200"/>
      </w:pPr>
      <w:r>
        <w:rPr>
          <w:rFonts w:hint="eastAsia"/>
        </w:rPr>
        <w:t>（</w:t>
      </w:r>
      <w:r>
        <w:t>4</w:t>
      </w:r>
      <w:r>
        <w:rPr>
          <w:rFonts w:hint="eastAsia"/>
        </w:rPr>
        <w:t>）不同供应商的投标（响应）文件件异常一致或者投标报价呈规律性差异；</w:t>
      </w:r>
    </w:p>
    <w:p w14:paraId="281F1B8A">
      <w:pPr>
        <w:ind w:firstLine="480" w:firstLineChars="200"/>
      </w:pPr>
      <w:r>
        <w:rPr>
          <w:rFonts w:hint="eastAsia"/>
        </w:rPr>
        <w:t>（</w:t>
      </w:r>
      <w:r>
        <w:t>5</w:t>
      </w:r>
      <w:r>
        <w:rPr>
          <w:rFonts w:hint="eastAsia"/>
        </w:rPr>
        <w:t>）不同供应商的投标（响应）文件相互混装。</w:t>
      </w:r>
    </w:p>
    <w:p w14:paraId="16A759EC">
      <w:pPr>
        <w:spacing w:line="460" w:lineRule="exact"/>
        <w:ind w:firstLine="480" w:firstLineChars="200"/>
        <w:rPr>
          <w:rFonts w:cs="宋体"/>
          <w:szCs w:val="24"/>
        </w:rPr>
      </w:pPr>
      <w:r>
        <w:rPr>
          <w:rFonts w:hint="eastAsia" w:cs="宋体"/>
          <w:szCs w:val="24"/>
        </w:rPr>
        <w:t>（6）不同供应商的电子投标（响应）文件上传计算机的网卡MAC地址或硬盘序列号等硬件信息相同的；</w:t>
      </w:r>
    </w:p>
    <w:p w14:paraId="4A4D256A">
      <w:pPr>
        <w:spacing w:line="460" w:lineRule="exact"/>
        <w:ind w:firstLine="480" w:firstLineChars="200"/>
        <w:rPr>
          <w:rFonts w:cs="宋体"/>
          <w:szCs w:val="24"/>
        </w:rPr>
      </w:pPr>
      <w:r>
        <w:rPr>
          <w:rFonts w:hint="eastAsia" w:cs="宋体"/>
          <w:szCs w:val="24"/>
        </w:rPr>
        <w:t>（7）上传的电子投标（响应）文件若出现使用本项目其他投标（响应）供应商的数字证书加密的，或者加盖本项目其他投标（响应）供应商的电子印章的；</w:t>
      </w:r>
    </w:p>
    <w:p w14:paraId="113EBB7B">
      <w:pPr>
        <w:spacing w:line="460" w:lineRule="exact"/>
        <w:ind w:firstLine="480" w:firstLineChars="200"/>
        <w:rPr>
          <w:rFonts w:cs="宋体"/>
          <w:szCs w:val="24"/>
        </w:rPr>
      </w:pPr>
      <w:r>
        <w:rPr>
          <w:rFonts w:hint="eastAsia" w:cs="宋体"/>
          <w:szCs w:val="24"/>
        </w:rPr>
        <w:t>（8）不同供应商的投标（响应）文件的内容存在3处（含）以上错误一致的；</w:t>
      </w:r>
    </w:p>
    <w:p w14:paraId="6748A724">
      <w:pPr>
        <w:ind w:firstLine="480" w:firstLineChars="200"/>
      </w:pPr>
      <w:r>
        <w:rPr>
          <w:rFonts w:hint="eastAsia" w:cs="宋体"/>
          <w:szCs w:val="24"/>
        </w:rPr>
        <w:t>（9）不同供应商联系人为同一人或不同联系人的联系电话一致的。</w:t>
      </w:r>
    </w:p>
    <w:p w14:paraId="5E811201">
      <w:pPr>
        <w:ind w:firstLine="482" w:firstLineChars="200"/>
        <w:rPr>
          <w:b/>
          <w:bCs/>
        </w:rPr>
      </w:pPr>
      <w:r>
        <w:rPr>
          <w:rFonts w:hint="eastAsia"/>
          <w:b/>
          <w:bCs/>
        </w:rPr>
        <w:t>7、供应商有下列情形之一的，属于恶意串通，其投标无效：</w:t>
      </w:r>
    </w:p>
    <w:p w14:paraId="59E35554">
      <w:pPr>
        <w:ind w:firstLine="480" w:firstLineChars="200"/>
      </w:pPr>
      <w:r>
        <w:rPr>
          <w:rFonts w:hint="eastAsia"/>
        </w:rPr>
        <w:t>（</w:t>
      </w:r>
      <w:r>
        <w:t>1</w:t>
      </w:r>
      <w:r>
        <w:rPr>
          <w:rFonts w:hint="eastAsia"/>
        </w:rPr>
        <w:t>）供应商直接或者间接从采购人或者采购代理机构处获得其他供应商的相关情况并修改其投标（响应）文件；</w:t>
      </w:r>
    </w:p>
    <w:p w14:paraId="2C081FC8">
      <w:pPr>
        <w:ind w:firstLine="480" w:firstLineChars="200"/>
      </w:pPr>
      <w:r>
        <w:rPr>
          <w:rFonts w:hint="eastAsia"/>
        </w:rPr>
        <w:t>（</w:t>
      </w:r>
      <w:r>
        <w:t>2</w:t>
      </w:r>
      <w:r>
        <w:rPr>
          <w:rFonts w:hint="eastAsia"/>
        </w:rPr>
        <w:t>）供应商按照采购人或者采购代理机构的授意撤换、修改投标（响应）文件；</w:t>
      </w:r>
    </w:p>
    <w:p w14:paraId="7DE4553F">
      <w:pPr>
        <w:ind w:firstLine="480" w:firstLineChars="200"/>
      </w:pPr>
      <w:r>
        <w:rPr>
          <w:rFonts w:hint="eastAsia"/>
        </w:rPr>
        <w:t>（</w:t>
      </w:r>
      <w:r>
        <w:t>3</w:t>
      </w:r>
      <w:r>
        <w:rPr>
          <w:rFonts w:hint="eastAsia"/>
        </w:rPr>
        <w:t>）供应商之间协商报价、技术方案等投标（响应）文件的实质性内容；</w:t>
      </w:r>
    </w:p>
    <w:p w14:paraId="7B3DE054">
      <w:pPr>
        <w:ind w:firstLine="480" w:firstLineChars="200"/>
      </w:pPr>
      <w:r>
        <w:rPr>
          <w:rFonts w:hint="eastAsia"/>
        </w:rPr>
        <w:t>（</w:t>
      </w:r>
      <w:r>
        <w:t>4</w:t>
      </w:r>
      <w:r>
        <w:rPr>
          <w:rFonts w:hint="eastAsia"/>
        </w:rPr>
        <w:t>）属于同一集团、协会、商会等组织成员的供应商按照该组织要求协同参加政府采购活动；</w:t>
      </w:r>
    </w:p>
    <w:p w14:paraId="3662DC81">
      <w:pPr>
        <w:ind w:firstLine="480" w:firstLineChars="200"/>
      </w:pPr>
      <w:r>
        <w:rPr>
          <w:rFonts w:hint="eastAsia"/>
        </w:rPr>
        <w:t>（</w:t>
      </w:r>
      <w:r>
        <w:t>5</w:t>
      </w:r>
      <w:r>
        <w:rPr>
          <w:rFonts w:hint="eastAsia"/>
        </w:rPr>
        <w:t>）供应商之间事先约定由某一特定供应商中标、成交；</w:t>
      </w:r>
    </w:p>
    <w:p w14:paraId="4E6E5D75">
      <w:pPr>
        <w:ind w:firstLine="480" w:firstLineChars="200"/>
      </w:pPr>
      <w:r>
        <w:rPr>
          <w:rFonts w:hint="eastAsia"/>
        </w:rPr>
        <w:t>（</w:t>
      </w:r>
      <w:r>
        <w:t>6</w:t>
      </w:r>
      <w:r>
        <w:rPr>
          <w:rFonts w:hint="eastAsia"/>
        </w:rPr>
        <w:t>）供应商之间商定部分供应商放弃参加政府采购活动或者放弃中标、成交；</w:t>
      </w:r>
    </w:p>
    <w:p w14:paraId="43D49D7D">
      <w:pPr>
        <w:ind w:firstLine="480" w:firstLineChars="200"/>
      </w:pPr>
      <w:r>
        <w:rPr>
          <w:rFonts w:hint="eastAsia"/>
        </w:rPr>
        <w:t>（</w:t>
      </w:r>
      <w:r>
        <w:t>7</w:t>
      </w:r>
      <w:r>
        <w:rPr>
          <w:rFonts w:hint="eastAsia"/>
        </w:rPr>
        <w:t>）供应商与采购人或者采购代理机构之间、供应商相互之间，为谋求特定供应商中标、成交或者排斥其他供应商的其他串通行为。</w:t>
      </w:r>
    </w:p>
    <w:p w14:paraId="473F8BD9">
      <w:pPr>
        <w:ind w:firstLine="482" w:firstLineChars="200"/>
        <w:rPr>
          <w:b/>
          <w:bCs/>
        </w:rPr>
      </w:pPr>
      <w:r>
        <w:rPr>
          <w:rFonts w:hint="eastAsia"/>
          <w:b/>
          <w:bCs/>
        </w:rPr>
        <w:t>8、出现以下情形，导致电子交易平台无法正常进行，或者无法保证电子交易的公平、公正和安全时，中止电子交易活动：</w:t>
      </w:r>
    </w:p>
    <w:p w14:paraId="13196F53">
      <w:pPr>
        <w:ind w:firstLine="480" w:firstLineChars="200"/>
      </w:pPr>
      <w:r>
        <w:rPr>
          <w:rFonts w:hint="eastAsia"/>
        </w:rPr>
        <w:t>（1）电子交易平台发生故障而无法登录访问的；</w:t>
      </w:r>
    </w:p>
    <w:p w14:paraId="411A7AA5">
      <w:pPr>
        <w:ind w:firstLine="480" w:firstLineChars="200"/>
      </w:pPr>
      <w:r>
        <w:rPr>
          <w:rFonts w:hint="eastAsia"/>
        </w:rPr>
        <w:t>（2）电子交易平台应用或数据库出现错误，不能进行正常操作的；</w:t>
      </w:r>
    </w:p>
    <w:p w14:paraId="40C5FDC5">
      <w:pPr>
        <w:ind w:firstLine="480" w:firstLineChars="200"/>
      </w:pPr>
      <w:r>
        <w:rPr>
          <w:rFonts w:hint="eastAsia"/>
        </w:rPr>
        <w:t>（3）电子交易平台发现严重安全漏洞，有潜在泄密危险的；</w:t>
      </w:r>
    </w:p>
    <w:p w14:paraId="392BC581">
      <w:pPr>
        <w:ind w:firstLine="480" w:firstLineChars="200"/>
      </w:pPr>
      <w:r>
        <w:rPr>
          <w:rFonts w:hint="eastAsia"/>
        </w:rPr>
        <w:t>（4）病毒发作导致不能进行正常操作的；</w:t>
      </w:r>
    </w:p>
    <w:p w14:paraId="3A818337">
      <w:pPr>
        <w:ind w:firstLine="480" w:firstLineChars="200"/>
      </w:pPr>
      <w:r>
        <w:rPr>
          <w:rFonts w:hint="eastAsia"/>
        </w:rPr>
        <w:t>（5）其他无法保证电子交易的公平、公正和安全的情况。</w:t>
      </w:r>
    </w:p>
    <w:p w14:paraId="62B3BB1A">
      <w:pPr>
        <w:ind w:firstLine="480" w:firstLineChars="200"/>
      </w:pPr>
      <w:r>
        <w:rPr>
          <w:rFonts w:hint="eastAsia"/>
        </w:rPr>
        <w:t>出现以上规定情形，不影响采购公平、公正性的，采购代理机构可以待上述情形消除后继续组织电子交易活动，也可以决定某些环节以数据电子备份投标文件（U盘）形式进行；影响或可能影响采购公平、公正性的，重新采购。</w:t>
      </w:r>
    </w:p>
    <w:p w14:paraId="6CF0EB3D">
      <w:pPr>
        <w:pStyle w:val="3"/>
        <w:jc w:val="center"/>
      </w:pPr>
      <w:bookmarkStart w:id="11" w:name="_Toc67814473"/>
      <w:bookmarkStart w:id="12" w:name="_Toc130455804"/>
      <w:r>
        <w:rPr>
          <w:rFonts w:hint="eastAsia"/>
        </w:rPr>
        <w:t>四、开标</w:t>
      </w:r>
      <w:bookmarkEnd w:id="11"/>
      <w:bookmarkEnd w:id="12"/>
    </w:p>
    <w:p w14:paraId="5EDBD3F5">
      <w:pPr>
        <w:rPr>
          <w:b/>
          <w:bCs/>
        </w:rPr>
      </w:pPr>
      <w:r>
        <w:rPr>
          <w:rFonts w:hint="eastAsia"/>
          <w:b/>
          <w:bCs/>
        </w:rPr>
        <w:t>（一）开标准备</w:t>
      </w:r>
    </w:p>
    <w:p w14:paraId="215F7299">
      <w:pPr>
        <w:ind w:firstLine="480" w:firstLineChars="200"/>
      </w:pPr>
      <w:r>
        <w:rPr>
          <w:rFonts w:hint="eastAsia"/>
        </w:rPr>
        <w:t>采购代理机构将在规定的时间和地点进行开标，供应商的法定代表人或其授权代表应参加开标会并签到。供应商的法定代表人或其授权代表未按时签到的，视同放弃开标监督权利、认可开标结果。</w:t>
      </w:r>
    </w:p>
    <w:p w14:paraId="11BECCE1">
      <w:pPr>
        <w:rPr>
          <w:b/>
          <w:bCs/>
        </w:rPr>
      </w:pPr>
      <w:r>
        <w:rPr>
          <w:rFonts w:hint="eastAsia"/>
          <w:b/>
          <w:bCs/>
        </w:rPr>
        <w:t>（二）电子招投标开标及评审程序</w:t>
      </w:r>
    </w:p>
    <w:p w14:paraId="73505CCA">
      <w:pPr>
        <w:ind w:firstLine="480" w:firstLineChars="200"/>
      </w:pPr>
      <w:r>
        <w:rPr>
          <w:rFonts w:hint="eastAsia"/>
        </w:rPr>
        <w:t>1、开标由采购人或者采购代理机构主持；</w:t>
      </w:r>
    </w:p>
    <w:p w14:paraId="4B20768F">
      <w:pPr>
        <w:ind w:firstLine="480" w:firstLineChars="200"/>
      </w:pPr>
      <w:r>
        <w:rPr>
          <w:rFonts w:hint="eastAsia"/>
        </w:rPr>
        <w:t>2、主持人宣布开标会议开始，并按照规定的时间通过政采云系统组织开标，所有供应商应当准时参加；</w:t>
      </w:r>
    </w:p>
    <w:p w14:paraId="3A1A5444">
      <w:pPr>
        <w:ind w:firstLine="480" w:firstLineChars="200"/>
      </w:pPr>
      <w:r>
        <w:rPr>
          <w:rFonts w:hint="eastAsia"/>
        </w:rPr>
        <w:t>3、主持人介绍参加开标会的人员名单；</w:t>
      </w:r>
    </w:p>
    <w:p w14:paraId="15CA5D54">
      <w:pPr>
        <w:ind w:firstLine="480" w:firstLineChars="200"/>
      </w:pPr>
      <w:r>
        <w:t>4</w:t>
      </w:r>
      <w:r>
        <w:rPr>
          <w:rFonts w:hint="eastAsia"/>
        </w:rPr>
        <w:t>、开标过程应当由采购人或者采购代理机构负责记录,由参加开标的各供应商代表和相关工作人员签字确认后随采购文件一并存档。供应商代表对开标过程和开标记录有疑义，以及认为采购人、采购代理机构相关工作人员有需要回避情形的，应当场提出询问或者回避申请。采购人、采购代理机构对供应商代表提出的疑问或者回避申请应当及时处理。供应商未参加开标的，视同认可开标结果；</w:t>
      </w:r>
    </w:p>
    <w:p w14:paraId="242D3F8D">
      <w:pPr>
        <w:ind w:firstLine="480" w:firstLineChars="200"/>
      </w:pPr>
      <w:r>
        <w:t>5</w:t>
      </w:r>
      <w:r>
        <w:rPr>
          <w:rFonts w:hint="eastAsia"/>
        </w:rPr>
        <w:t>、投标截止时间后，供应商应登录政采云平台，通过“项目采购-开标评标”模块对电子投标文件进行在线解密；</w:t>
      </w:r>
    </w:p>
    <w:p w14:paraId="6768E8F9">
      <w:pPr>
        <w:ind w:firstLine="480" w:firstLineChars="200"/>
      </w:pPr>
      <w:r>
        <w:t>6</w:t>
      </w:r>
      <w:r>
        <w:rPr>
          <w:rFonts w:hint="eastAsia"/>
        </w:rPr>
        <w:t>、在开标结束后（评标开始前），由采购人或采购代理机构进行资格审查。资格审查后在系统上公布资格审查结果；</w:t>
      </w:r>
    </w:p>
    <w:p w14:paraId="51FAE71A">
      <w:pPr>
        <w:ind w:firstLine="480" w:firstLineChars="200"/>
      </w:pPr>
      <w:r>
        <w:t>7</w:t>
      </w:r>
      <w:r>
        <w:rPr>
          <w:rFonts w:hint="eastAsia"/>
        </w:rPr>
        <w:t>、由评标委员会对资格审查通过的供应商进行技术、商务、资信及其他部分评审，符合性审查及评分结束后，由主持人公布无效投标的供应商名单、投标无效的原因，并在系统上公布其他有效投标的评审结果；</w:t>
      </w:r>
    </w:p>
    <w:p w14:paraId="10DF910E">
      <w:pPr>
        <w:ind w:firstLine="480" w:firstLineChars="200"/>
      </w:pPr>
      <w:r>
        <w:t>8</w:t>
      </w:r>
      <w:r>
        <w:rPr>
          <w:rFonts w:hint="eastAsia"/>
        </w:rPr>
        <w:t>、由主持人在系统上公布的供应商名称及在其投标文件中承诺的投标报价、投标内容以及其他有必要宣读的内容；</w:t>
      </w:r>
    </w:p>
    <w:p w14:paraId="71B2D00A">
      <w:pPr>
        <w:ind w:firstLine="480" w:firstLineChars="200"/>
      </w:pPr>
      <w:r>
        <w:t>9</w:t>
      </w:r>
      <w:r>
        <w:rPr>
          <w:rFonts w:hint="eastAsia"/>
        </w:rPr>
        <w:t>、报价部分符合性审查及评分结束后，由主持人公布无效投标的供应商名单、投标无效的原因，并在系统上公布其他有效投标的评分结果；</w:t>
      </w:r>
    </w:p>
    <w:p w14:paraId="19ECA7E5">
      <w:pPr>
        <w:ind w:firstLine="480" w:firstLineChars="200"/>
      </w:pPr>
      <w:r>
        <w:t>10</w:t>
      </w:r>
      <w:r>
        <w:rPr>
          <w:rFonts w:hint="eastAsia"/>
        </w:rPr>
        <w:t>、最终在政采云系统上公布评审结果；</w:t>
      </w:r>
    </w:p>
    <w:p w14:paraId="00135404">
      <w:pPr>
        <w:ind w:firstLine="480" w:firstLineChars="200"/>
      </w:pPr>
      <w:r>
        <w:t>11</w:t>
      </w:r>
      <w:r>
        <w:rPr>
          <w:rFonts w:hint="eastAsia"/>
        </w:rPr>
        <w:t>、开标会议结束。</w:t>
      </w:r>
    </w:p>
    <w:p w14:paraId="6D4D1E7E">
      <w:pPr>
        <w:ind w:firstLine="482" w:firstLineChars="200"/>
        <w:rPr>
          <w:b/>
        </w:rPr>
      </w:pPr>
      <w:r>
        <w:rPr>
          <w:rFonts w:hint="eastAsia"/>
          <w:b/>
        </w:rPr>
        <w:t>特别说明：政采云公司如对电子化开标及评审程序有调整的，应按调整的程序操作。</w:t>
      </w:r>
    </w:p>
    <w:p w14:paraId="2EED8DF9">
      <w:pPr>
        <w:rPr>
          <w:b/>
          <w:bCs/>
        </w:rPr>
      </w:pPr>
      <w:r>
        <w:rPr>
          <w:rFonts w:hint="eastAsia"/>
          <w:b/>
          <w:bCs/>
        </w:rPr>
        <w:t>（三）其他</w:t>
      </w:r>
    </w:p>
    <w:p w14:paraId="2B313A1A">
      <w:pPr>
        <w:ind w:firstLine="480" w:firstLineChars="200"/>
      </w:pPr>
      <w:r>
        <w:rPr>
          <w:rFonts w:hint="eastAsia"/>
        </w:rPr>
        <w:t>采购过程中出现以下情形，导致电子交易平台无法正常运行，或者无法保证电子交易的公平、公正和安全时，采购组织机构可中止电子交易活动：</w:t>
      </w:r>
    </w:p>
    <w:p w14:paraId="19EFFCEE">
      <w:pPr>
        <w:ind w:firstLine="480" w:firstLineChars="200"/>
      </w:pPr>
      <w:r>
        <w:rPr>
          <w:rFonts w:hint="eastAsia"/>
        </w:rPr>
        <w:t>（1）电子交易平台发生故障而无法登录访问的；</w:t>
      </w:r>
    </w:p>
    <w:p w14:paraId="200EE9F6">
      <w:pPr>
        <w:ind w:firstLine="480" w:firstLineChars="200"/>
      </w:pPr>
      <w:r>
        <w:rPr>
          <w:rFonts w:hint="eastAsia"/>
        </w:rPr>
        <w:t>（2）电子交易平台应用或数据库出现错误，不能进行正常操作的；</w:t>
      </w:r>
    </w:p>
    <w:p w14:paraId="3F3596AB">
      <w:pPr>
        <w:ind w:firstLine="480" w:firstLineChars="200"/>
      </w:pPr>
      <w:r>
        <w:rPr>
          <w:rFonts w:hint="eastAsia"/>
        </w:rPr>
        <w:t>（3）电子交易平台发现严重安全漏洞，有潜在泄密危险的；</w:t>
      </w:r>
    </w:p>
    <w:p w14:paraId="45925C54">
      <w:pPr>
        <w:ind w:firstLine="480" w:firstLineChars="200"/>
      </w:pPr>
      <w:r>
        <w:rPr>
          <w:rFonts w:hint="eastAsia"/>
        </w:rPr>
        <w:t>（4）病毒发作导致不能进行正常操作的；</w:t>
      </w:r>
    </w:p>
    <w:p w14:paraId="44DCF98B">
      <w:pPr>
        <w:ind w:firstLine="480" w:firstLineChars="200"/>
      </w:pPr>
      <w:r>
        <w:rPr>
          <w:rFonts w:hint="eastAsia"/>
        </w:rPr>
        <w:t>（5）其他无法保证电子交易的公平、公正和安全的情况。</w:t>
      </w:r>
    </w:p>
    <w:p w14:paraId="7B9DA3A3">
      <w:pPr>
        <w:ind w:firstLine="480" w:firstLineChars="200"/>
      </w:pPr>
      <w:r>
        <w:rPr>
          <w:rFonts w:hint="eastAsia"/>
        </w:rPr>
        <w:t>出现上述情形，不影响采购公平、公正性的，采购组织机构可以待上述情形消除后继续组织电子交易活动，也可以决定某些环节以纸质形式进行；影响或可能影响采购公平、公正性的，应当重新采购。</w:t>
      </w:r>
    </w:p>
    <w:p w14:paraId="7C46ECB2">
      <w:pPr>
        <w:pStyle w:val="3"/>
        <w:jc w:val="center"/>
      </w:pPr>
      <w:bookmarkStart w:id="13" w:name="_Toc130455805"/>
      <w:bookmarkStart w:id="14" w:name="_Toc67814474"/>
      <w:r>
        <w:rPr>
          <w:rFonts w:hint="eastAsia"/>
        </w:rPr>
        <w:t>五、评标</w:t>
      </w:r>
      <w:bookmarkEnd w:id="13"/>
      <w:bookmarkEnd w:id="14"/>
    </w:p>
    <w:p w14:paraId="409D6170">
      <w:pPr>
        <w:rPr>
          <w:b/>
          <w:bCs/>
        </w:rPr>
      </w:pPr>
      <w:r>
        <w:rPr>
          <w:rFonts w:hint="eastAsia"/>
          <w:b/>
          <w:bCs/>
        </w:rPr>
        <w:t>（一）组建评标委员会</w:t>
      </w:r>
    </w:p>
    <w:p w14:paraId="29CC9320">
      <w:pPr>
        <w:ind w:firstLine="480" w:firstLineChars="200"/>
      </w:pPr>
      <w:r>
        <w:rPr>
          <w:rFonts w:hint="eastAsia"/>
        </w:rPr>
        <w:t>本项目评标委员会由政府采购评审专家</w:t>
      </w:r>
      <w:r>
        <w:rPr>
          <w:rFonts w:hint="eastAsia"/>
          <w:u w:val="single"/>
        </w:rPr>
        <w:t>4</w:t>
      </w:r>
      <w:r>
        <w:rPr>
          <w:rFonts w:hint="eastAsia"/>
        </w:rPr>
        <w:t>人和采购人代表</w:t>
      </w:r>
      <w:r>
        <w:rPr>
          <w:rFonts w:hint="eastAsia"/>
          <w:u w:val="single"/>
        </w:rPr>
        <w:t>1</w:t>
      </w:r>
      <w:r>
        <w:rPr>
          <w:rFonts w:hint="eastAsia"/>
        </w:rPr>
        <w:t>人,共</w:t>
      </w:r>
      <w:r>
        <w:rPr>
          <w:rFonts w:hint="eastAsia"/>
          <w:u w:val="single"/>
        </w:rPr>
        <w:t>5</w:t>
      </w:r>
      <w:r>
        <w:rPr>
          <w:rFonts w:hint="eastAsia"/>
        </w:rPr>
        <w:t>人组成。</w:t>
      </w:r>
    </w:p>
    <w:p w14:paraId="304D36D9">
      <w:pPr>
        <w:rPr>
          <w:b/>
          <w:bCs/>
        </w:rPr>
      </w:pPr>
      <w:r>
        <w:rPr>
          <w:rFonts w:hint="eastAsia"/>
          <w:b/>
          <w:bCs/>
        </w:rPr>
        <w:t>（二）评标的方式</w:t>
      </w:r>
    </w:p>
    <w:p w14:paraId="6321C285">
      <w:pPr>
        <w:ind w:firstLine="480" w:firstLineChars="200"/>
      </w:pPr>
      <w:r>
        <w:rPr>
          <w:rFonts w:hint="eastAsia"/>
        </w:rPr>
        <w:t>本项目采用不公开方式评标，评标的依据为采购文件和投标文件。</w:t>
      </w:r>
    </w:p>
    <w:p w14:paraId="49C08AED">
      <w:pPr>
        <w:rPr>
          <w:b/>
          <w:bCs/>
        </w:rPr>
      </w:pPr>
      <w:r>
        <w:rPr>
          <w:rFonts w:hint="eastAsia"/>
          <w:b/>
          <w:bCs/>
        </w:rPr>
        <w:t>（三）评标程序</w:t>
      </w:r>
    </w:p>
    <w:p w14:paraId="40EED8FC">
      <w:pPr>
        <w:ind w:firstLine="482" w:firstLineChars="200"/>
        <w:rPr>
          <w:b/>
          <w:bCs/>
        </w:rPr>
      </w:pPr>
      <w:r>
        <w:rPr>
          <w:rFonts w:hint="eastAsia"/>
          <w:b/>
          <w:bCs/>
        </w:rPr>
        <w:t>1、形式审查</w:t>
      </w:r>
    </w:p>
    <w:p w14:paraId="2DF58015">
      <w:pPr>
        <w:ind w:firstLine="480" w:firstLineChars="200"/>
      </w:pPr>
      <w:r>
        <w:rPr>
          <w:rFonts w:hint="eastAsia"/>
        </w:rPr>
        <w:t>在开标结束后（评标开始前），采购人或采购代理机构对供应商的资格和投标文件的完整性、合法性等进行审查。</w:t>
      </w:r>
    </w:p>
    <w:p w14:paraId="2AC74748">
      <w:pPr>
        <w:ind w:firstLine="482" w:firstLineChars="200"/>
        <w:rPr>
          <w:b/>
          <w:bCs/>
        </w:rPr>
      </w:pPr>
      <w:r>
        <w:rPr>
          <w:rFonts w:hint="eastAsia"/>
          <w:b/>
          <w:bCs/>
        </w:rPr>
        <w:t>2、实质审查与比较</w:t>
      </w:r>
    </w:p>
    <w:p w14:paraId="0FFFDEB3">
      <w:pPr>
        <w:ind w:firstLine="480" w:firstLineChars="200"/>
      </w:pPr>
      <w:r>
        <w:rPr>
          <w:rFonts w:hint="eastAsia"/>
        </w:rPr>
        <w:t>（1）评标委员会审查投标文件的实质性内容是否符合采购文件的实质性要求。</w:t>
      </w:r>
    </w:p>
    <w:p w14:paraId="07BF1DF2">
      <w:pPr>
        <w:ind w:firstLine="480" w:firstLineChars="200"/>
      </w:pPr>
      <w:r>
        <w:rPr>
          <w:rFonts w:hint="eastAsia"/>
        </w:rPr>
        <w:t>（2）评标委员会将根据供应商的投标文件进行审查、核对,如有疑问,将对供应商进行询标,供应商要向评标委员会澄清有关问题,并最终以书面形式进行答复。供应商代表未到场或者拒绝澄清或者澄清的内容改变了投标文件的实质性内容的，评标委员会有权对该投标文件作出不利于供应商的评判。</w:t>
      </w:r>
    </w:p>
    <w:p w14:paraId="46E73296">
      <w:pPr>
        <w:ind w:firstLine="480" w:firstLineChars="200"/>
      </w:pPr>
      <w:r>
        <w:rPr>
          <w:rFonts w:hint="eastAsia"/>
        </w:rPr>
        <w:t>（3）各供应商的技术、商务、资信及其他得分为所有评委的有效评分的算术平均数。</w:t>
      </w:r>
    </w:p>
    <w:p w14:paraId="3F607784">
      <w:pPr>
        <w:ind w:firstLine="480" w:firstLineChars="200"/>
      </w:pPr>
      <w:r>
        <w:rPr>
          <w:rFonts w:hint="eastAsia"/>
        </w:rPr>
        <w:t>（4）代理机构工作人员协助评标委员会根据本项目的报价评分标准计算各供应商的商务报价得分。</w:t>
      </w:r>
    </w:p>
    <w:p w14:paraId="656543F4">
      <w:pPr>
        <w:ind w:firstLine="480" w:firstLineChars="200"/>
      </w:pPr>
      <w:r>
        <w:rPr>
          <w:rFonts w:hint="eastAsia"/>
        </w:rPr>
        <w:t>（5）评标委员会完成评标后,评委对各部分得分汇总,计算出本项目最终得分。评标委员会按评标原则通过电子评标系统推荐中标候选人并同时起草评标报告。</w:t>
      </w:r>
    </w:p>
    <w:p w14:paraId="6DFE2B1D">
      <w:pPr>
        <w:rPr>
          <w:b/>
          <w:bCs/>
        </w:rPr>
      </w:pPr>
      <w:r>
        <w:rPr>
          <w:rFonts w:hint="eastAsia"/>
          <w:b/>
          <w:bCs/>
        </w:rPr>
        <w:t>（四）澄清问题的形式</w:t>
      </w:r>
    </w:p>
    <w:p w14:paraId="1E05326F">
      <w:pPr>
        <w:ind w:firstLine="480" w:firstLineChars="200"/>
      </w:pPr>
      <w:r>
        <w:rPr>
          <w:rFonts w:hint="eastAsia"/>
        </w:rPr>
        <w:t>评审中需要供应商对投标、响应文件作出澄清、说明或者补正的，评审小组和供应商应当通过电子交易平台交换数据电文。给予供应商提交澄清说明或补正的时间为3</w:t>
      </w:r>
      <w:r>
        <w:t>0</w:t>
      </w:r>
      <w:r>
        <w:rPr>
          <w:rFonts w:hint="eastAsia"/>
        </w:rPr>
        <w:t>分钟，供应商已经明确表示澄清说明或补正完毕的除外。</w:t>
      </w:r>
    </w:p>
    <w:p w14:paraId="3202A30A">
      <w:pPr>
        <w:rPr>
          <w:b/>
          <w:bCs/>
        </w:rPr>
      </w:pPr>
      <w:r>
        <w:rPr>
          <w:rFonts w:hint="eastAsia"/>
          <w:b/>
          <w:bCs/>
        </w:rPr>
        <w:t>（五）错误修正</w:t>
      </w:r>
    </w:p>
    <w:p w14:paraId="002DDBE8">
      <w:pPr>
        <w:ind w:firstLine="480" w:firstLineChars="200"/>
      </w:pPr>
      <w:r>
        <w:rPr>
          <w:rFonts w:hint="eastAsia"/>
        </w:rPr>
        <w:t>投标文件如果出现计算或表达上的错误，修正错误的原则如下：</w:t>
      </w:r>
    </w:p>
    <w:p w14:paraId="30A343E4">
      <w:pPr>
        <w:ind w:firstLine="480" w:firstLineChars="200"/>
      </w:pPr>
      <w:r>
        <w:rPr>
          <w:rFonts w:hint="eastAsia"/>
        </w:rPr>
        <w:t>1、投标文件的大写和小写不一致的，以大写为准；</w:t>
      </w:r>
    </w:p>
    <w:p w14:paraId="25F0A915">
      <w:pPr>
        <w:ind w:firstLine="480" w:firstLineChars="200"/>
      </w:pPr>
      <w:r>
        <w:rPr>
          <w:rFonts w:hint="eastAsia"/>
        </w:rPr>
        <w:t>2、对不同文字文本投标文件的解释发生异议的，以中文文本为准。</w:t>
      </w:r>
    </w:p>
    <w:p w14:paraId="03C05C1A">
      <w:pPr>
        <w:ind w:firstLine="482" w:firstLineChars="200"/>
        <w:rPr>
          <w:b/>
          <w:bCs/>
        </w:rPr>
      </w:pPr>
      <w:r>
        <w:rPr>
          <w:rFonts w:hint="eastAsia"/>
          <w:b/>
          <w:bCs/>
        </w:rPr>
        <w:t>按上述修正错误的原则及方法调整或修正投标文件的投标报价，供应商同意并签字确认后，调整后的投标报价对供应商具有约束作用。如果供应商不接受修正后的报价，则其投标将作为无效投标处理。</w:t>
      </w:r>
    </w:p>
    <w:p w14:paraId="3E7A981E">
      <w:pPr>
        <w:rPr>
          <w:b/>
          <w:bCs/>
        </w:rPr>
      </w:pPr>
      <w:r>
        <w:rPr>
          <w:rFonts w:hint="eastAsia"/>
          <w:b/>
          <w:bCs/>
        </w:rPr>
        <w:t>（六）评标原则和评标办法</w:t>
      </w:r>
    </w:p>
    <w:p w14:paraId="2A5DF934">
      <w:pPr>
        <w:ind w:firstLine="480" w:firstLineChars="200"/>
      </w:pPr>
      <w:r>
        <w:rPr>
          <w:rFonts w:hint="eastAsia"/>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350A4692">
      <w:pPr>
        <w:ind w:firstLine="480" w:firstLineChars="200"/>
      </w:pPr>
      <w:r>
        <w:rPr>
          <w:rFonts w:hint="eastAsia"/>
        </w:rPr>
        <w:t>2、评标办法。本项目评标办法是</w:t>
      </w:r>
      <w:r>
        <w:rPr>
          <w:rFonts w:hint="eastAsia"/>
          <w:b/>
          <w:bCs/>
          <w:u w:val="single"/>
        </w:rPr>
        <w:t>综合评分法</w:t>
      </w:r>
      <w:r>
        <w:rPr>
          <w:rFonts w:hint="eastAsia"/>
        </w:rPr>
        <w:t>，具体评标内容及评分标准等详见《第四章：评标办法及评分标准》。</w:t>
      </w:r>
    </w:p>
    <w:p w14:paraId="69AD7777">
      <w:pPr>
        <w:ind w:firstLine="480" w:firstLineChars="200"/>
      </w:pPr>
      <w:r>
        <w:rPr>
          <w:rFonts w:hint="eastAsia"/>
        </w:rPr>
        <w:t>3、评标过程中凡是属于审查、澄清、评审和比较的有关资料以及授标建议，任何人均不得向供应商或其他无关人员透露。</w:t>
      </w:r>
    </w:p>
    <w:p w14:paraId="2FF9B18E">
      <w:pPr>
        <w:rPr>
          <w:b/>
          <w:bCs/>
        </w:rPr>
      </w:pPr>
      <w:r>
        <w:rPr>
          <w:rFonts w:hint="eastAsia"/>
          <w:b/>
          <w:bCs/>
        </w:rPr>
        <w:t>（七）评标过程的监控</w:t>
      </w:r>
    </w:p>
    <w:p w14:paraId="47182196">
      <w:pPr>
        <w:ind w:firstLine="480" w:firstLineChars="200"/>
      </w:pPr>
      <w:r>
        <w:rPr>
          <w:rFonts w:hint="eastAsia"/>
        </w:rPr>
        <w:t>本项目评标过程实行全程录音、录像监控，由湖州市公共资源交易管理办公室进行现场监督。供应商在评标过程中所进行的试图影响评标结果的不公正活动，可能导致其投标被拒绝。</w:t>
      </w:r>
    </w:p>
    <w:p w14:paraId="724CDD75">
      <w:pPr>
        <w:pStyle w:val="3"/>
        <w:jc w:val="center"/>
      </w:pPr>
      <w:bookmarkStart w:id="15" w:name="_Toc67814475"/>
      <w:bookmarkStart w:id="16" w:name="_Toc130455806"/>
      <w:r>
        <w:rPr>
          <w:rFonts w:hint="eastAsia"/>
        </w:rPr>
        <w:t>六、定标</w:t>
      </w:r>
      <w:bookmarkEnd w:id="15"/>
      <w:bookmarkEnd w:id="16"/>
    </w:p>
    <w:p w14:paraId="682D56EA">
      <w:pPr>
        <w:rPr>
          <w:b/>
          <w:bCs/>
        </w:rPr>
      </w:pPr>
      <w:r>
        <w:rPr>
          <w:rFonts w:hint="eastAsia"/>
          <w:b/>
          <w:bCs/>
        </w:rPr>
        <w:t>（一）确定中标供应商。本项目由采购人确定中标供应商。</w:t>
      </w:r>
    </w:p>
    <w:p w14:paraId="53174311">
      <w:pPr>
        <w:ind w:firstLine="480" w:firstLineChars="200"/>
      </w:pPr>
      <w:r>
        <w:rPr>
          <w:rFonts w:hint="eastAsia"/>
        </w:rPr>
        <w:t>1、采购代理机构在评标结束后2个工作日内将评标报告交采购人。采购人应当自收到评标报告之日起5个工作日内，在评标报告确定的中标候选人名单中按顺序确定中标供应商。中标候选人并列的，由采购人或者采购人委托评标委员会按照采购文件规定的方式确定中标供应商；采购文件未规定的，采取随机抽取的方式确定。</w:t>
      </w:r>
    </w:p>
    <w:p w14:paraId="7B9E7C68">
      <w:pPr>
        <w:ind w:firstLine="480" w:firstLineChars="200"/>
      </w:pPr>
      <w:r>
        <w:rPr>
          <w:rFonts w:hint="eastAsia"/>
        </w:rPr>
        <w:t>2、采购人依法确定中标供应商后2个工作日内，采购代理机构以书面形式发出《中标通知书》，并同时在相关网站上发布中标结果公告。</w:t>
      </w:r>
    </w:p>
    <w:p w14:paraId="616B68C1">
      <w:pPr>
        <w:pStyle w:val="3"/>
        <w:jc w:val="center"/>
      </w:pPr>
      <w:bookmarkStart w:id="17" w:name="_Toc130455807"/>
      <w:bookmarkStart w:id="18" w:name="_Toc67814476"/>
      <w:r>
        <w:rPr>
          <w:rFonts w:hint="eastAsia"/>
        </w:rPr>
        <w:t>七、合同授予</w:t>
      </w:r>
      <w:bookmarkEnd w:id="17"/>
      <w:bookmarkEnd w:id="18"/>
    </w:p>
    <w:p w14:paraId="57B0DE92">
      <w:pPr>
        <w:rPr>
          <w:b/>
          <w:bCs/>
        </w:rPr>
      </w:pPr>
      <w:r>
        <w:rPr>
          <w:rFonts w:hint="eastAsia"/>
          <w:b/>
          <w:bCs/>
        </w:rPr>
        <w:t>（一）签订合同</w:t>
      </w:r>
    </w:p>
    <w:p w14:paraId="3FDEC240">
      <w:pPr>
        <w:ind w:firstLine="480" w:firstLineChars="200"/>
      </w:pPr>
      <w:r>
        <w:rPr>
          <w:rFonts w:hint="eastAsia"/>
        </w:rPr>
        <w:t>1、采购人与中标供应商应当在《中标通知书》发出之日起30日内签订政府采购合同。采购人与中标供应商签订合同，并在规定时间内依法发布合同公告。同时，采购代理机构对合同内容进行审查，如发现与采购结果和投标承诺内容不一致的，应予以纠正。</w:t>
      </w:r>
    </w:p>
    <w:p w14:paraId="320FB4B7">
      <w:pPr>
        <w:ind w:firstLine="480" w:firstLineChars="200"/>
      </w:pPr>
      <w:r>
        <w:rPr>
          <w:rFonts w:hint="eastAsia"/>
        </w:rPr>
        <w:t>2.、中标供应商拖延、拒签合同的,将被取消中标资格。</w:t>
      </w:r>
    </w:p>
    <w:p w14:paraId="0052EB41">
      <w:pPr>
        <w:rPr>
          <w:b/>
          <w:bCs/>
        </w:rPr>
      </w:pPr>
      <w:r>
        <w:rPr>
          <w:rFonts w:hint="eastAsia"/>
          <w:b/>
          <w:bCs/>
        </w:rPr>
        <w:t>（二）中标通知书</w:t>
      </w:r>
    </w:p>
    <w:p w14:paraId="7F565E32">
      <w:pPr>
        <w:ind w:firstLine="480" w:firstLineChars="200"/>
      </w:pPr>
      <w:r>
        <w:rPr>
          <w:rFonts w:hint="eastAsia"/>
        </w:rPr>
        <w:t>1、确定中标供应商后，采购单位将以书面形式发出中标通知书，通知中标的投标供应商其投标被接受；</w:t>
      </w:r>
      <w:r>
        <w:t>并同时将中标结果通知所有未中标的投标供应商。</w:t>
      </w:r>
    </w:p>
    <w:p w14:paraId="079D13B9">
      <w:pPr>
        <w:ind w:firstLine="480" w:firstLineChars="200"/>
      </w:pPr>
      <w:r>
        <w:rPr>
          <w:rFonts w:hint="eastAsia"/>
        </w:rPr>
        <w:t>2、中标通知书为双方签订合同的依据。</w:t>
      </w:r>
    </w:p>
    <w:p w14:paraId="4D0D61CB">
      <w:pPr>
        <w:rPr>
          <w:b/>
          <w:bCs/>
        </w:rPr>
      </w:pPr>
      <w:r>
        <w:rPr>
          <w:rFonts w:hint="eastAsia"/>
          <w:b/>
          <w:bCs/>
        </w:rPr>
        <w:t>（三）出现下述情况之一的，采购人将重新组织招标。</w:t>
      </w:r>
    </w:p>
    <w:p w14:paraId="083B052B">
      <w:pPr>
        <w:ind w:firstLine="480" w:firstLineChars="200"/>
      </w:pPr>
      <w:r>
        <w:t>1</w:t>
      </w:r>
      <w:r>
        <w:rPr>
          <w:rFonts w:hint="eastAsia"/>
        </w:rPr>
        <w:t>、</w:t>
      </w:r>
      <w:r>
        <w:t>在采购中，出现下列情形之一的，将重新采购：</w:t>
      </w:r>
    </w:p>
    <w:p w14:paraId="7D00060C">
      <w:pPr>
        <w:ind w:firstLine="480" w:firstLineChars="200"/>
      </w:pPr>
      <w:r>
        <w:rPr>
          <w:rFonts w:hint="eastAsia"/>
        </w:rPr>
        <w:t>（</w:t>
      </w:r>
      <w:r>
        <w:t>1）投标截止时，投标供应商少于3家或经评审认为所有投标供应商的投标文件存在报价明显不合理或均不满足符合性要求时</w:t>
      </w:r>
      <w:r>
        <w:rPr>
          <w:rFonts w:hint="eastAsia"/>
        </w:rPr>
        <w:t>；</w:t>
      </w:r>
      <w:r>
        <w:t>经评审，当有效标不足3</w:t>
      </w:r>
      <w:r>
        <w:rPr>
          <w:rFonts w:hint="eastAsia"/>
        </w:rPr>
        <w:t>家，缺乏竞争时；</w:t>
      </w:r>
    </w:p>
    <w:p w14:paraId="5C2E51B2">
      <w:pPr>
        <w:ind w:firstLine="480" w:firstLineChars="200"/>
      </w:pPr>
      <w:r>
        <w:rPr>
          <w:rFonts w:hint="eastAsia"/>
        </w:rPr>
        <w:t>（</w:t>
      </w:r>
      <w:r>
        <w:t>2）出现影响采购公正的违法、违规行为的</w:t>
      </w:r>
      <w:r>
        <w:rPr>
          <w:rFonts w:hint="eastAsia"/>
        </w:rPr>
        <w:t>；</w:t>
      </w:r>
    </w:p>
    <w:p w14:paraId="4B5B17BB">
      <w:pPr>
        <w:ind w:firstLine="480" w:firstLineChars="200"/>
      </w:pPr>
      <w:r>
        <w:rPr>
          <w:rFonts w:hint="eastAsia"/>
        </w:rPr>
        <w:t>（</w:t>
      </w:r>
      <w:r>
        <w:t>3）投标供应商的报价均超过了采购预算控制价</w:t>
      </w:r>
      <w:r>
        <w:rPr>
          <w:rFonts w:hint="eastAsia"/>
        </w:rPr>
        <w:t>或最高限价</w:t>
      </w:r>
      <w:r>
        <w:t>，采购人不能支付的</w:t>
      </w:r>
      <w:r>
        <w:rPr>
          <w:rFonts w:hint="eastAsia"/>
        </w:rPr>
        <w:t>；</w:t>
      </w:r>
    </w:p>
    <w:p w14:paraId="4E036EE7">
      <w:pPr>
        <w:ind w:firstLine="480" w:firstLineChars="200"/>
      </w:pPr>
      <w:r>
        <w:rPr>
          <w:rFonts w:hint="eastAsia"/>
        </w:rPr>
        <w:t>（</w:t>
      </w:r>
      <w:r>
        <w:t>4）因重大变故，采购任务取消的</w:t>
      </w:r>
      <w:r>
        <w:rPr>
          <w:rFonts w:hint="eastAsia"/>
        </w:rPr>
        <w:t>。</w:t>
      </w:r>
    </w:p>
    <w:p w14:paraId="700D0FB1">
      <w:pPr>
        <w:ind w:firstLine="480" w:firstLineChars="200"/>
      </w:pPr>
      <w:r>
        <w:t>2</w:t>
      </w:r>
      <w:r>
        <w:rPr>
          <w:rFonts w:hint="eastAsia"/>
        </w:rPr>
        <w:t>、</w:t>
      </w:r>
      <w:r>
        <w:t>由于采购人原因中止采购或未能在规定延长后的投标文件有效期内确定中标供应商和发出中标通知书。</w:t>
      </w:r>
    </w:p>
    <w:p w14:paraId="2B0F6122">
      <w:pPr>
        <w:ind w:firstLine="480" w:firstLineChars="200"/>
      </w:pPr>
      <w:r>
        <w:rPr>
          <w:rFonts w:hint="eastAsia"/>
        </w:rPr>
        <w:t>3、出现以下情形，导致电子交易平台无法正常运行，或者无法保证电子交易的公平、公正和安全时，中止电子交易活动：</w:t>
      </w:r>
    </w:p>
    <w:p w14:paraId="78B50541">
      <w:pPr>
        <w:ind w:firstLine="480" w:firstLineChars="200"/>
      </w:pPr>
      <w:r>
        <w:rPr>
          <w:rFonts w:hint="eastAsia"/>
        </w:rPr>
        <w:t>（1）电子交易平台发生故障而无法登录访问的；</w:t>
      </w:r>
    </w:p>
    <w:p w14:paraId="3936B2B5">
      <w:pPr>
        <w:ind w:firstLine="480" w:firstLineChars="200"/>
      </w:pPr>
      <w:r>
        <w:rPr>
          <w:rFonts w:hint="eastAsia"/>
        </w:rPr>
        <w:t>（2）电子交易平台应用或数据库出现错误，不能进行正常操作的；</w:t>
      </w:r>
    </w:p>
    <w:p w14:paraId="47B8FBC3">
      <w:pPr>
        <w:ind w:firstLine="480" w:firstLineChars="200"/>
      </w:pPr>
      <w:r>
        <w:rPr>
          <w:rFonts w:hint="eastAsia"/>
        </w:rPr>
        <w:t>（3）电子交易平台发现严重安全漏洞，有潜在泄密危险的；</w:t>
      </w:r>
    </w:p>
    <w:p w14:paraId="60A47220">
      <w:pPr>
        <w:ind w:firstLine="480" w:firstLineChars="200"/>
      </w:pPr>
      <w:r>
        <w:rPr>
          <w:rFonts w:hint="eastAsia"/>
        </w:rPr>
        <w:t>（4）病毒发作导致不能进行正常操作的；</w:t>
      </w:r>
    </w:p>
    <w:p w14:paraId="1D96DC3F">
      <w:pPr>
        <w:ind w:firstLine="480" w:firstLineChars="200"/>
      </w:pPr>
      <w:r>
        <w:rPr>
          <w:rFonts w:hint="eastAsia"/>
        </w:rPr>
        <w:t>（5）其他无法保证电子交易的公平、公正和安全的情况。</w:t>
      </w:r>
    </w:p>
    <w:p w14:paraId="76118D30">
      <w:pPr>
        <w:ind w:firstLine="480" w:firstLineChars="200"/>
      </w:pPr>
      <w:r>
        <w:rPr>
          <w:rFonts w:hint="eastAsia"/>
        </w:rPr>
        <w:t>出现前款规定情形，不影响采购公平、公正性的，采购组织机构可以待上述情形消除后继续组织电子交易活动，也可以决定某些环节以纸质形式进行；影响或可能影响采购公平、公正性的，重新采购。</w:t>
      </w:r>
      <w:r>
        <w:br w:type="page"/>
      </w:r>
    </w:p>
    <w:p w14:paraId="2A7368FF">
      <w:pPr>
        <w:pStyle w:val="2"/>
      </w:pPr>
      <w:bookmarkStart w:id="19" w:name="_Toc67814477"/>
      <w:bookmarkStart w:id="20" w:name="_Toc130455808"/>
      <w:r>
        <w:rPr>
          <w:rFonts w:hint="eastAsia"/>
        </w:rPr>
        <w:t>第四章 评标办法及评分标准</w:t>
      </w:r>
      <w:bookmarkEnd w:id="19"/>
      <w:bookmarkEnd w:id="20"/>
    </w:p>
    <w:p w14:paraId="3E1DB6F8">
      <w:pPr>
        <w:ind w:firstLine="480" w:firstLineChars="200"/>
      </w:pPr>
      <w:r>
        <w:rPr>
          <w:rFonts w:hint="eastAsia"/>
        </w:rPr>
        <w:t>为公正、公平、科学地选择中标供应商，根据《中华人民共和国政府采购法》、《政府采购货物和服务招标投标管理办法》及相关法律、法规等规定，并结合本项目的实际，制定本办法。</w:t>
      </w:r>
    </w:p>
    <w:p w14:paraId="491C2FEE">
      <w:pPr>
        <w:ind w:firstLine="480" w:firstLineChars="200"/>
        <w:rPr>
          <w:u w:val="single"/>
        </w:rPr>
      </w:pPr>
      <w:r>
        <w:rPr>
          <w:rFonts w:hint="eastAsia"/>
        </w:rPr>
        <w:t>本办法适用于湖州职业技术学院虚拟仿真实训教学管理平台等软件采购项目。</w:t>
      </w:r>
    </w:p>
    <w:p w14:paraId="0378144B">
      <w:pPr>
        <w:ind w:firstLine="482" w:firstLineChars="200"/>
        <w:rPr>
          <w:b/>
        </w:rPr>
      </w:pPr>
      <w:r>
        <w:rPr>
          <w:rFonts w:hint="eastAsia"/>
          <w:b/>
        </w:rPr>
        <w:t>一、总则</w:t>
      </w:r>
    </w:p>
    <w:p w14:paraId="228575ED">
      <w:pPr>
        <w:ind w:firstLine="480" w:firstLineChars="200"/>
      </w:pPr>
      <w:r>
        <w:rPr>
          <w:rFonts w:hint="eastAsia"/>
        </w:rPr>
        <w:t>本次评标采用综合评分法，</w:t>
      </w:r>
      <w:r>
        <w:rPr>
          <w:rFonts w:hint="eastAsia"/>
          <w:b/>
        </w:rPr>
        <w:t>总分为100分，其中价格分3</w:t>
      </w:r>
      <w:r>
        <w:rPr>
          <w:b/>
        </w:rPr>
        <w:t>0</w:t>
      </w:r>
      <w:r>
        <w:rPr>
          <w:rFonts w:hint="eastAsia"/>
          <w:b/>
        </w:rPr>
        <w:t>分、技术分、商务分和资信及其他部分占7</w:t>
      </w:r>
      <w:r>
        <w:rPr>
          <w:b/>
        </w:rPr>
        <w:t>0</w:t>
      </w:r>
      <w:r>
        <w:rPr>
          <w:rFonts w:hint="eastAsia"/>
          <w:b/>
        </w:rPr>
        <w:t>分。</w:t>
      </w:r>
      <w:r>
        <w:rPr>
          <w:rFonts w:hint="eastAsia"/>
        </w:rPr>
        <w:t>合格供应商的评标得分为各项目汇总得分。本项目由采购人确定中标供应商,中标候选资格按评标得分由高到低顺序排列，得分相同的，按投标报价由低到高顺序排列；得分且投标报价相同的，按技术得分由高到低顺序排列。排名第一的供应商为第一中标候选供应商,其他供应商中标候选资格依此类推。中标供应商放弃中标或者拒绝与采购人签订合同的，采购人可以按照评审报告推荐的中标候选人名单排序，确定下一候选人为中标供应商，也可以重新开展政府采购活动。评分过程中采用四舍五入法，并保留小数2位。</w:t>
      </w:r>
      <w:r>
        <w:rPr>
          <w:rFonts w:hint="eastAsia" w:ascii="宋体" w:hAnsi="宋体" w:cs="宋体"/>
          <w:sz w:val="24"/>
          <w:szCs w:val="24"/>
        </w:rPr>
        <w:t>供应商可以同时参与三个标项的磋商和评审，但一个供应商只能成交一个标项，按标项1，标项2，标项3的顺序确定</w:t>
      </w:r>
      <w:r>
        <w:rPr>
          <w:rFonts w:hint="eastAsia"/>
        </w:rPr>
        <w:t>中标候选供应商</w:t>
      </w:r>
      <w:r>
        <w:rPr>
          <w:rFonts w:hint="eastAsia" w:ascii="宋体" w:hAnsi="宋体" w:cs="宋体"/>
          <w:sz w:val="24"/>
          <w:szCs w:val="24"/>
        </w:rPr>
        <w:t>（已成交的供应商仍然进入下一标项的评审，但不再推荐为</w:t>
      </w:r>
      <w:r>
        <w:rPr>
          <w:rFonts w:hint="eastAsia"/>
        </w:rPr>
        <w:t>中标候选供应商</w:t>
      </w:r>
      <w:r>
        <w:rPr>
          <w:rFonts w:hint="eastAsia" w:ascii="宋体" w:hAnsi="宋体" w:cs="宋体"/>
          <w:sz w:val="24"/>
          <w:szCs w:val="24"/>
        </w:rPr>
        <w:t>）</w:t>
      </w:r>
    </w:p>
    <w:p w14:paraId="6B66DBC9">
      <w:pPr>
        <w:ind w:firstLine="480" w:firstLineChars="200"/>
      </w:pPr>
      <w:r>
        <w:rPr>
          <w:rFonts w:hint="eastAsia"/>
        </w:rPr>
        <w:t>各供应商最终得分=技术分、商务分和资信及其他分得分+价格分得分</w:t>
      </w:r>
    </w:p>
    <w:p w14:paraId="5BC43F85">
      <w:pPr>
        <w:ind w:firstLine="480" w:firstLineChars="200"/>
      </w:pPr>
      <w:r>
        <w:rPr>
          <w:rFonts w:hint="eastAsia"/>
        </w:rPr>
        <w:t>评标委员会认为供应商的报价明显低于其他通过符合性审查供应商的报价，有可能影响产品质量或者不能诚信履约的，应当要求供应商书面说明（包括货物的进货或主要原材料、部件成本，人工成本和合理利润等多种构成要素说明），必要时要求提供相关证明材料（可以传真的形式当场提供</w:t>
      </w:r>
      <w:r>
        <w:t>,但必须在事后提供相应的原件进行核实）。供应商不能在评审委员会提出说明要求后半小时内当场合理说明原因并提供证明材料的，评审委员会应将该供应商的投标文件作无效处理，并在评审报告中说明。</w:t>
      </w:r>
    </w:p>
    <w:p w14:paraId="23A4A727">
      <w:pPr>
        <w:ind w:firstLine="480" w:firstLineChars="200"/>
      </w:pPr>
      <w:r>
        <w:rPr>
          <w:rFonts w:hint="eastAsia"/>
        </w:rPr>
        <w:t>二分之一以上的评委认为供应商报价明显高于市场平均价的将作为无效投标处理。</w:t>
      </w:r>
    </w:p>
    <w:p w14:paraId="42F25D61">
      <w:pPr>
        <w:ind w:firstLine="482" w:firstLineChars="200"/>
        <w:rPr>
          <w:b/>
        </w:rPr>
      </w:pPr>
      <w:r>
        <w:rPr>
          <w:rFonts w:hint="eastAsia"/>
          <w:b/>
        </w:rPr>
        <w:t>二、评标内容及标准</w:t>
      </w:r>
    </w:p>
    <w:p w14:paraId="3A591870">
      <w:pPr>
        <w:ind w:firstLine="482" w:firstLineChars="200"/>
        <w:rPr>
          <w:b/>
        </w:rPr>
      </w:pPr>
      <w:r>
        <w:rPr>
          <w:rFonts w:hint="eastAsia"/>
          <w:b/>
        </w:rPr>
        <w:t>（一）价格分</w:t>
      </w:r>
      <w:r>
        <w:rPr>
          <w:b/>
        </w:rPr>
        <w:t>10</w:t>
      </w:r>
      <w:r>
        <w:rPr>
          <w:rFonts w:hint="eastAsia"/>
          <w:b/>
        </w:rPr>
        <w:t>分</w:t>
      </w:r>
    </w:p>
    <w:p w14:paraId="47FA2B44">
      <w:pPr>
        <w:ind w:firstLine="480" w:firstLineChars="200"/>
      </w:pPr>
      <w:r>
        <w:rPr>
          <w:rFonts w:hint="eastAsia"/>
        </w:rPr>
        <w:t>以有效投标价格最低的投标报价为评标基准价，其价格分为满分。其他供应商的报价分按照下列公式计算：</w:t>
      </w:r>
    </w:p>
    <w:p w14:paraId="68CFF04F">
      <w:pPr>
        <w:ind w:firstLine="480" w:firstLineChars="200"/>
        <w:rPr>
          <w:b/>
          <w:bCs/>
        </w:rPr>
      </w:pPr>
      <w:r>
        <w:rPr>
          <w:rFonts w:hint="eastAsia"/>
        </w:rPr>
        <w:t>投标报价得分=（评标基准价/投标报价）×3</w:t>
      </w:r>
      <w:r>
        <w:t>0</w:t>
      </w:r>
      <w:r>
        <w:rPr>
          <w:rFonts w:hint="eastAsia"/>
        </w:rPr>
        <w:t>%×100</w:t>
      </w:r>
    </w:p>
    <w:p w14:paraId="15207804">
      <w:pPr>
        <w:ind w:firstLine="482" w:firstLineChars="200"/>
        <w:rPr>
          <w:b/>
        </w:rPr>
      </w:pPr>
      <w:r>
        <w:rPr>
          <w:rFonts w:hint="eastAsia"/>
          <w:b/>
        </w:rPr>
        <w:t>（二）技术分、商务分、资信及其他分</w:t>
      </w:r>
      <w:r>
        <w:rPr>
          <w:b/>
        </w:rPr>
        <w:t>9</w:t>
      </w:r>
      <w:r>
        <w:rPr>
          <w:rFonts w:hint="eastAsia"/>
          <w:b/>
        </w:rPr>
        <w:t>0分</w:t>
      </w:r>
    </w:p>
    <w:p w14:paraId="0B095AF0">
      <w:pPr>
        <w:ind w:firstLine="482" w:firstLineChars="200"/>
        <w:rPr>
          <w:b/>
        </w:rPr>
      </w:pPr>
      <w:r>
        <w:rPr>
          <w:rFonts w:hint="eastAsia"/>
          <w:b/>
        </w:rPr>
        <w:t>（三）技术分、商务分、资信及其他分的计算</w:t>
      </w:r>
    </w:p>
    <w:p w14:paraId="2745ED87">
      <w:pPr>
        <w:ind w:firstLine="480" w:firstLineChars="200"/>
      </w:pPr>
      <w:r>
        <w:rPr>
          <w:rFonts w:hint="eastAsia"/>
        </w:rPr>
        <w:t>技术、商务、资信及其他分按照评标委员会成员的独立评分结果汇总数的算术平均分计算，计算公式为：</w:t>
      </w:r>
    </w:p>
    <w:p w14:paraId="0CC4BFC7">
      <w:pPr>
        <w:ind w:firstLine="480" w:firstLineChars="200"/>
      </w:pPr>
      <w:r>
        <w:rPr>
          <w:rFonts w:hint="eastAsia"/>
        </w:rPr>
        <w:t>技术分、商务分、资信及其他分=（评标委员会所有成员评分合计数）/（评标委员会组成人员数）</w:t>
      </w:r>
    </w:p>
    <w:p w14:paraId="2CE1BDCB">
      <w:pPr>
        <w:ind w:firstLine="482" w:firstLineChars="200"/>
        <w:rPr>
          <w:b/>
        </w:rPr>
      </w:pPr>
      <w:r>
        <w:rPr>
          <w:rFonts w:hint="eastAsia"/>
          <w:b/>
        </w:rPr>
        <w:t>标项一附件：评分表格式（技术分、商务分、资信及其他分，共70分）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701"/>
        <w:gridCol w:w="5386"/>
        <w:gridCol w:w="1127"/>
      </w:tblGrid>
      <w:tr w14:paraId="618D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0614F05">
            <w:pPr>
              <w:rPr>
                <w:rFonts w:ascii="微软雅黑" w:hAnsi="微软雅黑" w:eastAsia="微软雅黑" w:cs="微软雅黑"/>
                <w:b/>
                <w:bCs/>
                <w:sz w:val="22"/>
              </w:rPr>
            </w:pPr>
            <w:bookmarkStart w:id="21" w:name="_Toc130455809"/>
            <w:bookmarkStart w:id="22" w:name="_Toc67814478"/>
            <w:r>
              <w:rPr>
                <w:rFonts w:hint="eastAsia" w:ascii="微软雅黑" w:hAnsi="微软雅黑" w:eastAsia="微软雅黑" w:cs="微软雅黑"/>
                <w:b/>
                <w:bCs/>
                <w:sz w:val="22"/>
              </w:rPr>
              <w:t>序号</w:t>
            </w:r>
          </w:p>
        </w:tc>
        <w:tc>
          <w:tcPr>
            <w:tcW w:w="1701" w:type="dxa"/>
            <w:vAlign w:val="center"/>
          </w:tcPr>
          <w:p w14:paraId="738F6F45">
            <w:pPr>
              <w:rPr>
                <w:rFonts w:ascii="微软雅黑" w:hAnsi="微软雅黑" w:eastAsia="微软雅黑" w:cs="微软雅黑"/>
                <w:b/>
                <w:bCs/>
                <w:sz w:val="22"/>
              </w:rPr>
            </w:pPr>
            <w:r>
              <w:rPr>
                <w:rFonts w:hint="eastAsia" w:ascii="微软雅黑" w:hAnsi="微软雅黑" w:eastAsia="微软雅黑" w:cs="微软雅黑"/>
                <w:b/>
                <w:bCs/>
                <w:sz w:val="22"/>
              </w:rPr>
              <w:t>评审内容</w:t>
            </w:r>
          </w:p>
        </w:tc>
        <w:tc>
          <w:tcPr>
            <w:tcW w:w="5386" w:type="dxa"/>
            <w:vAlign w:val="center"/>
          </w:tcPr>
          <w:p w14:paraId="73A8DB55">
            <w:pPr>
              <w:jc w:val="center"/>
              <w:rPr>
                <w:rFonts w:ascii="微软雅黑" w:hAnsi="微软雅黑" w:eastAsia="微软雅黑" w:cs="微软雅黑"/>
                <w:b/>
                <w:bCs/>
                <w:sz w:val="22"/>
              </w:rPr>
            </w:pPr>
            <w:r>
              <w:rPr>
                <w:rFonts w:hint="eastAsia" w:ascii="微软雅黑" w:hAnsi="微软雅黑" w:eastAsia="微软雅黑" w:cs="微软雅黑"/>
                <w:b/>
                <w:bCs/>
                <w:sz w:val="22"/>
              </w:rPr>
              <w:t>评分标准</w:t>
            </w:r>
          </w:p>
        </w:tc>
        <w:tc>
          <w:tcPr>
            <w:tcW w:w="1127" w:type="dxa"/>
            <w:vAlign w:val="center"/>
          </w:tcPr>
          <w:p w14:paraId="751A6F29">
            <w:pPr>
              <w:jc w:val="center"/>
              <w:rPr>
                <w:rFonts w:ascii="微软雅黑" w:hAnsi="微软雅黑" w:eastAsia="微软雅黑" w:cs="微软雅黑"/>
                <w:b/>
                <w:bCs/>
                <w:sz w:val="22"/>
              </w:rPr>
            </w:pPr>
            <w:r>
              <w:rPr>
                <w:rFonts w:hint="eastAsia" w:ascii="微软雅黑" w:hAnsi="微软雅黑" w:eastAsia="微软雅黑" w:cs="微软雅黑"/>
                <w:b/>
                <w:bCs/>
                <w:sz w:val="22"/>
              </w:rPr>
              <w:t>分值</w:t>
            </w:r>
          </w:p>
        </w:tc>
      </w:tr>
      <w:tr w14:paraId="0639F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2" w:hRule="atLeast"/>
        </w:trPr>
        <w:tc>
          <w:tcPr>
            <w:tcW w:w="846" w:type="dxa"/>
            <w:vAlign w:val="center"/>
          </w:tcPr>
          <w:p w14:paraId="34181D19">
            <w:pPr>
              <w:rPr>
                <w:rFonts w:ascii="微软雅黑" w:hAnsi="微软雅黑" w:eastAsia="微软雅黑" w:cs="微软雅黑"/>
                <w:bCs/>
                <w:sz w:val="22"/>
                <w:szCs w:val="20"/>
              </w:rPr>
            </w:pPr>
            <w:r>
              <w:rPr>
                <w:rFonts w:hint="eastAsia" w:ascii="微软雅黑" w:hAnsi="微软雅黑" w:eastAsia="微软雅黑" w:cs="微软雅黑"/>
                <w:bCs/>
                <w:sz w:val="22"/>
                <w:szCs w:val="20"/>
              </w:rPr>
              <w:t>1</w:t>
            </w:r>
          </w:p>
        </w:tc>
        <w:tc>
          <w:tcPr>
            <w:tcW w:w="1701" w:type="dxa"/>
            <w:vAlign w:val="center"/>
          </w:tcPr>
          <w:p w14:paraId="68C4CBB7">
            <w:pPr>
              <w:rPr>
                <w:rFonts w:ascii="微软雅黑" w:hAnsi="微软雅黑" w:eastAsia="微软雅黑" w:cs="微软雅黑"/>
                <w:bCs/>
                <w:sz w:val="22"/>
                <w:szCs w:val="20"/>
              </w:rPr>
            </w:pPr>
            <w:r>
              <w:rPr>
                <w:rFonts w:hint="eastAsia" w:ascii="微软雅黑" w:hAnsi="微软雅黑" w:eastAsia="微软雅黑" w:cs="微软雅黑"/>
                <w:bCs/>
                <w:sz w:val="22"/>
                <w:szCs w:val="20"/>
              </w:rPr>
              <w:t>货物技术响应</w:t>
            </w:r>
          </w:p>
        </w:tc>
        <w:tc>
          <w:tcPr>
            <w:tcW w:w="5386" w:type="dxa"/>
            <w:vAlign w:val="center"/>
          </w:tcPr>
          <w:p w14:paraId="60E6EA45">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响应产品全部满足磋商文件明确的功能、性能和技术指标要求，得30分。</w:t>
            </w:r>
          </w:p>
          <w:p w14:paraId="2A976A42">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特别注意：招标需求中要求提供证明材料（视频文件、软件截图等）的，在投标文件中没有提供对应证明材料则视为负偏离。</w:t>
            </w:r>
          </w:p>
          <w:p w14:paraId="11E9CC10">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（1）重要技术参数标注“★”为关键指标，共6项，每项3分，共18分。每负偏离一条，从起评分中扣除3分。</w:t>
            </w:r>
          </w:p>
          <w:p w14:paraId="2916C42C">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2）一般技术参数共12分，（本招标文件中非“★”、标注的部分为一般技术参数）。一般技术参数达不到招标文件要求的，每负偏离一条从起评分中扣除1分，扣分超过5项（含）的，已严重偏离采购目标，该项记为0分。</w:t>
            </w:r>
          </w:p>
          <w:p w14:paraId="1C1CF2F9">
            <w:pPr>
              <w:pStyle w:val="4"/>
              <w:rPr>
                <w:rFonts w:ascii="微软雅黑" w:hAnsi="微软雅黑" w:eastAsia="微软雅黑" w:cs="微软雅黑"/>
                <w:sz w:val="24"/>
                <w:szCs w:val="24"/>
              </w:rPr>
            </w:pPr>
            <w:r>
              <w:rPr>
                <w:rFonts w:hint="eastAsia" w:ascii="微软雅黑" w:hAnsi="微软雅黑" w:eastAsia="微软雅黑" w:cs="微软雅黑"/>
                <w:color w:val="000000" w:themeColor="text1"/>
                <w:sz w:val="24"/>
                <w:szCs w:val="20"/>
                <w14:textFill>
                  <w14:solidFill>
                    <w14:schemeClr w14:val="tx1"/>
                  </w14:solidFill>
                </w14:textFill>
              </w:rPr>
              <w:t>以下为技术响应标准：</w:t>
            </w:r>
          </w:p>
          <w:p w14:paraId="60816A6C">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(1)常规产品设计：快速高效设计电梯产品中的常规零部件</w:t>
            </w:r>
          </w:p>
          <w:p w14:paraId="6D0B758E">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(2)装配设计方式：自顶向下、自下而上</w:t>
            </w:r>
          </w:p>
          <w:p w14:paraId="66D6C5A4">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(3)图纸功能：符合GB制图标准和行业特色</w:t>
            </w:r>
          </w:p>
          <w:p w14:paraId="00CDC487">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(4)建库功能：搭建企业知识库——标准件库、外购件库、通用件库、技术文档库、二维图符库</w:t>
            </w:r>
            <w:r>
              <w:rPr>
                <w:rFonts w:hint="eastAsia" w:ascii="微软雅黑" w:hAnsi="微软雅黑" w:eastAsia="微软雅黑" w:cs="微软雅黑"/>
                <w:bCs/>
                <w:color w:val="FF0000"/>
                <w:sz w:val="22"/>
                <w:szCs w:val="20"/>
              </w:rPr>
              <w:t>★</w:t>
            </w:r>
          </w:p>
          <w:p w14:paraId="06511358">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(5)协同设计：装配特征、模型关联、直接装配外部模型数据</w:t>
            </w:r>
          </w:p>
          <w:p w14:paraId="5B45BB2A">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(6)参数化设计：快速参数化设计轿厢等产品</w:t>
            </w:r>
          </w:p>
          <w:p w14:paraId="122DDC87">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(7)模块化设计：提供电梯产品快速配置方案</w:t>
            </w:r>
          </w:p>
          <w:p w14:paraId="3E2B1E68">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(8)大装配设计：符合电梯产品超过5000+零部件设计需求</w:t>
            </w:r>
            <w:r>
              <w:rPr>
                <w:rFonts w:hint="eastAsia" w:ascii="微软雅黑" w:hAnsi="微软雅黑" w:eastAsia="微软雅黑" w:cs="微软雅黑"/>
                <w:bCs/>
                <w:color w:val="FF0000"/>
                <w:sz w:val="22"/>
                <w:szCs w:val="20"/>
              </w:rPr>
              <w:t>★</w:t>
            </w:r>
          </w:p>
          <w:p w14:paraId="5E2E9808">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(9)钢结构设计：扶梯桁架设计</w:t>
            </w:r>
          </w:p>
          <w:p w14:paraId="18A6B7D9">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(10)线缆线束：控制柜布线设计</w:t>
            </w:r>
          </w:p>
          <w:p w14:paraId="4706CA2A">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(11)产品制造信息：PMI功能</w:t>
            </w:r>
          </w:p>
          <w:p w14:paraId="57528404">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(12)焊接件：专用装配焊接设计模块、计算焊缝重量</w:t>
            </w:r>
          </w:p>
          <w:p w14:paraId="507FF61D">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(13)个性化定制：定制快捷键、界面、快速访问条、圆盘菜单，建立符合企业规范的统一设计界面和习惯</w:t>
            </w:r>
          </w:p>
          <w:p w14:paraId="7736C0FC">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(14)导入外部数据：主流软件（NX、SW、Inventor、PRO/E）、中间格式（stp、iges、x_t、jt、ifc、dwg、dxf）</w:t>
            </w:r>
            <w:r>
              <w:rPr>
                <w:rFonts w:hint="eastAsia" w:ascii="微软雅黑" w:hAnsi="微软雅黑" w:eastAsia="微软雅黑" w:cs="微软雅黑"/>
                <w:bCs/>
                <w:color w:val="FF0000"/>
                <w:sz w:val="22"/>
                <w:szCs w:val="20"/>
              </w:rPr>
              <w:t>★</w:t>
            </w:r>
          </w:p>
          <w:p w14:paraId="7F513633">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(15)钣金设计：电梯行业近60%以上是钣金件，软件提供专业钣金设计模块，工艺处理方式，导出加工代码，钣金套料程序</w:t>
            </w:r>
            <w:r>
              <w:rPr>
                <w:rFonts w:hint="eastAsia" w:ascii="微软雅黑" w:hAnsi="微软雅黑" w:eastAsia="微软雅黑" w:cs="微软雅黑"/>
                <w:bCs/>
                <w:color w:val="FF0000"/>
                <w:sz w:val="22"/>
                <w:szCs w:val="20"/>
              </w:rPr>
              <w:t>★</w:t>
            </w:r>
          </w:p>
          <w:p w14:paraId="7E1E94B9">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(16)同步建模技术：快速编辑导入模型（零件、钣金件识别和展开、装配）</w:t>
            </w:r>
            <w:r>
              <w:rPr>
                <w:rFonts w:hint="eastAsia" w:ascii="微软雅黑" w:hAnsi="微软雅黑" w:eastAsia="微软雅黑" w:cs="微软雅黑"/>
                <w:bCs/>
                <w:color w:val="FF0000"/>
                <w:sz w:val="22"/>
                <w:szCs w:val="20"/>
              </w:rPr>
              <w:t>★</w:t>
            </w:r>
          </w:p>
          <w:p w14:paraId="571D9BBD">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(17)数据交流：爆炸视图、3D PDF、安装动画、多种数据格式</w:t>
            </w:r>
          </w:p>
          <w:p w14:paraId="687AA659">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(18)二次开发：提供丰富的开发接口</w:t>
            </w:r>
          </w:p>
          <w:p w14:paraId="28826ED8">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(19)软件知名度：在电梯行业用户超过10家，有广泛的应用基础</w:t>
            </w:r>
            <w:r>
              <w:rPr>
                <w:rFonts w:hint="eastAsia" w:ascii="微软雅黑" w:hAnsi="微软雅黑" w:eastAsia="微软雅黑" w:cs="微软雅黑"/>
                <w:bCs/>
                <w:color w:val="FF0000"/>
                <w:sz w:val="22"/>
                <w:szCs w:val="20"/>
              </w:rPr>
              <w:t>★</w:t>
            </w:r>
          </w:p>
          <w:p w14:paraId="6D04541F">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(20)易学易用：能够快速上手，高效进行产品设计</w:t>
            </w:r>
          </w:p>
          <w:p w14:paraId="06781652">
            <w:pPr>
              <w:pStyle w:val="4"/>
              <w:rPr>
                <w:rFonts w:ascii="微软雅黑" w:hAnsi="微软雅黑" w:eastAsia="微软雅黑" w:cs="微软雅黑"/>
                <w:sz w:val="24"/>
                <w:szCs w:val="24"/>
              </w:rPr>
            </w:pPr>
          </w:p>
        </w:tc>
        <w:tc>
          <w:tcPr>
            <w:tcW w:w="1127" w:type="dxa"/>
            <w:vAlign w:val="center"/>
          </w:tcPr>
          <w:p w14:paraId="2B7FD520">
            <w:pPr>
              <w:rPr>
                <w:rFonts w:ascii="微软雅黑" w:hAnsi="微软雅黑" w:eastAsia="微软雅黑" w:cs="微软雅黑"/>
                <w:bCs/>
                <w:sz w:val="22"/>
                <w:szCs w:val="20"/>
              </w:rPr>
            </w:pPr>
            <w:r>
              <w:rPr>
                <w:rFonts w:hint="eastAsia" w:ascii="微软雅黑" w:hAnsi="微软雅黑" w:eastAsia="微软雅黑" w:cs="微软雅黑"/>
                <w:bCs/>
                <w:sz w:val="22"/>
                <w:szCs w:val="20"/>
              </w:rPr>
              <w:t>0-30分</w:t>
            </w:r>
          </w:p>
        </w:tc>
      </w:tr>
      <w:tr w14:paraId="146B7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32DBA92">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2</w:t>
            </w:r>
          </w:p>
        </w:tc>
        <w:tc>
          <w:tcPr>
            <w:tcW w:w="1701" w:type="dxa"/>
            <w:vAlign w:val="center"/>
          </w:tcPr>
          <w:p w14:paraId="38E2D9C0">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供应商资质</w:t>
            </w:r>
          </w:p>
        </w:tc>
        <w:tc>
          <w:tcPr>
            <w:tcW w:w="5386" w:type="dxa"/>
            <w:vAlign w:val="center"/>
          </w:tcPr>
          <w:p w14:paraId="146B368A">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为保证本项目后期项目服务团队专业技术性强、经验丰富，根据投标方资质及电梯行业服务经验的情况进行评审，每项3分，满分15分。</w:t>
            </w:r>
          </w:p>
          <w:p w14:paraId="3D7FDF23">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(1)投标方具有高新技术企业证书</w:t>
            </w:r>
          </w:p>
          <w:p w14:paraId="1454045B">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(2)投标方具有专精特新企业认证</w:t>
            </w:r>
          </w:p>
          <w:p w14:paraId="7D7E8AC2">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(3)投标方具有软件开发质量体现认证</w:t>
            </w:r>
          </w:p>
          <w:p w14:paraId="425E8668">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(4)投标方拥有完整的数字化电梯行业解决方案</w:t>
            </w:r>
          </w:p>
          <w:p w14:paraId="4544144A">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(5)投标方在电梯行业具有3家以上的电梯行业用户</w:t>
            </w:r>
          </w:p>
        </w:tc>
        <w:tc>
          <w:tcPr>
            <w:tcW w:w="1127" w:type="dxa"/>
            <w:vAlign w:val="center"/>
          </w:tcPr>
          <w:p w14:paraId="1D2047A2">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0-15分</w:t>
            </w:r>
          </w:p>
        </w:tc>
      </w:tr>
      <w:tr w14:paraId="29AF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0923661">
            <w:pPr>
              <w:ind w:firstLine="220" w:firstLineChars="100"/>
              <w:jc w:val="cente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5</w:t>
            </w:r>
          </w:p>
        </w:tc>
        <w:tc>
          <w:tcPr>
            <w:tcW w:w="1701" w:type="dxa"/>
            <w:vAlign w:val="center"/>
          </w:tcPr>
          <w:p w14:paraId="7FBAFA6E">
            <w:pPr>
              <w:ind w:firstLine="220" w:firstLineChars="100"/>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售后服务</w:t>
            </w:r>
          </w:p>
        </w:tc>
        <w:tc>
          <w:tcPr>
            <w:tcW w:w="5386" w:type="dxa"/>
            <w:vAlign w:val="center"/>
          </w:tcPr>
          <w:p w14:paraId="1B502C47">
            <w:pPr>
              <w:rPr>
                <w:rFonts w:ascii="微软雅黑" w:hAnsi="微软雅黑" w:eastAsia="微软雅黑" w:cs="微软雅黑"/>
                <w:bCs/>
                <w:color w:val="000000" w:themeColor="text1"/>
                <w:sz w:val="22"/>
                <w:szCs w:val="20"/>
                <w:lang w:val="zh-CN"/>
                <w14:textFill>
                  <w14:solidFill>
                    <w14:schemeClr w14:val="tx1"/>
                  </w14:solidFill>
                </w14:textFill>
              </w:rPr>
            </w:pPr>
            <w:r>
              <w:rPr>
                <w:rFonts w:hint="eastAsia" w:ascii="微软雅黑" w:hAnsi="微软雅黑" w:eastAsia="微软雅黑" w:cs="微软雅黑"/>
                <w:bCs/>
                <w:color w:val="000000" w:themeColor="text1"/>
                <w:sz w:val="22"/>
                <w:szCs w:val="20"/>
                <w:lang w:val="zh-CN"/>
                <w14:textFill>
                  <w14:solidFill>
                    <w14:schemeClr w14:val="tx1"/>
                  </w14:solidFill>
                </w14:textFill>
              </w:rPr>
              <w:t>售后服务维护计划：</w:t>
            </w:r>
          </w:p>
          <w:p w14:paraId="4142110C">
            <w:pPr>
              <w:rPr>
                <w:rFonts w:ascii="微软雅黑" w:hAnsi="微软雅黑" w:eastAsia="微软雅黑" w:cs="微软雅黑"/>
                <w:bCs/>
                <w:color w:val="000000" w:themeColor="text1"/>
                <w:sz w:val="22"/>
                <w:szCs w:val="20"/>
                <w:lang w:val="zh-CN"/>
                <w14:textFill>
                  <w14:solidFill>
                    <w14:schemeClr w14:val="tx1"/>
                  </w14:solidFill>
                </w14:textFill>
              </w:rPr>
            </w:pPr>
            <w:r>
              <w:rPr>
                <w:rFonts w:hint="eastAsia" w:ascii="微软雅黑" w:hAnsi="微软雅黑" w:eastAsia="微软雅黑" w:cs="微软雅黑"/>
                <w:bCs/>
                <w:color w:val="000000" w:themeColor="text1"/>
                <w:sz w:val="22"/>
                <w:szCs w:val="20"/>
                <w:lang w:val="zh-CN"/>
                <w14:textFill>
                  <w14:solidFill>
                    <w14:schemeClr w14:val="tx1"/>
                  </w14:solidFill>
                </w14:textFill>
              </w:rPr>
              <w:t>（1）软件安装</w:t>
            </w:r>
          </w:p>
          <w:p w14:paraId="4D25F5DF">
            <w:pPr>
              <w:rPr>
                <w:rFonts w:ascii="微软雅黑" w:hAnsi="微软雅黑" w:eastAsia="微软雅黑" w:cs="微软雅黑"/>
                <w:bCs/>
                <w:color w:val="000000" w:themeColor="text1"/>
                <w:sz w:val="22"/>
                <w:szCs w:val="20"/>
                <w:lang w:val="zh-CN"/>
                <w14:textFill>
                  <w14:solidFill>
                    <w14:schemeClr w14:val="tx1"/>
                  </w14:solidFill>
                </w14:textFill>
              </w:rPr>
            </w:pPr>
            <w:r>
              <w:rPr>
                <w:rFonts w:hint="eastAsia" w:ascii="微软雅黑" w:hAnsi="微软雅黑" w:eastAsia="微软雅黑" w:cs="微软雅黑"/>
                <w:bCs/>
                <w:color w:val="000000" w:themeColor="text1"/>
                <w:sz w:val="22"/>
                <w:szCs w:val="20"/>
                <w:lang w:val="zh-CN"/>
                <w14:textFill>
                  <w14:solidFill>
                    <w14:schemeClr w14:val="tx1"/>
                  </w14:solidFill>
                </w14:textFill>
              </w:rPr>
              <w:t>（2）电话、微信、邮件、网络远程技术支持</w:t>
            </w:r>
          </w:p>
          <w:p w14:paraId="56A5CD67">
            <w:pPr>
              <w:rPr>
                <w:rFonts w:ascii="微软雅黑" w:hAnsi="微软雅黑" w:eastAsia="微软雅黑" w:cs="微软雅黑"/>
                <w:bCs/>
                <w:color w:val="000000" w:themeColor="text1"/>
                <w:sz w:val="22"/>
                <w:szCs w:val="20"/>
                <w:lang w:val="zh-CN"/>
                <w14:textFill>
                  <w14:solidFill>
                    <w14:schemeClr w14:val="tx1"/>
                  </w14:solidFill>
                </w14:textFill>
              </w:rPr>
            </w:pPr>
            <w:r>
              <w:rPr>
                <w:rFonts w:hint="eastAsia" w:ascii="微软雅黑" w:hAnsi="微软雅黑" w:eastAsia="微软雅黑" w:cs="微软雅黑"/>
                <w:bCs/>
                <w:color w:val="000000" w:themeColor="text1"/>
                <w:sz w:val="22"/>
                <w:szCs w:val="20"/>
                <w:lang w:val="zh-CN"/>
                <w14:textFill>
                  <w14:solidFill>
                    <w14:schemeClr w14:val="tx1"/>
                  </w14:solidFill>
                </w14:textFill>
              </w:rPr>
              <w:t>（3）软件最新补丁安装</w:t>
            </w:r>
          </w:p>
          <w:p w14:paraId="223D9B65">
            <w:pPr>
              <w:rPr>
                <w:rFonts w:ascii="微软雅黑" w:hAnsi="微软雅黑" w:eastAsia="微软雅黑" w:cs="微软雅黑"/>
                <w:bCs/>
                <w:color w:val="000000" w:themeColor="text1"/>
                <w:sz w:val="22"/>
                <w:szCs w:val="20"/>
                <w:lang w:val="zh-CN"/>
                <w14:textFill>
                  <w14:solidFill>
                    <w14:schemeClr w14:val="tx1"/>
                  </w14:solidFill>
                </w14:textFill>
              </w:rPr>
            </w:pPr>
            <w:r>
              <w:rPr>
                <w:rFonts w:hint="eastAsia" w:ascii="微软雅黑" w:hAnsi="微软雅黑" w:eastAsia="微软雅黑" w:cs="微软雅黑"/>
                <w:bCs/>
                <w:color w:val="000000" w:themeColor="text1"/>
                <w:sz w:val="22"/>
                <w:szCs w:val="20"/>
                <w:lang w:val="zh-CN"/>
                <w14:textFill>
                  <w14:solidFill>
                    <w14:schemeClr w14:val="tx1"/>
                  </w14:solidFill>
                </w14:textFill>
              </w:rPr>
              <w:t>（4）提供定制化培训</w:t>
            </w:r>
          </w:p>
          <w:p w14:paraId="781522C9">
            <w:pPr>
              <w:rPr>
                <w:rFonts w:ascii="微软雅黑" w:hAnsi="微软雅黑" w:eastAsia="微软雅黑" w:cs="微软雅黑"/>
                <w:bCs/>
                <w:color w:val="000000" w:themeColor="text1"/>
                <w:sz w:val="22"/>
                <w:szCs w:val="20"/>
                <w:lang w:val="zh-CN"/>
                <w14:textFill>
                  <w14:solidFill>
                    <w14:schemeClr w14:val="tx1"/>
                  </w14:solidFill>
                </w14:textFill>
              </w:rPr>
            </w:pPr>
            <w:r>
              <w:rPr>
                <w:rFonts w:hint="eastAsia" w:ascii="微软雅黑" w:hAnsi="微软雅黑" w:eastAsia="微软雅黑" w:cs="微软雅黑"/>
                <w:bCs/>
                <w:color w:val="000000" w:themeColor="text1"/>
                <w:sz w:val="22"/>
                <w:szCs w:val="20"/>
                <w:lang w:val="zh-CN"/>
                <w14:textFill>
                  <w14:solidFill>
                    <w14:schemeClr w14:val="tx1"/>
                  </w14:solidFill>
                </w14:textFill>
              </w:rPr>
              <w:t>（5）电梯行业应用技术交流</w:t>
            </w:r>
          </w:p>
          <w:p w14:paraId="30C89098">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lang w:val="zh-CN"/>
                <w14:textFill>
                  <w14:solidFill>
                    <w14:schemeClr w14:val="tx1"/>
                  </w14:solidFill>
                </w14:textFill>
              </w:rPr>
              <w:t>每项</w:t>
            </w:r>
            <w:r>
              <w:rPr>
                <w:rFonts w:hint="eastAsia" w:ascii="微软雅黑" w:hAnsi="微软雅黑" w:eastAsia="微软雅黑" w:cs="微软雅黑"/>
                <w:bCs/>
                <w:color w:val="000000" w:themeColor="text1"/>
                <w:sz w:val="22"/>
                <w:szCs w:val="20"/>
                <w14:textFill>
                  <w14:solidFill>
                    <w14:schemeClr w14:val="tx1"/>
                  </w14:solidFill>
                </w14:textFill>
              </w:rPr>
              <w:t>内容完整的</w:t>
            </w:r>
            <w:r>
              <w:rPr>
                <w:rFonts w:hint="eastAsia" w:ascii="微软雅黑" w:hAnsi="微软雅黑" w:eastAsia="微软雅黑" w:cs="微软雅黑"/>
                <w:bCs/>
                <w:color w:val="000000" w:themeColor="text1"/>
                <w:sz w:val="22"/>
                <w:szCs w:val="20"/>
                <w:lang w:val="zh-CN"/>
                <w14:textFill>
                  <w14:solidFill>
                    <w14:schemeClr w14:val="tx1"/>
                  </w14:solidFill>
                </w14:textFill>
              </w:rPr>
              <w:t>得</w:t>
            </w:r>
            <w:r>
              <w:rPr>
                <w:rFonts w:hint="eastAsia" w:ascii="微软雅黑" w:hAnsi="微软雅黑" w:eastAsia="微软雅黑" w:cs="微软雅黑"/>
                <w:bCs/>
                <w:color w:val="000000" w:themeColor="text1"/>
                <w:sz w:val="22"/>
                <w:szCs w:val="20"/>
                <w14:textFill>
                  <w14:solidFill>
                    <w14:schemeClr w14:val="tx1"/>
                  </w14:solidFill>
                </w14:textFill>
              </w:rPr>
              <w:t>3</w:t>
            </w:r>
            <w:r>
              <w:rPr>
                <w:rFonts w:hint="eastAsia" w:ascii="微软雅黑" w:hAnsi="微软雅黑" w:eastAsia="微软雅黑" w:cs="微软雅黑"/>
                <w:bCs/>
                <w:color w:val="000000" w:themeColor="text1"/>
                <w:sz w:val="22"/>
                <w:szCs w:val="20"/>
                <w:lang w:val="zh-CN"/>
                <w14:textFill>
                  <w14:solidFill>
                    <w14:schemeClr w14:val="tx1"/>
                  </w14:solidFill>
                </w14:textFill>
              </w:rPr>
              <w:t>分，最高得</w:t>
            </w:r>
            <w:r>
              <w:rPr>
                <w:rFonts w:hint="eastAsia" w:ascii="微软雅黑" w:hAnsi="微软雅黑" w:eastAsia="微软雅黑" w:cs="微软雅黑"/>
                <w:bCs/>
                <w:color w:val="000000" w:themeColor="text1"/>
                <w:sz w:val="22"/>
                <w:szCs w:val="20"/>
                <w14:textFill>
                  <w14:solidFill>
                    <w14:schemeClr w14:val="tx1"/>
                  </w14:solidFill>
                </w14:textFill>
              </w:rPr>
              <w:t>15</w:t>
            </w:r>
            <w:r>
              <w:rPr>
                <w:rFonts w:hint="eastAsia" w:ascii="微软雅黑" w:hAnsi="微软雅黑" w:eastAsia="微软雅黑" w:cs="微软雅黑"/>
                <w:bCs/>
                <w:color w:val="000000" w:themeColor="text1"/>
                <w:sz w:val="22"/>
                <w:szCs w:val="20"/>
                <w:lang w:val="zh-CN"/>
                <w14:textFill>
                  <w14:solidFill>
                    <w14:schemeClr w14:val="tx1"/>
                  </w14:solidFill>
                </w14:textFill>
              </w:rPr>
              <w:t>分。</w:t>
            </w:r>
          </w:p>
        </w:tc>
        <w:tc>
          <w:tcPr>
            <w:tcW w:w="1127" w:type="dxa"/>
            <w:vAlign w:val="center"/>
          </w:tcPr>
          <w:p w14:paraId="2CD96234">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0-15分</w:t>
            </w:r>
          </w:p>
        </w:tc>
      </w:tr>
      <w:tr w14:paraId="2A1D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E95CD07">
            <w:pPr>
              <w:jc w:val="center"/>
              <w:rPr>
                <w:rFonts w:ascii="微软雅黑" w:hAnsi="微软雅黑" w:eastAsia="微软雅黑" w:cs="微软雅黑"/>
                <w:color w:val="000000" w:themeColor="text1"/>
                <w:sz w:val="22"/>
                <w14:textFill>
                  <w14:solidFill>
                    <w14:schemeClr w14:val="tx1"/>
                  </w14:solidFill>
                </w14:textFill>
              </w:rPr>
            </w:pPr>
            <w:r>
              <w:rPr>
                <w:rFonts w:hint="eastAsia" w:ascii="微软雅黑" w:hAnsi="微软雅黑" w:eastAsia="微软雅黑" w:cs="微软雅黑"/>
                <w:color w:val="000000" w:themeColor="text1"/>
                <w:sz w:val="22"/>
                <w14:textFill>
                  <w14:solidFill>
                    <w14:schemeClr w14:val="tx1"/>
                  </w14:solidFill>
                </w14:textFill>
              </w:rPr>
              <w:t>7</w:t>
            </w:r>
          </w:p>
        </w:tc>
        <w:tc>
          <w:tcPr>
            <w:tcW w:w="1701" w:type="dxa"/>
            <w:vAlign w:val="center"/>
          </w:tcPr>
          <w:p w14:paraId="19D5BAAE">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电梯行业应用</w:t>
            </w:r>
          </w:p>
        </w:tc>
        <w:tc>
          <w:tcPr>
            <w:tcW w:w="5386" w:type="dxa"/>
            <w:vAlign w:val="center"/>
          </w:tcPr>
          <w:p w14:paraId="6CD68130">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投标方电梯行业合同业绩，每提供一项案例得1分，最高得3分。按照下述要求提供相关证明文件。</w:t>
            </w:r>
          </w:p>
          <w:p w14:paraId="7FB87438">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1）合同复印件。包括合同金额、买卖双方名称及盖章、合同清单；</w:t>
            </w:r>
          </w:p>
          <w:p w14:paraId="752CA8C5">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2）验收报告复印件；</w:t>
            </w:r>
          </w:p>
        </w:tc>
        <w:tc>
          <w:tcPr>
            <w:tcW w:w="1127" w:type="dxa"/>
            <w:vAlign w:val="center"/>
          </w:tcPr>
          <w:p w14:paraId="2A34B915">
            <w:pPr>
              <w:jc w:val="center"/>
              <w:rPr>
                <w:rFonts w:ascii="微软雅黑" w:hAnsi="微软雅黑" w:eastAsia="微软雅黑" w:cs="微软雅黑"/>
                <w:color w:val="000000" w:themeColor="text1"/>
                <w:sz w:val="22"/>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0-3</w:t>
            </w:r>
            <w:r>
              <w:rPr>
                <w:rFonts w:hint="eastAsia" w:ascii="微软雅黑" w:hAnsi="微软雅黑" w:eastAsia="微软雅黑" w:cs="微软雅黑"/>
                <w:color w:val="000000" w:themeColor="text1"/>
                <w:sz w:val="22"/>
                <w14:textFill>
                  <w14:solidFill>
                    <w14:schemeClr w14:val="tx1"/>
                  </w14:solidFill>
                </w14:textFill>
              </w:rPr>
              <w:t>分</w:t>
            </w:r>
          </w:p>
        </w:tc>
      </w:tr>
      <w:tr w14:paraId="3995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2850779">
            <w:pPr>
              <w:jc w:val="left"/>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8</w:t>
            </w:r>
          </w:p>
        </w:tc>
        <w:tc>
          <w:tcPr>
            <w:tcW w:w="1701" w:type="dxa"/>
            <w:vAlign w:val="center"/>
          </w:tcPr>
          <w:p w14:paraId="1AA8CB3C">
            <w:pPr>
              <w:jc w:val="left"/>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培训方案</w:t>
            </w:r>
          </w:p>
        </w:tc>
        <w:tc>
          <w:tcPr>
            <w:tcW w:w="5386" w:type="dxa"/>
            <w:vAlign w:val="center"/>
          </w:tcPr>
          <w:p w14:paraId="799E91FE">
            <w:pPr>
              <w:spacing w:line="240" w:lineRule="auto"/>
              <w:jc w:val="left"/>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评委根据投标方提供培训方案（培训内容、培训目标、培训对象和范围、培训计划和形式等）进行评分：</w:t>
            </w:r>
          </w:p>
          <w:p w14:paraId="79CB6D38">
            <w:pPr>
              <w:spacing w:line="240" w:lineRule="auto"/>
              <w:jc w:val="left"/>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（1）方案内容完整、规范、合理，得7分；</w:t>
            </w:r>
          </w:p>
          <w:p w14:paraId="43EDC9F1">
            <w:pPr>
              <w:spacing w:line="240" w:lineRule="auto"/>
              <w:jc w:val="left"/>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（2）方案内容较完整、较合理，得5分；</w:t>
            </w:r>
          </w:p>
          <w:p w14:paraId="1AB77CF1">
            <w:pPr>
              <w:spacing w:line="240" w:lineRule="auto"/>
              <w:jc w:val="left"/>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（3）方案内容一般，得3分；</w:t>
            </w:r>
          </w:p>
          <w:p w14:paraId="22126CD5">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（4）方案内容杂乱无章，得1分</w:t>
            </w:r>
          </w:p>
          <w:p w14:paraId="3F4AB855">
            <w:pPr>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（5）未提供的不得分。</w:t>
            </w:r>
          </w:p>
        </w:tc>
        <w:tc>
          <w:tcPr>
            <w:tcW w:w="1127" w:type="dxa"/>
            <w:vAlign w:val="center"/>
          </w:tcPr>
          <w:p w14:paraId="477C04FF">
            <w:pPr>
              <w:jc w:val="left"/>
              <w:rPr>
                <w:rFonts w:ascii="微软雅黑" w:hAnsi="微软雅黑" w:eastAsia="微软雅黑" w:cs="微软雅黑"/>
                <w:bCs/>
                <w:color w:val="000000" w:themeColor="text1"/>
                <w:sz w:val="22"/>
                <w:szCs w:val="20"/>
                <w14:textFill>
                  <w14:solidFill>
                    <w14:schemeClr w14:val="tx1"/>
                  </w14:solidFill>
                </w14:textFill>
              </w:rPr>
            </w:pPr>
            <w:r>
              <w:rPr>
                <w:rFonts w:hint="eastAsia" w:ascii="微软雅黑" w:hAnsi="微软雅黑" w:eastAsia="微软雅黑" w:cs="微软雅黑"/>
                <w:bCs/>
                <w:color w:val="000000" w:themeColor="text1"/>
                <w:sz w:val="22"/>
                <w:szCs w:val="20"/>
                <w14:textFill>
                  <w14:solidFill>
                    <w14:schemeClr w14:val="tx1"/>
                  </w14:solidFill>
                </w14:textFill>
              </w:rPr>
              <w:t>0-7分</w:t>
            </w:r>
          </w:p>
        </w:tc>
      </w:tr>
    </w:tbl>
    <w:p w14:paraId="6ED23B9A"/>
    <w:p w14:paraId="39BB706E">
      <w:pPr>
        <w:widowControl/>
        <w:spacing w:line="240" w:lineRule="auto"/>
        <w:jc w:val="left"/>
      </w:pPr>
      <w:r>
        <w:rPr>
          <w:rFonts w:hint="eastAsia"/>
          <w:b/>
        </w:rPr>
        <w:t>标项二附件：评分表格式（技术分、商务分、资信及其他分，共70分）</w:t>
      </w:r>
    </w:p>
    <w:tbl>
      <w:tblPr>
        <w:tblStyle w:val="21"/>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9"/>
        <w:gridCol w:w="7229"/>
      </w:tblGrid>
      <w:tr w14:paraId="5A2B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14:paraId="12A73F37">
            <w:pPr>
              <w:spacing w:line="288" w:lineRule="auto"/>
              <w:jc w:val="center"/>
              <w:rPr>
                <w:rFonts w:cs="Calibri"/>
                <w:b/>
                <w:spacing w:val="-6"/>
                <w:sz w:val="21"/>
                <w:szCs w:val="21"/>
              </w:rPr>
            </w:pPr>
            <w:r>
              <w:rPr>
                <w:rFonts w:hint="eastAsia" w:cs="Calibri"/>
                <w:b/>
                <w:spacing w:val="-6"/>
                <w:sz w:val="21"/>
                <w:szCs w:val="21"/>
              </w:rPr>
              <w:t>评审因素</w:t>
            </w:r>
          </w:p>
        </w:tc>
        <w:tc>
          <w:tcPr>
            <w:tcW w:w="709" w:type="dxa"/>
            <w:vAlign w:val="center"/>
          </w:tcPr>
          <w:p w14:paraId="73BA1968">
            <w:pPr>
              <w:spacing w:line="288" w:lineRule="auto"/>
              <w:rPr>
                <w:rFonts w:cs="Calibri"/>
                <w:b/>
                <w:spacing w:val="-6"/>
                <w:sz w:val="21"/>
                <w:szCs w:val="21"/>
              </w:rPr>
            </w:pPr>
            <w:r>
              <w:rPr>
                <w:rFonts w:hint="eastAsia" w:cs="Calibri"/>
                <w:b/>
                <w:spacing w:val="-6"/>
                <w:sz w:val="21"/>
                <w:szCs w:val="21"/>
              </w:rPr>
              <w:t>分值</w:t>
            </w:r>
          </w:p>
        </w:tc>
        <w:tc>
          <w:tcPr>
            <w:tcW w:w="7229" w:type="dxa"/>
            <w:vAlign w:val="center"/>
          </w:tcPr>
          <w:p w14:paraId="0E203C00">
            <w:pPr>
              <w:tabs>
                <w:tab w:val="left" w:pos="1418"/>
              </w:tabs>
              <w:spacing w:line="288" w:lineRule="auto"/>
              <w:jc w:val="center"/>
              <w:rPr>
                <w:rFonts w:cs="Calibri"/>
                <w:b/>
                <w:spacing w:val="-6"/>
                <w:kern w:val="0"/>
                <w:sz w:val="21"/>
                <w:szCs w:val="21"/>
              </w:rPr>
            </w:pPr>
            <w:r>
              <w:rPr>
                <w:rFonts w:cs="Calibri"/>
                <w:b/>
                <w:spacing w:val="-6"/>
                <w:kern w:val="0"/>
                <w:sz w:val="21"/>
                <w:szCs w:val="21"/>
              </w:rPr>
              <w:t>评分细则</w:t>
            </w:r>
          </w:p>
        </w:tc>
      </w:tr>
      <w:tr w14:paraId="5F4B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0" w:type="dxa"/>
            <w:gridSpan w:val="3"/>
            <w:vAlign w:val="center"/>
          </w:tcPr>
          <w:p w14:paraId="7F6821B4">
            <w:pPr>
              <w:tabs>
                <w:tab w:val="left" w:pos="1418"/>
              </w:tabs>
              <w:spacing w:line="288" w:lineRule="auto"/>
              <w:rPr>
                <w:rFonts w:cs="Calibri"/>
                <w:b/>
                <w:spacing w:val="-6"/>
                <w:kern w:val="0"/>
                <w:sz w:val="21"/>
                <w:szCs w:val="21"/>
              </w:rPr>
            </w:pPr>
            <w:r>
              <w:rPr>
                <w:rFonts w:cs="Calibri"/>
                <w:b/>
                <w:spacing w:val="-6"/>
                <w:kern w:val="0"/>
                <w:sz w:val="21"/>
                <w:szCs w:val="21"/>
              </w:rPr>
              <w:t>商务分</w:t>
            </w:r>
            <w:r>
              <w:rPr>
                <w:rFonts w:hint="eastAsia" w:cs="Calibri"/>
                <w:b/>
                <w:spacing w:val="-6"/>
                <w:kern w:val="0"/>
                <w:sz w:val="21"/>
                <w:szCs w:val="21"/>
              </w:rPr>
              <w:t>（1</w:t>
            </w:r>
            <w:r>
              <w:rPr>
                <w:rFonts w:cs="Calibri"/>
                <w:b/>
                <w:spacing w:val="-6"/>
                <w:kern w:val="0"/>
                <w:sz w:val="21"/>
                <w:szCs w:val="21"/>
              </w:rPr>
              <w:t>2</w:t>
            </w:r>
            <w:r>
              <w:rPr>
                <w:rFonts w:hint="eastAsia" w:cs="Calibri"/>
                <w:b/>
                <w:spacing w:val="-6"/>
                <w:kern w:val="0"/>
                <w:sz w:val="21"/>
                <w:szCs w:val="21"/>
              </w:rPr>
              <w:t>分）</w:t>
            </w:r>
          </w:p>
        </w:tc>
      </w:tr>
      <w:tr w14:paraId="7DF7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vAlign w:val="center"/>
          </w:tcPr>
          <w:p w14:paraId="3BB210E0">
            <w:pPr>
              <w:spacing w:line="288" w:lineRule="auto"/>
              <w:jc w:val="center"/>
              <w:rPr>
                <w:rFonts w:cs="Calibri"/>
                <w:spacing w:val="-6"/>
                <w:sz w:val="21"/>
                <w:szCs w:val="21"/>
              </w:rPr>
            </w:pPr>
            <w:r>
              <w:rPr>
                <w:rFonts w:hint="eastAsia" w:cs="Calibri"/>
                <w:spacing w:val="-6"/>
                <w:sz w:val="21"/>
                <w:szCs w:val="21"/>
              </w:rPr>
              <w:t>响应</w:t>
            </w:r>
            <w:r>
              <w:rPr>
                <w:rFonts w:cs="Calibri"/>
                <w:spacing w:val="-6"/>
                <w:sz w:val="21"/>
                <w:szCs w:val="21"/>
              </w:rPr>
              <w:t>方</w:t>
            </w:r>
            <w:r>
              <w:rPr>
                <w:rFonts w:hint="eastAsia" w:cs="Calibri"/>
                <w:spacing w:val="-6"/>
                <w:sz w:val="21"/>
                <w:szCs w:val="21"/>
              </w:rPr>
              <w:t xml:space="preserve">资信 </w:t>
            </w:r>
          </w:p>
        </w:tc>
        <w:tc>
          <w:tcPr>
            <w:tcW w:w="709" w:type="dxa"/>
            <w:vAlign w:val="center"/>
          </w:tcPr>
          <w:p w14:paraId="218408A3">
            <w:pPr>
              <w:spacing w:line="288" w:lineRule="auto"/>
              <w:jc w:val="center"/>
              <w:rPr>
                <w:rFonts w:cs="Calibri"/>
                <w:spacing w:val="-6"/>
                <w:sz w:val="21"/>
                <w:szCs w:val="21"/>
              </w:rPr>
            </w:pPr>
            <w:r>
              <w:rPr>
                <w:rFonts w:cs="Calibri"/>
                <w:spacing w:val="-6"/>
                <w:sz w:val="21"/>
                <w:szCs w:val="21"/>
              </w:rPr>
              <w:t>3</w:t>
            </w:r>
          </w:p>
        </w:tc>
        <w:tc>
          <w:tcPr>
            <w:tcW w:w="7229" w:type="dxa"/>
            <w:vAlign w:val="center"/>
          </w:tcPr>
          <w:p w14:paraId="7AD8DB94">
            <w:pPr>
              <w:spacing w:line="288" w:lineRule="auto"/>
              <w:rPr>
                <w:rFonts w:cs="Calibri"/>
                <w:spacing w:val="-6"/>
                <w:sz w:val="21"/>
                <w:szCs w:val="21"/>
              </w:rPr>
            </w:pPr>
            <w:r>
              <w:rPr>
                <w:rFonts w:hint="eastAsia" w:cs="Calibri"/>
                <w:bCs/>
                <w:spacing w:val="-6"/>
                <w:sz w:val="21"/>
                <w:szCs w:val="21"/>
              </w:rPr>
              <w:t>供应商或制造商</w:t>
            </w:r>
            <w:r>
              <w:rPr>
                <w:rFonts w:hint="eastAsia" w:cs="Calibri"/>
                <w:spacing w:val="-6"/>
                <w:sz w:val="21"/>
                <w:szCs w:val="21"/>
              </w:rPr>
              <w:t>具有信息安全管理体系认证证书、环境管理体系认证证书、职业健康安全管理体系认证证书（提供证书复印件和“全国认证认可信息公共服务平台”上的证书查询结果截图并加盖公章，每提供1个得</w:t>
            </w:r>
            <w:r>
              <w:rPr>
                <w:rFonts w:cs="Calibri"/>
                <w:spacing w:val="-6"/>
                <w:sz w:val="21"/>
                <w:szCs w:val="21"/>
              </w:rPr>
              <w:t>1</w:t>
            </w:r>
            <w:r>
              <w:rPr>
                <w:rFonts w:hint="eastAsia" w:cs="Calibri"/>
                <w:spacing w:val="-6"/>
                <w:sz w:val="21"/>
                <w:szCs w:val="21"/>
              </w:rPr>
              <w:t>分）。</w:t>
            </w:r>
          </w:p>
        </w:tc>
      </w:tr>
      <w:tr w14:paraId="68A3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vAlign w:val="center"/>
          </w:tcPr>
          <w:p w14:paraId="10E4B62F">
            <w:pPr>
              <w:spacing w:line="288" w:lineRule="auto"/>
              <w:jc w:val="center"/>
              <w:rPr>
                <w:rFonts w:cs="Calibri"/>
                <w:spacing w:val="-6"/>
                <w:sz w:val="21"/>
                <w:szCs w:val="21"/>
              </w:rPr>
            </w:pPr>
          </w:p>
        </w:tc>
        <w:tc>
          <w:tcPr>
            <w:tcW w:w="709" w:type="dxa"/>
            <w:vAlign w:val="center"/>
          </w:tcPr>
          <w:p w14:paraId="37957356">
            <w:pPr>
              <w:spacing w:line="288" w:lineRule="auto"/>
              <w:jc w:val="center"/>
              <w:rPr>
                <w:rFonts w:cs="Calibri"/>
                <w:spacing w:val="-6"/>
                <w:sz w:val="21"/>
                <w:szCs w:val="21"/>
              </w:rPr>
            </w:pPr>
            <w:r>
              <w:rPr>
                <w:rFonts w:cs="Calibri"/>
                <w:spacing w:val="-6"/>
                <w:sz w:val="21"/>
                <w:szCs w:val="21"/>
              </w:rPr>
              <w:t>1</w:t>
            </w:r>
          </w:p>
        </w:tc>
        <w:tc>
          <w:tcPr>
            <w:tcW w:w="7229" w:type="dxa"/>
            <w:vAlign w:val="center"/>
          </w:tcPr>
          <w:p w14:paraId="35BDCD24">
            <w:pPr>
              <w:spacing w:line="288" w:lineRule="auto"/>
              <w:rPr>
                <w:rFonts w:cs="Calibri"/>
                <w:spacing w:val="-6"/>
                <w:sz w:val="21"/>
                <w:szCs w:val="21"/>
              </w:rPr>
            </w:pPr>
            <w:r>
              <w:rPr>
                <w:rFonts w:hint="eastAsia" w:cs="Calibri"/>
                <w:bCs/>
                <w:spacing w:val="-6"/>
                <w:sz w:val="21"/>
                <w:szCs w:val="21"/>
              </w:rPr>
              <w:t>供应商或制造商具有完善的售后服务体系和服务能力，服务能力达到国家标准，提供范围包括但不限于财务教学软件的商品售后服务评价体系认证五星及以上的证明文件（提供证书复印件和“全国认证认可信息公共服务平台”上的证书查询结果截图并加盖公章得</w:t>
            </w:r>
            <w:r>
              <w:rPr>
                <w:rFonts w:cs="Calibri"/>
                <w:bCs/>
                <w:spacing w:val="-6"/>
                <w:sz w:val="21"/>
                <w:szCs w:val="21"/>
              </w:rPr>
              <w:t>1</w:t>
            </w:r>
            <w:r>
              <w:rPr>
                <w:rFonts w:hint="eastAsia" w:cs="Calibri"/>
                <w:bCs/>
                <w:spacing w:val="-6"/>
                <w:sz w:val="21"/>
                <w:szCs w:val="21"/>
              </w:rPr>
              <w:t>分）</w:t>
            </w:r>
            <w:r>
              <w:rPr>
                <w:rFonts w:hint="eastAsia" w:cs="Calibri"/>
                <w:spacing w:val="-6"/>
                <w:sz w:val="21"/>
                <w:szCs w:val="21"/>
              </w:rPr>
              <w:t>。</w:t>
            </w:r>
          </w:p>
        </w:tc>
      </w:tr>
      <w:tr w14:paraId="2360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vAlign w:val="center"/>
          </w:tcPr>
          <w:p w14:paraId="64A151F6">
            <w:pPr>
              <w:spacing w:line="288" w:lineRule="auto"/>
              <w:jc w:val="center"/>
              <w:rPr>
                <w:rFonts w:cs="Calibri"/>
                <w:spacing w:val="-6"/>
                <w:sz w:val="21"/>
                <w:szCs w:val="21"/>
              </w:rPr>
            </w:pPr>
          </w:p>
        </w:tc>
        <w:tc>
          <w:tcPr>
            <w:tcW w:w="709" w:type="dxa"/>
            <w:vAlign w:val="center"/>
          </w:tcPr>
          <w:p w14:paraId="7E52F057">
            <w:pPr>
              <w:spacing w:line="288" w:lineRule="auto"/>
              <w:jc w:val="center"/>
              <w:rPr>
                <w:rFonts w:cs="Calibri"/>
                <w:spacing w:val="-6"/>
                <w:sz w:val="21"/>
                <w:szCs w:val="21"/>
              </w:rPr>
            </w:pPr>
            <w:r>
              <w:rPr>
                <w:rFonts w:cs="Calibri"/>
                <w:spacing w:val="-6"/>
                <w:sz w:val="21"/>
                <w:szCs w:val="21"/>
              </w:rPr>
              <w:t>1</w:t>
            </w:r>
          </w:p>
        </w:tc>
        <w:tc>
          <w:tcPr>
            <w:tcW w:w="7229" w:type="dxa"/>
            <w:vAlign w:val="center"/>
          </w:tcPr>
          <w:p w14:paraId="189CF342">
            <w:pPr>
              <w:spacing w:line="288" w:lineRule="auto"/>
              <w:rPr>
                <w:rFonts w:cs="Calibri"/>
                <w:spacing w:val="-6"/>
                <w:sz w:val="21"/>
                <w:szCs w:val="21"/>
              </w:rPr>
            </w:pPr>
            <w:r>
              <w:rPr>
                <w:rFonts w:hint="eastAsia" w:cs="Calibri"/>
                <w:bCs/>
                <w:spacing w:val="-6"/>
                <w:sz w:val="21"/>
                <w:szCs w:val="21"/>
              </w:rPr>
              <w:t>供应商或制造商</w:t>
            </w:r>
            <w:r>
              <w:rPr>
                <w:rFonts w:hint="eastAsia" w:cs="Calibri"/>
                <w:spacing w:val="-6"/>
                <w:sz w:val="21"/>
                <w:szCs w:val="21"/>
              </w:rPr>
              <w:t>具有公安部监制的信息系统安全等级保护备案证明，提供信息系统安全等级保护备案证明及测评报告（</w:t>
            </w:r>
            <w:r>
              <w:rPr>
                <w:rFonts w:hint="eastAsia" w:cs="Calibri"/>
                <w:bCs/>
                <w:spacing w:val="-6"/>
                <w:sz w:val="21"/>
                <w:szCs w:val="21"/>
              </w:rPr>
              <w:t>提供证书</w:t>
            </w:r>
            <w:r>
              <w:rPr>
                <w:rFonts w:hint="eastAsia" w:cs="Calibri"/>
                <w:spacing w:val="-6"/>
                <w:sz w:val="21"/>
                <w:szCs w:val="21"/>
              </w:rPr>
              <w:t>复印件并加盖公章，级别为</w:t>
            </w:r>
            <w:r>
              <w:rPr>
                <w:rFonts w:cs="Calibri"/>
                <w:spacing w:val="-6"/>
                <w:sz w:val="21"/>
                <w:szCs w:val="21"/>
              </w:rPr>
              <w:t>3</w:t>
            </w:r>
            <w:r>
              <w:rPr>
                <w:rFonts w:hint="eastAsia" w:cs="Calibri"/>
                <w:spacing w:val="-6"/>
                <w:sz w:val="21"/>
                <w:szCs w:val="21"/>
              </w:rPr>
              <w:t>级及以上的得</w:t>
            </w:r>
            <w:r>
              <w:rPr>
                <w:rFonts w:cs="Calibri"/>
                <w:spacing w:val="-6"/>
                <w:sz w:val="21"/>
                <w:szCs w:val="21"/>
              </w:rPr>
              <w:t>1</w:t>
            </w:r>
            <w:r>
              <w:rPr>
                <w:rFonts w:hint="eastAsia" w:cs="Calibri"/>
                <w:spacing w:val="-6"/>
                <w:sz w:val="21"/>
                <w:szCs w:val="21"/>
              </w:rPr>
              <w:t>分，3级以下不得分）。</w:t>
            </w:r>
          </w:p>
        </w:tc>
      </w:tr>
      <w:tr w14:paraId="3EBA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vAlign w:val="center"/>
          </w:tcPr>
          <w:p w14:paraId="16D19619">
            <w:pPr>
              <w:spacing w:line="288" w:lineRule="auto"/>
              <w:jc w:val="center"/>
              <w:rPr>
                <w:rFonts w:cs="Calibri"/>
                <w:spacing w:val="-6"/>
                <w:sz w:val="21"/>
                <w:szCs w:val="21"/>
              </w:rPr>
            </w:pPr>
          </w:p>
        </w:tc>
        <w:tc>
          <w:tcPr>
            <w:tcW w:w="709" w:type="dxa"/>
            <w:vAlign w:val="center"/>
          </w:tcPr>
          <w:p w14:paraId="16F8EE80">
            <w:pPr>
              <w:spacing w:line="288" w:lineRule="auto"/>
              <w:jc w:val="center"/>
              <w:rPr>
                <w:rFonts w:cs="Calibri"/>
                <w:spacing w:val="-6"/>
                <w:sz w:val="21"/>
                <w:szCs w:val="21"/>
              </w:rPr>
            </w:pPr>
            <w:r>
              <w:rPr>
                <w:rFonts w:cs="Calibri"/>
                <w:spacing w:val="-6"/>
                <w:sz w:val="21"/>
                <w:szCs w:val="21"/>
              </w:rPr>
              <w:t>1</w:t>
            </w:r>
          </w:p>
        </w:tc>
        <w:tc>
          <w:tcPr>
            <w:tcW w:w="7229" w:type="dxa"/>
            <w:vAlign w:val="center"/>
          </w:tcPr>
          <w:p w14:paraId="38D5A324">
            <w:pPr>
              <w:spacing w:line="288" w:lineRule="auto"/>
              <w:rPr>
                <w:rFonts w:cs="Calibri"/>
                <w:spacing w:val="-6"/>
                <w:sz w:val="21"/>
                <w:szCs w:val="21"/>
              </w:rPr>
            </w:pPr>
            <w:r>
              <w:rPr>
                <w:rFonts w:hint="eastAsia" w:cs="Calibri"/>
                <w:bCs/>
                <w:spacing w:val="-6"/>
                <w:sz w:val="21"/>
                <w:szCs w:val="21"/>
              </w:rPr>
              <w:t>供应商或制造商近3年具有承办</w:t>
            </w:r>
            <w:r>
              <w:rPr>
                <w:rFonts w:hint="eastAsia" w:cs="Calibri"/>
                <w:spacing w:val="-6"/>
                <w:sz w:val="21"/>
                <w:szCs w:val="21"/>
              </w:rPr>
              <w:t>金砖大赛类赛事技术支持经验，（提供组织国家技能竞赛的相关证明文件复印件并加盖公章，得</w:t>
            </w:r>
            <w:r>
              <w:rPr>
                <w:rFonts w:cs="Calibri"/>
                <w:spacing w:val="-6"/>
                <w:sz w:val="21"/>
                <w:szCs w:val="21"/>
              </w:rPr>
              <w:t>1</w:t>
            </w:r>
            <w:r>
              <w:rPr>
                <w:rFonts w:hint="eastAsia" w:cs="Calibri"/>
                <w:spacing w:val="-6"/>
                <w:sz w:val="21"/>
                <w:szCs w:val="21"/>
              </w:rPr>
              <w:t>分）。</w:t>
            </w:r>
          </w:p>
        </w:tc>
      </w:tr>
      <w:tr w14:paraId="5FC6C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vAlign w:val="center"/>
          </w:tcPr>
          <w:p w14:paraId="1872D4D2">
            <w:pPr>
              <w:spacing w:line="288" w:lineRule="auto"/>
              <w:jc w:val="center"/>
              <w:rPr>
                <w:rFonts w:cs="Calibri"/>
                <w:spacing w:val="-6"/>
                <w:sz w:val="21"/>
                <w:szCs w:val="21"/>
              </w:rPr>
            </w:pPr>
          </w:p>
        </w:tc>
        <w:tc>
          <w:tcPr>
            <w:tcW w:w="709" w:type="dxa"/>
            <w:vAlign w:val="center"/>
          </w:tcPr>
          <w:p w14:paraId="11811009">
            <w:pPr>
              <w:spacing w:line="288" w:lineRule="auto"/>
              <w:jc w:val="center"/>
              <w:rPr>
                <w:rFonts w:cs="Calibri"/>
                <w:spacing w:val="-6"/>
                <w:sz w:val="21"/>
                <w:szCs w:val="21"/>
              </w:rPr>
            </w:pPr>
            <w:r>
              <w:rPr>
                <w:rFonts w:cs="Calibri"/>
                <w:spacing w:val="-6"/>
                <w:sz w:val="21"/>
                <w:szCs w:val="21"/>
              </w:rPr>
              <w:t>1</w:t>
            </w:r>
          </w:p>
        </w:tc>
        <w:tc>
          <w:tcPr>
            <w:tcW w:w="7229" w:type="dxa"/>
            <w:vAlign w:val="center"/>
          </w:tcPr>
          <w:p w14:paraId="7DA08F70">
            <w:pPr>
              <w:spacing w:line="288" w:lineRule="auto"/>
              <w:rPr>
                <w:rFonts w:cs="Calibri"/>
                <w:spacing w:val="-6"/>
                <w:sz w:val="21"/>
                <w:szCs w:val="21"/>
              </w:rPr>
            </w:pPr>
            <w:r>
              <w:rPr>
                <w:rFonts w:hint="eastAsia" w:cs="Calibri"/>
                <w:bCs/>
                <w:spacing w:val="-6"/>
                <w:sz w:val="21"/>
                <w:szCs w:val="21"/>
              </w:rPr>
              <w:t>软件应符合最新国家标准，供应商或制造商提供有关产品的测试报告（</w:t>
            </w:r>
            <w:r>
              <w:rPr>
                <w:rFonts w:hint="eastAsia" w:cs="Calibri"/>
                <w:spacing w:val="-6"/>
                <w:sz w:val="21"/>
                <w:szCs w:val="21"/>
              </w:rPr>
              <w:t>提供复印件加盖公章，得</w:t>
            </w:r>
            <w:r>
              <w:rPr>
                <w:rFonts w:cs="Calibri"/>
                <w:spacing w:val="-6"/>
                <w:sz w:val="21"/>
                <w:szCs w:val="21"/>
              </w:rPr>
              <w:t>1</w:t>
            </w:r>
            <w:r>
              <w:rPr>
                <w:rFonts w:hint="eastAsia" w:cs="Calibri"/>
                <w:spacing w:val="-6"/>
                <w:sz w:val="21"/>
                <w:szCs w:val="21"/>
              </w:rPr>
              <w:t>分）。</w:t>
            </w:r>
          </w:p>
        </w:tc>
      </w:tr>
      <w:tr w14:paraId="57E0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14:paraId="61C832AB">
            <w:pPr>
              <w:spacing w:line="288" w:lineRule="auto"/>
              <w:jc w:val="center"/>
              <w:rPr>
                <w:rFonts w:cs="Calibri"/>
                <w:spacing w:val="-6"/>
                <w:sz w:val="21"/>
                <w:szCs w:val="21"/>
              </w:rPr>
            </w:pPr>
            <w:r>
              <w:rPr>
                <w:rFonts w:hint="eastAsia" w:cs="Calibri"/>
                <w:spacing w:val="-6"/>
                <w:sz w:val="21"/>
                <w:szCs w:val="21"/>
              </w:rPr>
              <w:t>业绩</w:t>
            </w:r>
          </w:p>
        </w:tc>
        <w:tc>
          <w:tcPr>
            <w:tcW w:w="709" w:type="dxa"/>
            <w:vAlign w:val="center"/>
          </w:tcPr>
          <w:p w14:paraId="582D3A62">
            <w:pPr>
              <w:spacing w:line="288" w:lineRule="auto"/>
              <w:jc w:val="center"/>
              <w:rPr>
                <w:rFonts w:cs="Calibri"/>
                <w:spacing w:val="-6"/>
                <w:sz w:val="21"/>
                <w:szCs w:val="21"/>
              </w:rPr>
            </w:pPr>
            <w:r>
              <w:rPr>
                <w:rFonts w:cs="Calibri"/>
                <w:spacing w:val="-6"/>
                <w:sz w:val="21"/>
                <w:szCs w:val="21"/>
              </w:rPr>
              <w:t>3</w:t>
            </w:r>
          </w:p>
        </w:tc>
        <w:tc>
          <w:tcPr>
            <w:tcW w:w="7229" w:type="dxa"/>
            <w:vAlign w:val="center"/>
          </w:tcPr>
          <w:p w14:paraId="313C950F">
            <w:pPr>
              <w:spacing w:line="288" w:lineRule="auto"/>
              <w:rPr>
                <w:rFonts w:cs="Calibri"/>
                <w:spacing w:val="-6"/>
                <w:sz w:val="21"/>
                <w:szCs w:val="21"/>
              </w:rPr>
            </w:pPr>
            <w:r>
              <w:rPr>
                <w:rFonts w:hint="eastAsia" w:cs="Calibri"/>
                <w:spacing w:val="-6"/>
                <w:sz w:val="21"/>
                <w:szCs w:val="21"/>
              </w:rPr>
              <w:t>供应商自20</w:t>
            </w:r>
            <w:r>
              <w:rPr>
                <w:rFonts w:cs="Calibri"/>
                <w:spacing w:val="-6"/>
                <w:sz w:val="21"/>
                <w:szCs w:val="21"/>
              </w:rPr>
              <w:t>22</w:t>
            </w:r>
            <w:r>
              <w:rPr>
                <w:rFonts w:hint="eastAsia" w:cs="Calibri"/>
                <w:spacing w:val="-6"/>
                <w:sz w:val="21"/>
                <w:szCs w:val="21"/>
              </w:rPr>
              <w:t>年1月1日以来（以合同签订时间为准）所投同类项目的业绩（以提供的完整合同复印件为准）：每提供1份合同业绩得1分，最高得</w:t>
            </w:r>
            <w:r>
              <w:rPr>
                <w:rFonts w:cs="Calibri"/>
                <w:spacing w:val="-6"/>
                <w:sz w:val="21"/>
                <w:szCs w:val="21"/>
              </w:rPr>
              <w:t>3</w:t>
            </w:r>
            <w:r>
              <w:rPr>
                <w:rFonts w:hint="eastAsia" w:cs="Calibri"/>
                <w:spacing w:val="-6"/>
                <w:sz w:val="21"/>
                <w:szCs w:val="21"/>
              </w:rPr>
              <w:t>分。</w:t>
            </w:r>
          </w:p>
        </w:tc>
      </w:tr>
      <w:tr w14:paraId="7975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14:paraId="4A57D63A">
            <w:pPr>
              <w:spacing w:line="288" w:lineRule="auto"/>
              <w:jc w:val="center"/>
              <w:rPr>
                <w:rFonts w:cs="Calibri"/>
                <w:spacing w:val="-6"/>
                <w:sz w:val="21"/>
                <w:szCs w:val="21"/>
              </w:rPr>
            </w:pPr>
            <w:r>
              <w:rPr>
                <w:rFonts w:hint="eastAsia" w:cs="宋体"/>
                <w:color w:val="000000"/>
                <w:spacing w:val="-6"/>
                <w:sz w:val="21"/>
                <w:szCs w:val="21"/>
              </w:rPr>
              <w:t>质保期</w:t>
            </w:r>
          </w:p>
        </w:tc>
        <w:tc>
          <w:tcPr>
            <w:tcW w:w="709" w:type="dxa"/>
            <w:vAlign w:val="center"/>
          </w:tcPr>
          <w:p w14:paraId="531AD78C">
            <w:pPr>
              <w:spacing w:line="288" w:lineRule="auto"/>
              <w:jc w:val="center"/>
              <w:rPr>
                <w:rFonts w:cs="Calibri"/>
                <w:spacing w:val="-6"/>
                <w:sz w:val="21"/>
                <w:szCs w:val="21"/>
              </w:rPr>
            </w:pPr>
            <w:r>
              <w:rPr>
                <w:rFonts w:cs="宋体"/>
                <w:color w:val="000000"/>
                <w:spacing w:val="-6"/>
                <w:sz w:val="21"/>
                <w:szCs w:val="21"/>
              </w:rPr>
              <w:t>2</w:t>
            </w:r>
          </w:p>
        </w:tc>
        <w:tc>
          <w:tcPr>
            <w:tcW w:w="7229" w:type="dxa"/>
            <w:vAlign w:val="center"/>
          </w:tcPr>
          <w:p w14:paraId="67E895A2">
            <w:pPr>
              <w:spacing w:line="288" w:lineRule="auto"/>
              <w:rPr>
                <w:rFonts w:cs="Calibri"/>
                <w:spacing w:val="-6"/>
                <w:sz w:val="21"/>
                <w:szCs w:val="21"/>
              </w:rPr>
            </w:pPr>
            <w:r>
              <w:rPr>
                <w:rFonts w:hint="eastAsia" w:cs="宋体"/>
                <w:color w:val="000000"/>
                <w:spacing w:val="-6"/>
                <w:sz w:val="21"/>
                <w:szCs w:val="21"/>
              </w:rPr>
              <w:t>质保期满足招标文件要求的基础上（本项目要求质保期不少于3年）,每延长1年加</w:t>
            </w:r>
            <w:r>
              <w:rPr>
                <w:rFonts w:cs="宋体"/>
                <w:color w:val="000000"/>
                <w:spacing w:val="-6"/>
                <w:sz w:val="21"/>
                <w:szCs w:val="21"/>
              </w:rPr>
              <w:t>1</w:t>
            </w:r>
            <w:r>
              <w:rPr>
                <w:rFonts w:hint="eastAsia" w:cs="宋体"/>
                <w:color w:val="000000"/>
                <w:spacing w:val="-6"/>
                <w:sz w:val="21"/>
                <w:szCs w:val="21"/>
              </w:rPr>
              <w:t>分，最高得</w:t>
            </w:r>
            <w:r>
              <w:rPr>
                <w:rFonts w:cs="宋体"/>
                <w:color w:val="000000"/>
                <w:spacing w:val="-6"/>
                <w:sz w:val="21"/>
                <w:szCs w:val="21"/>
              </w:rPr>
              <w:t>2</w:t>
            </w:r>
            <w:r>
              <w:rPr>
                <w:rFonts w:hint="eastAsia" w:cs="宋体"/>
                <w:color w:val="000000"/>
                <w:spacing w:val="-6"/>
                <w:sz w:val="21"/>
                <w:szCs w:val="21"/>
              </w:rPr>
              <w:t>分，延长时间不足一年不计入加分。</w:t>
            </w:r>
          </w:p>
        </w:tc>
      </w:tr>
      <w:tr w14:paraId="13CF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0" w:type="dxa"/>
            <w:gridSpan w:val="3"/>
            <w:vAlign w:val="center"/>
          </w:tcPr>
          <w:p w14:paraId="41EBBCA2">
            <w:pPr>
              <w:spacing w:line="288" w:lineRule="auto"/>
              <w:rPr>
                <w:rFonts w:cs="Calibri"/>
                <w:spacing w:val="-6"/>
                <w:sz w:val="21"/>
                <w:szCs w:val="21"/>
              </w:rPr>
            </w:pPr>
            <w:r>
              <w:rPr>
                <w:rFonts w:hint="eastAsia" w:cs="Calibri"/>
                <w:b/>
                <w:spacing w:val="-6"/>
                <w:sz w:val="21"/>
                <w:szCs w:val="21"/>
              </w:rPr>
              <w:t>技术分（5</w:t>
            </w:r>
            <w:r>
              <w:rPr>
                <w:rFonts w:cs="Calibri"/>
                <w:b/>
                <w:spacing w:val="-6"/>
                <w:sz w:val="21"/>
                <w:szCs w:val="21"/>
              </w:rPr>
              <w:t>8</w:t>
            </w:r>
            <w:r>
              <w:rPr>
                <w:rFonts w:hint="eastAsia" w:cs="Calibri"/>
                <w:b/>
                <w:spacing w:val="-6"/>
                <w:sz w:val="21"/>
                <w:szCs w:val="21"/>
              </w:rPr>
              <w:t>分）</w:t>
            </w:r>
          </w:p>
        </w:tc>
      </w:tr>
      <w:tr w14:paraId="416A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14:paraId="2CCEC57E">
            <w:pPr>
              <w:spacing w:before="163" w:beforeLines="50" w:after="163" w:afterLines="50" w:line="240" w:lineRule="atLeast"/>
              <w:jc w:val="center"/>
              <w:rPr>
                <w:rFonts w:cs="宋体"/>
                <w:bCs/>
                <w:sz w:val="21"/>
                <w:szCs w:val="21"/>
              </w:rPr>
            </w:pPr>
            <w:r>
              <w:rPr>
                <w:rFonts w:cs="Calibri"/>
                <w:spacing w:val="-6"/>
                <w:sz w:val="21"/>
                <w:szCs w:val="21"/>
              </w:rPr>
              <w:t>投标产品的响应程度</w:t>
            </w:r>
          </w:p>
        </w:tc>
        <w:tc>
          <w:tcPr>
            <w:tcW w:w="709" w:type="dxa"/>
            <w:vAlign w:val="center"/>
          </w:tcPr>
          <w:p w14:paraId="467C3F66">
            <w:pPr>
              <w:spacing w:before="163" w:beforeLines="50" w:after="163" w:afterLines="50" w:line="240" w:lineRule="atLeast"/>
              <w:rPr>
                <w:rFonts w:cs="宋体"/>
                <w:bCs/>
                <w:sz w:val="21"/>
                <w:szCs w:val="21"/>
              </w:rPr>
            </w:pPr>
            <w:r>
              <w:rPr>
                <w:rFonts w:cs="宋体"/>
                <w:bCs/>
                <w:sz w:val="21"/>
                <w:szCs w:val="21"/>
              </w:rPr>
              <w:t>20</w:t>
            </w:r>
          </w:p>
        </w:tc>
        <w:tc>
          <w:tcPr>
            <w:tcW w:w="7229" w:type="dxa"/>
            <w:vAlign w:val="center"/>
          </w:tcPr>
          <w:p w14:paraId="6ED819CB">
            <w:pPr>
              <w:spacing w:line="288" w:lineRule="auto"/>
              <w:rPr>
                <w:rFonts w:cs="宋体"/>
                <w:spacing w:val="-6"/>
                <w:sz w:val="21"/>
                <w:szCs w:val="21"/>
              </w:rPr>
            </w:pPr>
            <w:r>
              <w:rPr>
                <w:rFonts w:hint="eastAsia" w:cs="宋体"/>
                <w:spacing w:val="-6"/>
                <w:sz w:val="21"/>
                <w:szCs w:val="21"/>
              </w:rPr>
              <w:t>供应商所投产品技术参数中标记“▲”不得偏离，全部满足招标需求的得</w:t>
            </w:r>
            <w:r>
              <w:rPr>
                <w:rFonts w:cs="宋体"/>
                <w:spacing w:val="-6"/>
                <w:sz w:val="21"/>
                <w:szCs w:val="21"/>
              </w:rPr>
              <w:t>20</w:t>
            </w:r>
            <w:r>
              <w:rPr>
                <w:rFonts w:hint="eastAsia" w:cs="宋体"/>
                <w:spacing w:val="-6"/>
                <w:sz w:val="21"/>
                <w:szCs w:val="21"/>
              </w:rPr>
              <w:t>分，要求提供</w:t>
            </w:r>
            <w:r>
              <w:rPr>
                <w:rFonts w:hint="eastAsia" w:cs="宋体"/>
                <w:spacing w:val="-6"/>
                <w:sz w:val="21"/>
                <w:szCs w:val="21"/>
                <w:highlight w:val="yellow"/>
              </w:rPr>
              <w:t>满足系统功能截图、认证报告、测试报告证明材料予以佐证</w:t>
            </w:r>
            <w:r>
              <w:rPr>
                <w:rFonts w:hint="eastAsia" w:cs="宋体"/>
                <w:spacing w:val="-6"/>
                <w:sz w:val="21"/>
                <w:szCs w:val="21"/>
              </w:rPr>
              <w:t>的技术参数每负偏一项离扣</w:t>
            </w:r>
            <w:r>
              <w:rPr>
                <w:rFonts w:cs="宋体"/>
                <w:spacing w:val="-6"/>
                <w:sz w:val="21"/>
                <w:szCs w:val="21"/>
              </w:rPr>
              <w:t>2</w:t>
            </w:r>
            <w:r>
              <w:rPr>
                <w:rFonts w:hint="eastAsia" w:cs="宋体"/>
                <w:spacing w:val="-6"/>
                <w:sz w:val="21"/>
                <w:szCs w:val="21"/>
              </w:rPr>
              <w:t>分，扣完为止；其余未标注“★”或未要求提供</w:t>
            </w:r>
            <w:r>
              <w:rPr>
                <w:rFonts w:hint="eastAsia" w:cs="宋体"/>
                <w:spacing w:val="-6"/>
                <w:sz w:val="21"/>
                <w:szCs w:val="21"/>
                <w:highlight w:val="yellow"/>
              </w:rPr>
              <w:t>系统功能截图、认证报告、测试报告证明材料</w:t>
            </w:r>
            <w:r>
              <w:rPr>
                <w:rFonts w:hint="eastAsia" w:cs="宋体"/>
                <w:spacing w:val="-6"/>
                <w:sz w:val="21"/>
                <w:szCs w:val="21"/>
              </w:rPr>
              <w:t>的一般技术参数有负偏离项每项扣</w:t>
            </w:r>
            <w:r>
              <w:rPr>
                <w:rFonts w:cs="宋体"/>
                <w:spacing w:val="-6"/>
                <w:sz w:val="21"/>
                <w:szCs w:val="21"/>
              </w:rPr>
              <w:t>1</w:t>
            </w:r>
            <w:r>
              <w:rPr>
                <w:rFonts w:hint="eastAsia" w:cs="宋体"/>
                <w:spacing w:val="-6"/>
                <w:sz w:val="21"/>
                <w:szCs w:val="21"/>
              </w:rPr>
              <w:t>分；</w:t>
            </w:r>
          </w:p>
          <w:p w14:paraId="2F1D4C24">
            <w:pPr>
              <w:spacing w:line="288" w:lineRule="auto"/>
              <w:rPr>
                <w:rFonts w:cs="宋体"/>
                <w:spacing w:val="-6"/>
                <w:sz w:val="21"/>
                <w:szCs w:val="21"/>
              </w:rPr>
            </w:pPr>
            <w:r>
              <w:rPr>
                <w:rFonts w:hint="eastAsia" w:cs="宋体"/>
                <w:spacing w:val="-6"/>
                <w:sz w:val="21"/>
                <w:szCs w:val="21"/>
              </w:rPr>
              <w:t>注：（1）标记“▲”的有关技术参数为实质性条款，投标人不得偏离，否则视为无效响应文件。</w:t>
            </w:r>
          </w:p>
          <w:p w14:paraId="7263CD6E">
            <w:pPr>
              <w:spacing w:line="288" w:lineRule="auto"/>
              <w:rPr>
                <w:rFonts w:hAnsi="Times New Roman" w:cs="宋体"/>
                <w:spacing w:val="-6"/>
                <w:sz w:val="21"/>
                <w:szCs w:val="21"/>
              </w:rPr>
            </w:pPr>
            <w:r>
              <w:rPr>
                <w:rFonts w:hint="eastAsia" w:cs="宋体"/>
                <w:spacing w:val="-6"/>
                <w:sz w:val="21"/>
                <w:szCs w:val="21"/>
              </w:rPr>
              <w:t>（2）投标人未提供或提供的</w:t>
            </w:r>
            <w:r>
              <w:rPr>
                <w:rFonts w:hint="eastAsia" w:cs="宋体"/>
                <w:spacing w:val="-6"/>
                <w:sz w:val="21"/>
                <w:szCs w:val="21"/>
                <w:highlight w:val="yellow"/>
              </w:rPr>
              <w:t>系统功能截图、认证报告、测试报告证明材料</w:t>
            </w:r>
            <w:r>
              <w:rPr>
                <w:rFonts w:hint="eastAsia" w:cs="宋体"/>
                <w:spacing w:val="-6"/>
                <w:sz w:val="21"/>
                <w:szCs w:val="21"/>
              </w:rPr>
              <w:t>不满足技术参数要求的视为负偏离</w:t>
            </w:r>
            <w:r>
              <w:rPr>
                <w:rFonts w:hint="eastAsia" w:cs="宋体"/>
                <w:b/>
                <w:spacing w:val="-6"/>
                <w:sz w:val="21"/>
                <w:szCs w:val="21"/>
              </w:rPr>
              <w:t>。</w:t>
            </w:r>
          </w:p>
        </w:tc>
      </w:tr>
      <w:tr w14:paraId="53F2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14:paraId="6D510EC0">
            <w:pPr>
              <w:spacing w:line="288" w:lineRule="auto"/>
              <w:jc w:val="center"/>
              <w:rPr>
                <w:rFonts w:cs="Calibri"/>
                <w:sz w:val="21"/>
                <w:szCs w:val="21"/>
              </w:rPr>
            </w:pPr>
            <w:r>
              <w:rPr>
                <w:rFonts w:hint="eastAsia" w:cs="Calibri"/>
                <w:sz w:val="21"/>
                <w:szCs w:val="21"/>
              </w:rPr>
              <w:t>项目实施方案</w:t>
            </w:r>
          </w:p>
        </w:tc>
        <w:tc>
          <w:tcPr>
            <w:tcW w:w="709" w:type="dxa"/>
            <w:vAlign w:val="center"/>
          </w:tcPr>
          <w:p w14:paraId="33CB7239">
            <w:pPr>
              <w:spacing w:line="288" w:lineRule="auto"/>
              <w:jc w:val="center"/>
              <w:rPr>
                <w:rFonts w:cs="Calibri"/>
                <w:spacing w:val="-6"/>
                <w:sz w:val="21"/>
                <w:szCs w:val="21"/>
              </w:rPr>
            </w:pPr>
            <w:r>
              <w:rPr>
                <w:rFonts w:cs="Calibri"/>
                <w:spacing w:val="-6"/>
                <w:sz w:val="21"/>
                <w:szCs w:val="21"/>
              </w:rPr>
              <w:t>5</w:t>
            </w:r>
          </w:p>
        </w:tc>
        <w:tc>
          <w:tcPr>
            <w:tcW w:w="7229" w:type="dxa"/>
            <w:vAlign w:val="center"/>
          </w:tcPr>
          <w:p w14:paraId="6968BE23">
            <w:pPr>
              <w:spacing w:line="288" w:lineRule="auto"/>
              <w:rPr>
                <w:rFonts w:cs="Calibri"/>
                <w:spacing w:val="-6"/>
                <w:sz w:val="21"/>
                <w:szCs w:val="21"/>
              </w:rPr>
            </w:pPr>
            <w:r>
              <w:rPr>
                <w:rFonts w:hint="eastAsia" w:cs="Calibri"/>
                <w:sz w:val="21"/>
                <w:szCs w:val="21"/>
              </w:rPr>
              <w:t>对响应方针对本项目提供详细完善、科学的方案，有针对性，充分考虑到本项目的特点，项目实施组织架构、实施计划、技术保障措施、质量保障措施、项目运行、验收方案等内容。</w:t>
            </w:r>
          </w:p>
        </w:tc>
      </w:tr>
      <w:tr w14:paraId="2380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14:paraId="38FA1367">
            <w:pPr>
              <w:spacing w:line="288" w:lineRule="auto"/>
              <w:jc w:val="center"/>
              <w:rPr>
                <w:rFonts w:cs="Calibri"/>
                <w:sz w:val="21"/>
                <w:szCs w:val="21"/>
              </w:rPr>
            </w:pPr>
            <w:r>
              <w:rPr>
                <w:rFonts w:hint="eastAsia" w:cs="Calibri"/>
                <w:sz w:val="21"/>
                <w:szCs w:val="21"/>
              </w:rPr>
              <w:t>售后服务</w:t>
            </w:r>
          </w:p>
        </w:tc>
        <w:tc>
          <w:tcPr>
            <w:tcW w:w="709" w:type="dxa"/>
            <w:vAlign w:val="center"/>
          </w:tcPr>
          <w:p w14:paraId="65108F0E">
            <w:pPr>
              <w:spacing w:line="288" w:lineRule="auto"/>
              <w:jc w:val="center"/>
              <w:rPr>
                <w:rFonts w:cs="Calibri"/>
                <w:spacing w:val="-6"/>
                <w:sz w:val="21"/>
                <w:szCs w:val="21"/>
              </w:rPr>
            </w:pPr>
            <w:r>
              <w:rPr>
                <w:rFonts w:cs="Calibri"/>
                <w:spacing w:val="-6"/>
                <w:sz w:val="21"/>
                <w:szCs w:val="21"/>
              </w:rPr>
              <w:t>3</w:t>
            </w:r>
          </w:p>
        </w:tc>
        <w:tc>
          <w:tcPr>
            <w:tcW w:w="7229" w:type="dxa"/>
            <w:vAlign w:val="center"/>
          </w:tcPr>
          <w:p w14:paraId="1106FEDA">
            <w:pPr>
              <w:spacing w:line="288" w:lineRule="auto"/>
              <w:rPr>
                <w:rFonts w:cs="Calibri"/>
                <w:sz w:val="21"/>
                <w:szCs w:val="21"/>
              </w:rPr>
            </w:pPr>
            <w:r>
              <w:rPr>
                <w:rFonts w:hint="eastAsia" w:cs="Calibri"/>
                <w:sz w:val="21"/>
                <w:szCs w:val="21"/>
              </w:rPr>
              <w:t>完整合理的有针对性的售后服务方案（从质保期、故障响应时间、培训方案、</w:t>
            </w:r>
            <w:r>
              <w:rPr>
                <w:rFonts w:hint="eastAsia" w:cs="Calibri"/>
                <w:bCs/>
                <w:sz w:val="21"/>
                <w:szCs w:val="21"/>
              </w:rPr>
              <w:t>人员、现场服务能力</w:t>
            </w:r>
            <w:r>
              <w:rPr>
                <w:rFonts w:hint="eastAsia" w:cs="Calibri"/>
                <w:sz w:val="21"/>
                <w:szCs w:val="21"/>
              </w:rPr>
              <w:t>综合评价）。</w:t>
            </w:r>
          </w:p>
        </w:tc>
      </w:tr>
      <w:tr w14:paraId="62644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14:paraId="7B287348">
            <w:pPr>
              <w:spacing w:line="288" w:lineRule="auto"/>
              <w:jc w:val="center"/>
              <w:rPr>
                <w:rFonts w:cs="宋体"/>
                <w:color w:val="000000"/>
                <w:sz w:val="21"/>
                <w:szCs w:val="21"/>
              </w:rPr>
            </w:pPr>
            <w:r>
              <w:rPr>
                <w:rFonts w:hint="eastAsia" w:cs="Calibri"/>
                <w:sz w:val="21"/>
                <w:szCs w:val="21"/>
              </w:rPr>
              <w:t>技术服务培训</w:t>
            </w:r>
          </w:p>
        </w:tc>
        <w:tc>
          <w:tcPr>
            <w:tcW w:w="709" w:type="dxa"/>
            <w:vAlign w:val="center"/>
          </w:tcPr>
          <w:p w14:paraId="7D440CE2">
            <w:pPr>
              <w:spacing w:line="288" w:lineRule="auto"/>
              <w:jc w:val="center"/>
              <w:rPr>
                <w:rFonts w:cs="宋体"/>
                <w:color w:val="000000"/>
                <w:spacing w:val="-6"/>
                <w:sz w:val="21"/>
                <w:szCs w:val="21"/>
              </w:rPr>
            </w:pPr>
            <w:r>
              <w:rPr>
                <w:rFonts w:cs="Calibri"/>
                <w:spacing w:val="-6"/>
                <w:sz w:val="21"/>
                <w:szCs w:val="21"/>
              </w:rPr>
              <w:t>2</w:t>
            </w:r>
          </w:p>
        </w:tc>
        <w:tc>
          <w:tcPr>
            <w:tcW w:w="7229" w:type="dxa"/>
            <w:vAlign w:val="center"/>
          </w:tcPr>
          <w:p w14:paraId="28DD533C">
            <w:pPr>
              <w:spacing w:line="288" w:lineRule="auto"/>
              <w:rPr>
                <w:rFonts w:cs="宋体"/>
                <w:color w:val="000000"/>
                <w:sz w:val="21"/>
                <w:szCs w:val="21"/>
              </w:rPr>
            </w:pPr>
            <w:r>
              <w:rPr>
                <w:rFonts w:hint="eastAsia" w:cs="Calibri"/>
                <w:sz w:val="21"/>
                <w:szCs w:val="21"/>
              </w:rPr>
              <w:t>专业服务力量和服务保障，培训计划内容合理、详细，培训范围广，可实施有针对性</w:t>
            </w:r>
            <w:r>
              <w:rPr>
                <w:rFonts w:hint="eastAsia" w:cs="宋体"/>
                <w:sz w:val="21"/>
                <w:szCs w:val="21"/>
              </w:rPr>
              <w:t>。</w:t>
            </w:r>
          </w:p>
        </w:tc>
      </w:tr>
      <w:tr w14:paraId="74C8D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702" w:type="dxa"/>
            <w:vAlign w:val="center"/>
          </w:tcPr>
          <w:p w14:paraId="6EF6EEEE">
            <w:pPr>
              <w:spacing w:line="288" w:lineRule="auto"/>
              <w:rPr>
                <w:rFonts w:cs="Calibri"/>
                <w:spacing w:val="-6"/>
                <w:sz w:val="21"/>
                <w:szCs w:val="21"/>
              </w:rPr>
            </w:pPr>
            <w:r>
              <w:rPr>
                <w:rFonts w:hint="eastAsia" w:cs="Calibri"/>
                <w:spacing w:val="-6"/>
                <w:sz w:val="21"/>
                <w:szCs w:val="21"/>
              </w:rPr>
              <w:t>演示</w:t>
            </w:r>
          </w:p>
        </w:tc>
        <w:tc>
          <w:tcPr>
            <w:tcW w:w="709" w:type="dxa"/>
            <w:vAlign w:val="center"/>
          </w:tcPr>
          <w:p w14:paraId="704928C6">
            <w:pPr>
              <w:spacing w:line="288" w:lineRule="auto"/>
              <w:rPr>
                <w:rFonts w:cs="Calibri"/>
                <w:spacing w:val="-6"/>
                <w:sz w:val="21"/>
                <w:szCs w:val="21"/>
              </w:rPr>
            </w:pPr>
            <w:r>
              <w:rPr>
                <w:rFonts w:cs="Calibri"/>
                <w:spacing w:val="-6"/>
                <w:sz w:val="21"/>
                <w:szCs w:val="21"/>
              </w:rPr>
              <w:t>28</w:t>
            </w:r>
          </w:p>
        </w:tc>
        <w:tc>
          <w:tcPr>
            <w:tcW w:w="7229" w:type="dxa"/>
            <w:vAlign w:val="center"/>
          </w:tcPr>
          <w:p w14:paraId="6254476F">
            <w:pPr>
              <w:spacing w:line="288" w:lineRule="auto"/>
              <w:rPr>
                <w:rFonts w:cs="Arial"/>
                <w:sz w:val="21"/>
                <w:szCs w:val="21"/>
              </w:rPr>
            </w:pPr>
            <w:r>
              <w:rPr>
                <w:rFonts w:hint="eastAsia" w:cs="Arial"/>
                <w:sz w:val="21"/>
                <w:szCs w:val="21"/>
              </w:rPr>
              <w:t>标注“★”</w:t>
            </w:r>
            <w:r>
              <w:rPr>
                <w:rFonts w:hint="eastAsia" w:cs="Arial"/>
                <w:sz w:val="21"/>
                <w:szCs w:val="21"/>
                <w:lang w:val="en-US" w:eastAsia="zh-CN"/>
              </w:rPr>
              <w:t>7</w:t>
            </w:r>
            <w:r>
              <w:rPr>
                <w:rFonts w:hint="eastAsia" w:cs="Arial"/>
                <w:sz w:val="21"/>
                <w:szCs w:val="21"/>
              </w:rPr>
              <w:t>条技术参数内容需要演示，演示时间不超过15分钟，演示所需要的设备由供应商自行准备。</w:t>
            </w:r>
            <w:r>
              <w:rPr>
                <w:rFonts w:hint="eastAsia" w:cs="宋体"/>
                <w:sz w:val="21"/>
                <w:szCs w:val="21"/>
              </w:rPr>
              <w:t>演示过程</w:t>
            </w:r>
            <w:r>
              <w:rPr>
                <w:rFonts w:cs="宋体"/>
                <w:sz w:val="21"/>
                <w:szCs w:val="21"/>
              </w:rPr>
              <w:t>中</w:t>
            </w:r>
            <w:r>
              <w:rPr>
                <w:rFonts w:hint="eastAsia" w:cs="宋体"/>
                <w:sz w:val="21"/>
                <w:szCs w:val="21"/>
              </w:rPr>
              <w:t>技术</w:t>
            </w:r>
            <w:r>
              <w:rPr>
                <w:rFonts w:cs="宋体"/>
                <w:sz w:val="21"/>
                <w:szCs w:val="21"/>
              </w:rPr>
              <w:t>参数</w:t>
            </w:r>
            <w:r>
              <w:rPr>
                <w:rFonts w:hint="eastAsia" w:cs="宋体"/>
                <w:sz w:val="21"/>
                <w:szCs w:val="21"/>
              </w:rPr>
              <w:t>不</w:t>
            </w:r>
            <w:r>
              <w:rPr>
                <w:rFonts w:cs="宋体"/>
                <w:sz w:val="21"/>
                <w:szCs w:val="21"/>
              </w:rPr>
              <w:t>满足</w:t>
            </w:r>
            <w:r>
              <w:rPr>
                <w:rFonts w:hint="eastAsia" w:cs="宋体"/>
                <w:sz w:val="21"/>
                <w:szCs w:val="21"/>
              </w:rPr>
              <w:t>招标</w:t>
            </w:r>
            <w:r>
              <w:rPr>
                <w:rFonts w:cs="宋体"/>
                <w:sz w:val="21"/>
                <w:szCs w:val="21"/>
              </w:rPr>
              <w:t>要求的</w:t>
            </w:r>
            <w:r>
              <w:rPr>
                <w:rFonts w:hint="eastAsia" w:cs="宋体"/>
                <w:sz w:val="21"/>
                <w:szCs w:val="21"/>
              </w:rPr>
              <w:t>每</w:t>
            </w:r>
            <w:r>
              <w:rPr>
                <w:rFonts w:cs="宋体"/>
                <w:sz w:val="21"/>
                <w:szCs w:val="21"/>
              </w:rPr>
              <w:t>条</w:t>
            </w:r>
            <w:r>
              <w:rPr>
                <w:rFonts w:hint="eastAsia" w:cs="宋体"/>
                <w:sz w:val="21"/>
                <w:szCs w:val="21"/>
              </w:rPr>
              <w:t>扣</w:t>
            </w:r>
            <w:r>
              <w:rPr>
                <w:rFonts w:cs="宋体"/>
                <w:sz w:val="21"/>
                <w:szCs w:val="21"/>
              </w:rPr>
              <w:t>2</w:t>
            </w:r>
            <w:r>
              <w:rPr>
                <w:rFonts w:hint="eastAsia" w:cs="宋体"/>
                <w:sz w:val="21"/>
                <w:szCs w:val="21"/>
              </w:rPr>
              <w:t>分，</w:t>
            </w:r>
            <w:r>
              <w:rPr>
                <w:rFonts w:cs="宋体"/>
                <w:sz w:val="21"/>
                <w:szCs w:val="21"/>
              </w:rPr>
              <w:t>扣完为止。</w:t>
            </w:r>
            <w:r>
              <w:rPr>
                <w:rFonts w:hint="eastAsia" w:ascii="Calibri" w:cs="Calibri"/>
                <w:spacing w:val="-6"/>
                <w:sz w:val="21"/>
                <w:szCs w:val="21"/>
              </w:rPr>
              <w:t>所演示系统为真实运行的系统，供应商只提供</w:t>
            </w:r>
            <w:r>
              <w:rPr>
                <w:rFonts w:ascii="Calibri" w:cs="Calibri"/>
                <w:spacing w:val="-6"/>
                <w:sz w:val="21"/>
                <w:szCs w:val="21"/>
              </w:rPr>
              <w:t xml:space="preserve">PPT </w:t>
            </w:r>
            <w:r>
              <w:rPr>
                <w:rFonts w:hint="eastAsia" w:ascii="Calibri" w:cs="Calibri"/>
                <w:spacing w:val="-6"/>
                <w:sz w:val="21"/>
                <w:szCs w:val="21"/>
              </w:rPr>
              <w:t>等方式演示的或未提供演示不得分。</w:t>
            </w:r>
          </w:p>
        </w:tc>
      </w:tr>
    </w:tbl>
    <w:p w14:paraId="451819FD">
      <w:pPr>
        <w:widowControl/>
        <w:spacing w:line="240" w:lineRule="auto"/>
        <w:jc w:val="left"/>
        <w:rPr>
          <w:b/>
        </w:rPr>
      </w:pPr>
    </w:p>
    <w:p w14:paraId="0E0053B4">
      <w:pPr>
        <w:widowControl/>
        <w:spacing w:line="240" w:lineRule="auto"/>
        <w:jc w:val="left"/>
      </w:pPr>
      <w:r>
        <w:rPr>
          <w:rFonts w:hint="eastAsia"/>
          <w:b/>
        </w:rPr>
        <w:t>标项三附件：评分表格式（技术分、商务分、资信及其他分，共70分）</w:t>
      </w:r>
    </w:p>
    <w:tbl>
      <w:tblPr>
        <w:tblStyle w:val="21"/>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9"/>
        <w:gridCol w:w="7229"/>
      </w:tblGrid>
      <w:tr w14:paraId="70556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14:paraId="5E5FE5F4">
            <w:pPr>
              <w:spacing w:line="288" w:lineRule="auto"/>
              <w:jc w:val="center"/>
              <w:rPr>
                <w:rFonts w:cs="Calibri"/>
                <w:b/>
                <w:spacing w:val="-6"/>
                <w:sz w:val="21"/>
                <w:szCs w:val="21"/>
              </w:rPr>
            </w:pPr>
            <w:r>
              <w:rPr>
                <w:rFonts w:hint="eastAsia" w:cs="Calibri"/>
                <w:b/>
                <w:spacing w:val="-6"/>
                <w:sz w:val="21"/>
                <w:szCs w:val="21"/>
              </w:rPr>
              <w:t>评审因素</w:t>
            </w:r>
          </w:p>
        </w:tc>
        <w:tc>
          <w:tcPr>
            <w:tcW w:w="709" w:type="dxa"/>
            <w:vAlign w:val="center"/>
          </w:tcPr>
          <w:p w14:paraId="1FE86680">
            <w:pPr>
              <w:spacing w:line="288" w:lineRule="auto"/>
              <w:rPr>
                <w:rFonts w:cs="Calibri"/>
                <w:b/>
                <w:spacing w:val="-6"/>
                <w:sz w:val="21"/>
                <w:szCs w:val="21"/>
              </w:rPr>
            </w:pPr>
            <w:r>
              <w:rPr>
                <w:rFonts w:hint="eastAsia" w:cs="Calibri"/>
                <w:b/>
                <w:spacing w:val="-6"/>
                <w:sz w:val="21"/>
                <w:szCs w:val="21"/>
              </w:rPr>
              <w:t>分值</w:t>
            </w:r>
          </w:p>
        </w:tc>
        <w:tc>
          <w:tcPr>
            <w:tcW w:w="7229" w:type="dxa"/>
            <w:vAlign w:val="center"/>
          </w:tcPr>
          <w:p w14:paraId="4599F9C7">
            <w:pPr>
              <w:tabs>
                <w:tab w:val="left" w:pos="1418"/>
              </w:tabs>
              <w:spacing w:line="288" w:lineRule="auto"/>
              <w:jc w:val="center"/>
              <w:rPr>
                <w:rFonts w:cs="Calibri"/>
                <w:b/>
                <w:spacing w:val="-6"/>
                <w:kern w:val="0"/>
                <w:sz w:val="21"/>
                <w:szCs w:val="21"/>
              </w:rPr>
            </w:pPr>
            <w:r>
              <w:rPr>
                <w:rFonts w:cs="Calibri"/>
                <w:b/>
                <w:spacing w:val="-6"/>
                <w:kern w:val="0"/>
                <w:sz w:val="21"/>
                <w:szCs w:val="21"/>
              </w:rPr>
              <w:t>评分细则</w:t>
            </w:r>
          </w:p>
        </w:tc>
      </w:tr>
      <w:tr w14:paraId="4749D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0" w:type="dxa"/>
            <w:gridSpan w:val="3"/>
            <w:vAlign w:val="center"/>
          </w:tcPr>
          <w:p w14:paraId="0D6F44C0">
            <w:pPr>
              <w:tabs>
                <w:tab w:val="left" w:pos="1418"/>
              </w:tabs>
              <w:spacing w:line="288" w:lineRule="auto"/>
              <w:rPr>
                <w:rFonts w:cs="Calibri"/>
                <w:b/>
                <w:spacing w:val="-6"/>
                <w:kern w:val="0"/>
                <w:sz w:val="21"/>
                <w:szCs w:val="21"/>
              </w:rPr>
            </w:pPr>
            <w:r>
              <w:rPr>
                <w:rFonts w:cs="Calibri"/>
                <w:b/>
                <w:spacing w:val="-6"/>
                <w:kern w:val="0"/>
                <w:sz w:val="21"/>
                <w:szCs w:val="21"/>
              </w:rPr>
              <w:t>商务分</w:t>
            </w:r>
            <w:r>
              <w:rPr>
                <w:rFonts w:hint="eastAsia" w:cs="Calibri"/>
                <w:b/>
                <w:spacing w:val="-6"/>
                <w:kern w:val="0"/>
                <w:sz w:val="21"/>
                <w:szCs w:val="21"/>
              </w:rPr>
              <w:t>（1</w:t>
            </w:r>
            <w:r>
              <w:rPr>
                <w:rFonts w:cs="Calibri"/>
                <w:b/>
                <w:spacing w:val="-6"/>
                <w:kern w:val="0"/>
                <w:sz w:val="21"/>
                <w:szCs w:val="21"/>
              </w:rPr>
              <w:t>2</w:t>
            </w:r>
            <w:r>
              <w:rPr>
                <w:rFonts w:hint="eastAsia" w:cs="Calibri"/>
                <w:b/>
                <w:spacing w:val="-6"/>
                <w:kern w:val="0"/>
                <w:sz w:val="21"/>
                <w:szCs w:val="21"/>
              </w:rPr>
              <w:t>分）</w:t>
            </w:r>
          </w:p>
        </w:tc>
      </w:tr>
      <w:tr w14:paraId="092C1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vAlign w:val="center"/>
          </w:tcPr>
          <w:p w14:paraId="5E255C3B">
            <w:pPr>
              <w:spacing w:line="288" w:lineRule="auto"/>
              <w:jc w:val="center"/>
              <w:rPr>
                <w:rFonts w:cs="Calibri"/>
                <w:spacing w:val="-6"/>
                <w:sz w:val="21"/>
                <w:szCs w:val="21"/>
              </w:rPr>
            </w:pPr>
            <w:r>
              <w:rPr>
                <w:rFonts w:hint="eastAsia" w:cs="Calibri"/>
                <w:spacing w:val="-6"/>
                <w:sz w:val="21"/>
                <w:szCs w:val="21"/>
              </w:rPr>
              <w:t>响应</w:t>
            </w:r>
            <w:r>
              <w:rPr>
                <w:rFonts w:cs="Calibri"/>
                <w:spacing w:val="-6"/>
                <w:sz w:val="21"/>
                <w:szCs w:val="21"/>
              </w:rPr>
              <w:t>方</w:t>
            </w:r>
            <w:r>
              <w:rPr>
                <w:rFonts w:hint="eastAsia" w:cs="Calibri"/>
                <w:spacing w:val="-6"/>
                <w:sz w:val="21"/>
                <w:szCs w:val="21"/>
              </w:rPr>
              <w:t xml:space="preserve">资信 </w:t>
            </w:r>
          </w:p>
        </w:tc>
        <w:tc>
          <w:tcPr>
            <w:tcW w:w="709" w:type="dxa"/>
            <w:vAlign w:val="center"/>
          </w:tcPr>
          <w:p w14:paraId="740D0323">
            <w:pPr>
              <w:spacing w:line="288" w:lineRule="auto"/>
              <w:jc w:val="center"/>
              <w:rPr>
                <w:rFonts w:cs="Calibri"/>
                <w:spacing w:val="-6"/>
                <w:sz w:val="21"/>
                <w:szCs w:val="21"/>
              </w:rPr>
            </w:pPr>
            <w:r>
              <w:rPr>
                <w:rFonts w:cs="Calibri"/>
                <w:spacing w:val="-6"/>
                <w:sz w:val="21"/>
                <w:szCs w:val="21"/>
              </w:rPr>
              <w:t>3</w:t>
            </w:r>
          </w:p>
        </w:tc>
        <w:tc>
          <w:tcPr>
            <w:tcW w:w="7229" w:type="dxa"/>
            <w:vAlign w:val="center"/>
          </w:tcPr>
          <w:p w14:paraId="5DB96F21">
            <w:pPr>
              <w:spacing w:line="288" w:lineRule="auto"/>
              <w:rPr>
                <w:rFonts w:cs="Calibri"/>
                <w:spacing w:val="-6"/>
                <w:sz w:val="21"/>
                <w:szCs w:val="21"/>
              </w:rPr>
            </w:pPr>
            <w:r>
              <w:rPr>
                <w:rFonts w:hint="eastAsia" w:cs="Calibri"/>
                <w:bCs/>
                <w:spacing w:val="-6"/>
                <w:sz w:val="21"/>
                <w:szCs w:val="21"/>
              </w:rPr>
              <w:t>供应商或制造商</w:t>
            </w:r>
            <w:r>
              <w:rPr>
                <w:rFonts w:hint="eastAsia" w:cs="Calibri"/>
                <w:spacing w:val="-6"/>
                <w:sz w:val="21"/>
                <w:szCs w:val="21"/>
              </w:rPr>
              <w:t>具有信息安全管理体系认证证书、环境管理体系认证证书、职业健康安全管理体系认证证书（提供证书复印件和“全国认证认可信息公共服务平台”上的证书查询结果截图并加盖公章，每提供1个得</w:t>
            </w:r>
            <w:r>
              <w:rPr>
                <w:rFonts w:cs="Calibri"/>
                <w:spacing w:val="-6"/>
                <w:sz w:val="21"/>
                <w:szCs w:val="21"/>
              </w:rPr>
              <w:t>1</w:t>
            </w:r>
            <w:r>
              <w:rPr>
                <w:rFonts w:hint="eastAsia" w:cs="Calibri"/>
                <w:spacing w:val="-6"/>
                <w:sz w:val="21"/>
                <w:szCs w:val="21"/>
              </w:rPr>
              <w:t>分）。</w:t>
            </w:r>
          </w:p>
        </w:tc>
      </w:tr>
      <w:tr w14:paraId="61EE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vAlign w:val="center"/>
          </w:tcPr>
          <w:p w14:paraId="455F7334">
            <w:pPr>
              <w:spacing w:line="288" w:lineRule="auto"/>
              <w:jc w:val="center"/>
              <w:rPr>
                <w:rFonts w:cs="Calibri"/>
                <w:spacing w:val="-6"/>
                <w:sz w:val="21"/>
                <w:szCs w:val="21"/>
              </w:rPr>
            </w:pPr>
          </w:p>
        </w:tc>
        <w:tc>
          <w:tcPr>
            <w:tcW w:w="709" w:type="dxa"/>
            <w:vAlign w:val="center"/>
          </w:tcPr>
          <w:p w14:paraId="0657DCC4">
            <w:pPr>
              <w:spacing w:line="288" w:lineRule="auto"/>
              <w:jc w:val="center"/>
              <w:rPr>
                <w:rFonts w:cs="Calibri"/>
                <w:spacing w:val="-6"/>
                <w:sz w:val="21"/>
                <w:szCs w:val="21"/>
              </w:rPr>
            </w:pPr>
            <w:r>
              <w:rPr>
                <w:rFonts w:cs="Calibri"/>
                <w:spacing w:val="-6"/>
                <w:sz w:val="21"/>
                <w:szCs w:val="21"/>
              </w:rPr>
              <w:t>1</w:t>
            </w:r>
          </w:p>
        </w:tc>
        <w:tc>
          <w:tcPr>
            <w:tcW w:w="7229" w:type="dxa"/>
            <w:vAlign w:val="center"/>
          </w:tcPr>
          <w:p w14:paraId="68B4C7AA">
            <w:pPr>
              <w:spacing w:line="288" w:lineRule="auto"/>
              <w:rPr>
                <w:rFonts w:cs="Calibri"/>
                <w:spacing w:val="-6"/>
                <w:sz w:val="21"/>
                <w:szCs w:val="21"/>
              </w:rPr>
            </w:pPr>
            <w:r>
              <w:rPr>
                <w:rFonts w:hint="eastAsia" w:cs="Calibri"/>
                <w:bCs/>
                <w:spacing w:val="-6"/>
                <w:sz w:val="21"/>
                <w:szCs w:val="21"/>
              </w:rPr>
              <w:t>供应商或制造商具有完善的售后服务体系和服务能力，服务能力达到国家标准，提供范围包括但不限于财务教学软件的商品售后服务评价体系认证五星及以上的证明文件（提供证书复印件和“全国认证认可信息公共服务平台”上的证书查询结果截图并加盖公章得</w:t>
            </w:r>
            <w:r>
              <w:rPr>
                <w:rFonts w:cs="Calibri"/>
                <w:bCs/>
                <w:spacing w:val="-6"/>
                <w:sz w:val="21"/>
                <w:szCs w:val="21"/>
              </w:rPr>
              <w:t>1</w:t>
            </w:r>
            <w:r>
              <w:rPr>
                <w:rFonts w:hint="eastAsia" w:cs="Calibri"/>
                <w:bCs/>
                <w:spacing w:val="-6"/>
                <w:sz w:val="21"/>
                <w:szCs w:val="21"/>
              </w:rPr>
              <w:t>分）</w:t>
            </w:r>
            <w:r>
              <w:rPr>
                <w:rFonts w:hint="eastAsia" w:cs="Calibri"/>
                <w:spacing w:val="-6"/>
                <w:sz w:val="21"/>
                <w:szCs w:val="21"/>
              </w:rPr>
              <w:t>。</w:t>
            </w:r>
          </w:p>
        </w:tc>
      </w:tr>
      <w:tr w14:paraId="41FA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vAlign w:val="center"/>
          </w:tcPr>
          <w:p w14:paraId="40EF6CCA">
            <w:pPr>
              <w:spacing w:line="288" w:lineRule="auto"/>
              <w:jc w:val="center"/>
              <w:rPr>
                <w:rFonts w:cs="Calibri"/>
                <w:spacing w:val="-6"/>
                <w:sz w:val="21"/>
                <w:szCs w:val="21"/>
              </w:rPr>
            </w:pPr>
          </w:p>
        </w:tc>
        <w:tc>
          <w:tcPr>
            <w:tcW w:w="709" w:type="dxa"/>
            <w:vAlign w:val="center"/>
          </w:tcPr>
          <w:p w14:paraId="7DF3943B">
            <w:pPr>
              <w:spacing w:line="288" w:lineRule="auto"/>
              <w:jc w:val="center"/>
              <w:rPr>
                <w:rFonts w:cs="Calibri"/>
                <w:spacing w:val="-6"/>
                <w:sz w:val="21"/>
                <w:szCs w:val="21"/>
              </w:rPr>
            </w:pPr>
            <w:r>
              <w:rPr>
                <w:rFonts w:cs="Calibri"/>
                <w:spacing w:val="-6"/>
                <w:sz w:val="21"/>
                <w:szCs w:val="21"/>
              </w:rPr>
              <w:t>1</w:t>
            </w:r>
          </w:p>
        </w:tc>
        <w:tc>
          <w:tcPr>
            <w:tcW w:w="7229" w:type="dxa"/>
            <w:vAlign w:val="center"/>
          </w:tcPr>
          <w:p w14:paraId="386AF5B5">
            <w:pPr>
              <w:spacing w:line="288" w:lineRule="auto"/>
              <w:rPr>
                <w:rFonts w:cs="Calibri"/>
                <w:spacing w:val="-6"/>
                <w:sz w:val="21"/>
                <w:szCs w:val="21"/>
              </w:rPr>
            </w:pPr>
            <w:r>
              <w:rPr>
                <w:rFonts w:hint="eastAsia" w:cs="Calibri"/>
                <w:bCs/>
                <w:spacing w:val="-6"/>
                <w:sz w:val="21"/>
                <w:szCs w:val="21"/>
              </w:rPr>
              <w:t>供应商或制造商</w:t>
            </w:r>
            <w:r>
              <w:rPr>
                <w:rFonts w:hint="eastAsia" w:cs="Calibri"/>
                <w:spacing w:val="-6"/>
                <w:sz w:val="21"/>
                <w:szCs w:val="21"/>
              </w:rPr>
              <w:t>具有公安部监制的信息系统安全等级保护备案证明，提供信息系统安全等级保护备案证明及测评报告（</w:t>
            </w:r>
            <w:r>
              <w:rPr>
                <w:rFonts w:hint="eastAsia" w:cs="Calibri"/>
                <w:bCs/>
                <w:spacing w:val="-6"/>
                <w:sz w:val="21"/>
                <w:szCs w:val="21"/>
              </w:rPr>
              <w:t>提供证书</w:t>
            </w:r>
            <w:r>
              <w:rPr>
                <w:rFonts w:hint="eastAsia" w:cs="Calibri"/>
                <w:spacing w:val="-6"/>
                <w:sz w:val="21"/>
                <w:szCs w:val="21"/>
              </w:rPr>
              <w:t>复印件并加盖公章，级别为</w:t>
            </w:r>
            <w:r>
              <w:rPr>
                <w:rFonts w:cs="Calibri"/>
                <w:spacing w:val="-6"/>
                <w:sz w:val="21"/>
                <w:szCs w:val="21"/>
              </w:rPr>
              <w:t>3</w:t>
            </w:r>
            <w:r>
              <w:rPr>
                <w:rFonts w:hint="eastAsia" w:cs="Calibri"/>
                <w:spacing w:val="-6"/>
                <w:sz w:val="21"/>
                <w:szCs w:val="21"/>
              </w:rPr>
              <w:t>级及以上的得</w:t>
            </w:r>
            <w:r>
              <w:rPr>
                <w:rFonts w:cs="Calibri"/>
                <w:spacing w:val="-6"/>
                <w:sz w:val="21"/>
                <w:szCs w:val="21"/>
              </w:rPr>
              <w:t>1</w:t>
            </w:r>
            <w:r>
              <w:rPr>
                <w:rFonts w:hint="eastAsia" w:cs="Calibri"/>
                <w:spacing w:val="-6"/>
                <w:sz w:val="21"/>
                <w:szCs w:val="21"/>
              </w:rPr>
              <w:t>分，3级以下不得分）。</w:t>
            </w:r>
          </w:p>
        </w:tc>
      </w:tr>
      <w:tr w14:paraId="187F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vAlign w:val="center"/>
          </w:tcPr>
          <w:p w14:paraId="014D9201">
            <w:pPr>
              <w:spacing w:line="288" w:lineRule="auto"/>
              <w:jc w:val="center"/>
              <w:rPr>
                <w:rFonts w:cs="Calibri"/>
                <w:spacing w:val="-6"/>
                <w:sz w:val="21"/>
                <w:szCs w:val="21"/>
              </w:rPr>
            </w:pPr>
          </w:p>
        </w:tc>
        <w:tc>
          <w:tcPr>
            <w:tcW w:w="709" w:type="dxa"/>
            <w:vAlign w:val="center"/>
          </w:tcPr>
          <w:p w14:paraId="1864D15F">
            <w:pPr>
              <w:spacing w:line="288" w:lineRule="auto"/>
              <w:jc w:val="center"/>
              <w:rPr>
                <w:rFonts w:cs="Calibri"/>
                <w:spacing w:val="-6"/>
                <w:sz w:val="21"/>
                <w:szCs w:val="21"/>
              </w:rPr>
            </w:pPr>
            <w:r>
              <w:rPr>
                <w:rFonts w:cs="Calibri"/>
                <w:spacing w:val="-6"/>
                <w:sz w:val="21"/>
                <w:szCs w:val="21"/>
              </w:rPr>
              <w:t>1</w:t>
            </w:r>
          </w:p>
        </w:tc>
        <w:tc>
          <w:tcPr>
            <w:tcW w:w="7229" w:type="dxa"/>
            <w:vAlign w:val="center"/>
          </w:tcPr>
          <w:p w14:paraId="717A5770">
            <w:pPr>
              <w:spacing w:line="288" w:lineRule="auto"/>
              <w:rPr>
                <w:rFonts w:cs="Calibri"/>
                <w:spacing w:val="-6"/>
                <w:sz w:val="21"/>
                <w:szCs w:val="21"/>
              </w:rPr>
            </w:pPr>
            <w:r>
              <w:rPr>
                <w:rFonts w:hint="eastAsia" w:cs="Calibri"/>
                <w:bCs/>
                <w:spacing w:val="-6"/>
                <w:sz w:val="21"/>
                <w:szCs w:val="21"/>
              </w:rPr>
              <w:t>供应商或制造商近3年具有承办</w:t>
            </w:r>
            <w:r>
              <w:rPr>
                <w:rFonts w:hint="eastAsia" w:cs="Calibri"/>
                <w:spacing w:val="-6"/>
                <w:sz w:val="21"/>
                <w:szCs w:val="21"/>
              </w:rPr>
              <w:t>金砖大赛类赛事技术支持经验，（提供组织国家技能竞赛的相关证明文件复印件并加盖公章，得</w:t>
            </w:r>
            <w:r>
              <w:rPr>
                <w:rFonts w:cs="Calibri"/>
                <w:spacing w:val="-6"/>
                <w:sz w:val="21"/>
                <w:szCs w:val="21"/>
              </w:rPr>
              <w:t>1</w:t>
            </w:r>
            <w:r>
              <w:rPr>
                <w:rFonts w:hint="eastAsia" w:cs="Calibri"/>
                <w:spacing w:val="-6"/>
                <w:sz w:val="21"/>
                <w:szCs w:val="21"/>
              </w:rPr>
              <w:t>分）。</w:t>
            </w:r>
          </w:p>
        </w:tc>
      </w:tr>
      <w:tr w14:paraId="6A49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vAlign w:val="center"/>
          </w:tcPr>
          <w:p w14:paraId="4414B9B4">
            <w:pPr>
              <w:spacing w:line="288" w:lineRule="auto"/>
              <w:jc w:val="center"/>
              <w:rPr>
                <w:rFonts w:cs="Calibri"/>
                <w:spacing w:val="-6"/>
                <w:sz w:val="21"/>
                <w:szCs w:val="21"/>
              </w:rPr>
            </w:pPr>
          </w:p>
        </w:tc>
        <w:tc>
          <w:tcPr>
            <w:tcW w:w="709" w:type="dxa"/>
            <w:vAlign w:val="center"/>
          </w:tcPr>
          <w:p w14:paraId="10884416">
            <w:pPr>
              <w:spacing w:line="288" w:lineRule="auto"/>
              <w:jc w:val="center"/>
              <w:rPr>
                <w:rFonts w:cs="Calibri"/>
                <w:spacing w:val="-6"/>
                <w:sz w:val="21"/>
                <w:szCs w:val="21"/>
              </w:rPr>
            </w:pPr>
            <w:r>
              <w:rPr>
                <w:rFonts w:cs="Calibri"/>
                <w:spacing w:val="-6"/>
                <w:sz w:val="21"/>
                <w:szCs w:val="21"/>
              </w:rPr>
              <w:t>1</w:t>
            </w:r>
          </w:p>
        </w:tc>
        <w:tc>
          <w:tcPr>
            <w:tcW w:w="7229" w:type="dxa"/>
            <w:vAlign w:val="center"/>
          </w:tcPr>
          <w:p w14:paraId="778CD580">
            <w:pPr>
              <w:spacing w:line="288" w:lineRule="auto"/>
              <w:rPr>
                <w:rFonts w:cs="Calibri"/>
                <w:spacing w:val="-6"/>
                <w:sz w:val="21"/>
                <w:szCs w:val="21"/>
              </w:rPr>
            </w:pPr>
            <w:r>
              <w:rPr>
                <w:rFonts w:hint="eastAsia" w:cs="Calibri"/>
                <w:bCs/>
                <w:spacing w:val="-6"/>
                <w:sz w:val="21"/>
                <w:szCs w:val="21"/>
              </w:rPr>
              <w:t>软件应符合最新国家标准，供应商或制造商提供有关产品的测试报告（</w:t>
            </w:r>
            <w:r>
              <w:rPr>
                <w:rFonts w:hint="eastAsia" w:cs="Calibri"/>
                <w:spacing w:val="-6"/>
                <w:sz w:val="21"/>
                <w:szCs w:val="21"/>
              </w:rPr>
              <w:t>提供复印件加盖公章，得</w:t>
            </w:r>
            <w:r>
              <w:rPr>
                <w:rFonts w:cs="Calibri"/>
                <w:spacing w:val="-6"/>
                <w:sz w:val="21"/>
                <w:szCs w:val="21"/>
              </w:rPr>
              <w:t>1</w:t>
            </w:r>
            <w:r>
              <w:rPr>
                <w:rFonts w:hint="eastAsia" w:cs="Calibri"/>
                <w:spacing w:val="-6"/>
                <w:sz w:val="21"/>
                <w:szCs w:val="21"/>
              </w:rPr>
              <w:t>分）。</w:t>
            </w:r>
          </w:p>
        </w:tc>
      </w:tr>
      <w:tr w14:paraId="488D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14:paraId="320F278C">
            <w:pPr>
              <w:spacing w:line="288" w:lineRule="auto"/>
              <w:jc w:val="center"/>
              <w:rPr>
                <w:rFonts w:cs="Calibri"/>
                <w:spacing w:val="-6"/>
                <w:sz w:val="21"/>
                <w:szCs w:val="21"/>
              </w:rPr>
            </w:pPr>
            <w:r>
              <w:rPr>
                <w:rFonts w:hint="eastAsia" w:cs="Calibri"/>
                <w:spacing w:val="-6"/>
                <w:sz w:val="21"/>
                <w:szCs w:val="21"/>
              </w:rPr>
              <w:t>业绩</w:t>
            </w:r>
          </w:p>
        </w:tc>
        <w:tc>
          <w:tcPr>
            <w:tcW w:w="709" w:type="dxa"/>
            <w:vAlign w:val="center"/>
          </w:tcPr>
          <w:p w14:paraId="330BBE3D">
            <w:pPr>
              <w:spacing w:line="288" w:lineRule="auto"/>
              <w:jc w:val="center"/>
              <w:rPr>
                <w:rFonts w:cs="Calibri"/>
                <w:spacing w:val="-6"/>
                <w:sz w:val="21"/>
                <w:szCs w:val="21"/>
              </w:rPr>
            </w:pPr>
            <w:r>
              <w:rPr>
                <w:rFonts w:cs="Calibri"/>
                <w:spacing w:val="-6"/>
                <w:sz w:val="21"/>
                <w:szCs w:val="21"/>
              </w:rPr>
              <w:t>3</w:t>
            </w:r>
          </w:p>
        </w:tc>
        <w:tc>
          <w:tcPr>
            <w:tcW w:w="7229" w:type="dxa"/>
            <w:vAlign w:val="center"/>
          </w:tcPr>
          <w:p w14:paraId="29FB15AD">
            <w:pPr>
              <w:spacing w:line="288" w:lineRule="auto"/>
              <w:rPr>
                <w:rFonts w:cs="Calibri"/>
                <w:spacing w:val="-6"/>
                <w:sz w:val="21"/>
                <w:szCs w:val="21"/>
              </w:rPr>
            </w:pPr>
            <w:r>
              <w:rPr>
                <w:rFonts w:hint="eastAsia" w:cs="Calibri"/>
                <w:spacing w:val="-6"/>
                <w:sz w:val="21"/>
                <w:szCs w:val="21"/>
              </w:rPr>
              <w:t>供应商自20</w:t>
            </w:r>
            <w:r>
              <w:rPr>
                <w:rFonts w:cs="Calibri"/>
                <w:spacing w:val="-6"/>
                <w:sz w:val="21"/>
                <w:szCs w:val="21"/>
              </w:rPr>
              <w:t>22</w:t>
            </w:r>
            <w:r>
              <w:rPr>
                <w:rFonts w:hint="eastAsia" w:cs="Calibri"/>
                <w:spacing w:val="-6"/>
                <w:sz w:val="21"/>
                <w:szCs w:val="21"/>
              </w:rPr>
              <w:t>年1月1日以来（以合同签订时间为准）所投同类项目的业绩（以提供的完整合同复印件为准）：每提供1份合同业绩得1分，最高得</w:t>
            </w:r>
            <w:r>
              <w:rPr>
                <w:rFonts w:cs="Calibri"/>
                <w:spacing w:val="-6"/>
                <w:sz w:val="21"/>
                <w:szCs w:val="21"/>
              </w:rPr>
              <w:t>3</w:t>
            </w:r>
            <w:r>
              <w:rPr>
                <w:rFonts w:hint="eastAsia" w:cs="Calibri"/>
                <w:spacing w:val="-6"/>
                <w:sz w:val="21"/>
                <w:szCs w:val="21"/>
              </w:rPr>
              <w:t>分。</w:t>
            </w:r>
          </w:p>
        </w:tc>
      </w:tr>
      <w:tr w14:paraId="6C2C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14:paraId="057A53EE">
            <w:pPr>
              <w:spacing w:line="288" w:lineRule="auto"/>
              <w:jc w:val="center"/>
              <w:rPr>
                <w:rFonts w:cs="Calibri"/>
                <w:spacing w:val="-6"/>
                <w:sz w:val="21"/>
                <w:szCs w:val="21"/>
              </w:rPr>
            </w:pPr>
            <w:r>
              <w:rPr>
                <w:rFonts w:hint="eastAsia" w:cs="宋体"/>
                <w:color w:val="000000"/>
                <w:spacing w:val="-6"/>
                <w:sz w:val="21"/>
                <w:szCs w:val="21"/>
              </w:rPr>
              <w:t>质保期</w:t>
            </w:r>
          </w:p>
        </w:tc>
        <w:tc>
          <w:tcPr>
            <w:tcW w:w="709" w:type="dxa"/>
            <w:vAlign w:val="center"/>
          </w:tcPr>
          <w:p w14:paraId="3E19FC76">
            <w:pPr>
              <w:spacing w:line="288" w:lineRule="auto"/>
              <w:jc w:val="center"/>
              <w:rPr>
                <w:rFonts w:cs="Calibri"/>
                <w:spacing w:val="-6"/>
                <w:sz w:val="21"/>
                <w:szCs w:val="21"/>
              </w:rPr>
            </w:pPr>
            <w:r>
              <w:rPr>
                <w:rFonts w:cs="宋体"/>
                <w:color w:val="000000"/>
                <w:spacing w:val="-6"/>
                <w:sz w:val="21"/>
                <w:szCs w:val="21"/>
              </w:rPr>
              <w:t>2</w:t>
            </w:r>
          </w:p>
        </w:tc>
        <w:tc>
          <w:tcPr>
            <w:tcW w:w="7229" w:type="dxa"/>
            <w:vAlign w:val="center"/>
          </w:tcPr>
          <w:p w14:paraId="5EB0AD58">
            <w:pPr>
              <w:spacing w:line="288" w:lineRule="auto"/>
              <w:rPr>
                <w:rFonts w:cs="Calibri"/>
                <w:spacing w:val="-6"/>
                <w:sz w:val="21"/>
                <w:szCs w:val="21"/>
              </w:rPr>
            </w:pPr>
            <w:r>
              <w:rPr>
                <w:rFonts w:hint="eastAsia" w:cs="宋体"/>
                <w:color w:val="000000"/>
                <w:spacing w:val="-6"/>
                <w:sz w:val="21"/>
                <w:szCs w:val="21"/>
              </w:rPr>
              <w:t>质保期满足招标文件要求的基础上（本项目要求质保期不少于3年）,每延长1年加</w:t>
            </w:r>
            <w:r>
              <w:rPr>
                <w:rFonts w:cs="宋体"/>
                <w:color w:val="000000"/>
                <w:spacing w:val="-6"/>
                <w:sz w:val="21"/>
                <w:szCs w:val="21"/>
              </w:rPr>
              <w:t>1</w:t>
            </w:r>
            <w:r>
              <w:rPr>
                <w:rFonts w:hint="eastAsia" w:cs="宋体"/>
                <w:color w:val="000000"/>
                <w:spacing w:val="-6"/>
                <w:sz w:val="21"/>
                <w:szCs w:val="21"/>
              </w:rPr>
              <w:t>分，最高得</w:t>
            </w:r>
            <w:r>
              <w:rPr>
                <w:rFonts w:cs="宋体"/>
                <w:color w:val="000000"/>
                <w:spacing w:val="-6"/>
                <w:sz w:val="21"/>
                <w:szCs w:val="21"/>
              </w:rPr>
              <w:t>2</w:t>
            </w:r>
            <w:r>
              <w:rPr>
                <w:rFonts w:hint="eastAsia" w:cs="宋体"/>
                <w:color w:val="000000"/>
                <w:spacing w:val="-6"/>
                <w:sz w:val="21"/>
                <w:szCs w:val="21"/>
              </w:rPr>
              <w:t>分，延长时间不足一年不计入加分。</w:t>
            </w:r>
          </w:p>
        </w:tc>
      </w:tr>
      <w:tr w14:paraId="6E84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0" w:type="dxa"/>
            <w:gridSpan w:val="3"/>
            <w:vAlign w:val="center"/>
          </w:tcPr>
          <w:p w14:paraId="670E4438">
            <w:pPr>
              <w:spacing w:line="288" w:lineRule="auto"/>
              <w:rPr>
                <w:rFonts w:cs="Calibri"/>
                <w:spacing w:val="-6"/>
                <w:sz w:val="21"/>
                <w:szCs w:val="21"/>
              </w:rPr>
            </w:pPr>
            <w:r>
              <w:rPr>
                <w:rFonts w:hint="eastAsia" w:cs="Calibri"/>
                <w:b/>
                <w:spacing w:val="-6"/>
                <w:sz w:val="21"/>
                <w:szCs w:val="21"/>
              </w:rPr>
              <w:t>技术分（5</w:t>
            </w:r>
            <w:r>
              <w:rPr>
                <w:rFonts w:cs="Calibri"/>
                <w:b/>
                <w:spacing w:val="-6"/>
                <w:sz w:val="21"/>
                <w:szCs w:val="21"/>
              </w:rPr>
              <w:t>8</w:t>
            </w:r>
            <w:r>
              <w:rPr>
                <w:rFonts w:hint="eastAsia" w:cs="Calibri"/>
                <w:b/>
                <w:spacing w:val="-6"/>
                <w:sz w:val="21"/>
                <w:szCs w:val="21"/>
              </w:rPr>
              <w:t>分）</w:t>
            </w:r>
          </w:p>
        </w:tc>
      </w:tr>
      <w:tr w14:paraId="5F10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14:paraId="0A638E5F">
            <w:pPr>
              <w:spacing w:before="163" w:beforeLines="50" w:after="163" w:afterLines="50" w:line="240" w:lineRule="atLeast"/>
              <w:jc w:val="center"/>
              <w:rPr>
                <w:rFonts w:cs="宋体"/>
                <w:bCs/>
                <w:sz w:val="21"/>
                <w:szCs w:val="21"/>
              </w:rPr>
            </w:pPr>
            <w:r>
              <w:rPr>
                <w:rFonts w:cs="Calibri"/>
                <w:spacing w:val="-6"/>
                <w:sz w:val="21"/>
                <w:szCs w:val="21"/>
              </w:rPr>
              <w:t>投标产品的响应程度</w:t>
            </w:r>
          </w:p>
        </w:tc>
        <w:tc>
          <w:tcPr>
            <w:tcW w:w="709" w:type="dxa"/>
            <w:vAlign w:val="center"/>
          </w:tcPr>
          <w:p w14:paraId="7630C113">
            <w:pPr>
              <w:spacing w:before="163" w:beforeLines="50" w:after="163" w:afterLines="50" w:line="240" w:lineRule="atLeast"/>
              <w:rPr>
                <w:rFonts w:cs="宋体"/>
                <w:bCs/>
                <w:sz w:val="21"/>
                <w:szCs w:val="21"/>
              </w:rPr>
            </w:pPr>
            <w:r>
              <w:rPr>
                <w:rFonts w:cs="宋体"/>
                <w:bCs/>
                <w:sz w:val="21"/>
                <w:szCs w:val="21"/>
              </w:rPr>
              <w:t>20</w:t>
            </w:r>
          </w:p>
        </w:tc>
        <w:tc>
          <w:tcPr>
            <w:tcW w:w="7229" w:type="dxa"/>
            <w:vAlign w:val="center"/>
          </w:tcPr>
          <w:p w14:paraId="7A104CBF">
            <w:pPr>
              <w:spacing w:line="288" w:lineRule="auto"/>
              <w:rPr>
                <w:rFonts w:cs="宋体"/>
                <w:spacing w:val="-6"/>
                <w:sz w:val="21"/>
                <w:szCs w:val="21"/>
              </w:rPr>
            </w:pPr>
            <w:r>
              <w:rPr>
                <w:rFonts w:hint="eastAsia" w:cs="宋体"/>
                <w:spacing w:val="-6"/>
                <w:sz w:val="21"/>
                <w:szCs w:val="21"/>
              </w:rPr>
              <w:t>供应商所投产品技术参数中标记“▲”不得偏离，全部满足招标需求的得</w:t>
            </w:r>
            <w:r>
              <w:rPr>
                <w:rFonts w:cs="宋体"/>
                <w:spacing w:val="-6"/>
                <w:sz w:val="21"/>
                <w:szCs w:val="21"/>
              </w:rPr>
              <w:t>20</w:t>
            </w:r>
            <w:r>
              <w:rPr>
                <w:rFonts w:hint="eastAsia" w:cs="宋体"/>
                <w:spacing w:val="-6"/>
                <w:sz w:val="21"/>
                <w:szCs w:val="21"/>
              </w:rPr>
              <w:t>分，要求提供满足系统功能截图的技术参数每负偏一项离扣</w:t>
            </w:r>
            <w:r>
              <w:rPr>
                <w:rFonts w:cs="宋体"/>
                <w:spacing w:val="-6"/>
                <w:sz w:val="21"/>
                <w:szCs w:val="21"/>
              </w:rPr>
              <w:t>2</w:t>
            </w:r>
            <w:r>
              <w:rPr>
                <w:rFonts w:hint="eastAsia" w:cs="宋体"/>
                <w:spacing w:val="-6"/>
                <w:sz w:val="21"/>
                <w:szCs w:val="21"/>
              </w:rPr>
              <w:t>分，扣完为止；其余未标注“★”或未要求提供系统功能截图的一般技术参数有负偏离项每项扣</w:t>
            </w:r>
            <w:r>
              <w:rPr>
                <w:rFonts w:cs="宋体"/>
                <w:spacing w:val="-6"/>
                <w:sz w:val="21"/>
                <w:szCs w:val="21"/>
              </w:rPr>
              <w:t>1</w:t>
            </w:r>
            <w:r>
              <w:rPr>
                <w:rFonts w:hint="eastAsia" w:cs="宋体"/>
                <w:spacing w:val="-6"/>
                <w:sz w:val="21"/>
                <w:szCs w:val="21"/>
              </w:rPr>
              <w:t>分；</w:t>
            </w:r>
          </w:p>
          <w:p w14:paraId="0DC3A169">
            <w:pPr>
              <w:spacing w:line="288" w:lineRule="auto"/>
              <w:rPr>
                <w:rFonts w:cs="宋体"/>
                <w:spacing w:val="-6"/>
                <w:sz w:val="21"/>
                <w:szCs w:val="21"/>
              </w:rPr>
            </w:pPr>
            <w:r>
              <w:rPr>
                <w:rFonts w:hint="eastAsia" w:cs="宋体"/>
                <w:spacing w:val="-6"/>
                <w:sz w:val="21"/>
                <w:szCs w:val="21"/>
              </w:rPr>
              <w:t>注：（1）标记“▲”的有关技术参数为实质性条款，投标人不得偏离，否则视为无效响应文件。</w:t>
            </w:r>
          </w:p>
          <w:p w14:paraId="783CF1DC">
            <w:pPr>
              <w:spacing w:line="288" w:lineRule="auto"/>
              <w:rPr>
                <w:rFonts w:hAnsi="Times New Roman" w:cs="宋体"/>
                <w:spacing w:val="-6"/>
                <w:sz w:val="21"/>
                <w:szCs w:val="21"/>
              </w:rPr>
            </w:pPr>
            <w:r>
              <w:rPr>
                <w:rFonts w:hint="eastAsia" w:cs="宋体"/>
                <w:spacing w:val="-6"/>
                <w:sz w:val="21"/>
                <w:szCs w:val="21"/>
              </w:rPr>
              <w:t>（2）投标人未提供或提供的系统功能截图不满足技术参数要求的视为负偏离。</w:t>
            </w:r>
            <w:r>
              <w:rPr>
                <w:rFonts w:hint="eastAsia" w:cs="宋体"/>
                <w:b/>
                <w:spacing w:val="-6"/>
                <w:sz w:val="21"/>
                <w:szCs w:val="21"/>
              </w:rPr>
              <w:t>。</w:t>
            </w:r>
          </w:p>
        </w:tc>
      </w:tr>
      <w:tr w14:paraId="789B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14:paraId="4FB4BD8D">
            <w:pPr>
              <w:spacing w:line="288" w:lineRule="auto"/>
              <w:jc w:val="center"/>
              <w:rPr>
                <w:rFonts w:cs="Calibri"/>
                <w:sz w:val="21"/>
                <w:szCs w:val="21"/>
              </w:rPr>
            </w:pPr>
            <w:r>
              <w:rPr>
                <w:rFonts w:hint="eastAsia" w:cs="Calibri"/>
                <w:sz w:val="21"/>
                <w:szCs w:val="21"/>
              </w:rPr>
              <w:t>项目实施方案</w:t>
            </w:r>
          </w:p>
        </w:tc>
        <w:tc>
          <w:tcPr>
            <w:tcW w:w="709" w:type="dxa"/>
            <w:vAlign w:val="center"/>
          </w:tcPr>
          <w:p w14:paraId="35B2E8C5">
            <w:pPr>
              <w:spacing w:line="288" w:lineRule="auto"/>
              <w:jc w:val="center"/>
              <w:rPr>
                <w:rFonts w:cs="Calibri"/>
                <w:spacing w:val="-6"/>
                <w:sz w:val="21"/>
                <w:szCs w:val="21"/>
              </w:rPr>
            </w:pPr>
            <w:r>
              <w:rPr>
                <w:rFonts w:cs="Calibri"/>
                <w:spacing w:val="-6"/>
                <w:sz w:val="21"/>
                <w:szCs w:val="21"/>
              </w:rPr>
              <w:t>5</w:t>
            </w:r>
          </w:p>
        </w:tc>
        <w:tc>
          <w:tcPr>
            <w:tcW w:w="7229" w:type="dxa"/>
            <w:vAlign w:val="center"/>
          </w:tcPr>
          <w:p w14:paraId="3B45D76F">
            <w:pPr>
              <w:spacing w:line="288" w:lineRule="auto"/>
              <w:rPr>
                <w:rFonts w:cs="Calibri"/>
                <w:spacing w:val="-6"/>
                <w:sz w:val="21"/>
                <w:szCs w:val="21"/>
              </w:rPr>
            </w:pPr>
            <w:r>
              <w:rPr>
                <w:rFonts w:hint="eastAsia" w:cs="Calibri"/>
                <w:sz w:val="21"/>
                <w:szCs w:val="21"/>
              </w:rPr>
              <w:t>对响应方针对本项目提供详细完善、科学的方案，有针对性，充分考虑到本项目的特点，项目实施组织架构、实施计划、技术保障措施、质量保障措施、项目运行、验收方案等内容。</w:t>
            </w:r>
          </w:p>
        </w:tc>
      </w:tr>
      <w:tr w14:paraId="2E11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14:paraId="2E7E08D6">
            <w:pPr>
              <w:spacing w:line="288" w:lineRule="auto"/>
              <w:jc w:val="center"/>
              <w:rPr>
                <w:rFonts w:cs="Calibri"/>
                <w:sz w:val="21"/>
                <w:szCs w:val="21"/>
              </w:rPr>
            </w:pPr>
            <w:r>
              <w:rPr>
                <w:rFonts w:hint="eastAsia" w:cs="Calibri"/>
                <w:sz w:val="21"/>
                <w:szCs w:val="21"/>
              </w:rPr>
              <w:t>售后服务</w:t>
            </w:r>
          </w:p>
        </w:tc>
        <w:tc>
          <w:tcPr>
            <w:tcW w:w="709" w:type="dxa"/>
            <w:vAlign w:val="center"/>
          </w:tcPr>
          <w:p w14:paraId="47EECFF6">
            <w:pPr>
              <w:spacing w:line="288" w:lineRule="auto"/>
              <w:jc w:val="center"/>
              <w:rPr>
                <w:rFonts w:cs="Calibri"/>
                <w:spacing w:val="-6"/>
                <w:sz w:val="21"/>
                <w:szCs w:val="21"/>
              </w:rPr>
            </w:pPr>
            <w:r>
              <w:rPr>
                <w:rFonts w:cs="Calibri"/>
                <w:spacing w:val="-6"/>
                <w:sz w:val="21"/>
                <w:szCs w:val="21"/>
              </w:rPr>
              <w:t>3</w:t>
            </w:r>
          </w:p>
        </w:tc>
        <w:tc>
          <w:tcPr>
            <w:tcW w:w="7229" w:type="dxa"/>
            <w:vAlign w:val="center"/>
          </w:tcPr>
          <w:p w14:paraId="08F94222">
            <w:pPr>
              <w:spacing w:line="288" w:lineRule="auto"/>
              <w:rPr>
                <w:rFonts w:cs="Calibri"/>
                <w:sz w:val="21"/>
                <w:szCs w:val="21"/>
              </w:rPr>
            </w:pPr>
            <w:r>
              <w:rPr>
                <w:rFonts w:hint="eastAsia" w:cs="Calibri"/>
                <w:sz w:val="21"/>
                <w:szCs w:val="21"/>
              </w:rPr>
              <w:t>完整合理的有针对性的售后服务方案（从质保期、故障响应时间、培训方案、</w:t>
            </w:r>
            <w:r>
              <w:rPr>
                <w:rFonts w:hint="eastAsia" w:cs="Calibri"/>
                <w:bCs/>
                <w:sz w:val="21"/>
                <w:szCs w:val="21"/>
              </w:rPr>
              <w:t>人员、现场服务能力</w:t>
            </w:r>
            <w:r>
              <w:rPr>
                <w:rFonts w:hint="eastAsia" w:cs="Calibri"/>
                <w:sz w:val="21"/>
                <w:szCs w:val="21"/>
              </w:rPr>
              <w:t>综合评价）。</w:t>
            </w:r>
          </w:p>
        </w:tc>
      </w:tr>
      <w:tr w14:paraId="2567F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14:paraId="6571FB86">
            <w:pPr>
              <w:spacing w:line="288" w:lineRule="auto"/>
              <w:jc w:val="center"/>
              <w:rPr>
                <w:rFonts w:cs="宋体"/>
                <w:color w:val="000000"/>
                <w:sz w:val="21"/>
                <w:szCs w:val="21"/>
              </w:rPr>
            </w:pPr>
            <w:r>
              <w:rPr>
                <w:rFonts w:hint="eastAsia" w:cs="Calibri"/>
                <w:sz w:val="21"/>
                <w:szCs w:val="21"/>
              </w:rPr>
              <w:t>技术服务培训</w:t>
            </w:r>
          </w:p>
        </w:tc>
        <w:tc>
          <w:tcPr>
            <w:tcW w:w="709" w:type="dxa"/>
            <w:vAlign w:val="center"/>
          </w:tcPr>
          <w:p w14:paraId="17602EC7">
            <w:pPr>
              <w:spacing w:line="288" w:lineRule="auto"/>
              <w:jc w:val="center"/>
              <w:rPr>
                <w:rFonts w:cs="宋体"/>
                <w:color w:val="000000"/>
                <w:spacing w:val="-6"/>
                <w:sz w:val="21"/>
                <w:szCs w:val="21"/>
              </w:rPr>
            </w:pPr>
            <w:r>
              <w:rPr>
                <w:rFonts w:cs="Calibri"/>
                <w:spacing w:val="-6"/>
                <w:sz w:val="21"/>
                <w:szCs w:val="21"/>
              </w:rPr>
              <w:t>2</w:t>
            </w:r>
          </w:p>
        </w:tc>
        <w:tc>
          <w:tcPr>
            <w:tcW w:w="7229" w:type="dxa"/>
            <w:vAlign w:val="center"/>
          </w:tcPr>
          <w:p w14:paraId="5C5B1895">
            <w:pPr>
              <w:spacing w:line="288" w:lineRule="auto"/>
              <w:rPr>
                <w:rFonts w:cs="宋体"/>
                <w:color w:val="000000"/>
                <w:sz w:val="21"/>
                <w:szCs w:val="21"/>
              </w:rPr>
            </w:pPr>
            <w:r>
              <w:rPr>
                <w:rFonts w:hint="eastAsia" w:cs="Calibri"/>
                <w:sz w:val="21"/>
                <w:szCs w:val="21"/>
              </w:rPr>
              <w:t>专业服务力量和服务保障，培训计划内容合理、详细，培训范围广，可实施有针对性</w:t>
            </w:r>
            <w:r>
              <w:rPr>
                <w:rFonts w:hint="eastAsia" w:cs="宋体"/>
                <w:sz w:val="21"/>
                <w:szCs w:val="21"/>
              </w:rPr>
              <w:t>。</w:t>
            </w:r>
          </w:p>
        </w:tc>
      </w:tr>
      <w:tr w14:paraId="4FC0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702" w:type="dxa"/>
            <w:vAlign w:val="center"/>
          </w:tcPr>
          <w:p w14:paraId="5556498A">
            <w:pPr>
              <w:spacing w:line="288" w:lineRule="auto"/>
              <w:jc w:val="center"/>
              <w:rPr>
                <w:rFonts w:cs="Calibri"/>
                <w:spacing w:val="-6"/>
                <w:sz w:val="21"/>
                <w:szCs w:val="21"/>
              </w:rPr>
            </w:pPr>
            <w:r>
              <w:rPr>
                <w:rFonts w:hint="eastAsia" w:cs="Calibri"/>
                <w:spacing w:val="-6"/>
                <w:sz w:val="21"/>
                <w:szCs w:val="21"/>
              </w:rPr>
              <w:t>演示</w:t>
            </w:r>
          </w:p>
        </w:tc>
        <w:tc>
          <w:tcPr>
            <w:tcW w:w="709" w:type="dxa"/>
            <w:vAlign w:val="center"/>
          </w:tcPr>
          <w:p w14:paraId="68F96575">
            <w:pPr>
              <w:spacing w:line="288" w:lineRule="auto"/>
              <w:rPr>
                <w:rFonts w:cs="Calibri"/>
                <w:spacing w:val="-6"/>
                <w:sz w:val="21"/>
                <w:szCs w:val="21"/>
              </w:rPr>
            </w:pPr>
            <w:r>
              <w:rPr>
                <w:rFonts w:cs="Calibri"/>
                <w:spacing w:val="-6"/>
                <w:sz w:val="21"/>
                <w:szCs w:val="21"/>
              </w:rPr>
              <w:t>28</w:t>
            </w:r>
          </w:p>
        </w:tc>
        <w:tc>
          <w:tcPr>
            <w:tcW w:w="7229" w:type="dxa"/>
            <w:vAlign w:val="center"/>
          </w:tcPr>
          <w:p w14:paraId="2A870E0C">
            <w:pPr>
              <w:spacing w:line="288" w:lineRule="auto"/>
              <w:rPr>
                <w:rFonts w:cs="Arial"/>
                <w:sz w:val="21"/>
                <w:szCs w:val="21"/>
              </w:rPr>
            </w:pPr>
            <w:r>
              <w:rPr>
                <w:rFonts w:hint="eastAsia" w:cs="Arial"/>
                <w:sz w:val="21"/>
                <w:szCs w:val="21"/>
              </w:rPr>
              <w:t>标注“★”</w:t>
            </w:r>
            <w:r>
              <w:rPr>
                <w:rFonts w:hint="eastAsia" w:cs="Arial"/>
                <w:b/>
                <w:bCs/>
                <w:color w:val="FF0000"/>
                <w:sz w:val="21"/>
                <w:szCs w:val="21"/>
                <w:lang w:val="en-US" w:eastAsia="zh-CN"/>
              </w:rPr>
              <w:t>7</w:t>
            </w:r>
            <w:r>
              <w:rPr>
                <w:rFonts w:hint="eastAsia" w:cs="Arial"/>
                <w:sz w:val="21"/>
                <w:szCs w:val="21"/>
              </w:rPr>
              <w:t>条技术参数内容演示，演示时间不超过15分钟，演示所需要的设备由供应商自行准备。</w:t>
            </w:r>
            <w:r>
              <w:rPr>
                <w:rFonts w:hint="eastAsia" w:cs="宋体"/>
                <w:sz w:val="21"/>
                <w:szCs w:val="21"/>
              </w:rPr>
              <w:t>演示过程</w:t>
            </w:r>
            <w:r>
              <w:rPr>
                <w:rFonts w:cs="宋体"/>
                <w:sz w:val="21"/>
                <w:szCs w:val="21"/>
              </w:rPr>
              <w:t>中</w:t>
            </w:r>
            <w:r>
              <w:rPr>
                <w:rFonts w:hint="eastAsia" w:cs="宋体"/>
                <w:sz w:val="21"/>
                <w:szCs w:val="21"/>
              </w:rPr>
              <w:t>技术</w:t>
            </w:r>
            <w:r>
              <w:rPr>
                <w:rFonts w:cs="宋体"/>
                <w:sz w:val="21"/>
                <w:szCs w:val="21"/>
              </w:rPr>
              <w:t>参数</w:t>
            </w:r>
            <w:r>
              <w:rPr>
                <w:rFonts w:hint="eastAsia" w:cs="宋体"/>
                <w:sz w:val="21"/>
                <w:szCs w:val="21"/>
              </w:rPr>
              <w:t>不</w:t>
            </w:r>
            <w:r>
              <w:rPr>
                <w:rFonts w:cs="宋体"/>
                <w:sz w:val="21"/>
                <w:szCs w:val="21"/>
              </w:rPr>
              <w:t>满足</w:t>
            </w:r>
            <w:r>
              <w:rPr>
                <w:rFonts w:hint="eastAsia" w:cs="宋体"/>
                <w:sz w:val="21"/>
                <w:szCs w:val="21"/>
              </w:rPr>
              <w:t>招标</w:t>
            </w:r>
            <w:r>
              <w:rPr>
                <w:rFonts w:cs="宋体"/>
                <w:sz w:val="21"/>
                <w:szCs w:val="21"/>
              </w:rPr>
              <w:t>要求的</w:t>
            </w:r>
            <w:r>
              <w:rPr>
                <w:rFonts w:hint="eastAsia" w:cs="宋体"/>
                <w:sz w:val="21"/>
                <w:szCs w:val="21"/>
              </w:rPr>
              <w:t>每</w:t>
            </w:r>
            <w:r>
              <w:rPr>
                <w:rFonts w:cs="宋体"/>
                <w:sz w:val="21"/>
                <w:szCs w:val="21"/>
              </w:rPr>
              <w:t>条</w:t>
            </w:r>
            <w:r>
              <w:rPr>
                <w:rFonts w:hint="eastAsia" w:cs="宋体"/>
                <w:sz w:val="21"/>
                <w:szCs w:val="21"/>
              </w:rPr>
              <w:t>扣</w:t>
            </w:r>
            <w:r>
              <w:rPr>
                <w:rFonts w:hint="eastAsia" w:cs="宋体"/>
                <w:b/>
                <w:bCs/>
                <w:color w:val="FF0000"/>
                <w:sz w:val="21"/>
                <w:szCs w:val="21"/>
                <w:lang w:val="en-US" w:eastAsia="zh-CN"/>
              </w:rPr>
              <w:t>4</w:t>
            </w:r>
            <w:r>
              <w:rPr>
                <w:rFonts w:hint="eastAsia" w:cs="宋体"/>
                <w:sz w:val="21"/>
                <w:szCs w:val="21"/>
              </w:rPr>
              <w:t>分，</w:t>
            </w:r>
            <w:r>
              <w:rPr>
                <w:rFonts w:cs="宋体"/>
                <w:sz w:val="21"/>
                <w:szCs w:val="21"/>
              </w:rPr>
              <w:t>扣完为止。</w:t>
            </w:r>
            <w:r>
              <w:rPr>
                <w:rFonts w:hint="eastAsia" w:ascii="Calibri" w:cs="Calibri"/>
                <w:spacing w:val="-6"/>
                <w:sz w:val="21"/>
                <w:szCs w:val="21"/>
              </w:rPr>
              <w:t>所演示系统为真实运行的系统，供应商只提供</w:t>
            </w:r>
            <w:r>
              <w:rPr>
                <w:rFonts w:ascii="Calibri" w:cs="Calibri"/>
                <w:spacing w:val="-6"/>
                <w:sz w:val="21"/>
                <w:szCs w:val="21"/>
              </w:rPr>
              <w:t xml:space="preserve">PPT </w:t>
            </w:r>
            <w:r>
              <w:rPr>
                <w:rFonts w:hint="eastAsia" w:ascii="Calibri" w:cs="Calibri"/>
                <w:spacing w:val="-6"/>
                <w:sz w:val="21"/>
                <w:szCs w:val="21"/>
              </w:rPr>
              <w:t>等方式演示的或未提供演示不得分。</w:t>
            </w:r>
          </w:p>
        </w:tc>
      </w:tr>
    </w:tbl>
    <w:p w14:paraId="57B83E21">
      <w:pPr>
        <w:widowControl/>
        <w:spacing w:line="240" w:lineRule="auto"/>
        <w:jc w:val="left"/>
      </w:pPr>
      <w:r>
        <w:br w:type="page"/>
      </w:r>
    </w:p>
    <w:p w14:paraId="55D0B156">
      <w:pPr>
        <w:pStyle w:val="2"/>
      </w:pPr>
      <w:r>
        <w:rPr>
          <w:rFonts w:hint="eastAsia"/>
        </w:rPr>
        <w:t>第五章 合同主要条款</w:t>
      </w:r>
      <w:bookmarkEnd w:id="21"/>
      <w:bookmarkEnd w:id="22"/>
    </w:p>
    <w:p w14:paraId="143770AF">
      <w:pPr>
        <w:autoSpaceDE w:val="0"/>
        <w:autoSpaceDN w:val="0"/>
        <w:adjustRightInd w:val="0"/>
        <w:snapToGrid w:val="0"/>
        <w:jc w:val="center"/>
        <w:textAlignment w:val="bottom"/>
        <w:rPr>
          <w:rFonts w:cs="宋体"/>
          <w:b/>
          <w:bCs/>
          <w:color w:val="000000" w:themeColor="text1"/>
          <w14:textFill>
            <w14:solidFill>
              <w14:schemeClr w14:val="tx1"/>
            </w14:solidFill>
          </w14:textFill>
        </w:rPr>
      </w:pPr>
      <w:bookmarkStart w:id="23" w:name="_Toc67814479"/>
      <w:bookmarkStart w:id="24" w:name="_Toc130455810"/>
      <w:r>
        <w:rPr>
          <w:rFonts w:hint="eastAsia" w:cs="宋体"/>
          <w:b/>
          <w:bCs/>
          <w:color w:val="000000" w:themeColor="text1"/>
          <w14:textFill>
            <w14:solidFill>
              <w14:schemeClr w14:val="tx1"/>
            </w14:solidFill>
          </w14:textFill>
        </w:rPr>
        <w:t>湖州职业技术学院采购合同</w:t>
      </w:r>
    </w:p>
    <w:p w14:paraId="7BE71150">
      <w:pPr>
        <w:wordWrap w:val="0"/>
        <w:ind w:right="120"/>
        <w:jc w:val="righ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                                                     </w:t>
      </w:r>
    </w:p>
    <w:p w14:paraId="55935968">
      <w:pPr>
        <w:wordWrap w:val="0"/>
        <w:ind w:right="120"/>
        <w:jc w:val="righ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 xml:space="preserve">合同编号：         </w:t>
      </w:r>
    </w:p>
    <w:p w14:paraId="7DB890D5">
      <w:pPr>
        <w:wordWrap w:val="0"/>
        <w:jc w:val="righ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 xml:space="preserve">确认书号：          </w:t>
      </w:r>
    </w:p>
    <w:p w14:paraId="381B7E32">
      <w:pPr>
        <w:spacing w:line="400" w:lineRule="exact"/>
        <w:jc w:val="right"/>
        <w:rPr>
          <w:rFonts w:cs="宋体"/>
          <w:color w:val="000000" w:themeColor="text1"/>
          <w:szCs w:val="21"/>
          <w14:textFill>
            <w14:solidFill>
              <w14:schemeClr w14:val="tx1"/>
            </w14:solidFill>
          </w14:textFill>
        </w:rPr>
      </w:pPr>
    </w:p>
    <w:p w14:paraId="57457DB4">
      <w:pPr>
        <w:spacing w:line="400" w:lineRule="exact"/>
        <w:rPr>
          <w:rFonts w:cs="宋体"/>
          <w:b/>
          <w:szCs w:val="21"/>
        </w:rPr>
      </w:pPr>
      <w:r>
        <w:rPr>
          <w:rFonts w:hint="eastAsia" w:cs="宋体"/>
          <w:b/>
          <w:szCs w:val="21"/>
        </w:rPr>
        <w:t>甲方：湖州职业技术学院</w:t>
      </w:r>
    </w:p>
    <w:p w14:paraId="7B5335B3">
      <w:pPr>
        <w:spacing w:line="400" w:lineRule="exact"/>
        <w:rPr>
          <w:rFonts w:cs="宋体"/>
          <w:b/>
          <w:szCs w:val="21"/>
        </w:rPr>
      </w:pPr>
      <w:r>
        <w:rPr>
          <w:rFonts w:hint="eastAsia" w:cs="宋体"/>
          <w:b/>
          <w:szCs w:val="21"/>
        </w:rPr>
        <w:t>乙方：</w:t>
      </w:r>
    </w:p>
    <w:p w14:paraId="4FC22637">
      <w:pPr>
        <w:spacing w:line="400" w:lineRule="exact"/>
        <w:ind w:firstLine="480" w:firstLineChars="200"/>
        <w:rPr>
          <w:rFonts w:cs="宋体"/>
          <w:szCs w:val="21"/>
        </w:rPr>
      </w:pPr>
      <w:r>
        <w:rPr>
          <w:rFonts w:hint="eastAsia" w:cs="宋体"/>
          <w:szCs w:val="21"/>
        </w:rPr>
        <w:t>甲方所需的</w:t>
      </w:r>
      <w:r>
        <w:rPr>
          <w:rFonts w:hint="eastAsia" w:cs="Arial"/>
          <w:b/>
          <w:szCs w:val="21"/>
          <w:u w:val="single"/>
        </w:rPr>
        <w:t xml:space="preserve"> 湖州职业技术学院智能制造虚拟仿真实训中心设备采购项目</w:t>
      </w:r>
      <w:r>
        <w:rPr>
          <w:rFonts w:hint="eastAsia" w:cs="宋体"/>
          <w:szCs w:val="21"/>
        </w:rPr>
        <w:t>采购项目，经双方协商一致，签订本合同，共同信守。</w:t>
      </w:r>
    </w:p>
    <w:p w14:paraId="5A59298D">
      <w:pPr>
        <w:spacing w:line="400" w:lineRule="exact"/>
        <w:ind w:firstLine="472" w:firstLineChars="196"/>
        <w:rPr>
          <w:rFonts w:cs="宋体"/>
          <w:b/>
          <w:szCs w:val="21"/>
        </w:rPr>
      </w:pPr>
      <w:r>
        <w:rPr>
          <w:rFonts w:hint="eastAsia" w:cs="宋体"/>
          <w:b/>
          <w:szCs w:val="21"/>
        </w:rPr>
        <w:t>第一条 组成本合同的文件</w:t>
      </w:r>
    </w:p>
    <w:p w14:paraId="74ACA56D">
      <w:pPr>
        <w:spacing w:line="400" w:lineRule="exact"/>
        <w:ind w:firstLine="480" w:firstLineChars="200"/>
        <w:rPr>
          <w:rFonts w:cs="宋体"/>
          <w:szCs w:val="21"/>
        </w:rPr>
      </w:pPr>
      <w:r>
        <w:rPr>
          <w:rFonts w:hint="eastAsia" w:cs="宋体"/>
          <w:szCs w:val="21"/>
        </w:rPr>
        <w:t>下述文件均为本合同的组成部分：</w:t>
      </w:r>
    </w:p>
    <w:p w14:paraId="5893CDCA">
      <w:pPr>
        <w:spacing w:line="400" w:lineRule="exact"/>
        <w:ind w:firstLine="480" w:firstLineChars="200"/>
        <w:rPr>
          <w:rFonts w:cs="宋体"/>
          <w:szCs w:val="21"/>
        </w:rPr>
      </w:pPr>
      <w:r>
        <w:rPr>
          <w:rFonts w:hint="eastAsia" w:cs="宋体"/>
          <w:szCs w:val="21"/>
        </w:rPr>
        <w:t>1、本合同书；</w:t>
      </w:r>
    </w:p>
    <w:p w14:paraId="39C22923">
      <w:pPr>
        <w:spacing w:line="400" w:lineRule="exact"/>
        <w:ind w:firstLine="480" w:firstLineChars="200"/>
        <w:rPr>
          <w:rFonts w:cs="宋体"/>
          <w:szCs w:val="21"/>
        </w:rPr>
      </w:pPr>
      <w:r>
        <w:rPr>
          <w:rFonts w:hint="eastAsia" w:cs="宋体"/>
          <w:szCs w:val="21"/>
        </w:rPr>
        <w:t>2、本项目相关采购文件、响应文件及承诺等；</w:t>
      </w:r>
    </w:p>
    <w:p w14:paraId="71243BAC">
      <w:pPr>
        <w:spacing w:line="400" w:lineRule="exact"/>
        <w:ind w:firstLine="480" w:firstLineChars="200"/>
        <w:rPr>
          <w:rFonts w:cs="宋体"/>
          <w:szCs w:val="21"/>
        </w:rPr>
      </w:pPr>
      <w:r>
        <w:rPr>
          <w:rFonts w:hint="eastAsia" w:cs="宋体"/>
          <w:szCs w:val="21"/>
        </w:rPr>
        <w:t>3、双方有关此采购项目的书面协议或文件。</w:t>
      </w:r>
    </w:p>
    <w:p w14:paraId="3CC2EAFB">
      <w:pPr>
        <w:spacing w:line="400" w:lineRule="exact"/>
        <w:ind w:firstLine="472" w:firstLineChars="196"/>
        <w:rPr>
          <w:rFonts w:cs="宋体"/>
          <w:b/>
          <w:szCs w:val="21"/>
        </w:rPr>
      </w:pPr>
      <w:r>
        <w:rPr>
          <w:rFonts w:hint="eastAsia" w:cs="宋体"/>
          <w:b/>
          <w:szCs w:val="21"/>
        </w:rPr>
        <w:t xml:space="preserve">第二条 采购商品清单及价格   </w:t>
      </w:r>
    </w:p>
    <w:p w14:paraId="4D79D6FE">
      <w:pPr>
        <w:spacing w:line="400" w:lineRule="exact"/>
        <w:ind w:firstLine="480" w:firstLineChars="200"/>
        <w:rPr>
          <w:rFonts w:cs="宋体"/>
          <w:szCs w:val="21"/>
        </w:rPr>
      </w:pPr>
      <w:r>
        <w:rPr>
          <w:rFonts w:hint="eastAsia" w:cs="宋体"/>
          <w:position w:val="-2"/>
          <w:szCs w:val="21"/>
        </w:rPr>
        <w:t>设备详细技术指标：详见附件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188"/>
        <w:gridCol w:w="1867"/>
        <w:gridCol w:w="713"/>
        <w:gridCol w:w="920"/>
        <w:gridCol w:w="1331"/>
        <w:gridCol w:w="849"/>
      </w:tblGrid>
      <w:tr w14:paraId="7E72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57" w:type="dxa"/>
            <w:vAlign w:val="center"/>
          </w:tcPr>
          <w:p w14:paraId="6454C6F5">
            <w:pPr>
              <w:widowControl/>
              <w:spacing w:line="400" w:lineRule="exact"/>
              <w:jc w:val="center"/>
              <w:rPr>
                <w:rFonts w:cs="宋体"/>
                <w:b/>
                <w:kern w:val="0"/>
                <w:szCs w:val="21"/>
              </w:rPr>
            </w:pPr>
            <w:r>
              <w:rPr>
                <w:rFonts w:hint="eastAsia" w:cs="宋体"/>
                <w:b/>
                <w:kern w:val="0"/>
                <w:szCs w:val="21"/>
              </w:rPr>
              <w:t>序号</w:t>
            </w:r>
          </w:p>
        </w:tc>
        <w:tc>
          <w:tcPr>
            <w:tcW w:w="2188" w:type="dxa"/>
            <w:vAlign w:val="center"/>
          </w:tcPr>
          <w:p w14:paraId="773D06A9">
            <w:pPr>
              <w:widowControl/>
              <w:spacing w:line="400" w:lineRule="exact"/>
              <w:jc w:val="center"/>
              <w:rPr>
                <w:rFonts w:cs="宋体"/>
                <w:b/>
                <w:kern w:val="0"/>
                <w:szCs w:val="21"/>
              </w:rPr>
            </w:pPr>
            <w:r>
              <w:rPr>
                <w:rFonts w:hint="eastAsia" w:cs="宋体"/>
                <w:b/>
                <w:kern w:val="0"/>
                <w:szCs w:val="21"/>
              </w:rPr>
              <w:t>设备名称</w:t>
            </w:r>
          </w:p>
        </w:tc>
        <w:tc>
          <w:tcPr>
            <w:tcW w:w="1867" w:type="dxa"/>
            <w:vAlign w:val="center"/>
          </w:tcPr>
          <w:p w14:paraId="726EF96A">
            <w:pPr>
              <w:widowControl/>
              <w:spacing w:line="400" w:lineRule="exact"/>
              <w:jc w:val="center"/>
              <w:rPr>
                <w:rFonts w:cs="宋体"/>
                <w:b/>
                <w:kern w:val="0"/>
                <w:szCs w:val="21"/>
              </w:rPr>
            </w:pPr>
            <w:r>
              <w:rPr>
                <w:rFonts w:hint="eastAsia" w:cs="宋体"/>
                <w:b/>
                <w:kern w:val="0"/>
                <w:szCs w:val="21"/>
              </w:rPr>
              <w:t>品牌、产地、型号和规格</w:t>
            </w:r>
          </w:p>
        </w:tc>
        <w:tc>
          <w:tcPr>
            <w:tcW w:w="713" w:type="dxa"/>
            <w:vAlign w:val="center"/>
          </w:tcPr>
          <w:p w14:paraId="752C17E9">
            <w:pPr>
              <w:widowControl/>
              <w:spacing w:line="400" w:lineRule="exact"/>
              <w:jc w:val="center"/>
              <w:rPr>
                <w:rFonts w:cs="宋体"/>
                <w:b/>
                <w:kern w:val="0"/>
                <w:szCs w:val="21"/>
              </w:rPr>
            </w:pPr>
            <w:r>
              <w:rPr>
                <w:rFonts w:hint="eastAsia" w:cs="宋体"/>
                <w:b/>
                <w:kern w:val="0"/>
                <w:szCs w:val="21"/>
              </w:rPr>
              <w:t>数量</w:t>
            </w:r>
          </w:p>
        </w:tc>
        <w:tc>
          <w:tcPr>
            <w:tcW w:w="920" w:type="dxa"/>
            <w:vAlign w:val="center"/>
          </w:tcPr>
          <w:p w14:paraId="0E521286">
            <w:pPr>
              <w:widowControl/>
              <w:spacing w:line="400" w:lineRule="exact"/>
              <w:jc w:val="center"/>
              <w:rPr>
                <w:rFonts w:cs="宋体"/>
                <w:b/>
                <w:kern w:val="0"/>
                <w:szCs w:val="21"/>
              </w:rPr>
            </w:pPr>
            <w:r>
              <w:rPr>
                <w:rFonts w:hint="eastAsia" w:cs="宋体"/>
                <w:b/>
                <w:kern w:val="0"/>
                <w:szCs w:val="21"/>
              </w:rPr>
              <w:t>单位</w:t>
            </w:r>
          </w:p>
        </w:tc>
        <w:tc>
          <w:tcPr>
            <w:tcW w:w="1331" w:type="dxa"/>
            <w:vAlign w:val="center"/>
          </w:tcPr>
          <w:p w14:paraId="585F0737">
            <w:pPr>
              <w:widowControl/>
              <w:spacing w:line="400" w:lineRule="exact"/>
              <w:ind w:left="-24" w:leftChars="-10" w:firstLine="24" w:firstLineChars="10"/>
              <w:jc w:val="center"/>
              <w:rPr>
                <w:rFonts w:cs="宋体"/>
                <w:b/>
                <w:kern w:val="0"/>
                <w:szCs w:val="21"/>
              </w:rPr>
            </w:pPr>
            <w:r>
              <w:rPr>
                <w:rFonts w:hint="eastAsia" w:cs="宋体"/>
                <w:b/>
                <w:kern w:val="0"/>
                <w:szCs w:val="21"/>
              </w:rPr>
              <w:t>单价（元）</w:t>
            </w:r>
          </w:p>
        </w:tc>
        <w:tc>
          <w:tcPr>
            <w:tcW w:w="849" w:type="dxa"/>
            <w:vAlign w:val="center"/>
          </w:tcPr>
          <w:p w14:paraId="513BEB4B">
            <w:pPr>
              <w:widowControl/>
              <w:spacing w:line="400" w:lineRule="exact"/>
              <w:ind w:left="-24" w:leftChars="-10" w:firstLine="24" w:firstLineChars="10"/>
              <w:jc w:val="center"/>
              <w:rPr>
                <w:rFonts w:cs="宋体"/>
                <w:b/>
                <w:kern w:val="0"/>
                <w:szCs w:val="21"/>
              </w:rPr>
            </w:pPr>
            <w:r>
              <w:rPr>
                <w:rFonts w:hint="eastAsia" w:cs="宋体"/>
                <w:b/>
                <w:kern w:val="0"/>
                <w:szCs w:val="21"/>
              </w:rPr>
              <w:t>合计（元）</w:t>
            </w:r>
          </w:p>
        </w:tc>
      </w:tr>
      <w:tr w14:paraId="72926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57" w:type="dxa"/>
            <w:vAlign w:val="center"/>
          </w:tcPr>
          <w:p w14:paraId="066A93A6">
            <w:pPr>
              <w:widowControl/>
              <w:spacing w:line="400" w:lineRule="exact"/>
              <w:jc w:val="center"/>
              <w:rPr>
                <w:rFonts w:cs="宋体"/>
                <w:kern w:val="0"/>
                <w:szCs w:val="21"/>
              </w:rPr>
            </w:pPr>
            <w:bookmarkStart w:id="25" w:name="_Hlk199298436"/>
          </w:p>
        </w:tc>
        <w:tc>
          <w:tcPr>
            <w:tcW w:w="2188" w:type="dxa"/>
            <w:vAlign w:val="center"/>
          </w:tcPr>
          <w:p w14:paraId="7E23EA2D">
            <w:pPr>
              <w:tabs>
                <w:tab w:val="left" w:pos="1418"/>
              </w:tabs>
              <w:snapToGrid w:val="0"/>
              <w:spacing w:line="400" w:lineRule="exact"/>
              <w:rPr>
                <w:rFonts w:cs="宋体"/>
                <w:spacing w:val="20"/>
                <w:szCs w:val="21"/>
              </w:rPr>
            </w:pPr>
          </w:p>
        </w:tc>
        <w:tc>
          <w:tcPr>
            <w:tcW w:w="1867" w:type="dxa"/>
            <w:vAlign w:val="center"/>
          </w:tcPr>
          <w:p w14:paraId="3BA94213">
            <w:pPr>
              <w:spacing w:line="400" w:lineRule="exact"/>
              <w:jc w:val="center"/>
              <w:rPr>
                <w:rFonts w:cs="宋体"/>
                <w:snapToGrid w:val="0"/>
                <w:kern w:val="0"/>
                <w:szCs w:val="21"/>
              </w:rPr>
            </w:pPr>
          </w:p>
        </w:tc>
        <w:tc>
          <w:tcPr>
            <w:tcW w:w="713" w:type="dxa"/>
            <w:vAlign w:val="center"/>
          </w:tcPr>
          <w:p w14:paraId="71A711D5">
            <w:pPr>
              <w:adjustRightInd w:val="0"/>
              <w:spacing w:line="400" w:lineRule="exact"/>
              <w:ind w:left="158" w:hanging="624"/>
              <w:jc w:val="center"/>
              <w:rPr>
                <w:rFonts w:cs="宋体"/>
                <w:szCs w:val="21"/>
              </w:rPr>
            </w:pPr>
          </w:p>
        </w:tc>
        <w:tc>
          <w:tcPr>
            <w:tcW w:w="920" w:type="dxa"/>
            <w:vAlign w:val="center"/>
          </w:tcPr>
          <w:p w14:paraId="31C72E0F">
            <w:pPr>
              <w:adjustRightInd w:val="0"/>
              <w:spacing w:line="400" w:lineRule="exact"/>
              <w:ind w:left="158" w:hanging="624"/>
              <w:jc w:val="center"/>
              <w:rPr>
                <w:rFonts w:cs="宋体"/>
                <w:szCs w:val="21"/>
              </w:rPr>
            </w:pPr>
          </w:p>
        </w:tc>
        <w:tc>
          <w:tcPr>
            <w:tcW w:w="1331" w:type="dxa"/>
            <w:vAlign w:val="center"/>
          </w:tcPr>
          <w:p w14:paraId="746A0758">
            <w:pPr>
              <w:adjustRightInd w:val="0"/>
              <w:spacing w:line="400" w:lineRule="exact"/>
              <w:ind w:left="158" w:hanging="624"/>
              <w:jc w:val="center"/>
              <w:rPr>
                <w:rFonts w:cs="宋体"/>
                <w:szCs w:val="21"/>
              </w:rPr>
            </w:pPr>
          </w:p>
        </w:tc>
        <w:tc>
          <w:tcPr>
            <w:tcW w:w="849" w:type="dxa"/>
            <w:vAlign w:val="center"/>
          </w:tcPr>
          <w:p w14:paraId="1B623888">
            <w:pPr>
              <w:widowControl/>
              <w:spacing w:line="400" w:lineRule="exact"/>
              <w:jc w:val="center"/>
              <w:rPr>
                <w:rFonts w:cs="宋体"/>
                <w:kern w:val="0"/>
                <w:szCs w:val="21"/>
              </w:rPr>
            </w:pPr>
          </w:p>
        </w:tc>
      </w:tr>
      <w:bookmarkEnd w:id="25"/>
      <w:tr w14:paraId="1360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525" w:type="dxa"/>
            <w:gridSpan w:val="7"/>
            <w:vAlign w:val="center"/>
          </w:tcPr>
          <w:p w14:paraId="1B10B6B3">
            <w:pPr>
              <w:widowControl/>
              <w:spacing w:line="400" w:lineRule="exact"/>
              <w:rPr>
                <w:rFonts w:cs="宋体"/>
                <w:kern w:val="0"/>
                <w:szCs w:val="21"/>
              </w:rPr>
            </w:pPr>
            <w:r>
              <w:rPr>
                <w:rFonts w:hint="eastAsia" w:cs="宋体"/>
                <w:kern w:val="0"/>
                <w:szCs w:val="21"/>
              </w:rPr>
              <w:t>合计：（大写）                             （小写）</w:t>
            </w:r>
            <w:r>
              <w:rPr>
                <w:rFonts w:hint="eastAsia" w:cs="宋体"/>
                <w:szCs w:val="21"/>
              </w:rPr>
              <w:t>￥</w:t>
            </w:r>
            <w:r>
              <w:rPr>
                <w:rFonts w:hint="eastAsia" w:cs="宋体"/>
                <w:kern w:val="0"/>
                <w:szCs w:val="21"/>
              </w:rPr>
              <w:t xml:space="preserve"> 元</w:t>
            </w:r>
          </w:p>
        </w:tc>
      </w:tr>
    </w:tbl>
    <w:p w14:paraId="12F2B2AB">
      <w:pPr>
        <w:snapToGrid w:val="0"/>
        <w:spacing w:line="400" w:lineRule="exact"/>
        <w:ind w:firstLine="480" w:firstLineChars="200"/>
        <w:rPr>
          <w:rFonts w:cs="宋体"/>
          <w:szCs w:val="21"/>
        </w:rPr>
      </w:pPr>
      <w:r>
        <w:rPr>
          <w:rFonts w:hint="eastAsia" w:cs="宋体"/>
          <w:szCs w:val="21"/>
        </w:rPr>
        <w:t>在所供商品交付使用时，乙方必须向甲方提供质量保证书、产品说明书、设备技术资料、设备验收资料等必须具备的相关资料和必备的产品附件。</w:t>
      </w:r>
    </w:p>
    <w:p w14:paraId="109EB7F5">
      <w:pPr>
        <w:spacing w:line="400" w:lineRule="exact"/>
        <w:ind w:firstLine="472" w:firstLineChars="196"/>
        <w:rPr>
          <w:rFonts w:cs="宋体"/>
          <w:b/>
          <w:bCs/>
          <w:szCs w:val="21"/>
        </w:rPr>
      </w:pPr>
      <w:r>
        <w:rPr>
          <w:rFonts w:hint="eastAsia" w:cs="宋体"/>
          <w:b/>
          <w:bCs/>
          <w:szCs w:val="21"/>
        </w:rPr>
        <w:t>第三条 质量保证</w:t>
      </w:r>
    </w:p>
    <w:p w14:paraId="75768FF8">
      <w:pPr>
        <w:spacing w:line="400" w:lineRule="exact"/>
        <w:ind w:firstLine="540" w:firstLineChars="225"/>
        <w:rPr>
          <w:rFonts w:cs="宋体"/>
          <w:szCs w:val="21"/>
        </w:rPr>
      </w:pPr>
      <w:r>
        <w:rPr>
          <w:rFonts w:hint="eastAsia" w:cs="宋体"/>
          <w:szCs w:val="21"/>
        </w:rPr>
        <w:t>1、乙方保证所提供的产品在正确、正常使用和维护保养的情况下，具有使甲方满意的使用性能和使用寿命。</w:t>
      </w:r>
    </w:p>
    <w:p w14:paraId="13E67167">
      <w:pPr>
        <w:spacing w:line="400" w:lineRule="exact"/>
        <w:ind w:firstLine="540" w:firstLineChars="225"/>
        <w:rPr>
          <w:rFonts w:cs="宋体"/>
          <w:szCs w:val="21"/>
        </w:rPr>
      </w:pPr>
      <w:r>
        <w:rPr>
          <w:rFonts w:hint="eastAsia" w:cs="宋体"/>
          <w:szCs w:val="21"/>
        </w:rPr>
        <w:t>2、乙方保证为甲方提供完全符合设备型号规定及配置要求的产品，满足技术、质量、规格、性能要求。</w:t>
      </w:r>
    </w:p>
    <w:p w14:paraId="53B43B6C">
      <w:pPr>
        <w:spacing w:line="400" w:lineRule="exact"/>
        <w:ind w:firstLine="480" w:firstLineChars="200"/>
        <w:rPr>
          <w:rFonts w:cs="宋体"/>
          <w:szCs w:val="21"/>
        </w:rPr>
      </w:pPr>
      <w:r>
        <w:rPr>
          <w:rFonts w:hint="eastAsia" w:cs="宋体"/>
          <w:szCs w:val="21"/>
        </w:rPr>
        <w:t>3、乙方保证本合同中所供应的商品是最新生产的符合国家技术规格和质量标准的未经使用的出厂原装合格产品。如发生所供商品与合同不符，甲方（仅甲方）有权拒收或退货，由此产生的一切责任和后果由乙方承担。</w:t>
      </w:r>
    </w:p>
    <w:p w14:paraId="44CEA5A0">
      <w:pPr>
        <w:snapToGrid w:val="0"/>
        <w:spacing w:line="400" w:lineRule="exact"/>
        <w:ind w:firstLine="482" w:firstLineChars="200"/>
        <w:rPr>
          <w:rFonts w:cs="宋体"/>
          <w:b/>
          <w:bCs/>
          <w:szCs w:val="21"/>
        </w:rPr>
      </w:pPr>
      <w:r>
        <w:rPr>
          <w:rFonts w:hint="eastAsia" w:cs="宋体"/>
          <w:b/>
          <w:bCs/>
          <w:szCs w:val="21"/>
        </w:rPr>
        <w:t>第四条 特别承诺</w:t>
      </w:r>
    </w:p>
    <w:p w14:paraId="2EAD6F3F">
      <w:pPr>
        <w:spacing w:line="400" w:lineRule="exact"/>
        <w:ind w:firstLine="480" w:firstLineChars="200"/>
        <w:rPr>
          <w:rFonts w:cs="宋体"/>
          <w:szCs w:val="21"/>
        </w:rPr>
      </w:pPr>
      <w:r>
        <w:rPr>
          <w:rFonts w:hint="eastAsia" w:cs="宋体"/>
          <w:szCs w:val="21"/>
        </w:rPr>
        <w:t>乙方承诺本合同内提供的设备或技术不存在任何第三方对于设备或技术所有权、抵押权、设备操作、系统升级等可能使甲方权利遭受不利影响的任何障碍。乙方所提供的货物或任何一部分均不会侵犯任何第三方的知识产权。如因第三方指控，造成甲方权利受损，乙方应赔偿甲方的全部损失。</w:t>
      </w:r>
    </w:p>
    <w:p w14:paraId="27199F36">
      <w:pPr>
        <w:snapToGrid w:val="0"/>
        <w:spacing w:line="400" w:lineRule="exact"/>
        <w:ind w:left="-10" w:leftChars="-4" w:firstLine="472" w:firstLineChars="196"/>
        <w:rPr>
          <w:rFonts w:cs="宋体"/>
          <w:b/>
          <w:bCs/>
          <w:szCs w:val="21"/>
        </w:rPr>
      </w:pPr>
      <w:r>
        <w:rPr>
          <w:rFonts w:hint="eastAsia" w:cs="宋体"/>
          <w:b/>
          <w:bCs/>
          <w:szCs w:val="21"/>
        </w:rPr>
        <w:t>第五条 交货时间、地点</w:t>
      </w:r>
    </w:p>
    <w:p w14:paraId="7E18CD83">
      <w:pPr>
        <w:snapToGrid w:val="0"/>
        <w:spacing w:line="400" w:lineRule="exact"/>
        <w:ind w:left="127" w:leftChars="53" w:firstLine="348" w:firstLineChars="145"/>
        <w:rPr>
          <w:rFonts w:cs="仿宋_GB2312"/>
          <w:szCs w:val="21"/>
        </w:rPr>
      </w:pPr>
      <w:r>
        <w:rPr>
          <w:rFonts w:hint="eastAsia" w:cs="仿宋_GB2312"/>
          <w:szCs w:val="21"/>
        </w:rPr>
        <w:t>交货期：</w:t>
      </w:r>
    </w:p>
    <w:p w14:paraId="04674004">
      <w:pPr>
        <w:pStyle w:val="6"/>
      </w:pPr>
      <w:r>
        <w:rPr>
          <w:rFonts w:hint="eastAsia"/>
        </w:rPr>
        <w:t>地点：湖州职业技术学院</w:t>
      </w:r>
      <w:r>
        <w:rPr>
          <w:rFonts w:hint="eastAsia"/>
          <w:color w:val="0C0C0C"/>
        </w:rPr>
        <w:t>，具体以采购人指定为准。</w:t>
      </w:r>
    </w:p>
    <w:p w14:paraId="13529877">
      <w:pPr>
        <w:snapToGrid w:val="0"/>
        <w:spacing w:line="400" w:lineRule="exact"/>
        <w:ind w:left="127" w:leftChars="53" w:firstLine="349" w:firstLineChars="145"/>
        <w:rPr>
          <w:rFonts w:cs="宋体"/>
          <w:szCs w:val="21"/>
        </w:rPr>
      </w:pPr>
      <w:r>
        <w:rPr>
          <w:rFonts w:hint="eastAsia" w:cs="宋体"/>
          <w:b/>
          <w:bCs/>
          <w:szCs w:val="21"/>
        </w:rPr>
        <w:t>第六条 验收</w:t>
      </w:r>
    </w:p>
    <w:p w14:paraId="4A660C18">
      <w:pPr>
        <w:spacing w:line="400" w:lineRule="exact"/>
        <w:ind w:firstLine="540" w:firstLineChars="225"/>
        <w:rPr>
          <w:rFonts w:cs="宋体"/>
          <w:szCs w:val="21"/>
        </w:rPr>
      </w:pPr>
      <w:r>
        <w:rPr>
          <w:rFonts w:hint="eastAsia" w:cs="宋体"/>
          <w:szCs w:val="21"/>
        </w:rPr>
        <w:t>1、甲方对乙方提交的货物依据采购文件、投标文件上的技术规格要求和国家有关质量标准进行现场初步验收，外观、说明书符合相关文件技术要求的，给予签收，初步验收不合格的不予签收。</w:t>
      </w:r>
    </w:p>
    <w:p w14:paraId="6C9A4862">
      <w:pPr>
        <w:spacing w:line="400" w:lineRule="exact"/>
        <w:ind w:firstLine="540" w:firstLineChars="225"/>
        <w:rPr>
          <w:rFonts w:cs="宋体"/>
          <w:szCs w:val="21"/>
        </w:rPr>
      </w:pPr>
      <w:r>
        <w:rPr>
          <w:rFonts w:hint="eastAsia" w:cs="宋体"/>
          <w:szCs w:val="21"/>
        </w:rPr>
        <w:t>2、乙方交货前应对产品作出全面检查和对验收文件进行整理，并列出清单，作为甲方收货验收和使用的技术条件依据，检验的结果应随货物交甲方。</w:t>
      </w:r>
    </w:p>
    <w:p w14:paraId="5D05F4B6">
      <w:pPr>
        <w:spacing w:line="400" w:lineRule="exact"/>
        <w:ind w:firstLine="540" w:firstLineChars="225"/>
        <w:rPr>
          <w:rFonts w:cs="宋体"/>
          <w:szCs w:val="21"/>
        </w:rPr>
      </w:pPr>
      <w:r>
        <w:rPr>
          <w:rFonts w:hint="eastAsia" w:cs="宋体"/>
          <w:szCs w:val="21"/>
        </w:rPr>
        <w:t>3、甲方对乙方提供的货物在使用前进行调试时，乙方需负责安装并培训甲方的使用操作人员，并协助甲方一起调试，直到符合技术要求，甲方才做最终验收。</w:t>
      </w:r>
    </w:p>
    <w:p w14:paraId="2CF3B83A">
      <w:pPr>
        <w:spacing w:line="400" w:lineRule="exact"/>
        <w:ind w:firstLine="540" w:firstLineChars="225"/>
        <w:rPr>
          <w:rFonts w:cs="宋体"/>
          <w:szCs w:val="21"/>
        </w:rPr>
      </w:pPr>
      <w:r>
        <w:rPr>
          <w:rFonts w:hint="eastAsia" w:cs="宋体"/>
          <w:szCs w:val="21"/>
        </w:rPr>
        <w:t>4、对技术复杂的货物，甲方应请国家认可的专业检测机构参与初步验收及最终验收，并由其出具质量检测报告。</w:t>
      </w:r>
    </w:p>
    <w:p w14:paraId="7EFDA711">
      <w:pPr>
        <w:spacing w:line="400" w:lineRule="exact"/>
        <w:ind w:firstLine="540" w:firstLineChars="225"/>
        <w:rPr>
          <w:rFonts w:cs="宋体"/>
          <w:szCs w:val="21"/>
        </w:rPr>
      </w:pPr>
      <w:r>
        <w:rPr>
          <w:rFonts w:hint="eastAsia" w:cs="宋体"/>
          <w:szCs w:val="21"/>
        </w:rPr>
        <w:t>5、验收时乙方必须在现场，验收完毕后作出验收结果报告。</w:t>
      </w:r>
    </w:p>
    <w:p w14:paraId="71F039AF">
      <w:pPr>
        <w:spacing w:line="400" w:lineRule="exact"/>
        <w:ind w:firstLine="540" w:firstLineChars="225"/>
        <w:rPr>
          <w:rFonts w:cs="宋体"/>
          <w:szCs w:val="21"/>
        </w:rPr>
      </w:pPr>
      <w:r>
        <w:rPr>
          <w:rFonts w:hint="eastAsia" w:cs="宋体"/>
          <w:szCs w:val="21"/>
        </w:rPr>
        <w:t>6、甲方对设备质量有重大异议，乙方应同意由甲方将设备提交国家法定检测机构鉴定，如检测结果证明产品无质量问题，由甲方承担检测费用；如检测结果证明产品有质量问题，由乙方承担检测费用，同时乙方同意甲方无条件退货并按照第九条第4款支付违约赔偿金。</w:t>
      </w:r>
    </w:p>
    <w:p w14:paraId="2569E462">
      <w:pPr>
        <w:spacing w:line="400" w:lineRule="exact"/>
        <w:ind w:firstLine="540" w:firstLineChars="225"/>
        <w:rPr>
          <w:rFonts w:cs="宋体"/>
          <w:szCs w:val="21"/>
        </w:rPr>
      </w:pPr>
      <w:r>
        <w:rPr>
          <w:rFonts w:hint="eastAsia" w:cs="宋体"/>
          <w:szCs w:val="21"/>
        </w:rPr>
        <w:t>7、合格与否以甲方验收报告为准。</w:t>
      </w:r>
    </w:p>
    <w:p w14:paraId="7B5E1EB5">
      <w:pPr>
        <w:spacing w:line="400" w:lineRule="exact"/>
        <w:ind w:firstLine="480" w:firstLineChars="200"/>
        <w:rPr>
          <w:rFonts w:cs="宋体"/>
          <w:szCs w:val="21"/>
        </w:rPr>
      </w:pPr>
      <w:r>
        <w:rPr>
          <w:rFonts w:hint="eastAsia" w:cs="宋体"/>
        </w:rPr>
        <w:t>▲</w:t>
      </w:r>
      <w:r>
        <w:rPr>
          <w:rFonts w:hint="eastAsia" w:cs="宋体"/>
          <w:b/>
          <w:bCs/>
          <w:szCs w:val="21"/>
        </w:rPr>
        <w:t>第七条 货款的支付</w:t>
      </w:r>
    </w:p>
    <w:p w14:paraId="7A88579B">
      <w:pPr>
        <w:spacing w:line="400" w:lineRule="exact"/>
        <w:ind w:firstLine="480" w:firstLineChars="200"/>
        <w:rPr>
          <w:rFonts w:cs="宋体"/>
          <w:szCs w:val="21"/>
        </w:rPr>
      </w:pPr>
      <w:r>
        <w:rPr>
          <w:rFonts w:hint="eastAsia" w:cs="宋体"/>
          <w:szCs w:val="21"/>
        </w:rPr>
        <w:t>合同总额为人民币</w:t>
      </w:r>
      <w:r>
        <w:rPr>
          <w:rFonts w:hint="eastAsia" w:cs="宋体"/>
          <w:szCs w:val="21"/>
          <w:u w:val="single"/>
        </w:rPr>
        <w:t xml:space="preserve">       </w:t>
      </w:r>
      <w:r>
        <w:rPr>
          <w:rFonts w:hint="eastAsia" w:cs="宋体"/>
          <w:szCs w:val="21"/>
        </w:rPr>
        <w:t>元整（小写：￥</w:t>
      </w:r>
      <w:r>
        <w:rPr>
          <w:rFonts w:hint="eastAsia" w:cs="宋体"/>
          <w:szCs w:val="21"/>
          <w:u w:val="single"/>
        </w:rPr>
        <w:t xml:space="preserve">      </w:t>
      </w:r>
      <w:r>
        <w:rPr>
          <w:rFonts w:hint="eastAsia" w:cs="宋体"/>
          <w:szCs w:val="21"/>
        </w:rPr>
        <w:t>元）。</w:t>
      </w:r>
    </w:p>
    <w:p w14:paraId="01BEA9BA">
      <w:pPr>
        <w:spacing w:line="400" w:lineRule="exact"/>
        <w:ind w:firstLine="480" w:firstLineChars="200"/>
        <w:rPr>
          <w:rFonts w:ascii="Arial" w:hAnsi="Arial" w:cs="Arial"/>
          <w:highlight w:val="yellow"/>
        </w:rPr>
      </w:pPr>
      <w:r>
        <w:rPr>
          <w:rFonts w:hint="eastAsia" w:ascii="Arial" w:hAnsi="Arial" w:cs="Arial"/>
          <w:highlight w:val="yellow"/>
        </w:rPr>
        <w:t>合同签订生效且具备实施条件后7个工作日内，甲方向乙方支付合同总价的40%作为预付款，所有产品到货、安装调试验收合格后，甲方收到乙方提供的同等金额的正规增值税发票，在履行财政相关资金审批手续后向乙方支付合同总价6</w:t>
      </w:r>
      <w:r>
        <w:rPr>
          <w:rFonts w:ascii="Arial" w:hAnsi="Arial" w:cs="Arial"/>
          <w:highlight w:val="yellow"/>
        </w:rPr>
        <w:t>0%</w:t>
      </w:r>
      <w:r>
        <w:rPr>
          <w:rFonts w:hint="eastAsia" w:ascii="Arial" w:hAnsi="Arial" w:cs="Arial"/>
          <w:highlight w:val="yellow"/>
        </w:rPr>
        <w:t>的合同款。</w:t>
      </w:r>
    </w:p>
    <w:p w14:paraId="05765E1D">
      <w:pPr>
        <w:spacing w:line="400" w:lineRule="exact"/>
        <w:ind w:firstLine="480" w:firstLineChars="200"/>
        <w:rPr>
          <w:rFonts w:ascii="Arial" w:hAnsi="Arial" w:cs="Arial"/>
        </w:rPr>
      </w:pPr>
      <w:r>
        <w:rPr>
          <w:rFonts w:hint="eastAsia" w:ascii="Arial" w:hAnsi="Arial" w:cs="Arial"/>
        </w:rPr>
        <w:t>履约保证金为合同总价的1%，本项目验收合格后，履约保证金退还。</w:t>
      </w:r>
    </w:p>
    <w:p w14:paraId="0FF73F26">
      <w:pPr>
        <w:spacing w:line="400" w:lineRule="exact"/>
        <w:ind w:firstLine="480" w:firstLineChars="200"/>
        <w:rPr>
          <w:rFonts w:cs="Arial"/>
        </w:rPr>
      </w:pPr>
      <w:r>
        <w:rPr>
          <w:rFonts w:hint="eastAsia" w:cs="Aria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DE39091">
      <w:pPr>
        <w:spacing w:line="400" w:lineRule="exact"/>
        <w:ind w:firstLine="480" w:firstLineChars="200"/>
      </w:pPr>
      <w:r>
        <w:rPr>
          <w:rFonts w:hint="eastAsia" w:cs="Arial"/>
        </w:rPr>
        <w:t xml:space="preserve">甲方在项目结束后及时退还履约保证金。甲方在项目通过验收之日起 </w:t>
      </w:r>
      <w:r>
        <w:rPr>
          <w:rFonts w:hint="eastAsia" w:cs="Arial"/>
          <w:u w:val="single"/>
        </w:rPr>
        <w:t xml:space="preserve"> 5个工作日</w:t>
      </w:r>
      <w:r>
        <w:rPr>
          <w:rFonts w:hint="eastAsia" w:cs="Arial"/>
        </w:rPr>
        <w:t>内将履约保证金无息退还乙方，逾期退还的，乙方可要求甲方支付违约金，违约金按每迟延退还一日的应退还而未退还金额的</w:t>
      </w:r>
      <w:r>
        <w:rPr>
          <w:rFonts w:hint="eastAsia" w:cs="宋体"/>
          <w:kern w:val="0"/>
          <w:szCs w:val="21"/>
          <w:u w:val="single"/>
        </w:rPr>
        <w:t>0.05</w:t>
      </w:r>
      <w:r>
        <w:rPr>
          <w:rFonts w:hint="eastAsia" w:cs="Arial"/>
          <w:u w:val="single"/>
        </w:rPr>
        <w:t>%</w:t>
      </w:r>
      <w:r>
        <w:rPr>
          <w:rFonts w:hint="eastAsia" w:cs="Arial"/>
        </w:rPr>
        <w:t>计算，最高限额为本合同履约保证金的</w:t>
      </w:r>
      <w:r>
        <w:rPr>
          <w:rFonts w:hint="eastAsia" w:cs="宋体"/>
          <w:kern w:val="0"/>
          <w:szCs w:val="21"/>
          <w:u w:val="single"/>
        </w:rPr>
        <w:t xml:space="preserve"> 20 </w:t>
      </w:r>
      <w:r>
        <w:rPr>
          <w:rFonts w:hint="eastAsia" w:cs="Arial"/>
          <w:u w:val="single"/>
        </w:rPr>
        <w:t>%</w:t>
      </w:r>
      <w:r>
        <w:rPr>
          <w:rFonts w:hint="eastAsia" w:cs="Arial"/>
        </w:rPr>
        <w:t>。</w:t>
      </w:r>
    </w:p>
    <w:p w14:paraId="1577E329">
      <w:pPr>
        <w:spacing w:line="400" w:lineRule="exact"/>
        <w:ind w:firstLine="472" w:firstLineChars="196"/>
        <w:rPr>
          <w:rFonts w:cs="宋体"/>
          <w:b/>
          <w:bCs/>
          <w:szCs w:val="21"/>
        </w:rPr>
      </w:pPr>
      <w:r>
        <w:rPr>
          <w:rFonts w:hint="eastAsia" w:cs="宋体"/>
          <w:b/>
          <w:bCs/>
          <w:szCs w:val="21"/>
        </w:rPr>
        <w:t>第八条 合同修改</w:t>
      </w:r>
    </w:p>
    <w:p w14:paraId="2E177B17">
      <w:pPr>
        <w:spacing w:line="400" w:lineRule="exact"/>
        <w:ind w:firstLine="540" w:firstLineChars="225"/>
        <w:rPr>
          <w:rFonts w:cs="宋体"/>
          <w:szCs w:val="21"/>
        </w:rPr>
      </w:pPr>
      <w:r>
        <w:rPr>
          <w:rFonts w:hint="eastAsia" w:cs="宋体"/>
          <w:szCs w:val="21"/>
        </w:rPr>
        <w:t>1、甲方、乙方的任何一方对合同内容提出修改，均应以书面形式通知对方，并达成由双方签署的补充协议。</w:t>
      </w:r>
    </w:p>
    <w:p w14:paraId="569F1ACD">
      <w:pPr>
        <w:spacing w:line="400" w:lineRule="exact"/>
        <w:ind w:firstLine="540" w:firstLineChars="225"/>
        <w:rPr>
          <w:rFonts w:cs="宋体"/>
          <w:szCs w:val="21"/>
        </w:rPr>
      </w:pPr>
      <w:r>
        <w:rPr>
          <w:rFonts w:hint="eastAsia" w:cs="宋体"/>
          <w:szCs w:val="21"/>
        </w:rPr>
        <w:t>2、除非甲方对产品的规格和涉及价格因素的技术参数等提出修改，乙方不得对合同价格提出修改要求。</w:t>
      </w:r>
    </w:p>
    <w:p w14:paraId="7F5BB68A">
      <w:pPr>
        <w:spacing w:line="400" w:lineRule="exact"/>
        <w:ind w:firstLine="472" w:firstLineChars="196"/>
        <w:rPr>
          <w:rFonts w:cs="宋体"/>
          <w:b/>
          <w:bCs/>
          <w:szCs w:val="21"/>
        </w:rPr>
      </w:pPr>
      <w:r>
        <w:rPr>
          <w:rFonts w:hint="eastAsia" w:cs="宋体"/>
          <w:b/>
          <w:bCs/>
          <w:szCs w:val="21"/>
        </w:rPr>
        <w:t>第九条 违约责任</w:t>
      </w:r>
    </w:p>
    <w:p w14:paraId="34337A95">
      <w:pPr>
        <w:spacing w:line="400" w:lineRule="exact"/>
        <w:ind w:firstLine="540" w:firstLineChars="225"/>
        <w:rPr>
          <w:rFonts w:cs="宋体"/>
          <w:szCs w:val="21"/>
        </w:rPr>
      </w:pPr>
      <w:r>
        <w:rPr>
          <w:rFonts w:hint="eastAsia" w:cs="宋体"/>
          <w:szCs w:val="21"/>
        </w:rPr>
        <w:t>1、逾期交货：</w:t>
      </w:r>
    </w:p>
    <w:p w14:paraId="07FDD607">
      <w:pPr>
        <w:spacing w:line="400" w:lineRule="exact"/>
        <w:ind w:firstLine="540" w:firstLineChars="225"/>
        <w:rPr>
          <w:rFonts w:cs="宋体"/>
          <w:szCs w:val="21"/>
        </w:rPr>
      </w:pPr>
      <w:r>
        <w:rPr>
          <w:rFonts w:hint="eastAsia" w:cs="宋体"/>
          <w:szCs w:val="21"/>
        </w:rPr>
        <w:t>乙方逾期履行合同的，自逾期之日起，向甲方每日偿付合同总价万分之三的滞纳金；逾期30日不能交付的,应向甲方支付合同总价2%的违约金；同时甲方有权解除合同（经甲方、乙方双方协商同意延长交付期和经双方友好协商同意更改或终止合同且无需罚款者不在此列）。</w:t>
      </w:r>
    </w:p>
    <w:p w14:paraId="095C1B82">
      <w:pPr>
        <w:spacing w:line="400" w:lineRule="exact"/>
        <w:ind w:firstLine="540" w:firstLineChars="225"/>
        <w:rPr>
          <w:rFonts w:cs="宋体"/>
          <w:szCs w:val="21"/>
        </w:rPr>
      </w:pPr>
      <w:r>
        <w:rPr>
          <w:rFonts w:hint="eastAsia" w:cs="宋体"/>
          <w:szCs w:val="21"/>
        </w:rPr>
        <w:t>2、甲方无正当理由拒付货款的，应向乙方偿付合同总价2%的违约金。</w:t>
      </w:r>
    </w:p>
    <w:p w14:paraId="4B294925">
      <w:pPr>
        <w:spacing w:line="400" w:lineRule="exact"/>
        <w:ind w:firstLine="540" w:firstLineChars="225"/>
        <w:rPr>
          <w:rFonts w:cs="宋体"/>
          <w:szCs w:val="21"/>
        </w:rPr>
      </w:pPr>
      <w:r>
        <w:rPr>
          <w:rFonts w:hint="eastAsia" w:cs="宋体"/>
          <w:szCs w:val="21"/>
        </w:rPr>
        <w:t>3、如验收不能达到质量功能（性能）标准，合同商品由乙方在验收后一周内运离安装地点，所需费用由乙方承担。如乙方在30日内不处理（搬走）合同商品，视为乙方放弃该商品，甲方有权自行处置（包括废物处理）。同时，乙方要支付给甲方总货款的20％作为违约赔偿金。</w:t>
      </w:r>
    </w:p>
    <w:p w14:paraId="30335721">
      <w:pPr>
        <w:spacing w:line="400" w:lineRule="exact"/>
        <w:ind w:firstLine="540" w:firstLineChars="225"/>
        <w:rPr>
          <w:rFonts w:cs="宋体"/>
          <w:szCs w:val="21"/>
        </w:rPr>
      </w:pPr>
      <w:r>
        <w:rPr>
          <w:rFonts w:hint="eastAsia" w:cs="宋体"/>
          <w:szCs w:val="21"/>
        </w:rPr>
        <w:t>4、乙方所交的货物品种、型号、规格、技术参数、质量不符合合同规定、采购文件、投标文件规定标准的，甲方有权拒收该货物，乙方愿意更换货物但逾期交货的，按乙方逾期交货处理。乙方拒绝更换货物的，甲方可单方面解除合同。</w:t>
      </w:r>
    </w:p>
    <w:p w14:paraId="5B03F471">
      <w:pPr>
        <w:spacing w:line="400" w:lineRule="exact"/>
        <w:ind w:firstLine="472" w:firstLineChars="196"/>
        <w:rPr>
          <w:rFonts w:cs="宋体"/>
          <w:b/>
          <w:bCs/>
          <w:szCs w:val="21"/>
        </w:rPr>
      </w:pPr>
      <w:r>
        <w:rPr>
          <w:rFonts w:hint="eastAsia" w:cs="宋体"/>
          <w:b/>
          <w:bCs/>
          <w:szCs w:val="21"/>
        </w:rPr>
        <w:t>第十条 争议的解决</w:t>
      </w:r>
    </w:p>
    <w:p w14:paraId="5C3E274A">
      <w:pPr>
        <w:spacing w:line="400" w:lineRule="exact"/>
        <w:ind w:firstLine="480" w:firstLineChars="200"/>
        <w:rPr>
          <w:rFonts w:cs="宋体"/>
          <w:szCs w:val="21"/>
        </w:rPr>
      </w:pPr>
      <w:r>
        <w:rPr>
          <w:rFonts w:hint="eastAsia" w:cs="宋体"/>
          <w:szCs w:val="21"/>
        </w:rPr>
        <w:t>凡有关本合同或执行本合同中发生的争端，甲、乙双方应通过友好协商，妥善解决。如通过协商仍不能解决时，将合同争议事项提交杭州仲裁委员会，按照该会现行规则进行仲裁。仲裁裁决是终局的，对双方均有约束力。</w:t>
      </w:r>
    </w:p>
    <w:p w14:paraId="187AD2C8">
      <w:pPr>
        <w:spacing w:line="400" w:lineRule="exact"/>
        <w:ind w:firstLine="480" w:firstLineChars="200"/>
        <w:rPr>
          <w:rFonts w:cs="宋体"/>
          <w:szCs w:val="21"/>
        </w:rPr>
      </w:pPr>
      <w:r>
        <w:rPr>
          <w:rFonts w:hint="eastAsia" w:cs="宋体"/>
          <w:szCs w:val="21"/>
        </w:rPr>
        <w:t>在仲裁期间，除正在进行仲裁的部分外，本合同其他部分应继续执行。</w:t>
      </w:r>
    </w:p>
    <w:p w14:paraId="7200D749">
      <w:pPr>
        <w:spacing w:line="400" w:lineRule="exact"/>
        <w:ind w:firstLine="482" w:firstLineChars="200"/>
        <w:rPr>
          <w:rFonts w:cs="宋体"/>
          <w:b/>
          <w:szCs w:val="21"/>
        </w:rPr>
      </w:pPr>
      <w:r>
        <w:rPr>
          <w:rFonts w:hint="eastAsia" w:cs="宋体"/>
          <w:b/>
          <w:bCs/>
          <w:szCs w:val="21"/>
        </w:rPr>
        <w:t>第十一条 售后服务</w:t>
      </w:r>
    </w:p>
    <w:p w14:paraId="2DBF1FF4">
      <w:pPr>
        <w:spacing w:line="400" w:lineRule="exact"/>
        <w:ind w:firstLine="470" w:firstLineChars="196"/>
        <w:rPr>
          <w:rFonts w:cs="宋体"/>
          <w:szCs w:val="21"/>
        </w:rPr>
      </w:pPr>
      <w:r>
        <w:rPr>
          <w:rFonts w:hint="eastAsia" w:cs="宋体"/>
        </w:rPr>
        <w:t>按采购文件“第二章  采购内容及技术要求”，以及投标人承诺。</w:t>
      </w:r>
      <w:r>
        <w:rPr>
          <w:rFonts w:hint="eastAsia" w:cs="宋体"/>
          <w:szCs w:val="21"/>
        </w:rPr>
        <w:t xml:space="preserve"> </w:t>
      </w:r>
    </w:p>
    <w:p w14:paraId="454A0C41">
      <w:pPr>
        <w:spacing w:line="400" w:lineRule="exact"/>
        <w:ind w:firstLine="472" w:firstLineChars="196"/>
        <w:rPr>
          <w:rFonts w:cs="宋体"/>
          <w:b/>
          <w:bCs/>
          <w:szCs w:val="21"/>
        </w:rPr>
      </w:pPr>
      <w:r>
        <w:rPr>
          <w:rFonts w:hint="eastAsia" w:cs="宋体"/>
          <w:b/>
          <w:bCs/>
          <w:szCs w:val="21"/>
        </w:rPr>
        <w:t>第十二条 合同的生效</w:t>
      </w:r>
    </w:p>
    <w:p w14:paraId="4B64873E">
      <w:pPr>
        <w:spacing w:line="400" w:lineRule="exact"/>
        <w:ind w:firstLine="540" w:firstLineChars="225"/>
        <w:rPr>
          <w:rFonts w:cs="宋体"/>
          <w:szCs w:val="21"/>
        </w:rPr>
      </w:pPr>
      <w:r>
        <w:rPr>
          <w:rFonts w:hint="eastAsia" w:cs="宋体"/>
          <w:szCs w:val="21"/>
        </w:rPr>
        <w:t>1、本合同经甲方、乙方法定代表人或其委托人签字，加盖双方公章生效。</w:t>
      </w:r>
    </w:p>
    <w:p w14:paraId="63FC3713">
      <w:pPr>
        <w:spacing w:line="400" w:lineRule="exact"/>
        <w:ind w:firstLine="540" w:firstLineChars="225"/>
        <w:rPr>
          <w:rFonts w:cs="宋体"/>
          <w:szCs w:val="21"/>
        </w:rPr>
      </w:pPr>
      <w:r>
        <w:rPr>
          <w:rFonts w:hint="eastAsia" w:cs="宋体"/>
          <w:szCs w:val="21"/>
        </w:rPr>
        <w:t>2、本合同一式5份，甲方3份，乙方2份。</w:t>
      </w:r>
    </w:p>
    <w:p w14:paraId="13867F91">
      <w:pPr>
        <w:spacing w:line="400" w:lineRule="exact"/>
        <w:ind w:firstLine="472" w:firstLineChars="196"/>
        <w:rPr>
          <w:rFonts w:cs="宋体"/>
          <w:b/>
          <w:bCs/>
          <w:szCs w:val="21"/>
        </w:rPr>
      </w:pPr>
      <w:r>
        <w:rPr>
          <w:rFonts w:hint="eastAsia" w:cs="宋体"/>
          <w:b/>
          <w:bCs/>
          <w:szCs w:val="21"/>
        </w:rPr>
        <w:t>第十三条 其它</w:t>
      </w:r>
    </w:p>
    <w:p w14:paraId="4BE7E9BE">
      <w:pPr>
        <w:spacing w:line="400" w:lineRule="exact"/>
        <w:ind w:firstLine="540" w:firstLineChars="225"/>
        <w:rPr>
          <w:rFonts w:cs="宋体"/>
          <w:szCs w:val="21"/>
        </w:rPr>
      </w:pPr>
      <w:r>
        <w:rPr>
          <w:rFonts w:hint="eastAsia" w:cs="宋体"/>
          <w:szCs w:val="21"/>
        </w:rPr>
        <w:t>1、所供商品发生质量、售后服务等问题时，乙方应按本合同规定及产品质量保证书所作承诺办理。必要时双方可签订相应的书面处理协议。</w:t>
      </w:r>
    </w:p>
    <w:p w14:paraId="5DE15B68">
      <w:pPr>
        <w:spacing w:line="400" w:lineRule="exact"/>
        <w:ind w:firstLine="540" w:firstLineChars="225"/>
        <w:rPr>
          <w:rFonts w:cs="宋体"/>
          <w:szCs w:val="21"/>
        </w:rPr>
      </w:pPr>
      <w:r>
        <w:rPr>
          <w:rFonts w:hint="eastAsia" w:cs="宋体"/>
          <w:szCs w:val="21"/>
        </w:rPr>
        <w:t>2、本合同所涉各使用部门与甲方权利相等，其可直接要求乙方履行本合同及产品质量保证书规定的义务。</w:t>
      </w:r>
    </w:p>
    <w:p w14:paraId="1B3BE872">
      <w:pPr>
        <w:spacing w:line="400" w:lineRule="exact"/>
        <w:ind w:firstLine="540" w:firstLineChars="225"/>
        <w:rPr>
          <w:rFonts w:cs="宋体"/>
          <w:szCs w:val="21"/>
        </w:rPr>
      </w:pPr>
      <w:r>
        <w:rPr>
          <w:rFonts w:hint="eastAsia" w:cs="宋体"/>
          <w:szCs w:val="21"/>
        </w:rPr>
        <w:t>3、在合同履行过程中发现乙方对项目进行转包（甲方同意的合理分包除外），乙方应承担相应违约责任，甲方有权拒付全部款项。双方争议无法自行协调解决的，交甲方当地法院解决。</w:t>
      </w:r>
    </w:p>
    <w:p w14:paraId="2B54CD00">
      <w:pPr>
        <w:spacing w:line="400" w:lineRule="exact"/>
        <w:rPr>
          <w:rFonts w:cs="宋体"/>
          <w:szCs w:val="21"/>
        </w:rPr>
      </w:pPr>
      <w:r>
        <w:rPr>
          <w:rFonts w:hint="eastAsia" w:cs="宋体"/>
          <w:szCs w:val="21"/>
        </w:rPr>
        <w:t xml:space="preserve">甲方（章）：                             乙方（章）：        </w:t>
      </w:r>
    </w:p>
    <w:p w14:paraId="1EEA4C1C">
      <w:pPr>
        <w:spacing w:line="400" w:lineRule="exact"/>
        <w:rPr>
          <w:rFonts w:cs="宋体"/>
          <w:szCs w:val="21"/>
        </w:rPr>
      </w:pPr>
      <w:r>
        <w:rPr>
          <w:rFonts w:hint="eastAsia" w:cs="宋体"/>
          <w:szCs w:val="21"/>
        </w:rPr>
        <w:t xml:space="preserve">法人代表或委托代理人：（签字）         法人代表或委托代理人：（签字）     </w:t>
      </w:r>
    </w:p>
    <w:p w14:paraId="7E132842">
      <w:pPr>
        <w:spacing w:line="400" w:lineRule="exact"/>
        <w:rPr>
          <w:rFonts w:cs="宋体"/>
          <w:szCs w:val="21"/>
        </w:rPr>
      </w:pPr>
      <w:r>
        <w:rPr>
          <w:rFonts w:hint="eastAsia" w:cs="宋体"/>
          <w:szCs w:val="21"/>
        </w:rPr>
        <w:t xml:space="preserve">地址：                                 地址：   </w:t>
      </w:r>
    </w:p>
    <w:p w14:paraId="7D9B40B5">
      <w:pPr>
        <w:spacing w:line="400" w:lineRule="exact"/>
        <w:rPr>
          <w:rFonts w:cs="宋体"/>
          <w:szCs w:val="21"/>
        </w:rPr>
      </w:pPr>
      <w:r>
        <w:rPr>
          <w:rFonts w:hint="eastAsia" w:cs="宋体"/>
          <w:szCs w:val="21"/>
        </w:rPr>
        <w:t xml:space="preserve">电话：                                 电话： </w:t>
      </w:r>
    </w:p>
    <w:p w14:paraId="70D9C0BC">
      <w:pPr>
        <w:spacing w:line="400" w:lineRule="exact"/>
        <w:rPr>
          <w:rFonts w:cs="宋体"/>
          <w:szCs w:val="21"/>
        </w:rPr>
      </w:pPr>
      <w:r>
        <w:rPr>
          <w:rFonts w:hint="eastAsia" w:cs="宋体"/>
          <w:szCs w:val="21"/>
        </w:rPr>
        <w:t>开户行：                               开户行：</w:t>
      </w:r>
    </w:p>
    <w:p w14:paraId="2DA11D5D">
      <w:pPr>
        <w:spacing w:line="400" w:lineRule="exact"/>
        <w:rPr>
          <w:rFonts w:cs="宋体"/>
          <w:szCs w:val="21"/>
        </w:rPr>
      </w:pPr>
      <w:r>
        <w:rPr>
          <w:rFonts w:hint="eastAsia" w:cs="宋体"/>
          <w:szCs w:val="21"/>
        </w:rPr>
        <w:t>帐号：                                 帐号：</w:t>
      </w:r>
    </w:p>
    <w:p w14:paraId="0155294E">
      <w:pPr>
        <w:spacing w:line="400" w:lineRule="exact"/>
        <w:rPr>
          <w:rFonts w:cs="宋体"/>
          <w:color w:val="000000" w:themeColor="text1"/>
          <w:szCs w:val="21"/>
          <w14:textFill>
            <w14:solidFill>
              <w14:schemeClr w14:val="tx1"/>
            </w14:solidFill>
          </w14:textFill>
        </w:rPr>
      </w:pPr>
      <w:r>
        <w:rPr>
          <w:rFonts w:hint="eastAsia" w:cs="宋体"/>
          <w:szCs w:val="21"/>
        </w:rPr>
        <w:t>日期：   年    月   日                 日期：   年    月   日</w:t>
      </w:r>
    </w:p>
    <w:p w14:paraId="3359B420">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br w:type="page"/>
      </w:r>
      <w:r>
        <w:rPr>
          <w:rFonts w:hint="eastAsia" w:cs="宋体"/>
          <w:color w:val="000000" w:themeColor="text1"/>
          <w:sz w:val="28"/>
          <w:szCs w:val="28"/>
          <w14:textFill>
            <w14:solidFill>
              <w14:schemeClr w14:val="tx1"/>
            </w14:solidFill>
          </w14:textFill>
        </w:rPr>
        <w:t>合同附件</w:t>
      </w:r>
    </w:p>
    <w:p w14:paraId="24AD5B64">
      <w:pPr>
        <w:spacing w:line="480" w:lineRule="atLeas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1、设备配置清单：</w:t>
      </w:r>
    </w:p>
    <w:p w14:paraId="0C1B114E">
      <w:pPr>
        <w:spacing w:line="480" w:lineRule="atLeast"/>
        <w:rPr>
          <w:rFonts w:cs="宋体"/>
          <w:color w:val="000000" w:themeColor="text1"/>
          <w:szCs w:val="21"/>
          <w14:textFill>
            <w14:solidFill>
              <w14:schemeClr w14:val="tx1"/>
            </w14:solidFill>
          </w14:textFill>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603"/>
        <w:gridCol w:w="1671"/>
        <w:gridCol w:w="3364"/>
        <w:gridCol w:w="1047"/>
      </w:tblGrid>
      <w:tr w14:paraId="0E5B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0" w:type="dxa"/>
            <w:vAlign w:val="center"/>
          </w:tcPr>
          <w:p w14:paraId="1EBC9D08">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序号</w:t>
            </w:r>
          </w:p>
        </w:tc>
        <w:tc>
          <w:tcPr>
            <w:tcW w:w="1603" w:type="dxa"/>
            <w:vAlign w:val="center"/>
          </w:tcPr>
          <w:p w14:paraId="4A0FA1FE">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设备名称</w:t>
            </w:r>
          </w:p>
        </w:tc>
        <w:tc>
          <w:tcPr>
            <w:tcW w:w="1671" w:type="dxa"/>
            <w:vAlign w:val="center"/>
          </w:tcPr>
          <w:p w14:paraId="1998A951">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规格型号</w:t>
            </w:r>
          </w:p>
        </w:tc>
        <w:tc>
          <w:tcPr>
            <w:tcW w:w="3364" w:type="dxa"/>
            <w:vAlign w:val="center"/>
          </w:tcPr>
          <w:p w14:paraId="1AFB1CE2">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配  置</w:t>
            </w:r>
          </w:p>
        </w:tc>
        <w:tc>
          <w:tcPr>
            <w:tcW w:w="1047" w:type="dxa"/>
            <w:vAlign w:val="center"/>
          </w:tcPr>
          <w:p w14:paraId="609FC92E">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数量</w:t>
            </w:r>
          </w:p>
        </w:tc>
      </w:tr>
      <w:tr w14:paraId="6C36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0" w:type="dxa"/>
            <w:vAlign w:val="center"/>
          </w:tcPr>
          <w:p w14:paraId="3E39DC72">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p>
        </w:tc>
        <w:tc>
          <w:tcPr>
            <w:tcW w:w="1603" w:type="dxa"/>
            <w:vAlign w:val="center"/>
          </w:tcPr>
          <w:p w14:paraId="4A2249DE">
            <w:pPr>
              <w:spacing w:line="280" w:lineRule="exact"/>
              <w:jc w:val="center"/>
              <w:rPr>
                <w:rFonts w:cs="宋体"/>
                <w:color w:val="000000" w:themeColor="text1"/>
                <w:szCs w:val="21"/>
                <w14:textFill>
                  <w14:solidFill>
                    <w14:schemeClr w14:val="tx1"/>
                  </w14:solidFill>
                </w14:textFill>
              </w:rPr>
            </w:pPr>
          </w:p>
        </w:tc>
        <w:tc>
          <w:tcPr>
            <w:tcW w:w="1671" w:type="dxa"/>
            <w:vAlign w:val="center"/>
          </w:tcPr>
          <w:p w14:paraId="7EADE248">
            <w:pPr>
              <w:spacing w:line="280" w:lineRule="exact"/>
              <w:jc w:val="center"/>
              <w:rPr>
                <w:rFonts w:cs="宋体"/>
                <w:color w:val="000000" w:themeColor="text1"/>
                <w:szCs w:val="21"/>
                <w14:textFill>
                  <w14:solidFill>
                    <w14:schemeClr w14:val="tx1"/>
                  </w14:solidFill>
                </w14:textFill>
              </w:rPr>
            </w:pPr>
          </w:p>
        </w:tc>
        <w:tc>
          <w:tcPr>
            <w:tcW w:w="3364" w:type="dxa"/>
          </w:tcPr>
          <w:p w14:paraId="78158145">
            <w:pPr>
              <w:jc w:val="center"/>
              <w:rPr>
                <w:rFonts w:cs="宋体"/>
                <w:color w:val="000000" w:themeColor="text1"/>
                <w:szCs w:val="21"/>
                <w14:textFill>
                  <w14:solidFill>
                    <w14:schemeClr w14:val="tx1"/>
                  </w14:solidFill>
                </w14:textFill>
              </w:rPr>
            </w:pPr>
          </w:p>
        </w:tc>
        <w:tc>
          <w:tcPr>
            <w:tcW w:w="1047" w:type="dxa"/>
            <w:vAlign w:val="center"/>
          </w:tcPr>
          <w:p w14:paraId="7E2C2A39">
            <w:pPr>
              <w:spacing w:line="280" w:lineRule="exact"/>
              <w:jc w:val="center"/>
              <w:rPr>
                <w:rFonts w:cs="宋体"/>
                <w:color w:val="000000" w:themeColor="text1"/>
                <w:szCs w:val="21"/>
                <w14:textFill>
                  <w14:solidFill>
                    <w14:schemeClr w14:val="tx1"/>
                  </w14:solidFill>
                </w14:textFill>
              </w:rPr>
            </w:pPr>
          </w:p>
        </w:tc>
      </w:tr>
      <w:tr w14:paraId="0452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0" w:type="dxa"/>
            <w:vAlign w:val="center"/>
          </w:tcPr>
          <w:p w14:paraId="79AD2B29">
            <w:pPr>
              <w:jc w:val="center"/>
              <w:rPr>
                <w:rFonts w:cs="宋体"/>
                <w:color w:val="000000" w:themeColor="text1"/>
                <w:szCs w:val="21"/>
                <w14:textFill>
                  <w14:solidFill>
                    <w14:schemeClr w14:val="tx1"/>
                  </w14:solidFill>
                </w14:textFill>
              </w:rPr>
            </w:pPr>
          </w:p>
        </w:tc>
        <w:tc>
          <w:tcPr>
            <w:tcW w:w="1603" w:type="dxa"/>
            <w:vAlign w:val="center"/>
          </w:tcPr>
          <w:p w14:paraId="511DFA0F">
            <w:pPr>
              <w:spacing w:line="280" w:lineRule="exact"/>
              <w:jc w:val="center"/>
              <w:rPr>
                <w:rFonts w:cs="宋体"/>
                <w:color w:val="000000" w:themeColor="text1"/>
                <w:szCs w:val="21"/>
                <w14:textFill>
                  <w14:solidFill>
                    <w14:schemeClr w14:val="tx1"/>
                  </w14:solidFill>
                </w14:textFill>
              </w:rPr>
            </w:pPr>
          </w:p>
        </w:tc>
        <w:tc>
          <w:tcPr>
            <w:tcW w:w="1671" w:type="dxa"/>
            <w:vAlign w:val="center"/>
          </w:tcPr>
          <w:p w14:paraId="208D8664">
            <w:pPr>
              <w:spacing w:line="280" w:lineRule="exact"/>
              <w:jc w:val="center"/>
              <w:rPr>
                <w:rFonts w:cs="宋体"/>
                <w:color w:val="000000" w:themeColor="text1"/>
                <w:szCs w:val="21"/>
                <w14:textFill>
                  <w14:solidFill>
                    <w14:schemeClr w14:val="tx1"/>
                  </w14:solidFill>
                </w14:textFill>
              </w:rPr>
            </w:pPr>
          </w:p>
        </w:tc>
        <w:tc>
          <w:tcPr>
            <w:tcW w:w="3364" w:type="dxa"/>
          </w:tcPr>
          <w:p w14:paraId="667CE6D8">
            <w:pPr>
              <w:jc w:val="center"/>
              <w:rPr>
                <w:rFonts w:cs="宋体"/>
                <w:color w:val="000000" w:themeColor="text1"/>
                <w:szCs w:val="21"/>
                <w14:textFill>
                  <w14:solidFill>
                    <w14:schemeClr w14:val="tx1"/>
                  </w14:solidFill>
                </w14:textFill>
              </w:rPr>
            </w:pPr>
          </w:p>
        </w:tc>
        <w:tc>
          <w:tcPr>
            <w:tcW w:w="1047" w:type="dxa"/>
            <w:vAlign w:val="center"/>
          </w:tcPr>
          <w:p w14:paraId="3A51662C">
            <w:pPr>
              <w:spacing w:line="280" w:lineRule="exact"/>
              <w:jc w:val="center"/>
              <w:rPr>
                <w:rFonts w:cs="宋体"/>
                <w:color w:val="000000" w:themeColor="text1"/>
                <w:szCs w:val="21"/>
                <w14:textFill>
                  <w14:solidFill>
                    <w14:schemeClr w14:val="tx1"/>
                  </w14:solidFill>
                </w14:textFill>
              </w:rPr>
            </w:pPr>
          </w:p>
        </w:tc>
      </w:tr>
      <w:tr w14:paraId="6567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0" w:type="dxa"/>
            <w:vAlign w:val="center"/>
          </w:tcPr>
          <w:p w14:paraId="4632DDEA">
            <w:pPr>
              <w:jc w:val="center"/>
              <w:rPr>
                <w:rFonts w:cs="宋体"/>
                <w:color w:val="000000" w:themeColor="text1"/>
                <w:szCs w:val="21"/>
                <w14:textFill>
                  <w14:solidFill>
                    <w14:schemeClr w14:val="tx1"/>
                  </w14:solidFill>
                </w14:textFill>
              </w:rPr>
            </w:pPr>
          </w:p>
        </w:tc>
        <w:tc>
          <w:tcPr>
            <w:tcW w:w="1603" w:type="dxa"/>
            <w:vAlign w:val="center"/>
          </w:tcPr>
          <w:p w14:paraId="51A7CEAA">
            <w:pPr>
              <w:spacing w:line="280" w:lineRule="exact"/>
              <w:jc w:val="center"/>
              <w:rPr>
                <w:rFonts w:cs="宋体"/>
                <w:color w:val="000000" w:themeColor="text1"/>
                <w:szCs w:val="21"/>
                <w14:textFill>
                  <w14:solidFill>
                    <w14:schemeClr w14:val="tx1"/>
                  </w14:solidFill>
                </w14:textFill>
              </w:rPr>
            </w:pPr>
          </w:p>
        </w:tc>
        <w:tc>
          <w:tcPr>
            <w:tcW w:w="1671" w:type="dxa"/>
            <w:vAlign w:val="center"/>
          </w:tcPr>
          <w:p w14:paraId="0B353496">
            <w:pPr>
              <w:spacing w:line="280" w:lineRule="exact"/>
              <w:jc w:val="center"/>
              <w:rPr>
                <w:rFonts w:cs="宋体"/>
                <w:color w:val="000000" w:themeColor="text1"/>
                <w:szCs w:val="21"/>
                <w14:textFill>
                  <w14:solidFill>
                    <w14:schemeClr w14:val="tx1"/>
                  </w14:solidFill>
                </w14:textFill>
              </w:rPr>
            </w:pPr>
          </w:p>
        </w:tc>
        <w:tc>
          <w:tcPr>
            <w:tcW w:w="3364" w:type="dxa"/>
          </w:tcPr>
          <w:p w14:paraId="11BE6A6F">
            <w:pPr>
              <w:jc w:val="center"/>
              <w:rPr>
                <w:rFonts w:cs="宋体"/>
                <w:color w:val="000000" w:themeColor="text1"/>
                <w:szCs w:val="21"/>
                <w14:textFill>
                  <w14:solidFill>
                    <w14:schemeClr w14:val="tx1"/>
                  </w14:solidFill>
                </w14:textFill>
              </w:rPr>
            </w:pPr>
          </w:p>
        </w:tc>
        <w:tc>
          <w:tcPr>
            <w:tcW w:w="1047" w:type="dxa"/>
            <w:vAlign w:val="center"/>
          </w:tcPr>
          <w:p w14:paraId="5689FC01">
            <w:pPr>
              <w:spacing w:line="280" w:lineRule="exact"/>
              <w:jc w:val="center"/>
              <w:rPr>
                <w:rFonts w:cs="宋体"/>
                <w:color w:val="000000" w:themeColor="text1"/>
                <w:szCs w:val="21"/>
                <w14:textFill>
                  <w14:solidFill>
                    <w14:schemeClr w14:val="tx1"/>
                  </w14:solidFill>
                </w14:textFill>
              </w:rPr>
            </w:pPr>
          </w:p>
        </w:tc>
      </w:tr>
      <w:tr w14:paraId="12E9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0" w:type="dxa"/>
            <w:vAlign w:val="center"/>
          </w:tcPr>
          <w:p w14:paraId="643BFBDC">
            <w:pPr>
              <w:jc w:val="center"/>
              <w:rPr>
                <w:rFonts w:cs="宋体"/>
                <w:color w:val="000000" w:themeColor="text1"/>
                <w:szCs w:val="21"/>
                <w14:textFill>
                  <w14:solidFill>
                    <w14:schemeClr w14:val="tx1"/>
                  </w14:solidFill>
                </w14:textFill>
              </w:rPr>
            </w:pPr>
          </w:p>
        </w:tc>
        <w:tc>
          <w:tcPr>
            <w:tcW w:w="1603" w:type="dxa"/>
            <w:vAlign w:val="center"/>
          </w:tcPr>
          <w:p w14:paraId="4224F2B8">
            <w:pPr>
              <w:spacing w:line="280" w:lineRule="exact"/>
              <w:jc w:val="center"/>
              <w:rPr>
                <w:rFonts w:cs="宋体"/>
                <w:color w:val="000000" w:themeColor="text1"/>
                <w:szCs w:val="21"/>
                <w14:textFill>
                  <w14:solidFill>
                    <w14:schemeClr w14:val="tx1"/>
                  </w14:solidFill>
                </w14:textFill>
              </w:rPr>
            </w:pPr>
          </w:p>
        </w:tc>
        <w:tc>
          <w:tcPr>
            <w:tcW w:w="1671" w:type="dxa"/>
            <w:vAlign w:val="center"/>
          </w:tcPr>
          <w:p w14:paraId="79FBF48D">
            <w:pPr>
              <w:spacing w:line="280" w:lineRule="exact"/>
              <w:jc w:val="center"/>
              <w:rPr>
                <w:rFonts w:cs="宋体"/>
                <w:color w:val="000000" w:themeColor="text1"/>
                <w:szCs w:val="21"/>
                <w14:textFill>
                  <w14:solidFill>
                    <w14:schemeClr w14:val="tx1"/>
                  </w14:solidFill>
                </w14:textFill>
              </w:rPr>
            </w:pPr>
          </w:p>
        </w:tc>
        <w:tc>
          <w:tcPr>
            <w:tcW w:w="3364" w:type="dxa"/>
          </w:tcPr>
          <w:p w14:paraId="04BB4976">
            <w:pPr>
              <w:jc w:val="center"/>
              <w:rPr>
                <w:rFonts w:cs="宋体"/>
                <w:color w:val="000000" w:themeColor="text1"/>
                <w:szCs w:val="21"/>
                <w14:textFill>
                  <w14:solidFill>
                    <w14:schemeClr w14:val="tx1"/>
                  </w14:solidFill>
                </w14:textFill>
              </w:rPr>
            </w:pPr>
          </w:p>
        </w:tc>
        <w:tc>
          <w:tcPr>
            <w:tcW w:w="1047" w:type="dxa"/>
            <w:vAlign w:val="center"/>
          </w:tcPr>
          <w:p w14:paraId="49AAE8EB">
            <w:pPr>
              <w:spacing w:line="280" w:lineRule="exact"/>
              <w:jc w:val="center"/>
              <w:rPr>
                <w:rFonts w:cs="宋体"/>
                <w:color w:val="000000" w:themeColor="text1"/>
                <w:szCs w:val="21"/>
                <w14:textFill>
                  <w14:solidFill>
                    <w14:schemeClr w14:val="tx1"/>
                  </w14:solidFill>
                </w14:textFill>
              </w:rPr>
            </w:pPr>
          </w:p>
        </w:tc>
      </w:tr>
      <w:tr w14:paraId="72377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0" w:type="dxa"/>
            <w:vAlign w:val="center"/>
          </w:tcPr>
          <w:p w14:paraId="23E353B3">
            <w:pPr>
              <w:jc w:val="center"/>
              <w:rPr>
                <w:rFonts w:cs="宋体"/>
                <w:color w:val="000000" w:themeColor="text1"/>
                <w:szCs w:val="21"/>
                <w14:textFill>
                  <w14:solidFill>
                    <w14:schemeClr w14:val="tx1"/>
                  </w14:solidFill>
                </w14:textFill>
              </w:rPr>
            </w:pPr>
          </w:p>
        </w:tc>
        <w:tc>
          <w:tcPr>
            <w:tcW w:w="1603" w:type="dxa"/>
            <w:vAlign w:val="center"/>
          </w:tcPr>
          <w:p w14:paraId="7C846100">
            <w:pPr>
              <w:spacing w:line="280" w:lineRule="exact"/>
              <w:jc w:val="center"/>
              <w:rPr>
                <w:rFonts w:cs="宋体"/>
                <w:color w:val="000000" w:themeColor="text1"/>
                <w:szCs w:val="21"/>
                <w14:textFill>
                  <w14:solidFill>
                    <w14:schemeClr w14:val="tx1"/>
                  </w14:solidFill>
                </w14:textFill>
              </w:rPr>
            </w:pPr>
          </w:p>
        </w:tc>
        <w:tc>
          <w:tcPr>
            <w:tcW w:w="1671" w:type="dxa"/>
            <w:vAlign w:val="center"/>
          </w:tcPr>
          <w:p w14:paraId="762B40BE">
            <w:pPr>
              <w:spacing w:line="280" w:lineRule="exact"/>
              <w:jc w:val="center"/>
              <w:rPr>
                <w:rFonts w:cs="宋体"/>
                <w:color w:val="000000" w:themeColor="text1"/>
                <w:szCs w:val="21"/>
                <w14:textFill>
                  <w14:solidFill>
                    <w14:schemeClr w14:val="tx1"/>
                  </w14:solidFill>
                </w14:textFill>
              </w:rPr>
            </w:pPr>
          </w:p>
        </w:tc>
        <w:tc>
          <w:tcPr>
            <w:tcW w:w="3364" w:type="dxa"/>
          </w:tcPr>
          <w:p w14:paraId="06A6EDBC">
            <w:pPr>
              <w:jc w:val="center"/>
              <w:rPr>
                <w:rFonts w:cs="宋体"/>
                <w:color w:val="000000" w:themeColor="text1"/>
                <w:szCs w:val="21"/>
                <w14:textFill>
                  <w14:solidFill>
                    <w14:schemeClr w14:val="tx1"/>
                  </w14:solidFill>
                </w14:textFill>
              </w:rPr>
            </w:pPr>
          </w:p>
        </w:tc>
        <w:tc>
          <w:tcPr>
            <w:tcW w:w="1047" w:type="dxa"/>
            <w:vAlign w:val="center"/>
          </w:tcPr>
          <w:p w14:paraId="22C5EE53">
            <w:pPr>
              <w:spacing w:line="280" w:lineRule="exact"/>
              <w:jc w:val="center"/>
              <w:rPr>
                <w:rFonts w:cs="宋体"/>
                <w:color w:val="000000" w:themeColor="text1"/>
                <w:szCs w:val="21"/>
                <w14:textFill>
                  <w14:solidFill>
                    <w14:schemeClr w14:val="tx1"/>
                  </w14:solidFill>
                </w14:textFill>
              </w:rPr>
            </w:pPr>
          </w:p>
        </w:tc>
      </w:tr>
      <w:tr w14:paraId="04D0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0" w:type="dxa"/>
            <w:vAlign w:val="center"/>
          </w:tcPr>
          <w:p w14:paraId="6CA7651E">
            <w:pPr>
              <w:jc w:val="center"/>
              <w:rPr>
                <w:rFonts w:cs="宋体"/>
                <w:color w:val="000000" w:themeColor="text1"/>
                <w:szCs w:val="21"/>
                <w14:textFill>
                  <w14:solidFill>
                    <w14:schemeClr w14:val="tx1"/>
                  </w14:solidFill>
                </w14:textFill>
              </w:rPr>
            </w:pPr>
          </w:p>
        </w:tc>
        <w:tc>
          <w:tcPr>
            <w:tcW w:w="1603" w:type="dxa"/>
            <w:vAlign w:val="center"/>
          </w:tcPr>
          <w:p w14:paraId="20EEF48B">
            <w:pPr>
              <w:spacing w:line="280" w:lineRule="exact"/>
              <w:jc w:val="center"/>
              <w:rPr>
                <w:rFonts w:cs="宋体"/>
                <w:color w:val="000000" w:themeColor="text1"/>
                <w:szCs w:val="21"/>
                <w14:textFill>
                  <w14:solidFill>
                    <w14:schemeClr w14:val="tx1"/>
                  </w14:solidFill>
                </w14:textFill>
              </w:rPr>
            </w:pPr>
          </w:p>
        </w:tc>
        <w:tc>
          <w:tcPr>
            <w:tcW w:w="1671" w:type="dxa"/>
            <w:vAlign w:val="center"/>
          </w:tcPr>
          <w:p w14:paraId="2F59FB40">
            <w:pPr>
              <w:spacing w:line="280" w:lineRule="exact"/>
              <w:jc w:val="center"/>
              <w:rPr>
                <w:rFonts w:cs="宋体"/>
                <w:color w:val="000000" w:themeColor="text1"/>
                <w:szCs w:val="21"/>
                <w14:textFill>
                  <w14:solidFill>
                    <w14:schemeClr w14:val="tx1"/>
                  </w14:solidFill>
                </w14:textFill>
              </w:rPr>
            </w:pPr>
          </w:p>
        </w:tc>
        <w:tc>
          <w:tcPr>
            <w:tcW w:w="3364" w:type="dxa"/>
          </w:tcPr>
          <w:p w14:paraId="7786B52C">
            <w:pPr>
              <w:jc w:val="center"/>
              <w:rPr>
                <w:rFonts w:cs="宋体"/>
                <w:color w:val="000000" w:themeColor="text1"/>
                <w:szCs w:val="21"/>
                <w14:textFill>
                  <w14:solidFill>
                    <w14:schemeClr w14:val="tx1"/>
                  </w14:solidFill>
                </w14:textFill>
              </w:rPr>
            </w:pPr>
          </w:p>
        </w:tc>
        <w:tc>
          <w:tcPr>
            <w:tcW w:w="1047" w:type="dxa"/>
            <w:vAlign w:val="center"/>
          </w:tcPr>
          <w:p w14:paraId="5226CBB2">
            <w:pPr>
              <w:spacing w:line="280" w:lineRule="exact"/>
              <w:jc w:val="center"/>
              <w:rPr>
                <w:rFonts w:cs="宋体"/>
                <w:color w:val="000000" w:themeColor="text1"/>
                <w:szCs w:val="21"/>
                <w14:textFill>
                  <w14:solidFill>
                    <w14:schemeClr w14:val="tx1"/>
                  </w14:solidFill>
                </w14:textFill>
              </w:rPr>
            </w:pPr>
          </w:p>
        </w:tc>
      </w:tr>
    </w:tbl>
    <w:p w14:paraId="67DE41EF">
      <w:pPr>
        <w:spacing w:line="480" w:lineRule="atLeas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2、技术资料清单：</w:t>
      </w:r>
    </w:p>
    <w:p w14:paraId="09F2292E">
      <w:pPr>
        <w:spacing w:line="480" w:lineRule="atLeast"/>
        <w:ind w:left="360"/>
        <w:rPr>
          <w:rFonts w:cs="宋体"/>
          <w:color w:val="000000" w:themeColor="text1"/>
          <w:szCs w:val="21"/>
          <w14:textFill>
            <w14:solidFill>
              <w14:schemeClr w14:val="tx1"/>
            </w14:solidFill>
          </w14:textFill>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6475"/>
        <w:gridCol w:w="1110"/>
      </w:tblGrid>
      <w:tr w14:paraId="010F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41" w:type="dxa"/>
            <w:vAlign w:val="center"/>
          </w:tcPr>
          <w:p w14:paraId="6CCAEF54">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序号</w:t>
            </w:r>
          </w:p>
        </w:tc>
        <w:tc>
          <w:tcPr>
            <w:tcW w:w="6475" w:type="dxa"/>
            <w:vAlign w:val="center"/>
          </w:tcPr>
          <w:p w14:paraId="0A0738FC">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资料名称</w:t>
            </w:r>
          </w:p>
        </w:tc>
        <w:tc>
          <w:tcPr>
            <w:tcW w:w="1110" w:type="dxa"/>
            <w:vAlign w:val="center"/>
          </w:tcPr>
          <w:p w14:paraId="2328D64C">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数量</w:t>
            </w:r>
          </w:p>
        </w:tc>
      </w:tr>
      <w:tr w14:paraId="503E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41" w:type="dxa"/>
            <w:vAlign w:val="center"/>
          </w:tcPr>
          <w:p w14:paraId="54D67C09">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p>
        </w:tc>
        <w:tc>
          <w:tcPr>
            <w:tcW w:w="6475" w:type="dxa"/>
            <w:vAlign w:val="center"/>
          </w:tcPr>
          <w:p w14:paraId="5FADB2C1">
            <w:pPr>
              <w:jc w:val="center"/>
              <w:rPr>
                <w:rFonts w:cs="宋体"/>
                <w:bCs/>
                <w:color w:val="000000" w:themeColor="text1"/>
                <w:szCs w:val="21"/>
                <w14:textFill>
                  <w14:solidFill>
                    <w14:schemeClr w14:val="tx1"/>
                  </w14:solidFill>
                </w14:textFill>
              </w:rPr>
            </w:pPr>
          </w:p>
        </w:tc>
        <w:tc>
          <w:tcPr>
            <w:tcW w:w="1110" w:type="dxa"/>
            <w:vAlign w:val="center"/>
          </w:tcPr>
          <w:p w14:paraId="40FCD6A1">
            <w:pPr>
              <w:jc w:val="center"/>
              <w:rPr>
                <w:rFonts w:cs="宋体"/>
                <w:bCs/>
                <w:color w:val="000000" w:themeColor="text1"/>
                <w:szCs w:val="21"/>
                <w14:textFill>
                  <w14:solidFill>
                    <w14:schemeClr w14:val="tx1"/>
                  </w14:solidFill>
                </w14:textFill>
              </w:rPr>
            </w:pPr>
          </w:p>
        </w:tc>
      </w:tr>
      <w:tr w14:paraId="26C1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1" w:type="dxa"/>
            <w:vAlign w:val="center"/>
          </w:tcPr>
          <w:p w14:paraId="1BE8B66E">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w:t>
            </w:r>
          </w:p>
        </w:tc>
        <w:tc>
          <w:tcPr>
            <w:tcW w:w="6475" w:type="dxa"/>
            <w:vAlign w:val="center"/>
          </w:tcPr>
          <w:p w14:paraId="57DF654E">
            <w:pPr>
              <w:jc w:val="center"/>
              <w:rPr>
                <w:rFonts w:cs="宋体"/>
                <w:bCs/>
                <w:color w:val="000000" w:themeColor="text1"/>
                <w:szCs w:val="21"/>
                <w14:textFill>
                  <w14:solidFill>
                    <w14:schemeClr w14:val="tx1"/>
                  </w14:solidFill>
                </w14:textFill>
              </w:rPr>
            </w:pPr>
          </w:p>
        </w:tc>
        <w:tc>
          <w:tcPr>
            <w:tcW w:w="1110" w:type="dxa"/>
            <w:vAlign w:val="center"/>
          </w:tcPr>
          <w:p w14:paraId="0EF637F3">
            <w:pPr>
              <w:jc w:val="center"/>
              <w:rPr>
                <w:rFonts w:cs="宋体"/>
                <w:bCs/>
                <w:color w:val="000000" w:themeColor="text1"/>
                <w:szCs w:val="21"/>
                <w14:textFill>
                  <w14:solidFill>
                    <w14:schemeClr w14:val="tx1"/>
                  </w14:solidFill>
                </w14:textFill>
              </w:rPr>
            </w:pPr>
          </w:p>
        </w:tc>
      </w:tr>
      <w:tr w14:paraId="3A3C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41" w:type="dxa"/>
            <w:vAlign w:val="center"/>
          </w:tcPr>
          <w:p w14:paraId="1204A6F9">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w:t>
            </w:r>
          </w:p>
        </w:tc>
        <w:tc>
          <w:tcPr>
            <w:tcW w:w="6475" w:type="dxa"/>
            <w:vAlign w:val="center"/>
          </w:tcPr>
          <w:p w14:paraId="62FE861E">
            <w:pPr>
              <w:jc w:val="center"/>
              <w:rPr>
                <w:rFonts w:cs="宋体"/>
                <w:bCs/>
                <w:color w:val="000000" w:themeColor="text1"/>
                <w:szCs w:val="21"/>
                <w14:textFill>
                  <w14:solidFill>
                    <w14:schemeClr w14:val="tx1"/>
                  </w14:solidFill>
                </w14:textFill>
              </w:rPr>
            </w:pPr>
          </w:p>
        </w:tc>
        <w:tc>
          <w:tcPr>
            <w:tcW w:w="1110" w:type="dxa"/>
            <w:vAlign w:val="center"/>
          </w:tcPr>
          <w:p w14:paraId="42DBBB0B">
            <w:pPr>
              <w:jc w:val="center"/>
              <w:rPr>
                <w:rFonts w:cs="宋体"/>
                <w:bCs/>
                <w:color w:val="000000" w:themeColor="text1"/>
                <w:szCs w:val="21"/>
                <w14:textFill>
                  <w14:solidFill>
                    <w14:schemeClr w14:val="tx1"/>
                  </w14:solidFill>
                </w14:textFill>
              </w:rPr>
            </w:pPr>
          </w:p>
        </w:tc>
      </w:tr>
      <w:tr w14:paraId="5489D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41" w:type="dxa"/>
            <w:vAlign w:val="center"/>
          </w:tcPr>
          <w:p w14:paraId="16A14FCD">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4</w:t>
            </w:r>
          </w:p>
        </w:tc>
        <w:tc>
          <w:tcPr>
            <w:tcW w:w="6475" w:type="dxa"/>
            <w:vAlign w:val="center"/>
          </w:tcPr>
          <w:p w14:paraId="6523E1E8">
            <w:pPr>
              <w:jc w:val="center"/>
              <w:rPr>
                <w:rFonts w:cs="宋体"/>
                <w:bCs/>
                <w:color w:val="000000" w:themeColor="text1"/>
                <w:szCs w:val="21"/>
                <w14:textFill>
                  <w14:solidFill>
                    <w14:schemeClr w14:val="tx1"/>
                  </w14:solidFill>
                </w14:textFill>
              </w:rPr>
            </w:pPr>
          </w:p>
        </w:tc>
        <w:tc>
          <w:tcPr>
            <w:tcW w:w="1110" w:type="dxa"/>
            <w:vAlign w:val="center"/>
          </w:tcPr>
          <w:p w14:paraId="4F9B5706">
            <w:pPr>
              <w:jc w:val="center"/>
              <w:rPr>
                <w:rFonts w:cs="宋体"/>
                <w:bCs/>
                <w:color w:val="000000" w:themeColor="text1"/>
                <w:szCs w:val="21"/>
                <w14:textFill>
                  <w14:solidFill>
                    <w14:schemeClr w14:val="tx1"/>
                  </w14:solidFill>
                </w14:textFill>
              </w:rPr>
            </w:pPr>
          </w:p>
        </w:tc>
      </w:tr>
      <w:tr w14:paraId="4CDD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41" w:type="dxa"/>
            <w:vAlign w:val="center"/>
          </w:tcPr>
          <w:p w14:paraId="102FE4EE">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5</w:t>
            </w:r>
          </w:p>
        </w:tc>
        <w:tc>
          <w:tcPr>
            <w:tcW w:w="6475" w:type="dxa"/>
            <w:vAlign w:val="center"/>
          </w:tcPr>
          <w:p w14:paraId="2337C874">
            <w:pPr>
              <w:jc w:val="center"/>
              <w:rPr>
                <w:rFonts w:cs="宋体"/>
                <w:bCs/>
                <w:color w:val="000000" w:themeColor="text1"/>
                <w:szCs w:val="21"/>
                <w14:textFill>
                  <w14:solidFill>
                    <w14:schemeClr w14:val="tx1"/>
                  </w14:solidFill>
                </w14:textFill>
              </w:rPr>
            </w:pPr>
          </w:p>
        </w:tc>
        <w:tc>
          <w:tcPr>
            <w:tcW w:w="1110" w:type="dxa"/>
            <w:vAlign w:val="center"/>
          </w:tcPr>
          <w:p w14:paraId="14E12D16">
            <w:pPr>
              <w:jc w:val="center"/>
              <w:rPr>
                <w:rFonts w:cs="宋体"/>
                <w:bCs/>
                <w:color w:val="000000" w:themeColor="text1"/>
                <w:szCs w:val="21"/>
                <w14:textFill>
                  <w14:solidFill>
                    <w14:schemeClr w14:val="tx1"/>
                  </w14:solidFill>
                </w14:textFill>
              </w:rPr>
            </w:pPr>
          </w:p>
        </w:tc>
      </w:tr>
      <w:tr w14:paraId="53DC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41" w:type="dxa"/>
            <w:vAlign w:val="center"/>
          </w:tcPr>
          <w:p w14:paraId="0AA03C7B">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6</w:t>
            </w:r>
          </w:p>
        </w:tc>
        <w:tc>
          <w:tcPr>
            <w:tcW w:w="6475" w:type="dxa"/>
            <w:vAlign w:val="center"/>
          </w:tcPr>
          <w:p w14:paraId="11A20012">
            <w:pPr>
              <w:jc w:val="center"/>
              <w:rPr>
                <w:rFonts w:cs="宋体"/>
                <w:bCs/>
                <w:color w:val="000000" w:themeColor="text1"/>
                <w:szCs w:val="21"/>
                <w14:textFill>
                  <w14:solidFill>
                    <w14:schemeClr w14:val="tx1"/>
                  </w14:solidFill>
                </w14:textFill>
              </w:rPr>
            </w:pPr>
          </w:p>
        </w:tc>
        <w:tc>
          <w:tcPr>
            <w:tcW w:w="1110" w:type="dxa"/>
            <w:vAlign w:val="center"/>
          </w:tcPr>
          <w:p w14:paraId="0EEF3B63">
            <w:pPr>
              <w:jc w:val="center"/>
              <w:rPr>
                <w:rFonts w:cs="宋体"/>
                <w:bCs/>
                <w:color w:val="000000" w:themeColor="text1"/>
                <w:szCs w:val="21"/>
                <w14:textFill>
                  <w14:solidFill>
                    <w14:schemeClr w14:val="tx1"/>
                  </w14:solidFill>
                </w14:textFill>
              </w:rPr>
            </w:pPr>
          </w:p>
        </w:tc>
      </w:tr>
    </w:tbl>
    <w:p w14:paraId="1613F50B">
      <w:pPr>
        <w:rPr>
          <w:rFonts w:cs="宋体"/>
          <w:color w:val="000000" w:themeColor="text1"/>
          <w:szCs w:val="21"/>
          <w14:textFill>
            <w14:solidFill>
              <w14:schemeClr w14:val="tx1"/>
            </w14:solidFill>
          </w14:textFill>
        </w:rPr>
      </w:pPr>
    </w:p>
    <w:p w14:paraId="6F622F79">
      <w:pPr>
        <w:ind w:left="6720" w:hanging="6720" w:hangingChars="28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 xml:space="preserve"> 甲方：湖州职业技术学院（盖章）                  乙方： </w:t>
      </w:r>
    </w:p>
    <w:p w14:paraId="7876EB19">
      <w:pPr>
        <w:rPr>
          <w:rFonts w:cs="宋体"/>
          <w:color w:val="000000" w:themeColor="text1"/>
          <w:szCs w:val="21"/>
          <w14:textFill>
            <w14:solidFill>
              <w14:schemeClr w14:val="tx1"/>
            </w14:solidFill>
          </w14:textFill>
        </w:rPr>
      </w:pPr>
    </w:p>
    <w:p w14:paraId="6E8564D1">
      <w:pP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 xml:space="preserve"> 项目负责人：                                    授权代表：</w:t>
      </w:r>
    </w:p>
    <w:p w14:paraId="4829068D">
      <w:pPr>
        <w:rPr>
          <w:rFonts w:cs="宋体"/>
          <w:color w:val="000000" w:themeColor="text1"/>
          <w:szCs w:val="21"/>
          <w14:textFill>
            <w14:solidFill>
              <w14:schemeClr w14:val="tx1"/>
            </w14:solidFill>
          </w14:textFill>
        </w:rPr>
      </w:pPr>
    </w:p>
    <w:p w14:paraId="16337693">
      <w:pPr>
        <w:autoSpaceDE w:val="0"/>
        <w:autoSpaceDN w:val="0"/>
        <w:adjustRightInd w:val="0"/>
        <w:snapToGrid w:val="0"/>
        <w:ind w:firstLine="480" w:firstLineChars="200"/>
        <w:textAlignment w:val="bottom"/>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 xml:space="preserve">                                             日    期：  年   月   日</w:t>
      </w:r>
    </w:p>
    <w:p w14:paraId="44692161">
      <w:pPr>
        <w:pStyle w:val="2"/>
      </w:pPr>
      <w:r>
        <w:rPr>
          <w:rFonts w:hint="eastAsia"/>
        </w:rPr>
        <w:t>第六章 投标文件格式</w:t>
      </w:r>
      <w:bookmarkEnd w:id="23"/>
      <w:bookmarkEnd w:id="24"/>
    </w:p>
    <w:p w14:paraId="27BC4718">
      <w:pPr>
        <w:rPr>
          <w:b/>
        </w:rPr>
      </w:pPr>
      <w:r>
        <w:rPr>
          <w:rFonts w:hint="eastAsia"/>
          <w:b/>
        </w:rPr>
        <w:t>1.资格/技术、商务、资信及其他封面格式：</w:t>
      </w:r>
    </w:p>
    <w:p w14:paraId="18268516"/>
    <w:p w14:paraId="74C58711"/>
    <w:p w14:paraId="398EE6D7"/>
    <w:p w14:paraId="1E028BF2"/>
    <w:p w14:paraId="6DE74E99">
      <w:pPr>
        <w:autoSpaceDE w:val="0"/>
        <w:autoSpaceDN w:val="0"/>
        <w:adjustRightInd w:val="0"/>
        <w:spacing w:line="540" w:lineRule="exact"/>
        <w:jc w:val="center"/>
        <w:rPr>
          <w:b/>
          <w:sz w:val="30"/>
          <w:szCs w:val="30"/>
        </w:rPr>
      </w:pPr>
      <w:r>
        <w:rPr>
          <w:rFonts w:hint="eastAsia"/>
          <w:b/>
          <w:sz w:val="30"/>
          <w:szCs w:val="30"/>
        </w:rPr>
        <w:t>资格文件/技术、商务、资信及其他文件</w:t>
      </w:r>
    </w:p>
    <w:p w14:paraId="1BDDF1AE">
      <w:pPr>
        <w:autoSpaceDE w:val="0"/>
        <w:autoSpaceDN w:val="0"/>
        <w:adjustRightInd w:val="0"/>
        <w:spacing w:line="540" w:lineRule="exact"/>
        <w:jc w:val="center"/>
        <w:rPr>
          <w:b/>
          <w:szCs w:val="28"/>
        </w:rPr>
      </w:pPr>
    </w:p>
    <w:p w14:paraId="23B06C51">
      <w:pPr>
        <w:autoSpaceDE w:val="0"/>
        <w:autoSpaceDN w:val="0"/>
        <w:adjustRightInd w:val="0"/>
        <w:spacing w:line="640" w:lineRule="exact"/>
        <w:jc w:val="left"/>
      </w:pPr>
      <w:r>
        <w:rPr>
          <w:rFonts w:hint="eastAsia"/>
        </w:rPr>
        <w:t>项目名称：湖州职业技术学院虚拟仿真实训教学管理平台等软件采购项目（标项一/标项二/标项三）</w:t>
      </w:r>
    </w:p>
    <w:p w14:paraId="3D57E70A">
      <w:pPr>
        <w:autoSpaceDE w:val="0"/>
        <w:autoSpaceDN w:val="0"/>
        <w:adjustRightInd w:val="0"/>
        <w:spacing w:line="640" w:lineRule="exact"/>
        <w:jc w:val="left"/>
        <w:rPr>
          <w:rFonts w:hint="eastAsia" w:eastAsia="宋体"/>
          <w:lang w:eastAsia="zh-CN"/>
        </w:rPr>
      </w:pPr>
      <w:r>
        <w:rPr>
          <w:rFonts w:hint="eastAsia"/>
        </w:rPr>
        <w:t>项目编号：</w:t>
      </w:r>
      <w:r>
        <w:rPr>
          <w:rFonts w:hint="eastAsia"/>
          <w:lang w:eastAsia="zh-CN"/>
        </w:rPr>
        <w:t>CTZB-2025060537</w:t>
      </w:r>
    </w:p>
    <w:p w14:paraId="27646381">
      <w:pPr>
        <w:autoSpaceDE w:val="0"/>
        <w:autoSpaceDN w:val="0"/>
        <w:adjustRightInd w:val="0"/>
        <w:spacing w:line="640" w:lineRule="exact"/>
        <w:jc w:val="left"/>
      </w:pPr>
      <w:r>
        <w:rPr>
          <w:rFonts w:hint="eastAsia"/>
        </w:rPr>
        <w:t>供应商名称：</w:t>
      </w:r>
      <w:r>
        <w:rPr>
          <w:rFonts w:hint="eastAsia"/>
          <w:u w:val="single"/>
        </w:rPr>
        <w:t xml:space="preserve">                     </w:t>
      </w:r>
    </w:p>
    <w:p w14:paraId="30426D35">
      <w:pPr>
        <w:autoSpaceDE w:val="0"/>
        <w:autoSpaceDN w:val="0"/>
        <w:adjustRightInd w:val="0"/>
        <w:spacing w:line="640" w:lineRule="exact"/>
        <w:jc w:val="left"/>
      </w:pPr>
      <w:r>
        <w:rPr>
          <w:rFonts w:hint="eastAsia"/>
        </w:rPr>
        <w:t>供应商地址：</w:t>
      </w:r>
      <w:r>
        <w:rPr>
          <w:rFonts w:hint="eastAsia"/>
          <w:u w:val="single"/>
        </w:rPr>
        <w:t xml:space="preserve">                     </w:t>
      </w:r>
    </w:p>
    <w:p w14:paraId="1E73B089">
      <w:pPr>
        <w:autoSpaceDE w:val="0"/>
        <w:autoSpaceDN w:val="0"/>
        <w:adjustRightInd w:val="0"/>
        <w:spacing w:line="540" w:lineRule="exact"/>
        <w:jc w:val="left"/>
        <w:rPr>
          <w:sz w:val="36"/>
          <w:lang w:val="zh-CN"/>
        </w:rPr>
      </w:pPr>
    </w:p>
    <w:p w14:paraId="0AD08F98">
      <w:pPr>
        <w:autoSpaceDE w:val="0"/>
        <w:autoSpaceDN w:val="0"/>
        <w:adjustRightInd w:val="0"/>
        <w:spacing w:line="540" w:lineRule="exact"/>
        <w:jc w:val="left"/>
        <w:rPr>
          <w:sz w:val="36"/>
          <w:lang w:val="zh-CN"/>
        </w:rPr>
      </w:pPr>
    </w:p>
    <w:p w14:paraId="33B2A393">
      <w:pPr>
        <w:autoSpaceDE w:val="0"/>
        <w:autoSpaceDN w:val="0"/>
        <w:adjustRightInd w:val="0"/>
        <w:spacing w:line="540" w:lineRule="exact"/>
        <w:jc w:val="center"/>
        <w:rPr>
          <w:b/>
          <w:sz w:val="36"/>
          <w:lang w:val="zh-CN"/>
        </w:rPr>
      </w:pPr>
    </w:p>
    <w:p w14:paraId="6F6F6140">
      <w:pPr>
        <w:autoSpaceDE w:val="0"/>
        <w:autoSpaceDN w:val="0"/>
        <w:adjustRightInd w:val="0"/>
        <w:spacing w:line="540" w:lineRule="exact"/>
        <w:jc w:val="center"/>
        <w:rPr>
          <w:b/>
          <w:sz w:val="36"/>
          <w:lang w:val="zh-CN"/>
        </w:rPr>
      </w:pPr>
    </w:p>
    <w:p w14:paraId="54D7166E">
      <w:pPr>
        <w:autoSpaceDE w:val="0"/>
        <w:autoSpaceDN w:val="0"/>
        <w:adjustRightInd w:val="0"/>
        <w:spacing w:line="540" w:lineRule="exact"/>
        <w:ind w:right="140"/>
        <w:jc w:val="right"/>
        <w:rPr>
          <w:szCs w:val="28"/>
        </w:rPr>
      </w:pPr>
      <w:r>
        <w:rPr>
          <w:rFonts w:hint="eastAsia"/>
          <w:szCs w:val="28"/>
        </w:rPr>
        <w:t>年   月   日</w:t>
      </w:r>
    </w:p>
    <w:p w14:paraId="55B6BB6C">
      <w:pPr>
        <w:widowControl/>
        <w:spacing w:line="240" w:lineRule="auto"/>
        <w:jc w:val="left"/>
      </w:pPr>
      <w:r>
        <w:br w:type="page"/>
      </w:r>
    </w:p>
    <w:p w14:paraId="68F9A7B1">
      <w:pPr>
        <w:rPr>
          <w:b/>
        </w:rPr>
      </w:pPr>
      <w:r>
        <w:rPr>
          <w:rFonts w:hint="eastAsia"/>
          <w:b/>
        </w:rPr>
        <w:t>2.资格文件目录</w:t>
      </w:r>
    </w:p>
    <w:p w14:paraId="68B89435">
      <w:pPr>
        <w:ind w:firstLine="480" w:firstLineChars="200"/>
      </w:pPr>
      <w:r>
        <w:rPr>
          <w:rFonts w:hint="eastAsia"/>
        </w:rPr>
        <w:t>详见本文件“投标文件的组成”</w:t>
      </w:r>
    </w:p>
    <w:p w14:paraId="7B1CE6BA">
      <w:pPr>
        <w:rPr>
          <w:b/>
        </w:rPr>
      </w:pPr>
      <w:r>
        <w:rPr>
          <w:rFonts w:hint="eastAsia"/>
          <w:b/>
        </w:rPr>
        <w:t>资格文件格式：</w:t>
      </w:r>
    </w:p>
    <w:p w14:paraId="3F6A92C8">
      <w:pPr>
        <w:jc w:val="center"/>
        <w:rPr>
          <w:b/>
          <w:bCs/>
          <w:sz w:val="28"/>
          <w:szCs w:val="28"/>
        </w:rPr>
      </w:pPr>
      <w:r>
        <w:rPr>
          <w:rFonts w:hint="eastAsia"/>
          <w:b/>
          <w:bCs/>
          <w:sz w:val="28"/>
          <w:szCs w:val="28"/>
        </w:rPr>
        <w:t>法定代表人有效身份证明书</w:t>
      </w:r>
    </w:p>
    <w:p w14:paraId="57EA4E64">
      <w:pPr>
        <w:rPr>
          <w:b/>
          <w:bCs/>
        </w:rPr>
      </w:pPr>
    </w:p>
    <w:p w14:paraId="2BFF04F9">
      <w:pPr>
        <w:rPr>
          <w:b/>
          <w:bCs/>
        </w:rPr>
      </w:pPr>
    </w:p>
    <w:p w14:paraId="108FAB8F">
      <w:pPr>
        <w:ind w:firstLine="480" w:firstLineChars="200"/>
      </w:pPr>
      <w:r>
        <w:rPr>
          <w:rFonts w:hint="eastAsia"/>
          <w:u w:val="single"/>
        </w:rPr>
        <w:t xml:space="preserve">          </w:t>
      </w:r>
      <w:r>
        <w:rPr>
          <w:rFonts w:hint="eastAsia"/>
        </w:rPr>
        <w:t>（姓名）是</w:t>
      </w:r>
      <w:r>
        <w:rPr>
          <w:rFonts w:hint="eastAsia"/>
          <w:u w:val="single"/>
        </w:rPr>
        <w:t xml:space="preserve">                 </w:t>
      </w:r>
      <w:r>
        <w:rPr>
          <w:rFonts w:hint="eastAsia"/>
        </w:rPr>
        <w:t>（单位全称）的法定代表人，身份证号码为</w:t>
      </w:r>
      <w:r>
        <w:rPr>
          <w:rFonts w:hint="eastAsia"/>
          <w:u w:val="single"/>
        </w:rPr>
        <w:t xml:space="preserve">                  </w:t>
      </w:r>
      <w:r>
        <w:rPr>
          <w:rFonts w:hint="eastAsia"/>
        </w:rPr>
        <w:t>。</w:t>
      </w:r>
    </w:p>
    <w:p w14:paraId="42FDE898"/>
    <w:p w14:paraId="17CAADBF">
      <w:pPr>
        <w:ind w:firstLine="480" w:firstLineChars="200"/>
      </w:pPr>
      <w:r>
        <w:rPr>
          <w:rFonts w:hint="eastAsia"/>
        </w:rPr>
        <w:t>特此证明。</w:t>
      </w:r>
    </w:p>
    <w:p w14:paraId="46011AA5"/>
    <w:p w14:paraId="1BF2B765"/>
    <w:p w14:paraId="06C1EA7D">
      <w:pPr>
        <w:jc w:val="right"/>
      </w:pPr>
      <w:r>
        <w:rPr>
          <w:rFonts w:hint="eastAsia"/>
        </w:rPr>
        <w:t>供应商：</w:t>
      </w:r>
      <w:r>
        <w:rPr>
          <w:rFonts w:hint="eastAsia"/>
          <w:u w:val="single"/>
        </w:rPr>
        <w:t xml:space="preserve">                  </w:t>
      </w:r>
      <w:r>
        <w:rPr>
          <w:rFonts w:hint="eastAsia"/>
        </w:rPr>
        <w:t>（盖章）</w:t>
      </w:r>
    </w:p>
    <w:p w14:paraId="7567242A">
      <w:r>
        <w:rPr>
          <w:rFonts w:hint="eastAsia"/>
        </w:rPr>
        <w:t xml:space="preserve">                      </w:t>
      </w:r>
    </w:p>
    <w:p w14:paraId="69CD43F2">
      <w:pPr>
        <w:ind w:firstLine="2040" w:firstLineChars="850"/>
      </w:pPr>
      <w:r>
        <w:rPr>
          <w:rFonts w:hint="eastAsia"/>
        </w:rPr>
        <w:t>法定代表人或其授权代理人（签名或盖章）</w:t>
      </w:r>
      <w:r>
        <w:rPr>
          <w:rFonts w:hint="eastAsia"/>
          <w:u w:val="single"/>
        </w:rPr>
        <w:t xml:space="preserve">                     </w:t>
      </w:r>
    </w:p>
    <w:p w14:paraId="7E207DDA"/>
    <w:p w14:paraId="64540D36">
      <w:pPr>
        <w:jc w:val="right"/>
      </w:pPr>
      <w:r>
        <w:rPr>
          <w:rFonts w:hint="eastAsia"/>
        </w:rPr>
        <w:t>日期：    年   月   日</w:t>
      </w:r>
    </w:p>
    <w:p w14:paraId="2A57FD03"/>
    <w:p w14:paraId="4C772E0E">
      <w:pPr>
        <w:jc w:val="center"/>
      </w:pPr>
      <w:r>
        <w:rPr>
          <w:rFonts w:hint="eastAsia"/>
        </w:rPr>
        <w:t>————————————————————————————</w:t>
      </w:r>
    </w:p>
    <w:p w14:paraId="4DFB6E55">
      <w:pPr>
        <w:jc w:val="center"/>
      </w:pPr>
      <w:r>
        <w:rPr>
          <w:rFonts w:hint="eastAsia"/>
        </w:rPr>
        <w:t>法人代表有效身份证（正反面）</w:t>
      </w:r>
    </w:p>
    <w:p w14:paraId="644492F3">
      <w:pPr>
        <w:widowControl/>
        <w:spacing w:line="240" w:lineRule="auto"/>
        <w:jc w:val="left"/>
      </w:pPr>
      <w:r>
        <w:br w:type="page"/>
      </w:r>
    </w:p>
    <w:p w14:paraId="386F7A8A">
      <w:pPr>
        <w:jc w:val="center"/>
        <w:rPr>
          <w:b/>
          <w:sz w:val="28"/>
          <w:szCs w:val="28"/>
        </w:rPr>
      </w:pPr>
      <w:r>
        <w:rPr>
          <w:rFonts w:hint="eastAsia"/>
          <w:b/>
          <w:sz w:val="28"/>
          <w:szCs w:val="28"/>
        </w:rPr>
        <w:t>法定代表人授权委托书</w:t>
      </w:r>
    </w:p>
    <w:p w14:paraId="624CB30B">
      <w:pPr>
        <w:rPr>
          <w:b/>
        </w:rPr>
      </w:pPr>
    </w:p>
    <w:p w14:paraId="685D8525">
      <w:r>
        <w:rPr>
          <w:rFonts w:hint="eastAsia"/>
        </w:rPr>
        <w:t>致:</w:t>
      </w:r>
      <w:r>
        <w:t xml:space="preserve"> ______</w:t>
      </w:r>
      <w:r>
        <w:rPr>
          <w:u w:val="single"/>
        </w:rPr>
        <w:t xml:space="preserve">_   </w:t>
      </w:r>
      <w:r>
        <w:rPr>
          <w:rFonts w:hint="eastAsia"/>
          <w:u w:val="single"/>
        </w:rPr>
        <w:t xml:space="preserve">        </w:t>
      </w:r>
      <w:r>
        <w:rPr>
          <w:u w:val="single"/>
        </w:rPr>
        <w:t xml:space="preserve">  _</w:t>
      </w:r>
      <w:r>
        <w:t>_</w:t>
      </w:r>
      <w:r>
        <w:rPr>
          <w:rFonts w:hint="eastAsia"/>
        </w:rPr>
        <w:t>（采购人名称）</w:t>
      </w:r>
    </w:p>
    <w:p w14:paraId="6580B233">
      <w:pPr>
        <w:ind w:firstLine="480" w:firstLineChars="200"/>
      </w:pPr>
      <w:r>
        <w:rPr>
          <w:rFonts w:hint="eastAsia"/>
        </w:rPr>
        <w:t>本授权委托书声明，我</w:t>
      </w:r>
      <w:r>
        <w:rPr>
          <w:rFonts w:hint="eastAsia"/>
          <w:u w:val="single"/>
        </w:rPr>
        <w:t xml:space="preserve">          </w:t>
      </w:r>
      <w:r>
        <w:rPr>
          <w:rFonts w:hint="eastAsia"/>
        </w:rPr>
        <w:t>（姓名）系</w:t>
      </w:r>
      <w:r>
        <w:rPr>
          <w:rFonts w:hint="eastAsia"/>
          <w:u w:val="single"/>
        </w:rPr>
        <w:t xml:space="preserve">                        </w:t>
      </w:r>
      <w:r>
        <w:rPr>
          <w:rFonts w:hint="eastAsia"/>
        </w:rPr>
        <w:t>（供应商名称）的法定代表人，现授权委托本单位的在职职工</w:t>
      </w:r>
      <w:r>
        <w:rPr>
          <w:rFonts w:hint="eastAsia"/>
          <w:u w:val="single"/>
        </w:rPr>
        <w:t xml:space="preserve">             </w:t>
      </w:r>
      <w:r>
        <w:rPr>
          <w:rFonts w:hint="eastAsia"/>
        </w:rPr>
        <w:t xml:space="preserve"> （姓名）为我单位代理人，以本单位的名义参加</w:t>
      </w:r>
      <w:r>
        <w:rPr>
          <w:rFonts w:hint="eastAsia"/>
          <w:u w:val="single"/>
        </w:rPr>
        <w:t xml:space="preserve">                                 </w:t>
      </w:r>
      <w:r>
        <w:rPr>
          <w:rFonts w:hint="eastAsia"/>
        </w:rPr>
        <w:t>（采购代理机构名称）组织的</w:t>
      </w:r>
      <w:r>
        <w:rPr>
          <w:rFonts w:hint="eastAsia"/>
          <w:u w:val="single"/>
        </w:rPr>
        <w:t xml:space="preserve">                                   </w:t>
      </w:r>
      <w:r>
        <w:rPr>
          <w:rFonts w:hint="eastAsia"/>
        </w:rPr>
        <w:t>（项目名称）的投标活动。被授权代理人在投标、开标、评标、合同谈判过程中所签署的一切文件和处理与之有关的一切事务，我均予以承认。</w:t>
      </w:r>
    </w:p>
    <w:p w14:paraId="0BCF3D7E">
      <w:pPr>
        <w:ind w:firstLine="480" w:firstLineChars="200"/>
      </w:pPr>
      <w:r>
        <w:rPr>
          <w:rFonts w:hint="eastAsia"/>
        </w:rPr>
        <w:t>被授权人无转委托权，特此委托。</w:t>
      </w:r>
    </w:p>
    <w:p w14:paraId="7611D6D9">
      <w:pPr>
        <w:rPr>
          <w:b/>
        </w:rPr>
      </w:pPr>
    </w:p>
    <w:p w14:paraId="50918161">
      <w:pPr>
        <w:ind w:firstLine="4200" w:firstLineChars="1750"/>
        <w:rPr>
          <w:u w:val="single"/>
        </w:rPr>
      </w:pPr>
      <w:r>
        <w:rPr>
          <w:rFonts w:hint="eastAsia"/>
        </w:rPr>
        <w:t>代理人：</w:t>
      </w:r>
      <w:r>
        <w:rPr>
          <w:rFonts w:hint="eastAsia"/>
          <w:u w:val="single"/>
        </w:rPr>
        <w:t xml:space="preserve">                  （签字）   </w:t>
      </w:r>
    </w:p>
    <w:p w14:paraId="7E5DF5D0">
      <w:pPr>
        <w:ind w:firstLine="4200" w:firstLineChars="1750"/>
        <w:rPr>
          <w:u w:val="single"/>
        </w:rPr>
      </w:pPr>
      <w:r>
        <w:rPr>
          <w:rFonts w:hint="eastAsia"/>
        </w:rPr>
        <w:t>身份证号码：</w:t>
      </w:r>
      <w:r>
        <w:rPr>
          <w:rFonts w:hint="eastAsia"/>
          <w:u w:val="single"/>
        </w:rPr>
        <w:t xml:space="preserve">                         </w:t>
      </w:r>
    </w:p>
    <w:p w14:paraId="61888B96">
      <w:pPr>
        <w:ind w:firstLine="4200" w:firstLineChars="1750"/>
        <w:rPr>
          <w:u w:val="single"/>
        </w:rPr>
      </w:pPr>
      <w:r>
        <w:rPr>
          <w:rFonts w:hint="eastAsia"/>
        </w:rPr>
        <w:t>职务：</w:t>
      </w:r>
      <w:r>
        <w:rPr>
          <w:rFonts w:hint="eastAsia"/>
          <w:u w:val="single"/>
        </w:rPr>
        <w:t xml:space="preserve">                               </w:t>
      </w:r>
    </w:p>
    <w:p w14:paraId="39F1EF61">
      <w:pPr>
        <w:ind w:firstLine="4200" w:firstLineChars="1750"/>
      </w:pPr>
      <w:r>
        <w:rPr>
          <w:rFonts w:hint="eastAsia"/>
        </w:rPr>
        <w:t>供应商：</w:t>
      </w:r>
      <w:r>
        <w:rPr>
          <w:rFonts w:hint="eastAsia"/>
          <w:u w:val="single"/>
        </w:rPr>
        <w:t xml:space="preserve">                      （盖章）</w:t>
      </w:r>
    </w:p>
    <w:p w14:paraId="2AFA55E3">
      <w:pPr>
        <w:ind w:firstLine="4200" w:firstLineChars="1750"/>
        <w:rPr>
          <w:u w:val="single"/>
        </w:rPr>
      </w:pPr>
      <w:r>
        <w:rPr>
          <w:rFonts w:hint="eastAsia"/>
        </w:rPr>
        <w:t>法定代表人：</w:t>
      </w:r>
      <w:r>
        <w:rPr>
          <w:rFonts w:hint="eastAsia"/>
          <w:u w:val="single"/>
        </w:rPr>
        <w:t xml:space="preserve">             （签名或盖章）</w:t>
      </w:r>
    </w:p>
    <w:p w14:paraId="24CE27B5">
      <w:pPr>
        <w:rPr>
          <w:u w:val="single"/>
        </w:rPr>
      </w:pPr>
    </w:p>
    <w:p w14:paraId="3325F30C">
      <w:pPr>
        <w:ind w:firstLine="5640" w:firstLineChars="2350"/>
      </w:pPr>
      <w:r>
        <w:rPr>
          <w:rFonts w:hint="eastAsia"/>
        </w:rPr>
        <w:t>日期：    年   月   日</w:t>
      </w:r>
    </w:p>
    <w:p w14:paraId="27688800">
      <w:pPr>
        <w:jc w:val="center"/>
      </w:pPr>
      <w:r>
        <w:rPr>
          <w:rFonts w:hint="eastAsia"/>
        </w:rPr>
        <w:t>————————————————————————————</w:t>
      </w:r>
    </w:p>
    <w:p w14:paraId="71C0BC4D"/>
    <w:p w14:paraId="161AD2D1">
      <w:pPr>
        <w:jc w:val="center"/>
      </w:pPr>
      <w:r>
        <w:rPr>
          <w:rFonts w:hint="eastAsia"/>
        </w:rPr>
        <w:t>代理人有效身份证（正反面）</w:t>
      </w:r>
    </w:p>
    <w:p w14:paraId="4929FC14">
      <w:pPr>
        <w:jc w:val="center"/>
        <w:rPr>
          <w:b/>
        </w:rPr>
      </w:pPr>
      <w:r>
        <w:rPr>
          <w:rFonts w:hint="eastAsia"/>
          <w:b/>
        </w:rPr>
        <w:t>（后附代理人最近一个月个人社保缴纳证明文件）</w:t>
      </w:r>
    </w:p>
    <w:p w14:paraId="73118D1D">
      <w:pPr>
        <w:widowControl/>
        <w:spacing w:line="240" w:lineRule="auto"/>
        <w:jc w:val="left"/>
      </w:pPr>
      <w:r>
        <w:br w:type="page"/>
      </w:r>
    </w:p>
    <w:p w14:paraId="197BE31A">
      <w:pPr>
        <w:jc w:val="center"/>
        <w:rPr>
          <w:sz w:val="28"/>
          <w:szCs w:val="28"/>
        </w:rPr>
      </w:pPr>
      <w:r>
        <w:rPr>
          <w:rFonts w:hint="eastAsia"/>
          <w:b/>
          <w:bCs/>
          <w:sz w:val="28"/>
          <w:szCs w:val="28"/>
        </w:rPr>
        <w:t>信用承诺书</w:t>
      </w:r>
    </w:p>
    <w:p w14:paraId="0E2CA9D0">
      <w:pPr>
        <w:ind w:firstLine="480" w:firstLineChars="200"/>
      </w:pPr>
      <w:r>
        <w:rPr>
          <w:u w:val="single"/>
        </w:rPr>
        <w:t xml:space="preserve">        </w:t>
      </w:r>
      <w:r>
        <w:rPr>
          <w:rFonts w:hint="eastAsia"/>
          <w:u w:val="single"/>
        </w:rPr>
        <w:t xml:space="preserve">         </w:t>
      </w:r>
      <w:r>
        <w:rPr>
          <w:rFonts w:hint="eastAsia"/>
        </w:rPr>
        <w:t>（供应商）现参加</w:t>
      </w:r>
      <w:r>
        <w:rPr>
          <w:u w:val="single"/>
        </w:rPr>
        <w:t xml:space="preserve">               </w:t>
      </w:r>
      <w:r>
        <w:rPr>
          <w:rFonts w:hint="eastAsia"/>
        </w:rPr>
        <w:t>（采购项目）政府采购活动，郑重承诺如下：</w:t>
      </w:r>
    </w:p>
    <w:p w14:paraId="456FC686">
      <w:pPr>
        <w:ind w:firstLine="480" w:firstLineChars="200"/>
      </w:pPr>
      <w:r>
        <w:rPr>
          <w:rFonts w:hint="eastAsia"/>
        </w:rPr>
        <w:t>1、对所提供的资料合法性、真实性、准确性和有效性负责；</w:t>
      </w:r>
    </w:p>
    <w:p w14:paraId="14DCF027">
      <w:pPr>
        <w:ind w:firstLine="480" w:firstLineChars="200"/>
      </w:pPr>
      <w:r>
        <w:rPr>
          <w:rFonts w:hint="eastAsia"/>
        </w:rPr>
        <w:t>2、严格按照国家法律、法规和规章，依法开展相关经济活动，全面履行应尽的责任和义务；</w:t>
      </w:r>
    </w:p>
    <w:p w14:paraId="72085B64">
      <w:pPr>
        <w:ind w:firstLine="480" w:firstLineChars="200"/>
      </w:pPr>
      <w:r>
        <w:rPr>
          <w:rFonts w:hint="eastAsia"/>
        </w:rPr>
        <w:t>3、加强自我约束、自我规范、自我管理，不制假售假、不虚假宣传、不违约毁约、不恶意逃债、不偷税漏税，诚信依法经营；</w:t>
      </w:r>
    </w:p>
    <w:p w14:paraId="6F48D538">
      <w:pPr>
        <w:ind w:firstLine="480" w:firstLineChars="200"/>
      </w:pPr>
      <w:r>
        <w:rPr>
          <w:rFonts w:hint="eastAsia"/>
        </w:rPr>
        <w:t>4、自愿接受行政主管部门的依法检查、违背承诺约定将自愿承担违约责任，并接受法律法规和相关部门规章制度的惩戒和约束；</w:t>
      </w:r>
    </w:p>
    <w:p w14:paraId="6EBD518F">
      <w:pPr>
        <w:ind w:firstLine="480" w:firstLineChars="200"/>
      </w:pPr>
      <w:r>
        <w:rPr>
          <w:rFonts w:hint="eastAsia"/>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3E65359A">
      <w:pPr>
        <w:rPr>
          <w:u w:val="single"/>
        </w:rPr>
      </w:pPr>
    </w:p>
    <w:p w14:paraId="5683A142">
      <w:pPr>
        <w:rPr>
          <w:u w:val="single"/>
        </w:rPr>
      </w:pPr>
    </w:p>
    <w:p w14:paraId="34D160DD">
      <w:r>
        <w:rPr>
          <w:rFonts w:hint="eastAsia"/>
        </w:rPr>
        <w:t>统一社会信用代码：</w:t>
      </w:r>
      <w:r>
        <w:rPr>
          <w:u w:val="single"/>
        </w:rPr>
        <w:t xml:space="preserve">                      </w:t>
      </w:r>
      <w:r>
        <w:t xml:space="preserve"> </w:t>
      </w:r>
    </w:p>
    <w:p w14:paraId="461671EB">
      <w:r>
        <w:t xml:space="preserve">    </w:t>
      </w:r>
    </w:p>
    <w:p w14:paraId="7132D048">
      <w:r>
        <w:rPr>
          <w:rFonts w:hint="eastAsia"/>
        </w:rPr>
        <w:t>承诺单位</w:t>
      </w:r>
      <w:r>
        <w:t>/</w:t>
      </w:r>
      <w:r>
        <w:rPr>
          <w:rFonts w:hint="eastAsia"/>
        </w:rPr>
        <w:t>个人：</w:t>
      </w:r>
      <w:r>
        <w:rPr>
          <w:rFonts w:hint="eastAsia"/>
          <w:u w:val="single"/>
        </w:rPr>
        <w:t xml:space="preserve">     </w:t>
      </w:r>
      <w:r>
        <w:rPr>
          <w:u w:val="single"/>
        </w:rPr>
        <w:t xml:space="preserve">   </w:t>
      </w:r>
      <w:r>
        <w:rPr>
          <w:rFonts w:hint="eastAsia"/>
          <w:u w:val="single"/>
        </w:rPr>
        <w:t xml:space="preserve">   </w:t>
      </w:r>
      <w:r>
        <w:rPr>
          <w:rFonts w:hint="eastAsia"/>
        </w:rPr>
        <w:t>（盖章</w:t>
      </w:r>
      <w:r>
        <w:t>/</w:t>
      </w:r>
      <w:r>
        <w:rPr>
          <w:rFonts w:hint="eastAsia"/>
        </w:rPr>
        <w:t>签名）</w:t>
      </w:r>
    </w:p>
    <w:p w14:paraId="44F6F16F">
      <w:r>
        <w:t xml:space="preserve">                            </w:t>
      </w:r>
      <w:r>
        <w:rPr>
          <w:rFonts w:hint="eastAsia"/>
        </w:rPr>
        <w:t xml:space="preserve">  </w:t>
      </w:r>
      <w:r>
        <w:t xml:space="preserve">           </w:t>
      </w:r>
      <w:r>
        <w:rPr>
          <w:rFonts w:hint="eastAsia"/>
        </w:rPr>
        <w:t xml:space="preserve">     时间：     年   月   日</w:t>
      </w:r>
    </w:p>
    <w:p w14:paraId="3C901001">
      <w:pPr>
        <w:widowControl/>
        <w:spacing w:line="240" w:lineRule="auto"/>
        <w:jc w:val="left"/>
      </w:pPr>
      <w:r>
        <w:br w:type="page"/>
      </w:r>
    </w:p>
    <w:p w14:paraId="59A447D8">
      <w:pPr>
        <w:jc w:val="center"/>
        <w:rPr>
          <w:b/>
          <w:bCs/>
          <w:sz w:val="28"/>
          <w:szCs w:val="28"/>
        </w:rPr>
      </w:pPr>
      <w:r>
        <w:rPr>
          <w:rFonts w:hint="eastAsia"/>
          <w:b/>
          <w:bCs/>
          <w:sz w:val="28"/>
          <w:szCs w:val="28"/>
        </w:rPr>
        <w:t>联合体协议书（如有）</w:t>
      </w:r>
    </w:p>
    <w:p w14:paraId="7578ACFC">
      <w:pPr>
        <w:ind w:firstLine="480" w:firstLineChars="200"/>
      </w:pPr>
      <w:r>
        <w:rPr>
          <w:rFonts w:hint="eastAsia"/>
          <w:u w:val="single"/>
        </w:rPr>
        <w:t>（联合体所有成员名称）</w:t>
      </w:r>
      <w:r>
        <w:rPr>
          <w:rFonts w:hint="eastAsia"/>
        </w:rPr>
        <w:t>自愿组成一个联合体，以一个供应商的身份参加</w:t>
      </w:r>
      <w:r>
        <w:rPr>
          <w:rFonts w:hint="eastAsia"/>
          <w:bCs/>
        </w:rPr>
        <w:t>湖州职业技术学院虚拟仿真实训教学管理平台等软件采购项目</w:t>
      </w:r>
      <w:r>
        <w:rPr>
          <w:rFonts w:hint="eastAsia"/>
        </w:rPr>
        <w:t>【项目编号：</w:t>
      </w:r>
      <w:r>
        <w:rPr>
          <w:rFonts w:hint="eastAsia"/>
          <w:lang w:eastAsia="zh-CN"/>
        </w:rPr>
        <w:t>CTZB-2025060537</w:t>
      </w:r>
      <w:r>
        <w:rPr>
          <w:rFonts w:hint="eastAsia"/>
        </w:rPr>
        <w:t>】投标。</w:t>
      </w:r>
    </w:p>
    <w:p w14:paraId="6CB2A873">
      <w:pPr>
        <w:ind w:firstLine="480" w:firstLineChars="200"/>
      </w:pPr>
      <w:r>
        <w:rPr>
          <w:rFonts w:hint="eastAsia"/>
        </w:rPr>
        <w:t>一、各方一致决定，</w:t>
      </w:r>
      <w:r>
        <w:rPr>
          <w:rFonts w:hint="eastAsia"/>
          <w:u w:val="single"/>
        </w:rPr>
        <w:t>（某联合体成员名称）</w:t>
      </w:r>
      <w:r>
        <w:rPr>
          <w:rFonts w:hint="eastAsia"/>
        </w:rPr>
        <w:t>为联合体牵头人，代表所有联合体成员负责投标和合同实施阶段的主办、协调工作。</w:t>
      </w:r>
    </w:p>
    <w:p w14:paraId="58C67470">
      <w:pPr>
        <w:ind w:firstLine="480" w:firstLineChars="200"/>
      </w:pPr>
      <w:r>
        <w:rPr>
          <w:rFonts w:hint="eastAsia"/>
        </w:rPr>
        <w:t>二、所有联合体成员各方签署授权书，授权书载明的授权代表根据磋商文件规定及投标内容而对采购人、采购代理机构所作的任何合法承诺，包括书面澄清及相应等均对联合投标各方产生约束力。</w:t>
      </w:r>
    </w:p>
    <w:p w14:paraId="6FD3A9C2">
      <w:pPr>
        <w:ind w:firstLine="480" w:firstLineChars="200"/>
      </w:pPr>
      <w:r>
        <w:rPr>
          <w:rFonts w:hint="eastAsia"/>
        </w:rPr>
        <w:t>三、本次联合投标中，分工如下：</w:t>
      </w:r>
      <w:r>
        <w:rPr>
          <w:rFonts w:hint="eastAsia"/>
          <w:u w:val="single"/>
        </w:rPr>
        <w:t>（联合体其中一方成员名称）</w:t>
      </w:r>
      <w:r>
        <w:rPr>
          <w:rFonts w:hint="eastAsia"/>
        </w:rPr>
        <w:t>承担的工作和义务为：</w:t>
      </w:r>
      <w:r>
        <w:rPr>
          <w:rFonts w:hint="eastAsia"/>
          <w:u w:val="single"/>
        </w:rPr>
        <w:t xml:space="preserve">        </w:t>
      </w:r>
      <w:r>
        <w:rPr>
          <w:rFonts w:hint="eastAsia"/>
        </w:rPr>
        <w:t>；</w:t>
      </w:r>
      <w:r>
        <w:rPr>
          <w:rFonts w:hint="eastAsia"/>
          <w:u w:val="single"/>
        </w:rPr>
        <w:t>（联合体其中一方成员名称）</w:t>
      </w:r>
      <w:r>
        <w:rPr>
          <w:rFonts w:hint="eastAsia"/>
        </w:rPr>
        <w:t>承担的工作和义务为：</w:t>
      </w:r>
      <w:r>
        <w:rPr>
          <w:rFonts w:hint="eastAsia"/>
          <w:u w:val="single"/>
        </w:rPr>
        <w:t xml:space="preserve">        </w:t>
      </w:r>
      <w:r>
        <w:rPr>
          <w:rFonts w:hint="eastAsia"/>
        </w:rPr>
        <w:t xml:space="preserve"> ；……。</w:t>
      </w:r>
    </w:p>
    <w:p w14:paraId="67D48ACB">
      <w:pPr>
        <w:ind w:firstLine="480" w:firstLineChars="200"/>
      </w:pPr>
      <w:r>
        <w:rPr>
          <w:rFonts w:hint="eastAsia"/>
        </w:rPr>
        <w:t>四、中小企业合同金额达到</w:t>
      </w:r>
      <w:r>
        <w:rPr>
          <w:rFonts w:hint="eastAsia"/>
          <w:u w:val="single"/>
        </w:rPr>
        <w:t xml:space="preserve">    </w:t>
      </w:r>
      <w:r>
        <w:rPr>
          <w:rFonts w:hint="eastAsia"/>
        </w:rPr>
        <w:t>%，小微企业合同金额达到</w:t>
      </w:r>
      <w:r>
        <w:rPr>
          <w:rFonts w:hint="eastAsia"/>
          <w:u w:val="single"/>
        </w:rPr>
        <w:t xml:space="preserve">    </w:t>
      </w:r>
      <w:r>
        <w:rPr>
          <w:rFonts w:hint="eastAsia"/>
        </w:rPr>
        <w:t>%。</w:t>
      </w:r>
    </w:p>
    <w:p w14:paraId="482183B8">
      <w:pPr>
        <w:ind w:firstLine="480" w:firstLineChars="200"/>
      </w:pPr>
      <w:r>
        <w:rPr>
          <w:rFonts w:hint="eastAsia"/>
        </w:rPr>
        <w:t>五、如果中标，联合体各成员方共同与采购人签订合同，并就采购合同约定的事项对采购人承担连带责任。</w:t>
      </w:r>
    </w:p>
    <w:p w14:paraId="414A6FB7">
      <w:pPr>
        <w:ind w:firstLine="480" w:firstLineChars="200"/>
      </w:pPr>
      <w:r>
        <w:rPr>
          <w:rFonts w:hint="eastAsia"/>
        </w:rPr>
        <w:t>六、有关本次联合投标的其他事宜：</w:t>
      </w:r>
    </w:p>
    <w:p w14:paraId="7459535D">
      <w:pPr>
        <w:ind w:firstLine="480" w:firstLineChars="200"/>
      </w:pPr>
      <w:r>
        <w:rPr>
          <w:rFonts w:hint="eastAsia"/>
        </w:rPr>
        <w:t>1、联合体各方不再单独参加或者与其他供应商另外组成联合体参加同一合同项下的政府采购活动。</w:t>
      </w:r>
    </w:p>
    <w:p w14:paraId="5D471429">
      <w:pPr>
        <w:ind w:firstLine="480" w:firstLineChars="200"/>
      </w:pPr>
      <w:r>
        <w:rPr>
          <w:rFonts w:hint="eastAsia"/>
        </w:rPr>
        <w:t>2、联合体中有同类资质的各方按照联合体分工承担相同工作的，按照资质等级较低的供应商确定资质等级。</w:t>
      </w:r>
    </w:p>
    <w:p w14:paraId="4BC63974">
      <w:pPr>
        <w:ind w:firstLine="480" w:firstLineChars="200"/>
      </w:pPr>
      <w:r>
        <w:rPr>
          <w:rFonts w:hint="eastAsia"/>
        </w:rPr>
        <w:t>3、本协议提交采购人、采购代理机构后，联合体各方不得以任何形式对上述内容进行修改或撤销。</w:t>
      </w:r>
    </w:p>
    <w:p w14:paraId="54D60150">
      <w:pPr>
        <w:rPr>
          <w:bCs/>
        </w:rPr>
      </w:pPr>
    </w:p>
    <w:p w14:paraId="11634C55">
      <w:r>
        <w:rPr>
          <w:rFonts w:hint="eastAsia"/>
        </w:rPr>
        <w:t>联合体成员名称(盖章)：</w:t>
      </w:r>
    </w:p>
    <w:p w14:paraId="4995A9AC">
      <w:r>
        <w:rPr>
          <w:rFonts w:hint="eastAsia"/>
        </w:rPr>
        <w:t>联合体成员名称(盖章)：</w:t>
      </w:r>
    </w:p>
    <w:p w14:paraId="35594E02">
      <w:r>
        <w:rPr>
          <w:rFonts w:hint="eastAsia"/>
        </w:rPr>
        <w:t>……</w:t>
      </w:r>
    </w:p>
    <w:p w14:paraId="2E4BB77C">
      <w:r>
        <w:rPr>
          <w:rFonts w:hint="eastAsia"/>
        </w:rPr>
        <w:t xml:space="preserve">                                               日期：    年   月   日</w:t>
      </w:r>
    </w:p>
    <w:p w14:paraId="66D537F0">
      <w:pPr>
        <w:widowControl/>
        <w:spacing w:line="240" w:lineRule="auto"/>
        <w:jc w:val="left"/>
        <w:rPr>
          <w:b/>
        </w:rPr>
      </w:pPr>
      <w:r>
        <w:rPr>
          <w:b/>
        </w:rPr>
        <w:br w:type="page"/>
      </w:r>
    </w:p>
    <w:p w14:paraId="3FF42105">
      <w:pPr>
        <w:jc w:val="center"/>
        <w:rPr>
          <w:b/>
          <w:bCs/>
          <w:sz w:val="28"/>
          <w:szCs w:val="28"/>
        </w:rPr>
      </w:pPr>
      <w:r>
        <w:rPr>
          <w:rFonts w:hint="eastAsia"/>
          <w:b/>
          <w:bCs/>
          <w:sz w:val="28"/>
          <w:szCs w:val="28"/>
        </w:rPr>
        <w:t>分包意向协议</w:t>
      </w:r>
    </w:p>
    <w:p w14:paraId="1A2BF61C">
      <w:pPr>
        <w:rPr>
          <w:rFonts w:cs="宋体"/>
          <w:b/>
          <w:bCs/>
          <w:szCs w:val="24"/>
        </w:rPr>
      </w:pPr>
      <w:r>
        <w:rPr>
          <w:rFonts w:hint="eastAsia" w:cs="宋体"/>
          <w:b/>
          <w:bCs/>
          <w:szCs w:val="24"/>
        </w:rPr>
        <w:t>（成交后以分包方式履行合同的，提供分包意向协议；采购人不同意分包或者供应商成交后不以分包方式履行合同的，则不需要提供。）</w:t>
      </w:r>
    </w:p>
    <w:p w14:paraId="1EB4C699">
      <w:pPr>
        <w:ind w:firstLine="480" w:firstLineChars="200"/>
        <w:rPr>
          <w:rFonts w:cs="宋体"/>
          <w:szCs w:val="24"/>
          <w:lang w:val="zh-CN"/>
        </w:rPr>
      </w:pPr>
      <w:r>
        <w:rPr>
          <w:rFonts w:hint="eastAsia" w:cs="宋体"/>
          <w:szCs w:val="24"/>
          <w:u w:val="single"/>
        </w:rPr>
        <w:t>（供应商名称）</w:t>
      </w:r>
      <w:r>
        <w:rPr>
          <w:rFonts w:hint="eastAsia" w:cs="宋体"/>
          <w:szCs w:val="24"/>
          <w:lang w:val="zh-CN"/>
        </w:rPr>
        <w:t>若成为</w:t>
      </w:r>
      <w:r>
        <w:rPr>
          <w:rFonts w:hint="eastAsia" w:cs="宋体"/>
          <w:bCs/>
          <w:szCs w:val="24"/>
        </w:rPr>
        <w:t>湖州职业技术学院虚拟仿真实训教学管理平台等软件采购项目</w:t>
      </w:r>
      <w:r>
        <w:rPr>
          <w:rFonts w:hint="eastAsia" w:cs="宋体"/>
          <w:szCs w:val="24"/>
        </w:rPr>
        <w:t>【项目编号：</w:t>
      </w:r>
      <w:r>
        <w:rPr>
          <w:rFonts w:hint="eastAsia"/>
          <w:lang w:eastAsia="zh-CN"/>
        </w:rPr>
        <w:t>CTZB-2025060537</w:t>
      </w:r>
      <w:r>
        <w:rPr>
          <w:rFonts w:hint="eastAsia" w:cs="宋体"/>
          <w:szCs w:val="24"/>
        </w:rPr>
        <w:t>】</w:t>
      </w:r>
      <w:r>
        <w:rPr>
          <w:rFonts w:hint="eastAsia" w:cs="宋体"/>
          <w:szCs w:val="24"/>
          <w:lang w:val="zh-CN"/>
        </w:rPr>
        <w:t>的</w:t>
      </w:r>
      <w:r>
        <w:rPr>
          <w:rFonts w:hint="eastAsia" w:cs="宋体"/>
          <w:szCs w:val="24"/>
        </w:rPr>
        <w:t>中标</w:t>
      </w:r>
      <w:r>
        <w:rPr>
          <w:rFonts w:hint="eastAsia" w:cs="宋体"/>
          <w:szCs w:val="24"/>
          <w:lang w:val="zh-CN"/>
        </w:rPr>
        <w:t>供应商，将依法采取分包方式履行合同。</w:t>
      </w:r>
      <w:r>
        <w:rPr>
          <w:rFonts w:hint="eastAsia" w:cs="宋体"/>
          <w:szCs w:val="24"/>
          <w:u w:val="single"/>
        </w:rPr>
        <w:t>（供应商名称）</w:t>
      </w:r>
      <w:r>
        <w:rPr>
          <w:rFonts w:hint="eastAsia" w:cs="宋体"/>
          <w:szCs w:val="24"/>
        </w:rPr>
        <w:t>与</w:t>
      </w:r>
      <w:r>
        <w:rPr>
          <w:rFonts w:hint="eastAsia" w:cs="宋体"/>
          <w:szCs w:val="24"/>
          <w:u w:val="single"/>
        </w:rPr>
        <w:t>（所有分包供应商名称）</w:t>
      </w:r>
      <w:r>
        <w:rPr>
          <w:rFonts w:hint="eastAsia" w:cs="宋体"/>
          <w:szCs w:val="24"/>
        </w:rPr>
        <w:t>达成分包意向协议</w:t>
      </w:r>
      <w:r>
        <w:rPr>
          <w:rFonts w:hint="eastAsia" w:cs="宋体"/>
          <w:szCs w:val="24"/>
          <w:lang w:val="zh-CN"/>
        </w:rPr>
        <w:t>。</w:t>
      </w:r>
    </w:p>
    <w:p w14:paraId="2742C902">
      <w:pPr>
        <w:ind w:firstLine="480" w:firstLineChars="200"/>
        <w:rPr>
          <w:rFonts w:cs="宋体"/>
          <w:szCs w:val="24"/>
          <w:lang w:val="zh-CN"/>
        </w:rPr>
      </w:pPr>
      <w:r>
        <w:rPr>
          <w:rFonts w:hint="eastAsia" w:cs="宋体"/>
          <w:szCs w:val="24"/>
          <w:lang w:val="zh-CN"/>
        </w:rPr>
        <w:t>一、分包标的及数量</w:t>
      </w:r>
    </w:p>
    <w:p w14:paraId="1664C41D">
      <w:pPr>
        <w:ind w:firstLine="480" w:firstLineChars="200"/>
        <w:rPr>
          <w:rFonts w:cs="宋体"/>
          <w:szCs w:val="24"/>
          <w:lang w:val="zh-CN"/>
        </w:rPr>
      </w:pPr>
      <w:r>
        <w:rPr>
          <w:rFonts w:hint="eastAsia" w:cs="宋体"/>
          <w:szCs w:val="24"/>
          <w:u w:val="single"/>
        </w:rPr>
        <w:t>（供应商名称）</w:t>
      </w:r>
      <w:r>
        <w:rPr>
          <w:rFonts w:hint="eastAsia" w:cs="宋体"/>
          <w:szCs w:val="24"/>
          <w:lang w:val="zh-CN"/>
        </w:rPr>
        <w:t>将</w:t>
      </w:r>
      <w:r>
        <w:rPr>
          <w:rFonts w:hint="eastAsia" w:cs="宋体"/>
          <w:szCs w:val="24"/>
          <w:u w:val="single"/>
        </w:rPr>
        <w:t xml:space="preserve">   XX工作内容   </w:t>
      </w:r>
      <w:r>
        <w:rPr>
          <w:rFonts w:hint="eastAsia" w:cs="宋体"/>
          <w:szCs w:val="24"/>
        </w:rPr>
        <w:t>分包给</w:t>
      </w:r>
      <w:r>
        <w:rPr>
          <w:rFonts w:hint="eastAsia" w:cs="宋体"/>
          <w:szCs w:val="24"/>
          <w:u w:val="single"/>
        </w:rPr>
        <w:t>（某分包供应商名称）</w:t>
      </w:r>
      <w:r>
        <w:rPr>
          <w:rFonts w:hint="eastAsia" w:cs="宋体"/>
          <w:szCs w:val="24"/>
          <w:lang w:val="zh-CN"/>
        </w:rPr>
        <w:t>，</w:t>
      </w:r>
      <w:r>
        <w:rPr>
          <w:rFonts w:hint="eastAsia" w:cs="宋体"/>
          <w:szCs w:val="24"/>
          <w:u w:val="single"/>
        </w:rPr>
        <w:t>（某分包供应商名称），</w:t>
      </w:r>
      <w:r>
        <w:rPr>
          <w:rFonts w:hint="eastAsia" w:cs="宋体"/>
          <w:szCs w:val="24"/>
          <w:lang w:val="zh-CN"/>
        </w:rPr>
        <w:t>具备承</w:t>
      </w:r>
      <w:r>
        <w:rPr>
          <w:rFonts w:hint="eastAsia" w:cs="宋体"/>
          <w:szCs w:val="24"/>
        </w:rPr>
        <w:t>担</w:t>
      </w:r>
      <w:r>
        <w:rPr>
          <w:rFonts w:hint="eastAsia" w:cs="宋体"/>
          <w:szCs w:val="24"/>
          <w:u w:val="single"/>
          <w:lang w:val="zh-CN"/>
        </w:rPr>
        <w:t>XX工作内容</w:t>
      </w:r>
      <w:r>
        <w:rPr>
          <w:rFonts w:hint="eastAsia" w:cs="宋体"/>
          <w:szCs w:val="24"/>
          <w:lang w:val="zh-CN"/>
        </w:rPr>
        <w:t>相应资质条件且不得再次分包；</w:t>
      </w:r>
    </w:p>
    <w:p w14:paraId="0FA35E49">
      <w:pPr>
        <w:ind w:firstLine="480" w:firstLineChars="200"/>
        <w:rPr>
          <w:rFonts w:cs="宋体"/>
          <w:szCs w:val="24"/>
        </w:rPr>
      </w:pPr>
      <w:r>
        <w:rPr>
          <w:rFonts w:hint="eastAsia" w:cs="宋体"/>
          <w:szCs w:val="24"/>
        </w:rPr>
        <w:t>……</w:t>
      </w:r>
    </w:p>
    <w:p w14:paraId="765991BD">
      <w:pPr>
        <w:ind w:firstLine="480" w:firstLineChars="200"/>
        <w:rPr>
          <w:rFonts w:cs="宋体"/>
          <w:szCs w:val="24"/>
          <w:lang w:val="zh-CN"/>
        </w:rPr>
      </w:pPr>
      <w:r>
        <w:rPr>
          <w:rFonts w:hint="eastAsia" w:cs="宋体"/>
          <w:szCs w:val="24"/>
          <w:lang w:val="zh-CN"/>
        </w:rPr>
        <w:t>二、分包工作履行期限、地点、方式</w:t>
      </w:r>
    </w:p>
    <w:p w14:paraId="649A668E">
      <w:pPr>
        <w:ind w:firstLine="480" w:firstLineChars="200"/>
        <w:rPr>
          <w:rFonts w:cs="宋体"/>
          <w:szCs w:val="24"/>
          <w:u w:val="single"/>
        </w:rPr>
      </w:pPr>
    </w:p>
    <w:p w14:paraId="44996EA5">
      <w:pPr>
        <w:ind w:firstLine="480" w:firstLineChars="200"/>
        <w:rPr>
          <w:rFonts w:cs="宋体"/>
          <w:szCs w:val="24"/>
          <w:lang w:val="zh-CN"/>
        </w:rPr>
      </w:pPr>
      <w:r>
        <w:rPr>
          <w:rFonts w:hint="eastAsia" w:cs="宋体"/>
          <w:szCs w:val="24"/>
          <w:lang w:val="zh-CN"/>
        </w:rPr>
        <w:t>三、质量</w:t>
      </w:r>
    </w:p>
    <w:p w14:paraId="37358344">
      <w:pPr>
        <w:ind w:firstLine="480" w:firstLineChars="200"/>
        <w:rPr>
          <w:rFonts w:cs="宋体"/>
          <w:szCs w:val="24"/>
          <w:lang w:val="zh-CN"/>
        </w:rPr>
      </w:pPr>
    </w:p>
    <w:p w14:paraId="5AB5B3FD">
      <w:pPr>
        <w:ind w:firstLine="480" w:firstLineChars="200"/>
        <w:rPr>
          <w:rFonts w:cs="宋体"/>
          <w:szCs w:val="24"/>
          <w:lang w:val="zh-CN"/>
        </w:rPr>
      </w:pPr>
      <w:r>
        <w:rPr>
          <w:rFonts w:hint="eastAsia" w:cs="宋体"/>
          <w:szCs w:val="24"/>
          <w:lang w:val="zh-CN"/>
        </w:rPr>
        <w:t>四、价款或者报酬</w:t>
      </w:r>
    </w:p>
    <w:p w14:paraId="6F05F75D">
      <w:pPr>
        <w:ind w:firstLine="480" w:firstLineChars="200"/>
        <w:rPr>
          <w:rFonts w:cs="宋体"/>
          <w:szCs w:val="24"/>
          <w:lang w:val="zh-CN"/>
        </w:rPr>
      </w:pPr>
    </w:p>
    <w:p w14:paraId="330F3570">
      <w:pPr>
        <w:ind w:firstLine="480" w:firstLineChars="200"/>
        <w:rPr>
          <w:rFonts w:cs="宋体"/>
          <w:szCs w:val="24"/>
          <w:lang w:val="zh-CN"/>
        </w:rPr>
      </w:pPr>
      <w:r>
        <w:rPr>
          <w:rFonts w:hint="eastAsia" w:cs="宋体"/>
          <w:szCs w:val="24"/>
          <w:lang w:val="zh-CN"/>
        </w:rPr>
        <w:t>五、违约责任</w:t>
      </w:r>
    </w:p>
    <w:p w14:paraId="35D576AD">
      <w:pPr>
        <w:ind w:firstLine="480" w:firstLineChars="200"/>
        <w:rPr>
          <w:rFonts w:cs="宋体"/>
          <w:szCs w:val="24"/>
          <w:lang w:val="zh-CN"/>
        </w:rPr>
      </w:pPr>
    </w:p>
    <w:p w14:paraId="62D48057">
      <w:pPr>
        <w:ind w:firstLine="480" w:firstLineChars="200"/>
        <w:rPr>
          <w:rFonts w:cs="宋体"/>
          <w:szCs w:val="24"/>
          <w:lang w:val="zh-CN"/>
        </w:rPr>
      </w:pPr>
      <w:r>
        <w:rPr>
          <w:rFonts w:hint="eastAsia" w:cs="宋体"/>
          <w:szCs w:val="24"/>
          <w:lang w:val="zh-CN"/>
        </w:rPr>
        <w:t>六、争议解决的办法</w:t>
      </w:r>
    </w:p>
    <w:p w14:paraId="3E8B8162">
      <w:pPr>
        <w:ind w:firstLine="480" w:firstLineChars="200"/>
        <w:rPr>
          <w:rFonts w:cs="宋体"/>
          <w:szCs w:val="24"/>
          <w:lang w:val="zh-CN"/>
        </w:rPr>
      </w:pPr>
    </w:p>
    <w:p w14:paraId="15E02AD1">
      <w:pPr>
        <w:ind w:firstLine="480" w:firstLineChars="200"/>
        <w:rPr>
          <w:rFonts w:cs="宋体"/>
          <w:szCs w:val="24"/>
          <w:lang w:val="zh-CN"/>
        </w:rPr>
      </w:pPr>
      <w:r>
        <w:rPr>
          <w:rFonts w:hint="eastAsia" w:cs="宋体"/>
          <w:szCs w:val="24"/>
          <w:lang w:val="zh-CN"/>
        </w:rPr>
        <w:t>七、其他</w:t>
      </w:r>
    </w:p>
    <w:p w14:paraId="7996CC2E">
      <w:pPr>
        <w:ind w:firstLine="480" w:firstLineChars="200"/>
        <w:rPr>
          <w:rFonts w:cs="宋体"/>
          <w:szCs w:val="24"/>
          <w:lang w:val="zh-CN"/>
        </w:rPr>
      </w:pPr>
      <w:r>
        <w:rPr>
          <w:rFonts w:hint="eastAsia" w:cs="宋体"/>
          <w:szCs w:val="24"/>
        </w:rPr>
        <w:t>中小企业合同金额达到</w:t>
      </w:r>
      <w:r>
        <w:rPr>
          <w:rFonts w:hint="eastAsia" w:cs="宋体"/>
          <w:szCs w:val="24"/>
          <w:u w:val="single"/>
        </w:rPr>
        <w:t xml:space="preserve">   </w:t>
      </w:r>
      <w:r>
        <w:rPr>
          <w:rFonts w:hint="eastAsia" w:cs="宋体"/>
          <w:szCs w:val="24"/>
        </w:rPr>
        <w:t>%，小微企业合同金额达到</w:t>
      </w:r>
      <w:r>
        <w:rPr>
          <w:rFonts w:hint="eastAsia" w:cs="宋体"/>
          <w:szCs w:val="24"/>
          <w:u w:val="single"/>
        </w:rPr>
        <w:t xml:space="preserve">   </w:t>
      </w:r>
      <w:r>
        <w:rPr>
          <w:rFonts w:hint="eastAsia" w:cs="宋体"/>
          <w:szCs w:val="24"/>
        </w:rPr>
        <w:t>%</w:t>
      </w:r>
      <w:r>
        <w:rPr>
          <w:rFonts w:hint="eastAsia" w:cs="宋体"/>
          <w:szCs w:val="24"/>
          <w:lang w:val="zh-CN"/>
        </w:rPr>
        <w:t>。</w:t>
      </w:r>
    </w:p>
    <w:p w14:paraId="6BBA606F">
      <w:pPr>
        <w:rPr>
          <w:rFonts w:cs="宋体"/>
          <w:szCs w:val="24"/>
          <w:lang w:val="zh-CN"/>
        </w:rPr>
      </w:pPr>
      <w:r>
        <w:rPr>
          <w:rFonts w:hint="eastAsia" w:cs="宋体"/>
          <w:szCs w:val="24"/>
        </w:rPr>
        <w:t>供应商</w:t>
      </w:r>
      <w:r>
        <w:rPr>
          <w:rFonts w:hint="eastAsia" w:cs="宋体"/>
          <w:szCs w:val="24"/>
          <w:lang w:val="zh-CN"/>
        </w:rPr>
        <w:t>名称(</w:t>
      </w:r>
      <w:r>
        <w:rPr>
          <w:rFonts w:hint="eastAsia" w:cs="宋体"/>
          <w:szCs w:val="24"/>
        </w:rPr>
        <w:t>盖章</w:t>
      </w:r>
      <w:r>
        <w:rPr>
          <w:rFonts w:hint="eastAsia" w:cs="宋体"/>
          <w:szCs w:val="24"/>
          <w:lang w:val="zh-CN"/>
        </w:rPr>
        <w:t>)：</w:t>
      </w:r>
    </w:p>
    <w:p w14:paraId="0F459CF8">
      <w:pPr>
        <w:rPr>
          <w:rFonts w:cs="宋体"/>
          <w:szCs w:val="24"/>
          <w:lang w:val="zh-CN"/>
        </w:rPr>
      </w:pPr>
      <w:r>
        <w:rPr>
          <w:rFonts w:hint="eastAsia" w:cs="宋体"/>
          <w:szCs w:val="24"/>
          <w:lang w:val="zh-CN"/>
        </w:rPr>
        <w:t>分包供应商名称：</w:t>
      </w:r>
    </w:p>
    <w:p w14:paraId="21B57B5B">
      <w:pPr>
        <w:rPr>
          <w:rFonts w:cs="宋体"/>
          <w:szCs w:val="24"/>
        </w:rPr>
      </w:pPr>
      <w:r>
        <w:rPr>
          <w:rFonts w:hint="eastAsia" w:cs="宋体"/>
          <w:szCs w:val="24"/>
          <w:lang w:val="zh-CN"/>
        </w:rPr>
        <w:t>……</w:t>
      </w:r>
    </w:p>
    <w:p w14:paraId="5CE0DD78">
      <w:pPr>
        <w:rPr>
          <w:szCs w:val="24"/>
          <w:lang w:val="zh-CN"/>
        </w:rPr>
      </w:pPr>
      <w:r>
        <w:rPr>
          <w:rFonts w:hint="eastAsia" w:cs="宋体"/>
          <w:szCs w:val="24"/>
          <w:lang w:val="zh-CN"/>
        </w:rPr>
        <w:t xml:space="preserve">                                        日期：</w:t>
      </w:r>
      <w:r>
        <w:rPr>
          <w:rFonts w:hint="eastAsia" w:cs="宋体"/>
          <w:szCs w:val="24"/>
        </w:rPr>
        <w:t xml:space="preserve">    年   </w:t>
      </w:r>
      <w:r>
        <w:rPr>
          <w:rFonts w:hint="eastAsia" w:cs="宋体"/>
          <w:szCs w:val="24"/>
          <w:lang w:val="zh-CN"/>
        </w:rPr>
        <w:t>月   日</w:t>
      </w:r>
    </w:p>
    <w:p w14:paraId="38B3AE3B">
      <w:pPr>
        <w:rPr>
          <w:szCs w:val="24"/>
          <w:lang w:val="zh-CN"/>
        </w:rPr>
      </w:pPr>
      <w:r>
        <w:rPr>
          <w:szCs w:val="24"/>
          <w:lang w:val="zh-CN"/>
        </w:rPr>
        <w:br w:type="page"/>
      </w:r>
    </w:p>
    <w:p w14:paraId="693E69DA">
      <w:pPr>
        <w:rPr>
          <w:b/>
        </w:rPr>
      </w:pPr>
      <w:r>
        <w:rPr>
          <w:rFonts w:hint="eastAsia"/>
          <w:b/>
        </w:rPr>
        <w:t>技术、商务、资信及其他文件文件格式：</w:t>
      </w:r>
    </w:p>
    <w:p w14:paraId="162935DD"/>
    <w:p w14:paraId="3C1E37A4"/>
    <w:p w14:paraId="090A972E"/>
    <w:p w14:paraId="5968F9B1"/>
    <w:p w14:paraId="098182B3"/>
    <w:p w14:paraId="4212D852"/>
    <w:p w14:paraId="253CAAF3"/>
    <w:p w14:paraId="62C7027E"/>
    <w:p w14:paraId="3959636B">
      <w:pPr>
        <w:jc w:val="center"/>
        <w:rPr>
          <w:b/>
        </w:rPr>
      </w:pPr>
      <w:r>
        <w:rPr>
          <w:rFonts w:hint="eastAsia"/>
          <w:b/>
        </w:rPr>
        <w:t>供应商根据“技术文件组成及评分标准要求”自拟格式</w:t>
      </w:r>
    </w:p>
    <w:p w14:paraId="64B02EB9">
      <w:pPr>
        <w:widowControl/>
        <w:spacing w:line="240" w:lineRule="auto"/>
        <w:jc w:val="left"/>
      </w:pPr>
      <w:r>
        <w:br w:type="page"/>
      </w:r>
    </w:p>
    <w:p w14:paraId="2B947623">
      <w:pPr>
        <w:jc w:val="center"/>
        <w:rPr>
          <w:b/>
          <w:sz w:val="28"/>
          <w:szCs w:val="28"/>
        </w:rPr>
      </w:pPr>
      <w:r>
        <w:rPr>
          <w:rFonts w:hint="eastAsia"/>
          <w:b/>
          <w:sz w:val="28"/>
          <w:szCs w:val="28"/>
        </w:rPr>
        <w:t>投标声明书</w:t>
      </w:r>
    </w:p>
    <w:p w14:paraId="4CD9112E">
      <w:pPr>
        <w:rPr>
          <w:b/>
        </w:rPr>
      </w:pPr>
    </w:p>
    <w:p w14:paraId="249DF726">
      <w:r>
        <w:rPr>
          <w:rFonts w:hint="eastAsia"/>
        </w:rPr>
        <w:t>致：______</w:t>
      </w:r>
      <w:r>
        <w:rPr>
          <w:rFonts w:hint="eastAsia"/>
          <w:u w:val="single"/>
        </w:rPr>
        <w:t>_     _</w:t>
      </w:r>
      <w:r>
        <w:rPr>
          <w:rFonts w:hint="eastAsia"/>
        </w:rPr>
        <w:t>_（招标采购单位名称）：</w:t>
      </w:r>
    </w:p>
    <w:p w14:paraId="3B39724A">
      <w:pPr>
        <w:ind w:firstLine="480" w:firstLineChars="200"/>
      </w:pPr>
      <w:r>
        <w:rPr>
          <w:rFonts w:hint="eastAsia"/>
        </w:rPr>
        <w:t>______</w:t>
      </w:r>
      <w:r>
        <w:rPr>
          <w:rFonts w:hint="eastAsia"/>
          <w:u w:val="single"/>
        </w:rPr>
        <w:t>_     _</w:t>
      </w:r>
      <w:r>
        <w:rPr>
          <w:rFonts w:hint="eastAsia"/>
        </w:rPr>
        <w:t>_（供应商名称）系中华人民共和国合法企业，经营地址</w:t>
      </w:r>
      <w:r>
        <w:rPr>
          <w:rFonts w:hint="eastAsia"/>
          <w:u w:val="single"/>
        </w:rPr>
        <w:t xml:space="preserve">                               </w:t>
      </w:r>
      <w:r>
        <w:rPr>
          <w:rFonts w:hint="eastAsia"/>
        </w:rPr>
        <w:t>。</w:t>
      </w:r>
    </w:p>
    <w:p w14:paraId="555A7DBD">
      <w:pPr>
        <w:ind w:firstLine="480" w:firstLineChars="200"/>
      </w:pPr>
      <w:r>
        <w:rPr>
          <w:rFonts w:hint="eastAsia"/>
        </w:rPr>
        <w:t>我___</w:t>
      </w:r>
      <w:r>
        <w:rPr>
          <w:rFonts w:hint="eastAsia"/>
          <w:u w:val="single"/>
        </w:rPr>
        <w:t xml:space="preserve">    _</w:t>
      </w:r>
      <w:r>
        <w:rPr>
          <w:rFonts w:hint="eastAsia"/>
        </w:rPr>
        <w:t>_（姓名）系______</w:t>
      </w:r>
      <w:r>
        <w:rPr>
          <w:rFonts w:hint="eastAsia"/>
          <w:u w:val="single"/>
        </w:rPr>
        <w:t>_     _</w:t>
      </w:r>
      <w:r>
        <w:rPr>
          <w:rFonts w:hint="eastAsia"/>
        </w:rPr>
        <w:t>_（供应商名称）的法定代表人，我方愿意参加贵方组织的_____</w:t>
      </w:r>
      <w:r>
        <w:rPr>
          <w:rFonts w:hint="eastAsia"/>
          <w:u w:val="single"/>
        </w:rPr>
        <w:t>_              _     _</w:t>
      </w:r>
      <w:r>
        <w:rPr>
          <w:rFonts w:hint="eastAsia"/>
        </w:rPr>
        <w:t>_项目的投标，为便于贵方公正、择优地确定中标人及其服务，我方就本次投标有关事项郑重声明如下：</w:t>
      </w:r>
    </w:p>
    <w:p w14:paraId="53C39C4D">
      <w:pPr>
        <w:ind w:firstLine="480" w:firstLineChars="200"/>
      </w:pPr>
      <w:r>
        <w:rPr>
          <w:rFonts w:hint="eastAsia"/>
        </w:rPr>
        <w:t>1.我方向贵方提交的所有投标文件、资料都是准确的和真实的。</w:t>
      </w:r>
    </w:p>
    <w:p w14:paraId="29676C06">
      <w:pPr>
        <w:ind w:firstLine="480" w:firstLineChars="200"/>
      </w:pPr>
      <w:r>
        <w:rPr>
          <w:rFonts w:hint="eastAsia"/>
        </w:rPr>
        <w:t>2.我方不是采购人的附属机构；在获知本项目采购信息后，与采购人聘请的为此项目提供咨询服务的公司及其附属机构没有任何联系。</w:t>
      </w:r>
    </w:p>
    <w:p w14:paraId="15ABD2C7">
      <w:pPr>
        <w:ind w:firstLine="480" w:firstLineChars="200"/>
      </w:pPr>
      <w:r>
        <w:rPr>
          <w:rFonts w:hint="eastAsia"/>
        </w:rPr>
        <w:t>3.我方诚意提请贵方关注：近期有关投标项目方面的重大决策和事项有：</w:t>
      </w:r>
    </w:p>
    <w:p w14:paraId="096B7499">
      <w:pPr>
        <w:ind w:firstLine="480" w:firstLineChars="200"/>
      </w:pPr>
      <w:r>
        <w:rPr>
          <w:rFonts w:hint="eastAsia"/>
          <w:u w:val="single"/>
        </w:rPr>
        <w:t>　　　　　　　　　　　　　　　　　　　　　　　　　　　</w:t>
      </w:r>
    </w:p>
    <w:p w14:paraId="4E4A2460">
      <w:pPr>
        <w:ind w:firstLine="480" w:firstLineChars="200"/>
      </w:pPr>
      <w:r>
        <w:t>4.我方及由本人担任法定代表人的其他机构最近三年内被通报或者被处罚的违法行为有：</w:t>
      </w:r>
    </w:p>
    <w:p w14:paraId="5097AB6C">
      <w:pPr>
        <w:ind w:firstLine="480" w:firstLineChars="200"/>
        <w:rPr>
          <w:u w:val="single"/>
        </w:rPr>
      </w:pPr>
      <w:r>
        <w:rPr>
          <w:rFonts w:hint="eastAsia"/>
          <w:u w:val="single"/>
        </w:rPr>
        <w:t>　　　　　　　　　　　　　　　　　　　　　　　　　　　</w:t>
      </w:r>
    </w:p>
    <w:p w14:paraId="32CAD7EF">
      <w:pPr>
        <w:ind w:firstLine="480" w:firstLineChars="200"/>
      </w:pPr>
      <w:r>
        <w:rPr>
          <w:rFonts w:hint="eastAsia"/>
        </w:rPr>
        <w:t>5.以上事项如有虚假或隐瞒，我方愿意承担一切后果，并不再寻求任何旨在减轻或免除法律责任的辩解。</w:t>
      </w:r>
    </w:p>
    <w:p w14:paraId="73723651"/>
    <w:p w14:paraId="0DAB4C6A">
      <w:pPr>
        <w:rPr>
          <w:u w:val="single"/>
        </w:rPr>
      </w:pPr>
      <w:r>
        <w:rPr>
          <w:rFonts w:hint="eastAsia"/>
        </w:rPr>
        <w:t>法定代表人或其授权代表（签字或盖章）：</w:t>
      </w:r>
      <w:r>
        <w:rPr>
          <w:rFonts w:hint="eastAsia"/>
          <w:u w:val="single"/>
        </w:rPr>
        <w:t xml:space="preserve">             </w:t>
      </w:r>
    </w:p>
    <w:p w14:paraId="4EBD6353">
      <w:r>
        <w:rPr>
          <w:rFonts w:hint="eastAsia"/>
        </w:rPr>
        <w:t>投标供应商公章：</w:t>
      </w:r>
      <w:r>
        <w:rPr>
          <w:rFonts w:hint="eastAsia"/>
          <w:u w:val="single"/>
        </w:rPr>
        <w:t xml:space="preserve">               </w:t>
      </w:r>
      <w:r>
        <w:rPr>
          <w:rFonts w:hint="eastAsia"/>
        </w:rPr>
        <w:t xml:space="preserve"> </w:t>
      </w:r>
    </w:p>
    <w:p w14:paraId="2296ED44">
      <w:pPr>
        <w:ind w:firstLine="6360" w:firstLineChars="2650"/>
      </w:pPr>
      <w:r>
        <w:rPr>
          <w:rFonts w:hint="eastAsia"/>
        </w:rPr>
        <w:t>年    月    日</w:t>
      </w:r>
    </w:p>
    <w:p w14:paraId="44BEA217">
      <w:pPr>
        <w:widowControl/>
        <w:spacing w:line="240" w:lineRule="auto"/>
        <w:jc w:val="left"/>
      </w:pPr>
      <w:r>
        <w:br w:type="page"/>
      </w:r>
    </w:p>
    <w:p w14:paraId="048D80FF">
      <w:pPr>
        <w:pStyle w:val="6"/>
        <w:spacing w:line="600" w:lineRule="exact"/>
        <w:ind w:firstLine="0"/>
        <w:jc w:val="center"/>
        <w:rPr>
          <w:rFonts w:ascii="宋体" w:hAnsi="宋体" w:eastAsia="宋体"/>
          <w:b/>
          <w:bCs/>
          <w:spacing w:val="24"/>
          <w:sz w:val="28"/>
          <w:szCs w:val="28"/>
        </w:rPr>
      </w:pPr>
      <w:r>
        <w:rPr>
          <w:rFonts w:hint="eastAsia" w:ascii="宋体" w:hAnsi="宋体" w:eastAsia="宋体"/>
          <w:b/>
          <w:bCs/>
          <w:spacing w:val="24"/>
          <w:sz w:val="28"/>
          <w:szCs w:val="28"/>
        </w:rPr>
        <w:t>供应商情况表</w:t>
      </w:r>
    </w:p>
    <w:tbl>
      <w:tblPr>
        <w:tblStyle w:val="21"/>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27"/>
        <w:gridCol w:w="1036"/>
        <w:gridCol w:w="1134"/>
        <w:gridCol w:w="170"/>
        <w:gridCol w:w="823"/>
        <w:gridCol w:w="567"/>
        <w:gridCol w:w="567"/>
        <w:gridCol w:w="992"/>
        <w:gridCol w:w="1134"/>
        <w:gridCol w:w="807"/>
      </w:tblGrid>
      <w:tr w14:paraId="44292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9057" w:type="dxa"/>
            <w:gridSpan w:val="10"/>
            <w:tcBorders>
              <w:top w:val="single" w:color="auto" w:sz="12" w:space="0"/>
              <w:left w:val="single" w:color="auto" w:sz="12" w:space="0"/>
              <w:bottom w:val="single" w:color="auto" w:sz="6" w:space="0"/>
              <w:right w:val="single" w:color="auto" w:sz="12" w:space="0"/>
            </w:tcBorders>
            <w:vAlign w:val="center"/>
          </w:tcPr>
          <w:p w14:paraId="28D42591">
            <w:pPr>
              <w:jc w:val="center"/>
              <w:rPr>
                <w:rFonts w:cs="宋体"/>
              </w:rPr>
            </w:pPr>
            <w:r>
              <w:rPr>
                <w:rFonts w:hint="eastAsia" w:cs="宋体"/>
              </w:rPr>
              <w:t>企业情况</w:t>
            </w:r>
          </w:p>
        </w:tc>
      </w:tr>
      <w:tr w14:paraId="257F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14:paraId="173AE95F">
            <w:pPr>
              <w:jc w:val="center"/>
              <w:rPr>
                <w:rFonts w:cs="宋体"/>
              </w:rPr>
            </w:pPr>
            <w:r>
              <w:rPr>
                <w:rFonts w:hint="eastAsia" w:cs="宋体"/>
              </w:rPr>
              <w:t>单位名称</w:t>
            </w:r>
          </w:p>
        </w:tc>
        <w:tc>
          <w:tcPr>
            <w:tcW w:w="7230" w:type="dxa"/>
            <w:gridSpan w:val="9"/>
            <w:tcBorders>
              <w:top w:val="single" w:color="auto" w:sz="6" w:space="0"/>
              <w:left w:val="single" w:color="auto" w:sz="6" w:space="0"/>
              <w:bottom w:val="single" w:color="auto" w:sz="6" w:space="0"/>
              <w:right w:val="single" w:color="auto" w:sz="12" w:space="0"/>
            </w:tcBorders>
            <w:vAlign w:val="center"/>
          </w:tcPr>
          <w:p w14:paraId="6477D756">
            <w:pPr>
              <w:jc w:val="center"/>
              <w:rPr>
                <w:rFonts w:cs="宋体"/>
              </w:rPr>
            </w:pPr>
          </w:p>
        </w:tc>
      </w:tr>
      <w:tr w14:paraId="02F6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14:paraId="29535263">
            <w:pPr>
              <w:jc w:val="center"/>
              <w:rPr>
                <w:rFonts w:cs="宋体"/>
              </w:rPr>
            </w:pPr>
            <w:r>
              <w:rPr>
                <w:rFonts w:hint="eastAsia" w:cs="宋体"/>
              </w:rPr>
              <w:t>地 址</w:t>
            </w:r>
          </w:p>
        </w:tc>
        <w:tc>
          <w:tcPr>
            <w:tcW w:w="3730" w:type="dxa"/>
            <w:gridSpan w:val="5"/>
            <w:tcBorders>
              <w:top w:val="single" w:color="auto" w:sz="6" w:space="0"/>
              <w:left w:val="single" w:color="auto" w:sz="6" w:space="0"/>
              <w:bottom w:val="single" w:color="auto" w:sz="6" w:space="0"/>
              <w:right w:val="single" w:color="auto" w:sz="6" w:space="0"/>
            </w:tcBorders>
            <w:vAlign w:val="center"/>
          </w:tcPr>
          <w:p w14:paraId="20CCB08F">
            <w:pPr>
              <w:jc w:val="center"/>
              <w:rPr>
                <w:rFonts w:cs="宋体"/>
              </w:rPr>
            </w:pPr>
          </w:p>
        </w:tc>
        <w:tc>
          <w:tcPr>
            <w:tcW w:w="1559" w:type="dxa"/>
            <w:gridSpan w:val="2"/>
            <w:tcBorders>
              <w:top w:val="single" w:color="auto" w:sz="6" w:space="0"/>
              <w:left w:val="single" w:color="auto" w:sz="6" w:space="0"/>
              <w:bottom w:val="single" w:color="auto" w:sz="6" w:space="0"/>
              <w:right w:val="single" w:color="auto" w:sz="6" w:space="0"/>
            </w:tcBorders>
            <w:vAlign w:val="center"/>
          </w:tcPr>
          <w:p w14:paraId="5AB1F58C">
            <w:pPr>
              <w:jc w:val="center"/>
              <w:rPr>
                <w:rFonts w:cs="宋体"/>
              </w:rPr>
            </w:pPr>
            <w:r>
              <w:rPr>
                <w:rFonts w:hint="eastAsia" w:cs="宋体"/>
              </w:rPr>
              <w:t>法定代表人</w:t>
            </w:r>
          </w:p>
        </w:tc>
        <w:tc>
          <w:tcPr>
            <w:tcW w:w="1941" w:type="dxa"/>
            <w:gridSpan w:val="2"/>
            <w:tcBorders>
              <w:top w:val="single" w:color="auto" w:sz="6" w:space="0"/>
              <w:left w:val="single" w:color="auto" w:sz="6" w:space="0"/>
              <w:bottom w:val="single" w:color="auto" w:sz="6" w:space="0"/>
              <w:right w:val="single" w:color="auto" w:sz="12" w:space="0"/>
            </w:tcBorders>
            <w:vAlign w:val="center"/>
          </w:tcPr>
          <w:p w14:paraId="697D96C8">
            <w:pPr>
              <w:jc w:val="center"/>
              <w:rPr>
                <w:rFonts w:cs="宋体"/>
              </w:rPr>
            </w:pPr>
          </w:p>
        </w:tc>
      </w:tr>
      <w:tr w14:paraId="2E54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14:paraId="1C0FD5E9">
            <w:pPr>
              <w:jc w:val="center"/>
              <w:rPr>
                <w:rFonts w:cs="宋体"/>
              </w:rPr>
            </w:pPr>
            <w:r>
              <w:rPr>
                <w:rFonts w:hint="eastAsia" w:cs="宋体"/>
              </w:rPr>
              <w:t xml:space="preserve">成立时间  </w:t>
            </w:r>
          </w:p>
        </w:tc>
        <w:tc>
          <w:tcPr>
            <w:tcW w:w="3730" w:type="dxa"/>
            <w:gridSpan w:val="5"/>
            <w:tcBorders>
              <w:top w:val="single" w:color="auto" w:sz="6" w:space="0"/>
              <w:left w:val="single" w:color="auto" w:sz="6" w:space="0"/>
              <w:bottom w:val="single" w:color="auto" w:sz="6" w:space="0"/>
              <w:right w:val="single" w:color="auto" w:sz="6" w:space="0"/>
            </w:tcBorders>
            <w:vAlign w:val="center"/>
          </w:tcPr>
          <w:p w14:paraId="15427385">
            <w:pPr>
              <w:jc w:val="center"/>
              <w:rPr>
                <w:rFonts w:cs="宋体"/>
              </w:rPr>
            </w:pPr>
          </w:p>
        </w:tc>
        <w:tc>
          <w:tcPr>
            <w:tcW w:w="1559" w:type="dxa"/>
            <w:gridSpan w:val="2"/>
            <w:tcBorders>
              <w:top w:val="single" w:color="auto" w:sz="6" w:space="0"/>
              <w:left w:val="single" w:color="auto" w:sz="6" w:space="0"/>
              <w:bottom w:val="single" w:color="auto" w:sz="6" w:space="0"/>
              <w:right w:val="single" w:color="auto" w:sz="6" w:space="0"/>
            </w:tcBorders>
            <w:vAlign w:val="center"/>
          </w:tcPr>
          <w:p w14:paraId="3504A572">
            <w:pPr>
              <w:jc w:val="center"/>
              <w:rPr>
                <w:rFonts w:cs="宋体"/>
              </w:rPr>
            </w:pPr>
            <w:r>
              <w:rPr>
                <w:rFonts w:hint="eastAsia" w:cs="宋体"/>
              </w:rPr>
              <w:t>注册资本</w:t>
            </w:r>
          </w:p>
        </w:tc>
        <w:tc>
          <w:tcPr>
            <w:tcW w:w="1941" w:type="dxa"/>
            <w:gridSpan w:val="2"/>
            <w:tcBorders>
              <w:top w:val="single" w:color="auto" w:sz="6" w:space="0"/>
              <w:left w:val="single" w:color="auto" w:sz="6" w:space="0"/>
              <w:bottom w:val="single" w:color="auto" w:sz="6" w:space="0"/>
              <w:right w:val="single" w:color="auto" w:sz="12" w:space="0"/>
            </w:tcBorders>
            <w:vAlign w:val="center"/>
          </w:tcPr>
          <w:p w14:paraId="6F563A7E">
            <w:pPr>
              <w:jc w:val="center"/>
              <w:rPr>
                <w:rFonts w:cs="宋体"/>
              </w:rPr>
            </w:pPr>
          </w:p>
        </w:tc>
      </w:tr>
      <w:tr w14:paraId="7BB7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14:paraId="0F1C90B7">
            <w:pPr>
              <w:jc w:val="center"/>
              <w:rPr>
                <w:rFonts w:cs="宋体"/>
              </w:rPr>
            </w:pPr>
            <w:r>
              <w:rPr>
                <w:rFonts w:hint="eastAsia" w:cs="宋体"/>
              </w:rPr>
              <w:t xml:space="preserve">开户银行  </w:t>
            </w:r>
          </w:p>
        </w:tc>
        <w:tc>
          <w:tcPr>
            <w:tcW w:w="2340" w:type="dxa"/>
            <w:gridSpan w:val="3"/>
            <w:tcBorders>
              <w:top w:val="single" w:color="auto" w:sz="6" w:space="0"/>
              <w:left w:val="single" w:color="auto" w:sz="6" w:space="0"/>
              <w:bottom w:val="single" w:color="auto" w:sz="6" w:space="0"/>
              <w:right w:val="single" w:color="auto" w:sz="6" w:space="0"/>
            </w:tcBorders>
            <w:vAlign w:val="center"/>
          </w:tcPr>
          <w:p w14:paraId="36E579DD">
            <w:pPr>
              <w:jc w:val="center"/>
              <w:rPr>
                <w:rFonts w:cs="宋体"/>
              </w:rPr>
            </w:pPr>
          </w:p>
        </w:tc>
        <w:tc>
          <w:tcPr>
            <w:tcW w:w="1390" w:type="dxa"/>
            <w:gridSpan w:val="2"/>
            <w:tcBorders>
              <w:top w:val="single" w:color="auto" w:sz="6" w:space="0"/>
              <w:left w:val="single" w:color="auto" w:sz="6" w:space="0"/>
              <w:bottom w:val="single" w:color="auto" w:sz="6" w:space="0"/>
              <w:right w:val="single" w:color="auto" w:sz="6" w:space="0"/>
            </w:tcBorders>
            <w:vAlign w:val="center"/>
          </w:tcPr>
          <w:p w14:paraId="45117B5A">
            <w:pPr>
              <w:jc w:val="center"/>
              <w:rPr>
                <w:rFonts w:cs="宋体"/>
              </w:rPr>
            </w:pPr>
            <w:r>
              <w:rPr>
                <w:rFonts w:hint="eastAsia" w:cs="宋体"/>
              </w:rPr>
              <w:t>帐 号</w:t>
            </w:r>
          </w:p>
        </w:tc>
        <w:tc>
          <w:tcPr>
            <w:tcW w:w="3500" w:type="dxa"/>
            <w:gridSpan w:val="4"/>
            <w:tcBorders>
              <w:top w:val="single" w:color="auto" w:sz="6" w:space="0"/>
              <w:left w:val="single" w:color="auto" w:sz="6" w:space="0"/>
              <w:bottom w:val="single" w:color="auto" w:sz="6" w:space="0"/>
              <w:right w:val="single" w:color="auto" w:sz="12" w:space="0"/>
            </w:tcBorders>
            <w:vAlign w:val="center"/>
          </w:tcPr>
          <w:p w14:paraId="6984BA8E">
            <w:pPr>
              <w:jc w:val="center"/>
              <w:rPr>
                <w:rFonts w:cs="宋体"/>
              </w:rPr>
            </w:pPr>
          </w:p>
        </w:tc>
      </w:tr>
      <w:tr w14:paraId="5805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14:paraId="1094991A">
            <w:pPr>
              <w:jc w:val="center"/>
              <w:rPr>
                <w:rFonts w:cs="宋体"/>
              </w:rPr>
            </w:pPr>
            <w:r>
              <w:rPr>
                <w:rFonts w:hint="eastAsia" w:cs="宋体"/>
              </w:rPr>
              <w:t>联系电话</w:t>
            </w:r>
          </w:p>
        </w:tc>
        <w:tc>
          <w:tcPr>
            <w:tcW w:w="7230" w:type="dxa"/>
            <w:gridSpan w:val="9"/>
            <w:tcBorders>
              <w:top w:val="single" w:color="auto" w:sz="6" w:space="0"/>
              <w:left w:val="single" w:color="auto" w:sz="6" w:space="0"/>
              <w:bottom w:val="single" w:color="auto" w:sz="6" w:space="0"/>
              <w:right w:val="single" w:color="auto" w:sz="12" w:space="0"/>
            </w:tcBorders>
            <w:vAlign w:val="center"/>
          </w:tcPr>
          <w:p w14:paraId="5C530C69">
            <w:pPr>
              <w:ind w:firstLine="360" w:firstLineChars="150"/>
              <w:rPr>
                <w:rFonts w:cs="宋体"/>
              </w:rPr>
            </w:pPr>
          </w:p>
        </w:tc>
      </w:tr>
      <w:tr w14:paraId="75573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1827" w:type="dxa"/>
            <w:tcBorders>
              <w:top w:val="single" w:color="auto" w:sz="6" w:space="0"/>
              <w:left w:val="single" w:color="auto" w:sz="12" w:space="0"/>
              <w:bottom w:val="single" w:color="auto" w:sz="6" w:space="0"/>
              <w:right w:val="single" w:color="auto" w:sz="6" w:space="0"/>
            </w:tcBorders>
            <w:vAlign w:val="center"/>
          </w:tcPr>
          <w:p w14:paraId="6AC71D2A">
            <w:pPr>
              <w:jc w:val="center"/>
              <w:rPr>
                <w:rFonts w:cs="宋体"/>
              </w:rPr>
            </w:pPr>
            <w:r>
              <w:rPr>
                <w:rFonts w:hint="eastAsia" w:cs="宋体"/>
              </w:rPr>
              <w:t>企业总人数</w:t>
            </w:r>
          </w:p>
        </w:tc>
        <w:tc>
          <w:tcPr>
            <w:tcW w:w="1036" w:type="dxa"/>
            <w:tcBorders>
              <w:top w:val="single" w:color="auto" w:sz="6" w:space="0"/>
              <w:left w:val="single" w:color="auto" w:sz="6" w:space="0"/>
              <w:bottom w:val="single" w:color="auto" w:sz="6" w:space="0"/>
              <w:right w:val="single" w:color="auto" w:sz="6" w:space="0"/>
            </w:tcBorders>
            <w:vAlign w:val="center"/>
          </w:tcPr>
          <w:p w14:paraId="04F8F734">
            <w:pPr>
              <w:jc w:val="center"/>
              <w:rPr>
                <w:rFonts w:cs="宋体"/>
              </w:rPr>
            </w:pPr>
          </w:p>
        </w:tc>
        <w:tc>
          <w:tcPr>
            <w:tcW w:w="1134" w:type="dxa"/>
            <w:tcBorders>
              <w:top w:val="single" w:color="auto" w:sz="6" w:space="0"/>
              <w:left w:val="single" w:color="auto" w:sz="6" w:space="0"/>
              <w:right w:val="single" w:color="auto" w:sz="6" w:space="0"/>
            </w:tcBorders>
            <w:vAlign w:val="center"/>
          </w:tcPr>
          <w:p w14:paraId="043D57BC">
            <w:pPr>
              <w:jc w:val="center"/>
              <w:rPr>
                <w:rFonts w:cs="宋体"/>
              </w:rPr>
            </w:pPr>
            <w:r>
              <w:rPr>
                <w:rFonts w:hint="eastAsia" w:cs="宋体"/>
              </w:rPr>
              <w:t>管理</w:t>
            </w:r>
          </w:p>
          <w:p w14:paraId="447D5585">
            <w:pPr>
              <w:jc w:val="center"/>
              <w:rPr>
                <w:rFonts w:cs="宋体"/>
              </w:rPr>
            </w:pPr>
            <w:r>
              <w:rPr>
                <w:rFonts w:hint="eastAsia" w:cs="宋体"/>
              </w:rPr>
              <w:t>人员</w:t>
            </w:r>
          </w:p>
        </w:tc>
        <w:tc>
          <w:tcPr>
            <w:tcW w:w="993" w:type="dxa"/>
            <w:gridSpan w:val="2"/>
            <w:tcBorders>
              <w:top w:val="single" w:color="auto" w:sz="6" w:space="0"/>
              <w:left w:val="single" w:color="auto" w:sz="6" w:space="0"/>
              <w:bottom w:val="single" w:color="auto" w:sz="6" w:space="0"/>
              <w:right w:val="single" w:color="auto" w:sz="6" w:space="0"/>
            </w:tcBorders>
            <w:vAlign w:val="center"/>
          </w:tcPr>
          <w:p w14:paraId="33113961">
            <w:pPr>
              <w:jc w:val="center"/>
              <w:rPr>
                <w:rFonts w:cs="宋体"/>
              </w:rPr>
            </w:pPr>
          </w:p>
        </w:tc>
        <w:tc>
          <w:tcPr>
            <w:tcW w:w="1134" w:type="dxa"/>
            <w:gridSpan w:val="2"/>
            <w:tcBorders>
              <w:top w:val="single" w:color="auto" w:sz="6" w:space="0"/>
              <w:left w:val="single" w:color="auto" w:sz="6" w:space="0"/>
              <w:bottom w:val="single" w:color="auto" w:sz="6" w:space="0"/>
              <w:right w:val="single" w:color="auto" w:sz="4" w:space="0"/>
            </w:tcBorders>
            <w:vAlign w:val="center"/>
          </w:tcPr>
          <w:p w14:paraId="23CABC1F">
            <w:pPr>
              <w:jc w:val="center"/>
              <w:rPr>
                <w:rFonts w:cs="宋体"/>
              </w:rPr>
            </w:pPr>
            <w:r>
              <w:rPr>
                <w:rFonts w:hint="eastAsia" w:cs="宋体"/>
              </w:rPr>
              <w:t>技术</w:t>
            </w:r>
          </w:p>
          <w:p w14:paraId="091E5A63">
            <w:pPr>
              <w:jc w:val="center"/>
              <w:rPr>
                <w:rFonts w:cs="宋体"/>
              </w:rPr>
            </w:pPr>
            <w:r>
              <w:rPr>
                <w:rFonts w:hint="eastAsia" w:cs="宋体"/>
              </w:rPr>
              <w:t>人员</w:t>
            </w:r>
          </w:p>
        </w:tc>
        <w:tc>
          <w:tcPr>
            <w:tcW w:w="992" w:type="dxa"/>
            <w:tcBorders>
              <w:top w:val="single" w:color="auto" w:sz="6" w:space="0"/>
              <w:left w:val="single" w:color="auto" w:sz="4" w:space="0"/>
              <w:bottom w:val="single" w:color="auto" w:sz="6" w:space="0"/>
              <w:right w:val="single" w:color="auto" w:sz="4" w:space="0"/>
            </w:tcBorders>
            <w:vAlign w:val="center"/>
          </w:tcPr>
          <w:p w14:paraId="09E473FC">
            <w:pPr>
              <w:jc w:val="center"/>
              <w:rPr>
                <w:rFonts w:cs="宋体"/>
              </w:rPr>
            </w:pPr>
          </w:p>
        </w:tc>
        <w:tc>
          <w:tcPr>
            <w:tcW w:w="1134" w:type="dxa"/>
            <w:tcBorders>
              <w:top w:val="single" w:color="auto" w:sz="6" w:space="0"/>
              <w:left w:val="single" w:color="auto" w:sz="4" w:space="0"/>
              <w:bottom w:val="single" w:color="auto" w:sz="6" w:space="0"/>
              <w:right w:val="single" w:color="auto" w:sz="4" w:space="0"/>
            </w:tcBorders>
            <w:vAlign w:val="center"/>
          </w:tcPr>
          <w:p w14:paraId="247B9C5C">
            <w:pPr>
              <w:jc w:val="center"/>
              <w:rPr>
                <w:rFonts w:cs="宋体"/>
              </w:rPr>
            </w:pPr>
            <w:r>
              <w:rPr>
                <w:rFonts w:hint="eastAsia" w:cs="宋体"/>
              </w:rPr>
              <w:t>职工</w:t>
            </w:r>
          </w:p>
          <w:p w14:paraId="19EF9C5F">
            <w:pPr>
              <w:jc w:val="center"/>
              <w:rPr>
                <w:rFonts w:cs="宋体"/>
              </w:rPr>
            </w:pPr>
            <w:r>
              <w:rPr>
                <w:rFonts w:hint="eastAsia" w:cs="宋体"/>
              </w:rPr>
              <w:t>人员</w:t>
            </w:r>
          </w:p>
        </w:tc>
        <w:tc>
          <w:tcPr>
            <w:tcW w:w="807" w:type="dxa"/>
            <w:tcBorders>
              <w:top w:val="single" w:color="auto" w:sz="6" w:space="0"/>
              <w:left w:val="single" w:color="auto" w:sz="4" w:space="0"/>
              <w:bottom w:val="single" w:color="auto" w:sz="6" w:space="0"/>
              <w:right w:val="single" w:color="auto" w:sz="12" w:space="0"/>
            </w:tcBorders>
            <w:vAlign w:val="center"/>
          </w:tcPr>
          <w:p w14:paraId="6CDB8B42">
            <w:pPr>
              <w:jc w:val="center"/>
              <w:rPr>
                <w:rFonts w:cs="宋体"/>
              </w:rPr>
            </w:pPr>
          </w:p>
        </w:tc>
      </w:tr>
      <w:tr w14:paraId="55B5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14:paraId="01817CC4">
            <w:pPr>
              <w:jc w:val="center"/>
              <w:rPr>
                <w:rFonts w:cs="宋体"/>
              </w:rPr>
            </w:pPr>
            <w:r>
              <w:rPr>
                <w:rFonts w:hint="eastAsia" w:cs="宋体"/>
              </w:rPr>
              <w:t>经营范围</w:t>
            </w:r>
          </w:p>
        </w:tc>
        <w:tc>
          <w:tcPr>
            <w:tcW w:w="7230" w:type="dxa"/>
            <w:gridSpan w:val="9"/>
            <w:tcBorders>
              <w:top w:val="single" w:color="auto" w:sz="6" w:space="0"/>
              <w:left w:val="single" w:color="auto" w:sz="6" w:space="0"/>
              <w:bottom w:val="single" w:color="auto" w:sz="6" w:space="0"/>
              <w:right w:val="single" w:color="auto" w:sz="12" w:space="0"/>
            </w:tcBorders>
            <w:vAlign w:val="center"/>
          </w:tcPr>
          <w:p w14:paraId="248D7700">
            <w:pPr>
              <w:jc w:val="center"/>
              <w:rPr>
                <w:rFonts w:cs="宋体"/>
              </w:rPr>
            </w:pPr>
          </w:p>
        </w:tc>
      </w:tr>
      <w:tr w14:paraId="5647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85" w:hRule="atLeast"/>
        </w:trPr>
        <w:tc>
          <w:tcPr>
            <w:tcW w:w="1827" w:type="dxa"/>
            <w:tcBorders>
              <w:top w:val="single" w:color="auto" w:sz="6" w:space="0"/>
              <w:left w:val="single" w:color="auto" w:sz="12" w:space="0"/>
              <w:bottom w:val="single" w:color="auto" w:sz="4" w:space="0"/>
              <w:right w:val="single" w:color="auto" w:sz="6" w:space="0"/>
            </w:tcBorders>
            <w:vAlign w:val="center"/>
          </w:tcPr>
          <w:p w14:paraId="3AC02DF7">
            <w:pPr>
              <w:jc w:val="center"/>
              <w:rPr>
                <w:rFonts w:cs="宋体"/>
              </w:rPr>
            </w:pPr>
            <w:r>
              <w:rPr>
                <w:rFonts w:hint="eastAsia" w:cs="宋体"/>
              </w:rPr>
              <w:t>企业现有的资</w:t>
            </w:r>
          </w:p>
          <w:p w14:paraId="1EA70311">
            <w:pPr>
              <w:jc w:val="center"/>
              <w:rPr>
                <w:rFonts w:cs="宋体"/>
              </w:rPr>
            </w:pPr>
            <w:r>
              <w:rPr>
                <w:rFonts w:hint="eastAsia" w:cs="宋体"/>
              </w:rPr>
              <w:t>质证书</w:t>
            </w:r>
          </w:p>
        </w:tc>
        <w:tc>
          <w:tcPr>
            <w:tcW w:w="7230" w:type="dxa"/>
            <w:gridSpan w:val="9"/>
            <w:tcBorders>
              <w:top w:val="single" w:color="auto" w:sz="6" w:space="0"/>
              <w:left w:val="single" w:color="auto" w:sz="6" w:space="0"/>
              <w:bottom w:val="single" w:color="auto" w:sz="4" w:space="0"/>
              <w:right w:val="single" w:color="auto" w:sz="12" w:space="0"/>
            </w:tcBorders>
            <w:vAlign w:val="center"/>
          </w:tcPr>
          <w:p w14:paraId="089FB0C7">
            <w:pPr>
              <w:jc w:val="center"/>
              <w:rPr>
                <w:rFonts w:cs="宋体"/>
              </w:rPr>
            </w:pPr>
          </w:p>
          <w:p w14:paraId="5D0C2CBD">
            <w:pPr>
              <w:jc w:val="center"/>
              <w:rPr>
                <w:rFonts w:cs="宋体"/>
              </w:rPr>
            </w:pPr>
          </w:p>
          <w:p w14:paraId="340A6AAD">
            <w:pPr>
              <w:jc w:val="center"/>
              <w:rPr>
                <w:rFonts w:cs="宋体"/>
              </w:rPr>
            </w:pPr>
          </w:p>
          <w:p w14:paraId="649FF5C8">
            <w:pPr>
              <w:jc w:val="center"/>
              <w:rPr>
                <w:rFonts w:cs="宋体"/>
              </w:rPr>
            </w:pPr>
          </w:p>
          <w:p w14:paraId="23C77859">
            <w:pPr>
              <w:jc w:val="center"/>
              <w:rPr>
                <w:rFonts w:cs="宋体"/>
              </w:rPr>
            </w:pPr>
          </w:p>
          <w:p w14:paraId="273C21D2">
            <w:pPr>
              <w:rPr>
                <w:rFonts w:cs="宋体"/>
              </w:rPr>
            </w:pPr>
          </w:p>
        </w:tc>
      </w:tr>
    </w:tbl>
    <w:p w14:paraId="0847E0F4">
      <w:pPr>
        <w:autoSpaceDE w:val="0"/>
        <w:autoSpaceDN w:val="0"/>
        <w:adjustRightInd w:val="0"/>
        <w:spacing w:line="540" w:lineRule="exact"/>
        <w:jc w:val="left"/>
        <w:rPr>
          <w:b/>
          <w:lang w:val="zh-CN"/>
        </w:rPr>
      </w:pPr>
      <w:r>
        <w:rPr>
          <w:rFonts w:hint="eastAsia"/>
          <w:b/>
          <w:lang w:val="zh-CN"/>
        </w:rPr>
        <w:t>注：表格不能满足时可自行增加。</w:t>
      </w:r>
    </w:p>
    <w:p w14:paraId="34E1AF96">
      <w:pPr>
        <w:spacing w:before="120" w:line="420" w:lineRule="exact"/>
        <w:ind w:firstLine="319"/>
        <w:rPr>
          <w:rFonts w:cs="宋体"/>
          <w:u w:val="single"/>
        </w:rPr>
      </w:pPr>
      <w:r>
        <w:rPr>
          <w:rFonts w:hint="eastAsia" w:cs="宋体"/>
        </w:rPr>
        <w:t>法定代表人或其授权代表（签字或盖章）：</w:t>
      </w:r>
      <w:r>
        <w:rPr>
          <w:rFonts w:hint="eastAsia" w:cs="宋体"/>
          <w:u w:val="single"/>
        </w:rPr>
        <w:t xml:space="preserve">             </w:t>
      </w:r>
    </w:p>
    <w:p w14:paraId="236864DD">
      <w:pPr>
        <w:spacing w:before="120" w:after="50" w:line="420" w:lineRule="exact"/>
        <w:ind w:firstLine="360" w:firstLineChars="150"/>
        <w:rPr>
          <w:rFonts w:cs="宋体"/>
        </w:rPr>
      </w:pPr>
      <w:r>
        <w:rPr>
          <w:rFonts w:hint="eastAsia"/>
        </w:rPr>
        <w:t>投标供应商</w:t>
      </w:r>
      <w:r>
        <w:rPr>
          <w:rFonts w:hint="eastAsia" w:cs="宋体"/>
        </w:rPr>
        <w:t>公章：</w:t>
      </w:r>
      <w:r>
        <w:rPr>
          <w:rFonts w:hint="eastAsia" w:cs="宋体"/>
          <w:u w:val="single"/>
        </w:rPr>
        <w:t xml:space="preserve">               </w:t>
      </w:r>
      <w:r>
        <w:rPr>
          <w:rFonts w:hint="eastAsia" w:cs="宋体"/>
        </w:rPr>
        <w:t xml:space="preserve">                      </w:t>
      </w:r>
    </w:p>
    <w:p w14:paraId="7DA5F575">
      <w:pPr>
        <w:autoSpaceDE w:val="0"/>
        <w:autoSpaceDN w:val="0"/>
        <w:adjustRightInd w:val="0"/>
        <w:spacing w:line="540" w:lineRule="exact"/>
        <w:jc w:val="center"/>
        <w:rPr>
          <w:rFonts w:cs="宋体"/>
        </w:rPr>
      </w:pPr>
      <w:r>
        <w:rPr>
          <w:rFonts w:hint="eastAsia" w:cs="宋体"/>
        </w:rPr>
        <w:t xml:space="preserve">                                                           年    月    日</w:t>
      </w:r>
    </w:p>
    <w:p w14:paraId="62E27118">
      <w:pPr>
        <w:widowControl/>
        <w:spacing w:line="240" w:lineRule="auto"/>
        <w:jc w:val="left"/>
      </w:pPr>
      <w:r>
        <w:br w:type="page"/>
      </w:r>
    </w:p>
    <w:p w14:paraId="08F7FD3D">
      <w:pPr>
        <w:spacing w:line="600" w:lineRule="exact"/>
        <w:jc w:val="center"/>
        <w:rPr>
          <w:rFonts w:cs="宋体"/>
          <w:b/>
          <w:bCs/>
        </w:rPr>
      </w:pPr>
      <w:r>
        <w:rPr>
          <w:rFonts w:hint="eastAsia" w:cs="宋体"/>
          <w:b/>
          <w:bCs/>
        </w:rPr>
        <w:t>人员配备一览表</w:t>
      </w:r>
    </w:p>
    <w:p w14:paraId="3FB5C38B">
      <w:pPr>
        <w:spacing w:line="600" w:lineRule="exact"/>
      </w:pPr>
      <w:r>
        <w:rPr>
          <w:rFonts w:hint="eastAsia"/>
        </w:rPr>
        <w:t>供应商全称（加盖公章）：                项目编号：</w:t>
      </w:r>
    </w:p>
    <w:tbl>
      <w:tblPr>
        <w:tblStyle w:val="21"/>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346"/>
        <w:gridCol w:w="1417"/>
        <w:gridCol w:w="952"/>
        <w:gridCol w:w="1175"/>
        <w:gridCol w:w="1134"/>
        <w:gridCol w:w="1417"/>
        <w:gridCol w:w="930"/>
      </w:tblGrid>
      <w:tr w14:paraId="40C1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61" w:type="dxa"/>
            <w:vAlign w:val="center"/>
          </w:tcPr>
          <w:p w14:paraId="3CAD1C89">
            <w:pPr>
              <w:adjustRightInd w:val="0"/>
              <w:jc w:val="center"/>
              <w:rPr>
                <w:bCs/>
              </w:rPr>
            </w:pPr>
            <w:r>
              <w:rPr>
                <w:rFonts w:hint="eastAsia"/>
                <w:bCs/>
              </w:rPr>
              <w:t>序号</w:t>
            </w:r>
          </w:p>
        </w:tc>
        <w:tc>
          <w:tcPr>
            <w:tcW w:w="1346" w:type="dxa"/>
            <w:vAlign w:val="center"/>
          </w:tcPr>
          <w:p w14:paraId="1BAFA8A9">
            <w:pPr>
              <w:adjustRightInd w:val="0"/>
              <w:jc w:val="center"/>
              <w:rPr>
                <w:bCs/>
              </w:rPr>
            </w:pPr>
            <w:r>
              <w:rPr>
                <w:rFonts w:hint="eastAsia"/>
                <w:bCs/>
              </w:rPr>
              <w:t>姓 名</w:t>
            </w:r>
          </w:p>
        </w:tc>
        <w:tc>
          <w:tcPr>
            <w:tcW w:w="1417" w:type="dxa"/>
            <w:vAlign w:val="center"/>
          </w:tcPr>
          <w:p w14:paraId="56A94616">
            <w:pPr>
              <w:adjustRightInd w:val="0"/>
              <w:jc w:val="center"/>
              <w:rPr>
                <w:bCs/>
              </w:rPr>
            </w:pPr>
            <w:r>
              <w:rPr>
                <w:rFonts w:hint="eastAsia"/>
                <w:bCs/>
              </w:rPr>
              <w:t>拟任职务</w:t>
            </w:r>
          </w:p>
        </w:tc>
        <w:tc>
          <w:tcPr>
            <w:tcW w:w="952" w:type="dxa"/>
            <w:vAlign w:val="center"/>
          </w:tcPr>
          <w:p w14:paraId="2319DB1A">
            <w:pPr>
              <w:adjustRightInd w:val="0"/>
              <w:jc w:val="center"/>
              <w:rPr>
                <w:bCs/>
              </w:rPr>
            </w:pPr>
            <w:r>
              <w:rPr>
                <w:rFonts w:hint="eastAsia"/>
                <w:bCs/>
              </w:rPr>
              <w:t>专业</w:t>
            </w:r>
          </w:p>
        </w:tc>
        <w:tc>
          <w:tcPr>
            <w:tcW w:w="1175" w:type="dxa"/>
            <w:vAlign w:val="center"/>
          </w:tcPr>
          <w:p w14:paraId="144BFC88">
            <w:pPr>
              <w:adjustRightInd w:val="0"/>
              <w:jc w:val="center"/>
              <w:rPr>
                <w:bCs/>
              </w:rPr>
            </w:pPr>
            <w:r>
              <w:rPr>
                <w:rFonts w:hint="eastAsia"/>
                <w:bCs/>
              </w:rPr>
              <w:t>工作经验年限</w:t>
            </w:r>
          </w:p>
        </w:tc>
        <w:tc>
          <w:tcPr>
            <w:tcW w:w="1134" w:type="dxa"/>
            <w:vAlign w:val="center"/>
          </w:tcPr>
          <w:p w14:paraId="484985BA">
            <w:pPr>
              <w:adjustRightInd w:val="0"/>
              <w:jc w:val="center"/>
              <w:rPr>
                <w:bCs/>
              </w:rPr>
            </w:pPr>
            <w:r>
              <w:rPr>
                <w:rFonts w:hint="eastAsia"/>
                <w:bCs/>
              </w:rPr>
              <w:t>毕业证书时间</w:t>
            </w:r>
          </w:p>
        </w:tc>
        <w:tc>
          <w:tcPr>
            <w:tcW w:w="1417" w:type="dxa"/>
            <w:vAlign w:val="center"/>
          </w:tcPr>
          <w:p w14:paraId="5806F0CA">
            <w:pPr>
              <w:adjustRightInd w:val="0"/>
              <w:jc w:val="center"/>
              <w:rPr>
                <w:bCs/>
              </w:rPr>
            </w:pPr>
            <w:r>
              <w:rPr>
                <w:rFonts w:hint="eastAsia"/>
                <w:bCs/>
              </w:rPr>
              <w:t>技术职称</w:t>
            </w:r>
          </w:p>
        </w:tc>
        <w:tc>
          <w:tcPr>
            <w:tcW w:w="930" w:type="dxa"/>
            <w:vAlign w:val="center"/>
          </w:tcPr>
          <w:p w14:paraId="103FBC1F">
            <w:pPr>
              <w:adjustRightInd w:val="0"/>
              <w:jc w:val="center"/>
              <w:rPr>
                <w:bCs/>
              </w:rPr>
            </w:pPr>
            <w:r>
              <w:rPr>
                <w:rFonts w:hint="eastAsia"/>
                <w:bCs/>
              </w:rPr>
              <w:t>备注</w:t>
            </w:r>
          </w:p>
        </w:tc>
      </w:tr>
      <w:tr w14:paraId="66357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1" w:type="dxa"/>
          </w:tcPr>
          <w:p w14:paraId="5611DD57">
            <w:pPr>
              <w:adjustRightInd w:val="0"/>
              <w:rPr>
                <w:bCs/>
              </w:rPr>
            </w:pPr>
          </w:p>
        </w:tc>
        <w:tc>
          <w:tcPr>
            <w:tcW w:w="1346" w:type="dxa"/>
          </w:tcPr>
          <w:p w14:paraId="21C2EAE0">
            <w:pPr>
              <w:adjustRightInd w:val="0"/>
              <w:rPr>
                <w:bCs/>
              </w:rPr>
            </w:pPr>
          </w:p>
        </w:tc>
        <w:tc>
          <w:tcPr>
            <w:tcW w:w="1417" w:type="dxa"/>
          </w:tcPr>
          <w:p w14:paraId="22F8B497">
            <w:pPr>
              <w:adjustRightInd w:val="0"/>
              <w:rPr>
                <w:bCs/>
              </w:rPr>
            </w:pPr>
          </w:p>
        </w:tc>
        <w:tc>
          <w:tcPr>
            <w:tcW w:w="952" w:type="dxa"/>
          </w:tcPr>
          <w:p w14:paraId="2CE4A89F">
            <w:pPr>
              <w:adjustRightInd w:val="0"/>
              <w:rPr>
                <w:bCs/>
              </w:rPr>
            </w:pPr>
          </w:p>
        </w:tc>
        <w:tc>
          <w:tcPr>
            <w:tcW w:w="1175" w:type="dxa"/>
          </w:tcPr>
          <w:p w14:paraId="62F0CB6E">
            <w:pPr>
              <w:adjustRightInd w:val="0"/>
              <w:rPr>
                <w:bCs/>
              </w:rPr>
            </w:pPr>
          </w:p>
        </w:tc>
        <w:tc>
          <w:tcPr>
            <w:tcW w:w="1134" w:type="dxa"/>
          </w:tcPr>
          <w:p w14:paraId="61250885">
            <w:pPr>
              <w:adjustRightInd w:val="0"/>
              <w:rPr>
                <w:bCs/>
              </w:rPr>
            </w:pPr>
          </w:p>
        </w:tc>
        <w:tc>
          <w:tcPr>
            <w:tcW w:w="1417" w:type="dxa"/>
          </w:tcPr>
          <w:p w14:paraId="7E46072A">
            <w:pPr>
              <w:adjustRightInd w:val="0"/>
              <w:rPr>
                <w:bCs/>
              </w:rPr>
            </w:pPr>
          </w:p>
        </w:tc>
        <w:tc>
          <w:tcPr>
            <w:tcW w:w="930" w:type="dxa"/>
          </w:tcPr>
          <w:p w14:paraId="74AA2F71">
            <w:pPr>
              <w:adjustRightInd w:val="0"/>
              <w:rPr>
                <w:bCs/>
              </w:rPr>
            </w:pPr>
          </w:p>
        </w:tc>
      </w:tr>
      <w:tr w14:paraId="0C6B2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1" w:type="dxa"/>
          </w:tcPr>
          <w:p w14:paraId="5D6473EC">
            <w:pPr>
              <w:adjustRightInd w:val="0"/>
              <w:rPr>
                <w:bCs/>
              </w:rPr>
            </w:pPr>
          </w:p>
        </w:tc>
        <w:tc>
          <w:tcPr>
            <w:tcW w:w="1346" w:type="dxa"/>
          </w:tcPr>
          <w:p w14:paraId="6E6D1773">
            <w:pPr>
              <w:adjustRightInd w:val="0"/>
              <w:rPr>
                <w:bCs/>
              </w:rPr>
            </w:pPr>
          </w:p>
        </w:tc>
        <w:tc>
          <w:tcPr>
            <w:tcW w:w="1417" w:type="dxa"/>
          </w:tcPr>
          <w:p w14:paraId="0B546661">
            <w:pPr>
              <w:adjustRightInd w:val="0"/>
              <w:rPr>
                <w:bCs/>
              </w:rPr>
            </w:pPr>
          </w:p>
        </w:tc>
        <w:tc>
          <w:tcPr>
            <w:tcW w:w="952" w:type="dxa"/>
          </w:tcPr>
          <w:p w14:paraId="6545DE7B">
            <w:pPr>
              <w:adjustRightInd w:val="0"/>
              <w:rPr>
                <w:bCs/>
              </w:rPr>
            </w:pPr>
          </w:p>
        </w:tc>
        <w:tc>
          <w:tcPr>
            <w:tcW w:w="1175" w:type="dxa"/>
          </w:tcPr>
          <w:p w14:paraId="3CBFA4AD">
            <w:pPr>
              <w:adjustRightInd w:val="0"/>
              <w:rPr>
                <w:bCs/>
              </w:rPr>
            </w:pPr>
          </w:p>
        </w:tc>
        <w:tc>
          <w:tcPr>
            <w:tcW w:w="1134" w:type="dxa"/>
          </w:tcPr>
          <w:p w14:paraId="78DAED7E">
            <w:pPr>
              <w:adjustRightInd w:val="0"/>
              <w:rPr>
                <w:bCs/>
              </w:rPr>
            </w:pPr>
          </w:p>
        </w:tc>
        <w:tc>
          <w:tcPr>
            <w:tcW w:w="1417" w:type="dxa"/>
          </w:tcPr>
          <w:p w14:paraId="067C2AF8">
            <w:pPr>
              <w:adjustRightInd w:val="0"/>
              <w:rPr>
                <w:bCs/>
              </w:rPr>
            </w:pPr>
          </w:p>
        </w:tc>
        <w:tc>
          <w:tcPr>
            <w:tcW w:w="930" w:type="dxa"/>
          </w:tcPr>
          <w:p w14:paraId="6B61C2A0">
            <w:pPr>
              <w:adjustRightInd w:val="0"/>
              <w:rPr>
                <w:bCs/>
              </w:rPr>
            </w:pPr>
          </w:p>
        </w:tc>
      </w:tr>
      <w:tr w14:paraId="37D8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1" w:type="dxa"/>
          </w:tcPr>
          <w:p w14:paraId="106DF23F">
            <w:pPr>
              <w:adjustRightInd w:val="0"/>
              <w:rPr>
                <w:bCs/>
              </w:rPr>
            </w:pPr>
          </w:p>
        </w:tc>
        <w:tc>
          <w:tcPr>
            <w:tcW w:w="1346" w:type="dxa"/>
          </w:tcPr>
          <w:p w14:paraId="7DCD7A25">
            <w:pPr>
              <w:adjustRightInd w:val="0"/>
              <w:rPr>
                <w:bCs/>
              </w:rPr>
            </w:pPr>
          </w:p>
        </w:tc>
        <w:tc>
          <w:tcPr>
            <w:tcW w:w="1417" w:type="dxa"/>
          </w:tcPr>
          <w:p w14:paraId="67E2030D">
            <w:pPr>
              <w:adjustRightInd w:val="0"/>
              <w:rPr>
                <w:bCs/>
              </w:rPr>
            </w:pPr>
          </w:p>
        </w:tc>
        <w:tc>
          <w:tcPr>
            <w:tcW w:w="952" w:type="dxa"/>
          </w:tcPr>
          <w:p w14:paraId="402651E5">
            <w:pPr>
              <w:adjustRightInd w:val="0"/>
              <w:rPr>
                <w:bCs/>
              </w:rPr>
            </w:pPr>
          </w:p>
        </w:tc>
        <w:tc>
          <w:tcPr>
            <w:tcW w:w="1175" w:type="dxa"/>
          </w:tcPr>
          <w:p w14:paraId="2D7EF062">
            <w:pPr>
              <w:adjustRightInd w:val="0"/>
              <w:rPr>
                <w:bCs/>
              </w:rPr>
            </w:pPr>
          </w:p>
        </w:tc>
        <w:tc>
          <w:tcPr>
            <w:tcW w:w="1134" w:type="dxa"/>
          </w:tcPr>
          <w:p w14:paraId="7F0BF7FA">
            <w:pPr>
              <w:adjustRightInd w:val="0"/>
              <w:rPr>
                <w:bCs/>
              </w:rPr>
            </w:pPr>
          </w:p>
        </w:tc>
        <w:tc>
          <w:tcPr>
            <w:tcW w:w="1417" w:type="dxa"/>
          </w:tcPr>
          <w:p w14:paraId="43156DB4">
            <w:pPr>
              <w:adjustRightInd w:val="0"/>
              <w:rPr>
                <w:bCs/>
              </w:rPr>
            </w:pPr>
          </w:p>
        </w:tc>
        <w:tc>
          <w:tcPr>
            <w:tcW w:w="930" w:type="dxa"/>
          </w:tcPr>
          <w:p w14:paraId="145419DC">
            <w:pPr>
              <w:adjustRightInd w:val="0"/>
              <w:rPr>
                <w:bCs/>
              </w:rPr>
            </w:pPr>
          </w:p>
        </w:tc>
      </w:tr>
      <w:tr w14:paraId="6CBF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1" w:type="dxa"/>
          </w:tcPr>
          <w:p w14:paraId="638113CF">
            <w:pPr>
              <w:adjustRightInd w:val="0"/>
              <w:rPr>
                <w:bCs/>
              </w:rPr>
            </w:pPr>
          </w:p>
        </w:tc>
        <w:tc>
          <w:tcPr>
            <w:tcW w:w="1346" w:type="dxa"/>
          </w:tcPr>
          <w:p w14:paraId="15D541BF">
            <w:pPr>
              <w:adjustRightInd w:val="0"/>
              <w:rPr>
                <w:bCs/>
              </w:rPr>
            </w:pPr>
          </w:p>
        </w:tc>
        <w:tc>
          <w:tcPr>
            <w:tcW w:w="1417" w:type="dxa"/>
          </w:tcPr>
          <w:p w14:paraId="7B282E24">
            <w:pPr>
              <w:adjustRightInd w:val="0"/>
              <w:rPr>
                <w:bCs/>
              </w:rPr>
            </w:pPr>
          </w:p>
        </w:tc>
        <w:tc>
          <w:tcPr>
            <w:tcW w:w="952" w:type="dxa"/>
          </w:tcPr>
          <w:p w14:paraId="1A76A462">
            <w:pPr>
              <w:adjustRightInd w:val="0"/>
              <w:rPr>
                <w:bCs/>
              </w:rPr>
            </w:pPr>
          </w:p>
        </w:tc>
        <w:tc>
          <w:tcPr>
            <w:tcW w:w="1175" w:type="dxa"/>
          </w:tcPr>
          <w:p w14:paraId="69337302">
            <w:pPr>
              <w:adjustRightInd w:val="0"/>
              <w:rPr>
                <w:bCs/>
              </w:rPr>
            </w:pPr>
          </w:p>
        </w:tc>
        <w:tc>
          <w:tcPr>
            <w:tcW w:w="1134" w:type="dxa"/>
          </w:tcPr>
          <w:p w14:paraId="0CF1A06A">
            <w:pPr>
              <w:adjustRightInd w:val="0"/>
              <w:rPr>
                <w:bCs/>
              </w:rPr>
            </w:pPr>
          </w:p>
        </w:tc>
        <w:tc>
          <w:tcPr>
            <w:tcW w:w="1417" w:type="dxa"/>
          </w:tcPr>
          <w:p w14:paraId="388F3590">
            <w:pPr>
              <w:adjustRightInd w:val="0"/>
              <w:rPr>
                <w:bCs/>
              </w:rPr>
            </w:pPr>
          </w:p>
        </w:tc>
        <w:tc>
          <w:tcPr>
            <w:tcW w:w="930" w:type="dxa"/>
          </w:tcPr>
          <w:p w14:paraId="0F1377D3">
            <w:pPr>
              <w:adjustRightInd w:val="0"/>
              <w:rPr>
                <w:bCs/>
              </w:rPr>
            </w:pPr>
          </w:p>
        </w:tc>
      </w:tr>
      <w:tr w14:paraId="1BC6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1" w:type="dxa"/>
          </w:tcPr>
          <w:p w14:paraId="02EC5FB2">
            <w:pPr>
              <w:adjustRightInd w:val="0"/>
              <w:rPr>
                <w:bCs/>
              </w:rPr>
            </w:pPr>
          </w:p>
        </w:tc>
        <w:tc>
          <w:tcPr>
            <w:tcW w:w="1346" w:type="dxa"/>
          </w:tcPr>
          <w:p w14:paraId="3D1A7BAB">
            <w:pPr>
              <w:adjustRightInd w:val="0"/>
              <w:rPr>
                <w:bCs/>
              </w:rPr>
            </w:pPr>
          </w:p>
        </w:tc>
        <w:tc>
          <w:tcPr>
            <w:tcW w:w="1417" w:type="dxa"/>
          </w:tcPr>
          <w:p w14:paraId="19974A52">
            <w:pPr>
              <w:adjustRightInd w:val="0"/>
              <w:rPr>
                <w:bCs/>
              </w:rPr>
            </w:pPr>
          </w:p>
        </w:tc>
        <w:tc>
          <w:tcPr>
            <w:tcW w:w="952" w:type="dxa"/>
          </w:tcPr>
          <w:p w14:paraId="4DB53E18">
            <w:pPr>
              <w:adjustRightInd w:val="0"/>
              <w:rPr>
                <w:bCs/>
              </w:rPr>
            </w:pPr>
          </w:p>
        </w:tc>
        <w:tc>
          <w:tcPr>
            <w:tcW w:w="1175" w:type="dxa"/>
          </w:tcPr>
          <w:p w14:paraId="107EA644">
            <w:pPr>
              <w:adjustRightInd w:val="0"/>
              <w:rPr>
                <w:bCs/>
              </w:rPr>
            </w:pPr>
          </w:p>
        </w:tc>
        <w:tc>
          <w:tcPr>
            <w:tcW w:w="1134" w:type="dxa"/>
          </w:tcPr>
          <w:p w14:paraId="6F17BC73">
            <w:pPr>
              <w:adjustRightInd w:val="0"/>
              <w:rPr>
                <w:bCs/>
              </w:rPr>
            </w:pPr>
          </w:p>
        </w:tc>
        <w:tc>
          <w:tcPr>
            <w:tcW w:w="1417" w:type="dxa"/>
          </w:tcPr>
          <w:p w14:paraId="50ED9CB6">
            <w:pPr>
              <w:adjustRightInd w:val="0"/>
              <w:rPr>
                <w:bCs/>
              </w:rPr>
            </w:pPr>
          </w:p>
        </w:tc>
        <w:tc>
          <w:tcPr>
            <w:tcW w:w="930" w:type="dxa"/>
          </w:tcPr>
          <w:p w14:paraId="31EC3282">
            <w:pPr>
              <w:adjustRightInd w:val="0"/>
              <w:rPr>
                <w:bCs/>
              </w:rPr>
            </w:pPr>
          </w:p>
        </w:tc>
      </w:tr>
      <w:tr w14:paraId="17F0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1" w:type="dxa"/>
          </w:tcPr>
          <w:p w14:paraId="49F7FDB7">
            <w:pPr>
              <w:adjustRightInd w:val="0"/>
              <w:rPr>
                <w:bCs/>
              </w:rPr>
            </w:pPr>
          </w:p>
        </w:tc>
        <w:tc>
          <w:tcPr>
            <w:tcW w:w="1346" w:type="dxa"/>
          </w:tcPr>
          <w:p w14:paraId="4B985824">
            <w:pPr>
              <w:adjustRightInd w:val="0"/>
              <w:rPr>
                <w:bCs/>
              </w:rPr>
            </w:pPr>
          </w:p>
        </w:tc>
        <w:tc>
          <w:tcPr>
            <w:tcW w:w="1417" w:type="dxa"/>
          </w:tcPr>
          <w:p w14:paraId="161EAB88">
            <w:pPr>
              <w:adjustRightInd w:val="0"/>
              <w:rPr>
                <w:bCs/>
              </w:rPr>
            </w:pPr>
          </w:p>
        </w:tc>
        <w:tc>
          <w:tcPr>
            <w:tcW w:w="952" w:type="dxa"/>
          </w:tcPr>
          <w:p w14:paraId="26093967">
            <w:pPr>
              <w:adjustRightInd w:val="0"/>
              <w:rPr>
                <w:bCs/>
              </w:rPr>
            </w:pPr>
          </w:p>
        </w:tc>
        <w:tc>
          <w:tcPr>
            <w:tcW w:w="1175" w:type="dxa"/>
          </w:tcPr>
          <w:p w14:paraId="793F059B">
            <w:pPr>
              <w:adjustRightInd w:val="0"/>
              <w:rPr>
                <w:bCs/>
              </w:rPr>
            </w:pPr>
          </w:p>
        </w:tc>
        <w:tc>
          <w:tcPr>
            <w:tcW w:w="1134" w:type="dxa"/>
          </w:tcPr>
          <w:p w14:paraId="40696923">
            <w:pPr>
              <w:adjustRightInd w:val="0"/>
              <w:rPr>
                <w:bCs/>
              </w:rPr>
            </w:pPr>
          </w:p>
        </w:tc>
        <w:tc>
          <w:tcPr>
            <w:tcW w:w="1417" w:type="dxa"/>
          </w:tcPr>
          <w:p w14:paraId="20D79BA6">
            <w:pPr>
              <w:adjustRightInd w:val="0"/>
              <w:rPr>
                <w:bCs/>
              </w:rPr>
            </w:pPr>
          </w:p>
        </w:tc>
        <w:tc>
          <w:tcPr>
            <w:tcW w:w="930" w:type="dxa"/>
          </w:tcPr>
          <w:p w14:paraId="07F49287">
            <w:pPr>
              <w:adjustRightInd w:val="0"/>
              <w:rPr>
                <w:bCs/>
              </w:rPr>
            </w:pPr>
          </w:p>
        </w:tc>
      </w:tr>
      <w:tr w14:paraId="7A59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1" w:type="dxa"/>
          </w:tcPr>
          <w:p w14:paraId="7C7AB02A">
            <w:pPr>
              <w:adjustRightInd w:val="0"/>
              <w:rPr>
                <w:bCs/>
              </w:rPr>
            </w:pPr>
          </w:p>
        </w:tc>
        <w:tc>
          <w:tcPr>
            <w:tcW w:w="1346" w:type="dxa"/>
          </w:tcPr>
          <w:p w14:paraId="6712DB4B">
            <w:pPr>
              <w:adjustRightInd w:val="0"/>
              <w:rPr>
                <w:bCs/>
              </w:rPr>
            </w:pPr>
          </w:p>
        </w:tc>
        <w:tc>
          <w:tcPr>
            <w:tcW w:w="1417" w:type="dxa"/>
          </w:tcPr>
          <w:p w14:paraId="553FF0E6">
            <w:pPr>
              <w:adjustRightInd w:val="0"/>
              <w:rPr>
                <w:bCs/>
              </w:rPr>
            </w:pPr>
          </w:p>
        </w:tc>
        <w:tc>
          <w:tcPr>
            <w:tcW w:w="952" w:type="dxa"/>
          </w:tcPr>
          <w:p w14:paraId="45BAFD8F">
            <w:pPr>
              <w:adjustRightInd w:val="0"/>
              <w:rPr>
                <w:bCs/>
              </w:rPr>
            </w:pPr>
          </w:p>
        </w:tc>
        <w:tc>
          <w:tcPr>
            <w:tcW w:w="1175" w:type="dxa"/>
          </w:tcPr>
          <w:p w14:paraId="0122DCE0">
            <w:pPr>
              <w:adjustRightInd w:val="0"/>
              <w:rPr>
                <w:bCs/>
              </w:rPr>
            </w:pPr>
          </w:p>
        </w:tc>
        <w:tc>
          <w:tcPr>
            <w:tcW w:w="1134" w:type="dxa"/>
          </w:tcPr>
          <w:p w14:paraId="00CBBE0B">
            <w:pPr>
              <w:adjustRightInd w:val="0"/>
              <w:rPr>
                <w:bCs/>
              </w:rPr>
            </w:pPr>
          </w:p>
        </w:tc>
        <w:tc>
          <w:tcPr>
            <w:tcW w:w="1417" w:type="dxa"/>
          </w:tcPr>
          <w:p w14:paraId="10929D95">
            <w:pPr>
              <w:adjustRightInd w:val="0"/>
              <w:rPr>
                <w:bCs/>
              </w:rPr>
            </w:pPr>
          </w:p>
        </w:tc>
        <w:tc>
          <w:tcPr>
            <w:tcW w:w="930" w:type="dxa"/>
          </w:tcPr>
          <w:p w14:paraId="6DD76F1B">
            <w:pPr>
              <w:adjustRightInd w:val="0"/>
              <w:rPr>
                <w:bCs/>
              </w:rPr>
            </w:pPr>
          </w:p>
        </w:tc>
      </w:tr>
      <w:tr w14:paraId="617F4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1" w:type="dxa"/>
          </w:tcPr>
          <w:p w14:paraId="3BEE37D8">
            <w:pPr>
              <w:adjustRightInd w:val="0"/>
              <w:rPr>
                <w:bCs/>
              </w:rPr>
            </w:pPr>
          </w:p>
        </w:tc>
        <w:tc>
          <w:tcPr>
            <w:tcW w:w="1346" w:type="dxa"/>
          </w:tcPr>
          <w:p w14:paraId="6BB06FCF">
            <w:pPr>
              <w:adjustRightInd w:val="0"/>
              <w:rPr>
                <w:bCs/>
              </w:rPr>
            </w:pPr>
          </w:p>
        </w:tc>
        <w:tc>
          <w:tcPr>
            <w:tcW w:w="1417" w:type="dxa"/>
          </w:tcPr>
          <w:p w14:paraId="27797E86">
            <w:pPr>
              <w:adjustRightInd w:val="0"/>
              <w:rPr>
                <w:bCs/>
              </w:rPr>
            </w:pPr>
          </w:p>
        </w:tc>
        <w:tc>
          <w:tcPr>
            <w:tcW w:w="952" w:type="dxa"/>
          </w:tcPr>
          <w:p w14:paraId="042E7A38">
            <w:pPr>
              <w:adjustRightInd w:val="0"/>
              <w:rPr>
                <w:bCs/>
              </w:rPr>
            </w:pPr>
          </w:p>
        </w:tc>
        <w:tc>
          <w:tcPr>
            <w:tcW w:w="1175" w:type="dxa"/>
          </w:tcPr>
          <w:p w14:paraId="6A8A3B87">
            <w:pPr>
              <w:adjustRightInd w:val="0"/>
              <w:rPr>
                <w:bCs/>
              </w:rPr>
            </w:pPr>
          </w:p>
        </w:tc>
        <w:tc>
          <w:tcPr>
            <w:tcW w:w="1134" w:type="dxa"/>
          </w:tcPr>
          <w:p w14:paraId="67F0B8FC">
            <w:pPr>
              <w:adjustRightInd w:val="0"/>
              <w:rPr>
                <w:bCs/>
              </w:rPr>
            </w:pPr>
          </w:p>
        </w:tc>
        <w:tc>
          <w:tcPr>
            <w:tcW w:w="1417" w:type="dxa"/>
          </w:tcPr>
          <w:p w14:paraId="340E37EA">
            <w:pPr>
              <w:adjustRightInd w:val="0"/>
              <w:rPr>
                <w:bCs/>
              </w:rPr>
            </w:pPr>
          </w:p>
        </w:tc>
        <w:tc>
          <w:tcPr>
            <w:tcW w:w="930" w:type="dxa"/>
          </w:tcPr>
          <w:p w14:paraId="7D485C47">
            <w:pPr>
              <w:adjustRightInd w:val="0"/>
              <w:rPr>
                <w:bCs/>
              </w:rPr>
            </w:pPr>
          </w:p>
        </w:tc>
      </w:tr>
    </w:tbl>
    <w:p w14:paraId="74668723">
      <w:pPr>
        <w:pStyle w:val="37"/>
        <w:ind w:firstLine="210"/>
        <w:rPr>
          <w:rFonts w:cs="宋体"/>
          <w:sz w:val="24"/>
        </w:rPr>
      </w:pPr>
      <w:r>
        <w:rPr>
          <w:rFonts w:hint="eastAsia" w:cs="宋体"/>
          <w:bCs/>
          <w:sz w:val="21"/>
          <w:szCs w:val="21"/>
        </w:rPr>
        <w:t>注：根据评分标准提供相关证明材料扫描件</w:t>
      </w:r>
    </w:p>
    <w:p w14:paraId="4D76CB27">
      <w:pPr>
        <w:snapToGrid w:val="0"/>
        <w:spacing w:before="50" w:after="50"/>
        <w:ind w:firstLine="560" w:firstLineChars="200"/>
        <w:rPr>
          <w:spacing w:val="20"/>
          <w:lang w:val="zh-CN"/>
        </w:rPr>
      </w:pPr>
    </w:p>
    <w:p w14:paraId="0DC55CDE">
      <w:pPr>
        <w:snapToGrid w:val="0"/>
        <w:spacing w:before="50" w:after="50"/>
        <w:ind w:firstLine="560" w:firstLineChars="200"/>
        <w:rPr>
          <w:spacing w:val="20"/>
        </w:rPr>
      </w:pPr>
    </w:p>
    <w:p w14:paraId="28E608E1">
      <w:pPr>
        <w:snapToGrid w:val="0"/>
        <w:spacing w:before="50" w:after="50"/>
        <w:ind w:firstLine="560" w:firstLineChars="200"/>
        <w:rPr>
          <w:spacing w:val="20"/>
        </w:rPr>
      </w:pPr>
    </w:p>
    <w:p w14:paraId="5A4DE6BD">
      <w:pPr>
        <w:snapToGrid w:val="0"/>
        <w:spacing w:before="50" w:after="50"/>
        <w:ind w:firstLine="480" w:firstLineChars="200"/>
        <w:rPr>
          <w:spacing w:val="20"/>
          <w:szCs w:val="20"/>
          <w:u w:val="single"/>
        </w:rPr>
      </w:pPr>
      <w:r>
        <w:rPr>
          <w:rFonts w:hint="eastAsia"/>
        </w:rPr>
        <w:t>法定代表人或其授权代理人签名</w:t>
      </w:r>
      <w:r>
        <w:rPr>
          <w:rFonts w:hint="eastAsia"/>
          <w:spacing w:val="20"/>
        </w:rPr>
        <w:t>：</w:t>
      </w:r>
      <w:r>
        <w:rPr>
          <w:spacing w:val="20"/>
          <w:u w:val="single"/>
        </w:rPr>
        <w:t xml:space="preserve">            </w:t>
      </w:r>
    </w:p>
    <w:p w14:paraId="5DAE655C">
      <w:pPr>
        <w:snapToGrid w:val="0"/>
        <w:spacing w:before="163" w:beforeLines="50" w:after="50"/>
        <w:ind w:firstLine="480" w:firstLineChars="200"/>
        <w:rPr>
          <w:spacing w:val="20"/>
        </w:rPr>
      </w:pPr>
      <w:r>
        <w:rPr>
          <w:rFonts w:hint="eastAsia"/>
        </w:rPr>
        <w:t>投标供应商盖章</w:t>
      </w:r>
      <w:r>
        <w:rPr>
          <w:rFonts w:hint="eastAsia"/>
          <w:spacing w:val="20"/>
        </w:rPr>
        <w:t>：</w:t>
      </w:r>
      <w:r>
        <w:rPr>
          <w:spacing w:val="20"/>
          <w:u w:val="single"/>
        </w:rPr>
        <w:t xml:space="preserve">            </w:t>
      </w:r>
      <w:r>
        <w:rPr>
          <w:spacing w:val="20"/>
        </w:rPr>
        <w:t xml:space="preserve">             </w:t>
      </w:r>
    </w:p>
    <w:p w14:paraId="0D21C652">
      <w:pPr>
        <w:snapToGrid w:val="0"/>
        <w:spacing w:before="163" w:beforeLines="50" w:after="50"/>
        <w:ind w:firstLine="560" w:firstLineChars="200"/>
        <w:rPr>
          <w:b/>
          <w:bCs/>
          <w:sz w:val="30"/>
          <w:szCs w:val="30"/>
        </w:rPr>
      </w:pPr>
      <w:r>
        <w:rPr>
          <w:rFonts w:hint="eastAsia"/>
          <w:spacing w:val="20"/>
        </w:rPr>
        <w:t>日</w:t>
      </w:r>
      <w:r>
        <w:rPr>
          <w:spacing w:val="20"/>
        </w:rPr>
        <w:t xml:space="preserve">  </w:t>
      </w:r>
      <w:r>
        <w:rPr>
          <w:rFonts w:hint="eastAsia"/>
          <w:spacing w:val="20"/>
        </w:rPr>
        <w:t>期：</w:t>
      </w:r>
      <w:r>
        <w:rPr>
          <w:spacing w:val="20"/>
          <w:u w:val="single"/>
        </w:rPr>
        <w:t xml:space="preserve">        </w:t>
      </w:r>
    </w:p>
    <w:p w14:paraId="0F93D533">
      <w:pPr>
        <w:widowControl/>
        <w:spacing w:line="240" w:lineRule="auto"/>
        <w:jc w:val="left"/>
      </w:pPr>
      <w:r>
        <w:br w:type="page"/>
      </w:r>
    </w:p>
    <w:p w14:paraId="0B552219">
      <w:pPr>
        <w:pStyle w:val="6"/>
        <w:spacing w:line="600" w:lineRule="exact"/>
        <w:ind w:firstLine="0"/>
        <w:jc w:val="center"/>
        <w:rPr>
          <w:rFonts w:ascii="宋体" w:hAnsi="宋体" w:eastAsia="宋体"/>
          <w:b/>
          <w:bCs/>
          <w:spacing w:val="24"/>
          <w:sz w:val="28"/>
          <w:szCs w:val="28"/>
        </w:rPr>
      </w:pPr>
      <w:r>
        <w:rPr>
          <w:rFonts w:hint="eastAsia" w:ascii="宋体" w:hAnsi="宋体" w:eastAsia="宋体"/>
          <w:b/>
          <w:bCs/>
          <w:spacing w:val="24"/>
          <w:sz w:val="28"/>
          <w:szCs w:val="28"/>
        </w:rPr>
        <w:t>企业业绩一览表</w:t>
      </w:r>
    </w:p>
    <w:p w14:paraId="4A6DD322">
      <w:r>
        <w:rPr>
          <w:rFonts w:hint="eastAsia"/>
        </w:rPr>
        <w:t>供应商全称（加盖公章）：</w:t>
      </w:r>
      <w:r>
        <w:t xml:space="preserve">        </w:t>
      </w:r>
      <w:r>
        <w:rPr>
          <w:rFonts w:hint="eastAsia"/>
        </w:rPr>
        <w:t xml:space="preserve">          </w:t>
      </w:r>
      <w:r>
        <w:t>项目编号：</w:t>
      </w:r>
    </w:p>
    <w:tbl>
      <w:tblPr>
        <w:tblStyle w:val="21"/>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502"/>
        <w:gridCol w:w="1559"/>
        <w:gridCol w:w="1276"/>
        <w:gridCol w:w="1275"/>
        <w:gridCol w:w="1927"/>
      </w:tblGrid>
      <w:tr w14:paraId="7571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52" w:type="dxa"/>
            <w:vAlign w:val="center"/>
          </w:tcPr>
          <w:p w14:paraId="7E202B53">
            <w:pPr>
              <w:jc w:val="center"/>
              <w:rPr>
                <w:bCs/>
              </w:rPr>
            </w:pPr>
            <w:r>
              <w:rPr>
                <w:rFonts w:hint="eastAsia"/>
                <w:bCs/>
              </w:rPr>
              <w:t>序号</w:t>
            </w:r>
          </w:p>
        </w:tc>
        <w:tc>
          <w:tcPr>
            <w:tcW w:w="1417" w:type="dxa"/>
            <w:vAlign w:val="center"/>
          </w:tcPr>
          <w:p w14:paraId="08BCC035">
            <w:pPr>
              <w:jc w:val="center"/>
              <w:rPr>
                <w:bCs/>
              </w:rPr>
            </w:pPr>
            <w:r>
              <w:rPr>
                <w:rFonts w:hint="eastAsia"/>
                <w:bCs/>
              </w:rPr>
              <w:t>项目名称</w:t>
            </w:r>
          </w:p>
        </w:tc>
        <w:tc>
          <w:tcPr>
            <w:tcW w:w="1502" w:type="dxa"/>
            <w:vAlign w:val="center"/>
          </w:tcPr>
          <w:p w14:paraId="46DC6454">
            <w:pPr>
              <w:jc w:val="center"/>
              <w:rPr>
                <w:bCs/>
              </w:rPr>
            </w:pPr>
            <w:r>
              <w:rPr>
                <w:rFonts w:hint="eastAsia"/>
                <w:bCs/>
              </w:rPr>
              <w:t>采购人</w:t>
            </w:r>
          </w:p>
        </w:tc>
        <w:tc>
          <w:tcPr>
            <w:tcW w:w="1559" w:type="dxa"/>
            <w:vAlign w:val="center"/>
          </w:tcPr>
          <w:p w14:paraId="5873EF20">
            <w:pPr>
              <w:jc w:val="center"/>
              <w:rPr>
                <w:bCs/>
              </w:rPr>
            </w:pPr>
            <w:r>
              <w:rPr>
                <w:rFonts w:hint="eastAsia"/>
                <w:bCs/>
              </w:rPr>
              <w:t>合同金额</w:t>
            </w:r>
          </w:p>
          <w:p w14:paraId="1757A3BC">
            <w:pPr>
              <w:jc w:val="center"/>
              <w:rPr>
                <w:bCs/>
              </w:rPr>
            </w:pPr>
            <w:r>
              <w:rPr>
                <w:rFonts w:hint="eastAsia"/>
                <w:bCs/>
              </w:rPr>
              <w:t>(人民币)</w:t>
            </w:r>
          </w:p>
        </w:tc>
        <w:tc>
          <w:tcPr>
            <w:tcW w:w="1276" w:type="dxa"/>
            <w:vAlign w:val="center"/>
          </w:tcPr>
          <w:p w14:paraId="008837C2">
            <w:pPr>
              <w:jc w:val="center"/>
              <w:rPr>
                <w:bCs/>
              </w:rPr>
            </w:pPr>
            <w:r>
              <w:rPr>
                <w:rFonts w:hint="eastAsia"/>
                <w:bCs/>
              </w:rPr>
              <w:t>合同主要内容</w:t>
            </w:r>
          </w:p>
        </w:tc>
        <w:tc>
          <w:tcPr>
            <w:tcW w:w="1275" w:type="dxa"/>
            <w:vAlign w:val="center"/>
          </w:tcPr>
          <w:p w14:paraId="043A18C7">
            <w:pPr>
              <w:jc w:val="center"/>
              <w:rPr>
                <w:bCs/>
              </w:rPr>
            </w:pPr>
            <w:r>
              <w:rPr>
                <w:rFonts w:hint="eastAsia"/>
                <w:bCs/>
              </w:rPr>
              <w:t>签订时间</w:t>
            </w:r>
          </w:p>
        </w:tc>
        <w:tc>
          <w:tcPr>
            <w:tcW w:w="1927" w:type="dxa"/>
            <w:vAlign w:val="center"/>
          </w:tcPr>
          <w:p w14:paraId="7AB98DF5">
            <w:pPr>
              <w:jc w:val="center"/>
              <w:rPr>
                <w:bCs/>
              </w:rPr>
            </w:pPr>
            <w:r>
              <w:rPr>
                <w:rFonts w:hint="eastAsia"/>
                <w:bCs/>
              </w:rPr>
              <w:t>使用方联系人及联系电话</w:t>
            </w:r>
          </w:p>
        </w:tc>
      </w:tr>
      <w:tr w14:paraId="4C84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62315393">
            <w:pPr>
              <w:jc w:val="center"/>
              <w:rPr>
                <w:bCs/>
              </w:rPr>
            </w:pPr>
          </w:p>
        </w:tc>
        <w:tc>
          <w:tcPr>
            <w:tcW w:w="1417" w:type="dxa"/>
            <w:vAlign w:val="center"/>
          </w:tcPr>
          <w:p w14:paraId="74051E7A">
            <w:pPr>
              <w:jc w:val="center"/>
              <w:rPr>
                <w:bCs/>
              </w:rPr>
            </w:pPr>
          </w:p>
        </w:tc>
        <w:tc>
          <w:tcPr>
            <w:tcW w:w="1502" w:type="dxa"/>
            <w:vAlign w:val="center"/>
          </w:tcPr>
          <w:p w14:paraId="5928A9A5">
            <w:pPr>
              <w:jc w:val="center"/>
              <w:rPr>
                <w:bCs/>
              </w:rPr>
            </w:pPr>
          </w:p>
        </w:tc>
        <w:tc>
          <w:tcPr>
            <w:tcW w:w="1559" w:type="dxa"/>
            <w:vAlign w:val="center"/>
          </w:tcPr>
          <w:p w14:paraId="43E65850">
            <w:pPr>
              <w:jc w:val="center"/>
              <w:rPr>
                <w:bCs/>
              </w:rPr>
            </w:pPr>
          </w:p>
        </w:tc>
        <w:tc>
          <w:tcPr>
            <w:tcW w:w="1276" w:type="dxa"/>
            <w:vAlign w:val="center"/>
          </w:tcPr>
          <w:p w14:paraId="12BD0D55">
            <w:pPr>
              <w:jc w:val="center"/>
              <w:rPr>
                <w:bCs/>
              </w:rPr>
            </w:pPr>
          </w:p>
        </w:tc>
        <w:tc>
          <w:tcPr>
            <w:tcW w:w="1275" w:type="dxa"/>
            <w:vAlign w:val="center"/>
          </w:tcPr>
          <w:p w14:paraId="3BC1A68C">
            <w:pPr>
              <w:jc w:val="center"/>
              <w:rPr>
                <w:bCs/>
              </w:rPr>
            </w:pPr>
          </w:p>
        </w:tc>
        <w:tc>
          <w:tcPr>
            <w:tcW w:w="1927" w:type="dxa"/>
            <w:vAlign w:val="center"/>
          </w:tcPr>
          <w:p w14:paraId="4ECE2B57">
            <w:pPr>
              <w:jc w:val="center"/>
              <w:rPr>
                <w:bCs/>
              </w:rPr>
            </w:pPr>
          </w:p>
        </w:tc>
      </w:tr>
      <w:tr w14:paraId="55BF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4D04B238">
            <w:pPr>
              <w:jc w:val="center"/>
              <w:rPr>
                <w:bCs/>
              </w:rPr>
            </w:pPr>
          </w:p>
        </w:tc>
        <w:tc>
          <w:tcPr>
            <w:tcW w:w="1417" w:type="dxa"/>
            <w:vAlign w:val="center"/>
          </w:tcPr>
          <w:p w14:paraId="72DDF4C0">
            <w:pPr>
              <w:jc w:val="center"/>
              <w:rPr>
                <w:bCs/>
              </w:rPr>
            </w:pPr>
          </w:p>
        </w:tc>
        <w:tc>
          <w:tcPr>
            <w:tcW w:w="1502" w:type="dxa"/>
            <w:vAlign w:val="center"/>
          </w:tcPr>
          <w:p w14:paraId="6EC0413D">
            <w:pPr>
              <w:jc w:val="center"/>
              <w:rPr>
                <w:bCs/>
              </w:rPr>
            </w:pPr>
          </w:p>
        </w:tc>
        <w:tc>
          <w:tcPr>
            <w:tcW w:w="1559" w:type="dxa"/>
            <w:vAlign w:val="center"/>
          </w:tcPr>
          <w:p w14:paraId="1A024000">
            <w:pPr>
              <w:jc w:val="center"/>
              <w:rPr>
                <w:bCs/>
              </w:rPr>
            </w:pPr>
          </w:p>
        </w:tc>
        <w:tc>
          <w:tcPr>
            <w:tcW w:w="1276" w:type="dxa"/>
            <w:vAlign w:val="center"/>
          </w:tcPr>
          <w:p w14:paraId="07652B2A">
            <w:pPr>
              <w:jc w:val="center"/>
              <w:rPr>
                <w:bCs/>
              </w:rPr>
            </w:pPr>
          </w:p>
        </w:tc>
        <w:tc>
          <w:tcPr>
            <w:tcW w:w="1275" w:type="dxa"/>
            <w:vAlign w:val="center"/>
          </w:tcPr>
          <w:p w14:paraId="326CAE1D">
            <w:pPr>
              <w:jc w:val="center"/>
              <w:rPr>
                <w:bCs/>
              </w:rPr>
            </w:pPr>
          </w:p>
        </w:tc>
        <w:tc>
          <w:tcPr>
            <w:tcW w:w="1927" w:type="dxa"/>
            <w:vAlign w:val="center"/>
          </w:tcPr>
          <w:p w14:paraId="76AB5716">
            <w:pPr>
              <w:jc w:val="center"/>
              <w:rPr>
                <w:bCs/>
              </w:rPr>
            </w:pPr>
          </w:p>
        </w:tc>
      </w:tr>
      <w:tr w14:paraId="4313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65FFB0C3">
            <w:pPr>
              <w:jc w:val="center"/>
              <w:rPr>
                <w:bCs/>
              </w:rPr>
            </w:pPr>
          </w:p>
        </w:tc>
        <w:tc>
          <w:tcPr>
            <w:tcW w:w="1417" w:type="dxa"/>
            <w:vAlign w:val="center"/>
          </w:tcPr>
          <w:p w14:paraId="733967E4">
            <w:pPr>
              <w:jc w:val="center"/>
              <w:rPr>
                <w:bCs/>
              </w:rPr>
            </w:pPr>
          </w:p>
        </w:tc>
        <w:tc>
          <w:tcPr>
            <w:tcW w:w="1502" w:type="dxa"/>
            <w:vAlign w:val="center"/>
          </w:tcPr>
          <w:p w14:paraId="7889724A">
            <w:pPr>
              <w:jc w:val="center"/>
              <w:rPr>
                <w:bCs/>
              </w:rPr>
            </w:pPr>
          </w:p>
        </w:tc>
        <w:tc>
          <w:tcPr>
            <w:tcW w:w="1559" w:type="dxa"/>
            <w:vAlign w:val="center"/>
          </w:tcPr>
          <w:p w14:paraId="5F486705">
            <w:pPr>
              <w:jc w:val="center"/>
              <w:rPr>
                <w:bCs/>
              </w:rPr>
            </w:pPr>
          </w:p>
        </w:tc>
        <w:tc>
          <w:tcPr>
            <w:tcW w:w="1276" w:type="dxa"/>
            <w:vAlign w:val="center"/>
          </w:tcPr>
          <w:p w14:paraId="38876BFF">
            <w:pPr>
              <w:jc w:val="center"/>
              <w:rPr>
                <w:bCs/>
              </w:rPr>
            </w:pPr>
          </w:p>
        </w:tc>
        <w:tc>
          <w:tcPr>
            <w:tcW w:w="1275" w:type="dxa"/>
            <w:vAlign w:val="center"/>
          </w:tcPr>
          <w:p w14:paraId="33924C8A">
            <w:pPr>
              <w:jc w:val="center"/>
              <w:rPr>
                <w:bCs/>
              </w:rPr>
            </w:pPr>
          </w:p>
        </w:tc>
        <w:tc>
          <w:tcPr>
            <w:tcW w:w="1927" w:type="dxa"/>
            <w:vAlign w:val="center"/>
          </w:tcPr>
          <w:p w14:paraId="3E3CFB80">
            <w:pPr>
              <w:jc w:val="center"/>
              <w:rPr>
                <w:bCs/>
              </w:rPr>
            </w:pPr>
          </w:p>
        </w:tc>
      </w:tr>
      <w:tr w14:paraId="3D52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3845F52E">
            <w:pPr>
              <w:jc w:val="center"/>
              <w:rPr>
                <w:bCs/>
              </w:rPr>
            </w:pPr>
          </w:p>
        </w:tc>
        <w:tc>
          <w:tcPr>
            <w:tcW w:w="1417" w:type="dxa"/>
            <w:vAlign w:val="center"/>
          </w:tcPr>
          <w:p w14:paraId="08E10E26">
            <w:pPr>
              <w:jc w:val="center"/>
              <w:rPr>
                <w:bCs/>
              </w:rPr>
            </w:pPr>
          </w:p>
        </w:tc>
        <w:tc>
          <w:tcPr>
            <w:tcW w:w="1502" w:type="dxa"/>
            <w:vAlign w:val="center"/>
          </w:tcPr>
          <w:p w14:paraId="5055E93D">
            <w:pPr>
              <w:jc w:val="center"/>
              <w:rPr>
                <w:bCs/>
              </w:rPr>
            </w:pPr>
          </w:p>
        </w:tc>
        <w:tc>
          <w:tcPr>
            <w:tcW w:w="1559" w:type="dxa"/>
            <w:vAlign w:val="center"/>
          </w:tcPr>
          <w:p w14:paraId="614E9914">
            <w:pPr>
              <w:jc w:val="center"/>
              <w:rPr>
                <w:bCs/>
              </w:rPr>
            </w:pPr>
          </w:p>
        </w:tc>
        <w:tc>
          <w:tcPr>
            <w:tcW w:w="1276" w:type="dxa"/>
            <w:vAlign w:val="center"/>
          </w:tcPr>
          <w:p w14:paraId="6A046A4A">
            <w:pPr>
              <w:jc w:val="center"/>
              <w:rPr>
                <w:bCs/>
              </w:rPr>
            </w:pPr>
          </w:p>
        </w:tc>
        <w:tc>
          <w:tcPr>
            <w:tcW w:w="1275" w:type="dxa"/>
            <w:vAlign w:val="center"/>
          </w:tcPr>
          <w:p w14:paraId="07E6B09F">
            <w:pPr>
              <w:jc w:val="center"/>
              <w:rPr>
                <w:bCs/>
              </w:rPr>
            </w:pPr>
          </w:p>
        </w:tc>
        <w:tc>
          <w:tcPr>
            <w:tcW w:w="1927" w:type="dxa"/>
            <w:vAlign w:val="center"/>
          </w:tcPr>
          <w:p w14:paraId="22285A09">
            <w:pPr>
              <w:jc w:val="center"/>
              <w:rPr>
                <w:bCs/>
              </w:rPr>
            </w:pPr>
          </w:p>
        </w:tc>
      </w:tr>
      <w:tr w14:paraId="5497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5329D24F">
            <w:pPr>
              <w:jc w:val="center"/>
              <w:rPr>
                <w:bCs/>
              </w:rPr>
            </w:pPr>
          </w:p>
        </w:tc>
        <w:tc>
          <w:tcPr>
            <w:tcW w:w="1417" w:type="dxa"/>
            <w:vAlign w:val="center"/>
          </w:tcPr>
          <w:p w14:paraId="463297D4">
            <w:pPr>
              <w:jc w:val="center"/>
              <w:rPr>
                <w:bCs/>
              </w:rPr>
            </w:pPr>
          </w:p>
        </w:tc>
        <w:tc>
          <w:tcPr>
            <w:tcW w:w="1502" w:type="dxa"/>
            <w:vAlign w:val="center"/>
          </w:tcPr>
          <w:p w14:paraId="1560665F">
            <w:pPr>
              <w:jc w:val="center"/>
              <w:rPr>
                <w:bCs/>
              </w:rPr>
            </w:pPr>
          </w:p>
        </w:tc>
        <w:tc>
          <w:tcPr>
            <w:tcW w:w="1559" w:type="dxa"/>
            <w:vAlign w:val="center"/>
          </w:tcPr>
          <w:p w14:paraId="0AB99164">
            <w:pPr>
              <w:jc w:val="center"/>
              <w:rPr>
                <w:bCs/>
              </w:rPr>
            </w:pPr>
          </w:p>
        </w:tc>
        <w:tc>
          <w:tcPr>
            <w:tcW w:w="1276" w:type="dxa"/>
            <w:vAlign w:val="center"/>
          </w:tcPr>
          <w:p w14:paraId="52C0130D">
            <w:pPr>
              <w:jc w:val="center"/>
              <w:rPr>
                <w:bCs/>
              </w:rPr>
            </w:pPr>
          </w:p>
        </w:tc>
        <w:tc>
          <w:tcPr>
            <w:tcW w:w="1275" w:type="dxa"/>
            <w:vAlign w:val="center"/>
          </w:tcPr>
          <w:p w14:paraId="3807E5C7">
            <w:pPr>
              <w:jc w:val="center"/>
              <w:rPr>
                <w:bCs/>
              </w:rPr>
            </w:pPr>
          </w:p>
        </w:tc>
        <w:tc>
          <w:tcPr>
            <w:tcW w:w="1927" w:type="dxa"/>
            <w:vAlign w:val="center"/>
          </w:tcPr>
          <w:p w14:paraId="26CD7005">
            <w:pPr>
              <w:jc w:val="center"/>
              <w:rPr>
                <w:bCs/>
              </w:rPr>
            </w:pPr>
          </w:p>
        </w:tc>
      </w:tr>
      <w:tr w14:paraId="4499B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385CA643">
            <w:pPr>
              <w:jc w:val="center"/>
              <w:rPr>
                <w:bCs/>
              </w:rPr>
            </w:pPr>
          </w:p>
        </w:tc>
        <w:tc>
          <w:tcPr>
            <w:tcW w:w="1417" w:type="dxa"/>
            <w:vAlign w:val="center"/>
          </w:tcPr>
          <w:p w14:paraId="7458CF59">
            <w:pPr>
              <w:jc w:val="center"/>
              <w:rPr>
                <w:bCs/>
              </w:rPr>
            </w:pPr>
          </w:p>
        </w:tc>
        <w:tc>
          <w:tcPr>
            <w:tcW w:w="1502" w:type="dxa"/>
            <w:vAlign w:val="center"/>
          </w:tcPr>
          <w:p w14:paraId="66FB8EC7">
            <w:pPr>
              <w:jc w:val="center"/>
              <w:rPr>
                <w:bCs/>
              </w:rPr>
            </w:pPr>
          </w:p>
        </w:tc>
        <w:tc>
          <w:tcPr>
            <w:tcW w:w="1559" w:type="dxa"/>
            <w:vAlign w:val="center"/>
          </w:tcPr>
          <w:p w14:paraId="47383571">
            <w:pPr>
              <w:jc w:val="center"/>
              <w:rPr>
                <w:bCs/>
              </w:rPr>
            </w:pPr>
          </w:p>
        </w:tc>
        <w:tc>
          <w:tcPr>
            <w:tcW w:w="1276" w:type="dxa"/>
            <w:vAlign w:val="center"/>
          </w:tcPr>
          <w:p w14:paraId="6A6B04E1">
            <w:pPr>
              <w:jc w:val="center"/>
              <w:rPr>
                <w:bCs/>
              </w:rPr>
            </w:pPr>
          </w:p>
        </w:tc>
        <w:tc>
          <w:tcPr>
            <w:tcW w:w="1275" w:type="dxa"/>
            <w:vAlign w:val="center"/>
          </w:tcPr>
          <w:p w14:paraId="3DDEB31F">
            <w:pPr>
              <w:jc w:val="center"/>
              <w:rPr>
                <w:bCs/>
              </w:rPr>
            </w:pPr>
          </w:p>
        </w:tc>
        <w:tc>
          <w:tcPr>
            <w:tcW w:w="1927" w:type="dxa"/>
            <w:vAlign w:val="center"/>
          </w:tcPr>
          <w:p w14:paraId="6353EA3E">
            <w:pPr>
              <w:jc w:val="center"/>
              <w:rPr>
                <w:bCs/>
              </w:rPr>
            </w:pPr>
          </w:p>
        </w:tc>
      </w:tr>
      <w:tr w14:paraId="6FF7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62458158">
            <w:pPr>
              <w:jc w:val="center"/>
              <w:rPr>
                <w:bCs/>
              </w:rPr>
            </w:pPr>
          </w:p>
        </w:tc>
        <w:tc>
          <w:tcPr>
            <w:tcW w:w="1417" w:type="dxa"/>
            <w:vAlign w:val="center"/>
          </w:tcPr>
          <w:p w14:paraId="3A234728">
            <w:pPr>
              <w:jc w:val="center"/>
              <w:rPr>
                <w:bCs/>
              </w:rPr>
            </w:pPr>
          </w:p>
        </w:tc>
        <w:tc>
          <w:tcPr>
            <w:tcW w:w="1502" w:type="dxa"/>
            <w:vAlign w:val="center"/>
          </w:tcPr>
          <w:p w14:paraId="5C945B49">
            <w:pPr>
              <w:jc w:val="center"/>
              <w:rPr>
                <w:bCs/>
              </w:rPr>
            </w:pPr>
          </w:p>
        </w:tc>
        <w:tc>
          <w:tcPr>
            <w:tcW w:w="1559" w:type="dxa"/>
            <w:vAlign w:val="center"/>
          </w:tcPr>
          <w:p w14:paraId="2554B202">
            <w:pPr>
              <w:jc w:val="center"/>
              <w:rPr>
                <w:bCs/>
              </w:rPr>
            </w:pPr>
          </w:p>
        </w:tc>
        <w:tc>
          <w:tcPr>
            <w:tcW w:w="1276" w:type="dxa"/>
            <w:vAlign w:val="center"/>
          </w:tcPr>
          <w:p w14:paraId="2EEC6B02">
            <w:pPr>
              <w:jc w:val="center"/>
              <w:rPr>
                <w:bCs/>
              </w:rPr>
            </w:pPr>
          </w:p>
        </w:tc>
        <w:tc>
          <w:tcPr>
            <w:tcW w:w="1275" w:type="dxa"/>
            <w:vAlign w:val="center"/>
          </w:tcPr>
          <w:p w14:paraId="4D73C548">
            <w:pPr>
              <w:jc w:val="center"/>
              <w:rPr>
                <w:bCs/>
              </w:rPr>
            </w:pPr>
          </w:p>
        </w:tc>
        <w:tc>
          <w:tcPr>
            <w:tcW w:w="1927" w:type="dxa"/>
            <w:vAlign w:val="center"/>
          </w:tcPr>
          <w:p w14:paraId="05D14BE1">
            <w:pPr>
              <w:jc w:val="center"/>
              <w:rPr>
                <w:bCs/>
              </w:rPr>
            </w:pPr>
          </w:p>
        </w:tc>
      </w:tr>
      <w:tr w14:paraId="7FA5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370BCCB1">
            <w:pPr>
              <w:jc w:val="center"/>
              <w:rPr>
                <w:bCs/>
              </w:rPr>
            </w:pPr>
          </w:p>
        </w:tc>
        <w:tc>
          <w:tcPr>
            <w:tcW w:w="1417" w:type="dxa"/>
            <w:vAlign w:val="center"/>
          </w:tcPr>
          <w:p w14:paraId="64974DA5">
            <w:pPr>
              <w:jc w:val="center"/>
              <w:rPr>
                <w:bCs/>
              </w:rPr>
            </w:pPr>
          </w:p>
        </w:tc>
        <w:tc>
          <w:tcPr>
            <w:tcW w:w="1502" w:type="dxa"/>
            <w:vAlign w:val="center"/>
          </w:tcPr>
          <w:p w14:paraId="19ECE442">
            <w:pPr>
              <w:jc w:val="center"/>
              <w:rPr>
                <w:bCs/>
              </w:rPr>
            </w:pPr>
          </w:p>
        </w:tc>
        <w:tc>
          <w:tcPr>
            <w:tcW w:w="1559" w:type="dxa"/>
            <w:vAlign w:val="center"/>
          </w:tcPr>
          <w:p w14:paraId="438F4949">
            <w:pPr>
              <w:jc w:val="center"/>
              <w:rPr>
                <w:bCs/>
              </w:rPr>
            </w:pPr>
          </w:p>
        </w:tc>
        <w:tc>
          <w:tcPr>
            <w:tcW w:w="1276" w:type="dxa"/>
            <w:vAlign w:val="center"/>
          </w:tcPr>
          <w:p w14:paraId="1FB6AD20">
            <w:pPr>
              <w:jc w:val="center"/>
              <w:rPr>
                <w:bCs/>
              </w:rPr>
            </w:pPr>
          </w:p>
        </w:tc>
        <w:tc>
          <w:tcPr>
            <w:tcW w:w="1275" w:type="dxa"/>
            <w:vAlign w:val="center"/>
          </w:tcPr>
          <w:p w14:paraId="0C180E9F">
            <w:pPr>
              <w:jc w:val="center"/>
              <w:rPr>
                <w:bCs/>
              </w:rPr>
            </w:pPr>
          </w:p>
        </w:tc>
        <w:tc>
          <w:tcPr>
            <w:tcW w:w="1927" w:type="dxa"/>
            <w:vAlign w:val="center"/>
          </w:tcPr>
          <w:p w14:paraId="10CC8B52">
            <w:pPr>
              <w:jc w:val="center"/>
              <w:rPr>
                <w:bCs/>
              </w:rPr>
            </w:pPr>
          </w:p>
        </w:tc>
      </w:tr>
      <w:tr w14:paraId="4400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420DF5F4">
            <w:pPr>
              <w:jc w:val="center"/>
              <w:rPr>
                <w:bCs/>
              </w:rPr>
            </w:pPr>
          </w:p>
        </w:tc>
        <w:tc>
          <w:tcPr>
            <w:tcW w:w="1417" w:type="dxa"/>
            <w:vAlign w:val="center"/>
          </w:tcPr>
          <w:p w14:paraId="06A2D75A">
            <w:pPr>
              <w:jc w:val="center"/>
              <w:rPr>
                <w:bCs/>
              </w:rPr>
            </w:pPr>
          </w:p>
        </w:tc>
        <w:tc>
          <w:tcPr>
            <w:tcW w:w="1502" w:type="dxa"/>
            <w:vAlign w:val="center"/>
          </w:tcPr>
          <w:p w14:paraId="72E65205">
            <w:pPr>
              <w:jc w:val="center"/>
              <w:rPr>
                <w:bCs/>
              </w:rPr>
            </w:pPr>
          </w:p>
        </w:tc>
        <w:tc>
          <w:tcPr>
            <w:tcW w:w="1559" w:type="dxa"/>
            <w:vAlign w:val="center"/>
          </w:tcPr>
          <w:p w14:paraId="30FC70A8">
            <w:pPr>
              <w:jc w:val="center"/>
              <w:rPr>
                <w:bCs/>
              </w:rPr>
            </w:pPr>
          </w:p>
        </w:tc>
        <w:tc>
          <w:tcPr>
            <w:tcW w:w="1276" w:type="dxa"/>
            <w:vAlign w:val="center"/>
          </w:tcPr>
          <w:p w14:paraId="768C1CB7">
            <w:pPr>
              <w:jc w:val="center"/>
              <w:rPr>
                <w:bCs/>
              </w:rPr>
            </w:pPr>
          </w:p>
        </w:tc>
        <w:tc>
          <w:tcPr>
            <w:tcW w:w="1275" w:type="dxa"/>
            <w:vAlign w:val="center"/>
          </w:tcPr>
          <w:p w14:paraId="291A0EEF">
            <w:pPr>
              <w:jc w:val="center"/>
              <w:rPr>
                <w:bCs/>
              </w:rPr>
            </w:pPr>
          </w:p>
        </w:tc>
        <w:tc>
          <w:tcPr>
            <w:tcW w:w="1927" w:type="dxa"/>
            <w:vAlign w:val="center"/>
          </w:tcPr>
          <w:p w14:paraId="5FE627C0">
            <w:pPr>
              <w:jc w:val="center"/>
              <w:rPr>
                <w:bCs/>
              </w:rPr>
            </w:pPr>
          </w:p>
        </w:tc>
      </w:tr>
    </w:tbl>
    <w:p w14:paraId="0236AF14"/>
    <w:p w14:paraId="3FD2E30D">
      <w:r>
        <w:rPr>
          <w:rFonts w:hint="eastAsia"/>
        </w:rPr>
        <w:t>注：此表仅提供了表格形式，供应商应根据需要准备足够数量的表格来填写。</w:t>
      </w:r>
    </w:p>
    <w:p w14:paraId="54DF32C4"/>
    <w:p w14:paraId="181B419D">
      <w:r>
        <w:rPr>
          <w:rFonts w:hint="eastAsia"/>
        </w:rPr>
        <w:t>法定代表人或其授权代理人</w:t>
      </w:r>
      <w:r>
        <w:rPr>
          <w:rFonts w:hint="eastAsia" w:cs="宋体"/>
        </w:rPr>
        <w:t>（签字或盖章）</w:t>
      </w:r>
      <w:r>
        <w:rPr>
          <w:rFonts w:hint="eastAsia"/>
        </w:rPr>
        <w:t>：</w:t>
      </w:r>
      <w:r>
        <w:rPr>
          <w:rFonts w:hint="eastAsia"/>
          <w:u w:val="single"/>
        </w:rPr>
        <w:t xml:space="preserve">                     </w:t>
      </w:r>
    </w:p>
    <w:p w14:paraId="49871168">
      <w:pPr>
        <w:rPr>
          <w:rFonts w:cs="宋体"/>
        </w:rPr>
      </w:pPr>
      <w:r>
        <w:rPr>
          <w:rFonts w:hint="eastAsia"/>
        </w:rPr>
        <w:t>投标供应商</w:t>
      </w:r>
      <w:r>
        <w:rPr>
          <w:rFonts w:hint="eastAsia" w:cs="宋体"/>
        </w:rPr>
        <w:t>公章：</w:t>
      </w:r>
      <w:r>
        <w:rPr>
          <w:rFonts w:hint="eastAsia" w:cs="宋体"/>
          <w:u w:val="single"/>
        </w:rPr>
        <w:t xml:space="preserve">               </w:t>
      </w:r>
      <w:r>
        <w:rPr>
          <w:rFonts w:hint="eastAsia" w:cs="宋体"/>
        </w:rPr>
        <w:t xml:space="preserve">                      </w:t>
      </w:r>
    </w:p>
    <w:p w14:paraId="7A6F6738">
      <w:pPr>
        <w:ind w:firstLine="5760" w:firstLineChars="2400"/>
        <w:rPr>
          <w:rFonts w:cs="宋体"/>
        </w:rPr>
      </w:pPr>
      <w:r>
        <w:rPr>
          <w:rFonts w:hint="eastAsia" w:cs="宋体"/>
        </w:rPr>
        <w:t>年    月    日</w:t>
      </w:r>
    </w:p>
    <w:p w14:paraId="034EE72A">
      <w:pPr>
        <w:widowControl/>
        <w:spacing w:line="240" w:lineRule="auto"/>
        <w:jc w:val="left"/>
      </w:pPr>
      <w:r>
        <w:br w:type="page"/>
      </w:r>
    </w:p>
    <w:p w14:paraId="350BE42C">
      <w:pPr>
        <w:pStyle w:val="16"/>
        <w:spacing w:line="500" w:lineRule="exact"/>
        <w:ind w:left="0" w:leftChars="0"/>
        <w:jc w:val="center"/>
        <w:rPr>
          <w:rFonts w:cs="宋体"/>
          <w:b/>
          <w:sz w:val="28"/>
          <w:szCs w:val="28"/>
        </w:rPr>
      </w:pPr>
      <w:r>
        <w:rPr>
          <w:rFonts w:hint="eastAsia" w:cs="宋体"/>
          <w:b/>
          <w:sz w:val="28"/>
          <w:szCs w:val="28"/>
        </w:rPr>
        <w:t>商务响应表</w:t>
      </w:r>
    </w:p>
    <w:tbl>
      <w:tblPr>
        <w:tblStyle w:val="21"/>
        <w:tblW w:w="9100" w:type="dxa"/>
        <w:tblInd w:w="-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9"/>
        <w:gridCol w:w="4846"/>
        <w:gridCol w:w="1276"/>
        <w:gridCol w:w="1559"/>
      </w:tblGrid>
      <w:tr w14:paraId="4B75D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19" w:type="dxa"/>
            <w:tcBorders>
              <w:top w:val="single" w:color="auto" w:sz="4" w:space="0"/>
              <w:left w:val="single" w:color="auto" w:sz="4" w:space="0"/>
              <w:bottom w:val="single" w:color="auto" w:sz="4" w:space="0"/>
              <w:right w:val="single" w:color="auto" w:sz="4" w:space="0"/>
            </w:tcBorders>
            <w:vAlign w:val="center"/>
          </w:tcPr>
          <w:p w14:paraId="3BAA0176">
            <w:pPr>
              <w:wordWrap w:val="0"/>
              <w:snapToGrid w:val="0"/>
              <w:spacing w:before="163" w:beforeLines="50"/>
              <w:jc w:val="center"/>
              <w:rPr>
                <w:rFonts w:cs="宋体"/>
                <w:szCs w:val="20"/>
              </w:rPr>
            </w:pPr>
            <w:r>
              <w:rPr>
                <w:rFonts w:hint="eastAsia" w:cs="宋体"/>
              </w:rPr>
              <w:t>项目</w:t>
            </w:r>
          </w:p>
        </w:tc>
        <w:tc>
          <w:tcPr>
            <w:tcW w:w="4846" w:type="dxa"/>
            <w:tcBorders>
              <w:top w:val="single" w:color="auto" w:sz="4" w:space="0"/>
              <w:left w:val="single" w:color="auto" w:sz="4" w:space="0"/>
              <w:bottom w:val="single" w:color="auto" w:sz="4" w:space="0"/>
              <w:right w:val="single" w:color="auto" w:sz="4" w:space="0"/>
            </w:tcBorders>
            <w:vAlign w:val="center"/>
          </w:tcPr>
          <w:p w14:paraId="3C05AE3C">
            <w:pPr>
              <w:wordWrap w:val="0"/>
              <w:snapToGrid w:val="0"/>
              <w:spacing w:before="163" w:beforeLines="50"/>
              <w:jc w:val="center"/>
              <w:rPr>
                <w:rFonts w:cs="宋体"/>
                <w:szCs w:val="20"/>
              </w:rPr>
            </w:pPr>
            <w:r>
              <w:rPr>
                <w:rFonts w:hint="eastAsia" w:cs="宋体"/>
              </w:rPr>
              <w:t>采购文件要求</w:t>
            </w:r>
          </w:p>
        </w:tc>
        <w:tc>
          <w:tcPr>
            <w:tcW w:w="1276" w:type="dxa"/>
            <w:tcBorders>
              <w:top w:val="single" w:color="auto" w:sz="4" w:space="0"/>
              <w:left w:val="single" w:color="auto" w:sz="4" w:space="0"/>
              <w:bottom w:val="single" w:color="auto" w:sz="4" w:space="0"/>
              <w:right w:val="single" w:color="auto" w:sz="4" w:space="0"/>
            </w:tcBorders>
            <w:vAlign w:val="center"/>
          </w:tcPr>
          <w:p w14:paraId="4342EA61">
            <w:pPr>
              <w:wordWrap w:val="0"/>
              <w:snapToGrid w:val="0"/>
              <w:spacing w:before="163" w:beforeLines="50"/>
              <w:jc w:val="center"/>
              <w:rPr>
                <w:rFonts w:cs="宋体"/>
                <w:szCs w:val="20"/>
              </w:rPr>
            </w:pPr>
            <w:r>
              <w:rPr>
                <w:rFonts w:hint="eastAsia" w:cs="宋体"/>
              </w:rPr>
              <w:t>是否响应</w:t>
            </w:r>
          </w:p>
        </w:tc>
        <w:tc>
          <w:tcPr>
            <w:tcW w:w="1559" w:type="dxa"/>
            <w:tcBorders>
              <w:top w:val="single" w:color="auto" w:sz="4" w:space="0"/>
              <w:left w:val="single" w:color="auto" w:sz="4" w:space="0"/>
              <w:bottom w:val="single" w:color="auto" w:sz="4" w:space="0"/>
              <w:right w:val="single" w:color="auto" w:sz="4" w:space="0"/>
            </w:tcBorders>
          </w:tcPr>
          <w:p w14:paraId="1308AAF4">
            <w:pPr>
              <w:wordWrap w:val="0"/>
              <w:snapToGrid w:val="0"/>
              <w:spacing w:before="163" w:beforeLines="50"/>
              <w:jc w:val="center"/>
              <w:rPr>
                <w:rFonts w:cs="宋体"/>
              </w:rPr>
            </w:pPr>
            <w:r>
              <w:rPr>
                <w:rFonts w:hint="eastAsia" w:cs="宋体"/>
              </w:rPr>
              <w:t>供应商的承诺或说明</w:t>
            </w:r>
          </w:p>
        </w:tc>
      </w:tr>
      <w:tr w14:paraId="285FE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19" w:type="dxa"/>
            <w:tcBorders>
              <w:top w:val="single" w:color="auto" w:sz="4" w:space="0"/>
              <w:left w:val="single" w:color="auto" w:sz="4" w:space="0"/>
              <w:bottom w:val="single" w:color="auto" w:sz="4" w:space="0"/>
              <w:right w:val="single" w:color="auto" w:sz="4" w:space="0"/>
            </w:tcBorders>
            <w:vAlign w:val="center"/>
          </w:tcPr>
          <w:p w14:paraId="1B113406">
            <w:pPr>
              <w:wordWrap w:val="0"/>
              <w:snapToGrid w:val="0"/>
              <w:spacing w:before="163" w:beforeLines="50"/>
              <w:jc w:val="center"/>
              <w:rPr>
                <w:rFonts w:cs="宋体"/>
                <w:szCs w:val="20"/>
              </w:rPr>
            </w:pPr>
            <w:r>
              <w:rPr>
                <w:rFonts w:hint="eastAsia" w:cs="宋体"/>
              </w:rPr>
              <w:t>服务期限</w:t>
            </w:r>
          </w:p>
        </w:tc>
        <w:tc>
          <w:tcPr>
            <w:tcW w:w="4846" w:type="dxa"/>
            <w:tcBorders>
              <w:top w:val="single" w:color="auto" w:sz="4" w:space="0"/>
              <w:left w:val="single" w:color="auto" w:sz="4" w:space="0"/>
              <w:bottom w:val="single" w:color="auto" w:sz="4" w:space="0"/>
              <w:right w:val="single" w:color="auto" w:sz="4" w:space="0"/>
            </w:tcBorders>
            <w:vAlign w:val="center"/>
          </w:tcPr>
          <w:p w14:paraId="7A2C979F">
            <w:pPr>
              <w:snapToGrid w:val="0"/>
              <w:spacing w:line="320" w:lineRule="exact"/>
              <w:jc w:val="center"/>
              <w:rPr>
                <w:rFonts w:cs="宋体"/>
              </w:rPr>
            </w:pPr>
          </w:p>
        </w:tc>
        <w:tc>
          <w:tcPr>
            <w:tcW w:w="1276" w:type="dxa"/>
            <w:tcBorders>
              <w:top w:val="single" w:color="auto" w:sz="4" w:space="0"/>
              <w:left w:val="single" w:color="auto" w:sz="4" w:space="0"/>
              <w:bottom w:val="single" w:color="auto" w:sz="4" w:space="0"/>
              <w:right w:val="single" w:color="auto" w:sz="4" w:space="0"/>
            </w:tcBorders>
          </w:tcPr>
          <w:p w14:paraId="7567234D">
            <w:pPr>
              <w:wordWrap w:val="0"/>
              <w:snapToGrid w:val="0"/>
              <w:spacing w:before="163" w:beforeLines="50"/>
              <w:rPr>
                <w:rFonts w:cs="宋体"/>
                <w:szCs w:val="20"/>
              </w:rPr>
            </w:pPr>
          </w:p>
        </w:tc>
        <w:tc>
          <w:tcPr>
            <w:tcW w:w="1559" w:type="dxa"/>
            <w:tcBorders>
              <w:top w:val="single" w:color="auto" w:sz="4" w:space="0"/>
              <w:left w:val="single" w:color="auto" w:sz="4" w:space="0"/>
              <w:bottom w:val="single" w:color="auto" w:sz="4" w:space="0"/>
              <w:right w:val="single" w:color="auto" w:sz="4" w:space="0"/>
            </w:tcBorders>
          </w:tcPr>
          <w:p w14:paraId="1CB1B007">
            <w:pPr>
              <w:wordWrap w:val="0"/>
              <w:snapToGrid w:val="0"/>
              <w:spacing w:before="163" w:beforeLines="50"/>
              <w:rPr>
                <w:rFonts w:cs="宋体"/>
                <w:szCs w:val="20"/>
              </w:rPr>
            </w:pPr>
          </w:p>
        </w:tc>
      </w:tr>
      <w:tr w14:paraId="3157DA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19" w:type="dxa"/>
            <w:tcBorders>
              <w:top w:val="single" w:color="auto" w:sz="4" w:space="0"/>
              <w:left w:val="single" w:color="auto" w:sz="4" w:space="0"/>
              <w:bottom w:val="single" w:color="auto" w:sz="4" w:space="0"/>
              <w:right w:val="single" w:color="auto" w:sz="4" w:space="0"/>
            </w:tcBorders>
            <w:vAlign w:val="center"/>
          </w:tcPr>
          <w:p w14:paraId="258134E2">
            <w:pPr>
              <w:wordWrap w:val="0"/>
              <w:snapToGrid w:val="0"/>
              <w:spacing w:before="163" w:beforeLines="50"/>
              <w:jc w:val="center"/>
              <w:rPr>
                <w:rFonts w:cs="宋体"/>
              </w:rPr>
            </w:pPr>
            <w:r>
              <w:rPr>
                <w:rFonts w:hint="eastAsia" w:cs="宋体"/>
              </w:rPr>
              <w:t>售后服务期</w:t>
            </w:r>
          </w:p>
        </w:tc>
        <w:tc>
          <w:tcPr>
            <w:tcW w:w="4846" w:type="dxa"/>
            <w:tcBorders>
              <w:top w:val="single" w:color="auto" w:sz="4" w:space="0"/>
              <w:left w:val="single" w:color="auto" w:sz="4" w:space="0"/>
              <w:bottom w:val="single" w:color="auto" w:sz="4" w:space="0"/>
              <w:right w:val="single" w:color="auto" w:sz="4" w:space="0"/>
            </w:tcBorders>
            <w:vAlign w:val="center"/>
          </w:tcPr>
          <w:p w14:paraId="025543AD">
            <w:pPr>
              <w:snapToGrid w:val="0"/>
              <w:spacing w:line="320" w:lineRule="exact"/>
              <w:jc w:val="center"/>
              <w:rPr>
                <w:rFonts w:cs="宋体"/>
              </w:rPr>
            </w:pPr>
          </w:p>
        </w:tc>
        <w:tc>
          <w:tcPr>
            <w:tcW w:w="1276" w:type="dxa"/>
            <w:tcBorders>
              <w:top w:val="single" w:color="auto" w:sz="4" w:space="0"/>
              <w:left w:val="single" w:color="auto" w:sz="4" w:space="0"/>
              <w:bottom w:val="single" w:color="auto" w:sz="4" w:space="0"/>
              <w:right w:val="single" w:color="auto" w:sz="4" w:space="0"/>
            </w:tcBorders>
          </w:tcPr>
          <w:p w14:paraId="5719F929">
            <w:pPr>
              <w:wordWrap w:val="0"/>
              <w:snapToGrid w:val="0"/>
              <w:spacing w:before="163" w:beforeLines="50"/>
              <w:rPr>
                <w:rFonts w:cs="宋体"/>
                <w:szCs w:val="20"/>
              </w:rPr>
            </w:pPr>
          </w:p>
        </w:tc>
        <w:tc>
          <w:tcPr>
            <w:tcW w:w="1559" w:type="dxa"/>
            <w:tcBorders>
              <w:top w:val="single" w:color="auto" w:sz="4" w:space="0"/>
              <w:left w:val="single" w:color="auto" w:sz="4" w:space="0"/>
              <w:bottom w:val="single" w:color="auto" w:sz="4" w:space="0"/>
              <w:right w:val="single" w:color="auto" w:sz="4" w:space="0"/>
            </w:tcBorders>
          </w:tcPr>
          <w:p w14:paraId="17F6C57B">
            <w:pPr>
              <w:wordWrap w:val="0"/>
              <w:snapToGrid w:val="0"/>
              <w:spacing w:before="163" w:beforeLines="50"/>
              <w:rPr>
                <w:rFonts w:cs="宋体"/>
                <w:szCs w:val="20"/>
              </w:rPr>
            </w:pPr>
          </w:p>
        </w:tc>
      </w:tr>
      <w:tr w14:paraId="13891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19" w:type="dxa"/>
            <w:tcBorders>
              <w:top w:val="single" w:color="auto" w:sz="4" w:space="0"/>
              <w:left w:val="single" w:color="auto" w:sz="4" w:space="0"/>
              <w:bottom w:val="single" w:color="auto" w:sz="4" w:space="0"/>
              <w:right w:val="single" w:color="auto" w:sz="4" w:space="0"/>
            </w:tcBorders>
            <w:vAlign w:val="center"/>
          </w:tcPr>
          <w:p w14:paraId="7A6E9B95">
            <w:pPr>
              <w:wordWrap w:val="0"/>
              <w:snapToGrid w:val="0"/>
              <w:spacing w:before="163" w:beforeLines="50"/>
              <w:jc w:val="center"/>
              <w:rPr>
                <w:rFonts w:cs="宋体"/>
                <w:szCs w:val="20"/>
              </w:rPr>
            </w:pPr>
            <w:r>
              <w:rPr>
                <w:rFonts w:hint="eastAsia" w:cs="宋体"/>
              </w:rPr>
              <w:t>服务地点</w:t>
            </w:r>
          </w:p>
        </w:tc>
        <w:tc>
          <w:tcPr>
            <w:tcW w:w="4846" w:type="dxa"/>
            <w:tcBorders>
              <w:top w:val="single" w:color="auto" w:sz="4" w:space="0"/>
              <w:left w:val="single" w:color="auto" w:sz="4" w:space="0"/>
              <w:bottom w:val="single" w:color="auto" w:sz="4" w:space="0"/>
              <w:right w:val="single" w:color="auto" w:sz="4" w:space="0"/>
            </w:tcBorders>
            <w:vAlign w:val="center"/>
          </w:tcPr>
          <w:p w14:paraId="6B53B85E">
            <w:pPr>
              <w:snapToGrid w:val="0"/>
              <w:spacing w:before="163" w:beforeLines="50" w:line="320" w:lineRule="exact"/>
              <w:jc w:val="center"/>
              <w:rPr>
                <w:rFonts w:cs="宋体"/>
              </w:rPr>
            </w:pPr>
          </w:p>
        </w:tc>
        <w:tc>
          <w:tcPr>
            <w:tcW w:w="1276" w:type="dxa"/>
            <w:tcBorders>
              <w:top w:val="single" w:color="auto" w:sz="4" w:space="0"/>
              <w:left w:val="single" w:color="auto" w:sz="4" w:space="0"/>
              <w:bottom w:val="single" w:color="auto" w:sz="4" w:space="0"/>
              <w:right w:val="single" w:color="auto" w:sz="4" w:space="0"/>
            </w:tcBorders>
          </w:tcPr>
          <w:p w14:paraId="2471EBB4">
            <w:pPr>
              <w:wordWrap w:val="0"/>
              <w:snapToGrid w:val="0"/>
              <w:spacing w:before="163" w:beforeLines="50"/>
              <w:rPr>
                <w:rFonts w:cs="宋体"/>
                <w:szCs w:val="20"/>
              </w:rPr>
            </w:pPr>
          </w:p>
        </w:tc>
        <w:tc>
          <w:tcPr>
            <w:tcW w:w="1559" w:type="dxa"/>
            <w:tcBorders>
              <w:top w:val="single" w:color="auto" w:sz="4" w:space="0"/>
              <w:left w:val="single" w:color="auto" w:sz="4" w:space="0"/>
              <w:bottom w:val="single" w:color="auto" w:sz="4" w:space="0"/>
              <w:right w:val="single" w:color="auto" w:sz="4" w:space="0"/>
            </w:tcBorders>
          </w:tcPr>
          <w:p w14:paraId="1632B480">
            <w:pPr>
              <w:wordWrap w:val="0"/>
              <w:snapToGrid w:val="0"/>
              <w:spacing w:before="163" w:beforeLines="50"/>
              <w:rPr>
                <w:rFonts w:cs="宋体"/>
                <w:szCs w:val="20"/>
              </w:rPr>
            </w:pPr>
          </w:p>
        </w:tc>
      </w:tr>
      <w:tr w14:paraId="23F1F6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19" w:type="dxa"/>
            <w:tcBorders>
              <w:top w:val="single" w:color="auto" w:sz="4" w:space="0"/>
              <w:left w:val="single" w:color="auto" w:sz="4" w:space="0"/>
              <w:bottom w:val="single" w:color="auto" w:sz="4" w:space="0"/>
              <w:right w:val="single" w:color="auto" w:sz="4" w:space="0"/>
            </w:tcBorders>
            <w:vAlign w:val="center"/>
          </w:tcPr>
          <w:p w14:paraId="033C93CF">
            <w:pPr>
              <w:wordWrap w:val="0"/>
              <w:snapToGrid w:val="0"/>
              <w:spacing w:before="163" w:beforeLines="50"/>
              <w:jc w:val="center"/>
              <w:rPr>
                <w:rFonts w:cs="宋体"/>
                <w:szCs w:val="20"/>
              </w:rPr>
            </w:pPr>
            <w:r>
              <w:rPr>
                <w:rFonts w:hint="eastAsia" w:cs="宋体"/>
              </w:rPr>
              <w:t>付款条件</w:t>
            </w:r>
          </w:p>
        </w:tc>
        <w:tc>
          <w:tcPr>
            <w:tcW w:w="4846" w:type="dxa"/>
            <w:tcBorders>
              <w:top w:val="single" w:color="auto" w:sz="4" w:space="0"/>
              <w:left w:val="single" w:color="auto" w:sz="4" w:space="0"/>
              <w:bottom w:val="single" w:color="auto" w:sz="4" w:space="0"/>
              <w:right w:val="single" w:color="auto" w:sz="4" w:space="0"/>
            </w:tcBorders>
          </w:tcPr>
          <w:p w14:paraId="7071AACC">
            <w:pPr>
              <w:wordWrap w:val="0"/>
              <w:snapToGrid w:val="0"/>
              <w:jc w:val="left"/>
              <w:rPr>
                <w:rFonts w:cs="宋体"/>
              </w:rPr>
            </w:pPr>
          </w:p>
        </w:tc>
        <w:tc>
          <w:tcPr>
            <w:tcW w:w="1276" w:type="dxa"/>
            <w:tcBorders>
              <w:top w:val="single" w:color="auto" w:sz="4" w:space="0"/>
              <w:left w:val="single" w:color="auto" w:sz="4" w:space="0"/>
              <w:bottom w:val="single" w:color="auto" w:sz="4" w:space="0"/>
              <w:right w:val="single" w:color="auto" w:sz="4" w:space="0"/>
            </w:tcBorders>
          </w:tcPr>
          <w:p w14:paraId="1CF7989F">
            <w:pPr>
              <w:wordWrap w:val="0"/>
              <w:snapToGrid w:val="0"/>
              <w:spacing w:before="163" w:beforeLines="50"/>
              <w:rPr>
                <w:rFonts w:cs="宋体"/>
                <w:szCs w:val="20"/>
              </w:rPr>
            </w:pPr>
          </w:p>
        </w:tc>
        <w:tc>
          <w:tcPr>
            <w:tcW w:w="1559" w:type="dxa"/>
            <w:tcBorders>
              <w:top w:val="single" w:color="auto" w:sz="4" w:space="0"/>
              <w:left w:val="single" w:color="auto" w:sz="4" w:space="0"/>
              <w:bottom w:val="single" w:color="auto" w:sz="4" w:space="0"/>
              <w:right w:val="single" w:color="auto" w:sz="4" w:space="0"/>
            </w:tcBorders>
          </w:tcPr>
          <w:p w14:paraId="6C4FB4B3">
            <w:pPr>
              <w:wordWrap w:val="0"/>
              <w:snapToGrid w:val="0"/>
              <w:spacing w:before="163" w:beforeLines="50"/>
              <w:rPr>
                <w:rFonts w:cs="宋体"/>
                <w:szCs w:val="20"/>
              </w:rPr>
            </w:pPr>
          </w:p>
        </w:tc>
      </w:tr>
      <w:tr w14:paraId="3BCD5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19" w:type="dxa"/>
            <w:tcBorders>
              <w:top w:val="single" w:color="auto" w:sz="4" w:space="0"/>
              <w:left w:val="single" w:color="auto" w:sz="4" w:space="0"/>
              <w:bottom w:val="single" w:color="auto" w:sz="4" w:space="0"/>
              <w:right w:val="single" w:color="auto" w:sz="4" w:space="0"/>
            </w:tcBorders>
            <w:vAlign w:val="center"/>
          </w:tcPr>
          <w:p w14:paraId="1461A73E">
            <w:pPr>
              <w:wordWrap w:val="0"/>
              <w:snapToGrid w:val="0"/>
              <w:spacing w:before="163" w:beforeLines="50"/>
              <w:jc w:val="center"/>
              <w:rPr>
                <w:rFonts w:cs="宋体"/>
                <w:szCs w:val="20"/>
              </w:rPr>
            </w:pPr>
            <w:r>
              <w:rPr>
                <w:rFonts w:hint="eastAsia" w:cs="宋体"/>
                <w:szCs w:val="20"/>
              </w:rPr>
              <w:t>……</w:t>
            </w:r>
          </w:p>
        </w:tc>
        <w:tc>
          <w:tcPr>
            <w:tcW w:w="4846" w:type="dxa"/>
            <w:tcBorders>
              <w:top w:val="single" w:color="auto" w:sz="4" w:space="0"/>
              <w:left w:val="single" w:color="auto" w:sz="4" w:space="0"/>
              <w:bottom w:val="single" w:color="auto" w:sz="4" w:space="0"/>
              <w:right w:val="single" w:color="auto" w:sz="4" w:space="0"/>
            </w:tcBorders>
          </w:tcPr>
          <w:p w14:paraId="0D93EDBC">
            <w:pPr>
              <w:wordWrap w:val="0"/>
              <w:snapToGrid w:val="0"/>
              <w:jc w:val="left"/>
              <w:rPr>
                <w:rFonts w:cs="宋体"/>
              </w:rPr>
            </w:pPr>
          </w:p>
        </w:tc>
        <w:tc>
          <w:tcPr>
            <w:tcW w:w="1276" w:type="dxa"/>
            <w:tcBorders>
              <w:top w:val="single" w:color="auto" w:sz="4" w:space="0"/>
              <w:left w:val="single" w:color="auto" w:sz="4" w:space="0"/>
              <w:bottom w:val="single" w:color="auto" w:sz="4" w:space="0"/>
              <w:right w:val="single" w:color="auto" w:sz="4" w:space="0"/>
            </w:tcBorders>
          </w:tcPr>
          <w:p w14:paraId="797F2DB3">
            <w:pPr>
              <w:wordWrap w:val="0"/>
              <w:snapToGrid w:val="0"/>
              <w:spacing w:before="163" w:beforeLines="50"/>
              <w:ind w:left="43"/>
              <w:rPr>
                <w:rFonts w:cs="宋体"/>
                <w:szCs w:val="20"/>
              </w:rPr>
            </w:pPr>
          </w:p>
        </w:tc>
        <w:tc>
          <w:tcPr>
            <w:tcW w:w="1559" w:type="dxa"/>
            <w:tcBorders>
              <w:top w:val="single" w:color="auto" w:sz="4" w:space="0"/>
              <w:left w:val="single" w:color="auto" w:sz="4" w:space="0"/>
              <w:bottom w:val="single" w:color="auto" w:sz="4" w:space="0"/>
              <w:right w:val="single" w:color="auto" w:sz="4" w:space="0"/>
            </w:tcBorders>
          </w:tcPr>
          <w:p w14:paraId="682439CC">
            <w:pPr>
              <w:wordWrap w:val="0"/>
              <w:snapToGrid w:val="0"/>
              <w:spacing w:before="163" w:beforeLines="50"/>
              <w:ind w:left="43"/>
              <w:rPr>
                <w:rFonts w:cs="宋体"/>
                <w:szCs w:val="20"/>
              </w:rPr>
            </w:pPr>
          </w:p>
        </w:tc>
      </w:tr>
      <w:tr w14:paraId="3D820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19" w:type="dxa"/>
            <w:tcBorders>
              <w:top w:val="single" w:color="auto" w:sz="4" w:space="0"/>
              <w:left w:val="single" w:color="auto" w:sz="4" w:space="0"/>
              <w:bottom w:val="single" w:color="auto" w:sz="4" w:space="0"/>
              <w:right w:val="single" w:color="auto" w:sz="4" w:space="0"/>
            </w:tcBorders>
            <w:vAlign w:val="center"/>
          </w:tcPr>
          <w:p w14:paraId="43E4F887">
            <w:pPr>
              <w:wordWrap w:val="0"/>
              <w:snapToGrid w:val="0"/>
              <w:spacing w:before="163" w:beforeLines="50"/>
              <w:jc w:val="center"/>
              <w:rPr>
                <w:rFonts w:cs="宋体"/>
                <w:szCs w:val="20"/>
              </w:rPr>
            </w:pPr>
          </w:p>
        </w:tc>
        <w:tc>
          <w:tcPr>
            <w:tcW w:w="4846" w:type="dxa"/>
            <w:tcBorders>
              <w:top w:val="single" w:color="auto" w:sz="4" w:space="0"/>
              <w:left w:val="single" w:color="auto" w:sz="4" w:space="0"/>
              <w:bottom w:val="single" w:color="auto" w:sz="4" w:space="0"/>
              <w:right w:val="single" w:color="auto" w:sz="4" w:space="0"/>
            </w:tcBorders>
          </w:tcPr>
          <w:p w14:paraId="274AD416">
            <w:pPr>
              <w:snapToGrid w:val="0"/>
              <w:spacing w:line="320" w:lineRule="exact"/>
              <w:ind w:firstLine="480" w:firstLineChars="200"/>
              <w:rPr>
                <w:rFonts w:cs="宋体"/>
                <w:szCs w:val="20"/>
              </w:rPr>
            </w:pPr>
          </w:p>
        </w:tc>
        <w:tc>
          <w:tcPr>
            <w:tcW w:w="1276" w:type="dxa"/>
            <w:tcBorders>
              <w:top w:val="single" w:color="auto" w:sz="4" w:space="0"/>
              <w:left w:val="single" w:color="auto" w:sz="4" w:space="0"/>
              <w:bottom w:val="single" w:color="auto" w:sz="4" w:space="0"/>
              <w:right w:val="single" w:color="auto" w:sz="4" w:space="0"/>
            </w:tcBorders>
          </w:tcPr>
          <w:p w14:paraId="24CC03EE">
            <w:pPr>
              <w:wordWrap w:val="0"/>
              <w:snapToGrid w:val="0"/>
              <w:spacing w:before="163" w:beforeLines="50"/>
              <w:rPr>
                <w:rFonts w:cs="宋体"/>
                <w:szCs w:val="20"/>
              </w:rPr>
            </w:pPr>
          </w:p>
        </w:tc>
        <w:tc>
          <w:tcPr>
            <w:tcW w:w="1559" w:type="dxa"/>
            <w:tcBorders>
              <w:top w:val="single" w:color="auto" w:sz="4" w:space="0"/>
              <w:left w:val="single" w:color="auto" w:sz="4" w:space="0"/>
              <w:bottom w:val="single" w:color="auto" w:sz="4" w:space="0"/>
              <w:right w:val="single" w:color="auto" w:sz="4" w:space="0"/>
            </w:tcBorders>
          </w:tcPr>
          <w:p w14:paraId="463E3CD2">
            <w:pPr>
              <w:wordWrap w:val="0"/>
              <w:snapToGrid w:val="0"/>
              <w:spacing w:before="163" w:beforeLines="50"/>
              <w:rPr>
                <w:rFonts w:cs="宋体"/>
                <w:szCs w:val="20"/>
              </w:rPr>
            </w:pPr>
          </w:p>
        </w:tc>
      </w:tr>
      <w:tr w14:paraId="3136F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19" w:type="dxa"/>
            <w:tcBorders>
              <w:top w:val="single" w:color="auto" w:sz="4" w:space="0"/>
              <w:left w:val="single" w:color="auto" w:sz="4" w:space="0"/>
              <w:bottom w:val="single" w:color="auto" w:sz="4" w:space="0"/>
              <w:right w:val="single" w:color="auto" w:sz="4" w:space="0"/>
            </w:tcBorders>
          </w:tcPr>
          <w:p w14:paraId="56B24BF1">
            <w:pPr>
              <w:snapToGrid w:val="0"/>
              <w:spacing w:before="163" w:beforeLines="50"/>
              <w:jc w:val="center"/>
              <w:rPr>
                <w:rFonts w:cs="宋体"/>
                <w:szCs w:val="20"/>
              </w:rPr>
            </w:pPr>
          </w:p>
        </w:tc>
        <w:tc>
          <w:tcPr>
            <w:tcW w:w="4846" w:type="dxa"/>
            <w:tcBorders>
              <w:top w:val="single" w:color="auto" w:sz="4" w:space="0"/>
              <w:left w:val="single" w:color="auto" w:sz="4" w:space="0"/>
              <w:bottom w:val="single" w:color="auto" w:sz="4" w:space="0"/>
              <w:right w:val="single" w:color="auto" w:sz="4" w:space="0"/>
            </w:tcBorders>
          </w:tcPr>
          <w:p w14:paraId="5EA6907C">
            <w:pPr>
              <w:wordWrap w:val="0"/>
              <w:snapToGrid w:val="0"/>
              <w:spacing w:before="163" w:beforeLines="50"/>
              <w:rPr>
                <w:rFonts w:cs="宋体"/>
                <w:szCs w:val="20"/>
              </w:rPr>
            </w:pPr>
          </w:p>
        </w:tc>
        <w:tc>
          <w:tcPr>
            <w:tcW w:w="1276" w:type="dxa"/>
            <w:tcBorders>
              <w:top w:val="single" w:color="auto" w:sz="4" w:space="0"/>
              <w:left w:val="single" w:color="auto" w:sz="4" w:space="0"/>
              <w:bottom w:val="single" w:color="auto" w:sz="4" w:space="0"/>
              <w:right w:val="single" w:color="auto" w:sz="4" w:space="0"/>
            </w:tcBorders>
          </w:tcPr>
          <w:p w14:paraId="584B7AB6">
            <w:pPr>
              <w:wordWrap w:val="0"/>
              <w:snapToGrid w:val="0"/>
              <w:spacing w:before="163" w:beforeLines="50"/>
              <w:rPr>
                <w:rFonts w:cs="宋体"/>
                <w:szCs w:val="20"/>
              </w:rPr>
            </w:pPr>
          </w:p>
        </w:tc>
        <w:tc>
          <w:tcPr>
            <w:tcW w:w="1559" w:type="dxa"/>
            <w:tcBorders>
              <w:top w:val="single" w:color="auto" w:sz="4" w:space="0"/>
              <w:left w:val="single" w:color="auto" w:sz="4" w:space="0"/>
              <w:bottom w:val="single" w:color="auto" w:sz="4" w:space="0"/>
              <w:right w:val="single" w:color="auto" w:sz="4" w:space="0"/>
            </w:tcBorders>
          </w:tcPr>
          <w:p w14:paraId="7717DC7F">
            <w:pPr>
              <w:wordWrap w:val="0"/>
              <w:snapToGrid w:val="0"/>
              <w:spacing w:before="163" w:beforeLines="50"/>
              <w:rPr>
                <w:rFonts w:cs="宋体"/>
                <w:szCs w:val="20"/>
              </w:rPr>
            </w:pPr>
          </w:p>
        </w:tc>
      </w:tr>
      <w:tr w14:paraId="0056D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19" w:type="dxa"/>
            <w:tcBorders>
              <w:top w:val="single" w:color="auto" w:sz="4" w:space="0"/>
              <w:left w:val="single" w:color="auto" w:sz="4" w:space="0"/>
              <w:bottom w:val="single" w:color="auto" w:sz="4" w:space="0"/>
              <w:right w:val="single" w:color="auto" w:sz="4" w:space="0"/>
            </w:tcBorders>
          </w:tcPr>
          <w:p w14:paraId="20BCBD6D">
            <w:pPr>
              <w:wordWrap w:val="0"/>
              <w:snapToGrid w:val="0"/>
              <w:spacing w:before="163" w:beforeLines="50"/>
              <w:rPr>
                <w:rFonts w:eastAsia="仿宋_GB2312"/>
                <w:szCs w:val="20"/>
              </w:rPr>
            </w:pPr>
          </w:p>
        </w:tc>
        <w:tc>
          <w:tcPr>
            <w:tcW w:w="4846" w:type="dxa"/>
            <w:tcBorders>
              <w:top w:val="single" w:color="auto" w:sz="4" w:space="0"/>
              <w:left w:val="single" w:color="auto" w:sz="4" w:space="0"/>
              <w:bottom w:val="single" w:color="auto" w:sz="4" w:space="0"/>
              <w:right w:val="single" w:color="auto" w:sz="4" w:space="0"/>
            </w:tcBorders>
          </w:tcPr>
          <w:p w14:paraId="4C0DD082">
            <w:pPr>
              <w:wordWrap w:val="0"/>
              <w:snapToGrid w:val="0"/>
              <w:spacing w:before="163" w:beforeLines="50"/>
              <w:rPr>
                <w:rFonts w:eastAsia="仿宋_GB2312"/>
                <w:szCs w:val="20"/>
              </w:rPr>
            </w:pPr>
          </w:p>
        </w:tc>
        <w:tc>
          <w:tcPr>
            <w:tcW w:w="1276" w:type="dxa"/>
            <w:tcBorders>
              <w:top w:val="single" w:color="auto" w:sz="4" w:space="0"/>
              <w:left w:val="single" w:color="auto" w:sz="4" w:space="0"/>
              <w:bottom w:val="single" w:color="auto" w:sz="4" w:space="0"/>
              <w:right w:val="single" w:color="auto" w:sz="4" w:space="0"/>
            </w:tcBorders>
          </w:tcPr>
          <w:p w14:paraId="1E91E0C3">
            <w:pPr>
              <w:wordWrap w:val="0"/>
              <w:snapToGrid w:val="0"/>
              <w:spacing w:before="163" w:beforeLines="50"/>
              <w:rPr>
                <w:rFonts w:eastAsia="仿宋_GB2312"/>
                <w:szCs w:val="20"/>
              </w:rPr>
            </w:pPr>
          </w:p>
        </w:tc>
        <w:tc>
          <w:tcPr>
            <w:tcW w:w="1559" w:type="dxa"/>
            <w:tcBorders>
              <w:top w:val="single" w:color="auto" w:sz="4" w:space="0"/>
              <w:left w:val="single" w:color="auto" w:sz="4" w:space="0"/>
              <w:bottom w:val="single" w:color="auto" w:sz="4" w:space="0"/>
              <w:right w:val="single" w:color="auto" w:sz="4" w:space="0"/>
            </w:tcBorders>
          </w:tcPr>
          <w:p w14:paraId="1EFA1653">
            <w:pPr>
              <w:wordWrap w:val="0"/>
              <w:snapToGrid w:val="0"/>
              <w:spacing w:before="163" w:beforeLines="50"/>
              <w:rPr>
                <w:rFonts w:eastAsia="仿宋_GB2312"/>
                <w:szCs w:val="20"/>
              </w:rPr>
            </w:pPr>
          </w:p>
        </w:tc>
      </w:tr>
    </w:tbl>
    <w:p w14:paraId="448D377E">
      <w:pPr>
        <w:snapToGrid w:val="0"/>
        <w:spacing w:line="560" w:lineRule="exact"/>
        <w:jc w:val="left"/>
        <w:rPr>
          <w:rFonts w:cs="宋体"/>
        </w:rPr>
      </w:pPr>
    </w:p>
    <w:p w14:paraId="177BD3ED">
      <w:pPr>
        <w:snapToGrid w:val="0"/>
        <w:spacing w:line="560" w:lineRule="exact"/>
        <w:ind w:firstLine="480" w:firstLineChars="200"/>
        <w:jc w:val="left"/>
        <w:rPr>
          <w:rFonts w:cs="宋体"/>
          <w:u w:val="single"/>
        </w:rPr>
      </w:pPr>
      <w:r>
        <w:rPr>
          <w:rFonts w:hint="eastAsia" w:cs="宋体"/>
        </w:rPr>
        <w:t>法定代表人或其授权代理人（签字或盖章）：</w:t>
      </w:r>
      <w:r>
        <w:rPr>
          <w:rFonts w:hint="eastAsia" w:cs="宋体"/>
          <w:u w:val="single"/>
        </w:rPr>
        <w:t xml:space="preserve">             </w:t>
      </w:r>
    </w:p>
    <w:p w14:paraId="1DB65007">
      <w:pPr>
        <w:spacing w:line="440" w:lineRule="exact"/>
        <w:jc w:val="center"/>
        <w:rPr>
          <w:rFonts w:cs="宋体"/>
        </w:rPr>
      </w:pPr>
      <w:r>
        <w:rPr>
          <w:rFonts w:hint="eastAsia"/>
        </w:rPr>
        <w:t>投标供应商</w:t>
      </w:r>
      <w:r>
        <w:rPr>
          <w:rFonts w:hint="eastAsia" w:cs="宋体"/>
        </w:rPr>
        <w:t>公章：</w:t>
      </w:r>
      <w:r>
        <w:rPr>
          <w:rFonts w:hint="eastAsia" w:cs="宋体"/>
          <w:u w:val="single"/>
        </w:rPr>
        <w:t xml:space="preserve">               </w:t>
      </w:r>
      <w:r>
        <w:rPr>
          <w:rFonts w:hint="eastAsia" w:cs="宋体"/>
        </w:rPr>
        <w:t xml:space="preserve">                      年    月    日</w:t>
      </w:r>
    </w:p>
    <w:p w14:paraId="0C1823AC">
      <w:pPr>
        <w:widowControl/>
        <w:spacing w:line="240" w:lineRule="auto"/>
        <w:jc w:val="left"/>
      </w:pPr>
      <w:r>
        <w:br w:type="page"/>
      </w:r>
    </w:p>
    <w:p w14:paraId="34EE8FFD">
      <w:pPr>
        <w:spacing w:line="560" w:lineRule="exact"/>
        <w:ind w:right="480" w:rightChars="200"/>
        <w:rPr>
          <w:b/>
          <w:szCs w:val="28"/>
        </w:rPr>
      </w:pPr>
      <w:r>
        <w:rPr>
          <w:rFonts w:hint="eastAsia"/>
          <w:b/>
          <w:szCs w:val="28"/>
        </w:rPr>
        <w:t>报价封面格式：</w:t>
      </w:r>
    </w:p>
    <w:p w14:paraId="34D1E7A6">
      <w:pPr>
        <w:autoSpaceDE w:val="0"/>
        <w:autoSpaceDN w:val="0"/>
        <w:adjustRightInd w:val="0"/>
        <w:spacing w:line="360" w:lineRule="exact"/>
        <w:jc w:val="center"/>
        <w:rPr>
          <w:b/>
          <w:sz w:val="36"/>
          <w:lang w:val="zh-CN"/>
        </w:rPr>
      </w:pPr>
    </w:p>
    <w:p w14:paraId="77A85BC6">
      <w:pPr>
        <w:autoSpaceDE w:val="0"/>
        <w:autoSpaceDN w:val="0"/>
        <w:adjustRightInd w:val="0"/>
        <w:spacing w:line="360" w:lineRule="exact"/>
        <w:jc w:val="center"/>
        <w:rPr>
          <w:b/>
          <w:sz w:val="36"/>
          <w:lang w:val="zh-CN"/>
        </w:rPr>
      </w:pPr>
    </w:p>
    <w:p w14:paraId="3498750C">
      <w:pPr>
        <w:autoSpaceDE w:val="0"/>
        <w:autoSpaceDN w:val="0"/>
        <w:adjustRightInd w:val="0"/>
        <w:spacing w:line="360" w:lineRule="exact"/>
        <w:jc w:val="right"/>
        <w:rPr>
          <w:b/>
          <w:szCs w:val="28"/>
        </w:rPr>
      </w:pPr>
    </w:p>
    <w:p w14:paraId="39CFEBAD">
      <w:pPr>
        <w:autoSpaceDE w:val="0"/>
        <w:autoSpaceDN w:val="0"/>
        <w:adjustRightInd w:val="0"/>
        <w:spacing w:line="360" w:lineRule="exact"/>
        <w:rPr>
          <w:b/>
          <w:szCs w:val="28"/>
        </w:rPr>
      </w:pPr>
    </w:p>
    <w:p w14:paraId="41C320C2">
      <w:pPr>
        <w:autoSpaceDE w:val="0"/>
        <w:autoSpaceDN w:val="0"/>
        <w:adjustRightInd w:val="0"/>
        <w:spacing w:line="540" w:lineRule="exact"/>
        <w:rPr>
          <w:b/>
          <w:szCs w:val="28"/>
        </w:rPr>
      </w:pPr>
    </w:p>
    <w:p w14:paraId="53EFE098">
      <w:pPr>
        <w:autoSpaceDE w:val="0"/>
        <w:autoSpaceDN w:val="0"/>
        <w:adjustRightInd w:val="0"/>
        <w:spacing w:line="540" w:lineRule="exact"/>
        <w:jc w:val="center"/>
        <w:rPr>
          <w:b/>
          <w:sz w:val="30"/>
          <w:szCs w:val="30"/>
        </w:rPr>
      </w:pPr>
      <w:r>
        <w:rPr>
          <w:rFonts w:hint="eastAsia"/>
          <w:b/>
          <w:sz w:val="30"/>
          <w:szCs w:val="30"/>
        </w:rPr>
        <w:t>报价文件</w:t>
      </w:r>
    </w:p>
    <w:p w14:paraId="3168C244">
      <w:pPr>
        <w:autoSpaceDE w:val="0"/>
        <w:autoSpaceDN w:val="0"/>
        <w:adjustRightInd w:val="0"/>
        <w:spacing w:line="540" w:lineRule="exact"/>
        <w:jc w:val="center"/>
        <w:rPr>
          <w:b/>
          <w:szCs w:val="28"/>
        </w:rPr>
      </w:pPr>
    </w:p>
    <w:p w14:paraId="06032A62">
      <w:pPr>
        <w:autoSpaceDE w:val="0"/>
        <w:autoSpaceDN w:val="0"/>
        <w:adjustRightInd w:val="0"/>
        <w:spacing w:line="640" w:lineRule="exact"/>
        <w:jc w:val="left"/>
      </w:pPr>
      <w:r>
        <w:rPr>
          <w:rFonts w:hint="eastAsia"/>
        </w:rPr>
        <w:t>项目名称：湖州职业技术学院虚拟仿真实训教学管理平台等软件采购项目（标项一/标项二/标项三）</w:t>
      </w:r>
    </w:p>
    <w:p w14:paraId="27B4A42D">
      <w:pPr>
        <w:autoSpaceDE w:val="0"/>
        <w:autoSpaceDN w:val="0"/>
        <w:adjustRightInd w:val="0"/>
        <w:spacing w:line="640" w:lineRule="exact"/>
        <w:jc w:val="left"/>
      </w:pPr>
    </w:p>
    <w:p w14:paraId="201A7552">
      <w:pPr>
        <w:autoSpaceDE w:val="0"/>
        <w:autoSpaceDN w:val="0"/>
        <w:adjustRightInd w:val="0"/>
        <w:spacing w:line="640" w:lineRule="exact"/>
        <w:jc w:val="left"/>
        <w:rPr>
          <w:rFonts w:hint="eastAsia" w:eastAsia="宋体"/>
          <w:lang w:eastAsia="zh-CN"/>
        </w:rPr>
      </w:pPr>
      <w:r>
        <w:rPr>
          <w:rFonts w:hint="eastAsia"/>
        </w:rPr>
        <w:t>项目编号：</w:t>
      </w:r>
      <w:r>
        <w:rPr>
          <w:rFonts w:hint="eastAsia"/>
          <w:lang w:eastAsia="zh-CN"/>
        </w:rPr>
        <w:t>CTZB-2025060537</w:t>
      </w:r>
    </w:p>
    <w:p w14:paraId="011901A0">
      <w:pPr>
        <w:autoSpaceDE w:val="0"/>
        <w:autoSpaceDN w:val="0"/>
        <w:adjustRightInd w:val="0"/>
        <w:spacing w:line="640" w:lineRule="exact"/>
        <w:jc w:val="left"/>
      </w:pPr>
      <w:r>
        <w:rPr>
          <w:rFonts w:hint="eastAsia"/>
        </w:rPr>
        <w:t>供应商名称：</w:t>
      </w:r>
      <w:r>
        <w:rPr>
          <w:rFonts w:hint="eastAsia"/>
          <w:u w:val="single"/>
        </w:rPr>
        <w:t xml:space="preserve">                     </w:t>
      </w:r>
    </w:p>
    <w:p w14:paraId="0BE834F5">
      <w:pPr>
        <w:autoSpaceDE w:val="0"/>
        <w:autoSpaceDN w:val="0"/>
        <w:adjustRightInd w:val="0"/>
        <w:spacing w:line="640" w:lineRule="exact"/>
        <w:jc w:val="left"/>
      </w:pPr>
      <w:r>
        <w:rPr>
          <w:rFonts w:hint="eastAsia"/>
        </w:rPr>
        <w:t>供应商地址：</w:t>
      </w:r>
      <w:r>
        <w:rPr>
          <w:rFonts w:hint="eastAsia"/>
          <w:u w:val="single"/>
        </w:rPr>
        <w:t xml:space="preserve">                     </w:t>
      </w:r>
    </w:p>
    <w:p w14:paraId="1E06843F">
      <w:pPr>
        <w:autoSpaceDE w:val="0"/>
        <w:autoSpaceDN w:val="0"/>
        <w:adjustRightInd w:val="0"/>
        <w:spacing w:line="540" w:lineRule="exact"/>
        <w:jc w:val="left"/>
        <w:rPr>
          <w:sz w:val="36"/>
          <w:lang w:val="zh-CN"/>
        </w:rPr>
      </w:pPr>
    </w:p>
    <w:p w14:paraId="2E8EA922">
      <w:pPr>
        <w:autoSpaceDE w:val="0"/>
        <w:autoSpaceDN w:val="0"/>
        <w:adjustRightInd w:val="0"/>
        <w:spacing w:line="540" w:lineRule="exact"/>
        <w:jc w:val="left"/>
        <w:rPr>
          <w:sz w:val="36"/>
          <w:lang w:val="zh-CN"/>
        </w:rPr>
      </w:pPr>
    </w:p>
    <w:p w14:paraId="75140A37">
      <w:pPr>
        <w:autoSpaceDE w:val="0"/>
        <w:autoSpaceDN w:val="0"/>
        <w:adjustRightInd w:val="0"/>
        <w:spacing w:line="540" w:lineRule="exact"/>
        <w:jc w:val="center"/>
        <w:rPr>
          <w:b/>
          <w:sz w:val="36"/>
          <w:lang w:val="zh-CN"/>
        </w:rPr>
      </w:pPr>
    </w:p>
    <w:p w14:paraId="7822D615">
      <w:pPr>
        <w:autoSpaceDE w:val="0"/>
        <w:autoSpaceDN w:val="0"/>
        <w:adjustRightInd w:val="0"/>
        <w:spacing w:line="540" w:lineRule="exact"/>
        <w:jc w:val="center"/>
        <w:rPr>
          <w:b/>
          <w:sz w:val="36"/>
          <w:lang w:val="zh-CN"/>
        </w:rPr>
      </w:pPr>
    </w:p>
    <w:p w14:paraId="73ABA0C1">
      <w:pPr>
        <w:autoSpaceDE w:val="0"/>
        <w:autoSpaceDN w:val="0"/>
        <w:adjustRightInd w:val="0"/>
        <w:spacing w:line="540" w:lineRule="exact"/>
        <w:jc w:val="center"/>
        <w:rPr>
          <w:b/>
          <w:sz w:val="36"/>
          <w:lang w:val="zh-CN"/>
        </w:rPr>
      </w:pPr>
    </w:p>
    <w:p w14:paraId="181FFFAB">
      <w:pPr>
        <w:autoSpaceDE w:val="0"/>
        <w:autoSpaceDN w:val="0"/>
        <w:adjustRightInd w:val="0"/>
        <w:spacing w:line="540" w:lineRule="exact"/>
        <w:jc w:val="center"/>
        <w:rPr>
          <w:b/>
          <w:sz w:val="36"/>
          <w:lang w:val="zh-CN"/>
        </w:rPr>
      </w:pPr>
    </w:p>
    <w:p w14:paraId="4B9CA08E">
      <w:pPr>
        <w:autoSpaceDE w:val="0"/>
        <w:autoSpaceDN w:val="0"/>
        <w:adjustRightInd w:val="0"/>
        <w:spacing w:line="540" w:lineRule="exact"/>
        <w:ind w:right="140"/>
        <w:jc w:val="right"/>
        <w:rPr>
          <w:szCs w:val="28"/>
        </w:rPr>
      </w:pPr>
      <w:r>
        <w:rPr>
          <w:rFonts w:hint="eastAsia"/>
          <w:szCs w:val="28"/>
        </w:rPr>
        <w:t>年   月   日</w:t>
      </w:r>
    </w:p>
    <w:p w14:paraId="60416F64">
      <w:pPr>
        <w:widowControl/>
        <w:spacing w:line="240" w:lineRule="auto"/>
        <w:jc w:val="left"/>
      </w:pPr>
      <w:r>
        <w:br w:type="page"/>
      </w:r>
    </w:p>
    <w:p w14:paraId="5549990A">
      <w:pPr>
        <w:autoSpaceDE w:val="0"/>
        <w:autoSpaceDN w:val="0"/>
        <w:adjustRightInd w:val="0"/>
        <w:spacing w:line="540" w:lineRule="exact"/>
        <w:jc w:val="left"/>
        <w:rPr>
          <w:b/>
          <w:lang w:val="zh-CN"/>
        </w:rPr>
      </w:pPr>
      <w:r>
        <w:rPr>
          <w:rFonts w:hint="eastAsia"/>
          <w:b/>
          <w:lang w:val="zh-CN"/>
        </w:rPr>
        <w:t>报价文件目录（具体参考第三章供应商须知“投标文件的组成”）</w:t>
      </w:r>
    </w:p>
    <w:p w14:paraId="252B97C6">
      <w:pPr>
        <w:autoSpaceDE w:val="0"/>
        <w:autoSpaceDN w:val="0"/>
        <w:adjustRightInd w:val="0"/>
        <w:spacing w:line="540" w:lineRule="exact"/>
        <w:jc w:val="left"/>
        <w:rPr>
          <w:rFonts w:cs="宋体"/>
        </w:rPr>
      </w:pPr>
      <w:r>
        <w:rPr>
          <w:rFonts w:hint="eastAsia" w:cs="宋体"/>
        </w:rPr>
        <w:t>（1）投标函；</w:t>
      </w:r>
    </w:p>
    <w:p w14:paraId="2A42D850">
      <w:pPr>
        <w:autoSpaceDE w:val="0"/>
        <w:autoSpaceDN w:val="0"/>
        <w:adjustRightInd w:val="0"/>
        <w:spacing w:line="540" w:lineRule="exact"/>
        <w:jc w:val="left"/>
        <w:rPr>
          <w:rFonts w:cs="宋体"/>
        </w:rPr>
      </w:pPr>
      <w:r>
        <w:rPr>
          <w:rFonts w:hint="eastAsia" w:cs="宋体"/>
        </w:rPr>
        <w:t>（2）开标一览表（投标报价一览表）；</w:t>
      </w:r>
    </w:p>
    <w:p w14:paraId="22F34CF5">
      <w:pPr>
        <w:autoSpaceDE w:val="0"/>
        <w:autoSpaceDN w:val="0"/>
        <w:adjustRightInd w:val="0"/>
        <w:spacing w:line="540" w:lineRule="exact"/>
        <w:jc w:val="left"/>
        <w:rPr>
          <w:rFonts w:cs="宋体"/>
        </w:rPr>
      </w:pPr>
      <w:r>
        <w:rPr>
          <w:rFonts w:hint="eastAsia" w:cs="宋体"/>
        </w:rPr>
        <w:t>（</w:t>
      </w:r>
      <w:r>
        <w:rPr>
          <w:rFonts w:cs="宋体"/>
        </w:rPr>
        <w:t>3</w:t>
      </w:r>
      <w:r>
        <w:rPr>
          <w:rFonts w:hint="eastAsia" w:cs="宋体"/>
        </w:rPr>
        <w:t>）政策分相关证明资料[中小企业声明函等（若有）]；</w:t>
      </w:r>
    </w:p>
    <w:p w14:paraId="0ADC709E">
      <w:pPr>
        <w:autoSpaceDE w:val="0"/>
        <w:autoSpaceDN w:val="0"/>
        <w:adjustRightInd w:val="0"/>
        <w:spacing w:line="540" w:lineRule="exact"/>
        <w:jc w:val="left"/>
        <w:rPr>
          <w:rFonts w:cs="宋体"/>
        </w:rPr>
      </w:pPr>
      <w:r>
        <w:rPr>
          <w:rFonts w:hint="eastAsia" w:cs="宋体"/>
        </w:rPr>
        <w:t>（</w:t>
      </w:r>
      <w:r>
        <w:rPr>
          <w:rFonts w:cs="宋体"/>
        </w:rPr>
        <w:t>4</w:t>
      </w:r>
      <w:r>
        <w:rPr>
          <w:rFonts w:hint="eastAsia" w:cs="宋体"/>
        </w:rPr>
        <w:t>）招标代理费承诺函；</w:t>
      </w:r>
    </w:p>
    <w:p w14:paraId="3AEBEF61">
      <w:pPr>
        <w:autoSpaceDE w:val="0"/>
        <w:autoSpaceDN w:val="0"/>
        <w:adjustRightInd w:val="0"/>
        <w:spacing w:line="540" w:lineRule="exact"/>
        <w:jc w:val="left"/>
        <w:rPr>
          <w:b/>
        </w:rPr>
      </w:pPr>
      <w:r>
        <w:rPr>
          <w:rFonts w:hint="eastAsia" w:cs="宋体"/>
        </w:rPr>
        <w:t>（</w:t>
      </w:r>
      <w:r>
        <w:rPr>
          <w:rFonts w:cs="宋体"/>
        </w:rPr>
        <w:t>5</w:t>
      </w:r>
      <w:r>
        <w:rPr>
          <w:rFonts w:hint="eastAsia" w:cs="宋体"/>
        </w:rPr>
        <w:t>）供应商针对报价需要说明的其他文件和说明。</w:t>
      </w:r>
    </w:p>
    <w:p w14:paraId="5035B117">
      <w:pPr>
        <w:widowControl/>
        <w:spacing w:line="240" w:lineRule="auto"/>
        <w:jc w:val="left"/>
      </w:pPr>
      <w:r>
        <w:br w:type="page"/>
      </w:r>
    </w:p>
    <w:p w14:paraId="4A91E803">
      <w:pPr>
        <w:jc w:val="center"/>
        <w:rPr>
          <w:b/>
        </w:rPr>
      </w:pPr>
      <w:r>
        <w:rPr>
          <w:rFonts w:hint="eastAsia"/>
          <w:b/>
        </w:rPr>
        <w:t>投标函</w:t>
      </w:r>
    </w:p>
    <w:p w14:paraId="54B343CB">
      <w:pPr>
        <w:rPr>
          <w:b/>
        </w:rPr>
      </w:pPr>
      <w:r>
        <w:rPr>
          <w:rFonts w:hint="eastAsia"/>
          <w:b/>
        </w:rPr>
        <w:t>致：</w:t>
      </w:r>
      <w:r>
        <w:rPr>
          <w:rFonts w:hint="eastAsia"/>
          <w:b/>
          <w:u w:val="single"/>
        </w:rPr>
        <w:t xml:space="preserve">                 </w:t>
      </w:r>
      <w:r>
        <w:rPr>
          <w:rFonts w:hint="eastAsia"/>
          <w:b/>
        </w:rPr>
        <w:t>（招标采购单位名称）：</w:t>
      </w:r>
    </w:p>
    <w:p w14:paraId="6BF32C45">
      <w:pPr>
        <w:ind w:firstLine="482" w:firstLineChars="200"/>
      </w:pPr>
      <w:r>
        <w:rPr>
          <w:rFonts w:hint="eastAsia"/>
          <w:b/>
          <w:u w:val="single"/>
        </w:rPr>
        <w:t xml:space="preserve">           </w:t>
      </w:r>
      <w:r>
        <w:rPr>
          <w:rFonts w:hint="eastAsia"/>
          <w:u w:val="single"/>
        </w:rPr>
        <w:t xml:space="preserve">         </w:t>
      </w:r>
      <w:r>
        <w:rPr>
          <w:rFonts w:hint="eastAsia"/>
        </w:rPr>
        <w:t>（供应商全称）授权</w:t>
      </w:r>
      <w:r>
        <w:rPr>
          <w:rFonts w:hint="eastAsia"/>
          <w:u w:val="single"/>
        </w:rPr>
        <w:t xml:space="preserve">         </w:t>
      </w:r>
      <w:r>
        <w:rPr>
          <w:rFonts w:hint="eastAsia"/>
        </w:rPr>
        <w:t xml:space="preserve"> （投标代表名称）</w:t>
      </w:r>
      <w:r>
        <w:rPr>
          <w:rFonts w:hint="eastAsia"/>
          <w:u w:val="single"/>
        </w:rPr>
        <w:t xml:space="preserve">      </w:t>
      </w:r>
      <w:r>
        <w:rPr>
          <w:rFonts w:hint="eastAsia"/>
        </w:rPr>
        <w:t>（职务、职称）为投标代表，参加贵方组织的</w:t>
      </w:r>
      <w:r>
        <w:rPr>
          <w:rFonts w:hint="eastAsia"/>
          <w:u w:val="single"/>
        </w:rPr>
        <w:t xml:space="preserve">          </w:t>
      </w:r>
      <w:r>
        <w:rPr>
          <w:rFonts w:hint="eastAsia"/>
        </w:rPr>
        <w:t>（采购项目名称）（括号内填项目编号）采购的有关活动，并对</w:t>
      </w:r>
      <w:r>
        <w:rPr>
          <w:rFonts w:hint="eastAsia"/>
          <w:u w:val="single"/>
        </w:rPr>
        <w:t xml:space="preserve">            </w:t>
      </w:r>
      <w:r>
        <w:rPr>
          <w:rFonts w:hint="eastAsia"/>
        </w:rPr>
        <w:t>项目（采购项目名称）进行投标。为此：</w:t>
      </w:r>
    </w:p>
    <w:p w14:paraId="735768BF">
      <w:pPr>
        <w:ind w:firstLine="480" w:firstLineChars="200"/>
      </w:pPr>
      <w:r>
        <w:rPr>
          <w:rFonts w:hint="eastAsia"/>
        </w:rPr>
        <w:t>1、供应商须提供须知规定的全部投标文件（电子投标文件、数据电子备份投标文件（U盘）），包括《资格文件》、《技术、商务、资信及其他文件》、《报价文件》，其中数据电子备份投标文件（U盘）各</w:t>
      </w:r>
      <w:r>
        <w:rPr>
          <w:rFonts w:hint="eastAsia"/>
          <w:u w:val="single"/>
        </w:rPr>
        <w:t xml:space="preserve">   </w:t>
      </w:r>
      <w:r>
        <w:rPr>
          <w:rFonts w:hint="eastAsia"/>
        </w:rPr>
        <w:t>份，应与电子投标文件内容、格式一致；电子投标文件确认已上传。</w:t>
      </w:r>
    </w:p>
    <w:p w14:paraId="56E2B9F4">
      <w:pPr>
        <w:ind w:firstLine="480" w:firstLineChars="200"/>
      </w:pPr>
      <w:r>
        <w:rPr>
          <w:rFonts w:hint="eastAsia"/>
        </w:rPr>
        <w:t>2、保证遵守采购文件中的有关规定和收费标准。</w:t>
      </w:r>
    </w:p>
    <w:p w14:paraId="6C28290D">
      <w:pPr>
        <w:ind w:firstLine="480" w:firstLineChars="200"/>
      </w:pPr>
      <w:r>
        <w:rPr>
          <w:rFonts w:hint="eastAsia"/>
        </w:rPr>
        <w:t>3、保证诚信地执行采购人、供应商双方所签的合同，并承担合同规定的责任义务。</w:t>
      </w:r>
    </w:p>
    <w:p w14:paraId="4E50ABBD">
      <w:pPr>
        <w:ind w:firstLine="480" w:firstLineChars="200"/>
      </w:pPr>
      <w:r>
        <w:rPr>
          <w:rFonts w:hint="eastAsia"/>
        </w:rPr>
        <w:t>4、供应商已详细审查全部采购文件，包括采购文件补充文件（如果有的话）。我方完全理解并同意放弃对这方面有不明及误解的权力。如果采购文件有相互矛盾之处，我方同意按采购人的理解处理。</w:t>
      </w:r>
    </w:p>
    <w:p w14:paraId="3FFDCD07">
      <w:pPr>
        <w:ind w:firstLine="480" w:firstLineChars="200"/>
      </w:pPr>
      <w:r>
        <w:rPr>
          <w:rFonts w:hint="eastAsia"/>
        </w:rPr>
        <w:t>5、利益冲突：近三年内直至目前，我公司与本项目的采购人、采购机构没有任何的隶属关系。</w:t>
      </w:r>
    </w:p>
    <w:p w14:paraId="5EC0A721">
      <w:pPr>
        <w:ind w:firstLine="480" w:firstLineChars="200"/>
      </w:pPr>
      <w:r>
        <w:rPr>
          <w:rFonts w:hint="eastAsia"/>
        </w:rPr>
        <w:t>6、我公司没有被本项目所在地的政府采购管理部门限制参加报价。</w:t>
      </w:r>
    </w:p>
    <w:p w14:paraId="4E8EAF26">
      <w:pPr>
        <w:ind w:firstLine="480" w:firstLineChars="200"/>
      </w:pPr>
      <w:r>
        <w:rPr>
          <w:rFonts w:hint="eastAsia"/>
        </w:rPr>
        <w:t>7、愿意向贵方提供任何与该项报价有关的数据、情况和技术资料，完全理解贵方不一定接受最低价的报价或收到的任何报价。</w:t>
      </w:r>
    </w:p>
    <w:p w14:paraId="7B8BCA6B">
      <w:pPr>
        <w:ind w:firstLine="480" w:firstLineChars="200"/>
      </w:pPr>
      <w:r>
        <w:rPr>
          <w:rFonts w:hint="eastAsia"/>
        </w:rPr>
        <w:t>8、本报价文件自报价之日起90天内有效。</w:t>
      </w:r>
    </w:p>
    <w:p w14:paraId="66F5D744">
      <w:pPr>
        <w:ind w:firstLine="480" w:firstLineChars="200"/>
      </w:pPr>
      <w:r>
        <w:rPr>
          <w:rFonts w:hint="eastAsia"/>
        </w:rPr>
        <w:t>9、兹证明上述声明是真实的、正确的，并提供了全部能提供的资料和数据，我们同意遵照贵方要求出示有关证明文件。</w:t>
      </w:r>
    </w:p>
    <w:p w14:paraId="6DDEE0AC">
      <w:pPr>
        <w:ind w:firstLine="480" w:firstLineChars="200"/>
      </w:pPr>
      <w:r>
        <w:rPr>
          <w:rFonts w:hint="eastAsia"/>
        </w:rPr>
        <w:t>以上事项如有虚假或隐瞒，我方愿意承担一切后果，并不再寻求任何旨在减轻或免除法律责任的辩解。</w:t>
      </w:r>
    </w:p>
    <w:p w14:paraId="7D97A71E">
      <w:r>
        <w:rPr>
          <w:rFonts w:hint="eastAsia"/>
        </w:rPr>
        <w:t>投标供应商全称（盖章）：</w:t>
      </w:r>
      <w:r>
        <w:rPr>
          <w:rFonts w:hint="eastAsia"/>
          <w:u w:val="single"/>
        </w:rPr>
        <w:t xml:space="preserve">                       </w:t>
      </w:r>
    </w:p>
    <w:p w14:paraId="0D37CDFF">
      <w:r>
        <w:rPr>
          <w:rFonts w:hint="eastAsia"/>
        </w:rPr>
        <w:t>法定代表人（签字或盖章）：</w:t>
      </w:r>
      <w:r>
        <w:rPr>
          <w:rFonts w:hint="eastAsia"/>
          <w:u w:val="single"/>
        </w:rPr>
        <w:t xml:space="preserve">                     </w:t>
      </w:r>
      <w:r>
        <w:rPr>
          <w:rFonts w:hint="eastAsia"/>
        </w:rPr>
        <w:t xml:space="preserve">      </w:t>
      </w:r>
    </w:p>
    <w:p w14:paraId="0F7843A4">
      <w:r>
        <w:rPr>
          <w:rFonts w:hint="eastAsia"/>
        </w:rPr>
        <w:t>日   期：</w:t>
      </w:r>
      <w:r>
        <w:rPr>
          <w:rFonts w:hint="eastAsia"/>
          <w:u w:val="single"/>
        </w:rPr>
        <w:t xml:space="preserve">                     </w:t>
      </w:r>
    </w:p>
    <w:p w14:paraId="4427454C">
      <w:pPr>
        <w:widowControl/>
        <w:spacing w:line="240" w:lineRule="auto"/>
        <w:jc w:val="left"/>
      </w:pPr>
      <w:r>
        <w:br w:type="page"/>
      </w:r>
    </w:p>
    <w:p w14:paraId="2D0766C9">
      <w:pPr>
        <w:jc w:val="center"/>
        <w:rPr>
          <w:b/>
          <w:bCs/>
        </w:rPr>
      </w:pPr>
      <w:r>
        <w:rPr>
          <w:rFonts w:hint="eastAsia"/>
          <w:b/>
          <w:bCs/>
        </w:rPr>
        <w:t>开标一览表（投标报价一览表）</w:t>
      </w:r>
    </w:p>
    <w:p w14:paraId="444D9174">
      <w:pPr>
        <w:rPr>
          <w:b/>
        </w:rPr>
      </w:pPr>
    </w:p>
    <w:p w14:paraId="7E643823">
      <w:pPr>
        <w:rPr>
          <w:u w:val="single"/>
        </w:rPr>
      </w:pPr>
      <w:r>
        <w:rPr>
          <w:rFonts w:hint="eastAsia"/>
        </w:rPr>
        <w:t>项目编号：</w:t>
      </w:r>
      <w:r>
        <w:rPr>
          <w:u w:val="single"/>
        </w:rPr>
        <w:t xml:space="preserve">       </w:t>
      </w:r>
      <w:r>
        <w:rPr>
          <w:rFonts w:hint="eastAsia"/>
          <w:u w:val="single"/>
        </w:rPr>
        <w:t xml:space="preserve">   </w:t>
      </w:r>
      <w:r>
        <w:rPr>
          <w:u w:val="single"/>
        </w:rPr>
        <w:t xml:space="preserve"> </w:t>
      </w:r>
      <w:r>
        <w:t xml:space="preserve">  </w:t>
      </w:r>
      <w:r>
        <w:rPr>
          <w:rFonts w:hint="eastAsia"/>
        </w:rPr>
        <w:t xml:space="preserve">                       项目名称：</w:t>
      </w:r>
      <w:r>
        <w:rPr>
          <w:u w:val="single"/>
        </w:rPr>
        <w:t xml:space="preserve">       </w:t>
      </w:r>
      <w:r>
        <w:rPr>
          <w:rFonts w:hint="eastAsia"/>
          <w:u w:val="single"/>
        </w:rPr>
        <w:t xml:space="preserve">    </w:t>
      </w:r>
      <w:r>
        <w:rPr>
          <w:u w:val="single"/>
        </w:rPr>
        <w:t xml:space="preserve">  </w:t>
      </w:r>
    </w:p>
    <w:p w14:paraId="134E7A9A">
      <w:r>
        <w:rPr>
          <w:rFonts w:hint="eastAsia"/>
        </w:rPr>
        <w:t>供应商名称：</w:t>
      </w:r>
      <w:r>
        <w:rPr>
          <w:u w:val="single"/>
        </w:rPr>
        <w:t xml:space="preserve">          </w:t>
      </w:r>
      <w:r>
        <w:t xml:space="preserve">    </w:t>
      </w:r>
      <w:r>
        <w:rPr>
          <w:rFonts w:hint="eastAsia"/>
        </w:rPr>
        <w:t xml:space="preserve">           </w:t>
      </w:r>
      <w:r>
        <w:t xml:space="preserve"> </w:t>
      </w:r>
      <w:r>
        <w:rPr>
          <w:rFonts w:hint="eastAsia"/>
        </w:rPr>
        <w:t xml:space="preserve">       </w:t>
      </w:r>
      <w:r>
        <w:t xml:space="preserve"> </w:t>
      </w:r>
      <w:r>
        <w:rPr>
          <w:rFonts w:hint="eastAsia"/>
        </w:rPr>
        <w:t>单位：%</w:t>
      </w:r>
    </w:p>
    <w:tbl>
      <w:tblPr>
        <w:tblStyle w:val="21"/>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5"/>
        <w:gridCol w:w="3543"/>
        <w:gridCol w:w="2643"/>
        <w:gridCol w:w="2268"/>
      </w:tblGrid>
      <w:tr w14:paraId="24FB7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14:paraId="512B730A">
            <w:pPr>
              <w:rPr>
                <w:b/>
              </w:rPr>
            </w:pPr>
            <w:r>
              <w:rPr>
                <w:rFonts w:hint="eastAsia"/>
                <w:b/>
              </w:rPr>
              <w:t>序号</w:t>
            </w:r>
          </w:p>
        </w:tc>
        <w:tc>
          <w:tcPr>
            <w:tcW w:w="3543" w:type="dxa"/>
            <w:tcBorders>
              <w:top w:val="single" w:color="auto" w:sz="4" w:space="0"/>
              <w:left w:val="single" w:color="auto" w:sz="4" w:space="0"/>
              <w:bottom w:val="single" w:color="auto" w:sz="4" w:space="0"/>
              <w:right w:val="single" w:color="auto" w:sz="4" w:space="0"/>
            </w:tcBorders>
            <w:vAlign w:val="center"/>
          </w:tcPr>
          <w:p w14:paraId="79B25F16">
            <w:pPr>
              <w:rPr>
                <w:b/>
              </w:rPr>
            </w:pPr>
            <w:r>
              <w:rPr>
                <w:rFonts w:hint="eastAsia"/>
                <w:b/>
              </w:rPr>
              <w:t>名称</w:t>
            </w:r>
          </w:p>
        </w:tc>
        <w:tc>
          <w:tcPr>
            <w:tcW w:w="2643" w:type="dxa"/>
            <w:tcBorders>
              <w:top w:val="single" w:color="auto" w:sz="4" w:space="0"/>
              <w:left w:val="single" w:color="auto" w:sz="4" w:space="0"/>
              <w:bottom w:val="single" w:color="auto" w:sz="4" w:space="0"/>
              <w:right w:val="single" w:color="auto" w:sz="4" w:space="0"/>
            </w:tcBorders>
            <w:vAlign w:val="center"/>
          </w:tcPr>
          <w:p w14:paraId="3ED69EB3">
            <w:pPr>
              <w:rPr>
                <w:b/>
              </w:rPr>
            </w:pPr>
            <w:r>
              <w:rPr>
                <w:rFonts w:hint="eastAsia"/>
                <w:b/>
              </w:rPr>
              <w:t>投标折扣</w:t>
            </w:r>
          </w:p>
          <w:p w14:paraId="7245C2BB">
            <w:pPr>
              <w:rPr>
                <w:b/>
              </w:rPr>
            </w:pPr>
            <w:r>
              <w:rPr>
                <w:rFonts w:hint="eastAsia"/>
                <w:b/>
              </w:rPr>
              <w:t>（%）</w:t>
            </w:r>
          </w:p>
        </w:tc>
        <w:tc>
          <w:tcPr>
            <w:tcW w:w="2268" w:type="dxa"/>
            <w:tcBorders>
              <w:top w:val="single" w:color="auto" w:sz="4" w:space="0"/>
              <w:left w:val="single" w:color="auto" w:sz="4" w:space="0"/>
              <w:bottom w:val="single" w:color="auto" w:sz="4" w:space="0"/>
              <w:right w:val="single" w:color="auto" w:sz="4" w:space="0"/>
            </w:tcBorders>
            <w:vAlign w:val="center"/>
          </w:tcPr>
          <w:p w14:paraId="1F5806C6">
            <w:pPr>
              <w:rPr>
                <w:b/>
              </w:rPr>
            </w:pPr>
            <w:r>
              <w:rPr>
                <w:rFonts w:hint="eastAsia"/>
                <w:b/>
              </w:rPr>
              <w:t>备注</w:t>
            </w:r>
          </w:p>
        </w:tc>
      </w:tr>
      <w:tr w14:paraId="57942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4"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14:paraId="341C316F">
            <w:r>
              <w:rPr>
                <w:rFonts w:hint="eastAsia"/>
              </w:rPr>
              <w:t>1</w:t>
            </w:r>
          </w:p>
        </w:tc>
        <w:tc>
          <w:tcPr>
            <w:tcW w:w="3543" w:type="dxa"/>
            <w:tcBorders>
              <w:top w:val="single" w:color="auto" w:sz="4" w:space="0"/>
              <w:left w:val="single" w:color="auto" w:sz="4" w:space="0"/>
              <w:bottom w:val="single" w:color="auto" w:sz="4" w:space="0"/>
              <w:right w:val="single" w:color="auto" w:sz="4" w:space="0"/>
            </w:tcBorders>
            <w:vAlign w:val="center"/>
          </w:tcPr>
          <w:p w14:paraId="08CAF0B6"/>
        </w:tc>
        <w:tc>
          <w:tcPr>
            <w:tcW w:w="2643" w:type="dxa"/>
            <w:tcBorders>
              <w:top w:val="single" w:color="auto" w:sz="4" w:space="0"/>
              <w:left w:val="single" w:color="auto" w:sz="4" w:space="0"/>
              <w:bottom w:val="single" w:color="auto" w:sz="4" w:space="0"/>
              <w:right w:val="single" w:color="auto" w:sz="4" w:space="0"/>
            </w:tcBorders>
            <w:vAlign w:val="center"/>
          </w:tcPr>
          <w:p w14:paraId="075D19DA">
            <w:r>
              <w:rPr>
                <w:rFonts w:hint="eastAsia"/>
              </w:rPr>
              <w:t xml:space="preserve">       </w:t>
            </w:r>
          </w:p>
        </w:tc>
        <w:tc>
          <w:tcPr>
            <w:tcW w:w="2268" w:type="dxa"/>
            <w:tcBorders>
              <w:top w:val="single" w:color="auto" w:sz="4" w:space="0"/>
              <w:left w:val="single" w:color="auto" w:sz="4" w:space="0"/>
              <w:bottom w:val="single" w:color="auto" w:sz="4" w:space="0"/>
              <w:right w:val="single" w:color="auto" w:sz="4" w:space="0"/>
            </w:tcBorders>
            <w:vAlign w:val="center"/>
          </w:tcPr>
          <w:p w14:paraId="4882D46E"/>
        </w:tc>
      </w:tr>
      <w:tr w14:paraId="03E36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9" w:hRule="atLeast"/>
          <w:jc w:val="center"/>
        </w:trPr>
        <w:tc>
          <w:tcPr>
            <w:tcW w:w="9209" w:type="dxa"/>
            <w:gridSpan w:val="4"/>
            <w:tcBorders>
              <w:top w:val="single" w:color="auto" w:sz="4" w:space="0"/>
              <w:left w:val="single" w:color="auto" w:sz="4" w:space="0"/>
              <w:bottom w:val="single" w:color="auto" w:sz="4" w:space="0"/>
              <w:right w:val="single" w:color="auto" w:sz="4" w:space="0"/>
            </w:tcBorders>
            <w:vAlign w:val="center"/>
          </w:tcPr>
          <w:p w14:paraId="05B35ADA">
            <w:pPr>
              <w:rPr>
                <w:b/>
                <w:bCs/>
              </w:rPr>
            </w:pPr>
            <w:r>
              <w:rPr>
                <w:rFonts w:hint="eastAsia"/>
              </w:rPr>
              <w:t>注：1、</w:t>
            </w:r>
            <w:r>
              <w:rPr>
                <w:rFonts w:hint="eastAsia"/>
                <w:b/>
                <w:bCs/>
              </w:rPr>
              <w:t>本次投标设最高限价为浙江省施工图联合审查结算标准折扣95%，各供应商的投标折扣不得超过本次最高折扣，否则按无效标处理。</w:t>
            </w:r>
          </w:p>
          <w:p w14:paraId="05F5AB4B">
            <w:r>
              <w:rPr>
                <w:rFonts w:hint="eastAsia"/>
              </w:rPr>
              <w:t>2、本项目结算时，审查费用根据实际完成工作量按浙江省施工图联合审查结算标准×投标折扣计取。</w:t>
            </w:r>
          </w:p>
        </w:tc>
      </w:tr>
    </w:tbl>
    <w:p w14:paraId="6FB35A1C">
      <w:r>
        <w:rPr>
          <w:rFonts w:hint="eastAsia"/>
        </w:rPr>
        <w:t>注</w:t>
      </w:r>
      <w:r>
        <w:t>: 1</w:t>
      </w:r>
      <w:r>
        <w:rPr>
          <w:rFonts w:hint="eastAsia"/>
        </w:rPr>
        <w:t>、报价一经涂改，应在涂改处加盖单位公章或者由法定代表人或其授权委托人签字或盖章，否则其投标作无效标处理。</w:t>
      </w:r>
    </w:p>
    <w:p w14:paraId="78492C36">
      <w:r>
        <w:t>2</w:t>
      </w:r>
      <w:r>
        <w:rPr>
          <w:rFonts w:hint="eastAsia"/>
        </w:rPr>
        <w:t>、投标费用包括项目实施所需的一切可能发生的费用。</w:t>
      </w:r>
    </w:p>
    <w:p w14:paraId="589A66C1">
      <w:pPr>
        <w:widowControl/>
        <w:spacing w:line="240" w:lineRule="auto"/>
        <w:jc w:val="left"/>
      </w:pPr>
      <w:r>
        <w:br w:type="page"/>
      </w:r>
    </w:p>
    <w:p w14:paraId="7359107C">
      <w:pPr>
        <w:jc w:val="center"/>
        <w:rPr>
          <w:b/>
          <w:bCs/>
          <w:sz w:val="28"/>
          <w:szCs w:val="28"/>
        </w:rPr>
      </w:pPr>
      <w:bookmarkStart w:id="26" w:name="bookmark32"/>
      <w:bookmarkStart w:id="27" w:name="bookmark33"/>
      <w:bookmarkStart w:id="28" w:name="bookmark34"/>
      <w:r>
        <w:rPr>
          <w:rFonts w:hint="eastAsia"/>
          <w:b/>
          <w:bCs/>
          <w:sz w:val="28"/>
          <w:szCs w:val="28"/>
        </w:rPr>
        <w:t>中小企业声明函（工程、服务）</w:t>
      </w:r>
      <w:bookmarkEnd w:id="26"/>
      <w:bookmarkEnd w:id="27"/>
      <w:bookmarkEnd w:id="28"/>
    </w:p>
    <w:p w14:paraId="67DBBAED">
      <w:pPr>
        <w:ind w:firstLine="480" w:firstLineChars="200"/>
        <w:rPr>
          <w:lang w:bidi="zh-TW"/>
        </w:rPr>
      </w:pPr>
      <w:r>
        <w:rPr>
          <w:rFonts w:hint="eastAsia"/>
          <w:lang w:bidi="zh-TW"/>
        </w:rPr>
        <w:t>本公司（联合体）郑重声明，根据《政府采购促进中小企业发展管理办法》（财库</w:t>
      </w:r>
      <w:r>
        <w:rPr>
          <w:rFonts w:hint="eastAsia"/>
        </w:rPr>
        <w:t>财库[2020]46号</w:t>
      </w:r>
      <w:r>
        <w:rPr>
          <w:rFonts w:hint="eastAsia"/>
          <w:lang w:bidi="zh-TW"/>
        </w:rPr>
        <w:t>）的规定，本公司（联合体）参加</w:t>
      </w:r>
      <w:r>
        <w:rPr>
          <w:rFonts w:hint="eastAsia"/>
          <w:i/>
          <w:iCs/>
          <w:u w:val="single"/>
          <w:lang w:bidi="zh-TW"/>
        </w:rPr>
        <w:t>（单位名称）</w:t>
      </w:r>
      <w:r>
        <w:rPr>
          <w:rFonts w:hint="eastAsia"/>
          <w:lang w:bidi="zh-TW"/>
        </w:rPr>
        <w:t>的</w:t>
      </w:r>
      <w:r>
        <w:rPr>
          <w:rFonts w:hint="eastAsia"/>
          <w:i/>
          <w:iCs/>
          <w:u w:val="single"/>
          <w:lang w:bidi="zh-TW"/>
        </w:rPr>
        <w:t>（项目名称）</w:t>
      </w:r>
      <w:r>
        <w:rPr>
          <w:rFonts w:hint="eastAsia"/>
          <w:lang w:bidi="zh-TW"/>
        </w:rPr>
        <w:t>采购活动，工程的施工单位全部为符合政策要求的中小企业（或者：服务全部由符合政策要求的中小企业承接）。相关企业（含联合体中的中小企业、签订分包意向协议的中小企业）的具体情况如下：</w:t>
      </w:r>
      <w:bookmarkStart w:id="29" w:name="bookmark35"/>
      <w:bookmarkEnd w:id="29"/>
    </w:p>
    <w:p w14:paraId="22A05A6C">
      <w:pPr>
        <w:ind w:firstLine="480" w:firstLineChars="200"/>
        <w:rPr>
          <w:lang w:bidi="zh-TW"/>
        </w:rPr>
      </w:pPr>
      <w:r>
        <w:rPr>
          <w:rFonts w:hint="eastAsia"/>
          <w:lang w:bidi="zh-TW"/>
        </w:rPr>
        <w:t>1</w:t>
      </w:r>
      <w:r>
        <w:rPr>
          <w:lang w:bidi="zh-TW"/>
        </w:rPr>
        <w:t>.</w:t>
      </w:r>
      <w:r>
        <w:rPr>
          <w:rFonts w:hint="eastAsia"/>
          <w:u w:val="single"/>
          <w:lang w:bidi="zh-TW"/>
        </w:rPr>
        <w:t>（标的名称）</w:t>
      </w:r>
      <w:r>
        <w:rPr>
          <w:rFonts w:hint="eastAsia"/>
          <w:lang w:bidi="zh-TW"/>
        </w:rPr>
        <w:t>,属于</w:t>
      </w:r>
      <w:r>
        <w:rPr>
          <w:rFonts w:hint="eastAsia"/>
          <w:u w:val="single"/>
          <w:lang w:bidi="zh-TW"/>
        </w:rPr>
        <w:t>（采购文件中明确的所属行业）</w:t>
      </w:r>
      <w:r>
        <w:rPr>
          <w:rFonts w:hint="eastAsia"/>
          <w:lang w:bidi="zh-TW"/>
        </w:rPr>
        <w:t>；承建（承接）企业为</w:t>
      </w:r>
      <w:r>
        <w:rPr>
          <w:rFonts w:hint="eastAsia"/>
          <w:u w:val="single"/>
          <w:lang w:bidi="zh-TW"/>
        </w:rPr>
        <w:t>（企业名称）</w:t>
      </w:r>
      <w:r>
        <w:rPr>
          <w:rFonts w:hint="eastAsia"/>
          <w:lang w:bidi="zh-TW"/>
        </w:rPr>
        <w:t>,从业人员</w:t>
      </w:r>
      <w:r>
        <w:rPr>
          <w:rFonts w:hint="eastAsia"/>
          <w:u w:val="single"/>
          <w:lang w:bidi="zh-TW"/>
        </w:rPr>
        <w:t xml:space="preserve"> </w:t>
      </w:r>
      <w:r>
        <w:rPr>
          <w:u w:val="single"/>
          <w:lang w:bidi="zh-TW"/>
        </w:rPr>
        <w:t xml:space="preserve">   </w:t>
      </w:r>
      <w:r>
        <w:rPr>
          <w:rFonts w:hint="eastAsia"/>
          <w:lang w:bidi="zh-TW"/>
        </w:rPr>
        <w:t>人，营业收入为</w:t>
      </w:r>
      <w:r>
        <w:rPr>
          <w:rFonts w:hint="eastAsia"/>
          <w:u w:val="single"/>
        </w:rPr>
        <w:t xml:space="preserve">    </w:t>
      </w:r>
      <w:r>
        <w:rPr>
          <w:rFonts w:hint="eastAsia"/>
          <w:lang w:bidi="zh-TW"/>
        </w:rPr>
        <w:t>万元，资产总额为</w:t>
      </w:r>
      <w:r>
        <w:rPr>
          <w:rFonts w:hint="eastAsia"/>
          <w:u w:val="single"/>
        </w:rPr>
        <w:t xml:space="preserve">    </w:t>
      </w:r>
      <w:r>
        <w:rPr>
          <w:rFonts w:hint="eastAsia"/>
          <w:lang w:bidi="zh-TW"/>
        </w:rPr>
        <w:t>万元</w:t>
      </w:r>
      <w:r>
        <w:rPr>
          <w:rFonts w:hint="eastAsia"/>
          <w:lang w:bidi="en-US"/>
        </w:rPr>
        <w:t>，</w:t>
      </w:r>
      <w:r>
        <w:rPr>
          <w:rFonts w:hint="eastAsia"/>
          <w:lang w:bidi="zh-TW"/>
        </w:rPr>
        <w:t>属于</w:t>
      </w:r>
      <w:r>
        <w:rPr>
          <w:rFonts w:hint="eastAsia"/>
          <w:u w:val="single"/>
          <w:lang w:bidi="zh-TW"/>
        </w:rPr>
        <w:t>（中型企业、小型企业、微型企业）</w:t>
      </w:r>
      <w:bookmarkStart w:id="30" w:name="bookmark36"/>
      <w:bookmarkEnd w:id="30"/>
      <w:r>
        <w:rPr>
          <w:rFonts w:hint="eastAsia"/>
          <w:lang w:bidi="zh-TW"/>
        </w:rPr>
        <w:t>；</w:t>
      </w:r>
    </w:p>
    <w:p w14:paraId="5AFC01A3">
      <w:pPr>
        <w:ind w:firstLine="480" w:firstLineChars="200"/>
        <w:rPr>
          <w:lang w:bidi="zh-TW"/>
        </w:rPr>
      </w:pPr>
      <w:r>
        <w:rPr>
          <w:rFonts w:hint="eastAsia"/>
          <w:lang w:bidi="zh-TW"/>
        </w:rPr>
        <w:t>2</w:t>
      </w:r>
      <w:r>
        <w:rPr>
          <w:lang w:bidi="zh-TW"/>
        </w:rPr>
        <w:t>.</w:t>
      </w:r>
      <w:r>
        <w:rPr>
          <w:rFonts w:hint="eastAsia"/>
          <w:u w:val="single"/>
          <w:lang w:bidi="zh-TW"/>
        </w:rPr>
        <w:t>（标的名称）</w:t>
      </w:r>
      <w:r>
        <w:rPr>
          <w:rFonts w:hint="eastAsia"/>
          <w:lang w:bidi="zh-TW"/>
        </w:rPr>
        <w:t>,属于</w:t>
      </w:r>
      <w:r>
        <w:rPr>
          <w:rFonts w:hint="eastAsia"/>
          <w:u w:val="single"/>
          <w:lang w:bidi="zh-TW"/>
        </w:rPr>
        <w:t>（采购文件中明确的所属行业）</w:t>
      </w:r>
      <w:r>
        <w:rPr>
          <w:rFonts w:hint="eastAsia"/>
          <w:lang w:bidi="zh-TW"/>
        </w:rPr>
        <w:t>；承建（承接）企业为</w:t>
      </w:r>
      <w:r>
        <w:rPr>
          <w:rFonts w:hint="eastAsia"/>
          <w:u w:val="single"/>
          <w:lang w:bidi="zh-TW"/>
        </w:rPr>
        <w:t>（企业名称）</w:t>
      </w:r>
      <w:r>
        <w:rPr>
          <w:rFonts w:hint="eastAsia"/>
          <w:lang w:bidi="zh-TW"/>
        </w:rPr>
        <w:t>,从业人员</w:t>
      </w:r>
      <w:r>
        <w:rPr>
          <w:rFonts w:hint="eastAsia"/>
          <w:u w:val="single"/>
          <w:lang w:bidi="zh-TW"/>
        </w:rPr>
        <w:t xml:space="preserve"> </w:t>
      </w:r>
      <w:r>
        <w:rPr>
          <w:u w:val="single"/>
          <w:lang w:bidi="zh-TW"/>
        </w:rPr>
        <w:t xml:space="preserve">   </w:t>
      </w:r>
      <w:r>
        <w:rPr>
          <w:rFonts w:hint="eastAsia"/>
          <w:lang w:bidi="zh-TW"/>
        </w:rPr>
        <w:t>人，营业 收入为</w:t>
      </w:r>
      <w:r>
        <w:rPr>
          <w:rFonts w:hint="eastAsia"/>
          <w:u w:val="single"/>
        </w:rPr>
        <w:t xml:space="preserve">    </w:t>
      </w:r>
      <w:r>
        <w:rPr>
          <w:rFonts w:hint="eastAsia"/>
          <w:lang w:bidi="zh-TW"/>
        </w:rPr>
        <w:t>万元，资产总额为</w:t>
      </w:r>
      <w:r>
        <w:rPr>
          <w:rFonts w:hint="eastAsia"/>
          <w:u w:val="single"/>
        </w:rPr>
        <w:t xml:space="preserve">    </w:t>
      </w:r>
      <w:r>
        <w:rPr>
          <w:rFonts w:hint="eastAsia"/>
          <w:lang w:bidi="zh-TW"/>
        </w:rPr>
        <w:t>万元，属于</w:t>
      </w:r>
      <w:r>
        <w:rPr>
          <w:rFonts w:hint="eastAsia"/>
          <w:u w:val="single"/>
          <w:lang w:bidi="zh-TW"/>
        </w:rPr>
        <w:t>（中型企业、小型企业、微型企</w:t>
      </w:r>
      <w:r>
        <w:rPr>
          <w:rFonts w:hint="eastAsia"/>
          <w:u w:val="single"/>
          <w:lang w:bidi="zh-CN"/>
        </w:rPr>
        <w:t>业）</w:t>
      </w:r>
      <w:r>
        <w:rPr>
          <w:rFonts w:hint="eastAsia"/>
          <w:lang w:bidi="zh-CN"/>
        </w:rPr>
        <w:t>；</w:t>
      </w:r>
    </w:p>
    <w:p w14:paraId="093B1F79">
      <w:pPr>
        <w:ind w:firstLine="480" w:firstLineChars="200"/>
      </w:pPr>
      <w:r>
        <w:rPr>
          <w:rFonts w:hint="eastAsia"/>
        </w:rPr>
        <w:t>……</w:t>
      </w:r>
    </w:p>
    <w:p w14:paraId="2071E8BE">
      <w:pPr>
        <w:ind w:firstLine="480" w:firstLineChars="200"/>
        <w:rPr>
          <w:lang w:bidi="zh-TW"/>
        </w:rPr>
      </w:pPr>
      <w:r>
        <w:rPr>
          <w:rFonts w:hint="eastAsia"/>
          <w:lang w:bidi="zh-TW"/>
        </w:rPr>
        <w:t>以上企业，不属于大企业的分支机构，不存在控股股东为大企业的情形，也不存在与大企业的负责人为同一人的情形。</w:t>
      </w:r>
    </w:p>
    <w:p w14:paraId="32E39BC1">
      <w:pPr>
        <w:ind w:firstLine="480" w:firstLineChars="200"/>
        <w:rPr>
          <w:lang w:bidi="zh-TW"/>
        </w:rPr>
      </w:pPr>
      <w:r>
        <w:rPr>
          <w:rFonts w:hint="eastAsia"/>
          <w:lang w:bidi="zh-TW"/>
        </w:rPr>
        <w:t>本企业对上述声明内容的真实性负责。如有虚假，将依法承担相应责任。</w:t>
      </w:r>
    </w:p>
    <w:p w14:paraId="54AD2E11">
      <w:pPr>
        <w:rPr>
          <w:lang w:bidi="zh-TW"/>
        </w:rPr>
      </w:pPr>
      <w:r>
        <w:rPr>
          <w:rFonts w:hint="eastAsia"/>
        </w:rPr>
        <w:t xml:space="preserve">                                </w:t>
      </w:r>
      <w:r>
        <w:rPr>
          <w:rFonts w:hint="eastAsia"/>
          <w:lang w:bidi="zh-TW"/>
        </w:rPr>
        <w:t>企业名称（盖章）：</w:t>
      </w:r>
    </w:p>
    <w:p w14:paraId="6DC36C15">
      <w:pPr>
        <w:rPr>
          <w:lang w:bidi="zh-TW"/>
        </w:rPr>
      </w:pPr>
      <w:r>
        <w:rPr>
          <w:rFonts w:hint="eastAsia"/>
        </w:rPr>
        <w:t xml:space="preserve">                  </w:t>
      </w:r>
      <w:r>
        <w:t xml:space="preserve">            </w:t>
      </w:r>
      <w:r>
        <w:rPr>
          <w:rFonts w:hint="eastAsia"/>
        </w:rPr>
        <w:t xml:space="preserve">  </w:t>
      </w:r>
      <w:r>
        <w:rPr>
          <w:rFonts w:hint="eastAsia"/>
          <w:lang w:bidi="zh-TW"/>
        </w:rPr>
        <w:t>日期：</w:t>
      </w:r>
    </w:p>
    <w:p w14:paraId="330C0581"/>
    <w:p w14:paraId="3340E05C">
      <w:r>
        <w:rPr>
          <w:rFonts w:hint="eastAsia"/>
        </w:rPr>
        <w:t>注：从业人员、营业收入、资产总额填报上一年度数据，无上一年度数据的新成立企业可不填报。</w:t>
      </w:r>
    </w:p>
    <w:p w14:paraId="7ADFD543">
      <w:pPr>
        <w:jc w:val="center"/>
        <w:rPr>
          <w:b/>
          <w:bCs/>
          <w:sz w:val="28"/>
          <w:szCs w:val="28"/>
        </w:rPr>
      </w:pPr>
      <w:r>
        <w:rPr>
          <w:rFonts w:hint="eastAsia"/>
          <w:b/>
          <w:bCs/>
          <w:sz w:val="28"/>
          <w:szCs w:val="28"/>
        </w:rPr>
        <w:br w:type="page"/>
      </w:r>
    </w:p>
    <w:p w14:paraId="4C09BB9A">
      <w:pPr>
        <w:jc w:val="center"/>
        <w:rPr>
          <w:b/>
          <w:bCs/>
        </w:rPr>
      </w:pPr>
      <w:r>
        <w:rPr>
          <w:rFonts w:hint="eastAsia"/>
          <w:b/>
          <w:bCs/>
        </w:rPr>
        <w:t>监狱企业声明函</w:t>
      </w:r>
    </w:p>
    <w:p w14:paraId="3A6E89FD">
      <w:pPr>
        <w:jc w:val="center"/>
        <w:rPr>
          <w:b/>
          <w:bCs/>
        </w:rPr>
      </w:pPr>
      <w:r>
        <w:rPr>
          <w:rFonts w:hint="eastAsia"/>
          <w:b/>
          <w:bCs/>
        </w:rPr>
        <w:t>【非监狱企业的不用提供】</w:t>
      </w:r>
    </w:p>
    <w:p w14:paraId="54AAB2D8">
      <w:pPr>
        <w:ind w:firstLine="480" w:firstLineChars="200"/>
      </w:pPr>
      <w:r>
        <w:rPr>
          <w:rFonts w:hint="eastAsia"/>
        </w:rPr>
        <w:t>本企业郑重声明，根据《关于政府采购支持监狱企业发展有关问题的通知》(财库[2014]68号）的规定，本企业为监狱企业。</w:t>
      </w:r>
    </w:p>
    <w:p w14:paraId="3061DC6E">
      <w:pPr>
        <w:ind w:firstLine="480" w:firstLineChars="200"/>
        <w:rPr>
          <w:u w:val="single"/>
        </w:rPr>
      </w:pPr>
      <w:r>
        <w:rPr>
          <w:rFonts w:hint="eastAsia"/>
        </w:rPr>
        <w:t>根据上述标准，我企业属于监狱企业的理由为:</w:t>
      </w:r>
      <w:r>
        <w:rPr>
          <w:rFonts w:hint="eastAsia"/>
          <w:u w:val="single"/>
        </w:rPr>
        <w:t xml:space="preserve">              </w:t>
      </w:r>
    </w:p>
    <w:p w14:paraId="0244F14E">
      <w:pPr>
        <w:ind w:firstLine="480" w:firstLineChars="200"/>
      </w:pPr>
      <w:r>
        <w:rPr>
          <w:rFonts w:hint="eastAsia"/>
        </w:rPr>
        <w:t>本企业为参加(项目名称</w:t>
      </w:r>
      <w:r>
        <w:rPr>
          <w:rFonts w:hint="eastAsia"/>
          <w:u w:val="single"/>
        </w:rPr>
        <w:t xml:space="preserve">          </w:t>
      </w:r>
      <w:r>
        <w:rPr>
          <w:rFonts w:hint="eastAsia"/>
        </w:rPr>
        <w:t>) (项目编号:</w:t>
      </w:r>
      <w:r>
        <w:rPr>
          <w:rFonts w:hint="eastAsia"/>
          <w:u w:val="single"/>
        </w:rPr>
        <w:t xml:space="preserve">       </w:t>
      </w:r>
      <w:r>
        <w:rPr>
          <w:rFonts w:hint="eastAsia"/>
        </w:rPr>
        <w:t>)采购活动提供本企业的产品。</w:t>
      </w:r>
    </w:p>
    <w:p w14:paraId="54B32C30">
      <w:pPr>
        <w:ind w:firstLine="480" w:firstLineChars="200"/>
      </w:pPr>
      <w:r>
        <w:rPr>
          <w:rFonts w:hint="eastAsia"/>
        </w:rPr>
        <w:t>本企业对上述声明的真实性负责。如有虚假，将依法承担相应责任。</w:t>
      </w:r>
    </w:p>
    <w:p w14:paraId="3A747676"/>
    <w:p w14:paraId="68C40202"/>
    <w:p w14:paraId="6BB76BC5">
      <w:pPr>
        <w:ind w:firstLine="480"/>
      </w:pPr>
      <w:r>
        <w:rPr>
          <w:rFonts w:hint="eastAsia"/>
        </w:rPr>
        <w:t>供应商名称(盖章) : 日期:</w:t>
      </w:r>
      <w:r>
        <w:rPr>
          <w:rFonts w:hint="eastAsia"/>
        </w:rPr>
        <w:tab/>
      </w:r>
      <w:r>
        <w:rPr>
          <w:rFonts w:hint="eastAsia"/>
        </w:rPr>
        <w:t>年</w:t>
      </w:r>
      <w:r>
        <w:rPr>
          <w:rFonts w:hint="eastAsia"/>
        </w:rPr>
        <w:tab/>
      </w:r>
      <w:r>
        <w:rPr>
          <w:rFonts w:hint="eastAsia"/>
        </w:rPr>
        <w:t>月</w:t>
      </w:r>
      <w:r>
        <w:rPr>
          <w:rFonts w:hint="eastAsia"/>
        </w:rPr>
        <w:tab/>
      </w:r>
      <w:r>
        <w:rPr>
          <w:rFonts w:hint="eastAsia"/>
        </w:rPr>
        <w:t>日</w:t>
      </w:r>
    </w:p>
    <w:p w14:paraId="0DF965B6"/>
    <w:p w14:paraId="1372F630"/>
    <w:p w14:paraId="74B241D3"/>
    <w:p w14:paraId="324AEEA4"/>
    <w:p w14:paraId="402F0BC2"/>
    <w:p w14:paraId="166EBE26"/>
    <w:p w14:paraId="16BBDDD8"/>
    <w:p w14:paraId="35FE77D7"/>
    <w:p w14:paraId="2902747C"/>
    <w:p w14:paraId="391EA703">
      <w:pPr>
        <w:ind w:firstLine="480" w:firstLineChars="200"/>
      </w:pPr>
      <w:r>
        <w:rPr>
          <w:rFonts w:hint="eastAsia"/>
        </w:rPr>
        <w:t>监狱企业参加政府采购活动时，应当提供由省级以上监狱管理局、戒毒管理局(含新疆生产建设兵团)出具的属于监狱企业的证明文件，</w:t>
      </w:r>
    </w:p>
    <w:p w14:paraId="47AA51F7">
      <w:pPr>
        <w:ind w:firstLine="480" w:firstLineChars="200"/>
      </w:pPr>
      <w:r>
        <w:rPr>
          <w:rFonts w:hint="eastAsia"/>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C7A3872">
      <w:pPr>
        <w:widowControl/>
        <w:spacing w:line="240" w:lineRule="auto"/>
        <w:jc w:val="left"/>
        <w:rPr>
          <w:b/>
          <w:bCs/>
          <w:sz w:val="28"/>
          <w:szCs w:val="28"/>
        </w:rPr>
      </w:pPr>
      <w:r>
        <w:rPr>
          <w:b/>
          <w:bCs/>
          <w:sz w:val="28"/>
          <w:szCs w:val="28"/>
        </w:rPr>
        <w:br w:type="page"/>
      </w:r>
    </w:p>
    <w:p w14:paraId="19518313">
      <w:pPr>
        <w:jc w:val="center"/>
        <w:rPr>
          <w:b/>
        </w:rPr>
      </w:pPr>
      <w:r>
        <w:rPr>
          <w:rFonts w:hint="eastAsia"/>
          <w:b/>
        </w:rPr>
        <w:t>残疾人福利性单位声明函</w:t>
      </w:r>
    </w:p>
    <w:p w14:paraId="1108B898">
      <w:pPr>
        <w:jc w:val="center"/>
        <w:rPr>
          <w:b/>
        </w:rPr>
      </w:pPr>
      <w:r>
        <w:rPr>
          <w:rFonts w:hint="eastAsia"/>
          <w:b/>
        </w:rPr>
        <w:t>【非残疾人福利性单位无需提供】</w:t>
      </w:r>
    </w:p>
    <w:p w14:paraId="26C95903">
      <w:pPr>
        <w:ind w:firstLine="480" w:firstLineChars="200"/>
        <w:rPr>
          <w:bCs/>
        </w:rPr>
      </w:pPr>
      <w:r>
        <w:rPr>
          <w:rFonts w:hint="eastAsia"/>
          <w:bCs/>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8D2ED4F">
      <w:pPr>
        <w:ind w:firstLine="480" w:firstLineChars="200"/>
        <w:rPr>
          <w:bCs/>
        </w:rPr>
      </w:pPr>
      <w:r>
        <w:rPr>
          <w:rFonts w:hint="eastAsia"/>
          <w:bCs/>
        </w:rPr>
        <w:t>本单位对上述声明的真实性负责。如有虚假，将依法承担相应责任。</w:t>
      </w:r>
    </w:p>
    <w:p w14:paraId="275D77C0">
      <w:pPr>
        <w:rPr>
          <w:bCs/>
        </w:rPr>
      </w:pPr>
    </w:p>
    <w:p w14:paraId="1FDA469B"/>
    <w:p w14:paraId="2191A4EC">
      <w:pPr>
        <w:rPr>
          <w:u w:val="single"/>
        </w:rPr>
      </w:pPr>
      <w:r>
        <w:rPr>
          <w:rFonts w:hint="eastAsia"/>
        </w:rPr>
        <w:t>法定代表人或授权代表签字：</w:t>
      </w:r>
      <w:r>
        <w:rPr>
          <w:rFonts w:hint="eastAsia"/>
          <w:u w:val="single"/>
        </w:rPr>
        <w:t xml:space="preserve">             </w:t>
      </w:r>
    </w:p>
    <w:p w14:paraId="5DC7EDB9">
      <w:r>
        <w:rPr>
          <w:rFonts w:hint="eastAsia"/>
        </w:rPr>
        <w:t>供应商公章：</w:t>
      </w:r>
      <w:r>
        <w:rPr>
          <w:rFonts w:hint="eastAsia"/>
          <w:u w:val="single"/>
        </w:rPr>
        <w:t xml:space="preserve">               </w:t>
      </w:r>
      <w:r>
        <w:rPr>
          <w:rFonts w:hint="eastAsia"/>
        </w:rPr>
        <w:t xml:space="preserve">                      年    月    日</w:t>
      </w:r>
    </w:p>
    <w:p w14:paraId="026AC51A">
      <w:r>
        <w:rPr>
          <w:rFonts w:hint="eastAsia"/>
        </w:rPr>
        <w:br w:type="page"/>
      </w:r>
    </w:p>
    <w:p w14:paraId="21CB77B9">
      <w:pPr>
        <w:jc w:val="center"/>
        <w:rPr>
          <w:b/>
          <w:bCs/>
          <w:sz w:val="28"/>
          <w:szCs w:val="28"/>
        </w:rPr>
      </w:pPr>
      <w:r>
        <w:rPr>
          <w:rFonts w:hint="eastAsia"/>
          <w:b/>
          <w:bCs/>
          <w:sz w:val="28"/>
          <w:szCs w:val="28"/>
        </w:rPr>
        <w:t>招标代理服务费承诺函</w:t>
      </w:r>
    </w:p>
    <w:p w14:paraId="31A47A49">
      <w:r>
        <w:rPr>
          <w:rFonts w:hint="eastAsia"/>
        </w:rPr>
        <w:t>浙江省成套招标代理有限公司：</w:t>
      </w:r>
    </w:p>
    <w:p w14:paraId="765C17B2">
      <w:pPr>
        <w:ind w:firstLine="480" w:firstLineChars="200"/>
      </w:pPr>
      <w:r>
        <w:rPr>
          <w:rFonts w:hint="eastAsia"/>
        </w:rPr>
        <w:t>根据采购文件的规定，一旦我公司中标，我公司同意按采购文件要求向贵公司交纳中标项目的招标代理服务费，在收到中标通知书的当日一次性向招标代理机构缴清。</w:t>
      </w:r>
    </w:p>
    <w:p w14:paraId="50DA6BC0">
      <w:pPr>
        <w:ind w:firstLine="480" w:firstLineChars="200"/>
      </w:pPr>
      <w:r>
        <w:rPr>
          <w:rFonts w:hint="eastAsia"/>
        </w:rPr>
        <w:t>本承诺函自开标之日起至本次采购期满有效。</w:t>
      </w:r>
    </w:p>
    <w:p w14:paraId="4BA8AFFC"/>
    <w:p w14:paraId="17BDD72B"/>
    <w:p w14:paraId="1799BD59"/>
    <w:p w14:paraId="0D257F8E">
      <w:r>
        <w:rPr>
          <w:rFonts w:hint="eastAsia"/>
        </w:rPr>
        <w:t>法定代表人或其授权代表（签字或盖章）：</w:t>
      </w:r>
      <w:r>
        <w:rPr>
          <w:rFonts w:hint="eastAsia"/>
          <w:u w:val="single"/>
        </w:rPr>
        <w:t xml:space="preserve">                     </w:t>
      </w:r>
    </w:p>
    <w:p w14:paraId="541BAE65">
      <w:r>
        <w:rPr>
          <w:rFonts w:hint="eastAsia"/>
        </w:rPr>
        <w:t>投标供应商公章：</w:t>
      </w:r>
      <w:r>
        <w:rPr>
          <w:rFonts w:hint="eastAsia"/>
          <w:u w:val="single"/>
        </w:rPr>
        <w:t xml:space="preserve">                     </w:t>
      </w:r>
    </w:p>
    <w:p w14:paraId="6D4232C3">
      <w:r>
        <w:rPr>
          <w:rFonts w:hint="eastAsia"/>
        </w:rPr>
        <w:t>日期：</w:t>
      </w:r>
      <w:r>
        <w:t xml:space="preserve">     </w:t>
      </w:r>
      <w:r>
        <w:rPr>
          <w:rFonts w:hint="eastAsia"/>
        </w:rPr>
        <w:t>年  月  日</w:t>
      </w:r>
    </w:p>
    <w:p w14:paraId="511FC9E1">
      <w:pPr>
        <w:widowControl/>
        <w:spacing w:line="240" w:lineRule="auto"/>
        <w:jc w:val="left"/>
      </w:pPr>
      <w:r>
        <w:br w:type="page"/>
      </w:r>
    </w:p>
    <w:p w14:paraId="1CE2B762">
      <w:pPr>
        <w:snapToGrid w:val="0"/>
        <w:spacing w:before="50" w:after="50"/>
        <w:jc w:val="center"/>
        <w:rPr>
          <w:b/>
          <w:bCs/>
          <w:szCs w:val="28"/>
        </w:rPr>
      </w:pPr>
      <w:r>
        <w:rPr>
          <w:rFonts w:hint="eastAsia"/>
          <w:b/>
          <w:bCs/>
          <w:szCs w:val="28"/>
        </w:rPr>
        <w:t>供应商自评分索引表</w:t>
      </w:r>
    </w:p>
    <w:p w14:paraId="0E9A71C2">
      <w:pPr>
        <w:snapToGrid w:val="0"/>
        <w:spacing w:before="50"/>
        <w:jc w:val="center"/>
        <w:rPr>
          <w:rFonts w:ascii="仿宋_GB2312" w:hAnsi="仿宋" w:eastAsia="仿宋_GB2312"/>
          <w:b/>
          <w:szCs w:val="28"/>
        </w:rPr>
      </w:pPr>
    </w:p>
    <w:p w14:paraId="162C336B">
      <w:pPr>
        <w:pStyle w:val="7"/>
        <w:ind w:firstLine="199" w:firstLineChars="83"/>
        <w:rPr>
          <w:rFonts w:ascii="宋体" w:hAnsi="宋体" w:eastAsia="宋体"/>
          <w:sz w:val="24"/>
          <w:szCs w:val="24"/>
        </w:rPr>
      </w:pPr>
      <w:r>
        <w:rPr>
          <w:rFonts w:hint="eastAsia" w:ascii="宋体" w:hAnsi="宋体" w:eastAsia="宋体"/>
          <w:sz w:val="24"/>
          <w:szCs w:val="24"/>
        </w:rPr>
        <w:t xml:space="preserve">供应商全称（公章）：              </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85"/>
        <w:gridCol w:w="2552"/>
        <w:gridCol w:w="1134"/>
        <w:gridCol w:w="1983"/>
      </w:tblGrid>
      <w:tr w14:paraId="1C97A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29B06A3F">
            <w:pPr>
              <w:snapToGrid w:val="0"/>
              <w:spacing w:before="163" w:beforeLines="50"/>
              <w:jc w:val="center"/>
            </w:pPr>
            <w:r>
              <w:rPr>
                <w:rFonts w:hint="eastAsia"/>
              </w:rPr>
              <w:t>评分项目</w:t>
            </w:r>
          </w:p>
        </w:tc>
        <w:tc>
          <w:tcPr>
            <w:tcW w:w="2552" w:type="dxa"/>
            <w:tcBorders>
              <w:top w:val="single" w:color="auto" w:sz="4" w:space="0"/>
              <w:left w:val="single" w:color="auto" w:sz="4" w:space="0"/>
              <w:bottom w:val="single" w:color="auto" w:sz="4" w:space="0"/>
              <w:right w:val="single" w:color="auto" w:sz="4" w:space="0"/>
            </w:tcBorders>
            <w:vAlign w:val="center"/>
          </w:tcPr>
          <w:p w14:paraId="4251B729">
            <w:pPr>
              <w:snapToGrid w:val="0"/>
              <w:spacing w:before="163" w:beforeLines="50"/>
              <w:jc w:val="center"/>
            </w:pPr>
            <w:r>
              <w:rPr>
                <w:rFonts w:hint="eastAsia"/>
              </w:rPr>
              <w:t>投标文件对应资料</w:t>
            </w:r>
          </w:p>
        </w:tc>
        <w:tc>
          <w:tcPr>
            <w:tcW w:w="1134" w:type="dxa"/>
            <w:tcBorders>
              <w:top w:val="single" w:color="auto" w:sz="4" w:space="0"/>
              <w:left w:val="single" w:color="auto" w:sz="4" w:space="0"/>
              <w:bottom w:val="single" w:color="auto" w:sz="4" w:space="0"/>
              <w:right w:val="single" w:color="auto" w:sz="4" w:space="0"/>
            </w:tcBorders>
            <w:vAlign w:val="center"/>
          </w:tcPr>
          <w:p w14:paraId="2EAFC36E">
            <w:pPr>
              <w:snapToGrid w:val="0"/>
              <w:spacing w:before="163" w:beforeLines="50"/>
              <w:jc w:val="center"/>
            </w:pPr>
            <w:r>
              <w:rPr>
                <w:rFonts w:hint="eastAsia"/>
              </w:rPr>
              <w:t>自评分</w:t>
            </w:r>
          </w:p>
        </w:tc>
        <w:tc>
          <w:tcPr>
            <w:tcW w:w="1983" w:type="dxa"/>
            <w:tcBorders>
              <w:top w:val="single" w:color="auto" w:sz="4" w:space="0"/>
              <w:left w:val="single" w:color="auto" w:sz="4" w:space="0"/>
              <w:bottom w:val="single" w:color="auto" w:sz="4" w:space="0"/>
              <w:right w:val="single" w:color="auto" w:sz="4" w:space="0"/>
            </w:tcBorders>
            <w:vAlign w:val="center"/>
          </w:tcPr>
          <w:p w14:paraId="09E83CF0">
            <w:pPr>
              <w:snapToGrid w:val="0"/>
              <w:spacing w:before="163" w:beforeLines="50"/>
              <w:jc w:val="center"/>
            </w:pPr>
            <w:r>
              <w:rPr>
                <w:rFonts w:hint="eastAsia"/>
              </w:rPr>
              <w:t>投标文件页码</w:t>
            </w:r>
          </w:p>
        </w:tc>
      </w:tr>
      <w:tr w14:paraId="5C5C9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15BD2488">
            <w:pPr>
              <w:snapToGrid w:val="0"/>
              <w:jc w:val="center"/>
            </w:pPr>
            <w:r>
              <w:rPr>
                <w:rFonts w:hint="eastAsia"/>
              </w:rPr>
              <w:t>对应第四章评分办法及评分标准（报价除外）</w:t>
            </w:r>
          </w:p>
        </w:tc>
        <w:tc>
          <w:tcPr>
            <w:tcW w:w="2552" w:type="dxa"/>
            <w:tcBorders>
              <w:top w:val="single" w:color="auto" w:sz="4" w:space="0"/>
              <w:left w:val="single" w:color="auto" w:sz="4" w:space="0"/>
              <w:bottom w:val="single" w:color="auto" w:sz="4" w:space="0"/>
              <w:right w:val="single" w:color="auto" w:sz="4" w:space="0"/>
            </w:tcBorders>
            <w:vAlign w:val="center"/>
          </w:tcPr>
          <w:p w14:paraId="02FA8EB0">
            <w:pPr>
              <w:snapToGrid w:val="0"/>
              <w:spacing w:before="163" w:beforeLines="50"/>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63FD375E">
            <w:pPr>
              <w:snapToGrid w:val="0"/>
              <w:spacing w:before="163" w:beforeLines="50"/>
              <w:jc w:val="center"/>
            </w:pPr>
          </w:p>
        </w:tc>
        <w:tc>
          <w:tcPr>
            <w:tcW w:w="1983" w:type="dxa"/>
            <w:tcBorders>
              <w:top w:val="single" w:color="auto" w:sz="4" w:space="0"/>
              <w:left w:val="single" w:color="auto" w:sz="4" w:space="0"/>
              <w:bottom w:val="single" w:color="auto" w:sz="4" w:space="0"/>
              <w:right w:val="single" w:color="auto" w:sz="4" w:space="0"/>
            </w:tcBorders>
            <w:vAlign w:val="center"/>
          </w:tcPr>
          <w:p w14:paraId="070A32C5">
            <w:pPr>
              <w:snapToGrid w:val="0"/>
              <w:spacing w:before="163" w:beforeLines="50"/>
              <w:jc w:val="center"/>
            </w:pPr>
          </w:p>
        </w:tc>
      </w:tr>
      <w:tr w14:paraId="7E64D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6C68FD6A">
            <w:pPr>
              <w:snapToGrid w:val="0"/>
              <w:jc w:val="center"/>
            </w:pPr>
            <w:r>
              <w:rPr>
                <w:rFonts w:hint="eastAsia"/>
              </w:rPr>
              <w:t>……</w:t>
            </w:r>
          </w:p>
        </w:tc>
        <w:tc>
          <w:tcPr>
            <w:tcW w:w="2552" w:type="dxa"/>
            <w:tcBorders>
              <w:top w:val="single" w:color="auto" w:sz="4" w:space="0"/>
              <w:left w:val="single" w:color="auto" w:sz="4" w:space="0"/>
              <w:bottom w:val="single" w:color="auto" w:sz="4" w:space="0"/>
              <w:right w:val="single" w:color="auto" w:sz="4" w:space="0"/>
            </w:tcBorders>
            <w:vAlign w:val="center"/>
          </w:tcPr>
          <w:p w14:paraId="076998D3">
            <w:pPr>
              <w:snapToGrid w:val="0"/>
              <w:spacing w:before="163" w:beforeLines="50"/>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334C2B20">
            <w:pPr>
              <w:snapToGrid w:val="0"/>
              <w:spacing w:before="163" w:beforeLines="50"/>
              <w:ind w:left="43"/>
              <w:jc w:val="center"/>
            </w:pPr>
          </w:p>
        </w:tc>
        <w:tc>
          <w:tcPr>
            <w:tcW w:w="1983" w:type="dxa"/>
            <w:tcBorders>
              <w:top w:val="single" w:color="auto" w:sz="4" w:space="0"/>
              <w:left w:val="single" w:color="auto" w:sz="4" w:space="0"/>
              <w:bottom w:val="single" w:color="auto" w:sz="4" w:space="0"/>
              <w:right w:val="single" w:color="auto" w:sz="4" w:space="0"/>
            </w:tcBorders>
            <w:vAlign w:val="center"/>
          </w:tcPr>
          <w:p w14:paraId="7DDCFBA8">
            <w:pPr>
              <w:snapToGrid w:val="0"/>
              <w:spacing w:before="163" w:beforeLines="50"/>
              <w:ind w:left="43"/>
              <w:jc w:val="center"/>
            </w:pPr>
          </w:p>
        </w:tc>
      </w:tr>
      <w:tr w14:paraId="4DEA1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09B97EC0">
            <w:pPr>
              <w:snapToGrid w:val="0"/>
              <w:jc w:val="center"/>
            </w:pPr>
          </w:p>
        </w:tc>
        <w:tc>
          <w:tcPr>
            <w:tcW w:w="2552" w:type="dxa"/>
            <w:tcBorders>
              <w:top w:val="single" w:color="auto" w:sz="4" w:space="0"/>
              <w:left w:val="single" w:color="auto" w:sz="4" w:space="0"/>
              <w:bottom w:val="single" w:color="auto" w:sz="4" w:space="0"/>
              <w:right w:val="single" w:color="auto" w:sz="4" w:space="0"/>
            </w:tcBorders>
            <w:vAlign w:val="center"/>
          </w:tcPr>
          <w:p w14:paraId="3DBB8E71">
            <w:pPr>
              <w:snapToGrid w:val="0"/>
              <w:spacing w:before="163" w:beforeLines="50"/>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0AC43140">
            <w:pPr>
              <w:snapToGrid w:val="0"/>
              <w:spacing w:before="163" w:beforeLines="50"/>
              <w:ind w:left="43"/>
              <w:jc w:val="center"/>
            </w:pPr>
          </w:p>
        </w:tc>
        <w:tc>
          <w:tcPr>
            <w:tcW w:w="1983" w:type="dxa"/>
            <w:tcBorders>
              <w:top w:val="single" w:color="auto" w:sz="4" w:space="0"/>
              <w:left w:val="single" w:color="auto" w:sz="4" w:space="0"/>
              <w:bottom w:val="single" w:color="auto" w:sz="4" w:space="0"/>
              <w:right w:val="single" w:color="auto" w:sz="4" w:space="0"/>
            </w:tcBorders>
            <w:vAlign w:val="center"/>
          </w:tcPr>
          <w:p w14:paraId="06FAC005">
            <w:pPr>
              <w:snapToGrid w:val="0"/>
              <w:spacing w:before="163" w:beforeLines="50"/>
              <w:ind w:left="43"/>
              <w:jc w:val="center"/>
            </w:pPr>
          </w:p>
        </w:tc>
      </w:tr>
      <w:tr w14:paraId="2D29E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5771A26F">
            <w:pPr>
              <w:snapToGrid w:val="0"/>
              <w:jc w:val="center"/>
            </w:pPr>
          </w:p>
        </w:tc>
        <w:tc>
          <w:tcPr>
            <w:tcW w:w="2552" w:type="dxa"/>
            <w:tcBorders>
              <w:top w:val="single" w:color="auto" w:sz="4" w:space="0"/>
              <w:left w:val="single" w:color="auto" w:sz="4" w:space="0"/>
              <w:bottom w:val="single" w:color="auto" w:sz="4" w:space="0"/>
              <w:right w:val="single" w:color="auto" w:sz="4" w:space="0"/>
            </w:tcBorders>
            <w:vAlign w:val="center"/>
          </w:tcPr>
          <w:p w14:paraId="77A88F34">
            <w:pPr>
              <w:snapToGrid w:val="0"/>
              <w:spacing w:before="163" w:beforeLines="50"/>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3B03A48B">
            <w:pPr>
              <w:snapToGrid w:val="0"/>
              <w:spacing w:before="163" w:beforeLines="50"/>
              <w:ind w:left="43"/>
              <w:jc w:val="center"/>
            </w:pPr>
          </w:p>
        </w:tc>
        <w:tc>
          <w:tcPr>
            <w:tcW w:w="1983" w:type="dxa"/>
            <w:tcBorders>
              <w:top w:val="single" w:color="auto" w:sz="4" w:space="0"/>
              <w:left w:val="single" w:color="auto" w:sz="4" w:space="0"/>
              <w:bottom w:val="single" w:color="auto" w:sz="4" w:space="0"/>
              <w:right w:val="single" w:color="auto" w:sz="4" w:space="0"/>
            </w:tcBorders>
            <w:vAlign w:val="center"/>
          </w:tcPr>
          <w:p w14:paraId="63D577E6">
            <w:pPr>
              <w:snapToGrid w:val="0"/>
              <w:spacing w:before="163" w:beforeLines="50"/>
              <w:ind w:left="43"/>
              <w:jc w:val="center"/>
            </w:pPr>
          </w:p>
        </w:tc>
      </w:tr>
      <w:tr w14:paraId="6A5603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4472BEE8">
            <w:pPr>
              <w:snapToGrid w:val="0"/>
              <w:jc w:val="center"/>
            </w:pPr>
          </w:p>
        </w:tc>
        <w:tc>
          <w:tcPr>
            <w:tcW w:w="2552" w:type="dxa"/>
            <w:tcBorders>
              <w:top w:val="single" w:color="auto" w:sz="4" w:space="0"/>
              <w:left w:val="single" w:color="auto" w:sz="4" w:space="0"/>
              <w:bottom w:val="single" w:color="auto" w:sz="4" w:space="0"/>
              <w:right w:val="single" w:color="auto" w:sz="4" w:space="0"/>
            </w:tcBorders>
            <w:vAlign w:val="center"/>
          </w:tcPr>
          <w:p w14:paraId="45140689">
            <w:pPr>
              <w:snapToGrid w:val="0"/>
              <w:spacing w:before="163" w:beforeLines="50"/>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6B025C59">
            <w:pPr>
              <w:snapToGrid w:val="0"/>
              <w:spacing w:before="163" w:beforeLines="50"/>
              <w:jc w:val="center"/>
            </w:pPr>
          </w:p>
        </w:tc>
        <w:tc>
          <w:tcPr>
            <w:tcW w:w="1983" w:type="dxa"/>
            <w:tcBorders>
              <w:top w:val="single" w:color="auto" w:sz="4" w:space="0"/>
              <w:left w:val="single" w:color="auto" w:sz="4" w:space="0"/>
              <w:bottom w:val="single" w:color="auto" w:sz="4" w:space="0"/>
              <w:right w:val="single" w:color="auto" w:sz="4" w:space="0"/>
            </w:tcBorders>
            <w:vAlign w:val="center"/>
          </w:tcPr>
          <w:p w14:paraId="4ACA45FB">
            <w:pPr>
              <w:snapToGrid w:val="0"/>
              <w:spacing w:before="163" w:beforeLines="50"/>
              <w:jc w:val="center"/>
            </w:pPr>
          </w:p>
        </w:tc>
      </w:tr>
      <w:tr w14:paraId="11957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065E0F74">
            <w:pPr>
              <w:snapToGrid w:val="0"/>
              <w:jc w:val="center"/>
            </w:pPr>
          </w:p>
        </w:tc>
        <w:tc>
          <w:tcPr>
            <w:tcW w:w="2552" w:type="dxa"/>
            <w:tcBorders>
              <w:top w:val="single" w:color="auto" w:sz="4" w:space="0"/>
              <w:left w:val="single" w:color="auto" w:sz="4" w:space="0"/>
              <w:bottom w:val="single" w:color="auto" w:sz="4" w:space="0"/>
              <w:right w:val="single" w:color="auto" w:sz="4" w:space="0"/>
            </w:tcBorders>
            <w:vAlign w:val="center"/>
          </w:tcPr>
          <w:p w14:paraId="368CC6C6">
            <w:pPr>
              <w:snapToGrid w:val="0"/>
              <w:spacing w:before="163" w:beforeLines="50"/>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40CA29EF">
            <w:pPr>
              <w:snapToGrid w:val="0"/>
              <w:spacing w:before="163" w:beforeLines="50"/>
              <w:jc w:val="center"/>
            </w:pPr>
          </w:p>
        </w:tc>
        <w:tc>
          <w:tcPr>
            <w:tcW w:w="1983" w:type="dxa"/>
            <w:tcBorders>
              <w:top w:val="single" w:color="auto" w:sz="4" w:space="0"/>
              <w:left w:val="single" w:color="auto" w:sz="4" w:space="0"/>
              <w:bottom w:val="single" w:color="auto" w:sz="4" w:space="0"/>
              <w:right w:val="single" w:color="auto" w:sz="4" w:space="0"/>
            </w:tcBorders>
            <w:vAlign w:val="center"/>
          </w:tcPr>
          <w:p w14:paraId="037CB920">
            <w:pPr>
              <w:snapToGrid w:val="0"/>
              <w:spacing w:before="163" w:beforeLines="50"/>
              <w:jc w:val="center"/>
            </w:pPr>
          </w:p>
        </w:tc>
      </w:tr>
      <w:tr w14:paraId="05220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32CBE05D">
            <w:pPr>
              <w:snapToGrid w:val="0"/>
              <w:jc w:val="center"/>
            </w:pPr>
          </w:p>
        </w:tc>
        <w:tc>
          <w:tcPr>
            <w:tcW w:w="2552" w:type="dxa"/>
            <w:tcBorders>
              <w:top w:val="single" w:color="auto" w:sz="4" w:space="0"/>
              <w:left w:val="single" w:color="auto" w:sz="4" w:space="0"/>
              <w:bottom w:val="single" w:color="auto" w:sz="4" w:space="0"/>
              <w:right w:val="single" w:color="auto" w:sz="4" w:space="0"/>
            </w:tcBorders>
            <w:vAlign w:val="center"/>
          </w:tcPr>
          <w:p w14:paraId="72C61D8F">
            <w:pPr>
              <w:snapToGrid w:val="0"/>
              <w:spacing w:before="163" w:beforeLines="50"/>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4578C244">
            <w:pPr>
              <w:snapToGrid w:val="0"/>
              <w:spacing w:before="163" w:beforeLines="50"/>
              <w:jc w:val="center"/>
            </w:pPr>
          </w:p>
        </w:tc>
        <w:tc>
          <w:tcPr>
            <w:tcW w:w="1983" w:type="dxa"/>
            <w:tcBorders>
              <w:top w:val="single" w:color="auto" w:sz="4" w:space="0"/>
              <w:left w:val="single" w:color="auto" w:sz="4" w:space="0"/>
              <w:bottom w:val="single" w:color="auto" w:sz="4" w:space="0"/>
              <w:right w:val="single" w:color="auto" w:sz="4" w:space="0"/>
            </w:tcBorders>
            <w:vAlign w:val="center"/>
          </w:tcPr>
          <w:p w14:paraId="0BDD88F6">
            <w:pPr>
              <w:snapToGrid w:val="0"/>
              <w:spacing w:before="163" w:beforeLines="50"/>
              <w:jc w:val="center"/>
            </w:pPr>
          </w:p>
        </w:tc>
      </w:tr>
      <w:tr w14:paraId="1F6E3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3DD95C2A">
            <w:pPr>
              <w:snapToGrid w:val="0"/>
              <w:jc w:val="center"/>
            </w:pPr>
          </w:p>
        </w:tc>
        <w:tc>
          <w:tcPr>
            <w:tcW w:w="2552" w:type="dxa"/>
            <w:tcBorders>
              <w:top w:val="single" w:color="auto" w:sz="4" w:space="0"/>
              <w:left w:val="single" w:color="auto" w:sz="4" w:space="0"/>
              <w:bottom w:val="single" w:color="auto" w:sz="4" w:space="0"/>
              <w:right w:val="single" w:color="auto" w:sz="4" w:space="0"/>
            </w:tcBorders>
            <w:vAlign w:val="center"/>
          </w:tcPr>
          <w:p w14:paraId="24561351">
            <w:pPr>
              <w:snapToGrid w:val="0"/>
              <w:spacing w:before="163" w:beforeLines="50"/>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7E687621">
            <w:pPr>
              <w:snapToGrid w:val="0"/>
              <w:spacing w:before="163" w:beforeLines="50"/>
              <w:jc w:val="center"/>
            </w:pPr>
          </w:p>
        </w:tc>
        <w:tc>
          <w:tcPr>
            <w:tcW w:w="1983" w:type="dxa"/>
            <w:tcBorders>
              <w:top w:val="single" w:color="auto" w:sz="4" w:space="0"/>
              <w:left w:val="single" w:color="auto" w:sz="4" w:space="0"/>
              <w:bottom w:val="single" w:color="auto" w:sz="4" w:space="0"/>
              <w:right w:val="single" w:color="auto" w:sz="4" w:space="0"/>
            </w:tcBorders>
            <w:vAlign w:val="center"/>
          </w:tcPr>
          <w:p w14:paraId="3426EA2C">
            <w:pPr>
              <w:snapToGrid w:val="0"/>
              <w:spacing w:before="163" w:beforeLines="50"/>
              <w:jc w:val="center"/>
            </w:pPr>
          </w:p>
        </w:tc>
      </w:tr>
      <w:tr w14:paraId="69093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20A6E8A3">
            <w:pPr>
              <w:snapToGrid w:val="0"/>
              <w:jc w:val="center"/>
            </w:pPr>
          </w:p>
        </w:tc>
        <w:tc>
          <w:tcPr>
            <w:tcW w:w="2552" w:type="dxa"/>
            <w:tcBorders>
              <w:top w:val="single" w:color="auto" w:sz="4" w:space="0"/>
              <w:left w:val="single" w:color="auto" w:sz="4" w:space="0"/>
              <w:bottom w:val="single" w:color="auto" w:sz="4" w:space="0"/>
              <w:right w:val="single" w:color="auto" w:sz="4" w:space="0"/>
            </w:tcBorders>
            <w:vAlign w:val="center"/>
          </w:tcPr>
          <w:p w14:paraId="78919B1C">
            <w:pPr>
              <w:snapToGrid w:val="0"/>
              <w:spacing w:before="163" w:beforeLines="50"/>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31575408">
            <w:pPr>
              <w:snapToGrid w:val="0"/>
              <w:spacing w:before="163" w:beforeLines="50"/>
              <w:jc w:val="center"/>
            </w:pPr>
          </w:p>
        </w:tc>
        <w:tc>
          <w:tcPr>
            <w:tcW w:w="1983" w:type="dxa"/>
            <w:tcBorders>
              <w:top w:val="single" w:color="auto" w:sz="4" w:space="0"/>
              <w:left w:val="single" w:color="auto" w:sz="4" w:space="0"/>
              <w:bottom w:val="single" w:color="auto" w:sz="4" w:space="0"/>
              <w:right w:val="single" w:color="auto" w:sz="4" w:space="0"/>
            </w:tcBorders>
            <w:vAlign w:val="center"/>
          </w:tcPr>
          <w:p w14:paraId="6CDE8DBD">
            <w:pPr>
              <w:snapToGrid w:val="0"/>
              <w:spacing w:before="163" w:beforeLines="50"/>
              <w:jc w:val="center"/>
            </w:pPr>
          </w:p>
        </w:tc>
      </w:tr>
    </w:tbl>
    <w:p w14:paraId="26497C7C">
      <w:pPr>
        <w:snapToGrid w:val="0"/>
        <w:ind w:firstLine="240" w:firstLineChars="100"/>
        <w:rPr>
          <w:rFonts w:cs="宋体"/>
        </w:rPr>
      </w:pPr>
    </w:p>
    <w:p w14:paraId="562035F4">
      <w:pPr>
        <w:snapToGrid w:val="0"/>
        <w:spacing w:before="163" w:beforeLines="50"/>
        <w:rPr>
          <w:rFonts w:cs="宋体"/>
          <w:szCs w:val="20"/>
          <w:u w:val="single"/>
        </w:rPr>
      </w:pPr>
      <w:r>
        <w:rPr>
          <w:rFonts w:hint="eastAsia" w:cs="宋体"/>
        </w:rPr>
        <w:t>法定代表人或其授权代表（签字或盖章）：</w:t>
      </w:r>
      <w:r>
        <w:rPr>
          <w:rFonts w:hint="eastAsia" w:cs="宋体"/>
          <w:u w:val="single"/>
        </w:rPr>
        <w:t xml:space="preserve">             </w:t>
      </w:r>
    </w:p>
    <w:p w14:paraId="06E680D8">
      <w:pPr>
        <w:snapToGrid w:val="0"/>
        <w:spacing w:before="163" w:beforeLines="50" w:after="50"/>
        <w:rPr>
          <w:rFonts w:cs="宋体"/>
        </w:rPr>
      </w:pPr>
      <w:r>
        <w:rPr>
          <w:rFonts w:hint="eastAsia" w:cs="宋体"/>
        </w:rPr>
        <w:t>投标供应商公章：</w:t>
      </w:r>
      <w:r>
        <w:rPr>
          <w:rFonts w:hint="eastAsia" w:cs="宋体"/>
          <w:u w:val="single"/>
        </w:rPr>
        <w:t xml:space="preserve">               </w:t>
      </w:r>
      <w:r>
        <w:rPr>
          <w:rFonts w:hint="eastAsia" w:cs="宋体"/>
        </w:rPr>
        <w:t xml:space="preserve">                      </w:t>
      </w:r>
    </w:p>
    <w:p w14:paraId="1D95CAD3">
      <w:pPr>
        <w:snapToGrid w:val="0"/>
        <w:spacing w:before="163" w:beforeLines="50" w:after="50"/>
        <w:ind w:firstLine="6240" w:firstLineChars="2600"/>
        <w:rPr>
          <w:rFonts w:cs="宋体"/>
        </w:rPr>
      </w:pPr>
    </w:p>
    <w:p w14:paraId="239CDDF2">
      <w:pPr>
        <w:snapToGrid w:val="0"/>
        <w:jc w:val="right"/>
        <w:rPr>
          <w:rFonts w:cs="宋体"/>
        </w:rPr>
      </w:pPr>
      <w:r>
        <w:rPr>
          <w:rFonts w:hint="eastAsia" w:cs="宋体"/>
        </w:rPr>
        <w:t>年    月    日</w:t>
      </w:r>
    </w:p>
    <w:p w14:paraId="75B2533C">
      <w:pPr>
        <w:jc w:val="center"/>
      </w:pPr>
    </w:p>
    <w:sectPr>
      <w:footerReference r:id="rId6" w:type="default"/>
      <w:pgSz w:w="11906" w:h="16838"/>
      <w:pgMar w:top="1418" w:right="1418" w:bottom="1418" w:left="1418" w:header="1020" w:footer="964"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4340383"/>
    </w:sdtPr>
    <w:sdtContent>
      <w:p w14:paraId="01C348A1">
        <w:pPr>
          <w:pStyle w:val="13"/>
          <w:pBdr>
            <w:top w:val="single" w:color="auto" w:sz="4" w:space="1"/>
          </w:pBdr>
          <w:jc w:val="center"/>
        </w:pPr>
        <w:r>
          <w:fldChar w:fldCharType="begin"/>
        </w:r>
        <w:r>
          <w:instrText xml:space="preserve">PAGE   \* MERGEFORMAT</w:instrText>
        </w:r>
        <w:r>
          <w:fldChar w:fldCharType="separate"/>
        </w:r>
        <w:r>
          <w:rPr>
            <w:lang w:val="zh-CN"/>
          </w:rPr>
          <w:t>17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3E08B">
    <w:pPr>
      <w:pStyle w:val="14"/>
      <w:spacing w:line="240" w:lineRule="auto"/>
      <w:jc w:val="both"/>
      <w:rPr>
        <w:sz w:val="21"/>
        <w:szCs w:val="21"/>
      </w:rPr>
    </w:pPr>
    <w:r>
      <w:rPr>
        <w:rFonts w:hint="eastAsia"/>
      </w:rPr>
      <w:t xml:space="preserve">湖州职业技术学院虚拟仿真实训教学管理平台等软件采购项目 </w:t>
    </w:r>
    <w:r>
      <w:t xml:space="preserve">                                  </w:t>
    </w:r>
    <w:r>
      <w:rPr>
        <w:rFonts w:hint="eastAsia"/>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iNGY3YTBlN2Y3YTQyYjg3ZWFhYzljMTQ3YmMzMjUifQ=="/>
  </w:docVars>
  <w:rsids>
    <w:rsidRoot w:val="00DE7EF2"/>
    <w:rsid w:val="000540C5"/>
    <w:rsid w:val="00071C98"/>
    <w:rsid w:val="000879F0"/>
    <w:rsid w:val="000A119F"/>
    <w:rsid w:val="000D1B50"/>
    <w:rsid w:val="000F1D0B"/>
    <w:rsid w:val="000F6AF6"/>
    <w:rsid w:val="00124A95"/>
    <w:rsid w:val="0013415C"/>
    <w:rsid w:val="00134963"/>
    <w:rsid w:val="001455D8"/>
    <w:rsid w:val="00147A01"/>
    <w:rsid w:val="0015476F"/>
    <w:rsid w:val="00165BBF"/>
    <w:rsid w:val="00170EBE"/>
    <w:rsid w:val="00172297"/>
    <w:rsid w:val="00174139"/>
    <w:rsid w:val="00182207"/>
    <w:rsid w:val="00190B96"/>
    <w:rsid w:val="00195B8A"/>
    <w:rsid w:val="001A6130"/>
    <w:rsid w:val="001A754D"/>
    <w:rsid w:val="001C467D"/>
    <w:rsid w:val="001C57B3"/>
    <w:rsid w:val="001E586E"/>
    <w:rsid w:val="001F0A54"/>
    <w:rsid w:val="001F2CB6"/>
    <w:rsid w:val="00201610"/>
    <w:rsid w:val="00202B45"/>
    <w:rsid w:val="002419A3"/>
    <w:rsid w:val="00247C07"/>
    <w:rsid w:val="00253C04"/>
    <w:rsid w:val="002A0A87"/>
    <w:rsid w:val="002A301C"/>
    <w:rsid w:val="002B1AF4"/>
    <w:rsid w:val="002B6E1F"/>
    <w:rsid w:val="002D051B"/>
    <w:rsid w:val="002D5020"/>
    <w:rsid w:val="002D7308"/>
    <w:rsid w:val="002E1EAE"/>
    <w:rsid w:val="002E441C"/>
    <w:rsid w:val="002F1485"/>
    <w:rsid w:val="00313946"/>
    <w:rsid w:val="00337338"/>
    <w:rsid w:val="00337914"/>
    <w:rsid w:val="00352829"/>
    <w:rsid w:val="003710BC"/>
    <w:rsid w:val="0037647A"/>
    <w:rsid w:val="003829CB"/>
    <w:rsid w:val="003B760D"/>
    <w:rsid w:val="003D1E17"/>
    <w:rsid w:val="003D4ED3"/>
    <w:rsid w:val="0043585F"/>
    <w:rsid w:val="00452913"/>
    <w:rsid w:val="00473DDB"/>
    <w:rsid w:val="00491350"/>
    <w:rsid w:val="004A3310"/>
    <w:rsid w:val="004B0FE6"/>
    <w:rsid w:val="004B2B03"/>
    <w:rsid w:val="004B3261"/>
    <w:rsid w:val="004B6817"/>
    <w:rsid w:val="004B70AE"/>
    <w:rsid w:val="004C23E8"/>
    <w:rsid w:val="004C34FF"/>
    <w:rsid w:val="004D3266"/>
    <w:rsid w:val="005311C1"/>
    <w:rsid w:val="00540818"/>
    <w:rsid w:val="00556561"/>
    <w:rsid w:val="005908E3"/>
    <w:rsid w:val="005909EB"/>
    <w:rsid w:val="005929A4"/>
    <w:rsid w:val="005B7A4B"/>
    <w:rsid w:val="005E0F75"/>
    <w:rsid w:val="00604EC6"/>
    <w:rsid w:val="0060543A"/>
    <w:rsid w:val="00616E70"/>
    <w:rsid w:val="00634383"/>
    <w:rsid w:val="00634567"/>
    <w:rsid w:val="00644608"/>
    <w:rsid w:val="0064501D"/>
    <w:rsid w:val="00647688"/>
    <w:rsid w:val="006B3EC1"/>
    <w:rsid w:val="006B4988"/>
    <w:rsid w:val="006D5B0D"/>
    <w:rsid w:val="006E58EC"/>
    <w:rsid w:val="00702D94"/>
    <w:rsid w:val="0070707A"/>
    <w:rsid w:val="00727459"/>
    <w:rsid w:val="00755692"/>
    <w:rsid w:val="00756BFB"/>
    <w:rsid w:val="00766361"/>
    <w:rsid w:val="00766E0F"/>
    <w:rsid w:val="0076774A"/>
    <w:rsid w:val="00772B3E"/>
    <w:rsid w:val="0077448F"/>
    <w:rsid w:val="00775E15"/>
    <w:rsid w:val="0079433B"/>
    <w:rsid w:val="007B09C5"/>
    <w:rsid w:val="007B785D"/>
    <w:rsid w:val="007C1A7B"/>
    <w:rsid w:val="007C5A87"/>
    <w:rsid w:val="007C76D0"/>
    <w:rsid w:val="007F6DDD"/>
    <w:rsid w:val="008042AF"/>
    <w:rsid w:val="008146DA"/>
    <w:rsid w:val="00817B4A"/>
    <w:rsid w:val="00825D9B"/>
    <w:rsid w:val="00844166"/>
    <w:rsid w:val="008504E6"/>
    <w:rsid w:val="008530E8"/>
    <w:rsid w:val="008C7CE8"/>
    <w:rsid w:val="008E5142"/>
    <w:rsid w:val="008F2AF8"/>
    <w:rsid w:val="00926478"/>
    <w:rsid w:val="00956B37"/>
    <w:rsid w:val="009636D2"/>
    <w:rsid w:val="00964C9C"/>
    <w:rsid w:val="00972B81"/>
    <w:rsid w:val="00975691"/>
    <w:rsid w:val="00982871"/>
    <w:rsid w:val="0098532A"/>
    <w:rsid w:val="009869A1"/>
    <w:rsid w:val="009B0487"/>
    <w:rsid w:val="00A1793E"/>
    <w:rsid w:val="00A50BD4"/>
    <w:rsid w:val="00A54388"/>
    <w:rsid w:val="00A55DBE"/>
    <w:rsid w:val="00A72ACF"/>
    <w:rsid w:val="00A93A6C"/>
    <w:rsid w:val="00AD0433"/>
    <w:rsid w:val="00AD23EA"/>
    <w:rsid w:val="00AE23D0"/>
    <w:rsid w:val="00B0538D"/>
    <w:rsid w:val="00B07562"/>
    <w:rsid w:val="00B25B83"/>
    <w:rsid w:val="00B3783B"/>
    <w:rsid w:val="00B40615"/>
    <w:rsid w:val="00B42A9F"/>
    <w:rsid w:val="00B52E33"/>
    <w:rsid w:val="00B554D1"/>
    <w:rsid w:val="00B678A9"/>
    <w:rsid w:val="00BC49CD"/>
    <w:rsid w:val="00BE55F9"/>
    <w:rsid w:val="00BF14F4"/>
    <w:rsid w:val="00C52C2B"/>
    <w:rsid w:val="00C62CDE"/>
    <w:rsid w:val="00C96C35"/>
    <w:rsid w:val="00CB5219"/>
    <w:rsid w:val="00CC2398"/>
    <w:rsid w:val="00CC5D4D"/>
    <w:rsid w:val="00CF520C"/>
    <w:rsid w:val="00D01795"/>
    <w:rsid w:val="00D035C4"/>
    <w:rsid w:val="00D171C7"/>
    <w:rsid w:val="00D31F28"/>
    <w:rsid w:val="00D32CE5"/>
    <w:rsid w:val="00D35FC6"/>
    <w:rsid w:val="00D3606A"/>
    <w:rsid w:val="00D470C8"/>
    <w:rsid w:val="00D51429"/>
    <w:rsid w:val="00D532A8"/>
    <w:rsid w:val="00D57943"/>
    <w:rsid w:val="00D614EC"/>
    <w:rsid w:val="00D61785"/>
    <w:rsid w:val="00D62DFA"/>
    <w:rsid w:val="00D8152F"/>
    <w:rsid w:val="00D840E7"/>
    <w:rsid w:val="00D87A53"/>
    <w:rsid w:val="00DA47A3"/>
    <w:rsid w:val="00DE7C2E"/>
    <w:rsid w:val="00DE7EF2"/>
    <w:rsid w:val="00DF5E1F"/>
    <w:rsid w:val="00E105C4"/>
    <w:rsid w:val="00E5209B"/>
    <w:rsid w:val="00E567F0"/>
    <w:rsid w:val="00E63747"/>
    <w:rsid w:val="00E66C12"/>
    <w:rsid w:val="00E7145F"/>
    <w:rsid w:val="00E71DCC"/>
    <w:rsid w:val="00E91BB2"/>
    <w:rsid w:val="00EA5035"/>
    <w:rsid w:val="00F2745F"/>
    <w:rsid w:val="00F351F2"/>
    <w:rsid w:val="00F37565"/>
    <w:rsid w:val="00F53BC3"/>
    <w:rsid w:val="00F60284"/>
    <w:rsid w:val="00F67391"/>
    <w:rsid w:val="00F86837"/>
    <w:rsid w:val="00F953D8"/>
    <w:rsid w:val="00F9625C"/>
    <w:rsid w:val="00FA0044"/>
    <w:rsid w:val="00FC6C96"/>
    <w:rsid w:val="00FE4C62"/>
    <w:rsid w:val="066E63A4"/>
    <w:rsid w:val="084A3907"/>
    <w:rsid w:val="0A171BEB"/>
    <w:rsid w:val="0A6244C4"/>
    <w:rsid w:val="0B271FA1"/>
    <w:rsid w:val="0DB567B7"/>
    <w:rsid w:val="19F45B80"/>
    <w:rsid w:val="204E2115"/>
    <w:rsid w:val="268C3778"/>
    <w:rsid w:val="28040406"/>
    <w:rsid w:val="34A55DCE"/>
    <w:rsid w:val="3784455A"/>
    <w:rsid w:val="3A4A4646"/>
    <w:rsid w:val="3E252CFB"/>
    <w:rsid w:val="41913D42"/>
    <w:rsid w:val="47C04D9E"/>
    <w:rsid w:val="4DAC5116"/>
    <w:rsid w:val="4FB013D7"/>
    <w:rsid w:val="604B6524"/>
    <w:rsid w:val="692A1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宋体" w:cstheme="minorBidi"/>
      <w:kern w:val="2"/>
      <w:sz w:val="24"/>
      <w:szCs w:val="22"/>
      <w:lang w:val="en-US" w:eastAsia="zh-CN" w:bidi="ar-SA"/>
    </w:rPr>
  </w:style>
  <w:style w:type="paragraph" w:styleId="2">
    <w:name w:val="heading 1"/>
    <w:basedOn w:val="1"/>
    <w:next w:val="1"/>
    <w:link w:val="29"/>
    <w:qFormat/>
    <w:uiPriority w:val="9"/>
    <w:pPr>
      <w:keepNext/>
      <w:keepLines/>
      <w:spacing w:before="120" w:after="120" w:line="600" w:lineRule="auto"/>
      <w:jc w:val="center"/>
      <w:outlineLvl w:val="0"/>
    </w:pPr>
    <w:rPr>
      <w:b/>
      <w:bCs/>
      <w:kern w:val="44"/>
      <w:sz w:val="36"/>
      <w:szCs w:val="44"/>
    </w:rPr>
  </w:style>
  <w:style w:type="paragraph" w:styleId="3">
    <w:name w:val="heading 2"/>
    <w:basedOn w:val="1"/>
    <w:next w:val="1"/>
    <w:link w:val="34"/>
    <w:unhideWhenUsed/>
    <w:qFormat/>
    <w:uiPriority w:val="9"/>
    <w:pPr>
      <w:keepNext/>
      <w:keepLines/>
      <w:outlineLvl w:val="1"/>
    </w:pPr>
    <w:rPr>
      <w:rFonts w:cstheme="majorBidi"/>
      <w:b/>
      <w:bCs/>
      <w:sz w:val="28"/>
      <w:szCs w:val="32"/>
    </w:rPr>
  </w:style>
  <w:style w:type="paragraph" w:styleId="4">
    <w:name w:val="heading 4"/>
    <w:basedOn w:val="1"/>
    <w:next w:val="5"/>
    <w:qFormat/>
    <w:uiPriority w:val="0"/>
    <w:pPr>
      <w:keepNext/>
      <w:keepLines/>
      <w:spacing w:before="280" w:after="290" w:line="372" w:lineRule="auto"/>
      <w:outlineLvl w:val="3"/>
    </w:pPr>
    <w:rPr>
      <w:rFonts w:ascii="Arial" w:hAnsi="Arial" w:eastAsia="黑体"/>
      <w:b/>
      <w:bCs/>
      <w:sz w:val="28"/>
      <w:szCs w:val="28"/>
    </w:rPr>
  </w:style>
  <w:style w:type="character" w:default="1" w:styleId="23">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5">
    <w:name w:val="正文首缩两字"/>
    <w:basedOn w:val="1"/>
    <w:qFormat/>
    <w:uiPriority w:val="0"/>
    <w:pPr>
      <w:spacing w:afterLines="30"/>
      <w:ind w:left="210" w:right="210" w:firstLine="480" w:firstLineChars="200"/>
      <w:jc w:val="left"/>
    </w:pPr>
    <w:rPr>
      <w:rFonts w:eastAsia="仿宋_GB2312"/>
      <w:kern w:val="0"/>
      <w:szCs w:val="24"/>
    </w:rPr>
  </w:style>
  <w:style w:type="paragraph" w:styleId="6">
    <w:name w:val="Normal Indent"/>
    <w:basedOn w:val="1"/>
    <w:link w:val="36"/>
    <w:qFormat/>
    <w:uiPriority w:val="0"/>
    <w:pPr>
      <w:spacing w:line="240" w:lineRule="auto"/>
      <w:ind w:firstLine="420"/>
    </w:pPr>
    <w:rPr>
      <w:rFonts w:asciiTheme="minorHAnsi" w:hAnsiTheme="minorHAnsi" w:eastAsiaTheme="minorEastAsia"/>
      <w:sz w:val="21"/>
    </w:rPr>
  </w:style>
  <w:style w:type="paragraph" w:styleId="7">
    <w:name w:val="caption"/>
    <w:basedOn w:val="1"/>
    <w:next w:val="1"/>
    <w:link w:val="38"/>
    <w:qFormat/>
    <w:uiPriority w:val="0"/>
    <w:pPr>
      <w:adjustRightInd w:val="0"/>
      <w:snapToGrid w:val="0"/>
      <w:ind w:firstLine="200" w:firstLineChars="200"/>
    </w:pPr>
    <w:rPr>
      <w:rFonts w:ascii="Arial" w:hAnsi="Arial" w:eastAsia="黑体" w:cs="Arial"/>
      <w:sz w:val="21"/>
    </w:rPr>
  </w:style>
  <w:style w:type="paragraph" w:styleId="8">
    <w:name w:val="annotation text"/>
    <w:basedOn w:val="1"/>
    <w:link w:val="41"/>
    <w:semiHidden/>
    <w:unhideWhenUsed/>
    <w:qFormat/>
    <w:uiPriority w:val="99"/>
    <w:pPr>
      <w:jc w:val="left"/>
    </w:pPr>
  </w:style>
  <w:style w:type="paragraph" w:styleId="9">
    <w:name w:val="Body Text"/>
    <w:basedOn w:val="1"/>
    <w:link w:val="31"/>
    <w:semiHidden/>
    <w:unhideWhenUsed/>
    <w:qFormat/>
    <w:uiPriority w:val="99"/>
    <w:pPr>
      <w:spacing w:after="120"/>
    </w:pPr>
  </w:style>
  <w:style w:type="paragraph" w:styleId="10">
    <w:name w:val="Body Text Indent"/>
    <w:basedOn w:val="1"/>
    <w:link w:val="43"/>
    <w:semiHidden/>
    <w:unhideWhenUsed/>
    <w:qFormat/>
    <w:uiPriority w:val="99"/>
    <w:pPr>
      <w:spacing w:after="120"/>
      <w:ind w:left="420" w:leftChars="200"/>
    </w:pPr>
  </w:style>
  <w:style w:type="paragraph" w:styleId="11">
    <w:name w:val="Date"/>
    <w:basedOn w:val="1"/>
    <w:next w:val="1"/>
    <w:link w:val="28"/>
    <w:semiHidden/>
    <w:unhideWhenUsed/>
    <w:qFormat/>
    <w:uiPriority w:val="99"/>
    <w:pPr>
      <w:ind w:left="100" w:leftChars="2500"/>
    </w:pPr>
  </w:style>
  <w:style w:type="paragraph" w:styleId="12">
    <w:name w:val="Balloon Text"/>
    <w:basedOn w:val="1"/>
    <w:link w:val="40"/>
    <w:semiHidden/>
    <w:unhideWhenUsed/>
    <w:qFormat/>
    <w:uiPriority w:val="99"/>
    <w:pPr>
      <w:spacing w:line="240" w:lineRule="auto"/>
    </w:pPr>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Body Text Indent 3"/>
    <w:basedOn w:val="1"/>
    <w:link w:val="33"/>
    <w:semiHidden/>
    <w:unhideWhenUsed/>
    <w:qFormat/>
    <w:uiPriority w:val="99"/>
    <w:pPr>
      <w:spacing w:after="120"/>
      <w:ind w:left="420" w:leftChars="200"/>
    </w:pPr>
    <w:rPr>
      <w:sz w:val="16"/>
      <w:szCs w:val="16"/>
    </w:rPr>
  </w:style>
  <w:style w:type="paragraph" w:styleId="17">
    <w:name w:val="toc 2"/>
    <w:basedOn w:val="1"/>
    <w:next w:val="1"/>
    <w:unhideWhenUsed/>
    <w:qFormat/>
    <w:uiPriority w:val="39"/>
    <w:pPr>
      <w:ind w:left="420" w:leftChars="200"/>
    </w:pPr>
  </w:style>
  <w:style w:type="paragraph" w:styleId="18">
    <w:name w:val="Normal (Web)"/>
    <w:basedOn w:val="1"/>
    <w:semiHidden/>
    <w:unhideWhenUsed/>
    <w:qFormat/>
    <w:uiPriority w:val="99"/>
    <w:pPr>
      <w:spacing w:beforeAutospacing="1" w:afterAutospacing="1"/>
      <w:jc w:val="left"/>
    </w:pPr>
    <w:rPr>
      <w:rFonts w:cs="Times New Roman"/>
      <w:kern w:val="0"/>
    </w:rPr>
  </w:style>
  <w:style w:type="paragraph" w:styleId="19">
    <w:name w:val="annotation subject"/>
    <w:basedOn w:val="8"/>
    <w:next w:val="8"/>
    <w:link w:val="42"/>
    <w:semiHidden/>
    <w:unhideWhenUsed/>
    <w:qFormat/>
    <w:uiPriority w:val="99"/>
    <w:rPr>
      <w:b/>
      <w:bCs/>
    </w:rPr>
  </w:style>
  <w:style w:type="paragraph" w:styleId="20">
    <w:name w:val="Body Text First Indent"/>
    <w:basedOn w:val="9"/>
    <w:link w:val="30"/>
    <w:unhideWhenUsed/>
    <w:qFormat/>
    <w:uiPriority w:val="99"/>
    <w:pPr>
      <w:spacing w:line="500" w:lineRule="exact"/>
      <w:ind w:firstLine="420" w:firstLineChars="100"/>
    </w:pPr>
    <w:rPr>
      <w:rFonts w:eastAsiaTheme="minorEastAsia"/>
      <w:sz w:val="28"/>
      <w:szCs w:val="24"/>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styleId="25">
    <w:name w:val="annotation reference"/>
    <w:basedOn w:val="23"/>
    <w:semiHidden/>
    <w:unhideWhenUsed/>
    <w:qFormat/>
    <w:uiPriority w:val="99"/>
    <w:rPr>
      <w:sz w:val="21"/>
      <w:szCs w:val="21"/>
    </w:rPr>
  </w:style>
  <w:style w:type="character" w:customStyle="1" w:styleId="26">
    <w:name w:val="页眉 字符"/>
    <w:basedOn w:val="23"/>
    <w:link w:val="14"/>
    <w:qFormat/>
    <w:uiPriority w:val="99"/>
    <w:rPr>
      <w:sz w:val="18"/>
      <w:szCs w:val="18"/>
    </w:rPr>
  </w:style>
  <w:style w:type="character" w:customStyle="1" w:styleId="27">
    <w:name w:val="页脚 字符"/>
    <w:basedOn w:val="23"/>
    <w:link w:val="13"/>
    <w:qFormat/>
    <w:uiPriority w:val="99"/>
    <w:rPr>
      <w:sz w:val="18"/>
      <w:szCs w:val="18"/>
    </w:rPr>
  </w:style>
  <w:style w:type="character" w:customStyle="1" w:styleId="28">
    <w:name w:val="日期 字符"/>
    <w:basedOn w:val="23"/>
    <w:link w:val="11"/>
    <w:semiHidden/>
    <w:qFormat/>
    <w:uiPriority w:val="99"/>
    <w:rPr>
      <w:rFonts w:ascii="宋体" w:hAnsi="宋体" w:eastAsia="宋体"/>
      <w:sz w:val="24"/>
    </w:rPr>
  </w:style>
  <w:style w:type="character" w:customStyle="1" w:styleId="29">
    <w:name w:val="标题 1 字符"/>
    <w:basedOn w:val="23"/>
    <w:link w:val="2"/>
    <w:qFormat/>
    <w:uiPriority w:val="9"/>
    <w:rPr>
      <w:rFonts w:ascii="宋体" w:hAnsi="宋体" w:eastAsia="宋体"/>
      <w:b/>
      <w:bCs/>
      <w:kern w:val="44"/>
      <w:sz w:val="36"/>
      <w:szCs w:val="44"/>
    </w:rPr>
  </w:style>
  <w:style w:type="character" w:customStyle="1" w:styleId="30">
    <w:name w:val="正文首行缩进 字符"/>
    <w:link w:val="20"/>
    <w:qFormat/>
    <w:uiPriority w:val="99"/>
    <w:rPr>
      <w:rFonts w:ascii="宋体" w:hAnsi="宋体"/>
      <w:sz w:val="28"/>
      <w:szCs w:val="24"/>
    </w:rPr>
  </w:style>
  <w:style w:type="character" w:customStyle="1" w:styleId="31">
    <w:name w:val="正文文本 字符"/>
    <w:basedOn w:val="23"/>
    <w:link w:val="9"/>
    <w:semiHidden/>
    <w:qFormat/>
    <w:uiPriority w:val="99"/>
    <w:rPr>
      <w:rFonts w:ascii="宋体" w:hAnsi="宋体" w:eastAsia="宋体"/>
      <w:sz w:val="24"/>
    </w:rPr>
  </w:style>
  <w:style w:type="character" w:customStyle="1" w:styleId="32">
    <w:name w:val="正文文本首行缩进 字符"/>
    <w:basedOn w:val="31"/>
    <w:semiHidden/>
    <w:qFormat/>
    <w:uiPriority w:val="99"/>
    <w:rPr>
      <w:rFonts w:ascii="宋体" w:hAnsi="宋体" w:eastAsia="宋体"/>
      <w:sz w:val="24"/>
    </w:rPr>
  </w:style>
  <w:style w:type="character" w:customStyle="1" w:styleId="33">
    <w:name w:val="正文文本缩进 3 字符"/>
    <w:basedOn w:val="23"/>
    <w:link w:val="16"/>
    <w:semiHidden/>
    <w:qFormat/>
    <w:uiPriority w:val="99"/>
    <w:rPr>
      <w:rFonts w:ascii="宋体" w:hAnsi="宋体" w:eastAsia="宋体"/>
      <w:sz w:val="16"/>
      <w:szCs w:val="16"/>
    </w:rPr>
  </w:style>
  <w:style w:type="character" w:customStyle="1" w:styleId="34">
    <w:name w:val="标题 2 字符"/>
    <w:basedOn w:val="23"/>
    <w:link w:val="3"/>
    <w:qFormat/>
    <w:uiPriority w:val="9"/>
    <w:rPr>
      <w:rFonts w:ascii="宋体" w:hAnsi="宋体" w:eastAsia="宋体" w:cstheme="majorBidi"/>
      <w:b/>
      <w:bCs/>
      <w:sz w:val="28"/>
      <w:szCs w:val="32"/>
    </w:rPr>
  </w:style>
  <w:style w:type="character" w:customStyle="1" w:styleId="35">
    <w:name w:val="未处理的提及1"/>
    <w:basedOn w:val="23"/>
    <w:semiHidden/>
    <w:unhideWhenUsed/>
    <w:qFormat/>
    <w:uiPriority w:val="99"/>
    <w:rPr>
      <w:color w:val="605E5C"/>
      <w:shd w:val="clear" w:color="auto" w:fill="E1DFDD"/>
    </w:rPr>
  </w:style>
  <w:style w:type="character" w:customStyle="1" w:styleId="36">
    <w:name w:val="正文缩进 字符"/>
    <w:link w:val="6"/>
    <w:qFormat/>
    <w:uiPriority w:val="0"/>
  </w:style>
  <w:style w:type="paragraph" w:customStyle="1" w:styleId="37">
    <w:name w:val="_Style 36"/>
    <w:basedOn w:val="9"/>
    <w:next w:val="20"/>
    <w:unhideWhenUsed/>
    <w:qFormat/>
    <w:uiPriority w:val="99"/>
    <w:pPr>
      <w:spacing w:line="240" w:lineRule="auto"/>
      <w:ind w:firstLine="420" w:firstLineChars="100"/>
    </w:pPr>
    <w:rPr>
      <w:rFonts w:cs="Times New Roman"/>
      <w:sz w:val="28"/>
      <w:szCs w:val="24"/>
      <w:lang w:val="zh-CN"/>
    </w:rPr>
  </w:style>
  <w:style w:type="character" w:customStyle="1" w:styleId="38">
    <w:name w:val="题注 字符"/>
    <w:link w:val="7"/>
    <w:qFormat/>
    <w:uiPriority w:val="0"/>
    <w:rPr>
      <w:rFonts w:ascii="Arial" w:hAnsi="Arial" w:eastAsia="黑体" w:cs="Arial"/>
    </w:rPr>
  </w:style>
  <w:style w:type="paragraph" w:customStyle="1" w:styleId="3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40">
    <w:name w:val="批注框文本 字符"/>
    <w:basedOn w:val="23"/>
    <w:link w:val="12"/>
    <w:semiHidden/>
    <w:qFormat/>
    <w:uiPriority w:val="99"/>
    <w:rPr>
      <w:rFonts w:ascii="宋体" w:hAnsi="宋体" w:cstheme="minorBidi"/>
      <w:kern w:val="2"/>
      <w:sz w:val="18"/>
      <w:szCs w:val="18"/>
    </w:rPr>
  </w:style>
  <w:style w:type="character" w:customStyle="1" w:styleId="41">
    <w:name w:val="批注文字 字符"/>
    <w:basedOn w:val="23"/>
    <w:link w:val="8"/>
    <w:semiHidden/>
    <w:qFormat/>
    <w:uiPriority w:val="99"/>
    <w:rPr>
      <w:rFonts w:ascii="宋体" w:hAnsi="宋体" w:cstheme="minorBidi"/>
      <w:kern w:val="2"/>
      <w:sz w:val="24"/>
      <w:szCs w:val="22"/>
    </w:rPr>
  </w:style>
  <w:style w:type="character" w:customStyle="1" w:styleId="42">
    <w:name w:val="批注主题 字符"/>
    <w:basedOn w:val="41"/>
    <w:link w:val="19"/>
    <w:semiHidden/>
    <w:qFormat/>
    <w:uiPriority w:val="99"/>
    <w:rPr>
      <w:rFonts w:ascii="宋体" w:hAnsi="宋体" w:cstheme="minorBidi"/>
      <w:b/>
      <w:bCs/>
      <w:kern w:val="2"/>
      <w:sz w:val="24"/>
      <w:szCs w:val="22"/>
    </w:rPr>
  </w:style>
  <w:style w:type="character" w:customStyle="1" w:styleId="43">
    <w:name w:val="正文文本缩进 字符"/>
    <w:basedOn w:val="23"/>
    <w:link w:val="10"/>
    <w:semiHidden/>
    <w:qFormat/>
    <w:uiPriority w:val="99"/>
    <w:rPr>
      <w:rFonts w:ascii="宋体" w:hAnsi="宋体" w:cstheme="minorBidi"/>
      <w:kern w:val="2"/>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E8E14-162D-4003-BD5F-0A958B2CE22D}">
  <ds:schemaRefs/>
</ds:datastoreItem>
</file>

<file path=docProps/app.xml><?xml version="1.0" encoding="utf-8"?>
<Properties xmlns="http://schemas.openxmlformats.org/officeDocument/2006/extended-properties" xmlns:vt="http://schemas.openxmlformats.org/officeDocument/2006/docPropsVTypes">
  <Template>Normal</Template>
  <Pages>104</Pages>
  <Words>4962</Words>
  <Characters>5529</Characters>
  <Lines>519</Lines>
  <Paragraphs>146</Paragraphs>
  <TotalTime>2</TotalTime>
  <ScaleCrop>false</ScaleCrop>
  <LinksUpToDate>false</LinksUpToDate>
  <CharactersWithSpaces>5695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2023-04-10T02:45:00Z</dcterms:created>
  <dc:creator>NTKO</dc:creator>
  <cp:lastModifiedBy>Administrator</cp:lastModifiedBy>
  <cp:lastPrinted>2024-05-16T00:39:00Z</cp:lastPrinted>
  <dcterms:modified xsi:type="dcterms:W3CDTF">2025-07-01T02:02:34Z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F0F6E01109FA4775AE701396AF423BF9_13</vt:lpwstr>
  </property>
  <property fmtid="{D5CDD505-2E9C-101B-9397-08002B2CF9AE}" pid="4" name="KSOTemplateDocerSaveRecord">
    <vt:lpwstr>eyJoZGlkIjoiMTA2ZDc3MDA0MWNmMDY5NWQ2MWYzNTJkZDZhYjI3YWIiLCJ1c2VySWQiOiIxMjExODY1ODk2In0=</vt:lpwstr>
  </property>
</Properties>
</file>