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lang w:eastAsia="zh-CN"/>
        </w:rPr>
        <w:t>浙江省体育彩票管理中心</w:t>
      </w:r>
      <w:r>
        <w:rPr>
          <w:rFonts w:hint="eastAsia" w:ascii="宋体" w:hAnsi="宋体" w:eastAsia="宋体" w:cs="宋体"/>
          <w:b/>
          <w:color w:val="auto"/>
          <w:sz w:val="44"/>
          <w:szCs w:val="44"/>
          <w:highlight w:val="none"/>
        </w:rPr>
        <w:t>政府采购</w:t>
      </w:r>
    </w:p>
    <w:p>
      <w:pPr>
        <w:jc w:val="center"/>
        <w:rPr>
          <w:rFonts w:hint="eastAsia" w:ascii="宋体" w:hAnsi="宋体" w:eastAsia="宋体" w:cs="宋体"/>
          <w:b/>
          <w:color w:val="auto"/>
          <w:sz w:val="44"/>
          <w:szCs w:val="44"/>
          <w:highlight w:val="none"/>
        </w:rPr>
      </w:pPr>
      <w:r>
        <w:rPr>
          <w:rFonts w:hint="eastAsia" w:ascii="宋体" w:hAnsi="宋体" w:cs="宋体"/>
          <w:b/>
          <w:color w:val="auto"/>
          <w:sz w:val="44"/>
          <w:szCs w:val="44"/>
          <w:highlight w:val="none"/>
          <w:lang w:eastAsia="zh-CN"/>
        </w:rPr>
        <w:t>2024年体彩爱心小板凳活动</w:t>
      </w:r>
      <w:r>
        <w:rPr>
          <w:rFonts w:hint="eastAsia" w:ascii="宋体" w:hAnsi="宋体" w:eastAsia="宋体" w:cs="宋体"/>
          <w:b/>
          <w:color w:val="auto"/>
          <w:sz w:val="44"/>
          <w:szCs w:val="44"/>
          <w:highlight w:val="none"/>
        </w:rPr>
        <w:t>项目</w:t>
      </w:r>
    </w:p>
    <w:p>
      <w:pPr>
        <w:rPr>
          <w:rFonts w:hint="eastAsia" w:ascii="宋体" w:hAnsi="宋体" w:eastAsia="宋体" w:cs="宋体"/>
          <w:b/>
          <w:color w:val="auto"/>
          <w:szCs w:val="21"/>
          <w:highlight w:val="none"/>
          <w:u w:val="single"/>
        </w:rPr>
      </w:pPr>
    </w:p>
    <w:p>
      <w:pPr>
        <w:rPr>
          <w:rFonts w:hint="eastAsia" w:ascii="宋体" w:hAnsi="宋体" w:eastAsia="宋体" w:cs="宋体"/>
          <w:b/>
          <w:color w:val="auto"/>
          <w:szCs w:val="21"/>
          <w:highlight w:val="none"/>
          <w:u w:val="single"/>
        </w:rPr>
      </w:pPr>
    </w:p>
    <w:p>
      <w:pPr>
        <w:jc w:val="center"/>
        <w:rPr>
          <w:rFonts w:hint="eastAsia" w:ascii="宋体" w:hAnsi="宋体" w:eastAsia="宋体" w:cs="宋体"/>
          <w:b/>
          <w:color w:val="auto"/>
          <w:sz w:val="100"/>
          <w:szCs w:val="100"/>
          <w:highlight w:val="none"/>
        </w:rPr>
      </w:pPr>
      <w:r>
        <w:rPr>
          <w:rFonts w:hint="eastAsia" w:ascii="宋体" w:hAnsi="宋体" w:eastAsia="宋体" w:cs="宋体"/>
          <w:b/>
          <w:color w:val="auto"/>
          <w:sz w:val="100"/>
          <w:szCs w:val="100"/>
          <w:highlight w:val="none"/>
        </w:rPr>
        <w:t>采购文件</w:t>
      </w: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jc w:val="center"/>
        <w:rPr>
          <w:rFonts w:hint="eastAsia" w:ascii="宋体" w:hAnsi="宋体" w:eastAsia="宋体" w:cs="宋体"/>
          <w:b/>
          <w:color w:val="auto"/>
          <w:sz w:val="36"/>
          <w:highlight w:val="none"/>
        </w:rPr>
      </w:pPr>
      <w:r>
        <w:rPr>
          <w:rFonts w:hint="eastAsia" w:ascii="宋体" w:hAnsi="宋体" w:eastAsia="宋体" w:cs="宋体"/>
          <w:color w:val="auto"/>
          <w:highlight w:val="none"/>
        </w:rPr>
        <w:drawing>
          <wp:inline distT="0" distB="0" distL="114300" distR="114300">
            <wp:extent cx="2303780" cy="179070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303780" cy="1790700"/>
                    </a:xfrm>
                    <a:prstGeom prst="rect">
                      <a:avLst/>
                    </a:prstGeom>
                    <a:noFill/>
                    <a:ln>
                      <a:noFill/>
                    </a:ln>
                  </pic:spPr>
                </pic:pic>
              </a:graphicData>
            </a:graphic>
          </wp:inline>
        </w:drawing>
      </w: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ind w:firstLine="1494" w:firstLineChars="496"/>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采购方式：竞争性磋商</w:t>
      </w:r>
    </w:p>
    <w:p>
      <w:pPr>
        <w:ind w:firstLine="1494" w:firstLineChars="496"/>
        <w:rPr>
          <w:rFonts w:hint="eastAsia" w:ascii="宋体" w:hAnsi="宋体" w:eastAsia="宋体" w:cs="宋体"/>
          <w:b/>
          <w:color w:val="auto"/>
          <w:sz w:val="30"/>
          <w:szCs w:val="30"/>
          <w:highlight w:val="none"/>
          <w:lang w:eastAsia="zh-CN"/>
        </w:rPr>
      </w:pPr>
      <w:r>
        <w:rPr>
          <w:rFonts w:hint="eastAsia" w:ascii="宋体" w:hAnsi="宋体" w:eastAsia="宋体" w:cs="宋体"/>
          <w:b/>
          <w:color w:val="auto"/>
          <w:sz w:val="30"/>
          <w:szCs w:val="30"/>
          <w:highlight w:val="none"/>
        </w:rPr>
        <w:t>项目编号：</w:t>
      </w:r>
      <w:r>
        <w:rPr>
          <w:rFonts w:hint="eastAsia" w:ascii="宋体" w:hAnsi="宋体" w:cs="宋体"/>
          <w:b/>
          <w:color w:val="auto"/>
          <w:sz w:val="30"/>
          <w:szCs w:val="30"/>
          <w:highlight w:val="none"/>
          <w:lang w:eastAsia="zh-CN"/>
        </w:rPr>
        <w:t>CTZB-2023110267</w:t>
      </w: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ind w:firstLine="1355" w:firstLineChars="450"/>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采购人：</w:t>
      </w:r>
      <w:r>
        <w:rPr>
          <w:rFonts w:hint="eastAsia" w:ascii="宋体" w:hAnsi="宋体" w:eastAsia="宋体" w:cs="宋体"/>
          <w:b/>
          <w:color w:val="auto"/>
          <w:sz w:val="30"/>
          <w:szCs w:val="30"/>
          <w:highlight w:val="none"/>
          <w:u w:val="single"/>
          <w:lang w:eastAsia="zh-CN"/>
        </w:rPr>
        <w:t>浙江省体育彩票管理中心</w:t>
      </w:r>
      <w:r>
        <w:rPr>
          <w:rFonts w:hint="eastAsia" w:ascii="宋体" w:hAnsi="宋体" w:eastAsia="宋体" w:cs="宋体"/>
          <w:b/>
          <w:color w:val="auto"/>
          <w:sz w:val="30"/>
          <w:szCs w:val="30"/>
          <w:highlight w:val="none"/>
        </w:rPr>
        <w:t>（盖章）</w:t>
      </w:r>
    </w:p>
    <w:p>
      <w:pPr>
        <w:ind w:firstLine="1355" w:firstLineChars="450"/>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采购代理机构：</w:t>
      </w:r>
      <w:r>
        <w:rPr>
          <w:rFonts w:hint="eastAsia" w:ascii="宋体" w:hAnsi="宋体" w:eastAsia="宋体" w:cs="宋体"/>
          <w:b/>
          <w:color w:val="auto"/>
          <w:sz w:val="30"/>
          <w:szCs w:val="30"/>
          <w:highlight w:val="none"/>
          <w:u w:val="single"/>
        </w:rPr>
        <w:t>浙江省成套招标代理有限公司</w:t>
      </w:r>
      <w:r>
        <w:rPr>
          <w:rFonts w:hint="eastAsia" w:ascii="宋体" w:hAnsi="宋体" w:eastAsia="宋体" w:cs="宋体"/>
          <w:b/>
          <w:color w:val="auto"/>
          <w:sz w:val="30"/>
          <w:szCs w:val="30"/>
          <w:highlight w:val="none"/>
        </w:rPr>
        <w:t>（盖章）</w:t>
      </w:r>
    </w:p>
    <w:p>
      <w:pPr>
        <w:jc w:val="center"/>
        <w:rPr>
          <w:rFonts w:hint="eastAsia" w:ascii="宋体" w:hAnsi="宋体" w:eastAsia="宋体" w:cs="宋体"/>
          <w:b/>
          <w:color w:val="auto"/>
          <w:sz w:val="30"/>
          <w:szCs w:val="30"/>
          <w:highlight w:val="none"/>
        </w:rPr>
      </w:pP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二〇二三年</w:t>
      </w:r>
      <w:r>
        <w:rPr>
          <w:rFonts w:hint="eastAsia" w:ascii="宋体" w:hAnsi="宋体" w:cs="宋体"/>
          <w:b/>
          <w:color w:val="auto"/>
          <w:sz w:val="30"/>
          <w:szCs w:val="30"/>
          <w:highlight w:val="none"/>
          <w:lang w:val="en-US" w:eastAsia="zh-CN"/>
        </w:rPr>
        <w:t>十一</w:t>
      </w:r>
      <w:r>
        <w:rPr>
          <w:rFonts w:hint="eastAsia" w:ascii="宋体" w:hAnsi="宋体" w:eastAsia="宋体" w:cs="宋体"/>
          <w:b/>
          <w:color w:val="auto"/>
          <w:sz w:val="30"/>
          <w:szCs w:val="30"/>
          <w:highlight w:val="none"/>
        </w:rPr>
        <w:t>月</w:t>
      </w:r>
    </w:p>
    <w:p>
      <w:pPr>
        <w:pStyle w:val="3"/>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0" w:name="_Toc23506"/>
      <w:bookmarkStart w:id="1" w:name="_Toc442"/>
      <w:r>
        <w:rPr>
          <w:rFonts w:hint="eastAsia" w:ascii="宋体" w:hAnsi="宋体" w:eastAsia="宋体" w:cs="宋体"/>
          <w:color w:val="auto"/>
          <w:highlight w:val="none"/>
        </w:rPr>
        <w:t>目录</w:t>
      </w:r>
      <w:bookmarkEnd w:id="0"/>
      <w:bookmarkEnd w:id="1"/>
    </w:p>
    <w:p>
      <w:pPr>
        <w:pStyle w:val="27"/>
        <w:tabs>
          <w:tab w:val="right" w:leader="dot" w:pos="9186"/>
          <w:tab w:val="clear" w:pos="9403"/>
        </w:tabs>
        <w:spacing w:line="360" w:lineRule="auto"/>
        <w:rPr>
          <w:rFonts w:hint="eastAsia" w:ascii="宋体" w:hAnsi="宋体" w:eastAsia="宋体" w:cs="宋体"/>
          <w:color w:val="auto"/>
          <w:highlight w:val="none"/>
        </w:rPr>
      </w:pPr>
      <w:r>
        <w:rPr>
          <w:rFonts w:hint="eastAsia" w:ascii="宋体" w:hAnsi="宋体" w:eastAsia="宋体" w:cs="宋体"/>
          <w:bCs w:val="0"/>
          <w:caps w:val="0"/>
          <w:color w:val="auto"/>
          <w:kern w:val="0"/>
          <w:szCs w:val="21"/>
          <w:highlight w:val="none"/>
        </w:rPr>
        <w:fldChar w:fldCharType="begin"/>
      </w:r>
      <w:r>
        <w:rPr>
          <w:rFonts w:hint="eastAsia" w:ascii="宋体" w:hAnsi="宋体" w:eastAsia="宋体" w:cs="宋体"/>
          <w:bCs w:val="0"/>
          <w:caps w:val="0"/>
          <w:color w:val="auto"/>
          <w:kern w:val="0"/>
          <w:szCs w:val="21"/>
          <w:highlight w:val="none"/>
        </w:rPr>
        <w:instrText xml:space="preserve"> TOC \o "1-1" \h \z </w:instrText>
      </w:r>
      <w:r>
        <w:rPr>
          <w:rFonts w:hint="eastAsia" w:ascii="宋体" w:hAnsi="宋体" w:eastAsia="宋体" w:cs="宋体"/>
          <w:bCs w:val="0"/>
          <w:caps w:val="0"/>
          <w:color w:val="auto"/>
          <w:kern w:val="0"/>
          <w:szCs w:val="21"/>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"_Toc442"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目录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_Toc442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7"/>
        <w:tabs>
          <w:tab w:val="right" w:leader="dot" w:pos="9186"/>
          <w:tab w:val="clear" w:pos="9403"/>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"_Toc728"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第一章  竞争性磋商采购公告</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_Toc728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7"/>
        <w:tabs>
          <w:tab w:val="right" w:leader="dot" w:pos="9186"/>
          <w:tab w:val="clear" w:pos="9403"/>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"_Toc22392"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第二章  采购项目总体要求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_Toc22392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7</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7"/>
        <w:tabs>
          <w:tab w:val="right" w:leader="dot" w:pos="9186"/>
          <w:tab w:val="clear" w:pos="9403"/>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"_Toc6047"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30"/>
          <w:highlight w:val="none"/>
        </w:rPr>
        <w:t>第三章  采购需求</w:t>
      </w:r>
      <w:bookmarkStart w:id="154" w:name="_GoBack"/>
      <w:bookmarkEnd w:id="154"/>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_Toc6047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7"/>
        <w:tabs>
          <w:tab w:val="right" w:leader="dot" w:pos="9186"/>
          <w:tab w:val="clear" w:pos="9403"/>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"_Toc2886"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第四章  合同草案条款</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_Toc2886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7"/>
        <w:tabs>
          <w:tab w:val="right" w:leader="dot" w:pos="9186"/>
          <w:tab w:val="clear" w:pos="9403"/>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"_Toc2406"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第五章  磋商评审办法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_Toc2406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7"/>
        <w:tabs>
          <w:tab w:val="right" w:leader="dot" w:pos="9186"/>
          <w:tab w:val="clear" w:pos="9403"/>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"_Toc25468"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第六章  磋商须知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_Toc25468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25</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7"/>
        <w:tabs>
          <w:tab w:val="right" w:leader="dot" w:pos="9186"/>
          <w:tab w:val="clear" w:pos="9403"/>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"_Toc30927"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第七章  磋商响应文件格式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_Toc30927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7"/>
        <w:tabs>
          <w:tab w:val="right" w:leader="dot" w:pos="9186"/>
          <w:tab w:val="clear" w:pos="9403"/>
        </w:tabs>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"_Toc11075"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第八章  采购文件附件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_Toc11075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61</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spacing w:line="360" w:lineRule="auto"/>
        <w:rPr>
          <w:rFonts w:hint="eastAsia" w:ascii="宋体" w:hAnsi="宋体" w:eastAsia="宋体" w:cs="宋体"/>
          <w:color w:val="auto"/>
          <w:kern w:val="0"/>
          <w:highlight w:val="none"/>
        </w:rPr>
      </w:pPr>
      <w:r>
        <w:rPr>
          <w:rFonts w:hint="eastAsia" w:ascii="宋体" w:hAnsi="宋体" w:eastAsia="宋体" w:cs="宋体"/>
          <w:color w:val="auto"/>
          <w:kern w:val="0"/>
          <w:highlight w:val="none"/>
        </w:rPr>
        <w:fldChar w:fldCharType="end"/>
      </w:r>
      <w:r>
        <w:rPr>
          <w:rFonts w:hint="eastAsia" w:ascii="宋体" w:hAnsi="宋体" w:eastAsia="宋体" w:cs="宋体"/>
          <w:color w:val="auto"/>
          <w:kern w:val="0"/>
          <w:highlight w:val="none"/>
        </w:rPr>
        <w:br w:type="page"/>
      </w:r>
    </w:p>
    <w:p>
      <w:pPr>
        <w:pStyle w:val="3"/>
        <w:rPr>
          <w:rFonts w:hint="eastAsia" w:ascii="宋体" w:hAnsi="宋体" w:eastAsia="宋体" w:cs="宋体"/>
          <w:color w:val="auto"/>
          <w:highlight w:val="none"/>
        </w:rPr>
      </w:pPr>
      <w:bookmarkStart w:id="2" w:name="_Toc2585"/>
      <w:bookmarkStart w:id="3" w:name="_Toc728"/>
      <w:r>
        <w:rPr>
          <w:rFonts w:hint="eastAsia" w:ascii="宋体" w:hAnsi="宋体" w:eastAsia="宋体" w:cs="宋体"/>
          <w:color w:val="auto"/>
          <w:highlight w:val="none"/>
        </w:rPr>
        <w:t>第一章  竞争性磋商采购公告</w:t>
      </w:r>
      <w:bookmarkEnd w:id="2"/>
      <w:bookmarkEnd w:id="3"/>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项目概况</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lang w:eastAsia="zh-CN"/>
        </w:rPr>
        <w:t>浙江省体育彩票管理中心</w:t>
      </w:r>
      <w:r>
        <w:rPr>
          <w:rFonts w:hint="eastAsia" w:ascii="宋体" w:hAnsi="宋体" w:cs="宋体"/>
          <w:color w:val="auto"/>
          <w:highlight w:val="none"/>
          <w:lang w:eastAsia="zh-CN"/>
        </w:rPr>
        <w:t>2024年体彩爱心小板凳活动</w:t>
      </w:r>
      <w:r>
        <w:rPr>
          <w:rFonts w:hint="eastAsia" w:ascii="宋体" w:hAnsi="宋体" w:eastAsia="宋体" w:cs="宋体"/>
          <w:color w:val="auto"/>
          <w:highlight w:val="none"/>
        </w:rPr>
        <w:t>项目</w:t>
      </w:r>
      <w:r>
        <w:rPr>
          <w:rFonts w:hint="eastAsia" w:ascii="宋体" w:hAnsi="宋体" w:eastAsia="宋体" w:cs="宋体"/>
          <w:color w:val="auto"/>
          <w:szCs w:val="21"/>
          <w:highlight w:val="none"/>
        </w:rPr>
        <w:t>的潜在供应商应在浙江政府采购网（http://zfcg.czt.zj.gov.cn/）获取（下载）采购文件，并于2023年</w:t>
      </w:r>
      <w:r>
        <w:rPr>
          <w:rFonts w:hint="eastAsia" w:ascii="宋体" w:hAnsi="宋体" w:cs="宋体"/>
          <w:color w:val="auto"/>
          <w:szCs w:val="21"/>
          <w:highlight w:val="none"/>
          <w:lang w:val="en-US" w:eastAsia="zh-CN"/>
        </w:rPr>
        <w:t>11</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27</w:t>
      </w:r>
      <w:r>
        <w:rPr>
          <w:rFonts w:hint="eastAsia" w:ascii="宋体" w:hAnsi="宋体" w:eastAsia="宋体" w:cs="宋体"/>
          <w:color w:val="auto"/>
          <w:szCs w:val="21"/>
          <w:highlight w:val="none"/>
        </w:rPr>
        <w:t>日</w:t>
      </w:r>
      <w:r>
        <w:rPr>
          <w:rFonts w:hint="eastAsia" w:ascii="宋体" w:hAnsi="宋体" w:cs="宋体"/>
          <w:color w:val="auto"/>
          <w:szCs w:val="21"/>
          <w:highlight w:val="none"/>
          <w:lang w:val="en-US" w:eastAsia="zh-CN"/>
        </w:rPr>
        <w:t>09</w:t>
      </w:r>
      <w:r>
        <w:rPr>
          <w:rFonts w:hint="eastAsia" w:ascii="宋体" w:hAnsi="宋体" w:eastAsia="宋体" w:cs="宋体"/>
          <w:color w:val="auto"/>
          <w:szCs w:val="21"/>
          <w:highlight w:val="none"/>
        </w:rPr>
        <w:t>时30分（北京时间）前递交（上传）响应文件。</w:t>
      </w:r>
    </w:p>
    <w:p>
      <w:pPr>
        <w:pStyle w:val="2"/>
        <w:ind w:firstLine="420"/>
        <w:rPr>
          <w:rFonts w:hint="eastAsia" w:ascii="宋体" w:hAnsi="宋体" w:eastAsia="宋体" w:cs="宋体"/>
          <w:color w:val="auto"/>
          <w:highlight w:val="none"/>
        </w:rPr>
      </w:pPr>
      <w:bookmarkStart w:id="4" w:name="_Toc35393798"/>
      <w:bookmarkStart w:id="5" w:name="_Toc28359089"/>
      <w:bookmarkStart w:id="6" w:name="_Toc35393629"/>
      <w:bookmarkStart w:id="7" w:name="_Toc28359012"/>
      <w:r>
        <w:rPr>
          <w:rFonts w:hint="eastAsia" w:ascii="宋体" w:hAnsi="宋体" w:eastAsia="宋体" w:cs="宋体"/>
          <w:color w:val="auto"/>
          <w:highlight w:val="none"/>
        </w:rPr>
        <w:t>一、项目基本情况</w:t>
      </w:r>
      <w:bookmarkEnd w:id="4"/>
      <w:bookmarkEnd w:id="5"/>
      <w:bookmarkEnd w:id="6"/>
      <w:bookmarkEnd w:id="7"/>
    </w:p>
    <w:p>
      <w:pPr>
        <w:ind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szCs w:val="21"/>
          <w:highlight w:val="none"/>
        </w:rPr>
        <w:t>项目编号：</w:t>
      </w:r>
      <w:r>
        <w:rPr>
          <w:rFonts w:hint="eastAsia" w:ascii="宋体" w:hAnsi="宋体" w:cs="宋体"/>
          <w:color w:val="auto"/>
          <w:kern w:val="0"/>
          <w:szCs w:val="21"/>
          <w:highlight w:val="none"/>
          <w:lang w:eastAsia="zh-CN"/>
        </w:rPr>
        <w:t>CTZB-2023110267</w:t>
      </w:r>
    </w:p>
    <w:p>
      <w:pPr>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项目名称：</w:t>
      </w:r>
      <w:r>
        <w:rPr>
          <w:rFonts w:hint="eastAsia" w:ascii="宋体" w:hAnsi="宋体" w:cs="宋体"/>
          <w:color w:val="auto"/>
          <w:szCs w:val="21"/>
          <w:highlight w:val="none"/>
          <w:lang w:eastAsia="zh-CN"/>
        </w:rPr>
        <w:t>2024年体彩爱心小板凳活动</w:t>
      </w:r>
      <w:r>
        <w:rPr>
          <w:rFonts w:hint="eastAsia" w:ascii="宋体" w:hAnsi="宋体" w:eastAsia="宋体" w:cs="宋体"/>
          <w:color w:val="auto"/>
          <w:szCs w:val="21"/>
          <w:highlight w:val="none"/>
        </w:rPr>
        <w:t>项目</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采购方式：竞争性磋商</w:t>
      </w:r>
    </w:p>
    <w:p>
      <w:pPr>
        <w:widowControl/>
        <w:adjustRightInd w:val="0"/>
        <w:ind w:firstLine="420"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预算金额（元）：</w:t>
      </w:r>
      <w:r>
        <w:rPr>
          <w:rFonts w:hint="eastAsia" w:ascii="宋体" w:hAnsi="宋体" w:cs="宋体"/>
          <w:color w:val="auto"/>
          <w:kern w:val="0"/>
          <w:szCs w:val="21"/>
          <w:highlight w:val="none"/>
          <w:lang w:eastAsia="zh-CN"/>
        </w:rPr>
        <w:t>1200000</w:t>
      </w:r>
    </w:p>
    <w:p>
      <w:pPr>
        <w:ind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kern w:val="0"/>
          <w:szCs w:val="21"/>
          <w:highlight w:val="none"/>
        </w:rPr>
        <w:t>最高限价（元）：</w:t>
      </w:r>
      <w:r>
        <w:rPr>
          <w:rFonts w:hint="eastAsia" w:ascii="宋体" w:hAnsi="宋体" w:cs="宋体"/>
          <w:color w:val="auto"/>
          <w:kern w:val="0"/>
          <w:szCs w:val="21"/>
          <w:highlight w:val="none"/>
          <w:lang w:eastAsia="zh-CN"/>
        </w:rPr>
        <w:t>1200000</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采购需求：</w:t>
      </w:r>
    </w:p>
    <w:tbl>
      <w:tblPr>
        <w:tblStyle w:val="4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719"/>
        <w:gridCol w:w="761"/>
        <w:gridCol w:w="782"/>
        <w:gridCol w:w="1173"/>
        <w:gridCol w:w="1750"/>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1722"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标项名称</w:t>
            </w:r>
          </w:p>
        </w:tc>
        <w:tc>
          <w:tcPr>
            <w:tcW w:w="758"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数量</w:t>
            </w:r>
          </w:p>
        </w:tc>
        <w:tc>
          <w:tcPr>
            <w:tcW w:w="779"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w:t>
            </w:r>
          </w:p>
        </w:tc>
        <w:tc>
          <w:tcPr>
            <w:tcW w:w="117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highlight w:val="none"/>
              </w:rPr>
              <w:t>预算金额</w:t>
            </w:r>
            <w:r>
              <w:rPr>
                <w:rFonts w:hint="eastAsia" w:ascii="宋体" w:hAnsi="宋体" w:eastAsia="宋体" w:cs="宋体"/>
                <w:color w:val="auto"/>
                <w:kern w:val="0"/>
                <w:szCs w:val="21"/>
                <w:highlight w:val="none"/>
              </w:rPr>
              <w:t>（元）</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简要技术要求</w:t>
            </w:r>
          </w:p>
        </w:tc>
        <w:tc>
          <w:tcPr>
            <w:tcW w:w="2539"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4"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172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2024年体彩爱心小板凳活动</w:t>
            </w:r>
          </w:p>
        </w:tc>
        <w:tc>
          <w:tcPr>
            <w:tcW w:w="7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w:t>
            </w:r>
          </w:p>
        </w:tc>
        <w:tc>
          <w:tcPr>
            <w:tcW w:w="77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w:t>
            </w:r>
          </w:p>
        </w:tc>
        <w:tc>
          <w:tcPr>
            <w:tcW w:w="11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1200000</w:t>
            </w:r>
          </w:p>
        </w:tc>
        <w:tc>
          <w:tcPr>
            <w:tcW w:w="175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eastAsia="zh-CN"/>
              </w:rPr>
              <w:t>2024年体彩爱心小板凳活动</w:t>
            </w:r>
            <w:r>
              <w:rPr>
                <w:rFonts w:hint="eastAsia" w:ascii="宋体" w:hAnsi="宋体" w:eastAsia="宋体" w:cs="宋体"/>
                <w:bCs/>
                <w:color w:val="auto"/>
                <w:szCs w:val="21"/>
                <w:highlight w:val="none"/>
              </w:rPr>
              <w:t>，</w:t>
            </w:r>
            <w:r>
              <w:rPr>
                <w:rFonts w:hint="eastAsia" w:ascii="宋体" w:hAnsi="宋体" w:eastAsia="宋体" w:cs="宋体"/>
                <w:color w:val="auto"/>
                <w:szCs w:val="21"/>
                <w:highlight w:val="none"/>
              </w:rPr>
              <w:t>具体内容详见采购文件</w:t>
            </w:r>
            <w:r>
              <w:rPr>
                <w:rFonts w:hint="eastAsia" w:ascii="宋体" w:hAnsi="宋体" w:cs="宋体"/>
                <w:color w:val="auto"/>
                <w:szCs w:val="21"/>
                <w:highlight w:val="none"/>
                <w:lang w:eastAsia="zh-CN"/>
              </w:rPr>
              <w:t>。</w:t>
            </w:r>
          </w:p>
        </w:tc>
        <w:tc>
          <w:tcPr>
            <w:tcW w:w="2539"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依据：</w:t>
            </w:r>
            <w:r>
              <w:rPr>
                <w:rFonts w:hint="eastAsia" w:ascii="宋体" w:hAnsi="宋体" w:cs="宋体"/>
                <w:color w:val="auto"/>
                <w:kern w:val="0"/>
                <w:szCs w:val="21"/>
                <w:highlight w:val="none"/>
                <w:lang w:eastAsia="zh-CN"/>
              </w:rPr>
              <w:t>浙财采确临[2023]83436号、[2023]81634号</w:t>
            </w:r>
            <w:r>
              <w:rPr>
                <w:rFonts w:hint="eastAsia" w:ascii="宋体" w:hAnsi="宋体" w:eastAsia="宋体" w:cs="宋体"/>
                <w:color w:val="auto"/>
                <w:kern w:val="0"/>
                <w:szCs w:val="21"/>
                <w:highlight w:val="none"/>
              </w:rPr>
              <w:t>；</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最高限价：</w:t>
            </w:r>
            <w:r>
              <w:rPr>
                <w:rFonts w:hint="eastAsia" w:ascii="宋体" w:hAnsi="宋体" w:cs="宋体"/>
                <w:color w:val="auto"/>
                <w:kern w:val="0"/>
                <w:szCs w:val="21"/>
                <w:highlight w:val="none"/>
                <w:lang w:eastAsia="zh-CN"/>
              </w:rPr>
              <w:t>1200000</w:t>
            </w:r>
            <w:r>
              <w:rPr>
                <w:rFonts w:hint="eastAsia" w:ascii="宋体" w:hAnsi="宋体" w:eastAsia="宋体" w:cs="宋体"/>
                <w:color w:val="auto"/>
                <w:kern w:val="0"/>
                <w:szCs w:val="21"/>
                <w:highlight w:val="none"/>
              </w:rPr>
              <w:t>元；</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类型：服务项目。</w:t>
            </w:r>
          </w:p>
        </w:tc>
      </w:tr>
    </w:tbl>
    <w:p>
      <w:pPr>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合同履行期限：按采购文件规定</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本项目（是）接受联合体响应</w:t>
      </w:r>
    </w:p>
    <w:p>
      <w:pPr>
        <w:pStyle w:val="2"/>
        <w:ind w:firstLine="420"/>
        <w:rPr>
          <w:rFonts w:hint="eastAsia" w:ascii="宋体" w:hAnsi="宋体" w:eastAsia="宋体" w:cs="宋体"/>
          <w:color w:val="auto"/>
          <w:highlight w:val="none"/>
        </w:rPr>
      </w:pPr>
      <w:bookmarkStart w:id="8" w:name="_Toc28359013"/>
      <w:bookmarkStart w:id="9" w:name="_Toc35393799"/>
      <w:bookmarkStart w:id="10" w:name="_Toc35393630"/>
      <w:bookmarkStart w:id="11" w:name="_Toc28359090"/>
      <w:r>
        <w:rPr>
          <w:rFonts w:hint="eastAsia" w:ascii="宋体" w:hAnsi="宋体" w:eastAsia="宋体" w:cs="宋体"/>
          <w:color w:val="auto"/>
          <w:highlight w:val="none"/>
        </w:rPr>
        <w:t>二、供应商的资格要求</w:t>
      </w:r>
      <w:bookmarkEnd w:id="8"/>
      <w:bookmarkEnd w:id="9"/>
      <w:bookmarkEnd w:id="10"/>
      <w:bookmarkEnd w:id="11"/>
    </w:p>
    <w:p>
      <w:pPr>
        <w:widowControl/>
        <w:adjustRightInd w:val="0"/>
        <w:ind w:firstLine="422" w:firstLineChars="20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1.基本资格要求</w:t>
      </w:r>
    </w:p>
    <w:p>
      <w:pPr>
        <w:widowControl/>
        <w:adjustRightInd w:val="0"/>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ind w:firstLine="422" w:firstLineChars="200"/>
        <w:rPr>
          <w:rFonts w:hint="eastAsia" w:ascii="宋体" w:hAnsi="宋体" w:eastAsia="宋体" w:cs="宋体"/>
          <w:color w:val="auto"/>
          <w:kern w:val="0"/>
          <w:szCs w:val="21"/>
          <w:highlight w:val="none"/>
        </w:rPr>
      </w:pPr>
      <w:r>
        <w:rPr>
          <w:rFonts w:hint="eastAsia" w:ascii="宋体" w:hAnsi="宋体" w:eastAsia="宋体" w:cs="宋体"/>
          <w:b/>
          <w:bCs/>
          <w:color w:val="auto"/>
          <w:szCs w:val="21"/>
          <w:highlight w:val="none"/>
        </w:rPr>
        <w:t>2.落实政府采购政策需满足的资格要求：无；</w:t>
      </w:r>
    </w:p>
    <w:p>
      <w:pPr>
        <w:widowControl/>
        <w:adjustRightInd w:val="0"/>
        <w:ind w:firstLine="422" w:firstLineChars="200"/>
        <w:jc w:val="left"/>
        <w:rPr>
          <w:rFonts w:hint="eastAsia" w:ascii="宋体" w:hAnsi="宋体" w:eastAsia="宋体" w:cs="宋体"/>
          <w:color w:val="auto"/>
          <w:kern w:val="0"/>
          <w:szCs w:val="21"/>
          <w:highlight w:val="none"/>
        </w:rPr>
      </w:pPr>
      <w:r>
        <w:rPr>
          <w:rFonts w:hint="eastAsia" w:ascii="宋体" w:hAnsi="宋体" w:eastAsia="宋体" w:cs="宋体"/>
          <w:b/>
          <w:bCs/>
          <w:color w:val="auto"/>
          <w:kern w:val="0"/>
          <w:szCs w:val="21"/>
          <w:highlight w:val="none"/>
        </w:rPr>
        <w:t>3.特定资格要求：</w:t>
      </w:r>
    </w:p>
    <w:p>
      <w:pPr>
        <w:widowControl/>
        <w:adjustRightInd w:val="0"/>
        <w:ind w:firstLine="420" w:firstLineChars="200"/>
        <w:jc w:val="left"/>
        <w:rPr>
          <w:rFonts w:hint="eastAsia"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（1）单位负责人为同一人或者存在直接控股、管理关系的不同供应商，不得参加本项目的政府采购活动；</w:t>
      </w:r>
    </w:p>
    <w:p>
      <w:pPr>
        <w:widowControl/>
        <w:adjustRightInd w:val="0"/>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p>
      <w:pPr>
        <w:widowControl/>
        <w:adjustRightInd w:val="0"/>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（3）公益一类事业单位、使用事业编制且由财政拨款保障的群团组织，不得参加本项目的政府采购活动；</w:t>
      </w:r>
    </w:p>
    <w:p>
      <w:pPr>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（4）接受联合体，联合体参加本项目的政府采购活动应满足以下条件：</w:t>
      </w:r>
    </w:p>
    <w:p>
      <w:pPr>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◇两个以上的自然人、法人或者其他组织可以组成一个联合体，以一个供应商的身份共同参加本项目的政府采购活动，联合体在响应文件中提供联合协议书并明确分工；</w:t>
      </w:r>
    </w:p>
    <w:p>
      <w:pPr>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◇联合体主办单位和成员单位均应具备资格要求1、2及特定资格要求第（1）（2）（3）项；</w:t>
      </w:r>
    </w:p>
    <w:p>
      <w:pPr>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◇联合体中有同类资质的供应商按照联合体分工承担相同工作，按资质等级较低的供应商确定资质等级；</w:t>
      </w:r>
    </w:p>
    <w:p>
      <w:pPr>
        <w:widowControl/>
        <w:adjustRightInd w:val="0"/>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◇联合体各方不得再单独参加或与其他供应商另外组成联合体参加本项目的政府采购活动。</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三、获取（下载）采购文件</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时间：采购公告发布之日起至磋商响应文件提交截止时间前；</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地点（网址）：浙江政府采购网（http://zfcg.czt.zj.gov.cn/）；</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方式：供应商通过“浙江政府采购网”在线获取（采购公告下方选取“潜在供应商”处“获取采购文件”），不提供纸质版采购文件；供应商只有在“浙江政府采购网”完成获取采购文件申请并下载了采购文件后才视作依法获取采购文件</w:t>
      </w:r>
      <w:r>
        <w:rPr>
          <w:rFonts w:hint="eastAsia" w:ascii="宋体" w:hAnsi="宋体" w:eastAsia="宋体" w:cs="宋体"/>
          <w:color w:val="auto"/>
          <w:kern w:val="0"/>
          <w:szCs w:val="21"/>
          <w:highlight w:val="none"/>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售价（元）：0。</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四、响应文件提交（上传）</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截止时间：2023年</w:t>
      </w:r>
      <w:r>
        <w:rPr>
          <w:rFonts w:hint="eastAsia" w:ascii="宋体" w:hAnsi="宋体" w:cs="宋体"/>
          <w:color w:val="auto"/>
          <w:szCs w:val="21"/>
          <w:highlight w:val="none"/>
          <w:lang w:val="en-US" w:eastAsia="zh-CN"/>
        </w:rPr>
        <w:t>11</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27</w:t>
      </w:r>
      <w:r>
        <w:rPr>
          <w:rFonts w:hint="eastAsia" w:ascii="宋体" w:hAnsi="宋体" w:eastAsia="宋体" w:cs="宋体"/>
          <w:color w:val="auto"/>
          <w:szCs w:val="21"/>
          <w:highlight w:val="none"/>
        </w:rPr>
        <w:t>日</w:t>
      </w:r>
      <w:r>
        <w:rPr>
          <w:rFonts w:hint="eastAsia" w:ascii="宋体" w:hAnsi="宋体" w:cs="宋体"/>
          <w:color w:val="auto"/>
          <w:szCs w:val="21"/>
          <w:highlight w:val="none"/>
          <w:lang w:val="en-US" w:eastAsia="zh-CN"/>
        </w:rPr>
        <w:t>09</w:t>
      </w:r>
      <w:r>
        <w:rPr>
          <w:rFonts w:hint="eastAsia" w:ascii="宋体" w:hAnsi="宋体" w:eastAsia="宋体" w:cs="宋体"/>
          <w:color w:val="auto"/>
          <w:szCs w:val="21"/>
          <w:highlight w:val="none"/>
        </w:rPr>
        <w:t>时30分</w:t>
      </w:r>
      <w:r>
        <w:rPr>
          <w:rFonts w:hint="eastAsia" w:ascii="宋体" w:hAnsi="宋体" w:eastAsia="宋体" w:cs="宋体"/>
          <w:color w:val="auto"/>
          <w:kern w:val="0"/>
          <w:szCs w:val="21"/>
          <w:highlight w:val="none"/>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地点（网址）：</w:t>
      </w:r>
      <w:r>
        <w:rPr>
          <w:rFonts w:hint="eastAsia" w:ascii="宋体" w:hAnsi="宋体" w:eastAsia="宋体" w:cs="宋体"/>
          <w:color w:val="auto"/>
          <w:kern w:val="0"/>
          <w:szCs w:val="21"/>
          <w:highlight w:val="none"/>
        </w:rPr>
        <w:t>政府采购云平台（https://www.zcygov.cn）；</w:t>
      </w:r>
    </w:p>
    <w:p>
      <w:pPr>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联合体由</w:t>
      </w:r>
      <w:r>
        <w:rPr>
          <w:rFonts w:hint="eastAsia" w:ascii="宋体" w:hAnsi="宋体" w:eastAsia="宋体" w:cs="宋体"/>
          <w:color w:val="auto"/>
          <w:kern w:val="0"/>
          <w:szCs w:val="21"/>
          <w:highlight w:val="none"/>
        </w:rPr>
        <w:t>主办单位提交响应文件。</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五、开启</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时间：2023年</w:t>
      </w:r>
      <w:r>
        <w:rPr>
          <w:rFonts w:hint="eastAsia" w:ascii="宋体" w:hAnsi="宋体" w:cs="宋体"/>
          <w:color w:val="auto"/>
          <w:szCs w:val="21"/>
          <w:highlight w:val="none"/>
          <w:lang w:val="en-US" w:eastAsia="zh-CN"/>
        </w:rPr>
        <w:t>11</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27</w:t>
      </w:r>
      <w:r>
        <w:rPr>
          <w:rFonts w:hint="eastAsia" w:ascii="宋体" w:hAnsi="宋体" w:eastAsia="宋体" w:cs="宋体"/>
          <w:color w:val="auto"/>
          <w:szCs w:val="21"/>
          <w:highlight w:val="none"/>
        </w:rPr>
        <w:t>日</w:t>
      </w:r>
      <w:r>
        <w:rPr>
          <w:rFonts w:hint="eastAsia" w:ascii="宋体" w:hAnsi="宋体" w:cs="宋体"/>
          <w:color w:val="auto"/>
          <w:szCs w:val="21"/>
          <w:highlight w:val="none"/>
          <w:lang w:val="en-US" w:eastAsia="zh-CN"/>
        </w:rPr>
        <w:t>09</w:t>
      </w:r>
      <w:r>
        <w:rPr>
          <w:rFonts w:hint="eastAsia" w:ascii="宋体" w:hAnsi="宋体" w:eastAsia="宋体" w:cs="宋体"/>
          <w:color w:val="auto"/>
          <w:szCs w:val="21"/>
          <w:highlight w:val="none"/>
        </w:rPr>
        <w:t>时30分</w:t>
      </w:r>
      <w:r>
        <w:rPr>
          <w:rFonts w:hint="eastAsia" w:ascii="宋体" w:hAnsi="宋体" w:eastAsia="宋体" w:cs="宋体"/>
          <w:color w:val="auto"/>
          <w:kern w:val="0"/>
          <w:szCs w:val="21"/>
          <w:highlight w:val="none"/>
        </w:rPr>
        <w:t>；</w:t>
      </w:r>
    </w:p>
    <w:p>
      <w:pPr>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地点（网址）：</w:t>
      </w:r>
      <w:r>
        <w:rPr>
          <w:rFonts w:hint="eastAsia" w:ascii="宋体" w:hAnsi="宋体" w:eastAsia="宋体" w:cs="宋体"/>
          <w:color w:val="auto"/>
          <w:kern w:val="0"/>
          <w:szCs w:val="21"/>
          <w:highlight w:val="none"/>
        </w:rPr>
        <w:t>在政府采购云平台（https://www.zcygov.cn）上开启磋商响应文件。</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六、公告期限</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自本公告发布之日起3个工作日。</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七、其他补充事宜</w:t>
      </w:r>
    </w:p>
    <w:p>
      <w:pPr>
        <w:widowControl/>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widowControl/>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ind w:firstLine="420" w:firstLineChars="200"/>
        <w:rPr>
          <w:rFonts w:hint="eastAsia" w:ascii="宋体" w:hAnsi="宋体" w:eastAsia="宋体" w:cs="宋体"/>
          <w:b/>
          <w:bCs/>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highlight w:val="none"/>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adjustRightInd w:val="0"/>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4.其他事项：</w:t>
      </w:r>
    </w:p>
    <w:p>
      <w:pPr>
        <w:widowControl/>
        <w:adjustRightInd w:val="0"/>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4.1采购项目需要落实的政府采购政策：</w:t>
      </w:r>
    </w:p>
    <w:p>
      <w:pPr>
        <w:widowControl/>
        <w:adjustRightInd w:val="0"/>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（1）包括节约资源、保护环境、支持创新、促进中小企业发展等。详见采购文件的第三章 采购需求。</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（2）经采购人确定，本项目不属于预留采购份额专门面向中小企业采购项目。</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4.2采购信息发布媒介：浙江政府采购网（http://zfcg.czt.zj.gov.cn/）。</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4.3未按竞争性磋商采购公告规定获取采购文件的潜在供应商不得对采购文件提出质疑，其响应文件将被拒绝；</w:t>
      </w:r>
      <w:r>
        <w:rPr>
          <w:rFonts w:hint="eastAsia" w:ascii="宋体" w:hAnsi="宋体" w:eastAsia="宋体" w:cs="宋体"/>
          <w:color w:val="auto"/>
          <w:szCs w:val="21"/>
          <w:highlight w:val="none"/>
        </w:rPr>
        <w:t>通过本公告下方“游客，浏览采购文件”下载的采购文件仅供浏览，不视作依法获取采购文件。</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4.4在线投标响应（电子投标）说明：</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（1）本项目采用政府采购电子化交易；</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（2）供应商应在提交磋商响应文件前完成CA数字证书办理。（办理流程详见http://zfcg.czt.zj.gov.cn/bidClientTemplate/2019-05-27/12945.html）；</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（3）供应商应安装“政采云投标客户端”，电子投标工具请供应商自行前往浙江政府采购网下载并安装，（下载网址：http://zfcg.czt.zj.gov.cn/bidClientTemplate/2019-09-24/12975.html）；</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（4）电子交易具体流程详见操作指南：登录政府采购云平台（https://www.zcygov.cn/），从首页-服务中心-帮助文档-项目采购-电子招投标，查看文档和视频；</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（5）如有疑问，可致电政府采购云平台技术支持热线咨询，联系方式：400-881-7190。</w:t>
      </w:r>
    </w:p>
    <w:p>
      <w:pPr>
        <w:widowControl/>
        <w:adjustRightInd w:val="0"/>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4.5开标时间后30分钟内，</w:t>
      </w:r>
      <w:r>
        <w:rPr>
          <w:rFonts w:hint="eastAsia" w:ascii="宋体" w:hAnsi="宋体" w:eastAsia="宋体" w:cs="宋体"/>
          <w:color w:val="auto"/>
          <w:szCs w:val="21"/>
          <w:highlight w:val="none"/>
        </w:rPr>
        <w:t>供应商</w:t>
      </w:r>
      <w:r>
        <w:rPr>
          <w:rFonts w:hint="eastAsia" w:ascii="宋体" w:hAnsi="宋体" w:eastAsia="宋体" w:cs="宋体"/>
          <w:color w:val="auto"/>
          <w:kern w:val="0"/>
          <w:szCs w:val="21"/>
          <w:highlight w:val="none"/>
        </w:rPr>
        <w:t>须登录政府采购云平台，用“项目采购-开标评标”功能解密磋商响应文件（线上）。</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4.6成交供应商应在合同签订前完成政府采购云平台（https://www.zcygov.cn/）全部注册步骤并成为正式注册入库供应商，否则将导致合同款无法正常支付，责任由成交供应商承担。请供应商尽早完成注册。https://middle.zcygov.cn/settle-front/#/registry（供应商注册页面）。</w:t>
      </w:r>
    </w:p>
    <w:p>
      <w:pPr>
        <w:pStyle w:val="2"/>
        <w:ind w:firstLine="420"/>
        <w:rPr>
          <w:rFonts w:hint="eastAsia" w:ascii="宋体" w:hAnsi="宋体" w:eastAsia="宋体" w:cs="宋体"/>
          <w:color w:val="auto"/>
          <w:highlight w:val="none"/>
        </w:rPr>
      </w:pPr>
      <w:bookmarkStart w:id="12" w:name="_Toc35393805"/>
      <w:bookmarkStart w:id="13" w:name="_Toc35393636"/>
      <w:bookmarkStart w:id="14" w:name="_Toc28359095"/>
      <w:bookmarkStart w:id="15" w:name="_Toc28359018"/>
      <w:r>
        <w:rPr>
          <w:rFonts w:hint="eastAsia" w:ascii="宋体" w:hAnsi="宋体" w:eastAsia="宋体" w:cs="宋体"/>
          <w:color w:val="auto"/>
          <w:highlight w:val="none"/>
        </w:rPr>
        <w:t>八、</w:t>
      </w:r>
      <w:bookmarkEnd w:id="12"/>
      <w:bookmarkEnd w:id="13"/>
      <w:bookmarkEnd w:id="14"/>
      <w:bookmarkEnd w:id="15"/>
      <w:r>
        <w:rPr>
          <w:rFonts w:hint="eastAsia" w:ascii="宋体" w:hAnsi="宋体" w:eastAsia="宋体" w:cs="宋体"/>
          <w:color w:val="auto"/>
          <w:highlight w:val="none"/>
        </w:rPr>
        <w:t>对本次采购提出询问、质疑、投诉，请按以下方式联系。</w:t>
      </w:r>
    </w:p>
    <w:p>
      <w:pPr>
        <w:widowControl/>
        <w:ind w:firstLine="420" w:firstLineChars="200"/>
        <w:rPr>
          <w:rFonts w:hint="eastAsia" w:ascii="宋体" w:hAnsi="宋体" w:eastAsia="宋体" w:cs="宋体"/>
          <w:color w:val="auto"/>
          <w:kern w:val="0"/>
          <w:szCs w:val="21"/>
          <w:highlight w:val="none"/>
        </w:rPr>
      </w:pPr>
      <w:bookmarkStart w:id="16" w:name="_Toc35393806"/>
      <w:bookmarkStart w:id="17" w:name="_Toc28359019"/>
      <w:bookmarkStart w:id="18" w:name="_Toc28359096"/>
      <w:bookmarkStart w:id="19" w:name="_Toc35393637"/>
      <w:r>
        <w:rPr>
          <w:rFonts w:hint="eastAsia" w:ascii="宋体" w:hAnsi="宋体" w:eastAsia="宋体" w:cs="宋体"/>
          <w:color w:val="auto"/>
          <w:szCs w:val="21"/>
          <w:highlight w:val="none"/>
        </w:rPr>
        <w:t>1.采购人信息</w:t>
      </w:r>
    </w:p>
    <w:p>
      <w:pPr>
        <w:widowControl/>
        <w:ind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名称：</w:t>
      </w:r>
      <w:r>
        <w:rPr>
          <w:rFonts w:hint="eastAsia" w:ascii="宋体" w:hAnsi="宋体" w:eastAsia="宋体" w:cs="宋体"/>
          <w:color w:val="auto"/>
          <w:kern w:val="0"/>
          <w:szCs w:val="21"/>
          <w:highlight w:val="none"/>
          <w:lang w:eastAsia="zh-CN"/>
        </w:rPr>
        <w:t>浙江省体育彩票管理中心</w:t>
      </w:r>
    </w:p>
    <w:p>
      <w:pPr>
        <w:widowControl/>
        <w:ind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地址：</w:t>
      </w:r>
      <w:r>
        <w:rPr>
          <w:rFonts w:hint="eastAsia" w:ascii="宋体" w:hAnsi="宋体" w:eastAsia="宋体" w:cs="宋体"/>
          <w:color w:val="auto"/>
          <w:kern w:val="0"/>
          <w:szCs w:val="21"/>
          <w:highlight w:val="none"/>
          <w:lang w:eastAsia="zh-CN"/>
        </w:rPr>
        <w:t>杭州市复兴路397号复兴商务大厦南楼</w:t>
      </w:r>
    </w:p>
    <w:p>
      <w:pPr>
        <w:widowControl/>
        <w:ind w:firstLine="420" w:firstLineChars="200"/>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项目联系人（询问）：</w:t>
      </w:r>
      <w:r>
        <w:rPr>
          <w:rFonts w:hint="eastAsia" w:ascii="宋体" w:hAnsi="宋体" w:cs="宋体"/>
          <w:color w:val="auto"/>
          <w:kern w:val="0"/>
          <w:szCs w:val="21"/>
          <w:highlight w:val="none"/>
          <w:lang w:val="en-US" w:eastAsia="zh-CN"/>
        </w:rPr>
        <w:t>杨峥</w:t>
      </w:r>
    </w:p>
    <w:p>
      <w:pPr>
        <w:widowControl/>
        <w:ind w:firstLine="420" w:firstLineChars="200"/>
        <w:jc w:val="left"/>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联系电话（询问）：</w:t>
      </w:r>
      <w:r>
        <w:rPr>
          <w:rFonts w:hint="eastAsia" w:ascii="宋体" w:hAnsi="宋体" w:cs="宋体"/>
          <w:color w:val="auto"/>
          <w:kern w:val="0"/>
          <w:szCs w:val="21"/>
          <w:highlight w:val="none"/>
          <w:lang w:val="en-US" w:eastAsia="zh-CN"/>
        </w:rPr>
        <w:t>0571-82231552</w:t>
      </w:r>
    </w:p>
    <w:p>
      <w:pPr>
        <w:widowControl/>
        <w:ind w:firstLine="420"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质疑联系人：</w:t>
      </w:r>
      <w:r>
        <w:rPr>
          <w:rFonts w:hint="eastAsia" w:ascii="宋体" w:hAnsi="宋体" w:eastAsia="宋体" w:cs="宋体"/>
          <w:color w:val="auto"/>
          <w:kern w:val="0"/>
          <w:szCs w:val="21"/>
          <w:highlight w:val="none"/>
          <w:lang w:eastAsia="zh-CN"/>
        </w:rPr>
        <w:t>谢一敏</w:t>
      </w:r>
    </w:p>
    <w:p>
      <w:pPr>
        <w:widowControl/>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质疑联系方式：0571-85152588</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2.采购代理机构信息</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名称：浙江省成套招标代理有限公司</w:t>
      </w:r>
    </w:p>
    <w:p>
      <w:pPr>
        <w:widowControl/>
        <w:ind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地址：</w:t>
      </w:r>
      <w:r>
        <w:rPr>
          <w:rFonts w:hint="eastAsia" w:ascii="宋体" w:hAnsi="宋体" w:eastAsia="宋体" w:cs="宋体"/>
          <w:color w:val="auto"/>
          <w:kern w:val="0"/>
          <w:szCs w:val="21"/>
          <w:highlight w:val="none"/>
          <w:lang w:eastAsia="zh-CN"/>
        </w:rPr>
        <w:t>杭州市文晖路42号现代置业大厦西楼17层1704室</w:t>
      </w:r>
    </w:p>
    <w:p>
      <w:pPr>
        <w:widowControl/>
        <w:ind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项目联系人（询问）：</w:t>
      </w:r>
      <w:r>
        <w:rPr>
          <w:rFonts w:hint="eastAsia" w:ascii="宋体" w:hAnsi="宋体" w:eastAsia="宋体" w:cs="宋体"/>
          <w:color w:val="auto"/>
          <w:kern w:val="0"/>
          <w:szCs w:val="21"/>
          <w:highlight w:val="none"/>
          <w:lang w:eastAsia="zh-CN"/>
        </w:rPr>
        <w:t>何颖楹</w:t>
      </w:r>
    </w:p>
    <w:p>
      <w:pPr>
        <w:widowControl/>
        <w:ind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联系电话（询问）：</w:t>
      </w:r>
      <w:r>
        <w:rPr>
          <w:rFonts w:hint="eastAsia" w:ascii="宋体" w:hAnsi="宋体" w:eastAsia="宋体" w:cs="宋体"/>
          <w:color w:val="auto"/>
          <w:kern w:val="0"/>
          <w:szCs w:val="21"/>
          <w:highlight w:val="none"/>
          <w:lang w:eastAsia="zh-CN"/>
        </w:rPr>
        <w:t>15700073181</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质疑联系人：冯东东</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质疑联系方式：0571-85331293</w:t>
      </w:r>
    </w:p>
    <w:bookmarkEnd w:id="16"/>
    <w:bookmarkEnd w:id="17"/>
    <w:bookmarkEnd w:id="18"/>
    <w:bookmarkEnd w:id="19"/>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3.同级政府采购监督管理部门</w:t>
      </w:r>
    </w:p>
    <w:p>
      <w:pPr>
        <w:widowControl/>
        <w:ind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名称：</w:t>
      </w:r>
      <w:r>
        <w:rPr>
          <w:rFonts w:hint="eastAsia" w:ascii="宋体" w:hAnsi="宋体" w:eastAsia="宋体" w:cs="宋体"/>
          <w:color w:val="auto"/>
          <w:kern w:val="0"/>
          <w:szCs w:val="21"/>
          <w:highlight w:val="none"/>
          <w:lang w:eastAsia="zh-CN"/>
        </w:rPr>
        <w:t>浙江省财政厅政府采购监管处、浙江省政府采购行政裁决服务中心（杭州）</w:t>
      </w:r>
    </w:p>
    <w:p>
      <w:pPr>
        <w:widowControl/>
        <w:ind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地址：</w:t>
      </w:r>
      <w:r>
        <w:rPr>
          <w:rFonts w:hint="eastAsia" w:ascii="宋体" w:hAnsi="宋体" w:eastAsia="宋体" w:cs="宋体"/>
          <w:color w:val="auto"/>
          <w:kern w:val="0"/>
          <w:szCs w:val="21"/>
          <w:highlight w:val="none"/>
          <w:lang w:eastAsia="zh-CN"/>
        </w:rPr>
        <w:t>杭州市上城区四季青街道新业路市民之家G03办公室</w:t>
      </w:r>
    </w:p>
    <w:p>
      <w:pPr>
        <w:widowControl/>
        <w:ind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联系人：</w:t>
      </w:r>
      <w:r>
        <w:rPr>
          <w:rFonts w:hint="eastAsia" w:ascii="宋体" w:hAnsi="宋体" w:eastAsia="宋体" w:cs="宋体"/>
          <w:color w:val="auto"/>
          <w:kern w:val="0"/>
          <w:szCs w:val="21"/>
          <w:highlight w:val="none"/>
          <w:lang w:eastAsia="zh-CN"/>
        </w:rPr>
        <w:t>朱女士、王女士</w:t>
      </w:r>
    </w:p>
    <w:p>
      <w:pPr>
        <w:widowControl/>
        <w:ind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监督投诉电话：</w:t>
      </w:r>
      <w:r>
        <w:rPr>
          <w:rFonts w:hint="eastAsia" w:ascii="宋体" w:hAnsi="宋体" w:eastAsia="宋体" w:cs="宋体"/>
          <w:color w:val="auto"/>
          <w:kern w:val="0"/>
          <w:szCs w:val="21"/>
          <w:highlight w:val="none"/>
          <w:lang w:eastAsia="zh-CN"/>
        </w:rPr>
        <w:t>0571-85252453</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政策咨询：何一平、冯华，0571-87058424、87055741</w:t>
      </w:r>
      <w:r>
        <w:rPr>
          <w:rFonts w:hint="eastAsia" w:ascii="宋体" w:hAnsi="宋体" w:eastAsia="宋体" w:cs="宋体"/>
          <w:color w:val="auto"/>
          <w:kern w:val="0"/>
          <w:szCs w:val="21"/>
          <w:highlight w:val="none"/>
        </w:rPr>
        <w:br w:type="page"/>
      </w:r>
    </w:p>
    <w:p>
      <w:pPr>
        <w:pStyle w:val="3"/>
        <w:rPr>
          <w:rFonts w:hint="eastAsia" w:ascii="宋体" w:hAnsi="宋体" w:eastAsia="宋体" w:cs="宋体"/>
          <w:color w:val="auto"/>
          <w:highlight w:val="none"/>
        </w:rPr>
      </w:pPr>
      <w:bookmarkStart w:id="20" w:name="_Toc8477"/>
      <w:bookmarkStart w:id="21" w:name="_Toc413075737"/>
      <w:bookmarkStart w:id="22" w:name="_Toc22392"/>
      <w:r>
        <w:rPr>
          <w:rFonts w:hint="eastAsia" w:ascii="宋体" w:hAnsi="宋体" w:eastAsia="宋体" w:cs="宋体"/>
          <w:color w:val="auto"/>
          <w:highlight w:val="none"/>
        </w:rPr>
        <w:t>第二章  采购项目总体要求</w:t>
      </w:r>
      <w:bookmarkEnd w:id="20"/>
      <w:bookmarkEnd w:id="21"/>
      <w:bookmarkEnd w:id="22"/>
    </w:p>
    <w:p>
      <w:pPr>
        <w:pStyle w:val="2"/>
        <w:ind w:firstLine="420"/>
        <w:rPr>
          <w:rFonts w:hint="eastAsia" w:ascii="宋体" w:hAnsi="宋体" w:eastAsia="宋体" w:cs="宋体"/>
          <w:color w:val="auto"/>
          <w:highlight w:val="none"/>
        </w:rPr>
      </w:pPr>
      <w:bookmarkStart w:id="23" w:name="_Toc335039016"/>
      <w:bookmarkStart w:id="24" w:name="_Toc413075738"/>
      <w:bookmarkStart w:id="25" w:name="_Toc82338237"/>
      <w:bookmarkStart w:id="26" w:name="_Toc82338235"/>
      <w:bookmarkStart w:id="27" w:name="_Toc82873320"/>
      <w:bookmarkStart w:id="28" w:name="_Toc82873318"/>
      <w:r>
        <w:rPr>
          <w:rFonts w:hint="eastAsia" w:ascii="宋体" w:hAnsi="宋体" w:eastAsia="宋体" w:cs="宋体"/>
          <w:color w:val="auto"/>
          <w:highlight w:val="none"/>
        </w:rPr>
        <w:t>一、技术标准、规范（不限于以下）</w:t>
      </w:r>
      <w:bookmarkEnd w:id="23"/>
      <w:bookmarkEnd w:id="24"/>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1.国家规定的标准及规范，按最新的标准及规范执行；</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2.行业标准及规范，按最新的标准及规范执行；</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3.与服务有关的材料设备质量应符合中华人民共和国及产品品牌所在国的有关质量标准，上述标准如有不一致，执行两者中更严格的标准；</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4.其他相关标准及规范，按最新的标准及规范执行。</w:t>
      </w:r>
    </w:p>
    <w:bookmarkEnd w:id="25"/>
    <w:bookmarkEnd w:id="26"/>
    <w:bookmarkEnd w:id="27"/>
    <w:bookmarkEnd w:id="28"/>
    <w:p>
      <w:pPr>
        <w:pStyle w:val="2"/>
        <w:ind w:firstLine="420"/>
        <w:rPr>
          <w:rFonts w:hint="eastAsia" w:ascii="宋体" w:hAnsi="宋体" w:eastAsia="宋体" w:cs="宋体"/>
          <w:color w:val="auto"/>
          <w:highlight w:val="none"/>
        </w:rPr>
      </w:pPr>
      <w:bookmarkStart w:id="29" w:name="_Toc413075739"/>
      <w:bookmarkStart w:id="30" w:name="_Toc328992072"/>
      <w:bookmarkStart w:id="31" w:name="_Toc335039018"/>
      <w:bookmarkStart w:id="32" w:name="_Toc329113953"/>
      <w:r>
        <w:rPr>
          <w:rFonts w:hint="eastAsia" w:ascii="宋体" w:hAnsi="宋体" w:eastAsia="宋体" w:cs="宋体"/>
          <w:color w:val="auto"/>
          <w:highlight w:val="none"/>
        </w:rPr>
        <w:t>二、</w:t>
      </w:r>
      <w:bookmarkEnd w:id="29"/>
      <w:bookmarkEnd w:id="30"/>
      <w:bookmarkEnd w:id="31"/>
      <w:bookmarkEnd w:id="32"/>
      <w:r>
        <w:rPr>
          <w:rFonts w:hint="eastAsia" w:ascii="宋体" w:hAnsi="宋体" w:eastAsia="宋体" w:cs="宋体"/>
          <w:color w:val="auto"/>
          <w:highlight w:val="none"/>
        </w:rPr>
        <w:t>采购需求</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具体要求详见采购文件的“第三章 采购需求”。</w:t>
      </w:r>
    </w:p>
    <w:p>
      <w:pPr>
        <w:pStyle w:val="2"/>
        <w:ind w:firstLine="420"/>
        <w:rPr>
          <w:rFonts w:hint="eastAsia" w:ascii="宋体" w:hAnsi="宋体" w:eastAsia="宋体" w:cs="宋体"/>
          <w:color w:val="auto"/>
          <w:highlight w:val="none"/>
        </w:rPr>
      </w:pPr>
      <w:bookmarkStart w:id="33" w:name="_Toc329113954"/>
      <w:bookmarkStart w:id="34" w:name="_Toc413075740"/>
      <w:bookmarkStart w:id="35" w:name="_Toc335039019"/>
      <w:bookmarkStart w:id="36" w:name="_Toc328992073"/>
      <w:r>
        <w:rPr>
          <w:rFonts w:hint="eastAsia" w:ascii="宋体" w:hAnsi="宋体" w:eastAsia="宋体" w:cs="宋体"/>
          <w:color w:val="auto"/>
          <w:highlight w:val="none"/>
        </w:rPr>
        <w:t>三、工作范围</w:t>
      </w:r>
      <w:bookmarkEnd w:id="33"/>
      <w:bookmarkEnd w:id="34"/>
      <w:bookmarkEnd w:id="35"/>
      <w:bookmarkEnd w:id="36"/>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各供应商须按国家有关标准及规范完成采购文件规定的所有工作内容：</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1.履行所有规定服务；</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2.服务须达到采购文件规定的质量标准及使用要求。</w:t>
      </w:r>
    </w:p>
    <w:p>
      <w:pPr>
        <w:pStyle w:val="3"/>
        <w:rPr>
          <w:rFonts w:hint="eastAsia" w:ascii="宋体" w:hAnsi="宋体" w:eastAsia="宋体" w:cs="宋体"/>
          <w:color w:val="auto"/>
          <w:szCs w:val="30"/>
          <w:highlight w:val="none"/>
        </w:rPr>
      </w:pPr>
      <w:r>
        <w:rPr>
          <w:rFonts w:hint="eastAsia" w:ascii="宋体" w:hAnsi="宋体" w:eastAsia="宋体" w:cs="宋体"/>
          <w:bCs/>
          <w:color w:val="auto"/>
          <w:highlight w:val="none"/>
        </w:rPr>
        <w:br w:type="page"/>
      </w:r>
      <w:bookmarkStart w:id="37" w:name="_Toc82873317"/>
      <w:bookmarkStart w:id="38" w:name="_Toc211745566"/>
      <w:bookmarkStart w:id="39" w:name="_Toc82338234"/>
      <w:bookmarkStart w:id="40" w:name="_Toc350453730"/>
      <w:bookmarkStart w:id="41" w:name="_Toc6047"/>
      <w:bookmarkStart w:id="42" w:name="_Toc15478"/>
      <w:r>
        <w:rPr>
          <w:rFonts w:hint="eastAsia" w:ascii="宋体" w:hAnsi="宋体" w:eastAsia="宋体" w:cs="宋体"/>
          <w:color w:val="auto"/>
          <w:szCs w:val="30"/>
          <w:highlight w:val="none"/>
        </w:rPr>
        <w:t xml:space="preserve">第三章  </w:t>
      </w:r>
      <w:bookmarkEnd w:id="37"/>
      <w:bookmarkEnd w:id="38"/>
      <w:bookmarkEnd w:id="39"/>
      <w:bookmarkEnd w:id="40"/>
      <w:bookmarkStart w:id="43" w:name="_Toc82338247"/>
      <w:bookmarkStart w:id="44" w:name="_Toc82873330"/>
      <w:bookmarkStart w:id="45" w:name="_Toc259644123"/>
      <w:bookmarkStart w:id="46" w:name="_Toc330306493"/>
      <w:r>
        <w:rPr>
          <w:rFonts w:hint="eastAsia" w:ascii="宋体" w:hAnsi="宋体" w:eastAsia="宋体" w:cs="宋体"/>
          <w:color w:val="auto"/>
          <w:szCs w:val="30"/>
          <w:highlight w:val="none"/>
        </w:rPr>
        <w:t>采购需求</w:t>
      </w:r>
      <w:bookmarkEnd w:id="41"/>
      <w:bookmarkEnd w:id="42"/>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第一部分 标的</w:t>
      </w:r>
    </w:p>
    <w:p>
      <w:pPr>
        <w:pStyle w:val="2"/>
        <w:numPr>
          <w:ilvl w:val="0"/>
          <w:numId w:val="3"/>
        </w:numPr>
        <w:ind w:left="0" w:leftChars="0" w:firstLine="420" w:firstLineChars="0"/>
        <w:rPr>
          <w:rFonts w:hint="eastAsia" w:ascii="宋体" w:hAnsi="宋体" w:eastAsia="宋体" w:cs="宋体"/>
          <w:color w:val="auto"/>
          <w:highlight w:val="none"/>
        </w:rPr>
      </w:pPr>
      <w:r>
        <w:rPr>
          <w:rFonts w:hint="eastAsia" w:ascii="宋体" w:hAnsi="宋体" w:eastAsia="宋体" w:cs="宋体"/>
          <w:color w:val="auto"/>
          <w:highlight w:val="none"/>
        </w:rPr>
        <w:t>采购内容一览表</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577"/>
        <w:gridCol w:w="687"/>
        <w:gridCol w:w="761"/>
        <w:gridCol w:w="1077"/>
        <w:gridCol w:w="1705"/>
        <w:gridCol w:w="2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1"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标项名称</w:t>
            </w:r>
          </w:p>
        </w:tc>
        <w:tc>
          <w:tcPr>
            <w:tcW w:w="687"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数量</w:t>
            </w:r>
          </w:p>
        </w:tc>
        <w:tc>
          <w:tcPr>
            <w:tcW w:w="761"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预算金额（元）</w:t>
            </w:r>
          </w:p>
        </w:tc>
        <w:tc>
          <w:tcPr>
            <w:tcW w:w="1705"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技术要求、用途</w:t>
            </w:r>
          </w:p>
        </w:tc>
        <w:tc>
          <w:tcPr>
            <w:tcW w:w="2865"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1" w:type="dxa"/>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2024年体彩爱心小板凳活动</w:t>
            </w:r>
          </w:p>
        </w:tc>
        <w:tc>
          <w:tcPr>
            <w:tcW w:w="68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w:t>
            </w:r>
          </w:p>
        </w:tc>
        <w:tc>
          <w:tcPr>
            <w:tcW w:w="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1200000</w:t>
            </w:r>
          </w:p>
        </w:tc>
        <w:tc>
          <w:tcPr>
            <w:tcW w:w="1705"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详见“</w:t>
            </w:r>
            <w:r>
              <w:rPr>
                <w:rFonts w:hint="eastAsia" w:ascii="宋体" w:hAnsi="宋体" w:eastAsia="宋体" w:cs="宋体"/>
                <w:color w:val="auto"/>
                <w:highlight w:val="none"/>
              </w:rPr>
              <w:t>第二部分 技术要求</w:t>
            </w:r>
            <w:r>
              <w:rPr>
                <w:rFonts w:hint="eastAsia" w:ascii="宋体" w:hAnsi="宋体" w:eastAsia="宋体" w:cs="宋体"/>
                <w:color w:val="auto"/>
                <w:kern w:val="0"/>
                <w:szCs w:val="21"/>
                <w:highlight w:val="none"/>
              </w:rPr>
              <w:t>”。</w:t>
            </w:r>
          </w:p>
        </w:tc>
        <w:tc>
          <w:tcPr>
            <w:tcW w:w="2865" w:type="dxa"/>
            <w:vAlign w:val="center"/>
          </w:tcPr>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依据：</w:t>
            </w:r>
            <w:r>
              <w:rPr>
                <w:rFonts w:hint="eastAsia" w:ascii="宋体" w:hAnsi="宋体" w:cs="宋体"/>
                <w:color w:val="auto"/>
                <w:kern w:val="0"/>
                <w:szCs w:val="21"/>
                <w:highlight w:val="none"/>
                <w:lang w:eastAsia="zh-CN"/>
              </w:rPr>
              <w:t>浙财采确临[2023]83436号、[2023]81634号</w:t>
            </w:r>
            <w:r>
              <w:rPr>
                <w:rFonts w:hint="eastAsia" w:ascii="宋体" w:hAnsi="宋体" w:eastAsia="宋体" w:cs="宋体"/>
                <w:color w:val="auto"/>
                <w:kern w:val="0"/>
                <w:szCs w:val="21"/>
                <w:highlight w:val="none"/>
              </w:rPr>
              <w:t>；</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最高限价：</w:t>
            </w:r>
            <w:r>
              <w:rPr>
                <w:rFonts w:hint="eastAsia" w:ascii="宋体" w:hAnsi="宋体" w:cs="宋体"/>
                <w:color w:val="auto"/>
                <w:kern w:val="0"/>
                <w:szCs w:val="21"/>
                <w:highlight w:val="none"/>
                <w:lang w:eastAsia="zh-CN"/>
              </w:rPr>
              <w:t>1200000</w:t>
            </w:r>
            <w:r>
              <w:rPr>
                <w:rFonts w:hint="eastAsia" w:ascii="宋体" w:hAnsi="宋体" w:eastAsia="宋体" w:cs="宋体"/>
                <w:color w:val="auto"/>
                <w:kern w:val="0"/>
                <w:szCs w:val="21"/>
                <w:highlight w:val="none"/>
              </w:rPr>
              <w:t>元；</w:t>
            </w:r>
          </w:p>
          <w:p>
            <w:pPr>
              <w:widowControl/>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类型：服务项目。</w:t>
            </w:r>
          </w:p>
        </w:tc>
      </w:tr>
    </w:tbl>
    <w:p>
      <w:pPr>
        <w:pStyle w:val="2"/>
        <w:numPr>
          <w:ilvl w:val="0"/>
          <w:numId w:val="3"/>
        </w:numPr>
        <w:ind w:left="0" w:leftChars="0" w:firstLine="420" w:firstLineChars="0"/>
        <w:rPr>
          <w:rFonts w:hint="eastAsia" w:ascii="宋体" w:hAnsi="宋体" w:eastAsia="宋体" w:cs="宋体"/>
          <w:color w:val="auto"/>
          <w:highlight w:val="none"/>
        </w:rPr>
      </w:pPr>
      <w:r>
        <w:rPr>
          <w:rFonts w:hint="eastAsia" w:ascii="宋体" w:hAnsi="宋体" w:eastAsia="宋体" w:cs="宋体"/>
          <w:color w:val="auto"/>
          <w:highlight w:val="none"/>
        </w:rPr>
        <w:t>项目要求</w:t>
      </w:r>
    </w:p>
    <w:p>
      <w:pPr>
        <w:snapToGrid w:val="0"/>
        <w:spacing w:line="360" w:lineRule="auto"/>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1、活动背景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中国年，幸福至，温暖同行。2024新春之际，浙江体彩将延续“爱心小板凳 温暖回家路”公益活动，继续向乘客传递爱心和祝福，并免费为乘客拍摄全家福照片。活动计划在春运期间，向乘客派送爱心小板凳，计划派送数量20000张、免费拍摄全家福合影的暖心活动。范围上，选取全省有代表性的高铁站；宣传上，以省级主流电视媒体为主，报刊、网络、公众号为辅，搭配短视频、海报、网络直播、户外宣传等丰富融媒体宣传形式，对活动进行推广，树立体彩美好形象，展现体彩品牌文化。</w:t>
      </w:r>
    </w:p>
    <w:p>
      <w:pPr>
        <w:snapToGrid w:val="0"/>
        <w:spacing w:line="360" w:lineRule="auto"/>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2、活动目的</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给出行旅客和游客传递一份便捷和体贴，让大家感受到浙江体彩的温暖与祝福。活动践行体育彩票“来之于民，用之于民”的发行宗旨和公益本质，通过活动和媒体宣传，树立浙江省体育彩票管理中心的品牌公益形象，提升品牌价值。</w:t>
      </w:r>
    </w:p>
    <w:p>
      <w:pPr>
        <w:snapToGrid w:val="0"/>
        <w:spacing w:line="360" w:lineRule="auto"/>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3、活动时间</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2024年春运期间（时间待定）。如遇不可抗力，活动或延后。</w:t>
      </w:r>
    </w:p>
    <w:p>
      <w:pPr>
        <w:snapToGrid w:val="0"/>
        <w:spacing w:line="360" w:lineRule="auto"/>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4、活动地点：</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浙江省内13个地市高铁站或具代表性地点。</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杭州东站、杭州西站、温州南站、宁波站、嘉兴南站（站点拟定，周期四天）</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台州站、绍兴北站、湖州站、金华站、丽水站、衢州站、舟山朱家尖码头、义乌商贸城（站点拟定，周期三天）</w:t>
      </w:r>
    </w:p>
    <w:p>
      <w:pPr>
        <w:snapToGrid w:val="0"/>
        <w:spacing w:line="360" w:lineRule="auto"/>
        <w:ind w:firstLine="422" w:firstLineChars="200"/>
        <w:jc w:val="left"/>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5、活动形式：</w:t>
      </w:r>
      <w:r>
        <w:rPr>
          <w:rFonts w:hint="eastAsia" w:ascii="宋体" w:hAnsi="宋体" w:eastAsia="宋体" w:cs="宋体"/>
          <w:color w:val="auto"/>
          <w:sz w:val="21"/>
          <w:szCs w:val="21"/>
          <w:highlight w:val="none"/>
        </w:rPr>
        <w:t>1场启动仪式（杭州西站）+12站联动派送</w:t>
      </w:r>
    </w:p>
    <w:p>
      <w:pPr>
        <w:snapToGrid w:val="0"/>
        <w:spacing w:line="360" w:lineRule="auto"/>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6、活动主办单位：浙江省体育彩票管理中心</w:t>
      </w:r>
    </w:p>
    <w:p>
      <w:pPr>
        <w:snapToGrid w:val="0"/>
        <w:spacing w:line="360" w:lineRule="auto"/>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7、活动要求/物料数量</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（1）有需要的乘客，可以免费领取体彩小板凳1张。</w:t>
      </w:r>
    </w:p>
    <w:p>
      <w:pPr>
        <w:snapToGrid w:val="0"/>
        <w:spacing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共派发20000张小板凳（在小板凳上印制浙江体彩的名称和logo）</w:t>
      </w:r>
      <w:r>
        <w:rPr>
          <w:rFonts w:hint="eastAsia" w:ascii="宋体" w:hAnsi="宋体" w:eastAsia="宋体" w:cs="宋体"/>
          <w:color w:val="auto"/>
          <w:sz w:val="21"/>
          <w:szCs w:val="21"/>
          <w:highlight w:val="none"/>
          <w:lang w:eastAsia="zh-CN"/>
        </w:rPr>
        <w:t>。</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（2）免费为乘客拍摄全家福，现场打印照片装框赠送给乘客。</w:t>
      </w:r>
    </w:p>
    <w:p>
      <w:pPr>
        <w:snapToGrid w:val="0"/>
        <w:spacing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共赠送5000个相框（在相框上印制浙江体彩的名称和logo）</w:t>
      </w:r>
      <w:r>
        <w:rPr>
          <w:rFonts w:hint="eastAsia" w:ascii="宋体" w:hAnsi="宋体" w:eastAsia="宋体" w:cs="宋体"/>
          <w:color w:val="auto"/>
          <w:sz w:val="21"/>
          <w:szCs w:val="21"/>
          <w:highlight w:val="none"/>
          <w:lang w:eastAsia="zh-CN"/>
        </w:rPr>
        <w:t>。</w:t>
      </w:r>
    </w:p>
    <w:p>
      <w:pPr>
        <w:snapToGrid w:val="0"/>
        <w:spacing w:line="360" w:lineRule="auto"/>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8、活动流程</w:t>
      </w:r>
    </w:p>
    <w:p>
      <w:pPr>
        <w:snapToGrid w:val="0"/>
        <w:spacing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每天9:30-13:30为活动开展时间</w:t>
      </w:r>
      <w:r>
        <w:rPr>
          <w:rFonts w:hint="eastAsia" w:ascii="宋体" w:hAnsi="宋体" w:eastAsia="宋体" w:cs="宋体"/>
          <w:color w:val="auto"/>
          <w:sz w:val="21"/>
          <w:szCs w:val="21"/>
          <w:highlight w:val="none"/>
          <w:lang w:eastAsia="zh-CN"/>
        </w:rPr>
        <w:t>。</w:t>
      </w:r>
    </w:p>
    <w:p>
      <w:pPr>
        <w:snapToGrid w:val="0"/>
        <w:spacing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8:30-9:00   工作人员到达车站</w:t>
      </w:r>
      <w:r>
        <w:rPr>
          <w:rFonts w:hint="eastAsia" w:ascii="宋体" w:hAnsi="宋体" w:eastAsia="宋体" w:cs="宋体"/>
          <w:color w:val="auto"/>
          <w:sz w:val="21"/>
          <w:szCs w:val="21"/>
          <w:highlight w:val="none"/>
          <w:lang w:eastAsia="zh-CN"/>
        </w:rPr>
        <w:t>。</w:t>
      </w:r>
    </w:p>
    <w:p>
      <w:pPr>
        <w:snapToGrid w:val="0"/>
        <w:spacing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9:00-9:30   准备工作</w:t>
      </w:r>
      <w:r>
        <w:rPr>
          <w:rFonts w:hint="eastAsia" w:ascii="宋体" w:hAnsi="宋体" w:eastAsia="宋体" w:cs="宋体"/>
          <w:color w:val="auto"/>
          <w:sz w:val="21"/>
          <w:szCs w:val="21"/>
          <w:highlight w:val="none"/>
          <w:lang w:eastAsia="zh-CN"/>
        </w:rPr>
        <w:t>。</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9:30-13:30  正式派送小板凳，“新年照相馆”拍全家福打印照片装框赠送乘客。现场记者配合新闻采访。</w:t>
      </w:r>
    </w:p>
    <w:p>
      <w:pPr>
        <w:snapToGrid w:val="0"/>
        <w:spacing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13:30-14:00 整理收尾工作</w:t>
      </w:r>
      <w:r>
        <w:rPr>
          <w:rFonts w:hint="eastAsia" w:ascii="宋体" w:hAnsi="宋体" w:eastAsia="宋体" w:cs="宋体"/>
          <w:color w:val="auto"/>
          <w:sz w:val="21"/>
          <w:szCs w:val="21"/>
          <w:highlight w:val="none"/>
          <w:lang w:eastAsia="zh-CN"/>
        </w:rPr>
        <w:t>。</w:t>
      </w:r>
    </w:p>
    <w:p>
      <w:pPr>
        <w:snapToGrid w:val="0"/>
        <w:spacing w:line="360" w:lineRule="auto"/>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9、活动启动仪式</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时间：2024年2月xx日（派发爱心小板凳的第一天，暂定）</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地点：杭州火车西站</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流程：在杭州西站举办活动启动仪式，邀请浙江省及地市体彩领导、铁路公安领导到场，由现场主持人主持、助阵，并作为特别嘉宾进行小板凳派送。启动仪式环节将进行全程网络直播，扩大活动在全国范围的影响力。</w:t>
      </w:r>
    </w:p>
    <w:p>
      <w:pPr>
        <w:snapToGrid w:val="0"/>
        <w:spacing w:line="360" w:lineRule="auto"/>
        <w:ind w:firstLine="422" w:firstLineChars="20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10、活动宣发  </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宣传周期：2024年1月25日-2024年2月8日</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(一)电视宣发</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活动宣传片、新闻报道/评论、主持人口播、游走字幕、网络直播、户外广告、短视频、海报等一系列宣发中均植入浙江体彩的元素。</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活动宣传片：电视媒体知名主持人现身录制，温馨提醒大家体彩爱心小板凳的领取方式，每天晚间黄金时段播出。</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主持人口播：主持人口播预告活动信息。</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游走字幕：新闻栏目字幕游走预告活动信息。</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网络直播：对活动的启动仪式进行全程网络直播。</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新闻报道：对启动仪式及活动感人亮点进行常规新闻报道。</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户外广告：杭州主城区路牌、公交车体、地铁电视屏广告，呈现体彩爱心小板凳活动，植入浙江体彩logo。</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朋友圈宣传：制作活动宣推短视频5条、主题海报5张，在活动前及活动期间陆续推出，用于朋友圈转发推广。</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(二)全媒体联合宣发（不少于30家媒体）</w:t>
      </w:r>
    </w:p>
    <w:p>
      <w:pPr>
        <w:snapToGrid w:val="0"/>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宣发媒体包括电视频道，广播、纸媒（广播及纸媒的新媒体平台或app视为一致），以及国家及地方级网站，如：杭州日报、都市快报、浙江广播电视报、FM93、新华网、凤凰网、人民日报海外、中国网、光明网、国际在线、浙江在线、网易、新浪、腾讯、搜狐、中国日报网、今日头条等30家发稿媒体（具体发稿媒体后续提前对接，如遇调整，置换同级别媒体）。</w:t>
      </w:r>
    </w:p>
    <w:p>
      <w:pPr>
        <w:numPr>
          <w:ilvl w:val="0"/>
          <w:numId w:val="0"/>
        </w:numPr>
        <w:bidi w:val="0"/>
        <w:ind w:leftChars="0"/>
        <w:rPr>
          <w:rFonts w:hint="eastAsia"/>
          <w:color w:val="auto"/>
          <w:highlight w:val="none"/>
        </w:rPr>
      </w:pPr>
    </w:p>
    <w:p>
      <w:pPr>
        <w:pStyle w:val="2"/>
        <w:numPr>
          <w:ilvl w:val="0"/>
          <w:numId w:val="3"/>
        </w:numPr>
        <w:ind w:left="0" w:leftChars="0" w:firstLine="420" w:firstLineChars="0"/>
        <w:rPr>
          <w:rFonts w:hint="eastAsia" w:ascii="宋体" w:hAnsi="宋体" w:eastAsia="宋体" w:cs="宋体"/>
          <w:color w:val="auto"/>
          <w:highlight w:val="none"/>
        </w:rPr>
      </w:pPr>
      <w:r>
        <w:rPr>
          <w:rFonts w:hint="eastAsia" w:ascii="宋体" w:hAnsi="宋体" w:eastAsia="宋体" w:cs="宋体"/>
          <w:color w:val="auto"/>
          <w:highlight w:val="none"/>
        </w:rPr>
        <w:t>项目团队要求</w:t>
      </w:r>
    </w:p>
    <w:p>
      <w:pPr>
        <w:widowControl/>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供应商为本项目配备的项目人员不少于</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人,项目团队要求如下:</w:t>
      </w:r>
    </w:p>
    <w:p>
      <w:pPr>
        <w:widowControl/>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供应商必须说明团队人员的角色分配,资质及相关经历</w:t>
      </w:r>
      <w:r>
        <w:rPr>
          <w:rFonts w:hint="eastAsia" w:ascii="宋体" w:hAnsi="宋体" w:eastAsia="宋体" w:cs="宋体"/>
          <w:color w:val="auto"/>
          <w:szCs w:val="21"/>
          <w:highlight w:val="none"/>
          <w:lang w:eastAsia="zh-CN"/>
        </w:rPr>
        <w:t>。</w:t>
      </w:r>
    </w:p>
    <w:p>
      <w:pPr>
        <w:widowControl/>
        <w:spacing w:line="360" w:lineRule="auto"/>
        <w:ind w:firstLine="420" w:firstLineChars="200"/>
        <w:jc w:val="left"/>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项目团队需配备编导、导播、主持人、摄影人员、灯光师和设施综合保障人员等。</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第三部分 商务要求</w:t>
      </w:r>
    </w:p>
    <w:tbl>
      <w:tblPr>
        <w:tblStyle w:val="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290"/>
        <w:gridCol w:w="7460"/>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3" w:type="dxa"/>
            <w:vAlign w:val="center"/>
          </w:tcPr>
          <w:p>
            <w:pPr>
              <w:pStyle w:val="2"/>
              <w:adjustRightInd/>
              <w:ind w:firstLine="0" w:firstLineChars="0"/>
              <w:rPr>
                <w:rFonts w:hint="eastAsia" w:ascii="宋体" w:hAnsi="宋体" w:eastAsia="宋体" w:cs="宋体"/>
                <w:bCs w:val="0"/>
                <w:color w:val="auto"/>
                <w:highlight w:val="none"/>
              </w:rPr>
            </w:pPr>
            <w:r>
              <w:rPr>
                <w:rFonts w:hint="eastAsia" w:ascii="宋体" w:hAnsi="宋体" w:eastAsia="宋体" w:cs="宋体"/>
                <w:bCs w:val="0"/>
                <w:color w:val="auto"/>
                <w:highlight w:val="none"/>
              </w:rPr>
              <w:t>序号</w:t>
            </w:r>
          </w:p>
        </w:tc>
        <w:tc>
          <w:tcPr>
            <w:tcW w:w="1290" w:type="dxa"/>
            <w:vAlign w:val="center"/>
          </w:tcPr>
          <w:p>
            <w:pPr>
              <w:pStyle w:val="2"/>
              <w:adjustRightInd/>
              <w:ind w:firstLine="0" w:firstLineChars="0"/>
              <w:rPr>
                <w:rFonts w:hint="eastAsia" w:ascii="宋体" w:hAnsi="宋体" w:eastAsia="宋体" w:cs="宋体"/>
                <w:bCs w:val="0"/>
                <w:color w:val="auto"/>
                <w:highlight w:val="none"/>
              </w:rPr>
            </w:pPr>
            <w:r>
              <w:rPr>
                <w:rFonts w:hint="eastAsia" w:ascii="宋体" w:hAnsi="宋体" w:eastAsia="宋体" w:cs="宋体"/>
                <w:bCs w:val="0"/>
                <w:color w:val="auto"/>
                <w:highlight w:val="none"/>
              </w:rPr>
              <w:t>内容名称</w:t>
            </w:r>
          </w:p>
        </w:tc>
        <w:tc>
          <w:tcPr>
            <w:tcW w:w="7469" w:type="dxa"/>
            <w:gridSpan w:val="2"/>
            <w:vAlign w:val="center"/>
          </w:tcPr>
          <w:p>
            <w:pPr>
              <w:pStyle w:val="2"/>
              <w:adjustRightInd/>
              <w:ind w:firstLine="0" w:firstLineChars="0"/>
              <w:rPr>
                <w:rFonts w:hint="eastAsia" w:ascii="宋体" w:hAnsi="宋体" w:eastAsia="宋体" w:cs="宋体"/>
                <w:bCs w:val="0"/>
                <w:color w:val="auto"/>
                <w:highlight w:val="none"/>
              </w:rPr>
            </w:pPr>
            <w:r>
              <w:rPr>
                <w:rFonts w:hint="eastAsia" w:ascii="宋体" w:hAnsi="宋体" w:eastAsia="宋体" w:cs="宋体"/>
                <w:bCs w:val="0"/>
                <w:color w:val="auto"/>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3" w:type="dxa"/>
            <w:vAlign w:val="center"/>
          </w:tcPr>
          <w:p>
            <w:pPr>
              <w:numPr>
                <w:ilvl w:val="0"/>
                <w:numId w:val="4"/>
              </w:numPr>
              <w:ind w:firstLine="0"/>
              <w:rPr>
                <w:rFonts w:hint="eastAsia" w:ascii="宋体" w:hAnsi="宋体" w:eastAsia="宋体" w:cs="宋体"/>
                <w:color w:val="auto"/>
                <w:highlight w:val="none"/>
              </w:rPr>
            </w:pPr>
          </w:p>
        </w:tc>
        <w:tc>
          <w:tcPr>
            <w:tcW w:w="129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报价要求</w:t>
            </w:r>
          </w:p>
        </w:tc>
        <w:tc>
          <w:tcPr>
            <w:tcW w:w="7469" w:type="dxa"/>
            <w:gridSpan w:val="2"/>
            <w:vAlign w:val="center"/>
          </w:tcPr>
          <w:p>
            <w:pPr>
              <w:ind w:firstLine="210" w:firstLineChars="100"/>
              <w:rPr>
                <w:rFonts w:hint="eastAsia" w:ascii="宋体" w:hAnsi="宋体" w:eastAsia="宋体" w:cs="宋体"/>
                <w:b/>
                <w:bCs/>
                <w:color w:val="auto"/>
                <w:szCs w:val="21"/>
                <w:highlight w:val="none"/>
                <w:u w:val="single"/>
              </w:rPr>
            </w:pPr>
            <w:r>
              <w:rPr>
                <w:rFonts w:hint="eastAsia" w:ascii="宋体" w:hAnsi="宋体" w:eastAsia="宋体" w:cs="宋体"/>
                <w:color w:val="auto"/>
                <w:szCs w:val="21"/>
                <w:highlight w:val="none"/>
              </w:rPr>
              <w:t>1.▲</w:t>
            </w:r>
            <w:r>
              <w:rPr>
                <w:rFonts w:hint="eastAsia" w:ascii="宋体" w:hAnsi="宋体" w:eastAsia="宋体" w:cs="宋体"/>
                <w:b/>
                <w:bCs/>
                <w:color w:val="auto"/>
                <w:szCs w:val="21"/>
                <w:highlight w:val="none"/>
                <w:u w:val="single"/>
              </w:rPr>
              <w:t>报价应包括完成本项目服务工作所需的人力物力成本、管理费、其他费用、利润、税金等完成本项目的所有费用。</w:t>
            </w:r>
          </w:p>
          <w:p>
            <w:pPr>
              <w:ind w:firstLine="211" w:firstLineChars="100"/>
              <w:rPr>
                <w:rFonts w:hint="eastAsia" w:ascii="宋体" w:hAnsi="宋体" w:eastAsia="宋体" w:cs="宋体"/>
                <w:b/>
                <w:bCs/>
                <w:color w:val="auto"/>
                <w:szCs w:val="21"/>
                <w:highlight w:val="none"/>
                <w:u w:val="single"/>
              </w:rPr>
            </w:pPr>
            <w:r>
              <w:rPr>
                <w:rFonts w:hint="eastAsia" w:ascii="宋体" w:hAnsi="宋体" w:eastAsia="宋体" w:cs="宋体"/>
                <w:b/>
                <w:bCs/>
                <w:color w:val="auto"/>
                <w:szCs w:val="21"/>
                <w:highlight w:val="none"/>
              </w:rPr>
              <w:t>2.</w:t>
            </w:r>
            <w:r>
              <w:rPr>
                <w:rFonts w:hint="eastAsia" w:ascii="宋体" w:hAnsi="宋体" w:eastAsia="宋体" w:cs="宋体"/>
                <w:color w:val="auto"/>
                <w:szCs w:val="21"/>
                <w:highlight w:val="none"/>
              </w:rPr>
              <w:t>▲</w:t>
            </w:r>
            <w:r>
              <w:rPr>
                <w:rFonts w:hint="eastAsia" w:ascii="宋体" w:hAnsi="宋体" w:eastAsia="宋体" w:cs="宋体"/>
                <w:b/>
                <w:bCs/>
                <w:color w:val="auto"/>
                <w:szCs w:val="21"/>
                <w:highlight w:val="none"/>
                <w:u w:val="single"/>
              </w:rPr>
              <w:t>本次报价币种为人民币价。</w:t>
            </w:r>
          </w:p>
          <w:p>
            <w:pPr>
              <w:ind w:firstLine="211" w:firstLineChars="100"/>
              <w:rPr>
                <w:rFonts w:hint="eastAsia" w:ascii="宋体" w:hAnsi="宋体" w:eastAsia="宋体" w:cs="宋体"/>
                <w:b/>
                <w:bCs/>
                <w:color w:val="auto"/>
                <w:szCs w:val="21"/>
                <w:highlight w:val="none"/>
                <w:u w:val="single"/>
              </w:rPr>
            </w:pPr>
            <w:r>
              <w:rPr>
                <w:rFonts w:hint="eastAsia" w:ascii="宋体" w:hAnsi="宋体" w:eastAsia="宋体" w:cs="宋体"/>
                <w:b/>
                <w:bCs/>
                <w:color w:val="auto"/>
                <w:szCs w:val="21"/>
                <w:highlight w:val="none"/>
                <w:u w:val="single"/>
              </w:rPr>
              <w:t>3.填报单价及总价。</w:t>
            </w:r>
          </w:p>
          <w:p>
            <w:pPr>
              <w:ind w:firstLine="211" w:firstLineChars="100"/>
              <w:rPr>
                <w:rFonts w:hint="eastAsia" w:ascii="宋体" w:hAnsi="宋体" w:eastAsia="宋体" w:cs="宋体"/>
                <w:b/>
                <w:bCs/>
                <w:color w:val="auto"/>
                <w:szCs w:val="21"/>
                <w:highlight w:val="none"/>
                <w:u w:val="single"/>
              </w:rPr>
            </w:pPr>
            <w:r>
              <w:rPr>
                <w:rFonts w:hint="eastAsia" w:ascii="宋体" w:hAnsi="宋体" w:eastAsia="宋体" w:cs="宋体"/>
                <w:b/>
                <w:bCs/>
                <w:color w:val="auto"/>
                <w:szCs w:val="21"/>
                <w:highlight w:val="none"/>
                <w:u w:val="single"/>
              </w:rPr>
              <w:t>说明：如供应商在规定时间内未提交最后报价且未明确说明退出磋商，供应商应承诺将初次报价（为第一轮报价）作为最后报价。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3" w:type="dxa"/>
            <w:vAlign w:val="center"/>
          </w:tcPr>
          <w:p>
            <w:pPr>
              <w:numPr>
                <w:ilvl w:val="0"/>
                <w:numId w:val="4"/>
              </w:numPr>
              <w:ind w:firstLine="0"/>
              <w:rPr>
                <w:rFonts w:hint="eastAsia" w:ascii="宋体" w:hAnsi="宋体" w:eastAsia="宋体" w:cs="宋体"/>
                <w:color w:val="auto"/>
                <w:highlight w:val="none"/>
              </w:rPr>
            </w:pPr>
          </w:p>
        </w:tc>
        <w:tc>
          <w:tcPr>
            <w:tcW w:w="129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签订合同</w:t>
            </w:r>
          </w:p>
        </w:tc>
        <w:tc>
          <w:tcPr>
            <w:tcW w:w="7469" w:type="dxa"/>
            <w:gridSpan w:val="2"/>
            <w:vAlign w:val="center"/>
          </w:tcPr>
          <w:p>
            <w:pPr>
              <w:ind w:firstLine="210" w:firstLineChars="100"/>
              <w:rPr>
                <w:rFonts w:hint="eastAsia" w:ascii="宋体" w:hAnsi="宋体" w:eastAsia="宋体" w:cs="宋体"/>
                <w:b/>
                <w:bCs/>
                <w:color w:val="auto"/>
                <w:highlight w:val="none"/>
              </w:rPr>
            </w:pPr>
            <w:r>
              <w:rPr>
                <w:rFonts w:hint="eastAsia" w:ascii="宋体" w:hAnsi="宋体" w:eastAsia="宋体" w:cs="宋体"/>
                <w:color w:val="auto"/>
                <w:highlight w:val="none"/>
              </w:rPr>
              <w:t>1.</w:t>
            </w:r>
            <w:r>
              <w:rPr>
                <w:rFonts w:hint="eastAsia" w:ascii="宋体" w:hAnsi="宋体" w:eastAsia="宋体" w:cs="宋体"/>
                <w:b/>
                <w:bCs/>
                <w:color w:val="auto"/>
                <w:highlight w:val="none"/>
              </w:rPr>
              <w:t>本项目合同甲方为</w:t>
            </w:r>
            <w:r>
              <w:rPr>
                <w:rFonts w:hint="eastAsia" w:ascii="宋体" w:hAnsi="宋体" w:eastAsia="宋体" w:cs="宋体"/>
                <w:b/>
                <w:bCs/>
                <w:color w:val="auto"/>
                <w:highlight w:val="none"/>
                <w:lang w:eastAsia="zh-CN"/>
              </w:rPr>
              <w:t>浙江省体育彩票管理中心</w:t>
            </w:r>
            <w:r>
              <w:rPr>
                <w:rFonts w:hint="eastAsia" w:ascii="宋体" w:hAnsi="宋体" w:eastAsia="宋体" w:cs="宋体"/>
                <w:b/>
                <w:bCs/>
                <w:color w:val="auto"/>
                <w:highlight w:val="none"/>
              </w:rPr>
              <w:t>，乙方为成交供应商。</w:t>
            </w:r>
          </w:p>
          <w:p>
            <w:pPr>
              <w:ind w:firstLine="211" w:firstLineChars="100"/>
              <w:rPr>
                <w:rFonts w:hint="eastAsia" w:ascii="宋体" w:hAnsi="宋体" w:eastAsia="宋体" w:cs="宋体"/>
                <w:color w:val="auto"/>
                <w:highlight w:val="none"/>
              </w:rPr>
            </w:pPr>
            <w:r>
              <w:rPr>
                <w:rFonts w:hint="eastAsia" w:ascii="宋体" w:hAnsi="宋体" w:eastAsia="宋体" w:cs="宋体"/>
                <w:b/>
                <w:bCs/>
                <w:color w:val="auto"/>
                <w:highlight w:val="none"/>
              </w:rPr>
              <w:t>2.合同款由甲方支付给乙方。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3" w:type="dxa"/>
            <w:vAlign w:val="center"/>
          </w:tcPr>
          <w:p>
            <w:pPr>
              <w:numPr>
                <w:ilvl w:val="0"/>
                <w:numId w:val="4"/>
              </w:numPr>
              <w:ind w:firstLine="0"/>
              <w:rPr>
                <w:rFonts w:hint="eastAsia" w:ascii="宋体" w:hAnsi="宋体" w:eastAsia="宋体" w:cs="宋体"/>
                <w:color w:val="auto"/>
                <w:highlight w:val="none"/>
              </w:rPr>
            </w:pPr>
          </w:p>
        </w:tc>
        <w:tc>
          <w:tcPr>
            <w:tcW w:w="129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转包或分包</w:t>
            </w:r>
          </w:p>
        </w:tc>
        <w:tc>
          <w:tcPr>
            <w:tcW w:w="7469" w:type="dxa"/>
            <w:gridSpan w:val="2"/>
            <w:vAlign w:val="center"/>
          </w:tcPr>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b/>
                <w:bCs/>
                <w:color w:val="auto"/>
                <w:highlight w:val="none"/>
                <w:u w:val="single"/>
              </w:rPr>
              <w:t>本项目不得转包：合同乙方不得将本合同标的转包由其他供应商承担。</w:t>
            </w:r>
          </w:p>
          <w:p>
            <w:pPr>
              <w:ind w:firstLine="210" w:firstLineChars="100"/>
              <w:rPr>
                <w:rFonts w:hint="eastAsia" w:ascii="宋体" w:hAnsi="宋体" w:eastAsia="宋体" w:cs="宋体"/>
                <w:b/>
                <w:bCs/>
                <w:color w:val="auto"/>
                <w:highlight w:val="none"/>
                <w:u w:val="single"/>
              </w:rPr>
            </w:pPr>
            <w:r>
              <w:rPr>
                <w:rFonts w:hint="eastAsia" w:ascii="宋体" w:hAnsi="宋体" w:eastAsia="宋体" w:cs="宋体"/>
                <w:color w:val="auto"/>
                <w:highlight w:val="none"/>
              </w:rPr>
              <w:t>2.▲</w:t>
            </w:r>
            <w:r>
              <w:rPr>
                <w:rFonts w:hint="eastAsia" w:ascii="宋体" w:hAnsi="宋体" w:eastAsia="宋体" w:cs="宋体"/>
                <w:b/>
                <w:bCs/>
                <w:color w:val="auto"/>
                <w:highlight w:val="none"/>
                <w:u w:val="single"/>
              </w:rPr>
              <w:t>本项目部分内容允许分包，要求如下：</w:t>
            </w:r>
          </w:p>
          <w:p>
            <w:pPr>
              <w:ind w:firstLine="211" w:firstLineChars="10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（1）分包内容为本项目的非主体、非关键性工作；</w:t>
            </w:r>
          </w:p>
          <w:p>
            <w:pPr>
              <w:ind w:firstLine="211" w:firstLineChars="10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（2）分包内容的金额不超过合同金额的30%；</w:t>
            </w:r>
          </w:p>
          <w:p>
            <w:pPr>
              <w:ind w:firstLine="211" w:firstLineChars="10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（3）分包供应商应具有完成项目内容的相应能力；</w:t>
            </w:r>
          </w:p>
          <w:p>
            <w:pPr>
              <w:ind w:firstLine="211" w:firstLineChars="100"/>
              <w:rPr>
                <w:rFonts w:hint="eastAsia" w:ascii="宋体" w:hAnsi="宋体" w:eastAsia="宋体" w:cs="宋体"/>
                <w:color w:val="auto"/>
                <w:highlight w:val="none"/>
                <w:u w:val="single"/>
              </w:rPr>
            </w:pPr>
            <w:r>
              <w:rPr>
                <w:rFonts w:hint="eastAsia" w:ascii="宋体" w:hAnsi="宋体" w:eastAsia="宋体" w:cs="宋体"/>
                <w:b/>
                <w:bCs/>
                <w:color w:val="auto"/>
                <w:highlight w:val="none"/>
                <w:u w:val="single"/>
              </w:rPr>
              <w:t>（4）除采购文件约定允许分包的内容外，合同乙方不得擅自将其他合同标的分包给其他供应商承担。</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说明：</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供应商拟在成交后分包以上允许分包内容的，应在响应文件中明确分包内容及对应分包供应商。</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b/>
                <w:bCs/>
                <w:color w:val="auto"/>
                <w:highlight w:val="none"/>
                <w:u w:val="single"/>
              </w:rPr>
              <w:t>享受《政府采购促进中小企业发展管理办法》的通知（财库〔2020〕46号）的规定扶持政策获得政府采购合同的，小微企业不得将合同分包给大中型企业，中型企业不得将合同分包给大型企业。</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b/>
                <w:bCs/>
                <w:color w:val="auto"/>
                <w:highlight w:val="none"/>
                <w:u w:val="single"/>
              </w:rPr>
              <w:t>如有违反以上情形，合同甲方有权解除合同，并追究合同乙方的违约责任。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trPr>
        <w:tc>
          <w:tcPr>
            <w:tcW w:w="643" w:type="dxa"/>
            <w:vAlign w:val="center"/>
          </w:tcPr>
          <w:p>
            <w:pPr>
              <w:numPr>
                <w:ilvl w:val="0"/>
                <w:numId w:val="5"/>
              </w:numPr>
              <w:ind w:firstLine="0"/>
              <w:rPr>
                <w:rFonts w:hint="eastAsia" w:ascii="宋体" w:hAnsi="宋体" w:eastAsia="宋体" w:cs="宋体"/>
                <w:color w:val="auto"/>
                <w:highlight w:val="none"/>
              </w:rPr>
            </w:pPr>
          </w:p>
        </w:tc>
        <w:tc>
          <w:tcPr>
            <w:tcW w:w="129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履约保证金</w:t>
            </w:r>
          </w:p>
        </w:tc>
        <w:tc>
          <w:tcPr>
            <w:tcW w:w="7460" w:type="dxa"/>
            <w:vAlign w:val="center"/>
          </w:tcPr>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1.合同乙方应在合同签订后10个工作日内向合同甲方提交履约保证金为【合同金额的1%】元。</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2.履约保证金应使用本合同货币，按下述方式中【D】形式提交：</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A.在中华人民共和国注册和营业的银行出具的保函，或保险公司出具的保函。B.支票。C.汇票。D.其他非现金形式。</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3.履约保证金有效期限：合同签订之日起至项目通过合同甲方验收后结束。</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4.履约保证金退还：</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sym w:font="Wingdings 2" w:char="00A3"/>
            </w:r>
            <w:r>
              <w:rPr>
                <w:rFonts w:hint="eastAsia" w:ascii="宋体" w:hAnsi="宋体" w:eastAsia="宋体" w:cs="宋体"/>
                <w:color w:val="auto"/>
                <w:highlight w:val="none"/>
              </w:rPr>
              <w:t>保函形式：有效期限满后七个工作日内将本保函正本退还。</w:t>
            </w:r>
          </w:p>
          <w:p>
            <w:pPr>
              <w:ind w:firstLine="210" w:firstLineChars="100"/>
              <w:rPr>
                <w:rFonts w:hint="eastAsia" w:ascii="宋体" w:hAnsi="宋体" w:eastAsia="宋体" w:cs="宋体"/>
                <w:color w:val="auto"/>
                <w:szCs w:val="21"/>
                <w:highlight w:val="none"/>
              </w:rPr>
            </w:pPr>
            <w:r>
              <w:rPr>
                <w:rFonts w:hint="eastAsia" w:ascii="宋体" w:hAnsi="宋体" w:eastAsia="宋体" w:cs="宋体"/>
                <w:color w:val="auto"/>
                <w:szCs w:val="21"/>
                <w:highlight w:val="none"/>
              </w:rPr>
              <w:sym w:font="Wingdings 2" w:char="00A3"/>
            </w:r>
            <w:r>
              <w:rPr>
                <w:rFonts w:hint="eastAsia" w:ascii="宋体" w:hAnsi="宋体" w:eastAsia="宋体" w:cs="宋体"/>
                <w:color w:val="auto"/>
                <w:szCs w:val="21"/>
                <w:highlight w:val="none"/>
              </w:rPr>
              <w:t>支票等其他形式：有效期限满后七个工作日内退还履约保证金。逾期退还的，除退还履约保证金本金外，并按中国人民银行同期贷款基准利率上浮20%后的利率支付超期资金占用费。</w:t>
            </w:r>
          </w:p>
          <w:p>
            <w:pPr>
              <w:ind w:firstLine="210" w:firstLineChars="100"/>
              <w:rPr>
                <w:rFonts w:hint="eastAsia" w:ascii="宋体" w:hAnsi="宋体" w:eastAsia="宋体" w:cs="宋体"/>
                <w:color w:val="auto"/>
                <w:szCs w:val="21"/>
                <w:highlight w:val="none"/>
              </w:rPr>
            </w:pPr>
            <w:r>
              <w:rPr>
                <w:rFonts w:hint="eastAsia" w:ascii="宋体" w:hAnsi="宋体" w:eastAsia="宋体" w:cs="宋体"/>
                <w:color w:val="auto"/>
                <w:highlight w:val="none"/>
              </w:rPr>
              <w:t>说明：合同乙方也可以采取其他形式提交履约保证金。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trPr>
        <w:tc>
          <w:tcPr>
            <w:tcW w:w="643" w:type="dxa"/>
            <w:vAlign w:val="center"/>
          </w:tcPr>
          <w:p>
            <w:pPr>
              <w:numPr>
                <w:ilvl w:val="0"/>
                <w:numId w:val="5"/>
              </w:numPr>
              <w:ind w:firstLine="0"/>
              <w:rPr>
                <w:rFonts w:hint="eastAsia" w:ascii="宋体" w:hAnsi="宋体" w:eastAsia="宋体" w:cs="宋体"/>
                <w:color w:val="auto"/>
                <w:highlight w:val="none"/>
              </w:rPr>
            </w:pPr>
          </w:p>
        </w:tc>
        <w:tc>
          <w:tcPr>
            <w:tcW w:w="129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付款条件</w:t>
            </w:r>
          </w:p>
        </w:tc>
        <w:tc>
          <w:tcPr>
            <w:tcW w:w="7460" w:type="dxa"/>
            <w:vAlign w:val="center"/>
          </w:tcPr>
          <w:tbl>
            <w:tblPr>
              <w:tblStyle w:val="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918"/>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vAlign w:val="center"/>
                </w:tcPr>
                <w:p>
                  <w:pPr>
                    <w:jc w:val="left"/>
                    <w:rPr>
                      <w:rFonts w:hint="eastAsia" w:ascii="宋体" w:hAnsi="宋体" w:eastAsia="宋体" w:cs="宋体"/>
                      <w:color w:val="auto"/>
                      <w:highlight w:val="none"/>
                    </w:rPr>
                  </w:pPr>
                  <w:r>
                    <w:rPr>
                      <w:rFonts w:hint="eastAsia" w:ascii="宋体" w:hAnsi="宋体" w:eastAsia="宋体" w:cs="宋体"/>
                      <w:color w:val="auto"/>
                      <w:highlight w:val="none"/>
                    </w:rPr>
                    <w:t>付款次数</w:t>
                  </w:r>
                </w:p>
              </w:tc>
              <w:tc>
                <w:tcPr>
                  <w:tcW w:w="1918"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约定支付条件</w:t>
                  </w:r>
                </w:p>
              </w:tc>
              <w:tc>
                <w:tcPr>
                  <w:tcW w:w="4644"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付款条件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vAlign w:val="center"/>
                </w:tcPr>
                <w:p>
                  <w:pPr>
                    <w:ind w:left="191"/>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918" w:type="dxa"/>
                  <w:vAlign w:val="center"/>
                </w:tcPr>
                <w:p>
                  <w:pPr>
                    <w:rPr>
                      <w:rFonts w:hint="eastAsia" w:ascii="宋体" w:hAnsi="宋体" w:eastAsia="宋体" w:cs="宋体"/>
                      <w:color w:val="auto"/>
                      <w:highlight w:val="none"/>
                    </w:rPr>
                  </w:pPr>
                  <w:bookmarkStart w:id="47" w:name="_Hlk136520267"/>
                  <w:r>
                    <w:rPr>
                      <w:rFonts w:hint="eastAsia" w:ascii="宋体" w:hAnsi="宋体" w:eastAsia="宋体" w:cs="宋体"/>
                      <w:snapToGrid w:val="0"/>
                      <w:color w:val="auto"/>
                      <w:szCs w:val="21"/>
                      <w:highlight w:val="none"/>
                    </w:rPr>
                    <w:t>合同生效以及具备实施条件后</w:t>
                  </w:r>
                  <w:bookmarkEnd w:id="47"/>
                </w:p>
              </w:tc>
              <w:tc>
                <w:tcPr>
                  <w:tcW w:w="4644"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满足合同约定支付条件，合同甲方向合同乙方支付</w:t>
                  </w:r>
                  <w:r>
                    <w:rPr>
                      <w:rFonts w:hint="eastAsia" w:ascii="宋体" w:hAnsi="宋体" w:cs="宋体"/>
                      <w:color w:val="auto"/>
                      <w:highlight w:val="none"/>
                      <w:lang w:val="en-US" w:eastAsia="zh-CN"/>
                    </w:rPr>
                    <w:t>50%合同款</w:t>
                  </w: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2" w:type="dxa"/>
                  <w:vAlign w:val="center"/>
                </w:tcPr>
                <w:p>
                  <w:pPr>
                    <w:ind w:left="191"/>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p>
              </w:tc>
              <w:tc>
                <w:tcPr>
                  <w:tcW w:w="1918" w:type="dxa"/>
                  <w:vAlign w:val="center"/>
                </w:tcPr>
                <w:p>
                  <w:pPr>
                    <w:rPr>
                      <w:rFonts w:hint="eastAsia" w:ascii="宋体" w:hAnsi="宋体" w:eastAsia="宋体" w:cs="宋体"/>
                      <w:color w:val="auto"/>
                      <w:highlight w:val="none"/>
                    </w:rPr>
                  </w:pPr>
                  <w:bookmarkStart w:id="48" w:name="_Hlk136520273"/>
                  <w:r>
                    <w:rPr>
                      <w:rFonts w:hint="eastAsia" w:ascii="宋体" w:hAnsi="宋体" w:eastAsia="宋体" w:cs="宋体"/>
                      <w:color w:val="auto"/>
                      <w:highlight w:val="none"/>
                    </w:rPr>
                    <w:t>验收通过后</w:t>
                  </w:r>
                  <w:bookmarkEnd w:id="48"/>
                </w:p>
              </w:tc>
              <w:tc>
                <w:tcPr>
                  <w:tcW w:w="4644"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满足合同约定支付条件，合同甲方向合同乙方支付</w:t>
                  </w:r>
                  <w:r>
                    <w:rPr>
                      <w:rFonts w:hint="eastAsia" w:ascii="宋体" w:hAnsi="宋体" w:cs="宋体"/>
                      <w:color w:val="auto"/>
                      <w:highlight w:val="none"/>
                      <w:lang w:val="en-US" w:eastAsia="zh-CN"/>
                    </w:rPr>
                    <w:t>剩余</w:t>
                  </w:r>
                  <w:r>
                    <w:rPr>
                      <w:rFonts w:hint="eastAsia" w:ascii="宋体" w:hAnsi="宋体" w:eastAsia="宋体" w:cs="宋体"/>
                      <w:color w:val="auto"/>
                      <w:highlight w:val="none"/>
                    </w:rPr>
                    <w:t>合同款。</w:t>
                  </w:r>
                </w:p>
              </w:tc>
            </w:tr>
          </w:tbl>
          <w:p>
            <w:pPr>
              <w:ind w:firstLine="210" w:firstLineChars="10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43" w:type="dxa"/>
            <w:vAlign w:val="center"/>
          </w:tcPr>
          <w:p>
            <w:pPr>
              <w:numPr>
                <w:ilvl w:val="0"/>
                <w:numId w:val="4"/>
              </w:numPr>
              <w:ind w:firstLine="0"/>
              <w:rPr>
                <w:rFonts w:hint="eastAsia" w:ascii="宋体" w:hAnsi="宋体" w:eastAsia="宋体" w:cs="宋体"/>
                <w:color w:val="auto"/>
                <w:highlight w:val="none"/>
              </w:rPr>
            </w:pPr>
          </w:p>
        </w:tc>
        <w:tc>
          <w:tcPr>
            <w:tcW w:w="129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服务期限</w:t>
            </w:r>
          </w:p>
        </w:tc>
        <w:tc>
          <w:tcPr>
            <w:tcW w:w="7469" w:type="dxa"/>
            <w:gridSpan w:val="2"/>
            <w:vAlign w:val="center"/>
          </w:tcPr>
          <w:p>
            <w:pPr>
              <w:ind w:firstLine="210" w:firstLineChars="100"/>
              <w:rPr>
                <w:rFonts w:hint="eastAsia" w:ascii="宋体" w:hAnsi="宋体" w:eastAsia="宋体" w:cs="宋体"/>
                <w:color w:val="auto"/>
                <w:highlight w:val="none"/>
                <w:lang w:eastAsia="zh-CN"/>
              </w:rPr>
            </w:pPr>
            <w:r>
              <w:rPr>
                <w:rFonts w:hint="eastAsia" w:ascii="宋体" w:hAnsi="宋体" w:eastAsia="宋体" w:cs="宋体"/>
                <w:color w:val="auto"/>
                <w:szCs w:val="21"/>
                <w:highlight w:val="none"/>
                <w:u w:val="single"/>
              </w:rPr>
              <w:t>▲</w:t>
            </w:r>
            <w:r>
              <w:rPr>
                <w:rFonts w:hint="eastAsia" w:ascii="宋体" w:hAnsi="宋体" w:eastAsia="宋体" w:cs="宋体"/>
                <w:b/>
                <w:bCs/>
                <w:color w:val="auto"/>
                <w:highlight w:val="none"/>
                <w:u w:val="single"/>
              </w:rPr>
              <w:t>1.服务期限：</w:t>
            </w:r>
            <w:r>
              <w:rPr>
                <w:rFonts w:hint="eastAsia" w:ascii="宋体" w:hAnsi="宋体" w:cs="宋体"/>
                <w:b/>
                <w:bCs/>
                <w:color w:val="auto"/>
                <w:highlight w:val="none"/>
                <w:u w:val="single"/>
                <w:lang w:eastAsia="zh-CN"/>
              </w:rPr>
              <w:t>自合同签订之日起至活动宣传结束。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3" w:type="dxa"/>
            <w:vAlign w:val="center"/>
          </w:tcPr>
          <w:p>
            <w:pPr>
              <w:numPr>
                <w:ilvl w:val="0"/>
                <w:numId w:val="4"/>
              </w:numPr>
              <w:ind w:firstLine="0"/>
              <w:rPr>
                <w:rFonts w:hint="eastAsia" w:ascii="宋体" w:hAnsi="宋体" w:eastAsia="宋体" w:cs="宋体"/>
                <w:color w:val="auto"/>
                <w:highlight w:val="none"/>
              </w:rPr>
            </w:pPr>
          </w:p>
        </w:tc>
        <w:tc>
          <w:tcPr>
            <w:tcW w:w="129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项目验收</w:t>
            </w:r>
          </w:p>
        </w:tc>
        <w:tc>
          <w:tcPr>
            <w:tcW w:w="7469" w:type="dxa"/>
            <w:gridSpan w:val="2"/>
            <w:vAlign w:val="center"/>
          </w:tcPr>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1.合同乙方应保质保量按时按约完成项目合同规定的各项工作，并于完成时按要求递交相关成果及佐证材料等。</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2.完成项目内容后，合同乙方应及时向合同甲方发出书面验收申请，合同甲方在收到合同乙方书面验收申请后，组织实施验收和履约评价。</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3.合同甲方将对合同乙方的项目质量进行客观评估。验收小组完成验收后出具验收（评审）意见。</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4.对验收通过的项目，合同甲方将按照合同如期支付合同款。</w:t>
            </w:r>
          </w:p>
          <w:p>
            <w:pPr>
              <w:ind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5.对验收未通过的项目，将按合同约定要求供应商限期整改。对无法整改或整改后仍未达到合同要求的项目，将按验收不通过处理。</w:t>
            </w:r>
          </w:p>
          <w:p>
            <w:pPr>
              <w:tabs>
                <w:tab w:val="left" w:pos="540"/>
              </w:tabs>
              <w:ind w:firstLine="210" w:firstLineChars="100"/>
              <w:jc w:val="left"/>
              <w:rPr>
                <w:rFonts w:hint="eastAsia" w:ascii="宋体" w:hAnsi="宋体" w:eastAsia="宋体" w:cs="宋体"/>
                <w:color w:val="auto"/>
                <w:szCs w:val="21"/>
                <w:highlight w:val="none"/>
              </w:rPr>
            </w:pPr>
            <w:r>
              <w:rPr>
                <w:rFonts w:hint="eastAsia" w:ascii="宋体" w:hAnsi="宋体" w:eastAsia="宋体" w:cs="宋体"/>
                <w:color w:val="auto"/>
                <w:highlight w:val="none"/>
              </w:rPr>
              <w:t>6.验收组织、验收方式、验收程序按《浙江省财政厅关于印发浙江省政府采购合同暂行办法的通知》（浙财采监〔2017〕11号）规定执行。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3" w:type="dxa"/>
            <w:vAlign w:val="center"/>
          </w:tcPr>
          <w:p>
            <w:pPr>
              <w:numPr>
                <w:ilvl w:val="0"/>
                <w:numId w:val="4"/>
              </w:numPr>
              <w:ind w:firstLine="0"/>
              <w:rPr>
                <w:rFonts w:hint="eastAsia" w:ascii="宋体" w:hAnsi="宋体" w:eastAsia="宋体" w:cs="宋体"/>
                <w:color w:val="auto"/>
                <w:highlight w:val="none"/>
              </w:rPr>
            </w:pPr>
          </w:p>
        </w:tc>
        <w:tc>
          <w:tcPr>
            <w:tcW w:w="129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其他内容</w:t>
            </w:r>
          </w:p>
        </w:tc>
        <w:tc>
          <w:tcPr>
            <w:tcW w:w="7469" w:type="dxa"/>
            <w:gridSpan w:val="2"/>
            <w:vAlign w:val="center"/>
          </w:tcPr>
          <w:p>
            <w:pPr>
              <w:tabs>
                <w:tab w:val="left" w:pos="540"/>
              </w:tabs>
              <w:ind w:firstLine="210" w:firstLineChars="1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1.详见采购文件的</w:t>
            </w:r>
            <w:r>
              <w:rPr>
                <w:rFonts w:hint="eastAsia" w:ascii="宋体" w:hAnsi="宋体" w:eastAsia="宋体" w:cs="宋体"/>
                <w:b/>
                <w:bCs/>
                <w:color w:val="auto"/>
                <w:szCs w:val="21"/>
                <w:highlight w:val="none"/>
                <w:u w:val="single"/>
              </w:rPr>
              <w:t>《第四章 合同草案条款》</w:t>
            </w:r>
            <w:r>
              <w:rPr>
                <w:rFonts w:hint="eastAsia" w:ascii="宋体" w:hAnsi="宋体" w:eastAsia="宋体" w:cs="宋体"/>
                <w:color w:val="auto"/>
                <w:szCs w:val="21"/>
                <w:highlight w:val="none"/>
              </w:rPr>
              <w:t>。</w:t>
            </w:r>
          </w:p>
        </w:tc>
      </w:tr>
    </w:tbl>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说明：</w:t>
      </w:r>
      <w:r>
        <w:rPr>
          <w:rFonts w:hint="eastAsia" w:ascii="宋体" w:hAnsi="宋体" w:eastAsia="宋体" w:cs="宋体"/>
          <w:color w:val="auto"/>
          <w:szCs w:val="21"/>
          <w:highlight w:val="none"/>
        </w:rPr>
        <w:t>供应商应对商务要求进行审核，如有偏离，请在响应文件的“偏离表”中反映。</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第四部分 政府采购政策要求</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一、采购本国货物</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b/>
          <w:bCs/>
          <w:color w:val="auto"/>
          <w:szCs w:val="21"/>
          <w:highlight w:val="none"/>
          <w:u w:val="single"/>
        </w:rPr>
        <w:t>本项目采购本国生产的货物、工程和服务，不允许采购进口产品。</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二、支持绿色发展</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（1）节能产品的强制采购政策</w:t>
      </w:r>
    </w:p>
    <w:p>
      <w:pPr>
        <w:ind w:firstLine="422" w:firstLineChars="200"/>
        <w:rPr>
          <w:rFonts w:hint="eastAsia" w:ascii="宋体" w:hAnsi="宋体" w:eastAsia="宋体" w:cs="宋体"/>
          <w:color w:val="auto"/>
          <w:highlight w:val="none"/>
        </w:rPr>
      </w:pPr>
      <w:r>
        <w:rPr>
          <w:rFonts w:hint="eastAsia" w:ascii="宋体" w:hAnsi="宋体" w:eastAsia="宋体" w:cs="宋体"/>
          <w:b/>
          <w:bCs/>
          <w:color w:val="auto"/>
          <w:highlight w:val="none"/>
        </w:rPr>
        <w:t>【说明：本项目不涉及强制节能产品】</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（2）节能产品、环境标志产品的优先采购政策</w:t>
      </w:r>
    </w:p>
    <w:p>
      <w:pPr>
        <w:ind w:firstLine="422" w:firstLineChars="200"/>
        <w:rPr>
          <w:rFonts w:hint="eastAsia" w:ascii="宋体" w:hAnsi="宋体" w:eastAsia="宋体" w:cs="宋体"/>
          <w:color w:val="auto"/>
          <w:highlight w:val="none"/>
        </w:rPr>
      </w:pPr>
      <w:r>
        <w:rPr>
          <w:rFonts w:hint="eastAsia" w:ascii="宋体" w:hAnsi="宋体" w:eastAsia="宋体" w:cs="宋体"/>
          <w:b/>
          <w:bCs/>
          <w:color w:val="auto"/>
          <w:highlight w:val="none"/>
        </w:rPr>
        <w:t>【说明：本项目不涉及节能产品、环境标志产品】</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（3）修缮、装修类项目采购建材的，供应商应按采购文件和合同规定的绿色建筑和绿色建材性能、指标进行采购。</w:t>
      </w:r>
      <w:r>
        <w:rPr>
          <w:rFonts w:hint="eastAsia" w:ascii="宋体" w:hAnsi="宋体" w:eastAsia="宋体" w:cs="宋体"/>
          <w:b/>
          <w:bCs/>
          <w:color w:val="auto"/>
          <w:szCs w:val="21"/>
          <w:highlight w:val="none"/>
        </w:rPr>
        <w:t>【</w:t>
      </w:r>
      <w:r>
        <w:rPr>
          <w:rFonts w:hint="eastAsia" w:ascii="宋体" w:hAnsi="宋体" w:eastAsia="宋体" w:cs="宋体"/>
          <w:b/>
          <w:bCs/>
          <w:color w:val="auto"/>
          <w:highlight w:val="none"/>
        </w:rPr>
        <w:t>说明：</w:t>
      </w:r>
      <w:r>
        <w:rPr>
          <w:rFonts w:hint="eastAsia" w:ascii="宋体" w:hAnsi="宋体" w:eastAsia="宋体" w:cs="宋体"/>
          <w:b/>
          <w:bCs/>
          <w:color w:val="auto"/>
          <w:szCs w:val="21"/>
          <w:highlight w:val="none"/>
        </w:rPr>
        <w:t>本项目不涉及建材】</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三、支持创新发展</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（1）采购人优先采购被认定为首台套产品和“制造精品”的自主创新产品。</w:t>
      </w:r>
      <w:r>
        <w:rPr>
          <w:rFonts w:hint="eastAsia" w:ascii="宋体" w:hAnsi="宋体" w:eastAsia="宋体" w:cs="宋体"/>
          <w:b/>
          <w:bCs/>
          <w:color w:val="auto"/>
          <w:szCs w:val="21"/>
          <w:highlight w:val="none"/>
        </w:rPr>
        <w:t>【</w:t>
      </w:r>
      <w:r>
        <w:rPr>
          <w:rFonts w:hint="eastAsia" w:ascii="宋体" w:hAnsi="宋体" w:eastAsia="宋体" w:cs="宋体"/>
          <w:b/>
          <w:bCs/>
          <w:color w:val="auto"/>
          <w:highlight w:val="none"/>
        </w:rPr>
        <w:t>说明：</w:t>
      </w:r>
      <w:r>
        <w:rPr>
          <w:rFonts w:hint="eastAsia" w:ascii="宋体" w:hAnsi="宋体" w:eastAsia="宋体" w:cs="宋体"/>
          <w:b/>
          <w:bCs/>
          <w:color w:val="auto"/>
          <w:szCs w:val="21"/>
          <w:highlight w:val="none"/>
        </w:rPr>
        <w:t>本项目不涉及】</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r>
        <w:rPr>
          <w:rFonts w:hint="eastAsia" w:ascii="宋体" w:hAnsi="宋体" w:eastAsia="宋体" w:cs="宋体"/>
          <w:b/>
          <w:bCs/>
          <w:color w:val="auto"/>
          <w:szCs w:val="21"/>
          <w:highlight w:val="none"/>
        </w:rPr>
        <w:t>【</w:t>
      </w:r>
      <w:r>
        <w:rPr>
          <w:rFonts w:hint="eastAsia" w:ascii="宋体" w:hAnsi="宋体" w:eastAsia="宋体" w:cs="宋体"/>
          <w:b/>
          <w:bCs/>
          <w:color w:val="auto"/>
          <w:highlight w:val="none"/>
        </w:rPr>
        <w:t>说明：</w:t>
      </w:r>
      <w:r>
        <w:rPr>
          <w:rFonts w:hint="eastAsia" w:ascii="宋体" w:hAnsi="宋体" w:eastAsia="宋体" w:cs="宋体"/>
          <w:b/>
          <w:bCs/>
          <w:color w:val="auto"/>
          <w:szCs w:val="21"/>
          <w:highlight w:val="none"/>
        </w:rPr>
        <w:t>本项目不涉及】</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四、支持中小企业发展</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（1）根据财政部 工业和信息化部关于印发《政府采购促进中小企业发展管理办法》的通知（财库〔2020〕46号）的规定，</w:t>
      </w:r>
      <w:r>
        <w:rPr>
          <w:rFonts w:hint="eastAsia" w:ascii="宋体" w:hAnsi="宋体" w:eastAsia="宋体" w:cs="宋体"/>
          <w:color w:val="auto"/>
          <w:kern w:val="0"/>
          <w:szCs w:val="21"/>
          <w:highlight w:val="none"/>
        </w:rPr>
        <w:t>本项目不属于预留份额专门面向中小企业采购项目</w:t>
      </w:r>
      <w:r>
        <w:rPr>
          <w:rFonts w:hint="eastAsia" w:ascii="宋体" w:hAnsi="宋体" w:eastAsia="宋体" w:cs="宋体"/>
          <w:color w:val="auto"/>
          <w:szCs w:val="21"/>
          <w:highlight w:val="none"/>
        </w:rPr>
        <w:t>，但对小型、微型企业报价价格进行扣除，扣除比例见《第五章 磋商评审办法》；</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采购标的对应的中小企业划分标准所属行业：【</w:t>
      </w:r>
      <w:r>
        <w:rPr>
          <w:rFonts w:hint="eastAsia" w:ascii="宋体" w:hAnsi="宋体" w:cs="宋体"/>
          <w:b/>
          <w:bCs/>
          <w:color w:val="auto"/>
          <w:szCs w:val="21"/>
          <w:highlight w:val="none"/>
          <w:u w:val="single"/>
          <w:lang w:eastAsia="zh-CN"/>
        </w:rPr>
        <w:t>租赁和商业服务业</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中小企业划分标准：《中小企业划分标准》（工信部联企业[2011]300号）。</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（2）根据财政部 司法部关于政府采购支持监狱企业发展有关问题的通知（财库〔2014〕68号）的规定，监狱企业视同小型、微型企业。</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（3）根据财政部 民政部 中国残疾人联合会关于促进残疾人就业政府采购政策的通知（财库〔2017〕141号）的规定，残疾人福利性单位视同小型、微型企业。</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第五部分 实质性要求</w:t>
      </w:r>
    </w:p>
    <w:p>
      <w:pPr>
        <w:adjustRightInd w:val="0"/>
        <w:ind w:firstLine="411" w:firstLineChars="196"/>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本章中所有带</w:t>
      </w:r>
      <w:r>
        <w:rPr>
          <w:rFonts w:hint="eastAsia" w:ascii="宋体" w:hAnsi="宋体" w:eastAsia="宋体" w:cs="宋体"/>
          <w:bCs/>
          <w:color w:val="auto"/>
          <w:kern w:val="0"/>
          <w:szCs w:val="21"/>
          <w:highlight w:val="none"/>
        </w:rPr>
        <w:t>▲</w:t>
      </w:r>
      <w:r>
        <w:rPr>
          <w:rFonts w:hint="eastAsia" w:ascii="宋体" w:hAnsi="宋体" w:eastAsia="宋体" w:cs="宋体"/>
          <w:bCs/>
          <w:color w:val="auto"/>
          <w:szCs w:val="21"/>
          <w:highlight w:val="none"/>
        </w:rPr>
        <w:t>的内容是采购人提出的实质性要求，磋商响应文件响应内容若不满足实质性要求，该磋商响应文件将被磋商小组判定为响应无效。</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pStyle w:val="3"/>
        <w:rPr>
          <w:rFonts w:hint="eastAsia" w:ascii="宋体" w:hAnsi="宋体" w:eastAsia="宋体" w:cs="宋体"/>
          <w:color w:val="auto"/>
          <w:highlight w:val="none"/>
        </w:rPr>
      </w:pPr>
      <w:bookmarkStart w:id="49" w:name="_Toc325532437"/>
      <w:bookmarkStart w:id="50" w:name="_Toc2886"/>
      <w:bookmarkStart w:id="51" w:name="_Toc14187"/>
      <w:r>
        <w:rPr>
          <w:rFonts w:hint="eastAsia" w:ascii="宋体" w:hAnsi="宋体" w:eastAsia="宋体" w:cs="宋体"/>
          <w:color w:val="auto"/>
          <w:highlight w:val="none"/>
        </w:rPr>
        <w:t xml:space="preserve">第四章  </w:t>
      </w:r>
      <w:bookmarkEnd w:id="49"/>
      <w:r>
        <w:rPr>
          <w:rFonts w:hint="eastAsia" w:ascii="宋体" w:hAnsi="宋体" w:eastAsia="宋体" w:cs="宋体"/>
          <w:color w:val="auto"/>
          <w:highlight w:val="none"/>
        </w:rPr>
        <w:t>合同草案条款</w:t>
      </w:r>
      <w:bookmarkEnd w:id="50"/>
      <w:bookmarkEnd w:id="51"/>
    </w:p>
    <w:p>
      <w:pPr>
        <w:jc w:val="center"/>
        <w:rPr>
          <w:rFonts w:hint="eastAsia" w:ascii="宋体" w:hAnsi="宋体" w:eastAsia="宋体" w:cs="宋体"/>
          <w:color w:val="auto"/>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bCs/>
          <w:color w:val="auto"/>
          <w:highlight w:val="none"/>
        </w:rPr>
        <w:t>（甲乙双方应按采购文件确定的事项及响应文件响应内容签订本合同，不得对采购文件确定的事项和成交供应商响应文件作实质性修改）</w:t>
      </w: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adjustRightInd w:val="0"/>
        <w:jc w:val="right"/>
        <w:rPr>
          <w:rFonts w:hint="eastAsia" w:ascii="宋体" w:hAnsi="宋体" w:eastAsia="宋体" w:cs="宋体"/>
          <w:color w:val="auto"/>
          <w:sz w:val="24"/>
          <w:szCs w:val="18"/>
          <w:highlight w:val="none"/>
        </w:rPr>
      </w:pPr>
      <w:r>
        <w:rPr>
          <w:rFonts w:hint="eastAsia" w:ascii="宋体" w:hAnsi="宋体" w:eastAsia="宋体" w:cs="宋体"/>
          <w:color w:val="auto"/>
          <w:sz w:val="24"/>
          <w:szCs w:val="18"/>
          <w:highlight w:val="none"/>
        </w:rPr>
        <w:t>合同编号：【</w:t>
      </w:r>
      <w:r>
        <w:rPr>
          <w:rFonts w:hint="eastAsia" w:ascii="宋体" w:hAnsi="宋体" w:eastAsia="宋体" w:cs="宋体"/>
          <w:color w:val="auto"/>
          <w:sz w:val="24"/>
          <w:szCs w:val="18"/>
          <w:highlight w:val="none"/>
          <w:u w:val="single"/>
        </w:rPr>
        <w:t xml:space="preserve">              </w:t>
      </w:r>
      <w:r>
        <w:rPr>
          <w:rFonts w:hint="eastAsia" w:ascii="宋体" w:hAnsi="宋体" w:eastAsia="宋体" w:cs="宋体"/>
          <w:color w:val="auto"/>
          <w:sz w:val="24"/>
          <w:szCs w:val="18"/>
          <w:highlight w:val="none"/>
        </w:rPr>
        <w:t>】</w:t>
      </w:r>
    </w:p>
    <w:p>
      <w:pPr>
        <w:adjustRightInd w:val="0"/>
        <w:jc w:val="center"/>
        <w:rPr>
          <w:rFonts w:hint="eastAsia" w:ascii="宋体" w:hAnsi="宋体" w:eastAsia="宋体" w:cs="宋体"/>
          <w:b/>
          <w:color w:val="auto"/>
          <w:sz w:val="44"/>
          <w:highlight w:val="none"/>
        </w:rPr>
      </w:pPr>
    </w:p>
    <w:p>
      <w:pPr>
        <w:adjustRightInd w:val="0"/>
        <w:jc w:val="center"/>
        <w:rPr>
          <w:rFonts w:hint="eastAsia" w:ascii="宋体" w:hAnsi="宋体" w:eastAsia="宋体" w:cs="宋体"/>
          <w:b/>
          <w:color w:val="auto"/>
          <w:sz w:val="44"/>
          <w:highlight w:val="none"/>
        </w:rPr>
      </w:pPr>
    </w:p>
    <w:p>
      <w:pPr>
        <w:adjustRightInd w:val="0"/>
        <w:jc w:val="center"/>
        <w:rPr>
          <w:rFonts w:hint="eastAsia" w:ascii="宋体" w:hAnsi="宋体" w:eastAsia="宋体" w:cs="宋体"/>
          <w:b/>
          <w:color w:val="auto"/>
          <w:sz w:val="44"/>
          <w:highlight w:val="none"/>
        </w:rPr>
      </w:pPr>
    </w:p>
    <w:p>
      <w:pPr>
        <w:adjustRightInd w:val="0"/>
        <w:jc w:val="center"/>
        <w:rPr>
          <w:rFonts w:hint="eastAsia" w:ascii="宋体" w:hAnsi="宋体" w:eastAsia="宋体" w:cs="宋体"/>
          <w:b/>
          <w:color w:val="auto"/>
          <w:sz w:val="44"/>
          <w:highlight w:val="none"/>
        </w:rPr>
      </w:pPr>
      <w:r>
        <w:rPr>
          <w:rFonts w:hint="eastAsia" w:ascii="宋体" w:hAnsi="宋体" w:eastAsia="宋体" w:cs="宋体"/>
          <w:b/>
          <w:color w:val="auto"/>
          <w:sz w:val="44"/>
          <w:highlight w:val="none"/>
        </w:rPr>
        <w:t>服务项目合同</w:t>
      </w:r>
    </w:p>
    <w:p>
      <w:pPr>
        <w:adjustRightInd w:val="0"/>
        <w:jc w:val="center"/>
        <w:rPr>
          <w:rFonts w:hint="eastAsia" w:ascii="宋体" w:hAnsi="宋体" w:eastAsia="宋体" w:cs="宋体"/>
          <w:b/>
          <w:color w:val="auto"/>
          <w:sz w:val="44"/>
          <w:highlight w:val="none"/>
        </w:rPr>
      </w:pPr>
    </w:p>
    <w:p>
      <w:pPr>
        <w:adjustRightInd w:val="0"/>
        <w:jc w:val="center"/>
        <w:rPr>
          <w:rFonts w:hint="eastAsia" w:ascii="宋体" w:hAnsi="宋体" w:eastAsia="宋体" w:cs="宋体"/>
          <w:b/>
          <w:color w:val="auto"/>
          <w:sz w:val="44"/>
          <w:highlight w:val="none"/>
        </w:rPr>
      </w:pPr>
    </w:p>
    <w:p>
      <w:pPr>
        <w:adjustRightInd w:val="0"/>
        <w:jc w:val="center"/>
        <w:rPr>
          <w:rFonts w:hint="eastAsia" w:ascii="宋体" w:hAnsi="宋体" w:eastAsia="宋体" w:cs="宋体"/>
          <w:b/>
          <w:color w:val="auto"/>
          <w:sz w:val="44"/>
          <w:highlight w:val="none"/>
        </w:rPr>
      </w:pPr>
    </w:p>
    <w:p>
      <w:pPr>
        <w:adjustRightInd w:val="0"/>
        <w:jc w:val="center"/>
        <w:rPr>
          <w:rFonts w:hint="eastAsia" w:ascii="宋体" w:hAnsi="宋体" w:eastAsia="宋体" w:cs="宋体"/>
          <w:b/>
          <w:color w:val="auto"/>
          <w:sz w:val="28"/>
          <w:szCs w:val="28"/>
          <w:highlight w:val="none"/>
        </w:rPr>
      </w:pPr>
    </w:p>
    <w:p>
      <w:pPr>
        <w:adjustRightInd w:val="0"/>
        <w:ind w:left="1375" w:hanging="1375"/>
        <w:jc w:val="cente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项目名称：</w:t>
      </w:r>
      <w:r>
        <w:rPr>
          <w:rFonts w:hint="eastAsia" w:ascii="宋体" w:hAnsi="宋体" w:cs="宋体"/>
          <w:color w:val="auto"/>
          <w:sz w:val="28"/>
          <w:szCs w:val="28"/>
          <w:highlight w:val="none"/>
          <w:lang w:eastAsia="zh-CN"/>
        </w:rPr>
        <w:t>2024年体彩爱心小板凳活动</w:t>
      </w:r>
      <w:r>
        <w:rPr>
          <w:rFonts w:hint="eastAsia" w:ascii="宋体" w:hAnsi="宋体" w:eastAsia="宋体" w:cs="宋体"/>
          <w:color w:val="auto"/>
          <w:sz w:val="28"/>
          <w:szCs w:val="28"/>
          <w:highlight w:val="none"/>
        </w:rPr>
        <w:t>项目</w:t>
      </w:r>
    </w:p>
    <w:p>
      <w:pPr>
        <w:adjustRightInd w:val="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委 托 方：</w:t>
      </w:r>
      <w:r>
        <w:rPr>
          <w:rFonts w:hint="eastAsia" w:ascii="宋体" w:hAnsi="宋体" w:eastAsia="宋体" w:cs="宋体"/>
          <w:color w:val="auto"/>
          <w:sz w:val="28"/>
          <w:szCs w:val="28"/>
          <w:highlight w:val="none"/>
          <w:lang w:eastAsia="zh-CN"/>
        </w:rPr>
        <w:t>浙江省体育彩票管理中心</w:t>
      </w:r>
      <w:r>
        <w:rPr>
          <w:rFonts w:hint="eastAsia" w:ascii="宋体" w:hAnsi="宋体" w:eastAsia="宋体" w:cs="宋体"/>
          <w:color w:val="auto"/>
          <w:sz w:val="28"/>
          <w:szCs w:val="28"/>
          <w:highlight w:val="none"/>
        </w:rPr>
        <w:t>（甲方）</w:t>
      </w:r>
    </w:p>
    <w:p>
      <w:pPr>
        <w:adjustRightInd w:val="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承 担 方：【</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】（乙方）</w:t>
      </w:r>
    </w:p>
    <w:p>
      <w:pPr>
        <w:adjustRightInd w:val="0"/>
        <w:jc w:val="center"/>
        <w:rPr>
          <w:rFonts w:hint="eastAsia" w:ascii="宋体" w:hAnsi="宋体" w:eastAsia="宋体" w:cs="宋体"/>
          <w:color w:val="auto"/>
          <w:sz w:val="28"/>
          <w:szCs w:val="28"/>
          <w:highlight w:val="none"/>
        </w:rPr>
      </w:pPr>
    </w:p>
    <w:p>
      <w:pPr>
        <w:adjustRightInd w:val="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签订地址：浙江省杭州市（县）</w:t>
      </w:r>
    </w:p>
    <w:p>
      <w:pPr>
        <w:adjustRightInd w:val="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签订日期：二〇二三年   月   日</w:t>
      </w:r>
    </w:p>
    <w:p>
      <w:pPr>
        <w:adjustRightInd w:val="0"/>
        <w:rPr>
          <w:rFonts w:hint="eastAsia" w:ascii="宋体" w:hAnsi="宋体" w:eastAsia="宋体" w:cs="宋体"/>
          <w:color w:val="auto"/>
          <w:sz w:val="30"/>
          <w:szCs w:val="30"/>
          <w:highlight w:val="none"/>
        </w:rPr>
      </w:pPr>
    </w:p>
    <w:p>
      <w:pPr>
        <w:adjustRightInd w:val="0"/>
        <w:ind w:firstLine="584" w:firstLineChars="200"/>
        <w:rPr>
          <w:rFonts w:hint="eastAsia" w:ascii="宋体" w:hAnsi="宋体" w:eastAsia="宋体" w:cs="宋体"/>
          <w:color w:val="auto"/>
          <w:spacing w:val="6"/>
          <w:sz w:val="28"/>
          <w:highlight w:val="none"/>
        </w:rPr>
      </w:pPr>
    </w:p>
    <w:p>
      <w:pPr>
        <w:adjustRightInd w:val="0"/>
        <w:rPr>
          <w:rFonts w:hint="eastAsia" w:ascii="宋体" w:hAnsi="宋体" w:eastAsia="宋体" w:cs="宋体"/>
          <w:color w:val="auto"/>
          <w:szCs w:val="21"/>
          <w:highlight w:val="none"/>
        </w:rPr>
      </w:pPr>
      <w:r>
        <w:rPr>
          <w:rFonts w:hint="eastAsia" w:ascii="宋体" w:hAnsi="宋体" w:eastAsia="宋体" w:cs="宋体"/>
          <w:color w:val="auto"/>
          <w:spacing w:val="6"/>
          <w:sz w:val="28"/>
          <w:highlight w:val="none"/>
        </w:rPr>
        <w:br w:type="page"/>
      </w:r>
    </w:p>
    <w:p>
      <w:pPr>
        <w:keepNext w:val="0"/>
        <w:keepLines w:val="0"/>
        <w:pageBreakBefore w:val="0"/>
        <w:widowControl w:val="0"/>
        <w:kinsoku/>
        <w:wordWrap/>
        <w:overflowPunct/>
        <w:topLinePunct w:val="0"/>
        <w:autoSpaceDE/>
        <w:autoSpaceDN/>
        <w:bidi w:val="0"/>
        <w:snapToGrid w:val="0"/>
        <w:ind w:firstLine="420" w:firstLineChars="200"/>
        <w:textAlignment w:val="auto"/>
        <w:rPr>
          <w:rFonts w:hint="eastAsia" w:ascii="Arial" w:hAnsi="Arial" w:cs="Arial"/>
          <w:color w:val="auto"/>
          <w:szCs w:val="21"/>
          <w:highlight w:val="none"/>
          <w:u w:val="single"/>
        </w:rPr>
      </w:pP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hint="eastAsia" w:ascii="Arial" w:hAnsi="Arial" w:cs="Arial"/>
          <w:color w:val="auto"/>
          <w:szCs w:val="21"/>
          <w:highlight w:val="none"/>
          <w:u w:val="single"/>
        </w:rPr>
        <w:t>浙江省体育彩票管理中心</w:t>
      </w:r>
      <w:r>
        <w:rPr>
          <w:rFonts w:ascii="Arial" w:hAnsi="Arial" w:cs="Arial"/>
          <w:color w:val="auto"/>
          <w:szCs w:val="21"/>
          <w:highlight w:val="none"/>
        </w:rPr>
        <w:t>（甲方）</w:t>
      </w:r>
      <w:r>
        <w:rPr>
          <w:rFonts w:hint="eastAsia" w:ascii="Arial" w:hAnsi="Arial" w:cs="Arial"/>
          <w:color w:val="auto"/>
          <w:szCs w:val="21"/>
          <w:highlight w:val="none"/>
          <w:u w:val="single"/>
          <w:lang w:eastAsia="zh-CN"/>
        </w:rPr>
        <w:t>2024年体彩爱心小板凳活动</w:t>
      </w:r>
      <w:r>
        <w:rPr>
          <w:rFonts w:ascii="Arial" w:hAnsi="Arial" w:cs="Arial"/>
          <w:color w:val="auto"/>
          <w:szCs w:val="21"/>
          <w:highlight w:val="none"/>
          <w:u w:val="single"/>
        </w:rPr>
        <w:t>项目</w:t>
      </w:r>
      <w:r>
        <w:rPr>
          <w:rFonts w:ascii="Arial" w:hAnsi="Arial" w:cs="Arial"/>
          <w:color w:val="auto"/>
          <w:szCs w:val="21"/>
          <w:highlight w:val="none"/>
        </w:rPr>
        <w:t>（项目名称）中所需</w:t>
      </w:r>
      <w:r>
        <w:rPr>
          <w:rFonts w:hint="eastAsia" w:ascii="Arial" w:hAnsi="Arial" w:cs="Arial"/>
          <w:color w:val="auto"/>
          <w:szCs w:val="21"/>
          <w:highlight w:val="none"/>
          <w:u w:val="single"/>
          <w:lang w:eastAsia="zh-CN"/>
        </w:rPr>
        <w:t>2024年体彩爱心小板凳活动</w:t>
      </w:r>
      <w:r>
        <w:rPr>
          <w:rFonts w:ascii="Arial" w:hAnsi="Arial" w:cs="Arial"/>
          <w:color w:val="auto"/>
          <w:szCs w:val="21"/>
          <w:highlight w:val="none"/>
          <w:u w:val="single"/>
        </w:rPr>
        <w:t>（</w:t>
      </w:r>
      <w:r>
        <w:rPr>
          <w:rFonts w:ascii="Arial" w:hAnsi="Arial" w:cs="Arial"/>
          <w:color w:val="auto"/>
          <w:szCs w:val="21"/>
          <w:highlight w:val="none"/>
        </w:rPr>
        <w:t>标项内容）经</w:t>
      </w:r>
      <w:r>
        <w:rPr>
          <w:rFonts w:hint="eastAsia" w:ascii="Arial" w:hAnsi="Arial" w:cs="Arial"/>
          <w:color w:val="auto"/>
          <w:szCs w:val="21"/>
          <w:highlight w:val="none"/>
          <w:u w:val="single"/>
        </w:rPr>
        <w:t>浙江省体育彩票管理中心</w:t>
      </w:r>
      <w:r>
        <w:rPr>
          <w:rFonts w:ascii="Arial" w:hAnsi="Arial" w:cs="Arial"/>
          <w:color w:val="auto"/>
          <w:szCs w:val="21"/>
          <w:highlight w:val="none"/>
        </w:rPr>
        <w:t>以</w:t>
      </w:r>
      <w:r>
        <w:rPr>
          <w:rFonts w:hint="eastAsia" w:ascii="Arial" w:hAnsi="Arial" w:cs="Arial"/>
          <w:color w:val="auto"/>
          <w:szCs w:val="21"/>
          <w:highlight w:val="none"/>
        </w:rPr>
        <w:t>采购</w:t>
      </w:r>
      <w:r>
        <w:rPr>
          <w:rFonts w:ascii="Arial" w:hAnsi="Arial" w:cs="Arial"/>
          <w:color w:val="auto"/>
          <w:szCs w:val="21"/>
          <w:highlight w:val="none"/>
        </w:rPr>
        <w:t>文件（项目编号：</w:t>
      </w:r>
      <w:r>
        <w:rPr>
          <w:rFonts w:hint="eastAsia" w:ascii="Arial" w:hAnsi="Arial" w:cs="Arial"/>
          <w:color w:val="auto"/>
          <w:szCs w:val="21"/>
          <w:highlight w:val="none"/>
          <w:u w:val="single"/>
        </w:rPr>
        <w:t xml:space="preserve"> </w:t>
      </w:r>
      <w:r>
        <w:rPr>
          <w:rFonts w:hint="eastAsia" w:ascii="Arial" w:hAnsi="Arial" w:cs="Arial"/>
          <w:color w:val="auto"/>
          <w:szCs w:val="21"/>
          <w:highlight w:val="none"/>
          <w:u w:val="single"/>
          <w:lang w:eastAsia="zh-CN"/>
        </w:rPr>
        <w:t>CTZB-2023110267</w:t>
      </w:r>
      <w:r>
        <w:rPr>
          <w:rFonts w:hint="eastAsia" w:ascii="Arial" w:hAnsi="Arial" w:cs="Arial"/>
          <w:color w:val="auto"/>
          <w:szCs w:val="21"/>
          <w:highlight w:val="none"/>
          <w:u w:val="single"/>
        </w:rPr>
        <w:t xml:space="preserve">  </w:t>
      </w:r>
      <w:r>
        <w:rPr>
          <w:rFonts w:ascii="Arial" w:hAnsi="Arial" w:cs="Arial"/>
          <w:color w:val="auto"/>
          <w:szCs w:val="21"/>
          <w:highlight w:val="none"/>
        </w:rPr>
        <w:t>）进行</w:t>
      </w:r>
      <w:r>
        <w:rPr>
          <w:rFonts w:hint="eastAsia" w:ascii="Arial" w:hAnsi="Arial" w:cs="Arial"/>
          <w:color w:val="auto"/>
          <w:szCs w:val="21"/>
          <w:highlight w:val="none"/>
        </w:rPr>
        <w:t>竞争性磋商采购</w:t>
      </w:r>
      <w:r>
        <w:rPr>
          <w:rFonts w:ascii="Arial" w:hAnsi="Arial" w:cs="Arial"/>
          <w:color w:val="auto"/>
          <w:szCs w:val="21"/>
          <w:highlight w:val="none"/>
        </w:rPr>
        <w:t>。根据</w:t>
      </w:r>
      <w:r>
        <w:rPr>
          <w:rFonts w:hint="eastAsia" w:ascii="Arial" w:hAnsi="Arial" w:cs="Arial"/>
          <w:color w:val="auto"/>
          <w:szCs w:val="21"/>
          <w:highlight w:val="none"/>
        </w:rPr>
        <w:t>采购</w:t>
      </w:r>
      <w:r>
        <w:rPr>
          <w:rFonts w:ascii="Arial" w:hAnsi="Arial" w:cs="Arial"/>
          <w:color w:val="auto"/>
          <w:szCs w:val="21"/>
          <w:highlight w:val="none"/>
        </w:rPr>
        <w:t>结果确定</w:t>
      </w:r>
      <w:r>
        <w:rPr>
          <w:rFonts w:ascii="Arial" w:hAnsi="Arial" w:cs="Arial"/>
          <w:color w:val="auto"/>
          <w:szCs w:val="21"/>
          <w:highlight w:val="none"/>
          <w:u w:val="single"/>
        </w:rPr>
        <w:t>【       】</w:t>
      </w:r>
      <w:r>
        <w:rPr>
          <w:rFonts w:ascii="Arial" w:hAnsi="Arial" w:cs="Arial"/>
          <w:color w:val="auto"/>
          <w:szCs w:val="21"/>
          <w:highlight w:val="none"/>
        </w:rPr>
        <w:t>（乙方）为中标人。甲、乙双方依据《中华人民共和国政府采购法》、《中华人民共和国民法典》，在平等自愿的基础上，同意按照下面的条款和条件，签署本合同。</w:t>
      </w:r>
    </w:p>
    <w:p>
      <w:pPr>
        <w:keepNext w:val="0"/>
        <w:keepLines w:val="0"/>
        <w:pageBreakBefore w:val="0"/>
        <w:widowControl w:val="0"/>
        <w:numPr>
          <w:ilvl w:val="0"/>
          <w:numId w:val="6"/>
        </w:numPr>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合同服务内容、形式和要求</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u w:val="single"/>
        </w:rPr>
      </w:pPr>
      <w:r>
        <w:rPr>
          <w:rFonts w:ascii="Arial" w:hAnsi="Arial" w:cs="Arial"/>
          <w:color w:val="auto"/>
          <w:szCs w:val="21"/>
          <w:highlight w:val="none"/>
        </w:rPr>
        <w:t>合同服务内容：</w:t>
      </w:r>
      <w:r>
        <w:rPr>
          <w:rFonts w:ascii="Arial" w:hAnsi="Arial" w:cs="Arial"/>
          <w:color w:val="auto"/>
          <w:szCs w:val="21"/>
          <w:highlight w:val="none"/>
          <w:u w:val="single"/>
        </w:rPr>
        <w:t xml:space="preserve">                </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服务具体要求：</w:t>
      </w:r>
      <w:r>
        <w:rPr>
          <w:rFonts w:ascii="Arial" w:hAnsi="Arial" w:cs="Arial"/>
          <w:color w:val="auto"/>
          <w:szCs w:val="21"/>
          <w:highlight w:val="none"/>
          <w:u w:val="single"/>
        </w:rPr>
        <w:t xml:space="preserve">                </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二、合同总价</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本合同总价为</w:t>
      </w:r>
      <w:r>
        <w:rPr>
          <w:rFonts w:ascii="Arial" w:hAnsi="Arial" w:cs="Arial"/>
          <w:color w:val="auto"/>
          <w:szCs w:val="21"/>
          <w:highlight w:val="none"/>
          <w:u w:val="single"/>
        </w:rPr>
        <w:t xml:space="preserve">        </w:t>
      </w:r>
      <w:r>
        <w:rPr>
          <w:rFonts w:ascii="Arial" w:hAnsi="Arial" w:cs="Arial"/>
          <w:color w:val="auto"/>
          <w:szCs w:val="21"/>
          <w:highlight w:val="none"/>
        </w:rPr>
        <w:t>元人民币。</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分项价格：</w:t>
      </w:r>
      <w:r>
        <w:rPr>
          <w:rFonts w:ascii="Arial" w:hAnsi="Arial" w:cs="Arial"/>
          <w:color w:val="auto"/>
          <w:szCs w:val="21"/>
          <w:highlight w:val="none"/>
          <w:u w:val="single"/>
        </w:rPr>
        <w:t xml:space="preserve">                 </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三、合同价款的支付</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1、本合同中甲乙双方之间所发生的一切费用以人民币进行结算。</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2、支付方式：</w:t>
      </w:r>
    </w:p>
    <w:tbl>
      <w:tblPr>
        <w:tblStyle w:val="45"/>
        <w:tblW w:w="9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5305"/>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992"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ascii="Arial" w:hAnsi="Arial" w:cs="Arial"/>
                <w:color w:val="auto"/>
                <w:szCs w:val="21"/>
                <w:highlight w:val="none"/>
              </w:rPr>
            </w:pPr>
            <w:r>
              <w:rPr>
                <w:rFonts w:ascii="Arial" w:hAnsi="Arial" w:cs="Arial"/>
                <w:color w:val="auto"/>
                <w:szCs w:val="21"/>
                <w:highlight w:val="none"/>
              </w:rPr>
              <w:t>付款次数</w:t>
            </w:r>
          </w:p>
        </w:tc>
        <w:tc>
          <w:tcPr>
            <w:tcW w:w="5305"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ascii="Arial" w:hAnsi="Arial" w:cs="Arial"/>
                <w:color w:val="auto"/>
                <w:szCs w:val="21"/>
                <w:highlight w:val="none"/>
              </w:rPr>
            </w:pPr>
            <w:r>
              <w:rPr>
                <w:rFonts w:ascii="Arial" w:hAnsi="Arial" w:cs="Arial"/>
                <w:color w:val="auto"/>
                <w:szCs w:val="21"/>
                <w:highlight w:val="none"/>
              </w:rPr>
              <w:t>付款条件</w:t>
            </w:r>
          </w:p>
        </w:tc>
        <w:tc>
          <w:tcPr>
            <w:tcW w:w="1902"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ascii="Arial" w:hAnsi="Arial" w:cs="Arial"/>
                <w:color w:val="auto"/>
                <w:szCs w:val="21"/>
                <w:highlight w:val="none"/>
              </w:rPr>
            </w:pPr>
            <w:r>
              <w:rPr>
                <w:rFonts w:ascii="Arial" w:hAnsi="Arial" w:cs="Arial"/>
                <w:color w:val="auto"/>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992"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ascii="Arial" w:hAnsi="Arial" w:cs="Arial"/>
                <w:color w:val="auto"/>
                <w:szCs w:val="21"/>
                <w:highlight w:val="none"/>
              </w:rPr>
            </w:pPr>
            <w:r>
              <w:rPr>
                <w:rFonts w:ascii="Arial" w:hAnsi="Arial" w:cs="Arial"/>
                <w:color w:val="auto"/>
                <w:szCs w:val="21"/>
                <w:highlight w:val="none"/>
              </w:rPr>
              <w:t>第一次付款</w:t>
            </w:r>
          </w:p>
        </w:tc>
        <w:tc>
          <w:tcPr>
            <w:tcW w:w="5305" w:type="dxa"/>
            <w:vAlign w:val="center"/>
          </w:tcPr>
          <w:p>
            <w:pPr>
              <w:rPr>
                <w:rFonts w:hint="eastAsia" w:ascii="Arial" w:hAnsi="Arial" w:eastAsia="宋体" w:cs="Arial"/>
                <w:color w:val="auto"/>
                <w:szCs w:val="21"/>
                <w:highlight w:val="none"/>
                <w:lang w:eastAsia="zh-CN"/>
              </w:rPr>
            </w:pPr>
            <w:r>
              <w:rPr>
                <w:rFonts w:hint="eastAsia" w:ascii="宋体" w:hAnsi="宋体" w:eastAsia="宋体" w:cs="宋体"/>
                <w:snapToGrid w:val="0"/>
                <w:color w:val="auto"/>
                <w:szCs w:val="21"/>
                <w:highlight w:val="none"/>
              </w:rPr>
              <w:t>合同生效以及具备实施条件后</w:t>
            </w:r>
            <w:r>
              <w:rPr>
                <w:rFonts w:hint="eastAsia" w:ascii="宋体" w:hAnsi="宋体" w:cs="宋体"/>
                <w:snapToGrid w:val="0"/>
                <w:color w:val="auto"/>
                <w:szCs w:val="21"/>
                <w:highlight w:val="none"/>
                <w:lang w:eastAsia="zh-CN"/>
              </w:rPr>
              <w:t>，</w:t>
            </w:r>
            <w:r>
              <w:rPr>
                <w:rFonts w:hint="eastAsia" w:ascii="宋体" w:hAnsi="宋体" w:eastAsia="宋体" w:cs="宋体"/>
                <w:color w:val="auto"/>
                <w:highlight w:val="none"/>
              </w:rPr>
              <w:t>合同甲方向合同乙方支付</w:t>
            </w:r>
            <w:r>
              <w:rPr>
                <w:rFonts w:hint="eastAsia" w:ascii="宋体" w:hAnsi="宋体" w:cs="宋体"/>
                <w:color w:val="auto"/>
                <w:highlight w:val="none"/>
                <w:lang w:val="en-US" w:eastAsia="zh-CN"/>
              </w:rPr>
              <w:t>50%合同款</w:t>
            </w:r>
            <w:r>
              <w:rPr>
                <w:rFonts w:hint="eastAsia" w:ascii="宋体" w:hAnsi="宋体" w:eastAsia="宋体" w:cs="宋体"/>
                <w:color w:val="auto"/>
                <w:highlight w:val="none"/>
              </w:rPr>
              <w:t>；</w:t>
            </w:r>
          </w:p>
        </w:tc>
        <w:tc>
          <w:tcPr>
            <w:tcW w:w="1902" w:type="dxa"/>
            <w:vAlign w:val="center"/>
          </w:tcPr>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992"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ascii="Arial" w:hAnsi="Arial" w:cs="Arial"/>
                <w:color w:val="auto"/>
                <w:szCs w:val="21"/>
                <w:highlight w:val="none"/>
              </w:rPr>
            </w:pPr>
            <w:r>
              <w:rPr>
                <w:rFonts w:ascii="Arial" w:hAnsi="Arial" w:cs="Arial"/>
                <w:color w:val="auto"/>
                <w:szCs w:val="21"/>
                <w:highlight w:val="none"/>
              </w:rPr>
              <w:t>第</w:t>
            </w:r>
            <w:r>
              <w:rPr>
                <w:rFonts w:hint="eastAsia" w:ascii="Arial" w:hAnsi="Arial" w:cs="Arial"/>
                <w:color w:val="auto"/>
                <w:szCs w:val="21"/>
                <w:highlight w:val="none"/>
                <w:lang w:val="en-US" w:eastAsia="zh-CN"/>
              </w:rPr>
              <w:t>二</w:t>
            </w:r>
            <w:r>
              <w:rPr>
                <w:rFonts w:ascii="Arial" w:hAnsi="Arial" w:cs="Arial"/>
                <w:color w:val="auto"/>
                <w:szCs w:val="21"/>
                <w:highlight w:val="none"/>
              </w:rPr>
              <w:t>次付款</w:t>
            </w:r>
          </w:p>
        </w:tc>
        <w:tc>
          <w:tcPr>
            <w:tcW w:w="5305" w:type="dxa"/>
            <w:vAlign w:val="center"/>
          </w:tcPr>
          <w:p>
            <w:pPr>
              <w:rPr>
                <w:rFonts w:hint="eastAsia" w:ascii="Arial" w:hAnsi="Arial" w:eastAsia="宋体" w:cs="Arial"/>
                <w:color w:val="auto"/>
                <w:szCs w:val="21"/>
                <w:highlight w:val="none"/>
                <w:lang w:eastAsia="zh-CN"/>
              </w:rPr>
            </w:pPr>
            <w:r>
              <w:rPr>
                <w:rFonts w:hint="eastAsia" w:ascii="宋体" w:hAnsi="宋体" w:eastAsia="宋体" w:cs="宋体"/>
                <w:color w:val="auto"/>
                <w:highlight w:val="none"/>
              </w:rPr>
              <w:t>验收通过后</w:t>
            </w:r>
            <w:r>
              <w:rPr>
                <w:rFonts w:hint="eastAsia" w:ascii="宋体" w:hAnsi="宋体" w:cs="宋体"/>
                <w:color w:val="auto"/>
                <w:highlight w:val="none"/>
                <w:lang w:eastAsia="zh-CN"/>
              </w:rPr>
              <w:t>，</w:t>
            </w:r>
            <w:r>
              <w:rPr>
                <w:rFonts w:hint="eastAsia" w:ascii="宋体" w:hAnsi="宋体" w:eastAsia="宋体" w:cs="宋体"/>
                <w:color w:val="auto"/>
                <w:highlight w:val="none"/>
              </w:rPr>
              <w:t>合同甲方向合同乙方支付</w:t>
            </w:r>
            <w:r>
              <w:rPr>
                <w:rFonts w:hint="eastAsia" w:ascii="宋体" w:hAnsi="宋体" w:cs="宋体"/>
                <w:color w:val="auto"/>
                <w:highlight w:val="none"/>
                <w:lang w:val="en-US" w:eastAsia="zh-CN"/>
              </w:rPr>
              <w:t>剩余</w:t>
            </w:r>
            <w:r>
              <w:rPr>
                <w:rFonts w:hint="eastAsia" w:ascii="宋体" w:hAnsi="宋体" w:eastAsia="宋体" w:cs="宋体"/>
                <w:color w:val="auto"/>
                <w:highlight w:val="none"/>
              </w:rPr>
              <w:t>合同款。</w:t>
            </w:r>
          </w:p>
        </w:tc>
        <w:tc>
          <w:tcPr>
            <w:tcW w:w="1902" w:type="dxa"/>
            <w:vAlign w:val="center"/>
          </w:tcPr>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p>
        </w:tc>
      </w:tr>
    </w:tbl>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满足支付条件后，乙方需提供与每笔合同价款同等金额的正规发票给甲方，甲方收到正规发票后</w:t>
      </w:r>
      <w:r>
        <w:rPr>
          <w:rFonts w:ascii="Arial" w:hAnsi="Arial" w:cs="Arial"/>
          <w:color w:val="auto"/>
          <w:kern w:val="0"/>
          <w:szCs w:val="21"/>
          <w:highlight w:val="none"/>
        </w:rPr>
        <w:t>7个工作日</w:t>
      </w:r>
      <w:r>
        <w:rPr>
          <w:rFonts w:ascii="Arial" w:hAnsi="Arial" w:cs="Arial"/>
          <w:color w:val="auto"/>
          <w:szCs w:val="21"/>
          <w:highlight w:val="none"/>
        </w:rPr>
        <w:t>内支付至乙方账户。</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3、发票类型：增值税发票。</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4.甲方应付合同款至以下乙方指定的银行账户：</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Arial" w:hAnsi="Arial" w:cs="Arial"/>
          <w:color w:val="auto"/>
          <w:szCs w:val="21"/>
          <w:highlight w:val="none"/>
          <w:u w:val="single"/>
        </w:rPr>
      </w:pPr>
      <w:r>
        <w:rPr>
          <w:rFonts w:ascii="Arial" w:hAnsi="Arial" w:cs="Arial"/>
          <w:color w:val="auto"/>
          <w:szCs w:val="21"/>
          <w:highlight w:val="none"/>
        </w:rPr>
        <w:t>开户名称：</w:t>
      </w:r>
      <w:r>
        <w:rPr>
          <w:rFonts w:ascii="Arial" w:hAnsi="Arial" w:cs="Arial"/>
          <w:color w:val="auto"/>
          <w:szCs w:val="21"/>
          <w:highlight w:val="none"/>
          <w:u w:val="single"/>
        </w:rPr>
        <w:t>【                 】；</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Arial" w:hAnsi="Arial" w:cs="Arial"/>
          <w:color w:val="auto"/>
          <w:szCs w:val="21"/>
          <w:highlight w:val="none"/>
          <w:u w:val="single"/>
        </w:rPr>
      </w:pPr>
      <w:r>
        <w:rPr>
          <w:rFonts w:ascii="Arial" w:hAnsi="Arial" w:cs="Arial"/>
          <w:color w:val="auto"/>
          <w:szCs w:val="21"/>
          <w:highlight w:val="none"/>
        </w:rPr>
        <w:t>开户银行：</w:t>
      </w:r>
      <w:r>
        <w:rPr>
          <w:rFonts w:ascii="Arial" w:hAnsi="Arial" w:cs="Arial"/>
          <w:color w:val="auto"/>
          <w:szCs w:val="21"/>
          <w:highlight w:val="none"/>
          <w:u w:val="single"/>
        </w:rPr>
        <w:t>【                 】；</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u w:val="single"/>
        </w:rPr>
      </w:pPr>
      <w:r>
        <w:rPr>
          <w:rFonts w:ascii="Arial" w:hAnsi="Arial" w:cs="Arial"/>
          <w:color w:val="auto"/>
          <w:szCs w:val="21"/>
          <w:highlight w:val="none"/>
        </w:rPr>
        <w:t>账    号：</w:t>
      </w:r>
      <w:r>
        <w:rPr>
          <w:rFonts w:ascii="Arial" w:hAnsi="Arial" w:cs="Arial"/>
          <w:color w:val="auto"/>
          <w:szCs w:val="21"/>
          <w:highlight w:val="none"/>
          <w:u w:val="single"/>
        </w:rPr>
        <w:t>【                 】；</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四、履约保证金</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1、乙方应在合同签订后5个工作日内向甲方提交履约保证金为</w:t>
      </w:r>
      <w:r>
        <w:rPr>
          <w:rFonts w:ascii="Arial" w:hAnsi="Arial" w:cs="Arial"/>
          <w:color w:val="auto"/>
          <w:szCs w:val="21"/>
          <w:highlight w:val="none"/>
          <w:u w:val="single"/>
        </w:rPr>
        <w:t>【 】</w:t>
      </w:r>
      <w:r>
        <w:rPr>
          <w:rFonts w:ascii="Arial" w:hAnsi="Arial" w:cs="Arial"/>
          <w:color w:val="auto"/>
          <w:szCs w:val="21"/>
          <w:highlight w:val="none"/>
        </w:rPr>
        <w:t>元【</w:t>
      </w:r>
      <w:r>
        <w:rPr>
          <w:rFonts w:hint="eastAsia" w:ascii="Arial" w:hAnsi="Arial" w:cs="Arial"/>
          <w:color w:val="auto"/>
          <w:szCs w:val="21"/>
          <w:highlight w:val="none"/>
        </w:rPr>
        <w:t>合同金额的1%</w:t>
      </w:r>
      <w:r>
        <w:rPr>
          <w:rFonts w:ascii="Arial" w:hAnsi="Arial" w:cs="Arial"/>
          <w:color w:val="auto"/>
          <w:szCs w:val="21"/>
          <w:highlight w:val="none"/>
        </w:rPr>
        <w:t>】。</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2、履约保证金用于补偿甲方因乙方不能履行其合同义务而蒙受的损失。</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3、履约保证金应使用本合同货币，按下述方式中</w:t>
      </w:r>
      <w:r>
        <w:rPr>
          <w:rFonts w:ascii="Arial" w:hAnsi="Arial" w:cs="Arial"/>
          <w:color w:val="auto"/>
          <w:szCs w:val="21"/>
          <w:highlight w:val="none"/>
          <w:u w:val="single"/>
        </w:rPr>
        <w:t>【 D 】</w:t>
      </w:r>
      <w:r>
        <w:rPr>
          <w:rFonts w:ascii="Arial" w:hAnsi="Arial" w:cs="Arial"/>
          <w:color w:val="auto"/>
          <w:szCs w:val="21"/>
          <w:highlight w:val="none"/>
        </w:rPr>
        <w:t>形式提交：</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 xml:space="preserve">  A.甲方可接受的在中华人民共和国注册和营业的银行出具的保函，或保险公司出具的保函。</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 xml:space="preserve">  B.支票。</w:t>
      </w:r>
    </w:p>
    <w:p>
      <w:pPr>
        <w:keepNext w:val="0"/>
        <w:keepLines w:val="0"/>
        <w:pageBreakBefore w:val="0"/>
        <w:widowControl w:val="0"/>
        <w:kinsoku/>
        <w:wordWrap/>
        <w:overflowPunct/>
        <w:topLinePunct w:val="0"/>
        <w:autoSpaceDE/>
        <w:autoSpaceDN/>
        <w:bidi w:val="0"/>
        <w:snapToGrid w:val="0"/>
        <w:ind w:firstLine="630" w:firstLineChars="300"/>
        <w:textAlignment w:val="auto"/>
        <w:rPr>
          <w:rFonts w:ascii="Arial" w:hAnsi="Arial" w:cs="Arial"/>
          <w:color w:val="auto"/>
          <w:szCs w:val="21"/>
          <w:highlight w:val="none"/>
        </w:rPr>
      </w:pPr>
      <w:r>
        <w:rPr>
          <w:rFonts w:ascii="Arial" w:hAnsi="Arial" w:cs="Arial"/>
          <w:color w:val="auto"/>
          <w:szCs w:val="21"/>
          <w:highlight w:val="none"/>
        </w:rPr>
        <w:t>C.汇票。</w:t>
      </w:r>
    </w:p>
    <w:p>
      <w:pPr>
        <w:keepNext w:val="0"/>
        <w:keepLines w:val="0"/>
        <w:pageBreakBefore w:val="0"/>
        <w:widowControl w:val="0"/>
        <w:kinsoku/>
        <w:wordWrap/>
        <w:overflowPunct/>
        <w:topLinePunct w:val="0"/>
        <w:autoSpaceDE/>
        <w:autoSpaceDN/>
        <w:bidi w:val="0"/>
        <w:snapToGrid w:val="0"/>
        <w:ind w:firstLine="630" w:firstLineChars="300"/>
        <w:textAlignment w:val="auto"/>
        <w:rPr>
          <w:rFonts w:ascii="Arial" w:hAnsi="Arial" w:cs="Arial"/>
          <w:color w:val="auto"/>
          <w:szCs w:val="21"/>
          <w:highlight w:val="none"/>
        </w:rPr>
      </w:pPr>
      <w:r>
        <w:rPr>
          <w:rFonts w:ascii="Arial" w:hAnsi="Arial" w:cs="Arial"/>
          <w:color w:val="auto"/>
          <w:szCs w:val="21"/>
          <w:highlight w:val="none"/>
        </w:rPr>
        <w:t>D.其他非现金形式。</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4、如果乙方未能按合同规定履行其义务，甲方有权从履约保证金中取得补偿。</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5、履约保证金有效期限：自合同签订之日起至项目验收合格后结束。</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6、履约保证金退还：有效期限满后，按合同约定扣除相关款项（如有）后无息退还。</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五、本合同履行期限、地点</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u w:val="single"/>
        </w:rPr>
      </w:pPr>
      <w:r>
        <w:rPr>
          <w:rFonts w:ascii="Arial" w:hAnsi="Arial" w:cs="Arial"/>
          <w:color w:val="auto"/>
          <w:szCs w:val="21"/>
          <w:highlight w:val="none"/>
        </w:rPr>
        <w:t>履行期限：</w:t>
      </w:r>
      <w:r>
        <w:rPr>
          <w:rFonts w:ascii="Arial" w:hAnsi="Arial" w:cs="Arial"/>
          <w:color w:val="auto"/>
          <w:szCs w:val="21"/>
          <w:highlight w:val="none"/>
          <w:u w:val="single"/>
        </w:rPr>
        <w:t xml:space="preserve">                              </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u w:val="single"/>
        </w:rPr>
      </w:pPr>
      <w:r>
        <w:rPr>
          <w:rFonts w:ascii="Arial" w:hAnsi="Arial" w:cs="Arial"/>
          <w:color w:val="auto"/>
          <w:szCs w:val="21"/>
          <w:highlight w:val="none"/>
        </w:rPr>
        <w:t>履行地点：</w:t>
      </w:r>
      <w:r>
        <w:rPr>
          <w:rFonts w:ascii="Arial" w:hAnsi="Arial" w:cs="Arial"/>
          <w:color w:val="auto"/>
          <w:szCs w:val="21"/>
          <w:highlight w:val="none"/>
          <w:u w:val="single"/>
        </w:rPr>
        <w:t xml:space="preserve">                               </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六、有关要求</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1、</w:t>
      </w:r>
      <w:r>
        <w:rPr>
          <w:rFonts w:ascii="Arial" w:hAnsi="Arial" w:cs="Arial"/>
          <w:color w:val="auto"/>
          <w:highlight w:val="none"/>
        </w:rPr>
        <w:t>甲方按《浙江省财政厅关于印发浙江省政府采购合同暂行办法的通知》（浙财采监〔2017〕11号）相关规定组织验收。</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2、本合同服务项目的履行期届满时，乙方须向甲方提供验收材料，甲方对乙方提供的技术服务进行验收确认，成立验收小组，组织实施验收和履约评价。</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七、合同变更</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hint="eastAsia" w:ascii="Arial" w:hAnsi="Arial" w:cs="Arial"/>
          <w:color w:val="auto"/>
          <w:szCs w:val="21"/>
          <w:highlight w:val="none"/>
        </w:rPr>
        <w:t>1、</w:t>
      </w:r>
      <w:r>
        <w:rPr>
          <w:rFonts w:ascii="Arial" w:hAnsi="Arial" w:cs="Arial"/>
          <w:color w:val="auto"/>
          <w:szCs w:val="21"/>
          <w:highlight w:val="none"/>
        </w:rPr>
        <w:t>甲方和乙方都不得擅自变更本合同，</w:t>
      </w:r>
      <w:r>
        <w:rPr>
          <w:rFonts w:hint="eastAsia" w:ascii="Arial" w:hAnsi="Arial" w:cs="Arial"/>
          <w:color w:val="auto"/>
          <w:szCs w:val="21"/>
          <w:highlight w:val="none"/>
        </w:rPr>
        <w:t>但</w:t>
      </w:r>
      <w:r>
        <w:rPr>
          <w:rFonts w:ascii="Arial" w:hAnsi="Arial" w:cs="Arial"/>
          <w:color w:val="auto"/>
          <w:szCs w:val="21"/>
          <w:highlight w:val="none"/>
        </w:rPr>
        <w:t xml:space="preserve">有下列情形之一的，双方协商一致可以变更合同： </w:t>
      </w:r>
    </w:p>
    <w:p>
      <w:pPr>
        <w:keepNext w:val="0"/>
        <w:keepLines w:val="0"/>
        <w:pageBreakBefore w:val="0"/>
        <w:widowControl w:val="0"/>
        <w:numPr>
          <w:ilvl w:val="0"/>
          <w:numId w:val="7"/>
        </w:numPr>
        <w:kinsoku/>
        <w:wordWrap/>
        <w:overflowPunct/>
        <w:topLinePunct w:val="0"/>
        <w:autoSpaceDE/>
        <w:autoSpaceDN/>
        <w:bidi w:val="0"/>
        <w:snapToGrid w:val="0"/>
        <w:textAlignment w:val="auto"/>
        <w:rPr>
          <w:rFonts w:ascii="Arial" w:hAnsi="Arial" w:cs="Arial"/>
          <w:color w:val="auto"/>
          <w:szCs w:val="21"/>
          <w:highlight w:val="none"/>
        </w:rPr>
      </w:pPr>
      <w:r>
        <w:rPr>
          <w:rFonts w:ascii="Arial" w:hAnsi="Arial" w:cs="Arial"/>
          <w:color w:val="auto"/>
          <w:szCs w:val="21"/>
          <w:highlight w:val="none"/>
        </w:rPr>
        <w:t>发生不可预见的紧急情况，继续按照原合同履行不能实现采购目的，又不能从其他供应商处采购；</w:t>
      </w:r>
    </w:p>
    <w:p>
      <w:pPr>
        <w:keepNext w:val="0"/>
        <w:keepLines w:val="0"/>
        <w:pageBreakBefore w:val="0"/>
        <w:widowControl w:val="0"/>
        <w:numPr>
          <w:ilvl w:val="0"/>
          <w:numId w:val="7"/>
        </w:numPr>
        <w:kinsoku/>
        <w:wordWrap/>
        <w:overflowPunct/>
        <w:topLinePunct w:val="0"/>
        <w:autoSpaceDE/>
        <w:autoSpaceDN/>
        <w:bidi w:val="0"/>
        <w:snapToGrid w:val="0"/>
        <w:textAlignment w:val="auto"/>
        <w:rPr>
          <w:rFonts w:ascii="Arial" w:hAnsi="Arial" w:cs="Arial"/>
          <w:color w:val="auto"/>
          <w:szCs w:val="21"/>
          <w:highlight w:val="none"/>
        </w:rPr>
      </w:pPr>
      <w:r>
        <w:rPr>
          <w:rFonts w:hint="eastAsia" w:ascii="Arial" w:hAnsi="Arial" w:cs="Arial"/>
          <w:color w:val="auto"/>
          <w:szCs w:val="21"/>
          <w:highlight w:val="none"/>
        </w:rPr>
        <w:t>在施工过程中出现了订合同时无法预见的客观情况，需要甲方改变原设计方案的；</w:t>
      </w:r>
    </w:p>
    <w:p>
      <w:pPr>
        <w:keepNext w:val="0"/>
        <w:keepLines w:val="0"/>
        <w:pageBreakBefore w:val="0"/>
        <w:widowControl w:val="0"/>
        <w:numPr>
          <w:ilvl w:val="0"/>
          <w:numId w:val="7"/>
        </w:numPr>
        <w:kinsoku/>
        <w:wordWrap/>
        <w:overflowPunct/>
        <w:topLinePunct w:val="0"/>
        <w:autoSpaceDE/>
        <w:autoSpaceDN/>
        <w:bidi w:val="0"/>
        <w:snapToGrid w:val="0"/>
        <w:textAlignment w:val="auto"/>
        <w:rPr>
          <w:rFonts w:ascii="Arial" w:hAnsi="Arial" w:cs="Arial"/>
          <w:color w:val="auto"/>
          <w:szCs w:val="21"/>
          <w:highlight w:val="none"/>
        </w:rPr>
      </w:pPr>
      <w:r>
        <w:rPr>
          <w:rFonts w:ascii="Arial" w:hAnsi="Arial" w:cs="Arial"/>
          <w:color w:val="auto"/>
          <w:szCs w:val="21"/>
          <w:highlight w:val="none"/>
        </w:rPr>
        <w:t xml:space="preserve">属于合同主要条款确定的事项，但变更不改变合同实质性内容； </w:t>
      </w:r>
    </w:p>
    <w:p>
      <w:pPr>
        <w:keepNext w:val="0"/>
        <w:keepLines w:val="0"/>
        <w:pageBreakBefore w:val="0"/>
        <w:widowControl w:val="0"/>
        <w:numPr>
          <w:ilvl w:val="0"/>
          <w:numId w:val="7"/>
        </w:numPr>
        <w:kinsoku/>
        <w:wordWrap/>
        <w:overflowPunct/>
        <w:topLinePunct w:val="0"/>
        <w:autoSpaceDE/>
        <w:autoSpaceDN/>
        <w:bidi w:val="0"/>
        <w:snapToGrid w:val="0"/>
        <w:textAlignment w:val="auto"/>
        <w:rPr>
          <w:rFonts w:ascii="Arial" w:hAnsi="Arial" w:cs="Arial"/>
          <w:color w:val="auto"/>
          <w:szCs w:val="21"/>
          <w:highlight w:val="none"/>
        </w:rPr>
      </w:pPr>
      <w:r>
        <w:rPr>
          <w:rFonts w:ascii="Arial" w:hAnsi="Arial" w:cs="Arial"/>
          <w:color w:val="auto"/>
          <w:szCs w:val="21"/>
          <w:highlight w:val="none"/>
        </w:rPr>
        <w:t xml:space="preserve">法律、法规规定可以变更合同的其他情形。 </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hint="eastAsia" w:ascii="Arial" w:hAnsi="Arial" w:cs="Arial"/>
          <w:color w:val="auto"/>
          <w:szCs w:val="21"/>
          <w:highlight w:val="none"/>
        </w:rPr>
        <w:t>2、</w:t>
      </w:r>
      <w:r>
        <w:rPr>
          <w:rFonts w:ascii="Arial" w:hAnsi="Arial" w:cs="Arial"/>
          <w:color w:val="auto"/>
          <w:szCs w:val="21"/>
          <w:highlight w:val="none"/>
        </w:rPr>
        <w:t xml:space="preserve">当事人协商一致变更合同的，应当报同级财政部门备案。 </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八、转让和分包</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1、政府采购合同不能转让。</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2、合同分包</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分包内容：【】；</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分包金额：【】；</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接受分包的人：【】；</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接受分包的人不得再次分包。分包后不能解除乙方履行本合同的责任和义务，接受分包的人与乙方共同对甲方连带承担合同的责任和义务。</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九、通知</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本合同任何一方给另一方的通知，都应以书面形式发送，而另一方也应以书面形式确认并发送到对方明确的地址。</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十、计量单位</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除技术规范中另有规定外，计量单位均使用国家法定计量单位。</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十一、不可抗力</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1、如果双方中任何一方遭遇法律规定的不可抗力，致使合同履行受阻时，履行合同的期限应予延长，延长的期限应相当于不可抗力所影响的时间。</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2、受事故影响的一方应在不可抗力的事故发生后尽快书面形式通知另一方，并在</w:t>
      </w:r>
      <w:r>
        <w:rPr>
          <w:rFonts w:hint="eastAsia" w:ascii="Arial" w:hAnsi="Arial" w:cs="Arial"/>
          <w:color w:val="auto"/>
          <w:szCs w:val="21"/>
          <w:highlight w:val="none"/>
        </w:rPr>
        <w:t>不可抗力</w:t>
      </w:r>
      <w:r>
        <w:rPr>
          <w:rFonts w:ascii="Arial" w:hAnsi="Arial" w:cs="Arial"/>
          <w:color w:val="auto"/>
          <w:szCs w:val="21"/>
          <w:highlight w:val="none"/>
        </w:rPr>
        <w:t>事故发生后</w:t>
      </w:r>
      <w:r>
        <w:rPr>
          <w:rFonts w:hint="eastAsia" w:ascii="Arial" w:hAnsi="Arial" w:cs="Arial"/>
          <w:color w:val="auto"/>
          <w:szCs w:val="21"/>
          <w:highlight w:val="none"/>
        </w:rPr>
        <w:t>7个工作日</w:t>
      </w:r>
      <w:r>
        <w:rPr>
          <w:rFonts w:ascii="Arial" w:hAnsi="Arial" w:cs="Arial"/>
          <w:color w:val="auto"/>
          <w:szCs w:val="21"/>
          <w:highlight w:val="none"/>
        </w:rPr>
        <w:t>内，将有关部门出具的证明文件送达另一方。</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3、不可抗力使合同的某些内容有变更必要的，双方应通过协商达成进一步履行合同的协议，因不可抗力致使合同不能履行的，合同终止。</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十二、保密、权利和安全责任</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1、对甲方提供的涉及保密的资料、信息、情报、数据，乙方有保密的义务。对乙方提供的涉及保密的技术资料、代码、信息、情报、数据，甲方有保密的义务。乙方妥善做好甲方所提供的项目文件资料的保存、回收及保密工作。未征得甲方同意，乙方不得公开涉及甲方的专利、专有技术或其他需保密的资料，不得复制与工作相关的数据与信息，不得泄露与本合同业务有关的技术、商务等秘密，违者应对此造成的后果承担法律责任。对于用户数据和服务结果数据的保管、访问，乙方无关人员不能访问；必须访问的人员，乙方要进行严格的访问控制；管理用户数据的人员应由乙方严格筛选。乙方保证数据不能被授权用户以外的任何人访问。双方同意保守在缔结和履行合同过程中获知的对方保密信息，除一方履行合同义务的必要或法律、法规规定应披露的之外，不得以任何方式向第三人披露和不正当使用，否则，应当赔偿因泄露保密信息给对方造成的损失。</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2、本项目的最终用户为甲方，实施所产生的所有数据、分析结果、软件等其他成果的所有权、使用权和知识产权以及由此衍生的一切权利均归甲方所有。未经同意，乙方不得擅自扩散或提供给第三方使用。乙方保证，其根据本合同提供的产品及服务没有任何权利瑕疵，没有侵犯任何第三方权利，甲方在使用该产品或服务的任何一部分时，免受第三方提出的侵犯其知识产权的起诉。如果任何人对甲方使用该产品或服务主张权利，由乙方负责处理一切纠纷及相关事宜。由此给甲方造成的损失，由乙方承担，其承担范围包括但不限于：赔偿费、律师费、仲裁费和与仲裁相关的费用。</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十三、违约责任</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hint="eastAsia" w:ascii="Arial" w:hAnsi="Arial" w:cs="Arial"/>
          <w:color w:val="auto"/>
          <w:szCs w:val="21"/>
          <w:highlight w:val="none"/>
        </w:rPr>
        <w:t>1、</w:t>
      </w:r>
      <w:r>
        <w:rPr>
          <w:rFonts w:ascii="Arial" w:hAnsi="Arial" w:cs="Arial"/>
          <w:color w:val="auto"/>
          <w:szCs w:val="21"/>
          <w:highlight w:val="none"/>
        </w:rPr>
        <w:t>除合同规定的不可抗力外，如果乙方没有按照合同规定的时间提供服务（含提供服务达不到合同要求），甲方可要求乙方支付违约金。</w:t>
      </w:r>
      <w:r>
        <w:rPr>
          <w:rFonts w:hint="eastAsia" w:ascii="Arial" w:hAnsi="Arial" w:cs="Arial"/>
          <w:color w:val="auto"/>
          <w:szCs w:val="21"/>
          <w:highlight w:val="none"/>
        </w:rPr>
        <w:t>违约金的计算方法为：每逾期一天，则按合同总额万分之五的标准向甲方支付逾期履行的违约金。该违约金的支付不足弥补因此给甲方所造成的经济损失的，则甲方有权要求支付赔偿金。该等违约金，甲方有权在项目尾款中直接扣除，甲方并有权没收乙方支付的履约保证金。乙方超过合同约定的履行期30天仍未履行合同约定的义务的，甲方有权解除合同，</w:t>
      </w:r>
      <w:r>
        <w:rPr>
          <w:rFonts w:ascii="Arial" w:hAnsi="Arial" w:cs="Arial"/>
          <w:color w:val="auto"/>
          <w:szCs w:val="21"/>
          <w:highlight w:val="none"/>
        </w:rPr>
        <w:t>并有权要求乙方承担合同金额10%的赔偿金，同时不再退还履约保证金</w:t>
      </w:r>
      <w:r>
        <w:rPr>
          <w:rFonts w:hint="eastAsia" w:ascii="Arial" w:hAnsi="Arial" w:cs="Arial"/>
          <w:color w:val="auto"/>
          <w:szCs w:val="21"/>
          <w:highlight w:val="none"/>
        </w:rPr>
        <w:t>，乙方并应在收到甲方解除合同的通知后10日内退还甲方已支付的合同款项</w:t>
      </w:r>
      <w:r>
        <w:rPr>
          <w:rFonts w:ascii="Arial" w:hAnsi="Arial" w:cs="Arial"/>
          <w:color w:val="auto"/>
          <w:szCs w:val="21"/>
          <w:highlight w:val="none"/>
        </w:rPr>
        <w:t>。</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hint="eastAsia" w:ascii="Arial" w:hAnsi="Arial" w:cs="Arial"/>
          <w:color w:val="auto"/>
          <w:szCs w:val="21"/>
          <w:highlight w:val="none"/>
        </w:rPr>
        <w:t>2、项目结束时,项目经验收为不合格的，则甲方根据本合同第三条所约定的尾款不再向乙方支付，以此作为乙方对甲方所支付的违约金。</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hint="eastAsia" w:ascii="Arial" w:hAnsi="Arial" w:cs="Arial"/>
          <w:color w:val="auto"/>
          <w:szCs w:val="21"/>
          <w:highlight w:val="none"/>
        </w:rPr>
        <w:t>3、其他违约责任按本协议的约定处理。</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十四、违约解除合同</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hint="eastAsia" w:ascii="Arial" w:hAnsi="Arial" w:cs="Arial"/>
          <w:color w:val="auto"/>
          <w:szCs w:val="21"/>
          <w:highlight w:val="none"/>
        </w:rPr>
        <w:t>1、</w:t>
      </w:r>
      <w:r>
        <w:rPr>
          <w:rFonts w:ascii="Arial" w:hAnsi="Arial" w:cs="Arial"/>
          <w:color w:val="auto"/>
          <w:szCs w:val="21"/>
          <w:highlight w:val="none"/>
        </w:rPr>
        <w:t>在乙方违约的情况下，甲方可向乙方发出书面通知</w:t>
      </w:r>
      <w:r>
        <w:rPr>
          <w:rFonts w:hint="eastAsia" w:ascii="Arial" w:hAnsi="Arial" w:cs="Arial"/>
          <w:color w:val="auto"/>
          <w:szCs w:val="21"/>
          <w:highlight w:val="none"/>
        </w:rPr>
        <w:t>要求其纠正该等违约行为。乙方未在规定时间内纠正违约行为的，则甲方有权单方通知乙方提前解除合同，</w:t>
      </w:r>
      <w:r>
        <w:rPr>
          <w:rFonts w:ascii="Arial" w:hAnsi="Arial" w:cs="Arial"/>
          <w:color w:val="auto"/>
          <w:szCs w:val="21"/>
          <w:highlight w:val="none"/>
        </w:rPr>
        <w:t xml:space="preserve">同时保留向乙方追诉的权利。 </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hint="eastAsia" w:ascii="Arial" w:hAnsi="Arial" w:cs="Arial"/>
          <w:color w:val="auto"/>
          <w:szCs w:val="21"/>
          <w:highlight w:val="none"/>
        </w:rPr>
        <w:t>2、</w:t>
      </w:r>
      <w:r>
        <w:rPr>
          <w:rFonts w:ascii="Arial" w:hAnsi="Arial" w:cs="Arial"/>
          <w:color w:val="auto"/>
          <w:szCs w:val="21"/>
          <w:highlight w:val="none"/>
        </w:rPr>
        <w:t>甲方解除合同的，合同于甲方发出书面解除合同通知书送达乙方之日起解除。乙方</w:t>
      </w:r>
      <w:r>
        <w:rPr>
          <w:rFonts w:hint="eastAsia" w:ascii="Arial" w:hAnsi="Arial" w:cs="Arial"/>
          <w:color w:val="auto"/>
          <w:szCs w:val="21"/>
          <w:highlight w:val="none"/>
        </w:rPr>
        <w:t>未</w:t>
      </w:r>
      <w:r>
        <w:rPr>
          <w:rFonts w:ascii="Arial" w:hAnsi="Arial" w:cs="Arial"/>
          <w:color w:val="auto"/>
          <w:szCs w:val="21"/>
          <w:highlight w:val="none"/>
        </w:rPr>
        <w:t xml:space="preserve">在合同解除后 </w:t>
      </w:r>
      <w:r>
        <w:rPr>
          <w:rFonts w:hint="eastAsia" w:ascii="Arial" w:hAnsi="Arial" w:cs="Arial"/>
          <w:color w:val="auto"/>
          <w:szCs w:val="21"/>
          <w:highlight w:val="none"/>
        </w:rPr>
        <w:t>10</w:t>
      </w:r>
      <w:r>
        <w:rPr>
          <w:rFonts w:ascii="Arial" w:hAnsi="Arial" w:cs="Arial"/>
          <w:color w:val="auto"/>
          <w:szCs w:val="21"/>
          <w:highlight w:val="none"/>
        </w:rPr>
        <w:t xml:space="preserve"> 日内退还甲方已支付的合同款</w:t>
      </w:r>
      <w:r>
        <w:rPr>
          <w:rFonts w:hint="eastAsia" w:ascii="Arial" w:hAnsi="Arial" w:cs="Arial"/>
          <w:color w:val="auto"/>
          <w:szCs w:val="21"/>
          <w:highlight w:val="none"/>
        </w:rPr>
        <w:t>项的</w:t>
      </w:r>
      <w:r>
        <w:rPr>
          <w:rFonts w:ascii="Arial" w:hAnsi="Arial" w:cs="Arial"/>
          <w:color w:val="auto"/>
          <w:szCs w:val="21"/>
          <w:highlight w:val="none"/>
        </w:rPr>
        <w:t>，</w:t>
      </w:r>
      <w:r>
        <w:rPr>
          <w:rFonts w:hint="eastAsia" w:ascii="Arial" w:hAnsi="Arial" w:cs="Arial"/>
          <w:color w:val="auto"/>
          <w:szCs w:val="21"/>
          <w:highlight w:val="none"/>
        </w:rPr>
        <w:t>则</w:t>
      </w:r>
      <w:r>
        <w:rPr>
          <w:rFonts w:ascii="Arial" w:hAnsi="Arial" w:cs="Arial"/>
          <w:color w:val="auto"/>
          <w:szCs w:val="21"/>
          <w:highlight w:val="none"/>
        </w:rPr>
        <w:t>每</w:t>
      </w:r>
      <w:r>
        <w:rPr>
          <w:rFonts w:hint="eastAsia" w:ascii="Arial" w:hAnsi="Arial" w:cs="Arial"/>
          <w:color w:val="auto"/>
          <w:szCs w:val="21"/>
          <w:highlight w:val="none"/>
        </w:rPr>
        <w:t>逾期一</w:t>
      </w:r>
      <w:r>
        <w:rPr>
          <w:rFonts w:ascii="Arial" w:hAnsi="Arial" w:cs="Arial"/>
          <w:color w:val="auto"/>
          <w:szCs w:val="21"/>
          <w:highlight w:val="none"/>
        </w:rPr>
        <w:t>日按未退还金额的 0.1 %支付违约金。</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hint="eastAsia" w:ascii="Arial" w:hAnsi="Arial" w:cs="Arial"/>
          <w:color w:val="auto"/>
          <w:szCs w:val="21"/>
          <w:highlight w:val="none"/>
        </w:rPr>
        <w:t>3、</w:t>
      </w:r>
      <w:r>
        <w:rPr>
          <w:rFonts w:ascii="Arial" w:hAnsi="Arial" w:cs="Arial"/>
          <w:color w:val="auto"/>
          <w:szCs w:val="21"/>
          <w:highlight w:val="none"/>
        </w:rPr>
        <w:t xml:space="preserve">甲方解除合同的，应当报同级财政部门备案。 </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十五、破产终止合同</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如果乙方破产或无清偿能力时，甲方经报同级政府采购监督管理部门审批后，可在任何时候以书面通知乙方，提出终止合同而不给乙方补偿。该合同的终止将不损害或不影响甲方已经采取或将要采取任何行动或补救措施的权利。</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十六、适用</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1、本合同应按照《中华人民共和国政府采购法》、《中华人民共和国民法典》、《浙江省政府采购合同暂行办法》等进行解释。</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2、本项目招标</w:t>
      </w:r>
      <w:r>
        <w:rPr>
          <w:rFonts w:hint="eastAsia" w:ascii="Arial" w:hAnsi="Arial" w:cs="Arial"/>
          <w:color w:val="auto"/>
          <w:szCs w:val="21"/>
          <w:highlight w:val="none"/>
        </w:rPr>
        <w:t>（采购）</w:t>
      </w:r>
      <w:r>
        <w:rPr>
          <w:rFonts w:ascii="Arial" w:hAnsi="Arial" w:cs="Arial"/>
          <w:color w:val="auto"/>
          <w:szCs w:val="21"/>
          <w:highlight w:val="none"/>
        </w:rPr>
        <w:t>文件及投标</w:t>
      </w:r>
      <w:r>
        <w:rPr>
          <w:rFonts w:hint="eastAsia" w:ascii="Arial" w:hAnsi="Arial" w:cs="Arial"/>
          <w:color w:val="auto"/>
          <w:szCs w:val="21"/>
          <w:highlight w:val="none"/>
        </w:rPr>
        <w:t>（响应）</w:t>
      </w:r>
      <w:r>
        <w:rPr>
          <w:rFonts w:ascii="Arial" w:hAnsi="Arial" w:cs="Arial"/>
          <w:color w:val="auto"/>
          <w:szCs w:val="21"/>
          <w:highlight w:val="none"/>
        </w:rPr>
        <w:t>文件及评标过程中形成的文字资料，询标纪要均作为本合同的组成部分，具有同等法律效力。</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十七、解决争议的方法</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因合同履行中发生的争议，可通过合同当事人双方友好协商解决。如自协商开始之起 15 日内得不到解决，双方应将争议提交政府采购监管部门调解。调解不成的，可</w:t>
      </w:r>
      <w:r>
        <w:rPr>
          <w:rFonts w:hint="eastAsia" w:ascii="Arial" w:hAnsi="Arial" w:cs="Arial"/>
          <w:color w:val="auto"/>
          <w:szCs w:val="21"/>
          <w:highlight w:val="none"/>
        </w:rPr>
        <w:t>向</w:t>
      </w:r>
      <w:r>
        <w:rPr>
          <w:rFonts w:ascii="Arial" w:hAnsi="Arial" w:cs="Arial"/>
          <w:color w:val="auto"/>
          <w:szCs w:val="21"/>
          <w:highlight w:val="none"/>
        </w:rPr>
        <w:t xml:space="preserve">甲方注册地所在区人民法院提起诉讼。 </w:t>
      </w:r>
      <w:r>
        <w:rPr>
          <w:rFonts w:hint="eastAsia" w:ascii="Arial" w:hAnsi="Arial" w:cs="Arial"/>
          <w:color w:val="auto"/>
          <w:szCs w:val="21"/>
          <w:highlight w:val="none"/>
        </w:rPr>
        <w:t>因诉讼所产生的诉讼费、律师费及其他必要的费用，由败诉方承担。</w:t>
      </w:r>
    </w:p>
    <w:p>
      <w:pPr>
        <w:keepNext w:val="0"/>
        <w:keepLines w:val="0"/>
        <w:pageBreakBefore w:val="0"/>
        <w:widowControl w:val="0"/>
        <w:kinsoku/>
        <w:wordWrap/>
        <w:overflowPunct/>
        <w:topLinePunct w:val="0"/>
        <w:autoSpaceDE/>
        <w:autoSpaceDN/>
        <w:bidi w:val="0"/>
        <w:snapToGrid w:val="0"/>
        <w:ind w:firstLine="422" w:firstLineChars="200"/>
        <w:textAlignment w:val="auto"/>
        <w:rPr>
          <w:rFonts w:ascii="Arial" w:hAnsi="Arial" w:cs="Arial"/>
          <w:b/>
          <w:bCs/>
          <w:color w:val="auto"/>
          <w:szCs w:val="21"/>
          <w:highlight w:val="none"/>
        </w:rPr>
      </w:pPr>
      <w:r>
        <w:rPr>
          <w:rFonts w:ascii="Arial" w:hAnsi="Arial" w:cs="Arial"/>
          <w:b/>
          <w:bCs/>
          <w:color w:val="auto"/>
          <w:szCs w:val="21"/>
          <w:highlight w:val="none"/>
        </w:rPr>
        <w:t>十八、合同份数</w:t>
      </w:r>
    </w:p>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本合同一式四份，具同等法律效力。甲方、乙方双方各执二份。</w:t>
      </w:r>
    </w:p>
    <w:tbl>
      <w:tblPr>
        <w:tblStyle w:val="45"/>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0"/>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甲方（单位章）：</w:t>
            </w:r>
          </w:p>
        </w:tc>
        <w:tc>
          <w:tcPr>
            <w:tcW w:w="4701" w:type="dxa"/>
            <w:vAlign w:val="center"/>
          </w:tcPr>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乙方（单位章）：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法定代表人（签字或盖章）：</w:t>
            </w:r>
          </w:p>
        </w:tc>
        <w:tc>
          <w:tcPr>
            <w:tcW w:w="4701" w:type="dxa"/>
            <w:vAlign w:val="center"/>
          </w:tcPr>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或授权代表（签字）：</w:t>
            </w:r>
          </w:p>
        </w:tc>
        <w:tc>
          <w:tcPr>
            <w:tcW w:w="4701" w:type="dxa"/>
            <w:vAlign w:val="center"/>
          </w:tcPr>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地　　址：</w:t>
            </w:r>
          </w:p>
        </w:tc>
        <w:tc>
          <w:tcPr>
            <w:tcW w:w="4701" w:type="dxa"/>
            <w:vAlign w:val="center"/>
          </w:tcPr>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签订时间：   年  月  日</w:t>
            </w:r>
          </w:p>
        </w:tc>
        <w:tc>
          <w:tcPr>
            <w:tcW w:w="4701" w:type="dxa"/>
            <w:vAlign w:val="center"/>
          </w:tcPr>
          <w:p>
            <w:pPr>
              <w:keepNext w:val="0"/>
              <w:keepLines w:val="0"/>
              <w:pageBreakBefore w:val="0"/>
              <w:widowControl w:val="0"/>
              <w:kinsoku/>
              <w:wordWrap/>
              <w:overflowPunct/>
              <w:topLinePunct w:val="0"/>
              <w:autoSpaceDE/>
              <w:autoSpaceDN/>
              <w:bidi w:val="0"/>
              <w:snapToGrid w:val="0"/>
              <w:ind w:firstLine="420" w:firstLineChars="200"/>
              <w:textAlignment w:val="auto"/>
              <w:rPr>
                <w:rFonts w:ascii="Arial" w:hAnsi="Arial" w:cs="Arial"/>
                <w:color w:val="auto"/>
                <w:szCs w:val="21"/>
                <w:highlight w:val="none"/>
              </w:rPr>
            </w:pPr>
            <w:r>
              <w:rPr>
                <w:rFonts w:ascii="Arial" w:hAnsi="Arial" w:cs="Arial"/>
                <w:color w:val="auto"/>
                <w:szCs w:val="21"/>
                <w:highlight w:val="none"/>
              </w:rPr>
              <w:t>签订时间：   年  月  日</w:t>
            </w:r>
          </w:p>
        </w:tc>
      </w:tr>
    </w:tbl>
    <w:p>
      <w:pPr>
        <w:keepNext w:val="0"/>
        <w:keepLines w:val="0"/>
        <w:pageBreakBefore w:val="0"/>
        <w:widowControl w:val="0"/>
        <w:kinsoku/>
        <w:wordWrap/>
        <w:overflowPunct/>
        <w:topLinePunct w:val="0"/>
        <w:autoSpaceDE/>
        <w:autoSpaceDN/>
        <w:bidi w:val="0"/>
        <w:snapToGrid w:val="0"/>
        <w:ind w:firstLine="420" w:firstLineChars="200"/>
        <w:textAlignment w:val="auto"/>
        <w:rPr>
          <w:rFonts w:cs="Calibri"/>
          <w:color w:val="auto"/>
          <w:spacing w:val="6"/>
          <w:szCs w:val="21"/>
          <w:highlight w:val="none"/>
        </w:rPr>
      </w:pPr>
      <w:r>
        <w:rPr>
          <w:rFonts w:ascii="Arial" w:hAnsi="Arial" w:cs="Arial"/>
          <w:color w:val="auto"/>
          <w:szCs w:val="21"/>
          <w:highlight w:val="none"/>
        </w:rPr>
        <w:t>签约地点：</w:t>
      </w:r>
    </w:p>
    <w:p>
      <w:pPr>
        <w:pStyle w:val="3"/>
        <w:rPr>
          <w:rFonts w:hint="eastAsia" w:ascii="宋体" w:hAnsi="宋体" w:eastAsia="宋体" w:cs="宋体"/>
          <w:color w:val="auto"/>
          <w:highlight w:val="none"/>
        </w:rPr>
      </w:pPr>
      <w:r>
        <w:rPr>
          <w:rFonts w:hint="eastAsia" w:ascii="宋体" w:hAnsi="宋体" w:eastAsia="宋体" w:cs="宋体"/>
          <w:color w:val="auto"/>
          <w:spacing w:val="6"/>
          <w:szCs w:val="21"/>
          <w:highlight w:val="none"/>
        </w:rPr>
        <w:br w:type="page"/>
      </w:r>
      <w:bookmarkStart w:id="52" w:name="_Toc2406"/>
      <w:bookmarkStart w:id="53" w:name="_Toc21760"/>
      <w:r>
        <w:rPr>
          <w:rFonts w:hint="eastAsia" w:ascii="宋体" w:hAnsi="宋体" w:eastAsia="宋体" w:cs="宋体"/>
          <w:color w:val="auto"/>
          <w:highlight w:val="none"/>
        </w:rPr>
        <w:t>第五章  磋商评审办法</w:t>
      </w:r>
      <w:bookmarkEnd w:id="43"/>
      <w:bookmarkEnd w:id="44"/>
      <w:bookmarkEnd w:id="45"/>
      <w:bookmarkEnd w:id="46"/>
      <w:bookmarkEnd w:id="52"/>
      <w:bookmarkEnd w:id="53"/>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本评审办法遵照《中华人民共和国政府采购法》《政府采购竞争性磋商采购方式管理暂行办法》等政府采购有关法律、法规、规章、文件的规定，并结合本项目的具体情况制定。</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一、评审原则</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小组成员应当按照客观、公正、审慎的原则，根据采购文件规定的评审程序、评审方法和评审标准进行独立评审，并推荐成交候选供应商。磋商评审期间，磋商小组必须严格遵守保密规定，不得泄露评审的有关情况以及评审过程中获悉的国家秘密、商业秘密。如发现采购文件内容违反国家有关强制性规定的，磋商小组应当停止评审并向采购人或者采购代理机构说明情况。</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二、磋商、评审</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1.磋商、评审工作由磋商小组负责。</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2.审查供应商的资格条件</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磋商小组对所有供应商是否满足采购文件规定资格条件进行审查，经审查，如有供应商资格不符合采购文件规定资格条件，采用书面形式告知供应商。</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3.符合性审查</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小组在对磋商响应文件的有效性、完整性和响应程度进行审查时，可以要求供应商对磋商响应文件中含义不明确、同类问题表述不一致或者有明显文字和计算错误的等书面内容进行必要的澄清、说明或更正。供应商的澄清、说明或者更正不得超出响应文件的范围或者改变响应文件的实质性内容。</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磋商小组要求供应商澄清、说明或者更正响应文件以书面形式作出。供应商的澄清、说明或者更正应当由法定代表人或其授权代表签字或者加盖公章。由授权代表签字的，应当附法定代表人授权书。</w:t>
      </w:r>
    </w:p>
    <w:p>
      <w:pPr>
        <w:adjustRightInd w:val="0"/>
        <w:ind w:firstLine="422" w:firstLineChars="200"/>
        <w:rPr>
          <w:rFonts w:hint="eastAsia" w:ascii="宋体" w:hAnsi="宋体" w:eastAsia="宋体" w:cs="宋体"/>
          <w:b/>
          <w:color w:val="auto"/>
          <w:szCs w:val="21"/>
          <w:highlight w:val="none"/>
        </w:rPr>
      </w:pPr>
      <w:bookmarkStart w:id="54" w:name="_Toc419708028"/>
      <w:r>
        <w:rPr>
          <w:rFonts w:hint="eastAsia" w:ascii="宋体" w:hAnsi="宋体" w:eastAsia="宋体" w:cs="宋体"/>
          <w:b/>
          <w:color w:val="auto"/>
          <w:szCs w:val="21"/>
          <w:highlight w:val="none"/>
        </w:rPr>
        <w:t>3.1</w:t>
      </w:r>
      <w:bookmarkEnd w:id="54"/>
      <w:r>
        <w:rPr>
          <w:rFonts w:hint="eastAsia" w:ascii="宋体" w:hAnsi="宋体" w:eastAsia="宋体" w:cs="宋体"/>
          <w:b/>
          <w:color w:val="auto"/>
          <w:szCs w:val="21"/>
          <w:highlight w:val="none"/>
        </w:rPr>
        <w:t>资格及响应符合性审查</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磋商响应文件如存在以下情况之一的，经磋商小组少数服从多数原则审核认定，作为符合性审查未通过，判定为响应无效，不进入后续评审：</w:t>
      </w:r>
    </w:p>
    <w:p>
      <w:pPr>
        <w:autoSpaceDE w:val="0"/>
        <w:autoSpaceDN w:val="0"/>
        <w:ind w:firstLine="422" w:firstLineChars="200"/>
        <w:rPr>
          <w:rFonts w:hint="eastAsia" w:ascii="宋体" w:hAnsi="宋体" w:eastAsia="宋体" w:cs="宋体"/>
          <w:b/>
          <w:bCs/>
          <w:color w:val="auto"/>
          <w:kern w:val="0"/>
          <w:szCs w:val="21"/>
          <w:highlight w:val="none"/>
        </w:rPr>
      </w:pPr>
      <w:bookmarkStart w:id="55" w:name="_Toc419708029"/>
      <w:r>
        <w:rPr>
          <w:rFonts w:hint="eastAsia" w:ascii="宋体" w:hAnsi="宋体" w:eastAsia="宋体" w:cs="宋体"/>
          <w:b/>
          <w:bCs/>
          <w:color w:val="auto"/>
          <w:kern w:val="0"/>
          <w:szCs w:val="21"/>
          <w:highlight w:val="none"/>
        </w:rPr>
        <w:t>（1）磋商响应文件中提供的资料无法证明供应商满足采购文件载明的供应商资格要求；</w:t>
      </w:r>
    </w:p>
    <w:p>
      <w:pPr>
        <w:autoSpaceDE w:val="0"/>
        <w:autoSpaceDN w:val="0"/>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（2）磋商响应文件未按采购文件的要求盖章的；</w:t>
      </w:r>
    </w:p>
    <w:p>
      <w:pPr>
        <w:autoSpaceDE w:val="0"/>
        <w:autoSpaceDN w:val="0"/>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（3）磋商响应文件标明的商务、技术响应与事实不符或虚假响应的；</w:t>
      </w:r>
    </w:p>
    <w:p>
      <w:pPr>
        <w:autoSpaceDE w:val="0"/>
        <w:autoSpaceDN w:val="0"/>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（4）未实质性响应采购文件规定的实质性内容的；</w:t>
      </w:r>
    </w:p>
    <w:p>
      <w:pPr>
        <w:autoSpaceDE w:val="0"/>
        <w:autoSpaceDN w:val="0"/>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（5）技术解决方案、服务实施方案不能满足本项目实施需要；</w:t>
      </w:r>
    </w:p>
    <w:p>
      <w:pPr>
        <w:autoSpaceDE w:val="0"/>
        <w:autoSpaceDN w:val="0"/>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（6）磋商响应文件提出了不能满足采购文件要求的实施周期、质保期等要求的；</w:t>
      </w:r>
    </w:p>
    <w:p>
      <w:pPr>
        <w:autoSpaceDE w:val="0"/>
        <w:autoSpaceDN w:val="0"/>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（7）存在串通情况的；</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◇不同供应商的响应文件由同一单位或者个人编制；</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◇不同供应商委托同一单位或者个人办理磋商响应事宜；</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◇不同供应商的响应文件载明的项目管理成员或者联系人员为同一人；</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◇不同供应商的响应文件异常一致或者报价呈规律性差异；</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◇不同供应商的响应文件相互混装；</w:t>
      </w:r>
    </w:p>
    <w:p>
      <w:pPr>
        <w:autoSpaceDE w:val="0"/>
        <w:autoSpaceDN w:val="0"/>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（8）存在法律、法规、规章、采购文件规定的其他响应无效情况的；</w:t>
      </w:r>
    </w:p>
    <w:p>
      <w:pPr>
        <w:autoSpaceDE w:val="0"/>
        <w:autoSpaceDN w:val="0"/>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（9）退出磋商的供应商的磋商响应文件；</w:t>
      </w:r>
    </w:p>
    <w:p>
      <w:pPr>
        <w:adjustRightInd w:val="0"/>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3.2报价符合性审查</w:t>
      </w:r>
      <w:bookmarkEnd w:id="55"/>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3.2.1 报价错误修正</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磋商小组将对报价文件进行校核，报价出现前后不一致的，按照下列规定修正：</w:t>
      </w:r>
    </w:p>
    <w:p>
      <w:pPr>
        <w:autoSpaceDE w:val="0"/>
        <w:autoSpaceDN w:val="0"/>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（1）报价一览表（报价表）内容与磋商响应文件中相应内容不一致的，以报价一览表（报价表）为准；</w:t>
      </w:r>
    </w:p>
    <w:p>
      <w:pPr>
        <w:autoSpaceDE w:val="0"/>
        <w:autoSpaceDN w:val="0"/>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（2）大写金额和小写金额不一致的，以大写金额为准；</w:t>
      </w:r>
    </w:p>
    <w:p>
      <w:pPr>
        <w:autoSpaceDE w:val="0"/>
        <w:autoSpaceDN w:val="0"/>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（3）单价金额小数点或者百分比有明显错位的，以报价一览表的总价为准，并修改单价；</w:t>
      </w:r>
    </w:p>
    <w:p>
      <w:pPr>
        <w:autoSpaceDE w:val="0"/>
        <w:autoSpaceDN w:val="0"/>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（4）总价金额与按单价汇总金额不一致的，以单价金额计算结果为准。</w:t>
      </w:r>
    </w:p>
    <w:p>
      <w:pPr>
        <w:autoSpaceDE w:val="0"/>
        <w:autoSpaceDN w:val="0"/>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同时出现两种以上不一致的，按照前款规定的顺序修正。修正后的报价以澄清方式经供应商确认后产生约束力，供应商不确认的，磋商小组应当判定其为响应无效。</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3.2.2合理报价澄清说明</w:t>
      </w:r>
    </w:p>
    <w:p>
      <w:pPr>
        <w:autoSpaceDE w:val="0"/>
        <w:autoSpaceDN w:val="0"/>
        <w:ind w:firstLine="422" w:firstLineChars="200"/>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磋商小组认为供应商的最后报价明显低于其他通过符合性审查供应商的报价，有可能影响产品质量或者不能诚信履约的，应当要求供应商在收到平台通知后30分钟内提供书面说明，必要时可要求供应商提交相关证明材料；磋商小组（少数服从多数原则）认为供应商不能证明其报价合理性的，应当判定其为响应无效。</w:t>
      </w:r>
    </w:p>
    <w:p>
      <w:pPr>
        <w:autoSpaceDE w:val="0"/>
        <w:autoSpaceDN w:val="0"/>
        <w:ind w:firstLine="424" w:firstLineChars="202"/>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3.2.3磋商响应文件如存在以下情况之一的，经磋商小组少数服从多数原则审核认定，作为符合性审查未通过，判定其为响应无效，不进入后续评审：</w:t>
      </w:r>
    </w:p>
    <w:p>
      <w:pPr>
        <w:adjustRightInd w:val="0"/>
        <w:ind w:firstLine="422" w:firstLineChars="200"/>
        <w:rPr>
          <w:rFonts w:hint="eastAsia" w:ascii="宋体" w:hAnsi="宋体" w:eastAsia="宋体" w:cs="宋体"/>
          <w:b/>
          <w:bCs/>
          <w:color w:val="auto"/>
          <w:szCs w:val="21"/>
          <w:highlight w:val="none"/>
        </w:rPr>
      </w:pPr>
      <w:bookmarkStart w:id="56" w:name="_Toc227380470"/>
      <w:r>
        <w:rPr>
          <w:rFonts w:hint="eastAsia" w:ascii="宋体" w:hAnsi="宋体" w:eastAsia="宋体" w:cs="宋体"/>
          <w:b/>
          <w:bCs/>
          <w:color w:val="auto"/>
          <w:szCs w:val="21"/>
          <w:highlight w:val="none"/>
        </w:rPr>
        <w:t>（1）采购人不调整采购需求的情况下，供应商的最后报价高于初次报价；</w:t>
      </w:r>
    </w:p>
    <w:p>
      <w:pPr>
        <w:adjustRightInd w:val="0"/>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（2）最后报价超过采购文件规定的预算价或最高限价；</w:t>
      </w:r>
    </w:p>
    <w:p>
      <w:pPr>
        <w:adjustRightInd w:val="0"/>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（3）磋商小组认为供应商最后报价符合3.2.2合理报价澄清说明情形的；</w:t>
      </w:r>
    </w:p>
    <w:p>
      <w:pPr>
        <w:widowControl/>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4.磋商小组确定磋商要点和磋商程序，逐一与各供应商进行磋商，并记录磋商内容及供应商承诺内容。</w:t>
      </w:r>
    </w:p>
    <w:p>
      <w:pPr>
        <w:widowControl/>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在磋商过程中，磋商小组可以根据采购文件和磋商情况实质性变动采购需求中的技术、服务要求以及合同草案条款，经采购人代表确认后以书面形式统一发给各供应商，并要求其承诺或重新提交响应文件。磋商承诺由供应商的法定代表人或其授权代表签字或者加盖公章，由授权代表签字的，应当附法定代表人授权书。</w:t>
      </w:r>
    </w:p>
    <w:p>
      <w:pPr>
        <w:widowControl/>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经过磋商结束后，磋商小组对符合要求的有效供应商根据磋商响应文件响应情况、磋商情况等进行评审，并向采购人提出评审意见和评审报告。</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评审报告应当包括以下主要内容：</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（1）邀请供应商参加采购活动的具体方式和相关情况；</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（2）响应文件开启日期和地点；</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（3）获取采购文件的供应商名单和磋商小组成员名单；</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（4）评审情况记录和说明，包括对供应商的资格审查情况、供应商响应文件评审情况、磋商情况、报价情况等；</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（5）提出的成交候选供应商的排序名单及理由。</w:t>
      </w:r>
    </w:p>
    <w:p>
      <w:pPr>
        <w:widowControl/>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磋商小组对需要共同认定的事项存在争议的，应当按照少数服从多数的原则做出结论，持不同意见的磋商小组成员应当在评审报告上签署不同意见及理由，否则视为同意评审报告</w:t>
      </w:r>
    </w:p>
    <w:p>
      <w:pPr>
        <w:widowControl/>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评审报告由磋商小组全体人员签字认可。磋商小组成员对评审报告有异议的，磋商小组按照少数服从多数的原则推荐成交候选供应商。对评审报告有异议的磋商小组成员，应在评审报告上签署不同意见并说明理由。磋商小组成员拒绝在评审报告上签字又不书面说明其不同意见和理由的，视为同意评审报告。</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三、评审细则</w:t>
      </w:r>
    </w:p>
    <w:p>
      <w:pPr>
        <w:widowControl/>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1.本项目采用综合评分法（总分100分），磋商小组根据本评审办法进行评审，对各供应商的价格、商务、技术等评分因素在分值范围内进行各自打分。每个供应商最终得分=价格分+商务技术分。</w:t>
      </w:r>
    </w:p>
    <w:p>
      <w:pPr>
        <w:widowControl/>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2.评审时，磋商小组各成员应当独立对每个有效响应的文件进行评价、打分，然后汇总每个供应商每项评分因素的得分。</w:t>
      </w:r>
    </w:p>
    <w:p>
      <w:pPr>
        <w:widowControl/>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3.对供应商的价格分等客观评分项的评分应当一致，对其他需要借助专业知识评判的主观评分项，应当严格按照评分细则公正评分。</w:t>
      </w:r>
    </w:p>
    <w:p>
      <w:pPr>
        <w:widowControl/>
        <w:ind w:firstLine="420" w:firstLineChars="200"/>
        <w:jc w:val="left"/>
        <w:rPr>
          <w:rFonts w:hint="eastAsia" w:ascii="宋体" w:hAnsi="宋体" w:eastAsia="宋体" w:cs="宋体"/>
          <w:color w:val="auto"/>
          <w:kern w:val="0"/>
          <w:szCs w:val="21"/>
          <w:highlight w:val="none"/>
        </w:rPr>
      </w:pPr>
      <w:bookmarkStart w:id="57" w:name="_Toc345320402"/>
      <w:r>
        <w:rPr>
          <w:rFonts w:hint="eastAsia" w:ascii="宋体" w:hAnsi="宋体" w:eastAsia="宋体" w:cs="宋体"/>
          <w:color w:val="auto"/>
          <w:kern w:val="0"/>
          <w:szCs w:val="21"/>
          <w:highlight w:val="none"/>
        </w:rPr>
        <w:t>4.磋商小组按评审得分由高到低顺序推荐成交候选供应商，评审得分相同的，按照最后报价由低到高的顺序推荐，评审得分且最后报价相同的，按照技术指标优劣顺序推荐，并编写评审报告。</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5.评分因素及分值范围</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5.1商务技术分</w:t>
      </w:r>
      <w:bookmarkEnd w:id="57"/>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磋商小组根据评审情况在分值范围内独立打分（具体分值设定详见表格），小数点后保留一位小数。每个供应商的最终得分为磋商小组打分汇总后的算术平均值（小数点后保留两位小数，第三位四舍五入）。</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565"/>
        <w:gridCol w:w="6270"/>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1"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rPr>
            </w:pPr>
            <w:bookmarkStart w:id="58" w:name="_Toc345320401"/>
            <w:r>
              <w:rPr>
                <w:rFonts w:hint="eastAsia" w:ascii="宋体" w:hAnsi="宋体" w:eastAsia="宋体" w:cs="宋体"/>
                <w:b w:val="0"/>
                <w:bCs w:val="0"/>
                <w:color w:val="auto"/>
                <w:sz w:val="21"/>
                <w:szCs w:val="21"/>
                <w:highlight w:val="none"/>
              </w:rPr>
              <w:t>序号</w:t>
            </w:r>
          </w:p>
        </w:tc>
        <w:tc>
          <w:tcPr>
            <w:tcW w:w="156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评分因素</w:t>
            </w:r>
          </w:p>
        </w:tc>
        <w:tc>
          <w:tcPr>
            <w:tcW w:w="627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评分细则</w:t>
            </w:r>
          </w:p>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（电子投标文件中提供的证明材料（证书、合同等）应清晰可辨，如无法辨识，将不予给分。）</w:t>
            </w:r>
          </w:p>
        </w:tc>
        <w:tc>
          <w:tcPr>
            <w:tcW w:w="88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1"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w:t>
            </w:r>
          </w:p>
        </w:tc>
        <w:tc>
          <w:tcPr>
            <w:tcW w:w="156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履约能力</w:t>
            </w:r>
          </w:p>
        </w:tc>
        <w:tc>
          <w:tcPr>
            <w:tcW w:w="627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textAlignment w:val="auto"/>
              <w:rPr>
                <w:rFonts w:hint="eastAsia" w:ascii="宋体" w:hAnsi="宋体" w:eastAsia="宋体" w:cs="宋体"/>
                <w:b w:val="0"/>
                <w:bCs w:val="0"/>
                <w:color w:val="auto"/>
                <w:sz w:val="21"/>
                <w:szCs w:val="21"/>
                <w:highlight w:val="none"/>
              </w:rPr>
            </w:pPr>
          </w:p>
        </w:tc>
        <w:tc>
          <w:tcPr>
            <w:tcW w:w="88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1"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numPr>
                <w:ilvl w:val="0"/>
                <w:numId w:val="8"/>
              </w:numPr>
              <w:kinsoku/>
              <w:wordWrap/>
              <w:overflowPunct/>
              <w:topLinePunct w:val="0"/>
              <w:autoSpaceDE/>
              <w:autoSpaceDN/>
              <w:bidi w:val="0"/>
              <w:snapToGrid w:val="0"/>
              <w:spacing w:line="300" w:lineRule="auto"/>
              <w:ind w:firstLine="0"/>
              <w:textAlignment w:val="auto"/>
              <w:rPr>
                <w:rFonts w:hint="eastAsia" w:ascii="宋体" w:hAnsi="宋体" w:eastAsia="宋体" w:cs="宋体"/>
                <w:b w:val="0"/>
                <w:bCs w:val="0"/>
                <w:color w:val="auto"/>
                <w:sz w:val="21"/>
                <w:szCs w:val="21"/>
                <w:highlight w:val="none"/>
              </w:rPr>
            </w:pPr>
          </w:p>
        </w:tc>
        <w:tc>
          <w:tcPr>
            <w:tcW w:w="156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lang w:eastAsia="zh-CN"/>
              </w:rPr>
              <w:t>供应商</w:t>
            </w:r>
            <w:r>
              <w:rPr>
                <w:rFonts w:hint="eastAsia" w:ascii="宋体" w:hAnsi="宋体" w:eastAsia="宋体" w:cs="宋体"/>
                <w:b w:val="0"/>
                <w:bCs w:val="0"/>
                <w:color w:val="auto"/>
                <w:kern w:val="0"/>
                <w:sz w:val="21"/>
                <w:szCs w:val="21"/>
                <w:highlight w:val="none"/>
              </w:rPr>
              <w:t>的</w:t>
            </w:r>
            <w:r>
              <w:rPr>
                <w:rFonts w:hint="eastAsia" w:ascii="宋体" w:hAnsi="宋体" w:eastAsia="宋体" w:cs="宋体"/>
                <w:b w:val="0"/>
                <w:bCs w:val="0"/>
                <w:color w:val="auto"/>
                <w:kern w:val="0"/>
                <w:sz w:val="21"/>
                <w:szCs w:val="21"/>
                <w:highlight w:val="none"/>
                <w:lang w:val="en-US" w:eastAsia="zh-CN"/>
              </w:rPr>
              <w:t>类似</w:t>
            </w:r>
            <w:r>
              <w:rPr>
                <w:rFonts w:hint="eastAsia" w:ascii="宋体" w:hAnsi="宋体" w:eastAsia="宋体" w:cs="宋体"/>
                <w:b w:val="0"/>
                <w:bCs w:val="0"/>
                <w:color w:val="auto"/>
                <w:kern w:val="0"/>
                <w:sz w:val="21"/>
                <w:szCs w:val="21"/>
                <w:highlight w:val="none"/>
              </w:rPr>
              <w:t>项目业绩</w:t>
            </w:r>
          </w:p>
        </w:tc>
        <w:tc>
          <w:tcPr>
            <w:tcW w:w="627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供应商的类似项目业绩</w:t>
            </w:r>
          </w:p>
          <w:p>
            <w:pPr>
              <w:keepNext w:val="0"/>
              <w:keepLines w:val="0"/>
              <w:pageBreakBefore w:val="0"/>
              <w:widowControl w:val="0"/>
              <w:kinsoku/>
              <w:wordWrap/>
              <w:overflowPunct/>
              <w:topLinePunct w:val="0"/>
              <w:autoSpaceDE/>
              <w:autoSpaceDN/>
              <w:bidi w:val="0"/>
              <w:snapToGrid w:val="0"/>
              <w:spacing w:line="300" w:lineRule="auto"/>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2020年1月1日至今（以合同签订时间为准）供应商承担的类似服务项目业绩，每个得0.5分，最高1分。</w:t>
            </w:r>
          </w:p>
          <w:p>
            <w:pPr>
              <w:keepNext w:val="0"/>
              <w:keepLines w:val="0"/>
              <w:pageBreakBefore w:val="0"/>
              <w:widowControl w:val="0"/>
              <w:kinsoku/>
              <w:wordWrap/>
              <w:overflowPunct/>
              <w:topLinePunct w:val="0"/>
              <w:autoSpaceDE/>
              <w:autoSpaceDN/>
              <w:bidi w:val="0"/>
              <w:snapToGrid w:val="0"/>
              <w:spacing w:line="300" w:lineRule="auto"/>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说明：根据投标文件中提供的业绩合同进行评分，未提供或不符合以上条件不得分。</w:t>
            </w:r>
          </w:p>
        </w:tc>
        <w:tc>
          <w:tcPr>
            <w:tcW w:w="88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1"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w:t>
            </w:r>
          </w:p>
        </w:tc>
        <w:tc>
          <w:tcPr>
            <w:tcW w:w="156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技术服务水平</w:t>
            </w:r>
          </w:p>
        </w:tc>
        <w:tc>
          <w:tcPr>
            <w:tcW w:w="627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textAlignment w:val="auto"/>
              <w:rPr>
                <w:rFonts w:hint="eastAsia" w:ascii="宋体" w:hAnsi="宋体" w:eastAsia="宋体" w:cs="宋体"/>
                <w:b w:val="0"/>
                <w:bCs w:val="0"/>
                <w:color w:val="auto"/>
                <w:sz w:val="21"/>
                <w:szCs w:val="21"/>
                <w:highlight w:val="none"/>
              </w:rPr>
            </w:pPr>
          </w:p>
        </w:tc>
        <w:tc>
          <w:tcPr>
            <w:tcW w:w="88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1"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numPr>
                <w:ilvl w:val="0"/>
                <w:numId w:val="8"/>
              </w:numPr>
              <w:kinsoku/>
              <w:wordWrap/>
              <w:overflowPunct/>
              <w:topLinePunct w:val="0"/>
              <w:autoSpaceDE/>
              <w:autoSpaceDN/>
              <w:bidi w:val="0"/>
              <w:snapToGrid w:val="0"/>
              <w:spacing w:line="300" w:lineRule="auto"/>
              <w:ind w:firstLine="0"/>
              <w:textAlignment w:val="auto"/>
              <w:rPr>
                <w:rFonts w:hint="eastAsia" w:ascii="宋体" w:hAnsi="宋体" w:eastAsia="宋体" w:cs="宋体"/>
                <w:b w:val="0"/>
                <w:bCs w:val="0"/>
                <w:color w:val="auto"/>
                <w:sz w:val="21"/>
                <w:szCs w:val="21"/>
                <w:highlight w:val="none"/>
              </w:rPr>
            </w:pPr>
          </w:p>
        </w:tc>
        <w:tc>
          <w:tcPr>
            <w:tcW w:w="156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snapToGrid w:val="0"/>
              <w:spacing w:line="30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Cs/>
                <w:color w:val="auto"/>
                <w:sz w:val="21"/>
                <w:szCs w:val="21"/>
                <w:highlight w:val="none"/>
                <w:lang w:val="en-US" w:eastAsia="zh-CN"/>
              </w:rPr>
              <w:t>对本项目需求的理解</w:t>
            </w:r>
          </w:p>
        </w:tc>
        <w:tc>
          <w:tcPr>
            <w:tcW w:w="627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textAlignment w:val="auto"/>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对本项目需求的理解</w:t>
            </w:r>
          </w:p>
          <w:p>
            <w:pPr>
              <w:keepNext w:val="0"/>
              <w:keepLines w:val="0"/>
              <w:pageBreakBefore w:val="0"/>
              <w:widowControl w:val="0"/>
              <w:kinsoku/>
              <w:wordWrap/>
              <w:overflowPunct/>
              <w:topLinePunct w:val="0"/>
              <w:autoSpaceDE/>
              <w:autoSpaceDN/>
              <w:bidi w:val="0"/>
              <w:snapToGrid w:val="0"/>
              <w:spacing w:line="300" w:lineRule="auto"/>
              <w:textAlignment w:val="auto"/>
              <w:rPr>
                <w:rFonts w:hint="eastAsia" w:ascii="宋体" w:hAnsi="宋体" w:eastAsia="宋体" w:cs="宋体"/>
                <w:color w:val="auto"/>
                <w:sz w:val="21"/>
                <w:szCs w:val="21"/>
                <w:highlight w:val="none"/>
              </w:rPr>
            </w:pPr>
            <w:r>
              <w:rPr>
                <w:rFonts w:hint="eastAsia" w:ascii="宋体" w:hAnsi="宋体" w:eastAsia="宋体" w:cs="宋体"/>
                <w:b w:val="0"/>
                <w:bCs w:val="0"/>
                <w:color w:val="auto"/>
                <w:kern w:val="0"/>
                <w:sz w:val="21"/>
                <w:szCs w:val="21"/>
                <w:highlight w:val="none"/>
                <w:lang w:val="en-US" w:eastAsia="zh-CN"/>
              </w:rPr>
              <w:t>供应商对本项目背景、需求理解全面、透彻、到位，完全符合实际情况得3分；供应商对本项目背景、需求理解基本到位，基本符合实际情况得2分；供应商对本项目背景、需求理解一般，与实际情况有一定偏离得1分；未提供方案不得分。</w:t>
            </w:r>
          </w:p>
        </w:tc>
        <w:tc>
          <w:tcPr>
            <w:tcW w:w="88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1"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numPr>
                <w:ilvl w:val="0"/>
                <w:numId w:val="8"/>
              </w:numPr>
              <w:kinsoku/>
              <w:wordWrap/>
              <w:overflowPunct/>
              <w:topLinePunct w:val="0"/>
              <w:autoSpaceDE/>
              <w:autoSpaceDN/>
              <w:bidi w:val="0"/>
              <w:snapToGrid w:val="0"/>
              <w:spacing w:line="300" w:lineRule="auto"/>
              <w:ind w:firstLine="0"/>
              <w:textAlignment w:val="auto"/>
              <w:rPr>
                <w:rFonts w:hint="eastAsia" w:ascii="宋体" w:hAnsi="宋体" w:eastAsia="宋体" w:cs="宋体"/>
                <w:b w:val="0"/>
                <w:bCs w:val="0"/>
                <w:color w:val="auto"/>
                <w:sz w:val="21"/>
                <w:szCs w:val="21"/>
                <w:highlight w:val="none"/>
              </w:rPr>
            </w:pPr>
          </w:p>
        </w:tc>
        <w:tc>
          <w:tcPr>
            <w:tcW w:w="156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snapToGrid w:val="0"/>
              <w:spacing w:line="300" w:lineRule="auto"/>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color w:val="auto"/>
                <w:sz w:val="21"/>
                <w:szCs w:val="21"/>
                <w:highlight w:val="none"/>
              </w:rPr>
              <w:t>启动仪式（杭州西站）</w:t>
            </w:r>
            <w:r>
              <w:rPr>
                <w:rFonts w:hint="eastAsia" w:ascii="宋体" w:hAnsi="宋体" w:eastAsia="宋体" w:cs="宋体"/>
                <w:color w:val="auto"/>
                <w:sz w:val="21"/>
                <w:szCs w:val="21"/>
                <w:highlight w:val="none"/>
                <w:lang w:val="en-US" w:eastAsia="zh-CN"/>
              </w:rPr>
              <w:t>活动</w:t>
            </w:r>
            <w:r>
              <w:rPr>
                <w:rFonts w:hint="eastAsia" w:ascii="宋体" w:hAnsi="宋体" w:eastAsia="宋体" w:cs="宋体"/>
                <w:bCs/>
                <w:color w:val="auto"/>
                <w:sz w:val="21"/>
                <w:szCs w:val="21"/>
                <w:highlight w:val="none"/>
                <w:lang w:val="en-US" w:eastAsia="zh-CN"/>
              </w:rPr>
              <w:t>方案</w:t>
            </w:r>
          </w:p>
        </w:tc>
        <w:tc>
          <w:tcPr>
            <w:tcW w:w="627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pStyle w:val="23"/>
              <w:keepNext w:val="0"/>
              <w:keepLines w:val="0"/>
              <w:pageBreakBefore w:val="0"/>
              <w:kinsoku/>
              <w:wordWrap/>
              <w:overflowPunct/>
              <w:topLinePunct w:val="0"/>
              <w:autoSpaceDE/>
              <w:autoSpaceDN/>
              <w:bidi w:val="0"/>
              <w:snapToGrid w:val="0"/>
              <w:spacing w:line="300" w:lineRule="auto"/>
              <w:ind w:left="0" w:leftChars="0" w:firstLine="0" w:firstLineChars="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color w:val="auto"/>
                <w:sz w:val="21"/>
                <w:szCs w:val="21"/>
                <w:highlight w:val="none"/>
              </w:rPr>
              <w:t>启动仪式（杭州西站）</w:t>
            </w:r>
            <w:r>
              <w:rPr>
                <w:rFonts w:hint="eastAsia" w:ascii="宋体" w:hAnsi="宋体" w:eastAsia="宋体" w:cs="宋体"/>
                <w:color w:val="auto"/>
                <w:sz w:val="21"/>
                <w:szCs w:val="21"/>
                <w:highlight w:val="none"/>
                <w:lang w:val="en-US" w:eastAsia="zh-CN"/>
              </w:rPr>
              <w:t>活动</w:t>
            </w:r>
            <w:r>
              <w:rPr>
                <w:rFonts w:hint="eastAsia" w:ascii="宋体" w:hAnsi="宋体" w:eastAsia="宋体" w:cs="宋体"/>
                <w:bCs/>
                <w:color w:val="auto"/>
                <w:sz w:val="21"/>
                <w:szCs w:val="21"/>
                <w:highlight w:val="none"/>
                <w:lang w:val="en-US" w:eastAsia="zh-CN"/>
              </w:rPr>
              <w:t>方案</w:t>
            </w:r>
          </w:p>
          <w:p>
            <w:pPr>
              <w:pStyle w:val="23"/>
              <w:keepNext w:val="0"/>
              <w:keepLines w:val="0"/>
              <w:pageBreakBefore w:val="0"/>
              <w:numPr>
                <w:ilvl w:val="0"/>
                <w:numId w:val="9"/>
              </w:numPr>
              <w:kinsoku/>
              <w:wordWrap/>
              <w:overflowPunct/>
              <w:topLinePunct w:val="0"/>
              <w:autoSpaceDE/>
              <w:autoSpaceDN/>
              <w:bidi w:val="0"/>
              <w:snapToGrid w:val="0"/>
              <w:spacing w:line="300" w:lineRule="auto"/>
              <w:ind w:left="0" w:leftChars="0" w:firstLine="0" w:firstLineChars="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整体方案内容详实，科学合理，逻辑缜密，具有针对性，可实施性强的得5分；方案内容基本合理，针对性、可实施性一般的得3分；方案内容缺失严重，无针对性的得1分；未提供相关描述不得分。</w:t>
            </w:r>
          </w:p>
          <w:p>
            <w:pPr>
              <w:keepNext w:val="0"/>
              <w:keepLines w:val="0"/>
              <w:pageBreakBefore w:val="0"/>
              <w:numPr>
                <w:ilvl w:val="0"/>
                <w:numId w:val="9"/>
              </w:numPr>
              <w:kinsoku/>
              <w:wordWrap/>
              <w:overflowPunct/>
              <w:topLinePunct w:val="0"/>
              <w:autoSpaceDE/>
              <w:autoSpaceDN/>
              <w:bidi w:val="0"/>
              <w:snapToGrid w:val="0"/>
              <w:ind w:left="0" w:lef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活动流程、时间点符合采购文件要求，流程详细、可行、有针对性的得</w:t>
            </w:r>
            <w:r>
              <w:rPr>
                <w:rFonts w:hint="default"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分；流程基本符合采购文件要求，内容基本可行的得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分；流程简单、无针对性的得1分。</w:t>
            </w:r>
          </w:p>
          <w:p>
            <w:pPr>
              <w:keepNext w:val="0"/>
              <w:keepLines w:val="0"/>
              <w:pageBreakBefore w:val="0"/>
              <w:kinsoku/>
              <w:wordWrap/>
              <w:overflowPunct/>
              <w:topLinePunct w:val="0"/>
              <w:autoSpaceDE/>
              <w:autoSpaceDN/>
              <w:bidi w:val="0"/>
              <w:snapToGrid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（3）小板凳活动物料的派送方案：</w:t>
            </w:r>
            <w:r>
              <w:rPr>
                <w:rFonts w:hint="eastAsia" w:ascii="宋体" w:hAnsi="宋体" w:eastAsia="宋体" w:cs="宋体"/>
                <w:bCs/>
                <w:color w:val="auto"/>
                <w:sz w:val="21"/>
                <w:szCs w:val="21"/>
                <w:highlight w:val="none"/>
                <w:lang w:val="en-US" w:eastAsia="zh-CN"/>
              </w:rPr>
              <w:t>方案内容详实，科学合理，逻辑缜密，具有针对性，可实施性强的得</w:t>
            </w:r>
            <w:r>
              <w:rPr>
                <w:rFonts w:hint="default" w:ascii="宋体" w:hAnsi="宋体" w:cs="宋体"/>
                <w:bCs/>
                <w:color w:val="auto"/>
                <w:sz w:val="21"/>
                <w:szCs w:val="21"/>
                <w:highlight w:val="none"/>
                <w:lang w:val="en-US" w:eastAsia="zh-CN"/>
              </w:rPr>
              <w:t>5</w:t>
            </w:r>
            <w:r>
              <w:rPr>
                <w:rFonts w:hint="eastAsia" w:ascii="宋体" w:hAnsi="宋体" w:eastAsia="宋体" w:cs="宋体"/>
                <w:bCs/>
                <w:color w:val="auto"/>
                <w:sz w:val="21"/>
                <w:szCs w:val="21"/>
                <w:highlight w:val="none"/>
                <w:lang w:val="en-US" w:eastAsia="zh-CN"/>
              </w:rPr>
              <w:t>分；方案内容基本合理，针对性、可实施性一般的得</w:t>
            </w:r>
            <w:r>
              <w:rPr>
                <w:rFonts w:hint="default" w:ascii="宋体"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lang w:val="en-US" w:eastAsia="zh-CN"/>
              </w:rPr>
              <w:t>分；方案不够科学合理，针对性或可实施性差得1分；未提供相关描述不得分。</w:t>
            </w:r>
          </w:p>
          <w:p>
            <w:pPr>
              <w:pStyle w:val="55"/>
              <w:keepNext w:val="0"/>
              <w:keepLines w:val="0"/>
              <w:pageBreakBefore w:val="0"/>
              <w:kinsoku/>
              <w:wordWrap/>
              <w:overflowPunct/>
              <w:topLinePunct w:val="0"/>
              <w:autoSpaceDE/>
              <w:autoSpaceDN/>
              <w:bidi w:val="0"/>
              <w:snapToGrid w:val="0"/>
              <w:ind w:left="0" w:lef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（4）全家福拍摄及相框活动物料派送方案：</w:t>
            </w:r>
            <w:r>
              <w:rPr>
                <w:rFonts w:hint="eastAsia" w:ascii="宋体" w:hAnsi="宋体" w:eastAsia="宋体" w:cs="宋体"/>
                <w:bCs/>
                <w:color w:val="auto"/>
                <w:sz w:val="21"/>
                <w:szCs w:val="21"/>
                <w:highlight w:val="none"/>
                <w:lang w:val="en-US" w:eastAsia="zh-CN"/>
              </w:rPr>
              <w:t>方案内容详实，科学合理，逻辑缜密，具有针对性，可实施性强的得3分；方案内容基本合理，针对性、可实施性一般的得2分；方案不够科学合理，针对性或可实施性差得1分；未提供相关描述不得分。</w:t>
            </w:r>
          </w:p>
        </w:tc>
        <w:tc>
          <w:tcPr>
            <w:tcW w:w="88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default" w:ascii="宋体" w:hAnsi="宋体" w:eastAsia="宋体" w:cs="宋体"/>
                <w:b w:val="0"/>
                <w:bCs w:val="0"/>
                <w:color w:val="auto"/>
                <w:sz w:val="21"/>
                <w:szCs w:val="21"/>
                <w:highlight w:val="none"/>
                <w:lang w:val="en-US" w:eastAsia="zh-CN"/>
              </w:rPr>
            </w:pPr>
            <w:r>
              <w:rPr>
                <w:rFonts w:hint="default" w:ascii="宋体" w:hAnsi="宋体" w:cs="宋体"/>
                <w:b w:val="0"/>
                <w:bCs w:val="0"/>
                <w:color w:val="auto"/>
                <w:sz w:val="21"/>
                <w:szCs w:val="21"/>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1"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numPr>
                <w:ilvl w:val="0"/>
                <w:numId w:val="8"/>
              </w:numPr>
              <w:kinsoku/>
              <w:wordWrap/>
              <w:overflowPunct/>
              <w:topLinePunct w:val="0"/>
              <w:autoSpaceDE/>
              <w:autoSpaceDN/>
              <w:bidi w:val="0"/>
              <w:snapToGrid w:val="0"/>
              <w:spacing w:line="300" w:lineRule="auto"/>
              <w:ind w:firstLine="0"/>
              <w:textAlignment w:val="auto"/>
              <w:rPr>
                <w:rFonts w:hint="eastAsia" w:ascii="宋体" w:hAnsi="宋体" w:eastAsia="宋体" w:cs="宋体"/>
                <w:b w:val="0"/>
                <w:bCs w:val="0"/>
                <w:color w:val="auto"/>
                <w:sz w:val="21"/>
                <w:szCs w:val="21"/>
                <w:highlight w:val="none"/>
              </w:rPr>
            </w:pPr>
          </w:p>
        </w:tc>
        <w:tc>
          <w:tcPr>
            <w:tcW w:w="156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snapToGrid w:val="0"/>
              <w:spacing w:line="30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12站联动派送</w:t>
            </w:r>
            <w:r>
              <w:rPr>
                <w:rFonts w:hint="eastAsia" w:ascii="宋体" w:hAnsi="宋体" w:eastAsia="宋体" w:cs="宋体"/>
                <w:color w:val="auto"/>
                <w:sz w:val="21"/>
                <w:szCs w:val="21"/>
                <w:highlight w:val="none"/>
                <w:lang w:val="en-US" w:eastAsia="zh-CN"/>
              </w:rPr>
              <w:t>活动方案</w:t>
            </w:r>
          </w:p>
        </w:tc>
        <w:tc>
          <w:tcPr>
            <w:tcW w:w="627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pStyle w:val="23"/>
              <w:keepNext w:val="0"/>
              <w:keepLines w:val="0"/>
              <w:pageBreakBefore w:val="0"/>
              <w:kinsoku/>
              <w:wordWrap/>
              <w:overflowPunct/>
              <w:topLinePunct w:val="0"/>
              <w:autoSpaceDE/>
              <w:autoSpaceDN/>
              <w:bidi w:val="0"/>
              <w:snapToGrid w:val="0"/>
              <w:spacing w:line="300" w:lineRule="auto"/>
              <w:ind w:left="0" w:lef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12站联动派送</w:t>
            </w:r>
            <w:r>
              <w:rPr>
                <w:rFonts w:hint="eastAsia" w:ascii="宋体" w:hAnsi="宋体" w:eastAsia="宋体" w:cs="宋体"/>
                <w:color w:val="auto"/>
                <w:sz w:val="21"/>
                <w:szCs w:val="21"/>
                <w:highlight w:val="none"/>
                <w:lang w:val="en-US" w:eastAsia="zh-CN"/>
              </w:rPr>
              <w:t>活动方案</w:t>
            </w:r>
          </w:p>
          <w:p>
            <w:pPr>
              <w:pStyle w:val="23"/>
              <w:keepNext w:val="0"/>
              <w:keepLines w:val="0"/>
              <w:pageBreakBefore w:val="0"/>
              <w:numPr>
                <w:ilvl w:val="0"/>
                <w:numId w:val="0"/>
              </w:numPr>
              <w:kinsoku/>
              <w:wordWrap/>
              <w:overflowPunct/>
              <w:topLinePunct w:val="0"/>
              <w:autoSpaceDE/>
              <w:autoSpaceDN/>
              <w:bidi w:val="0"/>
              <w:snapToGrid w:val="0"/>
              <w:spacing w:line="300" w:lineRule="auto"/>
              <w:ind w:leftChars="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整体方案内容详实，科学合理，逻辑缜密，具有针对性，可实施性强的得5分；方案内容详实，科学合理，针对性一般的得4分；方案内容基本合理，针对性、可实施性一般的得3分；方案不够科学合理，针对性或可实施性差得2分；方案内容缺失严重，无针对性的得1分；未提供相关描述不得分。</w:t>
            </w:r>
          </w:p>
          <w:p>
            <w:pPr>
              <w:pStyle w:val="23"/>
              <w:keepNext w:val="0"/>
              <w:keepLines w:val="0"/>
              <w:pageBreakBefore w:val="0"/>
              <w:numPr>
                <w:ilvl w:val="0"/>
                <w:numId w:val="0"/>
              </w:numPr>
              <w:kinsoku/>
              <w:wordWrap/>
              <w:overflowPunct/>
              <w:topLinePunct w:val="0"/>
              <w:autoSpaceDE/>
              <w:autoSpaceDN/>
              <w:bidi w:val="0"/>
              <w:snapToGrid w:val="0"/>
              <w:spacing w:line="300" w:lineRule="auto"/>
              <w:ind w:leftChars="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（2）活动流程、时间点符合采购文件要求，流程详细、可行、有针对性的得</w:t>
            </w:r>
            <w:r>
              <w:rPr>
                <w:rFonts w:hint="default" w:hAnsi="宋体" w:cs="宋体"/>
                <w:bCs/>
                <w:color w:val="auto"/>
                <w:sz w:val="21"/>
                <w:szCs w:val="21"/>
                <w:highlight w:val="none"/>
                <w:lang w:val="en-US" w:eastAsia="zh-CN"/>
              </w:rPr>
              <w:t>5</w:t>
            </w:r>
            <w:r>
              <w:rPr>
                <w:rFonts w:hint="eastAsia" w:ascii="宋体" w:hAnsi="宋体" w:eastAsia="宋体" w:cs="宋体"/>
                <w:bCs/>
                <w:color w:val="auto"/>
                <w:sz w:val="21"/>
                <w:szCs w:val="21"/>
                <w:highlight w:val="none"/>
                <w:lang w:val="en-US" w:eastAsia="zh-CN"/>
              </w:rPr>
              <w:t>分；流程基本符合采购文件要求，内容基本可行的得</w:t>
            </w:r>
            <w:r>
              <w:rPr>
                <w:rFonts w:hint="default"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lang w:val="en-US" w:eastAsia="zh-CN"/>
              </w:rPr>
              <w:t>分；流程简单、无针对性的得1分。</w:t>
            </w:r>
          </w:p>
          <w:p>
            <w:pPr>
              <w:keepNext w:val="0"/>
              <w:keepLines w:val="0"/>
              <w:pageBreakBefore w:val="0"/>
              <w:kinsoku/>
              <w:wordWrap/>
              <w:overflowPunct/>
              <w:topLinePunct w:val="0"/>
              <w:autoSpaceDE/>
              <w:autoSpaceDN/>
              <w:bidi w:val="0"/>
              <w:snapToGrid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（3）小板凳活动物料的派送方案：</w:t>
            </w:r>
            <w:r>
              <w:rPr>
                <w:rFonts w:hint="eastAsia" w:ascii="宋体" w:hAnsi="宋体" w:eastAsia="宋体" w:cs="宋体"/>
                <w:bCs/>
                <w:color w:val="auto"/>
                <w:sz w:val="21"/>
                <w:szCs w:val="21"/>
                <w:highlight w:val="none"/>
                <w:lang w:val="en-US" w:eastAsia="zh-CN"/>
              </w:rPr>
              <w:t>方案内容详实，科学合理，逻辑缜密，具有针对性，可实施性强的得</w:t>
            </w:r>
            <w:r>
              <w:rPr>
                <w:rFonts w:hint="default" w:ascii="宋体" w:hAnsi="宋体" w:cs="宋体"/>
                <w:bCs/>
                <w:color w:val="auto"/>
                <w:sz w:val="21"/>
                <w:szCs w:val="21"/>
                <w:highlight w:val="none"/>
                <w:lang w:val="en-US" w:eastAsia="zh-CN"/>
              </w:rPr>
              <w:t>4</w:t>
            </w:r>
            <w:r>
              <w:rPr>
                <w:rFonts w:hint="eastAsia" w:ascii="宋体" w:hAnsi="宋体" w:eastAsia="宋体" w:cs="宋体"/>
                <w:bCs/>
                <w:color w:val="auto"/>
                <w:sz w:val="21"/>
                <w:szCs w:val="21"/>
                <w:highlight w:val="none"/>
                <w:lang w:val="en-US" w:eastAsia="zh-CN"/>
              </w:rPr>
              <w:t>分；方案内容基本合理，针对性、可实施性一般的得2分；方案不够科学合理，针对性或可实施性差得1分；未提供相关描述不得分。</w:t>
            </w:r>
          </w:p>
          <w:p>
            <w:pPr>
              <w:keepNext w:val="0"/>
              <w:keepLines w:val="0"/>
              <w:pageBreakBefore w:val="0"/>
              <w:kinsoku/>
              <w:wordWrap/>
              <w:overflowPunct/>
              <w:topLinePunct w:val="0"/>
              <w:autoSpaceDE/>
              <w:autoSpaceDN/>
              <w:bidi w:val="0"/>
              <w:snapToGrid w:val="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（4）全家福拍摄及相框活动物料派送方案：</w:t>
            </w:r>
            <w:r>
              <w:rPr>
                <w:rFonts w:hint="eastAsia" w:ascii="宋体" w:hAnsi="宋体" w:eastAsia="宋体" w:cs="宋体"/>
                <w:bCs/>
                <w:color w:val="auto"/>
                <w:sz w:val="21"/>
                <w:szCs w:val="21"/>
                <w:highlight w:val="none"/>
                <w:lang w:val="en-US" w:eastAsia="zh-CN"/>
              </w:rPr>
              <w:t>方案内容详实，科学合理，逻辑缜密，具有针对性，可实施性强的得3分；方案内容基本合理，针对性、可实施性一般的得2分；方案不够科学合理，针对性或可实施性差得1分；未提供相关描述不得分。</w:t>
            </w:r>
          </w:p>
        </w:tc>
        <w:tc>
          <w:tcPr>
            <w:tcW w:w="88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default" w:ascii="宋体" w:hAnsi="宋体" w:cs="宋体"/>
                <w:b w:val="0"/>
                <w:bCs w:val="0"/>
                <w:color w:val="auto"/>
                <w:sz w:val="21"/>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1"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numPr>
                <w:ilvl w:val="0"/>
                <w:numId w:val="8"/>
              </w:numPr>
              <w:kinsoku/>
              <w:wordWrap/>
              <w:overflowPunct/>
              <w:topLinePunct w:val="0"/>
              <w:autoSpaceDE/>
              <w:autoSpaceDN/>
              <w:bidi w:val="0"/>
              <w:snapToGrid w:val="0"/>
              <w:spacing w:line="300" w:lineRule="auto"/>
              <w:ind w:firstLine="0"/>
              <w:textAlignment w:val="auto"/>
              <w:rPr>
                <w:rFonts w:hint="eastAsia" w:ascii="宋体" w:hAnsi="宋体" w:eastAsia="宋体" w:cs="宋体"/>
                <w:b w:val="0"/>
                <w:bCs w:val="0"/>
                <w:color w:val="auto"/>
                <w:sz w:val="21"/>
                <w:szCs w:val="21"/>
                <w:highlight w:val="none"/>
              </w:rPr>
            </w:pPr>
          </w:p>
        </w:tc>
        <w:tc>
          <w:tcPr>
            <w:tcW w:w="156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snapToGrid w:val="0"/>
              <w:spacing w:line="30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电视宣发</w:t>
            </w:r>
            <w:r>
              <w:rPr>
                <w:rFonts w:hint="eastAsia" w:ascii="宋体" w:hAnsi="宋体" w:eastAsia="宋体" w:cs="宋体"/>
                <w:color w:val="auto"/>
                <w:sz w:val="21"/>
                <w:szCs w:val="21"/>
                <w:highlight w:val="none"/>
                <w:lang w:val="en-US" w:eastAsia="zh-CN"/>
              </w:rPr>
              <w:t>方案</w:t>
            </w:r>
          </w:p>
        </w:tc>
        <w:tc>
          <w:tcPr>
            <w:tcW w:w="627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pStyle w:val="23"/>
              <w:keepNext w:val="0"/>
              <w:keepLines w:val="0"/>
              <w:pageBreakBefore w:val="0"/>
              <w:numPr>
                <w:ilvl w:val="0"/>
                <w:numId w:val="0"/>
              </w:numPr>
              <w:kinsoku/>
              <w:wordWrap/>
              <w:overflowPunct/>
              <w:topLinePunct w:val="0"/>
              <w:autoSpaceDE/>
              <w:autoSpaceDN/>
              <w:bidi w:val="0"/>
              <w:snapToGrid w:val="0"/>
              <w:spacing w:line="300" w:lineRule="auto"/>
              <w:ind w:lef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电视宣发</w:t>
            </w:r>
            <w:r>
              <w:rPr>
                <w:rFonts w:hint="eastAsia" w:ascii="宋体" w:hAnsi="宋体" w:eastAsia="宋体" w:cs="宋体"/>
                <w:color w:val="auto"/>
                <w:sz w:val="21"/>
                <w:szCs w:val="21"/>
                <w:highlight w:val="none"/>
                <w:lang w:val="en-US" w:eastAsia="zh-CN"/>
              </w:rPr>
              <w:t>方案</w:t>
            </w:r>
          </w:p>
          <w:p>
            <w:pPr>
              <w:keepNext w:val="0"/>
              <w:keepLines w:val="0"/>
              <w:pageBreakBefore w:val="0"/>
              <w:kinsoku/>
              <w:wordWrap/>
              <w:overflowPunct/>
              <w:topLinePunct w:val="0"/>
              <w:autoSpaceDE/>
              <w:autoSpaceDN/>
              <w:bidi w:val="0"/>
              <w:snapToGrid w:val="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活动宣传片</w:t>
            </w:r>
            <w:r>
              <w:rPr>
                <w:rFonts w:hint="eastAsia" w:ascii="宋体" w:hAnsi="宋体" w:eastAsia="宋体" w:cs="宋体"/>
                <w:color w:val="auto"/>
                <w:sz w:val="21"/>
                <w:szCs w:val="21"/>
                <w:highlight w:val="none"/>
                <w:lang w:val="en-US" w:eastAsia="zh-CN"/>
              </w:rPr>
              <w:t>宣发方案：</w:t>
            </w:r>
            <w:r>
              <w:rPr>
                <w:rFonts w:hint="eastAsia" w:ascii="宋体" w:hAnsi="宋体" w:eastAsia="宋体" w:cs="宋体"/>
                <w:bCs/>
                <w:color w:val="auto"/>
                <w:sz w:val="21"/>
                <w:szCs w:val="21"/>
                <w:highlight w:val="none"/>
                <w:lang w:val="en-US" w:eastAsia="zh-CN"/>
              </w:rPr>
              <w:t>方案内容详实，科学合理，逻辑缜密，具有针对性，可实施性强的得</w:t>
            </w:r>
            <w:r>
              <w:rPr>
                <w:rFonts w:hint="default"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lang w:val="en-US" w:eastAsia="zh-CN"/>
              </w:rPr>
              <w:t>分；方案内容基本合理，针对性、可实施性一般的得</w:t>
            </w:r>
            <w:r>
              <w:rPr>
                <w:rFonts w:hint="default"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val="en-US" w:eastAsia="zh-CN"/>
              </w:rPr>
              <w:t>分；方案不够科学合理，针对性或可实施性差得1分；未提供相关描述不得分。</w:t>
            </w:r>
          </w:p>
          <w:p>
            <w:pPr>
              <w:keepNext w:val="0"/>
              <w:keepLines w:val="0"/>
              <w:pageBreakBefore w:val="0"/>
              <w:kinsoku/>
              <w:wordWrap/>
              <w:overflowPunct/>
              <w:topLinePunct w:val="0"/>
              <w:autoSpaceDE/>
              <w:autoSpaceDN/>
              <w:bidi w:val="0"/>
              <w:snapToGrid w:val="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主持人口播</w:t>
            </w:r>
            <w:r>
              <w:rPr>
                <w:rFonts w:hint="eastAsia" w:ascii="宋体" w:hAnsi="宋体" w:eastAsia="宋体" w:cs="宋体"/>
                <w:color w:val="auto"/>
                <w:sz w:val="21"/>
                <w:szCs w:val="21"/>
                <w:highlight w:val="none"/>
                <w:lang w:val="en-US" w:eastAsia="zh-CN"/>
              </w:rPr>
              <w:t>宣发方案：</w:t>
            </w:r>
            <w:r>
              <w:rPr>
                <w:rFonts w:hint="eastAsia" w:ascii="宋体" w:hAnsi="宋体" w:eastAsia="宋体" w:cs="宋体"/>
                <w:bCs/>
                <w:color w:val="auto"/>
                <w:sz w:val="21"/>
                <w:szCs w:val="21"/>
                <w:highlight w:val="none"/>
                <w:lang w:val="en-US" w:eastAsia="zh-CN"/>
              </w:rPr>
              <w:t>方案内容详实，科学合理，逻辑缜密，具有针对性，可实施性强的得</w:t>
            </w:r>
            <w:r>
              <w:rPr>
                <w:rFonts w:hint="default"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lang w:val="en-US" w:eastAsia="zh-CN"/>
              </w:rPr>
              <w:t>分；方案内容基本合理，针对性、可实施性一般的得</w:t>
            </w:r>
            <w:r>
              <w:rPr>
                <w:rFonts w:hint="default"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val="en-US" w:eastAsia="zh-CN"/>
              </w:rPr>
              <w:t>分；方案不够科学合理，针对性或可实施性差得1分；未提供相关描述不得分。</w:t>
            </w:r>
          </w:p>
          <w:p>
            <w:pPr>
              <w:keepNext w:val="0"/>
              <w:keepLines w:val="0"/>
              <w:pageBreakBefore w:val="0"/>
              <w:kinsoku/>
              <w:wordWrap/>
              <w:overflowPunct/>
              <w:topLinePunct w:val="0"/>
              <w:autoSpaceDE/>
              <w:autoSpaceDN/>
              <w:bidi w:val="0"/>
              <w:snapToGrid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游走字幕</w:t>
            </w:r>
            <w:r>
              <w:rPr>
                <w:rFonts w:hint="eastAsia" w:ascii="宋体" w:hAnsi="宋体" w:eastAsia="宋体" w:cs="宋体"/>
                <w:color w:val="auto"/>
                <w:sz w:val="21"/>
                <w:szCs w:val="21"/>
                <w:highlight w:val="none"/>
                <w:lang w:val="en-US" w:eastAsia="zh-CN"/>
              </w:rPr>
              <w:t>宣发方案：</w:t>
            </w:r>
            <w:r>
              <w:rPr>
                <w:rFonts w:hint="eastAsia" w:ascii="宋体" w:hAnsi="宋体" w:eastAsia="宋体" w:cs="宋体"/>
                <w:bCs/>
                <w:color w:val="auto"/>
                <w:sz w:val="21"/>
                <w:szCs w:val="21"/>
                <w:highlight w:val="none"/>
                <w:lang w:val="en-US" w:eastAsia="zh-CN"/>
              </w:rPr>
              <w:t>方案内容详实，科学合理，逻辑缜密，具有针对性，可实施性强的得</w:t>
            </w:r>
            <w:r>
              <w:rPr>
                <w:rFonts w:hint="default" w:ascii="宋体" w:hAnsi="宋体" w:eastAsia="宋体" w:cs="宋体"/>
                <w:bCs/>
                <w:color w:val="auto"/>
                <w:sz w:val="21"/>
                <w:szCs w:val="21"/>
                <w:highlight w:val="none"/>
                <w:lang w:val="en-US" w:eastAsia="zh-CN"/>
              </w:rPr>
              <w:t>3</w:t>
            </w:r>
            <w:r>
              <w:rPr>
                <w:rFonts w:hint="eastAsia" w:ascii="宋体" w:hAnsi="宋体" w:eastAsia="宋体" w:cs="宋体"/>
                <w:bCs/>
                <w:color w:val="auto"/>
                <w:sz w:val="21"/>
                <w:szCs w:val="21"/>
                <w:highlight w:val="none"/>
                <w:lang w:val="en-US" w:eastAsia="zh-CN"/>
              </w:rPr>
              <w:t>分；方案内容基本合理，针对性、可实施性一般的得</w:t>
            </w:r>
            <w:r>
              <w:rPr>
                <w:rFonts w:hint="default"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val="en-US" w:eastAsia="zh-CN"/>
              </w:rPr>
              <w:t>分；方案不够科学合理，针对性或可实施性差得1分；未提供相关描述不得分。</w:t>
            </w:r>
          </w:p>
          <w:p>
            <w:pPr>
              <w:keepNext w:val="0"/>
              <w:keepLines w:val="0"/>
              <w:pageBreakBefore w:val="0"/>
              <w:kinsoku/>
              <w:wordWrap/>
              <w:overflowPunct/>
              <w:topLinePunct w:val="0"/>
              <w:autoSpaceDE/>
              <w:autoSpaceDN/>
              <w:bidi w:val="0"/>
              <w:snapToGrid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网络直播</w:t>
            </w:r>
            <w:r>
              <w:rPr>
                <w:rFonts w:hint="eastAsia" w:ascii="宋体" w:hAnsi="宋体" w:eastAsia="宋体" w:cs="宋体"/>
                <w:color w:val="auto"/>
                <w:sz w:val="21"/>
                <w:szCs w:val="21"/>
                <w:highlight w:val="none"/>
                <w:lang w:val="en-US" w:eastAsia="zh-CN"/>
              </w:rPr>
              <w:t>宣发方案：</w:t>
            </w:r>
            <w:r>
              <w:rPr>
                <w:rFonts w:hint="eastAsia" w:ascii="宋体" w:hAnsi="宋体" w:eastAsia="宋体" w:cs="宋体"/>
                <w:bCs/>
                <w:color w:val="auto"/>
                <w:sz w:val="21"/>
                <w:szCs w:val="21"/>
                <w:highlight w:val="none"/>
                <w:lang w:val="en-US" w:eastAsia="zh-CN"/>
              </w:rPr>
              <w:t>方案内容详实，科学合理，逻辑缜密，具有针对性，可实施性强的得3分；方案内容基本合理，针对性、可实施性一般的得2分；方案不够科学合理，针对性或可实施性差得1分；未提供相关描述不得分。</w:t>
            </w:r>
          </w:p>
          <w:p>
            <w:pPr>
              <w:keepNext w:val="0"/>
              <w:keepLines w:val="0"/>
              <w:pageBreakBefore w:val="0"/>
              <w:kinsoku/>
              <w:wordWrap/>
              <w:overflowPunct/>
              <w:topLinePunct w:val="0"/>
              <w:autoSpaceDE/>
              <w:autoSpaceDN/>
              <w:bidi w:val="0"/>
              <w:snapToGrid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新闻报道</w:t>
            </w:r>
            <w:r>
              <w:rPr>
                <w:rFonts w:hint="eastAsia" w:ascii="宋体" w:hAnsi="宋体" w:eastAsia="宋体" w:cs="宋体"/>
                <w:color w:val="auto"/>
                <w:sz w:val="21"/>
                <w:szCs w:val="21"/>
                <w:highlight w:val="none"/>
                <w:lang w:val="en-US" w:eastAsia="zh-CN"/>
              </w:rPr>
              <w:t>宣发方案：</w:t>
            </w:r>
            <w:r>
              <w:rPr>
                <w:rFonts w:hint="eastAsia" w:ascii="宋体" w:hAnsi="宋体" w:eastAsia="宋体" w:cs="宋体"/>
                <w:bCs/>
                <w:color w:val="auto"/>
                <w:sz w:val="21"/>
                <w:szCs w:val="21"/>
                <w:highlight w:val="none"/>
                <w:lang w:val="en-US" w:eastAsia="zh-CN"/>
              </w:rPr>
              <w:t>方案内容详实，科学合理，逻辑缜密，具有针对性，可实施性强的得3分；方案内容基本合理，针对性、可实施性一般的得2分；方案不够科学合理，针对性或可实施性差得1分；未提供相关描述不得分。</w:t>
            </w:r>
          </w:p>
          <w:p>
            <w:pPr>
              <w:keepNext w:val="0"/>
              <w:keepLines w:val="0"/>
              <w:pageBreakBefore w:val="0"/>
              <w:kinsoku/>
              <w:wordWrap/>
              <w:overflowPunct/>
              <w:topLinePunct w:val="0"/>
              <w:autoSpaceDE/>
              <w:autoSpaceDN/>
              <w:bidi w:val="0"/>
              <w:snapToGrid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户外广告</w:t>
            </w:r>
            <w:r>
              <w:rPr>
                <w:rFonts w:hint="eastAsia" w:ascii="宋体" w:hAnsi="宋体" w:eastAsia="宋体" w:cs="宋体"/>
                <w:color w:val="auto"/>
                <w:sz w:val="21"/>
                <w:szCs w:val="21"/>
                <w:highlight w:val="none"/>
                <w:lang w:val="en-US" w:eastAsia="zh-CN"/>
              </w:rPr>
              <w:t>宣发方案：</w:t>
            </w:r>
            <w:r>
              <w:rPr>
                <w:rFonts w:hint="eastAsia" w:ascii="宋体" w:hAnsi="宋体" w:eastAsia="宋体" w:cs="宋体"/>
                <w:bCs/>
                <w:color w:val="auto"/>
                <w:sz w:val="21"/>
                <w:szCs w:val="21"/>
                <w:highlight w:val="none"/>
                <w:lang w:val="en-US" w:eastAsia="zh-CN"/>
              </w:rPr>
              <w:t>方案内容详实，科学合理，逻辑缜密，具有针对性，可实施性强的得3分；方案内容基本合理，针对性、可实施性一般的得2分；方案不够科学合理，针对性或可实施性差得1分；未提供相关描述不得分。</w:t>
            </w:r>
          </w:p>
          <w:p>
            <w:pPr>
              <w:keepNext w:val="0"/>
              <w:keepLines w:val="0"/>
              <w:pageBreakBefore w:val="0"/>
              <w:kinsoku/>
              <w:wordWrap/>
              <w:overflowPunct/>
              <w:topLinePunct w:val="0"/>
              <w:autoSpaceDE/>
              <w:autoSpaceDN/>
              <w:bidi w:val="0"/>
              <w:snapToGrid w:val="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朋友圈宣传</w:t>
            </w:r>
            <w:r>
              <w:rPr>
                <w:rFonts w:hint="eastAsia" w:ascii="宋体" w:hAnsi="宋体" w:eastAsia="宋体" w:cs="宋体"/>
                <w:color w:val="auto"/>
                <w:sz w:val="21"/>
                <w:szCs w:val="21"/>
                <w:highlight w:val="none"/>
                <w:lang w:val="en-US" w:eastAsia="zh-CN"/>
              </w:rPr>
              <w:t>宣发方案：</w:t>
            </w:r>
            <w:r>
              <w:rPr>
                <w:rFonts w:hint="eastAsia" w:ascii="宋体" w:hAnsi="宋体" w:eastAsia="宋体" w:cs="宋体"/>
                <w:bCs/>
                <w:color w:val="auto"/>
                <w:sz w:val="21"/>
                <w:szCs w:val="21"/>
                <w:highlight w:val="none"/>
                <w:lang w:val="en-US" w:eastAsia="zh-CN"/>
              </w:rPr>
              <w:t>方案内容详实，科学合理，逻辑缜密，具有针对性，可实施性强的得3分；方案内容基本合理，针对性、可实施性一般的得2分；方案不够科学合理，针对性或可实施性差得1分；未提供相关描述不得分。</w:t>
            </w:r>
          </w:p>
        </w:tc>
        <w:tc>
          <w:tcPr>
            <w:tcW w:w="88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default" w:ascii="宋体" w:hAnsi="宋体" w:eastAsia="宋体" w:cs="宋体"/>
                <w:b w:val="0"/>
                <w:bCs w:val="0"/>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1"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numPr>
                <w:ilvl w:val="0"/>
                <w:numId w:val="8"/>
              </w:numPr>
              <w:kinsoku/>
              <w:wordWrap/>
              <w:overflowPunct/>
              <w:topLinePunct w:val="0"/>
              <w:autoSpaceDE/>
              <w:autoSpaceDN/>
              <w:bidi w:val="0"/>
              <w:snapToGrid w:val="0"/>
              <w:spacing w:line="300" w:lineRule="auto"/>
              <w:ind w:firstLine="0"/>
              <w:textAlignment w:val="auto"/>
              <w:rPr>
                <w:rFonts w:hint="eastAsia" w:ascii="宋体" w:hAnsi="宋体" w:eastAsia="宋体" w:cs="宋体"/>
                <w:b w:val="0"/>
                <w:bCs w:val="0"/>
                <w:color w:val="auto"/>
                <w:sz w:val="21"/>
                <w:szCs w:val="21"/>
                <w:highlight w:val="none"/>
              </w:rPr>
            </w:pPr>
          </w:p>
        </w:tc>
        <w:tc>
          <w:tcPr>
            <w:tcW w:w="156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snapToGrid w:val="0"/>
              <w:spacing w:line="30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全媒体联合宣发</w:t>
            </w:r>
            <w:r>
              <w:rPr>
                <w:rFonts w:hint="eastAsia" w:ascii="宋体" w:hAnsi="宋体" w:eastAsia="宋体" w:cs="宋体"/>
                <w:color w:val="auto"/>
                <w:sz w:val="21"/>
                <w:szCs w:val="21"/>
                <w:highlight w:val="none"/>
                <w:lang w:val="en-US" w:eastAsia="zh-CN"/>
              </w:rPr>
              <w:t>承诺</w:t>
            </w:r>
          </w:p>
        </w:tc>
        <w:tc>
          <w:tcPr>
            <w:tcW w:w="627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snapToGrid w:val="0"/>
              <w:spacing w:line="300" w:lineRule="auto"/>
              <w:textAlignment w:val="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color w:val="auto"/>
                <w:sz w:val="21"/>
                <w:szCs w:val="21"/>
                <w:highlight w:val="none"/>
              </w:rPr>
              <w:t>全媒体联合宣发</w:t>
            </w:r>
            <w:r>
              <w:rPr>
                <w:rFonts w:hint="eastAsia" w:ascii="宋体" w:hAnsi="宋体" w:eastAsia="宋体" w:cs="宋体"/>
                <w:bCs/>
                <w:color w:val="auto"/>
                <w:kern w:val="0"/>
                <w:sz w:val="21"/>
                <w:szCs w:val="21"/>
                <w:highlight w:val="none"/>
                <w:lang w:val="en-US" w:eastAsia="zh-CN" w:bidi="ar-SA"/>
              </w:rPr>
              <w:t>承诺</w:t>
            </w:r>
          </w:p>
          <w:p>
            <w:pPr>
              <w:keepNext w:val="0"/>
              <w:keepLines w:val="0"/>
              <w:pageBreakBefore w:val="0"/>
              <w:kinsoku/>
              <w:wordWrap/>
              <w:overflowPunct/>
              <w:topLinePunct w:val="0"/>
              <w:autoSpaceDE/>
              <w:autoSpaceDN/>
              <w:bidi w:val="0"/>
              <w:snapToGrid w:val="0"/>
              <w:spacing w:line="300" w:lineRule="auto"/>
              <w:textAlignment w:val="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承诺联合宣发媒体包括电视频道，广播、纸媒（广播及纸媒的新媒体平台或app视为一致），以及国家及地方级网站，宣发媒体数量在30家及以上媒体的得</w:t>
            </w:r>
            <w:r>
              <w:rPr>
                <w:rFonts w:hint="default" w:ascii="宋体" w:hAnsi="宋体" w:cs="宋体"/>
                <w:bCs/>
                <w:color w:val="auto"/>
                <w:kern w:val="0"/>
                <w:sz w:val="21"/>
                <w:szCs w:val="21"/>
                <w:highlight w:val="none"/>
                <w:lang w:val="en-US" w:eastAsia="zh-CN" w:bidi="ar-SA"/>
              </w:rPr>
              <w:t>5</w:t>
            </w:r>
            <w:r>
              <w:rPr>
                <w:rFonts w:hint="eastAsia" w:ascii="宋体" w:hAnsi="宋体" w:eastAsia="宋体" w:cs="宋体"/>
                <w:bCs/>
                <w:color w:val="auto"/>
                <w:kern w:val="0"/>
                <w:sz w:val="21"/>
                <w:szCs w:val="21"/>
                <w:highlight w:val="none"/>
                <w:lang w:val="en-US" w:eastAsia="zh-CN" w:bidi="ar-SA"/>
              </w:rPr>
              <w:t>分</w:t>
            </w:r>
            <w:r>
              <w:rPr>
                <w:rFonts w:hint="eastAsia" w:ascii="宋体" w:hAnsi="宋体" w:eastAsia="宋体" w:cs="宋体"/>
                <w:color w:val="auto"/>
                <w:sz w:val="21"/>
                <w:szCs w:val="21"/>
                <w:highlight w:val="none"/>
                <w:lang w:val="en-US" w:eastAsia="zh-CN"/>
              </w:rPr>
              <w:t>，需提供承诺函（格式自拟），不承诺不得分。</w:t>
            </w:r>
          </w:p>
        </w:tc>
        <w:tc>
          <w:tcPr>
            <w:tcW w:w="88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default" w:ascii="宋体" w:hAnsi="宋体" w:cs="宋体"/>
                <w:b w:val="0"/>
                <w:bCs w:val="0"/>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1"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numPr>
                <w:ilvl w:val="0"/>
                <w:numId w:val="8"/>
              </w:numPr>
              <w:kinsoku/>
              <w:wordWrap/>
              <w:overflowPunct/>
              <w:topLinePunct w:val="0"/>
              <w:autoSpaceDE/>
              <w:autoSpaceDN/>
              <w:bidi w:val="0"/>
              <w:snapToGrid w:val="0"/>
              <w:spacing w:line="300" w:lineRule="auto"/>
              <w:ind w:firstLine="0"/>
              <w:textAlignment w:val="auto"/>
              <w:rPr>
                <w:rFonts w:hint="eastAsia" w:ascii="宋体" w:hAnsi="宋体" w:eastAsia="宋体" w:cs="宋体"/>
                <w:b w:val="0"/>
                <w:bCs w:val="0"/>
                <w:color w:val="auto"/>
                <w:sz w:val="21"/>
                <w:szCs w:val="21"/>
                <w:highlight w:val="none"/>
              </w:rPr>
            </w:pPr>
          </w:p>
        </w:tc>
        <w:tc>
          <w:tcPr>
            <w:tcW w:w="156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snapToGrid w:val="0"/>
              <w:spacing w:line="30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活动物料的准备方案</w:t>
            </w:r>
          </w:p>
        </w:tc>
        <w:tc>
          <w:tcPr>
            <w:tcW w:w="627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snapToGrid w:val="0"/>
              <w:spacing w:line="30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活动物料的准备方案</w:t>
            </w:r>
          </w:p>
          <w:p>
            <w:pPr>
              <w:pStyle w:val="55"/>
              <w:keepNext w:val="0"/>
              <w:keepLines w:val="0"/>
              <w:pageBreakBefore w:val="0"/>
              <w:numPr>
                <w:ilvl w:val="0"/>
                <w:numId w:val="10"/>
              </w:numPr>
              <w:kinsoku/>
              <w:wordWrap/>
              <w:overflowPunct/>
              <w:topLinePunct w:val="0"/>
              <w:autoSpaceDE/>
              <w:autoSpaceDN/>
              <w:bidi w:val="0"/>
              <w:snapToGrid w:val="0"/>
              <w:ind w:left="0" w:leftChars="0" w:firstLine="0" w:firstLineChars="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小板凳活动物料准备方案内容详实，科学合理，逻辑缜密，具有针对性，可实施性强的得3分；方案内容基本合理，针对性、可实施性一般的得2分；方案不够科学合理，针对性或可实施性差得1分；未提供相关描述不得分。</w:t>
            </w:r>
          </w:p>
          <w:p>
            <w:pPr>
              <w:pStyle w:val="55"/>
              <w:keepNext w:val="0"/>
              <w:keepLines w:val="0"/>
              <w:pageBreakBefore w:val="0"/>
              <w:numPr>
                <w:ilvl w:val="0"/>
                <w:numId w:val="10"/>
              </w:numPr>
              <w:kinsoku/>
              <w:wordWrap/>
              <w:overflowPunct/>
              <w:topLinePunct w:val="0"/>
              <w:autoSpaceDE/>
              <w:autoSpaceDN/>
              <w:bidi w:val="0"/>
              <w:snapToGrid w:val="0"/>
              <w:ind w:left="0" w:leftChars="0" w:firstLine="0" w:firstLineChars="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color w:val="auto"/>
                <w:sz w:val="21"/>
                <w:szCs w:val="21"/>
                <w:highlight w:val="none"/>
              </w:rPr>
              <w:t>相框</w:t>
            </w:r>
            <w:r>
              <w:rPr>
                <w:rFonts w:hint="eastAsia" w:ascii="宋体" w:hAnsi="宋体" w:eastAsia="宋体" w:cs="宋体"/>
                <w:bCs/>
                <w:color w:val="auto"/>
                <w:sz w:val="21"/>
                <w:szCs w:val="21"/>
                <w:highlight w:val="none"/>
                <w:lang w:val="en-US" w:eastAsia="zh-CN"/>
              </w:rPr>
              <w:t>活动物料准备方案内容详实，科学合理，逻辑缜密，具有针对性，可实施性强的得3分；方案内容基本合理，针对性、可实施性一般的得2分；方案不够科学合理，针对性或可实施性差得1分；未提供相关描述不得分。</w:t>
            </w:r>
          </w:p>
        </w:tc>
        <w:tc>
          <w:tcPr>
            <w:tcW w:w="88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1"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numPr>
                <w:ilvl w:val="0"/>
                <w:numId w:val="8"/>
              </w:numPr>
              <w:kinsoku/>
              <w:wordWrap/>
              <w:overflowPunct/>
              <w:topLinePunct w:val="0"/>
              <w:autoSpaceDE/>
              <w:autoSpaceDN/>
              <w:bidi w:val="0"/>
              <w:snapToGrid w:val="0"/>
              <w:spacing w:line="300" w:lineRule="auto"/>
              <w:ind w:firstLine="0"/>
              <w:textAlignment w:val="auto"/>
              <w:rPr>
                <w:rFonts w:hint="eastAsia" w:ascii="宋体" w:hAnsi="宋体" w:eastAsia="宋体" w:cs="宋体"/>
                <w:b w:val="0"/>
                <w:bCs w:val="0"/>
                <w:color w:val="auto"/>
                <w:sz w:val="21"/>
                <w:szCs w:val="21"/>
                <w:highlight w:val="none"/>
              </w:rPr>
            </w:pPr>
          </w:p>
        </w:tc>
        <w:tc>
          <w:tcPr>
            <w:tcW w:w="156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snapToGrid w:val="0"/>
              <w:spacing w:line="300" w:lineRule="auto"/>
              <w:textAlignment w:val="auto"/>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sz w:val="21"/>
                <w:szCs w:val="21"/>
                <w:highlight w:val="none"/>
                <w:lang w:val="en-US" w:eastAsia="zh-CN"/>
              </w:rPr>
              <w:t>质量保障措施及方案</w:t>
            </w:r>
          </w:p>
        </w:tc>
        <w:tc>
          <w:tcPr>
            <w:tcW w:w="627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snapToGrid w:val="0"/>
              <w:spacing w:line="300" w:lineRule="auto"/>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质量保障措施及方案</w:t>
            </w:r>
          </w:p>
          <w:p>
            <w:pPr>
              <w:keepNext w:val="0"/>
              <w:keepLines w:val="0"/>
              <w:pageBreakBefore w:val="0"/>
              <w:kinsoku/>
              <w:wordWrap/>
              <w:overflowPunct/>
              <w:topLinePunct w:val="0"/>
              <w:autoSpaceDE/>
              <w:autoSpaceDN/>
              <w:bidi w:val="0"/>
              <w:snapToGrid w:val="0"/>
              <w:spacing w:line="300" w:lineRule="auto"/>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方案内容详实，科学合理，逻辑缜密，具有针对性，可实施性强的得3分；方案内容基本合理，针对性、可实施性一般的得2分；方案不够科学合理，针对性或可实施性差得1分；未提供相关描述不得分。</w:t>
            </w:r>
          </w:p>
        </w:tc>
        <w:tc>
          <w:tcPr>
            <w:tcW w:w="88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1"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numPr>
                <w:ilvl w:val="0"/>
                <w:numId w:val="8"/>
              </w:numPr>
              <w:kinsoku/>
              <w:wordWrap/>
              <w:overflowPunct/>
              <w:topLinePunct w:val="0"/>
              <w:autoSpaceDE/>
              <w:autoSpaceDN/>
              <w:bidi w:val="0"/>
              <w:snapToGrid w:val="0"/>
              <w:spacing w:line="300" w:lineRule="auto"/>
              <w:ind w:firstLine="0"/>
              <w:textAlignment w:val="auto"/>
              <w:rPr>
                <w:rFonts w:hint="eastAsia" w:ascii="宋体" w:hAnsi="宋体" w:eastAsia="宋体" w:cs="宋体"/>
                <w:b w:val="0"/>
                <w:bCs w:val="0"/>
                <w:color w:val="auto"/>
                <w:sz w:val="21"/>
                <w:szCs w:val="21"/>
                <w:highlight w:val="none"/>
              </w:rPr>
            </w:pPr>
          </w:p>
        </w:tc>
        <w:tc>
          <w:tcPr>
            <w:tcW w:w="156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snapToGrid w:val="0"/>
              <w:spacing w:line="300" w:lineRule="auto"/>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应急处理方案</w:t>
            </w:r>
          </w:p>
        </w:tc>
        <w:tc>
          <w:tcPr>
            <w:tcW w:w="627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snapToGrid w:val="0"/>
              <w:spacing w:line="300" w:lineRule="auto"/>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应急处理方案</w:t>
            </w:r>
          </w:p>
          <w:p>
            <w:pPr>
              <w:pStyle w:val="55"/>
              <w:keepNext w:val="0"/>
              <w:keepLines w:val="0"/>
              <w:pageBreakBefore w:val="0"/>
              <w:kinsoku/>
              <w:wordWrap/>
              <w:overflowPunct/>
              <w:topLinePunct w:val="0"/>
              <w:autoSpaceDE/>
              <w:autoSpaceDN/>
              <w:bidi w:val="0"/>
              <w:snapToGrid w:val="0"/>
              <w:ind w:left="0" w:lef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方案内容详实，科学合理，逻辑缜密，具有针对性，可实施性强的得3分；方案内容基本合理，针对性、可实施性一般的得2分；方案不够科学合理，针对性或可实施性差得1分；未提供相关描述不得分。</w:t>
            </w:r>
          </w:p>
        </w:tc>
        <w:tc>
          <w:tcPr>
            <w:tcW w:w="88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1"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numPr>
                <w:ilvl w:val="0"/>
                <w:numId w:val="8"/>
              </w:numPr>
              <w:kinsoku/>
              <w:wordWrap/>
              <w:overflowPunct/>
              <w:topLinePunct w:val="0"/>
              <w:autoSpaceDE/>
              <w:autoSpaceDN/>
              <w:bidi w:val="0"/>
              <w:snapToGrid w:val="0"/>
              <w:spacing w:line="300" w:lineRule="auto"/>
              <w:ind w:firstLine="0"/>
              <w:textAlignment w:val="auto"/>
              <w:rPr>
                <w:rFonts w:hint="eastAsia" w:ascii="宋体" w:hAnsi="宋体" w:eastAsia="宋体" w:cs="宋体"/>
                <w:b w:val="0"/>
                <w:bCs w:val="0"/>
                <w:color w:val="auto"/>
                <w:sz w:val="21"/>
                <w:szCs w:val="21"/>
                <w:highlight w:val="none"/>
              </w:rPr>
            </w:pPr>
          </w:p>
        </w:tc>
        <w:tc>
          <w:tcPr>
            <w:tcW w:w="156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kinsoku/>
              <w:wordWrap/>
              <w:overflowPunct/>
              <w:topLinePunct w:val="0"/>
              <w:autoSpaceDE/>
              <w:autoSpaceDN/>
              <w:bidi w:val="0"/>
              <w:snapToGrid w:val="0"/>
              <w:spacing w:line="300" w:lineRule="auto"/>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重难点分析及解决方案</w:t>
            </w:r>
          </w:p>
        </w:tc>
        <w:tc>
          <w:tcPr>
            <w:tcW w:w="627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pStyle w:val="55"/>
              <w:keepNext w:val="0"/>
              <w:keepLines w:val="0"/>
              <w:pageBreakBefore w:val="0"/>
              <w:kinsoku/>
              <w:wordWrap/>
              <w:overflowPunct/>
              <w:topLinePunct w:val="0"/>
              <w:autoSpaceDE/>
              <w:autoSpaceDN/>
              <w:bidi w:val="0"/>
              <w:snapToGrid w:val="0"/>
              <w:ind w:left="0" w:leftChars="0" w:firstLine="0" w:firstLineChars="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重难点分析及解决方案</w:t>
            </w:r>
          </w:p>
          <w:p>
            <w:pPr>
              <w:pStyle w:val="55"/>
              <w:keepNext w:val="0"/>
              <w:keepLines w:val="0"/>
              <w:pageBreakBefore w:val="0"/>
              <w:kinsoku/>
              <w:wordWrap/>
              <w:overflowPunct/>
              <w:topLinePunct w:val="0"/>
              <w:autoSpaceDE/>
              <w:autoSpaceDN/>
              <w:bidi w:val="0"/>
              <w:snapToGrid w:val="0"/>
              <w:ind w:left="0" w:leftChars="0" w:firstLine="0" w:firstLineChars="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（1）针对本项目的重难点分析到位、具有针对性的得</w:t>
            </w:r>
            <w:r>
              <w:rPr>
                <w:rFonts w:hint="default"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val="en-US" w:eastAsia="zh-CN"/>
              </w:rPr>
              <w:t>分；分析一般，针对性一般得</w:t>
            </w:r>
            <w:r>
              <w:rPr>
                <w:rFonts w:hint="default"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lang w:val="en-US" w:eastAsia="zh-CN"/>
              </w:rPr>
              <w:t>分；未提供任何内容不得分。</w:t>
            </w:r>
          </w:p>
          <w:p>
            <w:pPr>
              <w:pStyle w:val="55"/>
              <w:keepNext w:val="0"/>
              <w:keepLines w:val="0"/>
              <w:pageBreakBefore w:val="0"/>
              <w:kinsoku/>
              <w:wordWrap/>
              <w:overflowPunct/>
              <w:topLinePunct w:val="0"/>
              <w:autoSpaceDE/>
              <w:autoSpaceDN/>
              <w:bidi w:val="0"/>
              <w:snapToGrid w:val="0"/>
              <w:ind w:left="0" w:leftChars="0" w:firstLine="0" w:firstLineChars="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（2）对重难点有完整详细的针对解决措施的得</w:t>
            </w:r>
            <w:r>
              <w:rPr>
                <w:rFonts w:hint="default" w:ascii="宋体" w:hAnsi="宋体" w:eastAsia="宋体" w:cs="宋体"/>
                <w:bCs/>
                <w:color w:val="auto"/>
                <w:sz w:val="21"/>
                <w:szCs w:val="21"/>
                <w:highlight w:val="none"/>
                <w:lang w:val="en-US" w:eastAsia="zh-CN"/>
              </w:rPr>
              <w:t>2</w:t>
            </w:r>
            <w:r>
              <w:rPr>
                <w:rFonts w:hint="eastAsia" w:ascii="宋体" w:hAnsi="宋体" w:eastAsia="宋体" w:cs="宋体"/>
                <w:bCs/>
                <w:color w:val="auto"/>
                <w:sz w:val="21"/>
                <w:szCs w:val="21"/>
                <w:highlight w:val="none"/>
                <w:lang w:val="en-US" w:eastAsia="zh-CN"/>
              </w:rPr>
              <w:t>分；解决措施基本完整详细、针对性一般的得</w:t>
            </w:r>
            <w:r>
              <w:rPr>
                <w:rFonts w:hint="default" w:ascii="宋体" w:hAnsi="宋体" w:eastAsia="宋体" w:cs="宋体"/>
                <w:bCs/>
                <w:color w:val="auto"/>
                <w:sz w:val="21"/>
                <w:szCs w:val="21"/>
                <w:highlight w:val="none"/>
                <w:lang w:val="en-US" w:eastAsia="zh-CN"/>
              </w:rPr>
              <w:t>1</w:t>
            </w:r>
            <w:r>
              <w:rPr>
                <w:rFonts w:hint="eastAsia" w:ascii="宋体" w:hAnsi="宋体" w:eastAsia="宋体" w:cs="宋体"/>
                <w:bCs/>
                <w:color w:val="auto"/>
                <w:sz w:val="21"/>
                <w:szCs w:val="21"/>
                <w:highlight w:val="none"/>
                <w:lang w:val="en-US" w:eastAsia="zh-CN"/>
              </w:rPr>
              <w:t>分；未提供任何内容不得分。</w:t>
            </w:r>
          </w:p>
        </w:tc>
        <w:tc>
          <w:tcPr>
            <w:tcW w:w="88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default" w:ascii="宋体" w:hAnsi="宋体" w:cs="宋体"/>
                <w:b w:val="0"/>
                <w:bCs w:val="0"/>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1"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numPr>
                <w:ilvl w:val="0"/>
                <w:numId w:val="8"/>
              </w:numPr>
              <w:kinsoku/>
              <w:wordWrap/>
              <w:overflowPunct/>
              <w:topLinePunct w:val="0"/>
              <w:autoSpaceDE/>
              <w:autoSpaceDN/>
              <w:bidi w:val="0"/>
              <w:snapToGrid w:val="0"/>
              <w:spacing w:line="300" w:lineRule="auto"/>
              <w:ind w:firstLine="0"/>
              <w:textAlignment w:val="auto"/>
              <w:rPr>
                <w:rFonts w:hint="eastAsia" w:ascii="宋体" w:hAnsi="宋体" w:eastAsia="宋体" w:cs="宋体"/>
                <w:b w:val="0"/>
                <w:bCs w:val="0"/>
                <w:color w:val="auto"/>
                <w:sz w:val="21"/>
                <w:szCs w:val="21"/>
                <w:highlight w:val="none"/>
              </w:rPr>
            </w:pPr>
          </w:p>
        </w:tc>
        <w:tc>
          <w:tcPr>
            <w:tcW w:w="1565"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pStyle w:val="2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left"/>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color w:val="auto"/>
                <w:sz w:val="21"/>
                <w:szCs w:val="21"/>
                <w:highlight w:val="none"/>
                <w:lang w:val="en-US" w:eastAsia="zh-CN"/>
              </w:rPr>
              <w:t>项目团队</w:t>
            </w:r>
          </w:p>
        </w:tc>
        <w:tc>
          <w:tcPr>
            <w:tcW w:w="627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pStyle w:val="55"/>
              <w:keepNext w:val="0"/>
              <w:keepLines w:val="0"/>
              <w:pageBreakBefore w:val="0"/>
              <w:kinsoku/>
              <w:wordWrap/>
              <w:overflowPunct/>
              <w:topLinePunct w:val="0"/>
              <w:autoSpaceDE/>
              <w:autoSpaceDN/>
              <w:bidi w:val="0"/>
              <w:snapToGrid w:val="0"/>
              <w:ind w:left="0" w:leftChars="0" w:firstLine="0" w:firstLineChars="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项目团队</w:t>
            </w:r>
          </w:p>
          <w:p>
            <w:pPr>
              <w:pStyle w:val="55"/>
              <w:keepNext w:val="0"/>
              <w:keepLines w:val="0"/>
              <w:pageBreakBefore w:val="0"/>
              <w:kinsoku/>
              <w:wordWrap/>
              <w:overflowPunct/>
              <w:topLinePunct w:val="0"/>
              <w:autoSpaceDE/>
              <w:autoSpaceDN/>
              <w:bidi w:val="0"/>
              <w:snapToGrid w:val="0"/>
              <w:ind w:left="0" w:leftChars="0" w:firstLine="0" w:firstLineChars="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（1）拟派本项目的项目总监或项目经理具有高级职称的得</w:t>
            </w:r>
            <w:r>
              <w:rPr>
                <w:rFonts w:hint="eastAsia" w:ascii="宋体" w:hAnsi="宋体" w:cs="宋体"/>
                <w:bCs/>
                <w:color w:val="auto"/>
                <w:sz w:val="21"/>
                <w:szCs w:val="21"/>
                <w:highlight w:val="none"/>
                <w:lang w:val="en-US" w:eastAsia="zh-CN"/>
              </w:rPr>
              <w:t>3</w:t>
            </w:r>
            <w:r>
              <w:rPr>
                <w:rFonts w:hint="eastAsia" w:ascii="宋体" w:hAnsi="宋体" w:eastAsia="宋体" w:cs="宋体"/>
                <w:bCs/>
                <w:color w:val="auto"/>
                <w:sz w:val="21"/>
                <w:szCs w:val="21"/>
                <w:highlight w:val="none"/>
                <w:lang w:val="en-US" w:eastAsia="zh-CN"/>
              </w:rPr>
              <w:t>分</w:t>
            </w:r>
            <w:r>
              <w:rPr>
                <w:rFonts w:hint="eastAsia" w:ascii="宋体" w:hAnsi="宋体" w:cs="宋体"/>
                <w:bCs/>
                <w:color w:val="auto"/>
                <w:sz w:val="21"/>
                <w:szCs w:val="21"/>
                <w:highlight w:val="none"/>
                <w:lang w:val="en-US" w:eastAsia="zh-CN"/>
              </w:rPr>
              <w:t>；</w:t>
            </w:r>
            <w:r>
              <w:rPr>
                <w:rFonts w:hint="eastAsia" w:ascii="宋体" w:hAnsi="宋体" w:eastAsia="宋体" w:cs="宋体"/>
                <w:bCs/>
                <w:color w:val="auto"/>
                <w:sz w:val="21"/>
                <w:szCs w:val="21"/>
                <w:highlight w:val="none"/>
                <w:lang w:val="en-US" w:eastAsia="zh-CN"/>
              </w:rPr>
              <w:t>具有5年及以上相关工作经验的得2分，其余情况不得分；</w:t>
            </w:r>
          </w:p>
          <w:p>
            <w:pPr>
              <w:pStyle w:val="55"/>
              <w:keepNext w:val="0"/>
              <w:keepLines w:val="0"/>
              <w:pageBreakBefore w:val="0"/>
              <w:kinsoku/>
              <w:wordWrap/>
              <w:overflowPunct/>
              <w:topLinePunct w:val="0"/>
              <w:autoSpaceDE/>
              <w:autoSpaceDN/>
              <w:bidi w:val="0"/>
              <w:snapToGrid w:val="0"/>
              <w:ind w:left="0" w:leftChars="0" w:firstLine="0" w:firstLineChars="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拟派本项目的其他团队人员，根据其岗位设置、人数安排、相关工作经验进行打分，团队人员能够满足采购需求得4分，不能完全涵盖采购需求得2分，与采购需求匹配程度较差得1分，未体现相关内容的不得分。</w:t>
            </w:r>
          </w:p>
          <w:p>
            <w:pPr>
              <w:pStyle w:val="55"/>
              <w:keepNext w:val="0"/>
              <w:keepLines w:val="0"/>
              <w:pageBreakBefore w:val="0"/>
              <w:kinsoku/>
              <w:wordWrap/>
              <w:overflowPunct/>
              <w:topLinePunct w:val="0"/>
              <w:autoSpaceDE/>
              <w:autoSpaceDN/>
              <w:bidi w:val="0"/>
              <w:snapToGrid w:val="0"/>
              <w:ind w:left="0" w:leftChars="0" w:firstLine="0" w:firstLineChars="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注：需提供项目组人员的近三个月内任意一个月的社保证明、相关证书复印件（如有）、工作经验证明材料（如有）等。</w:t>
            </w:r>
          </w:p>
        </w:tc>
        <w:tc>
          <w:tcPr>
            <w:tcW w:w="884"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snapToGrid w:val="0"/>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81"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numPr>
                <w:ilvl w:val="0"/>
                <w:numId w:val="8"/>
              </w:numPr>
              <w:kinsoku/>
              <w:wordWrap/>
              <w:overflowPunct/>
              <w:topLinePunct w:val="0"/>
              <w:autoSpaceDE/>
              <w:autoSpaceDN/>
              <w:bidi w:val="0"/>
              <w:snapToGrid w:val="0"/>
              <w:spacing w:line="300" w:lineRule="auto"/>
              <w:ind w:firstLine="0"/>
              <w:textAlignment w:val="auto"/>
              <w:rPr>
                <w:rFonts w:hint="eastAsia" w:ascii="宋体" w:hAnsi="宋体" w:eastAsia="宋体" w:cs="宋体"/>
                <w:b w:val="0"/>
                <w:bCs w:val="0"/>
                <w:color w:val="auto"/>
                <w:sz w:val="21"/>
                <w:szCs w:val="21"/>
                <w:highlight w:val="none"/>
              </w:rPr>
            </w:pPr>
          </w:p>
        </w:tc>
        <w:tc>
          <w:tcPr>
            <w:tcW w:w="1565" w:type="dxa"/>
            <w:noWrap w:val="0"/>
            <w:vAlign w:val="center"/>
          </w:tcPr>
          <w:p>
            <w:pPr>
              <w:keepNext w:val="0"/>
              <w:keepLines w:val="0"/>
              <w:pageBreakBefore w:val="0"/>
              <w:widowControl w:val="0"/>
              <w:kinsoku/>
              <w:wordWrap/>
              <w:overflowPunct/>
              <w:topLinePunct w:val="0"/>
              <w:autoSpaceDE/>
              <w:autoSpaceDN/>
              <w:bidi w:val="0"/>
              <w:snapToGrid w:val="0"/>
              <w:spacing w:line="300" w:lineRule="auto"/>
              <w:textAlignment w:val="auto"/>
              <w:rPr>
                <w:rFonts w:hint="eastAsia" w:ascii="宋体" w:hAnsi="宋体" w:eastAsia="宋体" w:cs="宋体"/>
                <w:color w:val="auto"/>
                <w:sz w:val="21"/>
                <w:szCs w:val="21"/>
                <w:highlight w:val="none"/>
                <w:lang w:val="en-US" w:eastAsia="zh-CN"/>
              </w:rPr>
            </w:pPr>
          </w:p>
        </w:tc>
        <w:tc>
          <w:tcPr>
            <w:tcW w:w="6270" w:type="dxa"/>
            <w:noWrap w:val="0"/>
            <w:vAlign w:val="center"/>
          </w:tcPr>
          <w:p>
            <w:pPr>
              <w:keepNext w:val="0"/>
              <w:keepLines w:val="0"/>
              <w:pageBreakBefore w:val="0"/>
              <w:widowControl w:val="0"/>
              <w:kinsoku/>
              <w:wordWrap/>
              <w:overflowPunct/>
              <w:topLinePunct w:val="0"/>
              <w:autoSpaceDE/>
              <w:autoSpaceDN/>
              <w:bidi w:val="0"/>
              <w:snapToGrid w:val="0"/>
              <w:spacing w:line="300"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highlight w:val="none"/>
              </w:rPr>
              <w:t>合计</w:t>
            </w:r>
          </w:p>
        </w:tc>
        <w:tc>
          <w:tcPr>
            <w:tcW w:w="8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90</w:t>
            </w:r>
          </w:p>
        </w:tc>
      </w:tr>
    </w:tbl>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5.2价格分</w:t>
      </w:r>
      <w:bookmarkEnd w:id="58"/>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价格评分将在有效响应文件范围内进行，最高得</w:t>
      </w:r>
      <w:r>
        <w:rPr>
          <w:rFonts w:hint="eastAsia" w:ascii="宋体" w:hAnsi="宋体" w:cs="宋体"/>
          <w:color w:val="auto"/>
          <w:kern w:val="0"/>
          <w:szCs w:val="21"/>
          <w:highlight w:val="none"/>
          <w:u w:val="single"/>
          <w:lang w:val="en-US" w:eastAsia="zh-CN"/>
        </w:rPr>
        <w:t>1</w:t>
      </w:r>
      <w:r>
        <w:rPr>
          <w:rFonts w:hint="eastAsia" w:ascii="宋体" w:hAnsi="宋体" w:eastAsia="宋体" w:cs="宋体"/>
          <w:color w:val="auto"/>
          <w:kern w:val="0"/>
          <w:szCs w:val="21"/>
          <w:highlight w:val="none"/>
          <w:u w:val="single"/>
        </w:rPr>
        <w:t>0</w:t>
      </w:r>
      <w:r>
        <w:rPr>
          <w:rFonts w:hint="eastAsia" w:ascii="宋体" w:hAnsi="宋体" w:eastAsia="宋体" w:cs="宋体"/>
          <w:color w:val="auto"/>
          <w:kern w:val="0"/>
          <w:szCs w:val="21"/>
          <w:highlight w:val="none"/>
        </w:rPr>
        <w:t>分，最低得</w:t>
      </w:r>
      <w:r>
        <w:rPr>
          <w:rFonts w:hint="eastAsia" w:ascii="宋体" w:hAnsi="宋体" w:eastAsia="宋体" w:cs="宋体"/>
          <w:color w:val="auto"/>
          <w:kern w:val="0"/>
          <w:szCs w:val="21"/>
          <w:highlight w:val="none"/>
          <w:u w:val="single"/>
        </w:rPr>
        <w:t>0</w:t>
      </w:r>
      <w:r>
        <w:rPr>
          <w:rFonts w:hint="eastAsia" w:ascii="宋体" w:hAnsi="宋体" w:eastAsia="宋体" w:cs="宋体"/>
          <w:color w:val="auto"/>
          <w:kern w:val="0"/>
          <w:szCs w:val="21"/>
          <w:highlight w:val="none"/>
        </w:rPr>
        <w:t>分（小数点后保留两位小数，第三位四舍五入）。满足采购文件要求且最后报价最低的供应商的价格为磋商基准价，其价格分为满分。其他供应商的价格分统一按照下列公式计算：</w:t>
      </w:r>
    </w:p>
    <w:p>
      <w:pPr>
        <w:widowControl/>
        <w:adjustRightInd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磋商报价得分=（</w:t>
      </w:r>
      <w:r>
        <w:rPr>
          <w:rFonts w:hint="eastAsia" w:ascii="宋体" w:hAnsi="宋体" w:eastAsia="宋体" w:cs="宋体"/>
          <w:b/>
          <w:color w:val="auto"/>
          <w:kern w:val="0"/>
          <w:szCs w:val="21"/>
          <w:highlight w:val="none"/>
          <w:u w:val="thick"/>
        </w:rPr>
        <w:t>磋商基准价</w:t>
      </w:r>
      <w:r>
        <w:rPr>
          <w:rFonts w:hint="eastAsia" w:ascii="宋体" w:hAnsi="宋体" w:eastAsia="宋体" w:cs="宋体"/>
          <w:color w:val="auto"/>
          <w:kern w:val="0"/>
          <w:szCs w:val="21"/>
          <w:highlight w:val="none"/>
        </w:rPr>
        <w:t>／</w:t>
      </w:r>
      <w:r>
        <w:rPr>
          <w:rFonts w:hint="eastAsia" w:ascii="宋体" w:hAnsi="宋体" w:eastAsia="宋体" w:cs="宋体"/>
          <w:b/>
          <w:color w:val="auto"/>
          <w:kern w:val="0"/>
          <w:szCs w:val="21"/>
          <w:highlight w:val="none"/>
          <w:u w:val="thick"/>
        </w:rPr>
        <w:t>最后磋商报价</w:t>
      </w:r>
      <w:r>
        <w:rPr>
          <w:rFonts w:hint="eastAsia" w:ascii="宋体" w:hAnsi="宋体" w:eastAsia="宋体" w:cs="宋体"/>
          <w:color w:val="auto"/>
          <w:kern w:val="0"/>
          <w:szCs w:val="21"/>
          <w:highlight w:val="none"/>
        </w:rPr>
        <w:t>）×</w:t>
      </w:r>
      <w:r>
        <w:rPr>
          <w:rFonts w:hint="eastAsia" w:ascii="宋体" w:hAnsi="宋体" w:cs="宋体"/>
          <w:color w:val="auto"/>
          <w:kern w:val="0"/>
          <w:szCs w:val="21"/>
          <w:highlight w:val="none"/>
          <w:u w:val="single"/>
          <w:lang w:val="en-US" w:eastAsia="zh-CN"/>
        </w:rPr>
        <w:t>1</w:t>
      </w:r>
      <w:r>
        <w:rPr>
          <w:rFonts w:hint="eastAsia" w:ascii="宋体" w:hAnsi="宋体" w:eastAsia="宋体" w:cs="宋体"/>
          <w:color w:val="auto"/>
          <w:kern w:val="0"/>
          <w:szCs w:val="21"/>
          <w:highlight w:val="none"/>
          <w:u w:val="single"/>
        </w:rPr>
        <w:t>0</w:t>
      </w:r>
      <w:r>
        <w:rPr>
          <w:rFonts w:hint="eastAsia" w:ascii="宋体" w:hAnsi="宋体" w:eastAsia="宋体" w:cs="宋体"/>
          <w:color w:val="auto"/>
          <w:kern w:val="0"/>
          <w:szCs w:val="21"/>
          <w:highlight w:val="none"/>
        </w:rPr>
        <w:t>%×100</w:t>
      </w:r>
    </w:p>
    <w:p>
      <w:pPr>
        <w:widowControl/>
        <w:adjustRightInd w:val="0"/>
        <w:ind w:firstLine="422" w:firstLineChars="20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落实政府采购扶持政策说明：</w:t>
      </w:r>
    </w:p>
    <w:p>
      <w:pPr>
        <w:widowControl/>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本项目执行财政部 工业和信息化部关于印发《政府采购促进中小企业发展管理办法》的通知（财库〔2020〕46号）的规定，对小型、微型企业的最后报价进行价格评审优惠扶持。</w:t>
      </w:r>
    </w:p>
    <w:p>
      <w:pPr>
        <w:widowControl/>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（1）如标项内所涉供应商（如为联合体，指各联合体成员）及接受分包的供应商全部属于小型、微型企业，则对供应商的最后报价给予</w:t>
      </w:r>
      <w:r>
        <w:rPr>
          <w:rFonts w:hint="eastAsia" w:ascii="宋体" w:hAnsi="宋体" w:eastAsia="宋体" w:cs="宋体"/>
          <w:b/>
          <w:bCs/>
          <w:color w:val="auto"/>
          <w:szCs w:val="21"/>
          <w:highlight w:val="none"/>
          <w:u w:val="single"/>
        </w:rPr>
        <w:t>10%</w:t>
      </w:r>
      <w:r>
        <w:rPr>
          <w:rFonts w:hint="eastAsia" w:ascii="宋体" w:hAnsi="宋体" w:eastAsia="宋体" w:cs="宋体"/>
          <w:color w:val="auto"/>
          <w:szCs w:val="21"/>
          <w:highlight w:val="none"/>
        </w:rPr>
        <w:t>的扣除，用扣除后的价格计算价格评分。</w:t>
      </w:r>
    </w:p>
    <w:p>
      <w:pPr>
        <w:widowControl/>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（2）如标项内所涉供应商（如为联合体，指各联合体成员）及接受分包的供应商不是全部属于小型、微型企业，但响应文件承诺小型、微型企业的合同份额占到合同总金额30%以上的，根据财政部 工业和信息化部关于印发《政府采购促进中小企业发展管理办法》的通知（财库〔2020〕46号）的规定，则对供应商的报价给予</w:t>
      </w:r>
      <w:r>
        <w:rPr>
          <w:rFonts w:hint="eastAsia" w:ascii="宋体" w:hAnsi="宋体" w:eastAsia="宋体" w:cs="宋体"/>
          <w:b/>
          <w:bCs/>
          <w:color w:val="auto"/>
          <w:szCs w:val="21"/>
          <w:highlight w:val="none"/>
          <w:u w:val="single"/>
        </w:rPr>
        <w:t>4%</w:t>
      </w:r>
      <w:r>
        <w:rPr>
          <w:rFonts w:hint="eastAsia" w:ascii="宋体" w:hAnsi="宋体" w:eastAsia="宋体" w:cs="宋体"/>
          <w:color w:val="auto"/>
          <w:szCs w:val="21"/>
          <w:highlight w:val="none"/>
        </w:rPr>
        <w:t>的扣除，用扣除后的价格计算价格评分。组成联合体或者接受分包的小微企业与联合体内其他企业、分包企业之间存在直接控股、管理关系的，不享受价格评审优惠扶持。</w:t>
      </w:r>
    </w:p>
    <w:p>
      <w:pPr>
        <w:widowControl/>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（3）满足以下之一条件，视为小型、微型企业。</w:t>
      </w:r>
    </w:p>
    <w:p>
      <w:pPr>
        <w:widowControl/>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◇按照工业和信息化部 国家统计局 国家发展和改革委员会 财政部关于印发《中小企业划型标准规定》的通知（工信部联企业〔2011〕300号）的规定，所涉企业属于采购标的对应的中小企业划分标准所属行业【</w:t>
      </w:r>
      <w:r>
        <w:rPr>
          <w:rFonts w:hint="eastAsia" w:ascii="宋体" w:hAnsi="宋体" w:cs="宋体"/>
          <w:b/>
          <w:bCs/>
          <w:color w:val="auto"/>
          <w:szCs w:val="21"/>
          <w:highlight w:val="none"/>
          <w:u w:val="single"/>
          <w:lang w:eastAsia="zh-CN"/>
        </w:rPr>
        <w:t>租赁和商业服务业</w:t>
      </w:r>
      <w:r>
        <w:rPr>
          <w:rFonts w:hint="eastAsia" w:ascii="宋体" w:hAnsi="宋体" w:eastAsia="宋体" w:cs="宋体"/>
          <w:color w:val="auto"/>
          <w:szCs w:val="21"/>
          <w:highlight w:val="none"/>
        </w:rPr>
        <w:t>】的小型、微型企业，并按财政部 工业和信息化部关于印发《政府采购促进中小企业发展管理办法》的通知（财库〔2020〕46号）的规定在响应文件中提供了【《中小企业声明函》】。</w:t>
      </w:r>
    </w:p>
    <w:p>
      <w:pPr>
        <w:widowControl/>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◇按照财政部 司法部关于《政府采购支持监狱企业发展有关问题》的通知（财库〔2014〕68号）的规定，所涉企业属于监狱企业，并在响应文件中提供了【《监狱企业声明函》及其相关的充分的证明材料】，监狱企业视为小型、微型企业，享受价格评审优惠扶持。监狱企业属于小型、微型企业的，不重复享受价格评审优惠扶持。</w:t>
      </w:r>
    </w:p>
    <w:p>
      <w:pPr>
        <w:widowControl/>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◇按照财政部 民政部 中国残疾人联合会关于《促进残疾人就业政府采购政策》的通知（财库〔2017〕141号）的规定，所涉单位属于残疾人福利性单位，并在响应文件中提供了【《残疾人福利性单位声明函》】，视为小型、微型企业，享受价格评审优惠扶持。残疾人福利性单位属于小型、微型企业的，不重复享受价格评审优惠扶持。</w:t>
      </w:r>
    </w:p>
    <w:p>
      <w:pPr>
        <w:widowControl/>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此项由磋商小组集体核实后统一打分。</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四、重新评审</w:t>
      </w:r>
    </w:p>
    <w:p>
      <w:pPr>
        <w:autoSpaceDE w:val="0"/>
        <w:autoSpaceDN w:val="0"/>
        <w:adjustRightInd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评审结果形成后，除下列情形外，采购人或采购代理机构不得组织重新评审：</w:t>
      </w:r>
    </w:p>
    <w:p>
      <w:pPr>
        <w:autoSpaceDE w:val="0"/>
        <w:autoSpaceDN w:val="0"/>
        <w:adjustRightInd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（一）资格性检查认定错误；</w:t>
      </w:r>
    </w:p>
    <w:p>
      <w:pPr>
        <w:autoSpaceDE w:val="0"/>
        <w:autoSpaceDN w:val="0"/>
        <w:adjustRightInd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（二）分值汇总计算错误；</w:t>
      </w:r>
    </w:p>
    <w:p>
      <w:pPr>
        <w:autoSpaceDE w:val="0"/>
        <w:autoSpaceDN w:val="0"/>
        <w:adjustRightInd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（三）分项评分超出评分标准范围；</w:t>
      </w:r>
    </w:p>
    <w:p>
      <w:pPr>
        <w:autoSpaceDE w:val="0"/>
        <w:autoSpaceDN w:val="0"/>
        <w:adjustRightInd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（四）客观分评分不一致；</w:t>
      </w:r>
    </w:p>
    <w:p>
      <w:pPr>
        <w:autoSpaceDE w:val="0"/>
        <w:autoSpaceDN w:val="0"/>
        <w:adjustRightInd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（五）经磋商小组一致认定评分畸高、畸低的情形。</w:t>
      </w:r>
    </w:p>
    <w:p>
      <w:pPr>
        <w:pStyle w:val="3"/>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59" w:name="_Toc25468"/>
      <w:bookmarkStart w:id="60" w:name="_Toc12435"/>
      <w:r>
        <w:rPr>
          <w:rFonts w:hint="eastAsia" w:ascii="宋体" w:hAnsi="宋体" w:eastAsia="宋体" w:cs="宋体"/>
          <w:color w:val="auto"/>
          <w:highlight w:val="none"/>
        </w:rPr>
        <w:t>第六章  磋商</w:t>
      </w:r>
      <w:bookmarkEnd w:id="56"/>
      <w:r>
        <w:rPr>
          <w:rFonts w:hint="eastAsia" w:ascii="宋体" w:hAnsi="宋体" w:eastAsia="宋体" w:cs="宋体"/>
          <w:color w:val="auto"/>
          <w:highlight w:val="none"/>
        </w:rPr>
        <w:t>须知</w:t>
      </w:r>
      <w:bookmarkEnd w:id="59"/>
      <w:bookmarkEnd w:id="60"/>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磋商须知前附表</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461"/>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磋商须知条款号</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名称</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采购人</w:t>
            </w:r>
          </w:p>
        </w:tc>
        <w:tc>
          <w:tcPr>
            <w:tcW w:w="5955" w:type="dxa"/>
            <w:vAlign w:val="center"/>
          </w:tcPr>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采购人名称：</w:t>
            </w:r>
            <w:r>
              <w:rPr>
                <w:rFonts w:hint="eastAsia" w:ascii="宋体" w:hAnsi="宋体" w:eastAsia="宋体" w:cs="宋体"/>
                <w:color w:val="auto"/>
                <w:highlight w:val="none"/>
                <w:lang w:eastAsia="zh-CN"/>
              </w:rPr>
              <w:t>浙江省体育彩票管理中心</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地址：</w:t>
            </w:r>
            <w:r>
              <w:rPr>
                <w:rFonts w:hint="eastAsia" w:ascii="宋体" w:hAnsi="宋体" w:eastAsia="宋体" w:cs="宋体"/>
                <w:color w:val="auto"/>
                <w:kern w:val="0"/>
                <w:szCs w:val="21"/>
                <w:highlight w:val="none"/>
                <w:lang w:eastAsia="zh-CN"/>
              </w:rPr>
              <w:t>杭州市复兴路397号复兴商务大厦南楼</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项目联系人（询问）：杨峥</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联系电话（询问）：0571-82231552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采购代理机构</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采购代理机构名称：浙江省成套招标代理有限公司</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地址：</w:t>
            </w:r>
            <w:r>
              <w:rPr>
                <w:rFonts w:hint="eastAsia" w:ascii="宋体" w:hAnsi="宋体" w:eastAsia="宋体" w:cs="宋体"/>
                <w:color w:val="auto"/>
                <w:highlight w:val="none"/>
                <w:lang w:eastAsia="zh-CN"/>
              </w:rPr>
              <w:t>杭州市文晖路42号现代置业大厦西楼17层1704室</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项目采购联系人：</w:t>
            </w:r>
            <w:r>
              <w:rPr>
                <w:rFonts w:hint="eastAsia" w:ascii="宋体" w:hAnsi="宋体" w:eastAsia="宋体" w:cs="宋体"/>
                <w:color w:val="auto"/>
                <w:highlight w:val="none"/>
                <w:lang w:eastAsia="zh-CN"/>
              </w:rPr>
              <w:t>何颖楹</w:t>
            </w:r>
          </w:p>
          <w:p>
            <w:pPr>
              <w:rPr>
                <w:rFonts w:hint="eastAsia" w:ascii="宋体" w:hAnsi="宋体" w:eastAsia="宋体" w:cs="宋体"/>
                <w:color w:val="auto"/>
                <w:highlight w:val="none"/>
              </w:rPr>
            </w:pPr>
            <w:r>
              <w:rPr>
                <w:rFonts w:hint="eastAsia" w:ascii="宋体" w:hAnsi="宋体" w:eastAsia="宋体" w:cs="宋体"/>
                <w:color w:val="auto"/>
                <w:highlight w:val="none"/>
              </w:rPr>
              <w:t>联系电话：</w:t>
            </w:r>
            <w:r>
              <w:rPr>
                <w:rFonts w:hint="eastAsia" w:ascii="宋体" w:hAnsi="宋体" w:eastAsia="宋体" w:cs="宋体"/>
                <w:color w:val="auto"/>
                <w:highlight w:val="none"/>
                <w:lang w:eastAsia="zh-CN"/>
              </w:rPr>
              <w:t>15700073181</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电子邮箱：</w:t>
            </w:r>
            <w:r>
              <w:rPr>
                <w:rFonts w:hint="eastAsia" w:ascii="宋体" w:hAnsi="宋体" w:cs="宋体"/>
                <w:color w:val="auto"/>
                <w:highlight w:val="none"/>
                <w:lang w:eastAsia="zh-CN"/>
              </w:rPr>
              <w:t>heyy@zjsct.cn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1.9</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踏勘现场</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不组织，供应商如有需要，经采购人同意后可自行前往，踏勘期间发生的费用或意外导致伤亡等一切责任和损失均由供应商自负。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1.10</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答疑会</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3.3.2</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磋商响应文件盖章要求</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磋商响应文件按“第七章 磋商响应文件格式”中提供的格式要求盖章。公章采用单位CA章或单位公章。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3.3.2</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磋商响应文件装订要求</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本项目响应时采用电子文件，不需提供纸质磋商响应文件，无装订要求。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3.5</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磋商保证金</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不需缴纳磋商保证金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3.6</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磋商响应文件有效期</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自磋商响应文件提交截止时间起120天内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3.7</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磋商响应文件密封及标记要求</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供应商如提交备份电子磋商响应文件，以介质存储的数据电文形式的备份电子磋商响应文件应密封，封皮应注明供应商名称、项目名称。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3.8.1</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磋商响应文件提交截止时间</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按“竞争性磋商采购公告”规定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3.8.1</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磋商响应文件提交地点</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按“竞争性磋商采购公告”规定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4.3.1</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磋商响应文件开启时间和地点</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按“竞争性磋商采购公告”规定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5.8</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采购代理服务费</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采购代理服务费由成交供应商支付。</w:t>
            </w:r>
          </w:p>
          <w:p>
            <w:pPr>
              <w:rPr>
                <w:rFonts w:hint="eastAsia" w:ascii="宋体" w:hAnsi="宋体" w:eastAsia="宋体" w:cs="宋体"/>
                <w:color w:val="auto"/>
                <w:highlight w:val="none"/>
              </w:rPr>
            </w:pPr>
            <w:r>
              <w:rPr>
                <w:rFonts w:hint="eastAsia" w:ascii="宋体" w:hAnsi="宋体" w:eastAsia="宋体" w:cs="宋体"/>
                <w:color w:val="auto"/>
                <w:highlight w:val="none"/>
              </w:rPr>
              <w:t>采购代理服务费金额：以标项成交金额为计算基数，按以下标准费率计算值的6</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%收取</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rPr>
              <w:t>,不足3000元，按3000元收取。费率标准如下：</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0"/>
              <w:gridCol w:w="2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9" w:type="pct"/>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金额（万元）</w:t>
                  </w:r>
                </w:p>
              </w:tc>
              <w:tc>
                <w:tcPr>
                  <w:tcW w:w="2500" w:type="pct"/>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9" w:type="pct"/>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100以下部分</w:t>
                  </w:r>
                </w:p>
              </w:tc>
              <w:tc>
                <w:tcPr>
                  <w:tcW w:w="2500" w:type="pct"/>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9" w:type="pct"/>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100~500（含）之间部分</w:t>
                  </w:r>
                </w:p>
              </w:tc>
              <w:tc>
                <w:tcPr>
                  <w:tcW w:w="2500" w:type="pct"/>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64"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500~1000（含）之间部分</w:t>
                  </w:r>
                </w:p>
              </w:tc>
              <w:tc>
                <w:tcPr>
                  <w:tcW w:w="2865" w:type="dxa"/>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0.45%</w:t>
                  </w:r>
                </w:p>
              </w:tc>
            </w:tr>
          </w:tbl>
          <w:p>
            <w:pPr>
              <w:rPr>
                <w:rFonts w:hint="eastAsia" w:ascii="宋体" w:hAnsi="宋体" w:eastAsia="宋体" w:cs="宋体"/>
                <w:color w:val="auto"/>
                <w:highlight w:val="none"/>
              </w:rPr>
            </w:pPr>
            <w:r>
              <w:rPr>
                <w:rFonts w:hint="eastAsia" w:ascii="宋体" w:hAnsi="宋体" w:eastAsia="宋体" w:cs="宋体"/>
                <w:color w:val="auto"/>
                <w:highlight w:val="none"/>
              </w:rPr>
              <w:t>采购代理服务费缴纳形式：汇票/支票/电汇/现金</w:t>
            </w:r>
          </w:p>
          <w:p>
            <w:pPr>
              <w:rPr>
                <w:rFonts w:hint="eastAsia" w:ascii="宋体" w:hAnsi="宋体" w:eastAsia="宋体" w:cs="宋体"/>
                <w:color w:val="auto"/>
                <w:highlight w:val="none"/>
              </w:rPr>
            </w:pPr>
            <w:r>
              <w:rPr>
                <w:rFonts w:hint="eastAsia" w:ascii="宋体" w:hAnsi="宋体" w:eastAsia="宋体" w:cs="宋体"/>
                <w:color w:val="auto"/>
                <w:highlight w:val="none"/>
              </w:rPr>
              <w:t>采购代理服务费由成交供应商在收到成交通知书时以人民币方式向采购代理机构支付。汇入以下账户：</w:t>
            </w:r>
          </w:p>
          <w:p>
            <w:pPr>
              <w:rPr>
                <w:rFonts w:hint="eastAsia" w:ascii="宋体" w:hAnsi="宋体" w:eastAsia="宋体" w:cs="宋体"/>
                <w:color w:val="auto"/>
                <w:highlight w:val="none"/>
              </w:rPr>
            </w:pPr>
            <w:r>
              <w:rPr>
                <w:rFonts w:hint="eastAsia" w:ascii="宋体" w:hAnsi="宋体" w:eastAsia="宋体" w:cs="宋体"/>
                <w:color w:val="auto"/>
                <w:highlight w:val="none"/>
              </w:rPr>
              <w:t>户名：浙江省成套招标代理有限公司</w:t>
            </w:r>
          </w:p>
          <w:p>
            <w:pPr>
              <w:rPr>
                <w:rFonts w:hint="eastAsia" w:ascii="宋体" w:hAnsi="宋体" w:eastAsia="宋体" w:cs="宋体"/>
                <w:color w:val="auto"/>
                <w:highlight w:val="none"/>
              </w:rPr>
            </w:pPr>
            <w:r>
              <w:rPr>
                <w:rFonts w:hint="eastAsia" w:ascii="宋体" w:hAnsi="宋体" w:eastAsia="宋体" w:cs="宋体"/>
                <w:color w:val="auto"/>
                <w:highlight w:val="none"/>
              </w:rPr>
              <w:t>开户：中信银行杭州西湖支行</w:t>
            </w:r>
          </w:p>
          <w:p>
            <w:pPr>
              <w:rPr>
                <w:rFonts w:hint="eastAsia" w:ascii="宋体" w:hAnsi="宋体" w:eastAsia="宋体" w:cs="宋体"/>
                <w:color w:val="auto"/>
                <w:highlight w:val="none"/>
              </w:rPr>
            </w:pPr>
            <w:r>
              <w:rPr>
                <w:rFonts w:hint="eastAsia" w:ascii="宋体" w:hAnsi="宋体" w:eastAsia="宋体" w:cs="宋体"/>
                <w:color w:val="auto"/>
                <w:highlight w:val="none"/>
              </w:rPr>
              <w:t>账号：7331610182600126385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10</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其他</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（1）本采购文件共</w:t>
            </w:r>
            <w:r>
              <w:rPr>
                <w:rFonts w:hint="eastAsia" w:ascii="宋体" w:hAnsi="宋体" w:cs="宋体"/>
                <w:color w:val="auto"/>
                <w:highlight w:val="none"/>
                <w:lang w:val="en-US" w:eastAsia="zh-CN"/>
              </w:rPr>
              <w:t>67</w:t>
            </w:r>
            <w:r>
              <w:rPr>
                <w:rFonts w:hint="eastAsia" w:ascii="宋体" w:hAnsi="宋体" w:eastAsia="宋体" w:cs="宋体"/>
                <w:color w:val="auto"/>
                <w:highlight w:val="none"/>
              </w:rPr>
              <w:t>页（含封面），请各供应商收到本文件后自行核对，如有缺页、错装等情况请于当日向采购代理机构提出，如未提出，所有责任及由此造成的后果由供应商自负。</w:t>
            </w:r>
          </w:p>
          <w:p>
            <w:pPr>
              <w:rPr>
                <w:rFonts w:hint="eastAsia" w:ascii="宋体" w:hAnsi="宋体" w:eastAsia="宋体" w:cs="宋体"/>
                <w:color w:val="auto"/>
                <w:highlight w:val="none"/>
              </w:rPr>
            </w:pPr>
            <w:r>
              <w:rPr>
                <w:rFonts w:hint="eastAsia" w:ascii="宋体" w:hAnsi="宋体" w:eastAsia="宋体" w:cs="宋体"/>
                <w:color w:val="auto"/>
                <w:highlight w:val="none"/>
              </w:rPr>
              <w:t>（2）请供应商仔细阅读本采购文件，其中带“▲”标记的条款为实质性内容，供应商须对带“▲”标记的条款做出实质性响应。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特别提醒</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企业信用融资：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供应商发放贷款的一种融资方式。供应商可登录浙江政府采购（http://zfcg.czt.zj.gov.cn/）中小企业信用融资栏目了解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特别提醒</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根据《关于在政府采购活动中查询及使用信用记录有关问题的通知》财库[2016]125号的规定：</w:t>
            </w:r>
          </w:p>
          <w:p>
            <w:pPr>
              <w:rPr>
                <w:rFonts w:hint="eastAsia" w:ascii="宋体" w:hAnsi="宋体" w:eastAsia="宋体" w:cs="宋体"/>
                <w:color w:val="auto"/>
                <w:highlight w:val="none"/>
              </w:rPr>
            </w:pPr>
            <w:r>
              <w:rPr>
                <w:rFonts w:hint="eastAsia" w:ascii="宋体" w:hAnsi="宋体" w:eastAsia="宋体" w:cs="宋体"/>
                <w:color w:val="auto"/>
                <w:szCs w:val="21"/>
                <w:highlight w:val="none"/>
              </w:rPr>
              <w:t>（</w:t>
            </w:r>
            <w:r>
              <w:rPr>
                <w:rFonts w:hint="eastAsia" w:ascii="宋体" w:hAnsi="宋体" w:eastAsia="宋体" w:cs="宋体"/>
                <w:color w:val="auto"/>
                <w:highlight w:val="none"/>
              </w:rPr>
              <w:t>1）采购人或采购代理机构将对本项目供应商的信用信息进行查询。</w:t>
            </w:r>
          </w:p>
          <w:p>
            <w:pPr>
              <w:rPr>
                <w:rFonts w:hint="eastAsia" w:ascii="宋体" w:hAnsi="宋体" w:eastAsia="宋体" w:cs="宋体"/>
                <w:color w:val="auto"/>
                <w:highlight w:val="none"/>
              </w:rPr>
            </w:pPr>
            <w:r>
              <w:rPr>
                <w:rFonts w:hint="eastAsia" w:ascii="宋体" w:hAnsi="宋体" w:eastAsia="宋体" w:cs="宋体"/>
                <w:color w:val="auto"/>
                <w:szCs w:val="21"/>
                <w:highlight w:val="none"/>
              </w:rPr>
              <w:t>（</w:t>
            </w:r>
            <w:r>
              <w:rPr>
                <w:rFonts w:hint="eastAsia" w:ascii="宋体" w:hAnsi="宋体" w:eastAsia="宋体" w:cs="宋体"/>
                <w:color w:val="auto"/>
                <w:highlight w:val="none"/>
              </w:rPr>
              <w:t>2）查询渠道为信用中国网站（www.creditchina.gov.cn）、中国政府采购网（www.ccgp.gov.cn）。</w:t>
            </w:r>
          </w:p>
          <w:p>
            <w:pPr>
              <w:rPr>
                <w:rFonts w:hint="eastAsia" w:ascii="宋体" w:hAnsi="宋体" w:eastAsia="宋体" w:cs="宋体"/>
                <w:color w:val="auto"/>
                <w:highlight w:val="none"/>
              </w:rPr>
            </w:pPr>
            <w:r>
              <w:rPr>
                <w:rFonts w:hint="eastAsia" w:ascii="宋体" w:hAnsi="宋体" w:eastAsia="宋体" w:cs="宋体"/>
                <w:color w:val="auto"/>
                <w:szCs w:val="21"/>
                <w:highlight w:val="none"/>
              </w:rPr>
              <w:t>（</w:t>
            </w:r>
            <w:r>
              <w:rPr>
                <w:rFonts w:hint="eastAsia" w:ascii="宋体" w:hAnsi="宋体" w:eastAsia="宋体" w:cs="宋体"/>
                <w:color w:val="auto"/>
                <w:highlight w:val="none"/>
              </w:rPr>
              <w:t>3）列入失信被执行人名单、重大税收违法案件当事人名单、政府采购严重违法失信行为记录名单等供应商信用信息均将用于本项目。</w:t>
            </w:r>
          </w:p>
          <w:p>
            <w:pPr>
              <w:rPr>
                <w:rFonts w:hint="eastAsia" w:ascii="宋体" w:hAnsi="宋体" w:eastAsia="宋体" w:cs="宋体"/>
                <w:color w:val="auto"/>
                <w:highlight w:val="none"/>
              </w:rPr>
            </w:pPr>
            <w:r>
              <w:rPr>
                <w:rFonts w:hint="eastAsia" w:ascii="宋体" w:hAnsi="宋体" w:eastAsia="宋体" w:cs="宋体"/>
                <w:color w:val="auto"/>
                <w:szCs w:val="21"/>
                <w:highlight w:val="none"/>
              </w:rPr>
              <w:t>（</w:t>
            </w:r>
            <w:r>
              <w:rPr>
                <w:rFonts w:hint="eastAsia" w:ascii="宋体" w:hAnsi="宋体" w:eastAsia="宋体" w:cs="宋体"/>
                <w:color w:val="auto"/>
                <w:highlight w:val="none"/>
              </w:rPr>
              <w:t>4）信用信息查询记录和证据以网页截图等方式留存。</w:t>
            </w:r>
          </w:p>
          <w:p>
            <w:pPr>
              <w:rPr>
                <w:rFonts w:hint="eastAsia" w:ascii="宋体" w:hAnsi="宋体" w:eastAsia="宋体" w:cs="宋体"/>
                <w:color w:val="auto"/>
                <w:highlight w:val="none"/>
              </w:rPr>
            </w:pPr>
            <w:r>
              <w:rPr>
                <w:rFonts w:hint="eastAsia" w:ascii="宋体" w:hAnsi="宋体" w:eastAsia="宋体" w:cs="宋体"/>
                <w:color w:val="auto"/>
                <w:szCs w:val="21"/>
                <w:highlight w:val="none"/>
              </w:rPr>
              <w:t>（</w:t>
            </w:r>
            <w:r>
              <w:rPr>
                <w:rFonts w:hint="eastAsia" w:ascii="宋体" w:hAnsi="宋体" w:eastAsia="宋体" w:cs="宋体"/>
                <w:color w:val="auto"/>
                <w:highlight w:val="none"/>
              </w:rPr>
              <w:t>5）磋商响应文件提交截止日当日网站显示的信用信息将作为评审和确定成交供应商的依据。</w:t>
            </w:r>
          </w:p>
          <w:p>
            <w:pPr>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eastAsia="宋体" w:cs="宋体"/>
                <w:color w:val="auto"/>
                <w:szCs w:val="21"/>
                <w:highlight w:val="none"/>
              </w:rPr>
              <w:t>联合体成员存在以上不良信用记录的，视同联合体存在不良信用记录。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7"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246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特别提醒</w:t>
            </w:r>
          </w:p>
        </w:tc>
        <w:tc>
          <w:tcPr>
            <w:tcW w:w="595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成交供应商应在合同签订前完成政府采购云平台（https://www.zcygov.cn/）全部注册步骤并成为正式注册入库供应商，否则将导致合同款无法正常支付，责任由成交供应商承担。请供应商尽早完成注册。</w:t>
            </w:r>
          </w:p>
          <w:p>
            <w:pPr>
              <w:rPr>
                <w:rFonts w:hint="eastAsia" w:ascii="宋体" w:hAnsi="宋体" w:eastAsia="宋体" w:cs="宋体"/>
                <w:color w:val="auto"/>
                <w:highlight w:val="none"/>
              </w:rPr>
            </w:pPr>
            <w:r>
              <w:rPr>
                <w:rFonts w:hint="eastAsia" w:ascii="宋体" w:hAnsi="宋体" w:eastAsia="宋体" w:cs="宋体"/>
                <w:color w:val="auto"/>
                <w:highlight w:val="none"/>
              </w:rPr>
              <w:t>https://middle.zcygov.cn/settle-front/#/registry。（供应商注册页面）</w:t>
            </w:r>
          </w:p>
        </w:tc>
      </w:tr>
    </w:tbl>
    <w:p>
      <w:pPr>
        <w:pStyle w:val="2"/>
        <w:ind w:firstLine="420"/>
        <w:rPr>
          <w:rFonts w:hint="eastAsia" w:ascii="宋体" w:hAnsi="宋体" w:eastAsia="宋体" w:cs="宋体"/>
          <w:color w:val="auto"/>
          <w:szCs w:val="21"/>
          <w:highlight w:val="none"/>
        </w:rPr>
      </w:pPr>
      <w:bookmarkStart w:id="61" w:name="_Toc82873322"/>
      <w:bookmarkStart w:id="62" w:name="_Toc227380480"/>
      <w:bookmarkStart w:id="63" w:name="_Toc82338239"/>
      <w:r>
        <w:rPr>
          <w:rFonts w:hint="eastAsia" w:ascii="宋体" w:hAnsi="宋体" w:eastAsia="宋体" w:cs="宋体"/>
          <w:color w:val="auto"/>
          <w:szCs w:val="21"/>
          <w:highlight w:val="none"/>
        </w:rPr>
        <w:t>一、</w:t>
      </w:r>
      <w:bookmarkEnd w:id="61"/>
      <w:bookmarkEnd w:id="62"/>
      <w:bookmarkEnd w:id="63"/>
      <w:r>
        <w:rPr>
          <w:rFonts w:hint="eastAsia" w:ascii="宋体" w:hAnsi="宋体" w:eastAsia="宋体" w:cs="宋体"/>
          <w:color w:val="auto"/>
          <w:szCs w:val="21"/>
          <w:highlight w:val="none"/>
        </w:rPr>
        <w:t>采购说明</w:t>
      </w:r>
    </w:p>
    <w:p>
      <w:pPr>
        <w:pStyle w:val="4"/>
        <w:ind w:firstLine="420"/>
        <w:rPr>
          <w:rFonts w:hint="eastAsia" w:ascii="宋体" w:hAnsi="宋体" w:eastAsia="宋体" w:cs="宋体"/>
          <w:color w:val="auto"/>
          <w:highlight w:val="none"/>
        </w:rPr>
      </w:pPr>
      <w:bookmarkStart w:id="64" w:name="_Toc227380481"/>
      <w:bookmarkStart w:id="65" w:name="_Toc82873323"/>
      <w:bookmarkStart w:id="66" w:name="_Toc82338240"/>
      <w:r>
        <w:rPr>
          <w:rFonts w:hint="eastAsia" w:ascii="宋体" w:hAnsi="宋体" w:eastAsia="宋体" w:cs="宋体"/>
          <w:color w:val="auto"/>
          <w:highlight w:val="none"/>
        </w:rPr>
        <w:t>1.1 采购依据</w:t>
      </w:r>
    </w:p>
    <w:p>
      <w:pPr>
        <w:autoSpaceDE w:val="0"/>
        <w:autoSpaceDN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本次采购工作是按照《中华人民共和国政府采购法》《政府采购竞争性磋商采购方式管理暂行办法》等有关法律法规、规章、文件等规定组织和实施。</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1.2 本项目采购方式</w:t>
      </w:r>
    </w:p>
    <w:p>
      <w:pPr>
        <w:autoSpaceDE w:val="0"/>
        <w:autoSpaceDN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竞争性磋商采购是指采购人、采购代理机构通过组建竞争性磋商小组（以下简称磋商小组）与符合条件的供应商就采购货物、工程和服务事宜进行磋商，供应商按照采购文件的要求提交磋商响应文件和报价，采购人从磋商小组评审后提出的候选供应商名单中确定成交供应商的采购方式。</w:t>
      </w:r>
    </w:p>
    <w:bookmarkEnd w:id="64"/>
    <w:bookmarkEnd w:id="65"/>
    <w:bookmarkEnd w:id="66"/>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1.3 定义</w:t>
      </w:r>
    </w:p>
    <w:p>
      <w:pPr>
        <w:autoSpaceDE w:val="0"/>
        <w:autoSpaceDN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电子交易活动：是指以数据电文形式，依托政府采购项目电子交易平台进行的政府采购交易活动。</w:t>
      </w:r>
    </w:p>
    <w:p>
      <w:pPr>
        <w:autoSpaceDE w:val="0"/>
        <w:autoSpaceDN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采购人：是指依法进行政府采购的国家机关、事业单位、团体组织，见“磋商须知前附表”，本文件中招标人与采购人意思相同。</w:t>
      </w:r>
    </w:p>
    <w:p>
      <w:pPr>
        <w:autoSpaceDE w:val="0"/>
        <w:autoSpaceDN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采购代理机构：受采购人委托，在委托的范围内办理政府采购事宜的机构，见“磋商须知前附表”；</w:t>
      </w:r>
    </w:p>
    <w:p>
      <w:pPr>
        <w:autoSpaceDE w:val="0"/>
        <w:autoSpaceDN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采购组织机构：指采购人和受采购人委托的采购代理机构。</w:t>
      </w:r>
    </w:p>
    <w:p>
      <w:pPr>
        <w:autoSpaceDE w:val="0"/>
        <w:autoSpaceDN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供应商：是指参加本政府采购项目磋商、签订合同、实施的单位，按阶段不同，分别理解为潜在供应商、磋商供应商、成交候选供应商、成交供应商、乙方。</w:t>
      </w:r>
    </w:p>
    <w:p>
      <w:pPr>
        <w:autoSpaceDE w:val="0"/>
        <w:autoSpaceDN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竞争性磋商采购文件：指向供应商发出的采购需求文件，本文件中采购文件与竞争性磋商采购文件意思相同。</w:t>
      </w:r>
    </w:p>
    <w:p>
      <w:pPr>
        <w:autoSpaceDE w:val="0"/>
        <w:autoSpaceDN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响应文件：指供应商针对采购文件做出响应的文件，包括电子磋商响应文件、备份电子磋商响应文件、成交后提供的纸质磋商响应文件，所有磋商响应文件内容应保持一致。本文件中响应文件与磋商响应文件意思相同。</w:t>
      </w:r>
    </w:p>
    <w:p>
      <w:pPr>
        <w:autoSpaceDE w:val="0"/>
        <w:autoSpaceDN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磋商代表：是指参加本项目采购活动的供应商法定代表人或法定代表人授权代表。</w:t>
      </w:r>
    </w:p>
    <w:p>
      <w:pPr>
        <w:autoSpaceDE w:val="0"/>
        <w:autoSpaceDN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联合体：是指两个以上单位组成联合体，以一个供应商的身份参加磋商。</w:t>
      </w:r>
    </w:p>
    <w:p>
      <w:pPr>
        <w:autoSpaceDE w:val="0"/>
        <w:autoSpaceDN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甲方（发包人）：是指合同签订的一方，一般与采购人相同。</w:t>
      </w:r>
    </w:p>
    <w:p>
      <w:pPr>
        <w:autoSpaceDE w:val="0"/>
        <w:autoSpaceDN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乙方（承包人）：是指合同签订的另一方，与成交供应商相同。</w:t>
      </w:r>
    </w:p>
    <w:p>
      <w:pPr>
        <w:autoSpaceDE w:val="0"/>
        <w:autoSpaceDN w:val="0"/>
        <w:ind w:firstLine="420" w:firstLineChars="200"/>
        <w:textAlignment w:val="bottom"/>
        <w:rPr>
          <w:rFonts w:hint="eastAsia" w:ascii="宋体" w:hAnsi="宋体" w:eastAsia="宋体" w:cs="宋体"/>
          <w:color w:val="auto"/>
          <w:highlight w:val="none"/>
        </w:rPr>
      </w:pPr>
      <w:r>
        <w:rPr>
          <w:rFonts w:hint="eastAsia" w:ascii="宋体" w:hAnsi="宋体" w:eastAsia="宋体" w:cs="宋体"/>
          <w:color w:val="auto"/>
          <w:highlight w:val="none"/>
        </w:rPr>
        <w:t>分包供应商：是指与供应商签订分包合同的，将承担部分合同内容的其他供应商。</w:t>
      </w:r>
    </w:p>
    <w:p>
      <w:pPr>
        <w:autoSpaceDE w:val="0"/>
        <w:autoSpaceDN w:val="0"/>
        <w:ind w:firstLine="420" w:firstLineChars="200"/>
        <w:textAlignment w:val="bottom"/>
        <w:rPr>
          <w:rFonts w:hint="eastAsia" w:ascii="宋体" w:hAnsi="宋体" w:eastAsia="宋体" w:cs="宋体"/>
          <w:color w:val="auto"/>
          <w:highlight w:val="none"/>
        </w:rPr>
      </w:pPr>
      <w:r>
        <w:rPr>
          <w:rFonts w:hint="eastAsia" w:ascii="宋体" w:hAnsi="宋体" w:eastAsia="宋体" w:cs="宋体"/>
          <w:color w:val="auto"/>
          <w:highlight w:val="none"/>
        </w:rPr>
        <w:t>中小企业划分标准：《中小企业划分标准》（工信部联企业[2011]300号）。</w:t>
      </w:r>
    </w:p>
    <w:p>
      <w:pPr>
        <w:autoSpaceDE w:val="0"/>
        <w:autoSpaceDN w:val="0"/>
        <w:ind w:firstLine="420" w:firstLineChars="200"/>
        <w:textAlignment w:val="bottom"/>
        <w:rPr>
          <w:rFonts w:hint="eastAsia" w:ascii="宋体" w:hAnsi="宋体" w:eastAsia="宋体" w:cs="宋体"/>
          <w:color w:val="auto"/>
          <w:highlight w:val="none"/>
        </w:rPr>
      </w:pPr>
      <w:r>
        <w:rPr>
          <w:rFonts w:hint="eastAsia" w:ascii="宋体" w:hAnsi="宋体" w:eastAsia="宋体" w:cs="宋体"/>
          <w:color w:val="auto"/>
          <w:highlight w:val="none"/>
        </w:rPr>
        <w:t>在政府采购活动中，供应商提供的货物、工程或者服务符合下列情形的，享受《政府采购促进中小企业发展管理办法》（财库〔2020〕46号）规定的中小企业扶持政策：</w:t>
      </w:r>
    </w:p>
    <w:p>
      <w:pPr>
        <w:autoSpaceDE w:val="0"/>
        <w:autoSpaceDN w:val="0"/>
        <w:ind w:firstLine="420" w:firstLineChars="200"/>
        <w:textAlignment w:val="bottom"/>
        <w:rPr>
          <w:rFonts w:hint="eastAsia" w:ascii="宋体" w:hAnsi="宋体" w:eastAsia="宋体" w:cs="宋体"/>
          <w:color w:val="auto"/>
          <w:highlight w:val="none"/>
        </w:rPr>
      </w:pPr>
      <w:r>
        <w:rPr>
          <w:rFonts w:hint="eastAsia" w:ascii="宋体" w:hAnsi="宋体" w:eastAsia="宋体" w:cs="宋体"/>
          <w:color w:val="auto"/>
          <w:highlight w:val="none"/>
        </w:rPr>
        <w:t>（1）在货物采购项目中，货物由中小企业制造，即货物由中小企业生产且使用该中小企业商号或者注册商标；</w:t>
      </w:r>
    </w:p>
    <w:p>
      <w:pPr>
        <w:autoSpaceDE w:val="0"/>
        <w:autoSpaceDN w:val="0"/>
        <w:ind w:firstLine="420" w:firstLineChars="200"/>
        <w:textAlignment w:val="bottom"/>
        <w:rPr>
          <w:rFonts w:hint="eastAsia" w:ascii="宋体" w:hAnsi="宋体" w:eastAsia="宋体" w:cs="宋体"/>
          <w:color w:val="auto"/>
          <w:highlight w:val="none"/>
        </w:rPr>
      </w:pPr>
      <w:r>
        <w:rPr>
          <w:rFonts w:hint="eastAsia" w:ascii="宋体" w:hAnsi="宋体" w:eastAsia="宋体" w:cs="宋体"/>
          <w:color w:val="auto"/>
          <w:highlight w:val="none"/>
        </w:rPr>
        <w:t>（2）在工程采购项目中，工程由中小企业承建，即工程施工单位为中小企业；</w:t>
      </w:r>
    </w:p>
    <w:p>
      <w:pPr>
        <w:autoSpaceDE w:val="0"/>
        <w:autoSpaceDN w:val="0"/>
        <w:ind w:firstLine="420" w:firstLineChars="200"/>
        <w:textAlignment w:val="bottom"/>
        <w:rPr>
          <w:rFonts w:hint="eastAsia" w:ascii="宋体" w:hAnsi="宋体" w:eastAsia="宋体" w:cs="宋体"/>
          <w:color w:val="auto"/>
          <w:highlight w:val="none"/>
        </w:rPr>
      </w:pPr>
      <w:r>
        <w:rPr>
          <w:rFonts w:hint="eastAsia" w:ascii="宋体" w:hAnsi="宋体" w:eastAsia="宋体" w:cs="宋体"/>
          <w:color w:val="auto"/>
          <w:highlight w:val="none"/>
        </w:rPr>
        <w:t>（3）在服务采购项目中，服务由中小企业承接，即提供服务的人员为中小企业依照《中华人民共和国劳动合同法》订立劳动合同的从业人员。</w:t>
      </w:r>
    </w:p>
    <w:p>
      <w:pPr>
        <w:autoSpaceDE w:val="0"/>
        <w:autoSpaceDN w:val="0"/>
        <w:ind w:firstLine="420" w:firstLineChars="200"/>
        <w:textAlignment w:val="bottom"/>
        <w:rPr>
          <w:rFonts w:hint="eastAsia" w:ascii="宋体" w:hAnsi="宋体" w:eastAsia="宋体" w:cs="宋体"/>
          <w:color w:val="auto"/>
          <w:highlight w:val="none"/>
        </w:rPr>
      </w:pPr>
      <w:r>
        <w:rPr>
          <w:rFonts w:hint="eastAsia" w:ascii="宋体" w:hAnsi="宋体" w:eastAsia="宋体" w:cs="宋体"/>
          <w:color w:val="auto"/>
          <w:highlight w:val="none"/>
        </w:rPr>
        <w:t>在货物采购项目中，供应商提供的货物既有中小企业制造货物，也有大型企业制造货物的，不享受本办法规定的中小企业扶持政策。</w:t>
      </w:r>
    </w:p>
    <w:p>
      <w:pPr>
        <w:autoSpaceDE w:val="0"/>
        <w:autoSpaceDN w:val="0"/>
        <w:ind w:firstLine="420" w:firstLineChars="200"/>
        <w:textAlignment w:val="bottom"/>
        <w:rPr>
          <w:rFonts w:hint="eastAsia" w:ascii="宋体" w:hAnsi="宋体" w:eastAsia="宋体" w:cs="宋体"/>
          <w:color w:val="auto"/>
          <w:highlight w:val="none"/>
        </w:rPr>
      </w:pPr>
      <w:r>
        <w:rPr>
          <w:rFonts w:hint="eastAsia" w:ascii="宋体" w:hAnsi="宋体" w:eastAsia="宋体" w:cs="宋体"/>
          <w:color w:val="auto"/>
          <w:highlight w:val="none"/>
        </w:rPr>
        <w:t>以联合体形式参加政府采购活动，联合体各方均为中小企业的，联合体视同中小企业。其中，联合体各方均为小微企业的，联合体视同小微企业。</w:t>
      </w:r>
    </w:p>
    <w:p>
      <w:pPr>
        <w:autoSpaceDE w:val="0"/>
        <w:autoSpaceDN w:val="0"/>
        <w:ind w:firstLine="420" w:firstLineChars="200"/>
        <w:textAlignment w:val="bottom"/>
        <w:rPr>
          <w:rFonts w:hint="eastAsia" w:ascii="宋体" w:hAnsi="宋体" w:eastAsia="宋体" w:cs="宋体"/>
          <w:color w:val="auto"/>
          <w:highlight w:val="none"/>
        </w:rPr>
      </w:pPr>
      <w:r>
        <w:rPr>
          <w:rFonts w:hint="eastAsia" w:ascii="宋体" w:hAnsi="宋体" w:eastAsia="宋体" w:cs="宋体"/>
          <w:color w:val="auto"/>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E w:val="0"/>
        <w:autoSpaceDN w:val="0"/>
        <w:ind w:firstLine="420" w:firstLineChars="200"/>
        <w:textAlignment w:val="bottom"/>
        <w:rPr>
          <w:rFonts w:hint="eastAsia" w:ascii="宋体" w:hAnsi="宋体" w:eastAsia="宋体" w:cs="宋体"/>
          <w:color w:val="auto"/>
          <w:highlight w:val="none"/>
        </w:rPr>
      </w:pPr>
      <w:r>
        <w:rPr>
          <w:rFonts w:hint="eastAsia" w:ascii="宋体" w:hAnsi="宋体" w:eastAsia="宋体" w:cs="宋体"/>
          <w:color w:val="auto"/>
          <w:highlight w:val="none"/>
        </w:rPr>
        <w:t>残疾人福利性单位：符合《财政部 民政部 中国残疾人联合会关于促进残疾人就业政府采购政策的通知》（财库〔2017〕 141号）的规定的单位。</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1.4 联合体</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本项目接受联合体。</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以联合体形式参加本项目采购的，联合体的主办单位和成员单位均应当具备采购文件规定的供应商资格要求，并在响应文件中分别提供联合体的主办单位及成员单位的资格条件证明材料，在响应文件中提交联合协议书。</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以联合体形式参加采购活动的，应当在响应文件中提交由所有联合体成员各方盖章的联合协议书。联合协议书应载明联合体各方承担的工作和义务；联合协议书应当指定主办单位，授权其代表所有联合体各成员方，具体负责参与项目采购活动和合同实施阶段的主办、协调工作；联合协议书中应当载明由联合体各成员方共同与采购人签订合同，并就采购合同约定的事项对采购人承担连带责任。</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响应文件的报价表中应列明联合体各成员方的各自承担的内容及对应报价。</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响应文件盖章事宜，按联合协议书约定由主办单位盖章，也可由联合体所有成员单位盖章。</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联合体成交的，本项目的采购代理服务费由联合体主办单位缴纳，也可由联合体所有成员分摊缴纳。</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联合协议书中仅约定由联合体主办单位或成员单位中某一方与采购人签订合同的，或联合协议书中仅约定由联合体主办单位或成员单位中某一方就采购合同约定的事项对采购人承担责任的，视为联合协议书不成立，该联合体的响应文件将被判定为响应无效。</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1.5 费用</w:t>
      </w:r>
    </w:p>
    <w:p>
      <w:pPr>
        <w:pStyle w:val="63"/>
        <w:spacing w:line="300" w:lineRule="auto"/>
        <w:ind w:firstLine="420"/>
        <w:rPr>
          <w:rFonts w:hint="eastAsia" w:ascii="宋体" w:hAnsi="宋体" w:eastAsia="宋体" w:cs="宋体"/>
          <w:color w:val="auto"/>
          <w:highlight w:val="none"/>
        </w:rPr>
      </w:pPr>
      <w:r>
        <w:rPr>
          <w:rFonts w:hint="eastAsia" w:ascii="宋体" w:hAnsi="宋体" w:eastAsia="宋体" w:cs="宋体"/>
          <w:color w:val="auto"/>
          <w:highlight w:val="none"/>
        </w:rPr>
        <w:t>无论采购活动中的做法和结果如何，供应商自行承担采购活动中所发生的全部费用。</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1.6 保密</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参与采购活动的各方应对采购文件和磋商响应文件中的商业和技术等秘密保密，违者应对此造成的后果承担法律责任。</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1.7 语言文字</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除专用术语外，与采购有关的语言使用中文。专用术语应附有中文注释。</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1.8 计量单位</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所有计量均采用中华人民共和国法定计量单位。</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1.9 踏勘现场</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1.9.1磋商须知前附表规定组织踏勘现场的，采购人按磋商须知前附表规定的时间、地点组织供应商踏勘项目现场。</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1.9.2供应商踏勘现场发生的费用自理。</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1.9.3除采购人的原因外，供应商自行负责在踏勘现场中所发生的人员伤亡和财产损失。</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1.9.4采购人在踏勘现场中介绍的场地和相关的周边环境情况，提供给供应商在编制磋商响应文件时参考，采购人不对供应商据此作出的判断和决策负责。</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1.10 答疑会</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1.10.1磋商须知前附表规定召开答疑会的，采购人按磋商须知前附表规定的时间和地点召开答疑会，澄清供应商提出的问题。</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1.10.2供应商应在答疑会时间的前一天，以书面形式将提出的问题送达采购人，以便采购人在会议期间澄清。</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1.10.3答疑会后，采购人按本章2.4款规定对供应商所提问题进行澄清答复。</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1.11 分包</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采购需求规定有允许分包内容或分包金额的，供应商拟在成交后对允许分包内容进行分包的，应当在磋商响应文件载明分包供应商，分包供应商应具备采购需求中规定的分包供应商的资格要求。</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1.12 偏离</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磋商响应文件应完全响应采购文件规定的实质性内容和条件。</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1.13 其他</w:t>
      </w:r>
    </w:p>
    <w:p>
      <w:pPr>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1.13.1根据政府采购相关法律、法规、规章、文件规定并满足采购文件规定资格条件的区域性分支机构、个体工商户、个人独资企业、合伙企业参加本项目磋商响应并由单位负责人签署的相关磋商响应文件与本采购文件规定由法定代表人签署的文件材料具有同等效力。</w:t>
      </w:r>
    </w:p>
    <w:p>
      <w:pPr>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1.13.2▲</w:t>
      </w:r>
      <w:r>
        <w:rPr>
          <w:rFonts w:hint="eastAsia" w:ascii="宋体" w:hAnsi="宋体" w:eastAsia="宋体" w:cs="宋体"/>
          <w:b/>
          <w:bCs/>
          <w:color w:val="auto"/>
          <w:highlight w:val="none"/>
          <w:u w:val="single"/>
        </w:rPr>
        <w:t>供应商对所参加磋商的标项内的采购内容必须全部进行响应。</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1.13.3采购文件中如有描述歧义或前后不一致的地方，磋商小组有权按公平、合理的原则进行评判，但对同一条款的评判适用于每个供应商。</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1.13.4磋商响应文件的响应内容必须真实、明确、准确。否则，磋商小组将对其作出不利的评审。</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1.13.5项目资金为财政性投资，资金已落实。</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1.13.6供应商须对所响应产品、方案、技术、服务等拥有合法的占有、使用、收益、处置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adjustRightInd w:val="0"/>
        <w:ind w:firstLine="422" w:firstLineChars="200"/>
        <w:rPr>
          <w:rFonts w:hint="eastAsia" w:ascii="宋体" w:hAnsi="宋体" w:eastAsia="宋体" w:cs="宋体"/>
          <w:b/>
          <w:color w:val="auto"/>
          <w:kern w:val="0"/>
          <w:szCs w:val="21"/>
          <w:highlight w:val="none"/>
          <w:u w:val="single"/>
        </w:rPr>
      </w:pPr>
      <w:r>
        <w:rPr>
          <w:rFonts w:hint="eastAsia" w:ascii="宋体" w:hAnsi="宋体" w:eastAsia="宋体" w:cs="宋体"/>
          <w:b/>
          <w:color w:val="auto"/>
          <w:kern w:val="0"/>
          <w:szCs w:val="21"/>
          <w:highlight w:val="none"/>
          <w:u w:val="single"/>
        </w:rPr>
        <w:t>1.13.7供应商母公司（总机构）或者同一母公司下属的其他子公司（同一总机构下属的其他分支机构）的业绩、荣誉、知识产权、项目案例等不作为供应商的资信文件。</w:t>
      </w:r>
    </w:p>
    <w:p>
      <w:pPr>
        <w:pStyle w:val="2"/>
        <w:ind w:firstLine="420"/>
        <w:rPr>
          <w:rFonts w:hint="eastAsia" w:ascii="宋体" w:hAnsi="宋体" w:eastAsia="宋体" w:cs="宋体"/>
          <w:color w:val="auto"/>
          <w:highlight w:val="none"/>
        </w:rPr>
      </w:pPr>
      <w:bookmarkStart w:id="67" w:name="_Toc334729025"/>
      <w:r>
        <w:rPr>
          <w:rFonts w:hint="eastAsia" w:ascii="宋体" w:hAnsi="宋体" w:eastAsia="宋体" w:cs="宋体"/>
          <w:color w:val="auto"/>
          <w:highlight w:val="none"/>
        </w:rPr>
        <w:t>二、</w:t>
      </w:r>
      <w:bookmarkEnd w:id="67"/>
      <w:r>
        <w:rPr>
          <w:rFonts w:hint="eastAsia" w:ascii="宋体" w:hAnsi="宋体" w:eastAsia="宋体" w:cs="宋体"/>
          <w:color w:val="auto"/>
          <w:highlight w:val="none"/>
        </w:rPr>
        <w:t>采购文件</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2.1 采购文件组成</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2.1.1 第一章 竞争性磋商采购公告</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2.1.2 第二章 采购项目总体要求</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2.1.3 第三章 采购需求</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2.1.4 第四章 合同草案条款</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2.1.5 第五章 磋商评审办法</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2.1.6 第六章 磋商须知</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2.1.7 第七章 磋商响应文件格式</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2.1.8 第八章 采购文件附件</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2.1.9 采购文件补充文件（如有）</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2.2 采购文件的质疑</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2.2.1 供应商认为采购文件规定内容使自己的合法权益受到损害的，供应商可以提出书面质疑。</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2.2.2 质疑书须包括以下内容：</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（1）供应商的姓名或者名称、地址、邮编、联系人及联系电话；</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（2）质疑项目的名称、编号；</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（3）具体、明确的质疑事项和与质疑事项相关的请求；</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（4）事实依据；</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（5）必要的法律依据；</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（6）提出质疑的日期。</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2.2.3 质疑期限为自获取采购文件之日或者采购公告期限届满之日（公告期限届满后获取采购文件的，以公告期限届满之日为准）起7个工作日内，供应商应在质疑期限内一次性向采购代理机构提出针对采购文件的质疑，逾期提出不予受理。</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2.2.4 质疑书中涉及的相关材料中有外文资料的，应当将与质疑相关的外文资料完整、客观、真实地翻译为中文，并注明翻译人员姓名、工作单位、联系方式等信息。</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2.2.5 供应商为自然人的，应当由本人签字；供应商为法人或者其他组织的，应当由法定代表人、主要负责人，或者其授权代表签字或者盖章，并加盖公章。否则不予受理。</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2.2.6 </w:t>
      </w:r>
      <w:r>
        <w:rPr>
          <w:rFonts w:hint="eastAsia" w:ascii="宋体" w:hAnsi="宋体" w:eastAsia="宋体" w:cs="宋体"/>
          <w:color w:val="auto"/>
          <w:highlight w:val="none"/>
        </w:rPr>
        <w:t>质疑书以直接送达或邮寄送达方式（份数为一式三份）或传真送达方式或以扫描件在线提交方式</w:t>
      </w:r>
      <w:r>
        <w:rPr>
          <w:rFonts w:hint="eastAsia" w:ascii="宋体" w:hAnsi="宋体" w:eastAsia="宋体" w:cs="宋体"/>
          <w:color w:val="auto"/>
          <w:kern w:val="0"/>
          <w:szCs w:val="21"/>
          <w:highlight w:val="none"/>
        </w:rPr>
        <w:t>。</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2.2.7 质疑书以传真形式提交后，同时须向采购代理机构提交质疑书原件，采购代理机构以收到原件之日作为收到质疑日。</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2.2.8</w:t>
      </w:r>
      <w:r>
        <w:rPr>
          <w:rFonts w:hint="eastAsia" w:ascii="宋体" w:hAnsi="宋体" w:eastAsia="宋体" w:cs="宋体"/>
          <w:color w:val="auto"/>
          <w:szCs w:val="21"/>
          <w:highlight w:val="none"/>
        </w:rPr>
        <w:t>如联合体响应，质疑应由组成联合体的所有供应商共同提出。</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2.2.9</w:t>
      </w:r>
      <w:r>
        <w:rPr>
          <w:rFonts w:hint="eastAsia" w:ascii="宋体" w:hAnsi="宋体" w:eastAsia="宋体" w:cs="宋体"/>
          <w:color w:val="auto"/>
          <w:highlight w:val="none"/>
        </w:rPr>
        <w:t>质疑函范本及制作说明见“采购文件附件”。</w:t>
      </w:r>
    </w:p>
    <w:p>
      <w:pPr>
        <w:pStyle w:val="4"/>
        <w:ind w:firstLine="420"/>
        <w:rPr>
          <w:rFonts w:hint="eastAsia" w:ascii="宋体" w:hAnsi="宋体" w:eastAsia="宋体" w:cs="宋体"/>
          <w:color w:val="auto"/>
          <w:highlight w:val="none"/>
        </w:rPr>
      </w:pPr>
      <w:bookmarkStart w:id="68" w:name="_Toc82873324"/>
      <w:bookmarkStart w:id="69" w:name="_Toc227380482"/>
      <w:bookmarkStart w:id="70" w:name="_Toc82338241"/>
      <w:r>
        <w:rPr>
          <w:rFonts w:hint="eastAsia" w:ascii="宋体" w:hAnsi="宋体" w:eastAsia="宋体" w:cs="宋体"/>
          <w:color w:val="auto"/>
          <w:highlight w:val="none"/>
        </w:rPr>
        <w:t>2.3 采购文件的澄清</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2.3.1 供应商对采购文件如有疑问要求澄清，供应商需将书面资料（加盖单位公章）传真或电子邮件或送达采购代理机构，同时将电子文件发至磋商须知前附表注明的邮箱（电子邮件与书面文件有不一致的，以书面文件为准），并与采购代理机构进行确认。</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2.3.2 供应商要求澄清的资料应加盖单位公章、写明日期。</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2.3.3 如有必要，采购代理机构和采购人对供应商所有要求澄清的问题都予以解答，澄清答复的文件为补充文件，作为采购文件的组成部分，补充文件将以网上公告等形式告知所有获取采购文件的供应商，补充文件对供应商均有约束力。</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2.3.4 澄清的内容影响磋商响应文件编制的，采购代理机构将顺延磋商响应文件提交截止时间，使之满足政府采购的相关规定。</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2.3.5 供应商在收到补充文件后，应在24小时内以书面形式向采购代理机构确认已收到该补充文件。</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2.3.6 供应商未对采购文件提出疑问的，采购代理机构将视其为无异议。</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2.3.7 当采购文件与补充文件就同一内容的表述不一致时，以最后发出的书面文件为准。</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2.4 采购文件的修改</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2.4.1 在磋商响应文件提交截止时间前，由于各种原因采购人可能以补充文件的形式修改完善采购文件。</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2.4.2 补充文件作为采购文件组成部分，补充文件将以网上公告等形式告知所有获取采购文件的供应商，补充文件对供应商均有约束力。</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2.4.3 修改的内容影响磋商响应文件编制的，采购代理机构将顺延磋商响应文件提交截止时间，使之满足政府采购的相关规定。</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2.4.4 供应商在收到补充文件后，应在24小时内以书面形式向采购代理机构确认已收到该补充文件。</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2.4.5 供应商收到补充文件后，对补充文件如有疑问要求澄清，应在24小时内将书面资料（加盖单位公章）传真或电子邮件或送达采购代理机构，同时将电子文件发至磋商须知前附表注明的邮箱（电子邮件与书面文件有不一致的，以书面文件为准），并与采购代理机构进行确认。</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2.4.6 供应商要求澄清的资料应加盖单位公章、写明日期。</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2.4.7 对补充文件的澄清答复按2.3款规定。</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2.4.8 当采购文件与补充文件就同一内容的表述不一致时，以最后发出的书面文件为准。</w:t>
      </w:r>
    </w:p>
    <w:p>
      <w:pPr>
        <w:autoSpaceDE w:val="0"/>
        <w:autoSpaceDN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2.4.9 任何口头答复均不属于采购文件的组成部分。</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三、</w:t>
      </w:r>
      <w:bookmarkEnd w:id="68"/>
      <w:bookmarkEnd w:id="69"/>
      <w:bookmarkEnd w:id="70"/>
      <w:r>
        <w:rPr>
          <w:rFonts w:hint="eastAsia" w:ascii="宋体" w:hAnsi="宋体" w:eastAsia="宋体" w:cs="宋体"/>
          <w:color w:val="auto"/>
          <w:highlight w:val="none"/>
        </w:rPr>
        <w:t>磋商响应</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3.1 磋商响应文件</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3.1.1 供应商应仔细阅读采购文件规定的所有内容，以保证能全面准确理解采购文件，并按照采购文件要求，详细编制磋商响应文件，磋商响应文件内容必须针对本次采购项目进行响应。</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3.1.2 供应商必须按采购文件的要求提供相关资料，并对采购文件中提出的所有内容要求给予实质性响应，须保证磋商响应文件的准确、真实、明确。磋商响应文件响应内容对采购文件要求如有偏离均应填写偏离表，如不填写，采购人有权视作磋商响应文件完全响应采购文件要求。</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3.2 磋商响应文件构成</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3.2.1 资格文件</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应包括以下内容（均需</w:t>
      </w:r>
      <w:r>
        <w:rPr>
          <w:rFonts w:hint="eastAsia" w:ascii="宋体" w:hAnsi="宋体" w:eastAsia="宋体" w:cs="宋体"/>
          <w:b/>
          <w:bCs/>
          <w:color w:val="auto"/>
          <w:szCs w:val="21"/>
          <w:highlight w:val="none"/>
          <w:u w:val="single"/>
        </w:rPr>
        <w:t>供应商加盖公章</w:t>
      </w:r>
      <w:r>
        <w:rPr>
          <w:rFonts w:hint="eastAsia" w:ascii="宋体" w:hAnsi="宋体" w:eastAsia="宋体" w:cs="宋体"/>
          <w:color w:val="auto"/>
          <w:szCs w:val="21"/>
          <w:highlight w:val="none"/>
        </w:rPr>
        <w:t>）：证明其符合《中华人民共和国政府采购法》规定的供应商基本条件和采购项目对供应商的特定条件（如果项目要求）的有关资格证明文件。</w:t>
      </w:r>
    </w:p>
    <w:tbl>
      <w:tblPr>
        <w:tblStyle w:val="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4905"/>
        <w:gridCol w:w="3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4" w:type="dxa"/>
            <w:vAlign w:val="center"/>
          </w:tcPr>
          <w:p>
            <w:pPr>
              <w:adjustRightInd w:val="0"/>
              <w:jc w:val="left"/>
              <w:rPr>
                <w:rFonts w:hint="eastAsia" w:ascii="宋体" w:hAnsi="宋体" w:eastAsia="宋体" w:cs="宋体"/>
                <w:color w:val="auto"/>
                <w:szCs w:val="21"/>
                <w:highlight w:val="none"/>
              </w:rPr>
            </w:pPr>
            <w:bookmarkStart w:id="71" w:name="_Hlk66909806"/>
            <w:r>
              <w:rPr>
                <w:rFonts w:hint="eastAsia" w:ascii="宋体" w:hAnsi="宋体" w:eastAsia="宋体" w:cs="宋体"/>
                <w:color w:val="auto"/>
                <w:szCs w:val="21"/>
                <w:highlight w:val="none"/>
              </w:rPr>
              <w:t>序号</w:t>
            </w:r>
          </w:p>
        </w:tc>
        <w:tc>
          <w:tcPr>
            <w:tcW w:w="4922"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资格条件</w:t>
            </w:r>
          </w:p>
        </w:tc>
        <w:tc>
          <w:tcPr>
            <w:tcW w:w="3996"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以下证明材料附后（除承诺函、说明、声明外的其他证件提供复印件）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4" w:type="dxa"/>
            <w:vAlign w:val="center"/>
          </w:tcPr>
          <w:p>
            <w:pPr>
              <w:adjustRightInd w:val="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w:t>
            </w:r>
          </w:p>
        </w:tc>
        <w:tc>
          <w:tcPr>
            <w:tcW w:w="4922" w:type="dxa"/>
            <w:vAlign w:val="center"/>
          </w:tcPr>
          <w:p>
            <w:pPr>
              <w:adjustRightInd w:val="0"/>
              <w:jc w:val="left"/>
              <w:rPr>
                <w:rFonts w:hint="eastAsia" w:ascii="宋体" w:hAnsi="宋体" w:eastAsia="宋体" w:cs="宋体"/>
                <w:b/>
                <w:bCs/>
                <w:color w:val="auto"/>
                <w:szCs w:val="21"/>
                <w:highlight w:val="none"/>
              </w:rPr>
            </w:pPr>
            <w:r>
              <w:rPr>
                <w:rFonts w:hint="eastAsia" w:ascii="宋体" w:hAnsi="宋体" w:eastAsia="宋体" w:cs="宋体"/>
                <w:b/>
                <w:bCs/>
                <w:color w:val="auto"/>
                <w:kern w:val="0"/>
                <w:szCs w:val="21"/>
                <w:highlight w:val="none"/>
              </w:rPr>
              <w:t>基本资格要求：</w:t>
            </w:r>
          </w:p>
        </w:tc>
        <w:tc>
          <w:tcPr>
            <w:tcW w:w="3996" w:type="dxa"/>
            <w:vAlign w:val="center"/>
          </w:tcPr>
          <w:p>
            <w:pPr>
              <w:adjustRightInd w:val="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4"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4922"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kern w:val="0"/>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c>
          <w:tcPr>
            <w:tcW w:w="3996"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（1）符合资格条件的声明函。【证明材料1】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4" w:type="dxa"/>
            <w:vAlign w:val="center"/>
          </w:tcPr>
          <w:p>
            <w:pPr>
              <w:adjustRightInd w:val="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w:t>
            </w:r>
          </w:p>
        </w:tc>
        <w:tc>
          <w:tcPr>
            <w:tcW w:w="4922" w:type="dxa"/>
            <w:vAlign w:val="center"/>
          </w:tcPr>
          <w:p>
            <w:pPr>
              <w:adjustRightInd w:val="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落实政府采购政策需满足的资格要求：</w:t>
            </w:r>
          </w:p>
        </w:tc>
        <w:tc>
          <w:tcPr>
            <w:tcW w:w="3996" w:type="dxa"/>
            <w:vAlign w:val="center"/>
          </w:tcPr>
          <w:p>
            <w:pPr>
              <w:adjustRightInd w:val="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4" w:type="dxa"/>
            <w:vAlign w:val="center"/>
          </w:tcPr>
          <w:p>
            <w:pPr>
              <w:adjustRightInd w:val="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w:t>
            </w:r>
          </w:p>
        </w:tc>
        <w:tc>
          <w:tcPr>
            <w:tcW w:w="4922" w:type="dxa"/>
            <w:vAlign w:val="center"/>
          </w:tcPr>
          <w:p>
            <w:pPr>
              <w:adjustRightInd w:val="0"/>
              <w:jc w:val="left"/>
              <w:rPr>
                <w:rFonts w:hint="eastAsia" w:ascii="宋体" w:hAnsi="宋体" w:eastAsia="宋体" w:cs="宋体"/>
                <w:b/>
                <w:bCs/>
                <w:color w:val="auto"/>
                <w:szCs w:val="21"/>
                <w:highlight w:val="none"/>
              </w:rPr>
            </w:pPr>
            <w:r>
              <w:rPr>
                <w:rFonts w:hint="eastAsia" w:ascii="宋体" w:hAnsi="宋体" w:eastAsia="宋体" w:cs="宋体"/>
                <w:b/>
                <w:bCs/>
                <w:color w:val="auto"/>
                <w:kern w:val="0"/>
                <w:szCs w:val="21"/>
                <w:highlight w:val="none"/>
              </w:rPr>
              <w:t>特定资格要求：</w:t>
            </w:r>
          </w:p>
        </w:tc>
        <w:tc>
          <w:tcPr>
            <w:tcW w:w="3996" w:type="dxa"/>
            <w:vAlign w:val="center"/>
          </w:tcPr>
          <w:p>
            <w:pPr>
              <w:adjustRightInd w:val="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4"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3.1</w:t>
            </w:r>
          </w:p>
        </w:tc>
        <w:tc>
          <w:tcPr>
            <w:tcW w:w="4922" w:type="dxa"/>
            <w:vAlign w:val="center"/>
          </w:tcPr>
          <w:p>
            <w:pPr>
              <w:widowControl/>
              <w:adjustRightInd w:val="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（1）单位负责人为同一人或者存在直接控股、管理关系的不同供应商，不得参加本项目的政府采购活动；</w:t>
            </w:r>
          </w:p>
        </w:tc>
        <w:tc>
          <w:tcPr>
            <w:tcW w:w="3996"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（2）与其他供应商无利害关系的声明函。【证明材料2】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4"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3.2</w:t>
            </w:r>
          </w:p>
        </w:tc>
        <w:tc>
          <w:tcPr>
            <w:tcW w:w="4922" w:type="dxa"/>
            <w:vAlign w:val="center"/>
          </w:tcPr>
          <w:p>
            <w:pPr>
              <w:widowControl/>
              <w:adjustRightInd w:val="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3996"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◇属于此种情形的供应商除基本资格要求应提供资料外。还应提供以下资料：</w:t>
            </w:r>
          </w:p>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（3）金融、保险、通讯等特定行业的全国性企业所设立的区域性分支机构提供总公司（总机构）授权或能够提供房产权证或其他有效财产证明材料；</w:t>
            </w:r>
          </w:p>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（4）个体工商户、个人独资企业、合伙企业应提供房产权证或其他有效财产证明材料。</w:t>
            </w:r>
          </w:p>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◇不属于此种情况的供应商提供以下资料：</w:t>
            </w:r>
          </w:p>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（5）企业类型的声明函。</w:t>
            </w:r>
          </w:p>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【证明材料3】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4"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3.3</w:t>
            </w:r>
          </w:p>
        </w:tc>
        <w:tc>
          <w:tcPr>
            <w:tcW w:w="4922"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（3）公益一类事业单位、使用事业编制且由财政拨款保障的群团组织，不得参加本项目的政府采购活动；</w:t>
            </w:r>
          </w:p>
        </w:tc>
        <w:tc>
          <w:tcPr>
            <w:tcW w:w="3996"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（6）单位性质声明函。【证明材料4】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4"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3.4</w:t>
            </w:r>
          </w:p>
        </w:tc>
        <w:tc>
          <w:tcPr>
            <w:tcW w:w="4922" w:type="dxa"/>
            <w:vAlign w:val="center"/>
          </w:tcPr>
          <w:p>
            <w:pPr>
              <w:adjustRightInd w:val="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（4）接受联合体，联合体参加本项目的政府采购活动应满足以下条件：</w:t>
            </w:r>
          </w:p>
          <w:p>
            <w:pPr>
              <w:adjustRightInd w:val="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◇两个以上的自然人、法人或者其他组织可以组成一个联合体，以一个供应商的身份共同参加本项目的政府采购活动，联合体在响应文件中提供联合协议书并明确分工；</w:t>
            </w:r>
          </w:p>
          <w:p>
            <w:pPr>
              <w:adjustRightInd w:val="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◇联合体主办单位和成员单位均应具备资格要求1、2及特定资格要求第（1）（2）（3）项；</w:t>
            </w:r>
          </w:p>
          <w:p>
            <w:pPr>
              <w:adjustRightInd w:val="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◇联合体中有同类资质的供应商按照联合体分工承担相同工作，按资质等级较低的供应商确定资质等级；</w:t>
            </w:r>
          </w:p>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◇联合体各方不得再单独参加或与其他供应商另外组成联合体参加本项目的政府采购活动。</w:t>
            </w:r>
          </w:p>
        </w:tc>
        <w:tc>
          <w:tcPr>
            <w:tcW w:w="3996" w:type="dxa"/>
            <w:vAlign w:val="center"/>
          </w:tcPr>
          <w:p>
            <w:pPr>
              <w:adjustRightInd w:val="0"/>
              <w:jc w:val="left"/>
              <w:rPr>
                <w:rFonts w:hint="eastAsia" w:ascii="宋体" w:hAnsi="宋体" w:eastAsia="宋体" w:cs="宋体"/>
                <w:color w:val="auto"/>
                <w:highlight w:val="none"/>
              </w:rPr>
            </w:pPr>
            <w:r>
              <w:rPr>
                <w:rFonts w:hint="eastAsia" w:ascii="宋体" w:hAnsi="宋体" w:eastAsia="宋体" w:cs="宋体"/>
                <w:color w:val="auto"/>
                <w:szCs w:val="21"/>
                <w:highlight w:val="none"/>
              </w:rPr>
              <w:t>（7）非联合体提供《</w:t>
            </w:r>
            <w:r>
              <w:rPr>
                <w:rFonts w:hint="eastAsia" w:ascii="宋体" w:hAnsi="宋体" w:eastAsia="宋体" w:cs="宋体"/>
                <w:color w:val="auto"/>
                <w:highlight w:val="none"/>
              </w:rPr>
              <w:t>非联合体的声明函</w:t>
            </w:r>
            <w:r>
              <w:rPr>
                <w:rFonts w:hint="eastAsia" w:ascii="宋体" w:hAnsi="宋体" w:eastAsia="宋体" w:cs="宋体"/>
                <w:color w:val="auto"/>
                <w:szCs w:val="21"/>
                <w:highlight w:val="none"/>
              </w:rPr>
              <w:t>》、</w:t>
            </w:r>
            <w:r>
              <w:rPr>
                <w:rFonts w:hint="eastAsia" w:ascii="宋体" w:hAnsi="宋体" w:eastAsia="宋体" w:cs="宋体"/>
                <w:color w:val="auto"/>
                <w:highlight w:val="none"/>
              </w:rPr>
              <w:t>联合体提供《</w:t>
            </w:r>
            <w:r>
              <w:rPr>
                <w:rFonts w:hint="eastAsia" w:ascii="宋体" w:hAnsi="宋体" w:eastAsia="宋体" w:cs="宋体"/>
                <w:color w:val="auto"/>
                <w:szCs w:val="21"/>
                <w:highlight w:val="none"/>
              </w:rPr>
              <w:t>联合协议书</w:t>
            </w:r>
            <w:r>
              <w:rPr>
                <w:rFonts w:hint="eastAsia" w:ascii="宋体" w:hAnsi="宋体" w:eastAsia="宋体" w:cs="宋体"/>
                <w:color w:val="auto"/>
                <w:highlight w:val="none"/>
              </w:rPr>
              <w:t>》。</w:t>
            </w:r>
          </w:p>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highlight w:val="none"/>
              </w:rPr>
              <w:t>【</w:t>
            </w:r>
            <w:r>
              <w:rPr>
                <w:rFonts w:hint="eastAsia" w:ascii="宋体" w:hAnsi="宋体" w:eastAsia="宋体" w:cs="宋体"/>
                <w:color w:val="auto"/>
                <w:szCs w:val="21"/>
                <w:highlight w:val="none"/>
              </w:rPr>
              <w:t>证明材料5</w:t>
            </w:r>
            <w:r>
              <w:rPr>
                <w:rFonts w:hint="eastAsia" w:ascii="宋体" w:hAnsi="宋体" w:eastAsia="宋体" w:cs="宋体"/>
                <w:color w:val="auto"/>
                <w:highlight w:val="none"/>
              </w:rPr>
              <w:t>】</w:t>
            </w:r>
          </w:p>
        </w:tc>
      </w:tr>
      <w:bookmarkEnd w:id="71"/>
    </w:tbl>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3.2.2 商务、技术文件</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（1）法定代表人资格证明书；</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（2）法定代表人授权磋商委托书（法定代表人参与不需提供此书）；</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（3）偏离表；</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（4）廉政承诺书；</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（5）其他资信资料；</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（6）相关业绩表；</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（7）提供针对本项目的完整技术解决方案；</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（8）供应商认为需要提供的其他资料。</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3.2.3 报价文件</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（1）磋商响应函；</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（2）初次报价一览表；</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（3）初次报价明细组成表；</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（4）缴纳采购代理服务费承诺书；</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（5）中小企业声明函/监狱企业声明函及其相关的充分的证明材料/残疾人福利性单位声明函；</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（6）报价承诺。</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3.3 磋商响应文件的编制</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3.3.1 内容编制</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（1）磋商响应文件应按照本章3.2款中规定的顺序及采用“第七章 磋商响应文件格式”中提供的格式进行编制，并按“政府采购云平台”的要求编辑相应内容进行关联定位、加密，形成磋商响应文件及备份电子磋商响应文件。供应商未按规定加密的磋商响应文件，政府采购云平台将拒收并提示。磋商响应文件编制详见操作指南：登录政府采购云平台（https://www.zcygov.cn/），从首页-服务中心-帮助文档-项目采购-电子招投标，查看文档和视频。</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（2）关联定位规则：一个关联点关联一页或关联多页；多个关联点可以关联同一页。</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（3）分别编制资格文件、报价文件、商务技术文件。</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（4）磋商响应文件应当对采购文件规定的内容进行对应明确说明，对采购文件规定的实质性内容应当作出响应。</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（5）采购人如对采购文件有澄清或修改，供应商应按澄清或修改内容对电子磋商响应文件进行补充或者修改，补充和修改时如已传输提交了磋商响应文件的，应当先行撤回原文件，补充、修改后重新传输提交。</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（6）由于字迹模糊或表达不清引起的后果由供应商负责。</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（7）编制磋商响应文件时建议选用“谷歌或火狐浏览器”。</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（8）磋商响应文件可以线下完成盖章后传输提交政府采购云平台。</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（9）生成的电子磋商响应文件的文件后缀名为【.jmbs】，备份电子磋商响应文件的文件后缀名为【.bfbs】。</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3.3.2 格式要求</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（1）磋商响应文件应编制目录。</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（2）磋商响应文件应按“磋商须知前附表”要求盖章。</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（3）磋商响应文件装订要求详见“磋商须知前附表”。</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（4）磋商响应文件格式为PDF。</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（5）单个文件上传大小上限为300M。</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3.4 报价</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3.4.1 ▲</w:t>
      </w:r>
      <w:r>
        <w:rPr>
          <w:rFonts w:hint="eastAsia" w:ascii="宋体" w:hAnsi="宋体" w:eastAsia="宋体" w:cs="宋体"/>
          <w:b/>
          <w:bCs/>
          <w:color w:val="auto"/>
          <w:szCs w:val="21"/>
          <w:highlight w:val="none"/>
          <w:u w:val="single"/>
        </w:rPr>
        <w:t>本项目报价为含税人民币价。</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3.4.2 报价包括履行所有规定服务并提交服务成果所产生的全部费用。服务及服务成果须达到采购文件规定的质量标准及使用要求。</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3.4.3 报价应按不同费用构成分开填写，具体详见“第七章 磋商响应文件格式”。</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3.4.4 供应商应在“政府采购云平台”中填写报价，报价应与上传的报价文件一致，如有不一致，以上传的报价文件中报价为准。</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3.5 磋商保证金</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3.5.1 本项目不需缴纳磋商保证金。</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3.6 磋商响应文件有效期</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3.6.1 磋商响应文件有效期按“磋商须知前附表”规定，磋商响应文件应在该有效期内保持有效。合同签订后，磋商响应文件作为合同附件，磋商响应文件有效期同合同有效期。</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3.6.2 在特殊情况下，采购人可与供应商协商延长磋商响应文件有效期，这种要求和答复均应以书面形式进行。</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3.6.3 供应商可拒绝接受延期要求。同意延长有效期的供应商不能修改磋商响应文件。</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3.6.4 磋商响应文件有效期内，供应商撤销响应文件的，应承担采购人提出的索赔。</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3.7 磋商响应文件的密封及标记</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3.7.1 磋商响应文件应按以下方法密封及标记</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磋商响应文件密封及标记要求见“磋商须知前附表”。</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3.8 磋商响应文件的提交</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highlight w:val="none"/>
        </w:rPr>
        <w:t>3.8</w:t>
      </w:r>
      <w:r>
        <w:rPr>
          <w:rFonts w:hint="eastAsia" w:ascii="宋体" w:hAnsi="宋体" w:eastAsia="宋体" w:cs="宋体"/>
          <w:color w:val="auto"/>
          <w:szCs w:val="21"/>
          <w:highlight w:val="none"/>
        </w:rPr>
        <w:t>.1 提交磋商响应文件</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（1）电子磋商响应文件传输提交</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应当在磋商响应文件提交截止时间前完成电子磋商响应文件的传输提交至政府采购云平台（https://www.zcygov.cn），磋商响应文件提交截止时间前未完成传输提交的，视为未提交磋商响应文件。磋商响应文件提交截止时间以后传输提交的磋商响应文件，将被拒收。</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（2）备份电子磋商响应文件提交</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供应商可以提交备份电子磋商响应文件，如提交备份电子磋商响应文件，请按以下方式提交。</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当在磋商响应文件提交截止时间以前，供应商将以介质存储的数据电文形式的备份电子磋商响应文件密封并以邮寄或直接送达形式提交给采购代理机构工作人员，使其在磋商响应文件提交截止时间以前收到。封皮应注明供应商名称、项目名称。</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备份电子磋商响应文件仅在在线解密异常处理时使用。磋商响应文件已按时解密的，备份电子磋商响应文件自动失效。</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3.8.2 供应商提交的磋商响应文件均不予退还。</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3.8.3 逾期传输的电子磋商响应文件，采购人将不予受理。</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3.8.4 采购人如因故推迟磋商响应文件提交截止时间，应以书面形式通知所有供应商。在这种情况下，采购人和供应商的权利和义务将受到新的磋商响应文件提交截止时间的约束。</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3.9 磋商响应文件的补充、修改和撤回</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3.9.1 供应商在提交磋商响应文件以后如必须补充、修改或撤回磋商响应文件，必须在磋商响应文件提交截止时间以前在“政府采购云平台”上补充、修改或撤回磋商响应文件。补充、修改电子磋商响应文件的，应当先行撤回原文件，补充、修改后重新传输提交。磋商响应文件提交截止时间前未完成传输的，视为撤回磋商响应文件。</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3.10 备选磋商响应方案</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供应商不得提交备选磋商响应方案，否则，磋商响应文件将被判定为响应无效。【注：备选磋商响应方案不是指备份磋商响应文件】</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3.11 不予受理的磋商响应文件</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（1）逾期传输的或逾期送达的或者未送达指定地点的磋商响应文件；</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（2）未密封的备份电子磋商响应文件；</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四、磋商程序</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4.1 组建磋商小组</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采购组织机构将依法组建磋商小组。磋商小组由采购人代表和评审专家共3人及以上组成。</w:t>
      </w:r>
    </w:p>
    <w:p>
      <w:pPr>
        <w:pStyle w:val="4"/>
        <w:ind w:firstLine="420"/>
        <w:rPr>
          <w:rFonts w:hint="eastAsia" w:ascii="宋体" w:hAnsi="宋体" w:eastAsia="宋体" w:cs="宋体"/>
          <w:color w:val="auto"/>
          <w:highlight w:val="none"/>
        </w:rPr>
      </w:pPr>
      <w:bookmarkStart w:id="72" w:name="_Toc251938331"/>
      <w:r>
        <w:rPr>
          <w:rFonts w:hint="eastAsia" w:ascii="宋体" w:hAnsi="宋体" w:eastAsia="宋体" w:cs="宋体"/>
          <w:color w:val="auto"/>
          <w:highlight w:val="none"/>
        </w:rPr>
        <w:t>4.2 磋商准备</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4.2.1采购人按“磋商须知前附表”规定的时间、地点公开开启磋商响应文件，并邀请所有供应商代表准时在线参加。</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4.2.2供应商代表应在线参加磋商活动。</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4.2.3磋商活动组织人员告知所有供应商磋商活动组织人员情况，已提交磋商响应文件的供应商名单、应当回避的情形、开启最后报价文件的预计时间等，组织供应商签署《政府采购活动现场确认声明书》。</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4.3 在线解密</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4.3.1在线解密开始时间</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至磋商响应文件提交截止时间，磋商活动组织人员启动在线解密程序，供应商应登录政府采购云平台在在线解密时间内对已提交的电子磋商响应文件进行解密。</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4.3.2解密异常处理</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在线解密失败，磋商活动组织人员将启动异常处理，上传供应商在磋商响应文件提交截止时间前提交的备份电子磋商响应文件进行再次解密，如未提供备份电子磋商响应文件，将不进行再次解密程序。无法在线解密视为供应商放弃磋商响应。</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4.3.3在线解密时间</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在线解密时间为30分钟。</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4.4 在线开启磋商响应文件</w:t>
      </w:r>
    </w:p>
    <w:p>
      <w:pPr>
        <w:widowControl/>
        <w:adjustRightInd w:val="0"/>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待所有供应商在线解密结束后，</w:t>
      </w:r>
      <w:r>
        <w:rPr>
          <w:rFonts w:hint="eastAsia" w:ascii="宋体" w:hAnsi="宋体" w:eastAsia="宋体" w:cs="宋体"/>
          <w:color w:val="auto"/>
          <w:szCs w:val="21"/>
          <w:highlight w:val="none"/>
        </w:rPr>
        <w:t>磋商活动组织人员</w:t>
      </w:r>
      <w:r>
        <w:rPr>
          <w:rFonts w:hint="eastAsia" w:ascii="宋体" w:hAnsi="宋体" w:eastAsia="宋体" w:cs="宋体"/>
          <w:color w:val="auto"/>
          <w:kern w:val="0"/>
          <w:szCs w:val="21"/>
          <w:highlight w:val="none"/>
        </w:rPr>
        <w:t>在线开启磋商响应文件。</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4.5 组织磋商活动</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4.5.1磋商小组所有成员应当集中与单一供应商分别进行磋商，并将给予所有参加磋商的供应商平等的磋商机会。</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4.5.2在磋商过程中，磋商小组经采购人代表确认后可以根据采购文件和磋商情况实质性变动采购需求中的技术、服务要求以及合同草案条款。对采购文件作出的实质性变动是采购文件的有效组成部分，磋商小组以书面形式通过政府采购云平台通知所有参加磋商的供应商。</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4.5.3供应商按照采购文件的变动情况和磋商小组的要求进行承诺并作为磋商响应文件的一部分，并加盖单位公章，上传政府采购云平台。</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4.5.4已提交响应文件的供应商，在提交最后报价之前，可以根据磋商情况退出磋商。</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4.5.5在政府采购云平台中汇总各供应商的得分，通知供应商经评审无效的理由。</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4.5.6磋商结束后，磋商小组将要求所有实质性响应的供应商按政府采购云平台规定时间内分别进行最后报价，最后报价是供应商响应文件的有效组成部分。</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4.5.7待所有供应商报价上传政府采购云平台完成后，统一开启供应商的最后报价，同时当场制作并打印开标记录表，由供应商代表、唱标人、记录人和现场监督员在开标记录表上签字确认（供应商代表未签字且未说明理由，视为无异议）。磋商小组对报价的合理性进行审查核实、评分，政府采购云平台汇总各供应商最终得分，并在政府采购云平台上公布得分结果。</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4.5.8磋商的任何一方不得透露与磋商有关的其他供应商的技术资料、价格和其他信息。</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4.5.9采购代理机构对相关磋商内容进行记录，以存档备查。</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4.5.10磋商评审期间，供应商应随时随地答复磋商小组的提出的问题，解答包括有关的商务、技术问题等，并按磋商小组要求及时形成磋商承诺。</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4.6 磋商活动异议</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供应商如对磋商活动有异议，应当在活动现场提出，磋商活动组织人员将当场作出答复，并制作记录。</w:t>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五、评审及合同签订</w:t>
      </w:r>
      <w:bookmarkEnd w:id="72"/>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5.1 评审</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本项目采用综合评分法。</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经磋商确定最终采购需求、供应商提交磋商承诺后，磋商小组根据评审办法完成商务技术评分并汇总。</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供应商提交最后报价后，磋商小组根据评审办法对报价进行评分并汇总。</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政府采购云平台汇总各供应商的商务技术分、报价分作为各供应商的评审得分。</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具体评审办法详见“第五章 磋商评审办法”。本项目原则上采用电子评审方法。</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小组根据综合评分情况，将供应商的评审得分由高到低顺序，并推荐3名成交候选供应商，并编写评审报告。符合《政府采购竞争性磋商采购方式管理暂行办法》第二十一条第三款情形的和《关于政府采购竞争性磋商采购方式管理暂行办法有关问题的补充通知》（财库〔2015〕124号），可以推荐2家成交候选供应商。评审得分相同的，按照最后报价由低到高的顺序推荐。评审得分且最后报价相同的，按照技术服务水平优劣顺序推荐。</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5.2 终止竞争性磋商采购活动</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出现下列情形之一的，采购组织机构将终止竞争性磋商采购活动：</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（1）因情况变化，不再符合规定的竞争性磋商采购方式适用情形的；</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（2）出现影响采购公正的违法、违规行为的；</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除《政府采购竞争性磋商采购方式管理暂行办法》第二十一条第三款和《关于政府采购竞争性磋商采购方式管理暂行办法有关问题的补充通知》（财库〔2015〕124号）规定情形外，在采购过程中符合要求的供应商或者报价未超过采购预算的供应商不足3家的；</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符合《政府采购竞争性磋商采购方式管理暂行办法》第二十一条第三款和《关于政府采购竞争性磋商采购方式管理暂行办法有关问题的补充通知》（财库〔2015〕124号）规定情形，但在采购过程中符合要求的供应商或者报价未超过采购预算的供应商不足2家的；</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（5）因重大变故，采购任务取消的；</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5.3 确定采购结果</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采购代理机构在评审结束后2个工作日内将评审报告送采购人确认；</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5.4 结果公告</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在采购人确认采购结果后，采购代理机构将成交结果发布在政府采购网上进行公告。</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5.5 发出成交通知书</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5.5.1发布成交结果公告同时，采购代理机构将以书面形式向成交供应商发出成交通知书。</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5.6 采购过程、采购结果质疑</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5.6.1供应商认为采购过程、采购结果使自己的合法权益受到损害的，供应商可以提出书面质疑。质疑应当有明确的请求和必要的证明材料。</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5.6.2质疑书须包括以下内容：</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（1）供应商的姓名或者名称、地址、邮编、联系人及联系电话；</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（2）质疑项目的名称、编号；</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（3）具体、明确的质疑事项和与质疑事项相关的请求；</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（4）事实依据；</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（5）必要的法律依据；</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（6）提出质疑的日期。</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5.6.3采购过程的质疑期限自为各采购程序环节结束之日起7个工作日内，供应商应在质疑期限内一次性向采购代理机构提出针对采购过程的质疑，逾期提出不予受理。</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采购结果的质疑期限自采购结果公告期限届满之日（公告发布之日后第2个工作日）起7个工作日内，供应商应在质疑期限内一次性向采购代理机构提出针对采购结果的质疑，逾期提出不予受理。</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5.6.4质疑书中涉及的相关材料中有外文资料的，应当将与质疑相关的外文资料完整、客观、真实地翻译为中文，并注明翻译人员姓名、工作单位、联系方式等信息。</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5.6.5供应商为自然人的，应当由本人签字；供应商为法人或者其他组织的，应当由法定代表人、主要负责人，或者其授权代表签字或者盖章，并加盖公章。否则不予受理。</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5.6.6</w:t>
      </w:r>
      <w:r>
        <w:rPr>
          <w:rFonts w:hint="eastAsia" w:ascii="宋体" w:hAnsi="宋体" w:eastAsia="宋体" w:cs="宋体"/>
          <w:color w:val="auto"/>
          <w:highlight w:val="none"/>
        </w:rPr>
        <w:t>质疑书以直接送达或邮寄送达方式（份数为一式三份）或传真送达方式或以扫描件在线提交方式</w:t>
      </w:r>
      <w:r>
        <w:rPr>
          <w:rFonts w:hint="eastAsia" w:ascii="宋体" w:hAnsi="宋体" w:eastAsia="宋体" w:cs="宋体"/>
          <w:color w:val="auto"/>
          <w:szCs w:val="21"/>
          <w:highlight w:val="none"/>
        </w:rPr>
        <w:t>。</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5.6.7质疑书以传真形式提交后，同时须向采购代理机构提交质疑书原件，采购代理机构以收到原件之日作为收到质疑日。</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5.6.8供应商不得捏造事实、提供虚假材料或者以非法手段取得证明材料进行质疑。</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5.6.9</w:t>
      </w:r>
      <w:r>
        <w:rPr>
          <w:rFonts w:hint="eastAsia" w:ascii="宋体" w:hAnsi="宋体" w:eastAsia="宋体" w:cs="宋体"/>
          <w:color w:val="auto"/>
          <w:szCs w:val="21"/>
          <w:highlight w:val="none"/>
        </w:rPr>
        <w:t>如联合体响应，质疑应由组成联合体的所有供应商共同提出。</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5.6.10</w:t>
      </w:r>
      <w:r>
        <w:rPr>
          <w:rFonts w:hint="eastAsia" w:ascii="宋体" w:hAnsi="宋体" w:eastAsia="宋体" w:cs="宋体"/>
          <w:color w:val="auto"/>
          <w:highlight w:val="none"/>
        </w:rPr>
        <w:t>质疑函范本及制作说明见“采购文件附件”。</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5.7 签订合同</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5.7.1 成交供应商应在接到成交通知书后按成交通知书规定的时间、地点与采购人签订合同。</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5.7.2采购文件及补充文件、磋商修改文件、成交供应商的磋商响应文件及磋商响应修改文件、磋商过程中有关承诺文件和成交通知书均作为合同附件。</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5.7.3采购人和成交供应商应当按照上款所列文件确定的内容签订政府采购合同，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5.7.4拒签合同</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成交供应商接到成交通知书后，在规定时间内借故否认已经承诺的条件而拒签合同者，以违约处理，并赔偿采购人由此造成的直接经济损失。采购人将向同级政府采购监管部门进行汇报。</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交供应商拒绝签订政府采购合同的，采购人可以按照评审报告推荐的成交候选供应商名单排序，确定下一候选人为成交供应商，也可以重新开展政府采购活动。拒绝签订政府采购合同的成交供应商不得参加对该项目重新开展的采购活动。</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5.8 采购代理服务费</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本次采购代理服务费按“磋商须知前附表”规定收取。</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成交供应商不按采购文件规定缴纳采购代理服务费，将取消其成交资格。成交供应商应向采购代理机构缴纳采购文件规定的采购代理服务费作为赔偿。</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六、其他</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6.1采购过程中出现以下情形，导致电子交易平台无法正常运行，或者无法保证电子交易的公平、公正和安全时，采购组织机构将中止电子交易活动：</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（1）电子交易平台发生故障而无法登录访问的；</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（2）电子交易平台应用或数据库出现错误，不能进行正常操作的；</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（3）电子交易平台发现严重安全漏洞，有潜在泄密危险的；</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（4）病毒发作导致不能进行正常操作的；</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（5）其他无法保证电子交易的公平、公正和安全的情况。</w:t>
      </w:r>
    </w:p>
    <w:p>
      <w:pPr>
        <w:adjustRightInd w:val="0"/>
        <w:ind w:firstLine="420" w:firstLineChars="200"/>
        <w:rPr>
          <w:rFonts w:hint="eastAsia" w:ascii="宋体" w:hAnsi="宋体" w:eastAsia="宋体" w:cs="宋体"/>
          <w:b/>
          <w:color w:val="auto"/>
          <w:sz w:val="28"/>
          <w:szCs w:val="28"/>
          <w:highlight w:val="none"/>
        </w:rPr>
      </w:pPr>
      <w:r>
        <w:rPr>
          <w:rFonts w:hint="eastAsia" w:ascii="宋体" w:hAnsi="宋体" w:eastAsia="宋体" w:cs="宋体"/>
          <w:color w:val="auto"/>
          <w:szCs w:val="21"/>
          <w:highlight w:val="none"/>
        </w:rPr>
        <w:t>出现前款规定情形，不影响采购公平、公正性的，采购组织机构将待上述情形消除后继续组织电子交易活动，也可以决定某些环节以纸质形式进行；影响或可能影响采购公平、公正性的，将重新采购。</w:t>
      </w:r>
      <w:r>
        <w:rPr>
          <w:rFonts w:hint="eastAsia" w:ascii="宋体" w:hAnsi="宋体" w:eastAsia="宋体" w:cs="宋体"/>
          <w:b/>
          <w:color w:val="auto"/>
          <w:sz w:val="28"/>
          <w:szCs w:val="28"/>
          <w:highlight w:val="none"/>
        </w:rPr>
        <w:br w:type="page"/>
      </w:r>
    </w:p>
    <w:p>
      <w:pPr>
        <w:pStyle w:val="3"/>
        <w:rPr>
          <w:rFonts w:hint="eastAsia" w:ascii="宋体" w:hAnsi="宋体" w:eastAsia="宋体" w:cs="宋体"/>
          <w:color w:val="auto"/>
          <w:highlight w:val="none"/>
        </w:rPr>
      </w:pPr>
      <w:bookmarkStart w:id="73" w:name="_Toc8657"/>
      <w:bookmarkStart w:id="74" w:name="_Toc82873329"/>
      <w:bookmarkStart w:id="75" w:name="_Toc82338246"/>
      <w:bookmarkStart w:id="76" w:name="_Toc30927"/>
      <w:bookmarkStart w:id="77" w:name="_Toc227380487"/>
      <w:r>
        <w:rPr>
          <w:rFonts w:hint="eastAsia" w:ascii="宋体" w:hAnsi="宋体" w:eastAsia="宋体" w:cs="宋体"/>
          <w:color w:val="auto"/>
          <w:highlight w:val="none"/>
        </w:rPr>
        <w:t>第七章  磋商响应文件格式</w:t>
      </w:r>
      <w:bookmarkEnd w:id="73"/>
      <w:bookmarkEnd w:id="74"/>
      <w:bookmarkEnd w:id="75"/>
      <w:bookmarkEnd w:id="76"/>
      <w:bookmarkEnd w:id="77"/>
    </w:p>
    <w:p>
      <w:pPr>
        <w:jc w:val="center"/>
        <w:rPr>
          <w:rFonts w:hint="eastAsia" w:ascii="宋体" w:hAnsi="宋体" w:eastAsia="宋体" w:cs="宋体"/>
          <w:color w:val="auto"/>
          <w:highlight w:val="none"/>
        </w:rPr>
      </w:pPr>
      <w:r>
        <w:rPr>
          <w:rFonts w:hint="eastAsia" w:ascii="宋体" w:hAnsi="宋体" w:eastAsia="宋体" w:cs="宋体"/>
          <w:color w:val="auto"/>
          <w:highlight w:val="none"/>
        </w:rPr>
        <w:t>（未提供格式的由供应商自拟）</w:t>
      </w:r>
    </w:p>
    <w:p>
      <w:pPr>
        <w:pStyle w:val="2"/>
        <w:ind w:firstLine="420"/>
        <w:rPr>
          <w:rFonts w:hint="eastAsia" w:ascii="宋体" w:hAnsi="宋体" w:eastAsia="宋体" w:cs="宋体"/>
          <w:color w:val="auto"/>
          <w:kern w:val="0"/>
          <w:highlight w:val="none"/>
        </w:rPr>
      </w:pPr>
      <w:r>
        <w:rPr>
          <w:rFonts w:hint="eastAsia" w:ascii="宋体" w:hAnsi="宋体" w:eastAsia="宋体" w:cs="宋体"/>
          <w:color w:val="auto"/>
          <w:kern w:val="0"/>
          <w:highlight w:val="none"/>
        </w:rPr>
        <w:t>第一部分 资格文件</w:t>
      </w:r>
    </w:p>
    <w:p>
      <w:pPr>
        <w:pStyle w:val="4"/>
        <w:ind w:firstLine="420"/>
        <w:rPr>
          <w:rFonts w:hint="eastAsia" w:ascii="宋体" w:hAnsi="宋体" w:eastAsia="宋体" w:cs="宋体"/>
          <w:color w:val="auto"/>
          <w:highlight w:val="none"/>
        </w:rPr>
      </w:pPr>
      <w:bookmarkStart w:id="78" w:name="_Toc345575549"/>
      <w:bookmarkStart w:id="79" w:name="_Toc230930642"/>
      <w:bookmarkStart w:id="80" w:name="_Toc335138374"/>
      <w:bookmarkStart w:id="81" w:name="_Toc303030576"/>
      <w:bookmarkStart w:id="82" w:name="_Toc184635147"/>
      <w:r>
        <w:rPr>
          <w:rFonts w:hint="eastAsia" w:ascii="宋体" w:hAnsi="宋体" w:eastAsia="宋体" w:cs="宋体"/>
          <w:color w:val="auto"/>
          <w:highlight w:val="none"/>
        </w:rPr>
        <w:t>封面</w:t>
      </w:r>
    </w:p>
    <w:p>
      <w:pPr>
        <w:tabs>
          <w:tab w:val="left" w:pos="2580"/>
          <w:tab w:val="left" w:pos="5940"/>
        </w:tabs>
        <w:autoSpaceDE w:val="0"/>
        <w:autoSpaceDN w:val="0"/>
        <w:adjustRightInd w:val="0"/>
        <w:ind w:right="-20" w:firstLine="735" w:firstLineChars="350"/>
        <w:rPr>
          <w:rFonts w:hint="eastAsia" w:ascii="宋体" w:hAnsi="宋体" w:eastAsia="宋体" w:cs="宋体"/>
          <w:color w:val="auto"/>
          <w:highlight w:val="none"/>
        </w:rPr>
      </w:pP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lang w:eastAsia="zh-CN"/>
        </w:rPr>
      </w:pPr>
      <w:r>
        <w:rPr>
          <w:rFonts w:hint="eastAsia" w:ascii="宋体" w:hAnsi="宋体" w:eastAsia="宋体" w:cs="宋体"/>
          <w:color w:val="auto"/>
          <w:kern w:val="0"/>
          <w:sz w:val="24"/>
          <w:szCs w:val="22"/>
          <w:highlight w:val="none"/>
        </w:rPr>
        <w:t>采购人：</w:t>
      </w:r>
      <w:r>
        <w:rPr>
          <w:rFonts w:hint="eastAsia" w:ascii="宋体" w:hAnsi="宋体" w:eastAsia="宋体" w:cs="宋体"/>
          <w:color w:val="auto"/>
          <w:kern w:val="0"/>
          <w:sz w:val="24"/>
          <w:szCs w:val="22"/>
          <w:highlight w:val="none"/>
          <w:u w:val="single"/>
          <w:lang w:eastAsia="zh-CN"/>
        </w:rPr>
        <w:t>浙江省体育彩票管理中心</w:t>
      </w: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u w:val="single"/>
        </w:rPr>
      </w:pPr>
      <w:r>
        <w:rPr>
          <w:rFonts w:hint="eastAsia" w:ascii="宋体" w:hAnsi="宋体" w:eastAsia="宋体" w:cs="宋体"/>
          <w:color w:val="auto"/>
          <w:kern w:val="0"/>
          <w:sz w:val="24"/>
          <w:szCs w:val="22"/>
          <w:highlight w:val="none"/>
        </w:rPr>
        <w:t>项目名称：</w:t>
      </w:r>
      <w:r>
        <w:rPr>
          <w:rFonts w:hint="eastAsia" w:ascii="宋体" w:hAnsi="宋体" w:cs="宋体"/>
          <w:color w:val="auto"/>
          <w:kern w:val="0"/>
          <w:sz w:val="24"/>
          <w:szCs w:val="22"/>
          <w:highlight w:val="none"/>
          <w:u w:val="single"/>
          <w:lang w:eastAsia="zh-CN"/>
        </w:rPr>
        <w:t>2024年体彩爱心小板凳活动</w:t>
      </w:r>
      <w:r>
        <w:rPr>
          <w:rFonts w:hint="eastAsia" w:ascii="宋体" w:hAnsi="宋体" w:eastAsia="宋体" w:cs="宋体"/>
          <w:color w:val="auto"/>
          <w:kern w:val="0"/>
          <w:sz w:val="24"/>
          <w:szCs w:val="22"/>
          <w:highlight w:val="none"/>
          <w:u w:val="single"/>
        </w:rPr>
        <w:t>项目</w:t>
      </w: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u w:val="single"/>
          <w:lang w:eastAsia="zh-CN"/>
        </w:rPr>
      </w:pPr>
      <w:r>
        <w:rPr>
          <w:rFonts w:hint="eastAsia" w:ascii="宋体" w:hAnsi="宋体" w:eastAsia="宋体" w:cs="宋体"/>
          <w:color w:val="auto"/>
          <w:kern w:val="0"/>
          <w:sz w:val="24"/>
          <w:szCs w:val="22"/>
          <w:highlight w:val="none"/>
        </w:rPr>
        <w:t>项目编号：</w:t>
      </w:r>
      <w:r>
        <w:rPr>
          <w:rFonts w:hint="eastAsia" w:ascii="宋体" w:hAnsi="宋体" w:cs="宋体"/>
          <w:color w:val="auto"/>
          <w:kern w:val="0"/>
          <w:sz w:val="24"/>
          <w:szCs w:val="22"/>
          <w:highlight w:val="none"/>
          <w:u w:val="single"/>
          <w:lang w:eastAsia="zh-CN"/>
        </w:rPr>
        <w:t>CTZB-2023110267</w:t>
      </w: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u w:val="single"/>
          <w:lang w:eastAsia="zh-CN"/>
        </w:rPr>
      </w:pPr>
      <w:r>
        <w:rPr>
          <w:rFonts w:hint="eastAsia" w:ascii="宋体" w:hAnsi="宋体" w:eastAsia="宋体" w:cs="宋体"/>
          <w:color w:val="auto"/>
          <w:kern w:val="0"/>
          <w:sz w:val="24"/>
          <w:szCs w:val="22"/>
          <w:highlight w:val="none"/>
        </w:rPr>
        <w:t>标项名称：</w:t>
      </w:r>
      <w:r>
        <w:rPr>
          <w:rFonts w:hint="eastAsia" w:ascii="宋体" w:hAnsi="宋体" w:cs="宋体"/>
          <w:color w:val="auto"/>
          <w:kern w:val="0"/>
          <w:sz w:val="24"/>
          <w:szCs w:val="22"/>
          <w:highlight w:val="none"/>
          <w:u w:val="single"/>
          <w:lang w:eastAsia="zh-CN"/>
        </w:rPr>
        <w:t>2024年体彩爱心小板凳活动</w:t>
      </w:r>
    </w:p>
    <w:p>
      <w:pPr>
        <w:autoSpaceDE w:val="0"/>
        <w:autoSpaceDN w:val="0"/>
        <w:adjustRightInd w:val="0"/>
        <w:jc w:val="left"/>
        <w:rPr>
          <w:rFonts w:hint="eastAsia" w:ascii="宋体" w:hAnsi="宋体" w:eastAsia="宋体" w:cs="宋体"/>
          <w:b/>
          <w:bCs/>
          <w:color w:val="auto"/>
          <w:kern w:val="0"/>
          <w:sz w:val="44"/>
          <w:szCs w:val="44"/>
          <w:highlight w:val="none"/>
        </w:rPr>
      </w:pPr>
    </w:p>
    <w:p>
      <w:pPr>
        <w:autoSpaceDE w:val="0"/>
        <w:autoSpaceDN w:val="0"/>
        <w:adjustRightInd w:val="0"/>
        <w:jc w:val="left"/>
        <w:rPr>
          <w:rFonts w:hint="eastAsia" w:ascii="宋体" w:hAnsi="宋体" w:eastAsia="宋体" w:cs="宋体"/>
          <w:color w:val="auto"/>
          <w:kern w:val="0"/>
          <w:sz w:val="24"/>
          <w:highlight w:val="none"/>
        </w:rPr>
      </w:pPr>
    </w:p>
    <w:p>
      <w:pPr>
        <w:autoSpaceDE w:val="0"/>
        <w:autoSpaceDN w:val="0"/>
        <w:adjustRightInd w:val="0"/>
        <w:jc w:val="left"/>
        <w:rPr>
          <w:rFonts w:hint="eastAsia" w:ascii="宋体" w:hAnsi="宋体" w:eastAsia="宋体" w:cs="宋体"/>
          <w:color w:val="auto"/>
          <w:kern w:val="0"/>
          <w:sz w:val="24"/>
          <w:highlight w:val="none"/>
        </w:rPr>
      </w:pPr>
    </w:p>
    <w:p>
      <w:pPr>
        <w:autoSpaceDE w:val="0"/>
        <w:autoSpaceDN w:val="0"/>
        <w:adjustRightInd w:val="0"/>
        <w:jc w:val="left"/>
        <w:rPr>
          <w:rFonts w:hint="eastAsia" w:ascii="宋体" w:hAnsi="宋体" w:eastAsia="宋体" w:cs="宋体"/>
          <w:color w:val="auto"/>
          <w:kern w:val="0"/>
          <w:sz w:val="24"/>
          <w:highlight w:val="none"/>
        </w:rPr>
      </w:pPr>
    </w:p>
    <w:p>
      <w:pPr>
        <w:autoSpaceDE w:val="0"/>
        <w:autoSpaceDN w:val="0"/>
        <w:adjustRightInd w:val="0"/>
        <w:jc w:val="left"/>
        <w:rPr>
          <w:rFonts w:hint="eastAsia" w:ascii="宋体" w:hAnsi="宋体" w:eastAsia="宋体" w:cs="宋体"/>
          <w:color w:val="auto"/>
          <w:kern w:val="0"/>
          <w:sz w:val="24"/>
          <w:highlight w:val="none"/>
        </w:rPr>
      </w:pPr>
    </w:p>
    <w:p>
      <w:pPr>
        <w:autoSpaceDE w:val="0"/>
        <w:autoSpaceDN w:val="0"/>
        <w:adjustRightInd w:val="0"/>
        <w:jc w:val="left"/>
        <w:rPr>
          <w:rFonts w:hint="eastAsia" w:ascii="宋体" w:hAnsi="宋体" w:eastAsia="宋体" w:cs="宋体"/>
          <w:color w:val="auto"/>
          <w:kern w:val="0"/>
          <w:sz w:val="24"/>
          <w:highlight w:val="none"/>
        </w:rPr>
      </w:pPr>
    </w:p>
    <w:p>
      <w:pPr>
        <w:tabs>
          <w:tab w:val="left" w:pos="1805"/>
          <w:tab w:val="left" w:pos="5360"/>
        </w:tabs>
        <w:autoSpaceDE w:val="0"/>
        <w:autoSpaceDN w:val="0"/>
        <w:adjustRightInd w:val="0"/>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磋商响应文件</w:t>
      </w:r>
    </w:p>
    <w:p>
      <w:pPr>
        <w:tabs>
          <w:tab w:val="left" w:pos="1805"/>
          <w:tab w:val="left" w:pos="5360"/>
        </w:tabs>
        <w:autoSpaceDE w:val="0"/>
        <w:autoSpaceDN w:val="0"/>
        <w:adjustRightInd w:val="0"/>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（资格文件）</w:t>
      </w:r>
    </w:p>
    <w:p>
      <w:pPr>
        <w:autoSpaceDE w:val="0"/>
        <w:autoSpaceDN w:val="0"/>
        <w:adjustRightInd w:val="0"/>
        <w:jc w:val="left"/>
        <w:rPr>
          <w:rFonts w:hint="eastAsia" w:ascii="宋体" w:hAnsi="宋体" w:eastAsia="宋体" w:cs="宋体"/>
          <w:color w:val="auto"/>
          <w:kern w:val="0"/>
          <w:sz w:val="16"/>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tabs>
          <w:tab w:val="left" w:pos="6080"/>
          <w:tab w:val="left" w:pos="6640"/>
        </w:tabs>
        <w:autoSpaceDE w:val="0"/>
        <w:autoSpaceDN w:val="0"/>
        <w:adjustRightInd w:val="0"/>
        <w:jc w:val="center"/>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供应商全称：</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（盖单位公章）</w:t>
      </w:r>
    </w:p>
    <w:p>
      <w:pPr>
        <w:tabs>
          <w:tab w:val="left" w:pos="3280"/>
          <w:tab w:val="left" w:pos="4680"/>
          <w:tab w:val="left" w:pos="6080"/>
        </w:tabs>
        <w:autoSpaceDE w:val="0"/>
        <w:autoSpaceDN w:val="0"/>
        <w:adjustRightInd w:val="0"/>
        <w:jc w:val="center"/>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2023年   月   日</w:t>
      </w:r>
    </w:p>
    <w:p>
      <w:pPr>
        <w:tabs>
          <w:tab w:val="left" w:pos="3280"/>
          <w:tab w:val="left" w:pos="4680"/>
          <w:tab w:val="left" w:pos="6080"/>
        </w:tabs>
        <w:autoSpaceDE w:val="0"/>
        <w:autoSpaceDN w:val="0"/>
        <w:adjustRightInd w:val="0"/>
        <w:jc w:val="center"/>
        <w:rPr>
          <w:rFonts w:hint="eastAsia" w:ascii="宋体" w:hAnsi="宋体" w:eastAsia="宋体" w:cs="宋体"/>
          <w:color w:val="auto"/>
          <w:kern w:val="0"/>
          <w:sz w:val="28"/>
          <w:highlight w:val="none"/>
        </w:rPr>
      </w:pPr>
      <w:r>
        <w:rPr>
          <w:rFonts w:hint="eastAsia" w:ascii="宋体" w:hAnsi="宋体" w:eastAsia="宋体" w:cs="宋体"/>
          <w:color w:val="auto"/>
          <w:kern w:val="0"/>
          <w:szCs w:val="20"/>
          <w:highlight w:val="none"/>
        </w:rPr>
        <w:t>（说明：电子响应文件可不提供此封面）</w:t>
      </w:r>
    </w:p>
    <w:p>
      <w:pPr>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br w:type="page"/>
      </w:r>
    </w:p>
    <w:p>
      <w:pPr>
        <w:pStyle w:val="11"/>
        <w:rPr>
          <w:rFonts w:hint="eastAsia" w:ascii="宋体" w:hAnsi="宋体" w:eastAsia="宋体" w:cs="宋体"/>
          <w:color w:val="auto"/>
          <w:highlight w:val="none"/>
        </w:rPr>
      </w:pP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一、资格审查资料</w:t>
      </w:r>
      <w:bookmarkEnd w:id="78"/>
      <w:bookmarkEnd w:id="79"/>
      <w:bookmarkEnd w:id="80"/>
      <w:bookmarkEnd w:id="81"/>
      <w:bookmarkEnd w:id="82"/>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资格审查资料</w:t>
      </w:r>
    </w:p>
    <w:p>
      <w:pPr>
        <w:autoSpaceDE w:val="0"/>
        <w:autoSpaceDN w:val="0"/>
        <w:adjustRightInd w:val="0"/>
        <w:ind w:firstLine="420" w:firstLineChars="200"/>
        <w:jc w:val="left"/>
        <w:rPr>
          <w:rFonts w:hint="eastAsia" w:ascii="宋体" w:hAnsi="宋体" w:eastAsia="宋体" w:cs="宋体"/>
          <w:color w:val="auto"/>
          <w:kern w:val="0"/>
          <w:highlight w:val="none"/>
        </w:rPr>
      </w:pPr>
      <w:bookmarkStart w:id="83" w:name="_Toc335138375"/>
      <w:bookmarkStart w:id="84" w:name="_Toc303030577"/>
      <w:bookmarkStart w:id="85" w:name="_Toc230930643"/>
      <w:r>
        <w:rPr>
          <w:rFonts w:hint="eastAsia" w:ascii="宋体" w:hAnsi="宋体" w:eastAsia="宋体" w:cs="宋体"/>
          <w:color w:val="auto"/>
          <w:kern w:val="0"/>
          <w:highlight w:val="none"/>
        </w:rPr>
        <w:t>（一）资格审查须知</w:t>
      </w:r>
      <w:bookmarkEnd w:id="83"/>
      <w:bookmarkEnd w:id="84"/>
      <w:bookmarkEnd w:id="85"/>
    </w:p>
    <w:p>
      <w:pPr>
        <w:autoSpaceDE w:val="0"/>
        <w:autoSpaceDN w:val="0"/>
        <w:adjustRightInd w:val="0"/>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1、供应商必须认真填写采购文件规定的所有表格，并对其真实性负责，采购人有权对其进行调查核实和要求澄清。</w:t>
      </w:r>
    </w:p>
    <w:p>
      <w:pPr>
        <w:autoSpaceDE w:val="0"/>
        <w:autoSpaceDN w:val="0"/>
        <w:adjustRightInd w:val="0"/>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2、资格审查按通过和不通过两种方式进行评定，供应商的资格等方面的要求作为资格审查通过的强制性资格条件，经核实有一项不符合要求，则供应商的资格审查为不通过，对不通过的供应商的响应文件不进行后续评审。</w:t>
      </w:r>
    </w:p>
    <w:p>
      <w:pPr>
        <w:autoSpaceDE w:val="0"/>
        <w:autoSpaceDN w:val="0"/>
        <w:adjustRightInd w:val="0"/>
        <w:ind w:firstLine="420" w:firstLineChars="200"/>
        <w:jc w:val="left"/>
        <w:rPr>
          <w:rFonts w:hint="eastAsia" w:ascii="宋体" w:hAnsi="宋体" w:eastAsia="宋体" w:cs="宋体"/>
          <w:color w:val="auto"/>
          <w:kern w:val="0"/>
          <w:highlight w:val="none"/>
        </w:rPr>
      </w:pPr>
      <w:bookmarkStart w:id="86" w:name="_Toc227658251"/>
      <w:bookmarkStart w:id="87" w:name="_Toc179801514"/>
      <w:bookmarkStart w:id="88" w:name="_Toc191897610"/>
      <w:bookmarkStart w:id="89" w:name="_Toc208051215"/>
      <w:bookmarkStart w:id="90" w:name="_Toc303030578"/>
      <w:bookmarkStart w:id="91" w:name="_Toc208484561"/>
      <w:bookmarkStart w:id="92" w:name="_Toc179623472"/>
      <w:bookmarkStart w:id="93" w:name="_Toc335138376"/>
      <w:bookmarkStart w:id="94" w:name="_Toc204944488"/>
      <w:r>
        <w:rPr>
          <w:rFonts w:hint="eastAsia" w:ascii="宋体" w:hAnsi="宋体" w:eastAsia="宋体" w:cs="宋体"/>
          <w:color w:val="auto"/>
          <w:kern w:val="0"/>
          <w:highlight w:val="none"/>
        </w:rPr>
        <w:t>（二）资格审查资料</w:t>
      </w:r>
      <w:bookmarkEnd w:id="86"/>
      <w:bookmarkEnd w:id="87"/>
      <w:bookmarkEnd w:id="88"/>
      <w:bookmarkEnd w:id="89"/>
      <w:bookmarkEnd w:id="90"/>
      <w:bookmarkEnd w:id="91"/>
      <w:bookmarkEnd w:id="92"/>
      <w:bookmarkEnd w:id="93"/>
      <w:bookmarkEnd w:id="94"/>
      <w:r>
        <w:rPr>
          <w:rFonts w:hint="eastAsia" w:ascii="宋体" w:hAnsi="宋体" w:eastAsia="宋体" w:cs="宋体"/>
          <w:color w:val="auto"/>
          <w:kern w:val="0"/>
          <w:highlight w:val="none"/>
        </w:rPr>
        <w:t>格式</w:t>
      </w:r>
    </w:p>
    <w:p>
      <w:pPr>
        <w:autoSpaceDE w:val="0"/>
        <w:autoSpaceDN w:val="0"/>
        <w:adjustRightInd w:val="0"/>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表1 强制性资格条件</w:t>
      </w:r>
    </w:p>
    <w:p>
      <w:pPr>
        <w:autoSpaceDE w:val="0"/>
        <w:autoSpaceDN w:val="0"/>
        <w:adjustRightInd w:val="0"/>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表附件</w:t>
      </w:r>
    </w:p>
    <w:p>
      <w:pPr>
        <w:ind w:left="280" w:hanging="280" w:hangingChars="100"/>
        <w:outlineLvl w:val="2"/>
        <w:rPr>
          <w:rFonts w:hint="eastAsia" w:ascii="宋体" w:hAnsi="宋体" w:eastAsia="宋体" w:cs="宋体"/>
          <w:b/>
          <w:bCs/>
          <w:color w:val="auto"/>
          <w:highlight w:val="none"/>
        </w:rPr>
      </w:pPr>
      <w:bookmarkStart w:id="95" w:name="_Toc227658252"/>
      <w:bookmarkStart w:id="96" w:name="_Toc191897470"/>
      <w:bookmarkStart w:id="97" w:name="_Toc179801515"/>
      <w:bookmarkStart w:id="98" w:name="_Toc204944489"/>
      <w:bookmarkStart w:id="99" w:name="_Toc191897611"/>
      <w:bookmarkStart w:id="100" w:name="_Toc208051216"/>
      <w:bookmarkStart w:id="101" w:name="_Toc208484562"/>
      <w:r>
        <w:rPr>
          <w:rFonts w:hint="eastAsia" w:ascii="宋体" w:hAnsi="宋体" w:eastAsia="宋体" w:cs="宋体"/>
          <w:color w:val="auto"/>
          <w:sz w:val="28"/>
          <w:szCs w:val="28"/>
          <w:highlight w:val="none"/>
        </w:rPr>
        <w:br w:type="page"/>
      </w:r>
      <w:bookmarkEnd w:id="95"/>
      <w:bookmarkEnd w:id="96"/>
      <w:bookmarkEnd w:id="97"/>
      <w:bookmarkEnd w:id="98"/>
      <w:bookmarkEnd w:id="99"/>
      <w:bookmarkEnd w:id="100"/>
      <w:bookmarkEnd w:id="101"/>
      <w:bookmarkStart w:id="102" w:name="_Toc204944490"/>
      <w:bookmarkStart w:id="103" w:name="_Toc179801516"/>
      <w:bookmarkStart w:id="104" w:name="_Toc208051217"/>
      <w:bookmarkStart w:id="105" w:name="_Toc208484563"/>
      <w:bookmarkStart w:id="106" w:name="_Toc191897612"/>
      <w:bookmarkStart w:id="107" w:name="_Toc179623474"/>
      <w:bookmarkStart w:id="108" w:name="_Toc335138377"/>
      <w:bookmarkStart w:id="109" w:name="_Toc227658253"/>
      <w:bookmarkStart w:id="110" w:name="_Toc303030579"/>
      <w:r>
        <w:rPr>
          <w:rFonts w:hint="eastAsia" w:ascii="宋体" w:hAnsi="宋体" w:eastAsia="宋体" w:cs="宋体"/>
          <w:b/>
          <w:bCs/>
          <w:color w:val="auto"/>
          <w:highlight w:val="none"/>
        </w:rPr>
        <w:t>表1：强制性资格条件</w:t>
      </w:r>
      <w:bookmarkEnd w:id="102"/>
      <w:bookmarkEnd w:id="103"/>
      <w:bookmarkEnd w:id="104"/>
      <w:bookmarkEnd w:id="105"/>
      <w:bookmarkEnd w:id="106"/>
      <w:bookmarkEnd w:id="107"/>
      <w:bookmarkEnd w:id="108"/>
      <w:bookmarkEnd w:id="109"/>
      <w:bookmarkEnd w:id="110"/>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强制性资格条件表</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采购人：</w:t>
      </w:r>
      <w:r>
        <w:rPr>
          <w:rFonts w:hint="eastAsia" w:ascii="宋体" w:hAnsi="宋体" w:eastAsia="宋体" w:cs="宋体"/>
          <w:color w:val="auto"/>
          <w:highlight w:val="none"/>
          <w:lang w:eastAsia="zh-CN"/>
        </w:rPr>
        <w:t>浙江省体育彩票管理中心</w:t>
      </w:r>
    </w:p>
    <w:p>
      <w:pPr>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cs="宋体"/>
          <w:color w:val="auto"/>
          <w:highlight w:val="none"/>
          <w:lang w:eastAsia="zh-CN"/>
        </w:rPr>
        <w:t>2024年体彩爱心小板凳活动</w:t>
      </w:r>
      <w:r>
        <w:rPr>
          <w:rFonts w:hint="eastAsia" w:ascii="宋体" w:hAnsi="宋体" w:eastAsia="宋体" w:cs="宋体"/>
          <w:color w:val="auto"/>
          <w:highlight w:val="none"/>
        </w:rPr>
        <w:t>项目</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项目编号：</w:t>
      </w:r>
      <w:r>
        <w:rPr>
          <w:rFonts w:hint="eastAsia" w:ascii="宋体" w:hAnsi="宋体" w:cs="宋体"/>
          <w:color w:val="auto"/>
          <w:highlight w:val="none"/>
          <w:lang w:eastAsia="zh-CN"/>
        </w:rPr>
        <w:t>CTZB-2023110267</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标项名称：</w:t>
      </w:r>
      <w:r>
        <w:rPr>
          <w:rFonts w:hint="eastAsia" w:ascii="宋体" w:hAnsi="宋体" w:cs="宋体"/>
          <w:color w:val="auto"/>
          <w:highlight w:val="none"/>
          <w:lang w:eastAsia="zh-CN"/>
        </w:rPr>
        <w:t>2024年体彩爱心小板凳活动</w:t>
      </w:r>
    </w:p>
    <w:tbl>
      <w:tblPr>
        <w:tblStyle w:val="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5060"/>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5079"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资格条件</w:t>
            </w:r>
          </w:p>
        </w:tc>
        <w:tc>
          <w:tcPr>
            <w:tcW w:w="3841"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以下证明材料附后（除承诺函、说明、声明外的其他证件提供复印件）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 w:type="dxa"/>
            <w:vAlign w:val="center"/>
          </w:tcPr>
          <w:p>
            <w:pPr>
              <w:adjustRightInd w:val="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w:t>
            </w:r>
          </w:p>
        </w:tc>
        <w:tc>
          <w:tcPr>
            <w:tcW w:w="5079" w:type="dxa"/>
            <w:vAlign w:val="center"/>
          </w:tcPr>
          <w:p>
            <w:pPr>
              <w:adjustRightInd w:val="0"/>
              <w:jc w:val="left"/>
              <w:rPr>
                <w:rFonts w:hint="eastAsia" w:ascii="宋体" w:hAnsi="宋体" w:eastAsia="宋体" w:cs="宋体"/>
                <w:b/>
                <w:bCs/>
                <w:color w:val="auto"/>
                <w:szCs w:val="21"/>
                <w:highlight w:val="none"/>
              </w:rPr>
            </w:pPr>
            <w:r>
              <w:rPr>
                <w:rFonts w:hint="eastAsia" w:ascii="宋体" w:hAnsi="宋体" w:eastAsia="宋体" w:cs="宋体"/>
                <w:b/>
                <w:bCs/>
                <w:color w:val="auto"/>
                <w:kern w:val="0"/>
                <w:szCs w:val="21"/>
                <w:highlight w:val="none"/>
              </w:rPr>
              <w:t>基本资格要求：</w:t>
            </w:r>
          </w:p>
        </w:tc>
        <w:tc>
          <w:tcPr>
            <w:tcW w:w="3841" w:type="dxa"/>
            <w:vAlign w:val="center"/>
          </w:tcPr>
          <w:p>
            <w:pPr>
              <w:adjustRightInd w:val="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5079"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kern w:val="0"/>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c>
          <w:tcPr>
            <w:tcW w:w="3841"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（1）符合资格条件的声明函。【证明材料1】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 w:type="dxa"/>
            <w:vAlign w:val="center"/>
          </w:tcPr>
          <w:p>
            <w:pPr>
              <w:adjustRightInd w:val="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w:t>
            </w:r>
          </w:p>
        </w:tc>
        <w:tc>
          <w:tcPr>
            <w:tcW w:w="5079" w:type="dxa"/>
            <w:vAlign w:val="center"/>
          </w:tcPr>
          <w:p>
            <w:pPr>
              <w:adjustRightInd w:val="0"/>
              <w:jc w:val="left"/>
              <w:rPr>
                <w:rFonts w:hint="eastAsia" w:ascii="宋体" w:hAnsi="宋体" w:eastAsia="宋体" w:cs="宋体"/>
                <w:b/>
                <w:bCs/>
                <w:color w:val="auto"/>
                <w:kern w:val="0"/>
                <w:szCs w:val="21"/>
                <w:highlight w:val="none"/>
              </w:rPr>
            </w:pPr>
            <w:r>
              <w:rPr>
                <w:rFonts w:hint="eastAsia" w:ascii="宋体" w:hAnsi="宋体" w:eastAsia="宋体" w:cs="宋体"/>
                <w:b/>
                <w:bCs/>
                <w:color w:val="auto"/>
                <w:kern w:val="0"/>
                <w:szCs w:val="21"/>
                <w:highlight w:val="none"/>
              </w:rPr>
              <w:t>落实政府采购政策需满足的资格要求：</w:t>
            </w:r>
          </w:p>
        </w:tc>
        <w:tc>
          <w:tcPr>
            <w:tcW w:w="3841" w:type="dxa"/>
            <w:vAlign w:val="center"/>
          </w:tcPr>
          <w:p>
            <w:pPr>
              <w:adjustRightInd w:val="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 w:type="dxa"/>
            <w:vAlign w:val="center"/>
          </w:tcPr>
          <w:p>
            <w:pPr>
              <w:adjustRightInd w:val="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3.</w:t>
            </w:r>
          </w:p>
        </w:tc>
        <w:tc>
          <w:tcPr>
            <w:tcW w:w="5079" w:type="dxa"/>
            <w:vAlign w:val="center"/>
          </w:tcPr>
          <w:p>
            <w:pPr>
              <w:adjustRightInd w:val="0"/>
              <w:jc w:val="left"/>
              <w:rPr>
                <w:rFonts w:hint="eastAsia" w:ascii="宋体" w:hAnsi="宋体" w:eastAsia="宋体" w:cs="宋体"/>
                <w:b/>
                <w:bCs/>
                <w:color w:val="auto"/>
                <w:szCs w:val="21"/>
                <w:highlight w:val="none"/>
              </w:rPr>
            </w:pPr>
            <w:r>
              <w:rPr>
                <w:rFonts w:hint="eastAsia" w:ascii="宋体" w:hAnsi="宋体" w:eastAsia="宋体" w:cs="宋体"/>
                <w:b/>
                <w:bCs/>
                <w:color w:val="auto"/>
                <w:kern w:val="0"/>
                <w:szCs w:val="21"/>
                <w:highlight w:val="none"/>
              </w:rPr>
              <w:t>特定资格要求：</w:t>
            </w:r>
          </w:p>
        </w:tc>
        <w:tc>
          <w:tcPr>
            <w:tcW w:w="3841" w:type="dxa"/>
            <w:vAlign w:val="center"/>
          </w:tcPr>
          <w:p>
            <w:pPr>
              <w:adjustRightInd w:val="0"/>
              <w:jc w:val="left"/>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3.1</w:t>
            </w:r>
          </w:p>
        </w:tc>
        <w:tc>
          <w:tcPr>
            <w:tcW w:w="5079" w:type="dxa"/>
            <w:vAlign w:val="center"/>
          </w:tcPr>
          <w:p>
            <w:pPr>
              <w:widowControl/>
              <w:adjustRightInd w:val="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（1）单位负责人为同一人或者存在直接控股、管理关系的不同供应商，不得参加本项目的政府采购活动；</w:t>
            </w:r>
          </w:p>
        </w:tc>
        <w:tc>
          <w:tcPr>
            <w:tcW w:w="3841"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（2）与其他供应商无利害关系的声明函。【证明材料2】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3.2</w:t>
            </w:r>
          </w:p>
        </w:tc>
        <w:tc>
          <w:tcPr>
            <w:tcW w:w="5079" w:type="dxa"/>
            <w:vAlign w:val="center"/>
          </w:tcPr>
          <w:p>
            <w:pPr>
              <w:widowControl/>
              <w:adjustRightInd w:val="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3841"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◇属于此种情形的供应商除基本资格要求应提供资料外。还应提供以下资料：</w:t>
            </w:r>
          </w:p>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（3）金融、保险、通讯等特定行业的全国性企业所设立的区域性分支机构提供总公司（总机构）授权或能够提供房产权证或其他有效财产证明材料；</w:t>
            </w:r>
          </w:p>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（4）个体工商户、个人独资企业、合伙企业应提供房产权证或其他有效财产证明材料。</w:t>
            </w:r>
          </w:p>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◇不属于此种情况的供应商提供以下资料：</w:t>
            </w:r>
          </w:p>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（5）企业类型的声明函。</w:t>
            </w:r>
          </w:p>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【证明材料3】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82"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3.3</w:t>
            </w:r>
          </w:p>
        </w:tc>
        <w:tc>
          <w:tcPr>
            <w:tcW w:w="5079"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（3）公益一类事业单位、使用事业编制且由财政拨款保障的群团组织，不得参加本项目的政府采购活动；</w:t>
            </w:r>
          </w:p>
        </w:tc>
        <w:tc>
          <w:tcPr>
            <w:tcW w:w="3841" w:type="dxa"/>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（6）单位性质声明函。【证明材料4】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Align w:val="center"/>
          </w:tcPr>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3.4</w:t>
            </w:r>
          </w:p>
        </w:tc>
        <w:tc>
          <w:tcPr>
            <w:tcW w:w="5079" w:type="dxa"/>
            <w:vAlign w:val="center"/>
          </w:tcPr>
          <w:p>
            <w:pPr>
              <w:adjustRightInd w:val="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（4）接受联合体，联合体参加本项目的政府采购活动应满足以下条件：</w:t>
            </w:r>
          </w:p>
          <w:p>
            <w:pPr>
              <w:adjustRightInd w:val="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◇两个以上的自然人、法人或者其他组织可以组成一个联合体，以一个供应商的身份共同参加本项目的政府采购活动，联合体在响应文件中提供联合协议书并明确分工；</w:t>
            </w:r>
          </w:p>
          <w:p>
            <w:pPr>
              <w:adjustRightInd w:val="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◇联合体主办单位和成员单位均应具备资格要求1、2及特定资格要求第（1）（2）（3）项；</w:t>
            </w:r>
          </w:p>
          <w:p>
            <w:pPr>
              <w:adjustRightInd w:val="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◇联合体中有同类资质的供应商按照联合体分工承担相同工作，按资质等级较低的供应商确定资质等级；</w:t>
            </w:r>
          </w:p>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◇联合体各方不得再单独参加或与其他供应商另外组成联合体参加本项目的政府采购活动。</w:t>
            </w:r>
          </w:p>
        </w:tc>
        <w:tc>
          <w:tcPr>
            <w:tcW w:w="3841" w:type="dxa"/>
            <w:vAlign w:val="center"/>
          </w:tcPr>
          <w:p>
            <w:pPr>
              <w:adjustRightInd w:val="0"/>
              <w:jc w:val="left"/>
              <w:rPr>
                <w:rFonts w:hint="eastAsia" w:ascii="宋体" w:hAnsi="宋体" w:eastAsia="宋体" w:cs="宋体"/>
                <w:color w:val="auto"/>
                <w:highlight w:val="none"/>
              </w:rPr>
            </w:pPr>
            <w:r>
              <w:rPr>
                <w:rFonts w:hint="eastAsia" w:ascii="宋体" w:hAnsi="宋体" w:eastAsia="宋体" w:cs="宋体"/>
                <w:color w:val="auto"/>
                <w:szCs w:val="21"/>
                <w:highlight w:val="none"/>
              </w:rPr>
              <w:t>（7）非联合体提供《</w:t>
            </w:r>
            <w:r>
              <w:rPr>
                <w:rFonts w:hint="eastAsia" w:ascii="宋体" w:hAnsi="宋体" w:eastAsia="宋体" w:cs="宋体"/>
                <w:color w:val="auto"/>
                <w:highlight w:val="none"/>
              </w:rPr>
              <w:t>非联合体的声明函</w:t>
            </w:r>
            <w:r>
              <w:rPr>
                <w:rFonts w:hint="eastAsia" w:ascii="宋体" w:hAnsi="宋体" w:eastAsia="宋体" w:cs="宋体"/>
                <w:color w:val="auto"/>
                <w:szCs w:val="21"/>
                <w:highlight w:val="none"/>
              </w:rPr>
              <w:t>》、</w:t>
            </w:r>
            <w:r>
              <w:rPr>
                <w:rFonts w:hint="eastAsia" w:ascii="宋体" w:hAnsi="宋体" w:eastAsia="宋体" w:cs="宋体"/>
                <w:color w:val="auto"/>
                <w:highlight w:val="none"/>
              </w:rPr>
              <w:t>联合体提供《</w:t>
            </w:r>
            <w:r>
              <w:rPr>
                <w:rFonts w:hint="eastAsia" w:ascii="宋体" w:hAnsi="宋体" w:eastAsia="宋体" w:cs="宋体"/>
                <w:color w:val="auto"/>
                <w:szCs w:val="21"/>
                <w:highlight w:val="none"/>
              </w:rPr>
              <w:t>联合协议书</w:t>
            </w:r>
            <w:r>
              <w:rPr>
                <w:rFonts w:hint="eastAsia" w:ascii="宋体" w:hAnsi="宋体" w:eastAsia="宋体" w:cs="宋体"/>
                <w:color w:val="auto"/>
                <w:highlight w:val="none"/>
              </w:rPr>
              <w:t>》。</w:t>
            </w:r>
          </w:p>
          <w:p>
            <w:pPr>
              <w:adjustRightInd w:val="0"/>
              <w:jc w:val="left"/>
              <w:rPr>
                <w:rFonts w:hint="eastAsia" w:ascii="宋体" w:hAnsi="宋体" w:eastAsia="宋体" w:cs="宋体"/>
                <w:color w:val="auto"/>
                <w:szCs w:val="21"/>
                <w:highlight w:val="none"/>
              </w:rPr>
            </w:pPr>
            <w:r>
              <w:rPr>
                <w:rFonts w:hint="eastAsia" w:ascii="宋体" w:hAnsi="宋体" w:eastAsia="宋体" w:cs="宋体"/>
                <w:color w:val="auto"/>
                <w:highlight w:val="none"/>
              </w:rPr>
              <w:t>【</w:t>
            </w:r>
            <w:r>
              <w:rPr>
                <w:rFonts w:hint="eastAsia" w:ascii="宋体" w:hAnsi="宋体" w:eastAsia="宋体" w:cs="宋体"/>
                <w:color w:val="auto"/>
                <w:szCs w:val="21"/>
                <w:highlight w:val="none"/>
              </w:rPr>
              <w:t>证明材料5</w:t>
            </w:r>
            <w:r>
              <w:rPr>
                <w:rFonts w:hint="eastAsia" w:ascii="宋体" w:hAnsi="宋体" w:eastAsia="宋体" w:cs="宋体"/>
                <w:color w:val="auto"/>
                <w:highlight w:val="none"/>
              </w:rPr>
              <w:t>】</w:t>
            </w:r>
          </w:p>
        </w:tc>
      </w:tr>
    </w:tbl>
    <w:p>
      <w:pPr>
        <w:ind w:firstLine="422" w:firstLineChars="200"/>
        <w:jc w:val="left"/>
        <w:rPr>
          <w:rFonts w:hint="eastAsia" w:ascii="宋体" w:hAnsi="宋体" w:eastAsia="宋体" w:cs="宋体"/>
          <w:b/>
          <w:bCs/>
          <w:color w:val="auto"/>
          <w:szCs w:val="21"/>
          <w:highlight w:val="none"/>
          <w:u w:val="single"/>
        </w:rPr>
      </w:pPr>
      <w:r>
        <w:rPr>
          <w:rFonts w:hint="eastAsia" w:ascii="宋体" w:hAnsi="宋体" w:eastAsia="宋体" w:cs="宋体"/>
          <w:b/>
          <w:bCs/>
          <w:color w:val="auto"/>
          <w:szCs w:val="21"/>
          <w:highlight w:val="none"/>
          <w:u w:val="single"/>
        </w:rPr>
        <w:t>说明：【证明材料需加盖供应商单位公章。】</w:t>
      </w:r>
    </w:p>
    <w:p>
      <w:pPr>
        <w:ind w:firstLine="422" w:firstLineChars="200"/>
        <w:jc w:val="left"/>
        <w:rPr>
          <w:rFonts w:hint="eastAsia" w:ascii="宋体" w:hAnsi="宋体" w:eastAsia="宋体" w:cs="宋体"/>
          <w:b/>
          <w:bCs/>
          <w:color w:val="auto"/>
          <w:szCs w:val="21"/>
          <w:highlight w:val="none"/>
          <w:u w:val="single"/>
        </w:rPr>
      </w:pPr>
      <w:r>
        <w:rPr>
          <w:rFonts w:hint="eastAsia" w:ascii="宋体" w:hAnsi="宋体" w:eastAsia="宋体" w:cs="宋体"/>
          <w:b/>
          <w:bCs/>
          <w:color w:val="auto"/>
          <w:szCs w:val="21"/>
          <w:highlight w:val="none"/>
          <w:u w:val="single"/>
        </w:rPr>
        <w:t>【以联合体形式参与采购活动，联合体的各方均应满足资格条件并分别提供资格审查材料予以证明】</w:t>
      </w:r>
    </w:p>
    <w:p>
      <w:pPr>
        <w:pStyle w:val="11"/>
        <w:rPr>
          <w:rFonts w:hint="eastAsia" w:ascii="宋体" w:hAnsi="宋体" w:eastAsia="宋体" w:cs="宋体"/>
          <w:color w:val="auto"/>
          <w:highlight w:val="none"/>
        </w:rPr>
      </w:pP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【证明材料1】符合资格条件的声明函</w:t>
      </w: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符合资格条件的声明函</w:t>
      </w:r>
    </w:p>
    <w:p>
      <w:pPr>
        <w:rPr>
          <w:rFonts w:hint="eastAsia" w:ascii="宋体" w:hAnsi="宋体" w:eastAsia="宋体" w:cs="宋体"/>
          <w:color w:val="auto"/>
          <w:highlight w:val="none"/>
          <w:u w:val="single"/>
        </w:rPr>
      </w:pP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u w:val="single"/>
        </w:rPr>
        <w:t>：</w:t>
      </w:r>
    </w:p>
    <w:p>
      <w:pPr>
        <w:rPr>
          <w:rFonts w:hint="eastAsia" w:ascii="宋体" w:hAnsi="宋体" w:eastAsia="宋体" w:cs="宋体"/>
          <w:color w:val="auto"/>
          <w:kern w:val="0"/>
          <w:szCs w:val="21"/>
          <w:highlight w:val="none"/>
        </w:rPr>
      </w:pPr>
      <w:r>
        <w:rPr>
          <w:rFonts w:hint="eastAsia" w:ascii="宋体" w:hAnsi="宋体" w:eastAsia="宋体" w:cs="宋体"/>
          <w:color w:val="auto"/>
          <w:highlight w:val="none"/>
          <w:u w:val="single"/>
        </w:rPr>
        <w:t>浙江省成套招标代理有限公司</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截至</w:t>
      </w: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rPr>
        <w:t>（采购人）</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u w:val="single"/>
        </w:rPr>
        <w:t>项目</w:t>
      </w:r>
      <w:r>
        <w:rPr>
          <w:rFonts w:hint="eastAsia" w:ascii="宋体" w:hAnsi="宋体" w:eastAsia="宋体" w:cs="宋体"/>
          <w:color w:val="auto"/>
          <w:highlight w:val="none"/>
        </w:rPr>
        <w:t>（项目名称）</w:t>
      </w:r>
      <w:r>
        <w:rPr>
          <w:rFonts w:hint="eastAsia" w:ascii="宋体" w:hAnsi="宋体" w:cs="宋体"/>
          <w:color w:val="auto"/>
          <w:highlight w:val="none"/>
          <w:u w:val="single"/>
          <w:lang w:eastAsia="zh-CN"/>
        </w:rPr>
        <w:t>CTZB-2023110267</w:t>
      </w:r>
      <w:r>
        <w:rPr>
          <w:rFonts w:hint="eastAsia" w:ascii="宋体" w:hAnsi="宋体" w:eastAsia="宋体" w:cs="宋体"/>
          <w:color w:val="auto"/>
          <w:highlight w:val="none"/>
        </w:rPr>
        <w:t>（项目编号）</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rPr>
        <w:t>（标项名称）的磋商响应文件提交截止</w:t>
      </w:r>
      <w:r>
        <w:rPr>
          <w:rFonts w:hint="eastAsia" w:ascii="宋体" w:hAnsi="宋体" w:eastAsia="宋体" w:cs="宋体"/>
          <w:color w:val="auto"/>
          <w:szCs w:val="21"/>
          <w:highlight w:val="none"/>
        </w:rPr>
        <w:t>时间，具有良好的商业信誉，依法缴纳税收和社会保障资金，</w:t>
      </w:r>
      <w:r>
        <w:rPr>
          <w:rFonts w:hint="eastAsia" w:ascii="宋体" w:hAnsi="宋体" w:eastAsia="宋体" w:cs="宋体"/>
          <w:color w:val="auto"/>
          <w:kern w:val="0"/>
          <w:szCs w:val="21"/>
          <w:highlight w:val="none"/>
        </w:rPr>
        <w:t>具有履行合同所必需的设备和专业技术能力，未被列入失信被执行人名单、重大税收违法案件当事人名单、政府采购严重违法失信行为记录名单，</w:t>
      </w:r>
      <w:r>
        <w:rPr>
          <w:rFonts w:hint="eastAsia" w:ascii="宋体" w:hAnsi="宋体" w:eastAsia="宋体" w:cs="宋体"/>
          <w:color w:val="auto"/>
          <w:szCs w:val="21"/>
          <w:highlight w:val="none"/>
        </w:rPr>
        <w:t>在参加政府采购活动前三年内没有重大违法记录（重大违法记录是指因违法经营受到刑事处罚、被责令停产停业、被吊销许可证或者执照、被处以较大数额罚款等行政处罚），没有因违法经营被禁止参加政府采购活动的期限未满情形</w:t>
      </w:r>
      <w:r>
        <w:rPr>
          <w:rFonts w:hint="eastAsia" w:ascii="宋体" w:hAnsi="宋体" w:eastAsia="宋体" w:cs="宋体"/>
          <w:color w:val="auto"/>
          <w:kern w:val="0"/>
          <w:szCs w:val="21"/>
          <w:highlight w:val="none"/>
        </w:rPr>
        <w:t>。</w:t>
      </w:r>
    </w:p>
    <w:p>
      <w:pPr>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我方</w:t>
      </w:r>
      <w:r>
        <w:rPr>
          <w:rFonts w:hint="eastAsia" w:ascii="宋体" w:hAnsi="宋体" w:eastAsia="宋体" w:cs="宋体"/>
          <w:color w:val="auto"/>
          <w:kern w:val="0"/>
          <w:szCs w:val="21"/>
          <w:highlight w:val="none"/>
        </w:rPr>
        <w:t>对上述声明的真实性负责。如有虚假，愿意承担相应责任，对此无任何异议。</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特此声明！</w:t>
      </w:r>
    </w:p>
    <w:p>
      <w:pPr>
        <w:ind w:firstLine="420" w:firstLineChars="200"/>
        <w:rPr>
          <w:rFonts w:hint="eastAsia" w:ascii="宋体" w:hAnsi="宋体" w:eastAsia="宋体" w:cs="宋体"/>
          <w:color w:val="auto"/>
          <w:szCs w:val="21"/>
          <w:highlight w:val="none"/>
        </w:rPr>
      </w:pPr>
    </w:p>
    <w:p>
      <w:pPr>
        <w:adjustRightInd w:val="0"/>
        <w:ind w:firstLine="420" w:firstLineChars="200"/>
        <w:rPr>
          <w:rFonts w:hint="eastAsia" w:ascii="宋体" w:hAnsi="宋体" w:eastAsia="宋体" w:cs="宋体"/>
          <w:color w:val="auto"/>
          <w:spacing w:val="20"/>
          <w:szCs w:val="21"/>
          <w:highlight w:val="none"/>
          <w:u w:val="single"/>
        </w:rPr>
      </w:pPr>
      <w:r>
        <w:rPr>
          <w:rFonts w:hint="eastAsia" w:ascii="宋体" w:hAnsi="宋体" w:eastAsia="宋体" w:cs="宋体"/>
          <w:color w:val="auto"/>
          <w:szCs w:val="21"/>
          <w:highlight w:val="none"/>
        </w:rPr>
        <w:t>供应商全称：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日期：2023年  月  日</w:t>
      </w:r>
    </w:p>
    <w:p>
      <w:pPr>
        <w:ind w:firstLine="422" w:firstLineChars="200"/>
        <w:rPr>
          <w:rFonts w:hint="eastAsia" w:ascii="宋体" w:hAnsi="宋体" w:eastAsia="宋体" w:cs="宋体"/>
          <w:b/>
          <w:bCs/>
          <w:color w:val="auto"/>
          <w:szCs w:val="21"/>
          <w:highlight w:val="none"/>
          <w:u w:val="single"/>
        </w:rPr>
      </w:pPr>
      <w:r>
        <w:rPr>
          <w:rFonts w:hint="eastAsia" w:ascii="宋体" w:hAnsi="宋体" w:eastAsia="宋体" w:cs="宋体"/>
          <w:b/>
          <w:bCs/>
          <w:color w:val="auto"/>
          <w:szCs w:val="21"/>
          <w:highlight w:val="none"/>
          <w:u w:val="single"/>
        </w:rPr>
        <w:t>说明：以联合体形式参与采购活动，联合体的各方均应提供此声明函。</w:t>
      </w:r>
    </w:p>
    <w:p>
      <w:pPr>
        <w:ind w:firstLine="420" w:firstLineChars="200"/>
        <w:rPr>
          <w:rFonts w:hint="eastAsia" w:ascii="宋体" w:hAnsi="宋体" w:eastAsia="宋体" w:cs="宋体"/>
          <w:color w:val="auto"/>
          <w:highlight w:val="none"/>
        </w:rPr>
      </w:pPr>
    </w:p>
    <w:p>
      <w:pPr>
        <w:ind w:firstLine="420" w:firstLineChars="200"/>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tabs>
          <w:tab w:val="left" w:pos="720"/>
        </w:tabs>
        <w:ind w:firstLine="420"/>
        <w:rPr>
          <w:rFonts w:hint="eastAsia" w:ascii="宋体" w:hAnsi="宋体" w:eastAsia="宋体" w:cs="宋体"/>
          <w:color w:val="auto"/>
          <w:highlight w:val="none"/>
        </w:rPr>
      </w:pPr>
      <w:r>
        <w:rPr>
          <w:rFonts w:hint="eastAsia" w:ascii="宋体" w:hAnsi="宋体" w:eastAsia="宋体" w:cs="宋体"/>
          <w:color w:val="auto"/>
          <w:highlight w:val="none"/>
        </w:rPr>
        <w:t>【证明材料2】与其他供应商无利害关系的声明函</w:t>
      </w: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与其他供应商无利害关系的声明函</w:t>
      </w:r>
    </w:p>
    <w:p>
      <w:pPr>
        <w:rPr>
          <w:rFonts w:hint="eastAsia" w:ascii="宋体" w:hAnsi="宋体" w:eastAsia="宋体" w:cs="宋体"/>
          <w:color w:val="auto"/>
          <w:highlight w:val="none"/>
          <w:u w:val="single"/>
        </w:rPr>
      </w:pP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u w:val="single"/>
        </w:rPr>
        <w:t>：</w:t>
      </w:r>
    </w:p>
    <w:p>
      <w:pPr>
        <w:rPr>
          <w:rFonts w:hint="eastAsia" w:ascii="宋体" w:hAnsi="宋体" w:eastAsia="宋体" w:cs="宋体"/>
          <w:color w:val="auto"/>
          <w:szCs w:val="21"/>
          <w:highlight w:val="none"/>
          <w:u w:val="single"/>
        </w:rPr>
      </w:pPr>
      <w:r>
        <w:rPr>
          <w:rFonts w:hint="eastAsia" w:ascii="宋体" w:hAnsi="宋体" w:eastAsia="宋体" w:cs="宋体"/>
          <w:color w:val="auto"/>
          <w:highlight w:val="none"/>
          <w:u w:val="single"/>
        </w:rPr>
        <w:t>浙江省成套招标代理有限公司</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我方参加</w:t>
      </w: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rPr>
        <w:t>（采购人）</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u w:val="single"/>
        </w:rPr>
        <w:t>项目</w:t>
      </w:r>
      <w:r>
        <w:rPr>
          <w:rFonts w:hint="eastAsia" w:ascii="宋体" w:hAnsi="宋体" w:eastAsia="宋体" w:cs="宋体"/>
          <w:color w:val="auto"/>
          <w:highlight w:val="none"/>
        </w:rPr>
        <w:t>（项目名称）</w:t>
      </w:r>
      <w:r>
        <w:rPr>
          <w:rFonts w:hint="eastAsia" w:ascii="宋体" w:hAnsi="宋体" w:cs="宋体"/>
          <w:color w:val="auto"/>
          <w:highlight w:val="none"/>
          <w:u w:val="single"/>
          <w:lang w:eastAsia="zh-CN"/>
        </w:rPr>
        <w:t>CTZB-2023110267</w:t>
      </w:r>
      <w:r>
        <w:rPr>
          <w:rFonts w:hint="eastAsia" w:ascii="宋体" w:hAnsi="宋体" w:eastAsia="宋体" w:cs="宋体"/>
          <w:color w:val="auto"/>
          <w:highlight w:val="none"/>
        </w:rPr>
        <w:t>（项目编号）</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rPr>
        <w:t>（标项名称）</w:t>
      </w:r>
      <w:r>
        <w:rPr>
          <w:rFonts w:hint="eastAsia" w:ascii="宋体" w:hAnsi="宋体" w:eastAsia="宋体" w:cs="宋体"/>
          <w:color w:val="auto"/>
          <w:szCs w:val="21"/>
          <w:highlight w:val="none"/>
        </w:rPr>
        <w:t>政府采购活动，与同一标项的其他供应商不存在单位负责人为同一人或</w:t>
      </w:r>
      <w:r>
        <w:rPr>
          <w:rFonts w:hint="eastAsia" w:ascii="宋体" w:hAnsi="宋体" w:eastAsia="宋体" w:cs="宋体"/>
          <w:color w:val="auto"/>
          <w:kern w:val="0"/>
          <w:szCs w:val="21"/>
          <w:highlight w:val="none"/>
        </w:rPr>
        <w:t>存在直接控股、管理关系。</w:t>
      </w:r>
    </w:p>
    <w:p>
      <w:pPr>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我方</w:t>
      </w:r>
      <w:r>
        <w:rPr>
          <w:rFonts w:hint="eastAsia" w:ascii="宋体" w:hAnsi="宋体" w:eastAsia="宋体" w:cs="宋体"/>
          <w:color w:val="auto"/>
          <w:kern w:val="0"/>
          <w:szCs w:val="21"/>
          <w:highlight w:val="none"/>
        </w:rPr>
        <w:t>对上述声明的真实性负责。如有虚假，愿意承担相应责任，对此无任何异议。</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特此声明！</w:t>
      </w:r>
    </w:p>
    <w:p>
      <w:pPr>
        <w:adjustRightInd w:val="0"/>
        <w:ind w:firstLine="420" w:firstLineChars="200"/>
        <w:rPr>
          <w:rFonts w:hint="eastAsia" w:ascii="宋体" w:hAnsi="宋体" w:eastAsia="宋体" w:cs="宋体"/>
          <w:color w:val="auto"/>
          <w:spacing w:val="20"/>
          <w:szCs w:val="21"/>
          <w:highlight w:val="none"/>
          <w:u w:val="single"/>
        </w:rPr>
      </w:pPr>
      <w:r>
        <w:rPr>
          <w:rFonts w:hint="eastAsia" w:ascii="宋体" w:hAnsi="宋体" w:eastAsia="宋体" w:cs="宋体"/>
          <w:color w:val="auto"/>
          <w:szCs w:val="21"/>
          <w:highlight w:val="none"/>
        </w:rPr>
        <w:t>供应商全称：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日期：2023年  月  日</w:t>
      </w:r>
    </w:p>
    <w:p>
      <w:pPr>
        <w:ind w:firstLine="422" w:firstLineChars="200"/>
        <w:rPr>
          <w:rFonts w:hint="eastAsia" w:ascii="宋体" w:hAnsi="宋体" w:eastAsia="宋体" w:cs="宋体"/>
          <w:b/>
          <w:bCs/>
          <w:color w:val="auto"/>
          <w:szCs w:val="21"/>
          <w:highlight w:val="none"/>
          <w:u w:val="single"/>
        </w:rPr>
      </w:pPr>
      <w:r>
        <w:rPr>
          <w:rFonts w:hint="eastAsia" w:ascii="宋体" w:hAnsi="宋体" w:eastAsia="宋体" w:cs="宋体"/>
          <w:b/>
          <w:bCs/>
          <w:color w:val="auto"/>
          <w:szCs w:val="21"/>
          <w:highlight w:val="none"/>
          <w:u w:val="single"/>
        </w:rPr>
        <w:t>说明：以联合体形式参与采购活动，联合体的各方均应提供此声明函。</w:t>
      </w:r>
    </w:p>
    <w:p>
      <w:pPr>
        <w:ind w:firstLine="420" w:firstLineChars="200"/>
        <w:rPr>
          <w:rFonts w:hint="eastAsia" w:ascii="宋体" w:hAnsi="宋体" w:eastAsia="宋体" w:cs="宋体"/>
          <w:color w:val="auto"/>
          <w:highlight w:val="none"/>
        </w:rPr>
      </w:pP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【证明材料3】分支机构、其他类型企业的证明材料</w:t>
      </w:r>
    </w:p>
    <w:p>
      <w:pPr>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如金融、保险、通讯等特定行业的全国性企业所设立的区域性分支机构参加采购活动，提供总公司（总机构）授权或能够提供房产权证或其他有效财产证明材料；</w:t>
      </w:r>
    </w:p>
    <w:p>
      <w:pPr>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如个体工商户、个人独资企业、合伙企业参加采购活动，提供房产权证或其他有效财产证明材料。</w:t>
      </w:r>
    </w:p>
    <w:p>
      <w:pPr>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如供应商不属于以上类型，提供《企业类型的声明函》。</w:t>
      </w:r>
    </w:p>
    <w:p>
      <w:pPr>
        <w:ind w:left="281" w:hanging="281" w:hangingChars="10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企业类型的声明函</w:t>
      </w:r>
    </w:p>
    <w:p>
      <w:pPr>
        <w:rPr>
          <w:rFonts w:hint="eastAsia" w:ascii="宋体" w:hAnsi="宋体" w:eastAsia="宋体" w:cs="宋体"/>
          <w:color w:val="auto"/>
          <w:highlight w:val="none"/>
          <w:u w:val="single"/>
        </w:rPr>
      </w:pP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u w:val="single"/>
        </w:rPr>
        <w:t>：</w:t>
      </w:r>
    </w:p>
    <w:p>
      <w:pPr>
        <w:rPr>
          <w:rFonts w:hint="eastAsia" w:ascii="宋体" w:hAnsi="宋体" w:eastAsia="宋体" w:cs="宋体"/>
          <w:color w:val="auto"/>
          <w:szCs w:val="21"/>
          <w:highlight w:val="none"/>
          <w:u w:val="single"/>
        </w:rPr>
      </w:pPr>
      <w:r>
        <w:rPr>
          <w:rFonts w:hint="eastAsia" w:ascii="宋体" w:hAnsi="宋体" w:eastAsia="宋体" w:cs="宋体"/>
          <w:color w:val="auto"/>
          <w:highlight w:val="none"/>
          <w:u w:val="single"/>
        </w:rPr>
        <w:t>浙江省成套招标代理有限公司</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我方不属于金融、保险、通讯等特定行业的全国性企业所设立的区域性分支机构、个体工商户、个人独资企业、合伙企业。</w:t>
      </w:r>
    </w:p>
    <w:p>
      <w:pPr>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本公司对上述声明的真实性负责。如有虚假，将依法承担相应责任。</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特此声明！</w:t>
      </w:r>
    </w:p>
    <w:p>
      <w:pPr>
        <w:adjustRightInd w:val="0"/>
        <w:ind w:firstLine="420" w:firstLineChars="200"/>
        <w:rPr>
          <w:rFonts w:hint="eastAsia" w:ascii="宋体" w:hAnsi="宋体" w:eastAsia="宋体" w:cs="宋体"/>
          <w:color w:val="auto"/>
          <w:spacing w:val="20"/>
          <w:szCs w:val="21"/>
          <w:highlight w:val="none"/>
          <w:u w:val="single"/>
        </w:rPr>
      </w:pPr>
      <w:r>
        <w:rPr>
          <w:rFonts w:hint="eastAsia" w:ascii="宋体" w:hAnsi="宋体" w:eastAsia="宋体" w:cs="宋体"/>
          <w:color w:val="auto"/>
          <w:szCs w:val="21"/>
          <w:highlight w:val="none"/>
        </w:rPr>
        <w:t>供应商全称：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日期：2023年  月  日</w:t>
      </w:r>
    </w:p>
    <w:p>
      <w:pPr>
        <w:ind w:firstLine="422" w:firstLineChars="200"/>
        <w:rPr>
          <w:rFonts w:hint="eastAsia" w:ascii="宋体" w:hAnsi="宋体" w:eastAsia="宋体" w:cs="宋体"/>
          <w:b/>
          <w:bCs/>
          <w:color w:val="auto"/>
          <w:szCs w:val="21"/>
          <w:highlight w:val="none"/>
          <w:u w:val="single"/>
        </w:rPr>
      </w:pPr>
      <w:r>
        <w:rPr>
          <w:rFonts w:hint="eastAsia" w:ascii="宋体" w:hAnsi="宋体" w:eastAsia="宋体" w:cs="宋体"/>
          <w:b/>
          <w:bCs/>
          <w:color w:val="auto"/>
          <w:szCs w:val="21"/>
          <w:highlight w:val="none"/>
          <w:u w:val="single"/>
        </w:rPr>
        <w:t>说明：以联合体形式参与采购活动，联合体的各方均应提供此声明函。</w:t>
      </w:r>
    </w:p>
    <w:p>
      <w:pPr>
        <w:rPr>
          <w:rFonts w:hint="eastAsia" w:ascii="宋体" w:hAnsi="宋体" w:eastAsia="宋体" w:cs="宋体"/>
          <w:color w:val="auto"/>
          <w:highlight w:val="none"/>
        </w:rPr>
      </w:pPr>
    </w:p>
    <w:p>
      <w:pPr>
        <w:ind w:firstLine="420" w:firstLineChars="200"/>
        <w:jc w:val="left"/>
        <w:rPr>
          <w:rFonts w:hint="eastAsia" w:ascii="宋体" w:hAnsi="宋体" w:eastAsia="宋体" w:cs="宋体"/>
          <w:color w:val="auto"/>
          <w:highlight w:val="none"/>
        </w:rPr>
      </w:pP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【证明材料4】单位性质声明函</w:t>
      </w:r>
    </w:p>
    <w:p>
      <w:pPr>
        <w:ind w:left="281" w:hanging="281" w:hangingChars="100"/>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单位组织形式的声明函</w:t>
      </w:r>
    </w:p>
    <w:p>
      <w:pPr>
        <w:rPr>
          <w:rFonts w:hint="eastAsia" w:ascii="宋体" w:hAnsi="宋体" w:eastAsia="宋体" w:cs="宋体"/>
          <w:color w:val="auto"/>
          <w:highlight w:val="none"/>
          <w:u w:val="single"/>
        </w:rPr>
      </w:pP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u w:val="single"/>
        </w:rPr>
        <w:t>：</w:t>
      </w:r>
    </w:p>
    <w:p>
      <w:pPr>
        <w:rPr>
          <w:rFonts w:hint="eastAsia" w:ascii="宋体" w:hAnsi="宋体" w:eastAsia="宋体" w:cs="宋体"/>
          <w:color w:val="auto"/>
          <w:szCs w:val="21"/>
          <w:highlight w:val="none"/>
          <w:u w:val="single"/>
        </w:rPr>
      </w:pPr>
      <w:r>
        <w:rPr>
          <w:rFonts w:hint="eastAsia" w:ascii="宋体" w:hAnsi="宋体" w:eastAsia="宋体" w:cs="宋体"/>
          <w:color w:val="auto"/>
          <w:highlight w:val="none"/>
          <w:u w:val="single"/>
        </w:rPr>
        <w:t>浙江省成套招标代理有限公司</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我方不属于</w:t>
      </w:r>
      <w:r>
        <w:rPr>
          <w:rFonts w:hint="eastAsia" w:ascii="宋体" w:hAnsi="宋体" w:eastAsia="宋体" w:cs="宋体"/>
          <w:color w:val="auto"/>
          <w:kern w:val="0"/>
          <w:szCs w:val="21"/>
          <w:highlight w:val="none"/>
        </w:rPr>
        <w:t>公益一类事业单位、使用事业编制且由财政拨款保障的群团组织</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本公司对上述声明的真实性负责。如有虚假，将依法承担相应责任。</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特此声明！</w:t>
      </w:r>
    </w:p>
    <w:p>
      <w:pPr>
        <w:adjustRightInd w:val="0"/>
        <w:ind w:firstLine="420" w:firstLineChars="200"/>
        <w:rPr>
          <w:rFonts w:hint="eastAsia" w:ascii="宋体" w:hAnsi="宋体" w:eastAsia="宋体" w:cs="宋体"/>
          <w:color w:val="auto"/>
          <w:spacing w:val="20"/>
          <w:szCs w:val="21"/>
          <w:highlight w:val="none"/>
          <w:u w:val="single"/>
        </w:rPr>
      </w:pPr>
      <w:r>
        <w:rPr>
          <w:rFonts w:hint="eastAsia" w:ascii="宋体" w:hAnsi="宋体" w:eastAsia="宋体" w:cs="宋体"/>
          <w:color w:val="auto"/>
          <w:szCs w:val="21"/>
          <w:highlight w:val="none"/>
        </w:rPr>
        <w:t>供应商全称：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日期：2023年  月  日</w:t>
      </w:r>
    </w:p>
    <w:p>
      <w:pPr>
        <w:ind w:firstLine="422" w:firstLineChars="200"/>
        <w:rPr>
          <w:rFonts w:hint="eastAsia" w:ascii="宋体" w:hAnsi="宋体" w:eastAsia="宋体" w:cs="宋体"/>
          <w:b/>
          <w:bCs/>
          <w:color w:val="auto"/>
          <w:szCs w:val="21"/>
          <w:highlight w:val="none"/>
          <w:u w:val="single"/>
        </w:rPr>
      </w:pPr>
      <w:r>
        <w:rPr>
          <w:rFonts w:hint="eastAsia" w:ascii="宋体" w:hAnsi="宋体" w:eastAsia="宋体" w:cs="宋体"/>
          <w:b/>
          <w:bCs/>
          <w:color w:val="auto"/>
          <w:szCs w:val="21"/>
          <w:highlight w:val="none"/>
          <w:u w:val="single"/>
        </w:rPr>
        <w:t>说明：以联合体形式参与采购活动，联合体的各方均应提供此声明函。</w:t>
      </w:r>
    </w:p>
    <w:p>
      <w:pPr>
        <w:ind w:firstLine="422" w:firstLineChars="200"/>
        <w:rPr>
          <w:rFonts w:hint="eastAsia" w:ascii="宋体" w:hAnsi="宋体" w:eastAsia="宋体" w:cs="宋体"/>
          <w:b/>
          <w:bCs/>
          <w:color w:val="auto"/>
          <w:szCs w:val="21"/>
          <w:highlight w:val="none"/>
          <w:u w:val="single"/>
        </w:rPr>
      </w:pPr>
    </w:p>
    <w:p>
      <w:pPr>
        <w:rPr>
          <w:rFonts w:hint="eastAsia" w:ascii="宋体" w:hAnsi="宋体" w:eastAsia="宋体" w:cs="宋体"/>
          <w:color w:val="auto"/>
          <w:kern w:val="0"/>
          <w:szCs w:val="21"/>
          <w:highlight w:val="none"/>
        </w:rPr>
      </w:pPr>
    </w:p>
    <w:p>
      <w:pPr>
        <w:pStyle w:val="4"/>
        <w:tabs>
          <w:tab w:val="left" w:pos="720"/>
        </w:tabs>
        <w:ind w:firstLine="420"/>
        <w:rPr>
          <w:rFonts w:hint="eastAsia" w:ascii="宋体" w:hAnsi="宋体" w:eastAsia="宋体" w:cs="宋体"/>
          <w:color w:val="auto"/>
          <w:highlight w:val="none"/>
        </w:rPr>
      </w:pPr>
      <w:r>
        <w:rPr>
          <w:rFonts w:hint="eastAsia" w:ascii="宋体" w:hAnsi="宋体" w:eastAsia="宋体" w:cs="宋体"/>
          <w:color w:val="auto"/>
          <w:highlight w:val="none"/>
        </w:rPr>
        <w:t>【证明材料5】供应商形式</w:t>
      </w:r>
    </w:p>
    <w:p>
      <w:pPr>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1.如非联合体提供《非联合体的声明函》。</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非联合体的声明函</w:t>
      </w:r>
    </w:p>
    <w:p>
      <w:pPr>
        <w:rPr>
          <w:rFonts w:hint="eastAsia" w:ascii="宋体" w:hAnsi="宋体" w:eastAsia="宋体" w:cs="宋体"/>
          <w:color w:val="auto"/>
          <w:highlight w:val="none"/>
          <w:u w:val="single"/>
        </w:rPr>
      </w:pP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u w:val="single"/>
        </w:rPr>
        <w:t>：</w:t>
      </w:r>
    </w:p>
    <w:p>
      <w:pPr>
        <w:rPr>
          <w:rFonts w:hint="eastAsia" w:ascii="宋体" w:hAnsi="宋体" w:eastAsia="宋体" w:cs="宋体"/>
          <w:color w:val="auto"/>
          <w:szCs w:val="21"/>
          <w:highlight w:val="none"/>
          <w:u w:val="single"/>
        </w:rPr>
      </w:pPr>
      <w:r>
        <w:rPr>
          <w:rFonts w:hint="eastAsia" w:ascii="宋体" w:hAnsi="宋体" w:eastAsia="宋体" w:cs="宋体"/>
          <w:color w:val="auto"/>
          <w:highlight w:val="none"/>
          <w:u w:val="single"/>
        </w:rPr>
        <w:t>浙江省成套招标代理有限公司</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我方独立参加</w:t>
      </w: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rPr>
        <w:t>（采购人）</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u w:val="single"/>
        </w:rPr>
        <w:t>项目</w:t>
      </w:r>
      <w:r>
        <w:rPr>
          <w:rFonts w:hint="eastAsia" w:ascii="宋体" w:hAnsi="宋体" w:eastAsia="宋体" w:cs="宋体"/>
          <w:color w:val="auto"/>
          <w:highlight w:val="none"/>
        </w:rPr>
        <w:t>（项目名称）</w:t>
      </w:r>
      <w:r>
        <w:rPr>
          <w:rFonts w:hint="eastAsia" w:ascii="宋体" w:hAnsi="宋体" w:cs="宋体"/>
          <w:color w:val="auto"/>
          <w:highlight w:val="none"/>
          <w:u w:val="single"/>
          <w:lang w:eastAsia="zh-CN"/>
        </w:rPr>
        <w:t>CTZB-2023110267</w:t>
      </w:r>
      <w:r>
        <w:rPr>
          <w:rFonts w:hint="eastAsia" w:ascii="宋体" w:hAnsi="宋体" w:eastAsia="宋体" w:cs="宋体"/>
          <w:color w:val="auto"/>
          <w:highlight w:val="none"/>
        </w:rPr>
        <w:t>（项目编号）</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rPr>
        <w:t>（标项名称）</w:t>
      </w:r>
      <w:r>
        <w:rPr>
          <w:rFonts w:hint="eastAsia" w:ascii="宋体" w:hAnsi="宋体" w:eastAsia="宋体" w:cs="宋体"/>
          <w:color w:val="auto"/>
          <w:szCs w:val="21"/>
          <w:highlight w:val="none"/>
        </w:rPr>
        <w:t>政府采购活动，未与其他单位组成联合体。</w:t>
      </w:r>
    </w:p>
    <w:p>
      <w:pPr>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我方</w:t>
      </w:r>
      <w:r>
        <w:rPr>
          <w:rFonts w:hint="eastAsia" w:ascii="宋体" w:hAnsi="宋体" w:eastAsia="宋体" w:cs="宋体"/>
          <w:color w:val="auto"/>
          <w:kern w:val="0"/>
          <w:szCs w:val="21"/>
          <w:highlight w:val="none"/>
        </w:rPr>
        <w:t>对上述声明的真实性负责。如有虚假，将依法承担相应责任。</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特此声明！</w:t>
      </w:r>
    </w:p>
    <w:p>
      <w:pPr>
        <w:adjustRightInd w:val="0"/>
        <w:ind w:firstLine="420" w:firstLineChars="200"/>
        <w:rPr>
          <w:rFonts w:hint="eastAsia" w:ascii="宋体" w:hAnsi="宋体" w:eastAsia="宋体" w:cs="宋体"/>
          <w:color w:val="auto"/>
          <w:spacing w:val="20"/>
          <w:szCs w:val="21"/>
          <w:highlight w:val="none"/>
          <w:u w:val="single"/>
        </w:rPr>
      </w:pPr>
      <w:r>
        <w:rPr>
          <w:rFonts w:hint="eastAsia" w:ascii="宋体" w:hAnsi="宋体" w:eastAsia="宋体" w:cs="宋体"/>
          <w:color w:val="auto"/>
          <w:szCs w:val="21"/>
          <w:highlight w:val="none"/>
        </w:rPr>
        <w:t>供应商全称：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日期：2023年  月  日</w:t>
      </w:r>
    </w:p>
    <w:p>
      <w:pPr>
        <w:ind w:firstLine="420" w:firstLineChars="200"/>
        <w:rPr>
          <w:rFonts w:hint="eastAsia" w:ascii="宋体" w:hAnsi="宋体" w:eastAsia="宋体" w:cs="宋体"/>
          <w:color w:val="auto"/>
          <w:highlight w:val="none"/>
        </w:rPr>
      </w:pPr>
    </w:p>
    <w:p>
      <w:pPr>
        <w:ind w:firstLine="420" w:firstLineChars="200"/>
        <w:rPr>
          <w:rFonts w:hint="eastAsia" w:ascii="宋体" w:hAnsi="宋体" w:eastAsia="宋体" w:cs="宋体"/>
          <w:color w:val="auto"/>
          <w:highlight w:val="none"/>
        </w:rPr>
      </w:pP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2.如联合体响应，提供联合协议书，格式见“采购文件附件”。</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
        <w:ind w:firstLine="420"/>
        <w:rPr>
          <w:rFonts w:hint="eastAsia" w:ascii="宋体" w:hAnsi="宋体" w:eastAsia="宋体" w:cs="宋体"/>
          <w:color w:val="auto"/>
          <w:kern w:val="0"/>
          <w:highlight w:val="none"/>
        </w:rPr>
      </w:pPr>
      <w:bookmarkStart w:id="111" w:name="_Toc437953149"/>
      <w:r>
        <w:rPr>
          <w:rFonts w:hint="eastAsia" w:ascii="宋体" w:hAnsi="宋体" w:eastAsia="宋体" w:cs="宋体"/>
          <w:color w:val="auto"/>
          <w:kern w:val="0"/>
          <w:highlight w:val="none"/>
        </w:rPr>
        <w:t>第二部分 商务技术文件</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封面</w:t>
      </w:r>
      <w:bookmarkEnd w:id="111"/>
    </w:p>
    <w:p>
      <w:pPr>
        <w:tabs>
          <w:tab w:val="left" w:pos="2580"/>
          <w:tab w:val="left" w:pos="5940"/>
        </w:tabs>
        <w:autoSpaceDE w:val="0"/>
        <w:autoSpaceDN w:val="0"/>
        <w:adjustRightInd w:val="0"/>
        <w:ind w:right="-20" w:firstLine="735" w:firstLineChars="350"/>
        <w:rPr>
          <w:rFonts w:hint="eastAsia" w:ascii="宋体" w:hAnsi="宋体" w:eastAsia="宋体" w:cs="宋体"/>
          <w:color w:val="auto"/>
          <w:highlight w:val="none"/>
        </w:rPr>
      </w:pP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lang w:eastAsia="zh-CN"/>
        </w:rPr>
      </w:pPr>
      <w:r>
        <w:rPr>
          <w:rFonts w:hint="eastAsia" w:ascii="宋体" w:hAnsi="宋体" w:eastAsia="宋体" w:cs="宋体"/>
          <w:color w:val="auto"/>
          <w:kern w:val="0"/>
          <w:sz w:val="24"/>
          <w:szCs w:val="22"/>
          <w:highlight w:val="none"/>
        </w:rPr>
        <w:t>采购人：</w:t>
      </w:r>
      <w:r>
        <w:rPr>
          <w:rFonts w:hint="eastAsia" w:ascii="宋体" w:hAnsi="宋体" w:eastAsia="宋体" w:cs="宋体"/>
          <w:color w:val="auto"/>
          <w:kern w:val="0"/>
          <w:sz w:val="24"/>
          <w:szCs w:val="22"/>
          <w:highlight w:val="none"/>
          <w:u w:val="single"/>
          <w:lang w:eastAsia="zh-CN"/>
        </w:rPr>
        <w:t>浙江省体育彩票管理中心</w:t>
      </w: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u w:val="single"/>
        </w:rPr>
      </w:pPr>
      <w:r>
        <w:rPr>
          <w:rFonts w:hint="eastAsia" w:ascii="宋体" w:hAnsi="宋体" w:eastAsia="宋体" w:cs="宋体"/>
          <w:color w:val="auto"/>
          <w:kern w:val="0"/>
          <w:sz w:val="24"/>
          <w:szCs w:val="22"/>
          <w:highlight w:val="none"/>
        </w:rPr>
        <w:t>项目名称：</w:t>
      </w:r>
      <w:r>
        <w:rPr>
          <w:rFonts w:hint="eastAsia" w:ascii="宋体" w:hAnsi="宋体" w:cs="宋体"/>
          <w:color w:val="auto"/>
          <w:kern w:val="0"/>
          <w:sz w:val="24"/>
          <w:szCs w:val="22"/>
          <w:highlight w:val="none"/>
          <w:u w:val="single"/>
          <w:lang w:eastAsia="zh-CN"/>
        </w:rPr>
        <w:t>2024年体彩爱心小板凳活动</w:t>
      </w:r>
      <w:r>
        <w:rPr>
          <w:rFonts w:hint="eastAsia" w:ascii="宋体" w:hAnsi="宋体" w:eastAsia="宋体" w:cs="宋体"/>
          <w:color w:val="auto"/>
          <w:kern w:val="0"/>
          <w:sz w:val="24"/>
          <w:szCs w:val="22"/>
          <w:highlight w:val="none"/>
          <w:u w:val="single"/>
        </w:rPr>
        <w:t>项目</w:t>
      </w: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u w:val="single"/>
          <w:lang w:eastAsia="zh-CN"/>
        </w:rPr>
      </w:pPr>
      <w:r>
        <w:rPr>
          <w:rFonts w:hint="eastAsia" w:ascii="宋体" w:hAnsi="宋体" w:eastAsia="宋体" w:cs="宋体"/>
          <w:color w:val="auto"/>
          <w:kern w:val="0"/>
          <w:sz w:val="24"/>
          <w:szCs w:val="22"/>
          <w:highlight w:val="none"/>
        </w:rPr>
        <w:t>项目编号：</w:t>
      </w:r>
      <w:r>
        <w:rPr>
          <w:rFonts w:hint="eastAsia" w:ascii="宋体" w:hAnsi="宋体" w:cs="宋体"/>
          <w:color w:val="auto"/>
          <w:kern w:val="0"/>
          <w:sz w:val="24"/>
          <w:szCs w:val="22"/>
          <w:highlight w:val="none"/>
          <w:u w:val="single"/>
          <w:lang w:eastAsia="zh-CN"/>
        </w:rPr>
        <w:t>CTZB-2023110267</w:t>
      </w: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u w:val="single"/>
          <w:lang w:eastAsia="zh-CN"/>
        </w:rPr>
      </w:pPr>
      <w:r>
        <w:rPr>
          <w:rFonts w:hint="eastAsia" w:ascii="宋体" w:hAnsi="宋体" w:eastAsia="宋体" w:cs="宋体"/>
          <w:color w:val="auto"/>
          <w:kern w:val="0"/>
          <w:sz w:val="24"/>
          <w:szCs w:val="22"/>
          <w:highlight w:val="none"/>
        </w:rPr>
        <w:t>标项名称：</w:t>
      </w:r>
      <w:r>
        <w:rPr>
          <w:rFonts w:hint="eastAsia" w:ascii="宋体" w:hAnsi="宋体" w:cs="宋体"/>
          <w:color w:val="auto"/>
          <w:kern w:val="0"/>
          <w:sz w:val="24"/>
          <w:szCs w:val="22"/>
          <w:highlight w:val="none"/>
          <w:u w:val="single"/>
          <w:lang w:eastAsia="zh-CN"/>
        </w:rPr>
        <w:t>2024年体彩爱心小板凳活动</w:t>
      </w:r>
    </w:p>
    <w:p>
      <w:pPr>
        <w:autoSpaceDE w:val="0"/>
        <w:autoSpaceDN w:val="0"/>
        <w:adjustRightInd w:val="0"/>
        <w:jc w:val="left"/>
        <w:rPr>
          <w:rFonts w:hint="eastAsia" w:ascii="宋体" w:hAnsi="宋体" w:eastAsia="宋体" w:cs="宋体"/>
          <w:b/>
          <w:bCs/>
          <w:color w:val="auto"/>
          <w:kern w:val="0"/>
          <w:sz w:val="44"/>
          <w:szCs w:val="44"/>
          <w:highlight w:val="none"/>
        </w:rPr>
      </w:pPr>
    </w:p>
    <w:p>
      <w:pPr>
        <w:autoSpaceDE w:val="0"/>
        <w:autoSpaceDN w:val="0"/>
        <w:adjustRightInd w:val="0"/>
        <w:jc w:val="left"/>
        <w:rPr>
          <w:rFonts w:hint="eastAsia" w:ascii="宋体" w:hAnsi="宋体" w:eastAsia="宋体" w:cs="宋体"/>
          <w:color w:val="auto"/>
          <w:kern w:val="0"/>
          <w:sz w:val="24"/>
          <w:highlight w:val="none"/>
        </w:rPr>
      </w:pPr>
    </w:p>
    <w:p>
      <w:pPr>
        <w:autoSpaceDE w:val="0"/>
        <w:autoSpaceDN w:val="0"/>
        <w:adjustRightInd w:val="0"/>
        <w:jc w:val="left"/>
        <w:rPr>
          <w:rFonts w:hint="eastAsia" w:ascii="宋体" w:hAnsi="宋体" w:eastAsia="宋体" w:cs="宋体"/>
          <w:color w:val="auto"/>
          <w:kern w:val="0"/>
          <w:sz w:val="24"/>
          <w:highlight w:val="none"/>
        </w:rPr>
      </w:pPr>
    </w:p>
    <w:p>
      <w:pPr>
        <w:autoSpaceDE w:val="0"/>
        <w:autoSpaceDN w:val="0"/>
        <w:adjustRightInd w:val="0"/>
        <w:jc w:val="left"/>
        <w:rPr>
          <w:rFonts w:hint="eastAsia" w:ascii="宋体" w:hAnsi="宋体" w:eastAsia="宋体" w:cs="宋体"/>
          <w:color w:val="auto"/>
          <w:kern w:val="0"/>
          <w:sz w:val="24"/>
          <w:highlight w:val="none"/>
        </w:rPr>
      </w:pPr>
    </w:p>
    <w:p>
      <w:pPr>
        <w:autoSpaceDE w:val="0"/>
        <w:autoSpaceDN w:val="0"/>
        <w:adjustRightInd w:val="0"/>
        <w:jc w:val="left"/>
        <w:rPr>
          <w:rFonts w:hint="eastAsia" w:ascii="宋体" w:hAnsi="宋体" w:eastAsia="宋体" w:cs="宋体"/>
          <w:color w:val="auto"/>
          <w:kern w:val="0"/>
          <w:sz w:val="24"/>
          <w:highlight w:val="none"/>
        </w:rPr>
      </w:pPr>
    </w:p>
    <w:p>
      <w:pPr>
        <w:autoSpaceDE w:val="0"/>
        <w:autoSpaceDN w:val="0"/>
        <w:adjustRightInd w:val="0"/>
        <w:jc w:val="left"/>
        <w:rPr>
          <w:rFonts w:hint="eastAsia" w:ascii="宋体" w:hAnsi="宋体" w:eastAsia="宋体" w:cs="宋体"/>
          <w:color w:val="auto"/>
          <w:kern w:val="0"/>
          <w:sz w:val="24"/>
          <w:highlight w:val="none"/>
        </w:rPr>
      </w:pPr>
    </w:p>
    <w:p>
      <w:pPr>
        <w:tabs>
          <w:tab w:val="left" w:pos="1805"/>
          <w:tab w:val="left" w:pos="5360"/>
        </w:tabs>
        <w:autoSpaceDE w:val="0"/>
        <w:autoSpaceDN w:val="0"/>
        <w:adjustRightInd w:val="0"/>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磋商响应文件</w:t>
      </w:r>
    </w:p>
    <w:p>
      <w:pPr>
        <w:tabs>
          <w:tab w:val="left" w:pos="1805"/>
          <w:tab w:val="left" w:pos="5360"/>
        </w:tabs>
        <w:autoSpaceDE w:val="0"/>
        <w:autoSpaceDN w:val="0"/>
        <w:adjustRightInd w:val="0"/>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（商务技术文件）</w:t>
      </w:r>
    </w:p>
    <w:p>
      <w:pPr>
        <w:autoSpaceDE w:val="0"/>
        <w:autoSpaceDN w:val="0"/>
        <w:adjustRightInd w:val="0"/>
        <w:jc w:val="left"/>
        <w:rPr>
          <w:rFonts w:hint="eastAsia" w:ascii="宋体" w:hAnsi="宋体" w:eastAsia="宋体" w:cs="宋体"/>
          <w:color w:val="auto"/>
          <w:kern w:val="0"/>
          <w:sz w:val="16"/>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tabs>
          <w:tab w:val="left" w:pos="6080"/>
          <w:tab w:val="left" w:pos="6640"/>
        </w:tabs>
        <w:autoSpaceDE w:val="0"/>
        <w:autoSpaceDN w:val="0"/>
        <w:adjustRightInd w:val="0"/>
        <w:jc w:val="center"/>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供应商全称：</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（盖单位公章）</w:t>
      </w:r>
    </w:p>
    <w:p>
      <w:pPr>
        <w:tabs>
          <w:tab w:val="left" w:pos="6080"/>
          <w:tab w:val="left" w:pos="6640"/>
        </w:tabs>
        <w:autoSpaceDE w:val="0"/>
        <w:autoSpaceDN w:val="0"/>
        <w:adjustRightInd w:val="0"/>
        <w:jc w:val="left"/>
        <w:rPr>
          <w:rFonts w:hint="eastAsia" w:ascii="宋体" w:hAnsi="宋体" w:eastAsia="宋体" w:cs="宋体"/>
          <w:color w:val="auto"/>
          <w:kern w:val="0"/>
          <w:sz w:val="28"/>
          <w:highlight w:val="none"/>
        </w:rPr>
      </w:pPr>
    </w:p>
    <w:p>
      <w:pPr>
        <w:tabs>
          <w:tab w:val="left" w:pos="3280"/>
          <w:tab w:val="left" w:pos="4680"/>
          <w:tab w:val="left" w:pos="6080"/>
        </w:tabs>
        <w:autoSpaceDE w:val="0"/>
        <w:autoSpaceDN w:val="0"/>
        <w:adjustRightInd w:val="0"/>
        <w:ind w:left="2173" w:leftChars="1035" w:firstLine="546" w:firstLineChars="195"/>
        <w:jc w:val="left"/>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2023年   月   日</w:t>
      </w:r>
    </w:p>
    <w:p>
      <w:pPr>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br w:type="page"/>
      </w:r>
    </w:p>
    <w:p>
      <w:pPr>
        <w:tabs>
          <w:tab w:val="left" w:pos="3280"/>
          <w:tab w:val="left" w:pos="4680"/>
          <w:tab w:val="left" w:pos="6080"/>
        </w:tabs>
        <w:autoSpaceDE w:val="0"/>
        <w:autoSpaceDN w:val="0"/>
        <w:adjustRightInd w:val="0"/>
        <w:ind w:left="2173" w:leftChars="1035" w:firstLine="546" w:firstLineChars="195"/>
        <w:jc w:val="left"/>
        <w:rPr>
          <w:rFonts w:hint="eastAsia" w:ascii="宋体" w:hAnsi="宋体" w:eastAsia="宋体" w:cs="宋体"/>
          <w:color w:val="auto"/>
          <w:kern w:val="0"/>
          <w:sz w:val="28"/>
          <w:highlight w:val="none"/>
        </w:rPr>
      </w:pP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一、法定代表人资格证明书</w:t>
      </w: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法定代表人资格证明书</w:t>
      </w:r>
    </w:p>
    <w:p>
      <w:pPr>
        <w:adjustRightInd w:val="0"/>
        <w:ind w:firstLine="420" w:firstLineChars="200"/>
        <w:rPr>
          <w:rFonts w:hint="eastAsia" w:ascii="宋体" w:hAnsi="宋体" w:eastAsia="宋体" w:cs="宋体"/>
          <w:color w:val="auto"/>
          <w:szCs w:val="21"/>
          <w:highlight w:val="none"/>
        </w:rPr>
      </w:pPr>
    </w:p>
    <w:p>
      <w:pPr>
        <w:adjustRightInd w:val="0"/>
        <w:ind w:firstLine="420" w:firstLineChars="200"/>
        <w:rPr>
          <w:rFonts w:hint="eastAsia" w:ascii="宋体" w:hAnsi="宋体" w:eastAsia="宋体" w:cs="宋体"/>
          <w:color w:val="auto"/>
          <w:szCs w:val="21"/>
          <w:highlight w:val="none"/>
        </w:rPr>
      </w:pPr>
    </w:p>
    <w:p>
      <w:pPr>
        <w:adjustRightInd w:val="0"/>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供应商名称：【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adjustRightInd w:val="0"/>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法定地址：【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adjustRightInd w:val="0"/>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姓名：【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】性别：【</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adjustRightInd w:val="0"/>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身份证号码：【</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该同志系单位法定代表人。</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特此证明！</w:t>
      </w:r>
    </w:p>
    <w:p>
      <w:pPr>
        <w:adjustRightInd w:val="0"/>
        <w:ind w:firstLine="420" w:firstLineChars="200"/>
        <w:rPr>
          <w:rFonts w:hint="eastAsia" w:ascii="宋体" w:hAnsi="宋体" w:eastAsia="宋体" w:cs="宋体"/>
          <w:color w:val="auto"/>
          <w:szCs w:val="21"/>
          <w:highlight w:val="none"/>
        </w:rPr>
      </w:pPr>
    </w:p>
    <w:p>
      <w:pPr>
        <w:adjustRightInd w:val="0"/>
        <w:ind w:firstLine="420" w:firstLineChars="200"/>
        <w:rPr>
          <w:rFonts w:hint="eastAsia" w:ascii="宋体" w:hAnsi="宋体" w:eastAsia="宋体" w:cs="宋体"/>
          <w:color w:val="auto"/>
          <w:szCs w:val="21"/>
          <w:highlight w:val="none"/>
        </w:rPr>
      </w:pPr>
    </w:p>
    <w:p>
      <w:pPr>
        <w:adjustRightInd w:val="0"/>
        <w:ind w:firstLine="420" w:firstLineChars="200"/>
        <w:rPr>
          <w:rFonts w:hint="eastAsia" w:ascii="宋体" w:hAnsi="宋体" w:eastAsia="宋体" w:cs="宋体"/>
          <w:color w:val="auto"/>
          <w:spacing w:val="20"/>
          <w:szCs w:val="21"/>
          <w:highlight w:val="none"/>
          <w:u w:val="single"/>
        </w:rPr>
      </w:pPr>
      <w:r>
        <w:rPr>
          <w:rFonts w:hint="eastAsia" w:ascii="宋体" w:hAnsi="宋体" w:eastAsia="宋体" w:cs="宋体"/>
          <w:color w:val="auto"/>
          <w:szCs w:val="21"/>
          <w:highlight w:val="none"/>
        </w:rPr>
        <w:t>供应商全称：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日期：2023年  月  日</w:t>
      </w:r>
    </w:p>
    <w:p>
      <w:pPr>
        <w:adjustRightInd w:val="0"/>
        <w:ind w:firstLine="420" w:firstLineChars="200"/>
        <w:rPr>
          <w:rFonts w:hint="eastAsia" w:ascii="宋体" w:hAnsi="宋体" w:eastAsia="宋体" w:cs="宋体"/>
          <w:color w:val="auto"/>
          <w:szCs w:val="21"/>
          <w:highlight w:val="none"/>
        </w:rPr>
      </w:pP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附：</w:t>
      </w:r>
    </w:p>
    <w:p>
      <w:pPr>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法定代表人联系方式（手机）：</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法定代表人身份证复印件：</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7227" w:type="dxa"/>
            <w:vAlign w:val="center"/>
          </w:tcPr>
          <w:p>
            <w:pPr>
              <w:pStyle w:val="55"/>
              <w:ind w:firstLine="422"/>
              <w:jc w:val="center"/>
              <w:rPr>
                <w:rFonts w:hint="eastAsia" w:ascii="宋体" w:hAnsi="宋体" w:eastAsia="宋体" w:cs="宋体"/>
                <w:color w:val="auto"/>
                <w:highlight w:val="none"/>
              </w:rPr>
            </w:pPr>
            <w:r>
              <w:rPr>
                <w:rFonts w:hint="eastAsia" w:ascii="宋体" w:hAnsi="宋体" w:eastAsia="宋体" w:cs="宋体"/>
                <w:b/>
                <w:color w:val="auto"/>
                <w:highlight w:val="none"/>
              </w:rPr>
              <w:t>法定代表人身份证复印件</w:t>
            </w:r>
          </w:p>
        </w:tc>
      </w:tr>
    </w:tbl>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ind w:firstLine="420"/>
        <w:rPr>
          <w:rFonts w:hint="eastAsia" w:ascii="宋体" w:hAnsi="宋体" w:eastAsia="宋体" w:cs="宋体"/>
          <w:color w:val="auto"/>
          <w:highlight w:val="none"/>
        </w:rPr>
      </w:pPr>
      <w:bookmarkStart w:id="112" w:name="_Toc336683576"/>
      <w:bookmarkStart w:id="113" w:name="_Toc345575535"/>
      <w:r>
        <w:rPr>
          <w:rFonts w:hint="eastAsia" w:ascii="宋体" w:hAnsi="宋体" w:eastAsia="宋体" w:cs="宋体"/>
          <w:color w:val="auto"/>
          <w:highlight w:val="none"/>
        </w:rPr>
        <w:t>二、法定代表人授权磋商委托书格式</w:t>
      </w:r>
      <w:bookmarkEnd w:id="112"/>
      <w:bookmarkEnd w:id="113"/>
    </w:p>
    <w:p>
      <w:pPr>
        <w:widowControl/>
        <w:jc w:val="left"/>
        <w:rPr>
          <w:rFonts w:hint="eastAsia" w:ascii="宋体" w:hAnsi="宋体" w:eastAsia="宋体" w:cs="宋体"/>
          <w:b/>
          <w:bCs/>
          <w:color w:val="auto"/>
          <w:sz w:val="32"/>
          <w:szCs w:val="20"/>
          <w:highlight w:val="none"/>
        </w:rPr>
      </w:pP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法定代表人授权磋商委托书</w:t>
      </w:r>
    </w:p>
    <w:p>
      <w:pPr>
        <w:pStyle w:val="20"/>
        <w:adjustRightInd w:val="0"/>
        <w:ind w:firstLine="420" w:firstLineChars="200"/>
        <w:rPr>
          <w:rFonts w:hint="eastAsia" w:ascii="宋体" w:hAnsi="宋体" w:eastAsia="宋体" w:cs="宋体"/>
          <w:color w:val="auto"/>
          <w:highlight w:val="none"/>
          <w:u w:val="single"/>
        </w:rPr>
      </w:pPr>
    </w:p>
    <w:p>
      <w:pPr>
        <w:adjustRightIn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浙江省体育彩票管理中心</w:t>
      </w:r>
      <w:r>
        <w:rPr>
          <w:rFonts w:hint="eastAsia" w:ascii="宋体" w:hAnsi="宋体" w:eastAsia="宋体" w:cs="宋体"/>
          <w:color w:val="auto"/>
          <w:szCs w:val="21"/>
          <w:highlight w:val="none"/>
        </w:rPr>
        <w:t>：</w:t>
      </w:r>
    </w:p>
    <w:p>
      <w:pPr>
        <w:adjustRightIn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浙江省成套招标代理有限公司：</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w:t>
      </w:r>
      <w:r>
        <w:rPr>
          <w:rFonts w:hint="eastAsia" w:ascii="宋体" w:hAnsi="宋体" w:eastAsia="宋体" w:cs="宋体"/>
          <w:color w:val="auto"/>
          <w:szCs w:val="21"/>
          <w:highlight w:val="none"/>
          <w:u w:val="single"/>
        </w:rPr>
        <w:t xml:space="preserve"> （法定代表人姓名） </w:t>
      </w:r>
      <w:r>
        <w:rPr>
          <w:rFonts w:hint="eastAsia" w:ascii="宋体" w:hAnsi="宋体" w:eastAsia="宋体" w:cs="宋体"/>
          <w:color w:val="auto"/>
          <w:szCs w:val="21"/>
          <w:highlight w:val="none"/>
        </w:rPr>
        <w:t>】以【</w:t>
      </w:r>
      <w:r>
        <w:rPr>
          <w:rFonts w:hint="eastAsia" w:ascii="宋体" w:hAnsi="宋体" w:eastAsia="宋体" w:cs="宋体"/>
          <w:color w:val="auto"/>
          <w:szCs w:val="21"/>
          <w:highlight w:val="none"/>
          <w:u w:val="single"/>
        </w:rPr>
        <w:t xml:space="preserve">      （供应商全称）   </w:t>
      </w:r>
      <w:r>
        <w:rPr>
          <w:rFonts w:hint="eastAsia" w:ascii="宋体" w:hAnsi="宋体" w:eastAsia="宋体" w:cs="宋体"/>
          <w:color w:val="auto"/>
          <w:szCs w:val="21"/>
          <w:highlight w:val="none"/>
        </w:rPr>
        <w:t>】法定代表人的身份授权我单位在职员工【</w:t>
      </w:r>
      <w:r>
        <w:rPr>
          <w:rFonts w:hint="eastAsia" w:ascii="宋体" w:hAnsi="宋体" w:eastAsia="宋体" w:cs="宋体"/>
          <w:color w:val="auto"/>
          <w:szCs w:val="21"/>
          <w:highlight w:val="none"/>
          <w:u w:val="single"/>
        </w:rPr>
        <w:t xml:space="preserve">（授权代表姓名）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（身份证号 ）   </w:t>
      </w:r>
      <w:r>
        <w:rPr>
          <w:rFonts w:hint="eastAsia" w:ascii="宋体" w:hAnsi="宋体" w:eastAsia="宋体" w:cs="宋体"/>
          <w:color w:val="auto"/>
          <w:szCs w:val="21"/>
          <w:highlight w:val="none"/>
        </w:rPr>
        <w:t>】，为我单位的授权代表，参加你机构组织的</w:t>
      </w:r>
      <w:r>
        <w:rPr>
          <w:rFonts w:hint="eastAsia" w:ascii="宋体" w:hAnsi="宋体" w:eastAsia="宋体" w:cs="宋体"/>
          <w:color w:val="auto"/>
          <w:szCs w:val="21"/>
          <w:highlight w:val="none"/>
          <w:u w:val="single"/>
          <w:lang w:eastAsia="zh-CN"/>
        </w:rPr>
        <w:t>浙江省体育彩票管理中心</w:t>
      </w:r>
      <w:r>
        <w:rPr>
          <w:rFonts w:hint="eastAsia" w:ascii="宋体" w:hAnsi="宋体" w:eastAsia="宋体" w:cs="宋体"/>
          <w:color w:val="auto"/>
          <w:szCs w:val="21"/>
          <w:highlight w:val="none"/>
        </w:rPr>
        <w:t>（采购人）</w:t>
      </w:r>
      <w:r>
        <w:rPr>
          <w:rFonts w:hint="eastAsia" w:ascii="宋体" w:hAnsi="宋体" w:cs="宋体"/>
          <w:color w:val="auto"/>
          <w:szCs w:val="21"/>
          <w:highlight w:val="none"/>
          <w:u w:val="single"/>
          <w:lang w:eastAsia="zh-CN"/>
        </w:rPr>
        <w:t>2024年体彩爱心小板凳活动</w:t>
      </w:r>
      <w:r>
        <w:rPr>
          <w:rFonts w:hint="eastAsia" w:ascii="宋体" w:hAnsi="宋体" w:eastAsia="宋体" w:cs="宋体"/>
          <w:color w:val="auto"/>
          <w:szCs w:val="21"/>
          <w:highlight w:val="none"/>
          <w:u w:val="single"/>
        </w:rPr>
        <w:t>项目</w:t>
      </w:r>
      <w:r>
        <w:rPr>
          <w:rFonts w:hint="eastAsia" w:ascii="宋体" w:hAnsi="宋体" w:eastAsia="宋体" w:cs="宋体"/>
          <w:color w:val="auto"/>
          <w:szCs w:val="21"/>
          <w:highlight w:val="none"/>
        </w:rPr>
        <w:t>（项目名称）</w:t>
      </w:r>
      <w:r>
        <w:rPr>
          <w:rFonts w:hint="eastAsia" w:ascii="宋体" w:hAnsi="宋体" w:cs="宋体"/>
          <w:color w:val="auto"/>
          <w:szCs w:val="21"/>
          <w:highlight w:val="none"/>
          <w:u w:val="single"/>
          <w:lang w:eastAsia="zh-CN"/>
        </w:rPr>
        <w:t>CTZB-2023110267</w:t>
      </w:r>
      <w:r>
        <w:rPr>
          <w:rFonts w:hint="eastAsia" w:ascii="宋体" w:hAnsi="宋体" w:eastAsia="宋体" w:cs="宋体"/>
          <w:color w:val="auto"/>
          <w:szCs w:val="21"/>
          <w:highlight w:val="none"/>
        </w:rPr>
        <w:t>（项目编号）</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szCs w:val="21"/>
          <w:highlight w:val="none"/>
        </w:rPr>
        <w:t>（标项名称）的开标、磋商活动，签署开标、磋商活动中需由供应商签署相关文件、澄清答复、说明等与本项目磋商有关的资料。我单位承认授权代表做出的与本项目开标、磋商活动有关的全部行为。</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供应商全称：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日期：2023年  月  日</w:t>
      </w:r>
    </w:p>
    <w:p>
      <w:pPr>
        <w:adjustRightInd w:val="0"/>
        <w:ind w:firstLine="420" w:firstLineChars="200"/>
        <w:rPr>
          <w:rFonts w:hint="eastAsia" w:ascii="宋体" w:hAnsi="宋体" w:eastAsia="宋体" w:cs="宋体"/>
          <w:color w:val="auto"/>
          <w:szCs w:val="21"/>
          <w:highlight w:val="none"/>
        </w:rPr>
      </w:pPr>
    </w:p>
    <w:p>
      <w:pPr>
        <w:adjustRightInd w:val="0"/>
        <w:ind w:firstLine="420" w:firstLineChars="200"/>
        <w:rPr>
          <w:rFonts w:hint="eastAsia" w:ascii="宋体" w:hAnsi="宋体" w:eastAsia="宋体" w:cs="宋体"/>
          <w:color w:val="auto"/>
          <w:szCs w:val="21"/>
          <w:highlight w:val="none"/>
        </w:rPr>
      </w:pP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授权代表联系方式（手机）：【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授权代表身份证复印件：</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7227" w:type="dxa"/>
            <w:vAlign w:val="center"/>
          </w:tcPr>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授权代表身份证复印件</w:t>
            </w:r>
          </w:p>
        </w:tc>
      </w:tr>
    </w:tbl>
    <w:p>
      <w:pPr>
        <w:ind w:firstLine="420" w:firstLineChars="200"/>
        <w:rPr>
          <w:rFonts w:hint="eastAsia" w:ascii="宋体" w:hAnsi="宋体" w:eastAsia="宋体" w:cs="宋体"/>
          <w:color w:val="auto"/>
          <w:highlight w:val="none"/>
        </w:rPr>
      </w:pP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供应商为其缴纳社保的证明材料（附后）。</w:t>
      </w:r>
    </w:p>
    <w:p>
      <w:pPr>
        <w:adjustRightInd w:val="0"/>
        <w:ind w:firstLine="420" w:firstLineChars="200"/>
        <w:rPr>
          <w:rFonts w:hint="eastAsia" w:ascii="宋体" w:hAnsi="宋体" w:eastAsia="宋体" w:cs="宋体"/>
          <w:color w:val="auto"/>
          <w:szCs w:val="21"/>
          <w:highlight w:val="none"/>
        </w:rPr>
      </w:pPr>
    </w:p>
    <w:p>
      <w:pPr>
        <w:adjustRightInd w:val="0"/>
        <w:ind w:firstLine="420" w:firstLineChars="200"/>
        <w:rPr>
          <w:rFonts w:hint="eastAsia" w:ascii="宋体" w:hAnsi="宋体" w:eastAsia="宋体" w:cs="宋体"/>
          <w:color w:val="auto"/>
          <w:szCs w:val="21"/>
          <w:highlight w:val="none"/>
        </w:rPr>
      </w:pP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说明：供应商法定代表人作为供应商代表参与本项目采购活动时，不需提供此委托书。</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法定代表人授权签署磋商响应文件委托书</w:t>
      </w:r>
    </w:p>
    <w:p>
      <w:pPr>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（由授权代表签署时提供）</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浙江省体育彩票管理中心</w:t>
      </w:r>
      <w:r>
        <w:rPr>
          <w:rFonts w:hint="eastAsia" w:ascii="宋体" w:hAnsi="宋体" w:eastAsia="宋体" w:cs="宋体"/>
          <w:color w:val="auto"/>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rPr>
        <w:t>浙江省成套招标代理有限公司：</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我</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（法定代表人姓名） </w:t>
      </w:r>
      <w:r>
        <w:rPr>
          <w:rFonts w:hint="eastAsia" w:ascii="宋体" w:hAnsi="宋体" w:eastAsia="宋体" w:cs="宋体"/>
          <w:color w:val="auto"/>
          <w:szCs w:val="21"/>
          <w:highlight w:val="none"/>
        </w:rPr>
        <w:t>】以【</w:t>
      </w:r>
      <w:r>
        <w:rPr>
          <w:rFonts w:hint="eastAsia" w:ascii="宋体" w:hAnsi="宋体" w:eastAsia="宋体" w:cs="宋体"/>
          <w:color w:val="auto"/>
          <w:szCs w:val="21"/>
          <w:highlight w:val="none"/>
          <w:u w:val="single"/>
        </w:rPr>
        <w:t xml:space="preserve">      （供应商全称）   </w:t>
      </w:r>
      <w:r>
        <w:rPr>
          <w:rFonts w:hint="eastAsia" w:ascii="宋体" w:hAnsi="宋体" w:eastAsia="宋体" w:cs="宋体"/>
          <w:color w:val="auto"/>
          <w:szCs w:val="21"/>
          <w:highlight w:val="none"/>
        </w:rPr>
        <w:t>】</w:t>
      </w:r>
      <w:r>
        <w:rPr>
          <w:rFonts w:hint="eastAsia" w:ascii="宋体" w:hAnsi="宋体" w:eastAsia="宋体" w:cs="宋体"/>
          <w:color w:val="auto"/>
          <w:highlight w:val="none"/>
        </w:rPr>
        <w:t>法定代表人的身份授权我单位在职员工</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（授权代表姓名）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（身份证号 ）   </w:t>
      </w:r>
      <w:r>
        <w:rPr>
          <w:rFonts w:hint="eastAsia" w:ascii="宋体" w:hAnsi="宋体" w:eastAsia="宋体" w:cs="宋体"/>
          <w:color w:val="auto"/>
          <w:szCs w:val="21"/>
          <w:highlight w:val="none"/>
        </w:rPr>
        <w:t>】</w:t>
      </w:r>
      <w:r>
        <w:rPr>
          <w:rFonts w:hint="eastAsia" w:ascii="宋体" w:hAnsi="宋体" w:eastAsia="宋体" w:cs="宋体"/>
          <w:color w:val="auto"/>
          <w:highlight w:val="none"/>
        </w:rPr>
        <w:t>，为我单位的授权代表，签署</w:t>
      </w:r>
      <w:r>
        <w:rPr>
          <w:rFonts w:hint="eastAsia" w:ascii="宋体" w:hAnsi="宋体" w:eastAsia="宋体" w:cs="宋体"/>
          <w:color w:val="auto"/>
          <w:szCs w:val="21"/>
          <w:highlight w:val="none"/>
          <w:u w:val="single"/>
          <w:lang w:eastAsia="zh-CN"/>
        </w:rPr>
        <w:t>浙江省体育彩票管理中心</w:t>
      </w:r>
      <w:r>
        <w:rPr>
          <w:rFonts w:hint="eastAsia" w:ascii="宋体" w:hAnsi="宋体" w:eastAsia="宋体" w:cs="宋体"/>
          <w:color w:val="auto"/>
          <w:szCs w:val="21"/>
          <w:highlight w:val="none"/>
        </w:rPr>
        <w:t>（采购人）</w:t>
      </w:r>
      <w:r>
        <w:rPr>
          <w:rFonts w:hint="eastAsia" w:ascii="宋体" w:hAnsi="宋体" w:cs="宋体"/>
          <w:color w:val="auto"/>
          <w:szCs w:val="21"/>
          <w:highlight w:val="none"/>
          <w:u w:val="single"/>
          <w:lang w:eastAsia="zh-CN"/>
        </w:rPr>
        <w:t>2024年体彩爱心小板凳活动</w:t>
      </w:r>
      <w:r>
        <w:rPr>
          <w:rFonts w:hint="eastAsia" w:ascii="宋体" w:hAnsi="宋体" w:eastAsia="宋体" w:cs="宋体"/>
          <w:color w:val="auto"/>
          <w:szCs w:val="21"/>
          <w:highlight w:val="none"/>
          <w:u w:val="single"/>
        </w:rPr>
        <w:t>项目</w:t>
      </w:r>
      <w:r>
        <w:rPr>
          <w:rFonts w:hint="eastAsia" w:ascii="宋体" w:hAnsi="宋体" w:eastAsia="宋体" w:cs="宋体"/>
          <w:color w:val="auto"/>
          <w:szCs w:val="21"/>
          <w:highlight w:val="none"/>
        </w:rPr>
        <w:t>（项目名称）</w:t>
      </w:r>
      <w:r>
        <w:rPr>
          <w:rFonts w:hint="eastAsia" w:ascii="宋体" w:hAnsi="宋体" w:cs="宋体"/>
          <w:color w:val="auto"/>
          <w:szCs w:val="21"/>
          <w:highlight w:val="none"/>
          <w:u w:val="single"/>
          <w:lang w:eastAsia="zh-CN"/>
        </w:rPr>
        <w:t>CTZB-2023110267</w:t>
      </w:r>
      <w:r>
        <w:rPr>
          <w:rFonts w:hint="eastAsia" w:ascii="宋体" w:hAnsi="宋体" w:eastAsia="宋体" w:cs="宋体"/>
          <w:color w:val="auto"/>
          <w:szCs w:val="21"/>
          <w:highlight w:val="none"/>
        </w:rPr>
        <w:t>（项目编号）</w:t>
      </w:r>
      <w:r>
        <w:rPr>
          <w:rFonts w:hint="eastAsia" w:ascii="宋体" w:hAnsi="宋体" w:cs="宋体"/>
          <w:color w:val="auto"/>
          <w:szCs w:val="21"/>
          <w:highlight w:val="none"/>
          <w:u w:val="single"/>
          <w:lang w:eastAsia="zh-CN"/>
        </w:rPr>
        <w:t>2024年体彩爱心小板凳活动</w:t>
      </w:r>
      <w:r>
        <w:rPr>
          <w:rFonts w:hint="eastAsia" w:ascii="宋体" w:hAnsi="宋体" w:eastAsia="宋体" w:cs="宋体"/>
          <w:color w:val="auto"/>
          <w:szCs w:val="21"/>
          <w:highlight w:val="none"/>
        </w:rPr>
        <w:t>（标项名称）</w:t>
      </w:r>
      <w:r>
        <w:rPr>
          <w:rFonts w:hint="eastAsia" w:ascii="宋体" w:hAnsi="宋体" w:eastAsia="宋体" w:cs="宋体"/>
          <w:color w:val="auto"/>
          <w:highlight w:val="none"/>
        </w:rPr>
        <w:t>的磋商响应文件。</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供应商全称：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（盖单位公章）</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日期：2023年  月  日</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附：</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授权代表联系方式（手机）：【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授权代表身份证复印件：</w:t>
      </w:r>
    </w:p>
    <w:tbl>
      <w:tblPr>
        <w:tblStyle w:val="45"/>
        <w:tblW w:w="7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trPr>
        <w:tc>
          <w:tcPr>
            <w:tcW w:w="7227"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授权代表身份证复印件</w:t>
            </w:r>
          </w:p>
        </w:tc>
      </w:tr>
    </w:tbl>
    <w:p>
      <w:pPr>
        <w:ind w:firstLine="420" w:firstLineChars="200"/>
        <w:rPr>
          <w:rFonts w:hint="eastAsia" w:ascii="宋体" w:hAnsi="宋体" w:eastAsia="宋体" w:cs="宋体"/>
          <w:color w:val="auto"/>
          <w:highlight w:val="none"/>
        </w:rPr>
      </w:pP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供应商为其缴纳社保的证明材料（附后）。</w:t>
      </w:r>
    </w:p>
    <w:p>
      <w:pPr>
        <w:ind w:firstLine="420" w:firstLineChars="200"/>
        <w:rPr>
          <w:rFonts w:hint="eastAsia" w:ascii="宋体" w:hAnsi="宋体" w:eastAsia="宋体" w:cs="宋体"/>
          <w:color w:val="auto"/>
          <w:highlight w:val="none"/>
        </w:rPr>
      </w:pPr>
    </w:p>
    <w:p>
      <w:pPr>
        <w:ind w:firstLine="420" w:firstLineChars="200"/>
        <w:rPr>
          <w:rFonts w:hint="eastAsia" w:ascii="宋体" w:hAnsi="宋体" w:eastAsia="宋体" w:cs="宋体"/>
          <w:color w:val="auto"/>
          <w:highlight w:val="none"/>
        </w:rPr>
      </w:pPr>
    </w:p>
    <w:p>
      <w:pPr>
        <w:pStyle w:val="11"/>
        <w:rPr>
          <w:rFonts w:hint="eastAsia" w:ascii="宋体" w:hAnsi="宋体" w:eastAsia="宋体" w:cs="宋体"/>
          <w:color w:val="auto"/>
          <w:highlight w:val="none"/>
        </w:rPr>
      </w:pPr>
      <w:r>
        <w:rPr>
          <w:rFonts w:hint="eastAsia" w:ascii="宋体" w:hAnsi="宋体" w:eastAsia="宋体" w:cs="宋体"/>
          <w:color w:val="auto"/>
          <w:highlight w:val="none"/>
        </w:rPr>
        <w:t>说明：供应商法定代表人按采购文件要求签署磋商响应文件时，不需提供此委托书。</w:t>
      </w:r>
    </w:p>
    <w:p>
      <w:pPr>
        <w:ind w:firstLine="420" w:firstLineChars="200"/>
        <w:rPr>
          <w:rFonts w:hint="eastAsia" w:ascii="宋体" w:hAnsi="宋体" w:eastAsia="宋体" w:cs="宋体"/>
          <w:b/>
          <w:color w:val="auto"/>
          <w:sz w:val="28"/>
          <w:szCs w:val="28"/>
          <w:highlight w:val="none"/>
        </w:rPr>
      </w:pPr>
      <w:r>
        <w:rPr>
          <w:rFonts w:hint="eastAsia" w:ascii="宋体" w:hAnsi="宋体" w:eastAsia="宋体" w:cs="宋体"/>
          <w:color w:val="auto"/>
          <w:highlight w:val="none"/>
        </w:rPr>
        <w:br w:type="page"/>
      </w:r>
    </w:p>
    <w:p>
      <w:pPr>
        <w:pStyle w:val="4"/>
        <w:ind w:firstLine="420"/>
        <w:rPr>
          <w:rFonts w:hint="eastAsia" w:ascii="宋体" w:hAnsi="宋体" w:eastAsia="宋体" w:cs="宋体"/>
          <w:color w:val="auto"/>
          <w:highlight w:val="none"/>
        </w:rPr>
      </w:pPr>
      <w:bookmarkStart w:id="114" w:name="_Toc336683581"/>
      <w:bookmarkStart w:id="115" w:name="_Toc345575543"/>
      <w:r>
        <w:rPr>
          <w:rFonts w:hint="eastAsia" w:ascii="宋体" w:hAnsi="宋体" w:eastAsia="宋体" w:cs="宋体"/>
          <w:color w:val="auto"/>
          <w:highlight w:val="none"/>
        </w:rPr>
        <w:t>三、偏离表</w:t>
      </w:r>
      <w:bookmarkEnd w:id="114"/>
      <w:bookmarkEnd w:id="115"/>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偏离表</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采购人：</w:t>
      </w:r>
      <w:r>
        <w:rPr>
          <w:rFonts w:hint="eastAsia" w:ascii="宋体" w:hAnsi="宋体" w:eastAsia="宋体" w:cs="宋体"/>
          <w:color w:val="auto"/>
          <w:highlight w:val="none"/>
          <w:lang w:eastAsia="zh-CN"/>
        </w:rPr>
        <w:t>浙江省体育彩票管理中心</w:t>
      </w:r>
    </w:p>
    <w:p>
      <w:pPr>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cs="宋体"/>
          <w:color w:val="auto"/>
          <w:highlight w:val="none"/>
          <w:lang w:eastAsia="zh-CN"/>
        </w:rPr>
        <w:t>2024年体彩爱心小板凳活动</w:t>
      </w:r>
      <w:r>
        <w:rPr>
          <w:rFonts w:hint="eastAsia" w:ascii="宋体" w:hAnsi="宋体" w:eastAsia="宋体" w:cs="宋体"/>
          <w:color w:val="auto"/>
          <w:highlight w:val="none"/>
        </w:rPr>
        <w:t>项目</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项目编号：</w:t>
      </w:r>
      <w:r>
        <w:rPr>
          <w:rFonts w:hint="eastAsia" w:ascii="宋体" w:hAnsi="宋体" w:cs="宋体"/>
          <w:color w:val="auto"/>
          <w:highlight w:val="none"/>
          <w:lang w:eastAsia="zh-CN"/>
        </w:rPr>
        <w:t>CTZB-2023110267</w:t>
      </w:r>
    </w:p>
    <w:p>
      <w:pP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标项名称：</w:t>
      </w:r>
      <w:r>
        <w:rPr>
          <w:rFonts w:hint="eastAsia" w:ascii="宋体" w:hAnsi="宋体" w:cs="宋体"/>
          <w:color w:val="auto"/>
          <w:highlight w:val="none"/>
          <w:lang w:eastAsia="zh-CN"/>
        </w:rPr>
        <w:t>2024年体彩爱心小板凳活动</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22"/>
        <w:gridCol w:w="3096"/>
        <w:gridCol w:w="2369"/>
        <w:gridCol w:w="291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306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采购文件要求</w:t>
            </w:r>
          </w:p>
        </w:tc>
        <w:tc>
          <w:tcPr>
            <w:tcW w:w="234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响应内容</w:t>
            </w:r>
          </w:p>
        </w:tc>
        <w:tc>
          <w:tcPr>
            <w:tcW w:w="288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说明（正偏离/负偏离）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jc w:val="center"/>
              <w:rPr>
                <w:rFonts w:hint="eastAsia" w:ascii="宋体" w:hAnsi="宋体" w:eastAsia="宋体" w:cs="宋体"/>
                <w:color w:val="auto"/>
                <w:spacing w:val="20"/>
                <w:szCs w:val="21"/>
                <w:highlight w:val="none"/>
              </w:rPr>
            </w:pPr>
          </w:p>
        </w:tc>
        <w:tc>
          <w:tcPr>
            <w:tcW w:w="3060" w:type="dxa"/>
            <w:vAlign w:val="center"/>
          </w:tcPr>
          <w:p>
            <w:pPr>
              <w:jc w:val="center"/>
              <w:rPr>
                <w:rFonts w:hint="eastAsia" w:ascii="宋体" w:hAnsi="宋体" w:eastAsia="宋体" w:cs="宋体"/>
                <w:color w:val="auto"/>
                <w:spacing w:val="20"/>
                <w:szCs w:val="21"/>
                <w:highlight w:val="none"/>
              </w:rPr>
            </w:pPr>
          </w:p>
        </w:tc>
        <w:tc>
          <w:tcPr>
            <w:tcW w:w="2340" w:type="dxa"/>
            <w:vAlign w:val="center"/>
          </w:tcPr>
          <w:p>
            <w:pPr>
              <w:jc w:val="center"/>
              <w:rPr>
                <w:rFonts w:hint="eastAsia" w:ascii="宋体" w:hAnsi="宋体" w:eastAsia="宋体" w:cs="宋体"/>
                <w:color w:val="auto"/>
                <w:spacing w:val="20"/>
                <w:szCs w:val="21"/>
                <w:highlight w:val="none"/>
              </w:rPr>
            </w:pPr>
          </w:p>
        </w:tc>
        <w:tc>
          <w:tcPr>
            <w:tcW w:w="2880" w:type="dxa"/>
            <w:vAlign w:val="center"/>
          </w:tcPr>
          <w:p>
            <w:pPr>
              <w:jc w:val="center"/>
              <w:rPr>
                <w:rFonts w:hint="eastAsia"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jc w:val="center"/>
              <w:rPr>
                <w:rFonts w:hint="eastAsia" w:ascii="宋体" w:hAnsi="宋体" w:eastAsia="宋体" w:cs="宋体"/>
                <w:color w:val="auto"/>
                <w:spacing w:val="20"/>
                <w:szCs w:val="21"/>
                <w:highlight w:val="none"/>
              </w:rPr>
            </w:pPr>
          </w:p>
        </w:tc>
        <w:tc>
          <w:tcPr>
            <w:tcW w:w="3060" w:type="dxa"/>
            <w:vAlign w:val="center"/>
          </w:tcPr>
          <w:p>
            <w:pPr>
              <w:jc w:val="center"/>
              <w:rPr>
                <w:rFonts w:hint="eastAsia" w:ascii="宋体" w:hAnsi="宋体" w:eastAsia="宋体" w:cs="宋体"/>
                <w:color w:val="auto"/>
                <w:spacing w:val="20"/>
                <w:szCs w:val="21"/>
                <w:highlight w:val="none"/>
              </w:rPr>
            </w:pPr>
          </w:p>
        </w:tc>
        <w:tc>
          <w:tcPr>
            <w:tcW w:w="2340" w:type="dxa"/>
            <w:vAlign w:val="center"/>
          </w:tcPr>
          <w:p>
            <w:pPr>
              <w:jc w:val="center"/>
              <w:rPr>
                <w:rFonts w:hint="eastAsia" w:ascii="宋体" w:hAnsi="宋体" w:eastAsia="宋体" w:cs="宋体"/>
                <w:color w:val="auto"/>
                <w:spacing w:val="20"/>
                <w:szCs w:val="21"/>
                <w:highlight w:val="none"/>
              </w:rPr>
            </w:pPr>
          </w:p>
        </w:tc>
        <w:tc>
          <w:tcPr>
            <w:tcW w:w="2880" w:type="dxa"/>
            <w:vAlign w:val="center"/>
          </w:tcPr>
          <w:p>
            <w:pPr>
              <w:jc w:val="center"/>
              <w:rPr>
                <w:rFonts w:hint="eastAsia"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jc w:val="center"/>
              <w:rPr>
                <w:rFonts w:hint="eastAsia" w:ascii="宋体" w:hAnsi="宋体" w:eastAsia="宋体" w:cs="宋体"/>
                <w:color w:val="auto"/>
                <w:spacing w:val="20"/>
                <w:szCs w:val="21"/>
                <w:highlight w:val="none"/>
              </w:rPr>
            </w:pPr>
          </w:p>
        </w:tc>
        <w:tc>
          <w:tcPr>
            <w:tcW w:w="3060" w:type="dxa"/>
            <w:vAlign w:val="center"/>
          </w:tcPr>
          <w:p>
            <w:pPr>
              <w:jc w:val="center"/>
              <w:rPr>
                <w:rFonts w:hint="eastAsia" w:ascii="宋体" w:hAnsi="宋体" w:eastAsia="宋体" w:cs="宋体"/>
                <w:color w:val="auto"/>
                <w:spacing w:val="20"/>
                <w:szCs w:val="21"/>
                <w:highlight w:val="none"/>
              </w:rPr>
            </w:pPr>
          </w:p>
        </w:tc>
        <w:tc>
          <w:tcPr>
            <w:tcW w:w="2340" w:type="dxa"/>
            <w:vAlign w:val="center"/>
          </w:tcPr>
          <w:p>
            <w:pPr>
              <w:jc w:val="center"/>
              <w:rPr>
                <w:rFonts w:hint="eastAsia" w:ascii="宋体" w:hAnsi="宋体" w:eastAsia="宋体" w:cs="宋体"/>
                <w:color w:val="auto"/>
                <w:spacing w:val="20"/>
                <w:szCs w:val="21"/>
                <w:highlight w:val="none"/>
              </w:rPr>
            </w:pPr>
          </w:p>
        </w:tc>
        <w:tc>
          <w:tcPr>
            <w:tcW w:w="2880" w:type="dxa"/>
            <w:vAlign w:val="center"/>
          </w:tcPr>
          <w:p>
            <w:pPr>
              <w:jc w:val="center"/>
              <w:rPr>
                <w:rFonts w:hint="eastAsia"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jc w:val="center"/>
              <w:rPr>
                <w:rFonts w:hint="eastAsia" w:ascii="宋体" w:hAnsi="宋体" w:eastAsia="宋体" w:cs="宋体"/>
                <w:color w:val="auto"/>
                <w:spacing w:val="20"/>
                <w:szCs w:val="21"/>
                <w:highlight w:val="none"/>
              </w:rPr>
            </w:pPr>
          </w:p>
        </w:tc>
        <w:tc>
          <w:tcPr>
            <w:tcW w:w="3060" w:type="dxa"/>
            <w:vAlign w:val="center"/>
          </w:tcPr>
          <w:p>
            <w:pPr>
              <w:jc w:val="center"/>
              <w:rPr>
                <w:rFonts w:hint="eastAsia" w:ascii="宋体" w:hAnsi="宋体" w:eastAsia="宋体" w:cs="宋体"/>
                <w:color w:val="auto"/>
                <w:spacing w:val="20"/>
                <w:szCs w:val="21"/>
                <w:highlight w:val="none"/>
              </w:rPr>
            </w:pPr>
          </w:p>
        </w:tc>
        <w:tc>
          <w:tcPr>
            <w:tcW w:w="2340" w:type="dxa"/>
            <w:vAlign w:val="center"/>
          </w:tcPr>
          <w:p>
            <w:pPr>
              <w:jc w:val="center"/>
              <w:rPr>
                <w:rFonts w:hint="eastAsia" w:ascii="宋体" w:hAnsi="宋体" w:eastAsia="宋体" w:cs="宋体"/>
                <w:color w:val="auto"/>
                <w:spacing w:val="20"/>
                <w:szCs w:val="21"/>
                <w:highlight w:val="none"/>
              </w:rPr>
            </w:pPr>
          </w:p>
        </w:tc>
        <w:tc>
          <w:tcPr>
            <w:tcW w:w="2880" w:type="dxa"/>
            <w:vAlign w:val="center"/>
          </w:tcPr>
          <w:p>
            <w:pPr>
              <w:jc w:val="center"/>
              <w:rPr>
                <w:rFonts w:hint="eastAsia"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jc w:val="center"/>
              <w:rPr>
                <w:rFonts w:hint="eastAsia" w:ascii="宋体" w:hAnsi="宋体" w:eastAsia="宋体" w:cs="宋体"/>
                <w:color w:val="auto"/>
                <w:spacing w:val="20"/>
                <w:szCs w:val="21"/>
                <w:highlight w:val="none"/>
              </w:rPr>
            </w:pPr>
          </w:p>
        </w:tc>
        <w:tc>
          <w:tcPr>
            <w:tcW w:w="3060" w:type="dxa"/>
            <w:vAlign w:val="center"/>
          </w:tcPr>
          <w:p>
            <w:pPr>
              <w:jc w:val="center"/>
              <w:rPr>
                <w:rFonts w:hint="eastAsia" w:ascii="宋体" w:hAnsi="宋体" w:eastAsia="宋体" w:cs="宋体"/>
                <w:color w:val="auto"/>
                <w:spacing w:val="20"/>
                <w:szCs w:val="21"/>
                <w:highlight w:val="none"/>
              </w:rPr>
            </w:pPr>
          </w:p>
        </w:tc>
        <w:tc>
          <w:tcPr>
            <w:tcW w:w="2340" w:type="dxa"/>
            <w:vAlign w:val="center"/>
          </w:tcPr>
          <w:p>
            <w:pPr>
              <w:jc w:val="center"/>
              <w:rPr>
                <w:rFonts w:hint="eastAsia" w:ascii="宋体" w:hAnsi="宋体" w:eastAsia="宋体" w:cs="宋体"/>
                <w:color w:val="auto"/>
                <w:spacing w:val="20"/>
                <w:szCs w:val="21"/>
                <w:highlight w:val="none"/>
              </w:rPr>
            </w:pPr>
          </w:p>
        </w:tc>
        <w:tc>
          <w:tcPr>
            <w:tcW w:w="2880" w:type="dxa"/>
            <w:vAlign w:val="center"/>
          </w:tcPr>
          <w:p>
            <w:pPr>
              <w:jc w:val="center"/>
              <w:rPr>
                <w:rFonts w:hint="eastAsia"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jc w:val="center"/>
              <w:rPr>
                <w:rFonts w:hint="eastAsia" w:ascii="宋体" w:hAnsi="宋体" w:eastAsia="宋体" w:cs="宋体"/>
                <w:color w:val="auto"/>
                <w:spacing w:val="20"/>
                <w:szCs w:val="21"/>
                <w:highlight w:val="none"/>
              </w:rPr>
            </w:pPr>
          </w:p>
        </w:tc>
        <w:tc>
          <w:tcPr>
            <w:tcW w:w="3060" w:type="dxa"/>
            <w:vAlign w:val="center"/>
          </w:tcPr>
          <w:p>
            <w:pPr>
              <w:jc w:val="center"/>
              <w:rPr>
                <w:rFonts w:hint="eastAsia" w:ascii="宋体" w:hAnsi="宋体" w:eastAsia="宋体" w:cs="宋体"/>
                <w:color w:val="auto"/>
                <w:spacing w:val="20"/>
                <w:szCs w:val="21"/>
                <w:highlight w:val="none"/>
              </w:rPr>
            </w:pPr>
          </w:p>
        </w:tc>
        <w:tc>
          <w:tcPr>
            <w:tcW w:w="2340" w:type="dxa"/>
            <w:vAlign w:val="center"/>
          </w:tcPr>
          <w:p>
            <w:pPr>
              <w:jc w:val="center"/>
              <w:rPr>
                <w:rFonts w:hint="eastAsia" w:ascii="宋体" w:hAnsi="宋体" w:eastAsia="宋体" w:cs="宋体"/>
                <w:color w:val="auto"/>
                <w:spacing w:val="20"/>
                <w:szCs w:val="21"/>
                <w:highlight w:val="none"/>
              </w:rPr>
            </w:pPr>
          </w:p>
        </w:tc>
        <w:tc>
          <w:tcPr>
            <w:tcW w:w="2880" w:type="dxa"/>
            <w:vAlign w:val="center"/>
          </w:tcPr>
          <w:p>
            <w:pPr>
              <w:jc w:val="center"/>
              <w:rPr>
                <w:rFonts w:hint="eastAsia"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jc w:val="center"/>
              <w:rPr>
                <w:rFonts w:hint="eastAsia" w:ascii="宋体" w:hAnsi="宋体" w:eastAsia="宋体" w:cs="宋体"/>
                <w:color w:val="auto"/>
                <w:spacing w:val="20"/>
                <w:szCs w:val="21"/>
                <w:highlight w:val="none"/>
              </w:rPr>
            </w:pPr>
          </w:p>
        </w:tc>
        <w:tc>
          <w:tcPr>
            <w:tcW w:w="3060" w:type="dxa"/>
            <w:vAlign w:val="center"/>
          </w:tcPr>
          <w:p>
            <w:pPr>
              <w:jc w:val="center"/>
              <w:rPr>
                <w:rFonts w:hint="eastAsia" w:ascii="宋体" w:hAnsi="宋体" w:eastAsia="宋体" w:cs="宋体"/>
                <w:color w:val="auto"/>
                <w:spacing w:val="20"/>
                <w:szCs w:val="21"/>
                <w:highlight w:val="none"/>
              </w:rPr>
            </w:pPr>
          </w:p>
        </w:tc>
        <w:tc>
          <w:tcPr>
            <w:tcW w:w="2340" w:type="dxa"/>
            <w:vAlign w:val="center"/>
          </w:tcPr>
          <w:p>
            <w:pPr>
              <w:jc w:val="center"/>
              <w:rPr>
                <w:rFonts w:hint="eastAsia" w:ascii="宋体" w:hAnsi="宋体" w:eastAsia="宋体" w:cs="宋体"/>
                <w:color w:val="auto"/>
                <w:spacing w:val="20"/>
                <w:szCs w:val="21"/>
                <w:highlight w:val="none"/>
              </w:rPr>
            </w:pPr>
          </w:p>
        </w:tc>
        <w:tc>
          <w:tcPr>
            <w:tcW w:w="2880" w:type="dxa"/>
            <w:vAlign w:val="center"/>
          </w:tcPr>
          <w:p>
            <w:pPr>
              <w:jc w:val="center"/>
              <w:rPr>
                <w:rFonts w:hint="eastAsia"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jc w:val="center"/>
              <w:rPr>
                <w:rFonts w:hint="eastAsia" w:ascii="宋体" w:hAnsi="宋体" w:eastAsia="宋体" w:cs="宋体"/>
                <w:color w:val="auto"/>
                <w:spacing w:val="20"/>
                <w:szCs w:val="21"/>
                <w:highlight w:val="none"/>
              </w:rPr>
            </w:pPr>
          </w:p>
        </w:tc>
        <w:tc>
          <w:tcPr>
            <w:tcW w:w="3060" w:type="dxa"/>
            <w:vAlign w:val="center"/>
          </w:tcPr>
          <w:p>
            <w:pPr>
              <w:jc w:val="center"/>
              <w:rPr>
                <w:rFonts w:hint="eastAsia" w:ascii="宋体" w:hAnsi="宋体" w:eastAsia="宋体" w:cs="宋体"/>
                <w:color w:val="auto"/>
                <w:spacing w:val="20"/>
                <w:szCs w:val="21"/>
                <w:highlight w:val="none"/>
              </w:rPr>
            </w:pPr>
          </w:p>
        </w:tc>
        <w:tc>
          <w:tcPr>
            <w:tcW w:w="2340" w:type="dxa"/>
            <w:vAlign w:val="center"/>
          </w:tcPr>
          <w:p>
            <w:pPr>
              <w:jc w:val="center"/>
              <w:rPr>
                <w:rFonts w:hint="eastAsia" w:ascii="宋体" w:hAnsi="宋体" w:eastAsia="宋体" w:cs="宋体"/>
                <w:color w:val="auto"/>
                <w:spacing w:val="20"/>
                <w:szCs w:val="21"/>
                <w:highlight w:val="none"/>
              </w:rPr>
            </w:pPr>
          </w:p>
        </w:tc>
        <w:tc>
          <w:tcPr>
            <w:tcW w:w="2880" w:type="dxa"/>
            <w:vAlign w:val="center"/>
          </w:tcPr>
          <w:p>
            <w:pPr>
              <w:jc w:val="center"/>
              <w:rPr>
                <w:rFonts w:hint="eastAsia"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jc w:val="center"/>
              <w:rPr>
                <w:rFonts w:hint="eastAsia" w:ascii="宋体" w:hAnsi="宋体" w:eastAsia="宋体" w:cs="宋体"/>
                <w:color w:val="auto"/>
                <w:spacing w:val="20"/>
                <w:szCs w:val="21"/>
                <w:highlight w:val="none"/>
              </w:rPr>
            </w:pPr>
          </w:p>
        </w:tc>
        <w:tc>
          <w:tcPr>
            <w:tcW w:w="3060" w:type="dxa"/>
            <w:vAlign w:val="center"/>
          </w:tcPr>
          <w:p>
            <w:pPr>
              <w:jc w:val="center"/>
              <w:rPr>
                <w:rFonts w:hint="eastAsia" w:ascii="宋体" w:hAnsi="宋体" w:eastAsia="宋体" w:cs="宋体"/>
                <w:color w:val="auto"/>
                <w:spacing w:val="20"/>
                <w:szCs w:val="21"/>
                <w:highlight w:val="none"/>
              </w:rPr>
            </w:pPr>
          </w:p>
        </w:tc>
        <w:tc>
          <w:tcPr>
            <w:tcW w:w="2340" w:type="dxa"/>
            <w:vAlign w:val="center"/>
          </w:tcPr>
          <w:p>
            <w:pPr>
              <w:jc w:val="center"/>
              <w:rPr>
                <w:rFonts w:hint="eastAsia" w:ascii="宋体" w:hAnsi="宋体" w:eastAsia="宋体" w:cs="宋体"/>
                <w:color w:val="auto"/>
                <w:spacing w:val="20"/>
                <w:szCs w:val="21"/>
                <w:highlight w:val="none"/>
              </w:rPr>
            </w:pPr>
          </w:p>
        </w:tc>
        <w:tc>
          <w:tcPr>
            <w:tcW w:w="2880" w:type="dxa"/>
            <w:vAlign w:val="center"/>
          </w:tcPr>
          <w:p>
            <w:pPr>
              <w:jc w:val="center"/>
              <w:rPr>
                <w:rFonts w:hint="eastAsia" w:ascii="宋体" w:hAnsi="宋体" w:eastAsia="宋体" w:cs="宋体"/>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4" w:hRule="atLeast"/>
        </w:trPr>
        <w:tc>
          <w:tcPr>
            <w:tcW w:w="1008" w:type="dxa"/>
            <w:vAlign w:val="center"/>
          </w:tcPr>
          <w:p>
            <w:pPr>
              <w:jc w:val="center"/>
              <w:rPr>
                <w:rFonts w:hint="eastAsia" w:ascii="宋体" w:hAnsi="宋体" w:eastAsia="宋体" w:cs="宋体"/>
                <w:color w:val="auto"/>
                <w:spacing w:val="20"/>
                <w:szCs w:val="21"/>
                <w:highlight w:val="none"/>
              </w:rPr>
            </w:pPr>
          </w:p>
        </w:tc>
        <w:tc>
          <w:tcPr>
            <w:tcW w:w="3060" w:type="dxa"/>
            <w:vAlign w:val="center"/>
          </w:tcPr>
          <w:p>
            <w:pPr>
              <w:jc w:val="center"/>
              <w:rPr>
                <w:rFonts w:hint="eastAsia" w:ascii="宋体" w:hAnsi="宋体" w:eastAsia="宋体" w:cs="宋体"/>
                <w:color w:val="auto"/>
                <w:spacing w:val="20"/>
                <w:szCs w:val="21"/>
                <w:highlight w:val="none"/>
              </w:rPr>
            </w:pPr>
          </w:p>
        </w:tc>
        <w:tc>
          <w:tcPr>
            <w:tcW w:w="2340" w:type="dxa"/>
            <w:vAlign w:val="center"/>
          </w:tcPr>
          <w:p>
            <w:pPr>
              <w:jc w:val="center"/>
              <w:rPr>
                <w:rFonts w:hint="eastAsia" w:ascii="宋体" w:hAnsi="宋体" w:eastAsia="宋体" w:cs="宋体"/>
                <w:color w:val="auto"/>
                <w:spacing w:val="20"/>
                <w:szCs w:val="21"/>
                <w:highlight w:val="none"/>
              </w:rPr>
            </w:pPr>
          </w:p>
        </w:tc>
        <w:tc>
          <w:tcPr>
            <w:tcW w:w="2880" w:type="dxa"/>
            <w:vAlign w:val="center"/>
          </w:tcPr>
          <w:p>
            <w:pPr>
              <w:jc w:val="center"/>
              <w:rPr>
                <w:rFonts w:hint="eastAsia" w:ascii="宋体" w:hAnsi="宋体" w:eastAsia="宋体" w:cs="宋体"/>
                <w:color w:val="auto"/>
                <w:spacing w:val="20"/>
                <w:szCs w:val="21"/>
                <w:highlight w:val="none"/>
              </w:rPr>
            </w:pPr>
          </w:p>
        </w:tc>
      </w:tr>
    </w:tbl>
    <w:p>
      <w:pPr>
        <w:rPr>
          <w:rFonts w:hint="eastAsia" w:ascii="宋体" w:hAnsi="宋体" w:eastAsia="宋体" w:cs="宋体"/>
          <w:color w:val="auto"/>
          <w:szCs w:val="21"/>
          <w:highlight w:val="none"/>
        </w:rPr>
      </w:pPr>
    </w:p>
    <w:p>
      <w:pPr>
        <w:adjustRightInd w:val="0"/>
        <w:ind w:firstLine="420" w:firstLineChars="200"/>
        <w:rPr>
          <w:rFonts w:hint="eastAsia" w:ascii="宋体" w:hAnsi="宋体" w:eastAsia="宋体" w:cs="宋体"/>
          <w:color w:val="auto"/>
          <w:spacing w:val="20"/>
          <w:szCs w:val="21"/>
          <w:highlight w:val="none"/>
          <w:u w:val="single"/>
        </w:rPr>
      </w:pPr>
      <w:r>
        <w:rPr>
          <w:rFonts w:hint="eastAsia" w:ascii="宋体" w:hAnsi="宋体" w:eastAsia="宋体" w:cs="宋体"/>
          <w:color w:val="auto"/>
          <w:szCs w:val="21"/>
          <w:highlight w:val="none"/>
        </w:rPr>
        <w:t>供应商全称：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日期：2023年  月  日</w:t>
      </w:r>
    </w:p>
    <w:p>
      <w:pPr>
        <w:rPr>
          <w:rFonts w:hint="eastAsia" w:ascii="宋体" w:hAnsi="宋体" w:eastAsia="宋体" w:cs="宋体"/>
          <w:color w:val="auto"/>
          <w:szCs w:val="21"/>
          <w:highlight w:val="none"/>
        </w:rPr>
      </w:pP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填表说明：</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（1）对采购文件有任何偏离（包括正偏离及负偏离）均应汇总并填写在此表中。</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（2）完全满足采购文件要求的供应商只需填写</w:t>
      </w:r>
      <w:r>
        <w:rPr>
          <w:rFonts w:hint="eastAsia" w:ascii="宋体" w:hAnsi="宋体" w:eastAsia="宋体" w:cs="宋体"/>
          <w:color w:val="auto"/>
          <w:highlight w:val="none"/>
        </w:rPr>
        <w:t>【</w:t>
      </w:r>
      <w:r>
        <w:rPr>
          <w:rFonts w:hint="eastAsia" w:ascii="宋体" w:hAnsi="宋体" w:eastAsia="宋体" w:cs="宋体"/>
          <w:b/>
          <w:bCs/>
          <w:color w:val="auto"/>
          <w:highlight w:val="none"/>
          <w:u w:val="single"/>
        </w:rPr>
        <w:t>完全满足采购文件的全部要求</w:t>
      </w:r>
      <w:r>
        <w:rPr>
          <w:rFonts w:hint="eastAsia" w:ascii="宋体" w:hAnsi="宋体" w:eastAsia="宋体" w:cs="宋体"/>
          <w:color w:val="auto"/>
          <w:highlight w:val="none"/>
        </w:rPr>
        <w:t>】</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（3）若供应商以未在偏离表中列出的负偏离为由，不按采购文件要求签约，采购人有权取消该供应商的成交资格，并按有关规定重新确定成交供应商或另行采购。</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（4）供应商可调整、修改上述表格。</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（5）磋商响应文件响应内容对采购文件要求如有偏离均应填写偏离表，如不填写，采购人有权视作磋商响应文件完全响应采购文件要求。</w:t>
      </w:r>
    </w:p>
    <w:p>
      <w:pPr>
        <w:ind w:firstLine="500" w:firstLineChars="200"/>
        <w:jc w:val="left"/>
        <w:rPr>
          <w:rFonts w:hint="eastAsia" w:ascii="宋体" w:hAnsi="宋体" w:eastAsia="宋体" w:cs="宋体"/>
          <w:color w:val="auto"/>
          <w:szCs w:val="21"/>
          <w:highlight w:val="none"/>
        </w:rPr>
      </w:pPr>
      <w:r>
        <w:rPr>
          <w:rFonts w:hint="eastAsia" w:ascii="宋体" w:hAnsi="宋体" w:eastAsia="宋体" w:cs="宋体"/>
          <w:color w:val="auto"/>
          <w:spacing w:val="20"/>
          <w:highlight w:val="none"/>
        </w:rPr>
        <w:br w:type="page"/>
      </w:r>
      <w:bookmarkStart w:id="116" w:name="_Toc413337003"/>
    </w:p>
    <w:bookmarkEnd w:id="116"/>
    <w:p>
      <w:pPr>
        <w:pStyle w:val="4"/>
        <w:ind w:firstLine="420"/>
        <w:rPr>
          <w:rFonts w:hint="eastAsia" w:ascii="宋体" w:hAnsi="宋体" w:eastAsia="宋体" w:cs="宋体"/>
          <w:color w:val="auto"/>
          <w:highlight w:val="none"/>
        </w:rPr>
      </w:pPr>
      <w:bookmarkStart w:id="117" w:name="_Toc345575550"/>
      <w:bookmarkStart w:id="118" w:name="_Toc245088215"/>
      <w:r>
        <w:rPr>
          <w:rFonts w:hint="eastAsia" w:ascii="宋体" w:hAnsi="宋体" w:eastAsia="宋体" w:cs="宋体"/>
          <w:color w:val="auto"/>
          <w:highlight w:val="none"/>
        </w:rPr>
        <w:t>四、</w:t>
      </w:r>
      <w:bookmarkEnd w:id="117"/>
      <w:bookmarkEnd w:id="118"/>
      <w:r>
        <w:rPr>
          <w:rFonts w:hint="eastAsia" w:ascii="宋体" w:hAnsi="宋体" w:eastAsia="宋体" w:cs="宋体"/>
          <w:color w:val="auto"/>
          <w:highlight w:val="none"/>
        </w:rPr>
        <w:t>廉政承诺书</w:t>
      </w: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廉政承诺书</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lang w:eastAsia="zh-CN"/>
        </w:rPr>
        <w:t>浙江省体育彩票管理中心</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我单位响应</w:t>
      </w:r>
      <w:r>
        <w:rPr>
          <w:rFonts w:hint="eastAsia" w:ascii="宋体" w:hAnsi="宋体" w:eastAsia="宋体" w:cs="宋体"/>
          <w:color w:val="auto"/>
          <w:szCs w:val="21"/>
          <w:highlight w:val="none"/>
          <w:u w:val="single"/>
          <w:lang w:eastAsia="zh-CN"/>
        </w:rPr>
        <w:t>浙江省体育彩票管理中心</w:t>
      </w:r>
      <w:r>
        <w:rPr>
          <w:rFonts w:hint="eastAsia" w:ascii="宋体" w:hAnsi="宋体" w:eastAsia="宋体" w:cs="宋体"/>
          <w:color w:val="auto"/>
          <w:szCs w:val="21"/>
          <w:highlight w:val="none"/>
        </w:rPr>
        <w:t>（采购人）</w:t>
      </w:r>
      <w:r>
        <w:rPr>
          <w:rFonts w:hint="eastAsia" w:ascii="宋体" w:hAnsi="宋体" w:cs="宋体"/>
          <w:color w:val="auto"/>
          <w:szCs w:val="21"/>
          <w:highlight w:val="none"/>
          <w:u w:val="single"/>
          <w:lang w:eastAsia="zh-CN"/>
        </w:rPr>
        <w:t>2024年体彩爱心小板凳活动</w:t>
      </w:r>
      <w:r>
        <w:rPr>
          <w:rFonts w:hint="eastAsia" w:ascii="宋体" w:hAnsi="宋体" w:eastAsia="宋体" w:cs="宋体"/>
          <w:color w:val="auto"/>
          <w:szCs w:val="21"/>
          <w:highlight w:val="none"/>
          <w:u w:val="single"/>
        </w:rPr>
        <w:t>项目</w:t>
      </w:r>
      <w:r>
        <w:rPr>
          <w:rFonts w:hint="eastAsia" w:ascii="宋体" w:hAnsi="宋体" w:eastAsia="宋体" w:cs="宋体"/>
          <w:color w:val="auto"/>
          <w:szCs w:val="21"/>
          <w:highlight w:val="none"/>
        </w:rPr>
        <w:t>（项目名称）</w:t>
      </w:r>
      <w:r>
        <w:rPr>
          <w:rFonts w:hint="eastAsia" w:ascii="宋体" w:hAnsi="宋体" w:cs="宋体"/>
          <w:color w:val="auto"/>
          <w:szCs w:val="21"/>
          <w:highlight w:val="none"/>
          <w:u w:val="single"/>
          <w:lang w:eastAsia="zh-CN"/>
        </w:rPr>
        <w:t>CTZB-2023110267</w:t>
      </w:r>
      <w:r>
        <w:rPr>
          <w:rFonts w:hint="eastAsia" w:ascii="宋体" w:hAnsi="宋体" w:eastAsia="宋体" w:cs="宋体"/>
          <w:color w:val="auto"/>
          <w:szCs w:val="21"/>
          <w:highlight w:val="none"/>
        </w:rPr>
        <w:t>（项目编号）</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szCs w:val="21"/>
          <w:highlight w:val="none"/>
        </w:rPr>
        <w:t>（标项名称）项目采购要求并参加磋商。在这次磋商过程中和成交后，我们将严格遵守国家法律法规要求，并郑重承诺：</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一、不向项目有关人员及部门赠送礼金礼物、有价证券、回扣以及中介费、介绍费、咨询费等好处费；</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二、不为项目有关人员及部门报销应由你方单位或个人支付的费用；</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三、不向项目有关人员及部门提供有可能影响公正的宴请和健身娱乐等活动；</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四、不为项目有关人员及部门出国（境）、旅游等提供方便；</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五、不为项目有关人员个人装修住房、婚丧嫁娶、配偶子女工作安排等提供好处；</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如违反上述承诺，你单位有权立即取消我单位磋商、成交资格。由此引起的相应损失均由我单位承担。</w:t>
      </w: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p>
    <w:p>
      <w:pPr>
        <w:adjustRightInd w:val="0"/>
        <w:ind w:firstLine="420" w:firstLineChars="200"/>
        <w:rPr>
          <w:rFonts w:hint="eastAsia" w:ascii="宋体" w:hAnsi="宋体" w:eastAsia="宋体" w:cs="宋体"/>
          <w:color w:val="auto"/>
          <w:spacing w:val="20"/>
          <w:szCs w:val="21"/>
          <w:highlight w:val="none"/>
          <w:u w:val="single"/>
        </w:rPr>
      </w:pPr>
      <w:r>
        <w:rPr>
          <w:rFonts w:hint="eastAsia" w:ascii="宋体" w:hAnsi="宋体" w:eastAsia="宋体" w:cs="宋体"/>
          <w:color w:val="auto"/>
          <w:szCs w:val="21"/>
          <w:highlight w:val="none"/>
        </w:rPr>
        <w:t>供应商全称：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adjustRightInd w:val="0"/>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日期：2023年  月  日</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p>
    <w:p>
      <w:pPr>
        <w:pStyle w:val="4"/>
        <w:ind w:firstLine="420"/>
        <w:rPr>
          <w:rFonts w:hint="eastAsia" w:ascii="宋体" w:hAnsi="宋体" w:eastAsia="宋体" w:cs="宋体"/>
          <w:color w:val="auto"/>
          <w:highlight w:val="none"/>
        </w:rPr>
      </w:pPr>
      <w:bookmarkStart w:id="119" w:name="_Toc345575552"/>
      <w:r>
        <w:rPr>
          <w:rFonts w:hint="eastAsia" w:ascii="宋体" w:hAnsi="宋体" w:eastAsia="宋体" w:cs="宋体"/>
          <w:color w:val="auto"/>
          <w:highlight w:val="none"/>
        </w:rPr>
        <w:t>五、其他资信资料</w:t>
      </w:r>
      <w:bookmarkEnd w:id="119"/>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其他资信资料</w:t>
      </w:r>
    </w:p>
    <w:tbl>
      <w:tblPr>
        <w:tblStyle w:val="45"/>
        <w:tblW w:w="9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2"/>
        <w:gridCol w:w="1078"/>
        <w:gridCol w:w="115"/>
        <w:gridCol w:w="780"/>
        <w:gridCol w:w="2045"/>
        <w:gridCol w:w="689"/>
        <w:gridCol w:w="674"/>
        <w:gridCol w:w="693"/>
        <w:gridCol w:w="662"/>
        <w:gridCol w:w="657"/>
        <w:gridCol w:w="594"/>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单位名称</w:t>
            </w:r>
          </w:p>
        </w:tc>
        <w:tc>
          <w:tcPr>
            <w:tcW w:w="1078" w:type="dxa"/>
            <w:vAlign w:val="center"/>
          </w:tcPr>
          <w:p>
            <w:pPr>
              <w:jc w:val="center"/>
              <w:rPr>
                <w:rFonts w:hint="eastAsia" w:ascii="宋体" w:hAnsi="宋体" w:eastAsia="宋体" w:cs="宋体"/>
                <w:color w:val="auto"/>
                <w:szCs w:val="21"/>
                <w:highlight w:val="none"/>
              </w:rPr>
            </w:pPr>
          </w:p>
        </w:tc>
        <w:tc>
          <w:tcPr>
            <w:tcW w:w="895"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电话</w:t>
            </w:r>
          </w:p>
        </w:tc>
        <w:tc>
          <w:tcPr>
            <w:tcW w:w="2045" w:type="dxa"/>
            <w:vAlign w:val="center"/>
          </w:tcPr>
          <w:p>
            <w:pPr>
              <w:jc w:val="center"/>
              <w:rPr>
                <w:rFonts w:hint="eastAsia" w:ascii="宋体" w:hAnsi="宋体" w:eastAsia="宋体" w:cs="宋体"/>
                <w:color w:val="auto"/>
                <w:szCs w:val="21"/>
                <w:highlight w:val="none"/>
              </w:rPr>
            </w:pPr>
          </w:p>
        </w:tc>
        <w:tc>
          <w:tcPr>
            <w:tcW w:w="68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主管部门</w:t>
            </w:r>
          </w:p>
        </w:tc>
        <w:tc>
          <w:tcPr>
            <w:tcW w:w="674" w:type="dxa"/>
            <w:vAlign w:val="center"/>
          </w:tcPr>
          <w:p>
            <w:pPr>
              <w:jc w:val="center"/>
              <w:rPr>
                <w:rFonts w:hint="eastAsia" w:ascii="宋体" w:hAnsi="宋体" w:eastAsia="宋体" w:cs="宋体"/>
                <w:color w:val="auto"/>
                <w:szCs w:val="21"/>
                <w:highlight w:val="none"/>
              </w:rPr>
            </w:pPr>
          </w:p>
        </w:tc>
        <w:tc>
          <w:tcPr>
            <w:tcW w:w="1355"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单位法人</w:t>
            </w:r>
          </w:p>
        </w:tc>
        <w:tc>
          <w:tcPr>
            <w:tcW w:w="657" w:type="dxa"/>
            <w:vAlign w:val="center"/>
          </w:tcPr>
          <w:p>
            <w:pPr>
              <w:jc w:val="center"/>
              <w:rPr>
                <w:rFonts w:hint="eastAsia" w:ascii="宋体" w:hAnsi="宋体" w:eastAsia="宋体" w:cs="宋体"/>
                <w:color w:val="auto"/>
                <w:szCs w:val="21"/>
                <w:highlight w:val="none"/>
              </w:rPr>
            </w:pPr>
          </w:p>
        </w:tc>
        <w:tc>
          <w:tcPr>
            <w:tcW w:w="594"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p>
        </w:tc>
        <w:tc>
          <w:tcPr>
            <w:tcW w:w="572"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 址</w:t>
            </w:r>
          </w:p>
        </w:tc>
        <w:tc>
          <w:tcPr>
            <w:tcW w:w="1078" w:type="dxa"/>
            <w:vAlign w:val="center"/>
          </w:tcPr>
          <w:p>
            <w:pPr>
              <w:jc w:val="center"/>
              <w:rPr>
                <w:rFonts w:hint="eastAsia" w:ascii="宋体" w:hAnsi="宋体" w:eastAsia="宋体" w:cs="宋体"/>
                <w:color w:val="auto"/>
                <w:szCs w:val="21"/>
                <w:highlight w:val="none"/>
              </w:rPr>
            </w:pPr>
          </w:p>
        </w:tc>
        <w:tc>
          <w:tcPr>
            <w:tcW w:w="895"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p>
        </w:tc>
        <w:tc>
          <w:tcPr>
            <w:tcW w:w="2045" w:type="dxa"/>
            <w:vAlign w:val="center"/>
          </w:tcPr>
          <w:p>
            <w:pPr>
              <w:jc w:val="center"/>
              <w:rPr>
                <w:rFonts w:hint="eastAsia" w:ascii="宋体" w:hAnsi="宋体" w:eastAsia="宋体" w:cs="宋体"/>
                <w:color w:val="auto"/>
                <w:szCs w:val="21"/>
                <w:highlight w:val="none"/>
              </w:rPr>
            </w:pPr>
          </w:p>
        </w:tc>
        <w:tc>
          <w:tcPr>
            <w:tcW w:w="68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单位性质</w:t>
            </w:r>
          </w:p>
        </w:tc>
        <w:tc>
          <w:tcPr>
            <w:tcW w:w="674" w:type="dxa"/>
            <w:vAlign w:val="center"/>
          </w:tcPr>
          <w:p>
            <w:pPr>
              <w:jc w:val="center"/>
              <w:rPr>
                <w:rFonts w:hint="eastAsia" w:ascii="宋体" w:hAnsi="宋体" w:eastAsia="宋体" w:cs="宋体"/>
                <w:color w:val="auto"/>
                <w:szCs w:val="21"/>
                <w:highlight w:val="none"/>
              </w:rPr>
            </w:pPr>
          </w:p>
        </w:tc>
        <w:tc>
          <w:tcPr>
            <w:tcW w:w="1355"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技术负责人</w:t>
            </w:r>
          </w:p>
        </w:tc>
        <w:tc>
          <w:tcPr>
            <w:tcW w:w="657" w:type="dxa"/>
            <w:vAlign w:val="center"/>
          </w:tcPr>
          <w:p>
            <w:pPr>
              <w:jc w:val="center"/>
              <w:rPr>
                <w:rFonts w:hint="eastAsia" w:ascii="宋体" w:hAnsi="宋体" w:eastAsia="宋体" w:cs="宋体"/>
                <w:color w:val="auto"/>
                <w:szCs w:val="21"/>
                <w:highlight w:val="none"/>
              </w:rPr>
            </w:pPr>
          </w:p>
        </w:tc>
        <w:tc>
          <w:tcPr>
            <w:tcW w:w="594"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p>
        </w:tc>
        <w:tc>
          <w:tcPr>
            <w:tcW w:w="572"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restar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单位概况</w:t>
            </w:r>
          </w:p>
        </w:tc>
        <w:tc>
          <w:tcPr>
            <w:tcW w:w="1193"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营业执照经营范围</w:t>
            </w:r>
          </w:p>
        </w:tc>
        <w:tc>
          <w:tcPr>
            <w:tcW w:w="2825" w:type="dxa"/>
            <w:gridSpan w:val="2"/>
            <w:vAlign w:val="center"/>
          </w:tcPr>
          <w:p>
            <w:pPr>
              <w:jc w:val="left"/>
              <w:rPr>
                <w:rFonts w:hint="eastAsia" w:ascii="宋体" w:hAnsi="宋体" w:eastAsia="宋体" w:cs="宋体"/>
                <w:color w:val="auto"/>
                <w:szCs w:val="21"/>
                <w:highlight w:val="none"/>
              </w:rPr>
            </w:pPr>
          </w:p>
        </w:tc>
        <w:tc>
          <w:tcPr>
            <w:tcW w:w="689" w:type="dxa"/>
            <w:vMerge w:val="restart"/>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上一年主要经济指标</w:t>
            </w:r>
          </w:p>
        </w:tc>
        <w:tc>
          <w:tcPr>
            <w:tcW w:w="1367" w:type="dxa"/>
            <w:gridSpan w:val="2"/>
            <w:tcBorders>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年营业收入</w:t>
            </w:r>
          </w:p>
        </w:tc>
        <w:tc>
          <w:tcPr>
            <w:tcW w:w="2485" w:type="dxa"/>
            <w:gridSpan w:val="4"/>
            <w:tcBorders>
              <w:left w:val="single" w:color="auto" w:sz="4" w:space="0"/>
            </w:tcBorders>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jc w:val="center"/>
              <w:rPr>
                <w:rFonts w:hint="eastAsia" w:ascii="宋体" w:hAnsi="宋体" w:eastAsia="宋体" w:cs="宋体"/>
                <w:color w:val="auto"/>
                <w:szCs w:val="21"/>
                <w:highlight w:val="none"/>
              </w:rPr>
            </w:pPr>
          </w:p>
        </w:tc>
        <w:tc>
          <w:tcPr>
            <w:tcW w:w="1193"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统一社会信用代码</w:t>
            </w:r>
          </w:p>
        </w:tc>
        <w:tc>
          <w:tcPr>
            <w:tcW w:w="2825" w:type="dxa"/>
            <w:gridSpan w:val="2"/>
            <w:vAlign w:val="center"/>
          </w:tcPr>
          <w:p>
            <w:pPr>
              <w:jc w:val="center"/>
              <w:rPr>
                <w:rFonts w:hint="eastAsia" w:ascii="宋体" w:hAnsi="宋体" w:eastAsia="宋体" w:cs="宋体"/>
                <w:color w:val="auto"/>
                <w:szCs w:val="21"/>
                <w:highlight w:val="none"/>
              </w:rPr>
            </w:pPr>
          </w:p>
        </w:tc>
        <w:tc>
          <w:tcPr>
            <w:tcW w:w="689" w:type="dxa"/>
            <w:vMerge w:val="continue"/>
            <w:vAlign w:val="center"/>
          </w:tcPr>
          <w:p>
            <w:pPr>
              <w:jc w:val="center"/>
              <w:rPr>
                <w:rFonts w:hint="eastAsia" w:ascii="宋体" w:hAnsi="宋体" w:eastAsia="宋体" w:cs="宋体"/>
                <w:color w:val="auto"/>
                <w:szCs w:val="21"/>
                <w:highlight w:val="none"/>
              </w:rPr>
            </w:pPr>
          </w:p>
        </w:tc>
        <w:tc>
          <w:tcPr>
            <w:tcW w:w="1367" w:type="dxa"/>
            <w:gridSpan w:val="2"/>
            <w:tcBorders>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资产总额</w:t>
            </w:r>
          </w:p>
        </w:tc>
        <w:tc>
          <w:tcPr>
            <w:tcW w:w="2485" w:type="dxa"/>
            <w:gridSpan w:val="4"/>
            <w:tcBorders>
              <w:left w:val="single" w:color="auto" w:sz="4" w:space="0"/>
            </w:tcBorders>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jc w:val="center"/>
              <w:rPr>
                <w:rFonts w:hint="eastAsia" w:ascii="宋体" w:hAnsi="宋体" w:eastAsia="宋体" w:cs="宋体"/>
                <w:color w:val="auto"/>
                <w:szCs w:val="21"/>
                <w:highlight w:val="none"/>
              </w:rPr>
            </w:pPr>
          </w:p>
        </w:tc>
        <w:tc>
          <w:tcPr>
            <w:tcW w:w="1193"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资质情况</w:t>
            </w:r>
          </w:p>
        </w:tc>
        <w:tc>
          <w:tcPr>
            <w:tcW w:w="2825" w:type="dxa"/>
            <w:gridSpan w:val="2"/>
            <w:vAlign w:val="center"/>
          </w:tcPr>
          <w:p>
            <w:pPr>
              <w:jc w:val="center"/>
              <w:rPr>
                <w:rFonts w:hint="eastAsia" w:ascii="宋体" w:hAnsi="宋体" w:eastAsia="宋体" w:cs="宋体"/>
                <w:color w:val="auto"/>
                <w:szCs w:val="21"/>
                <w:highlight w:val="none"/>
              </w:rPr>
            </w:pPr>
          </w:p>
        </w:tc>
        <w:tc>
          <w:tcPr>
            <w:tcW w:w="689" w:type="dxa"/>
            <w:vMerge w:val="continue"/>
            <w:vAlign w:val="center"/>
          </w:tcPr>
          <w:p>
            <w:pPr>
              <w:jc w:val="center"/>
              <w:rPr>
                <w:rFonts w:hint="eastAsia" w:ascii="宋体" w:hAnsi="宋体" w:eastAsia="宋体" w:cs="宋体"/>
                <w:color w:val="auto"/>
                <w:szCs w:val="21"/>
                <w:highlight w:val="none"/>
              </w:rPr>
            </w:pPr>
          </w:p>
        </w:tc>
        <w:tc>
          <w:tcPr>
            <w:tcW w:w="1367" w:type="dxa"/>
            <w:gridSpan w:val="2"/>
            <w:tcBorders>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c>
          <w:tcPr>
            <w:tcW w:w="2485" w:type="dxa"/>
            <w:gridSpan w:val="4"/>
            <w:tcBorders>
              <w:left w:val="single" w:color="auto" w:sz="4" w:space="0"/>
              <w:bottom w:val="single" w:color="auto" w:sz="4" w:space="0"/>
            </w:tcBorders>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jc w:val="center"/>
              <w:rPr>
                <w:rFonts w:hint="eastAsia" w:ascii="宋体" w:hAnsi="宋体" w:eastAsia="宋体" w:cs="宋体"/>
                <w:color w:val="auto"/>
                <w:szCs w:val="21"/>
                <w:highlight w:val="none"/>
              </w:rPr>
            </w:pPr>
          </w:p>
        </w:tc>
        <w:tc>
          <w:tcPr>
            <w:tcW w:w="1193"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信用情况</w:t>
            </w:r>
          </w:p>
        </w:tc>
        <w:tc>
          <w:tcPr>
            <w:tcW w:w="2825" w:type="dxa"/>
            <w:gridSpan w:val="2"/>
            <w:vAlign w:val="center"/>
          </w:tcPr>
          <w:p>
            <w:pPr>
              <w:jc w:val="center"/>
              <w:rPr>
                <w:rFonts w:hint="eastAsia" w:ascii="宋体" w:hAnsi="宋体" w:eastAsia="宋体" w:cs="宋体"/>
                <w:color w:val="auto"/>
                <w:szCs w:val="21"/>
                <w:highlight w:val="none"/>
              </w:rPr>
            </w:pPr>
          </w:p>
        </w:tc>
        <w:tc>
          <w:tcPr>
            <w:tcW w:w="689" w:type="dxa"/>
            <w:vMerge w:val="continue"/>
            <w:vAlign w:val="center"/>
          </w:tcPr>
          <w:p>
            <w:pPr>
              <w:jc w:val="center"/>
              <w:rPr>
                <w:rFonts w:hint="eastAsia" w:ascii="宋体" w:hAnsi="宋体" w:eastAsia="宋体" w:cs="宋体"/>
                <w:color w:val="auto"/>
                <w:szCs w:val="21"/>
                <w:highlight w:val="none"/>
              </w:rPr>
            </w:pPr>
          </w:p>
        </w:tc>
        <w:tc>
          <w:tcPr>
            <w:tcW w:w="1367" w:type="dxa"/>
            <w:gridSpan w:val="2"/>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c>
          <w:tcPr>
            <w:tcW w:w="2485" w:type="dxa"/>
            <w:gridSpan w:val="4"/>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jc w:val="center"/>
              <w:rPr>
                <w:rFonts w:hint="eastAsia" w:ascii="宋体" w:hAnsi="宋体" w:eastAsia="宋体" w:cs="宋体"/>
                <w:color w:val="auto"/>
                <w:szCs w:val="21"/>
                <w:highlight w:val="none"/>
              </w:rPr>
            </w:pPr>
          </w:p>
        </w:tc>
        <w:tc>
          <w:tcPr>
            <w:tcW w:w="1193" w:type="dxa"/>
            <w:gridSpan w:val="2"/>
            <w:tcBorders>
              <w:bottom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荣誉情况</w:t>
            </w:r>
          </w:p>
        </w:tc>
        <w:tc>
          <w:tcPr>
            <w:tcW w:w="2825" w:type="dxa"/>
            <w:gridSpan w:val="2"/>
            <w:tcBorders>
              <w:bottom w:val="single" w:color="auto" w:sz="4" w:space="0"/>
            </w:tcBorders>
            <w:vAlign w:val="center"/>
          </w:tcPr>
          <w:p>
            <w:pPr>
              <w:jc w:val="center"/>
              <w:rPr>
                <w:rFonts w:hint="eastAsia" w:ascii="宋体" w:hAnsi="宋体" w:eastAsia="宋体" w:cs="宋体"/>
                <w:color w:val="auto"/>
                <w:szCs w:val="21"/>
                <w:highlight w:val="none"/>
              </w:rPr>
            </w:pPr>
          </w:p>
        </w:tc>
        <w:tc>
          <w:tcPr>
            <w:tcW w:w="689" w:type="dxa"/>
            <w:vMerge w:val="continue"/>
            <w:vAlign w:val="center"/>
          </w:tcPr>
          <w:p>
            <w:pPr>
              <w:jc w:val="center"/>
              <w:rPr>
                <w:rFonts w:hint="eastAsia" w:ascii="宋体" w:hAnsi="宋体" w:eastAsia="宋体" w:cs="宋体"/>
                <w:color w:val="auto"/>
                <w:szCs w:val="21"/>
                <w:highlight w:val="none"/>
              </w:rPr>
            </w:pPr>
          </w:p>
        </w:tc>
        <w:tc>
          <w:tcPr>
            <w:tcW w:w="1367" w:type="dxa"/>
            <w:gridSpan w:val="2"/>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c>
          <w:tcPr>
            <w:tcW w:w="2485" w:type="dxa"/>
            <w:gridSpan w:val="4"/>
            <w:tcBorders>
              <w:top w:val="single" w:color="auto" w:sz="4" w:space="0"/>
              <w:left w:val="single" w:color="auto" w:sz="4" w:space="0"/>
            </w:tcBorders>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jc w:val="center"/>
              <w:rPr>
                <w:rFonts w:hint="eastAsia" w:ascii="宋体" w:hAnsi="宋体" w:eastAsia="宋体" w:cs="宋体"/>
                <w:color w:val="auto"/>
                <w:szCs w:val="21"/>
                <w:highlight w:val="none"/>
              </w:rPr>
            </w:pPr>
          </w:p>
        </w:tc>
        <w:tc>
          <w:tcPr>
            <w:tcW w:w="1193" w:type="dxa"/>
            <w:gridSpan w:val="2"/>
            <w:tcBorders>
              <w:bottom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体系认证</w:t>
            </w:r>
          </w:p>
        </w:tc>
        <w:tc>
          <w:tcPr>
            <w:tcW w:w="2825" w:type="dxa"/>
            <w:gridSpan w:val="2"/>
            <w:tcBorders>
              <w:bottom w:val="single" w:color="auto" w:sz="4" w:space="0"/>
            </w:tcBorders>
            <w:vAlign w:val="center"/>
          </w:tcPr>
          <w:p>
            <w:pPr>
              <w:jc w:val="center"/>
              <w:rPr>
                <w:rFonts w:hint="eastAsia" w:ascii="宋体" w:hAnsi="宋体" w:eastAsia="宋体" w:cs="宋体"/>
                <w:color w:val="auto"/>
                <w:szCs w:val="21"/>
                <w:highlight w:val="none"/>
              </w:rPr>
            </w:pPr>
          </w:p>
        </w:tc>
        <w:tc>
          <w:tcPr>
            <w:tcW w:w="689" w:type="dxa"/>
            <w:vMerge w:val="continue"/>
            <w:vAlign w:val="center"/>
          </w:tcPr>
          <w:p>
            <w:pPr>
              <w:jc w:val="center"/>
              <w:rPr>
                <w:rFonts w:hint="eastAsia" w:ascii="宋体" w:hAnsi="宋体" w:eastAsia="宋体" w:cs="宋体"/>
                <w:color w:val="auto"/>
                <w:szCs w:val="21"/>
                <w:highlight w:val="none"/>
              </w:rPr>
            </w:pPr>
          </w:p>
        </w:tc>
        <w:tc>
          <w:tcPr>
            <w:tcW w:w="1367" w:type="dxa"/>
            <w:gridSpan w:val="2"/>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c>
          <w:tcPr>
            <w:tcW w:w="2485" w:type="dxa"/>
            <w:gridSpan w:val="4"/>
            <w:tcBorders>
              <w:top w:val="single" w:color="auto" w:sz="4" w:space="0"/>
              <w:left w:val="single" w:color="auto" w:sz="4" w:space="0"/>
            </w:tcBorders>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jc w:val="center"/>
              <w:rPr>
                <w:rFonts w:hint="eastAsia" w:ascii="宋体" w:hAnsi="宋体" w:eastAsia="宋体" w:cs="宋体"/>
                <w:color w:val="auto"/>
                <w:szCs w:val="21"/>
                <w:highlight w:val="none"/>
              </w:rPr>
            </w:pPr>
          </w:p>
        </w:tc>
        <w:tc>
          <w:tcPr>
            <w:tcW w:w="1193" w:type="dxa"/>
            <w:gridSpan w:val="2"/>
            <w:tcBorders>
              <w:bottom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w:t>
            </w:r>
          </w:p>
        </w:tc>
        <w:tc>
          <w:tcPr>
            <w:tcW w:w="2825" w:type="dxa"/>
            <w:gridSpan w:val="2"/>
            <w:tcBorders>
              <w:bottom w:val="single" w:color="auto" w:sz="4" w:space="0"/>
            </w:tcBorders>
            <w:vAlign w:val="center"/>
          </w:tcPr>
          <w:p>
            <w:pPr>
              <w:jc w:val="center"/>
              <w:rPr>
                <w:rFonts w:hint="eastAsia" w:ascii="宋体" w:hAnsi="宋体" w:eastAsia="宋体" w:cs="宋体"/>
                <w:color w:val="auto"/>
                <w:szCs w:val="21"/>
                <w:highlight w:val="none"/>
              </w:rPr>
            </w:pPr>
          </w:p>
        </w:tc>
        <w:tc>
          <w:tcPr>
            <w:tcW w:w="689" w:type="dxa"/>
            <w:vMerge w:val="continue"/>
            <w:vAlign w:val="center"/>
          </w:tcPr>
          <w:p>
            <w:pPr>
              <w:jc w:val="center"/>
              <w:rPr>
                <w:rFonts w:hint="eastAsia" w:ascii="宋体" w:hAnsi="宋体" w:eastAsia="宋体" w:cs="宋体"/>
                <w:color w:val="auto"/>
                <w:szCs w:val="21"/>
                <w:highlight w:val="none"/>
              </w:rPr>
            </w:pPr>
          </w:p>
        </w:tc>
        <w:tc>
          <w:tcPr>
            <w:tcW w:w="1367" w:type="dxa"/>
            <w:gridSpan w:val="2"/>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c>
          <w:tcPr>
            <w:tcW w:w="2485" w:type="dxa"/>
            <w:gridSpan w:val="4"/>
            <w:tcBorders>
              <w:top w:val="single" w:color="auto" w:sz="4" w:space="0"/>
              <w:left w:val="single" w:color="auto" w:sz="4" w:space="0"/>
            </w:tcBorders>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vAlign w:val="center"/>
          </w:tcPr>
          <w:p>
            <w:pPr>
              <w:jc w:val="center"/>
              <w:rPr>
                <w:rFonts w:hint="eastAsia" w:ascii="宋体" w:hAnsi="宋体" w:eastAsia="宋体" w:cs="宋体"/>
                <w:color w:val="auto"/>
                <w:szCs w:val="21"/>
                <w:highlight w:val="none"/>
              </w:rPr>
            </w:pPr>
          </w:p>
        </w:tc>
        <w:tc>
          <w:tcPr>
            <w:tcW w:w="1193" w:type="dxa"/>
            <w:gridSpan w:val="2"/>
            <w:tcBorders>
              <w:bottom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账号</w:t>
            </w:r>
          </w:p>
        </w:tc>
        <w:tc>
          <w:tcPr>
            <w:tcW w:w="2825" w:type="dxa"/>
            <w:gridSpan w:val="2"/>
            <w:tcBorders>
              <w:bottom w:val="single" w:color="auto" w:sz="4" w:space="0"/>
            </w:tcBorders>
            <w:vAlign w:val="center"/>
          </w:tcPr>
          <w:p>
            <w:pPr>
              <w:jc w:val="center"/>
              <w:rPr>
                <w:rFonts w:hint="eastAsia" w:ascii="宋体" w:hAnsi="宋体" w:eastAsia="宋体" w:cs="宋体"/>
                <w:color w:val="auto"/>
                <w:szCs w:val="21"/>
                <w:highlight w:val="none"/>
              </w:rPr>
            </w:pPr>
          </w:p>
        </w:tc>
        <w:tc>
          <w:tcPr>
            <w:tcW w:w="689" w:type="dxa"/>
            <w:vMerge w:val="continue"/>
            <w:vAlign w:val="center"/>
          </w:tcPr>
          <w:p>
            <w:pPr>
              <w:jc w:val="center"/>
              <w:rPr>
                <w:rFonts w:hint="eastAsia" w:ascii="宋体" w:hAnsi="宋体" w:eastAsia="宋体" w:cs="宋体"/>
                <w:color w:val="auto"/>
                <w:szCs w:val="21"/>
                <w:highlight w:val="none"/>
              </w:rPr>
            </w:pPr>
          </w:p>
        </w:tc>
        <w:tc>
          <w:tcPr>
            <w:tcW w:w="1367" w:type="dxa"/>
            <w:gridSpan w:val="2"/>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c>
          <w:tcPr>
            <w:tcW w:w="2485" w:type="dxa"/>
            <w:gridSpan w:val="4"/>
            <w:tcBorders>
              <w:top w:val="single" w:color="auto" w:sz="4" w:space="0"/>
              <w:left w:val="single" w:color="auto" w:sz="4" w:space="0"/>
            </w:tcBorders>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Merge w:val="continue"/>
            <w:tcBorders>
              <w:bottom w:val="single" w:color="auto" w:sz="4" w:space="0"/>
            </w:tcBorders>
            <w:vAlign w:val="center"/>
          </w:tcPr>
          <w:p>
            <w:pPr>
              <w:jc w:val="center"/>
              <w:rPr>
                <w:rFonts w:hint="eastAsia" w:ascii="宋体" w:hAnsi="宋体" w:eastAsia="宋体" w:cs="宋体"/>
                <w:color w:val="auto"/>
                <w:szCs w:val="21"/>
                <w:highlight w:val="none"/>
              </w:rPr>
            </w:pPr>
          </w:p>
        </w:tc>
        <w:tc>
          <w:tcPr>
            <w:tcW w:w="1193" w:type="dxa"/>
            <w:gridSpan w:val="2"/>
            <w:tcBorders>
              <w:bottom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职工总数</w:t>
            </w:r>
          </w:p>
        </w:tc>
        <w:tc>
          <w:tcPr>
            <w:tcW w:w="2825" w:type="dxa"/>
            <w:gridSpan w:val="2"/>
            <w:tcBorders>
              <w:bottom w:val="single" w:color="auto" w:sz="4" w:space="0"/>
            </w:tcBorders>
            <w:vAlign w:val="center"/>
          </w:tcPr>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共  人</w:t>
            </w:r>
          </w:p>
          <w:p>
            <w:pPr>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其中：</w:t>
            </w:r>
          </w:p>
        </w:tc>
        <w:tc>
          <w:tcPr>
            <w:tcW w:w="689" w:type="dxa"/>
            <w:vMerge w:val="continue"/>
            <w:tcBorders>
              <w:bottom w:val="single" w:color="auto" w:sz="4" w:space="0"/>
            </w:tcBorders>
            <w:vAlign w:val="center"/>
          </w:tcPr>
          <w:p>
            <w:pPr>
              <w:jc w:val="center"/>
              <w:rPr>
                <w:rFonts w:hint="eastAsia" w:ascii="宋体" w:hAnsi="宋体" w:eastAsia="宋体" w:cs="宋体"/>
                <w:color w:val="auto"/>
                <w:szCs w:val="21"/>
                <w:highlight w:val="none"/>
              </w:rPr>
            </w:pPr>
          </w:p>
        </w:tc>
        <w:tc>
          <w:tcPr>
            <w:tcW w:w="1367" w:type="dxa"/>
            <w:gridSpan w:val="2"/>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p>
        </w:tc>
        <w:tc>
          <w:tcPr>
            <w:tcW w:w="2485" w:type="dxa"/>
            <w:gridSpan w:val="4"/>
            <w:tcBorders>
              <w:top w:val="single" w:color="auto" w:sz="4" w:space="0"/>
              <w:left w:val="single" w:color="auto" w:sz="4" w:space="0"/>
            </w:tcBorders>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2"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其他说明</w:t>
            </w:r>
          </w:p>
        </w:tc>
        <w:tc>
          <w:tcPr>
            <w:tcW w:w="8559" w:type="dxa"/>
            <w:gridSpan w:val="11"/>
            <w:vAlign w:val="center"/>
          </w:tcPr>
          <w:p>
            <w:pPr>
              <w:rPr>
                <w:rFonts w:hint="eastAsia" w:ascii="宋体" w:hAnsi="宋体" w:eastAsia="宋体" w:cs="宋体"/>
                <w:color w:val="auto"/>
                <w:szCs w:val="21"/>
                <w:highlight w:val="none"/>
                <w:u w:val="single"/>
              </w:rPr>
            </w:pPr>
          </w:p>
        </w:tc>
      </w:tr>
    </w:tbl>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【说明】：相关证明材料附后。</w:t>
      </w:r>
    </w:p>
    <w:p>
      <w:pPr>
        <w:adjustRightInd w:val="0"/>
        <w:ind w:firstLine="420" w:firstLineChars="200"/>
        <w:rPr>
          <w:rFonts w:hint="eastAsia" w:ascii="宋体" w:hAnsi="宋体" w:eastAsia="宋体" w:cs="宋体"/>
          <w:color w:val="auto"/>
          <w:spacing w:val="20"/>
          <w:szCs w:val="21"/>
          <w:highlight w:val="none"/>
          <w:u w:val="single"/>
        </w:rPr>
      </w:pPr>
      <w:r>
        <w:rPr>
          <w:rFonts w:hint="eastAsia" w:ascii="宋体" w:hAnsi="宋体" w:eastAsia="宋体" w:cs="宋体"/>
          <w:color w:val="auto"/>
          <w:szCs w:val="21"/>
          <w:highlight w:val="none"/>
        </w:rPr>
        <w:t>供应商全称：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日期：2023年  月  日</w:t>
      </w:r>
    </w:p>
    <w:p>
      <w:pPr>
        <w:ind w:firstLine="420" w:firstLineChars="200"/>
        <w:rPr>
          <w:rFonts w:hint="eastAsia" w:ascii="宋体" w:hAnsi="宋体" w:eastAsia="宋体" w:cs="宋体"/>
          <w:color w:val="auto"/>
          <w:szCs w:val="21"/>
          <w:highlight w:val="none"/>
        </w:rPr>
      </w:pP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（1）供应商简介、技术力量、资质、信用、荣誉、管理体系认证等资料。（资格审查资料中已提供的不需重复提供）附后。</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（2）供应商应如实填写以上内容，不得有虚假。没有内容可不填。</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highlight w:val="none"/>
        </w:rPr>
        <w:t>评审办法所要求资料请务必提供。</w:t>
      </w:r>
    </w:p>
    <w:p>
      <w:pPr>
        <w:pStyle w:val="17"/>
        <w:ind w:left="840" w:hanging="420"/>
        <w:rPr>
          <w:rFonts w:hint="eastAsia" w:ascii="宋体" w:hAnsi="宋体" w:eastAsia="宋体" w:cs="宋体"/>
          <w:color w:val="auto"/>
          <w:spacing w:val="20"/>
          <w:highlight w:val="none"/>
        </w:rPr>
      </w:pPr>
      <w:r>
        <w:rPr>
          <w:rFonts w:hint="eastAsia" w:ascii="宋体" w:hAnsi="宋体" w:eastAsia="宋体" w:cs="宋体"/>
          <w:color w:val="auto"/>
          <w:highlight w:val="none"/>
        </w:rPr>
        <w:br w:type="page"/>
      </w:r>
    </w:p>
    <w:p>
      <w:pPr>
        <w:pStyle w:val="4"/>
        <w:ind w:firstLine="420"/>
        <w:rPr>
          <w:rFonts w:hint="eastAsia" w:ascii="宋体" w:hAnsi="宋体" w:eastAsia="宋体" w:cs="宋体"/>
          <w:color w:val="auto"/>
          <w:highlight w:val="none"/>
        </w:rPr>
      </w:pPr>
      <w:bookmarkStart w:id="120" w:name="_Toc345575551"/>
      <w:bookmarkStart w:id="121" w:name="_Toc336683582"/>
      <w:r>
        <w:rPr>
          <w:rFonts w:hint="eastAsia" w:ascii="宋体" w:hAnsi="宋体" w:eastAsia="宋体" w:cs="宋体"/>
          <w:color w:val="auto"/>
          <w:highlight w:val="none"/>
        </w:rPr>
        <w:t>六、相关业绩表格式</w:t>
      </w:r>
      <w:bookmarkEnd w:id="120"/>
      <w:bookmarkEnd w:id="121"/>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相关业绩表</w:t>
      </w:r>
    </w:p>
    <w:p>
      <w:pPr>
        <w:pStyle w:val="20"/>
        <w:adjustRightInd w:val="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采购人：</w:t>
      </w:r>
      <w:r>
        <w:rPr>
          <w:rFonts w:hint="eastAsia" w:ascii="宋体" w:hAnsi="宋体" w:eastAsia="宋体" w:cs="宋体"/>
          <w:color w:val="auto"/>
          <w:szCs w:val="21"/>
          <w:highlight w:val="none"/>
          <w:lang w:eastAsia="zh-CN"/>
        </w:rPr>
        <w:t>浙江省体育彩票管理中心</w:t>
      </w:r>
    </w:p>
    <w:p>
      <w:pPr>
        <w:pStyle w:val="20"/>
        <w:adjustRightInd w:val="0"/>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hAnsi="宋体" w:cs="宋体"/>
          <w:color w:val="auto"/>
          <w:kern w:val="0"/>
          <w:szCs w:val="21"/>
          <w:highlight w:val="none"/>
          <w:lang w:eastAsia="zh-CN"/>
        </w:rPr>
        <w:t>2024年体彩爱心小板凳活动</w:t>
      </w:r>
      <w:r>
        <w:rPr>
          <w:rFonts w:hint="eastAsia" w:ascii="宋体" w:hAnsi="宋体" w:eastAsia="宋体" w:cs="宋体"/>
          <w:color w:val="auto"/>
          <w:kern w:val="0"/>
          <w:szCs w:val="21"/>
          <w:highlight w:val="none"/>
        </w:rPr>
        <w:t>项目</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项目编号：</w:t>
      </w:r>
      <w:r>
        <w:rPr>
          <w:rFonts w:hint="eastAsia" w:ascii="宋体" w:hAnsi="宋体" w:cs="宋体"/>
          <w:color w:val="auto"/>
          <w:highlight w:val="none"/>
          <w:lang w:eastAsia="zh-CN"/>
        </w:rPr>
        <w:t>CTZB-2023110267</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标项名称：</w:t>
      </w:r>
      <w:r>
        <w:rPr>
          <w:rFonts w:hint="eastAsia" w:ascii="宋体" w:hAnsi="宋体" w:cs="宋体"/>
          <w:color w:val="auto"/>
          <w:highlight w:val="none"/>
          <w:lang w:eastAsia="zh-CN"/>
        </w:rPr>
        <w:t>2024年体彩爱心小板凳活动</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1072"/>
        <w:gridCol w:w="1426"/>
        <w:gridCol w:w="1604"/>
        <w:gridCol w:w="1073"/>
        <w:gridCol w:w="1073"/>
        <w:gridCol w:w="896"/>
        <w:gridCol w:w="896"/>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jc w:val="center"/>
              <w:rPr>
                <w:rFonts w:hint="eastAsia" w:ascii="宋体" w:hAnsi="宋体" w:eastAsia="宋体" w:cs="宋体"/>
                <w:caps/>
                <w:color w:val="auto"/>
                <w:highlight w:val="none"/>
              </w:rPr>
            </w:pPr>
            <w:r>
              <w:rPr>
                <w:rFonts w:hint="eastAsia" w:ascii="宋体" w:hAnsi="宋体" w:eastAsia="宋体" w:cs="宋体"/>
                <w:caps/>
                <w:color w:val="auto"/>
                <w:highlight w:val="none"/>
              </w:rPr>
              <w:t>序号</w:t>
            </w:r>
          </w:p>
        </w:tc>
        <w:tc>
          <w:tcPr>
            <w:tcW w:w="1080" w:type="dxa"/>
            <w:vAlign w:val="center"/>
          </w:tcPr>
          <w:p>
            <w:pPr>
              <w:jc w:val="center"/>
              <w:rPr>
                <w:rFonts w:hint="eastAsia" w:ascii="宋体" w:hAnsi="宋体" w:eastAsia="宋体" w:cs="宋体"/>
                <w:caps/>
                <w:color w:val="auto"/>
                <w:highlight w:val="none"/>
              </w:rPr>
            </w:pPr>
            <w:r>
              <w:rPr>
                <w:rFonts w:hint="eastAsia" w:ascii="宋体" w:hAnsi="宋体" w:eastAsia="宋体" w:cs="宋体"/>
                <w:color w:val="auto"/>
                <w:highlight w:val="none"/>
              </w:rPr>
              <w:t>合同编号</w:t>
            </w:r>
          </w:p>
        </w:tc>
        <w:tc>
          <w:tcPr>
            <w:tcW w:w="1440" w:type="dxa"/>
            <w:vAlign w:val="center"/>
          </w:tcPr>
          <w:p>
            <w:pPr>
              <w:jc w:val="center"/>
              <w:rPr>
                <w:rFonts w:hint="eastAsia" w:ascii="宋体" w:hAnsi="宋体" w:eastAsia="宋体" w:cs="宋体"/>
                <w:caps/>
                <w:color w:val="auto"/>
                <w:highlight w:val="none"/>
              </w:rPr>
            </w:pPr>
            <w:r>
              <w:rPr>
                <w:rFonts w:hint="eastAsia" w:ascii="宋体" w:hAnsi="宋体" w:eastAsia="宋体" w:cs="宋体"/>
                <w:caps/>
                <w:color w:val="auto"/>
                <w:highlight w:val="none"/>
              </w:rPr>
              <w:t>用户名称</w:t>
            </w:r>
          </w:p>
        </w:tc>
        <w:tc>
          <w:tcPr>
            <w:tcW w:w="1620" w:type="dxa"/>
            <w:vAlign w:val="center"/>
          </w:tcPr>
          <w:p>
            <w:pPr>
              <w:jc w:val="center"/>
              <w:rPr>
                <w:rFonts w:hint="eastAsia" w:ascii="宋体" w:hAnsi="宋体" w:eastAsia="宋体" w:cs="宋体"/>
                <w:caps/>
                <w:color w:val="auto"/>
                <w:highlight w:val="none"/>
              </w:rPr>
            </w:pPr>
            <w:r>
              <w:rPr>
                <w:rFonts w:hint="eastAsia" w:ascii="宋体" w:hAnsi="宋体" w:eastAsia="宋体" w:cs="宋体"/>
                <w:caps/>
                <w:color w:val="auto"/>
                <w:highlight w:val="none"/>
              </w:rPr>
              <w:t>合同内容描述</w:t>
            </w:r>
          </w:p>
        </w:tc>
        <w:tc>
          <w:tcPr>
            <w:tcW w:w="1080" w:type="dxa"/>
            <w:vAlign w:val="center"/>
          </w:tcPr>
          <w:p>
            <w:pPr>
              <w:jc w:val="center"/>
              <w:rPr>
                <w:rFonts w:hint="eastAsia" w:ascii="宋体" w:hAnsi="宋体" w:eastAsia="宋体" w:cs="宋体"/>
                <w:caps/>
                <w:color w:val="auto"/>
                <w:highlight w:val="none"/>
              </w:rPr>
            </w:pPr>
            <w:r>
              <w:rPr>
                <w:rFonts w:hint="eastAsia" w:ascii="宋体" w:hAnsi="宋体" w:eastAsia="宋体" w:cs="宋体"/>
                <w:caps/>
                <w:color w:val="auto"/>
                <w:highlight w:val="none"/>
              </w:rPr>
              <w:t>合同金额</w:t>
            </w:r>
          </w:p>
        </w:tc>
        <w:tc>
          <w:tcPr>
            <w:tcW w:w="1080" w:type="dxa"/>
            <w:vAlign w:val="center"/>
          </w:tcPr>
          <w:p>
            <w:pPr>
              <w:jc w:val="center"/>
              <w:rPr>
                <w:rFonts w:hint="eastAsia" w:ascii="宋体" w:hAnsi="宋体" w:eastAsia="宋体" w:cs="宋体"/>
                <w:caps/>
                <w:color w:val="auto"/>
                <w:highlight w:val="none"/>
              </w:rPr>
            </w:pPr>
            <w:r>
              <w:rPr>
                <w:rFonts w:hint="eastAsia" w:ascii="宋体" w:hAnsi="宋体" w:eastAsia="宋体" w:cs="宋体"/>
                <w:color w:val="auto"/>
                <w:highlight w:val="none"/>
              </w:rPr>
              <w:t>签约及完成日期</w:t>
            </w:r>
          </w:p>
        </w:tc>
        <w:tc>
          <w:tcPr>
            <w:tcW w:w="90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联系人</w:t>
            </w:r>
          </w:p>
        </w:tc>
        <w:tc>
          <w:tcPr>
            <w:tcW w:w="900"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联系电话</w:t>
            </w:r>
          </w:p>
        </w:tc>
        <w:tc>
          <w:tcPr>
            <w:tcW w:w="719" w:type="dxa"/>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440" w:type="dxa"/>
            <w:vAlign w:val="center"/>
          </w:tcPr>
          <w:p>
            <w:pPr>
              <w:jc w:val="center"/>
              <w:rPr>
                <w:rFonts w:hint="eastAsia" w:ascii="宋体" w:hAnsi="宋体" w:eastAsia="宋体" w:cs="宋体"/>
                <w:color w:val="auto"/>
                <w:spacing w:val="20"/>
                <w:highlight w:val="none"/>
              </w:rPr>
            </w:pPr>
          </w:p>
        </w:tc>
        <w:tc>
          <w:tcPr>
            <w:tcW w:w="162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719" w:type="dxa"/>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440" w:type="dxa"/>
            <w:vAlign w:val="center"/>
          </w:tcPr>
          <w:p>
            <w:pPr>
              <w:jc w:val="center"/>
              <w:rPr>
                <w:rFonts w:hint="eastAsia" w:ascii="宋体" w:hAnsi="宋体" w:eastAsia="宋体" w:cs="宋体"/>
                <w:color w:val="auto"/>
                <w:spacing w:val="20"/>
                <w:highlight w:val="none"/>
              </w:rPr>
            </w:pPr>
          </w:p>
        </w:tc>
        <w:tc>
          <w:tcPr>
            <w:tcW w:w="162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719" w:type="dxa"/>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440" w:type="dxa"/>
            <w:vAlign w:val="center"/>
          </w:tcPr>
          <w:p>
            <w:pPr>
              <w:jc w:val="center"/>
              <w:rPr>
                <w:rFonts w:hint="eastAsia" w:ascii="宋体" w:hAnsi="宋体" w:eastAsia="宋体" w:cs="宋体"/>
                <w:color w:val="auto"/>
                <w:spacing w:val="20"/>
                <w:highlight w:val="none"/>
              </w:rPr>
            </w:pPr>
          </w:p>
        </w:tc>
        <w:tc>
          <w:tcPr>
            <w:tcW w:w="162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719" w:type="dxa"/>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440" w:type="dxa"/>
            <w:vAlign w:val="center"/>
          </w:tcPr>
          <w:p>
            <w:pPr>
              <w:jc w:val="center"/>
              <w:rPr>
                <w:rFonts w:hint="eastAsia" w:ascii="宋体" w:hAnsi="宋体" w:eastAsia="宋体" w:cs="宋体"/>
                <w:color w:val="auto"/>
                <w:spacing w:val="20"/>
                <w:highlight w:val="none"/>
              </w:rPr>
            </w:pPr>
          </w:p>
        </w:tc>
        <w:tc>
          <w:tcPr>
            <w:tcW w:w="162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719" w:type="dxa"/>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440" w:type="dxa"/>
            <w:vAlign w:val="center"/>
          </w:tcPr>
          <w:p>
            <w:pPr>
              <w:jc w:val="center"/>
              <w:rPr>
                <w:rFonts w:hint="eastAsia" w:ascii="宋体" w:hAnsi="宋体" w:eastAsia="宋体" w:cs="宋体"/>
                <w:color w:val="auto"/>
                <w:spacing w:val="20"/>
                <w:highlight w:val="none"/>
              </w:rPr>
            </w:pPr>
          </w:p>
        </w:tc>
        <w:tc>
          <w:tcPr>
            <w:tcW w:w="162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719" w:type="dxa"/>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440" w:type="dxa"/>
            <w:vAlign w:val="center"/>
          </w:tcPr>
          <w:p>
            <w:pPr>
              <w:jc w:val="center"/>
              <w:rPr>
                <w:rFonts w:hint="eastAsia" w:ascii="宋体" w:hAnsi="宋体" w:eastAsia="宋体" w:cs="宋体"/>
                <w:color w:val="auto"/>
                <w:spacing w:val="20"/>
                <w:highlight w:val="none"/>
              </w:rPr>
            </w:pPr>
          </w:p>
        </w:tc>
        <w:tc>
          <w:tcPr>
            <w:tcW w:w="162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719" w:type="dxa"/>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440" w:type="dxa"/>
            <w:vAlign w:val="center"/>
          </w:tcPr>
          <w:p>
            <w:pPr>
              <w:jc w:val="center"/>
              <w:rPr>
                <w:rFonts w:hint="eastAsia" w:ascii="宋体" w:hAnsi="宋体" w:eastAsia="宋体" w:cs="宋体"/>
                <w:color w:val="auto"/>
                <w:spacing w:val="20"/>
                <w:highlight w:val="none"/>
              </w:rPr>
            </w:pPr>
          </w:p>
        </w:tc>
        <w:tc>
          <w:tcPr>
            <w:tcW w:w="162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719" w:type="dxa"/>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440" w:type="dxa"/>
            <w:vAlign w:val="center"/>
          </w:tcPr>
          <w:p>
            <w:pPr>
              <w:jc w:val="center"/>
              <w:rPr>
                <w:rFonts w:hint="eastAsia" w:ascii="宋体" w:hAnsi="宋体" w:eastAsia="宋体" w:cs="宋体"/>
                <w:color w:val="auto"/>
                <w:spacing w:val="20"/>
                <w:highlight w:val="none"/>
              </w:rPr>
            </w:pPr>
          </w:p>
        </w:tc>
        <w:tc>
          <w:tcPr>
            <w:tcW w:w="162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719" w:type="dxa"/>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440" w:type="dxa"/>
            <w:vAlign w:val="center"/>
          </w:tcPr>
          <w:p>
            <w:pPr>
              <w:jc w:val="center"/>
              <w:rPr>
                <w:rFonts w:hint="eastAsia" w:ascii="宋体" w:hAnsi="宋体" w:eastAsia="宋体" w:cs="宋体"/>
                <w:color w:val="auto"/>
                <w:spacing w:val="20"/>
                <w:highlight w:val="none"/>
              </w:rPr>
            </w:pPr>
          </w:p>
        </w:tc>
        <w:tc>
          <w:tcPr>
            <w:tcW w:w="162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719" w:type="dxa"/>
            <w:vAlign w:val="center"/>
          </w:tcPr>
          <w:p>
            <w:pPr>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48"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440" w:type="dxa"/>
            <w:vAlign w:val="center"/>
          </w:tcPr>
          <w:p>
            <w:pPr>
              <w:jc w:val="center"/>
              <w:rPr>
                <w:rFonts w:hint="eastAsia" w:ascii="宋体" w:hAnsi="宋体" w:eastAsia="宋体" w:cs="宋体"/>
                <w:color w:val="auto"/>
                <w:spacing w:val="20"/>
                <w:highlight w:val="none"/>
              </w:rPr>
            </w:pPr>
          </w:p>
        </w:tc>
        <w:tc>
          <w:tcPr>
            <w:tcW w:w="162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108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900" w:type="dxa"/>
            <w:vAlign w:val="center"/>
          </w:tcPr>
          <w:p>
            <w:pPr>
              <w:jc w:val="center"/>
              <w:rPr>
                <w:rFonts w:hint="eastAsia" w:ascii="宋体" w:hAnsi="宋体" w:eastAsia="宋体" w:cs="宋体"/>
                <w:color w:val="auto"/>
                <w:spacing w:val="20"/>
                <w:highlight w:val="none"/>
              </w:rPr>
            </w:pPr>
          </w:p>
        </w:tc>
        <w:tc>
          <w:tcPr>
            <w:tcW w:w="719" w:type="dxa"/>
            <w:vAlign w:val="center"/>
          </w:tcPr>
          <w:p>
            <w:pPr>
              <w:jc w:val="center"/>
              <w:rPr>
                <w:rFonts w:hint="eastAsia" w:ascii="宋体" w:hAnsi="宋体" w:eastAsia="宋体" w:cs="宋体"/>
                <w:color w:val="auto"/>
                <w:spacing w:val="20"/>
                <w:highlight w:val="none"/>
              </w:rPr>
            </w:pPr>
          </w:p>
        </w:tc>
      </w:tr>
    </w:tbl>
    <w:p>
      <w:pPr>
        <w:adjustRightInd w:val="0"/>
        <w:rPr>
          <w:rFonts w:hint="eastAsia" w:ascii="宋体" w:hAnsi="宋体" w:eastAsia="宋体" w:cs="宋体"/>
          <w:color w:val="auto"/>
          <w:highlight w:val="none"/>
        </w:rPr>
      </w:pPr>
    </w:p>
    <w:p>
      <w:pPr>
        <w:adjustRightInd w:val="0"/>
        <w:ind w:firstLine="420" w:firstLineChars="200"/>
        <w:rPr>
          <w:rFonts w:hint="eastAsia" w:ascii="宋体" w:hAnsi="宋体" w:eastAsia="宋体" w:cs="宋体"/>
          <w:color w:val="auto"/>
          <w:spacing w:val="20"/>
          <w:szCs w:val="21"/>
          <w:highlight w:val="none"/>
          <w:u w:val="single"/>
        </w:rPr>
      </w:pPr>
      <w:r>
        <w:rPr>
          <w:rFonts w:hint="eastAsia" w:ascii="宋体" w:hAnsi="宋体" w:eastAsia="宋体" w:cs="宋体"/>
          <w:color w:val="auto"/>
          <w:szCs w:val="21"/>
          <w:highlight w:val="none"/>
        </w:rPr>
        <w:t>供应商全称：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日期：2023年  月  日</w:t>
      </w:r>
    </w:p>
    <w:p>
      <w:pPr>
        <w:rPr>
          <w:rFonts w:hint="eastAsia" w:ascii="宋体" w:hAnsi="宋体" w:eastAsia="宋体" w:cs="宋体"/>
          <w:color w:val="auto"/>
          <w:szCs w:val="21"/>
          <w:highlight w:val="none"/>
        </w:rPr>
      </w:pP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填写说明：</w:t>
      </w:r>
    </w:p>
    <w:p>
      <w:pPr>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w:t>
      </w:r>
      <w:r>
        <w:rPr>
          <w:rFonts w:hint="eastAsia" w:ascii="宋体" w:hAnsi="宋体" w:eastAsia="宋体" w:cs="宋体"/>
          <w:color w:val="auto"/>
          <w:highlight w:val="none"/>
        </w:rPr>
        <w:t>1）此表不提供，可视为无业绩。</w:t>
      </w:r>
    </w:p>
    <w:p>
      <w:pPr>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w:t>
      </w:r>
      <w:r>
        <w:rPr>
          <w:rFonts w:hint="eastAsia" w:ascii="宋体" w:hAnsi="宋体" w:eastAsia="宋体" w:cs="宋体"/>
          <w:color w:val="auto"/>
          <w:highlight w:val="none"/>
        </w:rPr>
        <w:t>2）此表仅提供了格式，表格不够可自行增加。</w:t>
      </w:r>
    </w:p>
    <w:p>
      <w:pPr>
        <w:ind w:firstLine="420" w:firstLineChars="200"/>
        <w:rPr>
          <w:rFonts w:hint="eastAsia" w:ascii="宋体" w:hAnsi="宋体" w:eastAsia="宋体" w:cs="宋体"/>
          <w:color w:val="auto"/>
          <w:spacing w:val="20"/>
          <w:highlight w:val="none"/>
        </w:rPr>
      </w:pPr>
      <w:r>
        <w:rPr>
          <w:rFonts w:hint="eastAsia" w:ascii="宋体" w:hAnsi="宋体" w:eastAsia="宋体" w:cs="宋体"/>
          <w:color w:val="auto"/>
          <w:szCs w:val="21"/>
          <w:highlight w:val="none"/>
        </w:rPr>
        <w:t>（</w:t>
      </w:r>
      <w:r>
        <w:rPr>
          <w:rFonts w:hint="eastAsia" w:ascii="宋体" w:hAnsi="宋体" w:eastAsia="宋体" w:cs="宋体"/>
          <w:color w:val="auto"/>
          <w:highlight w:val="none"/>
        </w:rPr>
        <w:t>3）表后附合同等相关证明材料。</w:t>
      </w:r>
    </w:p>
    <w:p>
      <w:pPr>
        <w:pStyle w:val="4"/>
        <w:ind w:firstLine="500"/>
        <w:rPr>
          <w:rFonts w:hint="eastAsia" w:ascii="宋体" w:hAnsi="宋体" w:eastAsia="宋体" w:cs="宋体"/>
          <w:color w:val="auto"/>
          <w:highlight w:val="none"/>
        </w:rPr>
      </w:pPr>
      <w:r>
        <w:rPr>
          <w:rFonts w:hint="eastAsia" w:ascii="宋体" w:hAnsi="宋体" w:eastAsia="宋体" w:cs="宋体"/>
          <w:color w:val="auto"/>
          <w:spacing w:val="20"/>
          <w:highlight w:val="none"/>
        </w:rPr>
        <w:br w:type="page"/>
      </w:r>
      <w:bookmarkStart w:id="122" w:name="_Toc245088206"/>
      <w:bookmarkStart w:id="123" w:name="_Toc345575544"/>
      <w:r>
        <w:rPr>
          <w:rFonts w:hint="eastAsia" w:ascii="宋体" w:hAnsi="宋体" w:eastAsia="宋体" w:cs="宋体"/>
          <w:color w:val="auto"/>
          <w:spacing w:val="20"/>
          <w:highlight w:val="none"/>
        </w:rPr>
        <w:t>七</w:t>
      </w:r>
      <w:r>
        <w:rPr>
          <w:rFonts w:hint="eastAsia" w:ascii="宋体" w:hAnsi="宋体" w:eastAsia="宋体" w:cs="宋体"/>
          <w:color w:val="auto"/>
          <w:highlight w:val="none"/>
        </w:rPr>
        <w:t>、</w:t>
      </w:r>
      <w:bookmarkEnd w:id="122"/>
      <w:bookmarkEnd w:id="123"/>
      <w:r>
        <w:rPr>
          <w:rFonts w:hint="eastAsia" w:ascii="宋体" w:hAnsi="宋体" w:eastAsia="宋体" w:cs="宋体"/>
          <w:color w:val="auto"/>
          <w:highlight w:val="none"/>
        </w:rPr>
        <w:t>提供针对本项目的完整技术解决方案</w:t>
      </w:r>
    </w:p>
    <w:p>
      <w:pPr>
        <w:pStyle w:val="11"/>
        <w:rPr>
          <w:rFonts w:hint="eastAsia" w:ascii="宋体" w:hAnsi="宋体" w:cs="宋体"/>
          <w:color w:val="auto"/>
          <w:highlight w:val="none"/>
          <w:lang w:val="en-US" w:eastAsia="zh-CN"/>
        </w:rPr>
      </w:pPr>
    </w:p>
    <w:p>
      <w:pPr>
        <w:pStyle w:val="11"/>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（根据评分细则自行阐述。）</w:t>
      </w:r>
    </w:p>
    <w:p>
      <w:pPr>
        <w:ind w:firstLine="420" w:firstLineChars="200"/>
        <w:rPr>
          <w:rFonts w:hint="eastAsia" w:ascii="宋体" w:hAnsi="宋体" w:cs="宋体"/>
          <w:color w:val="auto"/>
          <w:szCs w:val="21"/>
          <w:highlight w:val="none"/>
          <w:lang w:val="en-US" w:eastAsia="zh-CN"/>
        </w:rPr>
      </w:pPr>
      <w:bookmarkStart w:id="124" w:name="_Toc247085888"/>
      <w:bookmarkStart w:id="125" w:name="_Toc246997113"/>
      <w:bookmarkStart w:id="126" w:name="_Toc246996370"/>
      <w:bookmarkStart w:id="127" w:name="_Toc144974872"/>
      <w:bookmarkStart w:id="128" w:name="_Toc152042593"/>
      <w:bookmarkStart w:id="129" w:name="_Toc179632824"/>
      <w:bookmarkStart w:id="130" w:name="_Toc296602615"/>
      <w:bookmarkStart w:id="131" w:name="_Toc152045804"/>
    </w:p>
    <w:p>
      <w:pPr>
        <w:ind w:firstLine="420" w:firstLineChars="200"/>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附：</w:t>
      </w:r>
    </w:p>
    <w:p>
      <w:pPr>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w:t>
      </w:r>
      <w:r>
        <w:rPr>
          <w:rFonts w:hint="eastAsia" w:ascii="宋体" w:hAnsi="宋体" w:eastAsia="宋体" w:cs="宋体"/>
          <w:color w:val="auto"/>
          <w:highlight w:val="none"/>
        </w:rPr>
        <w:t>1）项目组人员情况表</w:t>
      </w:r>
      <w:bookmarkEnd w:id="124"/>
      <w:bookmarkEnd w:id="125"/>
      <w:bookmarkEnd w:id="126"/>
      <w:bookmarkEnd w:id="127"/>
      <w:bookmarkEnd w:id="128"/>
      <w:bookmarkEnd w:id="129"/>
      <w:bookmarkEnd w:id="130"/>
      <w:bookmarkEnd w:id="131"/>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6"/>
        <w:gridCol w:w="806"/>
        <w:gridCol w:w="804"/>
        <w:gridCol w:w="1209"/>
        <w:gridCol w:w="1226"/>
        <w:gridCol w:w="1423"/>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5"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项目组职务</w:t>
            </w:r>
          </w:p>
        </w:tc>
        <w:tc>
          <w:tcPr>
            <w:tcW w:w="727"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p>
        </w:tc>
        <w:tc>
          <w:tcPr>
            <w:tcW w:w="725"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性别</w:t>
            </w:r>
          </w:p>
        </w:tc>
        <w:tc>
          <w:tcPr>
            <w:tcW w:w="109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学历</w:t>
            </w:r>
          </w:p>
        </w:tc>
        <w:tc>
          <w:tcPr>
            <w:tcW w:w="1105"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专业</w:t>
            </w:r>
          </w:p>
        </w:tc>
        <w:tc>
          <w:tcPr>
            <w:tcW w:w="1283"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社保缴纳</w:t>
            </w:r>
          </w:p>
        </w:tc>
        <w:tc>
          <w:tcPr>
            <w:tcW w:w="1718"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　注</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（人员能力及实施经验说明）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5" w:type="dxa"/>
            <w:vAlign w:val="center"/>
          </w:tcPr>
          <w:p>
            <w:pPr>
              <w:jc w:val="center"/>
              <w:rPr>
                <w:rFonts w:hint="eastAsia" w:ascii="宋体" w:hAnsi="宋体" w:eastAsia="宋体" w:cs="宋体"/>
                <w:color w:val="auto"/>
                <w:szCs w:val="21"/>
                <w:highlight w:val="none"/>
              </w:rPr>
            </w:pPr>
          </w:p>
        </w:tc>
        <w:tc>
          <w:tcPr>
            <w:tcW w:w="727" w:type="dxa"/>
            <w:vAlign w:val="center"/>
          </w:tcPr>
          <w:p>
            <w:pPr>
              <w:jc w:val="center"/>
              <w:rPr>
                <w:rFonts w:hint="eastAsia" w:ascii="宋体" w:hAnsi="宋体" w:eastAsia="宋体" w:cs="宋体"/>
                <w:color w:val="auto"/>
                <w:szCs w:val="21"/>
                <w:highlight w:val="none"/>
              </w:rPr>
            </w:pPr>
          </w:p>
        </w:tc>
        <w:tc>
          <w:tcPr>
            <w:tcW w:w="725" w:type="dxa"/>
            <w:vAlign w:val="center"/>
          </w:tcPr>
          <w:p>
            <w:pPr>
              <w:jc w:val="center"/>
              <w:rPr>
                <w:rFonts w:hint="eastAsia" w:ascii="宋体" w:hAnsi="宋体" w:eastAsia="宋体" w:cs="宋体"/>
                <w:color w:val="auto"/>
                <w:szCs w:val="21"/>
                <w:highlight w:val="none"/>
              </w:rPr>
            </w:pPr>
          </w:p>
        </w:tc>
        <w:tc>
          <w:tcPr>
            <w:tcW w:w="1090" w:type="dxa"/>
            <w:vAlign w:val="center"/>
          </w:tcPr>
          <w:p>
            <w:pPr>
              <w:jc w:val="center"/>
              <w:rPr>
                <w:rFonts w:hint="eastAsia" w:ascii="宋体" w:hAnsi="宋体" w:eastAsia="宋体" w:cs="宋体"/>
                <w:color w:val="auto"/>
                <w:szCs w:val="21"/>
                <w:highlight w:val="none"/>
              </w:rPr>
            </w:pPr>
          </w:p>
        </w:tc>
        <w:tc>
          <w:tcPr>
            <w:tcW w:w="1105" w:type="dxa"/>
            <w:vAlign w:val="center"/>
          </w:tcPr>
          <w:p>
            <w:pPr>
              <w:jc w:val="center"/>
              <w:rPr>
                <w:rFonts w:hint="eastAsia" w:ascii="宋体" w:hAnsi="宋体" w:eastAsia="宋体" w:cs="宋体"/>
                <w:color w:val="auto"/>
                <w:szCs w:val="21"/>
                <w:highlight w:val="none"/>
              </w:rPr>
            </w:pPr>
          </w:p>
        </w:tc>
        <w:tc>
          <w:tcPr>
            <w:tcW w:w="1283" w:type="dxa"/>
            <w:vAlign w:val="center"/>
          </w:tcPr>
          <w:p>
            <w:pPr>
              <w:jc w:val="center"/>
              <w:rPr>
                <w:rFonts w:hint="eastAsia" w:ascii="宋体" w:hAnsi="宋体" w:eastAsia="宋体" w:cs="宋体"/>
                <w:color w:val="auto"/>
                <w:szCs w:val="21"/>
                <w:highlight w:val="none"/>
              </w:rPr>
            </w:pPr>
          </w:p>
        </w:tc>
        <w:tc>
          <w:tcPr>
            <w:tcW w:w="1718"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25" w:type="dxa"/>
            <w:vAlign w:val="center"/>
          </w:tcPr>
          <w:p>
            <w:pPr>
              <w:jc w:val="center"/>
              <w:rPr>
                <w:rFonts w:hint="eastAsia" w:ascii="宋体" w:hAnsi="宋体" w:eastAsia="宋体" w:cs="宋体"/>
                <w:color w:val="auto"/>
                <w:szCs w:val="21"/>
                <w:highlight w:val="none"/>
              </w:rPr>
            </w:pPr>
          </w:p>
        </w:tc>
        <w:tc>
          <w:tcPr>
            <w:tcW w:w="727" w:type="dxa"/>
            <w:vAlign w:val="center"/>
          </w:tcPr>
          <w:p>
            <w:pPr>
              <w:jc w:val="center"/>
              <w:rPr>
                <w:rFonts w:hint="eastAsia" w:ascii="宋体" w:hAnsi="宋体" w:eastAsia="宋体" w:cs="宋体"/>
                <w:color w:val="auto"/>
                <w:szCs w:val="21"/>
                <w:highlight w:val="none"/>
              </w:rPr>
            </w:pPr>
          </w:p>
        </w:tc>
        <w:tc>
          <w:tcPr>
            <w:tcW w:w="725" w:type="dxa"/>
            <w:vAlign w:val="center"/>
          </w:tcPr>
          <w:p>
            <w:pPr>
              <w:jc w:val="center"/>
              <w:rPr>
                <w:rFonts w:hint="eastAsia" w:ascii="宋体" w:hAnsi="宋体" w:eastAsia="宋体" w:cs="宋体"/>
                <w:color w:val="auto"/>
                <w:szCs w:val="21"/>
                <w:highlight w:val="none"/>
              </w:rPr>
            </w:pPr>
          </w:p>
        </w:tc>
        <w:tc>
          <w:tcPr>
            <w:tcW w:w="1090" w:type="dxa"/>
            <w:vAlign w:val="center"/>
          </w:tcPr>
          <w:p>
            <w:pPr>
              <w:jc w:val="center"/>
              <w:rPr>
                <w:rFonts w:hint="eastAsia" w:ascii="宋体" w:hAnsi="宋体" w:eastAsia="宋体" w:cs="宋体"/>
                <w:color w:val="auto"/>
                <w:szCs w:val="21"/>
                <w:highlight w:val="none"/>
              </w:rPr>
            </w:pPr>
          </w:p>
        </w:tc>
        <w:tc>
          <w:tcPr>
            <w:tcW w:w="1105" w:type="dxa"/>
            <w:vAlign w:val="center"/>
          </w:tcPr>
          <w:p>
            <w:pPr>
              <w:jc w:val="center"/>
              <w:rPr>
                <w:rFonts w:hint="eastAsia" w:ascii="宋体" w:hAnsi="宋体" w:eastAsia="宋体" w:cs="宋体"/>
                <w:color w:val="auto"/>
                <w:szCs w:val="21"/>
                <w:highlight w:val="none"/>
              </w:rPr>
            </w:pPr>
          </w:p>
        </w:tc>
        <w:tc>
          <w:tcPr>
            <w:tcW w:w="1283" w:type="dxa"/>
            <w:vAlign w:val="center"/>
          </w:tcPr>
          <w:p>
            <w:pPr>
              <w:jc w:val="center"/>
              <w:rPr>
                <w:rFonts w:hint="eastAsia" w:ascii="宋体" w:hAnsi="宋体" w:eastAsia="宋体" w:cs="宋体"/>
                <w:color w:val="auto"/>
                <w:szCs w:val="21"/>
                <w:highlight w:val="none"/>
              </w:rPr>
            </w:pPr>
          </w:p>
        </w:tc>
        <w:tc>
          <w:tcPr>
            <w:tcW w:w="1718" w:type="dxa"/>
            <w:vAlign w:val="center"/>
          </w:tcPr>
          <w:p>
            <w:pPr>
              <w:jc w:val="center"/>
              <w:rPr>
                <w:rFonts w:hint="eastAsia" w:ascii="宋体" w:hAnsi="宋体" w:eastAsia="宋体" w:cs="宋体"/>
                <w:color w:val="auto"/>
                <w:szCs w:val="21"/>
                <w:highlight w:val="none"/>
              </w:rPr>
            </w:pPr>
          </w:p>
        </w:tc>
      </w:tr>
    </w:tbl>
    <w:p>
      <w:pPr>
        <w:topLinePunct/>
        <w:jc w:val="center"/>
        <w:rPr>
          <w:rFonts w:hint="eastAsia" w:ascii="宋体" w:hAnsi="宋体" w:eastAsia="宋体" w:cs="宋体"/>
          <w:color w:val="auto"/>
          <w:sz w:val="20"/>
          <w:highlight w:val="none"/>
        </w:rPr>
      </w:pPr>
    </w:p>
    <w:p>
      <w:pPr>
        <w:ind w:firstLine="420" w:firstLineChars="200"/>
        <w:rPr>
          <w:rFonts w:hint="eastAsia" w:ascii="宋体" w:hAnsi="宋体" w:eastAsia="宋体" w:cs="宋体"/>
          <w:color w:val="auto"/>
          <w:highlight w:val="none"/>
        </w:rPr>
      </w:pPr>
      <w:bookmarkStart w:id="132" w:name="_Toc144974873"/>
      <w:bookmarkStart w:id="133" w:name="_Toc179632825"/>
      <w:bookmarkStart w:id="134" w:name="_Toc152045805"/>
      <w:bookmarkStart w:id="135" w:name="_Toc296602616"/>
      <w:bookmarkStart w:id="136" w:name="_Toc246997114"/>
      <w:bookmarkStart w:id="137" w:name="_Toc152042594"/>
      <w:bookmarkStart w:id="138" w:name="_Toc247085889"/>
      <w:bookmarkStart w:id="139" w:name="_Toc246996371"/>
      <w:r>
        <w:rPr>
          <w:rFonts w:hint="eastAsia" w:ascii="宋体" w:hAnsi="宋体" w:eastAsia="宋体" w:cs="宋体"/>
          <w:color w:val="auto"/>
          <w:szCs w:val="21"/>
          <w:highlight w:val="none"/>
        </w:rPr>
        <w:t>（</w:t>
      </w:r>
      <w:r>
        <w:rPr>
          <w:rFonts w:hint="eastAsia" w:ascii="宋体" w:hAnsi="宋体" w:eastAsia="宋体" w:cs="宋体"/>
          <w:color w:val="auto"/>
          <w:highlight w:val="none"/>
        </w:rPr>
        <w:t>2）项目负责人简历表</w:t>
      </w:r>
      <w:bookmarkEnd w:id="132"/>
      <w:bookmarkEnd w:id="133"/>
      <w:bookmarkEnd w:id="134"/>
      <w:bookmarkEnd w:id="135"/>
      <w:bookmarkEnd w:id="136"/>
      <w:bookmarkEnd w:id="137"/>
      <w:bookmarkEnd w:id="138"/>
      <w:bookmarkEnd w:id="139"/>
    </w:p>
    <w:tbl>
      <w:tblPr>
        <w:tblStyle w:val="45"/>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351"/>
        <w:gridCol w:w="702"/>
        <w:gridCol w:w="906"/>
        <w:gridCol w:w="1040"/>
        <w:gridCol w:w="687"/>
        <w:gridCol w:w="1230"/>
        <w:gridCol w:w="156"/>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  名</w:t>
            </w:r>
          </w:p>
        </w:tc>
        <w:tc>
          <w:tcPr>
            <w:tcW w:w="1053" w:type="dxa"/>
            <w:gridSpan w:val="2"/>
            <w:vAlign w:val="center"/>
          </w:tcPr>
          <w:p>
            <w:pPr>
              <w:jc w:val="center"/>
              <w:rPr>
                <w:rFonts w:hint="eastAsia" w:ascii="宋体" w:hAnsi="宋体" w:eastAsia="宋体" w:cs="宋体"/>
                <w:color w:val="auto"/>
                <w:szCs w:val="21"/>
                <w:highlight w:val="none"/>
              </w:rPr>
            </w:pPr>
          </w:p>
        </w:tc>
        <w:tc>
          <w:tcPr>
            <w:tcW w:w="90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龄</w:t>
            </w:r>
          </w:p>
        </w:tc>
        <w:tc>
          <w:tcPr>
            <w:tcW w:w="1040" w:type="dxa"/>
            <w:vAlign w:val="center"/>
          </w:tcPr>
          <w:p>
            <w:pPr>
              <w:jc w:val="center"/>
              <w:rPr>
                <w:rFonts w:hint="eastAsia" w:ascii="宋体" w:hAnsi="宋体" w:eastAsia="宋体" w:cs="宋体"/>
                <w:color w:val="auto"/>
                <w:szCs w:val="21"/>
                <w:highlight w:val="none"/>
              </w:rPr>
            </w:pPr>
          </w:p>
        </w:tc>
        <w:tc>
          <w:tcPr>
            <w:tcW w:w="2073" w:type="dxa"/>
            <w:gridSpan w:val="3"/>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身份证号</w:t>
            </w:r>
          </w:p>
        </w:tc>
        <w:tc>
          <w:tcPr>
            <w:tcW w:w="2820" w:type="dxa"/>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学　历</w:t>
            </w:r>
          </w:p>
        </w:tc>
        <w:tc>
          <w:tcPr>
            <w:tcW w:w="1053" w:type="dxa"/>
            <w:gridSpan w:val="2"/>
            <w:vAlign w:val="center"/>
          </w:tcPr>
          <w:p>
            <w:pPr>
              <w:jc w:val="center"/>
              <w:rPr>
                <w:rFonts w:hint="eastAsia" w:ascii="宋体" w:hAnsi="宋体" w:eastAsia="宋体" w:cs="宋体"/>
                <w:color w:val="auto"/>
                <w:szCs w:val="21"/>
                <w:highlight w:val="none"/>
              </w:rPr>
            </w:pPr>
          </w:p>
        </w:tc>
        <w:tc>
          <w:tcPr>
            <w:tcW w:w="906"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务</w:t>
            </w:r>
          </w:p>
        </w:tc>
        <w:tc>
          <w:tcPr>
            <w:tcW w:w="1040" w:type="dxa"/>
            <w:vAlign w:val="center"/>
          </w:tcPr>
          <w:p>
            <w:pPr>
              <w:jc w:val="center"/>
              <w:rPr>
                <w:rFonts w:hint="eastAsia" w:ascii="宋体" w:hAnsi="宋体" w:eastAsia="宋体" w:cs="宋体"/>
                <w:color w:val="auto"/>
                <w:szCs w:val="21"/>
                <w:highlight w:val="none"/>
              </w:rPr>
            </w:pPr>
          </w:p>
        </w:tc>
        <w:tc>
          <w:tcPr>
            <w:tcW w:w="2073" w:type="dxa"/>
            <w:gridSpan w:val="3"/>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拟在本合同任职</w:t>
            </w:r>
          </w:p>
        </w:tc>
        <w:tc>
          <w:tcPr>
            <w:tcW w:w="282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09"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毕业学校</w:t>
            </w:r>
          </w:p>
        </w:tc>
        <w:tc>
          <w:tcPr>
            <w:tcW w:w="7892" w:type="dxa"/>
            <w:gridSpan w:val="8"/>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01" w:type="dxa"/>
            <w:gridSpan w:val="9"/>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0"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时  间</w:t>
            </w:r>
          </w:p>
        </w:tc>
        <w:tc>
          <w:tcPr>
            <w:tcW w:w="3335" w:type="dxa"/>
            <w:gridSpan w:val="4"/>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参加过的类似项目</w:t>
            </w:r>
          </w:p>
        </w:tc>
        <w:tc>
          <w:tcPr>
            <w:tcW w:w="1230" w:type="dxa"/>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担任职务</w:t>
            </w:r>
          </w:p>
        </w:tc>
        <w:tc>
          <w:tcPr>
            <w:tcW w:w="2976" w:type="dxa"/>
            <w:gridSpan w:val="2"/>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0" w:type="dxa"/>
            <w:gridSpan w:val="2"/>
            <w:vAlign w:val="center"/>
          </w:tcPr>
          <w:p>
            <w:pPr>
              <w:jc w:val="center"/>
              <w:rPr>
                <w:rFonts w:hint="eastAsia" w:ascii="宋体" w:hAnsi="宋体" w:eastAsia="宋体" w:cs="宋体"/>
                <w:color w:val="auto"/>
                <w:szCs w:val="21"/>
                <w:highlight w:val="none"/>
              </w:rPr>
            </w:pPr>
          </w:p>
        </w:tc>
        <w:tc>
          <w:tcPr>
            <w:tcW w:w="3335" w:type="dxa"/>
            <w:gridSpan w:val="4"/>
            <w:vAlign w:val="center"/>
          </w:tcPr>
          <w:p>
            <w:pPr>
              <w:jc w:val="center"/>
              <w:rPr>
                <w:rFonts w:hint="eastAsia" w:ascii="宋体" w:hAnsi="宋体" w:eastAsia="宋体" w:cs="宋体"/>
                <w:color w:val="auto"/>
                <w:szCs w:val="21"/>
                <w:highlight w:val="none"/>
              </w:rPr>
            </w:pPr>
          </w:p>
        </w:tc>
        <w:tc>
          <w:tcPr>
            <w:tcW w:w="1230" w:type="dxa"/>
            <w:vAlign w:val="center"/>
          </w:tcPr>
          <w:p>
            <w:pPr>
              <w:jc w:val="center"/>
              <w:rPr>
                <w:rFonts w:hint="eastAsia" w:ascii="宋体" w:hAnsi="宋体" w:eastAsia="宋体" w:cs="宋体"/>
                <w:color w:val="auto"/>
                <w:szCs w:val="21"/>
                <w:highlight w:val="none"/>
              </w:rPr>
            </w:pPr>
          </w:p>
        </w:tc>
        <w:tc>
          <w:tcPr>
            <w:tcW w:w="2976" w:type="dxa"/>
            <w:gridSpan w:val="2"/>
            <w:vAlign w:val="center"/>
          </w:tcPr>
          <w:p>
            <w:pPr>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60" w:type="dxa"/>
            <w:gridSpan w:val="2"/>
            <w:vAlign w:val="center"/>
          </w:tcPr>
          <w:p>
            <w:pPr>
              <w:jc w:val="center"/>
              <w:rPr>
                <w:rFonts w:hint="eastAsia" w:ascii="宋体" w:hAnsi="宋体" w:eastAsia="宋体" w:cs="宋体"/>
                <w:color w:val="auto"/>
                <w:szCs w:val="21"/>
                <w:highlight w:val="none"/>
              </w:rPr>
            </w:pPr>
          </w:p>
        </w:tc>
        <w:tc>
          <w:tcPr>
            <w:tcW w:w="3335" w:type="dxa"/>
            <w:gridSpan w:val="4"/>
            <w:vAlign w:val="center"/>
          </w:tcPr>
          <w:p>
            <w:pPr>
              <w:jc w:val="center"/>
              <w:rPr>
                <w:rFonts w:hint="eastAsia" w:ascii="宋体" w:hAnsi="宋体" w:eastAsia="宋体" w:cs="宋体"/>
                <w:color w:val="auto"/>
                <w:szCs w:val="21"/>
                <w:highlight w:val="none"/>
              </w:rPr>
            </w:pPr>
          </w:p>
        </w:tc>
        <w:tc>
          <w:tcPr>
            <w:tcW w:w="1230" w:type="dxa"/>
            <w:vAlign w:val="center"/>
          </w:tcPr>
          <w:p>
            <w:pPr>
              <w:jc w:val="center"/>
              <w:rPr>
                <w:rFonts w:hint="eastAsia" w:ascii="宋体" w:hAnsi="宋体" w:eastAsia="宋体" w:cs="宋体"/>
                <w:color w:val="auto"/>
                <w:szCs w:val="21"/>
                <w:highlight w:val="none"/>
              </w:rPr>
            </w:pPr>
          </w:p>
        </w:tc>
        <w:tc>
          <w:tcPr>
            <w:tcW w:w="2976" w:type="dxa"/>
            <w:gridSpan w:val="2"/>
            <w:vAlign w:val="center"/>
          </w:tcPr>
          <w:p>
            <w:pPr>
              <w:jc w:val="center"/>
              <w:rPr>
                <w:rFonts w:hint="eastAsia" w:ascii="宋体" w:hAnsi="宋体" w:eastAsia="宋体" w:cs="宋体"/>
                <w:color w:val="auto"/>
                <w:szCs w:val="21"/>
                <w:highlight w:val="none"/>
              </w:rPr>
            </w:pPr>
          </w:p>
        </w:tc>
      </w:tr>
    </w:tbl>
    <w:p>
      <w:pPr>
        <w:rPr>
          <w:rFonts w:hint="eastAsia" w:ascii="宋体" w:hAnsi="宋体" w:eastAsia="宋体" w:cs="宋体"/>
          <w:color w:val="auto"/>
          <w:highlight w:val="none"/>
        </w:rPr>
      </w:pPr>
      <w:bookmarkStart w:id="140" w:name="_Toc345575534"/>
      <w:bookmarkStart w:id="141" w:name="_Toc437953145"/>
      <w:r>
        <w:rPr>
          <w:rFonts w:hint="eastAsia" w:ascii="宋体" w:hAnsi="宋体" w:eastAsia="宋体" w:cs="宋体"/>
          <w:color w:val="auto"/>
          <w:highlight w:val="none"/>
        </w:rPr>
        <w:br w:type="page"/>
      </w:r>
    </w:p>
    <w:p>
      <w:pPr>
        <w:pStyle w:val="2"/>
        <w:ind w:firstLine="420"/>
        <w:rPr>
          <w:rFonts w:hint="eastAsia" w:ascii="宋体" w:hAnsi="宋体" w:eastAsia="宋体" w:cs="宋体"/>
          <w:color w:val="auto"/>
          <w:highlight w:val="none"/>
        </w:rPr>
      </w:pPr>
      <w:r>
        <w:rPr>
          <w:rFonts w:hint="eastAsia" w:ascii="宋体" w:hAnsi="宋体" w:eastAsia="宋体" w:cs="宋体"/>
          <w:color w:val="auto"/>
          <w:highlight w:val="none"/>
        </w:rPr>
        <w:t>第三部分 报价文件</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封面</w:t>
      </w:r>
      <w:bookmarkEnd w:id="140"/>
      <w:bookmarkEnd w:id="141"/>
    </w:p>
    <w:p>
      <w:pPr>
        <w:tabs>
          <w:tab w:val="left" w:pos="2580"/>
          <w:tab w:val="left" w:pos="5940"/>
        </w:tabs>
        <w:autoSpaceDE w:val="0"/>
        <w:autoSpaceDN w:val="0"/>
        <w:adjustRightInd w:val="0"/>
        <w:ind w:right="-20"/>
        <w:rPr>
          <w:rFonts w:hint="eastAsia" w:ascii="宋体" w:hAnsi="宋体" w:eastAsia="宋体" w:cs="宋体"/>
          <w:color w:val="auto"/>
          <w:kern w:val="0"/>
          <w:sz w:val="28"/>
          <w:highlight w:val="none"/>
        </w:rPr>
      </w:pP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lang w:eastAsia="zh-CN"/>
        </w:rPr>
      </w:pPr>
      <w:r>
        <w:rPr>
          <w:rFonts w:hint="eastAsia" w:ascii="宋体" w:hAnsi="宋体" w:eastAsia="宋体" w:cs="宋体"/>
          <w:color w:val="auto"/>
          <w:kern w:val="0"/>
          <w:sz w:val="24"/>
          <w:szCs w:val="22"/>
          <w:highlight w:val="none"/>
        </w:rPr>
        <w:t>采购人：</w:t>
      </w:r>
      <w:r>
        <w:rPr>
          <w:rFonts w:hint="eastAsia" w:ascii="宋体" w:hAnsi="宋体" w:eastAsia="宋体" w:cs="宋体"/>
          <w:color w:val="auto"/>
          <w:kern w:val="0"/>
          <w:sz w:val="24"/>
          <w:szCs w:val="22"/>
          <w:highlight w:val="none"/>
          <w:u w:val="single"/>
          <w:lang w:eastAsia="zh-CN"/>
        </w:rPr>
        <w:t>浙江省体育彩票管理中心</w:t>
      </w: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u w:val="single"/>
        </w:rPr>
      </w:pPr>
      <w:r>
        <w:rPr>
          <w:rFonts w:hint="eastAsia" w:ascii="宋体" w:hAnsi="宋体" w:eastAsia="宋体" w:cs="宋体"/>
          <w:color w:val="auto"/>
          <w:kern w:val="0"/>
          <w:sz w:val="24"/>
          <w:szCs w:val="22"/>
          <w:highlight w:val="none"/>
        </w:rPr>
        <w:t>项目名称：</w:t>
      </w:r>
      <w:r>
        <w:rPr>
          <w:rFonts w:hint="eastAsia" w:ascii="宋体" w:hAnsi="宋体" w:cs="宋体"/>
          <w:color w:val="auto"/>
          <w:kern w:val="0"/>
          <w:sz w:val="24"/>
          <w:szCs w:val="22"/>
          <w:highlight w:val="none"/>
          <w:u w:val="single"/>
          <w:lang w:eastAsia="zh-CN"/>
        </w:rPr>
        <w:t>2024年体彩爱心小板凳活动</w:t>
      </w:r>
      <w:r>
        <w:rPr>
          <w:rFonts w:hint="eastAsia" w:ascii="宋体" w:hAnsi="宋体" w:eastAsia="宋体" w:cs="宋体"/>
          <w:color w:val="auto"/>
          <w:kern w:val="0"/>
          <w:sz w:val="24"/>
          <w:szCs w:val="22"/>
          <w:highlight w:val="none"/>
          <w:u w:val="single"/>
        </w:rPr>
        <w:t>项目</w:t>
      </w: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u w:val="single"/>
          <w:lang w:eastAsia="zh-CN"/>
        </w:rPr>
      </w:pPr>
      <w:r>
        <w:rPr>
          <w:rFonts w:hint="eastAsia" w:ascii="宋体" w:hAnsi="宋体" w:eastAsia="宋体" w:cs="宋体"/>
          <w:color w:val="auto"/>
          <w:kern w:val="0"/>
          <w:sz w:val="24"/>
          <w:szCs w:val="22"/>
          <w:highlight w:val="none"/>
        </w:rPr>
        <w:t>项目编号：</w:t>
      </w:r>
      <w:r>
        <w:rPr>
          <w:rFonts w:hint="eastAsia" w:ascii="宋体" w:hAnsi="宋体" w:cs="宋体"/>
          <w:color w:val="auto"/>
          <w:kern w:val="0"/>
          <w:sz w:val="24"/>
          <w:szCs w:val="22"/>
          <w:highlight w:val="none"/>
          <w:u w:val="single"/>
          <w:lang w:eastAsia="zh-CN"/>
        </w:rPr>
        <w:t>CTZB-2023110267</w:t>
      </w:r>
    </w:p>
    <w:p>
      <w:pPr>
        <w:tabs>
          <w:tab w:val="left" w:pos="2580"/>
          <w:tab w:val="left" w:pos="5940"/>
        </w:tabs>
        <w:autoSpaceDE w:val="0"/>
        <w:autoSpaceDN w:val="0"/>
        <w:adjustRightInd w:val="0"/>
        <w:ind w:right="-20"/>
        <w:rPr>
          <w:rFonts w:hint="eastAsia" w:ascii="宋体" w:hAnsi="宋体" w:eastAsia="宋体" w:cs="宋体"/>
          <w:color w:val="auto"/>
          <w:kern w:val="0"/>
          <w:sz w:val="24"/>
          <w:szCs w:val="22"/>
          <w:highlight w:val="none"/>
          <w:u w:val="single"/>
          <w:lang w:eastAsia="zh-CN"/>
        </w:rPr>
      </w:pPr>
      <w:r>
        <w:rPr>
          <w:rFonts w:hint="eastAsia" w:ascii="宋体" w:hAnsi="宋体" w:eastAsia="宋体" w:cs="宋体"/>
          <w:color w:val="auto"/>
          <w:kern w:val="0"/>
          <w:sz w:val="24"/>
          <w:szCs w:val="22"/>
          <w:highlight w:val="none"/>
        </w:rPr>
        <w:t>标项名称：</w:t>
      </w:r>
      <w:r>
        <w:rPr>
          <w:rFonts w:hint="eastAsia" w:ascii="宋体" w:hAnsi="宋体" w:cs="宋体"/>
          <w:color w:val="auto"/>
          <w:kern w:val="0"/>
          <w:sz w:val="24"/>
          <w:szCs w:val="22"/>
          <w:highlight w:val="none"/>
          <w:u w:val="single"/>
          <w:lang w:eastAsia="zh-CN"/>
        </w:rPr>
        <w:t>2024年体彩爱心小板凳活动</w:t>
      </w:r>
    </w:p>
    <w:p>
      <w:pPr>
        <w:autoSpaceDE w:val="0"/>
        <w:autoSpaceDN w:val="0"/>
        <w:adjustRightInd w:val="0"/>
        <w:jc w:val="left"/>
        <w:rPr>
          <w:rFonts w:hint="eastAsia" w:ascii="宋体" w:hAnsi="宋体" w:eastAsia="宋体" w:cs="宋体"/>
          <w:b/>
          <w:bCs/>
          <w:color w:val="auto"/>
          <w:kern w:val="0"/>
          <w:sz w:val="44"/>
          <w:szCs w:val="44"/>
          <w:highlight w:val="none"/>
        </w:rPr>
      </w:pPr>
    </w:p>
    <w:p>
      <w:pPr>
        <w:autoSpaceDE w:val="0"/>
        <w:autoSpaceDN w:val="0"/>
        <w:adjustRightInd w:val="0"/>
        <w:jc w:val="left"/>
        <w:rPr>
          <w:rFonts w:hint="eastAsia" w:ascii="宋体" w:hAnsi="宋体" w:eastAsia="宋体" w:cs="宋体"/>
          <w:color w:val="auto"/>
          <w:kern w:val="0"/>
          <w:sz w:val="24"/>
          <w:highlight w:val="none"/>
        </w:rPr>
      </w:pPr>
    </w:p>
    <w:p>
      <w:pPr>
        <w:autoSpaceDE w:val="0"/>
        <w:autoSpaceDN w:val="0"/>
        <w:adjustRightInd w:val="0"/>
        <w:jc w:val="left"/>
        <w:rPr>
          <w:rFonts w:hint="eastAsia" w:ascii="宋体" w:hAnsi="宋体" w:eastAsia="宋体" w:cs="宋体"/>
          <w:color w:val="auto"/>
          <w:kern w:val="0"/>
          <w:sz w:val="24"/>
          <w:highlight w:val="none"/>
        </w:rPr>
      </w:pPr>
    </w:p>
    <w:p>
      <w:pPr>
        <w:autoSpaceDE w:val="0"/>
        <w:autoSpaceDN w:val="0"/>
        <w:adjustRightInd w:val="0"/>
        <w:jc w:val="left"/>
        <w:rPr>
          <w:rFonts w:hint="eastAsia" w:ascii="宋体" w:hAnsi="宋体" w:eastAsia="宋体" w:cs="宋体"/>
          <w:color w:val="auto"/>
          <w:kern w:val="0"/>
          <w:sz w:val="24"/>
          <w:highlight w:val="none"/>
        </w:rPr>
      </w:pPr>
    </w:p>
    <w:p>
      <w:pPr>
        <w:autoSpaceDE w:val="0"/>
        <w:autoSpaceDN w:val="0"/>
        <w:adjustRightInd w:val="0"/>
        <w:jc w:val="left"/>
        <w:rPr>
          <w:rFonts w:hint="eastAsia" w:ascii="宋体" w:hAnsi="宋体" w:eastAsia="宋体" w:cs="宋体"/>
          <w:color w:val="auto"/>
          <w:kern w:val="0"/>
          <w:sz w:val="24"/>
          <w:highlight w:val="none"/>
        </w:rPr>
      </w:pPr>
    </w:p>
    <w:p>
      <w:pPr>
        <w:autoSpaceDE w:val="0"/>
        <w:autoSpaceDN w:val="0"/>
        <w:adjustRightInd w:val="0"/>
        <w:jc w:val="left"/>
        <w:rPr>
          <w:rFonts w:hint="eastAsia" w:ascii="宋体" w:hAnsi="宋体" w:eastAsia="宋体" w:cs="宋体"/>
          <w:color w:val="auto"/>
          <w:kern w:val="0"/>
          <w:sz w:val="24"/>
          <w:highlight w:val="none"/>
        </w:rPr>
      </w:pPr>
    </w:p>
    <w:p>
      <w:pPr>
        <w:tabs>
          <w:tab w:val="left" w:pos="1805"/>
          <w:tab w:val="left" w:pos="5360"/>
        </w:tabs>
        <w:autoSpaceDE w:val="0"/>
        <w:autoSpaceDN w:val="0"/>
        <w:adjustRightInd w:val="0"/>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磋商响应文件</w:t>
      </w:r>
    </w:p>
    <w:p>
      <w:pPr>
        <w:tabs>
          <w:tab w:val="left" w:pos="1805"/>
          <w:tab w:val="left" w:pos="5360"/>
        </w:tabs>
        <w:autoSpaceDE w:val="0"/>
        <w:autoSpaceDN w:val="0"/>
        <w:adjustRightInd w:val="0"/>
        <w:ind w:right="-20"/>
        <w:jc w:val="center"/>
        <w:rPr>
          <w:rFonts w:hint="eastAsia" w:ascii="宋体" w:hAnsi="宋体" w:eastAsia="宋体" w:cs="宋体"/>
          <w:color w:val="auto"/>
          <w:kern w:val="0"/>
          <w:sz w:val="72"/>
          <w:highlight w:val="none"/>
        </w:rPr>
      </w:pPr>
      <w:r>
        <w:rPr>
          <w:rFonts w:hint="eastAsia" w:ascii="宋体" w:hAnsi="宋体" w:eastAsia="宋体" w:cs="宋体"/>
          <w:color w:val="auto"/>
          <w:kern w:val="0"/>
          <w:sz w:val="72"/>
          <w:highlight w:val="none"/>
        </w:rPr>
        <w:t>（报价文件）</w:t>
      </w:r>
    </w:p>
    <w:p>
      <w:pPr>
        <w:autoSpaceDE w:val="0"/>
        <w:autoSpaceDN w:val="0"/>
        <w:adjustRightInd w:val="0"/>
        <w:jc w:val="left"/>
        <w:rPr>
          <w:rFonts w:hint="eastAsia" w:ascii="宋体" w:hAnsi="宋体" w:eastAsia="宋体" w:cs="宋体"/>
          <w:color w:val="auto"/>
          <w:kern w:val="0"/>
          <w:sz w:val="16"/>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autoSpaceDE w:val="0"/>
        <w:autoSpaceDN w:val="0"/>
        <w:adjustRightInd w:val="0"/>
        <w:jc w:val="left"/>
        <w:rPr>
          <w:rFonts w:hint="eastAsia" w:ascii="宋体" w:hAnsi="宋体" w:eastAsia="宋体" w:cs="宋体"/>
          <w:color w:val="auto"/>
          <w:kern w:val="0"/>
          <w:sz w:val="20"/>
          <w:highlight w:val="none"/>
        </w:rPr>
      </w:pPr>
    </w:p>
    <w:p>
      <w:pPr>
        <w:tabs>
          <w:tab w:val="left" w:pos="6080"/>
          <w:tab w:val="left" w:pos="6640"/>
        </w:tabs>
        <w:autoSpaceDE w:val="0"/>
        <w:autoSpaceDN w:val="0"/>
        <w:adjustRightInd w:val="0"/>
        <w:ind w:right="403"/>
        <w:jc w:val="center"/>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供应商全称：</w:t>
      </w:r>
      <w:r>
        <w:rPr>
          <w:rFonts w:hint="eastAsia" w:ascii="宋体" w:hAnsi="宋体" w:eastAsia="宋体" w:cs="宋体"/>
          <w:color w:val="auto"/>
          <w:kern w:val="0"/>
          <w:sz w:val="28"/>
          <w:highlight w:val="none"/>
          <w:u w:val="single"/>
        </w:rPr>
        <w:t xml:space="preserve">                  </w:t>
      </w:r>
      <w:r>
        <w:rPr>
          <w:rFonts w:hint="eastAsia" w:ascii="宋体" w:hAnsi="宋体" w:eastAsia="宋体" w:cs="宋体"/>
          <w:color w:val="auto"/>
          <w:kern w:val="0"/>
          <w:sz w:val="28"/>
          <w:highlight w:val="none"/>
        </w:rPr>
        <w:t>（盖单位公章）</w:t>
      </w:r>
    </w:p>
    <w:p>
      <w:pPr>
        <w:tabs>
          <w:tab w:val="left" w:pos="6080"/>
          <w:tab w:val="left" w:pos="6640"/>
        </w:tabs>
        <w:autoSpaceDE w:val="0"/>
        <w:autoSpaceDN w:val="0"/>
        <w:adjustRightInd w:val="0"/>
        <w:ind w:right="403"/>
        <w:jc w:val="left"/>
        <w:rPr>
          <w:rFonts w:hint="eastAsia" w:ascii="宋体" w:hAnsi="宋体" w:eastAsia="宋体" w:cs="宋体"/>
          <w:color w:val="auto"/>
          <w:szCs w:val="21"/>
          <w:highlight w:val="none"/>
        </w:rPr>
      </w:pPr>
    </w:p>
    <w:p>
      <w:pPr>
        <w:tabs>
          <w:tab w:val="left" w:pos="3280"/>
          <w:tab w:val="left" w:pos="4680"/>
          <w:tab w:val="left" w:pos="6080"/>
        </w:tabs>
        <w:autoSpaceDE w:val="0"/>
        <w:autoSpaceDN w:val="0"/>
        <w:adjustRightInd w:val="0"/>
        <w:ind w:left="2173" w:leftChars="1035" w:right="-20" w:firstLine="826" w:firstLineChars="295"/>
        <w:jc w:val="left"/>
        <w:rPr>
          <w:rFonts w:hint="eastAsia" w:ascii="宋体" w:hAnsi="宋体" w:eastAsia="宋体" w:cs="宋体"/>
          <w:color w:val="auto"/>
          <w:kern w:val="0"/>
          <w:sz w:val="28"/>
          <w:highlight w:val="none"/>
        </w:rPr>
      </w:pPr>
      <w:r>
        <w:rPr>
          <w:rFonts w:hint="eastAsia" w:ascii="宋体" w:hAnsi="宋体" w:eastAsia="宋体" w:cs="宋体"/>
          <w:color w:val="auto"/>
          <w:kern w:val="0"/>
          <w:sz w:val="28"/>
          <w:highlight w:val="none"/>
        </w:rPr>
        <w:t>2023年  月  日</w:t>
      </w:r>
    </w:p>
    <w:p>
      <w:pPr>
        <w:tabs>
          <w:tab w:val="left" w:pos="6080"/>
          <w:tab w:val="left" w:pos="6640"/>
        </w:tabs>
        <w:autoSpaceDE w:val="0"/>
        <w:autoSpaceDN w:val="0"/>
        <w:adjustRightInd w:val="0"/>
        <w:ind w:right="403"/>
        <w:jc w:val="left"/>
        <w:rPr>
          <w:rFonts w:hint="eastAsia" w:ascii="宋体" w:hAnsi="宋体" w:eastAsia="宋体" w:cs="宋体"/>
          <w:color w:val="auto"/>
          <w:szCs w:val="21"/>
          <w:highlight w:val="none"/>
        </w:rPr>
      </w:pP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42" w:name="_Toc336683578"/>
      <w:bookmarkStart w:id="143" w:name="_Toc350453714"/>
      <w:bookmarkStart w:id="144" w:name="_Toc345575538"/>
      <w:r>
        <w:rPr>
          <w:rFonts w:hint="eastAsia" w:ascii="宋体" w:hAnsi="宋体" w:eastAsia="宋体" w:cs="宋体"/>
          <w:color w:val="auto"/>
          <w:highlight w:val="none"/>
        </w:rPr>
        <w:t>一、磋商响应函格式</w:t>
      </w:r>
      <w:bookmarkEnd w:id="142"/>
      <w:bookmarkEnd w:id="143"/>
      <w:bookmarkEnd w:id="144"/>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磋商响应函</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浙江省体育彩票管理中心</w:t>
      </w:r>
      <w:r>
        <w:rPr>
          <w:rFonts w:hint="eastAsia" w:ascii="宋体" w:hAnsi="宋体" w:eastAsia="宋体" w:cs="宋体"/>
          <w:color w:val="auto"/>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rPr>
        <w:t>浙江省成套招标代理有限公司：</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（供应商全称）     </w:t>
      </w:r>
      <w:r>
        <w:rPr>
          <w:rFonts w:hint="eastAsia" w:ascii="宋体" w:hAnsi="宋体" w:eastAsia="宋体" w:cs="宋体"/>
          <w:color w:val="auto"/>
          <w:highlight w:val="none"/>
        </w:rPr>
        <w:t>参加你方组织的</w:t>
      </w: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rPr>
        <w:t>（采购人）</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u w:val="single"/>
        </w:rPr>
        <w:t>项目</w:t>
      </w:r>
      <w:r>
        <w:rPr>
          <w:rFonts w:hint="eastAsia" w:ascii="宋体" w:hAnsi="宋体" w:eastAsia="宋体" w:cs="宋体"/>
          <w:color w:val="auto"/>
          <w:highlight w:val="none"/>
        </w:rPr>
        <w:t>（项目名称）</w:t>
      </w:r>
      <w:r>
        <w:rPr>
          <w:rFonts w:hint="eastAsia" w:ascii="宋体" w:hAnsi="宋体" w:cs="宋体"/>
          <w:color w:val="auto"/>
          <w:highlight w:val="none"/>
          <w:u w:val="single"/>
          <w:lang w:eastAsia="zh-CN"/>
        </w:rPr>
        <w:t>CTZB-2023110267</w:t>
      </w:r>
      <w:r>
        <w:rPr>
          <w:rFonts w:hint="eastAsia" w:ascii="宋体" w:hAnsi="宋体" w:eastAsia="宋体" w:cs="宋体"/>
          <w:color w:val="auto"/>
          <w:highlight w:val="none"/>
        </w:rPr>
        <w:t>（项目编号）的竞争性磋商采购活动，并对</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rPr>
        <w:t>（标项名称）进行磋商响应。为此我方：</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1、承诺在磋商须知规定的磋商响应文件提交截止日起遵守本磋商响应文件中的承诺，且在磋商响应文件有效期满之前均具有约束力。</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2、承诺已经具备本项目采购文件规定的参加本项目政府采购活动的供应商应当具备的资格条件。</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3、已详细审核全部采购文件，包括采购文件补充文件（如果有）、有关附件，确认无误。</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4、提供磋商须知规定的全部磋商响应文件。</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5、初次报价详见《初次报价一览表》。</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6、保证遵守采购文件中的其他有关规定。</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我公司自愿参加本项目的磋商，并保证响应文件中所列举的报价文件及相关资料和公司基本情况资料是真实的、合法的。愿意向你方提供任何与该项目磋商有关的数据、情况和技术资料。若你方需要，愿意提供我方做出的一切承诺的证明材料。</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8、保证忠实地执行双方所签订的合同，并承担合同规定的责任和义务。</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9、承诺不存在以下行为：</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a）提供虚假材料谋取中标、成交的；</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b）采取不正当手段诋毁、排挤其他供应商的；</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c）与采购人、其他供应商或者采购代理机构恶意串通的；</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d）向采购人、采购代理机构行贿或者提供其他不正当利益的；</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e）拒绝有关部门监督检查或提供虚假情况的。</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10、本磋商响应文件自磋商之日起120天内有效（如成交，顺延至合同结束）。</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11、承诺，磋商响应文件有效期内我单位如果撤销磋商响应文件的，我单位接受采购人提出的索赔。</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t>供应商全称：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（盖单位公章）</w:t>
      </w:r>
    </w:p>
    <w:p>
      <w:pPr>
        <w:rPr>
          <w:rFonts w:hint="eastAsia" w:ascii="宋体" w:hAnsi="宋体" w:eastAsia="宋体" w:cs="宋体"/>
          <w:color w:val="auto"/>
          <w:highlight w:val="none"/>
        </w:rPr>
      </w:pPr>
      <w:r>
        <w:rPr>
          <w:rFonts w:hint="eastAsia" w:ascii="宋体" w:hAnsi="宋体" w:eastAsia="宋体" w:cs="宋体"/>
          <w:color w:val="auto"/>
          <w:highlight w:val="none"/>
        </w:rPr>
        <w:t>日期：2023年  月  日</w:t>
      </w:r>
    </w:p>
    <w:p>
      <w:pPr>
        <w:rPr>
          <w:rFonts w:hint="eastAsia" w:ascii="宋体" w:hAnsi="宋体" w:eastAsia="宋体" w:cs="宋体"/>
          <w:color w:val="auto"/>
          <w:highlight w:val="none"/>
        </w:rPr>
      </w:pPr>
      <w:r>
        <w:rPr>
          <w:rFonts w:hint="eastAsia" w:ascii="宋体" w:hAnsi="宋体" w:eastAsia="宋体" w:cs="宋体"/>
          <w:color w:val="auto"/>
          <w:highlight w:val="none"/>
        </w:rPr>
        <w:t>单位地址：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邮编：</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传真：</w:t>
      </w:r>
      <w:r>
        <w:rPr>
          <w:rFonts w:hint="eastAsia" w:ascii="宋体" w:hAnsi="宋体" w:eastAsia="宋体" w:cs="宋体"/>
          <w:color w:val="auto"/>
          <w:highlight w:val="none"/>
          <w:u w:val="single"/>
        </w:rPr>
        <w:t xml:space="preserve">       </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45" w:name="_Toc345575539"/>
      <w:bookmarkStart w:id="146" w:name="_Toc350453715"/>
      <w:bookmarkStart w:id="147" w:name="_Toc336683579"/>
      <w:r>
        <w:rPr>
          <w:rFonts w:hint="eastAsia" w:ascii="宋体" w:hAnsi="宋体" w:eastAsia="宋体" w:cs="宋体"/>
          <w:color w:val="auto"/>
          <w:highlight w:val="none"/>
        </w:rPr>
        <w:t>二、初次报价一览表格式</w:t>
      </w:r>
      <w:bookmarkEnd w:id="145"/>
      <w:bookmarkEnd w:id="146"/>
      <w:bookmarkEnd w:id="147"/>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初次报价一览表</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采购人：</w:t>
      </w:r>
      <w:r>
        <w:rPr>
          <w:rFonts w:hint="eastAsia" w:ascii="宋体" w:hAnsi="宋体" w:eastAsia="宋体" w:cs="宋体"/>
          <w:color w:val="auto"/>
          <w:highlight w:val="none"/>
          <w:lang w:eastAsia="zh-CN"/>
        </w:rPr>
        <w:t>浙江省体育彩票管理中心</w:t>
      </w:r>
    </w:p>
    <w:p>
      <w:pPr>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cs="宋体"/>
          <w:color w:val="auto"/>
          <w:highlight w:val="none"/>
          <w:lang w:eastAsia="zh-CN"/>
        </w:rPr>
        <w:t>2024年体彩爱心小板凳活动</w:t>
      </w:r>
      <w:r>
        <w:rPr>
          <w:rFonts w:hint="eastAsia" w:ascii="宋体" w:hAnsi="宋体" w:eastAsia="宋体" w:cs="宋体"/>
          <w:color w:val="auto"/>
          <w:highlight w:val="none"/>
        </w:rPr>
        <w:t>项目</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项目编号：</w:t>
      </w:r>
      <w:r>
        <w:rPr>
          <w:rFonts w:hint="eastAsia" w:ascii="宋体" w:hAnsi="宋体" w:cs="宋体"/>
          <w:color w:val="auto"/>
          <w:highlight w:val="none"/>
          <w:lang w:eastAsia="zh-CN"/>
        </w:rPr>
        <w:t>CTZB-2023110267</w:t>
      </w:r>
    </w:p>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4107"/>
        <w:gridCol w:w="578"/>
        <w:gridCol w:w="693"/>
        <w:gridCol w:w="3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656" w:type="dxa"/>
            <w:vAlign w:val="center"/>
          </w:tcPr>
          <w:p>
            <w:pPr>
              <w:jc w:val="center"/>
              <w:rPr>
                <w:rFonts w:hint="eastAsia" w:ascii="宋体" w:hAnsi="宋体" w:eastAsia="宋体" w:cs="宋体"/>
                <w:bCs/>
                <w:color w:val="auto"/>
                <w:highlight w:val="none"/>
              </w:rPr>
            </w:pPr>
            <w:r>
              <w:rPr>
                <w:rFonts w:hint="eastAsia" w:ascii="宋体" w:hAnsi="宋体" w:eastAsia="宋体" w:cs="宋体"/>
                <w:bCs/>
                <w:color w:val="auto"/>
                <w:highlight w:val="none"/>
              </w:rPr>
              <w:t>序号</w:t>
            </w:r>
          </w:p>
        </w:tc>
        <w:tc>
          <w:tcPr>
            <w:tcW w:w="4066" w:type="dxa"/>
            <w:vAlign w:val="center"/>
          </w:tcPr>
          <w:p>
            <w:pPr>
              <w:jc w:val="center"/>
              <w:rPr>
                <w:rFonts w:hint="eastAsia" w:ascii="宋体" w:hAnsi="宋体" w:eastAsia="宋体" w:cs="宋体"/>
                <w:bCs/>
                <w:color w:val="auto"/>
                <w:highlight w:val="none"/>
              </w:rPr>
            </w:pPr>
            <w:r>
              <w:rPr>
                <w:rFonts w:hint="eastAsia" w:ascii="宋体" w:hAnsi="宋体" w:eastAsia="宋体" w:cs="宋体"/>
                <w:bCs/>
                <w:color w:val="auto"/>
                <w:highlight w:val="none"/>
              </w:rPr>
              <w:t>标项名称</w:t>
            </w:r>
          </w:p>
        </w:tc>
        <w:tc>
          <w:tcPr>
            <w:tcW w:w="700" w:type="dxa"/>
            <w:vAlign w:val="center"/>
          </w:tcPr>
          <w:p>
            <w:pPr>
              <w:jc w:val="center"/>
              <w:rPr>
                <w:rFonts w:hint="eastAsia" w:ascii="宋体" w:hAnsi="宋体" w:eastAsia="宋体" w:cs="宋体"/>
                <w:bCs/>
                <w:color w:val="auto"/>
                <w:highlight w:val="none"/>
              </w:rPr>
            </w:pPr>
            <w:r>
              <w:rPr>
                <w:rFonts w:hint="eastAsia" w:ascii="宋体" w:hAnsi="宋体" w:eastAsia="宋体" w:cs="宋体"/>
                <w:bCs/>
                <w:color w:val="auto"/>
                <w:highlight w:val="none"/>
              </w:rPr>
              <w:t>数量</w:t>
            </w:r>
          </w:p>
        </w:tc>
        <w:tc>
          <w:tcPr>
            <w:tcW w:w="700" w:type="dxa"/>
            <w:vAlign w:val="center"/>
          </w:tcPr>
          <w:p>
            <w:pPr>
              <w:jc w:val="center"/>
              <w:rPr>
                <w:rFonts w:hint="eastAsia" w:ascii="宋体" w:hAnsi="宋体" w:eastAsia="宋体" w:cs="宋体"/>
                <w:bCs/>
                <w:color w:val="auto"/>
                <w:highlight w:val="none"/>
              </w:rPr>
            </w:pPr>
            <w:r>
              <w:rPr>
                <w:rFonts w:hint="eastAsia" w:ascii="宋体" w:hAnsi="宋体" w:eastAsia="宋体" w:cs="宋体"/>
                <w:bCs/>
                <w:color w:val="auto"/>
                <w:highlight w:val="none"/>
              </w:rPr>
              <w:t>单位</w:t>
            </w:r>
          </w:p>
        </w:tc>
        <w:tc>
          <w:tcPr>
            <w:tcW w:w="3176" w:type="dxa"/>
            <w:vAlign w:val="center"/>
          </w:tcPr>
          <w:p>
            <w:pPr>
              <w:jc w:val="center"/>
              <w:rPr>
                <w:rFonts w:hint="eastAsia" w:ascii="宋体" w:hAnsi="宋体" w:eastAsia="宋体" w:cs="宋体"/>
                <w:bCs/>
                <w:color w:val="auto"/>
                <w:highlight w:val="none"/>
              </w:rPr>
            </w:pPr>
            <w:r>
              <w:rPr>
                <w:rFonts w:hint="eastAsia" w:ascii="宋体" w:hAnsi="宋体" w:eastAsia="宋体" w:cs="宋体"/>
                <w:bCs/>
                <w:color w:val="auto"/>
                <w:highlight w:val="none"/>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4066" w:type="dxa"/>
            <w:vAlign w:val="center"/>
          </w:tcPr>
          <w:p>
            <w:pPr>
              <w:widowControl/>
              <w:jc w:val="center"/>
              <w:rPr>
                <w:rFonts w:hint="eastAsia" w:ascii="宋体" w:hAnsi="宋体" w:eastAsia="宋体" w:cs="宋体"/>
                <w:color w:val="auto"/>
                <w:kern w:val="0"/>
                <w:szCs w:val="21"/>
                <w:highlight w:val="none"/>
                <w:lang w:eastAsia="zh-CN"/>
              </w:rPr>
            </w:pPr>
            <w:r>
              <w:rPr>
                <w:rFonts w:hint="eastAsia" w:ascii="宋体" w:hAnsi="宋体" w:cs="宋体"/>
                <w:color w:val="auto"/>
                <w:highlight w:val="none"/>
                <w:lang w:eastAsia="zh-CN"/>
              </w:rPr>
              <w:t>2024年体彩爱心小板凳活动</w:t>
            </w:r>
          </w:p>
        </w:tc>
        <w:tc>
          <w:tcPr>
            <w:tcW w:w="700" w:type="dxa"/>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w:t>
            </w:r>
          </w:p>
        </w:tc>
        <w:tc>
          <w:tcPr>
            <w:tcW w:w="700" w:type="dxa"/>
            <w:vAlign w:val="center"/>
          </w:tcPr>
          <w:p>
            <w:pPr>
              <w:widowControl/>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w:t>
            </w:r>
          </w:p>
        </w:tc>
        <w:tc>
          <w:tcPr>
            <w:tcW w:w="3176" w:type="dxa"/>
            <w:vAlign w:val="center"/>
          </w:tcPr>
          <w:p>
            <w:pPr>
              <w:jc w:val="center"/>
              <w:rPr>
                <w:rFonts w:hint="eastAsia" w:ascii="宋体" w:hAnsi="宋体" w:eastAsia="宋体" w:cs="宋体"/>
                <w:b/>
                <w:color w:val="auto"/>
                <w:highlight w:val="none"/>
              </w:rPr>
            </w:pPr>
            <w:r>
              <w:rPr>
                <w:rFonts w:hint="eastAsia" w:ascii="宋体" w:hAnsi="宋体" w:eastAsia="宋体" w:cs="宋体"/>
                <w:b/>
                <w:bCs/>
                <w:color w:val="auto"/>
                <w:highlight w:val="none"/>
              </w:rPr>
              <w:t>响应采购文件规定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jc w:val="center"/>
              <w:rPr>
                <w:rFonts w:hint="eastAsia" w:ascii="宋体" w:hAnsi="宋体" w:eastAsia="宋体" w:cs="宋体"/>
                <w:b/>
                <w:color w:val="auto"/>
                <w:highlight w:val="none"/>
              </w:rPr>
            </w:pPr>
            <w:r>
              <w:rPr>
                <w:rFonts w:hint="eastAsia" w:ascii="宋体" w:hAnsi="宋体" w:eastAsia="宋体" w:cs="宋体"/>
                <w:b/>
                <w:color w:val="auto"/>
                <w:highlight w:val="none"/>
              </w:rPr>
              <w:t>2</w:t>
            </w:r>
          </w:p>
        </w:tc>
        <w:tc>
          <w:tcPr>
            <w:tcW w:w="4066" w:type="dxa"/>
            <w:vAlign w:val="center"/>
          </w:tcPr>
          <w:p>
            <w:pPr>
              <w:jc w:val="center"/>
              <w:rPr>
                <w:rFonts w:hint="eastAsia" w:ascii="宋体" w:hAnsi="宋体" w:eastAsia="宋体" w:cs="宋体"/>
                <w:b/>
                <w:color w:val="auto"/>
                <w:highlight w:val="none"/>
              </w:rPr>
            </w:pPr>
            <w:r>
              <w:rPr>
                <w:rFonts w:hint="eastAsia" w:ascii="宋体" w:hAnsi="宋体" w:eastAsia="宋体" w:cs="宋体"/>
                <w:color w:val="auto"/>
                <w:highlight w:val="none"/>
              </w:rPr>
              <w:t>报价合计</w:t>
            </w:r>
          </w:p>
        </w:tc>
        <w:tc>
          <w:tcPr>
            <w:tcW w:w="4576" w:type="dxa"/>
            <w:gridSpan w:val="3"/>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小写：￥</w:t>
            </w:r>
          </w:p>
          <w:p>
            <w:pPr>
              <w:rPr>
                <w:rFonts w:hint="eastAsia" w:ascii="宋体" w:hAnsi="宋体" w:eastAsia="宋体" w:cs="宋体"/>
                <w:b/>
                <w:color w:val="auto"/>
                <w:highlight w:val="none"/>
              </w:rPr>
            </w:pPr>
            <w:r>
              <w:rPr>
                <w:rFonts w:hint="eastAsia" w:ascii="宋体" w:hAnsi="宋体" w:eastAsia="宋体" w:cs="宋体"/>
                <w:color w:val="auto"/>
                <w:highlight w:val="none"/>
              </w:rPr>
              <w:t>大写：人民币</w:t>
            </w:r>
          </w:p>
        </w:tc>
      </w:tr>
    </w:tbl>
    <w:p>
      <w:pPr>
        <w:adjustRightInd w:val="0"/>
        <w:ind w:firstLine="420" w:firstLineChars="200"/>
        <w:rPr>
          <w:rFonts w:hint="eastAsia" w:ascii="宋体" w:hAnsi="宋体" w:eastAsia="宋体" w:cs="宋体"/>
          <w:color w:val="auto"/>
          <w:szCs w:val="21"/>
          <w:highlight w:val="none"/>
        </w:rPr>
      </w:pPr>
    </w:p>
    <w:p>
      <w:pPr>
        <w:adjustRightInd w:val="0"/>
        <w:ind w:firstLine="420" w:firstLineChars="200"/>
        <w:rPr>
          <w:rFonts w:hint="eastAsia" w:ascii="宋体" w:hAnsi="宋体" w:eastAsia="宋体" w:cs="宋体"/>
          <w:color w:val="auto"/>
          <w:spacing w:val="20"/>
          <w:szCs w:val="21"/>
          <w:highlight w:val="none"/>
          <w:u w:val="single"/>
        </w:rPr>
      </w:pPr>
      <w:r>
        <w:rPr>
          <w:rFonts w:hint="eastAsia" w:ascii="宋体" w:hAnsi="宋体" w:eastAsia="宋体" w:cs="宋体"/>
          <w:color w:val="auto"/>
          <w:szCs w:val="21"/>
          <w:highlight w:val="none"/>
        </w:rPr>
        <w:t>供应商全称：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日期：2023年  月  日</w:t>
      </w:r>
    </w:p>
    <w:p>
      <w:pPr>
        <w:adjustRightInd w:val="0"/>
        <w:ind w:firstLine="420" w:firstLineChars="200"/>
        <w:rPr>
          <w:rFonts w:hint="eastAsia" w:ascii="宋体" w:hAnsi="宋体" w:eastAsia="宋体" w:cs="宋体"/>
          <w:color w:val="auto"/>
          <w:szCs w:val="21"/>
          <w:highlight w:val="none"/>
        </w:rPr>
      </w:pP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填写说明：</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（1）具体价格明细详见《初次报价组成明细表》。</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（2）大写金额与小写金额不一致时，以大写金额为准。</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48" w:name="_Toc336683580"/>
      <w:bookmarkStart w:id="149" w:name="_Toc350453716"/>
      <w:bookmarkStart w:id="150" w:name="_Toc345575540"/>
      <w:r>
        <w:rPr>
          <w:rFonts w:hint="eastAsia" w:ascii="宋体" w:hAnsi="宋体" w:eastAsia="宋体" w:cs="宋体"/>
          <w:color w:val="auto"/>
          <w:highlight w:val="none"/>
        </w:rPr>
        <w:t>三、初次报价组成明细表格式</w:t>
      </w:r>
      <w:bookmarkEnd w:id="148"/>
      <w:bookmarkEnd w:id="149"/>
      <w:bookmarkEnd w:id="150"/>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初次报价组成明细表</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采购人：</w:t>
      </w:r>
      <w:r>
        <w:rPr>
          <w:rFonts w:hint="eastAsia" w:ascii="宋体" w:hAnsi="宋体" w:eastAsia="宋体" w:cs="宋体"/>
          <w:color w:val="auto"/>
          <w:highlight w:val="none"/>
          <w:lang w:eastAsia="zh-CN"/>
        </w:rPr>
        <w:t>浙江省体育彩票管理中心</w:t>
      </w:r>
    </w:p>
    <w:p>
      <w:pPr>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cs="宋体"/>
          <w:color w:val="auto"/>
          <w:highlight w:val="none"/>
          <w:lang w:eastAsia="zh-CN"/>
        </w:rPr>
        <w:t>2024年体彩爱心小板凳活动</w:t>
      </w:r>
      <w:r>
        <w:rPr>
          <w:rFonts w:hint="eastAsia" w:ascii="宋体" w:hAnsi="宋体" w:eastAsia="宋体" w:cs="宋体"/>
          <w:color w:val="auto"/>
          <w:highlight w:val="none"/>
        </w:rPr>
        <w:t>项目</w:t>
      </w:r>
    </w:p>
    <w:p>
      <w:pPr>
        <w:rPr>
          <w:rFonts w:hint="eastAsia" w:ascii="宋体" w:hAnsi="宋体" w:eastAsia="宋体" w:cs="宋体"/>
          <w:color w:val="auto"/>
          <w:highlight w:val="none"/>
          <w:lang w:eastAsia="zh-CN"/>
        </w:rPr>
      </w:pPr>
      <w:r>
        <w:rPr>
          <w:rFonts w:hint="eastAsia" w:ascii="宋体" w:hAnsi="宋体" w:eastAsia="宋体" w:cs="宋体"/>
          <w:color w:val="auto"/>
          <w:highlight w:val="none"/>
        </w:rPr>
        <w:t>项目编号：</w:t>
      </w:r>
      <w:r>
        <w:rPr>
          <w:rFonts w:hint="eastAsia" w:ascii="宋体" w:hAnsi="宋体" w:cs="宋体"/>
          <w:color w:val="auto"/>
          <w:highlight w:val="none"/>
          <w:lang w:eastAsia="zh-CN"/>
        </w:rPr>
        <w:t>CTZB-2023110267</w:t>
      </w:r>
    </w:p>
    <w:p>
      <w:pPr>
        <w:rPr>
          <w:rFonts w:hint="eastAsia" w:ascii="宋体" w:hAnsi="宋体" w:eastAsia="宋体" w:cs="宋体"/>
          <w:color w:val="auto"/>
          <w:highlight w:val="none"/>
          <w:lang w:eastAsia="zh-CN"/>
        </w:rPr>
      </w:pPr>
      <w:r>
        <w:rPr>
          <w:rFonts w:hint="eastAsia" w:ascii="宋体" w:hAnsi="宋体" w:eastAsia="宋体" w:cs="宋体"/>
          <w:color w:val="auto"/>
          <w:szCs w:val="21"/>
          <w:highlight w:val="none"/>
        </w:rPr>
        <w:t>标项名称：</w:t>
      </w:r>
      <w:r>
        <w:rPr>
          <w:rFonts w:hint="eastAsia" w:ascii="宋体" w:hAnsi="宋体" w:cs="宋体"/>
          <w:color w:val="auto"/>
          <w:highlight w:val="none"/>
          <w:lang w:eastAsia="zh-CN"/>
        </w:rPr>
        <w:t>2024年体彩爱心小板凳活动</w:t>
      </w:r>
    </w:p>
    <w:p>
      <w:pPr>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（价格单位：元人民币）</w:t>
      </w:r>
    </w:p>
    <w:tbl>
      <w:tblPr>
        <w:tblStyle w:val="4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830"/>
        <w:gridCol w:w="1630"/>
        <w:gridCol w:w="741"/>
        <w:gridCol w:w="755"/>
        <w:gridCol w:w="1220"/>
        <w:gridCol w:w="1191"/>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1"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82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内容名称</w:t>
            </w:r>
          </w:p>
        </w:tc>
        <w:tc>
          <w:tcPr>
            <w:tcW w:w="162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内容描述</w:t>
            </w:r>
          </w:p>
        </w:tc>
        <w:tc>
          <w:tcPr>
            <w:tcW w:w="73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750"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单位</w:t>
            </w:r>
          </w:p>
        </w:tc>
        <w:tc>
          <w:tcPr>
            <w:tcW w:w="121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单价</w:t>
            </w:r>
          </w:p>
        </w:tc>
        <w:tc>
          <w:tcPr>
            <w:tcW w:w="1185"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合价</w:t>
            </w:r>
          </w:p>
        </w:tc>
        <w:tc>
          <w:tcPr>
            <w:tcW w:w="1252"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1" w:type="dxa"/>
            <w:vAlign w:val="center"/>
          </w:tcPr>
          <w:p>
            <w:pPr>
              <w:rPr>
                <w:rFonts w:hint="eastAsia" w:ascii="宋体" w:hAnsi="宋体" w:eastAsia="宋体" w:cs="宋体"/>
                <w:color w:val="auto"/>
                <w:highlight w:val="none"/>
              </w:rPr>
            </w:pPr>
          </w:p>
        </w:tc>
        <w:tc>
          <w:tcPr>
            <w:tcW w:w="1825" w:type="dxa"/>
            <w:vAlign w:val="center"/>
          </w:tcPr>
          <w:p>
            <w:pPr>
              <w:rPr>
                <w:rFonts w:hint="eastAsia" w:ascii="宋体" w:hAnsi="宋体" w:eastAsia="宋体" w:cs="宋体"/>
                <w:color w:val="auto"/>
                <w:highlight w:val="none"/>
              </w:rPr>
            </w:pPr>
          </w:p>
        </w:tc>
        <w:tc>
          <w:tcPr>
            <w:tcW w:w="1625" w:type="dxa"/>
            <w:vAlign w:val="center"/>
          </w:tcPr>
          <w:p>
            <w:pPr>
              <w:rPr>
                <w:rFonts w:hint="eastAsia" w:ascii="宋体" w:hAnsi="宋体" w:eastAsia="宋体" w:cs="宋体"/>
                <w:color w:val="auto"/>
                <w:highlight w:val="none"/>
              </w:rPr>
            </w:pPr>
          </w:p>
        </w:tc>
        <w:tc>
          <w:tcPr>
            <w:tcW w:w="735" w:type="dxa"/>
            <w:vAlign w:val="center"/>
          </w:tcPr>
          <w:p>
            <w:pPr>
              <w:rPr>
                <w:rFonts w:hint="eastAsia" w:ascii="宋体" w:hAnsi="宋体" w:eastAsia="宋体" w:cs="宋体"/>
                <w:color w:val="auto"/>
                <w:highlight w:val="none"/>
              </w:rPr>
            </w:pPr>
          </w:p>
        </w:tc>
        <w:tc>
          <w:tcPr>
            <w:tcW w:w="750" w:type="dxa"/>
            <w:vAlign w:val="center"/>
          </w:tcPr>
          <w:p>
            <w:pPr>
              <w:rPr>
                <w:rFonts w:hint="eastAsia" w:ascii="宋体" w:hAnsi="宋体" w:eastAsia="宋体" w:cs="宋体"/>
                <w:color w:val="auto"/>
                <w:highlight w:val="none"/>
              </w:rPr>
            </w:pPr>
          </w:p>
        </w:tc>
        <w:tc>
          <w:tcPr>
            <w:tcW w:w="1215" w:type="dxa"/>
            <w:vAlign w:val="center"/>
          </w:tcPr>
          <w:p>
            <w:pPr>
              <w:rPr>
                <w:rFonts w:hint="eastAsia" w:ascii="宋体" w:hAnsi="宋体" w:eastAsia="宋体" w:cs="宋体"/>
                <w:color w:val="auto"/>
                <w:highlight w:val="none"/>
              </w:rPr>
            </w:pPr>
          </w:p>
        </w:tc>
        <w:tc>
          <w:tcPr>
            <w:tcW w:w="1185" w:type="dxa"/>
          </w:tcPr>
          <w:p>
            <w:pPr>
              <w:rPr>
                <w:rFonts w:hint="eastAsia" w:ascii="宋体" w:hAnsi="宋体" w:eastAsia="宋体" w:cs="宋体"/>
                <w:color w:val="auto"/>
                <w:highlight w:val="none"/>
              </w:rPr>
            </w:pPr>
          </w:p>
        </w:tc>
        <w:tc>
          <w:tcPr>
            <w:tcW w:w="1252" w:type="dxa"/>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1" w:type="dxa"/>
            <w:vAlign w:val="center"/>
          </w:tcPr>
          <w:p>
            <w:pPr>
              <w:rPr>
                <w:rFonts w:hint="eastAsia" w:ascii="宋体" w:hAnsi="宋体" w:eastAsia="宋体" w:cs="宋体"/>
                <w:color w:val="auto"/>
                <w:highlight w:val="none"/>
              </w:rPr>
            </w:pPr>
          </w:p>
        </w:tc>
        <w:tc>
          <w:tcPr>
            <w:tcW w:w="1825" w:type="dxa"/>
            <w:vAlign w:val="center"/>
          </w:tcPr>
          <w:p>
            <w:pPr>
              <w:rPr>
                <w:rFonts w:hint="eastAsia" w:ascii="宋体" w:hAnsi="宋体" w:eastAsia="宋体" w:cs="宋体"/>
                <w:color w:val="auto"/>
                <w:highlight w:val="none"/>
              </w:rPr>
            </w:pPr>
          </w:p>
        </w:tc>
        <w:tc>
          <w:tcPr>
            <w:tcW w:w="1625" w:type="dxa"/>
            <w:vAlign w:val="center"/>
          </w:tcPr>
          <w:p>
            <w:pPr>
              <w:rPr>
                <w:rFonts w:hint="eastAsia" w:ascii="宋体" w:hAnsi="宋体" w:eastAsia="宋体" w:cs="宋体"/>
                <w:color w:val="auto"/>
                <w:highlight w:val="none"/>
              </w:rPr>
            </w:pPr>
          </w:p>
        </w:tc>
        <w:tc>
          <w:tcPr>
            <w:tcW w:w="735" w:type="dxa"/>
            <w:vAlign w:val="center"/>
          </w:tcPr>
          <w:p>
            <w:pPr>
              <w:rPr>
                <w:rFonts w:hint="eastAsia" w:ascii="宋体" w:hAnsi="宋体" w:eastAsia="宋体" w:cs="宋体"/>
                <w:color w:val="auto"/>
                <w:highlight w:val="none"/>
              </w:rPr>
            </w:pPr>
          </w:p>
        </w:tc>
        <w:tc>
          <w:tcPr>
            <w:tcW w:w="750" w:type="dxa"/>
            <w:vAlign w:val="center"/>
          </w:tcPr>
          <w:p>
            <w:pPr>
              <w:rPr>
                <w:rFonts w:hint="eastAsia" w:ascii="宋体" w:hAnsi="宋体" w:eastAsia="宋体" w:cs="宋体"/>
                <w:color w:val="auto"/>
                <w:highlight w:val="none"/>
              </w:rPr>
            </w:pPr>
          </w:p>
        </w:tc>
        <w:tc>
          <w:tcPr>
            <w:tcW w:w="1215" w:type="dxa"/>
            <w:vAlign w:val="center"/>
          </w:tcPr>
          <w:p>
            <w:pPr>
              <w:rPr>
                <w:rFonts w:hint="eastAsia" w:ascii="宋体" w:hAnsi="宋体" w:eastAsia="宋体" w:cs="宋体"/>
                <w:color w:val="auto"/>
                <w:highlight w:val="none"/>
              </w:rPr>
            </w:pPr>
          </w:p>
        </w:tc>
        <w:tc>
          <w:tcPr>
            <w:tcW w:w="1185" w:type="dxa"/>
          </w:tcPr>
          <w:p>
            <w:pPr>
              <w:rPr>
                <w:rFonts w:hint="eastAsia" w:ascii="宋体" w:hAnsi="宋体" w:eastAsia="宋体" w:cs="宋体"/>
                <w:color w:val="auto"/>
                <w:highlight w:val="none"/>
              </w:rPr>
            </w:pPr>
          </w:p>
        </w:tc>
        <w:tc>
          <w:tcPr>
            <w:tcW w:w="1252" w:type="dxa"/>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1" w:type="dxa"/>
            <w:vAlign w:val="center"/>
          </w:tcPr>
          <w:p>
            <w:pPr>
              <w:rPr>
                <w:rFonts w:hint="eastAsia" w:ascii="宋体" w:hAnsi="宋体" w:eastAsia="宋体" w:cs="宋体"/>
                <w:color w:val="auto"/>
                <w:highlight w:val="none"/>
              </w:rPr>
            </w:pPr>
          </w:p>
        </w:tc>
        <w:tc>
          <w:tcPr>
            <w:tcW w:w="1825" w:type="dxa"/>
            <w:vAlign w:val="center"/>
          </w:tcPr>
          <w:p>
            <w:pPr>
              <w:rPr>
                <w:rFonts w:hint="eastAsia" w:ascii="宋体" w:hAnsi="宋体" w:eastAsia="宋体" w:cs="宋体"/>
                <w:color w:val="auto"/>
                <w:highlight w:val="none"/>
              </w:rPr>
            </w:pPr>
          </w:p>
        </w:tc>
        <w:tc>
          <w:tcPr>
            <w:tcW w:w="1625" w:type="dxa"/>
            <w:vAlign w:val="center"/>
          </w:tcPr>
          <w:p>
            <w:pPr>
              <w:rPr>
                <w:rFonts w:hint="eastAsia" w:ascii="宋体" w:hAnsi="宋体" w:eastAsia="宋体" w:cs="宋体"/>
                <w:color w:val="auto"/>
                <w:highlight w:val="none"/>
              </w:rPr>
            </w:pPr>
          </w:p>
        </w:tc>
        <w:tc>
          <w:tcPr>
            <w:tcW w:w="735" w:type="dxa"/>
            <w:vAlign w:val="center"/>
          </w:tcPr>
          <w:p>
            <w:pPr>
              <w:rPr>
                <w:rFonts w:hint="eastAsia" w:ascii="宋体" w:hAnsi="宋体" w:eastAsia="宋体" w:cs="宋体"/>
                <w:color w:val="auto"/>
                <w:highlight w:val="none"/>
              </w:rPr>
            </w:pPr>
          </w:p>
        </w:tc>
        <w:tc>
          <w:tcPr>
            <w:tcW w:w="750" w:type="dxa"/>
            <w:vAlign w:val="center"/>
          </w:tcPr>
          <w:p>
            <w:pPr>
              <w:rPr>
                <w:rFonts w:hint="eastAsia" w:ascii="宋体" w:hAnsi="宋体" w:eastAsia="宋体" w:cs="宋体"/>
                <w:color w:val="auto"/>
                <w:highlight w:val="none"/>
              </w:rPr>
            </w:pPr>
          </w:p>
        </w:tc>
        <w:tc>
          <w:tcPr>
            <w:tcW w:w="1215" w:type="dxa"/>
            <w:vAlign w:val="center"/>
          </w:tcPr>
          <w:p>
            <w:pPr>
              <w:rPr>
                <w:rFonts w:hint="eastAsia" w:ascii="宋体" w:hAnsi="宋体" w:eastAsia="宋体" w:cs="宋体"/>
                <w:color w:val="auto"/>
                <w:highlight w:val="none"/>
              </w:rPr>
            </w:pPr>
          </w:p>
        </w:tc>
        <w:tc>
          <w:tcPr>
            <w:tcW w:w="1185" w:type="dxa"/>
          </w:tcPr>
          <w:p>
            <w:pPr>
              <w:rPr>
                <w:rFonts w:hint="eastAsia" w:ascii="宋体" w:hAnsi="宋体" w:eastAsia="宋体" w:cs="宋体"/>
                <w:color w:val="auto"/>
                <w:highlight w:val="none"/>
              </w:rPr>
            </w:pPr>
          </w:p>
        </w:tc>
        <w:tc>
          <w:tcPr>
            <w:tcW w:w="1252" w:type="dxa"/>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1" w:type="dxa"/>
            <w:vAlign w:val="center"/>
          </w:tcPr>
          <w:p>
            <w:pPr>
              <w:rPr>
                <w:rFonts w:hint="eastAsia" w:ascii="宋体" w:hAnsi="宋体" w:eastAsia="宋体" w:cs="宋体"/>
                <w:color w:val="auto"/>
                <w:highlight w:val="none"/>
              </w:rPr>
            </w:pPr>
          </w:p>
        </w:tc>
        <w:tc>
          <w:tcPr>
            <w:tcW w:w="1825" w:type="dxa"/>
            <w:vAlign w:val="center"/>
          </w:tcPr>
          <w:p>
            <w:pPr>
              <w:rPr>
                <w:rFonts w:hint="eastAsia" w:ascii="宋体" w:hAnsi="宋体" w:eastAsia="宋体" w:cs="宋体"/>
                <w:color w:val="auto"/>
                <w:highlight w:val="none"/>
              </w:rPr>
            </w:pPr>
          </w:p>
        </w:tc>
        <w:tc>
          <w:tcPr>
            <w:tcW w:w="1625" w:type="dxa"/>
            <w:vAlign w:val="center"/>
          </w:tcPr>
          <w:p>
            <w:pPr>
              <w:rPr>
                <w:rFonts w:hint="eastAsia" w:ascii="宋体" w:hAnsi="宋体" w:eastAsia="宋体" w:cs="宋体"/>
                <w:color w:val="auto"/>
                <w:highlight w:val="none"/>
              </w:rPr>
            </w:pPr>
          </w:p>
        </w:tc>
        <w:tc>
          <w:tcPr>
            <w:tcW w:w="735" w:type="dxa"/>
            <w:vAlign w:val="center"/>
          </w:tcPr>
          <w:p>
            <w:pPr>
              <w:rPr>
                <w:rFonts w:hint="eastAsia" w:ascii="宋体" w:hAnsi="宋体" w:eastAsia="宋体" w:cs="宋体"/>
                <w:color w:val="auto"/>
                <w:highlight w:val="none"/>
              </w:rPr>
            </w:pPr>
          </w:p>
        </w:tc>
        <w:tc>
          <w:tcPr>
            <w:tcW w:w="750" w:type="dxa"/>
            <w:vAlign w:val="center"/>
          </w:tcPr>
          <w:p>
            <w:pPr>
              <w:rPr>
                <w:rFonts w:hint="eastAsia" w:ascii="宋体" w:hAnsi="宋体" w:eastAsia="宋体" w:cs="宋体"/>
                <w:color w:val="auto"/>
                <w:highlight w:val="none"/>
              </w:rPr>
            </w:pPr>
          </w:p>
        </w:tc>
        <w:tc>
          <w:tcPr>
            <w:tcW w:w="1215" w:type="dxa"/>
            <w:vAlign w:val="center"/>
          </w:tcPr>
          <w:p>
            <w:pPr>
              <w:rPr>
                <w:rFonts w:hint="eastAsia" w:ascii="宋体" w:hAnsi="宋体" w:eastAsia="宋体" w:cs="宋体"/>
                <w:color w:val="auto"/>
                <w:highlight w:val="none"/>
              </w:rPr>
            </w:pPr>
          </w:p>
        </w:tc>
        <w:tc>
          <w:tcPr>
            <w:tcW w:w="1185" w:type="dxa"/>
          </w:tcPr>
          <w:p>
            <w:pPr>
              <w:rPr>
                <w:rFonts w:hint="eastAsia" w:ascii="宋体" w:hAnsi="宋体" w:eastAsia="宋体" w:cs="宋体"/>
                <w:color w:val="auto"/>
                <w:highlight w:val="none"/>
              </w:rPr>
            </w:pPr>
          </w:p>
        </w:tc>
        <w:tc>
          <w:tcPr>
            <w:tcW w:w="1252" w:type="dxa"/>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1" w:type="dxa"/>
            <w:vAlign w:val="center"/>
          </w:tcPr>
          <w:p>
            <w:pPr>
              <w:rPr>
                <w:rFonts w:hint="eastAsia" w:ascii="宋体" w:hAnsi="宋体" w:eastAsia="宋体" w:cs="宋体"/>
                <w:color w:val="auto"/>
                <w:highlight w:val="none"/>
              </w:rPr>
            </w:pPr>
          </w:p>
        </w:tc>
        <w:tc>
          <w:tcPr>
            <w:tcW w:w="6150" w:type="dxa"/>
            <w:gridSpan w:val="5"/>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合计（以上费用之和）</w:t>
            </w:r>
          </w:p>
        </w:tc>
        <w:tc>
          <w:tcPr>
            <w:tcW w:w="1185" w:type="dxa"/>
          </w:tcPr>
          <w:p>
            <w:pPr>
              <w:rPr>
                <w:rFonts w:hint="eastAsia" w:ascii="宋体" w:hAnsi="宋体" w:eastAsia="宋体" w:cs="宋体"/>
                <w:color w:val="auto"/>
                <w:highlight w:val="none"/>
              </w:rPr>
            </w:pPr>
          </w:p>
        </w:tc>
        <w:tc>
          <w:tcPr>
            <w:tcW w:w="1252" w:type="dxa"/>
            <w:vAlign w:val="center"/>
          </w:tcPr>
          <w:p>
            <w:pP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71" w:type="dxa"/>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其中</w:t>
            </w:r>
          </w:p>
        </w:tc>
        <w:tc>
          <w:tcPr>
            <w:tcW w:w="6150" w:type="dxa"/>
            <w:gridSpan w:val="5"/>
            <w:vAlign w:val="center"/>
          </w:tcPr>
          <w:p>
            <w:pPr>
              <w:rPr>
                <w:rFonts w:hint="eastAsia" w:ascii="宋体" w:hAnsi="宋体" w:eastAsia="宋体" w:cs="宋体"/>
                <w:color w:val="auto"/>
                <w:highlight w:val="none"/>
              </w:rPr>
            </w:pPr>
            <w:r>
              <w:rPr>
                <w:rFonts w:hint="eastAsia" w:ascii="宋体" w:hAnsi="宋体" w:eastAsia="宋体" w:cs="宋体"/>
                <w:color w:val="auto"/>
                <w:highlight w:val="none"/>
              </w:rPr>
              <w:t>小型、微型企业承接的金额</w:t>
            </w:r>
          </w:p>
        </w:tc>
        <w:tc>
          <w:tcPr>
            <w:tcW w:w="1185" w:type="dxa"/>
          </w:tcPr>
          <w:p>
            <w:pPr>
              <w:rPr>
                <w:rFonts w:hint="eastAsia" w:ascii="宋体" w:hAnsi="宋体" w:eastAsia="宋体" w:cs="宋体"/>
                <w:color w:val="auto"/>
                <w:highlight w:val="none"/>
              </w:rPr>
            </w:pPr>
          </w:p>
        </w:tc>
        <w:tc>
          <w:tcPr>
            <w:tcW w:w="1252" w:type="dxa"/>
            <w:vAlign w:val="center"/>
          </w:tcPr>
          <w:p>
            <w:pPr>
              <w:rPr>
                <w:rFonts w:hint="eastAsia" w:ascii="宋体" w:hAnsi="宋体" w:eastAsia="宋体" w:cs="宋体"/>
                <w:color w:val="auto"/>
                <w:highlight w:val="none"/>
              </w:rPr>
            </w:pPr>
          </w:p>
        </w:tc>
      </w:tr>
    </w:tbl>
    <w:p>
      <w:pPr>
        <w:pStyle w:val="20"/>
        <w:adjustRightInd w:val="0"/>
        <w:ind w:firstLine="480"/>
        <w:rPr>
          <w:rFonts w:hint="eastAsia" w:ascii="宋体" w:hAnsi="宋体" w:eastAsia="宋体" w:cs="宋体"/>
          <w:color w:val="auto"/>
          <w:highlight w:val="none"/>
        </w:rPr>
      </w:pP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供应商全称：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（盖单位公章）</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日期：2023年  月  日</w:t>
      </w:r>
    </w:p>
    <w:p>
      <w:pPr>
        <w:ind w:firstLine="420" w:firstLineChars="200"/>
        <w:rPr>
          <w:rFonts w:hint="eastAsia" w:ascii="宋体" w:hAnsi="宋体" w:eastAsia="宋体" w:cs="宋体"/>
          <w:color w:val="auto"/>
          <w:highlight w:val="none"/>
        </w:rPr>
      </w:pP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报价说明：</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（1）除甲方提供采购文件约定的内容外，其他均由乙方完成。</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（2）服务所使用的设备按设备使用费计入。</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（3）合计费用结转至初次报价一览表。</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（4）表中不得有给予采购人的赠品、回扣或者与本项目采购无关的其他商品、服务。</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（5）各分项报价应合理，且不得低于成本。</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（6）根据联合协议、分包意向协议内容，在备注栏填写承接主体。如供应商非联合体或不分包，不用填写。</w:t>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51" w:name="_Toc14797"/>
      <w:bookmarkStart w:id="152" w:name="_Toc28113"/>
      <w:r>
        <w:rPr>
          <w:rFonts w:hint="eastAsia" w:ascii="宋体" w:hAnsi="宋体" w:eastAsia="宋体" w:cs="宋体"/>
          <w:color w:val="auto"/>
          <w:highlight w:val="none"/>
        </w:rPr>
        <w:t>四、缴纳采购代理服务费承诺书</w:t>
      </w:r>
      <w:bookmarkEnd w:id="151"/>
      <w:bookmarkEnd w:id="152"/>
    </w:p>
    <w:p>
      <w:pPr>
        <w:adjustRightInd w:val="0"/>
        <w:ind w:firstLine="422"/>
        <w:jc w:val="center"/>
        <w:rPr>
          <w:rFonts w:hint="eastAsia" w:ascii="宋体" w:hAnsi="宋体" w:eastAsia="宋体" w:cs="宋体"/>
          <w:b/>
          <w:bCs/>
          <w:color w:val="auto"/>
          <w:sz w:val="24"/>
          <w:highlight w:val="none"/>
        </w:rPr>
      </w:pP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缴纳采购代理服务费承诺书</w:t>
      </w:r>
    </w:p>
    <w:p>
      <w:pPr>
        <w:adjustRightInd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浙江省成套招标代理有限公司：</w:t>
      </w:r>
    </w:p>
    <w:p>
      <w:pPr>
        <w:adjustRightInd w:val="0"/>
        <w:ind w:firstLine="420" w:firstLineChars="200"/>
        <w:rPr>
          <w:rFonts w:hint="eastAsia" w:ascii="宋体" w:hAnsi="宋体" w:eastAsia="宋体" w:cs="宋体"/>
          <w:color w:val="auto"/>
          <w:szCs w:val="21"/>
          <w:highlight w:val="none"/>
        </w:rPr>
      </w:pP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我单位在你公司组织的 </w:t>
      </w:r>
      <w:r>
        <w:rPr>
          <w:rFonts w:hint="eastAsia" w:ascii="宋体" w:hAnsi="宋体" w:eastAsia="宋体" w:cs="宋体"/>
          <w:color w:val="auto"/>
          <w:szCs w:val="21"/>
          <w:highlight w:val="none"/>
          <w:u w:val="single"/>
          <w:lang w:eastAsia="zh-CN"/>
        </w:rPr>
        <w:t>浙江省体育彩票管理中心</w:t>
      </w:r>
      <w:r>
        <w:rPr>
          <w:rFonts w:hint="eastAsia" w:ascii="宋体" w:hAnsi="宋体" w:eastAsia="宋体" w:cs="宋体"/>
          <w:color w:val="auto"/>
          <w:szCs w:val="21"/>
          <w:highlight w:val="none"/>
        </w:rPr>
        <w:t>（采购人）</w:t>
      </w:r>
      <w:r>
        <w:rPr>
          <w:rFonts w:hint="eastAsia" w:ascii="宋体" w:hAnsi="宋体" w:cs="宋体"/>
          <w:color w:val="auto"/>
          <w:szCs w:val="21"/>
          <w:highlight w:val="none"/>
          <w:u w:val="single"/>
          <w:lang w:eastAsia="zh-CN"/>
        </w:rPr>
        <w:t>2024年体彩爱心小板凳活动</w:t>
      </w:r>
      <w:r>
        <w:rPr>
          <w:rFonts w:hint="eastAsia" w:ascii="宋体" w:hAnsi="宋体" w:eastAsia="宋体" w:cs="宋体"/>
          <w:color w:val="auto"/>
          <w:szCs w:val="21"/>
          <w:highlight w:val="none"/>
          <w:u w:val="single"/>
        </w:rPr>
        <w:t>项目</w:t>
      </w:r>
      <w:r>
        <w:rPr>
          <w:rFonts w:hint="eastAsia" w:ascii="宋体" w:hAnsi="宋体" w:eastAsia="宋体" w:cs="宋体"/>
          <w:color w:val="auto"/>
          <w:szCs w:val="21"/>
          <w:highlight w:val="none"/>
        </w:rPr>
        <w:t>（项目名称）</w:t>
      </w:r>
      <w:r>
        <w:rPr>
          <w:rFonts w:hint="eastAsia" w:ascii="宋体" w:hAnsi="宋体" w:cs="宋体"/>
          <w:color w:val="auto"/>
          <w:szCs w:val="21"/>
          <w:highlight w:val="none"/>
          <w:u w:val="single"/>
          <w:lang w:eastAsia="zh-CN"/>
        </w:rPr>
        <w:t>CTZB-2023110267</w:t>
      </w:r>
      <w:r>
        <w:rPr>
          <w:rFonts w:hint="eastAsia" w:ascii="宋体" w:hAnsi="宋体" w:eastAsia="宋体" w:cs="宋体"/>
          <w:color w:val="auto"/>
          <w:szCs w:val="21"/>
          <w:highlight w:val="none"/>
        </w:rPr>
        <w:t>（项目编号）</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szCs w:val="21"/>
          <w:highlight w:val="none"/>
        </w:rPr>
        <w:t>（标项名称）的采购中若获成交，我单位保证按</w:t>
      </w:r>
      <w:r>
        <w:rPr>
          <w:rFonts w:hint="eastAsia" w:ascii="宋体" w:hAnsi="宋体" w:eastAsia="宋体" w:cs="宋体"/>
          <w:b/>
          <w:color w:val="auto"/>
          <w:szCs w:val="21"/>
          <w:highlight w:val="none"/>
        </w:rPr>
        <w:t>采购文件</w:t>
      </w:r>
      <w:r>
        <w:rPr>
          <w:rFonts w:hint="eastAsia" w:ascii="宋体" w:hAnsi="宋体" w:eastAsia="宋体" w:cs="宋体"/>
          <w:color w:val="auto"/>
          <w:szCs w:val="21"/>
          <w:highlight w:val="none"/>
        </w:rPr>
        <w:t>的规定，向你公司（即：浙江省成套招标代理有限公司）支付采购代理服务费。如我单位未按上述承诺支付采购代理服务费，你公司有权取消我单位成交资格，由此产生的一切法律后果和责任由我单位承担。我单位声明放弃对此提出任何异议和追索的权利。</w:t>
      </w:r>
    </w:p>
    <w:p>
      <w:pPr>
        <w:adjustRightInd w:val="0"/>
        <w:ind w:firstLine="420" w:firstLineChars="200"/>
        <w:rPr>
          <w:rFonts w:hint="eastAsia" w:ascii="宋体" w:hAnsi="宋体" w:eastAsia="宋体" w:cs="宋体"/>
          <w:color w:val="auto"/>
          <w:szCs w:val="21"/>
          <w:highlight w:val="none"/>
        </w:rPr>
      </w:pPr>
    </w:p>
    <w:p>
      <w:pPr>
        <w:pStyle w:val="20"/>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特此承诺。</w:t>
      </w:r>
    </w:p>
    <w:p>
      <w:pPr>
        <w:adjustRightInd w:val="0"/>
        <w:ind w:firstLine="420" w:firstLineChars="200"/>
        <w:rPr>
          <w:rFonts w:hint="eastAsia" w:ascii="宋体" w:hAnsi="宋体" w:eastAsia="宋体" w:cs="宋体"/>
          <w:color w:val="auto"/>
          <w:spacing w:val="20"/>
          <w:szCs w:val="21"/>
          <w:highlight w:val="none"/>
          <w:u w:val="single"/>
        </w:rPr>
      </w:pPr>
      <w:r>
        <w:rPr>
          <w:rFonts w:hint="eastAsia" w:ascii="宋体" w:hAnsi="宋体" w:eastAsia="宋体" w:cs="宋体"/>
          <w:color w:val="auto"/>
          <w:szCs w:val="21"/>
          <w:highlight w:val="none"/>
        </w:rPr>
        <w:t>供应商全称：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日期：2023年  月  日</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tabs>
          <w:tab w:val="left" w:pos="720"/>
        </w:tabs>
        <w:ind w:firstLine="420"/>
        <w:rPr>
          <w:rFonts w:hint="eastAsia" w:ascii="宋体" w:hAnsi="宋体" w:eastAsia="宋体" w:cs="宋体"/>
          <w:color w:val="auto"/>
          <w:highlight w:val="none"/>
        </w:rPr>
      </w:pPr>
      <w:r>
        <w:rPr>
          <w:rFonts w:hint="eastAsia" w:ascii="宋体" w:hAnsi="宋体" w:eastAsia="宋体" w:cs="宋体"/>
          <w:color w:val="auto"/>
          <w:highlight w:val="none"/>
        </w:rPr>
        <w:t>五、</w:t>
      </w:r>
      <w:r>
        <w:rPr>
          <w:rFonts w:hint="eastAsia" w:ascii="宋体" w:hAnsi="宋体" w:eastAsia="宋体" w:cs="宋体"/>
          <w:color w:val="auto"/>
          <w:szCs w:val="21"/>
          <w:highlight w:val="none"/>
        </w:rPr>
        <w:t>中小企业声明函/监狱企业声明函及其相关的充分的证明材料/残疾人福利性单位声明函。</w:t>
      </w: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中小企业声明函</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本公司（联合体）郑重声明，根据《政府采购促进中小企业发展管理办法》（财库﹝2020﹞46号）的规定，本公司（联合体）参加</w:t>
      </w: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rPr>
        <w:t>（采购人）</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u w:val="single"/>
        </w:rPr>
        <w:t>项目</w:t>
      </w:r>
      <w:r>
        <w:rPr>
          <w:rFonts w:hint="eastAsia" w:ascii="宋体" w:hAnsi="宋体" w:eastAsia="宋体" w:cs="宋体"/>
          <w:color w:val="auto"/>
          <w:highlight w:val="none"/>
        </w:rPr>
        <w:t>（项目名称）</w:t>
      </w:r>
      <w:r>
        <w:rPr>
          <w:rFonts w:hint="eastAsia" w:ascii="宋体" w:hAnsi="宋体" w:cs="宋体"/>
          <w:color w:val="auto"/>
          <w:highlight w:val="none"/>
          <w:u w:val="single"/>
          <w:lang w:eastAsia="zh-CN"/>
        </w:rPr>
        <w:t>CTZB-2023110267</w:t>
      </w:r>
      <w:r>
        <w:rPr>
          <w:rFonts w:hint="eastAsia" w:ascii="宋体" w:hAnsi="宋体" w:eastAsia="宋体" w:cs="宋体"/>
          <w:color w:val="auto"/>
          <w:highlight w:val="none"/>
        </w:rPr>
        <w:t>（项目编号）</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szCs w:val="21"/>
          <w:highlight w:val="none"/>
        </w:rPr>
        <w:t>（标项名称）采购活动，</w:t>
      </w:r>
      <w:r>
        <w:rPr>
          <w:rFonts w:hint="eastAsia" w:ascii="宋体" w:hAnsi="宋体" w:eastAsia="宋体" w:cs="宋体"/>
          <w:color w:val="auto"/>
          <w:highlight w:val="none"/>
        </w:rPr>
        <w:t>服务全部由符合政策要求的中小企业承接</w:t>
      </w:r>
      <w:r>
        <w:rPr>
          <w:rFonts w:hint="eastAsia" w:ascii="宋体" w:hAnsi="宋体" w:eastAsia="宋体" w:cs="宋体"/>
          <w:color w:val="auto"/>
          <w:szCs w:val="21"/>
          <w:highlight w:val="none"/>
        </w:rPr>
        <w:t>。</w:t>
      </w:r>
      <w:r>
        <w:rPr>
          <w:rFonts w:hint="eastAsia" w:ascii="宋体" w:hAnsi="宋体" w:eastAsia="宋体" w:cs="宋体"/>
          <w:color w:val="auto"/>
          <w:highlight w:val="none"/>
        </w:rPr>
        <w:t>相关企业（含联合体中的中小企业、签订分包意向协议的中小企业）</w:t>
      </w:r>
      <w:r>
        <w:rPr>
          <w:rFonts w:hint="eastAsia" w:ascii="宋体" w:hAnsi="宋体" w:eastAsia="宋体" w:cs="宋体"/>
          <w:color w:val="auto"/>
          <w:szCs w:val="21"/>
          <w:highlight w:val="none"/>
        </w:rPr>
        <w:t>的具体情况如下：</w:t>
      </w:r>
    </w:p>
    <w:tbl>
      <w:tblPr>
        <w:tblStyle w:val="46"/>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518"/>
        <w:gridCol w:w="1782"/>
        <w:gridCol w:w="1592"/>
        <w:gridCol w:w="889"/>
        <w:gridCol w:w="1075"/>
        <w:gridCol w:w="903"/>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9"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序号</w:t>
            </w:r>
          </w:p>
        </w:tc>
        <w:tc>
          <w:tcPr>
            <w:tcW w:w="1518"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标的名称</w:t>
            </w:r>
          </w:p>
        </w:tc>
        <w:tc>
          <w:tcPr>
            <w:tcW w:w="1782"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行业</w:t>
            </w:r>
          </w:p>
        </w:tc>
        <w:tc>
          <w:tcPr>
            <w:tcW w:w="1592"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承接企业名称</w:t>
            </w:r>
          </w:p>
        </w:tc>
        <w:tc>
          <w:tcPr>
            <w:tcW w:w="889"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从业人员人数</w:t>
            </w:r>
          </w:p>
        </w:tc>
        <w:tc>
          <w:tcPr>
            <w:tcW w:w="1075"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营业收入（万元）</w:t>
            </w:r>
          </w:p>
        </w:tc>
        <w:tc>
          <w:tcPr>
            <w:tcW w:w="903"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资产总额（万元）</w:t>
            </w:r>
          </w:p>
        </w:tc>
        <w:tc>
          <w:tcPr>
            <w:tcW w:w="903"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9" w:type="dxa"/>
            <w:vAlign w:val="center"/>
          </w:tcPr>
          <w:p>
            <w:pPr>
              <w:numPr>
                <w:ilvl w:val="0"/>
                <w:numId w:val="11"/>
              </w:numPr>
              <w:ind w:left="0" w:firstLine="0"/>
              <w:rPr>
                <w:rFonts w:hint="eastAsia" w:ascii="宋体" w:hAnsi="宋体" w:eastAsia="宋体" w:cs="宋体"/>
                <w:color w:val="auto"/>
                <w:sz w:val="18"/>
                <w:szCs w:val="18"/>
                <w:highlight w:val="none"/>
              </w:rPr>
            </w:pPr>
          </w:p>
        </w:tc>
        <w:tc>
          <w:tcPr>
            <w:tcW w:w="1518" w:type="dxa"/>
            <w:vAlign w:val="center"/>
          </w:tcPr>
          <w:p>
            <w:pPr>
              <w:widowControl/>
              <w:textAlignment w:val="center"/>
              <w:rPr>
                <w:rFonts w:hint="eastAsia" w:ascii="宋体" w:hAnsi="宋体" w:eastAsia="宋体" w:cs="宋体"/>
                <w:color w:val="auto"/>
                <w:sz w:val="18"/>
                <w:szCs w:val="18"/>
                <w:highlight w:val="none"/>
              </w:rPr>
            </w:pPr>
          </w:p>
        </w:tc>
        <w:tc>
          <w:tcPr>
            <w:tcW w:w="1782" w:type="dxa"/>
            <w:vAlign w:val="center"/>
          </w:tcPr>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租赁和商业服务业</w:t>
            </w:r>
          </w:p>
        </w:tc>
        <w:tc>
          <w:tcPr>
            <w:tcW w:w="1592" w:type="dxa"/>
            <w:vAlign w:val="center"/>
          </w:tcPr>
          <w:p>
            <w:pPr>
              <w:rPr>
                <w:rFonts w:hint="eastAsia" w:ascii="宋体" w:hAnsi="宋体" w:eastAsia="宋体" w:cs="宋体"/>
                <w:color w:val="auto"/>
                <w:sz w:val="18"/>
                <w:szCs w:val="18"/>
                <w:highlight w:val="none"/>
              </w:rPr>
            </w:pPr>
          </w:p>
        </w:tc>
        <w:tc>
          <w:tcPr>
            <w:tcW w:w="889" w:type="dxa"/>
            <w:vAlign w:val="center"/>
          </w:tcPr>
          <w:p>
            <w:pPr>
              <w:rPr>
                <w:rFonts w:hint="eastAsia" w:ascii="宋体" w:hAnsi="宋体" w:eastAsia="宋体" w:cs="宋体"/>
                <w:color w:val="auto"/>
                <w:sz w:val="18"/>
                <w:szCs w:val="18"/>
                <w:highlight w:val="none"/>
              </w:rPr>
            </w:pPr>
          </w:p>
        </w:tc>
        <w:tc>
          <w:tcPr>
            <w:tcW w:w="1075" w:type="dxa"/>
            <w:vAlign w:val="center"/>
          </w:tcPr>
          <w:p>
            <w:pPr>
              <w:rPr>
                <w:rFonts w:hint="eastAsia" w:ascii="宋体" w:hAnsi="宋体" w:eastAsia="宋体" w:cs="宋体"/>
                <w:color w:val="auto"/>
                <w:sz w:val="18"/>
                <w:szCs w:val="18"/>
                <w:highlight w:val="none"/>
              </w:rPr>
            </w:pPr>
          </w:p>
        </w:tc>
        <w:tc>
          <w:tcPr>
            <w:tcW w:w="903" w:type="dxa"/>
            <w:vAlign w:val="center"/>
          </w:tcPr>
          <w:p>
            <w:pPr>
              <w:rPr>
                <w:rFonts w:hint="eastAsia" w:ascii="宋体" w:hAnsi="宋体" w:eastAsia="宋体" w:cs="宋体"/>
                <w:color w:val="auto"/>
                <w:sz w:val="18"/>
                <w:szCs w:val="18"/>
                <w:highlight w:val="none"/>
              </w:rPr>
            </w:pPr>
          </w:p>
        </w:tc>
        <w:tc>
          <w:tcPr>
            <w:tcW w:w="903"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sym w:font="Wingdings 2" w:char="00A3"/>
            </w:r>
            <w:r>
              <w:rPr>
                <w:rFonts w:hint="eastAsia" w:ascii="宋体" w:hAnsi="宋体" w:eastAsia="宋体" w:cs="宋体"/>
                <w:color w:val="auto"/>
                <w:sz w:val="18"/>
                <w:szCs w:val="18"/>
                <w:highlight w:val="none"/>
              </w:rPr>
              <w:t>小型</w:t>
            </w:r>
          </w:p>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sym w:font="Wingdings 2" w:char="00A3"/>
            </w:r>
            <w:r>
              <w:rPr>
                <w:rFonts w:hint="eastAsia" w:ascii="宋体" w:hAnsi="宋体" w:eastAsia="宋体" w:cs="宋体"/>
                <w:color w:val="auto"/>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9" w:type="dxa"/>
            <w:vAlign w:val="center"/>
          </w:tcPr>
          <w:p>
            <w:pPr>
              <w:numPr>
                <w:ilvl w:val="0"/>
                <w:numId w:val="11"/>
              </w:numPr>
              <w:ind w:left="0" w:firstLine="0"/>
              <w:rPr>
                <w:rFonts w:hint="eastAsia" w:ascii="宋体" w:hAnsi="宋体" w:eastAsia="宋体" w:cs="宋体"/>
                <w:color w:val="auto"/>
                <w:sz w:val="18"/>
                <w:szCs w:val="18"/>
                <w:highlight w:val="none"/>
              </w:rPr>
            </w:pPr>
          </w:p>
        </w:tc>
        <w:tc>
          <w:tcPr>
            <w:tcW w:w="1518" w:type="dxa"/>
            <w:vAlign w:val="center"/>
          </w:tcPr>
          <w:p>
            <w:pPr>
              <w:widowControl/>
              <w:textAlignment w:val="center"/>
              <w:rPr>
                <w:rFonts w:hint="eastAsia" w:ascii="宋体" w:hAnsi="宋体" w:eastAsia="宋体" w:cs="宋体"/>
                <w:color w:val="auto"/>
                <w:sz w:val="18"/>
                <w:szCs w:val="18"/>
                <w:highlight w:val="none"/>
              </w:rPr>
            </w:pPr>
          </w:p>
        </w:tc>
        <w:tc>
          <w:tcPr>
            <w:tcW w:w="1782" w:type="dxa"/>
            <w:vAlign w:val="center"/>
          </w:tcPr>
          <w:p>
            <w:pP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租赁和商业服务业</w:t>
            </w:r>
          </w:p>
        </w:tc>
        <w:tc>
          <w:tcPr>
            <w:tcW w:w="1592" w:type="dxa"/>
            <w:vAlign w:val="center"/>
          </w:tcPr>
          <w:p>
            <w:pPr>
              <w:rPr>
                <w:rFonts w:hint="eastAsia" w:ascii="宋体" w:hAnsi="宋体" w:eastAsia="宋体" w:cs="宋体"/>
                <w:color w:val="auto"/>
                <w:sz w:val="18"/>
                <w:szCs w:val="18"/>
                <w:highlight w:val="none"/>
              </w:rPr>
            </w:pPr>
          </w:p>
        </w:tc>
        <w:tc>
          <w:tcPr>
            <w:tcW w:w="889" w:type="dxa"/>
            <w:vAlign w:val="center"/>
          </w:tcPr>
          <w:p>
            <w:pPr>
              <w:rPr>
                <w:rFonts w:hint="eastAsia" w:ascii="宋体" w:hAnsi="宋体" w:eastAsia="宋体" w:cs="宋体"/>
                <w:color w:val="auto"/>
                <w:sz w:val="18"/>
                <w:szCs w:val="18"/>
                <w:highlight w:val="none"/>
              </w:rPr>
            </w:pPr>
          </w:p>
        </w:tc>
        <w:tc>
          <w:tcPr>
            <w:tcW w:w="1075" w:type="dxa"/>
            <w:vAlign w:val="center"/>
          </w:tcPr>
          <w:p>
            <w:pPr>
              <w:rPr>
                <w:rFonts w:hint="eastAsia" w:ascii="宋体" w:hAnsi="宋体" w:eastAsia="宋体" w:cs="宋体"/>
                <w:color w:val="auto"/>
                <w:sz w:val="18"/>
                <w:szCs w:val="18"/>
                <w:highlight w:val="none"/>
              </w:rPr>
            </w:pPr>
          </w:p>
        </w:tc>
        <w:tc>
          <w:tcPr>
            <w:tcW w:w="903" w:type="dxa"/>
            <w:vAlign w:val="center"/>
          </w:tcPr>
          <w:p>
            <w:pPr>
              <w:rPr>
                <w:rFonts w:hint="eastAsia" w:ascii="宋体" w:hAnsi="宋体" w:eastAsia="宋体" w:cs="宋体"/>
                <w:color w:val="auto"/>
                <w:sz w:val="18"/>
                <w:szCs w:val="18"/>
                <w:highlight w:val="none"/>
              </w:rPr>
            </w:pPr>
          </w:p>
        </w:tc>
        <w:tc>
          <w:tcPr>
            <w:tcW w:w="903" w:type="dxa"/>
            <w:vAlign w:val="center"/>
          </w:tcPr>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sym w:font="Wingdings 2" w:char="00A3"/>
            </w:r>
            <w:r>
              <w:rPr>
                <w:rFonts w:hint="eastAsia" w:ascii="宋体" w:hAnsi="宋体" w:eastAsia="宋体" w:cs="宋体"/>
                <w:color w:val="auto"/>
                <w:sz w:val="18"/>
                <w:szCs w:val="18"/>
                <w:highlight w:val="none"/>
              </w:rPr>
              <w:t>小型</w:t>
            </w:r>
          </w:p>
          <w:p>
            <w:pP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sym w:font="Wingdings 2" w:char="00A3"/>
            </w:r>
            <w:r>
              <w:rPr>
                <w:rFonts w:hint="eastAsia" w:ascii="宋体" w:hAnsi="宋体" w:eastAsia="宋体" w:cs="宋体"/>
                <w:color w:val="auto"/>
                <w:sz w:val="18"/>
                <w:szCs w:val="18"/>
                <w:highlight w:val="none"/>
              </w:rPr>
              <w:t>微型</w:t>
            </w:r>
          </w:p>
        </w:tc>
      </w:tr>
    </w:tbl>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以上企业，不属于大企业的分支机构，不存在控股股东为大企业的情形，也不存在与大企业的负责人为同一人的情形。</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以上小型、微型企业，与承担本项目的其他供应商之间不存在直接控股、管理关系。</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本企业对上述声明内容的真实性负责。如有虚假，将依法承担相应责任。</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（盖章）</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日期：2023年  月  日</w:t>
      </w:r>
    </w:p>
    <w:p>
      <w:pPr>
        <w:ind w:firstLine="420" w:firstLineChars="200"/>
        <w:rPr>
          <w:rFonts w:hint="eastAsia" w:ascii="宋体" w:hAnsi="宋体" w:eastAsia="宋体" w:cs="宋体"/>
          <w:color w:val="auto"/>
          <w:szCs w:val="21"/>
          <w:highlight w:val="none"/>
        </w:rPr>
      </w:pP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（1）从业人员、营业收入、资产总额填报上一年度数据，无上一年度数据的新成立企业可不填报。</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（2）本项目仅对符合《政府采购促进中小企业发展管理办法》（财库﹝2020﹞46号）的规定的小型、微型企业进行价格扣除，不属于小型、微型企业，不用提供此函。</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（3）可采用工业和信息化部网站（https://www.miit.gov.cn/）中小企业规模类型自测小程序进行自测后填写。</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（4）应如实、完整填报从业人员、营业收入和资产总额等信息，并按照国务院批准的中小企业划型标准和采购标的所属行业，声明企业类型。否则不予认可。</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（5）标的名称见采购需求中的采购清单。</w:t>
      </w:r>
    </w:p>
    <w:p>
      <w:pPr>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（6）</w:t>
      </w:r>
      <w:r>
        <w:rPr>
          <w:rFonts w:hint="eastAsia" w:ascii="宋体" w:hAnsi="宋体" w:eastAsia="宋体" w:cs="宋体"/>
          <w:color w:val="auto"/>
          <w:highlight w:val="none"/>
        </w:rPr>
        <w:t>如联合体响应，提供联合协议书，格式见“采购文件附件”。如有分包，提供分包意向协议书，格式见“采购文件附件”。</w:t>
      </w:r>
    </w:p>
    <w:p>
      <w:pP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br w:type="page"/>
      </w: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监狱企业声明函</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本企业郑重声明，根据《关于政府采购支持监狱企业发展有关问题的通知》（财库[2014]68号）的规定，本企业为</w:t>
      </w:r>
      <w:r>
        <w:rPr>
          <w:rFonts w:hint="eastAsia" w:ascii="宋体" w:hAnsi="宋体" w:eastAsia="宋体" w:cs="宋体"/>
          <w:color w:val="auto"/>
          <w:szCs w:val="21"/>
          <w:highlight w:val="none"/>
          <w:u w:val="single"/>
        </w:rPr>
        <w:t>监狱企业</w:t>
      </w:r>
      <w:r>
        <w:rPr>
          <w:rFonts w:hint="eastAsia" w:ascii="宋体" w:hAnsi="宋体" w:eastAsia="宋体" w:cs="宋体"/>
          <w:color w:val="auto"/>
          <w:szCs w:val="21"/>
          <w:highlight w:val="none"/>
        </w:rPr>
        <w:t>。</w:t>
      </w:r>
    </w:p>
    <w:p>
      <w:pPr>
        <w:widowControl/>
        <w:adjustRightInd w:val="0"/>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根据上述标准，我企业属于</w:t>
      </w:r>
      <w:r>
        <w:rPr>
          <w:rFonts w:hint="eastAsia" w:ascii="宋体" w:hAnsi="宋体" w:eastAsia="宋体" w:cs="宋体"/>
          <w:color w:val="auto"/>
          <w:szCs w:val="21"/>
          <w:highlight w:val="none"/>
          <w:u w:val="single"/>
        </w:rPr>
        <w:t>监狱企业</w:t>
      </w:r>
      <w:r>
        <w:rPr>
          <w:rFonts w:hint="eastAsia" w:ascii="宋体" w:hAnsi="宋体" w:eastAsia="宋体" w:cs="宋体"/>
          <w:color w:val="auto"/>
          <w:szCs w:val="21"/>
          <w:highlight w:val="none"/>
        </w:rPr>
        <w:t>的理由为：</w:t>
      </w:r>
      <w:r>
        <w:rPr>
          <w:rFonts w:hint="eastAsia" w:ascii="宋体" w:hAnsi="宋体" w:eastAsia="宋体" w:cs="宋体"/>
          <w:color w:val="auto"/>
          <w:highlight w:val="none"/>
          <w:u w:val="single"/>
        </w:rPr>
        <w:t>【       】</w:t>
      </w:r>
      <w:r>
        <w:rPr>
          <w:rFonts w:hint="eastAsia" w:ascii="宋体" w:hAnsi="宋体" w:eastAsia="宋体" w:cs="宋体"/>
          <w:color w:val="auto"/>
          <w:szCs w:val="21"/>
          <w:highlight w:val="none"/>
        </w:rPr>
        <w:t>。</w:t>
      </w:r>
    </w:p>
    <w:p>
      <w:pPr>
        <w:widowControl/>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本企业参加</w:t>
      </w: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rPr>
        <w:t>（采购人）</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u w:val="single"/>
        </w:rPr>
        <w:t>项目</w:t>
      </w:r>
      <w:r>
        <w:rPr>
          <w:rFonts w:hint="eastAsia" w:ascii="宋体" w:hAnsi="宋体" w:eastAsia="宋体" w:cs="宋体"/>
          <w:color w:val="auto"/>
          <w:highlight w:val="none"/>
        </w:rPr>
        <w:t>（项目名称）</w:t>
      </w:r>
      <w:r>
        <w:rPr>
          <w:rFonts w:hint="eastAsia" w:ascii="宋体" w:hAnsi="宋体" w:cs="宋体"/>
          <w:color w:val="auto"/>
          <w:highlight w:val="none"/>
          <w:u w:val="single"/>
          <w:lang w:eastAsia="zh-CN"/>
        </w:rPr>
        <w:t>CTZB-2023110267</w:t>
      </w:r>
      <w:r>
        <w:rPr>
          <w:rFonts w:hint="eastAsia" w:ascii="宋体" w:hAnsi="宋体" w:eastAsia="宋体" w:cs="宋体"/>
          <w:color w:val="auto"/>
          <w:highlight w:val="none"/>
        </w:rPr>
        <w:t>（项目编号）</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szCs w:val="21"/>
          <w:highlight w:val="none"/>
        </w:rPr>
        <w:t>（标项名称）采购活动</w:t>
      </w:r>
      <w:r>
        <w:rPr>
          <w:rFonts w:hint="eastAsia" w:ascii="宋体" w:hAnsi="宋体" w:eastAsia="宋体" w:cs="宋体"/>
          <w:color w:val="auto"/>
          <w:spacing w:val="6"/>
          <w:szCs w:val="21"/>
          <w:highlight w:val="none"/>
        </w:rPr>
        <w:t>，</w:t>
      </w:r>
      <w:r>
        <w:rPr>
          <w:rFonts w:hint="eastAsia" w:ascii="宋体" w:hAnsi="宋体" w:eastAsia="宋体" w:cs="宋体"/>
          <w:color w:val="auto"/>
          <w:kern w:val="0"/>
          <w:szCs w:val="21"/>
          <w:highlight w:val="none"/>
        </w:rPr>
        <w:t>由本企业提供服务。</w:t>
      </w:r>
    </w:p>
    <w:p>
      <w:pPr>
        <w:widowControl/>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本企业对上述声明的真实性负责。如有虚假，将依法承担相应责任。</w:t>
      </w:r>
    </w:p>
    <w:p>
      <w:pPr>
        <w:adjustRightInd w:val="0"/>
        <w:ind w:firstLine="420" w:firstLineChars="200"/>
        <w:jc w:val="center"/>
        <w:rPr>
          <w:rFonts w:hint="eastAsia" w:ascii="宋体" w:hAnsi="宋体" w:eastAsia="宋体" w:cs="宋体"/>
          <w:color w:val="auto"/>
          <w:szCs w:val="21"/>
          <w:highlight w:val="none"/>
        </w:rPr>
      </w:pP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供应商全称：</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（盖单位公章）</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日期：2023年  月  日</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说明：</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rPr>
        <w:t>1）监狱企业参加政府采购活动时，应当提供由省级以上监狱管理局、戒毒管理局（含新疆生产建设兵团）出具的属于监狱企业的证明文件。</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kern w:val="0"/>
          <w:szCs w:val="21"/>
          <w:highlight w:val="none"/>
        </w:rPr>
        <w:t>2）</w:t>
      </w:r>
      <w:r>
        <w:rPr>
          <w:rFonts w:hint="eastAsia" w:ascii="宋体" w:hAnsi="宋体" w:eastAsia="宋体" w:cs="宋体"/>
          <w:b/>
          <w:bCs/>
          <w:color w:val="auto"/>
          <w:highlight w:val="none"/>
        </w:rPr>
        <w:t>以联合体形式参与采购活动，联合体的各方分别提供此声明函。不属于监狱企业，不用提供此函。</w:t>
      </w:r>
    </w:p>
    <w:p>
      <w:pPr>
        <w:rPr>
          <w:rFonts w:hint="eastAsia" w:ascii="宋体" w:hAnsi="宋体" w:eastAsia="宋体" w:cs="宋体"/>
          <w:color w:val="auto"/>
          <w:szCs w:val="21"/>
          <w:highlight w:val="none"/>
        </w:rPr>
      </w:pP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残疾人福利性单位声明函</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rPr>
        <w:t>（采购人）</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u w:val="single"/>
        </w:rPr>
        <w:t>项目</w:t>
      </w:r>
      <w:r>
        <w:rPr>
          <w:rFonts w:hint="eastAsia" w:ascii="宋体" w:hAnsi="宋体" w:eastAsia="宋体" w:cs="宋体"/>
          <w:color w:val="auto"/>
          <w:highlight w:val="none"/>
        </w:rPr>
        <w:t>（项目名称）</w:t>
      </w:r>
      <w:r>
        <w:rPr>
          <w:rFonts w:hint="eastAsia" w:ascii="宋体" w:hAnsi="宋体" w:cs="宋体"/>
          <w:color w:val="auto"/>
          <w:highlight w:val="none"/>
          <w:u w:val="single"/>
          <w:lang w:eastAsia="zh-CN"/>
        </w:rPr>
        <w:t>CTZB-2023110267</w:t>
      </w:r>
      <w:r>
        <w:rPr>
          <w:rFonts w:hint="eastAsia" w:ascii="宋体" w:hAnsi="宋体" w:eastAsia="宋体" w:cs="宋体"/>
          <w:color w:val="auto"/>
          <w:highlight w:val="none"/>
        </w:rPr>
        <w:t>（项目编号）</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szCs w:val="21"/>
          <w:highlight w:val="none"/>
        </w:rPr>
        <w:t>（标项名称）采购活动</w:t>
      </w:r>
      <w:r>
        <w:rPr>
          <w:rFonts w:hint="eastAsia" w:ascii="宋体" w:hAnsi="宋体" w:eastAsia="宋体" w:cs="宋体"/>
          <w:color w:val="auto"/>
          <w:spacing w:val="6"/>
          <w:szCs w:val="21"/>
          <w:highlight w:val="none"/>
        </w:rPr>
        <w:t>，</w:t>
      </w:r>
      <w:r>
        <w:rPr>
          <w:rFonts w:hint="eastAsia" w:ascii="宋体" w:hAnsi="宋体" w:eastAsia="宋体" w:cs="宋体"/>
          <w:color w:val="auto"/>
          <w:kern w:val="0"/>
          <w:szCs w:val="21"/>
          <w:highlight w:val="none"/>
        </w:rPr>
        <w:t>由本企业提供服务。</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本单位对上述声明的真实性负责。如有虚假，将依法承担相应责任。</w:t>
      </w:r>
    </w:p>
    <w:p>
      <w:pPr>
        <w:ind w:firstLine="444" w:firstLineChars="200"/>
        <w:rPr>
          <w:rFonts w:hint="eastAsia" w:ascii="宋体" w:hAnsi="宋体" w:eastAsia="宋体" w:cs="宋体"/>
          <w:color w:val="auto"/>
          <w:spacing w:val="6"/>
          <w:szCs w:val="21"/>
          <w:highlight w:val="none"/>
        </w:rPr>
      </w:pPr>
    </w:p>
    <w:p>
      <w:pPr>
        <w:ind w:firstLine="444" w:firstLineChars="200"/>
        <w:rPr>
          <w:rFonts w:hint="eastAsia" w:ascii="宋体" w:hAnsi="宋体" w:eastAsia="宋体" w:cs="宋体"/>
          <w:color w:val="auto"/>
          <w:spacing w:val="6"/>
          <w:szCs w:val="21"/>
          <w:highlight w:val="none"/>
        </w:rPr>
      </w:pP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供应商全称：</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（盖单位公章）</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日期：2023年  月  日</w:t>
      </w:r>
    </w:p>
    <w:p>
      <w:pPr>
        <w:ind w:firstLine="420" w:firstLineChars="200"/>
        <w:rPr>
          <w:rFonts w:hint="eastAsia" w:ascii="宋体" w:hAnsi="宋体" w:eastAsia="宋体" w:cs="宋体"/>
          <w:color w:val="auto"/>
          <w:szCs w:val="21"/>
          <w:highlight w:val="none"/>
        </w:rPr>
      </w:pP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p>
      <w:pPr>
        <w:ind w:firstLine="42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（1）以联合体形式参与采购活动，联合体的各方分别提供此声明函。不属于残疾人福利性单位声明函，不用提供此函。</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六、报价承诺</w:t>
      </w: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报价承诺</w:t>
      </w:r>
    </w:p>
    <w:p>
      <w:pPr>
        <w:autoSpaceDE w:val="0"/>
        <w:autoSpaceDN w:val="0"/>
        <w:textAlignment w:val="bottom"/>
        <w:rPr>
          <w:rFonts w:hint="eastAsia" w:ascii="宋体" w:hAnsi="宋体" w:eastAsia="宋体" w:cs="宋体"/>
          <w:color w:val="auto"/>
          <w:highlight w:val="none"/>
          <w:u w:val="single"/>
        </w:rPr>
      </w:pP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rPr>
        <w:t>：</w:t>
      </w:r>
    </w:p>
    <w:p>
      <w:pPr>
        <w:autoSpaceDE w:val="0"/>
        <w:autoSpaceDN w:val="0"/>
        <w:textAlignment w:val="bottom"/>
        <w:rPr>
          <w:rFonts w:hint="eastAsia" w:ascii="宋体" w:hAnsi="宋体" w:eastAsia="宋体" w:cs="宋体"/>
          <w:color w:val="auto"/>
          <w:szCs w:val="21"/>
          <w:highlight w:val="none"/>
        </w:rPr>
      </w:pPr>
      <w:r>
        <w:rPr>
          <w:rFonts w:hint="eastAsia" w:ascii="宋体" w:hAnsi="宋体" w:eastAsia="宋体" w:cs="宋体"/>
          <w:color w:val="auto"/>
          <w:highlight w:val="none"/>
          <w:u w:val="single"/>
        </w:rPr>
        <w:t>浙江省成套招标代理有限公司</w:t>
      </w:r>
      <w:r>
        <w:rPr>
          <w:rFonts w:hint="eastAsia" w:ascii="宋体" w:hAnsi="宋体" w:eastAsia="宋体" w:cs="宋体"/>
          <w:color w:val="auto"/>
          <w:highlight w:val="none"/>
        </w:rPr>
        <w:t>：</w:t>
      </w:r>
    </w:p>
    <w:p>
      <w:pPr>
        <w:autoSpaceDE w:val="0"/>
        <w:autoSpaceDN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我方参加</w:t>
      </w: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rPr>
        <w:t>（采购人）</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u w:val="single"/>
        </w:rPr>
        <w:t>项目</w:t>
      </w:r>
      <w:r>
        <w:rPr>
          <w:rFonts w:hint="eastAsia" w:ascii="宋体" w:hAnsi="宋体" w:eastAsia="宋体" w:cs="宋体"/>
          <w:color w:val="auto"/>
          <w:highlight w:val="none"/>
        </w:rPr>
        <w:t>（项目名称）</w:t>
      </w:r>
      <w:r>
        <w:rPr>
          <w:rFonts w:hint="eastAsia" w:ascii="宋体" w:hAnsi="宋体" w:cs="宋体"/>
          <w:color w:val="auto"/>
          <w:highlight w:val="none"/>
          <w:u w:val="single"/>
          <w:lang w:eastAsia="zh-CN"/>
        </w:rPr>
        <w:t>CTZB-2023110267</w:t>
      </w:r>
      <w:r>
        <w:rPr>
          <w:rFonts w:hint="eastAsia" w:ascii="宋体" w:hAnsi="宋体" w:eastAsia="宋体" w:cs="宋体"/>
          <w:color w:val="auto"/>
          <w:highlight w:val="none"/>
        </w:rPr>
        <w:t>（项目编号）</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rPr>
        <w:t>（标项名称）</w:t>
      </w:r>
      <w:r>
        <w:rPr>
          <w:rFonts w:hint="eastAsia" w:ascii="宋体" w:hAnsi="宋体" w:eastAsia="宋体" w:cs="宋体"/>
          <w:color w:val="auto"/>
          <w:szCs w:val="21"/>
          <w:highlight w:val="none"/>
        </w:rPr>
        <w:t>政府采购活动对报价进行以下承诺：</w:t>
      </w:r>
    </w:p>
    <w:p>
      <w:pPr>
        <w:autoSpaceDE w:val="0"/>
        <w:autoSpaceDN w:val="0"/>
        <w:ind w:firstLine="420" w:firstLineChars="200"/>
        <w:textAlignment w:val="bottom"/>
        <w:rPr>
          <w:rFonts w:hint="eastAsia" w:ascii="宋体" w:hAnsi="宋体" w:eastAsia="宋体" w:cs="宋体"/>
          <w:color w:val="auto"/>
          <w:szCs w:val="21"/>
          <w:highlight w:val="none"/>
        </w:rPr>
      </w:pPr>
      <w:r>
        <w:rPr>
          <w:rFonts w:hint="eastAsia" w:ascii="宋体" w:hAnsi="宋体" w:eastAsia="宋体" w:cs="宋体"/>
          <w:color w:val="auto"/>
          <w:szCs w:val="21"/>
          <w:highlight w:val="none"/>
        </w:rPr>
        <w:t>如我方在规定时间内未提交最后报价且未明确说明退出磋商，我方承诺将初次报价（为第一轮报价）作为最后报价。</w:t>
      </w:r>
    </w:p>
    <w:p>
      <w:pPr>
        <w:pStyle w:val="20"/>
        <w:adjustRightInd w:val="0"/>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特此承诺。</w:t>
      </w:r>
    </w:p>
    <w:p>
      <w:pPr>
        <w:autoSpaceDE w:val="0"/>
        <w:autoSpaceDN w:val="0"/>
        <w:ind w:firstLine="420" w:firstLineChars="200"/>
        <w:textAlignment w:val="bottom"/>
        <w:rPr>
          <w:rFonts w:hint="eastAsia" w:ascii="宋体" w:hAnsi="宋体" w:eastAsia="宋体" w:cs="宋体"/>
          <w:color w:val="auto"/>
          <w:szCs w:val="21"/>
          <w:highlight w:val="none"/>
        </w:rPr>
      </w:pP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供应商全称：</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（盖单位公章）</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日期：2023年  月  日</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
        <w:rPr>
          <w:rFonts w:hint="eastAsia" w:ascii="宋体" w:hAnsi="宋体" w:eastAsia="宋体" w:cs="宋体"/>
          <w:color w:val="auto"/>
          <w:highlight w:val="none"/>
        </w:rPr>
      </w:pPr>
      <w:bookmarkStart w:id="153" w:name="_Toc11075"/>
      <w:r>
        <w:rPr>
          <w:rFonts w:hint="eastAsia" w:ascii="宋体" w:hAnsi="宋体" w:eastAsia="宋体" w:cs="宋体"/>
          <w:color w:val="auto"/>
          <w:highlight w:val="none"/>
        </w:rPr>
        <w:t>第八章  采购文件附件</w:t>
      </w:r>
      <w:bookmarkEnd w:id="153"/>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【附件1】联合协议书</w:t>
      </w: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联合协议书</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u w:val="single"/>
        </w:rPr>
        <w:t>【联合体所有成员名称】</w:t>
      </w:r>
      <w:r>
        <w:rPr>
          <w:rFonts w:hint="eastAsia" w:ascii="宋体" w:hAnsi="宋体" w:eastAsia="宋体" w:cs="宋体"/>
          <w:color w:val="auto"/>
          <w:highlight w:val="none"/>
        </w:rPr>
        <w:t>自愿组成一个联合体，联合体名称为</w:t>
      </w:r>
      <w:r>
        <w:rPr>
          <w:rFonts w:hint="eastAsia" w:ascii="宋体" w:hAnsi="宋体" w:eastAsia="宋体" w:cs="宋体"/>
          <w:color w:val="auto"/>
          <w:highlight w:val="none"/>
          <w:u w:val="single"/>
        </w:rPr>
        <w:t>【联合体名称】</w:t>
      </w:r>
      <w:r>
        <w:rPr>
          <w:rFonts w:hint="eastAsia" w:ascii="宋体" w:hAnsi="宋体" w:eastAsia="宋体" w:cs="宋体"/>
          <w:color w:val="auto"/>
          <w:highlight w:val="none"/>
        </w:rPr>
        <w:t>，以一个供应商的身份参加</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u w:val="single"/>
        </w:rPr>
        <w:t>项目</w:t>
      </w:r>
      <w:r>
        <w:rPr>
          <w:rFonts w:hint="eastAsia" w:ascii="宋体" w:hAnsi="宋体" w:eastAsia="宋体" w:cs="宋体"/>
          <w:color w:val="auto"/>
          <w:highlight w:val="none"/>
        </w:rPr>
        <w:t>（项目名称）</w:t>
      </w:r>
      <w:r>
        <w:rPr>
          <w:rFonts w:hint="eastAsia" w:ascii="宋体" w:hAnsi="宋体" w:cs="宋体"/>
          <w:color w:val="auto"/>
          <w:highlight w:val="none"/>
          <w:u w:val="single"/>
          <w:lang w:eastAsia="zh-CN"/>
        </w:rPr>
        <w:t>CTZB-2023110267</w:t>
      </w:r>
      <w:r>
        <w:rPr>
          <w:rFonts w:hint="eastAsia" w:ascii="宋体" w:hAnsi="宋体" w:eastAsia="宋体" w:cs="宋体"/>
          <w:color w:val="auto"/>
          <w:highlight w:val="none"/>
        </w:rPr>
        <w:t>（项目编号）</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rPr>
        <w:t>（标项名称）响应。</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一、各方一致决定，</w:t>
      </w:r>
      <w:r>
        <w:rPr>
          <w:rFonts w:hint="eastAsia" w:ascii="宋体" w:hAnsi="宋体" w:eastAsia="宋体" w:cs="宋体"/>
          <w:color w:val="auto"/>
          <w:highlight w:val="none"/>
          <w:u w:val="single"/>
        </w:rPr>
        <w:t>【某联合体成员名称】</w:t>
      </w:r>
      <w:r>
        <w:rPr>
          <w:rFonts w:hint="eastAsia" w:ascii="宋体" w:hAnsi="宋体" w:eastAsia="宋体" w:cs="宋体"/>
          <w:color w:val="auto"/>
          <w:highlight w:val="none"/>
        </w:rPr>
        <w:t>为联合体主办单位，代表所有联合体成员负责提交响应文件、磋商和合同实施阶段的主办、协调工作。</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二、联合体主办单位或其签署的授权书载明的授权代表根据采购文件规定及响应内容而对采购人、采购代理机构所作的任何合法承诺，包括书面澄清及响应等均对联合体各成员方产生约束力。</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三、本次联合体分工如下：</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u w:val="single"/>
        </w:rPr>
        <w:t>【联合体其中一方成员名称】</w:t>
      </w:r>
      <w:r>
        <w:rPr>
          <w:rFonts w:hint="eastAsia" w:ascii="宋体" w:hAnsi="宋体" w:eastAsia="宋体" w:cs="宋体"/>
          <w:color w:val="auto"/>
          <w:highlight w:val="none"/>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u w:val="single"/>
        </w:rPr>
        <w:t>【联合体其中一方成员名称】</w:t>
      </w:r>
      <w:r>
        <w:rPr>
          <w:rFonts w:hint="eastAsia" w:ascii="宋体" w:hAnsi="宋体" w:eastAsia="宋体" w:cs="宋体"/>
          <w:color w:val="auto"/>
          <w:highlight w:val="none"/>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四、如果成交，联合体各成员方共同与采购人签订合同，并就采购合同约定的事项对采购人承担连带责任。</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五、有关本次联合响应的其他事宜：</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1.联合体各成员方不再单独参加或者与其他供应商另外组成联合体参加本项目的政府采购活动。</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2.联合体中有同类资质的各方按照联合体分工承担相同工作的，按照资质等级较低的供应商确定资质等级。</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3.本协议提交采购人、采购代理机构后，联合体各成员方不得以任何形式对上述内容进行修改或撤销。</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4.联合体各成员方按照采购文件的规定在响应文件中分别提交资格条件证明文件。</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5.如成交，本项目的采购代理服务费由联合体主办单位缴纳。</w:t>
      </w:r>
    </w:p>
    <w:p>
      <w:pPr>
        <w:ind w:firstLine="420" w:firstLineChars="200"/>
        <w:rPr>
          <w:rFonts w:hint="eastAsia" w:ascii="宋体" w:hAnsi="宋体" w:eastAsia="宋体" w:cs="宋体"/>
          <w:color w:val="auto"/>
          <w:highlight w:val="none"/>
        </w:rPr>
      </w:pP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联合体成员方（主办单位）：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（单位公章）</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签署日期：2023年   月   日</w:t>
      </w:r>
    </w:p>
    <w:p>
      <w:pPr>
        <w:ind w:firstLine="420" w:firstLineChars="200"/>
        <w:rPr>
          <w:rFonts w:hint="eastAsia" w:ascii="宋体" w:hAnsi="宋体" w:eastAsia="宋体" w:cs="宋体"/>
          <w:color w:val="auto"/>
          <w:highlight w:val="none"/>
        </w:rPr>
      </w:pP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联合体成员方（成员单位）：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（单位公章）</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签署日期：2023年   月   日</w:t>
      </w:r>
    </w:p>
    <w:p>
      <w:pPr>
        <w:ind w:firstLine="420" w:firstLineChars="200"/>
        <w:rPr>
          <w:rFonts w:hint="eastAsia" w:ascii="宋体" w:hAnsi="宋体" w:eastAsia="宋体" w:cs="宋体"/>
          <w:color w:val="auto"/>
          <w:highlight w:val="none"/>
        </w:rPr>
      </w:pP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联合体成员方（成员单位）：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（单位公章）</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签署日期：2023年   月   日</w:t>
      </w:r>
    </w:p>
    <w:p>
      <w:pPr>
        <w:ind w:firstLine="420" w:firstLineChars="200"/>
        <w:rPr>
          <w:rFonts w:hint="eastAsia" w:ascii="宋体" w:hAnsi="宋体" w:eastAsia="宋体" w:cs="宋体"/>
          <w:color w:val="auto"/>
          <w:highlight w:val="none"/>
        </w:rPr>
      </w:pP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说明：</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（1）本协议格式供参考。</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（2）联合体参加本项目应提供此联合协议书。</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【附件2】分包意向协议书</w:t>
      </w: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分包意向协议书</w:t>
      </w:r>
    </w:p>
    <w:p>
      <w:pPr>
        <w:rPr>
          <w:rFonts w:hint="eastAsia" w:ascii="宋体" w:hAnsi="宋体" w:eastAsia="宋体" w:cs="宋体"/>
          <w:color w:val="auto"/>
          <w:highlight w:val="none"/>
        </w:rPr>
      </w:pPr>
      <w:r>
        <w:rPr>
          <w:rFonts w:hint="eastAsia" w:ascii="宋体" w:hAnsi="宋体" w:eastAsia="宋体" w:cs="宋体"/>
          <w:color w:val="auto"/>
          <w:highlight w:val="none"/>
        </w:rPr>
        <w:t>甲方（供应商）：</w:t>
      </w:r>
      <w:r>
        <w:rPr>
          <w:rFonts w:hint="eastAsia" w:ascii="宋体" w:hAnsi="宋体" w:eastAsia="宋体" w:cs="宋体"/>
          <w:color w:val="auto"/>
          <w:highlight w:val="none"/>
          <w:u w:val="single"/>
        </w:rPr>
        <w:t>【            】</w:t>
      </w:r>
    </w:p>
    <w:p>
      <w:pPr>
        <w:rPr>
          <w:rFonts w:hint="eastAsia" w:ascii="宋体" w:hAnsi="宋体" w:eastAsia="宋体" w:cs="宋体"/>
          <w:color w:val="auto"/>
          <w:highlight w:val="none"/>
        </w:rPr>
      </w:pPr>
      <w:r>
        <w:rPr>
          <w:rFonts w:hint="eastAsia" w:ascii="宋体" w:hAnsi="宋体" w:eastAsia="宋体" w:cs="宋体"/>
          <w:color w:val="auto"/>
          <w:highlight w:val="none"/>
        </w:rPr>
        <w:t>乙方（分包供应商）：</w:t>
      </w:r>
      <w:r>
        <w:rPr>
          <w:rFonts w:hint="eastAsia" w:ascii="宋体" w:hAnsi="宋体" w:eastAsia="宋体" w:cs="宋体"/>
          <w:color w:val="auto"/>
          <w:highlight w:val="none"/>
          <w:u w:val="single"/>
        </w:rPr>
        <w:t>【            】</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各方经协商，就响应</w:t>
      </w: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rPr>
        <w:t>组织实施的</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u w:val="single"/>
        </w:rPr>
        <w:t>项目</w:t>
      </w:r>
      <w:r>
        <w:rPr>
          <w:rFonts w:hint="eastAsia" w:ascii="宋体" w:hAnsi="宋体" w:eastAsia="宋体" w:cs="宋体"/>
          <w:color w:val="auto"/>
          <w:highlight w:val="none"/>
        </w:rPr>
        <w:t>（项目名称）</w:t>
      </w:r>
      <w:r>
        <w:rPr>
          <w:rFonts w:hint="eastAsia" w:ascii="宋体" w:hAnsi="宋体" w:cs="宋体"/>
          <w:color w:val="auto"/>
          <w:highlight w:val="none"/>
          <w:u w:val="single"/>
          <w:lang w:eastAsia="zh-CN"/>
        </w:rPr>
        <w:t>CTZB-2023110267</w:t>
      </w:r>
      <w:r>
        <w:rPr>
          <w:rFonts w:hint="eastAsia" w:ascii="宋体" w:hAnsi="宋体" w:eastAsia="宋体" w:cs="宋体"/>
          <w:color w:val="auto"/>
          <w:highlight w:val="none"/>
        </w:rPr>
        <w:t>（项目编号）</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rPr>
        <w:t>（标项名称）的采购活动，达成如下分包意向协议：</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w:t>
      </w:r>
      <w:r>
        <w:rPr>
          <w:rFonts w:hint="eastAsia" w:ascii="宋体" w:hAnsi="宋体" w:eastAsia="宋体" w:cs="宋体"/>
          <w:color w:val="auto"/>
          <w:highlight w:val="none"/>
          <w:u w:val="single"/>
        </w:rPr>
        <w:t xml:space="preserve"> 甲方名称 </w:t>
      </w:r>
      <w:r>
        <w:rPr>
          <w:rFonts w:hint="eastAsia" w:ascii="宋体" w:hAnsi="宋体" w:eastAsia="宋体" w:cs="宋体"/>
          <w:color w:val="auto"/>
          <w:highlight w:val="none"/>
        </w:rPr>
        <w:t>】为</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u w:val="single"/>
        </w:rPr>
        <w:t>项目</w:t>
      </w:r>
      <w:r>
        <w:rPr>
          <w:rFonts w:hint="eastAsia" w:ascii="宋体" w:hAnsi="宋体" w:eastAsia="宋体" w:cs="宋体"/>
          <w:color w:val="auto"/>
          <w:highlight w:val="none"/>
        </w:rPr>
        <w:t>（项目名称）</w:t>
      </w:r>
      <w:r>
        <w:rPr>
          <w:rFonts w:hint="eastAsia" w:ascii="宋体" w:hAnsi="宋体" w:cs="宋体"/>
          <w:color w:val="auto"/>
          <w:highlight w:val="none"/>
          <w:u w:val="single"/>
          <w:lang w:eastAsia="zh-CN"/>
        </w:rPr>
        <w:t>CTZB-2023110267</w:t>
      </w:r>
      <w:r>
        <w:rPr>
          <w:rFonts w:hint="eastAsia" w:ascii="宋体" w:hAnsi="宋体" w:eastAsia="宋体" w:cs="宋体"/>
          <w:color w:val="auto"/>
          <w:highlight w:val="none"/>
        </w:rPr>
        <w:t>（项目编号）</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rPr>
        <w:t>（标项名称）的供应商，参与项目的响应、磋商并签订合同。</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二、根据采购文件规定，甲方有意向将本项目中的非主体、非关键性工作分包给乙方实施。乙方有意向承接此部分分包内容。</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三、甲方就采购项目和分包内容向采购人负责，乙方就分包内容承担责任。</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四、甲方要求乙方承担分包内容，不得再分包给其他单位。</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五、乙方承担的工作和义务为：</w:t>
      </w:r>
      <w:r>
        <w:rPr>
          <w:rFonts w:hint="eastAsia" w:ascii="宋体" w:hAnsi="宋体" w:eastAsia="宋体" w:cs="宋体"/>
          <w:color w:val="auto"/>
          <w:highlight w:val="none"/>
          <w:u w:val="single"/>
        </w:rPr>
        <w:t>【            】</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六、本协议提交采购人后，协议各方不得以任何形式对上述实质内容进行修改或撤销。</w:t>
      </w:r>
    </w:p>
    <w:tbl>
      <w:tblPr>
        <w:tblStyle w:val="4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01"/>
        <w:gridCol w:w="4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01" w:type="dxa"/>
          </w:tcPr>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甲方（供应商）：</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（单位公章）</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签署日期：2023年   月   日</w:t>
            </w:r>
          </w:p>
        </w:tc>
        <w:tc>
          <w:tcPr>
            <w:tcW w:w="4701" w:type="dxa"/>
          </w:tcPr>
          <w:p>
            <w:pPr>
              <w:rPr>
                <w:rFonts w:hint="eastAsia" w:ascii="宋体" w:hAnsi="宋体" w:eastAsia="宋体" w:cs="宋体"/>
                <w:color w:val="auto"/>
                <w:highlight w:val="none"/>
              </w:rPr>
            </w:pPr>
            <w:r>
              <w:rPr>
                <w:rFonts w:hint="eastAsia" w:ascii="宋体" w:hAnsi="宋体" w:eastAsia="宋体" w:cs="宋体"/>
                <w:color w:val="auto"/>
                <w:highlight w:val="none"/>
              </w:rPr>
              <w:t>乙方（分包供应商）：</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（单位公章）</w:t>
            </w:r>
          </w:p>
          <w:p>
            <w:pPr>
              <w:rPr>
                <w:rFonts w:hint="eastAsia" w:ascii="宋体" w:hAnsi="宋体" w:eastAsia="宋体" w:cs="宋体"/>
                <w:color w:val="auto"/>
                <w:highlight w:val="none"/>
              </w:rPr>
            </w:pPr>
            <w:r>
              <w:rPr>
                <w:rFonts w:hint="eastAsia" w:ascii="宋体" w:hAnsi="宋体" w:eastAsia="宋体" w:cs="宋体"/>
                <w:color w:val="auto"/>
                <w:highlight w:val="none"/>
              </w:rPr>
              <w:t>签署日期：2023年   月   日</w:t>
            </w:r>
          </w:p>
        </w:tc>
      </w:tr>
    </w:tbl>
    <w:p>
      <w:pPr>
        <w:rPr>
          <w:rFonts w:hint="eastAsia" w:ascii="宋体" w:hAnsi="宋体" w:eastAsia="宋体" w:cs="宋体"/>
          <w:color w:val="auto"/>
          <w:highlight w:val="none"/>
        </w:rPr>
      </w:pPr>
      <w:r>
        <w:rPr>
          <w:rFonts w:hint="eastAsia" w:ascii="宋体" w:hAnsi="宋体" w:eastAsia="宋体" w:cs="宋体"/>
          <w:color w:val="auto"/>
          <w:highlight w:val="none"/>
        </w:rPr>
        <w:t>说明：</w:t>
      </w:r>
    </w:p>
    <w:p>
      <w:pPr>
        <w:rPr>
          <w:rFonts w:hint="eastAsia" w:ascii="宋体" w:hAnsi="宋体" w:eastAsia="宋体" w:cs="宋体"/>
          <w:color w:val="auto"/>
          <w:highlight w:val="none"/>
        </w:rPr>
      </w:pPr>
      <w:r>
        <w:rPr>
          <w:rFonts w:hint="eastAsia" w:ascii="宋体" w:hAnsi="宋体" w:eastAsia="宋体" w:cs="宋体"/>
          <w:color w:val="auto"/>
          <w:highlight w:val="none"/>
        </w:rPr>
        <w:t>（1）本协议格式供参考。</w:t>
      </w:r>
    </w:p>
    <w:p>
      <w:pPr>
        <w:rPr>
          <w:rFonts w:hint="eastAsia" w:ascii="宋体" w:hAnsi="宋体" w:eastAsia="宋体" w:cs="宋体"/>
          <w:color w:val="auto"/>
          <w:highlight w:val="none"/>
        </w:rPr>
      </w:pPr>
      <w:r>
        <w:rPr>
          <w:rFonts w:hint="eastAsia" w:ascii="宋体" w:hAnsi="宋体" w:eastAsia="宋体" w:cs="宋体"/>
          <w:color w:val="auto"/>
          <w:highlight w:val="none"/>
        </w:rPr>
        <w:t>（2）如有分包应提供此协议书。</w:t>
      </w:r>
    </w:p>
    <w:p>
      <w:pPr>
        <w:rPr>
          <w:rFonts w:hint="eastAsia" w:ascii="宋体" w:hAnsi="宋体" w:eastAsia="宋体" w:cs="宋体"/>
          <w:color w:val="auto"/>
          <w:highlight w:val="none"/>
        </w:rPr>
      </w:pPr>
      <w:r>
        <w:rPr>
          <w:rFonts w:hint="eastAsia" w:ascii="宋体" w:hAnsi="宋体" w:eastAsia="宋体" w:cs="宋体"/>
          <w:color w:val="auto"/>
          <w:highlight w:val="none"/>
        </w:rPr>
        <w:t>（3）如供应商为联合体，应由所有联合体各成员方签署本协议。</w:t>
      </w:r>
    </w:p>
    <w:p>
      <w:pPr>
        <w:rPr>
          <w:rFonts w:hint="eastAsia" w:ascii="宋体" w:hAnsi="宋体" w:eastAsia="宋体" w:cs="宋体"/>
          <w:color w:val="auto"/>
          <w:highlight w:val="none"/>
        </w:rPr>
      </w:pPr>
      <w:r>
        <w:rPr>
          <w:rFonts w:hint="eastAsia" w:ascii="宋体" w:hAnsi="宋体" w:eastAsia="宋体" w:cs="宋体"/>
          <w:color w:val="auto"/>
          <w:highlight w:val="none"/>
        </w:rPr>
        <w:t>（4）涉及分包供应商情况资料。</w:t>
      </w:r>
    </w:p>
    <w:p>
      <w:pPr>
        <w:rPr>
          <w:rFonts w:hint="eastAsia" w:ascii="宋体" w:hAnsi="宋体" w:eastAsia="宋体" w:cs="宋体"/>
          <w:color w:val="auto"/>
          <w:highlight w:val="none"/>
        </w:rPr>
      </w:pPr>
      <w:r>
        <w:rPr>
          <w:rFonts w:hint="eastAsia" w:ascii="宋体" w:hAnsi="宋体" w:eastAsia="宋体" w:cs="宋体"/>
          <w:color w:val="auto"/>
          <w:highlight w:val="none"/>
        </w:rPr>
        <w:t>◇资质文件（如采购文件规定要提供）；</w:t>
      </w:r>
    </w:p>
    <w:p>
      <w:pPr>
        <w:rPr>
          <w:rFonts w:hint="eastAsia" w:ascii="宋体" w:hAnsi="宋体" w:eastAsia="宋体" w:cs="宋体"/>
          <w:color w:val="auto"/>
          <w:highlight w:val="none"/>
        </w:rPr>
      </w:pPr>
      <w:r>
        <w:rPr>
          <w:rFonts w:hint="eastAsia" w:ascii="宋体" w:hAnsi="宋体" w:eastAsia="宋体" w:cs="宋体"/>
          <w:color w:val="auto"/>
          <w:highlight w:val="none"/>
        </w:rPr>
        <w:t>◇符合资格条件的声明函</w:t>
      </w: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符合资格条件的声明函</w:t>
      </w:r>
    </w:p>
    <w:p>
      <w:pPr>
        <w:rPr>
          <w:rFonts w:hint="eastAsia" w:ascii="宋体" w:hAnsi="宋体" w:eastAsia="宋体" w:cs="宋体"/>
          <w:color w:val="auto"/>
          <w:highlight w:val="none"/>
          <w:u w:val="single"/>
        </w:rPr>
      </w:pP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u w:val="single"/>
        </w:rPr>
        <w:t>：</w:t>
      </w:r>
    </w:p>
    <w:p>
      <w:pPr>
        <w:rPr>
          <w:rFonts w:hint="eastAsia" w:ascii="宋体" w:hAnsi="宋体" w:eastAsia="宋体" w:cs="宋体"/>
          <w:color w:val="auto"/>
          <w:kern w:val="0"/>
          <w:szCs w:val="21"/>
          <w:highlight w:val="none"/>
        </w:rPr>
      </w:pPr>
      <w:r>
        <w:rPr>
          <w:rFonts w:hint="eastAsia" w:ascii="宋体" w:hAnsi="宋体" w:eastAsia="宋体" w:cs="宋体"/>
          <w:color w:val="auto"/>
          <w:highlight w:val="none"/>
          <w:u w:val="single"/>
        </w:rPr>
        <w:t>浙江省成套招标代理有限公司</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截至</w:t>
      </w: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rPr>
        <w:t>（采购人）</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u w:val="single"/>
        </w:rPr>
        <w:t>项目</w:t>
      </w:r>
      <w:r>
        <w:rPr>
          <w:rFonts w:hint="eastAsia" w:ascii="宋体" w:hAnsi="宋体" w:eastAsia="宋体" w:cs="宋体"/>
          <w:color w:val="auto"/>
          <w:highlight w:val="none"/>
        </w:rPr>
        <w:t>（项目名称）</w:t>
      </w:r>
      <w:r>
        <w:rPr>
          <w:rFonts w:hint="eastAsia" w:ascii="宋体" w:hAnsi="宋体" w:cs="宋体"/>
          <w:color w:val="auto"/>
          <w:highlight w:val="none"/>
          <w:u w:val="single"/>
          <w:lang w:eastAsia="zh-CN"/>
        </w:rPr>
        <w:t>CTZB-2023110267</w:t>
      </w:r>
      <w:r>
        <w:rPr>
          <w:rFonts w:hint="eastAsia" w:ascii="宋体" w:hAnsi="宋体" w:eastAsia="宋体" w:cs="宋体"/>
          <w:color w:val="auto"/>
          <w:highlight w:val="none"/>
        </w:rPr>
        <w:t>（项目编号）</w:t>
      </w:r>
      <w:r>
        <w:rPr>
          <w:rFonts w:hint="eastAsia" w:ascii="宋体" w:hAnsi="宋体" w:cs="宋体"/>
          <w:color w:val="auto"/>
          <w:kern w:val="0"/>
          <w:szCs w:val="21"/>
          <w:highlight w:val="none"/>
          <w:u w:val="single"/>
          <w:lang w:eastAsia="zh-CN"/>
        </w:rPr>
        <w:t>2024年体彩爱心小板凳活动</w:t>
      </w:r>
      <w:r>
        <w:rPr>
          <w:rFonts w:hint="eastAsia" w:ascii="宋体" w:hAnsi="宋体" w:eastAsia="宋体" w:cs="宋体"/>
          <w:color w:val="auto"/>
          <w:kern w:val="0"/>
          <w:szCs w:val="21"/>
          <w:highlight w:val="none"/>
        </w:rPr>
        <w:t>（标项名称）</w:t>
      </w:r>
      <w:r>
        <w:rPr>
          <w:rFonts w:hint="eastAsia" w:ascii="宋体" w:hAnsi="宋体" w:eastAsia="宋体" w:cs="宋体"/>
          <w:color w:val="auto"/>
          <w:highlight w:val="none"/>
        </w:rPr>
        <w:t>的</w:t>
      </w:r>
      <w:r>
        <w:rPr>
          <w:rFonts w:hint="eastAsia" w:ascii="宋体" w:hAnsi="宋体" w:eastAsia="宋体" w:cs="宋体"/>
          <w:color w:val="auto"/>
          <w:szCs w:val="21"/>
          <w:highlight w:val="none"/>
        </w:rPr>
        <w:t>磋商响应文件提交截止时间，具有良好的商业信誉，依法缴纳税收和社会保障资金，</w:t>
      </w:r>
      <w:r>
        <w:rPr>
          <w:rFonts w:hint="eastAsia" w:ascii="宋体" w:hAnsi="宋体" w:eastAsia="宋体" w:cs="宋体"/>
          <w:color w:val="auto"/>
          <w:kern w:val="0"/>
          <w:szCs w:val="21"/>
          <w:highlight w:val="none"/>
        </w:rPr>
        <w:t>具有履行合同所必需的设备和专业技术能力，未被列入失信被执行人名单、重大税收违法案件当事人名单、政府采购严重违法失信行为记录名单，</w:t>
      </w:r>
      <w:r>
        <w:rPr>
          <w:rFonts w:hint="eastAsia" w:ascii="宋体" w:hAnsi="宋体" w:eastAsia="宋体" w:cs="宋体"/>
          <w:color w:val="auto"/>
          <w:szCs w:val="21"/>
          <w:highlight w:val="none"/>
        </w:rPr>
        <w:t>在参加政府采购活动前三年内没有重大违法记录（重大违法记录是指因违法经营受到刑事处罚、被责令停产停业、被吊销许可证或者执照、被处以较大数额罚款等行政处罚），没有因违法经营被禁止参加政府采购活动的期限未满情形</w:t>
      </w:r>
      <w:r>
        <w:rPr>
          <w:rFonts w:hint="eastAsia" w:ascii="宋体" w:hAnsi="宋体" w:eastAsia="宋体" w:cs="宋体"/>
          <w:color w:val="auto"/>
          <w:kern w:val="0"/>
          <w:szCs w:val="21"/>
          <w:highlight w:val="none"/>
        </w:rPr>
        <w:t>。</w:t>
      </w:r>
    </w:p>
    <w:p>
      <w:pPr>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我方</w:t>
      </w:r>
      <w:r>
        <w:rPr>
          <w:rFonts w:hint="eastAsia" w:ascii="宋体" w:hAnsi="宋体" w:eastAsia="宋体" w:cs="宋体"/>
          <w:color w:val="auto"/>
          <w:kern w:val="0"/>
          <w:szCs w:val="21"/>
          <w:highlight w:val="none"/>
        </w:rPr>
        <w:t>对上述声明的真实性负责。如有虚假，愿意承担相应责任，对此无任何异议。</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特此声明！</w:t>
      </w:r>
    </w:p>
    <w:p>
      <w:pPr>
        <w:adjustRightInd w:val="0"/>
        <w:ind w:firstLine="420" w:firstLineChars="200"/>
        <w:rPr>
          <w:rFonts w:hint="eastAsia" w:ascii="宋体" w:hAnsi="宋体" w:eastAsia="宋体" w:cs="宋体"/>
          <w:color w:val="auto"/>
          <w:spacing w:val="20"/>
          <w:szCs w:val="21"/>
          <w:highlight w:val="none"/>
          <w:u w:val="single"/>
        </w:rPr>
      </w:pPr>
      <w:r>
        <w:rPr>
          <w:rFonts w:hint="eastAsia" w:ascii="宋体" w:hAnsi="宋体" w:eastAsia="宋体" w:cs="宋体"/>
          <w:color w:val="auto"/>
          <w:highlight w:val="none"/>
        </w:rPr>
        <w:t>分包供应商</w:t>
      </w:r>
      <w:r>
        <w:rPr>
          <w:rFonts w:hint="eastAsia" w:ascii="宋体" w:hAnsi="宋体" w:eastAsia="宋体" w:cs="宋体"/>
          <w:color w:val="auto"/>
          <w:szCs w:val="21"/>
          <w:highlight w:val="none"/>
        </w:rPr>
        <w:t>全称：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adjustRightInd w:val="0"/>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日期：2023年  月  日</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【附件3】政府采购活动现场确认声明书</w:t>
      </w: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政府采购活动现场确认声明书</w:t>
      </w:r>
    </w:p>
    <w:p>
      <w:pPr>
        <w:rPr>
          <w:rFonts w:hint="eastAsia" w:ascii="宋体" w:hAnsi="宋体" w:eastAsia="宋体" w:cs="宋体"/>
          <w:color w:val="auto"/>
          <w:highlight w:val="none"/>
        </w:rPr>
      </w:pPr>
      <w:r>
        <w:rPr>
          <w:rFonts w:hint="eastAsia" w:ascii="宋体" w:hAnsi="宋体" w:eastAsia="宋体" w:cs="宋体"/>
          <w:color w:val="auto"/>
          <w:highlight w:val="none"/>
        </w:rPr>
        <w:t>浙江省成套招标代理有限公司：</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本人经由单位法定代表人合法授权参加</w:t>
      </w:r>
      <w:r>
        <w:rPr>
          <w:rFonts w:hint="eastAsia" w:ascii="宋体" w:hAnsi="宋体" w:eastAsia="宋体" w:cs="宋体"/>
          <w:color w:val="auto"/>
          <w:highlight w:val="none"/>
          <w:u w:val="single"/>
          <w:lang w:eastAsia="zh-CN"/>
        </w:rPr>
        <w:t>浙江省体育彩票管理中心</w:t>
      </w:r>
      <w:r>
        <w:rPr>
          <w:rFonts w:hint="eastAsia" w:ascii="宋体" w:hAnsi="宋体" w:eastAsia="宋体" w:cs="宋体"/>
          <w:color w:val="auto"/>
          <w:highlight w:val="none"/>
        </w:rPr>
        <w:t>（采购人）</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highlight w:val="none"/>
          <w:u w:val="single"/>
        </w:rPr>
        <w:t>项目</w:t>
      </w:r>
      <w:r>
        <w:rPr>
          <w:rFonts w:hint="eastAsia" w:ascii="宋体" w:hAnsi="宋体" w:eastAsia="宋体" w:cs="宋体"/>
          <w:color w:val="auto"/>
          <w:highlight w:val="none"/>
        </w:rPr>
        <w:t>（项目名称）</w:t>
      </w:r>
      <w:r>
        <w:rPr>
          <w:rFonts w:hint="eastAsia" w:ascii="宋体" w:hAnsi="宋体" w:cs="宋体"/>
          <w:color w:val="auto"/>
          <w:szCs w:val="21"/>
          <w:highlight w:val="none"/>
          <w:u w:val="single"/>
          <w:lang w:eastAsia="zh-CN"/>
        </w:rPr>
        <w:t>CTZB-2023110267</w:t>
      </w:r>
      <w:r>
        <w:rPr>
          <w:rFonts w:hint="eastAsia" w:ascii="宋体" w:hAnsi="宋体" w:eastAsia="宋体" w:cs="宋体"/>
          <w:color w:val="auto"/>
          <w:highlight w:val="none"/>
        </w:rPr>
        <w:t>（项目编号）</w:t>
      </w:r>
      <w:r>
        <w:rPr>
          <w:rFonts w:hint="eastAsia" w:ascii="宋体" w:hAnsi="宋体" w:cs="宋体"/>
          <w:color w:val="auto"/>
          <w:highlight w:val="none"/>
          <w:u w:val="single"/>
          <w:lang w:eastAsia="zh-CN"/>
        </w:rPr>
        <w:t>2024年体彩爱心小板凳活动</w:t>
      </w:r>
      <w:r>
        <w:rPr>
          <w:rFonts w:hint="eastAsia" w:ascii="宋体" w:hAnsi="宋体" w:eastAsia="宋体" w:cs="宋体"/>
          <w:color w:val="auto"/>
          <w:szCs w:val="21"/>
          <w:highlight w:val="none"/>
        </w:rPr>
        <w:t>（标项名称）</w:t>
      </w:r>
      <w:r>
        <w:rPr>
          <w:rFonts w:hint="eastAsia" w:ascii="宋体" w:hAnsi="宋体" w:eastAsia="宋体" w:cs="宋体"/>
          <w:color w:val="auto"/>
          <w:highlight w:val="none"/>
        </w:rPr>
        <w:t>政府采购活动，经与本单位法人代表人联系确认，现就有关公平竞争事项郑重声明如下：</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一、本单位与采购人之间 </w:t>
      </w:r>
      <w:r>
        <w:rPr>
          <w:rFonts w:hint="eastAsia" w:ascii="宋体" w:hAnsi="宋体" w:eastAsia="宋体" w:cs="宋体"/>
          <w:color w:val="auto"/>
          <w:kern w:val="0"/>
          <w:szCs w:val="21"/>
          <w:highlight w:val="none"/>
        </w:rPr>
        <w:sym w:font="Wingdings 2" w:char="00A3"/>
      </w:r>
      <w:r>
        <w:rPr>
          <w:rFonts w:hint="eastAsia" w:ascii="宋体" w:hAnsi="宋体" w:eastAsia="宋体" w:cs="宋体"/>
          <w:color w:val="auto"/>
          <w:highlight w:val="none"/>
        </w:rPr>
        <w:t xml:space="preserve">不存在利害关系 </w:t>
      </w:r>
      <w:r>
        <w:rPr>
          <w:rFonts w:hint="eastAsia" w:ascii="宋体" w:hAnsi="宋体" w:eastAsia="宋体" w:cs="宋体"/>
          <w:color w:val="auto"/>
          <w:kern w:val="0"/>
          <w:szCs w:val="21"/>
          <w:highlight w:val="none"/>
        </w:rPr>
        <w:sym w:font="Wingdings 2" w:char="00A3"/>
      </w:r>
      <w:r>
        <w:rPr>
          <w:rFonts w:hint="eastAsia" w:ascii="宋体" w:hAnsi="宋体" w:eastAsia="宋体" w:cs="宋体"/>
          <w:color w:val="auto"/>
          <w:highlight w:val="none"/>
        </w:rPr>
        <w:t>存在下列利害关系【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A.投资关系    B.行政隶属关系    C.业务指导关系</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D.其他可能影响采购公正的利害关系（如有，请如实说明）【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二、现已清楚知道参加本项目采购活动的其他所有供应商名称，本单位 </w:t>
      </w:r>
      <w:r>
        <w:rPr>
          <w:rFonts w:hint="eastAsia" w:ascii="宋体" w:hAnsi="宋体" w:eastAsia="宋体" w:cs="宋体"/>
          <w:color w:val="auto"/>
          <w:kern w:val="0"/>
          <w:szCs w:val="21"/>
          <w:highlight w:val="none"/>
        </w:rPr>
        <w:sym w:font="Wingdings 2" w:char="00A3"/>
      </w:r>
      <w:r>
        <w:rPr>
          <w:rFonts w:hint="eastAsia" w:ascii="宋体" w:hAnsi="宋体" w:eastAsia="宋体" w:cs="宋体"/>
          <w:color w:val="auto"/>
          <w:highlight w:val="none"/>
        </w:rPr>
        <w:t xml:space="preserve">与其他所有供应商之间均不存在利害关系 </w:t>
      </w:r>
      <w:r>
        <w:rPr>
          <w:rFonts w:hint="eastAsia" w:ascii="宋体" w:hAnsi="宋体" w:eastAsia="宋体" w:cs="宋体"/>
          <w:color w:val="auto"/>
          <w:kern w:val="0"/>
          <w:szCs w:val="21"/>
          <w:highlight w:val="none"/>
        </w:rPr>
        <w:sym w:font="Wingdings 2" w:char="00A3"/>
      </w:r>
      <w:r>
        <w:rPr>
          <w:rFonts w:hint="eastAsia" w:ascii="宋体" w:hAnsi="宋体" w:eastAsia="宋体" w:cs="宋体"/>
          <w:color w:val="auto"/>
          <w:highlight w:val="none"/>
        </w:rPr>
        <w:t>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】（供应商名称）之间存在下列利害关系【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A.法定代表人或负责人或实际控制人是同一人</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B.法定代表人或负责人或实际控制人是夫妻关系</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C.法定代表人或负责人或实际控制人是直系血亲关系</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D.法定代表人或负责人或实际控制人存在三代以内旁系血亲关系</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E.法定代表人或负责人或实际控制人存在近姻亲关系</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F.法定代表人或负责人或实际控制人存在股份控制或实际控制关系</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G.存在共同直接或间接投资设立子公司、联营企业和合营企业情况</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H.存在分级代理或代销关系、同一生产制造商关系、管理关系、重要业务（占主营业务收入50%以上）或重要财务往来关系（如融资）等其他实质性控制关系</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I.其他利害关系情况【</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三、现已清楚知道并严格遵守政府采购法律法规和现场纪律。</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四、我发现【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】供应商之间存在或可能存在上述第二条第【</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】项利害关系。</w:t>
      </w:r>
    </w:p>
    <w:p>
      <w:pPr>
        <w:ind w:firstLine="420" w:firstLineChars="200"/>
        <w:rPr>
          <w:rFonts w:hint="eastAsia" w:ascii="宋体" w:hAnsi="宋体" w:eastAsia="宋体" w:cs="宋体"/>
          <w:color w:val="auto"/>
          <w:highlight w:val="none"/>
        </w:rPr>
      </w:pPr>
    </w:p>
    <w:p>
      <w:pPr>
        <w:adjustRightInd w:val="0"/>
        <w:ind w:firstLine="420" w:firstLineChars="200"/>
        <w:rPr>
          <w:rFonts w:hint="eastAsia" w:ascii="宋体" w:hAnsi="宋体" w:eastAsia="宋体" w:cs="宋体"/>
          <w:color w:val="auto"/>
          <w:spacing w:val="20"/>
          <w:szCs w:val="21"/>
          <w:highlight w:val="none"/>
          <w:u w:val="single"/>
        </w:rPr>
      </w:pPr>
      <w:r>
        <w:rPr>
          <w:rFonts w:hint="eastAsia" w:ascii="宋体" w:hAnsi="宋体" w:eastAsia="宋体" w:cs="宋体"/>
          <w:color w:val="auto"/>
          <w:szCs w:val="21"/>
          <w:highlight w:val="none"/>
        </w:rPr>
        <w:t>供应商全称：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adjustRightInd w:val="0"/>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日期：2023年  月  日</w:t>
      </w:r>
    </w:p>
    <w:p>
      <w:pPr>
        <w:pStyle w:val="133"/>
        <w:ind w:firstLine="480"/>
        <w:jc w:val="right"/>
        <w:rPr>
          <w:rFonts w:hint="eastAsia" w:ascii="宋体" w:hAnsi="宋体" w:eastAsia="宋体" w:cs="宋体"/>
          <w:color w:val="auto"/>
          <w:szCs w:val="21"/>
          <w:highlight w:val="none"/>
        </w:rPr>
      </w:pP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（1）供应商解密响应文件及获知其他供应商信息进行如实声明并盖章，以扫描件形式提交给采购代理机构，邮箱：</w:t>
      </w:r>
      <w:r>
        <w:rPr>
          <w:rFonts w:hint="eastAsia" w:ascii="宋体" w:hAnsi="宋体" w:cs="宋体"/>
          <w:color w:val="auto"/>
          <w:szCs w:val="21"/>
          <w:highlight w:val="none"/>
          <w:lang w:eastAsia="zh-CN"/>
        </w:rPr>
        <w:t>heyy@zjsct.cn</w:t>
      </w:r>
      <w:r>
        <w:rPr>
          <w:rFonts w:hint="eastAsia" w:ascii="宋体" w:hAnsi="宋体" w:eastAsia="宋体" w:cs="宋体"/>
          <w:color w:val="auto"/>
          <w:szCs w:val="21"/>
          <w:highlight w:val="none"/>
        </w:rPr>
        <w:t>。</w:t>
      </w:r>
    </w:p>
    <w:p>
      <w:pPr>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（2）此声明书不用编入响应文件中。</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【附件4】质疑函范本及制作说明</w:t>
      </w: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质疑函范本</w:t>
      </w:r>
    </w:p>
    <w:p>
      <w:pP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一、质疑供应商基本信息</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质疑供应商：</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邮编：</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联系电话：</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授权代表：</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地址： </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邮编：</w:t>
      </w:r>
      <w:r>
        <w:rPr>
          <w:rFonts w:hint="eastAsia" w:ascii="宋体" w:hAnsi="宋体" w:eastAsia="宋体" w:cs="宋体"/>
          <w:color w:val="auto"/>
          <w:szCs w:val="21"/>
          <w:highlight w:val="none"/>
          <w:u w:val="dotted"/>
        </w:rPr>
        <w:t xml:space="preserve">                </w:t>
      </w:r>
    </w:p>
    <w:p>
      <w:pP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二、质疑项目基本情况</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质疑项目的名称：</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质疑项目的编号：</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包号：</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采购人名称：</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采购文件获取日期：</w:t>
      </w:r>
      <w:r>
        <w:rPr>
          <w:rFonts w:hint="eastAsia" w:ascii="宋体" w:hAnsi="宋体" w:eastAsia="宋体" w:cs="宋体"/>
          <w:color w:val="auto"/>
          <w:szCs w:val="21"/>
          <w:highlight w:val="none"/>
          <w:u w:val="dotted"/>
        </w:rPr>
        <w:t xml:space="preserve">                                   </w:t>
      </w:r>
    </w:p>
    <w:p>
      <w:pP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三、质疑事项具体内容</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质疑事项1：</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事实依据：</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法律依据：</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质疑事项2</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p>
      <w:pP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四、与质疑事项相关的质疑请求</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请求：</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签字（签章）：                   公章：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日期：    </w:t>
      </w:r>
    </w:p>
    <w:p>
      <w:pPr>
        <w:jc w:val="center"/>
        <w:rPr>
          <w:rFonts w:hint="eastAsia" w:ascii="宋体" w:hAnsi="宋体" w:eastAsia="宋体" w:cs="宋体"/>
          <w:b/>
          <w:bCs/>
          <w:color w:val="auto"/>
          <w:szCs w:val="21"/>
          <w:highlight w:val="none"/>
        </w:rPr>
      </w:pP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质疑函制作说明：</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1.供应商提出质疑时，应提交质疑函和必要的证明材料。</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Cs w:val="21"/>
          <w:highlight w:val="none"/>
        </w:rPr>
        <w:t>供应商签署的授权委托书。授权委托书应载明代理人的姓名或者名称、代理事项、具体权限、期限和相关事项。</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3.质疑供应商若对项目的某一分包进行质疑，质疑函中应列明具体分包号。</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4.质疑函的质疑事项应具体、明确，并有必要的事实依据和法律依据。</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5.质疑函的质疑请求应与质疑事项相关。</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6.质疑供应商为自然人的，质疑函应由本人签字；质疑供应商为法人或者其他组织的，质疑函应由法定代表人、主要负责人，或者其授权代表签字或者盖章，并加盖公章。</w:t>
      </w:r>
    </w:p>
    <w:p>
      <w:pP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【附件5】投诉书范本及制作说明</w:t>
      </w: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投诉书范本</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一、投诉相关主体基本情况</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投诉人：</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邮编：</w:t>
      </w:r>
      <w:r>
        <w:rPr>
          <w:rFonts w:hint="eastAsia" w:ascii="宋体" w:hAnsi="宋体" w:eastAsia="宋体" w:cs="宋体"/>
          <w:color w:val="auto"/>
          <w:szCs w:val="21"/>
          <w:highlight w:val="none"/>
          <w:u w:val="dotted"/>
        </w:rPr>
        <w:t xml:space="preserve">         </w:t>
      </w:r>
    </w:p>
    <w:p>
      <w:pPr>
        <w:tabs>
          <w:tab w:val="left" w:pos="6510"/>
        </w:tabs>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法定代表人/主要负责人：</w:t>
      </w:r>
      <w:r>
        <w:rPr>
          <w:rFonts w:hint="eastAsia" w:ascii="宋体" w:hAnsi="宋体" w:eastAsia="宋体" w:cs="宋体"/>
          <w:color w:val="auto"/>
          <w:szCs w:val="21"/>
          <w:highlight w:val="none"/>
          <w:u w:val="dotted"/>
        </w:rPr>
        <w:t xml:space="preserve">                                   </w:t>
      </w:r>
    </w:p>
    <w:p>
      <w:pPr>
        <w:tabs>
          <w:tab w:val="left" w:pos="6510"/>
        </w:tabs>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联系电话：</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授权代表：</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联系电话</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邮编：</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被投诉人1：</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邮编：</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联系人：</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联系电话：</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被投诉人2</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w:t>
      </w:r>
    </w:p>
    <w:p>
      <w:pP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相关供应商：</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邮编：</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联系人：</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联系电话：</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二、投诉项目基本情况</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采购项目名称：</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采购项目编号：</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包号：</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采购人名称：</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代理机构名称：</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采购文件公告：</w:t>
      </w:r>
      <w:r>
        <w:rPr>
          <w:rFonts w:hint="eastAsia" w:ascii="宋体" w:hAnsi="宋体" w:eastAsia="宋体" w:cs="宋体"/>
          <w:color w:val="auto"/>
          <w:szCs w:val="21"/>
          <w:highlight w:val="none"/>
          <w:u w:val="dotted"/>
        </w:rPr>
        <w:t xml:space="preserve">是/否 </w:t>
      </w:r>
      <w:r>
        <w:rPr>
          <w:rFonts w:hint="eastAsia" w:ascii="宋体" w:hAnsi="宋体" w:eastAsia="宋体" w:cs="宋体"/>
          <w:color w:val="auto"/>
          <w:szCs w:val="21"/>
          <w:highlight w:val="none"/>
        </w:rPr>
        <w:t>公告期限：</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采购结果公告：</w:t>
      </w:r>
      <w:r>
        <w:rPr>
          <w:rFonts w:hint="eastAsia" w:ascii="宋体" w:hAnsi="宋体" w:eastAsia="宋体" w:cs="宋体"/>
          <w:color w:val="auto"/>
          <w:szCs w:val="21"/>
          <w:highlight w:val="none"/>
          <w:u w:val="dotted"/>
        </w:rPr>
        <w:t xml:space="preserve">是/否 </w:t>
      </w:r>
      <w:r>
        <w:rPr>
          <w:rFonts w:hint="eastAsia" w:ascii="宋体" w:hAnsi="宋体" w:eastAsia="宋体" w:cs="宋体"/>
          <w:color w:val="auto"/>
          <w:szCs w:val="21"/>
          <w:highlight w:val="none"/>
        </w:rPr>
        <w:t>公告期限：</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三、质疑基本情况</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投诉人于</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日，向</w:t>
      </w:r>
      <w:r>
        <w:rPr>
          <w:rFonts w:hint="eastAsia" w:ascii="宋体" w:hAnsi="宋体" w:eastAsia="宋体" w:cs="宋体"/>
          <w:color w:val="auto"/>
          <w:szCs w:val="21"/>
          <w:highlight w:val="none"/>
          <w:u w:val="dotted"/>
        </w:rPr>
        <w:t xml:space="preserve">                   质疑</w:t>
      </w:r>
      <w:r>
        <w:rPr>
          <w:rFonts w:hint="eastAsia" w:ascii="宋体" w:hAnsi="宋体" w:eastAsia="宋体" w:cs="宋体"/>
          <w:color w:val="auto"/>
          <w:szCs w:val="21"/>
          <w:highlight w:val="none"/>
        </w:rPr>
        <w:t>，质疑事项为：</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u w:val="dotted"/>
        </w:rPr>
        <w:t>采购人/代理机构</w:t>
      </w:r>
      <w:r>
        <w:rPr>
          <w:rFonts w:hint="eastAsia" w:ascii="宋体" w:hAnsi="宋体" w:eastAsia="宋体" w:cs="宋体"/>
          <w:color w:val="auto"/>
          <w:szCs w:val="21"/>
          <w:highlight w:val="none"/>
        </w:rPr>
        <w:t>于</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日，就质疑事项作出了答复/没有在法定期限内作出答复。</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四、投诉事项具体内容</w:t>
      </w:r>
    </w:p>
    <w:p>
      <w:pP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投诉事项 1：</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事实依据：</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法律依据：</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投诉事项2</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五、与投诉事项相关的投诉请求</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请求：</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签字（签章）：                   公章：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日期：    </w:t>
      </w: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p>
    <w:p>
      <w:pP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投诉书制作说明：</w:t>
      </w:r>
    </w:p>
    <w:p>
      <w:pPr>
        <w:widowControl/>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1.投诉人提起投诉时，应当提交投诉书和必要的证明材料，并按照被投诉人和与投诉事项有关的供应商数量提供投诉书副本。</w:t>
      </w:r>
    </w:p>
    <w:p>
      <w:pPr>
        <w:widowControl/>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2.投诉人若委托代理人进行投诉的，投诉书应按照要求列明“授权代表”的有关内容，并在附件中提交由</w:t>
      </w:r>
      <w:r>
        <w:rPr>
          <w:rFonts w:hint="eastAsia" w:ascii="宋体" w:hAnsi="宋体" w:eastAsia="宋体" w:cs="宋体"/>
          <w:color w:val="auto"/>
          <w:kern w:val="0"/>
          <w:szCs w:val="21"/>
          <w:highlight w:val="none"/>
        </w:rPr>
        <w:t>投诉人签署的授权委托书。授权委托书应当载明代理人的姓名或者名称、代理事项、具体权限、期限和相关事项。</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3.投诉人若对项目的某一分包进行投诉，投诉书应列明具体分包号。</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4.投诉书应简要列明质疑事项，质疑函、质疑答复等作为附件材料提供。</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5.投诉书的投诉事项应具体、明确，并有必要的事实依据和法律依据。</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6.投诉书的投诉请求应与投诉事项相关。</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7.投诉人为自然人的，投诉书应当由本人签字；投诉人为法人或者其他组织的，投诉书应当由法定代表人、主要负责人，或者其授权代表签字或者盖章，并加盖公章。</w:t>
      </w:r>
    </w:p>
    <w:p>
      <w:pPr>
        <w:widowControl/>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8.投诉材料可寄送至：浙江省政府采购行政裁决服务中心（杭州），地址：杭州市上城区四季青街道新业路市民之家G03办公室，收件人：朱女士，电话：15121014815。</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ind w:firstLine="420"/>
        <w:rPr>
          <w:rFonts w:hint="eastAsia" w:ascii="宋体" w:hAnsi="宋体" w:eastAsia="宋体" w:cs="宋体"/>
          <w:color w:val="auto"/>
          <w:highlight w:val="none"/>
        </w:rPr>
      </w:pPr>
      <w:r>
        <w:rPr>
          <w:rFonts w:hint="eastAsia" w:ascii="宋体" w:hAnsi="宋体" w:eastAsia="宋体" w:cs="宋体"/>
          <w:color w:val="auto"/>
          <w:highlight w:val="none"/>
        </w:rPr>
        <w:t>【附件6】询问函范本</w:t>
      </w:r>
    </w:p>
    <w:p>
      <w:pPr>
        <w:jc w:val="center"/>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询问函范本</w:t>
      </w:r>
    </w:p>
    <w:p>
      <w:pP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一、供应商基本信息</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供应商：</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邮编：</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联系人：</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联系电话：</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授权代表：</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地址： </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邮编：</w:t>
      </w:r>
      <w:r>
        <w:rPr>
          <w:rFonts w:hint="eastAsia" w:ascii="宋体" w:hAnsi="宋体" w:eastAsia="宋体" w:cs="宋体"/>
          <w:color w:val="auto"/>
          <w:szCs w:val="21"/>
          <w:highlight w:val="none"/>
          <w:u w:val="dotted"/>
        </w:rPr>
        <w:t xml:space="preserve">                </w:t>
      </w:r>
    </w:p>
    <w:p>
      <w:pP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二、项目基本情况</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项目的名称：</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项目的编号：</w:t>
      </w:r>
      <w:r>
        <w:rPr>
          <w:rFonts w:hint="eastAsia" w:ascii="宋体" w:hAnsi="宋体" w:eastAsia="宋体" w:cs="宋体"/>
          <w:color w:val="auto"/>
          <w:szCs w:val="21"/>
          <w:highlight w:val="none"/>
          <w:u w:val="dotted"/>
        </w:rPr>
        <w:t xml:space="preserve">               </w:t>
      </w:r>
      <w:r>
        <w:rPr>
          <w:rFonts w:hint="eastAsia" w:ascii="宋体" w:hAnsi="宋体" w:eastAsia="宋体" w:cs="宋体"/>
          <w:color w:val="auto"/>
          <w:szCs w:val="21"/>
          <w:highlight w:val="none"/>
        </w:rPr>
        <w:t>包号：</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采购人名称：</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采购文件获取日期：</w:t>
      </w:r>
      <w:r>
        <w:rPr>
          <w:rFonts w:hint="eastAsia" w:ascii="宋体" w:hAnsi="宋体" w:eastAsia="宋体" w:cs="宋体"/>
          <w:color w:val="auto"/>
          <w:szCs w:val="21"/>
          <w:highlight w:val="none"/>
          <w:u w:val="dotted"/>
        </w:rPr>
        <w:t xml:space="preserve">                                 </w:t>
      </w:r>
    </w:p>
    <w:p>
      <w:pP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三、询问事项具体内容</w:t>
      </w:r>
    </w:p>
    <w:p>
      <w:pPr>
        <w:rPr>
          <w:rFonts w:hint="eastAsia" w:ascii="宋体" w:hAnsi="宋体" w:eastAsia="宋体" w:cs="宋体"/>
          <w:color w:val="auto"/>
          <w:szCs w:val="21"/>
          <w:highlight w:val="none"/>
          <w:u w:val="dotted"/>
        </w:rPr>
      </w:pPr>
      <w:r>
        <w:rPr>
          <w:rFonts w:hint="eastAsia" w:ascii="宋体" w:hAnsi="宋体" w:eastAsia="宋体" w:cs="宋体"/>
          <w:bCs/>
          <w:color w:val="auto"/>
          <w:szCs w:val="21"/>
          <w:highlight w:val="none"/>
        </w:rPr>
        <w:t>询问</w:t>
      </w:r>
      <w:r>
        <w:rPr>
          <w:rFonts w:hint="eastAsia" w:ascii="宋体" w:hAnsi="宋体" w:eastAsia="宋体" w:cs="宋体"/>
          <w:color w:val="auto"/>
          <w:szCs w:val="21"/>
          <w:highlight w:val="none"/>
        </w:rPr>
        <w:t>事项1：</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u w:val="dotted"/>
        </w:rPr>
      </w:pPr>
      <w:r>
        <w:rPr>
          <w:rFonts w:hint="eastAsia" w:ascii="宋体" w:hAnsi="宋体" w:eastAsia="宋体" w:cs="宋体"/>
          <w:bCs/>
          <w:color w:val="auto"/>
          <w:szCs w:val="21"/>
          <w:highlight w:val="none"/>
        </w:rPr>
        <w:t>询问</w:t>
      </w:r>
      <w:r>
        <w:rPr>
          <w:rFonts w:hint="eastAsia" w:ascii="宋体" w:hAnsi="宋体" w:eastAsia="宋体" w:cs="宋体"/>
          <w:color w:val="auto"/>
          <w:szCs w:val="21"/>
          <w:highlight w:val="none"/>
        </w:rPr>
        <w:t>事项2：</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p>
    <w:p>
      <w:pP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四、与询问事项相关的请求</w:t>
      </w:r>
    </w:p>
    <w:p>
      <w:pPr>
        <w:rPr>
          <w:rFonts w:hint="eastAsia" w:ascii="宋体" w:hAnsi="宋体" w:eastAsia="宋体" w:cs="宋体"/>
          <w:color w:val="auto"/>
          <w:szCs w:val="21"/>
          <w:highlight w:val="none"/>
          <w:u w:val="dotted"/>
        </w:rPr>
      </w:pPr>
      <w:r>
        <w:rPr>
          <w:rFonts w:hint="eastAsia" w:ascii="宋体" w:hAnsi="宋体" w:eastAsia="宋体" w:cs="宋体"/>
          <w:color w:val="auto"/>
          <w:szCs w:val="21"/>
          <w:highlight w:val="none"/>
        </w:rPr>
        <w:t>请求：</w:t>
      </w:r>
      <w:r>
        <w:rPr>
          <w:rFonts w:hint="eastAsia" w:ascii="宋体" w:hAnsi="宋体" w:eastAsia="宋体" w:cs="宋体"/>
          <w:color w:val="auto"/>
          <w:szCs w:val="21"/>
          <w:highlight w:val="none"/>
          <w:u w:val="dotted"/>
        </w:rPr>
        <w:t xml:space="preserve">                                               </w:t>
      </w:r>
    </w:p>
    <w:p>
      <w:pPr>
        <w:rPr>
          <w:rFonts w:hint="eastAsia" w:ascii="宋体" w:hAnsi="宋体" w:eastAsia="宋体" w:cs="宋体"/>
          <w:color w:val="auto"/>
          <w:szCs w:val="21"/>
          <w:highlight w:val="none"/>
        </w:rPr>
      </w:pP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签字（签章）：                   公章：                 </w:t>
      </w:r>
    </w:p>
    <w:p>
      <w:pPr>
        <w:rPr>
          <w:rFonts w:hint="eastAsia" w:ascii="宋体" w:hAnsi="宋体" w:eastAsia="宋体" w:cs="宋体"/>
          <w:color w:val="auto"/>
          <w:highlight w:val="none"/>
        </w:rPr>
      </w:pPr>
      <w:r>
        <w:rPr>
          <w:rFonts w:hint="eastAsia" w:ascii="宋体" w:hAnsi="宋体" w:eastAsia="宋体" w:cs="宋体"/>
          <w:color w:val="auto"/>
          <w:szCs w:val="21"/>
          <w:highlight w:val="none"/>
        </w:rPr>
        <w:t xml:space="preserve">日期：    </w:t>
      </w:r>
    </w:p>
    <w:p>
      <w:pPr>
        <w:ind w:firstLine="420" w:firstLineChars="200"/>
        <w:rPr>
          <w:rFonts w:hint="eastAsia" w:ascii="宋体" w:hAnsi="宋体" w:eastAsia="宋体" w:cs="宋体"/>
          <w:color w:val="auto"/>
          <w:highlight w:val="none"/>
        </w:rPr>
      </w:pPr>
    </w:p>
    <w:sectPr>
      <w:headerReference r:id="rId5" w:type="default"/>
      <w:footerReference r:id="rId6" w:type="default"/>
      <w:footerReference r:id="rId7" w:type="even"/>
      <w:type w:val="continuous"/>
      <w:pgSz w:w="11907" w:h="16840"/>
      <w:pgMar w:top="1247" w:right="1247" w:bottom="1247" w:left="1474" w:header="851" w:footer="851" w:gutter="0"/>
      <w:cols w:space="720" w:num="1"/>
      <w:titlePg/>
      <w:docGrid w:linePitch="286" w:charSpace="-38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ì.">
    <w:altName w:val="宋体"/>
    <w:panose1 w:val="00000000000000000000"/>
    <w:charset w:val="86"/>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decorative"/>
    <w:pitch w:val="default"/>
    <w:sig w:usb0="00000000" w:usb1="00000000" w:usb2="00000000" w:usb3="00000000" w:csb0="00040001" w:csb1="00000000"/>
  </w:font>
  <w:font w:name="MS UI Gothic">
    <w:panose1 w:val="020B0600070205080204"/>
    <w:charset w:val="80"/>
    <w:family w:val="swiss"/>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srt">
    <w:altName w:val="微软雅黑"/>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1769" w:wrap="around" w:vAnchor="text" w:hAnchor="margin" w:xAlign="center" w:y="7"/>
      <w:pBdr>
        <w:top w:val="none" w:color="auto" w:sz="0" w:space="0"/>
      </w:pBdr>
      <w:rPr>
        <w:rStyle w:val="49"/>
      </w:rPr>
    </w:pPr>
    <w:r>
      <w:rPr>
        <w:rStyle w:val="49"/>
        <w:rFonts w:hint="eastAsia"/>
      </w:rPr>
      <w:t>第</w:t>
    </w:r>
    <w:r>
      <w:fldChar w:fldCharType="begin"/>
    </w:r>
    <w:r>
      <w:rPr>
        <w:rStyle w:val="49"/>
      </w:rPr>
      <w:instrText xml:space="preserve">PAGE  </w:instrText>
    </w:r>
    <w:r>
      <w:fldChar w:fldCharType="separate"/>
    </w:r>
    <w:r>
      <w:rPr>
        <w:rStyle w:val="49"/>
      </w:rPr>
      <w:t>3</w:t>
    </w:r>
    <w:r>
      <w:fldChar w:fldCharType="end"/>
    </w:r>
    <w:r>
      <w:rPr>
        <w:rStyle w:val="49"/>
        <w:rFonts w:hint="eastAsia"/>
      </w:rPr>
      <w:t>页，共</w:t>
    </w:r>
    <w:r>
      <w:fldChar w:fldCharType="begin"/>
    </w:r>
    <w:r>
      <w:instrText xml:space="preserve"> NUMPAGES   \* MERGEFORMAT </w:instrText>
    </w:r>
    <w:r>
      <w:fldChar w:fldCharType="separate"/>
    </w:r>
    <w:r>
      <w:rPr>
        <w:lang w:val="zh-CN"/>
      </w:rPr>
      <w:t>62</w:t>
    </w:r>
    <w:r>
      <w:rPr>
        <w:lang w:val="zh-CN"/>
      </w:rPr>
      <w:fldChar w:fldCharType="end"/>
    </w:r>
    <w:r>
      <w:rPr>
        <w:rStyle w:val="49"/>
        <w:rFonts w:hint="eastAsia"/>
      </w:rPr>
      <w:t>页</w:t>
    </w:r>
  </w:p>
  <w:p>
    <w:pPr>
      <w:pStyle w:val="25"/>
      <w:tabs>
        <w:tab w:val="right" w:pos="9901"/>
      </w:tabs>
      <w:rPr>
        <w:sz w:val="21"/>
      </w:rPr>
    </w:pPr>
    <w:r>
      <mc:AlternateContent>
        <mc:Choice Requires="wps">
          <w:drawing>
            <wp:anchor distT="0" distB="0" distL="114300" distR="114300" simplePos="0" relativeHeight="251659264" behindDoc="0" locked="0" layoutInCell="1" allowOverlap="1">
              <wp:simplePos x="0" y="0"/>
              <wp:positionH relativeFrom="column">
                <wp:posOffset>-235585</wp:posOffset>
              </wp:positionH>
              <wp:positionV relativeFrom="paragraph">
                <wp:posOffset>3117850</wp:posOffset>
              </wp:positionV>
              <wp:extent cx="9001125" cy="0"/>
              <wp:effectExtent l="0" t="0" r="0" b="0"/>
              <wp:wrapNone/>
              <wp:docPr id="2" name="Line 3"/>
              <wp:cNvGraphicFramePr/>
              <a:graphic xmlns:a="http://schemas.openxmlformats.org/drawingml/2006/main">
                <a:graphicData uri="http://schemas.microsoft.com/office/word/2010/wordprocessingShape">
                  <wps:wsp>
                    <wps:cNvCnPr/>
                    <wps:spPr>
                      <a:xfrm>
                        <a:off x="0" y="0"/>
                        <a:ext cx="90011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3" o:spid="_x0000_s1026" o:spt="20" style="position:absolute;left:0pt;margin-left:-18.55pt;margin-top:245.5pt;height:0pt;width:708.75pt;z-index:251659264;mso-width-relative:page;mso-height-relative:page;" filled="f" stroked="t" coordsize="21600,21600" o:gfxdata="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zAJ9h2QAAAAwBAAAPAAAAAAAAAAEA&#10;IAAAACIAAABkcnMvZG93bnJldi54bWxQSwECFAAUAAAACACHTuJAoB1FLtUBAADbAwAADgAAAAAA&#10;AAABACAAAAAoAQAAZHJzL2Uyb0RvYy54bWxQSwUGAAAAAAYABgBZAQAAbwUAAAAA&#10;">
              <v:fill on="f" focussize="0,0"/>
              <v:stroke color="#000000" joinstyle="round"/>
              <v:imagedata o:title=""/>
              <o:lock v:ext="edit" aspectratio="f"/>
            </v:line>
          </w:pict>
        </mc:Fallback>
      </mc:AlternateContent>
    </w:r>
    <w:r>
      <w:rPr>
        <w:rFonts w:hint="eastAsia"/>
      </w:rPr>
      <w:t>浙江省成套招标代理有限公司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9"/>
      </w:rPr>
    </w:pPr>
    <w:r>
      <w:fldChar w:fldCharType="begin"/>
    </w:r>
    <w:r>
      <w:rPr>
        <w:rStyle w:val="49"/>
      </w:rPr>
      <w:instrText xml:space="preserve">PAGE  </w:instrText>
    </w:r>
    <w:r>
      <w:fldChar w:fldCharType="end"/>
    </w:r>
  </w:p>
  <w:p>
    <w:pPr>
      <w:pStyle w:val="2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cs="Calibri"/>
        <w:sz w:val="18"/>
        <w:szCs w:val="18"/>
      </w:rPr>
    </w:pPr>
    <w:r>
      <w:rPr>
        <w:rFonts w:hint="eastAsia" w:cs="Calibri"/>
        <w:sz w:val="18"/>
        <w:szCs w:val="18"/>
        <w:lang w:eastAsia="zh-CN"/>
      </w:rPr>
      <w:t>2024年体彩爱心小板凳活动</w:t>
    </w:r>
    <w:r>
      <w:rPr>
        <w:rFonts w:hint="eastAsia" w:cs="Calibri"/>
        <w:sz w:val="18"/>
        <w:szCs w:val="18"/>
      </w:rPr>
      <w:t>项目</w:t>
    </w:r>
    <w:r>
      <w:rPr>
        <w:rFonts w:cs="Calibri"/>
        <w:sz w:val="18"/>
        <w:szCs w:val="18"/>
      </w:rPr>
      <w:t>采购文件（竞争性磋商）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3C32D"/>
    <w:multiLevelType w:val="singleLevel"/>
    <w:tmpl w:val="91A3C32D"/>
    <w:lvl w:ilvl="0" w:tentative="0">
      <w:start w:val="1"/>
      <w:numFmt w:val="decimal"/>
      <w:suff w:val="nothing"/>
      <w:lvlText w:val="（%1）"/>
      <w:lvlJc w:val="left"/>
    </w:lvl>
  </w:abstractNum>
  <w:abstractNum w:abstractNumId="1">
    <w:nsid w:val="B74A878F"/>
    <w:multiLevelType w:val="singleLevel"/>
    <w:tmpl w:val="B74A878F"/>
    <w:lvl w:ilvl="0" w:tentative="0">
      <w:start w:val="1"/>
      <w:numFmt w:val="chineseCounting"/>
      <w:suff w:val="nothing"/>
      <w:lvlText w:val="%1、"/>
      <w:lvlJc w:val="left"/>
      <w:pPr>
        <w:ind w:left="0" w:firstLine="420"/>
      </w:pPr>
      <w:rPr>
        <w:rFonts w:hint="eastAsia"/>
      </w:rPr>
    </w:lvl>
  </w:abstractNum>
  <w:abstractNum w:abstractNumId="2">
    <w:nsid w:val="C01B72F2"/>
    <w:multiLevelType w:val="singleLevel"/>
    <w:tmpl w:val="C01B72F2"/>
    <w:lvl w:ilvl="0" w:tentative="0">
      <w:start w:val="1"/>
      <w:numFmt w:val="decimal"/>
      <w:suff w:val="nothing"/>
      <w:lvlText w:val="%1．"/>
      <w:lvlJc w:val="left"/>
      <w:pPr>
        <w:ind w:left="0" w:firstLine="400"/>
      </w:pPr>
      <w:rPr>
        <w:rFonts w:hint="default"/>
      </w:rPr>
    </w:lvl>
  </w:abstractNum>
  <w:abstractNum w:abstractNumId="3">
    <w:nsid w:val="CB6A09E3"/>
    <w:multiLevelType w:val="singleLevel"/>
    <w:tmpl w:val="CB6A09E3"/>
    <w:lvl w:ilvl="0" w:tentative="0">
      <w:start w:val="1"/>
      <w:numFmt w:val="decimal"/>
      <w:suff w:val="nothing"/>
      <w:lvlText w:val="（%1）"/>
      <w:lvlJc w:val="left"/>
    </w:lvl>
  </w:abstractNum>
  <w:abstractNum w:abstractNumId="4">
    <w:nsid w:val="DE0E2F0C"/>
    <w:multiLevelType w:val="singleLevel"/>
    <w:tmpl w:val="DE0E2F0C"/>
    <w:lvl w:ilvl="0" w:tentative="0">
      <w:start w:val="1"/>
      <w:numFmt w:val="decimal"/>
      <w:suff w:val="nothing"/>
      <w:lvlText w:val="%1．"/>
      <w:lvlJc w:val="left"/>
      <w:pPr>
        <w:ind w:left="0" w:firstLine="400"/>
      </w:pPr>
      <w:rPr>
        <w:rFonts w:hint="default"/>
      </w:rPr>
    </w:lvl>
  </w:abstractNum>
  <w:abstractNum w:abstractNumId="5">
    <w:nsid w:val="07BA4390"/>
    <w:multiLevelType w:val="singleLevel"/>
    <w:tmpl w:val="07BA4390"/>
    <w:lvl w:ilvl="0" w:tentative="0">
      <w:start w:val="1"/>
      <w:numFmt w:val="decimal"/>
      <w:suff w:val="nothing"/>
      <w:lvlText w:val="%1．"/>
      <w:lvlJc w:val="left"/>
      <w:pPr>
        <w:ind w:left="0" w:firstLine="400"/>
      </w:pPr>
      <w:rPr>
        <w:rFonts w:hint="default"/>
      </w:rPr>
    </w:lvl>
  </w:abstractNum>
  <w:abstractNum w:abstractNumId="6">
    <w:nsid w:val="07C00F21"/>
    <w:multiLevelType w:val="multilevel"/>
    <w:tmpl w:val="07C00F21"/>
    <w:lvl w:ilvl="0" w:tentative="0">
      <w:start w:val="1"/>
      <w:numFmt w:val="bullet"/>
      <w:pStyle w:val="138"/>
      <w:lvlText w:val=""/>
      <w:lvlJc w:val="left"/>
      <w:pPr>
        <w:ind w:left="1680" w:hanging="420"/>
      </w:pPr>
      <w:rPr>
        <w:rFonts w:hint="default" w:ascii="Wingdings" w:hAnsi="Wingdings"/>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7">
    <w:nsid w:val="0A821D31"/>
    <w:multiLevelType w:val="singleLevel"/>
    <w:tmpl w:val="0A821D31"/>
    <w:lvl w:ilvl="0" w:tentative="0">
      <w:start w:val="1"/>
      <w:numFmt w:val="decimal"/>
      <w:suff w:val="nothing"/>
      <w:lvlText w:val="%1．"/>
      <w:lvlJc w:val="left"/>
      <w:pPr>
        <w:ind w:left="210" w:firstLine="400"/>
      </w:pPr>
      <w:rPr>
        <w:rFonts w:hint="default"/>
      </w:rPr>
    </w:lvl>
  </w:abstractNum>
  <w:abstractNum w:abstractNumId="8">
    <w:nsid w:val="3AD014BA"/>
    <w:multiLevelType w:val="singleLevel"/>
    <w:tmpl w:val="3AD014BA"/>
    <w:lvl w:ilvl="0" w:tentative="0">
      <w:start w:val="1"/>
      <w:numFmt w:val="chineseCounting"/>
      <w:suff w:val="nothing"/>
      <w:lvlText w:val="%1、"/>
      <w:lvlJc w:val="left"/>
      <w:rPr>
        <w:rFonts w:hint="eastAsia"/>
      </w:rPr>
    </w:lvl>
  </w:abstractNum>
  <w:abstractNum w:abstractNumId="9">
    <w:nsid w:val="51EC1376"/>
    <w:multiLevelType w:val="multilevel"/>
    <w:tmpl w:val="51EC1376"/>
    <w:lvl w:ilvl="0" w:tentative="0">
      <w:start w:val="1"/>
      <w:numFmt w:val="decimal"/>
      <w:pStyle w:val="106"/>
      <w:lvlText w:val="%1、"/>
      <w:lvlJc w:val="left"/>
      <w:pPr>
        <w:tabs>
          <w:tab w:val="left" w:pos="780"/>
        </w:tabs>
        <w:ind w:left="780" w:hanging="360"/>
      </w:pPr>
      <w:rPr>
        <w:rFonts w:hint="eastAsia"/>
      </w:rPr>
    </w:lvl>
    <w:lvl w:ilvl="1" w:tentative="0">
      <w:start w:val="1"/>
      <w:numFmt w:val="lowerLetter"/>
      <w:lvlText w:val="%2)"/>
      <w:lvlJc w:val="left"/>
      <w:pPr>
        <w:tabs>
          <w:tab w:val="left" w:pos="1283"/>
        </w:tabs>
        <w:ind w:left="1283" w:hanging="420"/>
      </w:pPr>
    </w:lvl>
    <w:lvl w:ilvl="2" w:tentative="0">
      <w:start w:val="1"/>
      <w:numFmt w:val="lowerRoman"/>
      <w:lvlText w:val="%3."/>
      <w:lvlJc w:val="right"/>
      <w:pPr>
        <w:tabs>
          <w:tab w:val="left" w:pos="1703"/>
        </w:tabs>
        <w:ind w:left="1703" w:hanging="420"/>
      </w:pPr>
    </w:lvl>
    <w:lvl w:ilvl="3" w:tentative="0">
      <w:start w:val="1"/>
      <w:numFmt w:val="decimal"/>
      <w:lvlText w:val="%4."/>
      <w:lvlJc w:val="left"/>
      <w:pPr>
        <w:tabs>
          <w:tab w:val="left" w:pos="2123"/>
        </w:tabs>
        <w:ind w:left="2123" w:hanging="420"/>
      </w:pPr>
    </w:lvl>
    <w:lvl w:ilvl="4" w:tentative="0">
      <w:start w:val="1"/>
      <w:numFmt w:val="lowerLetter"/>
      <w:lvlText w:val="%5)"/>
      <w:lvlJc w:val="left"/>
      <w:pPr>
        <w:tabs>
          <w:tab w:val="left" w:pos="2543"/>
        </w:tabs>
        <w:ind w:left="2543" w:hanging="420"/>
      </w:pPr>
    </w:lvl>
    <w:lvl w:ilvl="5" w:tentative="0">
      <w:start w:val="1"/>
      <w:numFmt w:val="lowerRoman"/>
      <w:lvlText w:val="%6."/>
      <w:lvlJc w:val="right"/>
      <w:pPr>
        <w:tabs>
          <w:tab w:val="left" w:pos="2963"/>
        </w:tabs>
        <w:ind w:left="2963" w:hanging="420"/>
      </w:pPr>
    </w:lvl>
    <w:lvl w:ilvl="6" w:tentative="0">
      <w:start w:val="1"/>
      <w:numFmt w:val="decimal"/>
      <w:lvlText w:val="%7."/>
      <w:lvlJc w:val="left"/>
      <w:pPr>
        <w:tabs>
          <w:tab w:val="left" w:pos="3383"/>
        </w:tabs>
        <w:ind w:left="3383" w:hanging="420"/>
      </w:pPr>
    </w:lvl>
    <w:lvl w:ilvl="7" w:tentative="0">
      <w:start w:val="1"/>
      <w:numFmt w:val="lowerLetter"/>
      <w:lvlText w:val="%8)"/>
      <w:lvlJc w:val="left"/>
      <w:pPr>
        <w:tabs>
          <w:tab w:val="left" w:pos="3803"/>
        </w:tabs>
        <w:ind w:left="3803" w:hanging="420"/>
      </w:pPr>
    </w:lvl>
    <w:lvl w:ilvl="8" w:tentative="0">
      <w:start w:val="1"/>
      <w:numFmt w:val="lowerRoman"/>
      <w:lvlText w:val="%9."/>
      <w:lvlJc w:val="right"/>
      <w:pPr>
        <w:tabs>
          <w:tab w:val="left" w:pos="4223"/>
        </w:tabs>
        <w:ind w:left="4223" w:hanging="420"/>
      </w:pPr>
    </w:lvl>
  </w:abstractNum>
  <w:abstractNum w:abstractNumId="10">
    <w:nsid w:val="7C78FF20"/>
    <w:multiLevelType w:val="singleLevel"/>
    <w:tmpl w:val="7C78FF20"/>
    <w:lvl w:ilvl="0" w:tentative="0">
      <w:start w:val="1"/>
      <w:numFmt w:val="decimal"/>
      <w:lvlText w:val="(%1)"/>
      <w:lvlJc w:val="left"/>
      <w:pPr>
        <w:tabs>
          <w:tab w:val="left" w:pos="420"/>
        </w:tabs>
        <w:ind w:left="845" w:hanging="425"/>
      </w:pPr>
      <w:rPr>
        <w:rFonts w:hint="default"/>
      </w:rPr>
    </w:lvl>
  </w:abstractNum>
  <w:num w:numId="1">
    <w:abstractNumId w:val="9"/>
  </w:num>
  <w:num w:numId="2">
    <w:abstractNumId w:val="6"/>
  </w:num>
  <w:num w:numId="3">
    <w:abstractNumId w:val="1"/>
  </w:num>
  <w:num w:numId="4">
    <w:abstractNumId w:val="2"/>
  </w:num>
  <w:num w:numId="5">
    <w:abstractNumId w:val="5"/>
  </w:num>
  <w:num w:numId="6">
    <w:abstractNumId w:val="8"/>
  </w:num>
  <w:num w:numId="7">
    <w:abstractNumId w:val="10"/>
  </w:num>
  <w:num w:numId="8">
    <w:abstractNumId w:val="4"/>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91"/>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2OGIxYzZjMTgyN2YzODY3MmEzZDcyZmU2Yjc1MmYifQ=="/>
  </w:docVars>
  <w:rsids>
    <w:rsidRoot w:val="00172A27"/>
    <w:rsid w:val="00001555"/>
    <w:rsid w:val="00002208"/>
    <w:rsid w:val="00003935"/>
    <w:rsid w:val="00004681"/>
    <w:rsid w:val="00010ECC"/>
    <w:rsid w:val="00013441"/>
    <w:rsid w:val="00014DDD"/>
    <w:rsid w:val="00020516"/>
    <w:rsid w:val="00020601"/>
    <w:rsid w:val="00021543"/>
    <w:rsid w:val="00025117"/>
    <w:rsid w:val="000257AD"/>
    <w:rsid w:val="00025CFC"/>
    <w:rsid w:val="000277AC"/>
    <w:rsid w:val="00031FAC"/>
    <w:rsid w:val="00034D5F"/>
    <w:rsid w:val="000370A2"/>
    <w:rsid w:val="0003743F"/>
    <w:rsid w:val="0003778E"/>
    <w:rsid w:val="00042D6B"/>
    <w:rsid w:val="00043546"/>
    <w:rsid w:val="00050A5E"/>
    <w:rsid w:val="0005426F"/>
    <w:rsid w:val="00054AD5"/>
    <w:rsid w:val="00062D81"/>
    <w:rsid w:val="00063B94"/>
    <w:rsid w:val="00065758"/>
    <w:rsid w:val="000675AD"/>
    <w:rsid w:val="0007230D"/>
    <w:rsid w:val="00072E7F"/>
    <w:rsid w:val="000736B8"/>
    <w:rsid w:val="00075C56"/>
    <w:rsid w:val="0007646C"/>
    <w:rsid w:val="00077A7E"/>
    <w:rsid w:val="00081966"/>
    <w:rsid w:val="00083005"/>
    <w:rsid w:val="00084417"/>
    <w:rsid w:val="000930AD"/>
    <w:rsid w:val="000953D9"/>
    <w:rsid w:val="00095E0A"/>
    <w:rsid w:val="0009617B"/>
    <w:rsid w:val="00096DCD"/>
    <w:rsid w:val="000A4F6E"/>
    <w:rsid w:val="000A714D"/>
    <w:rsid w:val="000B0284"/>
    <w:rsid w:val="000B170A"/>
    <w:rsid w:val="000B3A4F"/>
    <w:rsid w:val="000B3EC2"/>
    <w:rsid w:val="000C1217"/>
    <w:rsid w:val="000C3228"/>
    <w:rsid w:val="000C35B2"/>
    <w:rsid w:val="000C451A"/>
    <w:rsid w:val="000C4F4D"/>
    <w:rsid w:val="000D163A"/>
    <w:rsid w:val="000D2494"/>
    <w:rsid w:val="000D24AE"/>
    <w:rsid w:val="000E0010"/>
    <w:rsid w:val="000E0FD2"/>
    <w:rsid w:val="000E41FF"/>
    <w:rsid w:val="000E6611"/>
    <w:rsid w:val="000F1DAD"/>
    <w:rsid w:val="00102157"/>
    <w:rsid w:val="00103D30"/>
    <w:rsid w:val="00104E37"/>
    <w:rsid w:val="001057BF"/>
    <w:rsid w:val="00105E4D"/>
    <w:rsid w:val="00107B95"/>
    <w:rsid w:val="001137A1"/>
    <w:rsid w:val="0011419C"/>
    <w:rsid w:val="00120B04"/>
    <w:rsid w:val="00127A75"/>
    <w:rsid w:val="00127C66"/>
    <w:rsid w:val="00131002"/>
    <w:rsid w:val="00133FBE"/>
    <w:rsid w:val="00134CE2"/>
    <w:rsid w:val="00136251"/>
    <w:rsid w:val="00144BB6"/>
    <w:rsid w:val="00145785"/>
    <w:rsid w:val="00145AF6"/>
    <w:rsid w:val="00146CAC"/>
    <w:rsid w:val="0014717B"/>
    <w:rsid w:val="00147A78"/>
    <w:rsid w:val="001512FA"/>
    <w:rsid w:val="00151DDF"/>
    <w:rsid w:val="00164095"/>
    <w:rsid w:val="00164246"/>
    <w:rsid w:val="001643F5"/>
    <w:rsid w:val="00166DF3"/>
    <w:rsid w:val="00167DE8"/>
    <w:rsid w:val="00172A27"/>
    <w:rsid w:val="00172C53"/>
    <w:rsid w:val="00173E28"/>
    <w:rsid w:val="0017571B"/>
    <w:rsid w:val="00175B3B"/>
    <w:rsid w:val="00180F51"/>
    <w:rsid w:val="00180FBE"/>
    <w:rsid w:val="00184392"/>
    <w:rsid w:val="00185D82"/>
    <w:rsid w:val="00186AF0"/>
    <w:rsid w:val="0018709E"/>
    <w:rsid w:val="001874D9"/>
    <w:rsid w:val="001A54EF"/>
    <w:rsid w:val="001A6049"/>
    <w:rsid w:val="001A60CA"/>
    <w:rsid w:val="001A6745"/>
    <w:rsid w:val="001A7F53"/>
    <w:rsid w:val="001B0F64"/>
    <w:rsid w:val="001B29D2"/>
    <w:rsid w:val="001B3313"/>
    <w:rsid w:val="001B412E"/>
    <w:rsid w:val="001B6452"/>
    <w:rsid w:val="001B6D11"/>
    <w:rsid w:val="001B7171"/>
    <w:rsid w:val="001C198C"/>
    <w:rsid w:val="001C1C55"/>
    <w:rsid w:val="001C3DAC"/>
    <w:rsid w:val="001C6488"/>
    <w:rsid w:val="001C7ADC"/>
    <w:rsid w:val="001D4F44"/>
    <w:rsid w:val="001E12EC"/>
    <w:rsid w:val="001E3B3B"/>
    <w:rsid w:val="001E4342"/>
    <w:rsid w:val="001E4C35"/>
    <w:rsid w:val="001E6D65"/>
    <w:rsid w:val="001E7745"/>
    <w:rsid w:val="001F17B9"/>
    <w:rsid w:val="001F6410"/>
    <w:rsid w:val="001F6BDF"/>
    <w:rsid w:val="001F757A"/>
    <w:rsid w:val="001F75C3"/>
    <w:rsid w:val="00200C21"/>
    <w:rsid w:val="00202E65"/>
    <w:rsid w:val="0021583F"/>
    <w:rsid w:val="00216D08"/>
    <w:rsid w:val="002208C0"/>
    <w:rsid w:val="00220BBB"/>
    <w:rsid w:val="00221006"/>
    <w:rsid w:val="00221C08"/>
    <w:rsid w:val="00221F0F"/>
    <w:rsid w:val="0022259D"/>
    <w:rsid w:val="00222D2B"/>
    <w:rsid w:val="00223E14"/>
    <w:rsid w:val="0022495D"/>
    <w:rsid w:val="00226889"/>
    <w:rsid w:val="00226AE6"/>
    <w:rsid w:val="00227116"/>
    <w:rsid w:val="00232ECC"/>
    <w:rsid w:val="00236135"/>
    <w:rsid w:val="00246F82"/>
    <w:rsid w:val="002517C7"/>
    <w:rsid w:val="00253A00"/>
    <w:rsid w:val="00262829"/>
    <w:rsid w:val="00263C4E"/>
    <w:rsid w:val="00265520"/>
    <w:rsid w:val="00265556"/>
    <w:rsid w:val="00270680"/>
    <w:rsid w:val="0027131A"/>
    <w:rsid w:val="00271E71"/>
    <w:rsid w:val="002736E1"/>
    <w:rsid w:val="0027512D"/>
    <w:rsid w:val="00275592"/>
    <w:rsid w:val="00276C09"/>
    <w:rsid w:val="00277DB1"/>
    <w:rsid w:val="002806DC"/>
    <w:rsid w:val="00280EB2"/>
    <w:rsid w:val="00282B8E"/>
    <w:rsid w:val="0028391D"/>
    <w:rsid w:val="00286E5E"/>
    <w:rsid w:val="002870F1"/>
    <w:rsid w:val="002878E5"/>
    <w:rsid w:val="002965B3"/>
    <w:rsid w:val="00297460"/>
    <w:rsid w:val="002A1854"/>
    <w:rsid w:val="002A2F16"/>
    <w:rsid w:val="002A34DC"/>
    <w:rsid w:val="002A3546"/>
    <w:rsid w:val="002A3D3E"/>
    <w:rsid w:val="002A4031"/>
    <w:rsid w:val="002A4153"/>
    <w:rsid w:val="002A5EA1"/>
    <w:rsid w:val="002B4D9A"/>
    <w:rsid w:val="002B621E"/>
    <w:rsid w:val="002B7372"/>
    <w:rsid w:val="002C3512"/>
    <w:rsid w:val="002D0738"/>
    <w:rsid w:val="002E0377"/>
    <w:rsid w:val="002E09F8"/>
    <w:rsid w:val="002E20D8"/>
    <w:rsid w:val="002E2EC2"/>
    <w:rsid w:val="002E4D51"/>
    <w:rsid w:val="002F0C25"/>
    <w:rsid w:val="002F70EB"/>
    <w:rsid w:val="002F7DCF"/>
    <w:rsid w:val="00303DD0"/>
    <w:rsid w:val="0030575A"/>
    <w:rsid w:val="00310253"/>
    <w:rsid w:val="00314B8E"/>
    <w:rsid w:val="00315B1B"/>
    <w:rsid w:val="00317BB2"/>
    <w:rsid w:val="00320941"/>
    <w:rsid w:val="00321CD1"/>
    <w:rsid w:val="00322853"/>
    <w:rsid w:val="00323804"/>
    <w:rsid w:val="00326E33"/>
    <w:rsid w:val="003319CA"/>
    <w:rsid w:val="00337F26"/>
    <w:rsid w:val="00346A3A"/>
    <w:rsid w:val="0034776A"/>
    <w:rsid w:val="00350EB7"/>
    <w:rsid w:val="00352008"/>
    <w:rsid w:val="0035480C"/>
    <w:rsid w:val="00355B78"/>
    <w:rsid w:val="00357908"/>
    <w:rsid w:val="00357E77"/>
    <w:rsid w:val="00360AA4"/>
    <w:rsid w:val="00363772"/>
    <w:rsid w:val="003657DC"/>
    <w:rsid w:val="00365F4B"/>
    <w:rsid w:val="00367BCD"/>
    <w:rsid w:val="003701BA"/>
    <w:rsid w:val="00371529"/>
    <w:rsid w:val="00373901"/>
    <w:rsid w:val="00374A69"/>
    <w:rsid w:val="003779F3"/>
    <w:rsid w:val="00381551"/>
    <w:rsid w:val="00384BA8"/>
    <w:rsid w:val="00393CD8"/>
    <w:rsid w:val="003951B5"/>
    <w:rsid w:val="00395518"/>
    <w:rsid w:val="00395928"/>
    <w:rsid w:val="0039783E"/>
    <w:rsid w:val="003A5A20"/>
    <w:rsid w:val="003B2999"/>
    <w:rsid w:val="003B49EE"/>
    <w:rsid w:val="003B6D35"/>
    <w:rsid w:val="003C162A"/>
    <w:rsid w:val="003C5DA4"/>
    <w:rsid w:val="003C731A"/>
    <w:rsid w:val="003C78F6"/>
    <w:rsid w:val="003D2B73"/>
    <w:rsid w:val="003D3AFA"/>
    <w:rsid w:val="003D5FBF"/>
    <w:rsid w:val="003D6D21"/>
    <w:rsid w:val="003D6DFC"/>
    <w:rsid w:val="003D7043"/>
    <w:rsid w:val="003D73A0"/>
    <w:rsid w:val="003D7E0B"/>
    <w:rsid w:val="003E1933"/>
    <w:rsid w:val="003E50C0"/>
    <w:rsid w:val="003E6B2E"/>
    <w:rsid w:val="003F3573"/>
    <w:rsid w:val="003F4BD4"/>
    <w:rsid w:val="003F5716"/>
    <w:rsid w:val="003F6430"/>
    <w:rsid w:val="003F6BC0"/>
    <w:rsid w:val="0040128E"/>
    <w:rsid w:val="0040440B"/>
    <w:rsid w:val="00406B71"/>
    <w:rsid w:val="00406C2F"/>
    <w:rsid w:val="00410B09"/>
    <w:rsid w:val="0041111C"/>
    <w:rsid w:val="0041339F"/>
    <w:rsid w:val="00420557"/>
    <w:rsid w:val="00422956"/>
    <w:rsid w:val="00423564"/>
    <w:rsid w:val="00430E0E"/>
    <w:rsid w:val="004321ED"/>
    <w:rsid w:val="0043267D"/>
    <w:rsid w:val="00433079"/>
    <w:rsid w:val="0043624A"/>
    <w:rsid w:val="00445E67"/>
    <w:rsid w:val="0045079F"/>
    <w:rsid w:val="00454105"/>
    <w:rsid w:val="00456FA7"/>
    <w:rsid w:val="00462BD5"/>
    <w:rsid w:val="00465052"/>
    <w:rsid w:val="004706CB"/>
    <w:rsid w:val="00472DD5"/>
    <w:rsid w:val="0047608D"/>
    <w:rsid w:val="00477DE4"/>
    <w:rsid w:val="00477EC8"/>
    <w:rsid w:val="004804F1"/>
    <w:rsid w:val="00480C81"/>
    <w:rsid w:val="00481C6C"/>
    <w:rsid w:val="0048448B"/>
    <w:rsid w:val="00485DF2"/>
    <w:rsid w:val="00487BD9"/>
    <w:rsid w:val="00491C17"/>
    <w:rsid w:val="004965EE"/>
    <w:rsid w:val="004A06EC"/>
    <w:rsid w:val="004A37B8"/>
    <w:rsid w:val="004A507E"/>
    <w:rsid w:val="004A63D8"/>
    <w:rsid w:val="004B1FA3"/>
    <w:rsid w:val="004B3FD3"/>
    <w:rsid w:val="004B596D"/>
    <w:rsid w:val="004B7EF9"/>
    <w:rsid w:val="004C1312"/>
    <w:rsid w:val="004C6101"/>
    <w:rsid w:val="004D0C0B"/>
    <w:rsid w:val="004D581C"/>
    <w:rsid w:val="004E4947"/>
    <w:rsid w:val="004F3656"/>
    <w:rsid w:val="004F4083"/>
    <w:rsid w:val="004F5828"/>
    <w:rsid w:val="00500C0E"/>
    <w:rsid w:val="005046BE"/>
    <w:rsid w:val="00504D67"/>
    <w:rsid w:val="00506808"/>
    <w:rsid w:val="00511560"/>
    <w:rsid w:val="00514189"/>
    <w:rsid w:val="0051422A"/>
    <w:rsid w:val="00516DB4"/>
    <w:rsid w:val="00523968"/>
    <w:rsid w:val="0053126E"/>
    <w:rsid w:val="00533F96"/>
    <w:rsid w:val="0053581B"/>
    <w:rsid w:val="00535B75"/>
    <w:rsid w:val="005379B3"/>
    <w:rsid w:val="00537FA9"/>
    <w:rsid w:val="0054158E"/>
    <w:rsid w:val="00544321"/>
    <w:rsid w:val="00544E1D"/>
    <w:rsid w:val="00545828"/>
    <w:rsid w:val="00545967"/>
    <w:rsid w:val="005463AB"/>
    <w:rsid w:val="005510C1"/>
    <w:rsid w:val="005557D4"/>
    <w:rsid w:val="00557C76"/>
    <w:rsid w:val="00560184"/>
    <w:rsid w:val="00563C04"/>
    <w:rsid w:val="00564B81"/>
    <w:rsid w:val="005651CD"/>
    <w:rsid w:val="00565FCB"/>
    <w:rsid w:val="0057000E"/>
    <w:rsid w:val="005729DE"/>
    <w:rsid w:val="005807A7"/>
    <w:rsid w:val="00582FDC"/>
    <w:rsid w:val="00586B40"/>
    <w:rsid w:val="00595579"/>
    <w:rsid w:val="005969B4"/>
    <w:rsid w:val="00597318"/>
    <w:rsid w:val="005A134B"/>
    <w:rsid w:val="005A1909"/>
    <w:rsid w:val="005A2D97"/>
    <w:rsid w:val="005A3ADA"/>
    <w:rsid w:val="005B3B03"/>
    <w:rsid w:val="005B3FFC"/>
    <w:rsid w:val="005B4BB7"/>
    <w:rsid w:val="005B67F9"/>
    <w:rsid w:val="005C0CFD"/>
    <w:rsid w:val="005C147B"/>
    <w:rsid w:val="005C39F6"/>
    <w:rsid w:val="005C5390"/>
    <w:rsid w:val="005D1955"/>
    <w:rsid w:val="005D2053"/>
    <w:rsid w:val="005E01A1"/>
    <w:rsid w:val="005E31B1"/>
    <w:rsid w:val="005E51A0"/>
    <w:rsid w:val="005E5F6A"/>
    <w:rsid w:val="005E6E62"/>
    <w:rsid w:val="005E7AD2"/>
    <w:rsid w:val="005F081A"/>
    <w:rsid w:val="005F0F1D"/>
    <w:rsid w:val="005F1FAD"/>
    <w:rsid w:val="005F730C"/>
    <w:rsid w:val="00603818"/>
    <w:rsid w:val="00603EBB"/>
    <w:rsid w:val="00604748"/>
    <w:rsid w:val="006048BF"/>
    <w:rsid w:val="0060714D"/>
    <w:rsid w:val="00612EB8"/>
    <w:rsid w:val="00623D04"/>
    <w:rsid w:val="00631815"/>
    <w:rsid w:val="00632B9C"/>
    <w:rsid w:val="006351EF"/>
    <w:rsid w:val="00635D9D"/>
    <w:rsid w:val="00637BD0"/>
    <w:rsid w:val="00640F44"/>
    <w:rsid w:val="006416D5"/>
    <w:rsid w:val="00641DE5"/>
    <w:rsid w:val="00647B7A"/>
    <w:rsid w:val="00652F3D"/>
    <w:rsid w:val="00673125"/>
    <w:rsid w:val="006747FB"/>
    <w:rsid w:val="00676A0C"/>
    <w:rsid w:val="006774B7"/>
    <w:rsid w:val="0068064B"/>
    <w:rsid w:val="00684880"/>
    <w:rsid w:val="00684B41"/>
    <w:rsid w:val="0068552D"/>
    <w:rsid w:val="00695DFC"/>
    <w:rsid w:val="00696FC1"/>
    <w:rsid w:val="006A088D"/>
    <w:rsid w:val="006A36FD"/>
    <w:rsid w:val="006A3DA0"/>
    <w:rsid w:val="006A3DE1"/>
    <w:rsid w:val="006A56D5"/>
    <w:rsid w:val="006B1323"/>
    <w:rsid w:val="006B3780"/>
    <w:rsid w:val="006B3E9D"/>
    <w:rsid w:val="006B4954"/>
    <w:rsid w:val="006B502E"/>
    <w:rsid w:val="006B5D29"/>
    <w:rsid w:val="006C09EA"/>
    <w:rsid w:val="006C1AAE"/>
    <w:rsid w:val="006C410A"/>
    <w:rsid w:val="006C55B5"/>
    <w:rsid w:val="006D02F9"/>
    <w:rsid w:val="006D07D8"/>
    <w:rsid w:val="006D5C15"/>
    <w:rsid w:val="006E0300"/>
    <w:rsid w:val="006E140C"/>
    <w:rsid w:val="006E2E7C"/>
    <w:rsid w:val="006F1609"/>
    <w:rsid w:val="006F1E05"/>
    <w:rsid w:val="006F3793"/>
    <w:rsid w:val="006F54B5"/>
    <w:rsid w:val="006F5855"/>
    <w:rsid w:val="006F7EB3"/>
    <w:rsid w:val="007002FE"/>
    <w:rsid w:val="007047CD"/>
    <w:rsid w:val="00717C55"/>
    <w:rsid w:val="007200F3"/>
    <w:rsid w:val="0072082F"/>
    <w:rsid w:val="00723CC6"/>
    <w:rsid w:val="0072579B"/>
    <w:rsid w:val="0072614C"/>
    <w:rsid w:val="00731595"/>
    <w:rsid w:val="00740DD0"/>
    <w:rsid w:val="007440AF"/>
    <w:rsid w:val="00745D84"/>
    <w:rsid w:val="00750FF8"/>
    <w:rsid w:val="007514F1"/>
    <w:rsid w:val="00756465"/>
    <w:rsid w:val="007613CD"/>
    <w:rsid w:val="007618D6"/>
    <w:rsid w:val="007622E5"/>
    <w:rsid w:val="00762628"/>
    <w:rsid w:val="00762921"/>
    <w:rsid w:val="007668CA"/>
    <w:rsid w:val="00767E4D"/>
    <w:rsid w:val="00770C3E"/>
    <w:rsid w:val="00770C8F"/>
    <w:rsid w:val="007748D3"/>
    <w:rsid w:val="007751BC"/>
    <w:rsid w:val="00775309"/>
    <w:rsid w:val="00776027"/>
    <w:rsid w:val="00776229"/>
    <w:rsid w:val="00776E79"/>
    <w:rsid w:val="00783BE1"/>
    <w:rsid w:val="00783EF4"/>
    <w:rsid w:val="007840CD"/>
    <w:rsid w:val="00784C5A"/>
    <w:rsid w:val="0078511F"/>
    <w:rsid w:val="00792EC4"/>
    <w:rsid w:val="00793602"/>
    <w:rsid w:val="00797A56"/>
    <w:rsid w:val="007A099C"/>
    <w:rsid w:val="007A42EB"/>
    <w:rsid w:val="007A5201"/>
    <w:rsid w:val="007A74FD"/>
    <w:rsid w:val="007A7C09"/>
    <w:rsid w:val="007B0B7D"/>
    <w:rsid w:val="007B2ED3"/>
    <w:rsid w:val="007B3751"/>
    <w:rsid w:val="007B4240"/>
    <w:rsid w:val="007B5A7F"/>
    <w:rsid w:val="007B606D"/>
    <w:rsid w:val="007B7E57"/>
    <w:rsid w:val="007C4448"/>
    <w:rsid w:val="007C6683"/>
    <w:rsid w:val="007D0D51"/>
    <w:rsid w:val="007D1717"/>
    <w:rsid w:val="007D2F25"/>
    <w:rsid w:val="007D3BF4"/>
    <w:rsid w:val="007E546E"/>
    <w:rsid w:val="007E70FA"/>
    <w:rsid w:val="007F13CC"/>
    <w:rsid w:val="007F2C2C"/>
    <w:rsid w:val="007F344C"/>
    <w:rsid w:val="008039FA"/>
    <w:rsid w:val="00804E05"/>
    <w:rsid w:val="00804F50"/>
    <w:rsid w:val="008100E7"/>
    <w:rsid w:val="00811F26"/>
    <w:rsid w:val="00813FC7"/>
    <w:rsid w:val="00816A31"/>
    <w:rsid w:val="00820512"/>
    <w:rsid w:val="0082098D"/>
    <w:rsid w:val="00822219"/>
    <w:rsid w:val="008224FE"/>
    <w:rsid w:val="00822FF8"/>
    <w:rsid w:val="00823389"/>
    <w:rsid w:val="008278ED"/>
    <w:rsid w:val="008318BF"/>
    <w:rsid w:val="00831B76"/>
    <w:rsid w:val="00837BD3"/>
    <w:rsid w:val="0084356F"/>
    <w:rsid w:val="00844136"/>
    <w:rsid w:val="00845AF9"/>
    <w:rsid w:val="00846467"/>
    <w:rsid w:val="008505D7"/>
    <w:rsid w:val="0085116D"/>
    <w:rsid w:val="00853DA2"/>
    <w:rsid w:val="008543F9"/>
    <w:rsid w:val="0085493A"/>
    <w:rsid w:val="008557A5"/>
    <w:rsid w:val="008573FD"/>
    <w:rsid w:val="008607F3"/>
    <w:rsid w:val="008615BF"/>
    <w:rsid w:val="00861F04"/>
    <w:rsid w:val="00864244"/>
    <w:rsid w:val="00865114"/>
    <w:rsid w:val="0086754C"/>
    <w:rsid w:val="008729F9"/>
    <w:rsid w:val="00874AF3"/>
    <w:rsid w:val="00875555"/>
    <w:rsid w:val="00876AFF"/>
    <w:rsid w:val="008812D4"/>
    <w:rsid w:val="00881683"/>
    <w:rsid w:val="00893AC6"/>
    <w:rsid w:val="00893FD1"/>
    <w:rsid w:val="0089410A"/>
    <w:rsid w:val="008978A8"/>
    <w:rsid w:val="00897C3D"/>
    <w:rsid w:val="008A0AEF"/>
    <w:rsid w:val="008A1EB8"/>
    <w:rsid w:val="008A254B"/>
    <w:rsid w:val="008A2F08"/>
    <w:rsid w:val="008A5413"/>
    <w:rsid w:val="008A63E9"/>
    <w:rsid w:val="008A7424"/>
    <w:rsid w:val="008A749A"/>
    <w:rsid w:val="008B048D"/>
    <w:rsid w:val="008B6734"/>
    <w:rsid w:val="008C060B"/>
    <w:rsid w:val="008C2208"/>
    <w:rsid w:val="008C39D1"/>
    <w:rsid w:val="008C6E34"/>
    <w:rsid w:val="008D015E"/>
    <w:rsid w:val="008D311C"/>
    <w:rsid w:val="008D4FC4"/>
    <w:rsid w:val="008D52AE"/>
    <w:rsid w:val="008D70BB"/>
    <w:rsid w:val="008E3DB6"/>
    <w:rsid w:val="008E4FBE"/>
    <w:rsid w:val="008F3051"/>
    <w:rsid w:val="008F465B"/>
    <w:rsid w:val="008F4FC8"/>
    <w:rsid w:val="008F53D4"/>
    <w:rsid w:val="008F7E6C"/>
    <w:rsid w:val="00901617"/>
    <w:rsid w:val="0090368B"/>
    <w:rsid w:val="00906C6B"/>
    <w:rsid w:val="009101C9"/>
    <w:rsid w:val="00910D9C"/>
    <w:rsid w:val="00910EAA"/>
    <w:rsid w:val="009124F1"/>
    <w:rsid w:val="00915127"/>
    <w:rsid w:val="0091741D"/>
    <w:rsid w:val="009212A2"/>
    <w:rsid w:val="00921F84"/>
    <w:rsid w:val="009243F0"/>
    <w:rsid w:val="00924E6D"/>
    <w:rsid w:val="00925653"/>
    <w:rsid w:val="00933038"/>
    <w:rsid w:val="0093397B"/>
    <w:rsid w:val="00937827"/>
    <w:rsid w:val="00941D1A"/>
    <w:rsid w:val="0094299D"/>
    <w:rsid w:val="00944BF4"/>
    <w:rsid w:val="00945787"/>
    <w:rsid w:val="0094677D"/>
    <w:rsid w:val="00950AC3"/>
    <w:rsid w:val="00955BA7"/>
    <w:rsid w:val="00960058"/>
    <w:rsid w:val="0096084D"/>
    <w:rsid w:val="009657C0"/>
    <w:rsid w:val="009670BC"/>
    <w:rsid w:val="00967508"/>
    <w:rsid w:val="0097079F"/>
    <w:rsid w:val="00974384"/>
    <w:rsid w:val="00974D76"/>
    <w:rsid w:val="00975218"/>
    <w:rsid w:val="00986AB7"/>
    <w:rsid w:val="00987960"/>
    <w:rsid w:val="009879B3"/>
    <w:rsid w:val="00991D95"/>
    <w:rsid w:val="00992E07"/>
    <w:rsid w:val="00994C76"/>
    <w:rsid w:val="009A0896"/>
    <w:rsid w:val="009A5D12"/>
    <w:rsid w:val="009A7558"/>
    <w:rsid w:val="009B43FF"/>
    <w:rsid w:val="009B5A78"/>
    <w:rsid w:val="009C066E"/>
    <w:rsid w:val="009C280F"/>
    <w:rsid w:val="009C7B89"/>
    <w:rsid w:val="009D09E6"/>
    <w:rsid w:val="009D0C56"/>
    <w:rsid w:val="009D2480"/>
    <w:rsid w:val="009E0923"/>
    <w:rsid w:val="009E09E2"/>
    <w:rsid w:val="009E4B93"/>
    <w:rsid w:val="009E5DF9"/>
    <w:rsid w:val="009E70FB"/>
    <w:rsid w:val="009F1E58"/>
    <w:rsid w:val="009F1EFB"/>
    <w:rsid w:val="009F4236"/>
    <w:rsid w:val="009F4E26"/>
    <w:rsid w:val="009F60A5"/>
    <w:rsid w:val="00A01BB3"/>
    <w:rsid w:val="00A0320E"/>
    <w:rsid w:val="00A03CD9"/>
    <w:rsid w:val="00A11972"/>
    <w:rsid w:val="00A156CB"/>
    <w:rsid w:val="00A15F10"/>
    <w:rsid w:val="00A22C5D"/>
    <w:rsid w:val="00A25196"/>
    <w:rsid w:val="00A31712"/>
    <w:rsid w:val="00A32FFF"/>
    <w:rsid w:val="00A3454A"/>
    <w:rsid w:val="00A34BFB"/>
    <w:rsid w:val="00A35E4B"/>
    <w:rsid w:val="00A3631B"/>
    <w:rsid w:val="00A40976"/>
    <w:rsid w:val="00A4362A"/>
    <w:rsid w:val="00A46BAC"/>
    <w:rsid w:val="00A4704B"/>
    <w:rsid w:val="00A50206"/>
    <w:rsid w:val="00A51DE1"/>
    <w:rsid w:val="00A54AB4"/>
    <w:rsid w:val="00A55858"/>
    <w:rsid w:val="00A57281"/>
    <w:rsid w:val="00A63316"/>
    <w:rsid w:val="00A63FF0"/>
    <w:rsid w:val="00A65F83"/>
    <w:rsid w:val="00A661D7"/>
    <w:rsid w:val="00A67BBC"/>
    <w:rsid w:val="00A72840"/>
    <w:rsid w:val="00A731AD"/>
    <w:rsid w:val="00A75219"/>
    <w:rsid w:val="00A762B3"/>
    <w:rsid w:val="00A8592D"/>
    <w:rsid w:val="00A91532"/>
    <w:rsid w:val="00A92284"/>
    <w:rsid w:val="00A94912"/>
    <w:rsid w:val="00A95915"/>
    <w:rsid w:val="00A9740F"/>
    <w:rsid w:val="00AA4F87"/>
    <w:rsid w:val="00AA6CAC"/>
    <w:rsid w:val="00AB1516"/>
    <w:rsid w:val="00AB23BB"/>
    <w:rsid w:val="00AB708A"/>
    <w:rsid w:val="00AC03F1"/>
    <w:rsid w:val="00AC09C8"/>
    <w:rsid w:val="00AC1FF4"/>
    <w:rsid w:val="00AC5DA9"/>
    <w:rsid w:val="00AC6FAE"/>
    <w:rsid w:val="00AC7AF5"/>
    <w:rsid w:val="00AD0C39"/>
    <w:rsid w:val="00AD0F16"/>
    <w:rsid w:val="00AD452B"/>
    <w:rsid w:val="00AD7E30"/>
    <w:rsid w:val="00AE1B20"/>
    <w:rsid w:val="00AE570F"/>
    <w:rsid w:val="00AE78CC"/>
    <w:rsid w:val="00AF37B4"/>
    <w:rsid w:val="00AF7A30"/>
    <w:rsid w:val="00B01592"/>
    <w:rsid w:val="00B02E08"/>
    <w:rsid w:val="00B031AB"/>
    <w:rsid w:val="00B05C10"/>
    <w:rsid w:val="00B072E7"/>
    <w:rsid w:val="00B11192"/>
    <w:rsid w:val="00B11693"/>
    <w:rsid w:val="00B11BEB"/>
    <w:rsid w:val="00B21C20"/>
    <w:rsid w:val="00B239AD"/>
    <w:rsid w:val="00B24DB6"/>
    <w:rsid w:val="00B260AC"/>
    <w:rsid w:val="00B32C56"/>
    <w:rsid w:val="00B32DAA"/>
    <w:rsid w:val="00B3554A"/>
    <w:rsid w:val="00B37137"/>
    <w:rsid w:val="00B37EB9"/>
    <w:rsid w:val="00B4067F"/>
    <w:rsid w:val="00B40B1B"/>
    <w:rsid w:val="00B40E4E"/>
    <w:rsid w:val="00B44112"/>
    <w:rsid w:val="00B51D97"/>
    <w:rsid w:val="00B523E7"/>
    <w:rsid w:val="00B52935"/>
    <w:rsid w:val="00B53881"/>
    <w:rsid w:val="00B541A8"/>
    <w:rsid w:val="00B54541"/>
    <w:rsid w:val="00B558C2"/>
    <w:rsid w:val="00B5647E"/>
    <w:rsid w:val="00B569F1"/>
    <w:rsid w:val="00B57865"/>
    <w:rsid w:val="00B61B9D"/>
    <w:rsid w:val="00B61F1D"/>
    <w:rsid w:val="00B64630"/>
    <w:rsid w:val="00B64772"/>
    <w:rsid w:val="00B64F44"/>
    <w:rsid w:val="00B654F2"/>
    <w:rsid w:val="00B71732"/>
    <w:rsid w:val="00B71BC8"/>
    <w:rsid w:val="00B71DC1"/>
    <w:rsid w:val="00B71F6F"/>
    <w:rsid w:val="00B73963"/>
    <w:rsid w:val="00B73B22"/>
    <w:rsid w:val="00B746EC"/>
    <w:rsid w:val="00B74915"/>
    <w:rsid w:val="00B74E53"/>
    <w:rsid w:val="00B76CD4"/>
    <w:rsid w:val="00B7704C"/>
    <w:rsid w:val="00B809E3"/>
    <w:rsid w:val="00B821E7"/>
    <w:rsid w:val="00B83020"/>
    <w:rsid w:val="00B86CA1"/>
    <w:rsid w:val="00B93BE7"/>
    <w:rsid w:val="00B9414C"/>
    <w:rsid w:val="00B958CD"/>
    <w:rsid w:val="00B95E37"/>
    <w:rsid w:val="00B96D17"/>
    <w:rsid w:val="00BA11B3"/>
    <w:rsid w:val="00BA6F11"/>
    <w:rsid w:val="00BB59EA"/>
    <w:rsid w:val="00BC09D2"/>
    <w:rsid w:val="00BC0BF5"/>
    <w:rsid w:val="00BC2A0F"/>
    <w:rsid w:val="00BC5DF6"/>
    <w:rsid w:val="00BC5F6C"/>
    <w:rsid w:val="00BC60B6"/>
    <w:rsid w:val="00BD4A0D"/>
    <w:rsid w:val="00BD4EBB"/>
    <w:rsid w:val="00BE3C78"/>
    <w:rsid w:val="00BE6DA7"/>
    <w:rsid w:val="00BE7DB7"/>
    <w:rsid w:val="00BF77B9"/>
    <w:rsid w:val="00C00147"/>
    <w:rsid w:val="00C01E01"/>
    <w:rsid w:val="00C033A0"/>
    <w:rsid w:val="00C07654"/>
    <w:rsid w:val="00C20987"/>
    <w:rsid w:val="00C31AFD"/>
    <w:rsid w:val="00C40866"/>
    <w:rsid w:val="00C4197C"/>
    <w:rsid w:val="00C47CEF"/>
    <w:rsid w:val="00C54C86"/>
    <w:rsid w:val="00C6123C"/>
    <w:rsid w:val="00C6164B"/>
    <w:rsid w:val="00C62B3D"/>
    <w:rsid w:val="00C62DDC"/>
    <w:rsid w:val="00C6483E"/>
    <w:rsid w:val="00C64DDB"/>
    <w:rsid w:val="00C66904"/>
    <w:rsid w:val="00C66B21"/>
    <w:rsid w:val="00C70225"/>
    <w:rsid w:val="00C73A36"/>
    <w:rsid w:val="00C74DEC"/>
    <w:rsid w:val="00C75563"/>
    <w:rsid w:val="00C851A6"/>
    <w:rsid w:val="00C86B99"/>
    <w:rsid w:val="00C922D8"/>
    <w:rsid w:val="00C953E1"/>
    <w:rsid w:val="00CA3BD7"/>
    <w:rsid w:val="00CA46BA"/>
    <w:rsid w:val="00CA69D8"/>
    <w:rsid w:val="00CB35E3"/>
    <w:rsid w:val="00CB4C01"/>
    <w:rsid w:val="00CB6387"/>
    <w:rsid w:val="00CC25C5"/>
    <w:rsid w:val="00CC501A"/>
    <w:rsid w:val="00CC5A6B"/>
    <w:rsid w:val="00CC6BAE"/>
    <w:rsid w:val="00CD4137"/>
    <w:rsid w:val="00CD7842"/>
    <w:rsid w:val="00CE1481"/>
    <w:rsid w:val="00CE4C25"/>
    <w:rsid w:val="00CF22FE"/>
    <w:rsid w:val="00CF5856"/>
    <w:rsid w:val="00CF6681"/>
    <w:rsid w:val="00CF675C"/>
    <w:rsid w:val="00D01C1C"/>
    <w:rsid w:val="00D03E5E"/>
    <w:rsid w:val="00D040B1"/>
    <w:rsid w:val="00D0518A"/>
    <w:rsid w:val="00D14274"/>
    <w:rsid w:val="00D21E67"/>
    <w:rsid w:val="00D2405C"/>
    <w:rsid w:val="00D2648A"/>
    <w:rsid w:val="00D26570"/>
    <w:rsid w:val="00D268F3"/>
    <w:rsid w:val="00D27906"/>
    <w:rsid w:val="00D31980"/>
    <w:rsid w:val="00D32D94"/>
    <w:rsid w:val="00D41480"/>
    <w:rsid w:val="00D41AA5"/>
    <w:rsid w:val="00D42DC7"/>
    <w:rsid w:val="00D43F11"/>
    <w:rsid w:val="00D44874"/>
    <w:rsid w:val="00D45D56"/>
    <w:rsid w:val="00D50778"/>
    <w:rsid w:val="00D5388E"/>
    <w:rsid w:val="00D53917"/>
    <w:rsid w:val="00D53FCB"/>
    <w:rsid w:val="00D543C0"/>
    <w:rsid w:val="00D54C63"/>
    <w:rsid w:val="00D54CA9"/>
    <w:rsid w:val="00D6429B"/>
    <w:rsid w:val="00D65008"/>
    <w:rsid w:val="00D67DB2"/>
    <w:rsid w:val="00D706B1"/>
    <w:rsid w:val="00D72422"/>
    <w:rsid w:val="00D72D76"/>
    <w:rsid w:val="00D80104"/>
    <w:rsid w:val="00D8252B"/>
    <w:rsid w:val="00D84BAD"/>
    <w:rsid w:val="00D84E31"/>
    <w:rsid w:val="00D862C4"/>
    <w:rsid w:val="00D90055"/>
    <w:rsid w:val="00D92794"/>
    <w:rsid w:val="00DA2DF6"/>
    <w:rsid w:val="00DA6264"/>
    <w:rsid w:val="00DB14CC"/>
    <w:rsid w:val="00DC0113"/>
    <w:rsid w:val="00DC0E03"/>
    <w:rsid w:val="00DC2D6C"/>
    <w:rsid w:val="00DC49C1"/>
    <w:rsid w:val="00DC749E"/>
    <w:rsid w:val="00DD062E"/>
    <w:rsid w:val="00DD0C3E"/>
    <w:rsid w:val="00DD126B"/>
    <w:rsid w:val="00DD3872"/>
    <w:rsid w:val="00DE42CF"/>
    <w:rsid w:val="00DF3FBF"/>
    <w:rsid w:val="00DF67F9"/>
    <w:rsid w:val="00E1140D"/>
    <w:rsid w:val="00E11FCE"/>
    <w:rsid w:val="00E13C85"/>
    <w:rsid w:val="00E14B43"/>
    <w:rsid w:val="00E244A2"/>
    <w:rsid w:val="00E27CEF"/>
    <w:rsid w:val="00E314F5"/>
    <w:rsid w:val="00E32A56"/>
    <w:rsid w:val="00E34610"/>
    <w:rsid w:val="00E35A8E"/>
    <w:rsid w:val="00E35FE4"/>
    <w:rsid w:val="00E36949"/>
    <w:rsid w:val="00E36FFC"/>
    <w:rsid w:val="00E40529"/>
    <w:rsid w:val="00E4107A"/>
    <w:rsid w:val="00E42B72"/>
    <w:rsid w:val="00E42C77"/>
    <w:rsid w:val="00E4346F"/>
    <w:rsid w:val="00E467B8"/>
    <w:rsid w:val="00E52CFD"/>
    <w:rsid w:val="00E52F9A"/>
    <w:rsid w:val="00E530AE"/>
    <w:rsid w:val="00E5322D"/>
    <w:rsid w:val="00E54768"/>
    <w:rsid w:val="00E554F2"/>
    <w:rsid w:val="00E568E3"/>
    <w:rsid w:val="00E5709D"/>
    <w:rsid w:val="00E61BCD"/>
    <w:rsid w:val="00E64CDA"/>
    <w:rsid w:val="00E64CEE"/>
    <w:rsid w:val="00E706B7"/>
    <w:rsid w:val="00E70BFC"/>
    <w:rsid w:val="00E714A4"/>
    <w:rsid w:val="00E72A55"/>
    <w:rsid w:val="00E76F25"/>
    <w:rsid w:val="00E77371"/>
    <w:rsid w:val="00E805CE"/>
    <w:rsid w:val="00E82015"/>
    <w:rsid w:val="00E870C3"/>
    <w:rsid w:val="00E91BFD"/>
    <w:rsid w:val="00E9294C"/>
    <w:rsid w:val="00E97093"/>
    <w:rsid w:val="00E971B9"/>
    <w:rsid w:val="00EA1578"/>
    <w:rsid w:val="00EA2C76"/>
    <w:rsid w:val="00EA5DED"/>
    <w:rsid w:val="00EA63F2"/>
    <w:rsid w:val="00EA67FB"/>
    <w:rsid w:val="00EB0FEC"/>
    <w:rsid w:val="00EB4662"/>
    <w:rsid w:val="00EB4F92"/>
    <w:rsid w:val="00EC035C"/>
    <w:rsid w:val="00EC1932"/>
    <w:rsid w:val="00EC6324"/>
    <w:rsid w:val="00ED2560"/>
    <w:rsid w:val="00ED382F"/>
    <w:rsid w:val="00ED7D54"/>
    <w:rsid w:val="00EE1DDD"/>
    <w:rsid w:val="00EE1EBC"/>
    <w:rsid w:val="00EE3B24"/>
    <w:rsid w:val="00EF04D5"/>
    <w:rsid w:val="00EF0FEB"/>
    <w:rsid w:val="00EF376A"/>
    <w:rsid w:val="00EF4E46"/>
    <w:rsid w:val="00EF5988"/>
    <w:rsid w:val="00EF715A"/>
    <w:rsid w:val="00F005F3"/>
    <w:rsid w:val="00F02E7D"/>
    <w:rsid w:val="00F04863"/>
    <w:rsid w:val="00F1094D"/>
    <w:rsid w:val="00F1207C"/>
    <w:rsid w:val="00F1450D"/>
    <w:rsid w:val="00F24F9F"/>
    <w:rsid w:val="00F26495"/>
    <w:rsid w:val="00F26DCB"/>
    <w:rsid w:val="00F30A82"/>
    <w:rsid w:val="00F345A0"/>
    <w:rsid w:val="00F40AAC"/>
    <w:rsid w:val="00F40F54"/>
    <w:rsid w:val="00F43BEC"/>
    <w:rsid w:val="00F464D5"/>
    <w:rsid w:val="00F469FE"/>
    <w:rsid w:val="00F47002"/>
    <w:rsid w:val="00F5189D"/>
    <w:rsid w:val="00F53D3F"/>
    <w:rsid w:val="00F633C5"/>
    <w:rsid w:val="00F67B87"/>
    <w:rsid w:val="00F67F98"/>
    <w:rsid w:val="00F71638"/>
    <w:rsid w:val="00F75265"/>
    <w:rsid w:val="00F75DF2"/>
    <w:rsid w:val="00F77194"/>
    <w:rsid w:val="00F801B1"/>
    <w:rsid w:val="00F82514"/>
    <w:rsid w:val="00F90528"/>
    <w:rsid w:val="00F90B74"/>
    <w:rsid w:val="00F946E2"/>
    <w:rsid w:val="00F962E1"/>
    <w:rsid w:val="00F97094"/>
    <w:rsid w:val="00F973E1"/>
    <w:rsid w:val="00FA527E"/>
    <w:rsid w:val="00FA795A"/>
    <w:rsid w:val="00FB178A"/>
    <w:rsid w:val="00FB3897"/>
    <w:rsid w:val="00FB7654"/>
    <w:rsid w:val="00FB7A63"/>
    <w:rsid w:val="00FC4001"/>
    <w:rsid w:val="00FC4241"/>
    <w:rsid w:val="00FC5FDC"/>
    <w:rsid w:val="00FD0D75"/>
    <w:rsid w:val="00FD5C6E"/>
    <w:rsid w:val="00FD68F5"/>
    <w:rsid w:val="00FD7D97"/>
    <w:rsid w:val="00FE562C"/>
    <w:rsid w:val="00FF46BC"/>
    <w:rsid w:val="00FF4D2D"/>
    <w:rsid w:val="00FF51F3"/>
    <w:rsid w:val="00FF6D17"/>
    <w:rsid w:val="0103445E"/>
    <w:rsid w:val="01120479"/>
    <w:rsid w:val="011F366B"/>
    <w:rsid w:val="01236CD1"/>
    <w:rsid w:val="01334FF4"/>
    <w:rsid w:val="013E13E7"/>
    <w:rsid w:val="01486D7F"/>
    <w:rsid w:val="01837DFC"/>
    <w:rsid w:val="01985C4C"/>
    <w:rsid w:val="01BE78D4"/>
    <w:rsid w:val="01C529E9"/>
    <w:rsid w:val="01F22DC1"/>
    <w:rsid w:val="01FB398A"/>
    <w:rsid w:val="02016F64"/>
    <w:rsid w:val="020A63E2"/>
    <w:rsid w:val="0222150B"/>
    <w:rsid w:val="02377DA4"/>
    <w:rsid w:val="024F477C"/>
    <w:rsid w:val="02965E45"/>
    <w:rsid w:val="02BA1096"/>
    <w:rsid w:val="02D51E20"/>
    <w:rsid w:val="02E025B6"/>
    <w:rsid w:val="02E113B7"/>
    <w:rsid w:val="02ED0332"/>
    <w:rsid w:val="030E3568"/>
    <w:rsid w:val="031926FC"/>
    <w:rsid w:val="032468C6"/>
    <w:rsid w:val="032D79CA"/>
    <w:rsid w:val="033A4330"/>
    <w:rsid w:val="033D192D"/>
    <w:rsid w:val="033D2FD3"/>
    <w:rsid w:val="03542F2B"/>
    <w:rsid w:val="039D7FC0"/>
    <w:rsid w:val="03AA4690"/>
    <w:rsid w:val="03BC36B1"/>
    <w:rsid w:val="03DC2541"/>
    <w:rsid w:val="03EB12EC"/>
    <w:rsid w:val="042637E4"/>
    <w:rsid w:val="044404A4"/>
    <w:rsid w:val="045141F3"/>
    <w:rsid w:val="04582F43"/>
    <w:rsid w:val="046C21D0"/>
    <w:rsid w:val="047615B5"/>
    <w:rsid w:val="04815379"/>
    <w:rsid w:val="04BE315F"/>
    <w:rsid w:val="04C169E7"/>
    <w:rsid w:val="04CD00BB"/>
    <w:rsid w:val="04D63A8A"/>
    <w:rsid w:val="04E61F8D"/>
    <w:rsid w:val="04F24DB2"/>
    <w:rsid w:val="04F353B0"/>
    <w:rsid w:val="05206720"/>
    <w:rsid w:val="0523174C"/>
    <w:rsid w:val="05284B01"/>
    <w:rsid w:val="0528662C"/>
    <w:rsid w:val="05442AF4"/>
    <w:rsid w:val="057C5175"/>
    <w:rsid w:val="059A2095"/>
    <w:rsid w:val="05AA7904"/>
    <w:rsid w:val="05CB3FE6"/>
    <w:rsid w:val="05DE77EA"/>
    <w:rsid w:val="060D6AAF"/>
    <w:rsid w:val="060F3CF8"/>
    <w:rsid w:val="0622018E"/>
    <w:rsid w:val="06497AC1"/>
    <w:rsid w:val="06502CB4"/>
    <w:rsid w:val="06640CA4"/>
    <w:rsid w:val="066B76FB"/>
    <w:rsid w:val="06957F90"/>
    <w:rsid w:val="06A42F11"/>
    <w:rsid w:val="06A65263"/>
    <w:rsid w:val="06A87B60"/>
    <w:rsid w:val="06B95F54"/>
    <w:rsid w:val="06BC7C85"/>
    <w:rsid w:val="06D46291"/>
    <w:rsid w:val="06F10509"/>
    <w:rsid w:val="06F3065B"/>
    <w:rsid w:val="06F63906"/>
    <w:rsid w:val="07035F04"/>
    <w:rsid w:val="0704440F"/>
    <w:rsid w:val="07373BE8"/>
    <w:rsid w:val="07514325"/>
    <w:rsid w:val="077B0015"/>
    <w:rsid w:val="07805F14"/>
    <w:rsid w:val="07813788"/>
    <w:rsid w:val="07B30615"/>
    <w:rsid w:val="07B60D24"/>
    <w:rsid w:val="07D16D13"/>
    <w:rsid w:val="07E81710"/>
    <w:rsid w:val="07EA6F1B"/>
    <w:rsid w:val="08175E57"/>
    <w:rsid w:val="081956D6"/>
    <w:rsid w:val="082459F2"/>
    <w:rsid w:val="082B34DD"/>
    <w:rsid w:val="08326A59"/>
    <w:rsid w:val="085B49C4"/>
    <w:rsid w:val="086728B2"/>
    <w:rsid w:val="087861AD"/>
    <w:rsid w:val="0899481A"/>
    <w:rsid w:val="08AB7DD3"/>
    <w:rsid w:val="08BE0C90"/>
    <w:rsid w:val="08C933B6"/>
    <w:rsid w:val="08CF3F9D"/>
    <w:rsid w:val="08D31323"/>
    <w:rsid w:val="08D40463"/>
    <w:rsid w:val="08EA24DD"/>
    <w:rsid w:val="08F64D53"/>
    <w:rsid w:val="08F860AB"/>
    <w:rsid w:val="091B708B"/>
    <w:rsid w:val="09335E6F"/>
    <w:rsid w:val="093C6528"/>
    <w:rsid w:val="094758C6"/>
    <w:rsid w:val="095B3DEE"/>
    <w:rsid w:val="09600284"/>
    <w:rsid w:val="096535E0"/>
    <w:rsid w:val="099948FD"/>
    <w:rsid w:val="099C6A7F"/>
    <w:rsid w:val="09B50647"/>
    <w:rsid w:val="09CC47B5"/>
    <w:rsid w:val="09F61EEA"/>
    <w:rsid w:val="0A12388E"/>
    <w:rsid w:val="0A196EA2"/>
    <w:rsid w:val="0A290B0F"/>
    <w:rsid w:val="0A2A53B5"/>
    <w:rsid w:val="0A344555"/>
    <w:rsid w:val="0A424F95"/>
    <w:rsid w:val="0A66612B"/>
    <w:rsid w:val="0A8B32F0"/>
    <w:rsid w:val="0ABD00E3"/>
    <w:rsid w:val="0ADE3054"/>
    <w:rsid w:val="0B325CE9"/>
    <w:rsid w:val="0B613989"/>
    <w:rsid w:val="0B631646"/>
    <w:rsid w:val="0B836CE6"/>
    <w:rsid w:val="0B8D3FF9"/>
    <w:rsid w:val="0B902857"/>
    <w:rsid w:val="0BA8011A"/>
    <w:rsid w:val="0BB94150"/>
    <w:rsid w:val="0BD21CE8"/>
    <w:rsid w:val="0C001555"/>
    <w:rsid w:val="0C007C47"/>
    <w:rsid w:val="0C2262FF"/>
    <w:rsid w:val="0C4F43B0"/>
    <w:rsid w:val="0C9E3377"/>
    <w:rsid w:val="0CB247C5"/>
    <w:rsid w:val="0CD77550"/>
    <w:rsid w:val="0CD93960"/>
    <w:rsid w:val="0CF443DD"/>
    <w:rsid w:val="0D062B49"/>
    <w:rsid w:val="0D3B5368"/>
    <w:rsid w:val="0D47443B"/>
    <w:rsid w:val="0D54643C"/>
    <w:rsid w:val="0D9576E6"/>
    <w:rsid w:val="0DA327F3"/>
    <w:rsid w:val="0DA70A34"/>
    <w:rsid w:val="0DAD33DD"/>
    <w:rsid w:val="0DB43079"/>
    <w:rsid w:val="0DC37249"/>
    <w:rsid w:val="0DDB01EB"/>
    <w:rsid w:val="0DF3539D"/>
    <w:rsid w:val="0E012A71"/>
    <w:rsid w:val="0E02269E"/>
    <w:rsid w:val="0E5732B6"/>
    <w:rsid w:val="0E5928BF"/>
    <w:rsid w:val="0E645043"/>
    <w:rsid w:val="0E9D5E34"/>
    <w:rsid w:val="0EB27F2F"/>
    <w:rsid w:val="0ECC6E3B"/>
    <w:rsid w:val="0F024787"/>
    <w:rsid w:val="0F13678E"/>
    <w:rsid w:val="0F186266"/>
    <w:rsid w:val="0F253CD5"/>
    <w:rsid w:val="0F28348A"/>
    <w:rsid w:val="0F38344E"/>
    <w:rsid w:val="0F7F07DA"/>
    <w:rsid w:val="0FB40065"/>
    <w:rsid w:val="0FB8100A"/>
    <w:rsid w:val="0FD257E8"/>
    <w:rsid w:val="0FDA7CFF"/>
    <w:rsid w:val="0FF23F06"/>
    <w:rsid w:val="10010654"/>
    <w:rsid w:val="10171F5F"/>
    <w:rsid w:val="10223F85"/>
    <w:rsid w:val="102A2150"/>
    <w:rsid w:val="103556F2"/>
    <w:rsid w:val="103E5E0E"/>
    <w:rsid w:val="104313F2"/>
    <w:rsid w:val="104C786D"/>
    <w:rsid w:val="106608FE"/>
    <w:rsid w:val="106B4B01"/>
    <w:rsid w:val="106C57E1"/>
    <w:rsid w:val="10906234"/>
    <w:rsid w:val="10AF25FE"/>
    <w:rsid w:val="10CA280A"/>
    <w:rsid w:val="10CC6B9B"/>
    <w:rsid w:val="10DB26A3"/>
    <w:rsid w:val="10E67BB8"/>
    <w:rsid w:val="10FA4624"/>
    <w:rsid w:val="10FE6A15"/>
    <w:rsid w:val="111C1743"/>
    <w:rsid w:val="11295BDA"/>
    <w:rsid w:val="112D7306"/>
    <w:rsid w:val="1139083B"/>
    <w:rsid w:val="114D2145"/>
    <w:rsid w:val="1155745A"/>
    <w:rsid w:val="116E580D"/>
    <w:rsid w:val="117229AE"/>
    <w:rsid w:val="1188593E"/>
    <w:rsid w:val="11C534F4"/>
    <w:rsid w:val="11ED44F6"/>
    <w:rsid w:val="11FA7022"/>
    <w:rsid w:val="12225CAA"/>
    <w:rsid w:val="12331108"/>
    <w:rsid w:val="124C7CA7"/>
    <w:rsid w:val="125911CB"/>
    <w:rsid w:val="1268648E"/>
    <w:rsid w:val="12801E21"/>
    <w:rsid w:val="128A74D9"/>
    <w:rsid w:val="12992652"/>
    <w:rsid w:val="129E6D8E"/>
    <w:rsid w:val="12A60800"/>
    <w:rsid w:val="12A64036"/>
    <w:rsid w:val="12CB0B66"/>
    <w:rsid w:val="12DC417E"/>
    <w:rsid w:val="130217AC"/>
    <w:rsid w:val="130376C9"/>
    <w:rsid w:val="1309704D"/>
    <w:rsid w:val="1315075F"/>
    <w:rsid w:val="131F54F1"/>
    <w:rsid w:val="1336059B"/>
    <w:rsid w:val="134802D7"/>
    <w:rsid w:val="134A4EBA"/>
    <w:rsid w:val="134C311B"/>
    <w:rsid w:val="13555691"/>
    <w:rsid w:val="13794918"/>
    <w:rsid w:val="13A815C6"/>
    <w:rsid w:val="13B162DB"/>
    <w:rsid w:val="13D14E45"/>
    <w:rsid w:val="13E152F9"/>
    <w:rsid w:val="140439C5"/>
    <w:rsid w:val="14210810"/>
    <w:rsid w:val="14243715"/>
    <w:rsid w:val="14556013"/>
    <w:rsid w:val="145701F2"/>
    <w:rsid w:val="149E6C5C"/>
    <w:rsid w:val="14A50D22"/>
    <w:rsid w:val="14CE6D4C"/>
    <w:rsid w:val="14D038EB"/>
    <w:rsid w:val="14D91F1E"/>
    <w:rsid w:val="14EF6400"/>
    <w:rsid w:val="15091F36"/>
    <w:rsid w:val="15095086"/>
    <w:rsid w:val="15227455"/>
    <w:rsid w:val="152D48DA"/>
    <w:rsid w:val="15361BE4"/>
    <w:rsid w:val="15503FEE"/>
    <w:rsid w:val="155A05D5"/>
    <w:rsid w:val="15627032"/>
    <w:rsid w:val="15745640"/>
    <w:rsid w:val="15745773"/>
    <w:rsid w:val="157A0194"/>
    <w:rsid w:val="15854110"/>
    <w:rsid w:val="15885FD0"/>
    <w:rsid w:val="158E7DAF"/>
    <w:rsid w:val="15D24E01"/>
    <w:rsid w:val="15D46B1D"/>
    <w:rsid w:val="15DA7C37"/>
    <w:rsid w:val="15FC04C4"/>
    <w:rsid w:val="16342717"/>
    <w:rsid w:val="1644358F"/>
    <w:rsid w:val="164E0A14"/>
    <w:rsid w:val="16520B08"/>
    <w:rsid w:val="166E1806"/>
    <w:rsid w:val="167C05CC"/>
    <w:rsid w:val="16800722"/>
    <w:rsid w:val="16952663"/>
    <w:rsid w:val="16986B0A"/>
    <w:rsid w:val="16A70E2A"/>
    <w:rsid w:val="16CE23C7"/>
    <w:rsid w:val="16D00BFB"/>
    <w:rsid w:val="17041FCF"/>
    <w:rsid w:val="17072651"/>
    <w:rsid w:val="173468E7"/>
    <w:rsid w:val="173A1021"/>
    <w:rsid w:val="17730733"/>
    <w:rsid w:val="177971A3"/>
    <w:rsid w:val="177C4AD2"/>
    <w:rsid w:val="179363BB"/>
    <w:rsid w:val="17A64122"/>
    <w:rsid w:val="18314593"/>
    <w:rsid w:val="185B1319"/>
    <w:rsid w:val="1866638A"/>
    <w:rsid w:val="187B7C20"/>
    <w:rsid w:val="18AC086B"/>
    <w:rsid w:val="18BD208E"/>
    <w:rsid w:val="18C518CD"/>
    <w:rsid w:val="18D17796"/>
    <w:rsid w:val="18DE28CC"/>
    <w:rsid w:val="18DE3F6B"/>
    <w:rsid w:val="18F62EDC"/>
    <w:rsid w:val="18FF5A77"/>
    <w:rsid w:val="190E5651"/>
    <w:rsid w:val="192106A5"/>
    <w:rsid w:val="19303ECE"/>
    <w:rsid w:val="19373A71"/>
    <w:rsid w:val="194D4493"/>
    <w:rsid w:val="197665B2"/>
    <w:rsid w:val="197E5D3E"/>
    <w:rsid w:val="198A4263"/>
    <w:rsid w:val="199913F8"/>
    <w:rsid w:val="1A3B03DE"/>
    <w:rsid w:val="1A554D9E"/>
    <w:rsid w:val="1A577BAA"/>
    <w:rsid w:val="1A743C4A"/>
    <w:rsid w:val="1A743CA4"/>
    <w:rsid w:val="1A7D0EA2"/>
    <w:rsid w:val="1A8139D1"/>
    <w:rsid w:val="1A867CAD"/>
    <w:rsid w:val="1AA66E7A"/>
    <w:rsid w:val="1AB07625"/>
    <w:rsid w:val="1AC65C1F"/>
    <w:rsid w:val="1AE61979"/>
    <w:rsid w:val="1AF03491"/>
    <w:rsid w:val="1B140699"/>
    <w:rsid w:val="1B4262A0"/>
    <w:rsid w:val="1B670F46"/>
    <w:rsid w:val="1B895641"/>
    <w:rsid w:val="1BC518CB"/>
    <w:rsid w:val="1BCD267C"/>
    <w:rsid w:val="1C1D240C"/>
    <w:rsid w:val="1C203990"/>
    <w:rsid w:val="1C4537D7"/>
    <w:rsid w:val="1C4D5007"/>
    <w:rsid w:val="1C771E8E"/>
    <w:rsid w:val="1C833DA6"/>
    <w:rsid w:val="1CA3251C"/>
    <w:rsid w:val="1CAA3065"/>
    <w:rsid w:val="1CEA1E96"/>
    <w:rsid w:val="1CF85987"/>
    <w:rsid w:val="1D0646BA"/>
    <w:rsid w:val="1D0B0FCF"/>
    <w:rsid w:val="1D0D3BB9"/>
    <w:rsid w:val="1D25436B"/>
    <w:rsid w:val="1D343D4E"/>
    <w:rsid w:val="1D4073AC"/>
    <w:rsid w:val="1D576A65"/>
    <w:rsid w:val="1D881D7D"/>
    <w:rsid w:val="1D9634DE"/>
    <w:rsid w:val="1D996DB1"/>
    <w:rsid w:val="1D9E434C"/>
    <w:rsid w:val="1DB96EDC"/>
    <w:rsid w:val="1DB97D03"/>
    <w:rsid w:val="1DCF5E36"/>
    <w:rsid w:val="1DE54F9D"/>
    <w:rsid w:val="1DEF4CFF"/>
    <w:rsid w:val="1E5C0C2B"/>
    <w:rsid w:val="1E745391"/>
    <w:rsid w:val="1E7A7BD3"/>
    <w:rsid w:val="1EA80644"/>
    <w:rsid w:val="1ECB542C"/>
    <w:rsid w:val="1ED7767C"/>
    <w:rsid w:val="1EDF52B6"/>
    <w:rsid w:val="1EEA067A"/>
    <w:rsid w:val="1EF83844"/>
    <w:rsid w:val="1F1C6048"/>
    <w:rsid w:val="1F44199E"/>
    <w:rsid w:val="1F5415DF"/>
    <w:rsid w:val="1F7C24D6"/>
    <w:rsid w:val="1F8E26CD"/>
    <w:rsid w:val="1F9205DC"/>
    <w:rsid w:val="1FAA0B28"/>
    <w:rsid w:val="1FBF1726"/>
    <w:rsid w:val="200A7B30"/>
    <w:rsid w:val="205D73C6"/>
    <w:rsid w:val="206A2F59"/>
    <w:rsid w:val="207B4CEA"/>
    <w:rsid w:val="208C43D4"/>
    <w:rsid w:val="209065F4"/>
    <w:rsid w:val="209D7086"/>
    <w:rsid w:val="20AB42AF"/>
    <w:rsid w:val="20D52763"/>
    <w:rsid w:val="20EA57AB"/>
    <w:rsid w:val="20F55BDC"/>
    <w:rsid w:val="21017212"/>
    <w:rsid w:val="211846FE"/>
    <w:rsid w:val="21324BA9"/>
    <w:rsid w:val="21517ACD"/>
    <w:rsid w:val="217454DF"/>
    <w:rsid w:val="217E5682"/>
    <w:rsid w:val="2198281D"/>
    <w:rsid w:val="21C84DEE"/>
    <w:rsid w:val="21F3538F"/>
    <w:rsid w:val="220471B2"/>
    <w:rsid w:val="221B6478"/>
    <w:rsid w:val="22230DB0"/>
    <w:rsid w:val="22335622"/>
    <w:rsid w:val="22357B8F"/>
    <w:rsid w:val="224C428D"/>
    <w:rsid w:val="22723B90"/>
    <w:rsid w:val="22777F2E"/>
    <w:rsid w:val="229B189C"/>
    <w:rsid w:val="22BB0D62"/>
    <w:rsid w:val="22BD691A"/>
    <w:rsid w:val="22CE3BB6"/>
    <w:rsid w:val="22EF4B9E"/>
    <w:rsid w:val="231101B5"/>
    <w:rsid w:val="232718F4"/>
    <w:rsid w:val="234A090B"/>
    <w:rsid w:val="23786497"/>
    <w:rsid w:val="2378778E"/>
    <w:rsid w:val="23A06BF6"/>
    <w:rsid w:val="23CD49DC"/>
    <w:rsid w:val="23D66D1E"/>
    <w:rsid w:val="23E739FB"/>
    <w:rsid w:val="24157457"/>
    <w:rsid w:val="24274687"/>
    <w:rsid w:val="24304972"/>
    <w:rsid w:val="244360F3"/>
    <w:rsid w:val="2452531A"/>
    <w:rsid w:val="2459181C"/>
    <w:rsid w:val="248957CC"/>
    <w:rsid w:val="24993AA7"/>
    <w:rsid w:val="24D10FF1"/>
    <w:rsid w:val="25274506"/>
    <w:rsid w:val="25314771"/>
    <w:rsid w:val="25325CC2"/>
    <w:rsid w:val="253458A0"/>
    <w:rsid w:val="25396313"/>
    <w:rsid w:val="25495DFB"/>
    <w:rsid w:val="255B5DBE"/>
    <w:rsid w:val="25664C67"/>
    <w:rsid w:val="25666142"/>
    <w:rsid w:val="256D0FC3"/>
    <w:rsid w:val="25882DAD"/>
    <w:rsid w:val="26132B68"/>
    <w:rsid w:val="261F4C11"/>
    <w:rsid w:val="262440AA"/>
    <w:rsid w:val="262B38B7"/>
    <w:rsid w:val="262C6D0F"/>
    <w:rsid w:val="262D1FD4"/>
    <w:rsid w:val="26375198"/>
    <w:rsid w:val="264F1882"/>
    <w:rsid w:val="265C50C0"/>
    <w:rsid w:val="26A72DAB"/>
    <w:rsid w:val="26A97287"/>
    <w:rsid w:val="26C659E8"/>
    <w:rsid w:val="26CF3502"/>
    <w:rsid w:val="271F4AA6"/>
    <w:rsid w:val="272A7E74"/>
    <w:rsid w:val="277427C9"/>
    <w:rsid w:val="27B42E23"/>
    <w:rsid w:val="27BE60C1"/>
    <w:rsid w:val="27C97CD5"/>
    <w:rsid w:val="27CD3A9C"/>
    <w:rsid w:val="27EC572E"/>
    <w:rsid w:val="27EF5AEC"/>
    <w:rsid w:val="27F23BC7"/>
    <w:rsid w:val="28086973"/>
    <w:rsid w:val="282D2A42"/>
    <w:rsid w:val="283266BB"/>
    <w:rsid w:val="28542AD8"/>
    <w:rsid w:val="28596316"/>
    <w:rsid w:val="28625326"/>
    <w:rsid w:val="28644D0F"/>
    <w:rsid w:val="288C4451"/>
    <w:rsid w:val="28A601D2"/>
    <w:rsid w:val="28A836E8"/>
    <w:rsid w:val="28AF5A4B"/>
    <w:rsid w:val="28BD1D41"/>
    <w:rsid w:val="28CD464E"/>
    <w:rsid w:val="28D80159"/>
    <w:rsid w:val="28E70F43"/>
    <w:rsid w:val="291741CD"/>
    <w:rsid w:val="291D02B7"/>
    <w:rsid w:val="294555F2"/>
    <w:rsid w:val="2947203A"/>
    <w:rsid w:val="295E7D6B"/>
    <w:rsid w:val="29631A28"/>
    <w:rsid w:val="296F5A87"/>
    <w:rsid w:val="2977450A"/>
    <w:rsid w:val="297E6E93"/>
    <w:rsid w:val="2994694C"/>
    <w:rsid w:val="29967C39"/>
    <w:rsid w:val="29A34DF3"/>
    <w:rsid w:val="29AE37E5"/>
    <w:rsid w:val="29B36189"/>
    <w:rsid w:val="29BA263D"/>
    <w:rsid w:val="29FE6DC7"/>
    <w:rsid w:val="2A096E25"/>
    <w:rsid w:val="2A285C5C"/>
    <w:rsid w:val="2A415D03"/>
    <w:rsid w:val="2A512622"/>
    <w:rsid w:val="2A8F65AC"/>
    <w:rsid w:val="2AB92E95"/>
    <w:rsid w:val="2AD9750D"/>
    <w:rsid w:val="2AD97C96"/>
    <w:rsid w:val="2ADB6052"/>
    <w:rsid w:val="2AE003BC"/>
    <w:rsid w:val="2AEC64E3"/>
    <w:rsid w:val="2B00200C"/>
    <w:rsid w:val="2B074226"/>
    <w:rsid w:val="2B1D778C"/>
    <w:rsid w:val="2B2120DC"/>
    <w:rsid w:val="2B225143"/>
    <w:rsid w:val="2B3D0E54"/>
    <w:rsid w:val="2B422360"/>
    <w:rsid w:val="2B4A6F65"/>
    <w:rsid w:val="2B767FE9"/>
    <w:rsid w:val="2BC703D5"/>
    <w:rsid w:val="2BCC1B53"/>
    <w:rsid w:val="2BDC0564"/>
    <w:rsid w:val="2BFC0F4D"/>
    <w:rsid w:val="2C013630"/>
    <w:rsid w:val="2C1645AB"/>
    <w:rsid w:val="2C434279"/>
    <w:rsid w:val="2C5A4BCE"/>
    <w:rsid w:val="2C6E2A5B"/>
    <w:rsid w:val="2C800E25"/>
    <w:rsid w:val="2C924033"/>
    <w:rsid w:val="2C983725"/>
    <w:rsid w:val="2CA21E69"/>
    <w:rsid w:val="2CB17108"/>
    <w:rsid w:val="2CCD776B"/>
    <w:rsid w:val="2CCE5989"/>
    <w:rsid w:val="2CD95FB4"/>
    <w:rsid w:val="2D020EEB"/>
    <w:rsid w:val="2D05526C"/>
    <w:rsid w:val="2D346567"/>
    <w:rsid w:val="2D3745DD"/>
    <w:rsid w:val="2D523A9F"/>
    <w:rsid w:val="2D69660C"/>
    <w:rsid w:val="2DCF0FCB"/>
    <w:rsid w:val="2E115C39"/>
    <w:rsid w:val="2E1823F3"/>
    <w:rsid w:val="2E31217D"/>
    <w:rsid w:val="2E3F6ECF"/>
    <w:rsid w:val="2E4157A8"/>
    <w:rsid w:val="2E5A7BC0"/>
    <w:rsid w:val="2E6B453A"/>
    <w:rsid w:val="2E7F374F"/>
    <w:rsid w:val="2E8B2C5E"/>
    <w:rsid w:val="2E957ABF"/>
    <w:rsid w:val="2E96733F"/>
    <w:rsid w:val="2EBD193C"/>
    <w:rsid w:val="2EC62150"/>
    <w:rsid w:val="2EF12C10"/>
    <w:rsid w:val="2EF23899"/>
    <w:rsid w:val="2EF55DFE"/>
    <w:rsid w:val="2F0034AA"/>
    <w:rsid w:val="2F1040D2"/>
    <w:rsid w:val="2F1F1AC4"/>
    <w:rsid w:val="2F2923C7"/>
    <w:rsid w:val="2F2E3CC8"/>
    <w:rsid w:val="2F405A9B"/>
    <w:rsid w:val="2F5B483E"/>
    <w:rsid w:val="2F5D4F28"/>
    <w:rsid w:val="2F8634AE"/>
    <w:rsid w:val="2F8B65CB"/>
    <w:rsid w:val="2F8F7873"/>
    <w:rsid w:val="2FAE6B5E"/>
    <w:rsid w:val="2FE76D40"/>
    <w:rsid w:val="2FE805E8"/>
    <w:rsid w:val="2FF15056"/>
    <w:rsid w:val="2FF86EFF"/>
    <w:rsid w:val="2FFA487A"/>
    <w:rsid w:val="301C4809"/>
    <w:rsid w:val="306040EB"/>
    <w:rsid w:val="307F05F0"/>
    <w:rsid w:val="309B35B1"/>
    <w:rsid w:val="30B01EF0"/>
    <w:rsid w:val="30C87BDC"/>
    <w:rsid w:val="30CD2034"/>
    <w:rsid w:val="30E55A17"/>
    <w:rsid w:val="30E70E04"/>
    <w:rsid w:val="30F720C1"/>
    <w:rsid w:val="310A3FBD"/>
    <w:rsid w:val="310D7518"/>
    <w:rsid w:val="311264CC"/>
    <w:rsid w:val="313931A5"/>
    <w:rsid w:val="31416FA3"/>
    <w:rsid w:val="315258AF"/>
    <w:rsid w:val="315B1111"/>
    <w:rsid w:val="31A165DD"/>
    <w:rsid w:val="31BC699C"/>
    <w:rsid w:val="31BD1D91"/>
    <w:rsid w:val="31C435E7"/>
    <w:rsid w:val="31D95FF3"/>
    <w:rsid w:val="31EB6588"/>
    <w:rsid w:val="3217548E"/>
    <w:rsid w:val="321C2010"/>
    <w:rsid w:val="32361419"/>
    <w:rsid w:val="323D1FDB"/>
    <w:rsid w:val="325E43F3"/>
    <w:rsid w:val="32C160E8"/>
    <w:rsid w:val="32DD4713"/>
    <w:rsid w:val="32E7381C"/>
    <w:rsid w:val="32FA20C8"/>
    <w:rsid w:val="32FC4A5B"/>
    <w:rsid w:val="330702C3"/>
    <w:rsid w:val="330A1147"/>
    <w:rsid w:val="332F4A1F"/>
    <w:rsid w:val="335B6B6E"/>
    <w:rsid w:val="335E2BA1"/>
    <w:rsid w:val="336F55DF"/>
    <w:rsid w:val="3384576D"/>
    <w:rsid w:val="339E4FB8"/>
    <w:rsid w:val="33BA58B7"/>
    <w:rsid w:val="33C674A7"/>
    <w:rsid w:val="33CB06BF"/>
    <w:rsid w:val="33D97D25"/>
    <w:rsid w:val="33DA1665"/>
    <w:rsid w:val="33F66100"/>
    <w:rsid w:val="33FE78CF"/>
    <w:rsid w:val="3403321F"/>
    <w:rsid w:val="34054F1B"/>
    <w:rsid w:val="340674E7"/>
    <w:rsid w:val="34292E8E"/>
    <w:rsid w:val="3430602A"/>
    <w:rsid w:val="34375E4C"/>
    <w:rsid w:val="3460766F"/>
    <w:rsid w:val="348F1EE9"/>
    <w:rsid w:val="349B5802"/>
    <w:rsid w:val="34A93B17"/>
    <w:rsid w:val="34BA0D4E"/>
    <w:rsid w:val="34BC6C17"/>
    <w:rsid w:val="34BF1D18"/>
    <w:rsid w:val="34CA0CFE"/>
    <w:rsid w:val="350E7228"/>
    <w:rsid w:val="3514580A"/>
    <w:rsid w:val="352F6547"/>
    <w:rsid w:val="355D196B"/>
    <w:rsid w:val="356928AF"/>
    <w:rsid w:val="359642AA"/>
    <w:rsid w:val="35977EFB"/>
    <w:rsid w:val="35AB3D52"/>
    <w:rsid w:val="35B067CD"/>
    <w:rsid w:val="35B64499"/>
    <w:rsid w:val="35BD3869"/>
    <w:rsid w:val="35EF2AB6"/>
    <w:rsid w:val="36011B29"/>
    <w:rsid w:val="36202418"/>
    <w:rsid w:val="36437C97"/>
    <w:rsid w:val="36787B0E"/>
    <w:rsid w:val="368F3668"/>
    <w:rsid w:val="36946BC1"/>
    <w:rsid w:val="36A22195"/>
    <w:rsid w:val="36DA66B9"/>
    <w:rsid w:val="372E522E"/>
    <w:rsid w:val="373174A6"/>
    <w:rsid w:val="37350B76"/>
    <w:rsid w:val="374024B5"/>
    <w:rsid w:val="374A2D93"/>
    <w:rsid w:val="374D5C57"/>
    <w:rsid w:val="37520B1E"/>
    <w:rsid w:val="377D40BB"/>
    <w:rsid w:val="378F77F3"/>
    <w:rsid w:val="3791454B"/>
    <w:rsid w:val="37A41082"/>
    <w:rsid w:val="37B5307D"/>
    <w:rsid w:val="37DC5348"/>
    <w:rsid w:val="37DE5A4E"/>
    <w:rsid w:val="3808077E"/>
    <w:rsid w:val="38186903"/>
    <w:rsid w:val="38495F3C"/>
    <w:rsid w:val="388A48A5"/>
    <w:rsid w:val="38B66E3D"/>
    <w:rsid w:val="38C9794F"/>
    <w:rsid w:val="38CF4D4C"/>
    <w:rsid w:val="38EA55B0"/>
    <w:rsid w:val="39181530"/>
    <w:rsid w:val="391E65D7"/>
    <w:rsid w:val="39267924"/>
    <w:rsid w:val="39340367"/>
    <w:rsid w:val="39551AF6"/>
    <w:rsid w:val="397446DD"/>
    <w:rsid w:val="397F7126"/>
    <w:rsid w:val="399D0085"/>
    <w:rsid w:val="39BC7DFB"/>
    <w:rsid w:val="39C953F0"/>
    <w:rsid w:val="39D0350C"/>
    <w:rsid w:val="39D1050B"/>
    <w:rsid w:val="39EC777E"/>
    <w:rsid w:val="3A136B0B"/>
    <w:rsid w:val="3A960A01"/>
    <w:rsid w:val="3AAE3606"/>
    <w:rsid w:val="3AB34E04"/>
    <w:rsid w:val="3AB8441D"/>
    <w:rsid w:val="3ACA2721"/>
    <w:rsid w:val="3AE46B63"/>
    <w:rsid w:val="3B1178AD"/>
    <w:rsid w:val="3B14171A"/>
    <w:rsid w:val="3B157586"/>
    <w:rsid w:val="3B3322F5"/>
    <w:rsid w:val="3B93283D"/>
    <w:rsid w:val="3BA42103"/>
    <w:rsid w:val="3BA638C5"/>
    <w:rsid w:val="3BDE5D47"/>
    <w:rsid w:val="3BE7774E"/>
    <w:rsid w:val="3BEF4E3D"/>
    <w:rsid w:val="3BF14035"/>
    <w:rsid w:val="3BFD5EE1"/>
    <w:rsid w:val="3C000E42"/>
    <w:rsid w:val="3C0A5DD9"/>
    <w:rsid w:val="3C133DE3"/>
    <w:rsid w:val="3C2F1539"/>
    <w:rsid w:val="3C531413"/>
    <w:rsid w:val="3C541E98"/>
    <w:rsid w:val="3C5557E4"/>
    <w:rsid w:val="3C69645F"/>
    <w:rsid w:val="3C780106"/>
    <w:rsid w:val="3C985175"/>
    <w:rsid w:val="3CA03BBE"/>
    <w:rsid w:val="3CAD6717"/>
    <w:rsid w:val="3CB051F1"/>
    <w:rsid w:val="3CC30E48"/>
    <w:rsid w:val="3CE44CA1"/>
    <w:rsid w:val="3CF469FF"/>
    <w:rsid w:val="3CFC5420"/>
    <w:rsid w:val="3D1D132C"/>
    <w:rsid w:val="3D24286F"/>
    <w:rsid w:val="3D3D3E73"/>
    <w:rsid w:val="3D451F63"/>
    <w:rsid w:val="3D4C5492"/>
    <w:rsid w:val="3D627784"/>
    <w:rsid w:val="3D6E7FAE"/>
    <w:rsid w:val="3D737885"/>
    <w:rsid w:val="3D7D4325"/>
    <w:rsid w:val="3DB21BDB"/>
    <w:rsid w:val="3DBE1AA9"/>
    <w:rsid w:val="3DBE70F1"/>
    <w:rsid w:val="3DD2747B"/>
    <w:rsid w:val="3DFB5872"/>
    <w:rsid w:val="3E05668B"/>
    <w:rsid w:val="3E1A5671"/>
    <w:rsid w:val="3E422C18"/>
    <w:rsid w:val="3E5E28E2"/>
    <w:rsid w:val="3E643218"/>
    <w:rsid w:val="3EE4772F"/>
    <w:rsid w:val="3EEC59CA"/>
    <w:rsid w:val="3F005695"/>
    <w:rsid w:val="3F2655B1"/>
    <w:rsid w:val="3F622D97"/>
    <w:rsid w:val="3F846BD8"/>
    <w:rsid w:val="3F851DAB"/>
    <w:rsid w:val="3F8F6511"/>
    <w:rsid w:val="3F903E4E"/>
    <w:rsid w:val="3F922DD6"/>
    <w:rsid w:val="3FA32B4A"/>
    <w:rsid w:val="3FB20B83"/>
    <w:rsid w:val="3FDA0A13"/>
    <w:rsid w:val="3FE00F78"/>
    <w:rsid w:val="403B06A3"/>
    <w:rsid w:val="405E1F3A"/>
    <w:rsid w:val="405F7EBC"/>
    <w:rsid w:val="407C1AA8"/>
    <w:rsid w:val="40A06314"/>
    <w:rsid w:val="40AE413F"/>
    <w:rsid w:val="40C771EC"/>
    <w:rsid w:val="40CC10C9"/>
    <w:rsid w:val="40D749B2"/>
    <w:rsid w:val="40F109E7"/>
    <w:rsid w:val="40F33AF8"/>
    <w:rsid w:val="40FC44EE"/>
    <w:rsid w:val="410243AF"/>
    <w:rsid w:val="4104082A"/>
    <w:rsid w:val="410E1577"/>
    <w:rsid w:val="41134483"/>
    <w:rsid w:val="411D67CE"/>
    <w:rsid w:val="41500919"/>
    <w:rsid w:val="41557EB2"/>
    <w:rsid w:val="417866B9"/>
    <w:rsid w:val="417919AA"/>
    <w:rsid w:val="41911D83"/>
    <w:rsid w:val="41941549"/>
    <w:rsid w:val="41A15B66"/>
    <w:rsid w:val="41C60AF2"/>
    <w:rsid w:val="41D5181B"/>
    <w:rsid w:val="41DB5D98"/>
    <w:rsid w:val="41E057C0"/>
    <w:rsid w:val="423A09FD"/>
    <w:rsid w:val="425930E7"/>
    <w:rsid w:val="42615824"/>
    <w:rsid w:val="426C6358"/>
    <w:rsid w:val="427E7FB8"/>
    <w:rsid w:val="42901BD1"/>
    <w:rsid w:val="429D695A"/>
    <w:rsid w:val="42BE0CB6"/>
    <w:rsid w:val="42D37249"/>
    <w:rsid w:val="42DE505D"/>
    <w:rsid w:val="42F32AA2"/>
    <w:rsid w:val="431B6072"/>
    <w:rsid w:val="43273968"/>
    <w:rsid w:val="434A0217"/>
    <w:rsid w:val="434D0AEC"/>
    <w:rsid w:val="438822B9"/>
    <w:rsid w:val="43AF1316"/>
    <w:rsid w:val="43B84329"/>
    <w:rsid w:val="43D608EB"/>
    <w:rsid w:val="43DB6B23"/>
    <w:rsid w:val="43DD713F"/>
    <w:rsid w:val="441D69D8"/>
    <w:rsid w:val="449A6ED7"/>
    <w:rsid w:val="44A05E16"/>
    <w:rsid w:val="44AC19BE"/>
    <w:rsid w:val="44B150E0"/>
    <w:rsid w:val="44BB2D6C"/>
    <w:rsid w:val="44E21ED2"/>
    <w:rsid w:val="44EE15C7"/>
    <w:rsid w:val="44F40F86"/>
    <w:rsid w:val="44F70BE4"/>
    <w:rsid w:val="45005166"/>
    <w:rsid w:val="450F35C7"/>
    <w:rsid w:val="453F4F27"/>
    <w:rsid w:val="4556254C"/>
    <w:rsid w:val="45647F27"/>
    <w:rsid w:val="45650434"/>
    <w:rsid w:val="45812DD0"/>
    <w:rsid w:val="459F32A6"/>
    <w:rsid w:val="45C315A6"/>
    <w:rsid w:val="45D72F81"/>
    <w:rsid w:val="45DD4427"/>
    <w:rsid w:val="45FA3F1E"/>
    <w:rsid w:val="45FA5D55"/>
    <w:rsid w:val="464126D0"/>
    <w:rsid w:val="46AA0FFE"/>
    <w:rsid w:val="46AC7CE9"/>
    <w:rsid w:val="46BB5A23"/>
    <w:rsid w:val="46DB7B2E"/>
    <w:rsid w:val="46F627F6"/>
    <w:rsid w:val="47181281"/>
    <w:rsid w:val="471B3F5C"/>
    <w:rsid w:val="471D1840"/>
    <w:rsid w:val="4760773B"/>
    <w:rsid w:val="477C620C"/>
    <w:rsid w:val="47876D4D"/>
    <w:rsid w:val="479039AE"/>
    <w:rsid w:val="47A6371A"/>
    <w:rsid w:val="47A82966"/>
    <w:rsid w:val="47A96487"/>
    <w:rsid w:val="47BA5E8D"/>
    <w:rsid w:val="47BB5841"/>
    <w:rsid w:val="47BC20FE"/>
    <w:rsid w:val="47EE62A3"/>
    <w:rsid w:val="47FA5321"/>
    <w:rsid w:val="482209A0"/>
    <w:rsid w:val="483C591E"/>
    <w:rsid w:val="48751200"/>
    <w:rsid w:val="48786DFA"/>
    <w:rsid w:val="48927083"/>
    <w:rsid w:val="48AB48A2"/>
    <w:rsid w:val="48E576D8"/>
    <w:rsid w:val="49015635"/>
    <w:rsid w:val="49206D66"/>
    <w:rsid w:val="493F7B37"/>
    <w:rsid w:val="494451AE"/>
    <w:rsid w:val="495A6201"/>
    <w:rsid w:val="496A759D"/>
    <w:rsid w:val="497B2F0B"/>
    <w:rsid w:val="49924CB5"/>
    <w:rsid w:val="49B80147"/>
    <w:rsid w:val="49D2102B"/>
    <w:rsid w:val="49E329BD"/>
    <w:rsid w:val="49FB4485"/>
    <w:rsid w:val="4A082CE2"/>
    <w:rsid w:val="4A2D5051"/>
    <w:rsid w:val="4A4C3286"/>
    <w:rsid w:val="4A5479B0"/>
    <w:rsid w:val="4A575DEC"/>
    <w:rsid w:val="4A62703C"/>
    <w:rsid w:val="4A687DF0"/>
    <w:rsid w:val="4A6B54C3"/>
    <w:rsid w:val="4A745B35"/>
    <w:rsid w:val="4A85216A"/>
    <w:rsid w:val="4A8C0A08"/>
    <w:rsid w:val="4A9D16F1"/>
    <w:rsid w:val="4AAE6624"/>
    <w:rsid w:val="4AC735EC"/>
    <w:rsid w:val="4B3A0112"/>
    <w:rsid w:val="4B3C5FDC"/>
    <w:rsid w:val="4B431506"/>
    <w:rsid w:val="4B4734B2"/>
    <w:rsid w:val="4B4F38FD"/>
    <w:rsid w:val="4B587D50"/>
    <w:rsid w:val="4BBE1606"/>
    <w:rsid w:val="4BD60C65"/>
    <w:rsid w:val="4BE60228"/>
    <w:rsid w:val="4BE65A5D"/>
    <w:rsid w:val="4BE932B7"/>
    <w:rsid w:val="4C117205"/>
    <w:rsid w:val="4C1F5D7A"/>
    <w:rsid w:val="4C2819F4"/>
    <w:rsid w:val="4C33748F"/>
    <w:rsid w:val="4C35131C"/>
    <w:rsid w:val="4C361AF4"/>
    <w:rsid w:val="4C510646"/>
    <w:rsid w:val="4C634260"/>
    <w:rsid w:val="4CAE58A1"/>
    <w:rsid w:val="4CE53E69"/>
    <w:rsid w:val="4D133327"/>
    <w:rsid w:val="4D242750"/>
    <w:rsid w:val="4D2E27CC"/>
    <w:rsid w:val="4D451792"/>
    <w:rsid w:val="4D53524D"/>
    <w:rsid w:val="4D6025E4"/>
    <w:rsid w:val="4D6F4DC4"/>
    <w:rsid w:val="4D8436B7"/>
    <w:rsid w:val="4DC57707"/>
    <w:rsid w:val="4DC96C7F"/>
    <w:rsid w:val="4DDD1B47"/>
    <w:rsid w:val="4DF80AFB"/>
    <w:rsid w:val="4E02283F"/>
    <w:rsid w:val="4E036E8C"/>
    <w:rsid w:val="4E097368"/>
    <w:rsid w:val="4E1567A7"/>
    <w:rsid w:val="4E434158"/>
    <w:rsid w:val="4E4A3AEF"/>
    <w:rsid w:val="4E58592C"/>
    <w:rsid w:val="4E6B55B6"/>
    <w:rsid w:val="4E735675"/>
    <w:rsid w:val="4E776E4B"/>
    <w:rsid w:val="4E8C7B5A"/>
    <w:rsid w:val="4E9135BE"/>
    <w:rsid w:val="4EB17E6E"/>
    <w:rsid w:val="4ED6776C"/>
    <w:rsid w:val="4EDA62F8"/>
    <w:rsid w:val="4EE449DA"/>
    <w:rsid w:val="4F024D20"/>
    <w:rsid w:val="4F103E11"/>
    <w:rsid w:val="4F1D71BE"/>
    <w:rsid w:val="4F1E4542"/>
    <w:rsid w:val="4F255831"/>
    <w:rsid w:val="4F663425"/>
    <w:rsid w:val="4F6D1B15"/>
    <w:rsid w:val="4FB209EE"/>
    <w:rsid w:val="50045AA5"/>
    <w:rsid w:val="500F75AC"/>
    <w:rsid w:val="50257D1C"/>
    <w:rsid w:val="503C1EAD"/>
    <w:rsid w:val="504D35A5"/>
    <w:rsid w:val="506E2E6E"/>
    <w:rsid w:val="50906E6A"/>
    <w:rsid w:val="50B371A3"/>
    <w:rsid w:val="50DD15E4"/>
    <w:rsid w:val="50E72296"/>
    <w:rsid w:val="50E72960"/>
    <w:rsid w:val="512851E1"/>
    <w:rsid w:val="514E559A"/>
    <w:rsid w:val="51611E59"/>
    <w:rsid w:val="516F5F0E"/>
    <w:rsid w:val="51774ACE"/>
    <w:rsid w:val="518669C8"/>
    <w:rsid w:val="518E041E"/>
    <w:rsid w:val="51A73493"/>
    <w:rsid w:val="51C31508"/>
    <w:rsid w:val="51D101E0"/>
    <w:rsid w:val="51D208D4"/>
    <w:rsid w:val="51D22A76"/>
    <w:rsid w:val="51DB0C88"/>
    <w:rsid w:val="51E473C9"/>
    <w:rsid w:val="52091EF3"/>
    <w:rsid w:val="52254A6D"/>
    <w:rsid w:val="522A39D8"/>
    <w:rsid w:val="52365579"/>
    <w:rsid w:val="524B0FAD"/>
    <w:rsid w:val="5264249D"/>
    <w:rsid w:val="526D4C63"/>
    <w:rsid w:val="527A24B2"/>
    <w:rsid w:val="527E4A49"/>
    <w:rsid w:val="528343F7"/>
    <w:rsid w:val="52861B73"/>
    <w:rsid w:val="528A085D"/>
    <w:rsid w:val="52A21C22"/>
    <w:rsid w:val="52A955AB"/>
    <w:rsid w:val="52CB201F"/>
    <w:rsid w:val="52D54DE0"/>
    <w:rsid w:val="52F35B8D"/>
    <w:rsid w:val="52F932EF"/>
    <w:rsid w:val="533F34CD"/>
    <w:rsid w:val="537D475E"/>
    <w:rsid w:val="53814E26"/>
    <w:rsid w:val="53994EB3"/>
    <w:rsid w:val="53CB7048"/>
    <w:rsid w:val="53DD1816"/>
    <w:rsid w:val="53DF147F"/>
    <w:rsid w:val="545E12E4"/>
    <w:rsid w:val="54900533"/>
    <w:rsid w:val="54A363F3"/>
    <w:rsid w:val="54BD20BA"/>
    <w:rsid w:val="54D51B2F"/>
    <w:rsid w:val="54E12A5C"/>
    <w:rsid w:val="54E4678D"/>
    <w:rsid w:val="550D12DE"/>
    <w:rsid w:val="550F1D67"/>
    <w:rsid w:val="551B18C3"/>
    <w:rsid w:val="551F73FB"/>
    <w:rsid w:val="55226F39"/>
    <w:rsid w:val="552F0C08"/>
    <w:rsid w:val="553E1602"/>
    <w:rsid w:val="55515ED3"/>
    <w:rsid w:val="555A700D"/>
    <w:rsid w:val="555F767E"/>
    <w:rsid w:val="55756E92"/>
    <w:rsid w:val="55CD7939"/>
    <w:rsid w:val="55F63716"/>
    <w:rsid w:val="5624069E"/>
    <w:rsid w:val="5647017D"/>
    <w:rsid w:val="565863CD"/>
    <w:rsid w:val="565A1B38"/>
    <w:rsid w:val="56ED0405"/>
    <w:rsid w:val="57144DE4"/>
    <w:rsid w:val="57207BBB"/>
    <w:rsid w:val="57221F02"/>
    <w:rsid w:val="573D20F0"/>
    <w:rsid w:val="574809C6"/>
    <w:rsid w:val="5768564B"/>
    <w:rsid w:val="57836605"/>
    <w:rsid w:val="579075F8"/>
    <w:rsid w:val="57A36481"/>
    <w:rsid w:val="57AF6093"/>
    <w:rsid w:val="57BA63F6"/>
    <w:rsid w:val="57CD4269"/>
    <w:rsid w:val="57CE7D24"/>
    <w:rsid w:val="57DE3FA0"/>
    <w:rsid w:val="57EF57C0"/>
    <w:rsid w:val="580D1242"/>
    <w:rsid w:val="580F5847"/>
    <w:rsid w:val="58101F66"/>
    <w:rsid w:val="581415B5"/>
    <w:rsid w:val="581B1B0C"/>
    <w:rsid w:val="583340E0"/>
    <w:rsid w:val="583E1137"/>
    <w:rsid w:val="585821CC"/>
    <w:rsid w:val="58621690"/>
    <w:rsid w:val="58684F72"/>
    <w:rsid w:val="586A1EBB"/>
    <w:rsid w:val="5882433C"/>
    <w:rsid w:val="58853821"/>
    <w:rsid w:val="5892796D"/>
    <w:rsid w:val="589C1835"/>
    <w:rsid w:val="58A26F6C"/>
    <w:rsid w:val="58A318CB"/>
    <w:rsid w:val="58B34C6B"/>
    <w:rsid w:val="58C340E5"/>
    <w:rsid w:val="58CA704C"/>
    <w:rsid w:val="58EB6B81"/>
    <w:rsid w:val="58F05AC9"/>
    <w:rsid w:val="595720BA"/>
    <w:rsid w:val="59587D98"/>
    <w:rsid w:val="5969518B"/>
    <w:rsid w:val="5984178B"/>
    <w:rsid w:val="5988157A"/>
    <w:rsid w:val="59BD535B"/>
    <w:rsid w:val="59C42B40"/>
    <w:rsid w:val="59CF0BBB"/>
    <w:rsid w:val="59D56643"/>
    <w:rsid w:val="59E6110D"/>
    <w:rsid w:val="59ED2DED"/>
    <w:rsid w:val="5A16452F"/>
    <w:rsid w:val="5A2B21D8"/>
    <w:rsid w:val="5A2B348D"/>
    <w:rsid w:val="5A5B1B5F"/>
    <w:rsid w:val="5A873851"/>
    <w:rsid w:val="5A977CEC"/>
    <w:rsid w:val="5ACC310F"/>
    <w:rsid w:val="5AEF238F"/>
    <w:rsid w:val="5B021F5B"/>
    <w:rsid w:val="5B095AB0"/>
    <w:rsid w:val="5B0D0A39"/>
    <w:rsid w:val="5B1F3174"/>
    <w:rsid w:val="5B355F44"/>
    <w:rsid w:val="5B360730"/>
    <w:rsid w:val="5B595B24"/>
    <w:rsid w:val="5B6F46E6"/>
    <w:rsid w:val="5B765854"/>
    <w:rsid w:val="5B7B13CC"/>
    <w:rsid w:val="5B8251FB"/>
    <w:rsid w:val="5B8854DF"/>
    <w:rsid w:val="5BBB77FC"/>
    <w:rsid w:val="5BD77540"/>
    <w:rsid w:val="5BDC7AB6"/>
    <w:rsid w:val="5BF03357"/>
    <w:rsid w:val="5C1D2EA1"/>
    <w:rsid w:val="5C4C3822"/>
    <w:rsid w:val="5C566086"/>
    <w:rsid w:val="5C5C26D0"/>
    <w:rsid w:val="5C890A5F"/>
    <w:rsid w:val="5C8F17A2"/>
    <w:rsid w:val="5CAF48DE"/>
    <w:rsid w:val="5CB01A79"/>
    <w:rsid w:val="5CB20C2D"/>
    <w:rsid w:val="5CDE7F12"/>
    <w:rsid w:val="5CE57AF4"/>
    <w:rsid w:val="5D034253"/>
    <w:rsid w:val="5D0F62F8"/>
    <w:rsid w:val="5D1D1E82"/>
    <w:rsid w:val="5D4C5D6D"/>
    <w:rsid w:val="5D7A6A64"/>
    <w:rsid w:val="5D7F73A2"/>
    <w:rsid w:val="5D925372"/>
    <w:rsid w:val="5DA37B55"/>
    <w:rsid w:val="5DAC2710"/>
    <w:rsid w:val="5DB10D79"/>
    <w:rsid w:val="5DBB7FCD"/>
    <w:rsid w:val="5DCA702B"/>
    <w:rsid w:val="5DE2467B"/>
    <w:rsid w:val="5E0728EF"/>
    <w:rsid w:val="5E3414A2"/>
    <w:rsid w:val="5E39468C"/>
    <w:rsid w:val="5E3B448A"/>
    <w:rsid w:val="5E425880"/>
    <w:rsid w:val="5E747306"/>
    <w:rsid w:val="5E953361"/>
    <w:rsid w:val="5E976C9D"/>
    <w:rsid w:val="5E9A0FEE"/>
    <w:rsid w:val="5EA96E82"/>
    <w:rsid w:val="5EAE58CA"/>
    <w:rsid w:val="5ED347D3"/>
    <w:rsid w:val="5EEF3871"/>
    <w:rsid w:val="5F73109D"/>
    <w:rsid w:val="5F7506B8"/>
    <w:rsid w:val="5F751700"/>
    <w:rsid w:val="5F84739D"/>
    <w:rsid w:val="5FA300E3"/>
    <w:rsid w:val="5FBD57C0"/>
    <w:rsid w:val="5FDA01C6"/>
    <w:rsid w:val="601B2F68"/>
    <w:rsid w:val="603337FB"/>
    <w:rsid w:val="605A7B11"/>
    <w:rsid w:val="605C71A6"/>
    <w:rsid w:val="60607583"/>
    <w:rsid w:val="6063299F"/>
    <w:rsid w:val="609D4724"/>
    <w:rsid w:val="60A35923"/>
    <w:rsid w:val="60AA2E11"/>
    <w:rsid w:val="60C33C72"/>
    <w:rsid w:val="60C40F0F"/>
    <w:rsid w:val="60C45715"/>
    <w:rsid w:val="610774DD"/>
    <w:rsid w:val="611E7573"/>
    <w:rsid w:val="612B7F53"/>
    <w:rsid w:val="612C6D65"/>
    <w:rsid w:val="612D42C0"/>
    <w:rsid w:val="61303C8D"/>
    <w:rsid w:val="61632129"/>
    <w:rsid w:val="61654195"/>
    <w:rsid w:val="616C4DE5"/>
    <w:rsid w:val="61916D13"/>
    <w:rsid w:val="61AA59A7"/>
    <w:rsid w:val="61AC5290"/>
    <w:rsid w:val="61C2572F"/>
    <w:rsid w:val="61E2527F"/>
    <w:rsid w:val="61EC72EA"/>
    <w:rsid w:val="61F8664C"/>
    <w:rsid w:val="62196A6F"/>
    <w:rsid w:val="622306A5"/>
    <w:rsid w:val="62400C29"/>
    <w:rsid w:val="62487DDF"/>
    <w:rsid w:val="62C31FED"/>
    <w:rsid w:val="62C4171F"/>
    <w:rsid w:val="63084B52"/>
    <w:rsid w:val="6319475A"/>
    <w:rsid w:val="635C30B6"/>
    <w:rsid w:val="63700553"/>
    <w:rsid w:val="637A029C"/>
    <w:rsid w:val="63917582"/>
    <w:rsid w:val="6396771B"/>
    <w:rsid w:val="63C92C80"/>
    <w:rsid w:val="63CE010C"/>
    <w:rsid w:val="63D83142"/>
    <w:rsid w:val="63EF11F3"/>
    <w:rsid w:val="64000A02"/>
    <w:rsid w:val="643D25EC"/>
    <w:rsid w:val="645067A3"/>
    <w:rsid w:val="64562EC2"/>
    <w:rsid w:val="64777DF5"/>
    <w:rsid w:val="64826BF5"/>
    <w:rsid w:val="649846DB"/>
    <w:rsid w:val="649E4BEF"/>
    <w:rsid w:val="6522064E"/>
    <w:rsid w:val="65313719"/>
    <w:rsid w:val="655A5966"/>
    <w:rsid w:val="65740BD6"/>
    <w:rsid w:val="657D7A2E"/>
    <w:rsid w:val="65846E10"/>
    <w:rsid w:val="65B03592"/>
    <w:rsid w:val="65D7151B"/>
    <w:rsid w:val="65DC34E5"/>
    <w:rsid w:val="65DD1B9C"/>
    <w:rsid w:val="65E21C30"/>
    <w:rsid w:val="65EC3FC6"/>
    <w:rsid w:val="662A4074"/>
    <w:rsid w:val="66417776"/>
    <w:rsid w:val="666C4635"/>
    <w:rsid w:val="66951489"/>
    <w:rsid w:val="6695442B"/>
    <w:rsid w:val="669C0503"/>
    <w:rsid w:val="66A94F4B"/>
    <w:rsid w:val="66AF7390"/>
    <w:rsid w:val="66C4173C"/>
    <w:rsid w:val="66E556CC"/>
    <w:rsid w:val="66EE4FED"/>
    <w:rsid w:val="66FB6047"/>
    <w:rsid w:val="6721682E"/>
    <w:rsid w:val="67217013"/>
    <w:rsid w:val="672E5FA2"/>
    <w:rsid w:val="672F65D6"/>
    <w:rsid w:val="67421B7F"/>
    <w:rsid w:val="67424E02"/>
    <w:rsid w:val="674D6BE6"/>
    <w:rsid w:val="676A4DBB"/>
    <w:rsid w:val="67AB5E5D"/>
    <w:rsid w:val="67AD0AE3"/>
    <w:rsid w:val="67CD2178"/>
    <w:rsid w:val="67DD2A74"/>
    <w:rsid w:val="67FB7BD3"/>
    <w:rsid w:val="680F6BAC"/>
    <w:rsid w:val="684358A6"/>
    <w:rsid w:val="684419AC"/>
    <w:rsid w:val="68490BA5"/>
    <w:rsid w:val="685A0C57"/>
    <w:rsid w:val="686B1BC8"/>
    <w:rsid w:val="687E680D"/>
    <w:rsid w:val="68A5389A"/>
    <w:rsid w:val="68A97CC5"/>
    <w:rsid w:val="68B20FD9"/>
    <w:rsid w:val="68BC039A"/>
    <w:rsid w:val="68BF7F18"/>
    <w:rsid w:val="68C717F9"/>
    <w:rsid w:val="68DD0C5C"/>
    <w:rsid w:val="68F27373"/>
    <w:rsid w:val="69076936"/>
    <w:rsid w:val="691F1A6B"/>
    <w:rsid w:val="693044D0"/>
    <w:rsid w:val="69390EB4"/>
    <w:rsid w:val="69531D49"/>
    <w:rsid w:val="696A3B76"/>
    <w:rsid w:val="697B5974"/>
    <w:rsid w:val="698311CB"/>
    <w:rsid w:val="698D6756"/>
    <w:rsid w:val="698E07D2"/>
    <w:rsid w:val="69B665B8"/>
    <w:rsid w:val="69C26D94"/>
    <w:rsid w:val="69D72936"/>
    <w:rsid w:val="6A043665"/>
    <w:rsid w:val="6A0D2428"/>
    <w:rsid w:val="6A0E5A38"/>
    <w:rsid w:val="6A1046F6"/>
    <w:rsid w:val="6A23335C"/>
    <w:rsid w:val="6A2719E1"/>
    <w:rsid w:val="6A375FAE"/>
    <w:rsid w:val="6A416A6A"/>
    <w:rsid w:val="6A5364FE"/>
    <w:rsid w:val="6A5C2A16"/>
    <w:rsid w:val="6A6E0FC0"/>
    <w:rsid w:val="6A774CA4"/>
    <w:rsid w:val="6A786C3C"/>
    <w:rsid w:val="6A82754B"/>
    <w:rsid w:val="6A960474"/>
    <w:rsid w:val="6AA10C29"/>
    <w:rsid w:val="6AAE3BD7"/>
    <w:rsid w:val="6ACC49F1"/>
    <w:rsid w:val="6ACF1964"/>
    <w:rsid w:val="6AD078AF"/>
    <w:rsid w:val="6AD9452C"/>
    <w:rsid w:val="6AE2386B"/>
    <w:rsid w:val="6AEC2EDF"/>
    <w:rsid w:val="6B096FBE"/>
    <w:rsid w:val="6B1A2EA8"/>
    <w:rsid w:val="6B1F50C0"/>
    <w:rsid w:val="6B21560C"/>
    <w:rsid w:val="6B2E5313"/>
    <w:rsid w:val="6B3368A5"/>
    <w:rsid w:val="6B506065"/>
    <w:rsid w:val="6B5C1652"/>
    <w:rsid w:val="6B687347"/>
    <w:rsid w:val="6B85537C"/>
    <w:rsid w:val="6B92261A"/>
    <w:rsid w:val="6B9B2CBA"/>
    <w:rsid w:val="6BA67B8D"/>
    <w:rsid w:val="6BAD5A34"/>
    <w:rsid w:val="6BB04C80"/>
    <w:rsid w:val="6BCA5141"/>
    <w:rsid w:val="6BE8415A"/>
    <w:rsid w:val="6BF06490"/>
    <w:rsid w:val="6BFF4E8E"/>
    <w:rsid w:val="6C254D0A"/>
    <w:rsid w:val="6C30020F"/>
    <w:rsid w:val="6C436E5F"/>
    <w:rsid w:val="6C6B02EF"/>
    <w:rsid w:val="6C6C4666"/>
    <w:rsid w:val="6C9777E2"/>
    <w:rsid w:val="6C9A465F"/>
    <w:rsid w:val="6CA15D35"/>
    <w:rsid w:val="6CAB6AA2"/>
    <w:rsid w:val="6CAF7A44"/>
    <w:rsid w:val="6CC70B29"/>
    <w:rsid w:val="6CFD17A1"/>
    <w:rsid w:val="6D0E430A"/>
    <w:rsid w:val="6D192110"/>
    <w:rsid w:val="6D326AF7"/>
    <w:rsid w:val="6D4742E6"/>
    <w:rsid w:val="6D4E2611"/>
    <w:rsid w:val="6D4F5BCD"/>
    <w:rsid w:val="6D505255"/>
    <w:rsid w:val="6D8C4045"/>
    <w:rsid w:val="6D973D87"/>
    <w:rsid w:val="6DA23902"/>
    <w:rsid w:val="6DAE3E97"/>
    <w:rsid w:val="6DD02C0B"/>
    <w:rsid w:val="6E5A72EC"/>
    <w:rsid w:val="6E753CE4"/>
    <w:rsid w:val="6E8C082B"/>
    <w:rsid w:val="6EA96B47"/>
    <w:rsid w:val="6ECF3FB3"/>
    <w:rsid w:val="6EE273C2"/>
    <w:rsid w:val="6EE661C0"/>
    <w:rsid w:val="6EEE02B7"/>
    <w:rsid w:val="6EEF1689"/>
    <w:rsid w:val="6EF24201"/>
    <w:rsid w:val="6EF7635F"/>
    <w:rsid w:val="6EF8241A"/>
    <w:rsid w:val="6EFE771B"/>
    <w:rsid w:val="6F165CA4"/>
    <w:rsid w:val="6F4416F0"/>
    <w:rsid w:val="6F597DBC"/>
    <w:rsid w:val="6F603FAD"/>
    <w:rsid w:val="6F6D5EB4"/>
    <w:rsid w:val="6FA53E02"/>
    <w:rsid w:val="6FA61409"/>
    <w:rsid w:val="6FB46575"/>
    <w:rsid w:val="6FB940AF"/>
    <w:rsid w:val="6FC456DD"/>
    <w:rsid w:val="6FCA2C1D"/>
    <w:rsid w:val="6FD617B9"/>
    <w:rsid w:val="6FEA4E9A"/>
    <w:rsid w:val="6FFA3DC5"/>
    <w:rsid w:val="6FFB38F9"/>
    <w:rsid w:val="700C3F0D"/>
    <w:rsid w:val="702E1EF7"/>
    <w:rsid w:val="704F6D52"/>
    <w:rsid w:val="705F38B5"/>
    <w:rsid w:val="7071680F"/>
    <w:rsid w:val="70AB5F28"/>
    <w:rsid w:val="70CB41BA"/>
    <w:rsid w:val="70CC63CE"/>
    <w:rsid w:val="70DF3185"/>
    <w:rsid w:val="711075A4"/>
    <w:rsid w:val="71362079"/>
    <w:rsid w:val="714516AC"/>
    <w:rsid w:val="714A49EB"/>
    <w:rsid w:val="714C07A5"/>
    <w:rsid w:val="715568E1"/>
    <w:rsid w:val="71680445"/>
    <w:rsid w:val="716C1361"/>
    <w:rsid w:val="717034F6"/>
    <w:rsid w:val="71AA0173"/>
    <w:rsid w:val="71C735F6"/>
    <w:rsid w:val="71D60DAD"/>
    <w:rsid w:val="71E37648"/>
    <w:rsid w:val="71EC4739"/>
    <w:rsid w:val="71F3655C"/>
    <w:rsid w:val="7221626D"/>
    <w:rsid w:val="72250CBC"/>
    <w:rsid w:val="7228547A"/>
    <w:rsid w:val="72694E7B"/>
    <w:rsid w:val="72C53C93"/>
    <w:rsid w:val="72CE11D5"/>
    <w:rsid w:val="72DF4E7A"/>
    <w:rsid w:val="72E44E5C"/>
    <w:rsid w:val="72E96746"/>
    <w:rsid w:val="73222073"/>
    <w:rsid w:val="73561454"/>
    <w:rsid w:val="736540EA"/>
    <w:rsid w:val="73743845"/>
    <w:rsid w:val="738F7E33"/>
    <w:rsid w:val="739053D9"/>
    <w:rsid w:val="73BC38F8"/>
    <w:rsid w:val="73BF038D"/>
    <w:rsid w:val="73BF1A3D"/>
    <w:rsid w:val="73C81838"/>
    <w:rsid w:val="73E6670B"/>
    <w:rsid w:val="73EE2546"/>
    <w:rsid w:val="73F50A08"/>
    <w:rsid w:val="74336AEC"/>
    <w:rsid w:val="7447504B"/>
    <w:rsid w:val="74572C39"/>
    <w:rsid w:val="747B5ADB"/>
    <w:rsid w:val="748A65D1"/>
    <w:rsid w:val="749C58E1"/>
    <w:rsid w:val="74AB6438"/>
    <w:rsid w:val="74B72621"/>
    <w:rsid w:val="75165677"/>
    <w:rsid w:val="751A39B7"/>
    <w:rsid w:val="75235932"/>
    <w:rsid w:val="75361722"/>
    <w:rsid w:val="7555100E"/>
    <w:rsid w:val="758C00D8"/>
    <w:rsid w:val="75B16F7B"/>
    <w:rsid w:val="75C84ED8"/>
    <w:rsid w:val="76165B7C"/>
    <w:rsid w:val="762D0D05"/>
    <w:rsid w:val="76320CAE"/>
    <w:rsid w:val="766643CE"/>
    <w:rsid w:val="76691BBB"/>
    <w:rsid w:val="769737C0"/>
    <w:rsid w:val="76CB4933"/>
    <w:rsid w:val="76DC0C89"/>
    <w:rsid w:val="76E510DF"/>
    <w:rsid w:val="76E56077"/>
    <w:rsid w:val="76EB0CA1"/>
    <w:rsid w:val="76EF12AB"/>
    <w:rsid w:val="77033FC7"/>
    <w:rsid w:val="770B2528"/>
    <w:rsid w:val="773439F2"/>
    <w:rsid w:val="773D770D"/>
    <w:rsid w:val="77412B74"/>
    <w:rsid w:val="774B1E9B"/>
    <w:rsid w:val="77603F06"/>
    <w:rsid w:val="776C1ABB"/>
    <w:rsid w:val="77872819"/>
    <w:rsid w:val="778B1CA3"/>
    <w:rsid w:val="77B4681C"/>
    <w:rsid w:val="77CF18B6"/>
    <w:rsid w:val="78073C70"/>
    <w:rsid w:val="78333460"/>
    <w:rsid w:val="78374149"/>
    <w:rsid w:val="785C77FF"/>
    <w:rsid w:val="788A3EF2"/>
    <w:rsid w:val="78BB542A"/>
    <w:rsid w:val="78D52F1B"/>
    <w:rsid w:val="78E3782A"/>
    <w:rsid w:val="78EE0311"/>
    <w:rsid w:val="78EE5BE2"/>
    <w:rsid w:val="78F018E3"/>
    <w:rsid w:val="79510127"/>
    <w:rsid w:val="79C73ADB"/>
    <w:rsid w:val="79E35F15"/>
    <w:rsid w:val="79EB4E78"/>
    <w:rsid w:val="79EE1814"/>
    <w:rsid w:val="7A04188E"/>
    <w:rsid w:val="7A0B26BE"/>
    <w:rsid w:val="7A5A4652"/>
    <w:rsid w:val="7AA75347"/>
    <w:rsid w:val="7AB919D9"/>
    <w:rsid w:val="7ACA37C4"/>
    <w:rsid w:val="7B110EA8"/>
    <w:rsid w:val="7B204E77"/>
    <w:rsid w:val="7B2670AA"/>
    <w:rsid w:val="7B3D698C"/>
    <w:rsid w:val="7B3E2CD1"/>
    <w:rsid w:val="7B456061"/>
    <w:rsid w:val="7B48126A"/>
    <w:rsid w:val="7B600C5E"/>
    <w:rsid w:val="7B6A7FCE"/>
    <w:rsid w:val="7B832841"/>
    <w:rsid w:val="7B8849C9"/>
    <w:rsid w:val="7B8C579B"/>
    <w:rsid w:val="7BB91CD5"/>
    <w:rsid w:val="7BCE0AA8"/>
    <w:rsid w:val="7BDB1CFE"/>
    <w:rsid w:val="7C042C24"/>
    <w:rsid w:val="7C18518B"/>
    <w:rsid w:val="7C1966A5"/>
    <w:rsid w:val="7C423439"/>
    <w:rsid w:val="7C6B5B85"/>
    <w:rsid w:val="7C6C3025"/>
    <w:rsid w:val="7C743607"/>
    <w:rsid w:val="7C896B62"/>
    <w:rsid w:val="7CA227B8"/>
    <w:rsid w:val="7CA821D2"/>
    <w:rsid w:val="7CAE2851"/>
    <w:rsid w:val="7CB53907"/>
    <w:rsid w:val="7CC322D8"/>
    <w:rsid w:val="7CD341C6"/>
    <w:rsid w:val="7CE90E76"/>
    <w:rsid w:val="7CEA684B"/>
    <w:rsid w:val="7D017ED7"/>
    <w:rsid w:val="7D530B8B"/>
    <w:rsid w:val="7D61205A"/>
    <w:rsid w:val="7D815718"/>
    <w:rsid w:val="7D9C0315"/>
    <w:rsid w:val="7DFB529C"/>
    <w:rsid w:val="7E010587"/>
    <w:rsid w:val="7E121CE7"/>
    <w:rsid w:val="7E1C4976"/>
    <w:rsid w:val="7E2B33E9"/>
    <w:rsid w:val="7E3A4BC5"/>
    <w:rsid w:val="7E45707E"/>
    <w:rsid w:val="7E4B4DE6"/>
    <w:rsid w:val="7E4D0A6A"/>
    <w:rsid w:val="7E59498D"/>
    <w:rsid w:val="7E63227B"/>
    <w:rsid w:val="7E696CC0"/>
    <w:rsid w:val="7E6D383F"/>
    <w:rsid w:val="7E717212"/>
    <w:rsid w:val="7EC6515A"/>
    <w:rsid w:val="7ECD28DB"/>
    <w:rsid w:val="7ED15400"/>
    <w:rsid w:val="7ED7769E"/>
    <w:rsid w:val="7EE74459"/>
    <w:rsid w:val="7EF00D35"/>
    <w:rsid w:val="7F0662C5"/>
    <w:rsid w:val="7F21355F"/>
    <w:rsid w:val="7F3537F8"/>
    <w:rsid w:val="7F443B8F"/>
    <w:rsid w:val="7F58461F"/>
    <w:rsid w:val="7F611D3F"/>
    <w:rsid w:val="7F947550"/>
    <w:rsid w:val="7F9D0E91"/>
    <w:rsid w:val="7FA34429"/>
    <w:rsid w:val="7FAA04CC"/>
    <w:rsid w:val="7FDE7E37"/>
    <w:rsid w:val="7FE82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semiHidden="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00" w:lineRule="auto"/>
      <w:jc w:val="both"/>
    </w:pPr>
    <w:rPr>
      <w:rFonts w:ascii="Calibri" w:hAnsi="Calibri" w:eastAsia="宋体" w:cs="Times New Roman"/>
      <w:kern w:val="2"/>
      <w:sz w:val="21"/>
      <w:szCs w:val="24"/>
      <w:lang w:val="en-US" w:eastAsia="zh-CN" w:bidi="ar-SA"/>
    </w:rPr>
  </w:style>
  <w:style w:type="paragraph" w:styleId="3">
    <w:name w:val="heading 1"/>
    <w:basedOn w:val="1"/>
    <w:next w:val="1"/>
    <w:link w:val="62"/>
    <w:qFormat/>
    <w:uiPriority w:val="0"/>
    <w:pPr>
      <w:keepNext/>
      <w:adjustRightInd w:val="0"/>
      <w:jc w:val="center"/>
      <w:outlineLvl w:val="0"/>
    </w:pPr>
    <w:rPr>
      <w:rFonts w:eastAsia="黑体"/>
      <w:b/>
      <w:color w:val="000000"/>
      <w:sz w:val="28"/>
    </w:rPr>
  </w:style>
  <w:style w:type="paragraph" w:styleId="2">
    <w:name w:val="heading 2"/>
    <w:basedOn w:val="1"/>
    <w:next w:val="1"/>
    <w:link w:val="56"/>
    <w:qFormat/>
    <w:uiPriority w:val="0"/>
    <w:pPr>
      <w:keepNext/>
      <w:keepLines/>
      <w:adjustRightInd w:val="0"/>
      <w:spacing w:before="100" w:after="100" w:line="360" w:lineRule="auto"/>
      <w:ind w:firstLine="200" w:firstLineChars="200"/>
      <w:outlineLvl w:val="1"/>
    </w:pPr>
    <w:rPr>
      <w:rFonts w:cs="Arial"/>
      <w:b/>
      <w:bCs/>
      <w:szCs w:val="32"/>
    </w:rPr>
  </w:style>
  <w:style w:type="paragraph" w:styleId="4">
    <w:name w:val="heading 3"/>
    <w:basedOn w:val="1"/>
    <w:next w:val="1"/>
    <w:qFormat/>
    <w:uiPriority w:val="0"/>
    <w:pPr>
      <w:widowControl/>
      <w:autoSpaceDE w:val="0"/>
      <w:autoSpaceDN w:val="0"/>
      <w:ind w:firstLine="200" w:firstLineChars="200"/>
      <w:outlineLvl w:val="2"/>
    </w:pPr>
    <w:rPr>
      <w:rFonts w:eastAsia="黑体"/>
      <w:szCs w:val="20"/>
    </w:rPr>
  </w:style>
  <w:style w:type="paragraph" w:styleId="5">
    <w:name w:val="heading 4"/>
    <w:basedOn w:val="1"/>
    <w:next w:val="1"/>
    <w:link w:val="116"/>
    <w:qFormat/>
    <w:uiPriority w:val="0"/>
    <w:pPr>
      <w:keepNext/>
      <w:keepLines/>
      <w:spacing w:before="280" w:after="290" w:line="376" w:lineRule="auto"/>
      <w:outlineLvl w:val="3"/>
    </w:pPr>
    <w:rPr>
      <w:rFonts w:ascii="Cambria" w:hAnsi="Cambria"/>
      <w:bCs/>
      <w:sz w:val="28"/>
      <w:szCs w:val="28"/>
    </w:rPr>
  </w:style>
  <w:style w:type="paragraph" w:styleId="6">
    <w:name w:val="heading 5"/>
    <w:basedOn w:val="5"/>
    <w:next w:val="1"/>
    <w:qFormat/>
    <w:uiPriority w:val="0"/>
    <w:pPr>
      <w:adjustRightInd w:val="0"/>
      <w:outlineLvl w:val="4"/>
    </w:pPr>
  </w:style>
  <w:style w:type="paragraph" w:styleId="7">
    <w:name w:val="heading 6"/>
    <w:basedOn w:val="6"/>
    <w:next w:val="1"/>
    <w:unhideWhenUsed/>
    <w:qFormat/>
    <w:uiPriority w:val="9"/>
    <w:pPr>
      <w:outlineLvl w:val="5"/>
    </w:p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8">
    <w:name w:val="List 3"/>
    <w:basedOn w:val="1"/>
    <w:qFormat/>
    <w:uiPriority w:val="0"/>
    <w:pPr>
      <w:ind w:left="100" w:leftChars="400" w:hanging="200" w:hangingChars="200"/>
    </w:pPr>
    <w:rPr>
      <w:szCs w:val="20"/>
    </w:rPr>
  </w:style>
  <w:style w:type="paragraph" w:styleId="9">
    <w:name w:val="toc 7"/>
    <w:basedOn w:val="1"/>
    <w:next w:val="1"/>
    <w:qFormat/>
    <w:uiPriority w:val="39"/>
    <w:pPr>
      <w:ind w:left="1260"/>
      <w:jc w:val="left"/>
    </w:pPr>
    <w:rPr>
      <w:szCs w:val="21"/>
    </w:rPr>
  </w:style>
  <w:style w:type="paragraph" w:styleId="10">
    <w:name w:val="table of authorities"/>
    <w:basedOn w:val="1"/>
    <w:next w:val="1"/>
    <w:unhideWhenUsed/>
    <w:qFormat/>
    <w:uiPriority w:val="99"/>
    <w:pPr>
      <w:ind w:left="420" w:leftChars="200"/>
    </w:pPr>
  </w:style>
  <w:style w:type="paragraph" w:styleId="11">
    <w:name w:val="Normal Indent"/>
    <w:basedOn w:val="1"/>
    <w:next w:val="1"/>
    <w:link w:val="65"/>
    <w:qFormat/>
    <w:uiPriority w:val="0"/>
    <w:pPr>
      <w:ind w:firstLine="420"/>
    </w:pPr>
  </w:style>
  <w:style w:type="paragraph" w:styleId="12">
    <w:name w:val="Document Map"/>
    <w:basedOn w:val="1"/>
    <w:semiHidden/>
    <w:qFormat/>
    <w:uiPriority w:val="0"/>
    <w:pPr>
      <w:shd w:val="clear" w:color="auto" w:fill="000080"/>
    </w:pPr>
  </w:style>
  <w:style w:type="paragraph" w:styleId="13">
    <w:name w:val="annotation text"/>
    <w:basedOn w:val="1"/>
    <w:link w:val="139"/>
    <w:qFormat/>
    <w:uiPriority w:val="99"/>
    <w:pPr>
      <w:jc w:val="left"/>
    </w:pPr>
  </w:style>
  <w:style w:type="paragraph" w:styleId="14">
    <w:name w:val="Body Text 3"/>
    <w:basedOn w:val="1"/>
    <w:qFormat/>
    <w:uiPriority w:val="0"/>
    <w:pPr>
      <w:spacing w:line="440" w:lineRule="atLeast"/>
      <w:jc w:val="center"/>
    </w:pPr>
    <w:rPr>
      <w:rFonts w:ascii="楷体_GB2312" w:eastAsia="楷体_GB2312"/>
      <w:b/>
      <w:color w:val="000000"/>
      <w:sz w:val="30"/>
    </w:rPr>
  </w:style>
  <w:style w:type="paragraph" w:styleId="15">
    <w:name w:val="Body Text"/>
    <w:basedOn w:val="1"/>
    <w:next w:val="1"/>
    <w:qFormat/>
    <w:uiPriority w:val="0"/>
    <w:pPr>
      <w:adjustRightInd w:val="0"/>
      <w:spacing w:line="315" w:lineRule="atLeast"/>
      <w:jc w:val="left"/>
      <w:textAlignment w:val="baseline"/>
    </w:pPr>
    <w:rPr>
      <w:rFonts w:ascii="仿宋_GB2312" w:eastAsia="仿宋_GB2312"/>
      <w:kern w:val="0"/>
      <w:sz w:val="28"/>
      <w:szCs w:val="20"/>
    </w:rPr>
  </w:style>
  <w:style w:type="paragraph" w:styleId="16">
    <w:name w:val="Body Text Indent"/>
    <w:basedOn w:val="1"/>
    <w:qFormat/>
    <w:uiPriority w:val="0"/>
    <w:pPr>
      <w:widowControl/>
      <w:autoSpaceDE w:val="0"/>
      <w:autoSpaceDN w:val="0"/>
      <w:spacing w:before="120" w:line="400" w:lineRule="atLeast"/>
      <w:ind w:firstLine="570"/>
      <w:textAlignment w:val="bottom"/>
    </w:pPr>
    <w:rPr>
      <w:rFonts w:ascii="宋体"/>
      <w:kern w:val="0"/>
      <w:sz w:val="24"/>
      <w:szCs w:val="20"/>
    </w:rPr>
  </w:style>
  <w:style w:type="paragraph" w:styleId="17">
    <w:name w:val="List 2"/>
    <w:basedOn w:val="1"/>
    <w:qFormat/>
    <w:uiPriority w:val="0"/>
    <w:pPr>
      <w:ind w:left="100" w:leftChars="200" w:hanging="200" w:hangingChars="200"/>
    </w:pPr>
  </w:style>
  <w:style w:type="paragraph" w:styleId="18">
    <w:name w:val="toc 5"/>
    <w:basedOn w:val="1"/>
    <w:next w:val="1"/>
    <w:qFormat/>
    <w:uiPriority w:val="39"/>
    <w:pPr>
      <w:ind w:left="840"/>
      <w:jc w:val="left"/>
    </w:pPr>
    <w:rPr>
      <w:szCs w:val="21"/>
    </w:rPr>
  </w:style>
  <w:style w:type="paragraph" w:styleId="19">
    <w:name w:val="toc 3"/>
    <w:basedOn w:val="1"/>
    <w:next w:val="1"/>
    <w:qFormat/>
    <w:uiPriority w:val="39"/>
    <w:pPr>
      <w:adjustRightInd w:val="0"/>
      <w:spacing w:line="360" w:lineRule="auto"/>
      <w:ind w:left="420"/>
      <w:jc w:val="left"/>
    </w:pPr>
    <w:rPr>
      <w:iCs/>
    </w:rPr>
  </w:style>
  <w:style w:type="paragraph" w:styleId="20">
    <w:name w:val="Plain Text"/>
    <w:basedOn w:val="1"/>
    <w:link w:val="113"/>
    <w:qFormat/>
    <w:uiPriority w:val="0"/>
    <w:rPr>
      <w:rFonts w:ascii="宋体" w:hAnsi="Courier New"/>
      <w:szCs w:val="20"/>
    </w:rPr>
  </w:style>
  <w:style w:type="paragraph" w:styleId="21">
    <w:name w:val="toc 8"/>
    <w:basedOn w:val="1"/>
    <w:next w:val="1"/>
    <w:qFormat/>
    <w:uiPriority w:val="39"/>
    <w:pPr>
      <w:ind w:left="1470"/>
      <w:jc w:val="left"/>
    </w:pPr>
    <w:rPr>
      <w:szCs w:val="21"/>
    </w:rPr>
  </w:style>
  <w:style w:type="paragraph" w:styleId="22">
    <w:name w:val="Date"/>
    <w:basedOn w:val="1"/>
    <w:next w:val="1"/>
    <w:qFormat/>
    <w:uiPriority w:val="0"/>
    <w:pPr>
      <w:ind w:left="100" w:leftChars="2500"/>
    </w:pPr>
    <w:rPr>
      <w:color w:val="000000"/>
      <w:sz w:val="24"/>
    </w:rPr>
  </w:style>
  <w:style w:type="paragraph" w:styleId="23">
    <w:name w:val="Body Text Indent 2"/>
    <w:basedOn w:val="1"/>
    <w:next w:val="1"/>
    <w:qFormat/>
    <w:uiPriority w:val="0"/>
    <w:pPr>
      <w:widowControl/>
      <w:spacing w:line="480" w:lineRule="atLeast"/>
      <w:ind w:firstLine="480"/>
    </w:pPr>
    <w:rPr>
      <w:rFonts w:ascii="宋体"/>
      <w:kern w:val="0"/>
      <w:sz w:val="24"/>
      <w:szCs w:val="20"/>
    </w:rPr>
  </w:style>
  <w:style w:type="paragraph" w:styleId="24">
    <w:name w:val="Balloon Text"/>
    <w:basedOn w:val="1"/>
    <w:semiHidden/>
    <w:qFormat/>
    <w:uiPriority w:val="0"/>
    <w:rPr>
      <w:sz w:val="18"/>
      <w:szCs w:val="18"/>
    </w:rPr>
  </w:style>
  <w:style w:type="paragraph" w:styleId="25">
    <w:name w:val="footer"/>
    <w:basedOn w:val="1"/>
    <w:link w:val="124"/>
    <w:qFormat/>
    <w:uiPriority w:val="0"/>
    <w:pPr>
      <w:pBdr>
        <w:top w:val="single" w:color="auto" w:sz="4" w:space="1"/>
      </w:pBdr>
      <w:tabs>
        <w:tab w:val="center" w:pos="4153"/>
        <w:tab w:val="right" w:pos="8306"/>
      </w:tabs>
      <w:jc w:val="left"/>
    </w:pPr>
    <w:rPr>
      <w:sz w:val="18"/>
      <w:szCs w:val="18"/>
    </w:rPr>
  </w:style>
  <w:style w:type="paragraph" w:styleId="26">
    <w:name w:val="header"/>
    <w:basedOn w:val="1"/>
    <w:link w:val="114"/>
    <w:qFormat/>
    <w:uiPriority w:val="0"/>
    <w:pPr>
      <w:pBdr>
        <w:bottom w:val="single" w:color="auto" w:sz="6" w:space="1"/>
      </w:pBdr>
      <w:tabs>
        <w:tab w:val="center" w:pos="4153"/>
        <w:tab w:val="right" w:pos="8306"/>
      </w:tabs>
      <w:jc w:val="center"/>
    </w:pPr>
    <w:rPr>
      <w:sz w:val="18"/>
      <w:szCs w:val="18"/>
    </w:rPr>
  </w:style>
  <w:style w:type="paragraph" w:styleId="27">
    <w:name w:val="toc 1"/>
    <w:basedOn w:val="1"/>
    <w:next w:val="1"/>
    <w:qFormat/>
    <w:uiPriority w:val="39"/>
    <w:pPr>
      <w:tabs>
        <w:tab w:val="right" w:leader="dot" w:pos="9403"/>
      </w:tabs>
    </w:pPr>
    <w:rPr>
      <w:rFonts w:cs="Arial"/>
      <w:b/>
      <w:bCs/>
      <w:caps/>
    </w:rPr>
  </w:style>
  <w:style w:type="paragraph" w:styleId="28">
    <w:name w:val="toc 4"/>
    <w:basedOn w:val="1"/>
    <w:next w:val="1"/>
    <w:qFormat/>
    <w:uiPriority w:val="39"/>
    <w:pPr>
      <w:ind w:left="630"/>
      <w:jc w:val="left"/>
    </w:pPr>
    <w:rPr>
      <w:szCs w:val="21"/>
    </w:rPr>
  </w:style>
  <w:style w:type="paragraph" w:styleId="29">
    <w:name w:val="Subtitle"/>
    <w:basedOn w:val="1"/>
    <w:next w:val="1"/>
    <w:link w:val="120"/>
    <w:qFormat/>
    <w:uiPriority w:val="0"/>
    <w:pPr>
      <w:spacing w:before="240" w:after="60" w:line="312" w:lineRule="auto"/>
      <w:jc w:val="center"/>
      <w:outlineLvl w:val="1"/>
    </w:pPr>
    <w:rPr>
      <w:rFonts w:ascii="Cambria" w:hAnsi="Cambria"/>
      <w:b/>
      <w:bCs/>
      <w:kern w:val="28"/>
      <w:sz w:val="32"/>
      <w:szCs w:val="32"/>
    </w:rPr>
  </w:style>
  <w:style w:type="paragraph" w:styleId="30">
    <w:name w:val="List"/>
    <w:basedOn w:val="1"/>
    <w:qFormat/>
    <w:uiPriority w:val="0"/>
    <w:pPr>
      <w:ind w:left="200" w:hanging="200" w:hangingChars="200"/>
    </w:pPr>
  </w:style>
  <w:style w:type="paragraph" w:styleId="31">
    <w:name w:val="toc 6"/>
    <w:basedOn w:val="1"/>
    <w:next w:val="1"/>
    <w:qFormat/>
    <w:uiPriority w:val="39"/>
    <w:pPr>
      <w:ind w:left="1050"/>
      <w:jc w:val="left"/>
    </w:pPr>
    <w:rPr>
      <w:szCs w:val="21"/>
    </w:rPr>
  </w:style>
  <w:style w:type="paragraph" w:styleId="32">
    <w:name w:val="List 5"/>
    <w:basedOn w:val="1"/>
    <w:qFormat/>
    <w:uiPriority w:val="0"/>
    <w:pPr>
      <w:ind w:left="100" w:leftChars="800" w:hanging="200" w:hangingChars="200"/>
    </w:pPr>
    <w:rPr>
      <w:szCs w:val="20"/>
    </w:rPr>
  </w:style>
  <w:style w:type="paragraph" w:styleId="33">
    <w:name w:val="Body Text Indent 3"/>
    <w:basedOn w:val="1"/>
    <w:qFormat/>
    <w:uiPriority w:val="0"/>
    <w:pPr>
      <w:autoSpaceDE w:val="0"/>
      <w:autoSpaceDN w:val="0"/>
      <w:spacing w:line="400" w:lineRule="atLeast"/>
      <w:ind w:firstLine="443" w:firstLineChars="200"/>
      <w:textAlignment w:val="bottom"/>
    </w:pPr>
    <w:rPr>
      <w:rFonts w:eastAsia="黑体"/>
      <w:color w:val="000000"/>
      <w:sz w:val="24"/>
    </w:rPr>
  </w:style>
  <w:style w:type="paragraph" w:styleId="34">
    <w:name w:val="table of figures"/>
    <w:basedOn w:val="1"/>
    <w:next w:val="1"/>
    <w:qFormat/>
    <w:uiPriority w:val="0"/>
    <w:pPr>
      <w:ind w:left="200" w:leftChars="200" w:hanging="200" w:hangingChars="200"/>
    </w:pPr>
  </w:style>
  <w:style w:type="paragraph" w:styleId="35">
    <w:name w:val="toc 2"/>
    <w:basedOn w:val="1"/>
    <w:next w:val="1"/>
    <w:qFormat/>
    <w:uiPriority w:val="39"/>
    <w:pPr>
      <w:tabs>
        <w:tab w:val="right" w:leader="dot" w:pos="9403"/>
      </w:tabs>
      <w:spacing w:line="360" w:lineRule="auto"/>
      <w:ind w:firstLine="420" w:firstLineChars="200"/>
      <w:jc w:val="left"/>
    </w:pPr>
    <w:rPr>
      <w:rFonts w:ascii="Arial" w:hAnsi="Arial"/>
      <w:smallCaps/>
    </w:rPr>
  </w:style>
  <w:style w:type="paragraph" w:styleId="36">
    <w:name w:val="toc 9"/>
    <w:basedOn w:val="1"/>
    <w:next w:val="1"/>
    <w:qFormat/>
    <w:uiPriority w:val="39"/>
    <w:pPr>
      <w:ind w:left="1680"/>
      <w:jc w:val="left"/>
    </w:pPr>
    <w:rPr>
      <w:szCs w:val="21"/>
    </w:rPr>
  </w:style>
  <w:style w:type="paragraph" w:styleId="37">
    <w:name w:val="Body Text 2"/>
    <w:basedOn w:val="1"/>
    <w:qFormat/>
    <w:uiPriority w:val="0"/>
    <w:rPr>
      <w:b/>
      <w:bCs/>
      <w:color w:val="000000"/>
      <w:sz w:val="28"/>
    </w:rPr>
  </w:style>
  <w:style w:type="paragraph" w:styleId="38">
    <w:name w:val="List 4"/>
    <w:basedOn w:val="1"/>
    <w:qFormat/>
    <w:uiPriority w:val="0"/>
    <w:pPr>
      <w:ind w:left="100" w:leftChars="600" w:hanging="200" w:hangingChars="200"/>
    </w:pPr>
    <w:rPr>
      <w:szCs w:val="20"/>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0">
    <w:name w:val="Normal (Web)"/>
    <w:basedOn w:val="1"/>
    <w:qFormat/>
    <w:uiPriority w:val="99"/>
    <w:pPr>
      <w:widowControl/>
      <w:spacing w:before="100" w:beforeAutospacing="1" w:after="100" w:afterAutospacing="1"/>
      <w:jc w:val="left"/>
    </w:pPr>
    <w:rPr>
      <w:rFonts w:ascii="宋体" w:hAnsi="宋体"/>
      <w:kern w:val="0"/>
      <w:sz w:val="24"/>
    </w:rPr>
  </w:style>
  <w:style w:type="paragraph" w:styleId="41">
    <w:name w:val="index 1"/>
    <w:basedOn w:val="1"/>
    <w:next w:val="1"/>
    <w:semiHidden/>
    <w:qFormat/>
    <w:uiPriority w:val="0"/>
    <w:pPr>
      <w:ind w:firstLine="200" w:firstLineChars="200"/>
    </w:pPr>
    <w:rPr>
      <w:sz w:val="24"/>
    </w:rPr>
  </w:style>
  <w:style w:type="paragraph" w:styleId="42">
    <w:name w:val="Title"/>
    <w:basedOn w:val="1"/>
    <w:next w:val="1"/>
    <w:qFormat/>
    <w:uiPriority w:val="0"/>
    <w:pPr>
      <w:jc w:val="center"/>
    </w:pPr>
    <w:rPr>
      <w:sz w:val="30"/>
    </w:rPr>
  </w:style>
  <w:style w:type="paragraph" w:styleId="43">
    <w:name w:val="annotation subject"/>
    <w:basedOn w:val="13"/>
    <w:next w:val="13"/>
    <w:semiHidden/>
    <w:qFormat/>
    <w:uiPriority w:val="0"/>
    <w:rPr>
      <w:b/>
      <w:bCs/>
    </w:rPr>
  </w:style>
  <w:style w:type="paragraph" w:styleId="44">
    <w:name w:val="Body Text First Indent"/>
    <w:basedOn w:val="15"/>
    <w:next w:val="31"/>
    <w:qFormat/>
    <w:uiPriority w:val="0"/>
    <w:pPr>
      <w:spacing w:after="120" w:line="288" w:lineRule="auto"/>
      <w:ind w:firstLine="420" w:firstLineChars="100"/>
      <w:jc w:val="both"/>
      <w:textAlignment w:val="auto"/>
    </w:pPr>
    <w:rPr>
      <w:rFonts w:ascii="Times New Roman" w:eastAsia="宋体"/>
      <w:kern w:val="2"/>
      <w:sz w:val="21"/>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0"/>
    <w:rPr>
      <w:b/>
      <w:bCs/>
    </w:rPr>
  </w:style>
  <w:style w:type="character" w:styleId="49">
    <w:name w:val="page number"/>
    <w:basedOn w:val="47"/>
    <w:qFormat/>
    <w:uiPriority w:val="0"/>
    <w:rPr>
      <w:rFonts w:ascii="Calibri" w:hAnsi="Calibri" w:eastAsia="宋体"/>
    </w:rPr>
  </w:style>
  <w:style w:type="character" w:styleId="50">
    <w:name w:val="FollowedHyperlink"/>
    <w:qFormat/>
    <w:uiPriority w:val="0"/>
    <w:rPr>
      <w:color w:val="800080"/>
      <w:u w:val="single"/>
    </w:rPr>
  </w:style>
  <w:style w:type="character" w:styleId="51">
    <w:name w:val="Emphasis"/>
    <w:qFormat/>
    <w:uiPriority w:val="0"/>
    <w:rPr>
      <w:color w:val="CC0033"/>
    </w:rPr>
  </w:style>
  <w:style w:type="character" w:styleId="52">
    <w:name w:val="Hyperlink"/>
    <w:qFormat/>
    <w:uiPriority w:val="99"/>
    <w:rPr>
      <w:color w:val="0000FF"/>
      <w:u w:val="single"/>
    </w:rPr>
  </w:style>
  <w:style w:type="character" w:styleId="53">
    <w:name w:val="annotation reference"/>
    <w:semiHidden/>
    <w:qFormat/>
    <w:uiPriority w:val="99"/>
    <w:rPr>
      <w:sz w:val="21"/>
      <w:szCs w:val="21"/>
    </w:rPr>
  </w:style>
  <w:style w:type="character" w:styleId="54">
    <w:name w:val="HTML Sample"/>
    <w:basedOn w:val="47"/>
    <w:qFormat/>
    <w:uiPriority w:val="0"/>
    <w:rPr>
      <w:rFonts w:ascii="Courier New" w:hAnsi="Courier New"/>
    </w:rPr>
  </w:style>
  <w:style w:type="paragraph" w:customStyle="1" w:styleId="55">
    <w:name w:val="Normal Indent1"/>
    <w:basedOn w:val="1"/>
    <w:qFormat/>
    <w:uiPriority w:val="0"/>
    <w:pPr>
      <w:ind w:firstLine="420" w:firstLineChars="200"/>
    </w:pPr>
  </w:style>
  <w:style w:type="character" w:customStyle="1" w:styleId="56">
    <w:name w:val="标题 2 字符"/>
    <w:link w:val="2"/>
    <w:qFormat/>
    <w:uiPriority w:val="0"/>
    <w:rPr>
      <w:rFonts w:ascii="Calibri" w:hAnsi="Calibri" w:eastAsia="宋体" w:cs="Arial"/>
      <w:b/>
      <w:bCs/>
      <w:szCs w:val="32"/>
    </w:rPr>
  </w:style>
  <w:style w:type="character" w:customStyle="1" w:styleId="57">
    <w:name w:val="NormalCharacter"/>
    <w:qFormat/>
    <w:uiPriority w:val="0"/>
    <w:rPr>
      <w:rFonts w:ascii="Calibri" w:hAnsi="Calibri" w:eastAsia="宋体" w:cs="Times New Roman"/>
      <w:kern w:val="2"/>
      <w:sz w:val="24"/>
      <w:lang w:val="en-US" w:eastAsia="zh-CN" w:bidi="ar-SA"/>
    </w:rPr>
  </w:style>
  <w:style w:type="paragraph" w:customStyle="1" w:styleId="58">
    <w:name w:val="正文-目录"/>
    <w:qFormat/>
    <w:uiPriority w:val="0"/>
    <w:pPr>
      <w:widowControl w:val="0"/>
      <w:spacing w:line="360" w:lineRule="auto"/>
      <w:jc w:val="both"/>
    </w:pPr>
    <w:rPr>
      <w:rFonts w:ascii="Times New Roman" w:hAnsi="Times New Roman" w:eastAsia="仿宋" w:cs="Times New Roman"/>
      <w:kern w:val="2"/>
      <w:sz w:val="28"/>
      <w:szCs w:val="28"/>
      <w:lang w:val="en-US" w:eastAsia="zh-CN" w:bidi="ar-SA"/>
    </w:rPr>
  </w:style>
  <w:style w:type="paragraph" w:customStyle="1" w:styleId="59">
    <w:name w:val="Default"/>
    <w:next w:val="60"/>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60">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61">
    <w:name w:val="首行缩进"/>
    <w:basedOn w:val="1"/>
    <w:qFormat/>
    <w:uiPriority w:val="0"/>
    <w:pPr>
      <w:spacing w:line="360" w:lineRule="auto"/>
      <w:ind w:firstLine="480" w:firstLineChars="200"/>
    </w:pPr>
    <w:rPr>
      <w:rFonts w:hAnsi="宋体" w:cs="宋体"/>
      <w:sz w:val="24"/>
    </w:rPr>
  </w:style>
  <w:style w:type="character" w:customStyle="1" w:styleId="62">
    <w:name w:val="标题 1 字符"/>
    <w:link w:val="3"/>
    <w:qFormat/>
    <w:uiPriority w:val="0"/>
    <w:rPr>
      <w:rFonts w:ascii="Calibri" w:hAnsi="Calibri" w:eastAsia="黑体"/>
      <w:b/>
      <w:color w:val="000000"/>
      <w:sz w:val="28"/>
    </w:rPr>
  </w:style>
  <w:style w:type="paragraph" w:customStyle="1" w:styleId="63">
    <w:name w:val="样式1"/>
    <w:basedOn w:val="1"/>
    <w:next w:val="1"/>
    <w:link w:val="111"/>
    <w:qFormat/>
    <w:uiPriority w:val="0"/>
    <w:pPr>
      <w:spacing w:line="400" w:lineRule="atLeast"/>
      <w:ind w:firstLine="200" w:firstLineChars="200"/>
    </w:pPr>
    <w:rPr>
      <w:rFonts w:ascii="宋体" w:hAnsi="宋体"/>
      <w:szCs w:val="21"/>
    </w:rPr>
  </w:style>
  <w:style w:type="character" w:customStyle="1" w:styleId="64">
    <w:name w:val="样式1 Char Char"/>
    <w:qFormat/>
    <w:uiPriority w:val="0"/>
    <w:rPr>
      <w:rFonts w:ascii="Arial" w:hAnsi="Arial" w:eastAsia="宋体"/>
      <w:kern w:val="2"/>
      <w:sz w:val="21"/>
      <w:szCs w:val="24"/>
      <w:lang w:val="en-US" w:eastAsia="zh-CN" w:bidi="ar-SA"/>
    </w:rPr>
  </w:style>
  <w:style w:type="character" w:customStyle="1" w:styleId="65">
    <w:name w:val="正文缩进 字符"/>
    <w:link w:val="11"/>
    <w:qFormat/>
    <w:uiPriority w:val="0"/>
    <w:rPr>
      <w:rFonts w:eastAsia="宋体"/>
      <w:kern w:val="2"/>
      <w:sz w:val="21"/>
      <w:szCs w:val="24"/>
      <w:lang w:val="en-US" w:eastAsia="zh-CN" w:bidi="ar-SA"/>
    </w:rPr>
  </w:style>
  <w:style w:type="paragraph" w:customStyle="1" w:styleId="66">
    <w:name w:val="投标正文"/>
    <w:basedOn w:val="1"/>
    <w:link w:val="126"/>
    <w:qFormat/>
    <w:uiPriority w:val="0"/>
    <w:pPr>
      <w:spacing w:line="360" w:lineRule="auto"/>
      <w:ind w:left="100" w:firstLine="480" w:firstLineChars="200"/>
    </w:pPr>
    <w:rPr>
      <w:kern w:val="0"/>
      <w:sz w:val="24"/>
    </w:rPr>
  </w:style>
  <w:style w:type="paragraph" w:customStyle="1" w:styleId="67">
    <w:name w:val="正文段"/>
    <w:basedOn w:val="1"/>
    <w:qFormat/>
    <w:uiPriority w:val="0"/>
    <w:pPr>
      <w:spacing w:line="312" w:lineRule="auto"/>
      <w:ind w:firstLine="480" w:firstLineChars="200"/>
    </w:pPr>
    <w:rPr>
      <w:sz w:val="24"/>
      <w:szCs w:val="21"/>
    </w:rPr>
  </w:style>
  <w:style w:type="paragraph" w:customStyle="1" w:styleId="68">
    <w:name w:val="1"/>
    <w:basedOn w:val="1"/>
    <w:next w:val="33"/>
    <w:qFormat/>
    <w:uiPriority w:val="0"/>
    <w:pPr>
      <w:widowControl/>
      <w:spacing w:line="440" w:lineRule="atLeast"/>
      <w:ind w:firstLine="480"/>
    </w:pPr>
    <w:rPr>
      <w:kern w:val="0"/>
      <w:sz w:val="24"/>
      <w:szCs w:val="20"/>
    </w:rPr>
  </w:style>
  <w:style w:type="paragraph" w:customStyle="1" w:styleId="69">
    <w:name w:val="Char4"/>
    <w:basedOn w:val="11"/>
    <w:qFormat/>
    <w:uiPriority w:val="0"/>
    <w:pPr>
      <w:widowControl/>
      <w:spacing w:afterLines="50" w:line="360" w:lineRule="auto"/>
      <w:ind w:firstLine="480" w:firstLineChars="200"/>
      <w:jc w:val="left"/>
    </w:pPr>
  </w:style>
  <w:style w:type="paragraph" w:customStyle="1" w:styleId="70">
    <w:name w:val="正文1"/>
    <w:basedOn w:val="1"/>
    <w:qFormat/>
    <w:uiPriority w:val="0"/>
    <w:pPr>
      <w:ind w:firstLine="200" w:firstLineChars="200"/>
    </w:pPr>
    <w:rPr>
      <w:sz w:val="24"/>
    </w:rPr>
  </w:style>
  <w:style w:type="paragraph" w:customStyle="1" w:styleId="71">
    <w:name w:val="内文正文"/>
    <w:basedOn w:val="20"/>
    <w:qFormat/>
    <w:uiPriority w:val="0"/>
    <w:pPr>
      <w:adjustRightInd w:val="0"/>
      <w:spacing w:line="400" w:lineRule="exact"/>
      <w:ind w:firstLine="200" w:firstLineChars="200"/>
    </w:pPr>
    <w:rPr>
      <w:rFonts w:ascii="Arial" w:hAnsi="Arial" w:cs="Courier New"/>
      <w:color w:val="000000"/>
      <w:szCs w:val="21"/>
    </w:rPr>
  </w:style>
  <w:style w:type="paragraph" w:customStyle="1" w:styleId="72">
    <w:name w:val="正文2"/>
    <w:basedOn w:val="1"/>
    <w:link w:val="129"/>
    <w:qFormat/>
    <w:uiPriority w:val="0"/>
    <w:pPr>
      <w:spacing w:before="156" w:line="360" w:lineRule="auto"/>
      <w:ind w:firstLine="510" w:firstLineChars="200"/>
    </w:pPr>
    <w:rPr>
      <w:sz w:val="24"/>
      <w:szCs w:val="20"/>
    </w:rPr>
  </w:style>
  <w:style w:type="paragraph" w:customStyle="1" w:styleId="73">
    <w:name w:val="Char1 Char Char Char Char Char Char"/>
    <w:basedOn w:val="1"/>
    <w:qFormat/>
    <w:uiPriority w:val="0"/>
    <w:rPr>
      <w:rFonts w:ascii="仿宋_GB2312" w:eastAsia="仿宋_GB2312"/>
      <w:b/>
      <w:sz w:val="32"/>
      <w:szCs w:val="32"/>
    </w:rPr>
  </w:style>
  <w:style w:type="paragraph" w:customStyle="1" w:styleId="74">
    <w:name w:val="普通文字"/>
    <w:basedOn w:val="1"/>
    <w:qFormat/>
    <w:uiPriority w:val="0"/>
    <w:pPr>
      <w:widowControl/>
      <w:spacing w:line="351" w:lineRule="atLeast"/>
      <w:ind w:firstLine="419"/>
      <w:textAlignment w:val="baseline"/>
    </w:pPr>
    <w:rPr>
      <w:rFonts w:ascii="宋体"/>
      <w:color w:val="000000"/>
      <w:kern w:val="0"/>
      <w:szCs w:val="20"/>
      <w:u w:color="000000"/>
    </w:rPr>
  </w:style>
  <w:style w:type="paragraph" w:customStyle="1" w:styleId="75">
    <w:name w:val="table_lines"/>
    <w:basedOn w:val="1"/>
    <w:qFormat/>
    <w:uiPriority w:val="0"/>
    <w:pPr>
      <w:widowControl/>
      <w:jc w:val="left"/>
    </w:pPr>
    <w:rPr>
      <w:kern w:val="0"/>
      <w:sz w:val="20"/>
      <w:szCs w:val="20"/>
      <w:lang w:val="de-DE" w:eastAsia="de-DE"/>
    </w:rPr>
  </w:style>
  <w:style w:type="paragraph" w:customStyle="1" w:styleId="76">
    <w:name w:val="Char1 Char Char Char"/>
    <w:basedOn w:val="1"/>
    <w:qFormat/>
    <w:uiPriority w:val="0"/>
    <w:rPr>
      <w:szCs w:val="20"/>
    </w:rPr>
  </w:style>
  <w:style w:type="paragraph" w:customStyle="1" w:styleId="77">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78">
    <w:name w:val="普通(网站)1"/>
    <w:basedOn w:val="1"/>
    <w:qFormat/>
    <w:uiPriority w:val="0"/>
    <w:pPr>
      <w:widowControl/>
      <w:jc w:val="left"/>
    </w:pPr>
    <w:rPr>
      <w:rFonts w:ascii="ˎ̥" w:hAnsi="ˎ̥" w:cs="宋体"/>
      <w:color w:val="000000"/>
      <w:kern w:val="0"/>
      <w:sz w:val="13"/>
      <w:szCs w:val="13"/>
    </w:rPr>
  </w:style>
  <w:style w:type="paragraph" w:customStyle="1" w:styleId="79">
    <w:name w:val="样式4"/>
    <w:basedOn w:val="25"/>
    <w:qFormat/>
    <w:uiPriority w:val="0"/>
    <w:pPr>
      <w:pBdr>
        <w:bottom w:val="single" w:color="auto" w:sz="4" w:space="1"/>
      </w:pBdr>
      <w:tabs>
        <w:tab w:val="right" w:pos="9901"/>
        <w:tab w:val="clear" w:pos="4153"/>
        <w:tab w:val="clear" w:pos="8306"/>
      </w:tabs>
    </w:pPr>
    <w:rPr>
      <w:sz w:val="21"/>
    </w:rPr>
  </w:style>
  <w:style w:type="paragraph" w:customStyle="1" w:styleId="80">
    <w:name w:val="列出段落1"/>
    <w:basedOn w:val="1"/>
    <w:qFormat/>
    <w:uiPriority w:val="0"/>
    <w:pPr>
      <w:ind w:firstLine="420" w:firstLineChars="200"/>
    </w:pPr>
  </w:style>
  <w:style w:type="paragraph" w:customStyle="1" w:styleId="81">
    <w:name w:val="普通(网站)11"/>
    <w:basedOn w:val="1"/>
    <w:qFormat/>
    <w:uiPriority w:val="0"/>
    <w:pPr>
      <w:widowControl/>
      <w:jc w:val="left"/>
    </w:pPr>
    <w:rPr>
      <w:rFonts w:ascii="ˎ̥" w:hAnsi="ˎ̥" w:cs="宋体"/>
      <w:color w:val="000000"/>
      <w:kern w:val="0"/>
      <w:sz w:val="13"/>
      <w:szCs w:val="13"/>
    </w:rPr>
  </w:style>
  <w:style w:type="paragraph" w:customStyle="1" w:styleId="82">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83">
    <w:name w:val="Char1 Char Char Char Char Char Char1"/>
    <w:basedOn w:val="1"/>
    <w:qFormat/>
    <w:uiPriority w:val="0"/>
    <w:rPr>
      <w:rFonts w:ascii="仿宋_GB2312" w:eastAsia="仿宋_GB2312"/>
      <w:b/>
      <w:sz w:val="32"/>
      <w:szCs w:val="32"/>
    </w:rPr>
  </w:style>
  <w:style w:type="paragraph" w:customStyle="1" w:styleId="84">
    <w:name w:val="Char2"/>
    <w:basedOn w:val="1"/>
    <w:qFormat/>
    <w:uiPriority w:val="0"/>
    <w:rPr>
      <w:rFonts w:ascii="仿宋_GB2312" w:eastAsia="仿宋_GB2312"/>
      <w:b/>
      <w:sz w:val="32"/>
      <w:szCs w:val="32"/>
    </w:rPr>
  </w:style>
  <w:style w:type="paragraph" w:customStyle="1" w:styleId="85">
    <w:name w:val="样式3"/>
    <w:basedOn w:val="20"/>
    <w:qFormat/>
    <w:uiPriority w:val="0"/>
    <w:pPr>
      <w:spacing w:line="0" w:lineRule="atLeast"/>
      <w:outlineLvl w:val="0"/>
    </w:pPr>
    <w:rPr>
      <w:sz w:val="28"/>
    </w:rPr>
  </w:style>
  <w:style w:type="paragraph" w:customStyle="1" w:styleId="86">
    <w:name w:val="_Style 71"/>
    <w:basedOn w:val="3"/>
    <w:next w:val="1"/>
    <w:qFormat/>
    <w:uiPriority w:val="39"/>
    <w:pPr>
      <w:keepLines/>
      <w:widowControl/>
      <w:spacing w:before="480" w:line="276" w:lineRule="auto"/>
      <w:jc w:val="left"/>
      <w:outlineLvl w:val="9"/>
    </w:pPr>
    <w:rPr>
      <w:rFonts w:ascii="Cambria" w:hAnsi="Cambria"/>
      <w:bCs/>
      <w:color w:val="365F91"/>
      <w:kern w:val="0"/>
      <w:szCs w:val="28"/>
    </w:rPr>
  </w:style>
  <w:style w:type="paragraph" w:customStyle="1" w:styleId="87">
    <w:name w:val="Char"/>
    <w:basedOn w:val="1"/>
    <w:qFormat/>
    <w:uiPriority w:val="0"/>
    <w:rPr>
      <w:rFonts w:ascii="仿宋_GB2312" w:eastAsia="仿宋_GB2312"/>
      <w:b/>
      <w:sz w:val="32"/>
      <w:szCs w:val="32"/>
    </w:rPr>
  </w:style>
  <w:style w:type="paragraph" w:customStyle="1" w:styleId="88">
    <w:name w:val="列出段落2"/>
    <w:basedOn w:val="1"/>
    <w:qFormat/>
    <w:uiPriority w:val="0"/>
    <w:pPr>
      <w:ind w:firstLine="420" w:firstLineChars="200"/>
    </w:pPr>
  </w:style>
  <w:style w:type="paragraph" w:customStyle="1" w:styleId="89">
    <w:name w:val="样式 标题 2 + 首行缩进:  2 字符"/>
    <w:basedOn w:val="2"/>
    <w:qFormat/>
    <w:uiPriority w:val="0"/>
    <w:pPr>
      <w:ind w:firstLine="482"/>
    </w:pPr>
    <w:rPr>
      <w:rFonts w:cs="宋体"/>
      <w:szCs w:val="20"/>
    </w:rPr>
  </w:style>
  <w:style w:type="paragraph" w:customStyle="1" w:styleId="90">
    <w:name w:val="gf正文1"/>
    <w:basedOn w:val="1"/>
    <w:link w:val="108"/>
    <w:qFormat/>
    <w:uiPriority w:val="0"/>
    <w:pPr>
      <w:tabs>
        <w:tab w:val="left" w:pos="3240"/>
        <w:tab w:val="left" w:pos="3960"/>
      </w:tabs>
      <w:adjustRightInd w:val="0"/>
      <w:spacing w:line="360" w:lineRule="auto"/>
      <w:ind w:firstLine="480" w:firstLineChars="200"/>
    </w:pPr>
    <w:rPr>
      <w:rFonts w:ascii="宋体" w:hAnsi="宋体"/>
      <w:sz w:val="24"/>
      <w:szCs w:val="20"/>
    </w:rPr>
  </w:style>
  <w:style w:type="paragraph" w:customStyle="1" w:styleId="91">
    <w:name w:val="Char Char Char"/>
    <w:basedOn w:val="1"/>
    <w:qFormat/>
    <w:uiPriority w:val="0"/>
    <w:rPr>
      <w:rFonts w:eastAsia="Times New Roman"/>
      <w:kern w:val="0"/>
      <w:sz w:val="20"/>
      <w:szCs w:val="20"/>
      <w:lang w:val="zh-CN"/>
    </w:rPr>
  </w:style>
  <w:style w:type="paragraph" w:customStyle="1" w:styleId="92">
    <w:name w:val="正文－恩普"/>
    <w:basedOn w:val="11"/>
    <w:qFormat/>
    <w:uiPriority w:val="0"/>
    <w:pPr>
      <w:widowControl/>
      <w:spacing w:afterLines="50" w:line="360" w:lineRule="auto"/>
      <w:ind w:firstLine="480" w:firstLineChars="200"/>
      <w:jc w:val="left"/>
    </w:pPr>
    <w:rPr>
      <w:kern w:val="0"/>
      <w:sz w:val="24"/>
      <w:szCs w:val="20"/>
    </w:rPr>
  </w:style>
  <w:style w:type="paragraph" w:customStyle="1" w:styleId="93">
    <w:name w:val="默认段落字体 Para Char Char Char Char Char Char Char Char Char1 Char Char Char Char"/>
    <w:basedOn w:val="1"/>
    <w:qFormat/>
    <w:uiPriority w:val="0"/>
    <w:rPr>
      <w:rFonts w:ascii="Tahoma" w:hAnsi="Tahoma"/>
      <w:sz w:val="24"/>
      <w:szCs w:val="20"/>
    </w:rPr>
  </w:style>
  <w:style w:type="paragraph" w:customStyle="1" w:styleId="94">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5">
    <w:name w:val="_Style 80"/>
    <w:basedOn w:val="1"/>
    <w:link w:val="110"/>
    <w:qFormat/>
    <w:uiPriority w:val="0"/>
    <w:pPr>
      <w:ind w:firstLine="420" w:firstLineChars="200"/>
    </w:pPr>
    <w:rPr>
      <w:szCs w:val="22"/>
    </w:rPr>
  </w:style>
  <w:style w:type="paragraph" w:customStyle="1" w:styleId="96">
    <w:name w:val="Char21"/>
    <w:basedOn w:val="1"/>
    <w:qFormat/>
    <w:uiPriority w:val="0"/>
    <w:rPr>
      <w:rFonts w:ascii="仿宋_GB2312" w:eastAsia="仿宋_GB2312"/>
      <w:b/>
      <w:sz w:val="32"/>
      <w:szCs w:val="32"/>
    </w:rPr>
  </w:style>
  <w:style w:type="paragraph" w:customStyle="1" w:styleId="97">
    <w:name w:val="Char3"/>
    <w:basedOn w:val="1"/>
    <w:link w:val="121"/>
    <w:qFormat/>
    <w:uiPriority w:val="0"/>
    <w:rPr>
      <w:rFonts w:ascii="仿宋_GB2312" w:eastAsia="仿宋_GB2312"/>
      <w:b/>
      <w:sz w:val="32"/>
      <w:szCs w:val="32"/>
    </w:rPr>
  </w:style>
  <w:style w:type="paragraph" w:customStyle="1" w:styleId="98">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99">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100">
    <w:name w:val="Char1 Char Char Char1"/>
    <w:basedOn w:val="1"/>
    <w:qFormat/>
    <w:uiPriority w:val="0"/>
    <w:rPr>
      <w:szCs w:val="20"/>
    </w:rPr>
  </w:style>
  <w:style w:type="paragraph" w:customStyle="1" w:styleId="101">
    <w:name w:val="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2">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3">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104">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105">
    <w:name w:val="Char41"/>
    <w:basedOn w:val="11"/>
    <w:qFormat/>
    <w:uiPriority w:val="0"/>
    <w:pPr>
      <w:widowControl/>
      <w:spacing w:afterLines="50" w:line="360" w:lineRule="auto"/>
      <w:ind w:firstLine="480" w:firstLineChars="200"/>
      <w:jc w:val="left"/>
    </w:pPr>
  </w:style>
  <w:style w:type="paragraph" w:customStyle="1" w:styleId="106">
    <w:name w:val="默认段落字体 Para Char"/>
    <w:basedOn w:val="1"/>
    <w:qFormat/>
    <w:uiPriority w:val="0"/>
    <w:pPr>
      <w:numPr>
        <w:ilvl w:val="0"/>
        <w:numId w:val="1"/>
      </w:numPr>
      <w:tabs>
        <w:tab w:val="left" w:pos="454"/>
      </w:tabs>
    </w:pPr>
  </w:style>
  <w:style w:type="paragraph" w:customStyle="1" w:styleId="107">
    <w:name w:val="图"/>
    <w:basedOn w:val="1"/>
    <w:qFormat/>
    <w:uiPriority w:val="0"/>
    <w:pPr>
      <w:keepNext/>
      <w:adjustRightInd w:val="0"/>
      <w:spacing w:before="60" w:after="60"/>
      <w:jc w:val="center"/>
      <w:textAlignment w:val="center"/>
    </w:pPr>
    <w:rPr>
      <w:snapToGrid w:val="0"/>
      <w:spacing w:val="20"/>
      <w:kern w:val="0"/>
      <w:sz w:val="24"/>
      <w:szCs w:val="20"/>
      <w:lang w:val="zh-CN"/>
    </w:rPr>
  </w:style>
  <w:style w:type="character" w:customStyle="1" w:styleId="108">
    <w:name w:val="gf正文1 Char"/>
    <w:link w:val="90"/>
    <w:qFormat/>
    <w:uiPriority w:val="0"/>
    <w:rPr>
      <w:rFonts w:ascii="宋体" w:hAnsi="宋体" w:eastAsia="宋体"/>
      <w:kern w:val="2"/>
      <w:sz w:val="24"/>
      <w:lang w:val="en-US" w:eastAsia="zh-CN" w:bidi="ar-SA"/>
    </w:rPr>
  </w:style>
  <w:style w:type="character" w:customStyle="1" w:styleId="109">
    <w:name w:val="zbggmain style9"/>
    <w:basedOn w:val="47"/>
    <w:qFormat/>
    <w:uiPriority w:val="0"/>
  </w:style>
  <w:style w:type="character" w:customStyle="1" w:styleId="110">
    <w:name w:val="列出段落 Char"/>
    <w:link w:val="95"/>
    <w:qFormat/>
    <w:uiPriority w:val="0"/>
    <w:rPr>
      <w:rFonts w:ascii="Calibri" w:hAnsi="Calibri" w:eastAsia="宋体"/>
      <w:kern w:val="2"/>
      <w:sz w:val="21"/>
      <w:szCs w:val="22"/>
      <w:lang w:val="en-US" w:eastAsia="zh-CN" w:bidi="ar-SA"/>
    </w:rPr>
  </w:style>
  <w:style w:type="character" w:customStyle="1" w:styleId="111">
    <w:name w:val="样式1 Char"/>
    <w:link w:val="63"/>
    <w:qFormat/>
    <w:uiPriority w:val="0"/>
    <w:rPr>
      <w:rFonts w:ascii="宋体" w:hAnsi="宋体" w:eastAsia="宋体"/>
      <w:kern w:val="2"/>
      <w:sz w:val="21"/>
      <w:szCs w:val="21"/>
      <w:lang w:val="en-US" w:eastAsia="zh-CN" w:bidi="ar-SA"/>
    </w:rPr>
  </w:style>
  <w:style w:type="character" w:customStyle="1" w:styleId="112">
    <w:name w:val="普通文字 Char Char1"/>
    <w:qFormat/>
    <w:uiPriority w:val="0"/>
    <w:rPr>
      <w:rFonts w:ascii="宋体" w:hAnsi="Courier New" w:eastAsia="宋体"/>
      <w:kern w:val="2"/>
      <w:sz w:val="21"/>
      <w:lang w:val="en-US" w:eastAsia="zh-CN" w:bidi="ar-SA"/>
    </w:rPr>
  </w:style>
  <w:style w:type="character" w:customStyle="1" w:styleId="113">
    <w:name w:val="纯文本 字符"/>
    <w:link w:val="20"/>
    <w:qFormat/>
    <w:uiPriority w:val="0"/>
    <w:rPr>
      <w:rFonts w:ascii="宋体" w:hAnsi="Courier New" w:eastAsia="宋体"/>
      <w:kern w:val="2"/>
      <w:sz w:val="21"/>
      <w:lang w:val="en-US" w:eastAsia="zh-CN" w:bidi="ar-SA"/>
    </w:rPr>
  </w:style>
  <w:style w:type="character" w:customStyle="1" w:styleId="114">
    <w:name w:val="页眉 字符"/>
    <w:link w:val="26"/>
    <w:qFormat/>
    <w:uiPriority w:val="0"/>
    <w:rPr>
      <w:rFonts w:eastAsia="宋体"/>
      <w:kern w:val="2"/>
      <w:sz w:val="18"/>
      <w:szCs w:val="18"/>
      <w:lang w:val="en-US" w:eastAsia="zh-CN" w:bidi="ar-SA"/>
    </w:rPr>
  </w:style>
  <w:style w:type="character" w:customStyle="1" w:styleId="115">
    <w:name w:val="1page sec3 Char Char"/>
    <w:qFormat/>
    <w:uiPriority w:val="0"/>
    <w:rPr>
      <w:rFonts w:eastAsia="宋体"/>
      <w:kern w:val="2"/>
      <w:sz w:val="18"/>
      <w:szCs w:val="18"/>
      <w:lang w:val="en-US" w:eastAsia="zh-CN" w:bidi="ar-SA"/>
    </w:rPr>
  </w:style>
  <w:style w:type="character" w:customStyle="1" w:styleId="116">
    <w:name w:val="标题 4 字符"/>
    <w:link w:val="5"/>
    <w:semiHidden/>
    <w:qFormat/>
    <w:uiPriority w:val="0"/>
    <w:rPr>
      <w:rFonts w:ascii="Cambria" w:hAnsi="Cambria" w:eastAsia="宋体" w:cs="Times New Roman"/>
      <w:b/>
      <w:bCs/>
      <w:kern w:val="2"/>
      <w:sz w:val="28"/>
      <w:szCs w:val="28"/>
    </w:rPr>
  </w:style>
  <w:style w:type="character" w:customStyle="1" w:styleId="117">
    <w:name w:val="unnamed51"/>
    <w:qFormat/>
    <w:uiPriority w:val="0"/>
    <w:rPr>
      <w:sz w:val="22"/>
      <w:szCs w:val="22"/>
    </w:rPr>
  </w:style>
  <w:style w:type="character" w:customStyle="1" w:styleId="118">
    <w:name w:val="Char Char3"/>
    <w:qFormat/>
    <w:uiPriority w:val="0"/>
    <w:rPr>
      <w:rFonts w:ascii="Arial" w:hAnsi="Arial" w:eastAsia="宋体"/>
      <w:b/>
      <w:bCs/>
      <w:kern w:val="2"/>
      <w:sz w:val="21"/>
      <w:szCs w:val="32"/>
      <w:lang w:val="en-US" w:eastAsia="zh-CN" w:bidi="ar-SA"/>
    </w:rPr>
  </w:style>
  <w:style w:type="character" w:customStyle="1" w:styleId="119">
    <w:name w:val="普通文字 Char Char2"/>
    <w:qFormat/>
    <w:uiPriority w:val="0"/>
    <w:rPr>
      <w:rFonts w:ascii="宋体" w:hAnsi="Courier New" w:eastAsia="宋体"/>
      <w:kern w:val="2"/>
      <w:sz w:val="21"/>
      <w:lang w:val="en-US" w:eastAsia="zh-CN" w:bidi="ar-SA"/>
    </w:rPr>
  </w:style>
  <w:style w:type="character" w:customStyle="1" w:styleId="120">
    <w:name w:val="副标题 字符"/>
    <w:link w:val="29"/>
    <w:qFormat/>
    <w:uiPriority w:val="0"/>
    <w:rPr>
      <w:rFonts w:ascii="Cambria" w:hAnsi="Cambria"/>
      <w:b/>
      <w:bCs/>
      <w:kern w:val="28"/>
      <w:sz w:val="32"/>
      <w:szCs w:val="32"/>
    </w:rPr>
  </w:style>
  <w:style w:type="character" w:customStyle="1" w:styleId="121">
    <w:name w:val="Char Char Char1"/>
    <w:link w:val="97"/>
    <w:qFormat/>
    <w:uiPriority w:val="0"/>
    <w:rPr>
      <w:rFonts w:ascii="仿宋_GB2312" w:eastAsia="仿宋_GB2312"/>
      <w:b/>
      <w:kern w:val="2"/>
      <w:sz w:val="32"/>
      <w:szCs w:val="32"/>
      <w:lang w:val="en-US" w:eastAsia="zh-CN" w:bidi="ar-SA"/>
    </w:rPr>
  </w:style>
  <w:style w:type="character" w:customStyle="1" w:styleId="122">
    <w:name w:val="Char Char"/>
    <w:qFormat/>
    <w:uiPriority w:val="0"/>
    <w:rPr>
      <w:rFonts w:eastAsia="宋体"/>
      <w:kern w:val="2"/>
      <w:sz w:val="18"/>
      <w:szCs w:val="18"/>
      <w:lang w:val="en-US" w:eastAsia="zh-CN" w:bidi="ar-SA"/>
    </w:rPr>
  </w:style>
  <w:style w:type="character" w:customStyle="1" w:styleId="123">
    <w:name w:val="Char Char2"/>
    <w:qFormat/>
    <w:uiPriority w:val="0"/>
    <w:rPr>
      <w:rFonts w:ascii="宋体" w:hAnsi="Courier New" w:eastAsia="宋体" w:cs="Courier New"/>
      <w:kern w:val="2"/>
      <w:sz w:val="21"/>
      <w:szCs w:val="21"/>
      <w:lang w:val="en-US" w:eastAsia="zh-CN" w:bidi="ar-SA"/>
    </w:rPr>
  </w:style>
  <w:style w:type="character" w:customStyle="1" w:styleId="124">
    <w:name w:val="页脚 字符"/>
    <w:link w:val="25"/>
    <w:qFormat/>
    <w:uiPriority w:val="0"/>
    <w:rPr>
      <w:rFonts w:ascii="Calibri" w:hAnsi="Calibri" w:eastAsia="宋体"/>
      <w:kern w:val="2"/>
      <w:sz w:val="18"/>
      <w:szCs w:val="18"/>
      <w:lang w:val="en-US" w:eastAsia="zh-CN" w:bidi="ar-SA"/>
    </w:rPr>
  </w:style>
  <w:style w:type="character" w:customStyle="1" w:styleId="125">
    <w:name w:val="特点 Char"/>
    <w:qFormat/>
    <w:uiPriority w:val="0"/>
    <w:rPr>
      <w:rFonts w:eastAsia="宋体"/>
      <w:kern w:val="2"/>
      <w:sz w:val="21"/>
      <w:szCs w:val="24"/>
      <w:lang w:val="en-US" w:eastAsia="zh-CN" w:bidi="ar-SA"/>
    </w:rPr>
  </w:style>
  <w:style w:type="character" w:customStyle="1" w:styleId="126">
    <w:name w:val="投标正文 Char"/>
    <w:link w:val="66"/>
    <w:qFormat/>
    <w:uiPriority w:val="0"/>
    <w:rPr>
      <w:rFonts w:ascii="Calibri" w:hAnsi="Calibri"/>
      <w:sz w:val="24"/>
      <w:szCs w:val="24"/>
    </w:rPr>
  </w:style>
  <w:style w:type="character" w:customStyle="1" w:styleId="127">
    <w:name w:val="样式1 Char Char Char"/>
    <w:qFormat/>
    <w:uiPriority w:val="0"/>
    <w:rPr>
      <w:rFonts w:ascii="Arial" w:hAnsi="Arial" w:eastAsia="宋体"/>
      <w:kern w:val="2"/>
      <w:sz w:val="21"/>
      <w:szCs w:val="24"/>
      <w:lang w:val="en-US" w:eastAsia="zh-CN" w:bidi="ar-SA"/>
    </w:rPr>
  </w:style>
  <w:style w:type="character" w:customStyle="1" w:styleId="128">
    <w:name w:val="Char Char31"/>
    <w:qFormat/>
    <w:uiPriority w:val="0"/>
    <w:rPr>
      <w:rFonts w:ascii="Arial" w:hAnsi="Arial" w:eastAsia="宋体"/>
      <w:b/>
      <w:bCs/>
      <w:kern w:val="2"/>
      <w:sz w:val="21"/>
      <w:szCs w:val="32"/>
      <w:lang w:val="en-US" w:eastAsia="zh-CN" w:bidi="ar-SA"/>
    </w:rPr>
  </w:style>
  <w:style w:type="character" w:customStyle="1" w:styleId="129">
    <w:name w:val="正文2 Char"/>
    <w:link w:val="72"/>
    <w:qFormat/>
    <w:uiPriority w:val="0"/>
    <w:rPr>
      <w:rFonts w:eastAsia="宋体"/>
      <w:kern w:val="2"/>
      <w:sz w:val="24"/>
      <w:lang w:bidi="ar-SA"/>
    </w:rPr>
  </w:style>
  <w:style w:type="character" w:customStyle="1" w:styleId="130">
    <w:name w:val="srt131"/>
    <w:qFormat/>
    <w:uiPriority w:val="0"/>
    <w:rPr>
      <w:rFonts w:ascii="srt" w:eastAsia="宋体"/>
      <w:color w:val="000000"/>
      <w:spacing w:val="0"/>
      <w:w w:val="100"/>
      <w:sz w:val="21"/>
      <w:u w:val="none" w:color="000000"/>
      <w:vertAlign w:val="baseline"/>
      <w:lang w:val="en-US" w:eastAsia="zh-CN"/>
    </w:rPr>
  </w:style>
  <w:style w:type="paragraph" w:styleId="131">
    <w:name w:val="List Paragraph"/>
    <w:basedOn w:val="1"/>
    <w:qFormat/>
    <w:uiPriority w:val="99"/>
    <w:pPr>
      <w:ind w:firstLine="420" w:firstLineChars="200"/>
    </w:pPr>
    <w:rPr>
      <w:szCs w:val="22"/>
    </w:rPr>
  </w:style>
  <w:style w:type="paragraph" w:customStyle="1" w:styleId="132">
    <w:name w:val="列出段落3"/>
    <w:basedOn w:val="1"/>
    <w:unhideWhenUsed/>
    <w:qFormat/>
    <w:uiPriority w:val="99"/>
    <w:pPr>
      <w:ind w:firstLine="420" w:firstLineChars="200"/>
    </w:pPr>
  </w:style>
  <w:style w:type="paragraph" w:customStyle="1" w:styleId="133">
    <w:name w:val="纯文本1"/>
    <w:basedOn w:val="70"/>
    <w:qFormat/>
    <w:uiPriority w:val="0"/>
    <w:pPr>
      <w:widowControl/>
      <w:jc w:val="left"/>
    </w:pPr>
    <w:rPr>
      <w:rFonts w:ascii="宋体" w:hAnsi="Courier New"/>
      <w:szCs w:val="20"/>
    </w:rPr>
  </w:style>
  <w:style w:type="paragraph" w:customStyle="1" w:styleId="134">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135">
    <w:name w:val="纯文本2"/>
    <w:basedOn w:val="1"/>
    <w:qFormat/>
    <w:uiPriority w:val="0"/>
    <w:rPr>
      <w:rFonts w:ascii="宋体" w:hAnsi="Courier New"/>
      <w:szCs w:val="20"/>
    </w:rPr>
  </w:style>
  <w:style w:type="paragraph" w:customStyle="1" w:styleId="136">
    <w:name w:val="No Spacing1"/>
    <w:qFormat/>
    <w:uiPriority w:val="0"/>
    <w:rPr>
      <w:rFonts w:ascii="Times New Roman" w:hAnsi="Times New Roman" w:eastAsia="??" w:cs="宋体"/>
      <w:sz w:val="22"/>
      <w:szCs w:val="22"/>
      <w:lang w:val="en-US" w:eastAsia="en-US" w:bidi="ar-SA"/>
    </w:rPr>
  </w:style>
  <w:style w:type="paragraph" w:customStyle="1" w:styleId="137">
    <w:name w:val="列表段落1"/>
    <w:basedOn w:val="1"/>
    <w:qFormat/>
    <w:uiPriority w:val="0"/>
    <w:pPr>
      <w:ind w:firstLine="420" w:firstLineChars="200"/>
    </w:pPr>
    <w:rPr>
      <w:szCs w:val="22"/>
    </w:rPr>
  </w:style>
  <w:style w:type="paragraph" w:customStyle="1" w:styleId="138">
    <w:name w:val="列表2"/>
    <w:basedOn w:val="131"/>
    <w:qFormat/>
    <w:uiPriority w:val="0"/>
    <w:pPr>
      <w:numPr>
        <w:ilvl w:val="0"/>
        <w:numId w:val="2"/>
      </w:numPr>
      <w:spacing w:before="156" w:beforeLines="50"/>
      <w:ind w:firstLine="0" w:firstLineChars="0"/>
      <w:jc w:val="left"/>
    </w:pPr>
    <w:rPr>
      <w:sz w:val="24"/>
    </w:rPr>
  </w:style>
  <w:style w:type="character" w:customStyle="1" w:styleId="139">
    <w:name w:val="批注文字 字符"/>
    <w:basedOn w:val="47"/>
    <w:link w:val="13"/>
    <w:qFormat/>
    <w:uiPriority w:val="99"/>
    <w:rPr>
      <w:rFonts w:ascii="Calibri" w:hAnsi="Calibri"/>
      <w:kern w:val="2"/>
      <w:sz w:val="21"/>
      <w:szCs w:val="24"/>
    </w:rPr>
  </w:style>
  <w:style w:type="paragraph" w:customStyle="1" w:styleId="140">
    <w:name w:val="正文（缩进）"/>
    <w:basedOn w:val="1"/>
    <w:qFormat/>
    <w:uiPriority w:val="0"/>
    <w:pPr>
      <w:ind w:firstLine="440" w:firstLineChars="200"/>
      <w:jc w:val="left"/>
    </w:pPr>
    <w:rPr>
      <w:kern w:val="0"/>
    </w:rPr>
  </w:style>
  <w:style w:type="paragraph" w:customStyle="1" w:styleId="141">
    <w:name w:val="A正文小四"/>
    <w:basedOn w:val="1"/>
    <w:qFormat/>
    <w:uiPriority w:val="0"/>
    <w:pPr>
      <w:snapToGrid/>
      <w:spacing w:line="360" w:lineRule="auto"/>
      <w:ind w:firstLine="200" w:firstLineChars="200"/>
    </w:pPr>
    <w:rPr>
      <w:rFonts w:ascii="Times New Roman" w:hAnsi="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399C8D-4855-468D-A939-3890E6A507B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70</Pages>
  <Words>44395</Words>
  <Characters>46923</Characters>
  <Lines>352</Lines>
  <Paragraphs>99</Paragraphs>
  <TotalTime>1</TotalTime>
  <ScaleCrop>false</ScaleCrop>
  <LinksUpToDate>false</LinksUpToDate>
  <CharactersWithSpaces>50921</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2023-06-21T03:55:00Z</dcterms:created>
  <dc:creator>lyj</dc:creator>
  <cp:lastModifiedBy>盈盈</cp:lastModifiedBy>
  <cp:lastPrinted>2020-09-14T08:46:00Z</cp:lastPrinted>
  <dcterms:modified xsi:type="dcterms:W3CDTF">2023-11-16T01:54:38Z</dcterms:modified>
  <dc:title>招标文件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B40E1D3B79DC44E09B5374E049383D24</vt:lpwstr>
  </property>
</Properties>
</file>