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16D2B">
      <w:pPr>
        <w:autoSpaceDE w:val="0"/>
        <w:autoSpaceDN w:val="0"/>
        <w:spacing w:before="720" w:beforeLines="300" w:after="480" w:afterLines="200"/>
        <w:jc w:val="center"/>
        <w:rPr>
          <w:rFonts w:hint="eastAsia" w:ascii="隶书" w:hAnsi="华文中宋" w:eastAsia="隶书" w:cs="Arial"/>
          <w:color w:val="000000"/>
          <w:w w:val="66"/>
          <w:kern w:val="0"/>
          <w:sz w:val="72"/>
          <w:szCs w:val="72"/>
        </w:rPr>
      </w:pPr>
      <w:r>
        <w:rPr>
          <w:rFonts w:hint="eastAsia" w:ascii="隶书" w:hAnsi="华文中宋" w:eastAsia="隶书" w:cs="Arial"/>
          <w:color w:val="000000"/>
          <w:w w:val="66"/>
          <w:kern w:val="0"/>
          <w:sz w:val="72"/>
          <w:szCs w:val="72"/>
        </w:rPr>
        <w:t>浙江省省级政府采购电子交易项目</w:t>
      </w:r>
    </w:p>
    <w:p w14:paraId="2E65D9BF">
      <w:pPr>
        <w:autoSpaceDE w:val="0"/>
        <w:autoSpaceDN w:val="0"/>
        <w:spacing w:before="120" w:beforeLines="50" w:after="120" w:afterLines="50"/>
        <w:jc w:val="center"/>
        <w:rPr>
          <w:rFonts w:eastAsia="华文中宋"/>
          <w:b/>
          <w:color w:val="000000"/>
          <w:sz w:val="72"/>
          <w:szCs w:val="72"/>
        </w:rPr>
      </w:pPr>
      <w:r>
        <w:rPr>
          <w:rFonts w:eastAsia="华文隶书"/>
          <w:color w:val="000000"/>
          <w:w w:val="80"/>
          <w:kern w:val="0"/>
          <w:sz w:val="96"/>
          <w:szCs w:val="48"/>
        </w:rPr>
        <w:drawing>
          <wp:inline distT="0" distB="0" distL="0" distR="0">
            <wp:extent cx="1127125" cy="1127125"/>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20" cstate="print"/>
                    <a:srcRect/>
                    <a:stretch>
                      <a:fillRect/>
                    </a:stretch>
                  </pic:blipFill>
                  <pic:spPr>
                    <a:xfrm>
                      <a:off x="0" y="0"/>
                      <a:ext cx="1127125" cy="1127125"/>
                    </a:xfrm>
                    <a:prstGeom prst="rect">
                      <a:avLst/>
                    </a:prstGeom>
                    <a:noFill/>
                    <a:ln w="9525">
                      <a:noFill/>
                      <a:miter lim="800000"/>
                      <a:headEnd/>
                      <a:tailEnd/>
                    </a:ln>
                  </pic:spPr>
                </pic:pic>
              </a:graphicData>
            </a:graphic>
          </wp:inline>
        </w:drawing>
      </w:r>
    </w:p>
    <w:p w14:paraId="145F4709">
      <w:pPr>
        <w:autoSpaceDE w:val="0"/>
        <w:autoSpaceDN w:val="0"/>
        <w:spacing w:line="360" w:lineRule="auto"/>
        <w:jc w:val="center"/>
        <w:rPr>
          <w:b/>
          <w:sz w:val="30"/>
          <w:szCs w:val="30"/>
        </w:rPr>
      </w:pPr>
      <w:r>
        <w:rPr>
          <w:rFonts w:hint="eastAsia" w:ascii="隶书" w:hAnsi="华文中宋" w:eastAsia="隶书" w:cs="Arial"/>
          <w:color w:val="000000"/>
          <w:w w:val="80"/>
          <w:kern w:val="0"/>
          <w:sz w:val="116"/>
          <w:szCs w:val="116"/>
        </w:rPr>
        <w:t>竞争性磋商采购文件</w:t>
      </w:r>
    </w:p>
    <w:tbl>
      <w:tblPr>
        <w:tblStyle w:val="52"/>
        <w:tblpPr w:leftFromText="180" w:rightFromText="180" w:vertAnchor="text" w:horzAnchor="page" w:tblpX="2396" w:tblpY="320"/>
        <w:tblOverlap w:val="never"/>
        <w:tblW w:w="7754" w:type="dxa"/>
        <w:tblInd w:w="0" w:type="dxa"/>
        <w:tblLayout w:type="fixed"/>
        <w:tblCellMar>
          <w:top w:w="0" w:type="dxa"/>
          <w:left w:w="108" w:type="dxa"/>
          <w:bottom w:w="0" w:type="dxa"/>
          <w:right w:w="108" w:type="dxa"/>
        </w:tblCellMar>
      </w:tblPr>
      <w:tblGrid>
        <w:gridCol w:w="1701"/>
        <w:gridCol w:w="5529"/>
        <w:gridCol w:w="524"/>
      </w:tblGrid>
      <w:tr w14:paraId="2656FF45">
        <w:tblPrEx>
          <w:tblCellMar>
            <w:top w:w="0" w:type="dxa"/>
            <w:left w:w="108" w:type="dxa"/>
            <w:bottom w:w="0" w:type="dxa"/>
            <w:right w:w="108" w:type="dxa"/>
          </w:tblCellMar>
        </w:tblPrEx>
        <w:trPr>
          <w:trHeight w:val="680" w:hRule="atLeast"/>
        </w:trPr>
        <w:tc>
          <w:tcPr>
            <w:tcW w:w="1701" w:type="dxa"/>
            <w:vAlign w:val="center"/>
          </w:tcPr>
          <w:p w14:paraId="2634E529">
            <w:pPr>
              <w:autoSpaceDE w:val="0"/>
              <w:autoSpaceDN w:val="0"/>
              <w:adjustRightInd w:val="0"/>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项目名称：</w:t>
            </w:r>
          </w:p>
        </w:tc>
        <w:tc>
          <w:tcPr>
            <w:tcW w:w="6053" w:type="dxa"/>
            <w:gridSpan w:val="2"/>
            <w:vAlign w:val="center"/>
          </w:tcPr>
          <w:p w14:paraId="564814E8">
            <w:pPr>
              <w:autoSpaceDE w:val="0"/>
              <w:autoSpaceDN w:val="0"/>
              <w:adjustRightInd w:val="0"/>
              <w:snapToGrid w:val="0"/>
              <w:spacing w:line="360" w:lineRule="auto"/>
              <w:jc w:val="left"/>
              <w:rPr>
                <w:rFonts w:hint="eastAsia" w:ascii="仿宋" w:hAnsi="仿宋" w:eastAsia="仿宋" w:cs="Arial"/>
                <w:bCs/>
                <w:color w:val="000000"/>
                <w:kern w:val="0"/>
                <w:sz w:val="28"/>
                <w:szCs w:val="28"/>
                <w:lang w:eastAsia="zh-CN"/>
              </w:rPr>
            </w:pPr>
            <w:r>
              <w:rPr>
                <w:rFonts w:hint="eastAsia" w:ascii="仿宋" w:hAnsi="仿宋" w:eastAsia="仿宋"/>
                <w:color w:val="000000"/>
                <w:w w:val="92"/>
                <w:sz w:val="28"/>
                <w:szCs w:val="28"/>
                <w:lang w:eastAsia="zh-CN"/>
              </w:rPr>
              <w:t>浙江工商大学教工路校区学生宿舍建设工程附属配电房移位改造工程（EPC）</w:t>
            </w:r>
          </w:p>
        </w:tc>
      </w:tr>
      <w:tr w14:paraId="4D0ABD3B">
        <w:tblPrEx>
          <w:tblCellMar>
            <w:top w:w="0" w:type="dxa"/>
            <w:left w:w="108" w:type="dxa"/>
            <w:bottom w:w="0" w:type="dxa"/>
            <w:right w:w="108" w:type="dxa"/>
          </w:tblCellMar>
        </w:tblPrEx>
        <w:trPr>
          <w:trHeight w:val="680" w:hRule="atLeast"/>
        </w:trPr>
        <w:tc>
          <w:tcPr>
            <w:tcW w:w="1701" w:type="dxa"/>
            <w:vAlign w:val="center"/>
          </w:tcPr>
          <w:p w14:paraId="728BBE9F">
            <w:pPr>
              <w:autoSpaceDE w:val="0"/>
              <w:autoSpaceDN w:val="0"/>
              <w:adjustRightInd w:val="0"/>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项目编号：</w:t>
            </w:r>
          </w:p>
        </w:tc>
        <w:tc>
          <w:tcPr>
            <w:tcW w:w="6053" w:type="dxa"/>
            <w:gridSpan w:val="2"/>
            <w:vAlign w:val="center"/>
          </w:tcPr>
          <w:p w14:paraId="761CE1AE">
            <w:pPr>
              <w:autoSpaceDE w:val="0"/>
              <w:autoSpaceDN w:val="0"/>
              <w:adjustRightInd w:val="0"/>
              <w:snapToGrid w:val="0"/>
              <w:spacing w:line="360" w:lineRule="auto"/>
              <w:ind w:left="-7" w:leftChars="-4" w:hanging="1"/>
              <w:jc w:val="left"/>
              <w:rPr>
                <w:rFonts w:hint="eastAsia" w:ascii="仿宋" w:hAnsi="仿宋" w:eastAsia="仿宋" w:cs="Arial"/>
                <w:bCs/>
                <w:color w:val="000000"/>
                <w:kern w:val="0"/>
                <w:sz w:val="28"/>
                <w:szCs w:val="28"/>
                <w:lang w:eastAsia="zh-CN"/>
              </w:rPr>
            </w:pPr>
            <w:r>
              <w:rPr>
                <w:rFonts w:hint="eastAsia" w:ascii="仿宋" w:hAnsi="仿宋" w:eastAsia="仿宋" w:cs="Arial"/>
                <w:bCs/>
                <w:color w:val="000000"/>
                <w:kern w:val="0"/>
                <w:sz w:val="28"/>
                <w:szCs w:val="28"/>
                <w:lang w:eastAsia="zh-CN"/>
              </w:rPr>
              <w:t>CTZB-2025050222</w:t>
            </w:r>
          </w:p>
        </w:tc>
      </w:tr>
      <w:tr w14:paraId="2B8A53A8">
        <w:tblPrEx>
          <w:tblCellMar>
            <w:top w:w="0" w:type="dxa"/>
            <w:left w:w="108" w:type="dxa"/>
            <w:bottom w:w="0" w:type="dxa"/>
            <w:right w:w="108" w:type="dxa"/>
          </w:tblCellMar>
        </w:tblPrEx>
        <w:trPr>
          <w:trHeight w:val="680" w:hRule="atLeast"/>
        </w:trPr>
        <w:tc>
          <w:tcPr>
            <w:tcW w:w="1701" w:type="dxa"/>
            <w:vAlign w:val="center"/>
          </w:tcPr>
          <w:p w14:paraId="300A655D">
            <w:pPr>
              <w:autoSpaceDE w:val="0"/>
              <w:autoSpaceDN w:val="0"/>
              <w:adjustRightInd w:val="0"/>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采购方式：</w:t>
            </w:r>
          </w:p>
        </w:tc>
        <w:tc>
          <w:tcPr>
            <w:tcW w:w="6053" w:type="dxa"/>
            <w:gridSpan w:val="2"/>
            <w:vAlign w:val="center"/>
          </w:tcPr>
          <w:p w14:paraId="19DF6DF7">
            <w:pPr>
              <w:autoSpaceDE w:val="0"/>
              <w:autoSpaceDN w:val="0"/>
              <w:adjustRightInd w:val="0"/>
              <w:snapToGrid w:val="0"/>
              <w:spacing w:line="360" w:lineRule="auto"/>
              <w:ind w:left="-7" w:leftChars="-4" w:hanging="1"/>
              <w:jc w:val="left"/>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竞争性磋商（分散采购-分散委托中介）</w:t>
            </w:r>
          </w:p>
        </w:tc>
      </w:tr>
      <w:tr w14:paraId="6DEF9E09">
        <w:tblPrEx>
          <w:tblCellMar>
            <w:top w:w="0" w:type="dxa"/>
            <w:left w:w="108" w:type="dxa"/>
            <w:bottom w:w="0" w:type="dxa"/>
            <w:right w:w="108" w:type="dxa"/>
          </w:tblCellMar>
        </w:tblPrEx>
        <w:trPr>
          <w:trHeight w:val="680" w:hRule="atLeast"/>
        </w:trPr>
        <w:tc>
          <w:tcPr>
            <w:tcW w:w="1701" w:type="dxa"/>
            <w:vAlign w:val="center"/>
          </w:tcPr>
          <w:p w14:paraId="74B80CF9">
            <w:pPr>
              <w:autoSpaceDE w:val="0"/>
              <w:autoSpaceDN w:val="0"/>
              <w:adjustRightInd w:val="0"/>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交易方式：</w:t>
            </w:r>
          </w:p>
        </w:tc>
        <w:tc>
          <w:tcPr>
            <w:tcW w:w="6053" w:type="dxa"/>
            <w:gridSpan w:val="2"/>
            <w:vAlign w:val="center"/>
          </w:tcPr>
          <w:p w14:paraId="53D6AE75">
            <w:pPr>
              <w:autoSpaceDE w:val="0"/>
              <w:autoSpaceDN w:val="0"/>
              <w:adjustRightInd w:val="0"/>
              <w:snapToGrid w:val="0"/>
              <w:spacing w:line="360" w:lineRule="auto"/>
              <w:ind w:left="-7" w:leftChars="-4" w:hanging="1"/>
              <w:jc w:val="left"/>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政府采购电子交易（政府采购云平台）</w:t>
            </w:r>
          </w:p>
        </w:tc>
      </w:tr>
      <w:tr w14:paraId="1287DA5F">
        <w:tblPrEx>
          <w:tblCellMar>
            <w:top w:w="0" w:type="dxa"/>
            <w:left w:w="108" w:type="dxa"/>
            <w:bottom w:w="0" w:type="dxa"/>
            <w:right w:w="108" w:type="dxa"/>
          </w:tblCellMar>
        </w:tblPrEx>
        <w:trPr>
          <w:trHeight w:val="680" w:hRule="atLeast"/>
        </w:trPr>
        <w:tc>
          <w:tcPr>
            <w:tcW w:w="1701" w:type="dxa"/>
            <w:vAlign w:val="center"/>
          </w:tcPr>
          <w:p w14:paraId="1C8EAFD0">
            <w:pPr>
              <w:autoSpaceDE w:val="0"/>
              <w:autoSpaceDN w:val="0"/>
              <w:adjustRightInd w:val="0"/>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采 购 人：</w:t>
            </w:r>
          </w:p>
        </w:tc>
        <w:tc>
          <w:tcPr>
            <w:tcW w:w="5529" w:type="dxa"/>
            <w:vAlign w:val="center"/>
          </w:tcPr>
          <w:p w14:paraId="28FB91CF">
            <w:pPr>
              <w:autoSpaceDE w:val="0"/>
              <w:autoSpaceDN w:val="0"/>
              <w:adjustRightInd w:val="0"/>
              <w:snapToGrid w:val="0"/>
              <w:spacing w:line="360" w:lineRule="auto"/>
              <w:ind w:left="-7" w:leftChars="-4" w:hanging="1"/>
              <w:jc w:val="left"/>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浙江工商大学</w:t>
            </w:r>
          </w:p>
        </w:tc>
        <w:tc>
          <w:tcPr>
            <w:tcW w:w="524" w:type="dxa"/>
            <w:vAlign w:val="center"/>
          </w:tcPr>
          <w:p w14:paraId="56158478">
            <w:pPr>
              <w:autoSpaceDE w:val="0"/>
              <w:autoSpaceDN w:val="0"/>
              <w:adjustRightInd w:val="0"/>
              <w:snapToGrid w:val="0"/>
              <w:spacing w:line="360" w:lineRule="auto"/>
              <w:ind w:left="-7" w:leftChars="-4" w:hanging="1"/>
              <w:jc w:val="left"/>
              <w:rPr>
                <w:rFonts w:hint="eastAsia" w:ascii="仿宋" w:hAnsi="仿宋" w:eastAsia="仿宋" w:cs="Arial"/>
                <w:bCs/>
                <w:color w:val="000000"/>
                <w:kern w:val="0"/>
                <w:sz w:val="28"/>
                <w:szCs w:val="28"/>
              </w:rPr>
            </w:pPr>
          </w:p>
        </w:tc>
      </w:tr>
      <w:tr w14:paraId="0A999841">
        <w:tblPrEx>
          <w:tblCellMar>
            <w:top w:w="0" w:type="dxa"/>
            <w:left w:w="108" w:type="dxa"/>
            <w:bottom w:w="0" w:type="dxa"/>
            <w:right w:w="108" w:type="dxa"/>
          </w:tblCellMar>
        </w:tblPrEx>
        <w:trPr>
          <w:trHeight w:val="680" w:hRule="atLeast"/>
        </w:trPr>
        <w:tc>
          <w:tcPr>
            <w:tcW w:w="1701" w:type="dxa"/>
            <w:vAlign w:val="center"/>
          </w:tcPr>
          <w:p w14:paraId="00D11BC6">
            <w:pPr>
              <w:autoSpaceDE w:val="0"/>
              <w:autoSpaceDN w:val="0"/>
              <w:adjustRightInd w:val="0"/>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代理机构：</w:t>
            </w:r>
          </w:p>
        </w:tc>
        <w:tc>
          <w:tcPr>
            <w:tcW w:w="5529" w:type="dxa"/>
            <w:vAlign w:val="center"/>
          </w:tcPr>
          <w:p w14:paraId="71232350">
            <w:pPr>
              <w:autoSpaceDE w:val="0"/>
              <w:autoSpaceDN w:val="0"/>
              <w:adjustRightInd w:val="0"/>
              <w:snapToGrid w:val="0"/>
              <w:spacing w:line="360" w:lineRule="auto"/>
              <w:ind w:left="-7" w:leftChars="-4" w:hanging="1"/>
              <w:jc w:val="left"/>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浙江省成套招标代理有限公司</w:t>
            </w:r>
          </w:p>
        </w:tc>
        <w:tc>
          <w:tcPr>
            <w:tcW w:w="524" w:type="dxa"/>
            <w:vAlign w:val="center"/>
          </w:tcPr>
          <w:p w14:paraId="6C0EB098">
            <w:pPr>
              <w:autoSpaceDE w:val="0"/>
              <w:autoSpaceDN w:val="0"/>
              <w:adjustRightInd w:val="0"/>
              <w:snapToGrid w:val="0"/>
              <w:spacing w:line="360" w:lineRule="auto"/>
              <w:ind w:left="-7" w:leftChars="-4" w:hanging="1"/>
              <w:jc w:val="left"/>
              <w:rPr>
                <w:rFonts w:hint="eastAsia" w:ascii="仿宋" w:hAnsi="仿宋" w:eastAsia="仿宋" w:cs="Arial"/>
                <w:bCs/>
                <w:color w:val="000000"/>
                <w:kern w:val="0"/>
                <w:sz w:val="28"/>
                <w:szCs w:val="28"/>
              </w:rPr>
            </w:pPr>
          </w:p>
        </w:tc>
      </w:tr>
      <w:tr w14:paraId="72C2463F">
        <w:tblPrEx>
          <w:tblCellMar>
            <w:top w:w="0" w:type="dxa"/>
            <w:left w:w="108" w:type="dxa"/>
            <w:bottom w:w="0" w:type="dxa"/>
            <w:right w:w="108" w:type="dxa"/>
          </w:tblCellMar>
        </w:tblPrEx>
        <w:trPr>
          <w:trHeight w:val="680" w:hRule="atLeast"/>
        </w:trPr>
        <w:tc>
          <w:tcPr>
            <w:tcW w:w="1701" w:type="dxa"/>
            <w:vAlign w:val="center"/>
          </w:tcPr>
          <w:p w14:paraId="4172B1C8">
            <w:pPr>
              <w:autoSpaceDE w:val="0"/>
              <w:autoSpaceDN w:val="0"/>
              <w:adjustRightInd w:val="0"/>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日    期：</w:t>
            </w:r>
          </w:p>
        </w:tc>
        <w:tc>
          <w:tcPr>
            <w:tcW w:w="6053" w:type="dxa"/>
            <w:gridSpan w:val="2"/>
            <w:vAlign w:val="center"/>
          </w:tcPr>
          <w:p w14:paraId="681B1A06">
            <w:pPr>
              <w:autoSpaceDE w:val="0"/>
              <w:autoSpaceDN w:val="0"/>
              <w:adjustRightInd w:val="0"/>
              <w:snapToGrid w:val="0"/>
              <w:spacing w:line="360" w:lineRule="auto"/>
              <w:ind w:left="-7" w:leftChars="-4" w:hanging="1"/>
              <w:jc w:val="left"/>
              <w:rPr>
                <w:rFonts w:hint="eastAsia" w:ascii="仿宋" w:hAnsi="仿宋" w:eastAsia="仿宋" w:cs="Arial"/>
                <w:bCs/>
                <w:color w:val="000000"/>
                <w:kern w:val="0"/>
                <w:sz w:val="28"/>
                <w:szCs w:val="28"/>
              </w:rPr>
            </w:pPr>
            <w:r>
              <w:rPr>
                <w:rFonts w:hint="eastAsia" w:ascii="仿宋" w:hAnsi="仿宋" w:eastAsia="仿宋" w:cs="Arial"/>
                <w:bCs/>
                <w:color w:val="000000"/>
                <w:kern w:val="0"/>
                <w:sz w:val="28"/>
                <w:szCs w:val="28"/>
              </w:rPr>
              <w:t>二○二五年</w:t>
            </w:r>
            <w:r>
              <w:rPr>
                <w:rFonts w:hint="eastAsia" w:ascii="仿宋" w:hAnsi="仿宋" w:eastAsia="仿宋" w:cs="Arial"/>
                <w:bCs/>
                <w:color w:val="000000"/>
                <w:kern w:val="0"/>
                <w:sz w:val="28"/>
                <w:szCs w:val="28"/>
                <w:lang w:val="en-US" w:eastAsia="zh-CN"/>
              </w:rPr>
              <w:t>七</w:t>
            </w:r>
            <w:r>
              <w:rPr>
                <w:rFonts w:hint="eastAsia" w:ascii="仿宋" w:hAnsi="仿宋" w:eastAsia="仿宋" w:cs="Arial"/>
                <w:bCs/>
                <w:color w:val="000000"/>
                <w:kern w:val="0"/>
                <w:sz w:val="28"/>
                <w:szCs w:val="28"/>
              </w:rPr>
              <w:t>月</w:t>
            </w:r>
          </w:p>
        </w:tc>
      </w:tr>
    </w:tbl>
    <w:p w14:paraId="220DD893">
      <w:pPr>
        <w:autoSpaceDE w:val="0"/>
        <w:autoSpaceDN w:val="0"/>
        <w:snapToGrid w:val="0"/>
        <w:spacing w:line="480" w:lineRule="auto"/>
        <w:rPr>
          <w:rFonts w:hint="eastAsia" w:hAnsi="宋体"/>
          <w:b/>
          <w:bCs/>
          <w:sz w:val="44"/>
          <w:szCs w:val="44"/>
        </w:rPr>
      </w:pPr>
    </w:p>
    <w:p w14:paraId="083A3248">
      <w:pPr>
        <w:autoSpaceDE w:val="0"/>
        <w:autoSpaceDN w:val="0"/>
        <w:rPr>
          <w:rFonts w:hint="eastAsia" w:hAnsi="宋体"/>
          <w:sz w:val="44"/>
          <w:szCs w:val="44"/>
        </w:rPr>
      </w:pPr>
    </w:p>
    <w:p w14:paraId="3BA7B472">
      <w:pPr>
        <w:autoSpaceDE w:val="0"/>
        <w:autoSpaceDN w:val="0"/>
        <w:rPr>
          <w:rFonts w:hint="eastAsia" w:hAnsi="宋体"/>
          <w:sz w:val="44"/>
          <w:szCs w:val="44"/>
        </w:rPr>
      </w:pPr>
    </w:p>
    <w:p w14:paraId="2BC24D69">
      <w:pPr>
        <w:autoSpaceDE w:val="0"/>
        <w:autoSpaceDN w:val="0"/>
        <w:rPr>
          <w:rFonts w:hint="eastAsia" w:hAnsi="宋体"/>
          <w:sz w:val="44"/>
          <w:szCs w:val="44"/>
        </w:rPr>
      </w:pPr>
    </w:p>
    <w:p w14:paraId="5820805F">
      <w:pPr>
        <w:autoSpaceDE w:val="0"/>
        <w:autoSpaceDN w:val="0"/>
        <w:rPr>
          <w:rFonts w:hint="eastAsia" w:hAnsi="宋体"/>
          <w:sz w:val="44"/>
          <w:szCs w:val="44"/>
        </w:rPr>
      </w:pPr>
    </w:p>
    <w:p w14:paraId="71E9A46F">
      <w:pPr>
        <w:autoSpaceDE w:val="0"/>
        <w:autoSpaceDN w:val="0"/>
        <w:rPr>
          <w:rFonts w:hint="eastAsia" w:hAnsi="宋体"/>
          <w:sz w:val="44"/>
          <w:szCs w:val="44"/>
        </w:rPr>
      </w:pPr>
    </w:p>
    <w:p w14:paraId="2B56340E">
      <w:pPr>
        <w:autoSpaceDE w:val="0"/>
        <w:autoSpaceDN w:val="0"/>
        <w:rPr>
          <w:rFonts w:hint="eastAsia" w:hAnsi="宋体"/>
          <w:sz w:val="44"/>
          <w:szCs w:val="44"/>
        </w:rPr>
      </w:pPr>
    </w:p>
    <w:p w14:paraId="2517CF22">
      <w:pPr>
        <w:autoSpaceDE w:val="0"/>
        <w:autoSpaceDN w:val="0"/>
        <w:rPr>
          <w:rFonts w:hint="eastAsia" w:hAnsi="宋体"/>
          <w:sz w:val="44"/>
          <w:szCs w:val="44"/>
        </w:rPr>
      </w:pPr>
    </w:p>
    <w:p w14:paraId="1D722139">
      <w:pPr>
        <w:autoSpaceDE w:val="0"/>
        <w:autoSpaceDN w:val="0"/>
        <w:rPr>
          <w:rFonts w:hint="eastAsia" w:hAnsi="宋体"/>
          <w:sz w:val="44"/>
          <w:szCs w:val="44"/>
        </w:rPr>
      </w:pPr>
    </w:p>
    <w:p w14:paraId="3E714154">
      <w:pPr>
        <w:autoSpaceDE w:val="0"/>
        <w:autoSpaceDN w:val="0"/>
        <w:rPr>
          <w:rFonts w:hint="eastAsia" w:hAnsi="宋体"/>
          <w:sz w:val="44"/>
          <w:szCs w:val="44"/>
        </w:rPr>
      </w:pPr>
    </w:p>
    <w:p w14:paraId="19E40125">
      <w:pPr>
        <w:widowControl/>
        <w:autoSpaceDE w:val="0"/>
        <w:autoSpaceDN w:val="0"/>
        <w:jc w:val="left"/>
        <w:rPr>
          <w:rFonts w:hint="eastAsia" w:hAnsi="宋体"/>
          <w:sz w:val="44"/>
          <w:szCs w:val="44"/>
        </w:rPr>
      </w:pPr>
      <w:r>
        <w:rPr>
          <w:rFonts w:hAnsi="宋体"/>
          <w:sz w:val="44"/>
          <w:szCs w:val="44"/>
        </w:rPr>
        <w:br w:type="page"/>
      </w:r>
    </w:p>
    <w:p w14:paraId="4A9DAD8B">
      <w:pPr>
        <w:tabs>
          <w:tab w:val="center" w:pos="4819"/>
        </w:tabs>
        <w:autoSpaceDE w:val="0"/>
        <w:autoSpaceDN w:val="0"/>
        <w:rPr>
          <w:rFonts w:hint="eastAsia" w:hAnsi="宋体"/>
          <w:sz w:val="44"/>
          <w:szCs w:val="44"/>
        </w:rPr>
        <w:sectPr>
          <w:headerReference r:id="rId4" w:type="first"/>
          <w:footerReference r:id="rId6" w:type="first"/>
          <w:headerReference r:id="rId3" w:type="default"/>
          <w:footerReference r:id="rId5" w:type="even"/>
          <w:pgSz w:w="11906" w:h="16838"/>
          <w:pgMar w:top="1440" w:right="1134" w:bottom="1440" w:left="1134" w:header="851" w:footer="851" w:gutter="0"/>
          <w:pgBorders>
            <w:top w:val="none" w:sz="0" w:space="0"/>
            <w:left w:val="none" w:sz="0" w:space="0"/>
            <w:bottom w:val="none" w:sz="0" w:space="0"/>
            <w:right w:val="none" w:sz="0" w:space="0"/>
          </w:pgBorders>
          <w:pgNumType w:start="0"/>
          <w:cols w:space="720" w:num="1"/>
          <w:titlePg/>
          <w:docGrid w:linePitch="286" w:charSpace="-3831"/>
        </w:sectPr>
      </w:pPr>
    </w:p>
    <w:p w14:paraId="0ECECC26">
      <w:pPr>
        <w:autoSpaceDE w:val="0"/>
        <w:autoSpaceDN w:val="0"/>
        <w:adjustRightInd w:val="0"/>
        <w:snapToGrid w:val="0"/>
        <w:spacing w:line="324" w:lineRule="auto"/>
        <w:jc w:val="center"/>
        <w:rPr>
          <w:b/>
          <w:bCs/>
          <w:sz w:val="44"/>
          <w:szCs w:val="44"/>
        </w:rPr>
      </w:pPr>
      <w:r>
        <w:rPr>
          <w:rFonts w:hAnsi="宋体"/>
          <w:b/>
          <w:bCs/>
          <w:sz w:val="44"/>
          <w:szCs w:val="44"/>
        </w:rPr>
        <w:t>目录</w:t>
      </w:r>
    </w:p>
    <w:p w14:paraId="58392BB7">
      <w:pPr>
        <w:pStyle w:val="33"/>
        <w:tabs>
          <w:tab w:val="right" w:leader="dot" w:pos="9524"/>
          <w:tab w:val="clear" w:pos="9403"/>
        </w:tabs>
        <w:rPr>
          <w:rFonts w:hint="eastAsia" w:ascii="仿宋" w:hAnsi="仿宋" w:eastAsia="仿宋" w:cs="仿宋"/>
          <w:sz w:val="24"/>
        </w:rPr>
      </w:pPr>
      <w:r>
        <w:rPr>
          <w:rFonts w:hint="eastAsia" w:ascii="仿宋" w:hAnsi="仿宋" w:eastAsia="仿宋" w:cs="仿宋"/>
          <w:w w:val="90"/>
          <w:sz w:val="24"/>
        </w:rPr>
        <w:fldChar w:fldCharType="begin"/>
      </w:r>
      <w:r>
        <w:rPr>
          <w:rFonts w:hint="eastAsia" w:ascii="仿宋" w:hAnsi="仿宋" w:eastAsia="仿宋" w:cs="仿宋"/>
          <w:w w:val="90"/>
          <w:sz w:val="24"/>
        </w:rPr>
        <w:instrText xml:space="preserve"> TOC \o "1-2" \h \z </w:instrText>
      </w:r>
      <w:r>
        <w:rPr>
          <w:rFonts w:hint="eastAsia" w:ascii="仿宋" w:hAnsi="仿宋" w:eastAsia="仿宋" w:cs="仿宋"/>
          <w:w w:val="90"/>
          <w:sz w:val="24"/>
        </w:rPr>
        <w:fldChar w:fldCharType="separate"/>
      </w: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_Toc32414 </w:instrText>
      </w:r>
      <w:r>
        <w:rPr>
          <w:rFonts w:hint="eastAsia" w:ascii="仿宋" w:hAnsi="仿宋" w:eastAsia="仿宋" w:cs="仿宋"/>
          <w:bCs/>
          <w:w w:val="90"/>
          <w:sz w:val="24"/>
        </w:rPr>
        <w:fldChar w:fldCharType="separate"/>
      </w:r>
      <w:r>
        <w:rPr>
          <w:rFonts w:hint="eastAsia" w:ascii="仿宋" w:hAnsi="仿宋" w:eastAsia="仿宋" w:cs="仿宋"/>
          <w:bCs/>
          <w:kern w:val="44"/>
          <w:sz w:val="24"/>
          <w:szCs w:val="24"/>
        </w:rPr>
        <w:t>第一章  竞争性磋商公告</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_Toc32414 \h </w:instrText>
      </w:r>
      <w:r>
        <w:rPr>
          <w:rFonts w:hint="eastAsia" w:ascii="仿宋" w:hAnsi="仿宋" w:eastAsia="仿宋" w:cs="仿宋"/>
          <w:sz w:val="24"/>
        </w:rPr>
        <w:fldChar w:fldCharType="separate"/>
      </w:r>
      <w:r>
        <w:rPr>
          <w:rFonts w:hint="eastAsia" w:ascii="仿宋" w:hAnsi="仿宋" w:eastAsia="仿宋" w:cs="仿宋"/>
          <w:sz w:val="24"/>
        </w:rPr>
        <w:t>1</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050EBDA9">
      <w:pPr>
        <w:pStyle w:val="33"/>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_Toc10773 </w:instrText>
      </w:r>
      <w:r>
        <w:rPr>
          <w:rFonts w:hint="eastAsia" w:ascii="仿宋" w:hAnsi="仿宋" w:eastAsia="仿宋" w:cs="仿宋"/>
          <w:bCs/>
          <w:w w:val="90"/>
          <w:sz w:val="24"/>
        </w:rPr>
        <w:fldChar w:fldCharType="separate"/>
      </w:r>
      <w:r>
        <w:rPr>
          <w:rFonts w:hint="eastAsia" w:ascii="仿宋" w:hAnsi="仿宋" w:eastAsia="仿宋" w:cs="仿宋"/>
          <w:bCs/>
          <w:kern w:val="44"/>
          <w:sz w:val="24"/>
          <w:szCs w:val="24"/>
        </w:rPr>
        <w:t>第二章  磋商须知前附表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_Toc10773 \h </w:instrText>
      </w:r>
      <w:r>
        <w:rPr>
          <w:rFonts w:hint="eastAsia" w:ascii="仿宋" w:hAnsi="仿宋" w:eastAsia="仿宋" w:cs="仿宋"/>
          <w:sz w:val="24"/>
        </w:rPr>
        <w:fldChar w:fldCharType="separate"/>
      </w:r>
      <w:r>
        <w:rPr>
          <w:rFonts w:hint="eastAsia" w:ascii="仿宋" w:hAnsi="仿宋" w:eastAsia="仿宋" w:cs="仿宋"/>
          <w:sz w:val="24"/>
        </w:rPr>
        <w:t>6</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4317F683">
      <w:pPr>
        <w:pStyle w:val="33"/>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_Toc30985 </w:instrText>
      </w:r>
      <w:r>
        <w:rPr>
          <w:rFonts w:hint="eastAsia" w:ascii="仿宋" w:hAnsi="仿宋" w:eastAsia="仿宋" w:cs="仿宋"/>
          <w:bCs/>
          <w:w w:val="90"/>
          <w:sz w:val="24"/>
        </w:rPr>
        <w:fldChar w:fldCharType="separate"/>
      </w:r>
      <w:r>
        <w:rPr>
          <w:rFonts w:hint="eastAsia" w:ascii="仿宋" w:hAnsi="仿宋" w:eastAsia="仿宋" w:cs="仿宋"/>
          <w:bCs/>
          <w:kern w:val="44"/>
          <w:sz w:val="24"/>
          <w:szCs w:val="24"/>
        </w:rPr>
        <w:t>第三章  磋商须知</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_Toc30985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32D79AA8">
      <w:pPr>
        <w:pStyle w:val="33"/>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_Toc31970 </w:instrText>
      </w:r>
      <w:r>
        <w:rPr>
          <w:rFonts w:hint="eastAsia" w:ascii="仿宋" w:hAnsi="仿宋" w:eastAsia="仿宋" w:cs="仿宋"/>
          <w:bCs/>
          <w:w w:val="90"/>
          <w:sz w:val="24"/>
        </w:rPr>
        <w:fldChar w:fldCharType="separate"/>
      </w:r>
      <w:r>
        <w:rPr>
          <w:rFonts w:hint="eastAsia" w:ascii="仿宋" w:hAnsi="仿宋" w:eastAsia="仿宋" w:cs="仿宋"/>
          <w:bCs/>
          <w:kern w:val="44"/>
          <w:sz w:val="24"/>
          <w:szCs w:val="24"/>
        </w:rPr>
        <w:t>第四章  采购内容及技术要求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_Toc31970 \h </w:instrText>
      </w:r>
      <w:r>
        <w:rPr>
          <w:rFonts w:hint="eastAsia" w:ascii="仿宋" w:hAnsi="仿宋" w:eastAsia="仿宋" w:cs="仿宋"/>
          <w:sz w:val="24"/>
        </w:rPr>
        <w:fldChar w:fldCharType="separate"/>
      </w:r>
      <w:r>
        <w:rPr>
          <w:rFonts w:hint="eastAsia" w:ascii="仿宋" w:hAnsi="仿宋" w:eastAsia="仿宋" w:cs="仿宋"/>
          <w:sz w:val="24"/>
        </w:rPr>
        <w:t>38</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79A60818">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_Toc10492 </w:instrText>
      </w:r>
      <w:r>
        <w:rPr>
          <w:rFonts w:hint="eastAsia" w:ascii="仿宋" w:hAnsi="仿宋" w:eastAsia="仿宋" w:cs="仿宋"/>
          <w:bCs/>
          <w:w w:val="90"/>
          <w:sz w:val="24"/>
        </w:rPr>
        <w:fldChar w:fldCharType="separate"/>
      </w:r>
      <w:r>
        <w:rPr>
          <w:rFonts w:hint="eastAsia" w:ascii="仿宋" w:hAnsi="仿宋" w:eastAsia="仿宋" w:cs="仿宋"/>
          <w:sz w:val="24"/>
          <w:szCs w:val="24"/>
        </w:rPr>
        <w:t>一、工程概况</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_Toc10492 \h </w:instrText>
      </w:r>
      <w:r>
        <w:rPr>
          <w:rFonts w:hint="eastAsia" w:ascii="仿宋" w:hAnsi="仿宋" w:eastAsia="仿宋" w:cs="仿宋"/>
          <w:sz w:val="24"/>
        </w:rPr>
        <w:fldChar w:fldCharType="separate"/>
      </w:r>
      <w:r>
        <w:rPr>
          <w:rFonts w:hint="eastAsia" w:ascii="仿宋" w:hAnsi="仿宋" w:eastAsia="仿宋" w:cs="仿宋"/>
          <w:sz w:val="24"/>
        </w:rPr>
        <w:t>38</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4063E671">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_Toc284 </w:instrText>
      </w:r>
      <w:r>
        <w:rPr>
          <w:rFonts w:hint="eastAsia" w:ascii="仿宋" w:hAnsi="仿宋" w:eastAsia="仿宋" w:cs="仿宋"/>
          <w:bCs/>
          <w:w w:val="90"/>
          <w:sz w:val="24"/>
        </w:rPr>
        <w:fldChar w:fldCharType="separate"/>
      </w:r>
      <w:r>
        <w:rPr>
          <w:rFonts w:hint="eastAsia" w:ascii="仿宋" w:hAnsi="仿宋" w:eastAsia="仿宋" w:cs="仿宋"/>
          <w:bCs/>
          <w:sz w:val="24"/>
          <w:szCs w:val="24"/>
          <w:lang w:val="en-US" w:eastAsia="zh-CN"/>
        </w:rPr>
        <w:t>二、招标范围</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_Toc284 \h </w:instrText>
      </w:r>
      <w:r>
        <w:rPr>
          <w:rFonts w:hint="eastAsia" w:ascii="仿宋" w:hAnsi="仿宋" w:eastAsia="仿宋" w:cs="仿宋"/>
          <w:sz w:val="24"/>
        </w:rPr>
        <w:fldChar w:fldCharType="separate"/>
      </w:r>
      <w:r>
        <w:rPr>
          <w:rFonts w:hint="eastAsia" w:ascii="仿宋" w:hAnsi="仿宋" w:eastAsia="仿宋" w:cs="仿宋"/>
          <w:sz w:val="24"/>
        </w:rPr>
        <w:t>39</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1A69FD89">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_Toc7655 </w:instrText>
      </w:r>
      <w:r>
        <w:rPr>
          <w:rFonts w:hint="eastAsia" w:ascii="仿宋" w:hAnsi="仿宋" w:eastAsia="仿宋" w:cs="仿宋"/>
          <w:bCs/>
          <w:w w:val="90"/>
          <w:sz w:val="24"/>
        </w:rPr>
        <w:fldChar w:fldCharType="separate"/>
      </w:r>
      <w:r>
        <w:rPr>
          <w:rFonts w:hint="eastAsia" w:ascii="仿宋" w:hAnsi="仿宋" w:eastAsia="仿宋" w:cs="仿宋"/>
          <w:bCs/>
          <w:sz w:val="24"/>
          <w:lang w:val="en-US" w:eastAsia="zh-CN"/>
        </w:rPr>
        <w:t>三、材料及设备要求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_Toc7655 \h </w:instrText>
      </w:r>
      <w:r>
        <w:rPr>
          <w:rFonts w:hint="eastAsia" w:ascii="仿宋" w:hAnsi="仿宋" w:eastAsia="仿宋" w:cs="仿宋"/>
          <w:sz w:val="24"/>
        </w:rPr>
        <w:fldChar w:fldCharType="separate"/>
      </w:r>
      <w:r>
        <w:rPr>
          <w:rFonts w:hint="eastAsia" w:ascii="仿宋" w:hAnsi="仿宋" w:eastAsia="仿宋" w:cs="仿宋"/>
          <w:sz w:val="24"/>
        </w:rPr>
        <w:t>43</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17D9225C">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_Toc26802 </w:instrText>
      </w:r>
      <w:r>
        <w:rPr>
          <w:rFonts w:hint="eastAsia" w:ascii="仿宋" w:hAnsi="仿宋" w:eastAsia="仿宋" w:cs="仿宋"/>
          <w:bCs/>
          <w:w w:val="90"/>
          <w:sz w:val="24"/>
        </w:rPr>
        <w:fldChar w:fldCharType="separate"/>
      </w:r>
      <w:r>
        <w:rPr>
          <w:rFonts w:hint="eastAsia" w:ascii="仿宋" w:hAnsi="仿宋" w:eastAsia="仿宋" w:cs="仿宋"/>
          <w:bCs/>
          <w:sz w:val="24"/>
          <w:lang w:val="en-US" w:eastAsia="zh-CN"/>
        </w:rPr>
        <w:t>四、</w:t>
      </w:r>
      <w:r>
        <w:rPr>
          <w:rFonts w:hint="eastAsia" w:ascii="仿宋" w:hAnsi="仿宋" w:eastAsia="仿宋" w:cs="仿宋"/>
          <w:sz w:val="24"/>
          <w:lang w:val="en-US" w:eastAsia="zh-CN"/>
        </w:rPr>
        <w:t>质量要求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_Toc26802 \h </w:instrText>
      </w:r>
      <w:r>
        <w:rPr>
          <w:rFonts w:hint="eastAsia" w:ascii="仿宋" w:hAnsi="仿宋" w:eastAsia="仿宋" w:cs="仿宋"/>
          <w:sz w:val="24"/>
        </w:rPr>
        <w:fldChar w:fldCharType="separate"/>
      </w:r>
      <w:r>
        <w:rPr>
          <w:rFonts w:hint="eastAsia" w:ascii="仿宋" w:hAnsi="仿宋" w:eastAsia="仿宋" w:cs="仿宋"/>
          <w:sz w:val="24"/>
        </w:rPr>
        <w:t>45</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31A84AFE">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_Toc12992 </w:instrText>
      </w:r>
      <w:r>
        <w:rPr>
          <w:rFonts w:hint="eastAsia" w:ascii="仿宋" w:hAnsi="仿宋" w:eastAsia="仿宋" w:cs="仿宋"/>
          <w:bCs/>
          <w:w w:val="90"/>
          <w:sz w:val="24"/>
        </w:rPr>
        <w:fldChar w:fldCharType="separate"/>
      </w:r>
      <w:r>
        <w:rPr>
          <w:rFonts w:hint="eastAsia" w:ascii="仿宋" w:hAnsi="仿宋" w:eastAsia="仿宋" w:cs="仿宋"/>
          <w:bCs/>
          <w:sz w:val="24"/>
          <w:lang w:val="en-US" w:eastAsia="zh-CN"/>
        </w:rPr>
        <w:t>五、</w:t>
      </w:r>
      <w:r>
        <w:rPr>
          <w:rFonts w:hint="eastAsia" w:ascii="仿宋" w:hAnsi="仿宋" w:eastAsia="仿宋" w:cs="仿宋"/>
          <w:sz w:val="24"/>
          <w:lang w:val="en-US" w:eastAsia="zh-CN"/>
        </w:rPr>
        <w:t>安全及</w:t>
      </w:r>
      <w:r>
        <w:rPr>
          <w:rFonts w:hint="eastAsia" w:ascii="仿宋" w:hAnsi="仿宋" w:eastAsia="仿宋" w:cs="仿宋"/>
          <w:bCs/>
          <w:sz w:val="24"/>
          <w:lang w:val="en-US" w:eastAsia="zh-CN"/>
        </w:rPr>
        <w:t>保障要求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_Toc12992 \h </w:instrText>
      </w:r>
      <w:r>
        <w:rPr>
          <w:rFonts w:hint="eastAsia" w:ascii="仿宋" w:hAnsi="仿宋" w:eastAsia="仿宋" w:cs="仿宋"/>
          <w:sz w:val="24"/>
        </w:rPr>
        <w:fldChar w:fldCharType="separate"/>
      </w:r>
      <w:r>
        <w:rPr>
          <w:rFonts w:hint="eastAsia" w:ascii="仿宋" w:hAnsi="仿宋" w:eastAsia="仿宋" w:cs="仿宋"/>
          <w:sz w:val="24"/>
        </w:rPr>
        <w:t>45</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5F0AB638">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_Toc27511 </w:instrText>
      </w:r>
      <w:r>
        <w:rPr>
          <w:rFonts w:hint="eastAsia" w:ascii="仿宋" w:hAnsi="仿宋" w:eastAsia="仿宋" w:cs="仿宋"/>
          <w:bCs/>
          <w:w w:val="90"/>
          <w:sz w:val="24"/>
        </w:rPr>
        <w:fldChar w:fldCharType="separate"/>
      </w:r>
      <w:r>
        <w:rPr>
          <w:rFonts w:hint="eastAsia" w:ascii="仿宋" w:hAnsi="仿宋" w:eastAsia="仿宋" w:cs="仿宋"/>
          <w:sz w:val="24"/>
          <w:lang w:val="en-US" w:eastAsia="zh-CN"/>
        </w:rPr>
        <w:t>六</w:t>
      </w:r>
      <w:r>
        <w:rPr>
          <w:rFonts w:hint="eastAsia" w:ascii="仿宋" w:hAnsi="仿宋" w:eastAsia="仿宋" w:cs="仿宋"/>
          <w:sz w:val="24"/>
        </w:rPr>
        <w:t>、人员</w:t>
      </w:r>
      <w:r>
        <w:rPr>
          <w:rFonts w:hint="eastAsia" w:ascii="仿宋" w:hAnsi="仿宋" w:eastAsia="仿宋" w:cs="仿宋"/>
          <w:bCs/>
          <w:sz w:val="24"/>
          <w:lang w:val="en-US" w:eastAsia="zh-CN"/>
        </w:rPr>
        <w:t>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_Toc27511 \h </w:instrText>
      </w:r>
      <w:r>
        <w:rPr>
          <w:rFonts w:hint="eastAsia" w:ascii="仿宋" w:hAnsi="仿宋" w:eastAsia="仿宋" w:cs="仿宋"/>
          <w:sz w:val="24"/>
        </w:rPr>
        <w:fldChar w:fldCharType="separate"/>
      </w:r>
      <w:r>
        <w:rPr>
          <w:rFonts w:hint="eastAsia"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5B759FE6">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_Toc31263 </w:instrText>
      </w:r>
      <w:r>
        <w:rPr>
          <w:rFonts w:hint="eastAsia" w:ascii="仿宋" w:hAnsi="仿宋" w:eastAsia="仿宋" w:cs="仿宋"/>
          <w:bCs/>
          <w:w w:val="90"/>
          <w:sz w:val="24"/>
        </w:rPr>
        <w:fldChar w:fldCharType="separate"/>
      </w:r>
      <w:r>
        <w:rPr>
          <w:rFonts w:hint="eastAsia" w:ascii="仿宋" w:hAnsi="仿宋" w:eastAsia="仿宋" w:cs="仿宋"/>
          <w:bCs/>
          <w:sz w:val="24"/>
          <w:lang w:val="en-US" w:eastAsia="zh-CN"/>
        </w:rPr>
        <w:t>七、</w:t>
      </w:r>
      <w:r>
        <w:rPr>
          <w:rFonts w:hint="eastAsia" w:ascii="仿宋" w:hAnsi="仿宋" w:eastAsia="仿宋" w:cs="仿宋"/>
          <w:bCs/>
          <w:sz w:val="24"/>
          <w:szCs w:val="24"/>
          <w:lang w:val="en-US" w:eastAsia="zh-CN"/>
        </w:rPr>
        <w:t>工期要求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_Toc31263 \h </w:instrText>
      </w:r>
      <w:r>
        <w:rPr>
          <w:rFonts w:hint="eastAsia" w:ascii="仿宋" w:hAnsi="仿宋" w:eastAsia="仿宋" w:cs="仿宋"/>
          <w:sz w:val="24"/>
        </w:rPr>
        <w:fldChar w:fldCharType="separate"/>
      </w:r>
      <w:r>
        <w:rPr>
          <w:rFonts w:hint="eastAsia"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1FBFDB5B">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_Toc27502 </w:instrText>
      </w:r>
      <w:r>
        <w:rPr>
          <w:rFonts w:hint="eastAsia" w:ascii="仿宋" w:hAnsi="仿宋" w:eastAsia="仿宋" w:cs="仿宋"/>
          <w:bCs/>
          <w:w w:val="90"/>
          <w:sz w:val="24"/>
        </w:rPr>
        <w:fldChar w:fldCharType="separate"/>
      </w:r>
      <w:r>
        <w:rPr>
          <w:rFonts w:hint="eastAsia" w:ascii="仿宋" w:hAnsi="仿宋" w:eastAsia="仿宋" w:cs="仿宋"/>
          <w:bCs/>
          <w:caps w:val="0"/>
          <w:sz w:val="24"/>
          <w:szCs w:val="24"/>
          <w:lang w:val="en-US" w:eastAsia="zh-CN"/>
        </w:rPr>
        <w:t>八、</w:t>
      </w:r>
      <w:r>
        <w:rPr>
          <w:rFonts w:hint="eastAsia" w:ascii="仿宋" w:hAnsi="仿宋" w:eastAsia="仿宋" w:cs="仿宋"/>
          <w:bCs/>
          <w:caps w:val="0"/>
          <w:sz w:val="24"/>
          <w:szCs w:val="24"/>
        </w:rPr>
        <w:t>采购技术规格及要求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_Toc27502 \h </w:instrText>
      </w:r>
      <w:r>
        <w:rPr>
          <w:rFonts w:hint="eastAsia" w:ascii="仿宋" w:hAnsi="仿宋" w:eastAsia="仿宋" w:cs="仿宋"/>
          <w:sz w:val="24"/>
        </w:rPr>
        <w:fldChar w:fldCharType="separate"/>
      </w:r>
      <w:r>
        <w:rPr>
          <w:rFonts w:hint="eastAsia" w:ascii="仿宋" w:hAnsi="仿宋" w:eastAsia="仿宋" w:cs="仿宋"/>
          <w:sz w:val="24"/>
        </w:rPr>
        <w:t>46</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5D9C2C23">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_Toc10399 </w:instrText>
      </w:r>
      <w:r>
        <w:rPr>
          <w:rFonts w:hint="eastAsia" w:ascii="仿宋" w:hAnsi="仿宋" w:eastAsia="仿宋" w:cs="仿宋"/>
          <w:bCs/>
          <w:w w:val="90"/>
          <w:sz w:val="24"/>
        </w:rPr>
        <w:fldChar w:fldCharType="separate"/>
      </w:r>
      <w:r>
        <w:rPr>
          <w:rFonts w:hint="eastAsia" w:ascii="仿宋" w:hAnsi="仿宋" w:eastAsia="仿宋" w:cs="仿宋"/>
          <w:caps w:val="0"/>
          <w:sz w:val="24"/>
          <w:szCs w:val="24"/>
          <w:lang w:val="en-US" w:eastAsia="zh-CN"/>
        </w:rPr>
        <w:t>九</w:t>
      </w:r>
      <w:r>
        <w:rPr>
          <w:rFonts w:hint="eastAsia" w:ascii="仿宋" w:hAnsi="仿宋" w:eastAsia="仿宋" w:cs="仿宋"/>
          <w:caps w:val="0"/>
          <w:sz w:val="24"/>
          <w:szCs w:val="24"/>
        </w:rPr>
        <w:t>、工程特别要求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_Toc10399 \h </w:instrText>
      </w:r>
      <w:r>
        <w:rPr>
          <w:rFonts w:hint="eastAsia" w:ascii="仿宋" w:hAnsi="仿宋" w:eastAsia="仿宋" w:cs="仿宋"/>
          <w:sz w:val="24"/>
        </w:rPr>
        <w:fldChar w:fldCharType="separate"/>
      </w:r>
      <w:r>
        <w:rPr>
          <w:rFonts w:hint="eastAsia" w:ascii="仿宋" w:hAnsi="仿宋" w:eastAsia="仿宋" w:cs="仿宋"/>
          <w:sz w:val="24"/>
        </w:rPr>
        <w:t>47</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0E496B6C">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_Toc17119 </w:instrText>
      </w:r>
      <w:r>
        <w:rPr>
          <w:rFonts w:hint="eastAsia" w:ascii="仿宋" w:hAnsi="仿宋" w:eastAsia="仿宋" w:cs="仿宋"/>
          <w:bCs/>
          <w:w w:val="90"/>
          <w:sz w:val="24"/>
        </w:rPr>
        <w:fldChar w:fldCharType="separate"/>
      </w:r>
      <w:r>
        <w:rPr>
          <w:rFonts w:hint="eastAsia" w:ascii="仿宋" w:hAnsi="仿宋" w:eastAsia="仿宋" w:cs="仿宋"/>
          <w:sz w:val="24"/>
          <w:lang w:val="en-US" w:eastAsia="zh-CN"/>
        </w:rPr>
        <w:t>十</w:t>
      </w:r>
      <w:r>
        <w:rPr>
          <w:rFonts w:hint="eastAsia" w:ascii="仿宋" w:hAnsi="仿宋" w:eastAsia="仿宋" w:cs="仿宋"/>
          <w:sz w:val="24"/>
        </w:rPr>
        <w:t>、商务部分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_Toc17119 \h </w:instrText>
      </w:r>
      <w:r>
        <w:rPr>
          <w:rFonts w:hint="eastAsia" w:ascii="仿宋" w:hAnsi="仿宋" w:eastAsia="仿宋" w:cs="仿宋"/>
          <w:sz w:val="24"/>
        </w:rPr>
        <w:fldChar w:fldCharType="separate"/>
      </w:r>
      <w:r>
        <w:rPr>
          <w:rFonts w:hint="eastAsia" w:ascii="仿宋" w:hAnsi="仿宋" w:eastAsia="仿宋" w:cs="仿宋"/>
          <w:sz w:val="24"/>
        </w:rPr>
        <w:t>49</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13BFBA5B">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_Toc12057 </w:instrText>
      </w:r>
      <w:r>
        <w:rPr>
          <w:rFonts w:hint="eastAsia" w:ascii="仿宋" w:hAnsi="仿宋" w:eastAsia="仿宋" w:cs="仿宋"/>
          <w:bCs/>
          <w:w w:val="90"/>
          <w:sz w:val="24"/>
        </w:rPr>
        <w:fldChar w:fldCharType="separate"/>
      </w:r>
      <w:r>
        <w:rPr>
          <w:rFonts w:hint="eastAsia" w:ascii="仿宋" w:hAnsi="仿宋" w:eastAsia="仿宋" w:cs="仿宋"/>
          <w:sz w:val="24"/>
          <w:lang w:val="en-US" w:eastAsia="zh-CN"/>
        </w:rPr>
        <w:t>十一</w:t>
      </w:r>
      <w:r>
        <w:rPr>
          <w:rFonts w:hint="eastAsia" w:ascii="仿宋" w:hAnsi="仿宋" w:eastAsia="仿宋" w:cs="仿宋"/>
          <w:sz w:val="24"/>
        </w:rPr>
        <w:t>、其他要求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_Toc12057 \h </w:instrText>
      </w:r>
      <w:r>
        <w:rPr>
          <w:rFonts w:hint="eastAsia" w:ascii="仿宋" w:hAnsi="仿宋" w:eastAsia="仿宋" w:cs="仿宋"/>
          <w:sz w:val="24"/>
        </w:rPr>
        <w:fldChar w:fldCharType="separate"/>
      </w:r>
      <w:r>
        <w:rPr>
          <w:rFonts w:hint="eastAsia" w:ascii="仿宋" w:hAnsi="仿宋" w:eastAsia="仿宋" w:cs="仿宋"/>
          <w:sz w:val="24"/>
        </w:rPr>
        <w:t>50</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2368210E">
      <w:pPr>
        <w:pStyle w:val="33"/>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_Toc26665 </w:instrText>
      </w:r>
      <w:r>
        <w:rPr>
          <w:rFonts w:hint="eastAsia" w:ascii="仿宋" w:hAnsi="仿宋" w:eastAsia="仿宋" w:cs="仿宋"/>
          <w:bCs/>
          <w:w w:val="90"/>
          <w:sz w:val="24"/>
        </w:rPr>
        <w:fldChar w:fldCharType="separate"/>
      </w:r>
      <w:r>
        <w:rPr>
          <w:rFonts w:hint="eastAsia" w:ascii="仿宋" w:hAnsi="仿宋" w:eastAsia="仿宋" w:cs="仿宋"/>
          <w:bCs/>
          <w:kern w:val="44"/>
          <w:sz w:val="24"/>
          <w:szCs w:val="24"/>
        </w:rPr>
        <w:t>第五章  合同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_Toc26665 \h </w:instrText>
      </w:r>
      <w:r>
        <w:rPr>
          <w:rFonts w:hint="eastAsia" w:ascii="仿宋" w:hAnsi="仿宋" w:eastAsia="仿宋" w:cs="仿宋"/>
          <w:sz w:val="24"/>
        </w:rPr>
        <w:fldChar w:fldCharType="separate"/>
      </w:r>
      <w:r>
        <w:rPr>
          <w:rFonts w:hint="eastAsia" w:ascii="仿宋" w:hAnsi="仿宋" w:eastAsia="仿宋" w:cs="仿宋"/>
          <w:sz w:val="24"/>
        </w:rPr>
        <w:t>52</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170D01AA">
      <w:pPr>
        <w:pStyle w:val="33"/>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_Toc8898 </w:instrText>
      </w:r>
      <w:r>
        <w:rPr>
          <w:rFonts w:hint="eastAsia" w:ascii="仿宋" w:hAnsi="仿宋" w:eastAsia="仿宋" w:cs="仿宋"/>
          <w:bCs/>
          <w:w w:val="90"/>
          <w:sz w:val="24"/>
        </w:rPr>
        <w:fldChar w:fldCharType="separate"/>
      </w:r>
      <w:r>
        <w:rPr>
          <w:rFonts w:hint="eastAsia" w:ascii="仿宋" w:hAnsi="仿宋" w:eastAsia="仿宋" w:cs="仿宋"/>
          <w:bCs/>
          <w:kern w:val="44"/>
          <w:sz w:val="24"/>
          <w:szCs w:val="24"/>
        </w:rPr>
        <w:t>第六章  磋商响应文件格式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_Toc8898 \h </w:instrText>
      </w:r>
      <w:r>
        <w:rPr>
          <w:rFonts w:hint="eastAsia" w:ascii="仿宋" w:hAnsi="仿宋" w:eastAsia="仿宋" w:cs="仿宋"/>
          <w:sz w:val="24"/>
        </w:rPr>
        <w:fldChar w:fldCharType="separate"/>
      </w:r>
      <w:r>
        <w:rPr>
          <w:rFonts w:hint="eastAsia" w:ascii="仿宋" w:hAnsi="仿宋" w:eastAsia="仿宋" w:cs="仿宋"/>
          <w:sz w:val="24"/>
        </w:rPr>
        <w:t>83</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125731CB">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_Toc18896 </w:instrText>
      </w:r>
      <w:r>
        <w:rPr>
          <w:rFonts w:hint="eastAsia" w:ascii="仿宋" w:hAnsi="仿宋" w:eastAsia="仿宋" w:cs="仿宋"/>
          <w:bCs/>
          <w:w w:val="90"/>
          <w:sz w:val="24"/>
        </w:rPr>
        <w:fldChar w:fldCharType="separate"/>
      </w:r>
      <w:r>
        <w:rPr>
          <w:rFonts w:hint="eastAsia" w:ascii="仿宋" w:hAnsi="仿宋" w:eastAsia="仿宋" w:cs="仿宋"/>
          <w:sz w:val="24"/>
          <w:szCs w:val="24"/>
        </w:rPr>
        <w:t>第一部分“资格文件格式”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_Toc18896 \h </w:instrText>
      </w:r>
      <w:r>
        <w:rPr>
          <w:rFonts w:hint="eastAsia" w:ascii="仿宋" w:hAnsi="仿宋" w:eastAsia="仿宋" w:cs="仿宋"/>
          <w:sz w:val="24"/>
        </w:rPr>
        <w:fldChar w:fldCharType="separate"/>
      </w:r>
      <w:r>
        <w:rPr>
          <w:rFonts w:hint="eastAsia" w:ascii="仿宋" w:hAnsi="仿宋" w:eastAsia="仿宋" w:cs="仿宋"/>
          <w:sz w:val="24"/>
        </w:rPr>
        <w:t>84</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3B0ED4F1">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_Toc12132 </w:instrText>
      </w:r>
      <w:r>
        <w:rPr>
          <w:rFonts w:hint="eastAsia" w:ascii="仿宋" w:hAnsi="仿宋" w:eastAsia="仿宋" w:cs="仿宋"/>
          <w:bCs/>
          <w:w w:val="90"/>
          <w:sz w:val="24"/>
        </w:rPr>
        <w:fldChar w:fldCharType="separate"/>
      </w:r>
      <w:r>
        <w:rPr>
          <w:rFonts w:hint="eastAsia" w:ascii="仿宋" w:hAnsi="仿宋" w:eastAsia="仿宋" w:cs="仿宋"/>
          <w:sz w:val="24"/>
          <w:szCs w:val="24"/>
        </w:rPr>
        <w:t>第二部分“商务技术文件”格式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_Toc12132 \h </w:instrText>
      </w:r>
      <w:r>
        <w:rPr>
          <w:rFonts w:hint="eastAsia" w:ascii="仿宋" w:hAnsi="仿宋" w:eastAsia="仿宋" w:cs="仿宋"/>
          <w:sz w:val="24"/>
        </w:rPr>
        <w:fldChar w:fldCharType="separate"/>
      </w:r>
      <w:r>
        <w:rPr>
          <w:rFonts w:hint="eastAsia" w:ascii="仿宋" w:hAnsi="仿宋" w:eastAsia="仿宋" w:cs="仿宋"/>
          <w:sz w:val="24"/>
        </w:rPr>
        <w:t>94</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3FC4289D">
      <w:pPr>
        <w:pStyle w:val="40"/>
        <w:tabs>
          <w:tab w:val="right" w:leader="dot" w:pos="9524"/>
          <w:tab w:val="clear" w:pos="9403"/>
        </w:tabs>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_Toc2142 </w:instrText>
      </w:r>
      <w:r>
        <w:rPr>
          <w:rFonts w:hint="eastAsia" w:ascii="仿宋" w:hAnsi="仿宋" w:eastAsia="仿宋" w:cs="仿宋"/>
          <w:bCs/>
          <w:w w:val="90"/>
          <w:sz w:val="24"/>
        </w:rPr>
        <w:fldChar w:fldCharType="separate"/>
      </w:r>
      <w:r>
        <w:rPr>
          <w:rFonts w:hint="eastAsia" w:ascii="仿宋" w:hAnsi="仿宋" w:eastAsia="仿宋" w:cs="仿宋"/>
          <w:sz w:val="24"/>
          <w:szCs w:val="24"/>
        </w:rPr>
        <w:t>第三部分“报价文件”格式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_Toc2142 \h </w:instrText>
      </w:r>
      <w:r>
        <w:rPr>
          <w:rFonts w:hint="eastAsia" w:ascii="仿宋" w:hAnsi="仿宋" w:eastAsia="仿宋" w:cs="仿宋"/>
          <w:sz w:val="24"/>
        </w:rPr>
        <w:fldChar w:fldCharType="separate"/>
      </w:r>
      <w:r>
        <w:rPr>
          <w:rFonts w:hint="eastAsia" w:ascii="仿宋" w:hAnsi="仿宋" w:eastAsia="仿宋" w:cs="仿宋"/>
          <w:sz w:val="24"/>
        </w:rPr>
        <w:t>111</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502C63C9">
      <w:pPr>
        <w:pStyle w:val="33"/>
        <w:rPr>
          <w:rFonts w:hint="eastAsia" w:ascii="仿宋" w:hAnsi="仿宋" w:eastAsia="仿宋" w:cs="仿宋"/>
          <w:sz w:val="24"/>
        </w:r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_Toc21118 </w:instrText>
      </w:r>
      <w:r>
        <w:rPr>
          <w:rFonts w:hint="eastAsia" w:ascii="仿宋" w:hAnsi="仿宋" w:eastAsia="仿宋" w:cs="仿宋"/>
          <w:bCs/>
          <w:w w:val="90"/>
          <w:sz w:val="24"/>
        </w:rPr>
        <w:fldChar w:fldCharType="separate"/>
      </w:r>
      <w:r>
        <w:rPr>
          <w:rFonts w:hint="eastAsia" w:ascii="仿宋" w:hAnsi="仿宋" w:eastAsia="仿宋" w:cs="仿宋"/>
          <w:bCs/>
          <w:kern w:val="44"/>
          <w:sz w:val="24"/>
          <w:szCs w:val="24"/>
        </w:rPr>
        <w:t>第七章  评审办法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_Toc21118 \h </w:instrText>
      </w:r>
      <w:r>
        <w:rPr>
          <w:rFonts w:hint="eastAsia" w:ascii="仿宋" w:hAnsi="仿宋" w:eastAsia="仿宋" w:cs="仿宋"/>
          <w:sz w:val="24"/>
        </w:rPr>
        <w:fldChar w:fldCharType="separate"/>
      </w:r>
      <w:r>
        <w:rPr>
          <w:rFonts w:hint="eastAsia" w:ascii="仿宋" w:hAnsi="仿宋" w:eastAsia="仿宋" w:cs="仿宋"/>
          <w:sz w:val="24"/>
        </w:rPr>
        <w:t>115</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34563E36">
      <w:pPr>
        <w:pStyle w:val="33"/>
        <w:tabs>
          <w:tab w:val="right" w:leader="dot" w:pos="9524"/>
          <w:tab w:val="clear" w:pos="9403"/>
        </w:tabs>
        <w:rPr>
          <w:rFonts w:hint="eastAsia" w:ascii="仿宋" w:hAnsi="仿宋" w:eastAsia="仿宋" w:cs="仿宋"/>
          <w:bCs/>
          <w:w w:val="90"/>
          <w:sz w:val="24"/>
        </w:rPr>
        <w:sectPr>
          <w:footerReference r:id="rId8" w:type="first"/>
          <w:footerReference r:id="rId7" w:type="default"/>
          <w:pgSz w:w="11906" w:h="16838"/>
          <w:pgMar w:top="1418" w:right="1191" w:bottom="1418" w:left="1191" w:header="850" w:footer="680" w:gutter="0"/>
          <w:pgBorders>
            <w:top w:val="none" w:sz="0" w:space="0"/>
            <w:left w:val="none" w:sz="0" w:space="0"/>
            <w:bottom w:val="none" w:sz="0" w:space="0"/>
            <w:right w:val="none" w:sz="0" w:space="0"/>
          </w:pgBorders>
          <w:pgNumType w:fmt="decimal" w:start="1"/>
          <w:cols w:space="720" w:num="1"/>
          <w:titlePg/>
          <w:docGrid w:linePitch="286" w:charSpace="-3831"/>
        </w:sectPr>
      </w:pPr>
      <w:r>
        <w:rPr>
          <w:rFonts w:hint="eastAsia" w:ascii="仿宋" w:hAnsi="仿宋" w:eastAsia="仿宋" w:cs="仿宋"/>
          <w:bCs/>
          <w:w w:val="90"/>
          <w:sz w:val="24"/>
        </w:rPr>
        <w:fldChar w:fldCharType="begin"/>
      </w:r>
      <w:r>
        <w:rPr>
          <w:rFonts w:hint="eastAsia" w:ascii="仿宋" w:hAnsi="仿宋" w:eastAsia="仿宋" w:cs="仿宋"/>
          <w:bCs/>
          <w:w w:val="90"/>
          <w:sz w:val="24"/>
        </w:rPr>
        <w:instrText xml:space="preserve"> HYPERLINK \l _Toc20940 </w:instrText>
      </w:r>
      <w:r>
        <w:rPr>
          <w:rFonts w:hint="eastAsia" w:ascii="仿宋" w:hAnsi="仿宋" w:eastAsia="仿宋" w:cs="仿宋"/>
          <w:bCs/>
          <w:w w:val="90"/>
          <w:sz w:val="24"/>
        </w:rPr>
        <w:fldChar w:fldCharType="separate"/>
      </w:r>
      <w:r>
        <w:rPr>
          <w:rFonts w:hint="eastAsia" w:ascii="仿宋" w:hAnsi="仿宋" w:eastAsia="仿宋" w:cs="仿宋"/>
          <w:bCs/>
          <w:sz w:val="24"/>
          <w:szCs w:val="24"/>
        </w:rPr>
        <w:t>第八章 附件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_Toc20940 \h </w:instrText>
      </w:r>
      <w:r>
        <w:rPr>
          <w:rFonts w:hint="eastAsia" w:ascii="仿宋" w:hAnsi="仿宋" w:eastAsia="仿宋" w:cs="仿宋"/>
          <w:sz w:val="24"/>
        </w:rPr>
        <w:fldChar w:fldCharType="separate"/>
      </w:r>
      <w:r>
        <w:rPr>
          <w:rFonts w:hint="eastAsia" w:ascii="仿宋" w:hAnsi="仿宋" w:eastAsia="仿宋" w:cs="仿宋"/>
          <w:sz w:val="24"/>
        </w:rPr>
        <w:t>125</w:t>
      </w:r>
      <w:r>
        <w:rPr>
          <w:rFonts w:hint="eastAsia" w:ascii="仿宋" w:hAnsi="仿宋" w:eastAsia="仿宋" w:cs="仿宋"/>
          <w:sz w:val="24"/>
        </w:rPr>
        <w:fldChar w:fldCharType="end"/>
      </w:r>
      <w:r>
        <w:rPr>
          <w:rFonts w:hint="eastAsia" w:ascii="仿宋" w:hAnsi="仿宋" w:eastAsia="仿宋" w:cs="仿宋"/>
          <w:bCs/>
          <w:w w:val="90"/>
          <w:sz w:val="24"/>
        </w:rPr>
        <w:fldChar w:fldCharType="end"/>
      </w:r>
    </w:p>
    <w:p w14:paraId="7A7E9CFF"/>
    <w:p w14:paraId="201E23BB">
      <w:pPr>
        <w:pStyle w:val="2"/>
        <w:keepNext w:val="0"/>
        <w:widowControl/>
        <w:autoSpaceDE w:val="0"/>
        <w:autoSpaceDN w:val="0"/>
        <w:adjustRightInd w:val="0"/>
        <w:snapToGrid w:val="0"/>
        <w:spacing w:before="480" w:beforeLines="200" w:after="360" w:afterLines="150" w:line="276" w:lineRule="auto"/>
        <w:rPr>
          <w:rFonts w:hint="eastAsia" w:ascii="仿宋" w:hAnsi="仿宋" w:eastAsia="仿宋" w:cs="仿宋"/>
          <w:bCs/>
          <w:sz w:val="24"/>
        </w:rPr>
      </w:pPr>
      <w:r>
        <w:rPr>
          <w:rFonts w:hint="eastAsia" w:ascii="仿宋" w:hAnsi="仿宋" w:eastAsia="仿宋" w:cs="仿宋"/>
          <w:bCs/>
          <w:w w:val="90"/>
          <w:sz w:val="24"/>
        </w:rPr>
        <w:fldChar w:fldCharType="end"/>
      </w:r>
      <w:bookmarkStart w:id="0" w:name="_Toc293343927"/>
      <w:bookmarkStart w:id="1" w:name="_Toc32414"/>
      <w:bookmarkStart w:id="2" w:name="_Toc7585"/>
      <w:r>
        <w:rPr>
          <w:rFonts w:eastAsia="华文中宋"/>
          <w:bCs/>
          <w:kern w:val="44"/>
          <w:sz w:val="44"/>
          <w:szCs w:val="44"/>
        </w:rPr>
        <w:t xml:space="preserve">第一章  </w:t>
      </w:r>
      <w:bookmarkEnd w:id="0"/>
      <w:r>
        <w:rPr>
          <w:rFonts w:eastAsia="华文中宋"/>
          <w:bCs/>
          <w:kern w:val="44"/>
          <w:sz w:val="44"/>
          <w:szCs w:val="44"/>
        </w:rPr>
        <w:t>竞争性磋商公告</w:t>
      </w:r>
      <w:bookmarkEnd w:id="1"/>
      <w:bookmarkEnd w:id="2"/>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2"/>
      </w:tblGrid>
      <w:tr w14:paraId="719D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shd w:val="clear" w:color="auto" w:fill="auto"/>
          </w:tcPr>
          <w:p w14:paraId="3F4D73DB">
            <w:pPr>
              <w:autoSpaceDE w:val="0"/>
              <w:autoSpaceDN w:val="0"/>
              <w:adjustRightInd w:val="0"/>
              <w:snapToGrid w:val="0"/>
              <w:spacing w:line="360" w:lineRule="auto"/>
              <w:jc w:val="left"/>
              <w:rPr>
                <w:rFonts w:hint="eastAsia" w:ascii="仿宋" w:hAnsi="仿宋" w:eastAsia="仿宋" w:cs="Arial"/>
                <w:color w:val="000000"/>
                <w:sz w:val="24"/>
              </w:rPr>
            </w:pPr>
            <w:r>
              <w:rPr>
                <w:rFonts w:hint="eastAsia" w:ascii="仿宋" w:hAnsi="仿宋" w:eastAsia="仿宋" w:cs="Arial"/>
                <w:color w:val="000000"/>
                <w:sz w:val="24"/>
              </w:rPr>
              <w:t>项目概况</w:t>
            </w:r>
          </w:p>
          <w:p w14:paraId="196277DF">
            <w:pPr>
              <w:autoSpaceDE w:val="0"/>
              <w:autoSpaceDN w:val="0"/>
              <w:adjustRightInd w:val="0"/>
              <w:snapToGrid w:val="0"/>
              <w:spacing w:line="360" w:lineRule="auto"/>
              <w:ind w:firstLine="482" w:firstLineChars="200"/>
              <w:jc w:val="left"/>
              <w:rPr>
                <w:rFonts w:ascii="sans-serif" w:hAnsi="sans-serif" w:eastAsia="sans-serif" w:cs="sans-serif"/>
                <w:color w:val="000000"/>
                <w:sz w:val="25"/>
                <w:szCs w:val="25"/>
              </w:rPr>
            </w:pPr>
            <w:r>
              <w:rPr>
                <w:rFonts w:hint="eastAsia" w:ascii="仿宋" w:hAnsi="仿宋" w:eastAsia="仿宋" w:cs="Arial"/>
                <w:b/>
                <w:bCs/>
                <w:sz w:val="24"/>
                <w:u w:val="single"/>
                <w:lang w:eastAsia="zh-CN"/>
              </w:rPr>
              <w:t>浙江工商大学教工路校区学生宿舍建设工程附属配电房移位改造工程（EPC）</w:t>
            </w:r>
            <w:r>
              <w:rPr>
                <w:rFonts w:hint="eastAsia" w:ascii="仿宋" w:hAnsi="仿宋" w:eastAsia="仿宋" w:cs="Arial"/>
                <w:sz w:val="24"/>
              </w:rPr>
              <w:t>采购项目的潜在供应商应在</w:t>
            </w:r>
            <w:r>
              <w:rPr>
                <w:rFonts w:hint="eastAsia" w:ascii="仿宋" w:hAnsi="仿宋" w:eastAsia="仿宋" w:cs="Arial"/>
                <w:b/>
                <w:bCs/>
                <w:sz w:val="24"/>
                <w:u w:val="single"/>
              </w:rPr>
              <w:t>政采云平台线上获取（下载）采购文件，并于2025年0</w:t>
            </w:r>
            <w:r>
              <w:rPr>
                <w:rFonts w:hint="eastAsia" w:ascii="仿宋" w:hAnsi="仿宋" w:eastAsia="仿宋" w:cs="Arial"/>
                <w:b/>
                <w:bCs/>
                <w:sz w:val="24"/>
                <w:u w:val="single"/>
                <w:lang w:val="en-US" w:eastAsia="zh-CN"/>
              </w:rPr>
              <w:t>7</w:t>
            </w:r>
            <w:r>
              <w:rPr>
                <w:rFonts w:hint="eastAsia" w:ascii="仿宋" w:hAnsi="仿宋" w:eastAsia="仿宋" w:cs="Arial"/>
                <w:b/>
                <w:bCs/>
                <w:sz w:val="24"/>
                <w:u w:val="single"/>
              </w:rPr>
              <w:t>月</w:t>
            </w:r>
            <w:r>
              <w:rPr>
                <w:rFonts w:hint="eastAsia" w:ascii="仿宋" w:hAnsi="仿宋" w:eastAsia="仿宋" w:cs="Arial"/>
                <w:b/>
                <w:bCs/>
                <w:sz w:val="24"/>
                <w:u w:val="single"/>
                <w:lang w:val="en-US" w:eastAsia="zh-CN"/>
              </w:rPr>
              <w:t>16</w:t>
            </w:r>
            <w:r>
              <w:rPr>
                <w:rFonts w:hint="eastAsia" w:ascii="仿宋" w:hAnsi="仿宋" w:eastAsia="仿宋" w:cs="Arial"/>
                <w:b/>
                <w:bCs/>
                <w:sz w:val="24"/>
                <w:u w:val="single"/>
              </w:rPr>
              <w:t>日</w:t>
            </w:r>
            <w:r>
              <w:rPr>
                <w:rFonts w:hint="eastAsia" w:ascii="仿宋" w:hAnsi="仿宋" w:eastAsia="仿宋" w:cs="Arial"/>
                <w:b/>
                <w:bCs/>
                <w:sz w:val="24"/>
                <w:u w:val="single"/>
                <w:lang w:val="en-US" w:eastAsia="zh-CN"/>
              </w:rPr>
              <w:t>09</w:t>
            </w:r>
            <w:r>
              <w:rPr>
                <w:rFonts w:hint="eastAsia" w:ascii="仿宋" w:hAnsi="仿宋" w:eastAsia="仿宋" w:cs="Arial"/>
                <w:b/>
                <w:bCs/>
                <w:sz w:val="24"/>
                <w:u w:val="single"/>
              </w:rPr>
              <w:t>:</w:t>
            </w:r>
            <w:r>
              <w:rPr>
                <w:rFonts w:hint="eastAsia" w:ascii="仿宋" w:hAnsi="仿宋" w:eastAsia="仿宋" w:cs="Arial"/>
                <w:b/>
                <w:bCs/>
                <w:sz w:val="24"/>
                <w:u w:val="single"/>
                <w:lang w:val="en-US" w:eastAsia="zh-CN"/>
              </w:rPr>
              <w:t>30</w:t>
            </w:r>
            <w:r>
              <w:rPr>
                <w:rFonts w:hint="eastAsia" w:ascii="仿宋" w:hAnsi="仿宋" w:eastAsia="仿宋" w:cs="Arial"/>
                <w:b/>
                <w:bCs/>
                <w:color w:val="000000"/>
                <w:sz w:val="24"/>
                <w:u w:val="single"/>
              </w:rPr>
              <w:t>（北京时间）</w:t>
            </w:r>
            <w:r>
              <w:rPr>
                <w:rFonts w:hint="eastAsia" w:ascii="仿宋" w:hAnsi="仿宋" w:eastAsia="仿宋" w:cs="Arial"/>
                <w:color w:val="000000"/>
                <w:sz w:val="24"/>
              </w:rPr>
              <w:t>前提交（上传）响应文件。</w:t>
            </w:r>
          </w:p>
        </w:tc>
      </w:tr>
    </w:tbl>
    <w:p w14:paraId="3CC3DEFB">
      <w:pPr>
        <w:pStyle w:val="45"/>
        <w:autoSpaceDE w:val="0"/>
        <w:autoSpaceDN w:val="0"/>
        <w:adjustRightInd w:val="0"/>
        <w:snapToGrid w:val="0"/>
        <w:spacing w:before="120" w:beforeLines="50" w:beforeAutospacing="0" w:after="0" w:afterAutospacing="0" w:line="360" w:lineRule="auto"/>
        <w:rPr>
          <w:rFonts w:hint="eastAsia" w:ascii="仿宋" w:hAnsi="仿宋" w:eastAsia="仿宋" w:cs="仿宋"/>
        </w:rPr>
      </w:pPr>
      <w:r>
        <w:rPr>
          <w:rStyle w:val="55"/>
          <w:rFonts w:hint="eastAsia" w:ascii="仿宋" w:hAnsi="仿宋" w:eastAsia="仿宋" w:cs="仿宋"/>
          <w:color w:val="000000"/>
        </w:rPr>
        <w:t>一、项目基本情况</w:t>
      </w:r>
    </w:p>
    <w:p w14:paraId="414E068B">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lang w:eastAsia="zh-CN"/>
        </w:rPr>
      </w:pPr>
      <w:r>
        <w:rPr>
          <w:rFonts w:hint="eastAsia" w:ascii="仿宋" w:hAnsi="仿宋" w:eastAsia="仿宋" w:cs="仿宋"/>
          <w:color w:val="000000"/>
        </w:rPr>
        <w:t>项目编号：</w:t>
      </w:r>
      <w:r>
        <w:rPr>
          <w:rFonts w:hint="eastAsia" w:ascii="仿宋" w:hAnsi="仿宋" w:eastAsia="仿宋" w:cs="仿宋"/>
          <w:color w:val="000000"/>
          <w:lang w:eastAsia="zh-CN"/>
        </w:rPr>
        <w:t>CTZB-2025050222</w:t>
      </w:r>
    </w:p>
    <w:p w14:paraId="695DE7A6">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lang w:eastAsia="zh-CN"/>
        </w:rPr>
      </w:pPr>
      <w:r>
        <w:rPr>
          <w:rFonts w:hint="eastAsia" w:ascii="仿宋" w:hAnsi="仿宋" w:eastAsia="仿宋" w:cs="仿宋"/>
          <w:color w:val="000000"/>
        </w:rPr>
        <w:t>项目名称：</w:t>
      </w:r>
      <w:r>
        <w:rPr>
          <w:rFonts w:hint="eastAsia" w:ascii="仿宋" w:hAnsi="仿宋" w:eastAsia="仿宋" w:cs="仿宋"/>
          <w:color w:val="000000"/>
          <w:lang w:eastAsia="zh-CN"/>
        </w:rPr>
        <w:t>浙江工商大学教工路校区学生宿舍建设工程附属配电房移位改造工程（EPC）</w:t>
      </w:r>
    </w:p>
    <w:p w14:paraId="528CAD63">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000000"/>
        </w:rPr>
        <w:t>采</w:t>
      </w:r>
      <w:r>
        <w:rPr>
          <w:rFonts w:hint="eastAsia" w:ascii="仿宋" w:hAnsi="仿宋" w:eastAsia="仿宋" w:cs="仿宋"/>
          <w:color w:val="auto"/>
        </w:rPr>
        <w:t>购方式：竞争性磋商</w:t>
      </w:r>
    </w:p>
    <w:p w14:paraId="79E47FE2">
      <w:pPr>
        <w:pStyle w:val="45"/>
        <w:autoSpaceDE w:val="0"/>
        <w:autoSpaceDN w:val="0"/>
        <w:adjustRightInd w:val="0"/>
        <w:snapToGrid w:val="0"/>
        <w:spacing w:before="0" w:beforeAutospacing="0" w:after="0" w:afterAutospacing="0"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rPr>
        <w:t>预算金</w:t>
      </w:r>
      <w:r>
        <w:rPr>
          <w:rFonts w:hint="eastAsia" w:ascii="仿宋" w:hAnsi="仿宋" w:eastAsia="仿宋" w:cs="仿宋"/>
          <w:color w:val="auto"/>
          <w:highlight w:val="none"/>
        </w:rPr>
        <w:t>额（元）：</w:t>
      </w:r>
      <w:r>
        <w:rPr>
          <w:rFonts w:hint="eastAsia" w:ascii="仿宋" w:hAnsi="仿宋" w:eastAsia="仿宋" w:cs="仿宋"/>
          <w:color w:val="auto"/>
          <w:highlight w:val="none"/>
          <w:lang w:val="en-US" w:eastAsia="zh-CN"/>
        </w:rPr>
        <w:t>3990000</w:t>
      </w:r>
    </w:p>
    <w:p w14:paraId="4E0B07E6">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最高限价（元）：</w:t>
      </w:r>
      <w:r>
        <w:rPr>
          <w:rFonts w:hint="eastAsia" w:ascii="仿宋" w:hAnsi="仿宋" w:eastAsia="仿宋" w:cs="仿宋"/>
          <w:color w:val="auto"/>
          <w:highlight w:val="none"/>
          <w:lang w:val="en-US" w:eastAsia="zh-CN"/>
        </w:rPr>
        <w:t>3140709.23</w:t>
      </w:r>
    </w:p>
    <w:p w14:paraId="183AD3B4">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采购需求：</w:t>
      </w:r>
    </w:p>
    <w:p w14:paraId="23D86F5E">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auto"/>
        </w:rPr>
      </w:pPr>
      <w:r>
        <w:rPr>
          <w:rFonts w:hint="eastAsia" w:ascii="仿宋" w:hAnsi="仿宋" w:eastAsia="仿宋" w:cs="仿宋"/>
          <w:color w:val="auto"/>
        </w:rPr>
        <w:t>数量：1</w:t>
      </w:r>
    </w:p>
    <w:p w14:paraId="41352DDC">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rPr>
        <w:t>预算金额（元）：</w:t>
      </w:r>
      <w:r>
        <w:rPr>
          <w:rFonts w:hint="eastAsia" w:ascii="仿宋" w:hAnsi="仿宋" w:eastAsia="仿宋" w:cs="仿宋"/>
          <w:color w:val="auto"/>
          <w:lang w:val="en-US" w:eastAsia="zh-CN"/>
        </w:rPr>
        <w:t>3990000</w:t>
      </w:r>
    </w:p>
    <w:p w14:paraId="302D1A0E">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单位：项</w:t>
      </w:r>
    </w:p>
    <w:p w14:paraId="4D4D495A">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简要规格描述：</w:t>
      </w:r>
      <w:r>
        <w:rPr>
          <w:rFonts w:hint="eastAsia" w:ascii="仿宋" w:hAnsi="仿宋" w:eastAsia="仿宋" w:cs="仿宋"/>
          <w:color w:val="000000"/>
          <w:lang w:eastAsia="zh-CN"/>
        </w:rPr>
        <w:t>浙江工商大学教工路校区学生宿舍建设工程附属配电房移位改造工程（EPC）位于杭州市西湖区教工路198号</w:t>
      </w:r>
      <w:r>
        <w:rPr>
          <w:rFonts w:hint="eastAsia" w:ascii="仿宋" w:hAnsi="仿宋" w:eastAsia="仿宋" w:cs="仿宋_GB2312"/>
          <w:sz w:val="24"/>
        </w:rPr>
        <w:t>浙江工商</w:t>
      </w:r>
      <w:r>
        <w:rPr>
          <w:rFonts w:hint="eastAsia" w:ascii="仿宋" w:hAnsi="仿宋" w:eastAsia="仿宋" w:cs="仿宋_GB2312"/>
          <w:color w:val="auto"/>
          <w:sz w:val="24"/>
        </w:rPr>
        <w:t>大学教工路校区</w:t>
      </w:r>
      <w:r>
        <w:rPr>
          <w:rFonts w:hint="eastAsia" w:ascii="仿宋" w:hAnsi="仿宋" w:eastAsia="仿宋" w:cs="仿宋"/>
          <w:color w:val="auto"/>
          <w:lang w:eastAsia="zh-CN"/>
        </w:rPr>
        <w:t>内，</w:t>
      </w:r>
      <w:r>
        <w:rPr>
          <w:rFonts w:hint="eastAsia" w:ascii="仿宋" w:hAnsi="仿宋" w:eastAsia="仿宋" w:cs="仿宋_GB2312"/>
          <w:color w:val="auto"/>
          <w:sz w:val="24"/>
        </w:rPr>
        <w:t>对浙江工商大学教工路校区学生宿舍建设工程附属配电房进行移位改造，</w:t>
      </w:r>
      <w:r>
        <w:rPr>
          <w:rFonts w:hint="eastAsia" w:ascii="仿宋" w:hAnsi="仿宋" w:eastAsia="仿宋" w:cs="仿宋_GB2312"/>
          <w:color w:val="auto"/>
          <w:sz w:val="24"/>
          <w:lang w:eastAsia="zh-CN"/>
        </w:rPr>
        <w:t>改</w:t>
      </w:r>
      <w:r>
        <w:rPr>
          <w:rFonts w:hint="eastAsia" w:ascii="仿宋" w:hAnsi="仿宋" w:eastAsia="仿宋" w:cs="仿宋_GB2312"/>
          <w:color w:val="auto"/>
          <w:sz w:val="24"/>
        </w:rPr>
        <w:t>建10kV高配房、供电</w:t>
      </w:r>
      <w:r>
        <w:rPr>
          <w:rFonts w:hint="eastAsia" w:ascii="仿宋" w:hAnsi="仿宋" w:eastAsia="仿宋" w:cs="仿宋_GB2312"/>
          <w:sz w:val="24"/>
        </w:rPr>
        <w:t>线路改建、电缆路径建设、智能监控与自动化系统集成等。</w:t>
      </w:r>
      <w:r>
        <w:rPr>
          <w:rFonts w:hint="eastAsia" w:ascii="仿宋" w:hAnsi="仿宋" w:eastAsia="仿宋" w:cs="仿宋"/>
          <w:color w:val="000000"/>
          <w:lang w:val="en-US" w:eastAsia="zh-CN"/>
        </w:rPr>
        <w:t>本项目采用施工图设计、设备采购、</w:t>
      </w:r>
      <w:r>
        <w:rPr>
          <w:rFonts w:hint="eastAsia" w:ascii="仿宋" w:hAnsi="仿宋" w:eastAsia="仿宋" w:cs="仿宋"/>
          <w:color w:val="000000"/>
          <w:lang w:eastAsia="zh-CN"/>
        </w:rPr>
        <w:t>施工于一体的EPC</w:t>
      </w:r>
      <w:r>
        <w:rPr>
          <w:rFonts w:hint="eastAsia" w:ascii="仿宋" w:hAnsi="仿宋" w:eastAsia="仿宋" w:cs="仿宋"/>
          <w:color w:val="000000"/>
          <w:lang w:val="en-US" w:eastAsia="zh-CN"/>
        </w:rPr>
        <w:t>模式采购</w:t>
      </w:r>
      <w:r>
        <w:rPr>
          <w:rFonts w:hint="eastAsia" w:ascii="仿宋" w:hAnsi="仿宋" w:eastAsia="仿宋" w:cs="仿宋"/>
          <w:color w:val="000000"/>
          <w:lang w:eastAsia="zh-CN"/>
        </w:rPr>
        <w:t>，具体施工范围、内容及要求详见</w:t>
      </w:r>
      <w:r>
        <w:rPr>
          <w:rFonts w:hint="eastAsia" w:ascii="仿宋" w:hAnsi="仿宋" w:eastAsia="仿宋" w:cs="仿宋"/>
          <w:color w:val="000000"/>
          <w:lang w:val="en-US" w:eastAsia="zh-CN"/>
        </w:rPr>
        <w:t>图纸</w:t>
      </w:r>
      <w:r>
        <w:rPr>
          <w:rFonts w:hint="eastAsia" w:ascii="仿宋" w:hAnsi="仿宋" w:eastAsia="仿宋" w:cs="仿宋"/>
          <w:color w:val="000000"/>
          <w:highlight w:val="none"/>
          <w:lang w:val="en-US" w:eastAsia="zh-CN"/>
        </w:rPr>
        <w:t>、工程量清单（模拟）</w:t>
      </w:r>
      <w:r>
        <w:rPr>
          <w:rFonts w:hint="eastAsia" w:ascii="仿宋" w:hAnsi="仿宋" w:eastAsia="仿宋" w:cs="仿宋"/>
          <w:color w:val="000000"/>
          <w:highlight w:val="none"/>
          <w:lang w:eastAsia="zh-CN"/>
        </w:rPr>
        <w:t>及</w:t>
      </w:r>
      <w:r>
        <w:rPr>
          <w:rFonts w:hint="eastAsia" w:ascii="仿宋" w:hAnsi="仿宋" w:eastAsia="仿宋" w:cs="仿宋"/>
          <w:color w:val="000000"/>
          <w:highlight w:val="none"/>
          <w:lang w:val="en-US" w:eastAsia="zh-CN"/>
        </w:rPr>
        <w:t>采</w:t>
      </w:r>
      <w:r>
        <w:rPr>
          <w:rFonts w:hint="eastAsia" w:ascii="仿宋" w:hAnsi="仿宋" w:eastAsia="仿宋" w:cs="仿宋"/>
          <w:color w:val="000000"/>
          <w:lang w:val="en-US" w:eastAsia="zh-CN"/>
        </w:rPr>
        <w:t>购</w:t>
      </w:r>
      <w:r>
        <w:rPr>
          <w:rFonts w:hint="eastAsia" w:ascii="仿宋" w:hAnsi="仿宋" w:eastAsia="仿宋" w:cs="仿宋"/>
          <w:color w:val="000000"/>
        </w:rPr>
        <w:t>要求。供应商可点击本公告下方“浏览采购文件”查看采购需求。 </w:t>
      </w:r>
    </w:p>
    <w:p w14:paraId="7EEAF995">
      <w:pPr>
        <w:pStyle w:val="45"/>
        <w:autoSpaceDE w:val="0"/>
        <w:autoSpaceDN w:val="0"/>
        <w:adjustRightInd w:val="0"/>
        <w:snapToGrid w:val="0"/>
        <w:spacing w:before="0" w:beforeAutospacing="0" w:after="0" w:afterAutospacing="0" w:line="360" w:lineRule="auto"/>
        <w:ind w:firstLine="482" w:firstLineChars="200"/>
        <w:rPr>
          <w:rFonts w:hint="default" w:ascii="仿宋" w:hAnsi="仿宋" w:eastAsia="仿宋" w:cs="仿宋"/>
          <w:color w:val="auto"/>
          <w:lang w:val="en-US"/>
        </w:rPr>
      </w:pPr>
      <w:r>
        <w:rPr>
          <w:rFonts w:hint="eastAsia" w:ascii="仿宋" w:hAnsi="仿宋" w:eastAsia="仿宋" w:cs="仿宋"/>
          <w:b/>
          <w:bCs/>
          <w:color w:val="auto"/>
          <w:highlight w:val="none"/>
          <w:lang w:val="en-US" w:eastAsia="zh-CN"/>
        </w:rPr>
        <w:t>备注：1、本项目最高限价314.070923万元（含暂列金13.50万元和暂估价13.50万元），本项目为固定总价合同，成交后超出部分不予调整，均包含在本次报价中；2、工程设计费应结合设计方案等自行报价，设计费最高限价7.00万元，超过最高限价的响应无效。设计费响应报价一次性包干，成交后不予调整。</w:t>
      </w:r>
    </w:p>
    <w:p w14:paraId="13B68C32">
      <w:pPr>
        <w:pStyle w:val="45"/>
        <w:autoSpaceDE w:val="0"/>
        <w:autoSpaceDN w:val="0"/>
        <w:adjustRightInd w:val="0"/>
        <w:snapToGrid w:val="0"/>
        <w:spacing w:before="240" w:beforeLines="100" w:beforeAutospacing="0" w:after="0" w:afterAutospacing="0" w:line="360" w:lineRule="auto"/>
        <w:ind w:firstLine="482" w:firstLineChars="200"/>
        <w:rPr>
          <w:rFonts w:hint="default" w:ascii="仿宋" w:hAnsi="仿宋" w:eastAsia="仿宋" w:cs="仿宋"/>
          <w:b/>
          <w:bCs/>
          <w:color w:val="auto"/>
          <w:lang w:val="en-US" w:eastAsia="zh-CN"/>
        </w:rPr>
      </w:pPr>
      <w:r>
        <w:rPr>
          <w:rFonts w:hint="eastAsia" w:ascii="仿宋" w:hAnsi="仿宋" w:eastAsia="仿宋" w:cs="仿宋"/>
          <w:b/>
          <w:bCs/>
          <w:color w:val="auto"/>
        </w:rPr>
        <w:t>合同履行期限：</w:t>
      </w:r>
      <w:r>
        <w:rPr>
          <w:rFonts w:hint="eastAsia" w:ascii="仿宋" w:hAnsi="仿宋" w:eastAsia="仿宋" w:cs="仿宋"/>
          <w:b/>
          <w:bCs/>
          <w:color w:val="auto"/>
          <w:lang w:val="en-US" w:eastAsia="zh-CN"/>
        </w:rPr>
        <w:t>90</w:t>
      </w:r>
      <w:r>
        <w:rPr>
          <w:rFonts w:hint="eastAsia" w:ascii="仿宋" w:hAnsi="仿宋" w:eastAsia="仿宋" w:cs="仿宋"/>
          <w:b/>
          <w:bCs/>
          <w:color w:val="auto"/>
          <w:lang w:eastAsia="zh-CN"/>
        </w:rPr>
        <w:t>个日历天（</w:t>
      </w:r>
      <w:r>
        <w:rPr>
          <w:rFonts w:hint="eastAsia" w:ascii="仿宋" w:hAnsi="仿宋" w:eastAsia="仿宋" w:cs="仿宋"/>
          <w:b/>
          <w:bCs/>
          <w:color w:val="auto"/>
          <w:lang w:val="en-US" w:eastAsia="zh-CN"/>
        </w:rPr>
        <w:t>其中：设计30个日历天，施工60个日历天）</w:t>
      </w:r>
    </w:p>
    <w:p w14:paraId="5D2D119C">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b/>
          <w:bCs/>
        </w:rPr>
      </w:pPr>
      <w:r>
        <w:rPr>
          <w:rFonts w:hint="eastAsia" w:ascii="仿宋" w:hAnsi="仿宋" w:eastAsia="仿宋" w:cs="仿宋"/>
          <w:b/>
          <w:bCs/>
        </w:rPr>
        <w:t>本项目（是）接受联合体投标。</w:t>
      </w:r>
    </w:p>
    <w:p w14:paraId="25097766">
      <w:pPr>
        <w:pStyle w:val="45"/>
        <w:autoSpaceDE w:val="0"/>
        <w:autoSpaceDN w:val="0"/>
        <w:adjustRightInd w:val="0"/>
        <w:snapToGrid w:val="0"/>
        <w:spacing w:before="0" w:beforeAutospacing="0" w:after="0" w:afterAutospacing="0" w:line="360" w:lineRule="auto"/>
        <w:rPr>
          <w:rStyle w:val="55"/>
          <w:rFonts w:hint="eastAsia" w:ascii="仿宋" w:hAnsi="仿宋" w:eastAsia="仿宋" w:cs="仿宋"/>
          <w:color w:val="000000"/>
        </w:rPr>
      </w:pPr>
      <w:r>
        <w:rPr>
          <w:rStyle w:val="55"/>
          <w:rFonts w:hint="eastAsia" w:ascii="仿宋" w:hAnsi="仿宋" w:eastAsia="仿宋" w:cs="仿宋"/>
          <w:color w:val="000000"/>
        </w:rPr>
        <w:t>二、申请人的资格要求：</w:t>
      </w:r>
    </w:p>
    <w:p w14:paraId="773642D7">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000000"/>
        </w:rPr>
        <w:t>1.满足《中华人民共和国政府采购法》第二十二条的规定；未被“信用中国”（</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hint="eastAsia" w:ascii="仿宋" w:hAnsi="仿宋" w:eastAsia="仿宋" w:cs="仿宋"/>
          <w:color w:val="auto"/>
          <w:highlight w:val="none"/>
        </w:rPr>
        <w:t>www.creditchina.gov.cn）、中国政府采购网（www.ccgp.gov.cn）列入失信被执行人、重大税收违法案件当事人名单、政府采购严重违法失信行为记录名单；</w:t>
      </w:r>
      <w:r>
        <w:rPr>
          <w:rFonts w:hint="eastAsia" w:ascii="仿宋" w:hAnsi="仿宋" w:eastAsia="仿宋" w:cs="仿宋"/>
          <w:color w:val="auto"/>
          <w:highlight w:val="none"/>
        </w:rPr>
        <w:fldChar w:fldCharType="end"/>
      </w:r>
    </w:p>
    <w:p w14:paraId="77AF3A8C">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b/>
          <w:bCs/>
          <w:color w:val="auto"/>
          <w:highlight w:val="none"/>
        </w:rPr>
      </w:pPr>
      <w:r>
        <w:rPr>
          <w:rFonts w:hint="eastAsia" w:ascii="仿宋" w:hAnsi="仿宋" w:eastAsia="仿宋" w:cs="仿宋"/>
          <w:color w:val="auto"/>
          <w:highlight w:val="none"/>
        </w:rPr>
        <w:t>2.落实政府采购政策需满足的资格要求：</w:t>
      </w:r>
      <w:r>
        <w:rPr>
          <w:rFonts w:hint="eastAsia" w:ascii="仿宋" w:hAnsi="仿宋" w:eastAsia="仿宋"/>
          <w:b/>
          <w:bCs/>
          <w:color w:val="auto"/>
          <w:highlight w:val="none"/>
          <w:u w:val="single"/>
        </w:rPr>
        <w:t>本项目专门面向中小企业采购,承建（承接）本项目的供应商必须为符合政策要求的中、小、微型企业（符合要求的监狱企业和残疾人福利性单位视同为小微企业），项目属性为工程，中小企业划分标准对应行业为“建筑业”</w:t>
      </w:r>
      <w:r>
        <w:rPr>
          <w:rFonts w:hint="eastAsia" w:ascii="仿宋" w:hAnsi="仿宋" w:eastAsia="仿宋"/>
          <w:b/>
          <w:bCs/>
          <w:color w:val="auto"/>
          <w:highlight w:val="none"/>
        </w:rPr>
        <w:t>。</w:t>
      </w:r>
    </w:p>
    <w:p w14:paraId="18660439">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3.本项目的特定资格要求：</w:t>
      </w:r>
    </w:p>
    <w:p w14:paraId="1CBCBFD2">
      <w:pPr>
        <w:pStyle w:val="296"/>
        <w:autoSpaceDE w:val="0"/>
        <w:autoSpaceDN w:val="0"/>
        <w:adjustRightInd w:val="0"/>
        <w:snapToGrid w:val="0"/>
        <w:spacing w:line="360" w:lineRule="auto"/>
        <w:ind w:firstLine="241" w:firstLineChars="10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（1）具有工程设计-电力行业（送电工程、变电工程）专业</w:t>
      </w:r>
      <w:r>
        <w:rPr>
          <w:rFonts w:hint="eastAsia" w:ascii="仿宋" w:hAnsi="仿宋" w:eastAsia="仿宋" w:cs="仿宋"/>
          <w:b/>
          <w:bCs/>
          <w:color w:val="auto"/>
          <w:kern w:val="0"/>
          <w:sz w:val="24"/>
          <w:highlight w:val="none"/>
          <w:lang w:val="en-US" w:eastAsia="zh-CN"/>
        </w:rPr>
        <w:t>丙</w:t>
      </w:r>
      <w:r>
        <w:rPr>
          <w:rFonts w:hint="eastAsia" w:ascii="仿宋" w:hAnsi="仿宋" w:eastAsia="仿宋" w:cs="仿宋"/>
          <w:b/>
          <w:bCs/>
          <w:color w:val="auto"/>
          <w:kern w:val="0"/>
          <w:sz w:val="24"/>
          <w:highlight w:val="none"/>
          <w:lang w:eastAsia="zh-CN"/>
        </w:rPr>
        <w:t>级及以上资质（联合体响应的，承担设计工作一方具有此资质）；</w:t>
      </w:r>
    </w:p>
    <w:p w14:paraId="199CE937">
      <w:pPr>
        <w:pStyle w:val="296"/>
        <w:autoSpaceDE w:val="0"/>
        <w:autoSpaceDN w:val="0"/>
        <w:adjustRightInd w:val="0"/>
        <w:snapToGrid w:val="0"/>
        <w:spacing w:line="360" w:lineRule="auto"/>
        <w:ind w:firstLine="241" w:firstLineChars="10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2）具有</w:t>
      </w:r>
      <w:r>
        <w:rPr>
          <w:rFonts w:hint="eastAsia" w:ascii="仿宋" w:hAnsi="仿宋" w:eastAsia="仿宋" w:cs="仿宋"/>
          <w:b/>
          <w:bCs/>
          <w:color w:val="auto"/>
          <w:kern w:val="0"/>
          <w:sz w:val="24"/>
          <w:highlight w:val="none"/>
          <w:lang w:eastAsia="zh-CN"/>
        </w:rPr>
        <w:t>电力工程施工总承包三级及以上资质或输变电工程专业承包三级及以上资质（联合体响应的，承担施工工作一方具有此资质）；</w:t>
      </w:r>
    </w:p>
    <w:p w14:paraId="7B0B7203">
      <w:pPr>
        <w:pStyle w:val="296"/>
        <w:autoSpaceDE w:val="0"/>
        <w:autoSpaceDN w:val="0"/>
        <w:adjustRightInd w:val="0"/>
        <w:snapToGrid w:val="0"/>
        <w:spacing w:line="360" w:lineRule="auto"/>
        <w:ind w:firstLine="241" w:firstLineChars="10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3）具有</w:t>
      </w:r>
      <w:r>
        <w:rPr>
          <w:rFonts w:hint="eastAsia" w:ascii="仿宋" w:hAnsi="仿宋" w:eastAsia="仿宋" w:cs="仿宋"/>
          <w:b/>
          <w:bCs/>
          <w:color w:val="auto"/>
          <w:kern w:val="0"/>
          <w:sz w:val="24"/>
          <w:highlight w:val="none"/>
          <w:lang w:eastAsia="zh-CN"/>
        </w:rPr>
        <w:t>承装(修、试)电力设施许可证</w:t>
      </w:r>
      <w:r>
        <w:rPr>
          <w:rFonts w:hint="eastAsia" w:ascii="仿宋" w:hAnsi="仿宋" w:eastAsia="仿宋" w:cs="仿宋"/>
          <w:b/>
          <w:bCs/>
          <w:color w:val="auto"/>
          <w:kern w:val="0"/>
          <w:sz w:val="24"/>
          <w:highlight w:val="none"/>
          <w:lang w:val="en-US" w:eastAsia="zh-CN"/>
        </w:rPr>
        <w:t>五</w:t>
      </w:r>
      <w:r>
        <w:rPr>
          <w:rFonts w:hint="eastAsia" w:ascii="仿宋" w:hAnsi="仿宋" w:eastAsia="仿宋" w:cs="仿宋"/>
          <w:b/>
          <w:bCs/>
          <w:color w:val="auto"/>
          <w:kern w:val="0"/>
          <w:sz w:val="24"/>
          <w:highlight w:val="none"/>
          <w:lang w:eastAsia="zh-CN"/>
        </w:rPr>
        <w:t>级及以上资质（联合体响应的，承担施工工作一方具有此资质）；</w:t>
      </w:r>
    </w:p>
    <w:p w14:paraId="1017AF36">
      <w:pPr>
        <w:pStyle w:val="296"/>
        <w:autoSpaceDE w:val="0"/>
        <w:autoSpaceDN w:val="0"/>
        <w:adjustRightInd w:val="0"/>
        <w:snapToGrid w:val="0"/>
        <w:spacing w:line="360" w:lineRule="auto"/>
        <w:ind w:firstLine="241" w:firstLineChars="10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4</w:t>
      </w:r>
      <w:r>
        <w:rPr>
          <w:rFonts w:hint="eastAsia" w:ascii="仿宋" w:hAnsi="仿宋" w:eastAsia="仿宋" w:cs="仿宋"/>
          <w:b/>
          <w:bCs/>
          <w:color w:val="auto"/>
          <w:kern w:val="0"/>
          <w:sz w:val="24"/>
          <w:highlight w:val="none"/>
          <w:lang w:eastAsia="zh-CN"/>
        </w:rPr>
        <w:t>）具有企业《安全生产许可证》（联合体响应的，承担施工工作一方具有此资质）；</w:t>
      </w:r>
    </w:p>
    <w:p w14:paraId="77A96EE0">
      <w:pPr>
        <w:pStyle w:val="45"/>
        <w:autoSpaceDE w:val="0"/>
        <w:autoSpaceDN w:val="0"/>
        <w:adjustRightInd w:val="0"/>
        <w:snapToGrid w:val="0"/>
        <w:spacing w:before="0" w:beforeAutospacing="0" w:after="0" w:afterAutospacing="0" w:line="360" w:lineRule="auto"/>
        <w:ind w:firstLine="241" w:firstLineChars="100"/>
        <w:rPr>
          <w:rFonts w:hint="eastAsia"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）本项目允许符合以下规定的联合体参加投标：</w:t>
      </w:r>
    </w:p>
    <w:p w14:paraId="3A0F736C">
      <w:pPr>
        <w:autoSpaceDE w:val="0"/>
        <w:autoSpaceDN w:val="0"/>
        <w:spacing w:line="360" w:lineRule="auto"/>
        <w:ind w:firstLine="482" w:firstLineChars="200"/>
        <w:jc w:val="left"/>
        <w:rPr>
          <w:rFonts w:hint="eastAsia" w:ascii="仿宋" w:hAnsi="仿宋" w:eastAsia="仿宋" w:cs="Arial"/>
          <w:b/>
          <w:color w:val="auto"/>
          <w:sz w:val="24"/>
          <w:highlight w:val="none"/>
        </w:rPr>
      </w:pPr>
      <w:r>
        <w:rPr>
          <w:rFonts w:hint="eastAsia" w:ascii="仿宋" w:hAnsi="仿宋" w:eastAsia="仿宋" w:cs="Arial"/>
          <w:b/>
          <w:color w:val="auto"/>
          <w:sz w:val="24"/>
          <w:highlight w:val="none"/>
        </w:rPr>
        <w:t>①</w:t>
      </w:r>
      <w:r>
        <w:rPr>
          <w:rFonts w:hint="eastAsia" w:ascii="仿宋" w:hAnsi="仿宋" w:eastAsia="仿宋" w:cs="Arial"/>
          <w:b/>
          <w:color w:val="auto"/>
          <w:sz w:val="24"/>
          <w:highlight w:val="none"/>
          <w:u w:val="single"/>
        </w:rPr>
        <w:t>联合体各方均须为符合政策要求的中、小、微型企业并且符合本项目“申请人的资格要求”第1条</w:t>
      </w:r>
      <w:r>
        <w:rPr>
          <w:rFonts w:hint="eastAsia" w:ascii="仿宋" w:hAnsi="仿宋" w:eastAsia="仿宋" w:cs="Arial"/>
          <w:b/>
          <w:color w:val="auto"/>
          <w:sz w:val="24"/>
          <w:highlight w:val="none"/>
          <w:u w:val="single"/>
          <w:lang w:eastAsia="zh-CN"/>
        </w:rPr>
        <w:t>、</w:t>
      </w:r>
      <w:r>
        <w:rPr>
          <w:rFonts w:hint="eastAsia" w:ascii="仿宋" w:hAnsi="仿宋" w:eastAsia="仿宋" w:cs="Arial"/>
          <w:b/>
          <w:color w:val="auto"/>
          <w:sz w:val="24"/>
          <w:highlight w:val="none"/>
          <w:u w:val="single"/>
          <w:lang w:val="en-US" w:eastAsia="zh-CN"/>
        </w:rPr>
        <w:t>第2条</w:t>
      </w:r>
      <w:r>
        <w:rPr>
          <w:rFonts w:hint="eastAsia" w:ascii="仿宋" w:hAnsi="仿宋" w:eastAsia="仿宋" w:cs="Arial"/>
          <w:b/>
          <w:color w:val="auto"/>
          <w:sz w:val="24"/>
          <w:highlight w:val="none"/>
          <w:u w:val="single"/>
        </w:rPr>
        <w:t>规定</w:t>
      </w:r>
      <w:r>
        <w:rPr>
          <w:rFonts w:hint="eastAsia" w:ascii="仿宋" w:hAnsi="仿宋" w:eastAsia="仿宋" w:cs="Arial"/>
          <w:b/>
          <w:color w:val="auto"/>
          <w:sz w:val="24"/>
          <w:highlight w:val="none"/>
        </w:rPr>
        <w:t>；</w:t>
      </w:r>
    </w:p>
    <w:p w14:paraId="7DCBCD5F">
      <w:pPr>
        <w:autoSpaceDE w:val="0"/>
        <w:autoSpaceDN w:val="0"/>
        <w:spacing w:line="360" w:lineRule="auto"/>
        <w:ind w:firstLine="482" w:firstLineChars="200"/>
        <w:jc w:val="left"/>
        <w:rPr>
          <w:rFonts w:hint="eastAsia" w:ascii="仿宋" w:hAnsi="仿宋" w:eastAsia="仿宋" w:cs="Arial"/>
          <w:b/>
          <w:color w:val="auto"/>
          <w:sz w:val="24"/>
          <w:highlight w:val="none"/>
        </w:rPr>
      </w:pPr>
      <w:r>
        <w:rPr>
          <w:rFonts w:hint="eastAsia" w:ascii="仿宋" w:hAnsi="仿宋" w:eastAsia="仿宋" w:cs="Arial"/>
          <w:b/>
          <w:color w:val="auto"/>
          <w:sz w:val="24"/>
          <w:highlight w:val="none"/>
        </w:rPr>
        <w:t>②</w:t>
      </w:r>
      <w:r>
        <w:rPr>
          <w:rFonts w:hint="eastAsia" w:ascii="仿宋" w:hAnsi="仿宋" w:eastAsia="仿宋" w:cs="Arial"/>
          <w:b/>
          <w:color w:val="auto"/>
          <w:sz w:val="24"/>
          <w:highlight w:val="none"/>
          <w:u w:val="single"/>
        </w:rPr>
        <w:t>提供有效的联合投标（响应）协议书，明确载明联合体各方承担的工作和义务</w:t>
      </w:r>
      <w:r>
        <w:rPr>
          <w:rFonts w:hint="eastAsia" w:ascii="仿宋" w:hAnsi="仿宋" w:eastAsia="仿宋" w:cs="Arial"/>
          <w:b/>
          <w:color w:val="auto"/>
          <w:sz w:val="24"/>
          <w:highlight w:val="none"/>
        </w:rPr>
        <w:t>。</w:t>
      </w:r>
    </w:p>
    <w:p w14:paraId="0E92BF3C">
      <w:pPr>
        <w:pStyle w:val="45"/>
        <w:autoSpaceDE w:val="0"/>
        <w:autoSpaceDN w:val="0"/>
        <w:adjustRightInd w:val="0"/>
        <w:snapToGrid w:val="0"/>
        <w:spacing w:before="0" w:beforeAutospacing="0" w:after="0" w:afterAutospacing="0" w:line="360" w:lineRule="auto"/>
        <w:ind w:firstLine="241" w:firstLineChars="100"/>
        <w:rPr>
          <w:rFonts w:hint="eastAsia" w:ascii="仿宋" w:hAnsi="仿宋" w:eastAsia="仿宋" w:cs="仿宋"/>
          <w:b/>
          <w:bCs/>
          <w:color w:val="auto"/>
          <w:highlight w:val="none"/>
        </w:rPr>
      </w:pPr>
      <w:r>
        <w:rPr>
          <w:rFonts w:hint="eastAsia" w:ascii="仿宋" w:hAnsi="仿宋" w:eastAsia="仿宋" w:cs="仿宋"/>
          <w:b/>
          <w:bCs/>
          <w:color w:val="auto"/>
          <w:highlight w:val="none"/>
        </w:rPr>
        <w:t>（</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rPr>
        <w:t>）本项目允许分包，要求如下：</w:t>
      </w:r>
    </w:p>
    <w:p w14:paraId="2EBF0EE1">
      <w:pPr>
        <w:autoSpaceDE w:val="0"/>
        <w:autoSpaceDN w:val="0"/>
        <w:spacing w:line="360" w:lineRule="auto"/>
        <w:ind w:firstLine="482" w:firstLineChars="200"/>
        <w:jc w:val="left"/>
        <w:rPr>
          <w:rFonts w:hint="eastAsia" w:ascii="仿宋" w:hAnsi="仿宋" w:eastAsia="仿宋" w:cs="Arial"/>
          <w:b/>
          <w:color w:val="auto"/>
          <w:sz w:val="24"/>
          <w:highlight w:val="none"/>
          <w:u w:val="single"/>
        </w:rPr>
      </w:pPr>
      <w:r>
        <w:rPr>
          <w:rFonts w:hint="eastAsia" w:ascii="仿宋" w:hAnsi="仿宋" w:eastAsia="仿宋" w:cs="Arial"/>
          <w:b/>
          <w:color w:val="auto"/>
          <w:sz w:val="24"/>
          <w:highlight w:val="none"/>
        </w:rPr>
        <w:t>①</w:t>
      </w:r>
      <w:r>
        <w:rPr>
          <w:rFonts w:hint="eastAsia" w:ascii="仿宋" w:hAnsi="仿宋" w:eastAsia="仿宋" w:cs="Arial"/>
          <w:b/>
          <w:color w:val="auto"/>
          <w:sz w:val="24"/>
          <w:highlight w:val="none"/>
          <w:u w:val="single"/>
        </w:rPr>
        <w:t>分包承担主体均须为符合政策要求的中、小、微型企业并且符合本项目“申请人的资格要求”第1条</w:t>
      </w:r>
      <w:r>
        <w:rPr>
          <w:rFonts w:hint="eastAsia" w:ascii="仿宋" w:hAnsi="仿宋" w:eastAsia="仿宋" w:cs="Arial"/>
          <w:b/>
          <w:color w:val="auto"/>
          <w:sz w:val="24"/>
          <w:highlight w:val="none"/>
          <w:u w:val="single"/>
          <w:lang w:eastAsia="zh-CN"/>
        </w:rPr>
        <w:t>、</w:t>
      </w:r>
      <w:r>
        <w:rPr>
          <w:rFonts w:hint="eastAsia" w:ascii="仿宋" w:hAnsi="仿宋" w:eastAsia="仿宋" w:cs="Arial"/>
          <w:b/>
          <w:color w:val="auto"/>
          <w:sz w:val="24"/>
          <w:highlight w:val="none"/>
          <w:u w:val="single"/>
          <w:lang w:val="en-US" w:eastAsia="zh-CN"/>
        </w:rPr>
        <w:t>第2条</w:t>
      </w:r>
      <w:r>
        <w:rPr>
          <w:rFonts w:hint="eastAsia" w:ascii="仿宋" w:hAnsi="仿宋" w:eastAsia="仿宋" w:cs="Arial"/>
          <w:b/>
          <w:color w:val="auto"/>
          <w:sz w:val="24"/>
          <w:highlight w:val="none"/>
          <w:u w:val="single"/>
        </w:rPr>
        <w:t>规定</w:t>
      </w:r>
      <w:r>
        <w:rPr>
          <w:rFonts w:hint="eastAsia" w:ascii="仿宋" w:hAnsi="仿宋" w:eastAsia="仿宋" w:cs="Arial"/>
          <w:b/>
          <w:color w:val="auto"/>
          <w:sz w:val="24"/>
          <w:highlight w:val="none"/>
        </w:rPr>
        <w:t>；</w:t>
      </w:r>
    </w:p>
    <w:p w14:paraId="72AA9C69">
      <w:pPr>
        <w:autoSpaceDE w:val="0"/>
        <w:autoSpaceDN w:val="0"/>
        <w:spacing w:line="360" w:lineRule="auto"/>
        <w:ind w:firstLine="482" w:firstLineChars="200"/>
        <w:jc w:val="left"/>
        <w:rPr>
          <w:rFonts w:hint="eastAsia" w:ascii="仿宋" w:hAnsi="仿宋" w:eastAsia="仿宋" w:cs="Arial"/>
          <w:b/>
          <w:color w:val="auto"/>
          <w:sz w:val="24"/>
          <w:highlight w:val="none"/>
        </w:rPr>
      </w:pPr>
      <w:r>
        <w:rPr>
          <w:rFonts w:hint="eastAsia" w:ascii="仿宋" w:hAnsi="仿宋" w:eastAsia="仿宋" w:cs="Arial"/>
          <w:b/>
          <w:color w:val="auto"/>
          <w:sz w:val="24"/>
          <w:highlight w:val="none"/>
        </w:rPr>
        <w:t>②</w:t>
      </w:r>
      <w:r>
        <w:rPr>
          <w:rFonts w:hint="eastAsia" w:ascii="仿宋" w:hAnsi="仿宋" w:eastAsia="仿宋" w:cs="Arial"/>
          <w:b/>
          <w:color w:val="auto"/>
          <w:sz w:val="24"/>
          <w:highlight w:val="none"/>
          <w:u w:val="single"/>
        </w:rPr>
        <w:t>提交有效的分包意向协议</w:t>
      </w:r>
      <w:r>
        <w:rPr>
          <w:rFonts w:hint="eastAsia" w:ascii="仿宋" w:hAnsi="仿宋" w:eastAsia="仿宋" w:cs="Arial"/>
          <w:b/>
          <w:color w:val="auto"/>
          <w:sz w:val="24"/>
          <w:highlight w:val="none"/>
        </w:rPr>
        <w:t>。</w:t>
      </w:r>
    </w:p>
    <w:p w14:paraId="163F5DB6">
      <w:pPr>
        <w:autoSpaceDE w:val="0"/>
        <w:autoSpaceDN w:val="0"/>
        <w:spacing w:line="360" w:lineRule="auto"/>
        <w:ind w:firstLine="482" w:firstLineChars="200"/>
        <w:jc w:val="left"/>
        <w:rPr>
          <w:rFonts w:hint="eastAsia" w:ascii="仿宋" w:hAnsi="仿宋" w:eastAsia="仿宋" w:cs="Arial"/>
          <w:b/>
          <w:color w:val="auto"/>
          <w:sz w:val="24"/>
          <w:u w:val="single"/>
        </w:rPr>
      </w:pPr>
      <w:r>
        <w:rPr>
          <w:rFonts w:hint="eastAsia" w:ascii="仿宋" w:hAnsi="仿宋" w:eastAsia="仿宋" w:cs="Arial"/>
          <w:b/>
          <w:color w:val="auto"/>
          <w:sz w:val="24"/>
        </w:rPr>
        <w:t>③分包内容要求：</w:t>
      </w:r>
      <w:r>
        <w:rPr>
          <w:rFonts w:hint="eastAsia" w:ascii="仿宋" w:hAnsi="仿宋" w:eastAsia="仿宋" w:cs="Arial"/>
          <w:b/>
          <w:color w:val="auto"/>
          <w:sz w:val="24"/>
          <w:u w:val="single"/>
        </w:rPr>
        <w:t>物资运输、搬运工作</w:t>
      </w:r>
      <w:r>
        <w:rPr>
          <w:rFonts w:hint="eastAsia" w:ascii="仿宋" w:hAnsi="仿宋" w:eastAsia="仿宋" w:cs="Arial"/>
          <w:bCs/>
          <w:color w:val="auto"/>
          <w:sz w:val="24"/>
        </w:rPr>
        <w:t>。</w:t>
      </w:r>
    </w:p>
    <w:p w14:paraId="17FAC272">
      <w:pPr>
        <w:pStyle w:val="45"/>
        <w:autoSpaceDE w:val="0"/>
        <w:autoSpaceDN w:val="0"/>
        <w:adjustRightInd w:val="0"/>
        <w:snapToGrid w:val="0"/>
        <w:spacing w:before="0" w:beforeAutospacing="0" w:after="0" w:afterAutospacing="0" w:line="360" w:lineRule="auto"/>
        <w:rPr>
          <w:rStyle w:val="55"/>
          <w:rFonts w:hint="eastAsia" w:ascii="仿宋" w:hAnsi="仿宋" w:eastAsia="仿宋" w:cs="仿宋"/>
          <w:color w:val="000000"/>
        </w:rPr>
      </w:pPr>
      <w:r>
        <w:rPr>
          <w:rStyle w:val="55"/>
          <w:rFonts w:hint="eastAsia" w:ascii="仿宋" w:hAnsi="仿宋" w:eastAsia="仿宋" w:cs="仿宋"/>
          <w:color w:val="000000"/>
        </w:rPr>
        <w:t>三、获取（下载）采购文件</w:t>
      </w:r>
    </w:p>
    <w:p w14:paraId="0A025327">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rPr>
      </w:pPr>
      <w:r>
        <w:rPr>
          <w:rFonts w:hint="eastAsia" w:ascii="仿宋" w:hAnsi="仿宋" w:eastAsia="仿宋" w:cs="仿宋"/>
          <w:b/>
          <w:bCs/>
          <w:color w:val="000000"/>
        </w:rPr>
        <w:t>时间：</w:t>
      </w:r>
      <w:r>
        <w:rPr>
          <w:rFonts w:hint="eastAsia" w:ascii="仿宋" w:hAnsi="仿宋" w:eastAsia="仿宋" w:cs="仿宋"/>
          <w:color w:val="000000"/>
          <w:u w:val="single"/>
        </w:rPr>
        <w:t xml:space="preserve"> /</w:t>
      </w:r>
      <w:r>
        <w:rPr>
          <w:rFonts w:hint="eastAsia" w:ascii="仿宋" w:hAnsi="仿宋" w:eastAsia="仿宋" w:cs="仿宋"/>
          <w:color w:val="000000"/>
        </w:rPr>
        <w:t>至</w:t>
      </w:r>
      <w:r>
        <w:rPr>
          <w:rFonts w:hint="eastAsia" w:ascii="仿宋" w:hAnsi="仿宋" w:eastAsia="仿宋" w:cs="仿宋"/>
          <w:b/>
          <w:bCs/>
          <w:color w:val="000000"/>
          <w:u w:val="single"/>
        </w:rPr>
        <w:t>2025年0</w:t>
      </w:r>
      <w:r>
        <w:rPr>
          <w:rFonts w:hint="eastAsia" w:ascii="仿宋" w:hAnsi="仿宋" w:eastAsia="仿宋" w:cs="仿宋"/>
          <w:b/>
          <w:bCs/>
          <w:color w:val="000000"/>
          <w:u w:val="single"/>
          <w:lang w:val="en-US" w:eastAsia="zh-CN"/>
        </w:rPr>
        <w:t>7</w:t>
      </w:r>
      <w:r>
        <w:rPr>
          <w:rFonts w:hint="eastAsia" w:ascii="仿宋" w:hAnsi="仿宋" w:eastAsia="仿宋" w:cs="仿宋"/>
          <w:b/>
          <w:bCs/>
          <w:color w:val="000000"/>
          <w:u w:val="single"/>
        </w:rPr>
        <w:t>月</w:t>
      </w:r>
      <w:r>
        <w:rPr>
          <w:rFonts w:hint="eastAsia" w:ascii="仿宋" w:hAnsi="仿宋" w:eastAsia="仿宋" w:cs="仿宋"/>
          <w:b/>
          <w:bCs/>
          <w:color w:val="000000"/>
          <w:u w:val="single"/>
          <w:lang w:val="en-US" w:eastAsia="zh-CN"/>
        </w:rPr>
        <w:t>16</w:t>
      </w:r>
      <w:r>
        <w:rPr>
          <w:rFonts w:hint="eastAsia" w:ascii="仿宋" w:hAnsi="仿宋" w:eastAsia="仿宋" w:cs="仿宋"/>
          <w:b/>
          <w:bCs/>
          <w:color w:val="000000"/>
          <w:u w:val="single"/>
        </w:rPr>
        <w:t>日</w:t>
      </w:r>
      <w:r>
        <w:rPr>
          <w:rFonts w:hint="eastAsia" w:ascii="仿宋" w:hAnsi="仿宋" w:eastAsia="仿宋" w:cs="仿宋"/>
          <w:color w:val="000000"/>
        </w:rPr>
        <w:t>，每天上午00:00至12:00，下午12:00至23:59（北京时间，线上获取法定节假日均可，线下获取文件法定节假日除外）</w:t>
      </w:r>
    </w:p>
    <w:p w14:paraId="163CBA70">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Arial"/>
          <w:color w:val="000000"/>
          <w:kern w:val="2"/>
          <w:szCs w:val="20"/>
        </w:rPr>
      </w:pPr>
      <w:r>
        <w:rPr>
          <w:rFonts w:hint="eastAsia" w:ascii="仿宋" w:hAnsi="仿宋" w:eastAsia="仿宋" w:cs="仿宋"/>
          <w:b/>
          <w:bCs/>
          <w:color w:val="000000"/>
        </w:rPr>
        <w:t>地点（网址）：</w:t>
      </w:r>
      <w:r>
        <w:rPr>
          <w:rFonts w:hint="eastAsia" w:ascii="仿宋" w:hAnsi="仿宋" w:eastAsia="仿宋" w:cs="Arial"/>
          <w:color w:val="000000"/>
        </w:rPr>
        <w:t>政采云平台线上获取</w:t>
      </w:r>
    </w:p>
    <w:p w14:paraId="32C9282A">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color w:val="000000"/>
        </w:rPr>
      </w:pPr>
      <w:r>
        <w:rPr>
          <w:rFonts w:hint="eastAsia" w:ascii="仿宋" w:hAnsi="仿宋" w:eastAsia="仿宋" w:cs="仿宋"/>
          <w:b/>
          <w:bCs/>
          <w:color w:val="000000"/>
        </w:rPr>
        <w:t>方式：</w:t>
      </w:r>
      <w:r>
        <w:rPr>
          <w:rFonts w:hint="eastAsia" w:ascii="仿宋" w:hAnsi="仿宋" w:eastAsia="仿宋" w:cs="Arial"/>
          <w:color w:val="000000"/>
        </w:rPr>
        <w:t>供应商登录政采云平台https://www.zcygov.cn/在线申请获取采购文件（进入“项目采购”应用，在获取采购文件菜单中选择项目，申请获取采购文件）</w:t>
      </w:r>
    </w:p>
    <w:p w14:paraId="6A16A60D">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color w:val="000000"/>
        </w:rPr>
      </w:pPr>
      <w:r>
        <w:rPr>
          <w:rFonts w:hint="eastAsia" w:ascii="仿宋" w:hAnsi="仿宋" w:eastAsia="仿宋" w:cs="仿宋"/>
          <w:b/>
          <w:bCs/>
          <w:color w:val="000000"/>
        </w:rPr>
        <w:t>售价（元）：</w:t>
      </w:r>
      <w:r>
        <w:rPr>
          <w:rFonts w:hint="eastAsia" w:ascii="仿宋" w:hAnsi="仿宋" w:eastAsia="仿宋" w:cs="仿宋"/>
          <w:color w:val="000000"/>
        </w:rPr>
        <w:t>0</w:t>
      </w:r>
    </w:p>
    <w:p w14:paraId="01ED35EA">
      <w:pPr>
        <w:pStyle w:val="45"/>
        <w:autoSpaceDE w:val="0"/>
        <w:autoSpaceDN w:val="0"/>
        <w:adjustRightInd w:val="0"/>
        <w:snapToGrid w:val="0"/>
        <w:spacing w:before="0" w:beforeAutospacing="0" w:after="0" w:afterAutospacing="0" w:line="360" w:lineRule="auto"/>
        <w:rPr>
          <w:rStyle w:val="55"/>
          <w:rFonts w:hint="eastAsia" w:ascii="仿宋" w:hAnsi="仿宋" w:eastAsia="仿宋" w:cs="仿宋"/>
          <w:color w:val="000000"/>
        </w:rPr>
      </w:pPr>
      <w:r>
        <w:rPr>
          <w:rStyle w:val="55"/>
          <w:rFonts w:hint="eastAsia" w:ascii="仿宋" w:hAnsi="仿宋" w:eastAsia="仿宋" w:cs="仿宋"/>
          <w:color w:val="000000"/>
        </w:rPr>
        <w:t>四、响应文件提交（上传）</w:t>
      </w:r>
    </w:p>
    <w:p w14:paraId="043A08C9">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rPr>
      </w:pPr>
      <w:r>
        <w:rPr>
          <w:rFonts w:hint="eastAsia" w:ascii="仿宋" w:hAnsi="仿宋" w:eastAsia="仿宋" w:cs="仿宋"/>
          <w:b/>
          <w:bCs/>
        </w:rPr>
        <w:t>截 止 时 间：</w:t>
      </w:r>
      <w:r>
        <w:rPr>
          <w:rFonts w:hint="eastAsia" w:ascii="仿宋" w:hAnsi="仿宋" w:eastAsia="仿宋" w:cs="仿宋"/>
          <w:b/>
          <w:bCs/>
          <w:u w:val="single"/>
        </w:rPr>
        <w:t>2025年0</w:t>
      </w:r>
      <w:r>
        <w:rPr>
          <w:rFonts w:hint="eastAsia" w:ascii="仿宋" w:hAnsi="仿宋" w:eastAsia="仿宋" w:cs="仿宋"/>
          <w:b/>
          <w:bCs/>
          <w:u w:val="single"/>
          <w:lang w:val="en-US" w:eastAsia="zh-CN"/>
        </w:rPr>
        <w:t>7</w:t>
      </w:r>
      <w:r>
        <w:rPr>
          <w:rFonts w:hint="eastAsia" w:ascii="仿宋" w:hAnsi="仿宋" w:eastAsia="仿宋" w:cs="仿宋"/>
          <w:b/>
          <w:bCs/>
          <w:u w:val="single"/>
        </w:rPr>
        <w:t>月</w:t>
      </w:r>
      <w:r>
        <w:rPr>
          <w:rFonts w:hint="eastAsia" w:ascii="仿宋" w:hAnsi="仿宋" w:eastAsia="仿宋" w:cs="仿宋"/>
          <w:b/>
          <w:bCs/>
          <w:u w:val="single"/>
          <w:lang w:val="en-US" w:eastAsia="zh-CN"/>
        </w:rPr>
        <w:t>16</w:t>
      </w:r>
      <w:r>
        <w:rPr>
          <w:rFonts w:hint="eastAsia" w:ascii="仿宋" w:hAnsi="仿宋" w:eastAsia="仿宋" w:cs="仿宋"/>
          <w:b/>
          <w:bCs/>
          <w:u w:val="single"/>
        </w:rPr>
        <w:t>日</w:t>
      </w:r>
      <w:r>
        <w:rPr>
          <w:rFonts w:hint="eastAsia" w:ascii="仿宋" w:hAnsi="仿宋" w:eastAsia="仿宋" w:cs="仿宋"/>
          <w:b/>
          <w:bCs/>
          <w:u w:val="single"/>
          <w:lang w:val="en-US" w:eastAsia="zh-CN"/>
        </w:rPr>
        <w:t>09</w:t>
      </w:r>
      <w:r>
        <w:rPr>
          <w:rFonts w:hint="eastAsia" w:ascii="仿宋" w:hAnsi="仿宋" w:eastAsia="仿宋" w:cs="仿宋"/>
          <w:b/>
          <w:bCs/>
          <w:u w:val="single"/>
        </w:rPr>
        <w:t>:</w:t>
      </w:r>
      <w:r>
        <w:rPr>
          <w:rFonts w:hint="eastAsia" w:ascii="仿宋" w:hAnsi="仿宋" w:eastAsia="仿宋" w:cs="仿宋"/>
          <w:b/>
          <w:bCs/>
          <w:u w:val="single"/>
          <w:lang w:val="en-US" w:eastAsia="zh-CN"/>
        </w:rPr>
        <w:t>30</w:t>
      </w:r>
      <w:r>
        <w:rPr>
          <w:rFonts w:hint="eastAsia" w:ascii="仿宋" w:hAnsi="仿宋" w:eastAsia="仿宋" w:cs="仿宋"/>
          <w:b/>
          <w:bCs/>
        </w:rPr>
        <w:t>（北京时间）</w:t>
      </w:r>
    </w:p>
    <w:p w14:paraId="416FB208">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b/>
          <w:bCs/>
        </w:rPr>
      </w:pPr>
      <w:r>
        <w:rPr>
          <w:rFonts w:hint="eastAsia" w:ascii="仿宋" w:hAnsi="仿宋" w:eastAsia="仿宋" w:cs="仿宋"/>
          <w:b/>
          <w:bCs/>
        </w:rPr>
        <w:t>地点（网址）：</w:t>
      </w:r>
      <w:r>
        <w:rPr>
          <w:rFonts w:hint="eastAsia" w:ascii="仿宋" w:hAnsi="仿宋" w:eastAsia="仿宋" w:cs="仿宋"/>
          <w:b/>
          <w:bCs/>
          <w:u w:val="single"/>
        </w:rPr>
        <w:t>请登录政采云投标客户端投标</w:t>
      </w:r>
    </w:p>
    <w:p w14:paraId="750DB16A">
      <w:pPr>
        <w:pStyle w:val="45"/>
        <w:autoSpaceDE w:val="0"/>
        <w:autoSpaceDN w:val="0"/>
        <w:adjustRightInd w:val="0"/>
        <w:snapToGrid w:val="0"/>
        <w:spacing w:before="0" w:beforeAutospacing="0" w:after="0" w:afterAutospacing="0" w:line="360" w:lineRule="auto"/>
        <w:rPr>
          <w:rStyle w:val="55"/>
          <w:rFonts w:hint="eastAsia" w:ascii="仿宋" w:hAnsi="仿宋" w:eastAsia="仿宋" w:cs="仿宋"/>
          <w:color w:val="000000"/>
        </w:rPr>
      </w:pPr>
      <w:r>
        <w:rPr>
          <w:rStyle w:val="55"/>
          <w:rFonts w:hint="eastAsia" w:ascii="仿宋" w:hAnsi="仿宋" w:eastAsia="仿宋" w:cs="仿宋"/>
          <w:color w:val="000000"/>
        </w:rPr>
        <w:t>五、响应文件开启</w:t>
      </w:r>
    </w:p>
    <w:p w14:paraId="295C1C3B">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b/>
          <w:bCs/>
        </w:rPr>
      </w:pPr>
      <w:r>
        <w:rPr>
          <w:rFonts w:hint="eastAsia" w:ascii="仿宋" w:hAnsi="仿宋" w:eastAsia="仿宋" w:cs="仿宋"/>
          <w:b/>
          <w:bCs/>
          <w:color w:val="000000"/>
        </w:rPr>
        <w:t>开 启 时 间：</w:t>
      </w:r>
      <w:r>
        <w:rPr>
          <w:rFonts w:hint="eastAsia" w:ascii="仿宋" w:hAnsi="仿宋" w:eastAsia="仿宋" w:cs="仿宋"/>
          <w:b/>
          <w:bCs/>
          <w:u w:val="single"/>
        </w:rPr>
        <w:t>2025年0</w:t>
      </w:r>
      <w:r>
        <w:rPr>
          <w:rFonts w:hint="eastAsia" w:ascii="仿宋" w:hAnsi="仿宋" w:eastAsia="仿宋" w:cs="仿宋"/>
          <w:b/>
          <w:bCs/>
          <w:u w:val="single"/>
          <w:lang w:val="en-US" w:eastAsia="zh-CN"/>
        </w:rPr>
        <w:t>7</w:t>
      </w:r>
      <w:r>
        <w:rPr>
          <w:rFonts w:hint="eastAsia" w:ascii="仿宋" w:hAnsi="仿宋" w:eastAsia="仿宋" w:cs="仿宋"/>
          <w:b/>
          <w:bCs/>
          <w:u w:val="single"/>
        </w:rPr>
        <w:t>月</w:t>
      </w:r>
      <w:r>
        <w:rPr>
          <w:rFonts w:hint="eastAsia" w:ascii="仿宋" w:hAnsi="仿宋" w:eastAsia="仿宋" w:cs="仿宋"/>
          <w:b/>
          <w:bCs/>
          <w:u w:val="single"/>
          <w:lang w:val="en-US" w:eastAsia="zh-CN"/>
        </w:rPr>
        <w:t>16</w:t>
      </w:r>
      <w:r>
        <w:rPr>
          <w:rFonts w:hint="eastAsia" w:ascii="仿宋" w:hAnsi="仿宋" w:eastAsia="仿宋" w:cs="仿宋"/>
          <w:b/>
          <w:bCs/>
          <w:u w:val="single"/>
        </w:rPr>
        <w:t>日</w:t>
      </w:r>
      <w:r>
        <w:rPr>
          <w:rFonts w:hint="eastAsia" w:ascii="仿宋" w:hAnsi="仿宋" w:eastAsia="仿宋" w:cs="仿宋"/>
          <w:b/>
          <w:bCs/>
          <w:u w:val="single"/>
          <w:lang w:val="en-US" w:eastAsia="zh-CN"/>
        </w:rPr>
        <w:t>09</w:t>
      </w:r>
      <w:r>
        <w:rPr>
          <w:rFonts w:hint="eastAsia" w:ascii="仿宋" w:hAnsi="仿宋" w:eastAsia="仿宋" w:cs="仿宋"/>
          <w:b/>
          <w:bCs/>
          <w:u w:val="single"/>
        </w:rPr>
        <w:t>:</w:t>
      </w:r>
      <w:r>
        <w:rPr>
          <w:rFonts w:hint="eastAsia" w:ascii="仿宋" w:hAnsi="仿宋" w:eastAsia="仿宋" w:cs="仿宋"/>
          <w:b/>
          <w:bCs/>
          <w:u w:val="single"/>
          <w:lang w:val="en-US" w:eastAsia="zh-CN"/>
        </w:rPr>
        <w:t>30</w:t>
      </w:r>
      <w:r>
        <w:rPr>
          <w:rFonts w:hint="eastAsia" w:ascii="仿宋" w:hAnsi="仿宋" w:eastAsia="仿宋" w:cs="仿宋"/>
          <w:b/>
          <w:bCs/>
        </w:rPr>
        <w:t>（北京时间）</w:t>
      </w:r>
    </w:p>
    <w:p w14:paraId="4DB3CC7D">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rPr>
      </w:pPr>
      <w:r>
        <w:rPr>
          <w:rFonts w:hint="eastAsia" w:ascii="仿宋" w:hAnsi="仿宋" w:eastAsia="仿宋" w:cs="仿宋"/>
          <w:b/>
          <w:bCs/>
          <w:color w:val="000000"/>
        </w:rPr>
        <w:t>地点（网址）：</w:t>
      </w:r>
      <w:r>
        <w:rPr>
          <w:rFonts w:hint="eastAsia" w:ascii="仿宋" w:hAnsi="仿宋" w:eastAsia="仿宋" w:cs="仿宋"/>
          <w:b/>
          <w:bCs/>
          <w:u w:val="single"/>
        </w:rPr>
        <w:t>政府采购云平台（</w:t>
      </w:r>
      <w:r>
        <w:fldChar w:fldCharType="begin"/>
      </w:r>
      <w:r>
        <w:instrText xml:space="preserve"> HYPERLINK "http://www.zcygov.cn" </w:instrText>
      </w:r>
      <w:r>
        <w:fldChar w:fldCharType="separate"/>
      </w:r>
      <w:r>
        <w:rPr>
          <w:rFonts w:hint="eastAsia" w:ascii="仿宋" w:hAnsi="仿宋" w:eastAsia="仿宋" w:cs="仿宋"/>
          <w:b/>
          <w:bCs/>
          <w:u w:val="single"/>
        </w:rPr>
        <w:t>www.zcygov.cn</w:t>
      </w:r>
      <w:r>
        <w:rPr>
          <w:rFonts w:hint="eastAsia" w:ascii="仿宋" w:hAnsi="仿宋" w:eastAsia="仿宋" w:cs="仿宋"/>
          <w:b/>
          <w:bCs/>
          <w:u w:val="single"/>
        </w:rPr>
        <w:fldChar w:fldCharType="end"/>
      </w:r>
      <w:r>
        <w:rPr>
          <w:rFonts w:hint="eastAsia" w:ascii="仿宋" w:hAnsi="仿宋" w:eastAsia="仿宋" w:cs="仿宋"/>
          <w:b/>
          <w:bCs/>
          <w:u w:val="single"/>
        </w:rPr>
        <w:t>）</w:t>
      </w:r>
    </w:p>
    <w:p w14:paraId="05B8B513">
      <w:pPr>
        <w:pStyle w:val="45"/>
        <w:autoSpaceDE w:val="0"/>
        <w:autoSpaceDN w:val="0"/>
        <w:adjustRightInd w:val="0"/>
        <w:snapToGrid w:val="0"/>
        <w:spacing w:before="0" w:beforeAutospacing="0" w:after="0" w:afterAutospacing="0" w:line="360" w:lineRule="auto"/>
        <w:rPr>
          <w:rStyle w:val="55"/>
          <w:rFonts w:hint="eastAsia" w:ascii="仿宋" w:hAnsi="仿宋" w:eastAsia="仿宋" w:cs="仿宋"/>
          <w:color w:val="000000"/>
        </w:rPr>
      </w:pPr>
      <w:r>
        <w:rPr>
          <w:rStyle w:val="55"/>
          <w:rFonts w:hint="eastAsia" w:ascii="仿宋" w:hAnsi="仿宋" w:eastAsia="仿宋" w:cs="仿宋"/>
          <w:color w:val="000000"/>
        </w:rPr>
        <w:t>六、公告期限</w:t>
      </w:r>
    </w:p>
    <w:p w14:paraId="1A074F54">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color w:val="000000"/>
        </w:rPr>
        <w:t>自本公告发布之日起3个工作日。</w:t>
      </w:r>
    </w:p>
    <w:p w14:paraId="257B108D">
      <w:pPr>
        <w:pStyle w:val="45"/>
        <w:autoSpaceDE w:val="0"/>
        <w:autoSpaceDN w:val="0"/>
        <w:adjustRightInd w:val="0"/>
        <w:snapToGrid w:val="0"/>
        <w:spacing w:before="0" w:beforeAutospacing="0" w:after="0" w:afterAutospacing="0" w:line="360" w:lineRule="auto"/>
        <w:rPr>
          <w:rStyle w:val="55"/>
          <w:rFonts w:hint="eastAsia" w:ascii="仿宋" w:hAnsi="仿宋" w:eastAsia="仿宋" w:cs="仿宋"/>
          <w:color w:val="000000"/>
        </w:rPr>
      </w:pPr>
      <w:r>
        <w:rPr>
          <w:rStyle w:val="55"/>
          <w:rFonts w:hint="eastAsia" w:ascii="仿宋" w:hAnsi="仿宋" w:eastAsia="仿宋" w:cs="仿宋"/>
          <w:color w:val="000000"/>
        </w:rPr>
        <w:t>七、其他补充事宜</w:t>
      </w:r>
    </w:p>
    <w:p w14:paraId="7D36AC30">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578ABC5">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6261A1">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485F1D">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4.其他事项：</w:t>
      </w:r>
    </w:p>
    <w:p w14:paraId="0175BEAB">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kern w:val="2"/>
        </w:rPr>
      </w:pPr>
      <w:r>
        <w:rPr>
          <w:rFonts w:hint="eastAsia" w:ascii="仿宋" w:hAnsi="仿宋" w:eastAsia="仿宋" w:cs="仿宋"/>
          <w:color w:val="000000"/>
          <w:kern w:val="2"/>
        </w:rPr>
        <w:t>（1）采购项目需要落实的政府采购政策：本项目依法落实促进中小企业发展政策以及节能产品、环境标志产品政府采购实施相关规定。</w:t>
      </w:r>
    </w:p>
    <w:p w14:paraId="1D206583">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kern w:val="2"/>
        </w:rPr>
      </w:pPr>
      <w:r>
        <w:rPr>
          <w:rFonts w:hint="eastAsia" w:ascii="仿宋" w:hAnsi="仿宋" w:eastAsia="仿宋" w:cs="仿宋"/>
          <w:color w:val="000000"/>
          <w:kern w:val="2"/>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14:paraId="7EE31FB0">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kern w:val="2"/>
        </w:rPr>
      </w:pPr>
      <w:r>
        <w:rPr>
          <w:rFonts w:hint="eastAsia" w:ascii="仿宋" w:hAnsi="仿宋" w:eastAsia="仿宋" w:cs="仿宋"/>
          <w:color w:val="000000"/>
          <w:kern w:val="2"/>
        </w:rPr>
        <w:t>（3）“关联供应商参加本项目采购活动的限制”的规定见第三章投标须知第1.13款规定；</w:t>
      </w:r>
    </w:p>
    <w:p w14:paraId="6A43AB1E">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4）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p>
    <w:p w14:paraId="41089004">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kern w:val="2"/>
        </w:rPr>
      </w:pPr>
      <w:r>
        <w:rPr>
          <w:rFonts w:hint="eastAsia" w:ascii="仿宋" w:hAnsi="仿宋" w:eastAsia="仿宋" w:cs="仿宋"/>
          <w:color w:val="000000"/>
          <w:kern w:val="2"/>
        </w:rPr>
        <w:t>（5）除政府采购法律法规规章规定的属于恶意串通、视为串通投标情形外，在不影响公平竞争的前提下，供应商参与同一个采购包（标段）存在下列情形之一且无法合理解释的，其投标（响应）文件无效，相关磋商响应供应商均作资格无效处理：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w:t>
      </w:r>
      <w:r>
        <w:rPr>
          <w:rFonts w:hint="eastAsia" w:ascii="仿宋" w:hAnsi="仿宋" w:eastAsia="仿宋" w:cs="仿宋"/>
          <w:color w:val="000000"/>
          <w:kern w:val="2"/>
          <w:lang w:eastAsia="zh"/>
        </w:rPr>
        <w:t>3</w:t>
      </w:r>
      <w:r>
        <w:rPr>
          <w:rFonts w:hint="eastAsia" w:ascii="仿宋" w:hAnsi="仿宋" w:eastAsia="仿宋" w:cs="仿宋"/>
          <w:color w:val="000000"/>
          <w:kern w:val="2"/>
        </w:rPr>
        <w:t>处（含）以上错误一致的；4）不同供应商联系人为同一人或不同联系人的联系电话一致的。</w:t>
      </w:r>
    </w:p>
    <w:p w14:paraId="0089B56F">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kern w:val="2"/>
        </w:rPr>
      </w:pPr>
      <w:r>
        <w:rPr>
          <w:rFonts w:hint="eastAsia" w:ascii="仿宋" w:hAnsi="仿宋" w:eastAsia="仿宋" w:cs="仿宋"/>
          <w:color w:val="000000"/>
          <w:kern w:val="2"/>
        </w:rPr>
        <w:t>（6）为支持和促进中小企业发展，相关部门出台了政府采购支持中小企业信用融资政策，供应商可凭中标合同申请贷款，具体可以登录政采云金融服务平台查询（https://jinrong.zcygov.cn/finance-service/#/home）。</w:t>
      </w:r>
    </w:p>
    <w:p w14:paraId="3E021DD8">
      <w:pPr>
        <w:pStyle w:val="45"/>
        <w:autoSpaceDE w:val="0"/>
        <w:autoSpaceDN w:val="0"/>
        <w:adjustRightInd w:val="0"/>
        <w:snapToGrid w:val="0"/>
        <w:spacing w:before="0" w:beforeAutospacing="0" w:after="0" w:afterAutospacing="0" w:line="360" w:lineRule="auto"/>
        <w:rPr>
          <w:rFonts w:hint="eastAsia" w:ascii="仿宋" w:hAnsi="仿宋" w:eastAsia="仿宋" w:cs="仿宋"/>
        </w:rPr>
      </w:pPr>
      <w:r>
        <w:rPr>
          <w:rStyle w:val="55"/>
          <w:rFonts w:hint="eastAsia" w:ascii="仿宋" w:hAnsi="仿宋" w:eastAsia="仿宋" w:cs="仿宋"/>
          <w:color w:val="000000"/>
        </w:rPr>
        <w:t>八、对本次采购提出询问、质疑、投诉，请按以下方式联系。</w:t>
      </w:r>
    </w:p>
    <w:p w14:paraId="723FBBFC">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b/>
          <w:bCs/>
          <w:color w:val="000000"/>
        </w:rPr>
      </w:pPr>
      <w:r>
        <w:rPr>
          <w:rFonts w:hint="eastAsia" w:ascii="仿宋" w:hAnsi="仿宋" w:eastAsia="仿宋" w:cs="仿宋"/>
          <w:b/>
          <w:bCs/>
          <w:color w:val="000000"/>
        </w:rPr>
        <w:t>1.采购人信息</w:t>
      </w:r>
    </w:p>
    <w:p w14:paraId="121BBA05">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b/>
          <w:bCs/>
          <w:color w:val="000000"/>
        </w:rPr>
      </w:pPr>
      <w:r>
        <w:rPr>
          <w:rFonts w:hint="eastAsia" w:ascii="仿宋" w:hAnsi="仿宋" w:eastAsia="仿宋" w:cs="仿宋"/>
          <w:color w:val="000000"/>
        </w:rPr>
        <w:t>名称：浙江工商大学</w:t>
      </w:r>
    </w:p>
    <w:p w14:paraId="4CBC14E0">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地址：杭州市钱塘区学正街18号</w:t>
      </w:r>
    </w:p>
    <w:p w14:paraId="6679C504">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传真：/</w:t>
      </w:r>
    </w:p>
    <w:p w14:paraId="68881D04">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b/>
          <w:bCs/>
          <w:color w:val="000000"/>
          <w:lang w:eastAsia="zh-CN"/>
        </w:rPr>
      </w:pPr>
      <w:r>
        <w:rPr>
          <w:rFonts w:hint="eastAsia" w:ascii="仿宋" w:hAnsi="仿宋" w:eastAsia="仿宋" w:cs="仿宋"/>
          <w:color w:val="000000"/>
        </w:rPr>
        <w:t>项目联系人（询问）：</w:t>
      </w:r>
      <w:r>
        <w:rPr>
          <w:rFonts w:hint="eastAsia" w:ascii="仿宋" w:hAnsi="仿宋" w:eastAsia="仿宋" w:cs="仿宋"/>
          <w:color w:val="000000"/>
          <w:lang w:eastAsia="zh-CN"/>
        </w:rPr>
        <w:t>王老师</w:t>
      </w:r>
    </w:p>
    <w:p w14:paraId="48CE183D">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lang w:eastAsia="zh-CN"/>
        </w:rPr>
      </w:pPr>
      <w:r>
        <w:rPr>
          <w:rFonts w:hint="eastAsia" w:ascii="仿宋" w:hAnsi="仿宋" w:eastAsia="仿宋" w:cs="仿宋"/>
          <w:color w:val="000000"/>
        </w:rPr>
        <w:t>项目联系方式（询问）：</w:t>
      </w:r>
      <w:r>
        <w:rPr>
          <w:rFonts w:hint="eastAsia" w:ascii="仿宋" w:hAnsi="仿宋" w:eastAsia="仿宋" w:cs="仿宋"/>
          <w:color w:val="000000"/>
          <w:lang w:eastAsia="zh-CN"/>
        </w:rPr>
        <w:t>0571-28877558</w:t>
      </w:r>
    </w:p>
    <w:p w14:paraId="2584CAAE">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b/>
          <w:bCs/>
          <w:color w:val="000000"/>
          <w:lang w:eastAsia="zh-CN"/>
        </w:rPr>
      </w:pPr>
      <w:r>
        <w:rPr>
          <w:rFonts w:hint="eastAsia" w:ascii="仿宋" w:hAnsi="仿宋" w:eastAsia="仿宋" w:cs="仿宋"/>
          <w:color w:val="000000"/>
        </w:rPr>
        <w:t>质疑联系人：</w:t>
      </w:r>
      <w:r>
        <w:rPr>
          <w:rFonts w:hint="eastAsia" w:ascii="仿宋" w:hAnsi="仿宋" w:eastAsia="仿宋" w:cs="仿宋"/>
          <w:color w:val="000000"/>
          <w:lang w:eastAsia="zh-CN"/>
        </w:rPr>
        <w:t>沈老师</w:t>
      </w:r>
    </w:p>
    <w:p w14:paraId="72604BFA">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lang w:eastAsia="zh-CN"/>
        </w:rPr>
      </w:pPr>
      <w:r>
        <w:rPr>
          <w:rFonts w:hint="eastAsia" w:ascii="仿宋" w:hAnsi="仿宋" w:eastAsia="仿宋" w:cs="仿宋"/>
          <w:color w:val="000000"/>
        </w:rPr>
        <w:t>质疑联系方式：</w:t>
      </w:r>
      <w:r>
        <w:rPr>
          <w:rFonts w:ascii="仿宋" w:hAnsi="仿宋" w:eastAsia="仿宋" w:cs="仿宋"/>
          <w:color w:val="000000"/>
        </w:rPr>
        <w:t>0571-</w:t>
      </w:r>
      <w:r>
        <w:rPr>
          <w:rFonts w:hint="eastAsia" w:ascii="仿宋" w:hAnsi="仿宋" w:eastAsia="仿宋" w:cs="仿宋"/>
          <w:color w:val="000000"/>
          <w:lang w:eastAsia="zh-CN"/>
        </w:rPr>
        <w:t>28877556</w:t>
      </w:r>
    </w:p>
    <w:p w14:paraId="734F9CB2">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b/>
          <w:bCs/>
          <w:color w:val="000000"/>
        </w:rPr>
      </w:pPr>
      <w:r>
        <w:rPr>
          <w:rFonts w:hint="eastAsia" w:ascii="仿宋" w:hAnsi="仿宋" w:eastAsia="仿宋" w:cs="仿宋"/>
          <w:b/>
          <w:bCs/>
          <w:color w:val="000000"/>
        </w:rPr>
        <w:t>2.采购代理机构信息</w:t>
      </w:r>
    </w:p>
    <w:p w14:paraId="503B41A3">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名称：浙江省成套招标代理有限公司</w:t>
      </w:r>
    </w:p>
    <w:p w14:paraId="0C51F67D">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地址：杭州市文晖路42号现代置业大厦西楼17-18楼</w:t>
      </w:r>
    </w:p>
    <w:p w14:paraId="3F69DEF2">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传真：/</w:t>
      </w:r>
    </w:p>
    <w:p w14:paraId="5B9AB2F8">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项目联系人（询问）：张柳霞</w:t>
      </w:r>
    </w:p>
    <w:p w14:paraId="58D0B1C1">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项目联系方式（询问）：0571-85830297 </w:t>
      </w:r>
    </w:p>
    <w:p w14:paraId="594014E6">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质疑联系人：冯东东</w:t>
      </w:r>
    </w:p>
    <w:p w14:paraId="0A6EA8F4">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 xml:space="preserve">质疑联系方式：0571-85331293 </w:t>
      </w:r>
    </w:p>
    <w:p w14:paraId="5254539C">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b/>
          <w:bCs/>
          <w:color w:val="000000"/>
        </w:rPr>
      </w:pPr>
      <w:r>
        <w:rPr>
          <w:rFonts w:hint="eastAsia" w:ascii="仿宋" w:hAnsi="仿宋" w:eastAsia="仿宋" w:cs="仿宋"/>
          <w:b/>
          <w:bCs/>
          <w:color w:val="000000"/>
        </w:rPr>
        <w:t>3. 同级政府采购监督管理部门</w:t>
      </w:r>
    </w:p>
    <w:p w14:paraId="08185FA4">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名 称：浙江省政府采购行政裁决服务中心（杭州市上城区清泰街549号城建综合大楼11楼）</w:t>
      </w:r>
    </w:p>
    <w:p w14:paraId="2A19D37F">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地 址：杭州市上城区清泰街549号城建综合大楼11楼</w:t>
      </w:r>
    </w:p>
    <w:p w14:paraId="3BD37C77">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传 真：/</w:t>
      </w:r>
    </w:p>
    <w:p w14:paraId="3B5AA617">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联系人：匡老师</w:t>
      </w:r>
    </w:p>
    <w:p w14:paraId="1FA2976D">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lang w:eastAsia="zh-CN"/>
        </w:rPr>
      </w:pPr>
      <w:r>
        <w:rPr>
          <w:rFonts w:hint="eastAsia" w:ascii="仿宋" w:hAnsi="仿宋" w:eastAsia="仿宋" w:cs="仿宋"/>
          <w:color w:val="000000"/>
        </w:rPr>
        <w:t>监督投诉电话：</w:t>
      </w:r>
      <w:r>
        <w:rPr>
          <w:rFonts w:hint="eastAsia" w:ascii="仿宋" w:hAnsi="仿宋" w:eastAsia="仿宋" w:cs="仿宋"/>
          <w:color w:val="000000"/>
          <w:lang w:eastAsia="zh-CN"/>
        </w:rPr>
        <w:t>0571-87807798</w:t>
      </w:r>
    </w:p>
    <w:p w14:paraId="60EEC4B1">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p>
    <w:p w14:paraId="3B97E69F">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rPr>
      </w:pPr>
      <w:r>
        <w:rPr>
          <w:rFonts w:hint="eastAsia" w:ascii="仿宋" w:hAnsi="仿宋" w:eastAsia="仿宋" w:cs="仿宋"/>
          <w:color w:val="000000"/>
        </w:rPr>
        <w:t>若对项目采购电子交易系统操作有疑问，可登录政采云（https://www.zcygov.cn/），点击右侧咨询小采，获取采小蜜智能服务管家帮助，或拨打政采云服务热线400-881-7190获取热线服务帮助。</w:t>
      </w:r>
    </w:p>
    <w:p w14:paraId="4D773A2D">
      <w:pPr>
        <w:pStyle w:val="45"/>
        <w:autoSpaceDE w:val="0"/>
        <w:autoSpaceDN w:val="0"/>
        <w:adjustRightInd w:val="0"/>
        <w:snapToGrid w:val="0"/>
        <w:spacing w:before="0" w:beforeAutospacing="0" w:after="0" w:afterAutospacing="0" w:line="360" w:lineRule="auto"/>
        <w:ind w:firstLine="480" w:firstLineChars="200"/>
        <w:rPr>
          <w:rFonts w:hint="eastAsia" w:ascii="仿宋" w:hAnsi="仿宋" w:eastAsia="仿宋" w:cs="仿宋"/>
          <w:color w:val="000000"/>
          <w:u w:val="single"/>
        </w:rPr>
      </w:pPr>
      <w:r>
        <w:rPr>
          <w:rFonts w:hint="eastAsia" w:ascii="仿宋" w:hAnsi="仿宋" w:eastAsia="仿宋" w:cs="仿宋"/>
          <w:color w:val="000000"/>
        </w:rPr>
        <w:t>CA问题联系电话（人工）：汇信CA 400-888-4636；天谷CA 400-087-8198。</w:t>
      </w:r>
      <w:bookmarkStart w:id="3" w:name="_Toc273624872"/>
      <w:bookmarkStart w:id="4" w:name="_Toc82338233"/>
      <w:bookmarkStart w:id="5" w:name="_Toc82873316"/>
      <w:bookmarkStart w:id="6" w:name="_Toc211745565"/>
      <w:r>
        <w:rPr>
          <w:rFonts w:eastAsia="华文中宋"/>
          <w:bCs/>
          <w:kern w:val="44"/>
          <w:sz w:val="44"/>
          <w:szCs w:val="44"/>
        </w:rPr>
        <w:br w:type="page"/>
      </w:r>
    </w:p>
    <w:p w14:paraId="71FFB712">
      <w:pPr>
        <w:pStyle w:val="2"/>
        <w:autoSpaceDE w:val="0"/>
        <w:autoSpaceDN w:val="0"/>
        <w:spacing w:before="240"/>
        <w:rPr>
          <w:rFonts w:eastAsia="华文中宋"/>
          <w:color w:val="auto"/>
        </w:rPr>
      </w:pPr>
      <w:bookmarkStart w:id="7" w:name="_Toc10773"/>
      <w:bookmarkStart w:id="8" w:name="_Toc4353"/>
      <w:r>
        <w:rPr>
          <w:rFonts w:eastAsia="华文中宋"/>
          <w:bCs/>
          <w:kern w:val="44"/>
          <w:sz w:val="44"/>
          <w:szCs w:val="44"/>
        </w:rPr>
        <w:t xml:space="preserve">第二章  </w:t>
      </w:r>
      <w:bookmarkEnd w:id="3"/>
      <w:r>
        <w:rPr>
          <w:rFonts w:hint="eastAsia" w:eastAsia="华文中宋"/>
          <w:bCs/>
          <w:kern w:val="44"/>
          <w:sz w:val="44"/>
          <w:szCs w:val="44"/>
        </w:rPr>
        <w:t>磋商须知前附表</w:t>
      </w:r>
      <w:bookmarkEnd w:id="7"/>
      <w:bookmarkEnd w:id="8"/>
    </w:p>
    <w:tbl>
      <w:tblPr>
        <w:tblStyle w:val="52"/>
        <w:tblW w:w="9525" w:type="dxa"/>
        <w:tblInd w:w="8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02"/>
        <w:gridCol w:w="2712"/>
        <w:gridCol w:w="5811"/>
      </w:tblGrid>
      <w:tr w14:paraId="3E27F70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37" w:hRule="atLeast"/>
          <w:tblHeader/>
        </w:trPr>
        <w:tc>
          <w:tcPr>
            <w:tcW w:w="1002" w:type="dxa"/>
            <w:shd w:val="clear" w:color="auto" w:fill="DAEEF3"/>
            <w:noWrap/>
            <w:vAlign w:val="center"/>
          </w:tcPr>
          <w:p w14:paraId="7A1F2EDD">
            <w:pPr>
              <w:autoSpaceDE w:val="0"/>
              <w:autoSpaceDN w:val="0"/>
              <w:spacing w:line="276" w:lineRule="auto"/>
              <w:jc w:val="center"/>
              <w:rPr>
                <w:rFonts w:hint="eastAsia" w:ascii="仿宋" w:hAnsi="仿宋" w:eastAsia="仿宋" w:cs="Arial"/>
                <w:b/>
                <w:color w:val="000000"/>
                <w:sz w:val="24"/>
              </w:rPr>
            </w:pPr>
            <w:r>
              <w:rPr>
                <w:rFonts w:hint="eastAsia" w:ascii="仿宋" w:hAnsi="仿宋" w:eastAsia="仿宋" w:cs="Arial"/>
                <w:b/>
                <w:color w:val="000000"/>
                <w:sz w:val="24"/>
              </w:rPr>
              <w:t>条款号</w:t>
            </w:r>
          </w:p>
        </w:tc>
        <w:tc>
          <w:tcPr>
            <w:tcW w:w="2712" w:type="dxa"/>
            <w:shd w:val="clear" w:color="auto" w:fill="DAEEF3"/>
            <w:noWrap/>
            <w:vAlign w:val="center"/>
          </w:tcPr>
          <w:p w14:paraId="1955C1E8">
            <w:pPr>
              <w:autoSpaceDE w:val="0"/>
              <w:autoSpaceDN w:val="0"/>
              <w:spacing w:line="276" w:lineRule="auto"/>
              <w:jc w:val="center"/>
              <w:rPr>
                <w:rFonts w:hint="eastAsia" w:ascii="仿宋" w:hAnsi="仿宋" w:eastAsia="仿宋" w:cs="Arial"/>
                <w:b/>
                <w:color w:val="000000"/>
                <w:sz w:val="24"/>
              </w:rPr>
            </w:pPr>
            <w:r>
              <w:rPr>
                <w:rFonts w:ascii="仿宋" w:hAnsi="仿宋" w:eastAsia="仿宋" w:cs="Arial"/>
                <w:b/>
                <w:color w:val="000000"/>
                <w:sz w:val="24"/>
              </w:rPr>
              <w:t>内容</w:t>
            </w:r>
          </w:p>
        </w:tc>
        <w:tc>
          <w:tcPr>
            <w:tcW w:w="5811" w:type="dxa"/>
            <w:shd w:val="clear" w:color="auto" w:fill="DAEEF3"/>
            <w:noWrap/>
            <w:vAlign w:val="center"/>
          </w:tcPr>
          <w:p w14:paraId="09FCB13C">
            <w:pPr>
              <w:autoSpaceDE w:val="0"/>
              <w:autoSpaceDN w:val="0"/>
              <w:spacing w:line="276" w:lineRule="auto"/>
              <w:jc w:val="center"/>
              <w:rPr>
                <w:rFonts w:hint="eastAsia" w:ascii="仿宋" w:hAnsi="仿宋" w:eastAsia="仿宋" w:cs="Arial"/>
                <w:b/>
                <w:color w:val="000000"/>
                <w:sz w:val="24"/>
              </w:rPr>
            </w:pPr>
            <w:r>
              <w:rPr>
                <w:rFonts w:ascii="仿宋" w:hAnsi="仿宋" w:eastAsia="仿宋" w:cs="Arial"/>
                <w:b/>
                <w:color w:val="000000"/>
                <w:sz w:val="24"/>
              </w:rPr>
              <w:t>说明或要求</w:t>
            </w:r>
          </w:p>
        </w:tc>
      </w:tr>
      <w:tr w14:paraId="6F17752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E3BC1A6">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1.2.1</w:t>
            </w:r>
          </w:p>
        </w:tc>
        <w:tc>
          <w:tcPr>
            <w:tcW w:w="2712" w:type="dxa"/>
            <w:noWrap/>
            <w:vAlign w:val="center"/>
          </w:tcPr>
          <w:p w14:paraId="7580C070">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项目名称</w:t>
            </w:r>
          </w:p>
        </w:tc>
        <w:tc>
          <w:tcPr>
            <w:tcW w:w="5811" w:type="dxa"/>
            <w:noWrap/>
            <w:vAlign w:val="center"/>
          </w:tcPr>
          <w:p w14:paraId="67637F4C">
            <w:pPr>
              <w:autoSpaceDE w:val="0"/>
              <w:autoSpaceDN w:val="0"/>
              <w:spacing w:line="276" w:lineRule="auto"/>
              <w:rPr>
                <w:rFonts w:hint="eastAsia" w:eastAsia="宋体"/>
                <w:lang w:eastAsia="zh-CN"/>
              </w:rPr>
            </w:pPr>
            <w:r>
              <w:rPr>
                <w:rFonts w:hint="eastAsia" w:ascii="仿宋" w:hAnsi="仿宋" w:eastAsia="仿宋" w:cs="Arial"/>
                <w:bCs/>
                <w:color w:val="000000"/>
                <w:sz w:val="24"/>
                <w:lang w:eastAsia="zh-CN"/>
              </w:rPr>
              <w:t>浙江工商大学教工路校区学生宿舍建设工程附属配电房移位改造工程（EPC）</w:t>
            </w:r>
          </w:p>
        </w:tc>
      </w:tr>
      <w:tr w14:paraId="4C10371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1F549C1">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1.2.2</w:t>
            </w:r>
          </w:p>
        </w:tc>
        <w:tc>
          <w:tcPr>
            <w:tcW w:w="2712" w:type="dxa"/>
            <w:noWrap/>
            <w:vAlign w:val="center"/>
          </w:tcPr>
          <w:p w14:paraId="6A1B5823">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项目编号</w:t>
            </w:r>
          </w:p>
        </w:tc>
        <w:tc>
          <w:tcPr>
            <w:tcW w:w="5811" w:type="dxa"/>
            <w:noWrap/>
            <w:vAlign w:val="center"/>
          </w:tcPr>
          <w:p w14:paraId="36112DA1">
            <w:pPr>
              <w:autoSpaceDE w:val="0"/>
              <w:autoSpaceDN w:val="0"/>
              <w:spacing w:line="276" w:lineRule="auto"/>
              <w:rPr>
                <w:rFonts w:hint="eastAsia" w:ascii="仿宋" w:hAnsi="仿宋" w:eastAsia="仿宋" w:cs="仿宋"/>
                <w:bCs/>
                <w:color w:val="FF0000"/>
                <w:sz w:val="24"/>
                <w:lang w:eastAsia="zh-CN"/>
              </w:rPr>
            </w:pPr>
            <w:r>
              <w:rPr>
                <w:rFonts w:hint="eastAsia" w:ascii="仿宋" w:hAnsi="仿宋" w:eastAsia="仿宋" w:cs="仿宋"/>
                <w:bCs/>
                <w:sz w:val="24"/>
                <w:lang w:eastAsia="zh-CN"/>
              </w:rPr>
              <w:t>CTZB-2025050222</w:t>
            </w:r>
          </w:p>
        </w:tc>
      </w:tr>
      <w:tr w14:paraId="7CD1F8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51DDFF2">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1.2.3</w:t>
            </w:r>
          </w:p>
        </w:tc>
        <w:tc>
          <w:tcPr>
            <w:tcW w:w="2712" w:type="dxa"/>
            <w:noWrap/>
            <w:vAlign w:val="center"/>
          </w:tcPr>
          <w:p w14:paraId="06250D0D">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采购内容</w:t>
            </w:r>
          </w:p>
        </w:tc>
        <w:tc>
          <w:tcPr>
            <w:tcW w:w="5811" w:type="dxa"/>
            <w:noWrap/>
            <w:vAlign w:val="center"/>
          </w:tcPr>
          <w:p w14:paraId="56725FCC">
            <w:pPr>
              <w:autoSpaceDE w:val="0"/>
              <w:autoSpaceDN w:val="0"/>
              <w:spacing w:line="276" w:lineRule="auto"/>
              <w:rPr>
                <w:rFonts w:hint="default" w:ascii="仿宋" w:hAnsi="仿宋" w:eastAsia="仿宋" w:cs="仿宋"/>
                <w:color w:val="000000"/>
                <w:sz w:val="24"/>
                <w:lang w:val="en-US" w:eastAsia="zh-CN"/>
              </w:rPr>
            </w:pPr>
            <w:r>
              <w:rPr>
                <w:rFonts w:hint="eastAsia" w:ascii="仿宋" w:hAnsi="仿宋" w:eastAsia="仿宋" w:cs="仿宋"/>
                <w:color w:val="000000"/>
                <w:sz w:val="24"/>
              </w:rPr>
              <w:t>见第四章采购内容及技术要求</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清单及图纸</w:t>
            </w:r>
          </w:p>
        </w:tc>
      </w:tr>
      <w:tr w14:paraId="3C4A0C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045" w:hRule="atLeast"/>
        </w:trPr>
        <w:tc>
          <w:tcPr>
            <w:tcW w:w="1002" w:type="dxa"/>
            <w:noWrap/>
            <w:vAlign w:val="center"/>
          </w:tcPr>
          <w:p w14:paraId="1E2A420B">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1.2.4</w:t>
            </w:r>
          </w:p>
        </w:tc>
        <w:tc>
          <w:tcPr>
            <w:tcW w:w="2712" w:type="dxa"/>
            <w:noWrap/>
            <w:vAlign w:val="center"/>
          </w:tcPr>
          <w:p w14:paraId="5634714B">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最高限价</w:t>
            </w:r>
          </w:p>
        </w:tc>
        <w:tc>
          <w:tcPr>
            <w:tcW w:w="5811" w:type="dxa"/>
            <w:noWrap/>
            <w:vAlign w:val="center"/>
          </w:tcPr>
          <w:p w14:paraId="34EB2728">
            <w:pPr>
              <w:autoSpaceDE w:val="0"/>
              <w:autoSpaceDN w:val="0"/>
              <w:spacing w:line="276" w:lineRule="auto"/>
              <w:rPr>
                <w:rFonts w:hint="eastAsia" w:ascii="仿宋" w:hAnsi="仿宋" w:eastAsia="仿宋" w:cs="仿宋"/>
                <w:color w:val="000000"/>
                <w:sz w:val="24"/>
                <w:lang w:val="en-US" w:eastAsia="zh-CN"/>
              </w:rPr>
            </w:pPr>
            <w:r>
              <w:rPr>
                <w:rFonts w:hint="eastAsia" w:ascii="仿宋" w:hAnsi="仿宋" w:eastAsia="仿宋" w:cs="仿宋"/>
                <w:b/>
                <w:color w:val="auto"/>
                <w:sz w:val="24"/>
                <w:lang w:val="en-US" w:eastAsia="zh-CN"/>
              </w:rPr>
              <w:t>项目最高限价</w:t>
            </w:r>
            <w:r>
              <w:rPr>
                <w:rFonts w:hint="eastAsia" w:ascii="仿宋" w:hAnsi="仿宋" w:eastAsia="仿宋" w:cs="仿宋"/>
                <w:b/>
                <w:color w:val="auto"/>
                <w:sz w:val="24"/>
              </w:rPr>
              <w:t>人</w:t>
            </w:r>
            <w:r>
              <w:rPr>
                <w:rFonts w:hint="eastAsia" w:ascii="仿宋" w:hAnsi="仿宋" w:eastAsia="仿宋" w:cs="仿宋"/>
                <w:b/>
                <w:color w:val="auto"/>
                <w:sz w:val="24"/>
                <w:highlight w:val="none"/>
              </w:rPr>
              <w:t>民币</w:t>
            </w:r>
            <w:r>
              <w:rPr>
                <w:rFonts w:hint="eastAsia" w:ascii="仿宋" w:hAnsi="仿宋" w:eastAsia="仿宋" w:cs="仿宋"/>
                <w:b/>
                <w:color w:val="auto"/>
                <w:sz w:val="24"/>
                <w:highlight w:val="none"/>
                <w:u w:val="single"/>
                <w:lang w:val="en-US" w:eastAsia="zh-CN"/>
              </w:rPr>
              <w:t>314.070923万</w:t>
            </w:r>
            <w:r>
              <w:rPr>
                <w:rFonts w:hint="eastAsia" w:ascii="仿宋" w:hAnsi="仿宋" w:eastAsia="仿宋" w:cs="仿宋"/>
                <w:b/>
                <w:color w:val="auto"/>
                <w:sz w:val="24"/>
                <w:highlight w:val="none"/>
              </w:rPr>
              <w:t>元（含暂列金</w:t>
            </w: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en-US" w:eastAsia="zh-CN"/>
              </w:rPr>
              <w:t>3.5</w:t>
            </w:r>
            <w:r>
              <w:rPr>
                <w:rFonts w:hint="eastAsia" w:ascii="仿宋" w:hAnsi="仿宋" w:eastAsia="仿宋" w:cs="仿宋"/>
                <w:b/>
                <w:color w:val="auto"/>
                <w:sz w:val="24"/>
                <w:highlight w:val="none"/>
                <w:u w:val="single"/>
              </w:rPr>
              <w:t>万元</w:t>
            </w:r>
            <w:r>
              <w:rPr>
                <w:rFonts w:hint="eastAsia" w:ascii="仿宋" w:hAnsi="仿宋" w:eastAsia="仿宋" w:cs="仿宋"/>
                <w:b/>
                <w:color w:val="auto"/>
                <w:sz w:val="24"/>
                <w:highlight w:val="none"/>
                <w:u w:val="single"/>
                <w:lang w:val="en-US" w:eastAsia="zh-CN"/>
              </w:rPr>
              <w:t>和暂估价</w:t>
            </w: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en-US" w:eastAsia="zh-CN"/>
              </w:rPr>
              <w:t>3.5</w:t>
            </w:r>
            <w:r>
              <w:rPr>
                <w:rFonts w:hint="eastAsia" w:ascii="仿宋" w:hAnsi="仿宋" w:eastAsia="仿宋" w:cs="仿宋"/>
                <w:b/>
                <w:color w:val="auto"/>
                <w:sz w:val="24"/>
                <w:highlight w:val="none"/>
                <w:u w:val="single"/>
              </w:rPr>
              <w:t>万元</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其中：设计费最高限价7万元。</w:t>
            </w:r>
            <w:r>
              <w:rPr>
                <w:rFonts w:hint="eastAsia" w:ascii="仿宋" w:hAnsi="仿宋" w:eastAsia="仿宋" w:cs="仿宋"/>
                <w:b/>
                <w:color w:val="auto"/>
                <w:sz w:val="24"/>
              </w:rPr>
              <w:t>超过最高限价的按无效标处理</w:t>
            </w:r>
            <w:r>
              <w:rPr>
                <w:rFonts w:hint="eastAsia" w:ascii="仿宋" w:hAnsi="仿宋" w:eastAsia="仿宋" w:cs="仿宋"/>
                <w:b/>
                <w:color w:val="auto"/>
                <w:sz w:val="24"/>
                <w:lang w:eastAsia="zh-CN"/>
              </w:rPr>
              <w:t>。</w:t>
            </w:r>
          </w:p>
        </w:tc>
      </w:tr>
      <w:tr w14:paraId="3EE41C6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FC915A9">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1.2.5</w:t>
            </w:r>
          </w:p>
        </w:tc>
        <w:tc>
          <w:tcPr>
            <w:tcW w:w="2712" w:type="dxa"/>
            <w:noWrap/>
            <w:vAlign w:val="center"/>
          </w:tcPr>
          <w:p w14:paraId="6050F857">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采购资金落实情况</w:t>
            </w:r>
          </w:p>
        </w:tc>
        <w:tc>
          <w:tcPr>
            <w:tcW w:w="5811" w:type="dxa"/>
            <w:noWrap/>
            <w:vAlign w:val="center"/>
          </w:tcPr>
          <w:p w14:paraId="1D541CDD">
            <w:pPr>
              <w:autoSpaceDE w:val="0"/>
              <w:autoSpaceDN w:val="0"/>
              <w:spacing w:line="276" w:lineRule="auto"/>
              <w:rPr>
                <w:rFonts w:hint="eastAsia" w:ascii="仿宋" w:hAnsi="仿宋" w:eastAsia="仿宋" w:cs="Arial"/>
                <w:color w:val="000000"/>
                <w:sz w:val="24"/>
              </w:rPr>
            </w:pPr>
            <w:r>
              <w:rPr>
                <w:rFonts w:hint="eastAsia" w:ascii="仿宋" w:hAnsi="仿宋" w:eastAsia="仿宋" w:cs="Arial"/>
                <w:color w:val="000000"/>
                <w:sz w:val="24"/>
              </w:rPr>
              <w:t>已落实</w:t>
            </w:r>
          </w:p>
        </w:tc>
      </w:tr>
      <w:tr w14:paraId="667E70F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0229E9E">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1.2.6</w:t>
            </w:r>
          </w:p>
        </w:tc>
        <w:tc>
          <w:tcPr>
            <w:tcW w:w="2712" w:type="dxa"/>
            <w:noWrap/>
            <w:vAlign w:val="center"/>
          </w:tcPr>
          <w:p w14:paraId="5B2BEF42">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采购人</w:t>
            </w:r>
          </w:p>
        </w:tc>
        <w:tc>
          <w:tcPr>
            <w:tcW w:w="5811" w:type="dxa"/>
            <w:noWrap/>
            <w:vAlign w:val="center"/>
          </w:tcPr>
          <w:p w14:paraId="3F86AB57">
            <w:pPr>
              <w:autoSpaceDE w:val="0"/>
              <w:autoSpaceDN w:val="0"/>
              <w:spacing w:line="276" w:lineRule="auto"/>
              <w:rPr>
                <w:rFonts w:hint="eastAsia" w:ascii="仿宋" w:hAnsi="仿宋" w:eastAsia="仿宋" w:cs="Arial"/>
                <w:color w:val="000000"/>
                <w:sz w:val="24"/>
              </w:rPr>
            </w:pPr>
            <w:r>
              <w:rPr>
                <w:rFonts w:hint="eastAsia" w:ascii="仿宋" w:hAnsi="仿宋" w:eastAsia="仿宋" w:cs="Arial"/>
                <w:color w:val="000000"/>
                <w:sz w:val="24"/>
              </w:rPr>
              <w:t>单位</w:t>
            </w:r>
            <w:r>
              <w:rPr>
                <w:rFonts w:ascii="仿宋" w:hAnsi="仿宋" w:eastAsia="仿宋" w:cs="Arial"/>
                <w:color w:val="000000"/>
                <w:sz w:val="24"/>
              </w:rPr>
              <w:t>名称：浙江工商大学</w:t>
            </w:r>
          </w:p>
          <w:p w14:paraId="2C6805D1">
            <w:pPr>
              <w:autoSpaceDE w:val="0"/>
              <w:autoSpaceDN w:val="0"/>
              <w:spacing w:line="276" w:lineRule="auto"/>
              <w:rPr>
                <w:rFonts w:hint="eastAsia" w:ascii="仿宋" w:hAnsi="仿宋" w:eastAsia="仿宋" w:cs="Arial"/>
                <w:color w:val="000000"/>
                <w:sz w:val="24"/>
              </w:rPr>
            </w:pPr>
            <w:r>
              <w:rPr>
                <w:rFonts w:ascii="仿宋" w:hAnsi="仿宋" w:eastAsia="仿宋" w:cs="Arial"/>
                <w:color w:val="000000"/>
                <w:sz w:val="24"/>
              </w:rPr>
              <w:t>地址：</w:t>
            </w:r>
            <w:r>
              <w:rPr>
                <w:rFonts w:hint="eastAsia" w:ascii="仿宋" w:hAnsi="仿宋" w:eastAsia="仿宋" w:cs="Arial"/>
                <w:color w:val="000000"/>
                <w:sz w:val="24"/>
              </w:rPr>
              <w:t>浙江省杭州市钱塘区学正街18号</w:t>
            </w:r>
          </w:p>
          <w:p w14:paraId="6CBB3F76">
            <w:pPr>
              <w:autoSpaceDE w:val="0"/>
              <w:autoSpaceDN w:val="0"/>
              <w:spacing w:line="276" w:lineRule="auto"/>
              <w:rPr>
                <w:rFonts w:hint="eastAsia" w:ascii="仿宋" w:hAnsi="仿宋" w:eastAsia="仿宋" w:cs="Arial"/>
                <w:color w:val="000000"/>
                <w:sz w:val="24"/>
              </w:rPr>
            </w:pPr>
            <w:r>
              <w:rPr>
                <w:rFonts w:ascii="仿宋" w:hAnsi="仿宋" w:eastAsia="仿宋" w:cs="Arial"/>
                <w:color w:val="000000"/>
                <w:sz w:val="24"/>
              </w:rPr>
              <w:t>联系人：</w:t>
            </w:r>
            <w:r>
              <w:rPr>
                <w:rFonts w:hint="eastAsia" w:ascii="仿宋" w:hAnsi="仿宋" w:eastAsia="仿宋" w:cs="Arial"/>
                <w:color w:val="000000"/>
                <w:sz w:val="24"/>
                <w:lang w:eastAsia="zh-CN"/>
              </w:rPr>
              <w:t>王老师</w:t>
            </w:r>
            <w:r>
              <w:rPr>
                <w:rFonts w:hint="eastAsia" w:ascii="仿宋" w:hAnsi="仿宋" w:eastAsia="仿宋" w:cs="Arial"/>
                <w:color w:val="000000"/>
                <w:sz w:val="24"/>
              </w:rPr>
              <w:t xml:space="preserve">   </w:t>
            </w:r>
            <w:r>
              <w:rPr>
                <w:rFonts w:ascii="仿宋" w:hAnsi="仿宋" w:eastAsia="仿宋" w:cs="Arial"/>
                <w:color w:val="000000"/>
                <w:sz w:val="24"/>
              </w:rPr>
              <w:t xml:space="preserve">  </w:t>
            </w:r>
            <w:r>
              <w:rPr>
                <w:rFonts w:hint="eastAsia" w:ascii="仿宋" w:hAnsi="仿宋" w:eastAsia="仿宋" w:cs="Arial"/>
                <w:color w:val="000000"/>
                <w:sz w:val="24"/>
              </w:rPr>
              <w:t>联系电话：</w:t>
            </w:r>
            <w:r>
              <w:rPr>
                <w:rFonts w:hint="eastAsia" w:ascii="仿宋" w:hAnsi="仿宋" w:eastAsia="仿宋" w:cs="Arial"/>
                <w:color w:val="000000"/>
                <w:sz w:val="24"/>
                <w:lang w:eastAsia="zh-CN"/>
              </w:rPr>
              <w:t>0571-28877558</w:t>
            </w:r>
          </w:p>
        </w:tc>
      </w:tr>
      <w:tr w14:paraId="5FD0BC0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BC00773">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1.2.7</w:t>
            </w:r>
          </w:p>
        </w:tc>
        <w:tc>
          <w:tcPr>
            <w:tcW w:w="2712" w:type="dxa"/>
            <w:noWrap/>
            <w:vAlign w:val="center"/>
          </w:tcPr>
          <w:p w14:paraId="30EA9335">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采购代理机构</w:t>
            </w:r>
          </w:p>
        </w:tc>
        <w:tc>
          <w:tcPr>
            <w:tcW w:w="5811" w:type="dxa"/>
            <w:noWrap/>
            <w:vAlign w:val="center"/>
          </w:tcPr>
          <w:p w14:paraId="321E1639">
            <w:pPr>
              <w:autoSpaceDE w:val="0"/>
              <w:autoSpaceDN w:val="0"/>
              <w:spacing w:line="276" w:lineRule="auto"/>
              <w:rPr>
                <w:rFonts w:hint="eastAsia" w:ascii="仿宋" w:hAnsi="仿宋" w:eastAsia="仿宋" w:cs="Arial"/>
                <w:b/>
                <w:color w:val="000000"/>
                <w:sz w:val="24"/>
              </w:rPr>
            </w:pPr>
            <w:r>
              <w:rPr>
                <w:rFonts w:hint="eastAsia" w:ascii="仿宋" w:hAnsi="仿宋" w:eastAsia="仿宋" w:cs="Arial"/>
                <w:color w:val="000000"/>
                <w:sz w:val="24"/>
              </w:rPr>
              <w:t>单位</w:t>
            </w:r>
            <w:r>
              <w:rPr>
                <w:rFonts w:ascii="仿宋" w:hAnsi="仿宋" w:eastAsia="仿宋" w:cs="Arial"/>
                <w:color w:val="000000"/>
                <w:sz w:val="24"/>
              </w:rPr>
              <w:t>名称：</w:t>
            </w:r>
            <w:r>
              <w:rPr>
                <w:rFonts w:ascii="仿宋" w:hAnsi="仿宋" w:eastAsia="仿宋" w:cs="Arial"/>
                <w:bCs/>
                <w:color w:val="000000"/>
                <w:sz w:val="24"/>
              </w:rPr>
              <w:t>浙江省成套招标代理有限公司</w:t>
            </w:r>
          </w:p>
          <w:p w14:paraId="47474480">
            <w:pPr>
              <w:autoSpaceDE w:val="0"/>
              <w:autoSpaceDN w:val="0"/>
              <w:spacing w:line="276" w:lineRule="auto"/>
              <w:rPr>
                <w:rFonts w:hint="eastAsia" w:ascii="仿宋" w:hAnsi="仿宋" w:eastAsia="仿宋" w:cs="Arial"/>
                <w:color w:val="000000"/>
                <w:sz w:val="24"/>
              </w:rPr>
            </w:pPr>
            <w:r>
              <w:rPr>
                <w:rFonts w:ascii="仿宋" w:hAnsi="仿宋" w:eastAsia="仿宋" w:cs="Arial"/>
                <w:color w:val="000000"/>
                <w:sz w:val="24"/>
              </w:rPr>
              <w:t>联系人：张柳霞</w:t>
            </w:r>
          </w:p>
          <w:p w14:paraId="141BBA65">
            <w:pPr>
              <w:autoSpaceDE w:val="0"/>
              <w:autoSpaceDN w:val="0"/>
              <w:spacing w:line="276" w:lineRule="auto"/>
              <w:rPr>
                <w:rFonts w:hint="eastAsia" w:ascii="仿宋" w:hAnsi="仿宋" w:eastAsia="仿宋" w:cs="Arial"/>
                <w:color w:val="000000"/>
                <w:sz w:val="24"/>
              </w:rPr>
            </w:pPr>
            <w:r>
              <w:rPr>
                <w:rFonts w:ascii="仿宋" w:hAnsi="仿宋" w:eastAsia="仿宋" w:cs="Arial"/>
                <w:color w:val="000000"/>
                <w:sz w:val="24"/>
              </w:rPr>
              <w:t>联系电话：0571-85830297</w:t>
            </w:r>
          </w:p>
          <w:p w14:paraId="06CA6AA5">
            <w:pPr>
              <w:pStyle w:val="69"/>
              <w:rPr>
                <w:rFonts w:hAnsi="Times New Roman"/>
              </w:rPr>
            </w:pPr>
            <w:r>
              <w:rPr>
                <w:rFonts w:ascii="仿宋" w:hAnsi="仿宋" w:eastAsia="仿宋" w:cs="Arial"/>
              </w:rPr>
              <w:t>Email：87631191@zjsct.cn</w:t>
            </w:r>
          </w:p>
          <w:p w14:paraId="1E69E707">
            <w:pPr>
              <w:autoSpaceDE w:val="0"/>
              <w:autoSpaceDN w:val="0"/>
              <w:spacing w:line="276" w:lineRule="auto"/>
              <w:rPr>
                <w:rFonts w:hint="eastAsia" w:ascii="仿宋" w:hAnsi="仿宋" w:eastAsia="仿宋" w:cs="Arial"/>
                <w:color w:val="000000"/>
                <w:sz w:val="24"/>
              </w:rPr>
            </w:pPr>
            <w:r>
              <w:rPr>
                <w:rFonts w:ascii="仿宋" w:hAnsi="仿宋" w:eastAsia="仿宋" w:cs="Arial"/>
                <w:color w:val="000000"/>
                <w:sz w:val="24"/>
              </w:rPr>
              <w:t>地址：杭州市文晖路42号现代置业大厦西楼</w:t>
            </w:r>
            <w:r>
              <w:rPr>
                <w:rFonts w:hint="eastAsia" w:ascii="仿宋" w:hAnsi="仿宋" w:eastAsia="仿宋" w:cs="Arial"/>
                <w:color w:val="000000"/>
                <w:sz w:val="24"/>
              </w:rPr>
              <w:t>18</w:t>
            </w:r>
            <w:r>
              <w:rPr>
                <w:rFonts w:ascii="仿宋" w:hAnsi="仿宋" w:eastAsia="仿宋" w:cs="Arial"/>
                <w:color w:val="000000"/>
                <w:sz w:val="24"/>
              </w:rPr>
              <w:t>楼</w:t>
            </w:r>
          </w:p>
        </w:tc>
      </w:tr>
      <w:tr w14:paraId="0A3DE9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5CA3321">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1.2.8</w:t>
            </w:r>
          </w:p>
        </w:tc>
        <w:tc>
          <w:tcPr>
            <w:tcW w:w="2712" w:type="dxa"/>
            <w:noWrap/>
            <w:vAlign w:val="center"/>
          </w:tcPr>
          <w:p w14:paraId="191869FC">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交易方式</w:t>
            </w:r>
          </w:p>
        </w:tc>
        <w:tc>
          <w:tcPr>
            <w:tcW w:w="5811" w:type="dxa"/>
            <w:noWrap/>
            <w:vAlign w:val="center"/>
          </w:tcPr>
          <w:p w14:paraId="58A698B9">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电子交易</w:t>
            </w:r>
          </w:p>
        </w:tc>
      </w:tr>
      <w:tr w14:paraId="6AAF4EA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4354866">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1.2.9</w:t>
            </w:r>
          </w:p>
        </w:tc>
        <w:tc>
          <w:tcPr>
            <w:tcW w:w="2712" w:type="dxa"/>
            <w:noWrap/>
            <w:vAlign w:val="center"/>
          </w:tcPr>
          <w:p w14:paraId="0B272ECD">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电子交易平台</w:t>
            </w:r>
          </w:p>
        </w:tc>
        <w:tc>
          <w:tcPr>
            <w:tcW w:w="5811" w:type="dxa"/>
            <w:noWrap/>
            <w:vAlign w:val="center"/>
          </w:tcPr>
          <w:p w14:paraId="793B155B">
            <w:pPr>
              <w:autoSpaceDE w:val="0"/>
              <w:autoSpaceDN w:val="0"/>
              <w:spacing w:line="276" w:lineRule="auto"/>
              <w:rPr>
                <w:rFonts w:hint="eastAsia" w:ascii="仿宋" w:hAnsi="仿宋" w:eastAsia="仿宋" w:cs="Arial"/>
                <w:color w:val="000000"/>
                <w:sz w:val="24"/>
              </w:rPr>
            </w:pPr>
            <w:r>
              <w:rPr>
                <w:rFonts w:hint="eastAsia" w:ascii="仿宋" w:hAnsi="仿宋" w:eastAsia="仿宋" w:cs="Arial"/>
                <w:b/>
                <w:color w:val="000000"/>
                <w:sz w:val="24"/>
              </w:rPr>
              <w:t>政府采购云平台</w:t>
            </w:r>
            <w:r>
              <w:rPr>
                <w:rFonts w:hint="eastAsia" w:ascii="仿宋" w:hAnsi="仿宋" w:eastAsia="仿宋" w:cs="Arial"/>
                <w:color w:val="000000"/>
                <w:sz w:val="24"/>
              </w:rPr>
              <w:t>，网址</w:t>
            </w:r>
            <w:r>
              <w:rPr>
                <w:rFonts w:hint="eastAsia" w:ascii="仿宋" w:hAnsi="仿宋" w:eastAsia="仿宋" w:cs="Arial"/>
                <w:sz w:val="24"/>
              </w:rPr>
              <w:t>：</w:t>
            </w:r>
            <w:r>
              <w:fldChar w:fldCharType="begin"/>
            </w:r>
            <w:r>
              <w:instrText xml:space="preserve"> HYPERLINK "http://www.zcygov.cn" </w:instrText>
            </w:r>
            <w:r>
              <w:fldChar w:fldCharType="separate"/>
            </w:r>
            <w:r>
              <w:rPr>
                <w:rStyle w:val="59"/>
                <w:rFonts w:ascii="仿宋" w:hAnsi="仿宋" w:eastAsia="仿宋" w:cs="Arial"/>
                <w:color w:val="auto"/>
                <w:sz w:val="24"/>
              </w:rPr>
              <w:t>www.zcygov.cn</w:t>
            </w:r>
            <w:r>
              <w:rPr>
                <w:rStyle w:val="59"/>
                <w:rFonts w:ascii="仿宋" w:hAnsi="仿宋" w:eastAsia="仿宋" w:cs="Arial"/>
                <w:color w:val="auto"/>
                <w:sz w:val="24"/>
              </w:rPr>
              <w:fldChar w:fldCharType="end"/>
            </w:r>
          </w:p>
        </w:tc>
      </w:tr>
      <w:tr w14:paraId="4FAF8F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26A1E2F">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1.2.10</w:t>
            </w:r>
          </w:p>
        </w:tc>
        <w:tc>
          <w:tcPr>
            <w:tcW w:w="2712" w:type="dxa"/>
            <w:noWrap/>
            <w:vAlign w:val="center"/>
          </w:tcPr>
          <w:p w14:paraId="1C14DB06">
            <w:pPr>
              <w:autoSpaceDE w:val="0"/>
              <w:autoSpaceDN w:val="0"/>
              <w:spacing w:line="276" w:lineRule="auto"/>
              <w:jc w:val="center"/>
              <w:rPr>
                <w:rFonts w:hint="eastAsia" w:ascii="仿宋" w:hAnsi="仿宋" w:eastAsia="仿宋" w:cs="Arial"/>
                <w:b/>
                <w:bCs/>
                <w:color w:val="auto"/>
                <w:sz w:val="24"/>
              </w:rPr>
            </w:pPr>
            <w:r>
              <w:rPr>
                <w:rFonts w:hint="eastAsia" w:ascii="仿宋" w:hAnsi="仿宋" w:eastAsia="仿宋" w:cs="Arial"/>
                <w:color w:val="auto"/>
                <w:sz w:val="24"/>
              </w:rPr>
              <w:t>工期</w:t>
            </w:r>
          </w:p>
        </w:tc>
        <w:tc>
          <w:tcPr>
            <w:tcW w:w="5811" w:type="dxa"/>
            <w:noWrap/>
            <w:vAlign w:val="center"/>
          </w:tcPr>
          <w:p w14:paraId="672348DF">
            <w:pPr>
              <w:autoSpaceDE w:val="0"/>
              <w:autoSpaceDN w:val="0"/>
              <w:spacing w:line="276" w:lineRule="auto"/>
              <w:rPr>
                <w:rFonts w:hint="eastAsia" w:ascii="仿宋" w:hAnsi="仿宋" w:eastAsia="仿宋" w:cs="Arial"/>
                <w:b/>
                <w:color w:val="auto"/>
                <w:sz w:val="24"/>
                <w:lang w:val="en-US" w:eastAsia="zh-CN"/>
              </w:rPr>
            </w:pPr>
            <w:r>
              <w:rPr>
                <w:rFonts w:hint="eastAsia" w:ascii="仿宋" w:hAnsi="仿宋" w:eastAsia="仿宋" w:cs="Arial"/>
                <w:b/>
                <w:color w:val="auto"/>
                <w:sz w:val="24"/>
                <w:lang w:val="en-US" w:eastAsia="zh-CN"/>
              </w:rPr>
              <w:t>总工期90</w:t>
            </w:r>
            <w:r>
              <w:rPr>
                <w:rFonts w:hint="eastAsia" w:ascii="仿宋" w:hAnsi="仿宋" w:eastAsia="仿宋" w:cs="Arial"/>
                <w:b/>
                <w:color w:val="auto"/>
                <w:sz w:val="24"/>
                <w:lang w:eastAsia="zh-CN"/>
              </w:rPr>
              <w:t>个日历天，</w:t>
            </w:r>
            <w:r>
              <w:rPr>
                <w:rFonts w:hint="eastAsia" w:ascii="仿宋" w:hAnsi="仿宋" w:eastAsia="仿宋" w:cs="Arial"/>
                <w:b/>
                <w:color w:val="auto"/>
                <w:sz w:val="24"/>
                <w:lang w:val="en-US" w:eastAsia="zh-CN"/>
              </w:rPr>
              <w:t>其中：</w:t>
            </w:r>
          </w:p>
          <w:p w14:paraId="4BC981ED">
            <w:pPr>
              <w:autoSpaceDE w:val="0"/>
              <w:autoSpaceDN w:val="0"/>
              <w:spacing w:line="276" w:lineRule="auto"/>
              <w:rPr>
                <w:rFonts w:hint="eastAsia" w:ascii="仿宋" w:hAnsi="仿宋" w:eastAsia="仿宋" w:cs="Arial"/>
                <w:bCs/>
                <w:color w:val="000000"/>
                <w:sz w:val="24"/>
              </w:rPr>
            </w:pPr>
            <w:r>
              <w:rPr>
                <w:rFonts w:hint="eastAsia" w:ascii="仿宋" w:hAnsi="仿宋" w:eastAsia="仿宋" w:cs="Arial"/>
                <w:bCs/>
                <w:color w:val="000000"/>
                <w:sz w:val="24"/>
              </w:rPr>
              <w:t>（1）设计周期要求：自合同签订之日起开始计算，30日历天内完成方案优化及施工图设计(总图、工艺、结构、电气、自控、建筑、暖通等施工图设计)，出具正式施工图并提交施工图预算；</w:t>
            </w:r>
          </w:p>
          <w:p w14:paraId="4F8E7C25">
            <w:pPr>
              <w:autoSpaceDE w:val="0"/>
              <w:autoSpaceDN w:val="0"/>
              <w:spacing w:line="276" w:lineRule="auto"/>
              <w:rPr>
                <w:rFonts w:hint="default" w:ascii="仿宋" w:hAnsi="仿宋" w:eastAsia="仿宋" w:cs="Arial"/>
                <w:b/>
                <w:color w:val="auto"/>
                <w:sz w:val="24"/>
                <w:lang w:val="en-US" w:eastAsia="zh-CN"/>
              </w:rPr>
            </w:pPr>
            <w:r>
              <w:rPr>
                <w:rFonts w:hint="eastAsia" w:ascii="仿宋" w:hAnsi="仿宋" w:eastAsia="仿宋" w:cs="Arial"/>
                <w:bCs/>
                <w:color w:val="000000"/>
                <w:sz w:val="24"/>
              </w:rPr>
              <w:t>（2）施工工期要求：60日历天（以开工令或开工报告载明的时间起计算）内完成所有工程，满足竣工验收条件，并验收合格（包括调试达到采购人要求及通过电力部门验收）。</w:t>
            </w:r>
          </w:p>
        </w:tc>
      </w:tr>
      <w:tr w14:paraId="10B85A4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D115DC5">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1.3.1</w:t>
            </w:r>
          </w:p>
        </w:tc>
        <w:tc>
          <w:tcPr>
            <w:tcW w:w="2712" w:type="dxa"/>
            <w:noWrap/>
            <w:vAlign w:val="center"/>
          </w:tcPr>
          <w:p w14:paraId="3E46FE12">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采购方式</w:t>
            </w:r>
          </w:p>
        </w:tc>
        <w:tc>
          <w:tcPr>
            <w:tcW w:w="5811" w:type="dxa"/>
            <w:noWrap/>
            <w:vAlign w:val="center"/>
          </w:tcPr>
          <w:p w14:paraId="448DD886">
            <w:pPr>
              <w:autoSpaceDE w:val="0"/>
              <w:autoSpaceDN w:val="0"/>
              <w:spacing w:line="276" w:lineRule="auto"/>
              <w:rPr>
                <w:rFonts w:hint="eastAsia" w:ascii="仿宋" w:hAnsi="仿宋" w:eastAsia="仿宋" w:cs="Arial"/>
                <w:color w:val="000000"/>
                <w:sz w:val="24"/>
              </w:rPr>
            </w:pPr>
            <w:r>
              <w:rPr>
                <w:rFonts w:hint="eastAsia" w:ascii="仿宋" w:hAnsi="仿宋" w:eastAsia="仿宋" w:cs="Arial"/>
                <w:b/>
                <w:color w:val="000000"/>
                <w:kern w:val="0"/>
                <w:sz w:val="24"/>
              </w:rPr>
              <w:t>公告形式邀请（发布竞争性磋商公告后登记确定）</w:t>
            </w:r>
          </w:p>
        </w:tc>
      </w:tr>
      <w:tr w14:paraId="4AD6633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B6D4312">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1.4</w:t>
            </w:r>
          </w:p>
        </w:tc>
        <w:tc>
          <w:tcPr>
            <w:tcW w:w="2712" w:type="dxa"/>
            <w:noWrap/>
            <w:vAlign w:val="center"/>
          </w:tcPr>
          <w:p w14:paraId="79B2D01E">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合格供应商资格要求</w:t>
            </w:r>
          </w:p>
        </w:tc>
        <w:tc>
          <w:tcPr>
            <w:tcW w:w="5811" w:type="dxa"/>
            <w:noWrap/>
            <w:vAlign w:val="center"/>
          </w:tcPr>
          <w:p w14:paraId="5BE71325">
            <w:pPr>
              <w:autoSpaceDE w:val="0"/>
              <w:autoSpaceDN w:val="0"/>
              <w:spacing w:line="276" w:lineRule="auto"/>
              <w:rPr>
                <w:rFonts w:hint="eastAsia" w:ascii="仿宋" w:hAnsi="仿宋" w:eastAsia="仿宋" w:cs="Arial"/>
                <w:b/>
                <w:color w:val="000000"/>
                <w:sz w:val="24"/>
              </w:rPr>
            </w:pPr>
            <w:r>
              <w:rPr>
                <w:rFonts w:hint="eastAsia" w:ascii="仿宋" w:hAnsi="仿宋" w:eastAsia="仿宋" w:cs="Arial"/>
                <w:color w:val="000000"/>
                <w:sz w:val="24"/>
              </w:rPr>
              <w:t>见第一章竞争性磋商公告</w:t>
            </w:r>
          </w:p>
        </w:tc>
      </w:tr>
      <w:tr w14:paraId="4B3AFC8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DA8D042">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1.7.1</w:t>
            </w:r>
          </w:p>
        </w:tc>
        <w:tc>
          <w:tcPr>
            <w:tcW w:w="2712" w:type="dxa"/>
            <w:noWrap/>
            <w:vAlign w:val="center"/>
          </w:tcPr>
          <w:p w14:paraId="704A2BF2">
            <w:pPr>
              <w:autoSpaceDE w:val="0"/>
              <w:autoSpaceDN w:val="0"/>
              <w:spacing w:line="276" w:lineRule="auto"/>
              <w:jc w:val="center"/>
              <w:rPr>
                <w:rFonts w:hint="eastAsia" w:ascii="仿宋" w:hAnsi="仿宋" w:eastAsia="仿宋" w:cs="Arial"/>
                <w:sz w:val="24"/>
              </w:rPr>
            </w:pPr>
            <w:r>
              <w:rPr>
                <w:rFonts w:ascii="仿宋" w:hAnsi="仿宋" w:eastAsia="仿宋" w:cs="Arial"/>
                <w:sz w:val="24"/>
              </w:rPr>
              <w:t>联合体</w:t>
            </w:r>
            <w:r>
              <w:rPr>
                <w:rFonts w:hint="eastAsia" w:ascii="仿宋" w:hAnsi="仿宋" w:eastAsia="仿宋" w:cs="Arial"/>
                <w:sz w:val="24"/>
              </w:rPr>
              <w:t>磋商响应</w:t>
            </w:r>
          </w:p>
        </w:tc>
        <w:tc>
          <w:tcPr>
            <w:tcW w:w="5811" w:type="dxa"/>
            <w:noWrap/>
            <w:vAlign w:val="center"/>
          </w:tcPr>
          <w:p w14:paraId="6884D70D">
            <w:pPr>
              <w:autoSpaceDE w:val="0"/>
              <w:autoSpaceDN w:val="0"/>
              <w:spacing w:line="276" w:lineRule="auto"/>
              <w:rPr>
                <w:rFonts w:hint="eastAsia" w:ascii="仿宋" w:hAnsi="仿宋" w:eastAsia="仿宋" w:cs="Arial"/>
                <w:b/>
                <w:sz w:val="24"/>
              </w:rPr>
            </w:pPr>
            <w:r>
              <w:rPr>
                <w:rFonts w:hint="eastAsia" w:ascii="仿宋" w:hAnsi="仿宋" w:eastAsia="仿宋" w:cs="Arial"/>
                <w:b/>
                <w:sz w:val="24"/>
              </w:rPr>
              <w:t>接受</w:t>
            </w:r>
          </w:p>
        </w:tc>
      </w:tr>
      <w:tr w14:paraId="3881DA9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0F72CC6">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1.8.1</w:t>
            </w:r>
          </w:p>
        </w:tc>
        <w:tc>
          <w:tcPr>
            <w:tcW w:w="2712" w:type="dxa"/>
            <w:noWrap/>
            <w:vAlign w:val="center"/>
          </w:tcPr>
          <w:p w14:paraId="157D7E53">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进口产品磋商响应</w:t>
            </w:r>
          </w:p>
        </w:tc>
        <w:tc>
          <w:tcPr>
            <w:tcW w:w="5811" w:type="dxa"/>
            <w:noWrap/>
            <w:vAlign w:val="center"/>
          </w:tcPr>
          <w:p w14:paraId="0A63FA31">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不适用</w:t>
            </w:r>
          </w:p>
        </w:tc>
      </w:tr>
      <w:tr w14:paraId="1C4DC73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8AB431E">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1.11.1</w:t>
            </w:r>
          </w:p>
        </w:tc>
        <w:tc>
          <w:tcPr>
            <w:tcW w:w="2712" w:type="dxa"/>
            <w:noWrap/>
            <w:vAlign w:val="center"/>
          </w:tcPr>
          <w:p w14:paraId="0D3AD08F">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现场勘查</w:t>
            </w:r>
          </w:p>
        </w:tc>
        <w:tc>
          <w:tcPr>
            <w:tcW w:w="5811" w:type="dxa"/>
            <w:noWrap/>
            <w:vAlign w:val="center"/>
          </w:tcPr>
          <w:p w14:paraId="245FBEB0">
            <w:pPr>
              <w:autoSpaceDE w:val="0"/>
              <w:autoSpaceDN w:val="0"/>
              <w:spacing w:line="276" w:lineRule="auto"/>
              <w:jc w:val="left"/>
              <w:rPr>
                <w:rFonts w:eastAsia="仿宋"/>
                <w:sz w:val="24"/>
              </w:rPr>
            </w:pPr>
            <w:r>
              <w:rPr>
                <w:rFonts w:eastAsia="仿宋"/>
                <w:b/>
                <w:bCs/>
                <w:sz w:val="24"/>
              </w:rPr>
              <w:sym w:font="Wingdings" w:char="F0FE"/>
            </w:r>
            <w:r>
              <w:rPr>
                <w:rFonts w:hAnsi="仿宋" w:eastAsia="仿宋"/>
                <w:b/>
                <w:bCs/>
                <w:sz w:val="24"/>
              </w:rPr>
              <w:t>自行踏勘</w:t>
            </w:r>
          </w:p>
          <w:p w14:paraId="08233D62">
            <w:pPr>
              <w:autoSpaceDE w:val="0"/>
              <w:autoSpaceDN w:val="0"/>
              <w:spacing w:line="276" w:lineRule="auto"/>
              <w:jc w:val="left"/>
              <w:rPr>
                <w:rFonts w:hint="eastAsia" w:ascii="仿宋" w:hAnsi="仿宋" w:eastAsia="仿宋" w:cs="Arial"/>
                <w:color w:val="000000"/>
                <w:sz w:val="24"/>
              </w:rPr>
            </w:pPr>
            <w:r>
              <w:rPr>
                <w:rFonts w:eastAsia="仿宋"/>
                <w:sz w:val="24"/>
              </w:rPr>
              <w:sym w:font="Wingdings" w:char="F06F"/>
            </w:r>
            <w:r>
              <w:rPr>
                <w:rFonts w:hAnsi="仿宋" w:eastAsia="仿宋"/>
                <w:sz w:val="24"/>
              </w:rPr>
              <w:t>集中踏勘</w:t>
            </w:r>
          </w:p>
          <w:p w14:paraId="4AF68B1A">
            <w:pPr>
              <w:autoSpaceDE w:val="0"/>
              <w:autoSpaceDN w:val="0"/>
              <w:spacing w:line="276" w:lineRule="auto"/>
              <w:jc w:val="left"/>
              <w:rPr>
                <w:rFonts w:hint="eastAsia" w:ascii="仿宋" w:hAnsi="仿宋" w:eastAsia="仿宋" w:cs="Arial"/>
                <w:b/>
                <w:sz w:val="24"/>
              </w:rPr>
            </w:pPr>
            <w:r>
              <w:rPr>
                <w:rFonts w:hint="eastAsia" w:ascii="仿宋" w:hAnsi="仿宋" w:eastAsia="仿宋" w:cs="Arial"/>
                <w:b/>
                <w:sz w:val="24"/>
              </w:rPr>
              <w:t>时间：2025年0</w:t>
            </w:r>
            <w:r>
              <w:rPr>
                <w:rFonts w:hint="eastAsia" w:ascii="仿宋" w:hAnsi="仿宋" w:eastAsia="仿宋" w:cs="Arial"/>
                <w:b/>
                <w:sz w:val="24"/>
                <w:lang w:val="en-US" w:eastAsia="zh-CN"/>
              </w:rPr>
              <w:t>7</w:t>
            </w:r>
            <w:r>
              <w:rPr>
                <w:rFonts w:hint="eastAsia" w:ascii="仿宋" w:hAnsi="仿宋" w:eastAsia="仿宋" w:cs="Arial"/>
                <w:b/>
                <w:sz w:val="24"/>
              </w:rPr>
              <w:t>月</w:t>
            </w:r>
            <w:r>
              <w:rPr>
                <w:rFonts w:hint="eastAsia" w:ascii="仿宋" w:hAnsi="仿宋" w:eastAsia="仿宋" w:cs="Arial"/>
                <w:b/>
                <w:sz w:val="24"/>
                <w:lang w:val="en-US" w:eastAsia="zh-CN"/>
              </w:rPr>
              <w:t>05</w:t>
            </w:r>
            <w:r>
              <w:rPr>
                <w:rFonts w:hint="eastAsia" w:ascii="仿宋" w:hAnsi="仿宋" w:eastAsia="仿宋" w:cs="Arial"/>
                <w:b/>
                <w:sz w:val="24"/>
              </w:rPr>
              <w:t>日08时30分～2025年0</w:t>
            </w:r>
            <w:r>
              <w:rPr>
                <w:rFonts w:hint="eastAsia" w:ascii="仿宋" w:hAnsi="仿宋" w:eastAsia="仿宋" w:cs="Arial"/>
                <w:b/>
                <w:sz w:val="24"/>
                <w:lang w:val="en-US" w:eastAsia="zh-CN"/>
              </w:rPr>
              <w:t>7</w:t>
            </w:r>
            <w:r>
              <w:rPr>
                <w:rFonts w:hint="eastAsia" w:ascii="仿宋" w:hAnsi="仿宋" w:eastAsia="仿宋" w:cs="Arial"/>
                <w:b/>
                <w:sz w:val="24"/>
              </w:rPr>
              <w:t>月</w:t>
            </w:r>
            <w:r>
              <w:rPr>
                <w:rFonts w:hint="eastAsia" w:ascii="仿宋" w:hAnsi="仿宋" w:eastAsia="仿宋" w:cs="Arial"/>
                <w:b/>
                <w:sz w:val="24"/>
                <w:lang w:val="en-US" w:eastAsia="zh-CN"/>
              </w:rPr>
              <w:t>11</w:t>
            </w:r>
            <w:r>
              <w:rPr>
                <w:rFonts w:hint="eastAsia" w:ascii="仿宋" w:hAnsi="仿宋" w:eastAsia="仿宋" w:cs="Arial"/>
                <w:b/>
                <w:sz w:val="24"/>
              </w:rPr>
              <w:t>日15时30分（双休日及法定节假日除外）</w:t>
            </w:r>
          </w:p>
          <w:p w14:paraId="6F434E9E">
            <w:pPr>
              <w:autoSpaceDE w:val="0"/>
              <w:autoSpaceDN w:val="0"/>
              <w:spacing w:line="276" w:lineRule="auto"/>
              <w:jc w:val="left"/>
              <w:rPr>
                <w:rFonts w:hint="eastAsia" w:ascii="仿宋" w:hAnsi="仿宋" w:eastAsia="仿宋" w:cs="Arial"/>
                <w:b/>
                <w:sz w:val="24"/>
              </w:rPr>
            </w:pPr>
            <w:r>
              <w:rPr>
                <w:rFonts w:hint="eastAsia" w:ascii="仿宋" w:hAnsi="仿宋" w:eastAsia="仿宋" w:cs="Arial"/>
                <w:b/>
                <w:sz w:val="24"/>
              </w:rPr>
              <w:t>地点：</w:t>
            </w:r>
            <w:r>
              <w:rPr>
                <w:rFonts w:hint="eastAsia" w:ascii="仿宋" w:hAnsi="仿宋" w:eastAsia="仿宋" w:cs="Arial"/>
                <w:b/>
                <w:sz w:val="24"/>
                <w:lang w:eastAsia="zh-CN"/>
              </w:rPr>
              <w:t>杭州市西湖区教工路198号</w:t>
            </w:r>
            <w:r>
              <w:rPr>
                <w:rFonts w:hint="eastAsia" w:ascii="仿宋" w:hAnsi="仿宋" w:eastAsia="仿宋" w:cs="Arial"/>
                <w:b/>
                <w:sz w:val="24"/>
              </w:rPr>
              <w:t>浙江工商大学内</w:t>
            </w:r>
          </w:p>
          <w:p w14:paraId="042BEC01">
            <w:pPr>
              <w:autoSpaceDE w:val="0"/>
              <w:autoSpaceDN w:val="0"/>
              <w:spacing w:line="276" w:lineRule="auto"/>
              <w:jc w:val="left"/>
              <w:rPr>
                <w:rFonts w:hint="eastAsia" w:ascii="仿宋" w:hAnsi="仿宋" w:eastAsia="仿宋" w:cs="Arial"/>
                <w:b/>
                <w:sz w:val="24"/>
                <w:u w:val="single"/>
              </w:rPr>
            </w:pPr>
            <w:r>
              <w:rPr>
                <w:rFonts w:hint="eastAsia" w:ascii="仿宋" w:hAnsi="仿宋" w:eastAsia="仿宋" w:cs="Arial"/>
                <w:b/>
                <w:sz w:val="24"/>
              </w:rPr>
              <w:t>联系人：</w:t>
            </w:r>
            <w:r>
              <w:rPr>
                <w:rFonts w:hint="eastAsia" w:ascii="仿宋" w:hAnsi="仿宋" w:eastAsia="仿宋" w:cs="Arial"/>
                <w:b/>
                <w:sz w:val="24"/>
                <w:u w:val="single"/>
                <w:lang w:eastAsia="zh-CN"/>
              </w:rPr>
              <w:t>王老师</w:t>
            </w:r>
            <w:r>
              <w:rPr>
                <w:rFonts w:hint="eastAsia" w:ascii="仿宋" w:hAnsi="仿宋" w:eastAsia="仿宋" w:cs="Arial"/>
                <w:b/>
                <w:sz w:val="24"/>
              </w:rPr>
              <w:t xml:space="preserve">       联系电话：</w:t>
            </w:r>
            <w:r>
              <w:rPr>
                <w:rFonts w:hint="eastAsia" w:ascii="仿宋" w:hAnsi="仿宋" w:eastAsia="仿宋" w:cs="Arial"/>
                <w:b/>
                <w:sz w:val="24"/>
                <w:u w:val="single"/>
              </w:rPr>
              <w:t>17816875484</w:t>
            </w:r>
          </w:p>
          <w:p w14:paraId="2409855B">
            <w:pPr>
              <w:autoSpaceDE w:val="0"/>
              <w:autoSpaceDN w:val="0"/>
              <w:spacing w:line="276" w:lineRule="auto"/>
              <w:jc w:val="left"/>
              <w:rPr>
                <w:rFonts w:hint="eastAsia" w:ascii="仿宋" w:hAnsi="仿宋" w:eastAsia="仿宋" w:cs="Arial"/>
                <w:b/>
                <w:color w:val="000000"/>
                <w:sz w:val="24"/>
              </w:rPr>
            </w:pPr>
            <w:r>
              <w:rPr>
                <w:rFonts w:hAnsi="仿宋" w:eastAsia="仿宋"/>
                <w:sz w:val="24"/>
              </w:rPr>
              <w:t>踏勘期间发生的费用或意外导致伤亡等一切责任和损失均由供应商自负。</w:t>
            </w:r>
          </w:p>
        </w:tc>
      </w:tr>
      <w:tr w14:paraId="1CFE360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EE0EDBC">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1.12.1</w:t>
            </w:r>
          </w:p>
        </w:tc>
        <w:tc>
          <w:tcPr>
            <w:tcW w:w="2712" w:type="dxa"/>
            <w:noWrap/>
            <w:vAlign w:val="center"/>
          </w:tcPr>
          <w:p w14:paraId="460D3431">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标前</w:t>
            </w:r>
            <w:r>
              <w:rPr>
                <w:rFonts w:hint="eastAsia" w:ascii="仿宋" w:hAnsi="仿宋" w:eastAsia="仿宋" w:cs="Arial"/>
                <w:color w:val="000000"/>
                <w:sz w:val="24"/>
              </w:rPr>
              <w:t>答疑会时间、地点</w:t>
            </w:r>
          </w:p>
        </w:tc>
        <w:tc>
          <w:tcPr>
            <w:tcW w:w="5811" w:type="dxa"/>
            <w:noWrap/>
            <w:vAlign w:val="center"/>
          </w:tcPr>
          <w:p w14:paraId="03980F0D">
            <w:pPr>
              <w:autoSpaceDE w:val="0"/>
              <w:autoSpaceDN w:val="0"/>
              <w:adjustRightInd w:val="0"/>
              <w:ind w:right="105" w:rightChars="50"/>
              <w:rPr>
                <w:rFonts w:eastAsia="仿宋"/>
                <w:b/>
                <w:bCs/>
                <w:kern w:val="0"/>
                <w:sz w:val="24"/>
              </w:rPr>
            </w:pPr>
            <w:r>
              <w:rPr>
                <w:rFonts w:eastAsia="仿宋"/>
                <w:b/>
                <w:bCs/>
                <w:kern w:val="0"/>
                <w:sz w:val="24"/>
              </w:rPr>
              <w:sym w:font="Wingdings" w:char="F0FE"/>
            </w:r>
            <w:r>
              <w:rPr>
                <w:rFonts w:hAnsi="仿宋" w:eastAsia="仿宋"/>
                <w:b/>
                <w:bCs/>
                <w:kern w:val="0"/>
                <w:sz w:val="24"/>
              </w:rPr>
              <w:t>不召开</w:t>
            </w:r>
          </w:p>
          <w:p w14:paraId="7B8611A1">
            <w:pPr>
              <w:autoSpaceDE w:val="0"/>
              <w:autoSpaceDN w:val="0"/>
              <w:adjustRightInd w:val="0"/>
              <w:ind w:right="105" w:rightChars="50"/>
              <w:rPr>
                <w:rFonts w:eastAsia="仿宋"/>
                <w:kern w:val="0"/>
                <w:sz w:val="24"/>
              </w:rPr>
            </w:pPr>
            <w:r>
              <w:rPr>
                <w:rFonts w:eastAsia="仿宋"/>
                <w:kern w:val="0"/>
                <w:sz w:val="24"/>
              </w:rPr>
              <w:sym w:font="Wingdings" w:char="F06F"/>
            </w:r>
            <w:r>
              <w:rPr>
                <w:rFonts w:hAnsi="仿宋" w:eastAsia="仿宋"/>
                <w:kern w:val="0"/>
                <w:sz w:val="24"/>
              </w:rPr>
              <w:t>召开，召开时间：</w:t>
            </w:r>
          </w:p>
          <w:p w14:paraId="615F3842">
            <w:pPr>
              <w:autoSpaceDE w:val="0"/>
              <w:autoSpaceDN w:val="0"/>
              <w:spacing w:line="276" w:lineRule="auto"/>
              <w:rPr>
                <w:rFonts w:hint="eastAsia" w:ascii="仿宋" w:hAnsi="仿宋" w:eastAsia="仿宋" w:cs="Arial"/>
                <w:b/>
                <w:color w:val="000000"/>
                <w:sz w:val="24"/>
                <w:lang w:val="en-US" w:eastAsia="zh-CN"/>
              </w:rPr>
            </w:pPr>
            <w:r>
              <w:rPr>
                <w:rFonts w:hAnsi="仿宋" w:eastAsia="仿宋"/>
                <w:kern w:val="0"/>
                <w:sz w:val="24"/>
              </w:rPr>
              <w:t>召开地点：</w:t>
            </w:r>
            <w:r>
              <w:rPr>
                <w:rFonts w:hint="eastAsia" w:hAnsi="仿宋" w:eastAsia="仿宋"/>
                <w:kern w:val="0"/>
                <w:sz w:val="24"/>
                <w:lang w:val="en-US" w:eastAsia="zh-CN"/>
              </w:rPr>
              <w:t>/</w:t>
            </w:r>
          </w:p>
        </w:tc>
      </w:tr>
      <w:tr w14:paraId="4D6E054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F6BCCFC">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1.13.5</w:t>
            </w:r>
          </w:p>
        </w:tc>
        <w:tc>
          <w:tcPr>
            <w:tcW w:w="2712" w:type="dxa"/>
            <w:noWrap/>
            <w:vAlign w:val="center"/>
          </w:tcPr>
          <w:p w14:paraId="45A3D7F5">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核心产品内容</w:t>
            </w:r>
          </w:p>
          <w:p w14:paraId="39A0A7DF">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（非单一产品适用）</w:t>
            </w:r>
          </w:p>
        </w:tc>
        <w:tc>
          <w:tcPr>
            <w:tcW w:w="5811" w:type="dxa"/>
            <w:noWrap/>
            <w:vAlign w:val="center"/>
          </w:tcPr>
          <w:p w14:paraId="6354F5FE">
            <w:pPr>
              <w:autoSpaceDE w:val="0"/>
              <w:autoSpaceDN w:val="0"/>
              <w:rPr>
                <w:rFonts w:hint="eastAsia" w:ascii="仿宋" w:hAnsi="仿宋" w:eastAsia="仿宋" w:cs="Arial"/>
                <w:b/>
                <w:color w:val="000000"/>
                <w:sz w:val="24"/>
              </w:rPr>
            </w:pPr>
            <w:r>
              <w:rPr>
                <w:rFonts w:hint="eastAsia" w:ascii="仿宋" w:hAnsi="仿宋" w:eastAsia="仿宋" w:cs="Arial"/>
                <w:b/>
                <w:color w:val="000000"/>
                <w:sz w:val="24"/>
              </w:rPr>
              <w:t>不适用</w:t>
            </w:r>
          </w:p>
        </w:tc>
      </w:tr>
      <w:tr w14:paraId="440F882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07" w:hRule="atLeast"/>
        </w:trPr>
        <w:tc>
          <w:tcPr>
            <w:tcW w:w="1002" w:type="dxa"/>
            <w:noWrap/>
            <w:vAlign w:val="center"/>
          </w:tcPr>
          <w:p w14:paraId="10CCBC13">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1.15.1</w:t>
            </w:r>
          </w:p>
        </w:tc>
        <w:tc>
          <w:tcPr>
            <w:tcW w:w="2712" w:type="dxa"/>
            <w:noWrap/>
            <w:vAlign w:val="center"/>
          </w:tcPr>
          <w:p w14:paraId="1957EB7D">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转包</w:t>
            </w:r>
          </w:p>
        </w:tc>
        <w:tc>
          <w:tcPr>
            <w:tcW w:w="5811" w:type="dxa"/>
            <w:noWrap/>
            <w:vAlign w:val="center"/>
          </w:tcPr>
          <w:p w14:paraId="5CF1D1EE">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本项目</w:t>
            </w:r>
            <w:r>
              <w:rPr>
                <w:rFonts w:ascii="仿宋" w:hAnsi="仿宋" w:eastAsia="仿宋" w:cs="Arial"/>
                <w:b/>
                <w:color w:val="000000"/>
                <w:sz w:val="24"/>
              </w:rPr>
              <w:t>不允许</w:t>
            </w:r>
            <w:r>
              <w:rPr>
                <w:rFonts w:hint="eastAsia" w:ascii="仿宋" w:hAnsi="仿宋" w:eastAsia="仿宋" w:cs="Arial"/>
                <w:b/>
                <w:color w:val="000000"/>
                <w:sz w:val="24"/>
              </w:rPr>
              <w:t>转包。</w:t>
            </w:r>
          </w:p>
        </w:tc>
      </w:tr>
      <w:tr w14:paraId="3A1D97E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2E72134">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1.15.2</w:t>
            </w:r>
          </w:p>
        </w:tc>
        <w:tc>
          <w:tcPr>
            <w:tcW w:w="2712" w:type="dxa"/>
            <w:noWrap/>
            <w:vAlign w:val="center"/>
          </w:tcPr>
          <w:p w14:paraId="17F183FC">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分包</w:t>
            </w:r>
          </w:p>
        </w:tc>
        <w:tc>
          <w:tcPr>
            <w:tcW w:w="5811" w:type="dxa"/>
            <w:noWrap/>
            <w:vAlign w:val="center"/>
          </w:tcPr>
          <w:p w14:paraId="276127F3">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本项目允许分包。</w:t>
            </w:r>
          </w:p>
          <w:p w14:paraId="5546611B">
            <w:pPr>
              <w:autoSpaceDE w:val="0"/>
              <w:autoSpaceDN w:val="0"/>
              <w:spacing w:line="276" w:lineRule="auto"/>
              <w:rPr>
                <w:rFonts w:hint="eastAsia" w:ascii="仿宋" w:hAnsi="仿宋" w:eastAsia="仿宋" w:cs="Arial"/>
                <w:sz w:val="24"/>
                <w:u w:val="single"/>
              </w:rPr>
            </w:pPr>
            <w:r>
              <w:rPr>
                <w:rFonts w:hint="eastAsia" w:ascii="仿宋" w:hAnsi="仿宋" w:eastAsia="仿宋" w:cs="Arial"/>
                <w:sz w:val="24"/>
              </w:rPr>
              <w:t>分包内容要求：</w:t>
            </w:r>
            <w:r>
              <w:rPr>
                <w:rFonts w:hint="eastAsia" w:ascii="仿宋" w:hAnsi="仿宋" w:eastAsia="仿宋" w:cs="Arial"/>
                <w:b/>
                <w:sz w:val="24"/>
                <w:u w:val="single"/>
              </w:rPr>
              <w:t>项目所涉及的物资运输、搬运工作</w:t>
            </w:r>
          </w:p>
          <w:p w14:paraId="08081BC2">
            <w:pPr>
              <w:autoSpaceDE w:val="0"/>
              <w:autoSpaceDN w:val="0"/>
              <w:spacing w:line="276" w:lineRule="auto"/>
              <w:rPr>
                <w:rFonts w:hint="eastAsia" w:ascii="仿宋" w:hAnsi="仿宋" w:eastAsia="仿宋" w:cs="Arial"/>
                <w:color w:val="000000"/>
                <w:sz w:val="24"/>
              </w:rPr>
            </w:pPr>
            <w:r>
              <w:rPr>
                <w:rFonts w:hint="eastAsia" w:ascii="仿宋" w:hAnsi="仿宋" w:eastAsia="仿宋" w:cs="Arial"/>
                <w:sz w:val="24"/>
              </w:rPr>
              <w:t>备注：供应商根据磋商文件的规定和项目的实际情况，拟在成交后将成交项目的非主体、非关键性工作分包的，应当在响应文件中载明分包承担主体，分包承担主体应当具备相应资质条件且不得再次分包。</w:t>
            </w:r>
          </w:p>
        </w:tc>
      </w:tr>
      <w:tr w14:paraId="1D8E47B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C584145">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2.1.1</w:t>
            </w:r>
          </w:p>
        </w:tc>
        <w:tc>
          <w:tcPr>
            <w:tcW w:w="2712" w:type="dxa"/>
            <w:noWrap/>
            <w:vAlign w:val="center"/>
          </w:tcPr>
          <w:p w14:paraId="00CCC631">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是否专门面向</w:t>
            </w:r>
          </w:p>
          <w:p w14:paraId="4ADBFC46">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中小企业采购</w:t>
            </w:r>
          </w:p>
        </w:tc>
        <w:tc>
          <w:tcPr>
            <w:tcW w:w="5811" w:type="dxa"/>
            <w:noWrap/>
            <w:vAlign w:val="center"/>
          </w:tcPr>
          <w:p w14:paraId="7469E54A">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是</w:t>
            </w:r>
          </w:p>
        </w:tc>
      </w:tr>
      <w:tr w14:paraId="03B82D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661E675">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2.1.2</w:t>
            </w:r>
          </w:p>
        </w:tc>
        <w:tc>
          <w:tcPr>
            <w:tcW w:w="2712" w:type="dxa"/>
            <w:noWrap/>
            <w:vAlign w:val="center"/>
          </w:tcPr>
          <w:p w14:paraId="24D31270">
            <w:pPr>
              <w:autoSpaceDE w:val="0"/>
              <w:autoSpaceDN w:val="0"/>
              <w:spacing w:line="276" w:lineRule="auto"/>
              <w:jc w:val="center"/>
              <w:rPr>
                <w:rFonts w:hint="eastAsia" w:ascii="仿宋" w:hAnsi="仿宋" w:eastAsia="仿宋" w:cs="Arial"/>
                <w:sz w:val="24"/>
              </w:rPr>
            </w:pPr>
            <w:r>
              <w:rPr>
                <w:rFonts w:hint="eastAsia" w:ascii="仿宋" w:hAnsi="仿宋" w:eastAsia="仿宋" w:cs="Arial"/>
                <w:sz w:val="24"/>
              </w:rPr>
              <w:t>本项目中小企业划分标准所属行业</w:t>
            </w:r>
          </w:p>
        </w:tc>
        <w:tc>
          <w:tcPr>
            <w:tcW w:w="5811" w:type="dxa"/>
            <w:noWrap/>
            <w:vAlign w:val="center"/>
          </w:tcPr>
          <w:p w14:paraId="507716F2">
            <w:pPr>
              <w:autoSpaceDE w:val="0"/>
              <w:autoSpaceDN w:val="0"/>
              <w:spacing w:line="276" w:lineRule="auto"/>
              <w:rPr>
                <w:rFonts w:hint="eastAsia" w:ascii="仿宋" w:hAnsi="仿宋" w:eastAsia="仿宋" w:cs="Arial"/>
                <w:b/>
                <w:sz w:val="24"/>
              </w:rPr>
            </w:pPr>
            <w:r>
              <w:rPr>
                <w:rFonts w:hint="eastAsia" w:ascii="仿宋" w:hAnsi="仿宋" w:eastAsia="仿宋" w:cs="Arial"/>
                <w:b/>
                <w:sz w:val="24"/>
              </w:rPr>
              <w:t>本项目属性为工程，中小企业划分标准对应行业为“建筑业”</w:t>
            </w:r>
          </w:p>
        </w:tc>
      </w:tr>
      <w:tr w14:paraId="781A0C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BC80D5C">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2.2</w:t>
            </w:r>
          </w:p>
        </w:tc>
        <w:tc>
          <w:tcPr>
            <w:tcW w:w="2712" w:type="dxa"/>
            <w:noWrap/>
            <w:vAlign w:val="center"/>
          </w:tcPr>
          <w:p w14:paraId="54B557D7">
            <w:pPr>
              <w:autoSpaceDE w:val="0"/>
              <w:autoSpaceDN w:val="0"/>
              <w:spacing w:line="276" w:lineRule="auto"/>
              <w:jc w:val="center"/>
              <w:rPr>
                <w:rFonts w:hint="eastAsia" w:ascii="仿宋" w:hAnsi="仿宋" w:eastAsia="仿宋" w:cs="Arial"/>
                <w:color w:val="000000"/>
                <w:w w:val="90"/>
                <w:sz w:val="24"/>
              </w:rPr>
            </w:pPr>
            <w:r>
              <w:rPr>
                <w:rFonts w:hint="eastAsia" w:ascii="仿宋" w:hAnsi="仿宋" w:eastAsia="仿宋"/>
                <w:color w:val="000000"/>
                <w:w w:val="90"/>
                <w:sz w:val="24"/>
              </w:rPr>
              <w:t>是否落实节能、环保产品政府采购实施相关规定</w:t>
            </w:r>
          </w:p>
        </w:tc>
        <w:tc>
          <w:tcPr>
            <w:tcW w:w="5811" w:type="dxa"/>
            <w:noWrap/>
            <w:vAlign w:val="center"/>
          </w:tcPr>
          <w:p w14:paraId="4BF7AFA4">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是</w:t>
            </w:r>
            <w:r>
              <w:rPr>
                <w:rFonts w:hint="eastAsia" w:ascii="仿宋" w:hAnsi="仿宋" w:eastAsia="仿宋" w:cs="Arial"/>
                <w:color w:val="000000"/>
                <w:sz w:val="24"/>
              </w:rPr>
              <w:t>（详见第三章第2.2款相关规定）</w:t>
            </w:r>
          </w:p>
        </w:tc>
      </w:tr>
      <w:tr w14:paraId="2FCC9B9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A6EE4F3">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3.2.1</w:t>
            </w:r>
          </w:p>
        </w:tc>
        <w:tc>
          <w:tcPr>
            <w:tcW w:w="2712" w:type="dxa"/>
            <w:noWrap/>
            <w:vAlign w:val="center"/>
          </w:tcPr>
          <w:p w14:paraId="2B51F3B4">
            <w:pPr>
              <w:autoSpaceDE w:val="0"/>
              <w:autoSpaceDN w:val="0"/>
              <w:spacing w:line="276" w:lineRule="auto"/>
              <w:jc w:val="center"/>
              <w:rPr>
                <w:rFonts w:hint="eastAsia" w:ascii="仿宋" w:hAnsi="仿宋" w:eastAsia="仿宋" w:cs="Arial"/>
                <w:b/>
                <w:color w:val="000000"/>
                <w:sz w:val="24"/>
              </w:rPr>
            </w:pPr>
            <w:r>
              <w:rPr>
                <w:rFonts w:hint="eastAsia" w:ascii="仿宋" w:hAnsi="仿宋" w:eastAsia="仿宋" w:cs="Arial"/>
                <w:color w:val="000000"/>
                <w:sz w:val="24"/>
              </w:rPr>
              <w:t>竞争性磋商文件</w:t>
            </w:r>
            <w:r>
              <w:rPr>
                <w:rFonts w:hint="eastAsia" w:ascii="仿宋" w:hAnsi="仿宋" w:eastAsia="仿宋" w:cs="Arial"/>
                <w:color w:val="000000"/>
                <w:sz w:val="24"/>
                <w:lang w:val="en-US" w:eastAsia="zh-CN"/>
              </w:rPr>
              <w:t>提出疑问</w:t>
            </w:r>
            <w:r>
              <w:rPr>
                <w:rFonts w:ascii="仿宋" w:hAnsi="仿宋" w:eastAsia="仿宋" w:cs="Arial"/>
                <w:color w:val="000000"/>
                <w:sz w:val="24"/>
              </w:rPr>
              <w:t>截止时间</w:t>
            </w:r>
          </w:p>
        </w:tc>
        <w:tc>
          <w:tcPr>
            <w:tcW w:w="5811" w:type="dxa"/>
            <w:noWrap/>
            <w:vAlign w:val="center"/>
          </w:tcPr>
          <w:p w14:paraId="01FF076D">
            <w:pPr>
              <w:autoSpaceDE w:val="0"/>
              <w:autoSpaceDN w:val="0"/>
              <w:spacing w:line="276" w:lineRule="auto"/>
              <w:rPr>
                <w:rFonts w:hint="eastAsia" w:ascii="仿宋" w:hAnsi="仿宋" w:eastAsia="仿宋" w:cs="Arial"/>
                <w:b/>
                <w:color w:val="0000FF"/>
                <w:sz w:val="24"/>
              </w:rPr>
            </w:pPr>
            <w:r>
              <w:rPr>
                <w:rFonts w:ascii="仿宋" w:hAnsi="仿宋" w:eastAsia="仿宋" w:cs="Arial"/>
                <w:b/>
                <w:sz w:val="24"/>
                <w:u w:val="single"/>
              </w:rPr>
              <w:t>20</w:t>
            </w:r>
            <w:r>
              <w:rPr>
                <w:rFonts w:hint="eastAsia" w:ascii="仿宋" w:hAnsi="仿宋" w:eastAsia="仿宋" w:cs="Arial"/>
                <w:b/>
                <w:sz w:val="24"/>
                <w:u w:val="single"/>
              </w:rPr>
              <w:t>25-0</w:t>
            </w:r>
            <w:r>
              <w:rPr>
                <w:rFonts w:hint="eastAsia" w:ascii="仿宋" w:hAnsi="仿宋" w:eastAsia="仿宋" w:cs="Arial"/>
                <w:b/>
                <w:sz w:val="24"/>
                <w:u w:val="single"/>
                <w:lang w:val="en-US" w:eastAsia="zh-CN"/>
              </w:rPr>
              <w:t>7</w:t>
            </w:r>
            <w:r>
              <w:rPr>
                <w:rFonts w:ascii="仿宋" w:hAnsi="仿宋" w:eastAsia="仿宋" w:cs="Arial"/>
                <w:b/>
                <w:sz w:val="24"/>
                <w:u w:val="single"/>
              </w:rPr>
              <w:t>-</w:t>
            </w:r>
            <w:r>
              <w:rPr>
                <w:rFonts w:hint="eastAsia" w:ascii="仿宋" w:hAnsi="仿宋" w:eastAsia="仿宋" w:cs="Arial"/>
                <w:b/>
                <w:sz w:val="24"/>
                <w:u w:val="single"/>
                <w:lang w:val="en-US" w:eastAsia="zh-CN"/>
              </w:rPr>
              <w:t>11</w:t>
            </w:r>
            <w:r>
              <w:rPr>
                <w:rFonts w:hint="eastAsia" w:ascii="仿宋" w:hAnsi="仿宋" w:eastAsia="仿宋" w:cs="Arial"/>
                <w:b/>
                <w:sz w:val="24"/>
                <w:u w:val="single"/>
              </w:rPr>
              <w:t>，1</w:t>
            </w:r>
            <w:r>
              <w:rPr>
                <w:rFonts w:hint="eastAsia" w:ascii="仿宋" w:hAnsi="仿宋" w:eastAsia="仿宋" w:cs="Arial"/>
                <w:b/>
                <w:sz w:val="24"/>
                <w:u w:val="single"/>
                <w:lang w:val="en-US" w:eastAsia="zh-CN"/>
              </w:rPr>
              <w:t>7</w:t>
            </w:r>
            <w:r>
              <w:rPr>
                <w:rFonts w:hint="eastAsia" w:ascii="仿宋" w:hAnsi="仿宋" w:eastAsia="仿宋" w:cs="Arial"/>
                <w:b/>
                <w:sz w:val="24"/>
                <w:u w:val="single"/>
              </w:rPr>
              <w:t>:</w:t>
            </w:r>
            <w:r>
              <w:rPr>
                <w:rFonts w:hint="eastAsia" w:ascii="仿宋" w:hAnsi="仿宋" w:eastAsia="仿宋" w:cs="Arial"/>
                <w:b/>
                <w:sz w:val="24"/>
                <w:u w:val="single"/>
                <w:lang w:val="en-US" w:eastAsia="zh-CN"/>
              </w:rPr>
              <w:t>3</w:t>
            </w:r>
            <w:r>
              <w:rPr>
                <w:rFonts w:hint="eastAsia" w:ascii="仿宋" w:hAnsi="仿宋" w:eastAsia="仿宋" w:cs="Arial"/>
                <w:b/>
                <w:sz w:val="24"/>
                <w:u w:val="single"/>
              </w:rPr>
              <w:t>0</w:t>
            </w:r>
          </w:p>
        </w:tc>
      </w:tr>
      <w:tr w14:paraId="1F11F4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778E1A5">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4.1.1</w:t>
            </w:r>
          </w:p>
        </w:tc>
        <w:tc>
          <w:tcPr>
            <w:tcW w:w="2712" w:type="dxa"/>
            <w:noWrap/>
            <w:vAlign w:val="center"/>
          </w:tcPr>
          <w:p w14:paraId="53754ADC">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磋商响应文件的形式</w:t>
            </w:r>
          </w:p>
        </w:tc>
        <w:tc>
          <w:tcPr>
            <w:tcW w:w="5811" w:type="dxa"/>
            <w:noWrap/>
            <w:vAlign w:val="center"/>
          </w:tcPr>
          <w:p w14:paraId="55C5C48B">
            <w:pPr>
              <w:autoSpaceDE w:val="0"/>
              <w:autoSpaceDN w:val="0"/>
              <w:spacing w:line="276" w:lineRule="auto"/>
              <w:rPr>
                <w:rFonts w:hint="eastAsia" w:ascii="仿宋" w:hAnsi="仿宋" w:eastAsia="仿宋" w:cs="Arial"/>
                <w:color w:val="FF0000"/>
                <w:sz w:val="24"/>
              </w:rPr>
            </w:pPr>
            <w:r>
              <w:rPr>
                <w:rFonts w:hint="eastAsia" w:ascii="仿宋" w:hAnsi="仿宋" w:eastAsia="仿宋" w:cs="Arial"/>
                <w:b/>
                <w:color w:val="000000"/>
                <w:sz w:val="24"/>
                <w:u w:val="single"/>
              </w:rPr>
              <w:t>电子加密磋商响应文件</w:t>
            </w:r>
            <w:r>
              <w:rPr>
                <w:rFonts w:hint="eastAsia" w:ascii="仿宋" w:hAnsi="仿宋" w:eastAsia="仿宋" w:cs="Arial"/>
                <w:bCs/>
                <w:color w:val="000000"/>
                <w:sz w:val="24"/>
              </w:rPr>
              <w:t>（是指通过“政采云电子交易客户端”完成磋商响应文件编制后生成并加密的数据电文形式的磋商响应文件，</w:t>
            </w:r>
            <w:r>
              <w:rPr>
                <w:rFonts w:hint="eastAsia" w:ascii="仿宋" w:hAnsi="仿宋" w:eastAsia="仿宋" w:cs="Arial"/>
                <w:b/>
                <w:color w:val="000000"/>
                <w:sz w:val="24"/>
              </w:rPr>
              <w:t>文件格式“.jmbs”）</w:t>
            </w:r>
          </w:p>
        </w:tc>
      </w:tr>
      <w:tr w14:paraId="006B1F9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EDF4F7E">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4.2.2</w:t>
            </w:r>
          </w:p>
        </w:tc>
        <w:tc>
          <w:tcPr>
            <w:tcW w:w="2712" w:type="dxa"/>
            <w:noWrap/>
            <w:vAlign w:val="center"/>
          </w:tcPr>
          <w:p w14:paraId="27F943D5">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磋商响应文件的组成</w:t>
            </w:r>
          </w:p>
        </w:tc>
        <w:tc>
          <w:tcPr>
            <w:tcW w:w="5811" w:type="dxa"/>
            <w:noWrap/>
            <w:vAlign w:val="center"/>
          </w:tcPr>
          <w:p w14:paraId="20ABF88E">
            <w:pPr>
              <w:autoSpaceDE w:val="0"/>
              <w:autoSpaceDN w:val="0"/>
              <w:spacing w:line="276" w:lineRule="auto"/>
              <w:rPr>
                <w:rFonts w:hint="eastAsia" w:ascii="仿宋" w:hAnsi="仿宋" w:eastAsia="仿宋" w:cs="Arial"/>
                <w:b/>
                <w:color w:val="000000"/>
                <w:sz w:val="24"/>
                <w:u w:val="single"/>
              </w:rPr>
            </w:pPr>
            <w:r>
              <w:rPr>
                <w:rFonts w:ascii="仿宋" w:hAnsi="仿宋" w:eastAsia="仿宋" w:cs="Arial"/>
                <w:b/>
                <w:color w:val="000000"/>
                <w:sz w:val="24"/>
              </w:rPr>
              <w:t>完整的《</w:t>
            </w:r>
            <w:r>
              <w:rPr>
                <w:rFonts w:hint="eastAsia" w:ascii="仿宋" w:hAnsi="仿宋" w:eastAsia="仿宋" w:cs="Arial"/>
                <w:b/>
                <w:color w:val="000000"/>
                <w:sz w:val="24"/>
              </w:rPr>
              <w:t>磋商响应文件</w:t>
            </w:r>
            <w:r>
              <w:rPr>
                <w:rFonts w:ascii="仿宋" w:hAnsi="仿宋" w:eastAsia="仿宋" w:cs="Arial"/>
                <w:b/>
                <w:color w:val="000000"/>
                <w:sz w:val="24"/>
              </w:rPr>
              <w:t>》由</w:t>
            </w:r>
            <w:r>
              <w:rPr>
                <w:rFonts w:hint="eastAsia" w:ascii="仿宋" w:hAnsi="仿宋" w:eastAsia="仿宋" w:cs="Arial"/>
                <w:b/>
                <w:color w:val="000000"/>
                <w:sz w:val="24"/>
              </w:rPr>
              <w:t>资格文件、</w:t>
            </w:r>
            <w:r>
              <w:rPr>
                <w:rFonts w:ascii="仿宋" w:hAnsi="仿宋" w:eastAsia="仿宋" w:cs="Arial"/>
                <w:b/>
                <w:color w:val="000000"/>
                <w:sz w:val="24"/>
              </w:rPr>
              <w:t>商务技术文件和报价文件</w:t>
            </w:r>
            <w:r>
              <w:rPr>
                <w:rFonts w:hint="eastAsia" w:ascii="仿宋" w:hAnsi="仿宋" w:eastAsia="仿宋" w:cs="Arial"/>
                <w:b/>
                <w:color w:val="000000"/>
                <w:sz w:val="24"/>
              </w:rPr>
              <w:t>三</w:t>
            </w:r>
            <w:r>
              <w:rPr>
                <w:rFonts w:ascii="仿宋" w:hAnsi="仿宋" w:eastAsia="仿宋" w:cs="Arial"/>
                <w:b/>
                <w:color w:val="000000"/>
                <w:sz w:val="24"/>
              </w:rPr>
              <w:t>个部分组成</w:t>
            </w:r>
            <w:r>
              <w:rPr>
                <w:rFonts w:hint="eastAsia" w:ascii="仿宋" w:hAnsi="仿宋" w:eastAsia="仿宋" w:cs="Arial"/>
                <w:bCs/>
                <w:color w:val="000000"/>
                <w:sz w:val="24"/>
              </w:rPr>
              <w:t>（具体组成内容详见第三章</w:t>
            </w:r>
            <w:r>
              <w:rPr>
                <w:rFonts w:hint="eastAsia" w:ascii="仿宋" w:hAnsi="仿宋" w:eastAsia="仿宋" w:cs="Arial"/>
                <w:bCs/>
                <w:sz w:val="24"/>
              </w:rPr>
              <w:t>4.2.2</w:t>
            </w:r>
            <w:r>
              <w:rPr>
                <w:rFonts w:hint="eastAsia" w:ascii="仿宋" w:hAnsi="仿宋" w:eastAsia="仿宋" w:cs="Arial"/>
                <w:bCs/>
                <w:color w:val="000000"/>
                <w:sz w:val="24"/>
              </w:rPr>
              <w:t>磋商响应文件内容组成）。</w:t>
            </w:r>
          </w:p>
        </w:tc>
      </w:tr>
      <w:tr w14:paraId="4B10098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8A728E3">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4.3</w:t>
            </w:r>
          </w:p>
        </w:tc>
        <w:tc>
          <w:tcPr>
            <w:tcW w:w="2712" w:type="dxa"/>
            <w:noWrap/>
            <w:vAlign w:val="center"/>
          </w:tcPr>
          <w:p w14:paraId="2FD8682E">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磋商响应文件的编制</w:t>
            </w:r>
          </w:p>
        </w:tc>
        <w:tc>
          <w:tcPr>
            <w:tcW w:w="5811" w:type="dxa"/>
            <w:noWrap/>
            <w:vAlign w:val="center"/>
          </w:tcPr>
          <w:p w14:paraId="1C217847">
            <w:pPr>
              <w:autoSpaceDE w:val="0"/>
              <w:autoSpaceDN w:val="0"/>
              <w:spacing w:line="276" w:lineRule="auto"/>
              <w:rPr>
                <w:rFonts w:hint="eastAsia" w:ascii="仿宋" w:hAnsi="仿宋" w:eastAsia="仿宋" w:cs="Arial"/>
                <w:b/>
                <w:color w:val="000000"/>
                <w:sz w:val="24"/>
                <w:highlight w:val="yellow"/>
              </w:rPr>
            </w:pPr>
            <w:r>
              <w:rPr>
                <w:rFonts w:hint="eastAsia" w:ascii="仿宋" w:hAnsi="仿宋" w:eastAsia="仿宋" w:cs="Arial"/>
                <w:bCs/>
                <w:color w:val="000000"/>
                <w:sz w:val="24"/>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Style w:val="59"/>
                <w:rFonts w:ascii="仿宋" w:hAnsi="仿宋" w:eastAsia="仿宋" w:cs="Arial"/>
                <w:bCs/>
                <w:color w:val="000000"/>
                <w:sz w:val="24"/>
                <w:u w:val="none"/>
              </w:rPr>
              <w:t>www.zcygov.cn</w:t>
            </w:r>
            <w:r>
              <w:rPr>
                <w:rStyle w:val="59"/>
                <w:rFonts w:ascii="仿宋" w:hAnsi="仿宋" w:eastAsia="仿宋" w:cs="Arial"/>
                <w:bCs/>
                <w:color w:val="000000"/>
                <w:sz w:val="24"/>
                <w:u w:val="none"/>
              </w:rPr>
              <w:fldChar w:fldCharType="end"/>
            </w:r>
            <w:r>
              <w:rPr>
                <w:rFonts w:hint="eastAsia" w:ascii="仿宋" w:hAnsi="仿宋" w:eastAsia="仿宋" w:cs="Arial"/>
                <w:bCs/>
                <w:color w:val="000000"/>
                <w:sz w:val="24"/>
              </w:rPr>
              <w:t>）实行电子交易（在线磋商响应）。</w:t>
            </w:r>
            <w:r>
              <w:rPr>
                <w:rFonts w:hint="eastAsia" w:ascii="仿宋" w:hAnsi="仿宋" w:eastAsia="仿宋" w:cs="Arial"/>
                <w:b/>
                <w:color w:val="000000"/>
                <w:sz w:val="24"/>
              </w:rPr>
              <w:t>供应商参加本项目电子交易应当安装“政采云电子交易客户端”，并按照本竞争性磋商文件和“政府采购云平台”的要求编制并加密磋商响应文件（1份）。</w:t>
            </w:r>
            <w:r>
              <w:rPr>
                <w:rFonts w:hint="eastAsia" w:ascii="仿宋" w:hAnsi="仿宋" w:eastAsia="仿宋" w:cs="Arial"/>
                <w:b/>
                <w:color w:val="000000"/>
                <w:sz w:val="24"/>
                <w:u w:val="single"/>
              </w:rPr>
              <w:t>供应商未按规定加密的磋商响应文件，“政府采购云平台”将予以拒收并提示</w:t>
            </w:r>
            <w:r>
              <w:rPr>
                <w:rFonts w:hint="eastAsia" w:ascii="仿宋" w:hAnsi="仿宋" w:eastAsia="仿宋" w:cs="Arial"/>
                <w:b/>
                <w:color w:val="000000"/>
                <w:sz w:val="24"/>
              </w:rPr>
              <w:t>。</w:t>
            </w:r>
          </w:p>
        </w:tc>
      </w:tr>
      <w:tr w14:paraId="1F157CC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88" w:hRule="atLeast"/>
        </w:trPr>
        <w:tc>
          <w:tcPr>
            <w:tcW w:w="1002" w:type="dxa"/>
            <w:noWrap/>
            <w:vAlign w:val="center"/>
          </w:tcPr>
          <w:p w14:paraId="414A7E69">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4.4</w:t>
            </w:r>
          </w:p>
        </w:tc>
        <w:tc>
          <w:tcPr>
            <w:tcW w:w="2712" w:type="dxa"/>
            <w:noWrap/>
            <w:vAlign w:val="center"/>
          </w:tcPr>
          <w:p w14:paraId="61E055C3">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kern w:val="0"/>
                <w:sz w:val="24"/>
              </w:rPr>
              <w:t>磋商响应文件的签章形式</w:t>
            </w:r>
          </w:p>
        </w:tc>
        <w:tc>
          <w:tcPr>
            <w:tcW w:w="5811" w:type="dxa"/>
            <w:noWrap/>
            <w:vAlign w:val="center"/>
          </w:tcPr>
          <w:p w14:paraId="76470EF3">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u w:val="single"/>
              </w:rPr>
              <w:t>电子签章</w:t>
            </w:r>
            <w:r>
              <w:rPr>
                <w:rFonts w:hint="eastAsia" w:ascii="仿宋" w:hAnsi="仿宋" w:eastAsia="仿宋" w:cs="Arial"/>
                <w:color w:val="000000"/>
                <w:sz w:val="24"/>
              </w:rPr>
              <w:t>。按《第三章磋商须知》和《第六章 响应文件格式》标注的要求进行盖章、签署（电子签章）。</w:t>
            </w:r>
          </w:p>
        </w:tc>
      </w:tr>
      <w:tr w14:paraId="3E43177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661E6D8">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4.7.1</w:t>
            </w:r>
          </w:p>
        </w:tc>
        <w:tc>
          <w:tcPr>
            <w:tcW w:w="2712" w:type="dxa"/>
            <w:noWrap/>
            <w:vAlign w:val="center"/>
          </w:tcPr>
          <w:p w14:paraId="44E1B78C">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sz w:val="24"/>
              </w:rPr>
              <w:t>备份磋商响应文件的约定</w:t>
            </w:r>
          </w:p>
        </w:tc>
        <w:tc>
          <w:tcPr>
            <w:tcW w:w="5811" w:type="dxa"/>
            <w:noWrap/>
            <w:vAlign w:val="center"/>
          </w:tcPr>
          <w:p w14:paraId="224B4FDA">
            <w:pPr>
              <w:autoSpaceDE w:val="0"/>
              <w:autoSpaceDN w:val="0"/>
              <w:spacing w:line="276" w:lineRule="auto"/>
              <w:rPr>
                <w:rFonts w:hint="eastAsia" w:ascii="仿宋" w:hAnsi="仿宋" w:eastAsia="仿宋" w:cs="Arial"/>
                <w:b/>
                <w:color w:val="000000"/>
                <w:sz w:val="24"/>
              </w:rPr>
            </w:pPr>
            <w:r>
              <w:rPr>
                <w:rFonts w:hint="eastAsia" w:ascii="仿宋" w:hAnsi="仿宋" w:eastAsia="仿宋" w:cs="Arial"/>
                <w:bCs/>
                <w:color w:val="000000"/>
                <w:sz w:val="24"/>
              </w:rPr>
              <w:t>供应商在“政府采购云平台”完成电子加密“磋商响应文件”的在线传输递交后，还可以在磋商响应文件提交截止时间前通过邮寄等方式送达以介质存储的数据电文形式的“备份磋商响应文件”。</w:t>
            </w:r>
            <w:r>
              <w:rPr>
                <w:rFonts w:hint="eastAsia" w:ascii="仿宋" w:hAnsi="仿宋" w:eastAsia="仿宋" w:cs="Arial"/>
                <w:bCs/>
                <w:color w:val="000000"/>
                <w:sz w:val="24"/>
                <w:u w:val="single"/>
              </w:rPr>
              <w:t>“备份磋商响应文件”由供应商自愿递交，竞争性磋商文件不作强制性要求，</w:t>
            </w:r>
            <w:r>
              <w:rPr>
                <w:rFonts w:hint="eastAsia" w:ascii="仿宋" w:hAnsi="仿宋" w:eastAsia="仿宋" w:cs="Arial"/>
                <w:b/>
                <w:color w:val="000000"/>
                <w:sz w:val="24"/>
                <w:u w:val="single"/>
              </w:rPr>
              <w:t>但供应商仅递交了“备份磋商响应文件”的，磋商响应无效</w:t>
            </w:r>
            <w:r>
              <w:rPr>
                <w:rFonts w:hint="eastAsia" w:ascii="仿宋" w:hAnsi="仿宋" w:eastAsia="仿宋" w:cs="Arial"/>
                <w:b/>
                <w:color w:val="000000"/>
                <w:sz w:val="24"/>
              </w:rPr>
              <w:t>。</w:t>
            </w:r>
          </w:p>
        </w:tc>
      </w:tr>
      <w:tr w14:paraId="1B12B79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EE71B33">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4.7.2</w:t>
            </w:r>
          </w:p>
        </w:tc>
        <w:tc>
          <w:tcPr>
            <w:tcW w:w="2712" w:type="dxa"/>
            <w:noWrap/>
            <w:vAlign w:val="center"/>
          </w:tcPr>
          <w:p w14:paraId="730B4280">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sz w:val="24"/>
              </w:rPr>
              <w:t>备份磋商响应文件的编制</w:t>
            </w:r>
          </w:p>
        </w:tc>
        <w:tc>
          <w:tcPr>
            <w:tcW w:w="5811" w:type="dxa"/>
            <w:noWrap/>
            <w:vAlign w:val="center"/>
          </w:tcPr>
          <w:p w14:paraId="12031393">
            <w:pPr>
              <w:autoSpaceDE w:val="0"/>
              <w:autoSpaceDN w:val="0"/>
              <w:spacing w:line="276" w:lineRule="auto"/>
              <w:rPr>
                <w:rFonts w:hint="eastAsia" w:ascii="仿宋" w:hAnsi="仿宋" w:eastAsia="仿宋" w:cs="Arial"/>
                <w:b/>
                <w:color w:val="000000"/>
                <w:sz w:val="24"/>
              </w:rPr>
            </w:pPr>
            <w:r>
              <w:rPr>
                <w:rFonts w:hint="eastAsia" w:ascii="仿宋" w:hAnsi="仿宋" w:eastAsia="仿宋" w:cs="Arial"/>
                <w:bCs/>
                <w:color w:val="000000"/>
                <w:sz w:val="24"/>
              </w:rPr>
              <w:t>供应商递交的备份磋商响应文件应当是通过“政采云电子交易客户端”完成磋商响应文件编制后，与电子加密“磋商响应文件”同时生成的数据电文形式的未加密的备份磋商响应文件，文件格式“.bfbs”。</w:t>
            </w:r>
            <w:r>
              <w:rPr>
                <w:rFonts w:hint="eastAsia" w:ascii="仿宋" w:hAnsi="仿宋" w:eastAsia="仿宋" w:cs="Arial"/>
                <w:b/>
                <w:color w:val="000000"/>
                <w:sz w:val="24"/>
              </w:rPr>
              <w:t>以其他方式编制的“备份磋商响应文件”视为无效“备份磋商响应文件”。</w:t>
            </w:r>
          </w:p>
        </w:tc>
      </w:tr>
      <w:tr w14:paraId="5A46736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81AA0E8">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4.7.3</w:t>
            </w:r>
          </w:p>
        </w:tc>
        <w:tc>
          <w:tcPr>
            <w:tcW w:w="2712" w:type="dxa"/>
            <w:noWrap/>
            <w:vAlign w:val="center"/>
          </w:tcPr>
          <w:p w14:paraId="709BB7D3">
            <w:pPr>
              <w:autoSpaceDE w:val="0"/>
              <w:autoSpaceDN w:val="0"/>
              <w:spacing w:line="276" w:lineRule="auto"/>
              <w:jc w:val="center"/>
              <w:rPr>
                <w:rFonts w:hint="eastAsia" w:ascii="仿宋" w:hAnsi="仿宋" w:eastAsia="仿宋" w:cs="Arial"/>
                <w:b/>
                <w:color w:val="000000"/>
                <w:sz w:val="24"/>
              </w:rPr>
            </w:pPr>
            <w:r>
              <w:rPr>
                <w:rFonts w:hint="eastAsia" w:ascii="仿宋" w:hAnsi="仿宋" w:eastAsia="仿宋"/>
                <w:bCs/>
                <w:color w:val="000000"/>
                <w:sz w:val="24"/>
              </w:rPr>
              <w:t>备份磋商响应文件的存储、份数、密封包装、标识、递交接收</w:t>
            </w:r>
          </w:p>
        </w:tc>
        <w:tc>
          <w:tcPr>
            <w:tcW w:w="5811" w:type="dxa"/>
            <w:noWrap/>
            <w:vAlign w:val="center"/>
          </w:tcPr>
          <w:p w14:paraId="20E807CD">
            <w:pPr>
              <w:autoSpaceDE w:val="0"/>
              <w:autoSpaceDN w:val="0"/>
              <w:spacing w:line="276" w:lineRule="auto"/>
              <w:rPr>
                <w:rFonts w:hint="eastAsia" w:ascii="仿宋" w:hAnsi="仿宋" w:eastAsia="仿宋"/>
                <w:bCs/>
                <w:color w:val="000000"/>
                <w:sz w:val="24"/>
                <w:u w:val="single"/>
              </w:rPr>
            </w:pPr>
            <w:r>
              <w:rPr>
                <w:rFonts w:hint="eastAsia" w:ascii="仿宋" w:hAnsi="仿宋" w:eastAsia="仿宋"/>
                <w:b/>
                <w:color w:val="000000"/>
                <w:sz w:val="24"/>
              </w:rPr>
              <w:t>（1）备份磋商响应文件的存储：</w:t>
            </w:r>
            <w:r>
              <w:rPr>
                <w:rFonts w:hint="eastAsia" w:ascii="仿宋" w:hAnsi="仿宋" w:eastAsia="仿宋"/>
                <w:bCs/>
                <w:color w:val="000000"/>
                <w:sz w:val="24"/>
                <w:u w:val="single"/>
              </w:rPr>
              <w:t>以U盘或光盘介质存储</w:t>
            </w:r>
            <w:r>
              <w:rPr>
                <w:rFonts w:hint="eastAsia" w:ascii="仿宋" w:hAnsi="仿宋" w:eastAsia="仿宋"/>
                <w:bCs/>
                <w:color w:val="000000"/>
                <w:sz w:val="24"/>
              </w:rPr>
              <w:t>；</w:t>
            </w:r>
          </w:p>
          <w:p w14:paraId="007FF78D">
            <w:pPr>
              <w:autoSpaceDE w:val="0"/>
              <w:autoSpaceDN w:val="0"/>
              <w:spacing w:line="276" w:lineRule="auto"/>
              <w:rPr>
                <w:rFonts w:hint="eastAsia" w:ascii="仿宋" w:hAnsi="仿宋" w:eastAsia="仿宋"/>
                <w:b/>
                <w:color w:val="000000"/>
                <w:sz w:val="24"/>
              </w:rPr>
            </w:pPr>
            <w:r>
              <w:rPr>
                <w:rFonts w:hint="eastAsia" w:ascii="仿宋" w:hAnsi="仿宋" w:eastAsia="仿宋"/>
                <w:b/>
                <w:color w:val="000000"/>
                <w:sz w:val="24"/>
              </w:rPr>
              <w:t>（2）备份磋商响应文件的份数：</w:t>
            </w:r>
            <w:r>
              <w:rPr>
                <w:rFonts w:hint="eastAsia" w:ascii="仿宋" w:hAnsi="仿宋" w:eastAsia="仿宋"/>
                <w:bCs/>
                <w:color w:val="000000"/>
                <w:sz w:val="24"/>
                <w:u w:val="single"/>
              </w:rPr>
              <w:t>1份</w:t>
            </w:r>
            <w:r>
              <w:rPr>
                <w:rFonts w:hint="eastAsia" w:ascii="仿宋" w:hAnsi="仿宋" w:eastAsia="仿宋"/>
                <w:bCs/>
                <w:color w:val="000000"/>
                <w:sz w:val="24"/>
              </w:rPr>
              <w:t>；</w:t>
            </w:r>
          </w:p>
          <w:p w14:paraId="484898EA">
            <w:pPr>
              <w:autoSpaceDE w:val="0"/>
              <w:autoSpaceDN w:val="0"/>
              <w:spacing w:line="276" w:lineRule="auto"/>
              <w:rPr>
                <w:rFonts w:hint="eastAsia" w:ascii="仿宋" w:hAnsi="仿宋" w:eastAsia="仿宋"/>
                <w:bCs/>
                <w:color w:val="000000"/>
                <w:sz w:val="24"/>
              </w:rPr>
            </w:pPr>
            <w:r>
              <w:rPr>
                <w:rFonts w:hint="eastAsia" w:ascii="仿宋" w:hAnsi="仿宋" w:eastAsia="仿宋"/>
                <w:b/>
                <w:color w:val="000000"/>
                <w:sz w:val="24"/>
              </w:rPr>
              <w:t>（3）备份磋商响应文件的密封包装、标识：</w:t>
            </w:r>
            <w:r>
              <w:rPr>
                <w:rFonts w:hint="eastAsia" w:ascii="仿宋" w:hAnsi="仿宋" w:eastAsia="仿宋"/>
                <w:bCs/>
                <w:color w:val="000000"/>
                <w:sz w:val="24"/>
                <w:u w:val="single"/>
              </w:rPr>
              <w:t>“备份磋商响应文件”应当密封包装并在外包装上标注项目名称、磋商响应供应商名称并加盖公章。“备份磋商响应文件”没有密封包装或标识或盖章的视为未递交</w:t>
            </w:r>
            <w:r>
              <w:rPr>
                <w:rFonts w:hint="eastAsia" w:ascii="仿宋" w:hAnsi="仿宋" w:eastAsia="仿宋"/>
                <w:bCs/>
                <w:color w:val="000000"/>
                <w:sz w:val="24"/>
              </w:rPr>
              <w:t>；</w:t>
            </w:r>
          </w:p>
          <w:p w14:paraId="241F27CC">
            <w:pPr>
              <w:autoSpaceDE w:val="0"/>
              <w:autoSpaceDN w:val="0"/>
              <w:spacing w:line="276" w:lineRule="auto"/>
              <w:rPr>
                <w:rFonts w:hint="eastAsia" w:ascii="仿宋" w:hAnsi="仿宋" w:eastAsia="仿宋"/>
                <w:b/>
                <w:color w:val="000000"/>
                <w:sz w:val="24"/>
              </w:rPr>
            </w:pPr>
            <w:r>
              <w:rPr>
                <w:rFonts w:hint="eastAsia" w:ascii="仿宋" w:hAnsi="仿宋" w:eastAsia="仿宋"/>
                <w:b/>
                <w:color w:val="000000"/>
                <w:sz w:val="24"/>
              </w:rPr>
              <w:t>（4）备份磋商响应文件的递交与接收：</w:t>
            </w:r>
            <w:r>
              <w:rPr>
                <w:rFonts w:hint="eastAsia" w:ascii="仿宋" w:hAnsi="仿宋" w:eastAsia="仿宋"/>
                <w:b/>
                <w:color w:val="000000"/>
                <w:sz w:val="24"/>
                <w:u w:val="single"/>
              </w:rPr>
              <w:t>磋商响应文件提交截止时间前邮寄等方式送达至采购组织机构（浙江省成套招标代理公司，杭州市文晖路42号现代置业大厦西楼1801室，张柳霞收，18958055955），</w:t>
            </w:r>
            <w:r>
              <w:rPr>
                <w:rFonts w:hint="eastAsia" w:ascii="仿宋" w:hAnsi="仿宋" w:eastAsia="仿宋"/>
                <w:bCs/>
                <w:color w:val="000000"/>
                <w:sz w:val="24"/>
                <w:u w:val="single"/>
              </w:rPr>
              <w:t>送达时间以采购组织机构实际签收时间为准。“备份磋商响应文件”逾期送达的视为未递交，建议供应商提前3日办理邮寄事宜</w:t>
            </w:r>
            <w:r>
              <w:rPr>
                <w:rFonts w:hint="eastAsia" w:ascii="仿宋" w:hAnsi="仿宋" w:eastAsia="仿宋"/>
                <w:bCs/>
                <w:color w:val="000000"/>
                <w:sz w:val="24"/>
              </w:rPr>
              <w:t>。</w:t>
            </w:r>
          </w:p>
        </w:tc>
      </w:tr>
      <w:tr w14:paraId="14C28B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BC73740">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4.6</w:t>
            </w:r>
          </w:p>
        </w:tc>
        <w:tc>
          <w:tcPr>
            <w:tcW w:w="2712" w:type="dxa"/>
            <w:noWrap/>
            <w:vAlign w:val="center"/>
          </w:tcPr>
          <w:p w14:paraId="049F687F">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磋商响应文件</w:t>
            </w:r>
            <w:r>
              <w:rPr>
                <w:rFonts w:ascii="仿宋" w:hAnsi="仿宋" w:eastAsia="仿宋" w:cs="Arial"/>
                <w:color w:val="000000"/>
                <w:sz w:val="24"/>
              </w:rPr>
              <w:t>有效期</w:t>
            </w:r>
          </w:p>
        </w:tc>
        <w:tc>
          <w:tcPr>
            <w:tcW w:w="5811" w:type="dxa"/>
            <w:noWrap/>
            <w:vAlign w:val="center"/>
          </w:tcPr>
          <w:p w14:paraId="7278863B">
            <w:pPr>
              <w:autoSpaceDE w:val="0"/>
              <w:autoSpaceDN w:val="0"/>
              <w:spacing w:line="276" w:lineRule="auto"/>
              <w:rPr>
                <w:rFonts w:hint="eastAsia" w:ascii="仿宋" w:hAnsi="仿宋" w:eastAsia="仿宋" w:cs="Arial"/>
                <w:b/>
                <w:color w:val="000000"/>
                <w:sz w:val="24"/>
              </w:rPr>
            </w:pPr>
            <w:r>
              <w:rPr>
                <w:rFonts w:ascii="仿宋" w:hAnsi="仿宋" w:eastAsia="仿宋" w:cs="Arial"/>
                <w:b/>
                <w:color w:val="000000"/>
                <w:sz w:val="24"/>
              </w:rPr>
              <w:t>自</w:t>
            </w:r>
            <w:r>
              <w:rPr>
                <w:rFonts w:hint="eastAsia" w:ascii="仿宋" w:hAnsi="仿宋" w:eastAsia="仿宋" w:cs="Arial"/>
                <w:b/>
                <w:color w:val="000000"/>
                <w:sz w:val="24"/>
              </w:rPr>
              <w:t>磋商响应文件提交</w:t>
            </w:r>
            <w:r>
              <w:rPr>
                <w:rFonts w:ascii="仿宋" w:hAnsi="仿宋" w:eastAsia="仿宋" w:cs="Arial"/>
                <w:b/>
                <w:color w:val="000000"/>
                <w:sz w:val="24"/>
              </w:rPr>
              <w:t>截止之日起</w:t>
            </w:r>
            <w:r>
              <w:rPr>
                <w:rFonts w:hint="eastAsia" w:ascii="仿宋" w:hAnsi="仿宋" w:eastAsia="仿宋" w:cs="Arial"/>
                <w:b/>
                <w:color w:val="000000"/>
                <w:sz w:val="24"/>
                <w:u w:val="single"/>
              </w:rPr>
              <w:t>9</w:t>
            </w:r>
            <w:r>
              <w:rPr>
                <w:rFonts w:ascii="仿宋" w:hAnsi="仿宋" w:eastAsia="仿宋" w:cs="Arial"/>
                <w:b/>
                <w:color w:val="000000"/>
                <w:sz w:val="24"/>
                <w:u w:val="single"/>
              </w:rPr>
              <w:t>0</w:t>
            </w:r>
            <w:r>
              <w:rPr>
                <w:rFonts w:ascii="仿宋" w:hAnsi="仿宋" w:eastAsia="仿宋" w:cs="Arial"/>
                <w:b/>
                <w:color w:val="000000"/>
                <w:sz w:val="24"/>
              </w:rPr>
              <w:t>天</w:t>
            </w:r>
            <w:r>
              <w:rPr>
                <w:rFonts w:hint="eastAsia" w:ascii="仿宋" w:hAnsi="仿宋" w:eastAsia="仿宋" w:cs="Arial"/>
                <w:b/>
                <w:color w:val="000000"/>
                <w:sz w:val="24"/>
              </w:rPr>
              <w:t>内保持有效，否则磋商响应无效。</w:t>
            </w:r>
          </w:p>
        </w:tc>
      </w:tr>
      <w:tr w14:paraId="12928F4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6624665">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5.1.1</w:t>
            </w:r>
          </w:p>
        </w:tc>
        <w:tc>
          <w:tcPr>
            <w:tcW w:w="2712" w:type="dxa"/>
            <w:noWrap/>
            <w:vAlign w:val="center"/>
          </w:tcPr>
          <w:p w14:paraId="03334CA3">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响应文件提交</w:t>
            </w:r>
            <w:r>
              <w:rPr>
                <w:rFonts w:ascii="仿宋" w:hAnsi="仿宋" w:eastAsia="仿宋" w:cs="Arial"/>
                <w:color w:val="000000"/>
                <w:sz w:val="24"/>
              </w:rPr>
              <w:t>截止时间</w:t>
            </w:r>
          </w:p>
        </w:tc>
        <w:tc>
          <w:tcPr>
            <w:tcW w:w="5811" w:type="dxa"/>
            <w:noWrap/>
            <w:vAlign w:val="center"/>
          </w:tcPr>
          <w:p w14:paraId="620FC8AD">
            <w:pPr>
              <w:autoSpaceDE w:val="0"/>
              <w:autoSpaceDN w:val="0"/>
              <w:spacing w:line="276" w:lineRule="auto"/>
              <w:rPr>
                <w:rFonts w:hint="eastAsia" w:ascii="仿宋" w:hAnsi="仿宋" w:eastAsia="仿宋" w:cs="Arial"/>
                <w:color w:val="000000"/>
                <w:sz w:val="24"/>
              </w:rPr>
            </w:pPr>
            <w:r>
              <w:rPr>
                <w:rFonts w:hint="eastAsia" w:ascii="仿宋" w:hAnsi="仿宋" w:eastAsia="仿宋" w:cs="Arial"/>
                <w:color w:val="000000"/>
                <w:sz w:val="24"/>
              </w:rPr>
              <w:t>见第一章竞争性磋商公告</w:t>
            </w:r>
          </w:p>
        </w:tc>
      </w:tr>
      <w:tr w14:paraId="1A3BA04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B8FA65C">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5.2.1</w:t>
            </w:r>
          </w:p>
        </w:tc>
        <w:tc>
          <w:tcPr>
            <w:tcW w:w="2712" w:type="dxa"/>
            <w:noWrap/>
            <w:vAlign w:val="center"/>
          </w:tcPr>
          <w:p w14:paraId="70EDCBCB">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olor w:val="000000"/>
                <w:sz w:val="24"/>
              </w:rPr>
              <w:t>磋商响应文件提交地点</w:t>
            </w:r>
          </w:p>
        </w:tc>
        <w:tc>
          <w:tcPr>
            <w:tcW w:w="5811" w:type="dxa"/>
            <w:noWrap/>
            <w:vAlign w:val="center"/>
          </w:tcPr>
          <w:p w14:paraId="6DB029AC">
            <w:pPr>
              <w:autoSpaceDE w:val="0"/>
              <w:autoSpaceDN w:val="0"/>
              <w:spacing w:line="276" w:lineRule="auto"/>
              <w:rPr>
                <w:rFonts w:hint="eastAsia" w:ascii="仿宋" w:hAnsi="仿宋" w:eastAsia="仿宋" w:cs="Arial"/>
                <w:color w:val="000000"/>
                <w:sz w:val="24"/>
              </w:rPr>
            </w:pPr>
            <w:r>
              <w:rPr>
                <w:rFonts w:hint="eastAsia" w:ascii="仿宋" w:hAnsi="仿宋" w:eastAsia="仿宋" w:cs="Arial"/>
                <w:b/>
                <w:color w:val="000000"/>
                <w:sz w:val="24"/>
                <w:u w:val="single"/>
              </w:rPr>
              <w:t>政府采购云平台</w:t>
            </w:r>
            <w:r>
              <w:rPr>
                <w:rFonts w:hint="eastAsia" w:ascii="仿宋" w:hAnsi="仿宋" w:eastAsia="仿宋" w:cs="Arial"/>
                <w:color w:val="000000"/>
                <w:sz w:val="24"/>
                <w:u w:val="single"/>
              </w:rPr>
              <w:t>，网址：</w:t>
            </w:r>
            <w:r>
              <w:fldChar w:fldCharType="begin"/>
            </w:r>
            <w:r>
              <w:instrText xml:space="preserve"> HYPERLINK "http://www.zcygov.cn" </w:instrText>
            </w:r>
            <w:r>
              <w:fldChar w:fldCharType="separate"/>
            </w:r>
            <w:r>
              <w:rPr>
                <w:rStyle w:val="59"/>
                <w:rFonts w:ascii="仿宋" w:hAnsi="仿宋" w:eastAsia="仿宋" w:cs="Arial"/>
                <w:color w:val="auto"/>
                <w:sz w:val="24"/>
              </w:rPr>
              <w:t>www.zcygov.cn</w:t>
            </w:r>
            <w:r>
              <w:rPr>
                <w:rStyle w:val="59"/>
                <w:rFonts w:ascii="仿宋" w:hAnsi="仿宋" w:eastAsia="仿宋" w:cs="Arial"/>
                <w:color w:val="auto"/>
                <w:sz w:val="24"/>
              </w:rPr>
              <w:fldChar w:fldCharType="end"/>
            </w:r>
          </w:p>
        </w:tc>
      </w:tr>
      <w:tr w14:paraId="69DB354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C816457">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5.3.1</w:t>
            </w:r>
          </w:p>
        </w:tc>
        <w:tc>
          <w:tcPr>
            <w:tcW w:w="2712" w:type="dxa"/>
            <w:noWrap/>
            <w:vAlign w:val="center"/>
          </w:tcPr>
          <w:p w14:paraId="0AF34A8E">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磋商响应文件的传输递交</w:t>
            </w:r>
          </w:p>
        </w:tc>
        <w:tc>
          <w:tcPr>
            <w:tcW w:w="5811" w:type="dxa"/>
            <w:noWrap/>
            <w:vAlign w:val="center"/>
          </w:tcPr>
          <w:p w14:paraId="327FE142">
            <w:pPr>
              <w:autoSpaceDE w:val="0"/>
              <w:autoSpaceDN w:val="0"/>
              <w:spacing w:line="276" w:lineRule="auto"/>
              <w:rPr>
                <w:rFonts w:hint="eastAsia" w:ascii="仿宋" w:hAnsi="仿宋" w:eastAsia="仿宋" w:cs="Arial"/>
                <w:b/>
                <w:color w:val="000000"/>
                <w:sz w:val="24"/>
                <w:u w:val="single"/>
              </w:rPr>
            </w:pPr>
            <w:r>
              <w:rPr>
                <w:rFonts w:hint="eastAsia" w:ascii="仿宋" w:hAnsi="仿宋" w:eastAsia="仿宋"/>
                <w:b/>
                <w:color w:val="000000"/>
                <w:sz w:val="24"/>
              </w:rPr>
              <w:t>（1）</w:t>
            </w:r>
            <w:r>
              <w:rPr>
                <w:rFonts w:hint="eastAsia" w:ascii="仿宋" w:hAnsi="仿宋" w:eastAsia="仿宋" w:cs="Arial"/>
                <w:b/>
                <w:color w:val="000000"/>
                <w:sz w:val="24"/>
                <w:u w:val="single"/>
              </w:rPr>
              <w:t>供应商应当在磋商响应文件提交截止时间前完成磋商响应文件的传输递交。磋商响应文件提交截止时间前未完成传输的，视为撤回磋商响应文件。磋商响应文件提交截止时间以后递交的磋商响应文件，“政府采购云平台”将予以拒收</w:t>
            </w:r>
            <w:r>
              <w:rPr>
                <w:rFonts w:hint="eastAsia" w:ascii="仿宋" w:hAnsi="仿宋" w:eastAsia="仿宋" w:cs="Arial"/>
                <w:b/>
                <w:color w:val="000000"/>
                <w:sz w:val="24"/>
              </w:rPr>
              <w:t>；</w:t>
            </w:r>
          </w:p>
          <w:p w14:paraId="6EF1793D">
            <w:pPr>
              <w:autoSpaceDE w:val="0"/>
              <w:autoSpaceDN w:val="0"/>
              <w:spacing w:line="276" w:lineRule="auto"/>
              <w:rPr>
                <w:rFonts w:hint="eastAsia" w:ascii="仿宋" w:hAnsi="仿宋" w:eastAsia="仿宋"/>
                <w:bCs/>
                <w:color w:val="000000"/>
                <w:sz w:val="24"/>
              </w:rPr>
            </w:pPr>
            <w:r>
              <w:rPr>
                <w:rFonts w:hint="eastAsia" w:ascii="仿宋" w:hAnsi="仿宋" w:eastAsia="仿宋"/>
                <w:bCs/>
                <w:color w:val="000000"/>
                <w:sz w:val="24"/>
              </w:rPr>
              <w:t>（2）磋商响应文件成功传输递交后，供应商可自行打印磋商响应文件接收回执；</w:t>
            </w:r>
          </w:p>
          <w:p w14:paraId="40C51850">
            <w:pPr>
              <w:autoSpaceDE w:val="0"/>
              <w:autoSpaceDN w:val="0"/>
              <w:spacing w:line="276" w:lineRule="auto"/>
              <w:rPr>
                <w:rFonts w:hint="eastAsia" w:ascii="仿宋" w:hAnsi="仿宋" w:eastAsia="仿宋"/>
                <w:bCs/>
                <w:color w:val="000000"/>
                <w:sz w:val="24"/>
              </w:rPr>
            </w:pPr>
            <w:r>
              <w:rPr>
                <w:rFonts w:hint="eastAsia" w:ascii="仿宋" w:hAnsi="仿宋" w:eastAsia="仿宋"/>
                <w:bCs/>
                <w:color w:val="000000"/>
                <w:sz w:val="24"/>
              </w:rPr>
              <w:t>（3）磋商响应文件提交截止时间前，除供应商补充、修改或者撤回磋商响应文件外，任何单位和个人不得解密或提取磋商响应文件；</w:t>
            </w:r>
          </w:p>
          <w:p w14:paraId="64429857">
            <w:pPr>
              <w:autoSpaceDE w:val="0"/>
              <w:autoSpaceDN w:val="0"/>
              <w:spacing w:line="276" w:lineRule="auto"/>
              <w:rPr>
                <w:rFonts w:hint="eastAsia" w:ascii="仿宋" w:hAnsi="仿宋" w:eastAsia="仿宋" w:cs="Arial"/>
                <w:color w:val="000000"/>
                <w:sz w:val="24"/>
              </w:rPr>
            </w:pPr>
            <w:r>
              <w:rPr>
                <w:rFonts w:hint="eastAsia" w:ascii="仿宋" w:hAnsi="仿宋" w:eastAsia="仿宋"/>
                <w:b/>
                <w:color w:val="000000"/>
                <w:sz w:val="24"/>
              </w:rPr>
              <w:t>提示：</w:t>
            </w:r>
            <w:r>
              <w:rPr>
                <w:rFonts w:hint="eastAsia" w:ascii="仿宋" w:hAnsi="仿宋" w:eastAsia="仿宋"/>
                <w:b/>
                <w:color w:val="000000"/>
                <w:sz w:val="24"/>
                <w:u w:val="single"/>
              </w:rPr>
              <w:t>供应商传输递交的“磋商响应文件”应是通过“政采云电子交易客户端”，并按竞争性磋商文件和“政府采购云平台”要求编制并加密的电子加密磋商响应文件</w:t>
            </w:r>
            <w:r>
              <w:rPr>
                <w:rFonts w:hint="eastAsia" w:ascii="仿宋" w:hAnsi="仿宋" w:eastAsia="仿宋"/>
                <w:b/>
                <w:color w:val="000000"/>
                <w:sz w:val="24"/>
              </w:rPr>
              <w:t>。</w:t>
            </w:r>
          </w:p>
        </w:tc>
      </w:tr>
      <w:tr w14:paraId="7A42D31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9986979">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6.1.1</w:t>
            </w:r>
          </w:p>
        </w:tc>
        <w:tc>
          <w:tcPr>
            <w:tcW w:w="2712" w:type="dxa"/>
            <w:noWrap/>
            <w:vAlign w:val="center"/>
          </w:tcPr>
          <w:p w14:paraId="0712F7AA">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磋商时间</w:t>
            </w:r>
          </w:p>
        </w:tc>
        <w:tc>
          <w:tcPr>
            <w:tcW w:w="5811" w:type="dxa"/>
            <w:noWrap/>
            <w:vAlign w:val="center"/>
          </w:tcPr>
          <w:p w14:paraId="7DB3EAC7">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同</w:t>
            </w:r>
            <w:r>
              <w:rPr>
                <w:rFonts w:hAnsi="仿宋" w:eastAsia="仿宋"/>
                <w:b/>
                <w:bCs/>
                <w:color w:val="000000"/>
                <w:kern w:val="0"/>
                <w:sz w:val="24"/>
              </w:rPr>
              <w:t>磋商响应文件</w:t>
            </w:r>
            <w:r>
              <w:rPr>
                <w:rFonts w:hint="eastAsia" w:hAnsi="仿宋" w:eastAsia="仿宋"/>
                <w:b/>
                <w:bCs/>
                <w:color w:val="000000"/>
                <w:kern w:val="0"/>
                <w:sz w:val="24"/>
              </w:rPr>
              <w:t>提交</w:t>
            </w:r>
            <w:r>
              <w:rPr>
                <w:rFonts w:hAnsi="仿宋" w:eastAsia="仿宋"/>
                <w:b/>
                <w:bCs/>
                <w:color w:val="000000"/>
                <w:kern w:val="0"/>
                <w:sz w:val="24"/>
              </w:rPr>
              <w:t>截止</w:t>
            </w:r>
            <w:r>
              <w:rPr>
                <w:rFonts w:hint="eastAsia" w:ascii="仿宋" w:hAnsi="仿宋" w:eastAsia="仿宋" w:cs="Arial"/>
                <w:b/>
                <w:color w:val="000000"/>
                <w:sz w:val="24"/>
              </w:rPr>
              <w:t>时间</w:t>
            </w:r>
          </w:p>
        </w:tc>
      </w:tr>
      <w:tr w14:paraId="7C1C31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70A84043">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6.1.2</w:t>
            </w:r>
          </w:p>
        </w:tc>
        <w:tc>
          <w:tcPr>
            <w:tcW w:w="2712" w:type="dxa"/>
            <w:noWrap/>
            <w:vAlign w:val="center"/>
          </w:tcPr>
          <w:p w14:paraId="01B64BBF">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磋商地点</w:t>
            </w:r>
          </w:p>
        </w:tc>
        <w:tc>
          <w:tcPr>
            <w:tcW w:w="5811" w:type="dxa"/>
            <w:noWrap/>
            <w:vAlign w:val="center"/>
          </w:tcPr>
          <w:p w14:paraId="4984862C">
            <w:pPr>
              <w:autoSpaceDE w:val="0"/>
              <w:autoSpaceDN w:val="0"/>
              <w:spacing w:line="276" w:lineRule="auto"/>
              <w:rPr>
                <w:rFonts w:hint="eastAsia" w:ascii="仿宋" w:hAnsi="仿宋" w:eastAsia="仿宋" w:cs="Arial"/>
                <w:color w:val="000000"/>
                <w:sz w:val="24"/>
              </w:rPr>
            </w:pPr>
            <w:r>
              <w:rPr>
                <w:rFonts w:hint="eastAsia" w:ascii="仿宋" w:hAnsi="仿宋" w:eastAsia="仿宋" w:cs="Arial"/>
                <w:b/>
                <w:color w:val="000000"/>
                <w:sz w:val="24"/>
              </w:rPr>
              <w:t>政府采购云平台</w:t>
            </w:r>
            <w:r>
              <w:rPr>
                <w:rFonts w:hint="eastAsia" w:ascii="仿宋" w:hAnsi="仿宋" w:eastAsia="仿宋" w:cs="Arial"/>
                <w:color w:val="000000"/>
                <w:sz w:val="24"/>
              </w:rPr>
              <w:t>，网址：</w:t>
            </w:r>
            <w:r>
              <w:fldChar w:fldCharType="begin"/>
            </w:r>
            <w:r>
              <w:instrText xml:space="preserve"> HYPERLINK "http://www.zcygov.cn" </w:instrText>
            </w:r>
            <w:r>
              <w:fldChar w:fldCharType="separate"/>
            </w:r>
            <w:r>
              <w:rPr>
                <w:rFonts w:ascii="仿宋" w:hAnsi="仿宋" w:eastAsia="仿宋" w:cs="Arial"/>
                <w:color w:val="000000"/>
                <w:sz w:val="24"/>
              </w:rPr>
              <w:t>www.zcygov.cn</w:t>
            </w:r>
            <w:r>
              <w:rPr>
                <w:rFonts w:ascii="仿宋" w:hAnsi="仿宋" w:eastAsia="仿宋" w:cs="Arial"/>
                <w:color w:val="000000"/>
                <w:sz w:val="24"/>
              </w:rPr>
              <w:fldChar w:fldCharType="end"/>
            </w:r>
          </w:p>
        </w:tc>
      </w:tr>
      <w:tr w14:paraId="5F9EB39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095CC74">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6.2.2</w:t>
            </w:r>
          </w:p>
        </w:tc>
        <w:tc>
          <w:tcPr>
            <w:tcW w:w="2712" w:type="dxa"/>
            <w:noWrap/>
            <w:vAlign w:val="center"/>
          </w:tcPr>
          <w:p w14:paraId="6DD15594">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磋商邀请</w:t>
            </w:r>
          </w:p>
        </w:tc>
        <w:tc>
          <w:tcPr>
            <w:tcW w:w="5811" w:type="dxa"/>
            <w:noWrap/>
            <w:vAlign w:val="center"/>
          </w:tcPr>
          <w:p w14:paraId="12CD0DFF">
            <w:pPr>
              <w:autoSpaceDE w:val="0"/>
              <w:autoSpaceDN w:val="0"/>
              <w:spacing w:line="276" w:lineRule="auto"/>
              <w:rPr>
                <w:rFonts w:hint="eastAsia" w:ascii="仿宋" w:hAnsi="仿宋" w:eastAsia="仿宋" w:cs="Arial"/>
                <w:color w:val="000000"/>
                <w:sz w:val="24"/>
              </w:rPr>
            </w:pPr>
            <w:r>
              <w:rPr>
                <w:rFonts w:hint="eastAsia" w:ascii="仿宋" w:hAnsi="仿宋" w:eastAsia="仿宋" w:cs="Arial"/>
                <w:b/>
                <w:color w:val="000000"/>
                <w:sz w:val="24"/>
              </w:rPr>
              <w:t>本项目采用电子交易，采购组织机构将按照磋商文件规定的时间通过“政府采购云平台，网址：</w:t>
            </w:r>
            <w:r>
              <w:fldChar w:fldCharType="begin"/>
            </w:r>
            <w:r>
              <w:instrText xml:space="preserve"> HYPERLINK "http://www.zcygov.cn" </w:instrText>
            </w:r>
            <w:r>
              <w:fldChar w:fldCharType="separate"/>
            </w:r>
            <w:r>
              <w:rPr>
                <w:rFonts w:hint="eastAsia" w:ascii="仿宋" w:hAnsi="仿宋" w:eastAsia="仿宋" w:cs="Arial"/>
                <w:b/>
                <w:color w:val="000000"/>
                <w:sz w:val="24"/>
              </w:rPr>
              <w:t>www.zcygov.cn</w:t>
            </w:r>
            <w:r>
              <w:rPr>
                <w:rFonts w:hint="eastAsia" w:ascii="仿宋" w:hAnsi="仿宋" w:eastAsia="仿宋" w:cs="Arial"/>
                <w:b/>
                <w:color w:val="000000"/>
                <w:sz w:val="24"/>
              </w:rPr>
              <w:fldChar w:fldCharType="end"/>
            </w:r>
            <w:r>
              <w:rPr>
                <w:rFonts w:hint="eastAsia" w:ascii="仿宋" w:hAnsi="仿宋" w:eastAsia="仿宋" w:cs="Arial"/>
                <w:b/>
                <w:color w:val="000000"/>
                <w:sz w:val="24"/>
              </w:rPr>
              <w:t>”组织开标、开启磋商响应文件，所有供应商均应当准时在线参加。</w:t>
            </w:r>
          </w:p>
        </w:tc>
      </w:tr>
      <w:tr w14:paraId="5599C2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65CC4C1">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sz w:val="24"/>
              </w:rPr>
              <w:t>6.3.1</w:t>
            </w:r>
          </w:p>
        </w:tc>
        <w:tc>
          <w:tcPr>
            <w:tcW w:w="2712" w:type="dxa"/>
            <w:noWrap/>
            <w:vAlign w:val="center"/>
          </w:tcPr>
          <w:p w14:paraId="0FF50798">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sz w:val="24"/>
              </w:rPr>
              <w:t>磋商响应文件的解密</w:t>
            </w:r>
          </w:p>
        </w:tc>
        <w:tc>
          <w:tcPr>
            <w:tcW w:w="5811" w:type="dxa"/>
            <w:noWrap/>
            <w:vAlign w:val="center"/>
          </w:tcPr>
          <w:p w14:paraId="4630FFC6">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开标后，采购组织机构在政府采购云平台在线发出“磋商响应文件解密”通知，</w:t>
            </w:r>
            <w:r>
              <w:rPr>
                <w:rFonts w:hint="eastAsia" w:ascii="仿宋" w:hAnsi="仿宋" w:eastAsia="仿宋" w:cs="Arial"/>
                <w:b/>
                <w:color w:val="000000"/>
                <w:kern w:val="0"/>
                <w:sz w:val="24"/>
                <w:szCs w:val="22"/>
              </w:rPr>
              <w:t>启动磋商响应文件的解密程序；</w:t>
            </w:r>
            <w:r>
              <w:rPr>
                <w:rFonts w:hint="eastAsia" w:ascii="仿宋" w:hAnsi="仿宋" w:eastAsia="仿宋" w:cs="Arial"/>
                <w:b/>
                <w:color w:val="000000"/>
                <w:sz w:val="24"/>
              </w:rPr>
              <w:t>各磋商响应供应商应当在解密通知发出后30分钟内自行完成磋商响应文件的在线解密。供应商的磋商响应文件无法按时解密的，按磋商文件中“磋商响应文件解密异常情况处理办法</w:t>
            </w:r>
            <w:r>
              <w:rPr>
                <w:rFonts w:ascii="仿宋" w:hAnsi="仿宋" w:eastAsia="仿宋" w:cs="Arial"/>
                <w:b/>
                <w:color w:val="000000"/>
                <w:sz w:val="24"/>
              </w:rPr>
              <w:t>”</w:t>
            </w:r>
            <w:r>
              <w:rPr>
                <w:rFonts w:hint="eastAsia" w:ascii="仿宋" w:hAnsi="仿宋" w:eastAsia="仿宋" w:cs="Arial"/>
                <w:b/>
                <w:color w:val="000000"/>
                <w:sz w:val="24"/>
              </w:rPr>
              <w:t>进行处理。</w:t>
            </w:r>
          </w:p>
          <w:p w14:paraId="60D1398D">
            <w:pPr>
              <w:autoSpaceDE w:val="0"/>
              <w:autoSpaceDN w:val="0"/>
              <w:spacing w:line="276" w:lineRule="auto"/>
              <w:rPr>
                <w:rFonts w:hint="eastAsia" w:ascii="仿宋" w:hAnsi="仿宋" w:eastAsia="仿宋" w:cs="Arial"/>
                <w:b/>
                <w:color w:val="000000"/>
                <w:kern w:val="0"/>
                <w:sz w:val="24"/>
              </w:rPr>
            </w:pPr>
            <w:r>
              <w:rPr>
                <w:rFonts w:hint="eastAsia" w:ascii="仿宋" w:hAnsi="仿宋" w:eastAsia="仿宋" w:cs="Arial"/>
                <w:b/>
                <w:color w:val="000000"/>
                <w:sz w:val="24"/>
              </w:rPr>
              <w:t>备注：</w:t>
            </w:r>
            <w:r>
              <w:rPr>
                <w:rFonts w:hint="eastAsia" w:ascii="仿宋" w:hAnsi="仿宋" w:eastAsia="仿宋"/>
                <w:bCs/>
                <w:color w:val="000000"/>
                <w:sz w:val="24"/>
              </w:rPr>
              <w:t>磋商响应文件提交截止时间前，除供应商补充、修改或者撤回磋商响应文件外，任何单位和个人不得解密或提取磋商响应文件。</w:t>
            </w:r>
          </w:p>
        </w:tc>
      </w:tr>
      <w:tr w14:paraId="24C1B30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6BEA810">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sz w:val="24"/>
              </w:rPr>
              <w:t>6.3.1</w:t>
            </w:r>
          </w:p>
        </w:tc>
        <w:tc>
          <w:tcPr>
            <w:tcW w:w="2712" w:type="dxa"/>
            <w:noWrap/>
            <w:vAlign w:val="center"/>
          </w:tcPr>
          <w:p w14:paraId="5B421CDE">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sz w:val="24"/>
              </w:rPr>
              <w:t>磋商响应文件解密异常情况处理办法</w:t>
            </w:r>
          </w:p>
        </w:tc>
        <w:tc>
          <w:tcPr>
            <w:tcW w:w="5811" w:type="dxa"/>
            <w:noWrap/>
            <w:vAlign w:val="center"/>
          </w:tcPr>
          <w:p w14:paraId="125A4D30">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供应商传输递交至“政府采购云平台”的电子加密“磋商响应文件”无法按时解密时，按以下规定处理：</w:t>
            </w:r>
          </w:p>
          <w:p w14:paraId="2D4FEA6D">
            <w:pPr>
              <w:autoSpaceDE w:val="0"/>
              <w:autoSpaceDN w:val="0"/>
              <w:spacing w:line="276" w:lineRule="auto"/>
              <w:rPr>
                <w:rFonts w:hint="eastAsia" w:ascii="仿宋" w:hAnsi="仿宋" w:eastAsia="仿宋" w:cs="Arial"/>
                <w:bCs/>
                <w:color w:val="000000"/>
                <w:sz w:val="24"/>
              </w:rPr>
            </w:pPr>
            <w:r>
              <w:rPr>
                <w:rFonts w:hint="eastAsia" w:ascii="仿宋" w:hAnsi="仿宋" w:eastAsia="仿宋" w:cs="Arial"/>
                <w:bCs/>
                <w:color w:val="000000"/>
                <w:sz w:val="24"/>
              </w:rPr>
              <w:t>（1）已按规定递交了合格的“备份磋商响应文件”的，采购组织机构将拆封供应商递交的“备份磋商响应文件”，按“政府采购云平台”操作规范将“备份磋商响应文件”上传至“政府采购云平台”，并以“备份磋商响应文件”为依据进行评审。“备份磋商响应文件”上传成功后，已传输递交至“政府采购云平台”的电子加密“磋商响应文件”自动失效；</w:t>
            </w:r>
          </w:p>
          <w:p w14:paraId="6DE13614">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（2）</w:t>
            </w:r>
            <w:r>
              <w:rPr>
                <w:rFonts w:hint="eastAsia" w:ascii="仿宋" w:hAnsi="仿宋" w:eastAsia="仿宋" w:cs="Arial"/>
                <w:b/>
                <w:color w:val="000000"/>
                <w:sz w:val="24"/>
                <w:u w:val="single"/>
              </w:rPr>
              <w:t>未按规定递交合格“备份磋商响应文件”的或递交的“备份磋商响应文件”无法成功上传的，视为磋商响应文件撤回</w:t>
            </w:r>
            <w:r>
              <w:rPr>
                <w:rFonts w:hint="eastAsia" w:ascii="仿宋" w:hAnsi="仿宋" w:eastAsia="仿宋" w:cs="Arial"/>
                <w:b/>
                <w:color w:val="000000"/>
                <w:sz w:val="24"/>
              </w:rPr>
              <w:t>；</w:t>
            </w:r>
          </w:p>
          <w:p w14:paraId="73E49F57">
            <w:pPr>
              <w:autoSpaceDE w:val="0"/>
              <w:autoSpaceDN w:val="0"/>
              <w:spacing w:line="276" w:lineRule="auto"/>
              <w:rPr>
                <w:rFonts w:hint="eastAsia" w:ascii="仿宋" w:hAnsi="仿宋" w:eastAsia="仿宋" w:cs="Arial"/>
                <w:b/>
                <w:color w:val="000000"/>
                <w:kern w:val="0"/>
                <w:sz w:val="24"/>
              </w:rPr>
            </w:pPr>
            <w:r>
              <w:rPr>
                <w:rFonts w:hint="eastAsia" w:ascii="仿宋" w:hAnsi="仿宋" w:eastAsia="仿宋" w:cs="Arial"/>
                <w:bCs/>
                <w:color w:val="000000"/>
                <w:sz w:val="24"/>
              </w:rPr>
              <w:t>（3）备份磋商响应文件上传成功后视为磋商响应文件解密成功，供应商可以进入后续评审。</w:t>
            </w:r>
          </w:p>
        </w:tc>
      </w:tr>
      <w:tr w14:paraId="4A20F81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35FE1F6F">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bCs/>
                <w:color w:val="000000"/>
                <w:kern w:val="0"/>
                <w:sz w:val="24"/>
              </w:rPr>
              <w:t>7.7.2</w:t>
            </w:r>
          </w:p>
        </w:tc>
        <w:tc>
          <w:tcPr>
            <w:tcW w:w="2712" w:type="dxa"/>
            <w:noWrap/>
            <w:vAlign w:val="center"/>
          </w:tcPr>
          <w:p w14:paraId="7108C3E2">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sz w:val="24"/>
              </w:rPr>
              <w:t>供应商</w:t>
            </w:r>
            <w:r>
              <w:rPr>
                <w:rFonts w:ascii="仿宋" w:hAnsi="仿宋" w:eastAsia="仿宋" w:cs="Arial"/>
                <w:bCs/>
                <w:color w:val="000000"/>
                <w:sz w:val="24"/>
              </w:rPr>
              <w:t>信用</w:t>
            </w:r>
            <w:r>
              <w:rPr>
                <w:rFonts w:hint="eastAsia" w:ascii="仿宋" w:hAnsi="仿宋" w:eastAsia="仿宋" w:cs="Arial"/>
                <w:bCs/>
                <w:color w:val="000000"/>
                <w:sz w:val="24"/>
              </w:rPr>
              <w:t>信息</w:t>
            </w:r>
          </w:p>
          <w:p w14:paraId="784F97C7">
            <w:pPr>
              <w:autoSpaceDE w:val="0"/>
              <w:autoSpaceDN w:val="0"/>
              <w:spacing w:line="276" w:lineRule="auto"/>
              <w:jc w:val="center"/>
              <w:rPr>
                <w:rFonts w:hint="eastAsia" w:ascii="仿宋" w:hAnsi="仿宋" w:eastAsia="仿宋" w:cs="Arial"/>
                <w:bCs/>
                <w:color w:val="000000"/>
                <w:sz w:val="24"/>
              </w:rPr>
            </w:pPr>
            <w:r>
              <w:rPr>
                <w:rFonts w:hint="eastAsia" w:ascii="仿宋" w:hAnsi="仿宋" w:eastAsia="仿宋" w:cs="Arial"/>
                <w:bCs/>
                <w:color w:val="000000"/>
                <w:sz w:val="24"/>
              </w:rPr>
              <w:t>查询、存档与使用</w:t>
            </w:r>
          </w:p>
        </w:tc>
        <w:tc>
          <w:tcPr>
            <w:tcW w:w="5811" w:type="dxa"/>
            <w:noWrap/>
            <w:vAlign w:val="center"/>
          </w:tcPr>
          <w:p w14:paraId="207EB60A">
            <w:pPr>
              <w:autoSpaceDE w:val="0"/>
              <w:autoSpaceDN w:val="0"/>
              <w:spacing w:line="276" w:lineRule="auto"/>
              <w:rPr>
                <w:rFonts w:hint="eastAsia" w:ascii="仿宋" w:hAnsi="仿宋" w:eastAsia="仿宋" w:cs="Arial"/>
                <w:b/>
                <w:color w:val="000000"/>
                <w:sz w:val="24"/>
                <w:u w:val="single"/>
              </w:rPr>
            </w:pPr>
            <w:r>
              <w:rPr>
                <w:rFonts w:hint="eastAsia" w:ascii="仿宋" w:hAnsi="仿宋" w:eastAsia="仿宋" w:cs="Arial"/>
                <w:bCs/>
                <w:color w:val="000000"/>
                <w:sz w:val="24"/>
              </w:rPr>
              <w:t>（1）根据《</w:t>
            </w:r>
            <w:r>
              <w:rPr>
                <w:rFonts w:ascii="仿宋" w:hAnsi="仿宋" w:eastAsia="仿宋" w:cs="Arial"/>
                <w:bCs/>
                <w:color w:val="000000"/>
                <w:sz w:val="24"/>
              </w:rPr>
              <w:t>财政部关于在政府采购活动中查询及使用信用记录</w:t>
            </w:r>
            <w:r>
              <w:rPr>
                <w:rFonts w:hint="eastAsia" w:ascii="仿宋" w:hAnsi="仿宋" w:eastAsia="仿宋" w:cs="Arial"/>
                <w:bCs/>
                <w:color w:val="000000"/>
                <w:sz w:val="24"/>
              </w:rPr>
              <w:t>的通知》（</w:t>
            </w:r>
            <w:r>
              <w:rPr>
                <w:rFonts w:ascii="仿宋" w:hAnsi="仿宋" w:eastAsia="仿宋" w:cs="Arial"/>
                <w:bCs/>
                <w:color w:val="000000"/>
                <w:sz w:val="24"/>
              </w:rPr>
              <w:t>财库〔2016〕125号</w:t>
            </w:r>
            <w:r>
              <w:rPr>
                <w:rFonts w:hint="eastAsia" w:ascii="仿宋" w:hAnsi="仿宋" w:eastAsia="仿宋" w:cs="Arial"/>
                <w:bCs/>
                <w:color w:val="000000"/>
                <w:sz w:val="24"/>
              </w:rPr>
              <w:t>）相关规定，采购组织机构将统一通过</w:t>
            </w:r>
            <w:r>
              <w:rPr>
                <w:rFonts w:ascii="仿宋" w:hAnsi="仿宋" w:eastAsia="仿宋" w:cs="Arial"/>
                <w:bCs/>
                <w:color w:val="000000"/>
                <w:sz w:val="24"/>
              </w:rPr>
              <w:t>“信用中国”网站（www.creditchina.gov.cn）、中国政府采购网（www.ccgp.gov.cn）等渠道查询</w:t>
            </w:r>
            <w:r>
              <w:rPr>
                <w:rFonts w:hint="eastAsia" w:ascii="仿宋" w:hAnsi="仿宋" w:eastAsia="仿宋" w:cs="Arial"/>
                <w:bCs/>
                <w:color w:val="000000"/>
                <w:sz w:val="24"/>
              </w:rPr>
              <w:t>供应商</w:t>
            </w:r>
            <w:r>
              <w:rPr>
                <w:rFonts w:ascii="仿宋" w:hAnsi="仿宋" w:eastAsia="仿宋" w:cs="Arial"/>
                <w:bCs/>
                <w:color w:val="000000"/>
                <w:sz w:val="24"/>
              </w:rPr>
              <w:t>信用记录</w:t>
            </w:r>
            <w:r>
              <w:rPr>
                <w:rFonts w:hint="eastAsia" w:ascii="仿宋" w:hAnsi="仿宋" w:eastAsia="仿宋" w:cs="Arial"/>
                <w:bCs/>
                <w:color w:val="000000"/>
                <w:sz w:val="24"/>
              </w:rPr>
              <w:t>，</w:t>
            </w:r>
            <w:r>
              <w:rPr>
                <w:rFonts w:ascii="仿宋" w:hAnsi="仿宋" w:eastAsia="仿宋" w:cs="Arial"/>
                <w:bCs/>
                <w:color w:val="000000"/>
                <w:sz w:val="24"/>
              </w:rPr>
              <w:t>对供应商信用记录进行甄别</w:t>
            </w:r>
            <w:r>
              <w:rPr>
                <w:rFonts w:hint="eastAsia" w:ascii="仿宋" w:hAnsi="仿宋" w:eastAsia="仿宋" w:cs="Arial"/>
                <w:bCs/>
                <w:color w:val="000000"/>
                <w:sz w:val="24"/>
              </w:rPr>
              <w:t>。</w:t>
            </w:r>
            <w:r>
              <w:rPr>
                <w:rFonts w:hint="eastAsia" w:ascii="仿宋" w:hAnsi="仿宋" w:eastAsia="仿宋" w:cs="Arial"/>
                <w:b/>
                <w:color w:val="000000"/>
                <w:sz w:val="24"/>
                <w:u w:val="single"/>
              </w:rPr>
              <w:t>凡是</w:t>
            </w:r>
            <w:r>
              <w:rPr>
                <w:rFonts w:ascii="仿宋" w:hAnsi="仿宋" w:eastAsia="仿宋" w:cs="Arial"/>
                <w:b/>
                <w:color w:val="000000"/>
                <w:sz w:val="24"/>
                <w:u w:val="single"/>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000000"/>
                <w:sz w:val="24"/>
                <w:u w:val="single"/>
              </w:rPr>
              <w:t>一律拒绝其参加本次政府采购活动</w:t>
            </w:r>
            <w:r>
              <w:rPr>
                <w:rFonts w:hint="eastAsia" w:ascii="仿宋" w:hAnsi="仿宋" w:eastAsia="仿宋" w:cs="Arial"/>
                <w:b/>
                <w:color w:val="000000"/>
                <w:sz w:val="24"/>
              </w:rPr>
              <w:t>；</w:t>
            </w:r>
          </w:p>
          <w:p w14:paraId="381A6424">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（2）查询工作在资格审查时由采购组织机构统一进行，查询结果打印后留存备案；</w:t>
            </w:r>
          </w:p>
          <w:p w14:paraId="67808FFE">
            <w:pPr>
              <w:autoSpaceDE w:val="0"/>
              <w:autoSpaceDN w:val="0"/>
              <w:spacing w:line="276" w:lineRule="auto"/>
              <w:rPr>
                <w:rFonts w:hint="eastAsia" w:ascii="仿宋" w:hAnsi="仿宋" w:eastAsia="仿宋" w:cs="Arial"/>
                <w:b/>
                <w:color w:val="000000"/>
                <w:sz w:val="24"/>
              </w:rPr>
            </w:pPr>
            <w:r>
              <w:rPr>
                <w:rFonts w:hint="eastAsia" w:ascii="仿宋" w:hAnsi="仿宋" w:eastAsia="仿宋" w:cs="Arial"/>
                <w:b/>
                <w:color w:val="000000"/>
                <w:sz w:val="24"/>
              </w:rPr>
              <w:t>（3）以联合体形式参加采购活动的，联合体中任何一方存在“被拒绝情形”的视同联合体存在“被拒绝情形”。</w:t>
            </w:r>
          </w:p>
        </w:tc>
      </w:tr>
      <w:tr w14:paraId="1A713B1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DDA44A6">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7.7.1</w:t>
            </w:r>
          </w:p>
        </w:tc>
        <w:tc>
          <w:tcPr>
            <w:tcW w:w="2712" w:type="dxa"/>
            <w:noWrap/>
            <w:vAlign w:val="center"/>
          </w:tcPr>
          <w:p w14:paraId="69887A48">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评审</w:t>
            </w:r>
            <w:r>
              <w:rPr>
                <w:rFonts w:hint="eastAsia" w:ascii="仿宋" w:hAnsi="仿宋" w:eastAsia="仿宋" w:cs="Arial"/>
                <w:color w:val="000000"/>
                <w:sz w:val="24"/>
              </w:rPr>
              <w:t>方法</w:t>
            </w:r>
          </w:p>
        </w:tc>
        <w:tc>
          <w:tcPr>
            <w:tcW w:w="5811" w:type="dxa"/>
            <w:noWrap/>
            <w:vAlign w:val="center"/>
          </w:tcPr>
          <w:p w14:paraId="33C7FE3D">
            <w:pPr>
              <w:autoSpaceDE w:val="0"/>
              <w:autoSpaceDN w:val="0"/>
              <w:spacing w:line="276" w:lineRule="auto"/>
              <w:rPr>
                <w:rFonts w:hint="eastAsia" w:ascii="仿宋" w:hAnsi="仿宋" w:eastAsia="仿宋" w:cs="Arial"/>
                <w:color w:val="000000"/>
                <w:sz w:val="24"/>
              </w:rPr>
            </w:pPr>
            <w:r>
              <w:rPr>
                <w:rFonts w:ascii="仿宋" w:hAnsi="仿宋" w:eastAsia="仿宋" w:cs="Arial"/>
                <w:b/>
                <w:color w:val="000000"/>
                <w:sz w:val="24"/>
                <w:u w:val="single"/>
              </w:rPr>
              <w:t>综合评分法</w:t>
            </w:r>
            <w:r>
              <w:rPr>
                <w:rFonts w:ascii="仿宋" w:hAnsi="仿宋" w:eastAsia="仿宋" w:cs="Arial"/>
                <w:color w:val="000000"/>
                <w:sz w:val="24"/>
              </w:rPr>
              <w:t>，详见</w:t>
            </w:r>
            <w:r>
              <w:rPr>
                <w:rFonts w:hint="eastAsia" w:ascii="仿宋" w:hAnsi="仿宋" w:eastAsia="仿宋" w:cs="Arial"/>
                <w:color w:val="000000"/>
                <w:sz w:val="24"/>
              </w:rPr>
              <w:t>竞争性磋商文件</w:t>
            </w:r>
            <w:r>
              <w:rPr>
                <w:rFonts w:ascii="仿宋" w:hAnsi="仿宋" w:eastAsia="仿宋" w:cs="Arial"/>
                <w:color w:val="000000"/>
                <w:sz w:val="24"/>
              </w:rPr>
              <w:t>《第</w:t>
            </w:r>
            <w:r>
              <w:rPr>
                <w:rFonts w:hint="eastAsia" w:ascii="仿宋" w:hAnsi="仿宋" w:eastAsia="仿宋" w:cs="Arial"/>
                <w:color w:val="000000"/>
                <w:sz w:val="24"/>
              </w:rPr>
              <w:t>七</w:t>
            </w:r>
            <w:r>
              <w:rPr>
                <w:rFonts w:ascii="仿宋" w:hAnsi="仿宋" w:eastAsia="仿宋" w:cs="Arial"/>
                <w:color w:val="000000"/>
                <w:sz w:val="24"/>
              </w:rPr>
              <w:t>章 评审方法》</w:t>
            </w:r>
          </w:p>
        </w:tc>
      </w:tr>
      <w:tr w14:paraId="169ECF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04F47511">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8.1.1</w:t>
            </w:r>
          </w:p>
        </w:tc>
        <w:tc>
          <w:tcPr>
            <w:tcW w:w="2712" w:type="dxa"/>
            <w:noWrap/>
            <w:vAlign w:val="center"/>
          </w:tcPr>
          <w:p w14:paraId="313BB7E3">
            <w:pPr>
              <w:autoSpaceDE w:val="0"/>
              <w:autoSpaceDN w:val="0"/>
              <w:spacing w:line="276" w:lineRule="auto"/>
              <w:jc w:val="center"/>
              <w:rPr>
                <w:rFonts w:hint="eastAsia" w:ascii="仿宋" w:hAnsi="仿宋" w:eastAsia="仿宋" w:cs="Arial"/>
                <w:color w:val="000000"/>
                <w:kern w:val="0"/>
                <w:sz w:val="24"/>
              </w:rPr>
            </w:pPr>
            <w:r>
              <w:rPr>
                <w:rFonts w:ascii="仿宋" w:hAnsi="仿宋" w:eastAsia="仿宋" w:cs="Arial"/>
                <w:color w:val="000000"/>
                <w:kern w:val="0"/>
                <w:sz w:val="24"/>
              </w:rPr>
              <w:t>确定</w:t>
            </w:r>
            <w:r>
              <w:rPr>
                <w:rFonts w:hint="eastAsia" w:ascii="仿宋" w:hAnsi="仿宋" w:eastAsia="仿宋" w:cs="Arial"/>
                <w:color w:val="000000"/>
                <w:kern w:val="0"/>
                <w:sz w:val="24"/>
              </w:rPr>
              <w:t>成交供应商</w:t>
            </w:r>
          </w:p>
          <w:p w14:paraId="5B0A4778">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kern w:val="0"/>
                <w:sz w:val="24"/>
              </w:rPr>
              <w:t>（</w:t>
            </w:r>
            <w:r>
              <w:rPr>
                <w:rFonts w:hint="eastAsia" w:ascii="仿宋" w:hAnsi="仿宋" w:eastAsia="仿宋" w:cs="Arial"/>
                <w:color w:val="000000"/>
                <w:sz w:val="24"/>
              </w:rPr>
              <w:t>采购结果确认</w:t>
            </w:r>
            <w:r>
              <w:rPr>
                <w:rFonts w:hint="eastAsia" w:ascii="仿宋" w:hAnsi="仿宋" w:eastAsia="仿宋" w:cs="Arial"/>
                <w:color w:val="000000"/>
                <w:kern w:val="0"/>
                <w:sz w:val="24"/>
              </w:rPr>
              <w:t>）</w:t>
            </w:r>
          </w:p>
        </w:tc>
        <w:tc>
          <w:tcPr>
            <w:tcW w:w="5811" w:type="dxa"/>
            <w:noWrap/>
            <w:vAlign w:val="center"/>
          </w:tcPr>
          <w:p w14:paraId="3464B5CA">
            <w:pPr>
              <w:autoSpaceDE w:val="0"/>
              <w:autoSpaceDN w:val="0"/>
              <w:spacing w:line="276" w:lineRule="auto"/>
              <w:rPr>
                <w:rFonts w:hint="eastAsia" w:ascii="仿宋" w:hAnsi="仿宋" w:eastAsia="仿宋" w:cs="Arial"/>
                <w:b/>
                <w:color w:val="000000"/>
                <w:sz w:val="24"/>
                <w:u w:val="single"/>
              </w:rPr>
            </w:pPr>
            <w:r>
              <w:rPr>
                <w:rFonts w:ascii="仿宋" w:hAnsi="仿宋" w:eastAsia="仿宋" w:cs="Arial"/>
                <w:b/>
                <w:color w:val="000000"/>
                <w:kern w:val="0"/>
                <w:sz w:val="24"/>
              </w:rPr>
              <w:t>本项目由</w:t>
            </w:r>
            <w:r>
              <w:rPr>
                <w:rFonts w:hint="eastAsia" w:ascii="仿宋" w:hAnsi="仿宋" w:eastAsia="仿宋" w:cs="Arial"/>
                <w:b/>
                <w:color w:val="000000"/>
                <w:kern w:val="0"/>
                <w:sz w:val="24"/>
              </w:rPr>
              <w:t>采购</w:t>
            </w:r>
            <w:r>
              <w:rPr>
                <w:rFonts w:ascii="仿宋" w:hAnsi="仿宋" w:eastAsia="仿宋" w:cs="Arial"/>
                <w:b/>
                <w:color w:val="000000"/>
                <w:kern w:val="0"/>
                <w:sz w:val="24"/>
              </w:rPr>
              <w:t>人根据</w:t>
            </w:r>
            <w:r>
              <w:rPr>
                <w:rFonts w:hint="eastAsia" w:ascii="仿宋" w:hAnsi="仿宋" w:eastAsia="仿宋" w:cs="Arial"/>
                <w:b/>
                <w:color w:val="000000"/>
                <w:kern w:val="0"/>
                <w:sz w:val="24"/>
              </w:rPr>
              <w:t>磋商小组递交</w:t>
            </w:r>
            <w:r>
              <w:rPr>
                <w:rFonts w:ascii="仿宋" w:hAnsi="仿宋" w:eastAsia="仿宋" w:cs="Arial"/>
                <w:b/>
                <w:color w:val="000000"/>
                <w:kern w:val="0"/>
                <w:sz w:val="24"/>
              </w:rPr>
              <w:t>的《评审报告》</w:t>
            </w:r>
            <w:r>
              <w:rPr>
                <w:rFonts w:hint="eastAsia" w:ascii="仿宋" w:hAnsi="仿宋" w:eastAsia="仿宋" w:cs="Arial"/>
                <w:b/>
                <w:color w:val="000000"/>
                <w:kern w:val="0"/>
                <w:sz w:val="24"/>
              </w:rPr>
              <w:t>，通过“政府采购云平台”</w:t>
            </w:r>
            <w:r>
              <w:rPr>
                <w:rFonts w:ascii="仿宋" w:hAnsi="仿宋" w:eastAsia="仿宋" w:cs="Arial"/>
                <w:b/>
                <w:color w:val="000000"/>
                <w:kern w:val="0"/>
                <w:sz w:val="24"/>
              </w:rPr>
              <w:t>依法确定</w:t>
            </w:r>
            <w:r>
              <w:rPr>
                <w:rFonts w:hint="eastAsia" w:ascii="仿宋" w:hAnsi="仿宋" w:eastAsia="仿宋" w:cs="Arial"/>
                <w:b/>
                <w:color w:val="000000"/>
                <w:kern w:val="0"/>
                <w:sz w:val="24"/>
              </w:rPr>
              <w:t>成交供应商</w:t>
            </w:r>
            <w:r>
              <w:rPr>
                <w:rFonts w:ascii="仿宋" w:hAnsi="仿宋" w:eastAsia="仿宋" w:cs="Arial"/>
                <w:b/>
                <w:color w:val="000000"/>
                <w:kern w:val="0"/>
                <w:sz w:val="24"/>
              </w:rPr>
              <w:t>。</w:t>
            </w:r>
            <w:r>
              <w:rPr>
                <w:rFonts w:hint="eastAsia" w:ascii="仿宋" w:hAnsi="仿宋" w:eastAsia="仿宋" w:cs="Arial"/>
                <w:bCs/>
                <w:color w:val="000000"/>
                <w:kern w:val="0"/>
                <w:sz w:val="24"/>
              </w:rPr>
              <w:t>具体流程见第三章第8.1.1款规定。</w:t>
            </w:r>
          </w:p>
        </w:tc>
      </w:tr>
      <w:tr w14:paraId="5FC5CF2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57D59DD">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8.2.1</w:t>
            </w:r>
          </w:p>
        </w:tc>
        <w:tc>
          <w:tcPr>
            <w:tcW w:w="2712" w:type="dxa"/>
            <w:noWrap/>
            <w:vAlign w:val="center"/>
          </w:tcPr>
          <w:p w14:paraId="14ED5F8F">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结果公告及《</w:t>
            </w:r>
            <w:r>
              <w:rPr>
                <w:rFonts w:hint="eastAsia" w:ascii="仿宋" w:hAnsi="仿宋" w:eastAsia="仿宋" w:cs="Arial"/>
                <w:color w:val="000000"/>
                <w:sz w:val="24"/>
              </w:rPr>
              <w:t>成交</w:t>
            </w:r>
            <w:r>
              <w:rPr>
                <w:rFonts w:ascii="仿宋" w:hAnsi="仿宋" w:eastAsia="仿宋" w:cs="Arial"/>
                <w:color w:val="000000"/>
                <w:sz w:val="24"/>
              </w:rPr>
              <w:t>通知书》签发</w:t>
            </w:r>
          </w:p>
        </w:tc>
        <w:tc>
          <w:tcPr>
            <w:tcW w:w="5811" w:type="dxa"/>
            <w:noWrap/>
            <w:vAlign w:val="center"/>
          </w:tcPr>
          <w:p w14:paraId="7177B67B">
            <w:pPr>
              <w:autoSpaceDE w:val="0"/>
              <w:autoSpaceDN w:val="0"/>
              <w:spacing w:line="276" w:lineRule="auto"/>
              <w:rPr>
                <w:rFonts w:hint="eastAsia" w:ascii="仿宋" w:hAnsi="仿宋" w:eastAsia="仿宋" w:cs="Arial"/>
                <w:color w:val="000000"/>
                <w:sz w:val="24"/>
              </w:rPr>
            </w:pPr>
            <w:r>
              <w:rPr>
                <w:rFonts w:hint="eastAsia" w:ascii="仿宋" w:hAnsi="仿宋" w:eastAsia="仿宋" w:cs="Arial"/>
                <w:color w:val="000000"/>
                <w:sz w:val="24"/>
              </w:rPr>
              <w:t>（1）采购结果经采购人确认后2个工作日内，采购代理机构将在“浙江政府采购网”公告采购结果，同时向成交供应商发出《成交通知书》。成交公告期限为1个工作日；</w:t>
            </w:r>
          </w:p>
          <w:p w14:paraId="18A07C1B">
            <w:pPr>
              <w:autoSpaceDE w:val="0"/>
              <w:autoSpaceDN w:val="0"/>
              <w:spacing w:line="276" w:lineRule="auto"/>
            </w:pPr>
            <w:r>
              <w:rPr>
                <w:rFonts w:hint="eastAsia" w:ascii="仿宋" w:hAnsi="仿宋" w:eastAsia="仿宋" w:cs="Arial"/>
                <w:b/>
                <w:bCs/>
                <w:color w:val="000000"/>
                <w:sz w:val="24"/>
              </w:rPr>
              <w:t>（2）供应商在收到《成交通知书》后3个工作日内，向采购人提供7套纸质版本磋商响应文件（须与政府采购云平台上的电子文件内容一致）。</w:t>
            </w:r>
          </w:p>
        </w:tc>
      </w:tr>
      <w:tr w14:paraId="0334E2D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2A9FA77">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9.1.1</w:t>
            </w:r>
          </w:p>
        </w:tc>
        <w:tc>
          <w:tcPr>
            <w:tcW w:w="2712" w:type="dxa"/>
            <w:noWrap/>
            <w:vAlign w:val="center"/>
          </w:tcPr>
          <w:p w14:paraId="0DFA9082">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采购代理服务费</w:t>
            </w:r>
          </w:p>
          <w:p w14:paraId="60868691">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收取标准或金额</w:t>
            </w:r>
          </w:p>
        </w:tc>
        <w:tc>
          <w:tcPr>
            <w:tcW w:w="5811" w:type="dxa"/>
            <w:noWrap/>
            <w:vAlign w:val="center"/>
          </w:tcPr>
          <w:p w14:paraId="23E5637C">
            <w:pPr>
              <w:autoSpaceDE w:val="0"/>
              <w:autoSpaceDN w:val="0"/>
              <w:spacing w:line="276" w:lineRule="auto"/>
              <w:rPr>
                <w:rFonts w:hint="eastAsia" w:ascii="仿宋" w:hAnsi="仿宋" w:eastAsia="仿宋" w:cs="仿宋"/>
                <w:b/>
                <w:color w:val="000000"/>
                <w:kern w:val="0"/>
                <w:sz w:val="24"/>
              </w:rPr>
            </w:pPr>
            <w:r>
              <w:rPr>
                <w:rFonts w:hint="eastAsia" w:ascii="仿宋" w:hAnsi="仿宋" w:eastAsia="仿宋" w:cs="仿宋"/>
                <w:b/>
                <w:color w:val="000000"/>
                <w:kern w:val="0"/>
                <w:sz w:val="24"/>
              </w:rPr>
              <w:t>本项目的采购代理费由成交供应商支付，计费标准按《计价格［2002］1980号》及《发改办价格［2003］857号》文件中采购代理服务费收费标准规定的计算办法和费率的70%计算,不足5000元按5000元计，采购代理服务费以标项成交金额为计算基数，包含在磋商总价中。在发出成交通知书时由成交供应商一次性支付给采购代理机构（账号信息附下），中标（成交）通知书签发后，成交供应商因自身原因被取消成交资格或放弃成交的，仍须支付采购代理服务费。</w:t>
            </w:r>
          </w:p>
          <w:p w14:paraId="32265AB9">
            <w:pPr>
              <w:autoSpaceDE w:val="0"/>
              <w:autoSpaceDN w:val="0"/>
              <w:spacing w:line="276" w:lineRule="auto"/>
              <w:rPr>
                <w:rFonts w:hint="eastAsia" w:ascii="仿宋" w:hAnsi="仿宋" w:eastAsia="仿宋" w:cs="仿宋"/>
                <w:sz w:val="24"/>
              </w:rPr>
            </w:pPr>
            <w:r>
              <w:rPr>
                <w:rFonts w:hint="eastAsia" w:ascii="仿宋" w:hAnsi="仿宋" w:eastAsia="仿宋" w:cs="仿宋"/>
                <w:sz w:val="24"/>
              </w:rPr>
              <w:t>户  名：浙江省成套招标代理有限公司</w:t>
            </w:r>
          </w:p>
          <w:p w14:paraId="04733A69">
            <w:pPr>
              <w:autoSpaceDE w:val="0"/>
              <w:autoSpaceDN w:val="0"/>
              <w:spacing w:line="276" w:lineRule="auto"/>
              <w:rPr>
                <w:rFonts w:hint="eastAsia" w:ascii="仿宋" w:hAnsi="仿宋" w:eastAsia="仿宋" w:cs="仿宋"/>
                <w:sz w:val="24"/>
              </w:rPr>
            </w:pPr>
            <w:r>
              <w:rPr>
                <w:rFonts w:hint="eastAsia" w:ascii="仿宋" w:hAnsi="仿宋" w:eastAsia="仿宋" w:cs="仿宋"/>
                <w:sz w:val="24"/>
              </w:rPr>
              <w:t>帐  号：7331 6101 8260 0126 385</w:t>
            </w:r>
          </w:p>
          <w:p w14:paraId="53948165">
            <w:pPr>
              <w:autoSpaceDE w:val="0"/>
              <w:autoSpaceDN w:val="0"/>
              <w:spacing w:line="276" w:lineRule="auto"/>
              <w:jc w:val="left"/>
              <w:rPr>
                <w:rFonts w:hint="eastAsia" w:ascii="仿宋" w:hAnsi="仿宋" w:eastAsia="仿宋" w:cs="仿宋"/>
                <w:sz w:val="24"/>
              </w:rPr>
            </w:pPr>
            <w:r>
              <w:rPr>
                <w:rFonts w:hint="eastAsia" w:ascii="仿宋" w:hAnsi="仿宋" w:eastAsia="仿宋" w:cs="仿宋"/>
                <w:sz w:val="24"/>
              </w:rPr>
              <w:t>开户行：中信银行杭州西湖支行</w:t>
            </w:r>
          </w:p>
        </w:tc>
      </w:tr>
      <w:tr w14:paraId="57729CE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EEE780B">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10.1.1</w:t>
            </w:r>
          </w:p>
        </w:tc>
        <w:tc>
          <w:tcPr>
            <w:tcW w:w="2712" w:type="dxa"/>
            <w:noWrap/>
            <w:vAlign w:val="center"/>
          </w:tcPr>
          <w:p w14:paraId="3D800B1A">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合同签订</w:t>
            </w:r>
            <w:r>
              <w:rPr>
                <w:rFonts w:hint="eastAsia" w:ascii="仿宋" w:hAnsi="仿宋" w:eastAsia="仿宋" w:cs="Arial"/>
                <w:color w:val="000000"/>
                <w:sz w:val="24"/>
              </w:rPr>
              <w:t>时间期限</w:t>
            </w:r>
          </w:p>
        </w:tc>
        <w:tc>
          <w:tcPr>
            <w:tcW w:w="5811" w:type="dxa"/>
            <w:noWrap/>
            <w:vAlign w:val="center"/>
          </w:tcPr>
          <w:p w14:paraId="7436AB66">
            <w:pPr>
              <w:autoSpaceDE w:val="0"/>
              <w:autoSpaceDN w:val="0"/>
              <w:spacing w:line="276" w:lineRule="auto"/>
              <w:rPr>
                <w:rFonts w:hint="eastAsia" w:ascii="仿宋" w:hAnsi="仿宋" w:eastAsia="仿宋" w:cs="仿宋"/>
                <w:sz w:val="24"/>
              </w:rPr>
            </w:pPr>
            <w:r>
              <w:rPr>
                <w:rFonts w:hint="eastAsia" w:ascii="仿宋" w:hAnsi="仿宋" w:eastAsia="仿宋" w:cs="Arial"/>
                <w:color w:val="000000"/>
                <w:sz w:val="24"/>
              </w:rPr>
              <w:t>《成交</w:t>
            </w:r>
            <w:r>
              <w:rPr>
                <w:rFonts w:ascii="仿宋" w:hAnsi="仿宋" w:eastAsia="仿宋" w:cs="Arial"/>
                <w:color w:val="000000"/>
                <w:sz w:val="24"/>
              </w:rPr>
              <w:t>通知书</w:t>
            </w:r>
            <w:r>
              <w:rPr>
                <w:rFonts w:hint="eastAsia" w:ascii="仿宋" w:hAnsi="仿宋" w:eastAsia="仿宋" w:cs="Arial"/>
                <w:color w:val="000000"/>
                <w:sz w:val="24"/>
              </w:rPr>
              <w:t>》</w:t>
            </w:r>
            <w:r>
              <w:rPr>
                <w:rFonts w:ascii="仿宋" w:hAnsi="仿宋" w:eastAsia="仿宋" w:cs="Arial"/>
                <w:color w:val="000000"/>
                <w:sz w:val="24"/>
              </w:rPr>
              <w:t>发出后</w:t>
            </w:r>
            <w:r>
              <w:rPr>
                <w:rFonts w:hint="eastAsia" w:ascii="仿宋" w:hAnsi="仿宋" w:eastAsia="仿宋" w:cs="Arial"/>
                <w:color w:val="000000"/>
                <w:sz w:val="24"/>
              </w:rPr>
              <w:t>30</w:t>
            </w:r>
            <w:r>
              <w:rPr>
                <w:rFonts w:ascii="仿宋" w:hAnsi="仿宋" w:eastAsia="仿宋" w:cs="Arial"/>
                <w:color w:val="000000"/>
                <w:sz w:val="24"/>
              </w:rPr>
              <w:t>天内，</w:t>
            </w:r>
            <w:r>
              <w:rPr>
                <w:rFonts w:hint="eastAsia" w:ascii="仿宋" w:hAnsi="仿宋" w:eastAsia="仿宋" w:cs="Arial"/>
                <w:color w:val="000000"/>
                <w:sz w:val="24"/>
              </w:rPr>
              <w:t>成交供应商</w:t>
            </w:r>
            <w:r>
              <w:rPr>
                <w:rFonts w:ascii="仿宋" w:hAnsi="仿宋" w:eastAsia="仿宋" w:cs="Arial"/>
                <w:color w:val="000000"/>
                <w:sz w:val="24"/>
              </w:rPr>
              <w:t>应持</w:t>
            </w:r>
            <w:r>
              <w:rPr>
                <w:rFonts w:hint="eastAsia" w:ascii="仿宋" w:hAnsi="仿宋" w:eastAsia="仿宋" w:cs="Arial"/>
                <w:color w:val="000000"/>
                <w:sz w:val="24"/>
              </w:rPr>
              <w:t>《成交</w:t>
            </w:r>
            <w:r>
              <w:rPr>
                <w:rFonts w:hint="eastAsia" w:ascii="仿宋" w:hAnsi="仿宋" w:eastAsia="仿宋" w:cs="仿宋"/>
                <w:sz w:val="24"/>
              </w:rPr>
              <w:t>通知书》与采购人签订《政府采购合同》。</w:t>
            </w:r>
          </w:p>
          <w:p w14:paraId="705A68C7">
            <w:pPr>
              <w:autoSpaceDE w:val="0"/>
              <w:autoSpaceDN w:val="0"/>
              <w:spacing w:line="276" w:lineRule="auto"/>
              <w:rPr>
                <w:rFonts w:hint="eastAsia" w:ascii="黑体" w:hAnsi="黑体" w:eastAsia="黑体"/>
              </w:rPr>
            </w:pPr>
            <w:r>
              <w:rPr>
                <w:rFonts w:hint="eastAsia" w:ascii="仿宋" w:hAnsi="仿宋" w:eastAsia="仿宋" w:cs="仿宋"/>
                <w:b/>
                <w:bCs/>
                <w:i/>
                <w:iCs/>
                <w:sz w:val="24"/>
                <w:u w:val="single"/>
              </w:rPr>
              <w:t>备注：在评审结束后、合同签订前，采购人、采购代理机构通过网站查询、原件核对等方式对成交供应商在投标（响应）文件中涉及客观分评审内容的检测报告、认证证书等资料的真实性进行复核，复核情况详细记录，并纳入采购档案。发现供应商提供虚假材料的，将书面报告本级财政部门。</w:t>
            </w:r>
          </w:p>
        </w:tc>
      </w:tr>
      <w:tr w14:paraId="6FD4C56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62F9C7BE">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10.2.1</w:t>
            </w:r>
          </w:p>
        </w:tc>
        <w:tc>
          <w:tcPr>
            <w:tcW w:w="2712" w:type="dxa"/>
            <w:noWrap/>
            <w:vAlign w:val="center"/>
          </w:tcPr>
          <w:p w14:paraId="2370B9F6">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履约保证金</w:t>
            </w:r>
          </w:p>
        </w:tc>
        <w:tc>
          <w:tcPr>
            <w:tcW w:w="5811" w:type="dxa"/>
            <w:noWrap/>
            <w:vAlign w:val="center"/>
          </w:tcPr>
          <w:p w14:paraId="369AE876">
            <w:pPr>
              <w:autoSpaceDE w:val="0"/>
              <w:autoSpaceDN w:val="0"/>
              <w:spacing w:line="276" w:lineRule="auto"/>
              <w:rPr>
                <w:rFonts w:hint="eastAsia" w:ascii="仿宋" w:hAnsi="仿宋" w:eastAsia="仿宋" w:cs="Arial"/>
                <w:color w:val="000000"/>
                <w:sz w:val="24"/>
                <w:highlight w:val="yellow"/>
              </w:rPr>
            </w:pPr>
            <w:r>
              <w:rPr>
                <w:rFonts w:hint="eastAsia" w:ascii="仿宋" w:hAnsi="仿宋" w:eastAsia="仿宋" w:cs="Arial"/>
                <w:color w:val="000000"/>
                <w:sz w:val="24"/>
              </w:rPr>
              <w:t>无</w:t>
            </w:r>
          </w:p>
        </w:tc>
      </w:tr>
      <w:tr w14:paraId="1312CA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0A574F4">
            <w:pPr>
              <w:autoSpaceDE w:val="0"/>
              <w:autoSpaceDN w:val="0"/>
              <w:spacing w:line="276" w:lineRule="auto"/>
              <w:jc w:val="center"/>
              <w:rPr>
                <w:rFonts w:hint="eastAsia" w:ascii="仿宋" w:hAnsi="仿宋" w:eastAsia="仿宋" w:cs="Arial"/>
                <w:color w:val="000000"/>
                <w:sz w:val="24"/>
                <w:highlight w:val="none"/>
              </w:rPr>
            </w:pPr>
            <w:r>
              <w:rPr>
                <w:rFonts w:hint="eastAsia" w:ascii="仿宋" w:hAnsi="仿宋" w:eastAsia="仿宋" w:cs="Arial"/>
                <w:color w:val="000000"/>
                <w:sz w:val="24"/>
                <w:highlight w:val="none"/>
              </w:rPr>
              <w:t>10.3.1</w:t>
            </w:r>
          </w:p>
        </w:tc>
        <w:tc>
          <w:tcPr>
            <w:tcW w:w="2712" w:type="dxa"/>
            <w:noWrap/>
            <w:vAlign w:val="center"/>
          </w:tcPr>
          <w:p w14:paraId="76849692">
            <w:pPr>
              <w:autoSpaceDE w:val="0"/>
              <w:autoSpaceDN w:val="0"/>
              <w:spacing w:line="276" w:lineRule="auto"/>
              <w:jc w:val="center"/>
              <w:rPr>
                <w:rFonts w:hint="eastAsia" w:ascii="仿宋" w:hAnsi="仿宋" w:eastAsia="仿宋" w:cs="Arial"/>
                <w:sz w:val="24"/>
                <w:highlight w:val="none"/>
              </w:rPr>
            </w:pPr>
            <w:r>
              <w:rPr>
                <w:rFonts w:hint="eastAsia" w:ascii="仿宋" w:hAnsi="仿宋" w:eastAsia="仿宋" w:cs="Arial"/>
                <w:sz w:val="24"/>
                <w:highlight w:val="none"/>
              </w:rPr>
              <w:t>合同款支付方式</w:t>
            </w:r>
          </w:p>
        </w:tc>
        <w:tc>
          <w:tcPr>
            <w:tcW w:w="5811" w:type="dxa"/>
            <w:noWrap/>
            <w:vAlign w:val="center"/>
          </w:tcPr>
          <w:p w14:paraId="57914863">
            <w:pPr>
              <w:autoSpaceDE w:val="0"/>
              <w:autoSpaceDN w:val="0"/>
              <w:spacing w:line="276" w:lineRule="auto"/>
              <w:rPr>
                <w:rFonts w:hint="eastAsia" w:ascii="仿宋" w:hAnsi="仿宋" w:eastAsia="仿宋" w:cs="Arial"/>
                <w:bCs/>
                <w:sz w:val="24"/>
                <w:highlight w:val="none"/>
              </w:rPr>
            </w:pPr>
            <w:r>
              <w:rPr>
                <w:rFonts w:hint="eastAsia" w:ascii="仿宋" w:hAnsi="仿宋" w:eastAsia="仿宋" w:cs="Arial"/>
                <w:bCs/>
                <w:sz w:val="24"/>
                <w:highlight w:val="none"/>
              </w:rPr>
              <w:t>（1）合同签订后</w:t>
            </w:r>
            <w:r>
              <w:rPr>
                <w:rFonts w:ascii="仿宋" w:hAnsi="仿宋" w:eastAsia="仿宋" w:cs="Arial"/>
                <w:bCs/>
                <w:sz w:val="24"/>
                <w:highlight w:val="none"/>
              </w:rPr>
              <w:t>7</w:t>
            </w:r>
            <w:r>
              <w:rPr>
                <w:rFonts w:hint="eastAsia" w:ascii="仿宋" w:hAnsi="仿宋" w:eastAsia="仿宋" w:cs="Arial"/>
                <w:bCs/>
                <w:sz w:val="24"/>
                <w:highlight w:val="none"/>
              </w:rPr>
              <w:t>天内，</w:t>
            </w:r>
            <w:r>
              <w:rPr>
                <w:rFonts w:hint="eastAsia" w:ascii="仿宋" w:hAnsi="仿宋" w:eastAsia="仿宋" w:cs="Arial"/>
                <w:bCs/>
                <w:sz w:val="24"/>
                <w:highlight w:val="none"/>
                <w:lang w:val="en-US" w:eastAsia="zh-CN"/>
              </w:rPr>
              <w:t>采购人</w:t>
            </w:r>
            <w:r>
              <w:rPr>
                <w:rFonts w:hint="eastAsia" w:ascii="仿宋" w:hAnsi="仿宋" w:eastAsia="仿宋" w:cs="Arial"/>
                <w:bCs/>
                <w:sz w:val="24"/>
                <w:highlight w:val="none"/>
              </w:rPr>
              <w:t>向</w:t>
            </w:r>
            <w:r>
              <w:rPr>
                <w:rFonts w:hint="eastAsia" w:ascii="仿宋" w:hAnsi="仿宋" w:eastAsia="仿宋" w:cs="Arial"/>
                <w:bCs/>
                <w:sz w:val="24"/>
                <w:highlight w:val="none"/>
                <w:lang w:val="en-US" w:eastAsia="zh-CN"/>
              </w:rPr>
              <w:t>供应商</w:t>
            </w:r>
            <w:r>
              <w:rPr>
                <w:rFonts w:hint="eastAsia" w:ascii="仿宋" w:hAnsi="仿宋" w:eastAsia="仿宋" w:cs="Arial"/>
                <w:bCs/>
                <w:sz w:val="24"/>
                <w:highlight w:val="none"/>
              </w:rPr>
              <w:t>预付签约合同价</w:t>
            </w:r>
            <w:r>
              <w:rPr>
                <w:rFonts w:hint="eastAsia" w:ascii="仿宋" w:hAnsi="仿宋" w:eastAsia="仿宋" w:cs="Arial"/>
                <w:bCs/>
                <w:sz w:val="24"/>
              </w:rPr>
              <w:t>(不含暂列金)</w:t>
            </w:r>
            <w:r>
              <w:rPr>
                <w:rFonts w:hint="eastAsia" w:ascii="仿宋" w:hAnsi="仿宋" w:eastAsia="仿宋" w:cs="Arial"/>
                <w:bCs/>
                <w:sz w:val="24"/>
                <w:highlight w:val="none"/>
              </w:rPr>
              <w:t>的</w:t>
            </w:r>
            <w:r>
              <w:rPr>
                <w:rFonts w:hint="eastAsia" w:ascii="仿宋" w:hAnsi="仿宋" w:eastAsia="仿宋" w:cs="Arial"/>
                <w:bCs/>
                <w:sz w:val="24"/>
                <w:highlight w:val="none"/>
                <w:lang w:val="en-US" w:eastAsia="zh-CN"/>
              </w:rPr>
              <w:t>4</w:t>
            </w:r>
            <w:r>
              <w:rPr>
                <w:rFonts w:hint="eastAsia" w:ascii="仿宋" w:hAnsi="仿宋" w:eastAsia="仿宋" w:cs="Arial"/>
                <w:bCs/>
                <w:sz w:val="24"/>
                <w:highlight w:val="none"/>
              </w:rPr>
              <w:t>0%作为工程预付款（承包人提供相应金额的预付款担保）；</w:t>
            </w:r>
          </w:p>
          <w:p w14:paraId="0F24A95A">
            <w:pPr>
              <w:autoSpaceDE w:val="0"/>
              <w:autoSpaceDN w:val="0"/>
              <w:spacing w:line="276" w:lineRule="auto"/>
              <w:rPr>
                <w:rFonts w:hint="eastAsia" w:ascii="仿宋" w:hAnsi="仿宋" w:eastAsia="仿宋" w:cs="Arial"/>
                <w:bCs/>
                <w:sz w:val="24"/>
                <w:highlight w:val="none"/>
                <w:lang w:val="en-US" w:eastAsia="zh-CN"/>
              </w:rPr>
            </w:pPr>
            <w:r>
              <w:rPr>
                <w:rFonts w:hint="eastAsia" w:ascii="仿宋" w:hAnsi="仿宋" w:eastAsia="仿宋" w:cs="Arial"/>
                <w:bCs/>
                <w:sz w:val="24"/>
                <w:highlight w:val="none"/>
              </w:rPr>
              <w:t>（2）</w:t>
            </w:r>
            <w:r>
              <w:rPr>
                <w:rFonts w:hint="eastAsia" w:ascii="仿宋" w:hAnsi="仿宋" w:eastAsia="仿宋" w:cs="Arial"/>
                <w:bCs/>
                <w:sz w:val="24"/>
                <w:highlight w:val="none"/>
                <w:lang w:val="en-US" w:eastAsia="zh-CN"/>
              </w:rPr>
              <w:t>主要设备、电缆进场，并报监理人及采购人审核通过后7天内，支付至合同价</w:t>
            </w:r>
            <w:r>
              <w:rPr>
                <w:rFonts w:hint="eastAsia" w:ascii="仿宋" w:hAnsi="仿宋" w:eastAsia="仿宋" w:cs="Arial"/>
                <w:bCs/>
                <w:sz w:val="24"/>
              </w:rPr>
              <w:t>(不含暂列金)</w:t>
            </w:r>
            <w:r>
              <w:rPr>
                <w:rFonts w:hint="eastAsia" w:ascii="仿宋" w:hAnsi="仿宋" w:eastAsia="仿宋" w:cs="Arial"/>
                <w:bCs/>
                <w:sz w:val="24"/>
                <w:highlight w:val="none"/>
              </w:rPr>
              <w:t>的</w:t>
            </w:r>
            <w:r>
              <w:rPr>
                <w:rFonts w:hint="eastAsia" w:ascii="仿宋" w:hAnsi="仿宋" w:eastAsia="仿宋" w:cs="Arial"/>
                <w:bCs/>
                <w:sz w:val="24"/>
                <w:highlight w:val="none"/>
                <w:lang w:val="en-US" w:eastAsia="zh-CN"/>
              </w:rPr>
              <w:t>60</w:t>
            </w:r>
            <w:r>
              <w:rPr>
                <w:rFonts w:hint="eastAsia" w:ascii="仿宋" w:hAnsi="仿宋" w:eastAsia="仿宋" w:cs="Arial"/>
                <w:bCs/>
                <w:sz w:val="24"/>
                <w:highlight w:val="none"/>
              </w:rPr>
              <w:t>%作为第一期进度款</w:t>
            </w:r>
            <w:r>
              <w:rPr>
                <w:rFonts w:hint="eastAsia" w:ascii="仿宋" w:hAnsi="仿宋" w:eastAsia="仿宋" w:cs="Arial"/>
                <w:bCs/>
                <w:sz w:val="24"/>
                <w:highlight w:val="none"/>
                <w:lang w:val="en-US" w:eastAsia="zh-CN"/>
              </w:rPr>
              <w:t>；</w:t>
            </w:r>
          </w:p>
          <w:p w14:paraId="7B92E6C9">
            <w:pPr>
              <w:autoSpaceDE w:val="0"/>
              <w:autoSpaceDN w:val="0"/>
              <w:spacing w:line="276" w:lineRule="auto"/>
              <w:rPr>
                <w:rFonts w:hint="eastAsia" w:ascii="仿宋" w:hAnsi="仿宋" w:eastAsia="仿宋" w:cs="Arial"/>
                <w:bCs/>
                <w:sz w:val="24"/>
                <w:highlight w:val="none"/>
              </w:rPr>
            </w:pPr>
            <w:r>
              <w:rPr>
                <w:rFonts w:hint="eastAsia" w:ascii="仿宋" w:hAnsi="仿宋" w:eastAsia="仿宋" w:cs="Arial"/>
                <w:bCs/>
                <w:sz w:val="24"/>
                <w:highlight w:val="none"/>
              </w:rPr>
              <w:t>（3）工程验收合格后7天内，支付至合同价</w:t>
            </w:r>
            <w:r>
              <w:rPr>
                <w:rFonts w:hint="eastAsia" w:ascii="仿宋" w:hAnsi="仿宋" w:eastAsia="仿宋" w:cs="Arial"/>
                <w:bCs/>
                <w:sz w:val="24"/>
              </w:rPr>
              <w:t>(不含暂列金)</w:t>
            </w:r>
            <w:r>
              <w:rPr>
                <w:rFonts w:hint="eastAsia" w:ascii="仿宋" w:hAnsi="仿宋" w:eastAsia="仿宋" w:cs="Arial"/>
                <w:bCs/>
                <w:sz w:val="24"/>
                <w:highlight w:val="none"/>
              </w:rPr>
              <w:t>的85%；</w:t>
            </w:r>
          </w:p>
          <w:p w14:paraId="4DACB1A4">
            <w:pPr>
              <w:autoSpaceDE w:val="0"/>
              <w:autoSpaceDN w:val="0"/>
              <w:spacing w:line="276" w:lineRule="auto"/>
              <w:rPr>
                <w:rFonts w:hint="eastAsia" w:ascii="仿宋" w:hAnsi="仿宋" w:eastAsia="仿宋" w:cs="Arial"/>
                <w:bCs/>
                <w:sz w:val="24"/>
                <w:highlight w:val="none"/>
              </w:rPr>
            </w:pPr>
            <w:r>
              <w:rPr>
                <w:rFonts w:hint="eastAsia" w:ascii="仿宋" w:hAnsi="仿宋" w:eastAsia="仿宋" w:cs="Arial"/>
                <w:bCs/>
                <w:sz w:val="24"/>
                <w:highlight w:val="none"/>
              </w:rPr>
              <w:t>（</w:t>
            </w:r>
            <w:r>
              <w:rPr>
                <w:rFonts w:hint="eastAsia" w:ascii="仿宋" w:hAnsi="仿宋" w:eastAsia="仿宋" w:cs="Arial"/>
                <w:bCs/>
                <w:sz w:val="24"/>
                <w:highlight w:val="none"/>
                <w:lang w:val="en-US" w:eastAsia="zh-CN"/>
              </w:rPr>
              <w:t>4</w:t>
            </w:r>
            <w:r>
              <w:rPr>
                <w:rFonts w:hint="eastAsia" w:ascii="仿宋" w:hAnsi="仿宋" w:eastAsia="仿宋" w:cs="Arial"/>
                <w:bCs/>
                <w:sz w:val="24"/>
                <w:highlight w:val="none"/>
              </w:rPr>
              <w:t>）承包人提交竣工、结算资料经审计完成，在通过项目总验收，并缴纳工程质量保证金及施工用水电费后，付至审定金额的100%。</w:t>
            </w:r>
          </w:p>
          <w:p w14:paraId="7527CDE5">
            <w:pPr>
              <w:autoSpaceDE w:val="0"/>
              <w:autoSpaceDN w:val="0"/>
              <w:spacing w:line="276" w:lineRule="auto"/>
              <w:rPr>
                <w:color w:val="00B0F0"/>
                <w:highlight w:val="none"/>
              </w:rPr>
            </w:pPr>
            <w:r>
              <w:rPr>
                <w:rFonts w:hint="eastAsia" w:ascii="仿宋" w:hAnsi="仿宋" w:eastAsia="仿宋" w:cs="Arial"/>
                <w:b/>
                <w:bCs/>
                <w:sz w:val="24"/>
                <w:highlight w:val="none"/>
              </w:rPr>
              <w:t>注：在签订合同时，供应商明确表示无需预付款或者主动要求降低预付款比例的，采购单位可按其调整。</w:t>
            </w:r>
          </w:p>
        </w:tc>
      </w:tr>
      <w:tr w14:paraId="6E38B22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2FF759B">
            <w:pPr>
              <w:autoSpaceDE w:val="0"/>
              <w:autoSpaceDN w:val="0"/>
              <w:spacing w:line="360" w:lineRule="auto"/>
              <w:jc w:val="center"/>
              <w:rPr>
                <w:rFonts w:hint="eastAsia" w:ascii="仿宋" w:hAnsi="仿宋" w:eastAsia="仿宋" w:cs="Arial"/>
                <w:color w:val="000000"/>
                <w:sz w:val="24"/>
                <w:highlight w:val="none"/>
              </w:rPr>
            </w:pPr>
            <w:r>
              <w:rPr>
                <w:rFonts w:hint="eastAsia" w:ascii="仿宋" w:hAnsi="仿宋" w:eastAsia="仿宋" w:cs="Arial"/>
                <w:color w:val="000000"/>
                <w:sz w:val="24"/>
                <w:highlight w:val="none"/>
              </w:rPr>
              <w:t>10.3.2</w:t>
            </w:r>
          </w:p>
        </w:tc>
        <w:tc>
          <w:tcPr>
            <w:tcW w:w="2712" w:type="dxa"/>
            <w:noWrap/>
            <w:vAlign w:val="center"/>
          </w:tcPr>
          <w:p w14:paraId="2D4FAC27">
            <w:pPr>
              <w:autoSpaceDE w:val="0"/>
              <w:autoSpaceDN w:val="0"/>
              <w:spacing w:line="276" w:lineRule="auto"/>
              <w:jc w:val="center"/>
              <w:rPr>
                <w:rFonts w:hint="eastAsia" w:ascii="仿宋" w:hAnsi="仿宋" w:eastAsia="仿宋" w:cs="Arial"/>
                <w:sz w:val="24"/>
                <w:highlight w:val="none"/>
              </w:rPr>
            </w:pPr>
            <w:r>
              <w:rPr>
                <w:rFonts w:hint="eastAsia" w:ascii="仿宋" w:hAnsi="仿宋" w:eastAsia="仿宋" w:cs="Arial"/>
                <w:sz w:val="24"/>
                <w:highlight w:val="none"/>
              </w:rPr>
              <w:t>质量保证金</w:t>
            </w:r>
          </w:p>
        </w:tc>
        <w:tc>
          <w:tcPr>
            <w:tcW w:w="5811" w:type="dxa"/>
            <w:noWrap/>
            <w:vAlign w:val="center"/>
          </w:tcPr>
          <w:p w14:paraId="648C1CC6">
            <w:pPr>
              <w:autoSpaceDE w:val="0"/>
              <w:autoSpaceDN w:val="0"/>
              <w:spacing w:line="276" w:lineRule="auto"/>
              <w:rPr>
                <w:rFonts w:hint="eastAsia" w:ascii="仿宋" w:hAnsi="仿宋" w:eastAsia="仿宋" w:cs="Arial"/>
                <w:b/>
                <w:sz w:val="24"/>
                <w:highlight w:val="none"/>
              </w:rPr>
            </w:pPr>
            <w:r>
              <w:rPr>
                <w:rFonts w:hint="eastAsia" w:ascii="仿宋" w:hAnsi="仿宋" w:eastAsia="仿宋" w:cs="Arial"/>
                <w:b/>
                <w:sz w:val="24"/>
                <w:highlight w:val="none"/>
              </w:rPr>
              <w:t>审定金额的</w:t>
            </w:r>
            <w:r>
              <w:rPr>
                <w:rFonts w:ascii="仿宋" w:hAnsi="仿宋" w:eastAsia="仿宋" w:cs="Arial"/>
                <w:b/>
                <w:sz w:val="24"/>
                <w:highlight w:val="none"/>
              </w:rPr>
              <w:t>1</w:t>
            </w:r>
            <w:r>
              <w:rPr>
                <w:rFonts w:hint="eastAsia" w:ascii="仿宋" w:hAnsi="仿宋" w:eastAsia="仿宋" w:cs="Arial"/>
                <w:b/>
                <w:sz w:val="24"/>
                <w:highlight w:val="none"/>
              </w:rPr>
              <w:t>.5%，</w:t>
            </w:r>
            <w:r>
              <w:rPr>
                <w:rFonts w:hint="eastAsia" w:ascii="仿宋" w:hAnsi="仿宋" w:eastAsia="仿宋" w:cs="Arial"/>
                <w:b/>
                <w:bCs/>
                <w:sz w:val="24"/>
                <w:highlight w:val="none"/>
              </w:rPr>
              <w:t>质保期满后无质量问题无息退还。</w:t>
            </w:r>
          </w:p>
        </w:tc>
      </w:tr>
      <w:tr w14:paraId="0EAE52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10170398">
            <w:pPr>
              <w:autoSpaceDE w:val="0"/>
              <w:autoSpaceDN w:val="0"/>
              <w:spacing w:line="276" w:lineRule="auto"/>
              <w:jc w:val="center"/>
              <w:rPr>
                <w:rFonts w:hint="eastAsia" w:ascii="仿宋" w:hAnsi="仿宋" w:eastAsia="仿宋" w:cs="Arial"/>
                <w:color w:val="000000"/>
                <w:sz w:val="24"/>
                <w:highlight w:val="none"/>
              </w:rPr>
            </w:pPr>
            <w:r>
              <w:rPr>
                <w:rFonts w:hint="eastAsia" w:ascii="仿宋" w:hAnsi="仿宋" w:eastAsia="仿宋" w:cs="Arial"/>
                <w:color w:val="000000"/>
                <w:sz w:val="24"/>
                <w:highlight w:val="none"/>
              </w:rPr>
              <w:t>10.3.3</w:t>
            </w:r>
          </w:p>
        </w:tc>
        <w:tc>
          <w:tcPr>
            <w:tcW w:w="2712" w:type="dxa"/>
            <w:noWrap/>
            <w:vAlign w:val="center"/>
          </w:tcPr>
          <w:p w14:paraId="5DF1A314">
            <w:pPr>
              <w:autoSpaceDE w:val="0"/>
              <w:autoSpaceDN w:val="0"/>
              <w:spacing w:line="276" w:lineRule="auto"/>
              <w:jc w:val="center"/>
              <w:rPr>
                <w:rFonts w:hint="eastAsia" w:ascii="仿宋" w:hAnsi="仿宋" w:eastAsia="仿宋" w:cs="Arial"/>
                <w:sz w:val="24"/>
                <w:highlight w:val="none"/>
              </w:rPr>
            </w:pPr>
            <w:r>
              <w:rPr>
                <w:rFonts w:hint="eastAsia" w:ascii="仿宋" w:hAnsi="仿宋" w:eastAsia="仿宋" w:cs="Arial"/>
                <w:sz w:val="24"/>
                <w:highlight w:val="none"/>
              </w:rPr>
              <w:t>施工用水电费</w:t>
            </w:r>
          </w:p>
        </w:tc>
        <w:tc>
          <w:tcPr>
            <w:tcW w:w="5811" w:type="dxa"/>
            <w:noWrap/>
            <w:vAlign w:val="center"/>
          </w:tcPr>
          <w:p w14:paraId="4509FBE7">
            <w:pPr>
              <w:autoSpaceDE w:val="0"/>
              <w:autoSpaceDN w:val="0"/>
              <w:spacing w:line="276" w:lineRule="auto"/>
              <w:rPr>
                <w:rFonts w:hint="eastAsia" w:ascii="仿宋" w:hAnsi="仿宋" w:eastAsia="仿宋" w:cs="Arial"/>
                <w:b/>
                <w:sz w:val="24"/>
                <w:highlight w:val="none"/>
              </w:rPr>
            </w:pPr>
            <w:r>
              <w:rPr>
                <w:rFonts w:hint="eastAsia" w:ascii="仿宋" w:hAnsi="仿宋" w:eastAsia="仿宋" w:cs="Arial"/>
                <w:b/>
                <w:sz w:val="24"/>
                <w:highlight w:val="none"/>
              </w:rPr>
              <w:t>承包人承担，审定金额的</w:t>
            </w:r>
            <w:r>
              <w:rPr>
                <w:rFonts w:ascii="仿宋" w:hAnsi="仿宋" w:eastAsia="仿宋" w:cs="Arial"/>
                <w:b/>
                <w:sz w:val="24"/>
                <w:highlight w:val="none"/>
              </w:rPr>
              <w:t>0.4</w:t>
            </w:r>
            <w:r>
              <w:rPr>
                <w:rFonts w:hint="eastAsia" w:ascii="仿宋" w:hAnsi="仿宋" w:eastAsia="仿宋" w:cs="Arial"/>
                <w:b/>
                <w:sz w:val="24"/>
                <w:highlight w:val="none"/>
              </w:rPr>
              <w:t>%。</w:t>
            </w:r>
          </w:p>
          <w:p w14:paraId="1A0A0D56">
            <w:pPr>
              <w:autoSpaceDE w:val="0"/>
              <w:autoSpaceDN w:val="0"/>
              <w:spacing w:line="276" w:lineRule="auto"/>
              <w:rPr>
                <w:rFonts w:hint="eastAsia" w:ascii="仿宋" w:hAnsi="仿宋" w:eastAsia="仿宋" w:cs="Arial"/>
                <w:b/>
                <w:sz w:val="24"/>
                <w:highlight w:val="none"/>
              </w:rPr>
            </w:pPr>
            <w:r>
              <w:rPr>
                <w:rFonts w:hint="eastAsia" w:ascii="仿宋" w:hAnsi="仿宋" w:eastAsia="仿宋" w:cs="仿宋_GB2312"/>
                <w:sz w:val="24"/>
                <w:u w:val="single"/>
                <w:lang w:val="en-US" w:eastAsia="zh-CN"/>
              </w:rPr>
              <w:t>缴纳方式：</w:t>
            </w:r>
            <w:r>
              <w:rPr>
                <w:rFonts w:hint="eastAsia" w:ascii="仿宋" w:hAnsi="仿宋" w:eastAsia="仿宋" w:cs="仿宋_GB2312"/>
                <w:sz w:val="24"/>
                <w:u w:val="single"/>
              </w:rPr>
              <w:t>在工程结算</w:t>
            </w:r>
            <w:r>
              <w:rPr>
                <w:rFonts w:hint="eastAsia" w:ascii="仿宋" w:hAnsi="仿宋" w:eastAsia="仿宋" w:cs="仿宋_GB2312"/>
                <w:sz w:val="24"/>
                <w:u w:val="single"/>
                <w:lang w:val="en-US" w:eastAsia="zh-CN"/>
              </w:rPr>
              <w:t>款支付前另行缴纳。</w:t>
            </w:r>
          </w:p>
        </w:tc>
      </w:tr>
      <w:tr w14:paraId="1EF7D67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5096D31E">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10.4</w:t>
            </w:r>
          </w:p>
        </w:tc>
        <w:tc>
          <w:tcPr>
            <w:tcW w:w="2712" w:type="dxa"/>
            <w:noWrap/>
            <w:vAlign w:val="center"/>
          </w:tcPr>
          <w:p w14:paraId="452E0CA0">
            <w:pPr>
              <w:autoSpaceDE w:val="0"/>
              <w:autoSpaceDN w:val="0"/>
              <w:spacing w:line="276" w:lineRule="auto"/>
              <w:jc w:val="center"/>
              <w:rPr>
                <w:rFonts w:hint="eastAsia" w:ascii="仿宋" w:hAnsi="仿宋" w:eastAsia="仿宋" w:cs="Arial"/>
                <w:sz w:val="24"/>
              </w:rPr>
            </w:pPr>
            <w:r>
              <w:rPr>
                <w:rFonts w:hint="eastAsia" w:ascii="仿宋" w:hAnsi="仿宋" w:eastAsia="仿宋" w:cs="Arial"/>
                <w:sz w:val="24"/>
              </w:rPr>
              <w:t>预付款担保</w:t>
            </w:r>
          </w:p>
        </w:tc>
        <w:tc>
          <w:tcPr>
            <w:tcW w:w="5811" w:type="dxa"/>
            <w:noWrap/>
            <w:vAlign w:val="center"/>
          </w:tcPr>
          <w:p w14:paraId="12A73117">
            <w:pPr>
              <w:autoSpaceDE w:val="0"/>
              <w:autoSpaceDN w:val="0"/>
              <w:spacing w:line="276" w:lineRule="auto"/>
              <w:rPr>
                <w:rFonts w:hint="eastAsia" w:ascii="仿宋" w:hAnsi="仿宋" w:eastAsia="仿宋" w:cs="Arial"/>
                <w:bCs/>
                <w:sz w:val="24"/>
              </w:rPr>
            </w:pPr>
            <w:r>
              <w:rPr>
                <w:rFonts w:hint="eastAsia" w:ascii="仿宋" w:hAnsi="仿宋" w:eastAsia="仿宋" w:cs="Arial"/>
                <w:bCs/>
                <w:sz w:val="24"/>
              </w:rPr>
              <w:t>（1）担保方式：银行、保险公司等金融机构出具的预付款保函；</w:t>
            </w:r>
          </w:p>
          <w:p w14:paraId="33130677">
            <w:pPr>
              <w:autoSpaceDE w:val="0"/>
              <w:autoSpaceDN w:val="0"/>
              <w:spacing w:line="276" w:lineRule="auto"/>
              <w:rPr>
                <w:rStyle w:val="243"/>
                <w:color w:val="auto"/>
              </w:rPr>
            </w:pPr>
            <w:r>
              <w:rPr>
                <w:rFonts w:hint="eastAsia" w:ascii="仿宋" w:hAnsi="仿宋" w:eastAsia="仿宋" w:cs="Arial"/>
                <w:bCs/>
                <w:sz w:val="24"/>
              </w:rPr>
              <w:t>（2）担保的金额：签约合同价(不含暂列金)</w:t>
            </w:r>
            <w:r>
              <w:rPr>
                <w:rFonts w:hint="eastAsia" w:ascii="仿宋" w:hAnsi="仿宋" w:eastAsia="仿宋" w:cs="Arial"/>
                <w:bCs/>
                <w:sz w:val="24"/>
                <w:highlight w:val="none"/>
              </w:rPr>
              <w:t>的</w:t>
            </w:r>
            <w:r>
              <w:rPr>
                <w:rFonts w:hint="eastAsia" w:ascii="仿宋" w:hAnsi="仿宋" w:eastAsia="仿宋" w:cs="Arial"/>
                <w:bCs/>
                <w:sz w:val="24"/>
                <w:highlight w:val="none"/>
                <w:lang w:val="en-US" w:eastAsia="zh-CN"/>
              </w:rPr>
              <w:t>4</w:t>
            </w:r>
            <w:r>
              <w:rPr>
                <w:rFonts w:hint="eastAsia" w:ascii="仿宋" w:hAnsi="仿宋" w:eastAsia="仿宋" w:cs="Arial"/>
                <w:bCs/>
                <w:sz w:val="24"/>
                <w:highlight w:val="none"/>
              </w:rPr>
              <w:t>0%；</w:t>
            </w:r>
          </w:p>
          <w:p w14:paraId="7BEBC52A">
            <w:pPr>
              <w:autoSpaceDE w:val="0"/>
              <w:autoSpaceDN w:val="0"/>
              <w:spacing w:line="276" w:lineRule="auto"/>
            </w:pPr>
            <w:r>
              <w:rPr>
                <w:rFonts w:hint="eastAsia" w:ascii="仿宋" w:hAnsi="仿宋" w:eastAsia="仿宋" w:cs="Arial"/>
                <w:bCs/>
                <w:sz w:val="24"/>
              </w:rPr>
              <w:t>（3）担保有效期：自交纳之日起至发包人支付的进度款扣清预付款后7天内有效。</w:t>
            </w:r>
          </w:p>
        </w:tc>
      </w:tr>
      <w:tr w14:paraId="6D2BC7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24EB76F6">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11.1.1</w:t>
            </w:r>
          </w:p>
        </w:tc>
        <w:tc>
          <w:tcPr>
            <w:tcW w:w="2712" w:type="dxa"/>
            <w:noWrap/>
            <w:vAlign w:val="center"/>
          </w:tcPr>
          <w:p w14:paraId="783F8C23">
            <w:pPr>
              <w:autoSpaceDE w:val="0"/>
              <w:autoSpaceDN w:val="0"/>
              <w:spacing w:line="276" w:lineRule="auto"/>
              <w:jc w:val="center"/>
              <w:rPr>
                <w:rFonts w:hint="eastAsia" w:ascii="仿宋" w:hAnsi="仿宋" w:eastAsia="仿宋" w:cs="Arial"/>
                <w:color w:val="000000"/>
                <w:sz w:val="24"/>
              </w:rPr>
            </w:pPr>
            <w:r>
              <w:rPr>
                <w:rFonts w:ascii="仿宋" w:hAnsi="仿宋" w:eastAsia="仿宋" w:cs="Arial"/>
                <w:color w:val="000000"/>
                <w:sz w:val="24"/>
              </w:rPr>
              <w:t>中小企业信用融资</w:t>
            </w:r>
          </w:p>
        </w:tc>
        <w:tc>
          <w:tcPr>
            <w:tcW w:w="5811" w:type="dxa"/>
            <w:noWrap/>
            <w:vAlign w:val="center"/>
          </w:tcPr>
          <w:p w14:paraId="38F01393">
            <w:pPr>
              <w:autoSpaceDE w:val="0"/>
              <w:autoSpaceDN w:val="0"/>
              <w:spacing w:line="276" w:lineRule="auto"/>
              <w:rPr>
                <w:rFonts w:hint="eastAsia" w:ascii="仿宋" w:hAnsi="仿宋" w:eastAsia="仿宋" w:cs="Arial"/>
                <w:color w:val="000000"/>
                <w:sz w:val="24"/>
              </w:rPr>
            </w:pPr>
            <w:r>
              <w:rPr>
                <w:rFonts w:ascii="仿宋" w:hAnsi="仿宋" w:eastAsia="仿宋" w:cs="Arial"/>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14:paraId="14E8A0C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14:paraId="439C84F9">
            <w:pPr>
              <w:autoSpaceDE w:val="0"/>
              <w:autoSpaceDN w:val="0"/>
              <w:spacing w:line="276" w:lineRule="auto"/>
              <w:jc w:val="center"/>
              <w:rPr>
                <w:rFonts w:hint="eastAsia" w:ascii="仿宋" w:hAnsi="仿宋" w:eastAsia="仿宋" w:cs="Arial"/>
                <w:color w:val="000000"/>
                <w:sz w:val="24"/>
              </w:rPr>
            </w:pPr>
            <w:r>
              <w:rPr>
                <w:rFonts w:hint="eastAsia" w:ascii="仿宋" w:hAnsi="仿宋" w:eastAsia="仿宋" w:cs="Arial"/>
                <w:color w:val="000000"/>
                <w:sz w:val="24"/>
              </w:rPr>
              <w:t>11.2.1</w:t>
            </w:r>
          </w:p>
        </w:tc>
        <w:tc>
          <w:tcPr>
            <w:tcW w:w="2712" w:type="dxa"/>
            <w:noWrap/>
            <w:vAlign w:val="center"/>
          </w:tcPr>
          <w:p w14:paraId="66A61035">
            <w:pPr>
              <w:autoSpaceDE w:val="0"/>
              <w:autoSpaceDN w:val="0"/>
              <w:spacing w:line="276" w:lineRule="auto"/>
              <w:jc w:val="center"/>
            </w:pPr>
            <w:r>
              <w:rPr>
                <w:rFonts w:ascii="仿宋" w:hAnsi="仿宋" w:eastAsia="仿宋" w:cs="Arial"/>
                <w:color w:val="000000"/>
                <w:sz w:val="24"/>
              </w:rPr>
              <w:t>重要提醒</w:t>
            </w:r>
          </w:p>
        </w:tc>
        <w:tc>
          <w:tcPr>
            <w:tcW w:w="5811" w:type="dxa"/>
            <w:noWrap/>
            <w:vAlign w:val="center"/>
          </w:tcPr>
          <w:p w14:paraId="0BC8B399">
            <w:pPr>
              <w:autoSpaceDE w:val="0"/>
              <w:autoSpaceDN w:val="0"/>
              <w:spacing w:line="276" w:lineRule="auto"/>
              <w:rPr>
                <w:rFonts w:hint="eastAsia" w:ascii="仿宋" w:hAnsi="仿宋" w:eastAsia="仿宋" w:cs="Arial"/>
                <w:b/>
                <w:bCs/>
                <w:color w:val="000000"/>
                <w:sz w:val="24"/>
              </w:rPr>
            </w:pPr>
            <w:r>
              <w:rPr>
                <w:rFonts w:hint="eastAsia" w:ascii="仿宋" w:hAnsi="仿宋" w:eastAsia="仿宋" w:cs="Arial"/>
                <w:b/>
                <w:bCs/>
                <w:color w:val="000000"/>
                <w:sz w:val="24"/>
              </w:rPr>
              <w:t>（1）磋商响应供应商应仔细对照磋商须知条款阅读本表，如本表与须知内容就同一事项规定不一致的，以本表为准；</w:t>
            </w:r>
          </w:p>
          <w:p w14:paraId="2D9EAF1A">
            <w:pPr>
              <w:autoSpaceDE w:val="0"/>
              <w:autoSpaceDN w:val="0"/>
              <w:spacing w:line="276" w:lineRule="auto"/>
              <w:rPr>
                <w:rFonts w:hint="eastAsia" w:ascii="仿宋" w:hAnsi="仿宋" w:eastAsia="仿宋" w:cs="Arial"/>
                <w:b/>
                <w:bCs/>
                <w:color w:val="000000"/>
                <w:sz w:val="24"/>
              </w:rPr>
            </w:pPr>
            <w:r>
              <w:rPr>
                <w:rFonts w:hint="eastAsia" w:ascii="仿宋" w:hAnsi="仿宋" w:eastAsia="仿宋" w:cs="Arial"/>
                <w:b/>
                <w:bCs/>
                <w:color w:val="000000"/>
                <w:sz w:val="24"/>
              </w:rPr>
              <w:t>（2）磋商响应供应商在编制磋商响应文件时应作出符合客观事实的真实响应，采购人不接受任何不符客观事实的“响应”或者“应标”，情节严重的可视为“提供虚假材料”行为，并参照“提供虚假材料”进行处理；</w:t>
            </w:r>
          </w:p>
          <w:p w14:paraId="3BB04CF7">
            <w:pPr>
              <w:autoSpaceDE w:val="0"/>
              <w:autoSpaceDN w:val="0"/>
              <w:spacing w:line="276" w:lineRule="auto"/>
              <w:rPr>
                <w:rFonts w:hint="eastAsia" w:ascii="仿宋" w:hAnsi="仿宋" w:eastAsia="仿宋" w:cs="Arial"/>
                <w:b/>
                <w:bCs/>
                <w:color w:val="000000"/>
                <w:sz w:val="24"/>
              </w:rPr>
            </w:pPr>
            <w:r>
              <w:rPr>
                <w:rFonts w:hint="eastAsia" w:ascii="仿宋" w:hAnsi="仿宋" w:eastAsia="仿宋" w:cs="Arial"/>
                <w:b/>
                <w:bCs/>
                <w:color w:val="000000"/>
                <w:sz w:val="24"/>
              </w:rPr>
              <w:t>（3）竞争性磋商文件中标注“▲”的技术或商务条款均为实质性要求条款，不满足实质性要求条款的投标响应无效；</w:t>
            </w:r>
          </w:p>
          <w:p w14:paraId="7585755F">
            <w:pPr>
              <w:autoSpaceDE w:val="0"/>
              <w:autoSpaceDN w:val="0"/>
              <w:spacing w:line="276" w:lineRule="auto"/>
              <w:rPr>
                <w:rFonts w:hint="eastAsia" w:ascii="仿宋" w:hAnsi="仿宋" w:eastAsia="仿宋" w:cs="Arial"/>
                <w:b/>
                <w:bCs/>
                <w:color w:val="000000"/>
                <w:sz w:val="24"/>
              </w:rPr>
            </w:pPr>
            <w:r>
              <w:rPr>
                <w:rFonts w:hint="eastAsia" w:ascii="仿宋" w:hAnsi="仿宋" w:eastAsia="仿宋" w:cs="Arial"/>
                <w:b/>
                <w:bCs/>
                <w:color w:val="000000"/>
                <w:sz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14:paraId="1BF4AEF5">
            <w:pPr>
              <w:autoSpaceDE w:val="0"/>
              <w:autoSpaceDN w:val="0"/>
              <w:spacing w:line="276" w:lineRule="auto"/>
              <w:rPr>
                <w:rFonts w:eastAsia="仿宋"/>
              </w:rPr>
            </w:pPr>
            <w:r>
              <w:rPr>
                <w:rFonts w:hint="eastAsia" w:ascii="仿宋" w:hAnsi="仿宋" w:eastAsia="仿宋" w:cs="Arial"/>
                <w:b/>
                <w:bCs/>
                <w:color w:val="000000"/>
                <w:sz w:val="24"/>
              </w:rPr>
              <w:t>（5）</w:t>
            </w:r>
            <w:r>
              <w:rPr>
                <w:rFonts w:hint="eastAsia" w:ascii="仿宋" w:hAnsi="仿宋" w:eastAsia="仿宋" w:cs="Arial"/>
                <w:b/>
                <w:bCs/>
                <w:color w:val="000000"/>
                <w:sz w:val="24"/>
                <w:u w:val="single"/>
              </w:rPr>
              <w:t>竞争性磋商报价以最终报价为准，单价同比例下浮（暂列金</w:t>
            </w:r>
            <w:r>
              <w:rPr>
                <w:rFonts w:hint="eastAsia" w:ascii="仿宋" w:hAnsi="仿宋" w:eastAsia="仿宋" w:cs="Arial"/>
                <w:b/>
                <w:bCs/>
                <w:color w:val="000000"/>
                <w:sz w:val="24"/>
                <w:u w:val="single"/>
                <w:lang w:eastAsia="zh-CN"/>
              </w:rPr>
              <w:t>、</w:t>
            </w:r>
            <w:r>
              <w:rPr>
                <w:rFonts w:hint="eastAsia" w:ascii="仿宋" w:hAnsi="仿宋" w:eastAsia="仿宋" w:cs="Arial"/>
                <w:b/>
                <w:bCs/>
                <w:color w:val="000000"/>
                <w:sz w:val="24"/>
                <w:u w:val="single"/>
                <w:lang w:val="en-US" w:eastAsia="zh-CN"/>
              </w:rPr>
              <w:t>暂估价</w:t>
            </w:r>
            <w:r>
              <w:rPr>
                <w:rFonts w:hint="eastAsia" w:ascii="仿宋" w:hAnsi="仿宋" w:eastAsia="仿宋" w:cs="Arial"/>
                <w:b/>
                <w:bCs/>
                <w:color w:val="000000"/>
                <w:sz w:val="24"/>
                <w:u w:val="single"/>
              </w:rPr>
              <w:t>不下浮）</w:t>
            </w:r>
            <w:r>
              <w:rPr>
                <w:rFonts w:hint="eastAsia" w:ascii="仿宋" w:hAnsi="仿宋" w:eastAsia="仿宋" w:cs="Arial"/>
                <w:b/>
                <w:bCs/>
                <w:color w:val="000000"/>
                <w:sz w:val="24"/>
              </w:rPr>
              <w:t>。</w:t>
            </w:r>
          </w:p>
        </w:tc>
      </w:tr>
      <w:bookmarkEnd w:id="4"/>
      <w:bookmarkEnd w:id="5"/>
      <w:bookmarkEnd w:id="6"/>
    </w:tbl>
    <w:p w14:paraId="77355D49">
      <w:pPr>
        <w:autoSpaceDE w:val="0"/>
        <w:autoSpaceDN w:val="0"/>
      </w:pPr>
      <w:bookmarkStart w:id="9" w:name="_Toc82338238"/>
      <w:bookmarkStart w:id="10" w:name="_Toc211745567"/>
      <w:bookmarkStart w:id="11" w:name="_Toc82873321"/>
    </w:p>
    <w:p w14:paraId="509B72A3">
      <w:pPr>
        <w:pStyle w:val="2"/>
        <w:autoSpaceDE w:val="0"/>
        <w:autoSpaceDN w:val="0"/>
        <w:spacing w:before="240"/>
        <w:rPr>
          <w:rFonts w:eastAsia="华文中宋"/>
          <w:color w:val="auto"/>
        </w:rPr>
      </w:pPr>
      <w:bookmarkStart w:id="12" w:name="_Toc30985"/>
      <w:bookmarkStart w:id="13" w:name="_Toc9178"/>
      <w:r>
        <w:rPr>
          <w:rFonts w:eastAsia="华文中宋"/>
          <w:bCs/>
          <w:kern w:val="44"/>
          <w:sz w:val="44"/>
          <w:szCs w:val="44"/>
        </w:rPr>
        <w:t xml:space="preserve">第三章  </w:t>
      </w:r>
      <w:bookmarkEnd w:id="9"/>
      <w:bookmarkEnd w:id="10"/>
      <w:bookmarkEnd w:id="11"/>
      <w:r>
        <w:rPr>
          <w:rFonts w:hint="eastAsia" w:eastAsia="华文中宋"/>
          <w:bCs/>
          <w:color w:val="auto"/>
          <w:kern w:val="44"/>
          <w:sz w:val="44"/>
          <w:szCs w:val="44"/>
        </w:rPr>
        <w:t>磋商须知</w:t>
      </w:r>
      <w:bookmarkEnd w:id="12"/>
      <w:bookmarkEnd w:id="13"/>
    </w:p>
    <w:p w14:paraId="7689B180">
      <w:pPr>
        <w:pStyle w:val="3"/>
        <w:autoSpaceDE w:val="0"/>
        <w:autoSpaceDN w:val="0"/>
        <w:spacing w:before="360"/>
        <w:ind w:firstLine="281" w:firstLineChars="100"/>
        <w:rPr>
          <w:rFonts w:hint="eastAsia" w:ascii="Times New Roman" w:hAnsi="仿宋" w:eastAsia="仿宋"/>
          <w:sz w:val="28"/>
          <w:szCs w:val="28"/>
        </w:rPr>
      </w:pPr>
      <w:bookmarkStart w:id="14" w:name="_Toc82338239"/>
      <w:bookmarkStart w:id="15" w:name="_Toc82873322"/>
      <w:bookmarkStart w:id="16" w:name="_Toc6678"/>
      <w:bookmarkStart w:id="17" w:name="_Toc14488"/>
      <w:r>
        <w:rPr>
          <w:rFonts w:hint="eastAsia" w:ascii="Times New Roman" w:hAnsi="仿宋" w:eastAsia="仿宋"/>
          <w:sz w:val="28"/>
          <w:szCs w:val="28"/>
        </w:rPr>
        <w:t>一、</w:t>
      </w:r>
      <w:bookmarkEnd w:id="14"/>
      <w:bookmarkEnd w:id="15"/>
      <w:r>
        <w:rPr>
          <w:rFonts w:hint="eastAsia" w:ascii="Times New Roman" w:hAnsi="仿宋" w:eastAsia="仿宋"/>
          <w:sz w:val="28"/>
          <w:szCs w:val="28"/>
        </w:rPr>
        <w:t>总则</w:t>
      </w:r>
      <w:bookmarkEnd w:id="16"/>
      <w:bookmarkEnd w:id="17"/>
    </w:p>
    <w:p w14:paraId="1B6B76FC">
      <w:pPr>
        <w:pStyle w:val="4"/>
        <w:spacing w:before="120" w:after="120"/>
        <w:ind w:firstLine="240"/>
        <w:rPr>
          <w:bCs/>
          <w:szCs w:val="32"/>
        </w:rPr>
      </w:pPr>
      <w:bookmarkStart w:id="18" w:name="_Toc82873323"/>
      <w:bookmarkStart w:id="19" w:name="_Toc82338240"/>
      <w:r>
        <w:rPr>
          <w:rFonts w:hint="eastAsia" w:ascii="华文中宋" w:hAnsi="华文中宋" w:cs="华文中宋"/>
          <w:bCs/>
          <w:szCs w:val="32"/>
        </w:rPr>
        <w:t xml:space="preserve">1.1 </w:t>
      </w:r>
      <w:r>
        <w:rPr>
          <w:rFonts w:hint="eastAsia"/>
          <w:bCs/>
          <w:szCs w:val="32"/>
        </w:rPr>
        <w:t>实施依据及适用范围</w:t>
      </w:r>
    </w:p>
    <w:p w14:paraId="04C06237">
      <w:pPr>
        <w:autoSpaceDE w:val="0"/>
        <w:autoSpaceDN w:val="0"/>
        <w:spacing w:line="360" w:lineRule="auto"/>
        <w:ind w:firstLine="424" w:firstLineChars="177"/>
        <w:rPr>
          <w:rFonts w:hint="eastAsia" w:ascii="仿宋" w:hAnsi="仿宋" w:eastAsia="仿宋"/>
          <w:sz w:val="24"/>
          <w:szCs w:val="20"/>
        </w:rPr>
      </w:pPr>
      <w:r>
        <w:rPr>
          <w:rFonts w:ascii="仿宋" w:hAnsi="仿宋" w:eastAsia="仿宋"/>
          <w:color w:val="000000"/>
          <w:kern w:val="0"/>
          <w:sz w:val="24"/>
          <w:szCs w:val="20"/>
        </w:rPr>
        <w:t>1.1</w:t>
      </w:r>
      <w:r>
        <w:rPr>
          <w:rFonts w:hint="eastAsia" w:ascii="仿宋" w:hAnsi="仿宋" w:eastAsia="仿宋"/>
          <w:color w:val="000000"/>
          <w:kern w:val="0"/>
          <w:sz w:val="24"/>
          <w:szCs w:val="20"/>
        </w:rPr>
        <w:t>.1实施依据：</w:t>
      </w:r>
      <w:r>
        <w:rPr>
          <w:rFonts w:ascii="仿宋" w:hAnsi="仿宋" w:eastAsia="仿宋"/>
          <w:color w:val="000000"/>
          <w:kern w:val="0"/>
          <w:sz w:val="24"/>
          <w:szCs w:val="20"/>
        </w:rPr>
        <w:t>本次</w:t>
      </w:r>
      <w:r>
        <w:rPr>
          <w:rFonts w:hint="eastAsia" w:ascii="仿宋" w:hAnsi="仿宋" w:eastAsia="仿宋"/>
          <w:color w:val="000000"/>
          <w:kern w:val="0"/>
          <w:sz w:val="24"/>
          <w:szCs w:val="20"/>
        </w:rPr>
        <w:t>采购工作</w:t>
      </w:r>
      <w:r>
        <w:rPr>
          <w:rFonts w:ascii="仿宋" w:hAnsi="仿宋" w:eastAsia="仿宋"/>
          <w:color w:val="000000"/>
          <w:kern w:val="0"/>
          <w:sz w:val="24"/>
          <w:szCs w:val="20"/>
        </w:rPr>
        <w:t>按照《中华人民共和国政府采购法》</w:t>
      </w:r>
      <w:r>
        <w:rPr>
          <w:rFonts w:hint="eastAsia" w:ascii="仿宋" w:hAnsi="仿宋" w:eastAsia="仿宋"/>
          <w:color w:val="000000"/>
          <w:kern w:val="0"/>
          <w:sz w:val="24"/>
          <w:szCs w:val="20"/>
        </w:rPr>
        <w:t>、《中华人民共和国政府采购法实施条例》、《浙江省政府采购项目电子交易管理暂行办法</w:t>
      </w:r>
      <w:r>
        <w:rPr>
          <w:rFonts w:hint="eastAsia" w:ascii="仿宋" w:hAnsi="仿宋" w:eastAsia="仿宋"/>
          <w:kern w:val="0"/>
          <w:sz w:val="24"/>
          <w:szCs w:val="20"/>
        </w:rPr>
        <w:t>》、浙财采监[202</w:t>
      </w:r>
      <w:r>
        <w:rPr>
          <w:rFonts w:ascii="仿宋" w:hAnsi="仿宋" w:eastAsia="仿宋"/>
          <w:kern w:val="0"/>
          <w:sz w:val="24"/>
          <w:szCs w:val="20"/>
        </w:rPr>
        <w:t>2</w:t>
      </w:r>
      <w:r>
        <w:rPr>
          <w:rFonts w:hint="eastAsia" w:ascii="仿宋" w:hAnsi="仿宋" w:eastAsia="仿宋"/>
          <w:kern w:val="0"/>
          <w:sz w:val="24"/>
          <w:szCs w:val="20"/>
        </w:rPr>
        <w:t>]3号</w:t>
      </w:r>
      <w:r>
        <w:rPr>
          <w:rFonts w:ascii="仿宋" w:hAnsi="仿宋" w:eastAsia="仿宋"/>
          <w:kern w:val="0"/>
          <w:sz w:val="24"/>
          <w:szCs w:val="20"/>
        </w:rPr>
        <w:t>等</w:t>
      </w:r>
      <w:r>
        <w:rPr>
          <w:rFonts w:hint="eastAsia" w:ascii="仿宋" w:hAnsi="仿宋" w:eastAsia="仿宋"/>
          <w:kern w:val="0"/>
          <w:sz w:val="24"/>
          <w:szCs w:val="20"/>
        </w:rPr>
        <w:t>政府采购</w:t>
      </w:r>
      <w:r>
        <w:rPr>
          <w:rFonts w:ascii="仿宋" w:hAnsi="仿宋" w:eastAsia="仿宋"/>
          <w:kern w:val="0"/>
          <w:sz w:val="24"/>
          <w:szCs w:val="20"/>
        </w:rPr>
        <w:t>有关法律、法规、规章、文件的规定组织和实施</w:t>
      </w:r>
      <w:r>
        <w:rPr>
          <w:rFonts w:hint="eastAsia" w:ascii="仿宋" w:hAnsi="仿宋" w:eastAsia="仿宋"/>
          <w:kern w:val="0"/>
          <w:sz w:val="24"/>
          <w:szCs w:val="20"/>
        </w:rPr>
        <w:t>；</w:t>
      </w:r>
    </w:p>
    <w:p w14:paraId="63848217">
      <w:pPr>
        <w:autoSpaceDE w:val="0"/>
        <w:autoSpaceDN w:val="0"/>
        <w:spacing w:line="360" w:lineRule="auto"/>
        <w:ind w:firstLine="424" w:firstLineChars="177"/>
        <w:jc w:val="left"/>
        <w:rPr>
          <w:rFonts w:hint="eastAsia" w:ascii="仿宋" w:hAnsi="仿宋" w:eastAsia="仿宋"/>
          <w:color w:val="000000"/>
          <w:kern w:val="0"/>
          <w:sz w:val="24"/>
          <w:szCs w:val="20"/>
        </w:rPr>
      </w:pPr>
      <w:r>
        <w:rPr>
          <w:rFonts w:hint="eastAsia" w:ascii="仿宋" w:hAnsi="仿宋" w:eastAsia="仿宋"/>
          <w:kern w:val="0"/>
          <w:sz w:val="24"/>
          <w:szCs w:val="20"/>
        </w:rPr>
        <w:t>1.</w:t>
      </w:r>
      <w:r>
        <w:rPr>
          <w:rFonts w:ascii="仿宋" w:hAnsi="仿宋" w:eastAsia="仿宋"/>
          <w:kern w:val="0"/>
          <w:sz w:val="24"/>
          <w:szCs w:val="20"/>
        </w:rPr>
        <w:t>1.2本</w:t>
      </w:r>
      <w:r>
        <w:rPr>
          <w:rFonts w:hint="eastAsia" w:ascii="仿宋" w:hAnsi="仿宋" w:eastAsia="仿宋"/>
          <w:kern w:val="0"/>
          <w:sz w:val="24"/>
          <w:szCs w:val="20"/>
        </w:rPr>
        <w:t>竞争性磋商文件</w:t>
      </w:r>
      <w:r>
        <w:rPr>
          <w:rFonts w:ascii="仿宋" w:hAnsi="仿宋" w:eastAsia="仿宋"/>
          <w:kern w:val="0"/>
          <w:sz w:val="24"/>
          <w:szCs w:val="20"/>
        </w:rPr>
        <w:t>适用于</w:t>
      </w:r>
      <w:r>
        <w:rPr>
          <w:rFonts w:hint="eastAsia" w:ascii="仿宋" w:hAnsi="仿宋" w:eastAsia="仿宋"/>
          <w:b/>
          <w:kern w:val="0"/>
          <w:sz w:val="24"/>
          <w:szCs w:val="20"/>
          <w:u w:val="single"/>
          <w:lang w:eastAsia="zh-CN"/>
        </w:rPr>
        <w:t>浙江工商大学教工路校区学生宿舍建设工程附属配电房移位改造工程（EPC）</w:t>
      </w:r>
      <w:r>
        <w:rPr>
          <w:rFonts w:hint="eastAsia" w:ascii="仿宋" w:hAnsi="仿宋" w:eastAsia="仿宋"/>
          <w:b/>
          <w:kern w:val="0"/>
          <w:sz w:val="24"/>
          <w:szCs w:val="20"/>
          <w:u w:val="single"/>
        </w:rPr>
        <w:t>（项目编号：</w:t>
      </w:r>
      <w:r>
        <w:rPr>
          <w:rFonts w:hint="eastAsia" w:ascii="仿宋" w:hAnsi="仿宋" w:eastAsia="仿宋"/>
          <w:b/>
          <w:kern w:val="0"/>
          <w:sz w:val="24"/>
          <w:szCs w:val="20"/>
          <w:u w:val="single"/>
          <w:lang w:eastAsia="zh-CN"/>
        </w:rPr>
        <w:t>CTZB-2025050222</w:t>
      </w:r>
      <w:r>
        <w:rPr>
          <w:rFonts w:hint="eastAsia" w:ascii="仿宋" w:hAnsi="仿宋" w:eastAsia="仿宋"/>
          <w:b/>
          <w:kern w:val="0"/>
          <w:sz w:val="24"/>
          <w:szCs w:val="20"/>
          <w:u w:val="single"/>
        </w:rPr>
        <w:t>）</w:t>
      </w:r>
      <w:r>
        <w:rPr>
          <w:rFonts w:ascii="仿宋" w:hAnsi="仿宋" w:eastAsia="仿宋"/>
          <w:color w:val="000000"/>
          <w:kern w:val="0"/>
          <w:sz w:val="24"/>
          <w:szCs w:val="20"/>
        </w:rPr>
        <w:t>的</w:t>
      </w:r>
      <w:r>
        <w:rPr>
          <w:rFonts w:hint="eastAsia" w:ascii="仿宋" w:hAnsi="仿宋" w:eastAsia="仿宋"/>
          <w:color w:val="000000"/>
          <w:kern w:val="0"/>
          <w:sz w:val="24"/>
          <w:szCs w:val="20"/>
        </w:rPr>
        <w:t>采购</w:t>
      </w:r>
      <w:r>
        <w:rPr>
          <w:rFonts w:ascii="仿宋" w:hAnsi="仿宋" w:eastAsia="仿宋"/>
          <w:color w:val="000000"/>
          <w:kern w:val="0"/>
          <w:sz w:val="24"/>
          <w:szCs w:val="20"/>
        </w:rPr>
        <w:t>、</w:t>
      </w:r>
      <w:r>
        <w:rPr>
          <w:rFonts w:hint="eastAsia" w:ascii="仿宋" w:hAnsi="仿宋" w:eastAsia="仿宋"/>
          <w:color w:val="000000"/>
          <w:kern w:val="0"/>
          <w:sz w:val="24"/>
          <w:szCs w:val="20"/>
        </w:rPr>
        <w:t>响应、磋商、</w:t>
      </w:r>
      <w:r>
        <w:rPr>
          <w:rFonts w:ascii="仿宋" w:hAnsi="仿宋" w:eastAsia="仿宋"/>
          <w:color w:val="000000"/>
          <w:kern w:val="0"/>
          <w:sz w:val="24"/>
          <w:szCs w:val="20"/>
        </w:rPr>
        <w:t>评标、定标、验收、合同履约、付款等（法律、法规另有规定的，从其规定）。</w:t>
      </w:r>
    </w:p>
    <w:p w14:paraId="6D7F8957">
      <w:pPr>
        <w:pStyle w:val="4"/>
        <w:spacing w:before="120" w:after="120"/>
        <w:ind w:firstLine="240"/>
      </w:pPr>
      <w:r>
        <w:rPr>
          <w:rFonts w:hint="eastAsia" w:ascii="华文中宋" w:hAnsi="华文中宋" w:cs="华文中宋"/>
          <w:bCs/>
          <w:szCs w:val="32"/>
        </w:rPr>
        <w:t xml:space="preserve">1.2 </w:t>
      </w:r>
      <w:r>
        <w:rPr>
          <w:rFonts w:hint="eastAsia"/>
        </w:rPr>
        <w:t>项目基本信息</w:t>
      </w:r>
    </w:p>
    <w:p w14:paraId="50C4B867">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1.2.1项目名称：</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25E3338B">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1.2.2项目编号：</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183D1318">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1.2.3采购内容：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7A125103">
      <w:pPr>
        <w:autoSpaceDE w:val="0"/>
        <w:autoSpaceDN w:val="0"/>
        <w:spacing w:line="360" w:lineRule="auto"/>
        <w:ind w:firstLine="426" w:firstLineChars="177"/>
        <w:rPr>
          <w:rFonts w:hint="eastAsia" w:ascii="仿宋" w:hAnsi="仿宋" w:eastAsia="仿宋"/>
          <w:b/>
          <w:sz w:val="24"/>
          <w:szCs w:val="20"/>
        </w:rPr>
      </w:pPr>
      <w:r>
        <w:rPr>
          <w:rFonts w:hint="eastAsia" w:ascii="仿宋" w:hAnsi="仿宋" w:eastAsia="仿宋"/>
          <w:b/>
          <w:sz w:val="24"/>
          <w:szCs w:val="20"/>
        </w:rPr>
        <w:t>1.2.4最高限价：</w:t>
      </w:r>
      <w:r>
        <w:rPr>
          <w:rFonts w:hint="eastAsia" w:ascii="仿宋" w:hAnsi="仿宋" w:eastAsia="仿宋"/>
          <w:b/>
          <w:kern w:val="0"/>
          <w:sz w:val="24"/>
          <w:szCs w:val="20"/>
          <w:u w:val="single"/>
        </w:rPr>
        <w:t>见《磋商须知前附表》</w:t>
      </w:r>
      <w:r>
        <w:rPr>
          <w:rFonts w:hint="eastAsia" w:ascii="仿宋" w:hAnsi="仿宋" w:eastAsia="仿宋"/>
          <w:b/>
          <w:sz w:val="24"/>
          <w:szCs w:val="20"/>
        </w:rPr>
        <w:t>；</w:t>
      </w:r>
    </w:p>
    <w:p w14:paraId="2BBAE35E">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1.2.5资金落实情况：</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3BB1499E">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1.2.6采购人：</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1B61FC48">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1.2.7采购代理机构：</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19180D62">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1.2.8交易方式：</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4AC6170F">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1.2.9电子交易平台：</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2C6F659B">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1.2.10工期：</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14:paraId="4899A5E7">
      <w:pPr>
        <w:pStyle w:val="4"/>
        <w:spacing w:before="120" w:after="120"/>
        <w:ind w:firstLine="240"/>
        <w:rPr>
          <w:rFonts w:hint="eastAsia" w:ascii="华文中宋" w:hAnsi="华文中宋" w:cs="华文中宋"/>
          <w:bCs/>
          <w:szCs w:val="32"/>
        </w:rPr>
      </w:pPr>
      <w:r>
        <w:rPr>
          <w:rFonts w:hint="eastAsia" w:ascii="华文中宋" w:hAnsi="华文中宋" w:cs="华文中宋"/>
          <w:bCs/>
          <w:szCs w:val="32"/>
        </w:rPr>
        <w:t>1.3 采购方式和采购组织类型</w:t>
      </w:r>
    </w:p>
    <w:p w14:paraId="497E6A68">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1.3</w:t>
      </w:r>
      <w:r>
        <w:rPr>
          <w:rFonts w:ascii="仿宋" w:hAnsi="仿宋" w:eastAsia="仿宋"/>
          <w:b/>
          <w:color w:val="000000"/>
          <w:kern w:val="0"/>
          <w:sz w:val="24"/>
          <w:szCs w:val="20"/>
        </w:rPr>
        <w:t>.1</w:t>
      </w:r>
      <w:r>
        <w:rPr>
          <w:rFonts w:hint="eastAsia" w:ascii="仿宋" w:hAnsi="仿宋" w:eastAsia="仿宋"/>
          <w:b/>
          <w:color w:val="000000"/>
          <w:kern w:val="0"/>
          <w:sz w:val="24"/>
          <w:szCs w:val="20"/>
        </w:rPr>
        <w:t>采购方式：</w:t>
      </w:r>
      <w:r>
        <w:rPr>
          <w:rFonts w:hint="eastAsia" w:ascii="仿宋" w:hAnsi="仿宋" w:eastAsia="仿宋"/>
          <w:b/>
          <w:color w:val="000000"/>
          <w:kern w:val="0"/>
          <w:sz w:val="24"/>
          <w:szCs w:val="20"/>
          <w:u w:val="single"/>
        </w:rPr>
        <w:t>见《磋商须知前附表》</w:t>
      </w:r>
      <w:r>
        <w:rPr>
          <w:rFonts w:hint="eastAsia" w:ascii="仿宋" w:hAnsi="仿宋" w:eastAsia="仿宋"/>
          <w:color w:val="000000"/>
          <w:sz w:val="24"/>
          <w:szCs w:val="20"/>
        </w:rPr>
        <w:t>；</w:t>
      </w:r>
    </w:p>
    <w:p w14:paraId="11C4E94E">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1.3.2采购组织类型：</w:t>
      </w:r>
      <w:r>
        <w:rPr>
          <w:rFonts w:ascii="仿宋" w:hAnsi="仿宋" w:eastAsia="仿宋" w:cs="Arial"/>
          <w:b/>
          <w:color w:val="000000"/>
          <w:sz w:val="24"/>
          <w:szCs w:val="20"/>
          <w:u w:val="single"/>
        </w:rPr>
        <w:t>分散采购-分散委托中介</w:t>
      </w:r>
      <w:r>
        <w:rPr>
          <w:rFonts w:hint="eastAsia" w:ascii="仿宋" w:hAnsi="仿宋" w:eastAsia="仿宋"/>
          <w:b/>
          <w:color w:val="000000"/>
          <w:kern w:val="0"/>
          <w:sz w:val="24"/>
          <w:szCs w:val="20"/>
        </w:rPr>
        <w:t>。</w:t>
      </w:r>
    </w:p>
    <w:p w14:paraId="4A3720CA">
      <w:pPr>
        <w:pStyle w:val="4"/>
        <w:spacing w:before="120" w:after="120"/>
        <w:ind w:firstLine="240"/>
      </w:pPr>
      <w:r>
        <w:rPr>
          <w:rFonts w:hint="eastAsia" w:ascii="华文中宋" w:hAnsi="华文中宋" w:cs="华文中宋"/>
          <w:bCs/>
          <w:szCs w:val="32"/>
        </w:rPr>
        <w:t>1.4 合格供应商资格要</w:t>
      </w:r>
      <w:r>
        <w:rPr>
          <w:rFonts w:hint="eastAsia"/>
        </w:rPr>
        <w:t>求</w:t>
      </w:r>
    </w:p>
    <w:p w14:paraId="3FF1BBDA">
      <w:pPr>
        <w:autoSpaceDE w:val="0"/>
        <w:autoSpaceDN w:val="0"/>
        <w:spacing w:line="360" w:lineRule="auto"/>
        <w:ind w:firstLine="426" w:firstLineChars="177"/>
        <w:rPr>
          <w:rFonts w:hint="eastAsia" w:ascii="仿宋" w:hAnsi="仿宋" w:eastAsia="仿宋"/>
          <w:sz w:val="24"/>
          <w:szCs w:val="20"/>
        </w:rPr>
      </w:pPr>
      <w:r>
        <w:rPr>
          <w:rFonts w:hint="eastAsia" w:ascii="仿宋" w:hAnsi="仿宋" w:eastAsia="仿宋"/>
          <w:b/>
          <w:sz w:val="24"/>
          <w:szCs w:val="20"/>
        </w:rPr>
        <w:t>1.4.1合格供应商“基本资格”要求：</w:t>
      </w:r>
      <w:r>
        <w:rPr>
          <w:rFonts w:hint="eastAsia" w:ascii="仿宋" w:hAnsi="仿宋" w:eastAsia="仿宋"/>
          <w:b/>
          <w:color w:val="000000"/>
          <w:kern w:val="0"/>
          <w:sz w:val="24"/>
          <w:szCs w:val="20"/>
          <w:u w:val="single"/>
        </w:rPr>
        <w:t>见《第一章 竞争性磋商公告》</w:t>
      </w:r>
      <w:r>
        <w:rPr>
          <w:rFonts w:hint="eastAsia" w:ascii="仿宋" w:hAnsi="仿宋" w:eastAsia="仿宋"/>
          <w:color w:val="000000"/>
          <w:kern w:val="0"/>
          <w:sz w:val="24"/>
          <w:szCs w:val="20"/>
        </w:rPr>
        <w:t>；</w:t>
      </w:r>
    </w:p>
    <w:p w14:paraId="37C06533">
      <w:pPr>
        <w:autoSpaceDE w:val="0"/>
        <w:autoSpaceDN w:val="0"/>
        <w:spacing w:line="360" w:lineRule="auto"/>
        <w:ind w:firstLine="426" w:firstLineChars="177"/>
        <w:rPr>
          <w:rFonts w:hint="eastAsia" w:ascii="仿宋" w:hAnsi="仿宋" w:eastAsia="仿宋"/>
          <w:sz w:val="24"/>
          <w:szCs w:val="20"/>
        </w:rPr>
      </w:pPr>
      <w:r>
        <w:rPr>
          <w:rFonts w:hint="eastAsia" w:ascii="仿宋" w:hAnsi="仿宋" w:eastAsia="仿宋"/>
          <w:b/>
          <w:sz w:val="24"/>
          <w:szCs w:val="20"/>
        </w:rPr>
        <w:t>1.4.2合格供应商“特定资格”要求：</w:t>
      </w:r>
      <w:r>
        <w:rPr>
          <w:rFonts w:hint="eastAsia" w:ascii="仿宋" w:hAnsi="仿宋" w:eastAsia="仿宋"/>
          <w:b/>
          <w:color w:val="000000"/>
          <w:kern w:val="0"/>
          <w:sz w:val="24"/>
          <w:szCs w:val="20"/>
          <w:u w:val="single"/>
        </w:rPr>
        <w:t>见《第一章 竞争性磋商公告》</w:t>
      </w:r>
      <w:r>
        <w:rPr>
          <w:rFonts w:hint="eastAsia" w:ascii="仿宋" w:hAnsi="仿宋" w:eastAsia="仿宋"/>
          <w:color w:val="000000"/>
          <w:kern w:val="0"/>
          <w:sz w:val="24"/>
          <w:szCs w:val="20"/>
        </w:rPr>
        <w:t>。</w:t>
      </w:r>
    </w:p>
    <w:p w14:paraId="6AF7288C">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1.5 定义</w:t>
      </w:r>
    </w:p>
    <w:p w14:paraId="26DB6697">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1.5</w:t>
      </w:r>
      <w:r>
        <w:rPr>
          <w:rFonts w:ascii="仿宋" w:hAnsi="仿宋" w:eastAsia="仿宋"/>
          <w:b/>
          <w:color w:val="000000"/>
          <w:kern w:val="0"/>
          <w:sz w:val="24"/>
          <w:szCs w:val="20"/>
        </w:rPr>
        <w:t>.1</w:t>
      </w:r>
      <w:r>
        <w:rPr>
          <w:rFonts w:hint="eastAsia" w:ascii="仿宋" w:hAnsi="仿宋" w:eastAsia="仿宋"/>
          <w:b/>
          <w:color w:val="000000"/>
          <w:kern w:val="0"/>
          <w:sz w:val="24"/>
          <w:szCs w:val="20"/>
        </w:rPr>
        <w:t>“</w:t>
      </w:r>
      <w:r>
        <w:rPr>
          <w:rFonts w:ascii="仿宋" w:hAnsi="仿宋" w:eastAsia="仿宋"/>
          <w:b/>
          <w:color w:val="000000"/>
          <w:kern w:val="0"/>
          <w:sz w:val="24"/>
          <w:szCs w:val="20"/>
        </w:rPr>
        <w:t>采购人</w:t>
      </w:r>
      <w:r>
        <w:rPr>
          <w:rFonts w:hint="eastAsia" w:ascii="仿宋" w:hAnsi="仿宋" w:eastAsia="仿宋"/>
          <w:b/>
          <w:color w:val="000000"/>
          <w:kern w:val="0"/>
          <w:sz w:val="24"/>
          <w:szCs w:val="20"/>
        </w:rPr>
        <w:t>”：</w:t>
      </w:r>
      <w:r>
        <w:rPr>
          <w:rFonts w:ascii="仿宋" w:hAnsi="仿宋" w:eastAsia="仿宋"/>
          <w:color w:val="000000"/>
          <w:sz w:val="24"/>
          <w:szCs w:val="20"/>
        </w:rPr>
        <w:t>是</w:t>
      </w:r>
      <w:r>
        <w:rPr>
          <w:rFonts w:ascii="仿宋" w:hAnsi="仿宋" w:eastAsia="仿宋"/>
          <w:color w:val="000000"/>
          <w:kern w:val="0"/>
          <w:sz w:val="24"/>
          <w:szCs w:val="20"/>
        </w:rPr>
        <w:t>指依法进行政府采购的国家机关、事业单位、团体组织</w:t>
      </w:r>
      <w:r>
        <w:rPr>
          <w:rFonts w:hint="eastAsia" w:ascii="仿宋" w:hAnsi="仿宋" w:eastAsia="仿宋"/>
          <w:color w:val="000000"/>
          <w:kern w:val="0"/>
          <w:sz w:val="24"/>
          <w:szCs w:val="20"/>
        </w:rPr>
        <w:t>，即政府采购</w:t>
      </w:r>
      <w:r>
        <w:rPr>
          <w:rFonts w:ascii="仿宋" w:hAnsi="仿宋" w:eastAsia="仿宋"/>
          <w:color w:val="000000"/>
          <w:kern w:val="0"/>
          <w:sz w:val="24"/>
          <w:szCs w:val="20"/>
        </w:rPr>
        <w:t>合同</w:t>
      </w:r>
      <w:r>
        <w:rPr>
          <w:rFonts w:hint="eastAsia" w:ascii="仿宋" w:hAnsi="仿宋" w:eastAsia="仿宋"/>
          <w:color w:val="000000"/>
          <w:kern w:val="0"/>
          <w:sz w:val="24"/>
          <w:szCs w:val="20"/>
        </w:rPr>
        <w:t>中</w:t>
      </w:r>
      <w:r>
        <w:rPr>
          <w:rFonts w:ascii="仿宋" w:hAnsi="仿宋" w:eastAsia="仿宋"/>
          <w:color w:val="000000"/>
          <w:kern w:val="0"/>
          <w:sz w:val="24"/>
          <w:szCs w:val="20"/>
        </w:rPr>
        <w:t>的</w:t>
      </w:r>
      <w:r>
        <w:rPr>
          <w:rFonts w:hint="eastAsia" w:ascii="仿宋" w:hAnsi="仿宋" w:eastAsia="仿宋"/>
          <w:color w:val="000000"/>
          <w:kern w:val="0"/>
          <w:sz w:val="24"/>
          <w:szCs w:val="20"/>
        </w:rPr>
        <w:t>“甲方”</w:t>
      </w:r>
      <w:r>
        <w:rPr>
          <w:rFonts w:hint="eastAsia" w:ascii="仿宋" w:hAnsi="仿宋" w:eastAsia="仿宋"/>
          <w:b/>
          <w:color w:val="000000"/>
          <w:kern w:val="0"/>
          <w:sz w:val="24"/>
          <w:szCs w:val="20"/>
        </w:rPr>
        <w:t>（本项目的采购人是指“</w:t>
      </w:r>
      <w:r>
        <w:rPr>
          <w:rFonts w:hint="eastAsia" w:ascii="仿宋" w:hAnsi="仿宋" w:eastAsia="仿宋"/>
          <w:b/>
          <w:color w:val="000000"/>
          <w:sz w:val="24"/>
          <w:szCs w:val="20"/>
          <w:u w:val="single"/>
        </w:rPr>
        <w:t>浙江工商大学</w:t>
      </w:r>
      <w:r>
        <w:rPr>
          <w:rFonts w:hint="eastAsia" w:ascii="仿宋" w:hAnsi="仿宋" w:eastAsia="仿宋"/>
          <w:b/>
          <w:color w:val="000000"/>
          <w:kern w:val="0"/>
          <w:sz w:val="24"/>
          <w:szCs w:val="20"/>
        </w:rPr>
        <w:t>”）</w:t>
      </w:r>
      <w:r>
        <w:rPr>
          <w:rFonts w:hint="eastAsia" w:ascii="仿宋" w:hAnsi="仿宋" w:eastAsia="仿宋"/>
          <w:color w:val="000000"/>
          <w:kern w:val="0"/>
          <w:sz w:val="24"/>
          <w:szCs w:val="20"/>
        </w:rPr>
        <w:t>；</w:t>
      </w:r>
    </w:p>
    <w:p w14:paraId="49FB7FB4">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cs="Arial"/>
          <w:b/>
          <w:color w:val="000000"/>
          <w:kern w:val="0"/>
          <w:sz w:val="24"/>
          <w:szCs w:val="20"/>
        </w:rPr>
        <w:t>1.5.2“采购代理机构”：</w:t>
      </w:r>
      <w:r>
        <w:rPr>
          <w:rFonts w:ascii="仿宋" w:hAnsi="仿宋" w:eastAsia="仿宋" w:cs="Arial"/>
          <w:color w:val="000000"/>
          <w:sz w:val="24"/>
          <w:szCs w:val="20"/>
        </w:rPr>
        <w:t>是</w:t>
      </w:r>
      <w:r>
        <w:rPr>
          <w:rFonts w:hint="eastAsia" w:ascii="仿宋" w:hAnsi="仿宋" w:eastAsia="仿宋" w:cs="Arial"/>
          <w:color w:val="000000"/>
          <w:kern w:val="0"/>
          <w:sz w:val="24"/>
          <w:szCs w:val="20"/>
        </w:rPr>
        <w:t>指受采购人委托，在委托的范围内办理采购事宜的机构</w:t>
      </w:r>
      <w:r>
        <w:rPr>
          <w:rFonts w:hint="eastAsia" w:ascii="仿宋" w:hAnsi="仿宋" w:eastAsia="仿宋" w:cs="Arial"/>
          <w:b/>
          <w:color w:val="000000"/>
          <w:kern w:val="0"/>
          <w:sz w:val="24"/>
          <w:szCs w:val="20"/>
        </w:rPr>
        <w:t>（本项目的采购代理机构是指“</w:t>
      </w:r>
      <w:r>
        <w:rPr>
          <w:rFonts w:hint="eastAsia" w:ascii="仿宋" w:hAnsi="仿宋" w:eastAsia="仿宋" w:cs="Arial"/>
          <w:b/>
          <w:color w:val="000000"/>
          <w:kern w:val="0"/>
          <w:sz w:val="24"/>
          <w:szCs w:val="20"/>
          <w:u w:val="single"/>
        </w:rPr>
        <w:t>浙江省成套招标代理有限公司</w:t>
      </w:r>
      <w:r>
        <w:rPr>
          <w:rFonts w:hint="eastAsia" w:ascii="仿宋" w:hAnsi="仿宋" w:eastAsia="仿宋" w:cs="Arial"/>
          <w:b/>
          <w:color w:val="000000"/>
          <w:kern w:val="0"/>
          <w:sz w:val="24"/>
          <w:szCs w:val="20"/>
        </w:rPr>
        <w:t>”）</w:t>
      </w:r>
      <w:r>
        <w:rPr>
          <w:rFonts w:hint="eastAsia" w:ascii="仿宋" w:hAnsi="仿宋" w:eastAsia="仿宋" w:cs="Arial"/>
          <w:color w:val="000000"/>
          <w:kern w:val="0"/>
          <w:sz w:val="24"/>
          <w:szCs w:val="20"/>
        </w:rPr>
        <w:t>；</w:t>
      </w:r>
    </w:p>
    <w:p w14:paraId="505EF5DB">
      <w:pPr>
        <w:autoSpaceDE w:val="0"/>
        <w:autoSpaceDN w:val="0"/>
        <w:spacing w:line="360" w:lineRule="auto"/>
        <w:ind w:firstLine="426" w:firstLineChars="177"/>
        <w:rPr>
          <w:rFonts w:hint="eastAsia" w:ascii="仿宋" w:hAnsi="仿宋" w:eastAsia="仿宋" w:cs="Arial"/>
          <w:b/>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3“采购组织机构”：</w:t>
      </w:r>
      <w:r>
        <w:rPr>
          <w:rFonts w:ascii="仿宋" w:hAnsi="仿宋" w:eastAsia="仿宋" w:cs="Arial"/>
          <w:color w:val="000000"/>
          <w:sz w:val="24"/>
          <w:szCs w:val="20"/>
        </w:rPr>
        <w:t>是</w:t>
      </w:r>
      <w:r>
        <w:rPr>
          <w:rFonts w:ascii="仿宋" w:hAnsi="仿宋" w:eastAsia="仿宋" w:cs="Arial"/>
          <w:color w:val="000000"/>
          <w:kern w:val="0"/>
          <w:sz w:val="24"/>
          <w:szCs w:val="20"/>
        </w:rPr>
        <w:t>指</w:t>
      </w:r>
      <w:r>
        <w:rPr>
          <w:rFonts w:hint="eastAsia" w:ascii="仿宋" w:hAnsi="仿宋" w:eastAsia="仿宋" w:cs="Arial"/>
          <w:color w:val="000000"/>
          <w:kern w:val="0"/>
          <w:sz w:val="24"/>
          <w:szCs w:val="20"/>
        </w:rPr>
        <w:t>采购人和受采购人委托的采购代理机构；</w:t>
      </w:r>
    </w:p>
    <w:p w14:paraId="660AA7C0">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4“磋商响应供应商”（或磋商供应商或供应商）：</w:t>
      </w:r>
      <w:r>
        <w:rPr>
          <w:rFonts w:ascii="仿宋" w:hAnsi="仿宋" w:eastAsia="仿宋" w:cs="Arial"/>
          <w:color w:val="000000"/>
          <w:sz w:val="24"/>
          <w:szCs w:val="20"/>
        </w:rPr>
        <w:t>是</w:t>
      </w:r>
      <w:r>
        <w:rPr>
          <w:rFonts w:ascii="仿宋" w:hAnsi="仿宋" w:eastAsia="仿宋" w:cs="Arial"/>
          <w:color w:val="000000"/>
          <w:kern w:val="0"/>
          <w:sz w:val="24"/>
          <w:szCs w:val="20"/>
        </w:rPr>
        <w:t>指</w:t>
      </w:r>
      <w:r>
        <w:rPr>
          <w:rFonts w:hint="eastAsia" w:ascii="仿宋" w:hAnsi="仿宋" w:eastAsia="仿宋" w:cs="Arial"/>
          <w:color w:val="000000"/>
          <w:kern w:val="0"/>
          <w:sz w:val="24"/>
          <w:szCs w:val="20"/>
        </w:rPr>
        <w:t>响应采购、参加投标竞争的法人、其他组织或者自然人；</w:t>
      </w:r>
    </w:p>
    <w:p w14:paraId="41D25EBF">
      <w:pPr>
        <w:autoSpaceDE w:val="0"/>
        <w:autoSpaceDN w:val="0"/>
        <w:spacing w:line="360" w:lineRule="auto"/>
        <w:ind w:firstLine="426" w:firstLineChars="177"/>
        <w:rPr>
          <w:rFonts w:hint="eastAsia" w:ascii="仿宋" w:hAnsi="仿宋" w:eastAsia="仿宋" w:cs="Arial"/>
          <w:color w:val="00000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5“磋商响应供应商</w:t>
      </w:r>
      <w:r>
        <w:rPr>
          <w:rFonts w:ascii="仿宋" w:hAnsi="仿宋" w:eastAsia="仿宋" w:cs="Arial"/>
          <w:b/>
          <w:color w:val="000000"/>
          <w:kern w:val="0"/>
          <w:sz w:val="24"/>
          <w:szCs w:val="20"/>
        </w:rPr>
        <w:t>代表</w:t>
      </w:r>
      <w:r>
        <w:rPr>
          <w:rFonts w:hint="eastAsia" w:ascii="仿宋" w:hAnsi="仿宋" w:eastAsia="仿宋" w:cs="Arial"/>
          <w:b/>
          <w:color w:val="000000"/>
          <w:kern w:val="0"/>
          <w:sz w:val="24"/>
          <w:szCs w:val="20"/>
        </w:rPr>
        <w:t>”：</w:t>
      </w:r>
      <w:r>
        <w:rPr>
          <w:rFonts w:ascii="仿宋" w:hAnsi="仿宋" w:eastAsia="仿宋" w:cs="Arial"/>
          <w:color w:val="000000"/>
          <w:sz w:val="24"/>
          <w:szCs w:val="20"/>
        </w:rPr>
        <w:t>是指参加本项目</w:t>
      </w:r>
      <w:r>
        <w:rPr>
          <w:rFonts w:hint="eastAsia" w:ascii="仿宋" w:hAnsi="仿宋" w:eastAsia="仿宋" w:cs="Arial"/>
          <w:color w:val="000000"/>
          <w:sz w:val="24"/>
          <w:szCs w:val="20"/>
        </w:rPr>
        <w:t>磋商</w:t>
      </w:r>
      <w:r>
        <w:rPr>
          <w:rFonts w:ascii="仿宋" w:hAnsi="仿宋" w:eastAsia="仿宋" w:cs="Arial"/>
          <w:color w:val="000000"/>
          <w:sz w:val="24"/>
          <w:szCs w:val="20"/>
        </w:rPr>
        <w:t>活动的</w:t>
      </w:r>
      <w:r>
        <w:rPr>
          <w:rFonts w:hint="eastAsia" w:ascii="仿宋" w:hAnsi="仿宋" w:eastAsia="仿宋" w:cs="Arial"/>
          <w:color w:val="000000"/>
          <w:sz w:val="24"/>
          <w:szCs w:val="20"/>
        </w:rPr>
        <w:t>磋商响应供应商的</w:t>
      </w:r>
      <w:r>
        <w:rPr>
          <w:rFonts w:ascii="仿宋" w:hAnsi="仿宋" w:eastAsia="仿宋" w:cs="Arial"/>
          <w:color w:val="000000"/>
          <w:sz w:val="24"/>
          <w:szCs w:val="20"/>
        </w:rPr>
        <w:t>法</w:t>
      </w:r>
      <w:r>
        <w:rPr>
          <w:rFonts w:hint="eastAsia" w:ascii="仿宋" w:hAnsi="仿宋" w:eastAsia="仿宋" w:cs="Arial"/>
          <w:color w:val="000000"/>
          <w:sz w:val="24"/>
          <w:szCs w:val="20"/>
        </w:rPr>
        <w:t>定代表</w:t>
      </w:r>
      <w:r>
        <w:rPr>
          <w:rFonts w:ascii="仿宋" w:hAnsi="仿宋" w:eastAsia="仿宋" w:cs="Arial"/>
          <w:color w:val="000000"/>
          <w:sz w:val="24"/>
          <w:szCs w:val="20"/>
        </w:rPr>
        <w:t>人或法人授权代表</w:t>
      </w:r>
      <w:r>
        <w:rPr>
          <w:rFonts w:hint="eastAsia" w:ascii="仿宋" w:hAnsi="仿宋" w:eastAsia="仿宋" w:cs="Arial"/>
          <w:color w:val="000000"/>
          <w:sz w:val="24"/>
          <w:szCs w:val="20"/>
        </w:rPr>
        <w:t>；</w:t>
      </w:r>
    </w:p>
    <w:p w14:paraId="3E8991BD">
      <w:pPr>
        <w:autoSpaceDE w:val="0"/>
        <w:autoSpaceDN w:val="0"/>
        <w:spacing w:line="360" w:lineRule="auto"/>
        <w:ind w:firstLine="426" w:firstLineChars="177"/>
        <w:rPr>
          <w:rFonts w:hint="eastAsia" w:ascii="仿宋" w:hAnsi="仿宋" w:eastAsia="仿宋" w:cs="Arial"/>
          <w:color w:val="000000"/>
          <w:sz w:val="24"/>
          <w:szCs w:val="20"/>
        </w:rPr>
      </w:pPr>
      <w:r>
        <w:rPr>
          <w:rFonts w:hint="eastAsia" w:ascii="仿宋" w:hAnsi="仿宋" w:eastAsia="仿宋" w:cs="Arial"/>
          <w:b/>
          <w:color w:val="000000"/>
          <w:kern w:val="0"/>
          <w:sz w:val="24"/>
          <w:szCs w:val="20"/>
        </w:rPr>
        <w:t>1.5.6“</w:t>
      </w:r>
      <w:r>
        <w:rPr>
          <w:rFonts w:hint="eastAsia" w:ascii="仿宋" w:hAnsi="仿宋" w:eastAsia="仿宋" w:cs="Arial"/>
          <w:b/>
          <w:color w:val="000000"/>
          <w:sz w:val="24"/>
          <w:szCs w:val="20"/>
        </w:rPr>
        <w:t>磋商联合体</w:t>
      </w:r>
      <w:r>
        <w:rPr>
          <w:rFonts w:hint="eastAsia" w:ascii="仿宋" w:hAnsi="仿宋" w:eastAsia="仿宋" w:cs="Arial"/>
          <w:b/>
          <w:color w:val="000000"/>
          <w:kern w:val="0"/>
          <w:sz w:val="24"/>
          <w:szCs w:val="20"/>
        </w:rPr>
        <w:t>”</w:t>
      </w:r>
      <w:r>
        <w:rPr>
          <w:rFonts w:hint="eastAsia" w:ascii="仿宋" w:hAnsi="仿宋" w:eastAsia="仿宋" w:cs="Arial"/>
          <w:b/>
          <w:color w:val="000000"/>
          <w:sz w:val="24"/>
          <w:szCs w:val="20"/>
        </w:rPr>
        <w:t>：</w:t>
      </w:r>
      <w:r>
        <w:rPr>
          <w:rFonts w:ascii="仿宋" w:hAnsi="仿宋" w:eastAsia="仿宋" w:cs="Arial"/>
          <w:color w:val="000000"/>
          <w:sz w:val="24"/>
          <w:szCs w:val="20"/>
        </w:rPr>
        <w:t>是指两个</w:t>
      </w:r>
      <w:r>
        <w:rPr>
          <w:rFonts w:hint="eastAsia" w:ascii="仿宋" w:hAnsi="仿宋" w:eastAsia="仿宋" w:cs="Arial"/>
          <w:color w:val="000000"/>
          <w:sz w:val="24"/>
          <w:szCs w:val="20"/>
        </w:rPr>
        <w:t>或</w:t>
      </w:r>
      <w:r>
        <w:rPr>
          <w:rFonts w:ascii="仿宋" w:hAnsi="仿宋" w:eastAsia="仿宋" w:cs="Arial"/>
          <w:color w:val="000000"/>
          <w:sz w:val="24"/>
          <w:szCs w:val="20"/>
        </w:rPr>
        <w:t>以上供应商组成联合体，以一个</w:t>
      </w:r>
      <w:r>
        <w:rPr>
          <w:rFonts w:hint="eastAsia" w:ascii="仿宋" w:hAnsi="仿宋" w:eastAsia="仿宋" w:cs="Arial"/>
          <w:color w:val="000000"/>
          <w:sz w:val="24"/>
          <w:szCs w:val="20"/>
        </w:rPr>
        <w:t>磋商响应供应商</w:t>
      </w:r>
      <w:r>
        <w:rPr>
          <w:rFonts w:ascii="仿宋" w:hAnsi="仿宋" w:eastAsia="仿宋" w:cs="Arial"/>
          <w:color w:val="000000"/>
          <w:sz w:val="24"/>
          <w:szCs w:val="20"/>
        </w:rPr>
        <w:t>的身份参加</w:t>
      </w:r>
      <w:r>
        <w:rPr>
          <w:rFonts w:hint="eastAsia" w:ascii="仿宋" w:hAnsi="仿宋" w:eastAsia="仿宋" w:cs="Arial"/>
          <w:color w:val="000000"/>
          <w:sz w:val="24"/>
          <w:szCs w:val="20"/>
        </w:rPr>
        <w:t>磋商响应</w:t>
      </w:r>
      <w:r>
        <w:rPr>
          <w:rFonts w:ascii="仿宋" w:hAnsi="仿宋" w:eastAsia="仿宋" w:cs="Arial"/>
          <w:color w:val="000000"/>
          <w:sz w:val="24"/>
          <w:szCs w:val="20"/>
        </w:rPr>
        <w:t>；</w:t>
      </w:r>
    </w:p>
    <w:p w14:paraId="3EA8DD05">
      <w:pPr>
        <w:autoSpaceDE w:val="0"/>
        <w:autoSpaceDN w:val="0"/>
        <w:spacing w:line="360" w:lineRule="auto"/>
        <w:ind w:firstLine="426" w:firstLineChars="177"/>
        <w:rPr>
          <w:rFonts w:hint="eastAsia" w:ascii="仿宋" w:hAnsi="仿宋" w:eastAsia="仿宋" w:cs="Arial"/>
          <w:color w:val="000000"/>
          <w:sz w:val="24"/>
          <w:szCs w:val="20"/>
        </w:rPr>
      </w:pPr>
      <w:r>
        <w:rPr>
          <w:rFonts w:hint="eastAsia" w:ascii="仿宋" w:hAnsi="仿宋" w:eastAsia="仿宋" w:cs="Arial"/>
          <w:b/>
          <w:color w:val="000000"/>
          <w:kern w:val="0"/>
          <w:sz w:val="24"/>
          <w:szCs w:val="20"/>
        </w:rPr>
        <w:t>1.5.7“成交供应商”（或中标供应商）：</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经磋商小组推荐并经采购人确认的成交单位，</w:t>
      </w:r>
      <w:r>
        <w:rPr>
          <w:rFonts w:hint="eastAsia" w:ascii="仿宋" w:hAnsi="仿宋" w:eastAsia="仿宋" w:cs="Arial"/>
          <w:b/>
          <w:color w:val="000000"/>
          <w:kern w:val="0"/>
          <w:sz w:val="24"/>
          <w:szCs w:val="20"/>
        </w:rPr>
        <w:t>即政府采购</w:t>
      </w:r>
      <w:r>
        <w:rPr>
          <w:rFonts w:ascii="仿宋" w:hAnsi="仿宋" w:eastAsia="仿宋" w:cs="Arial"/>
          <w:b/>
          <w:color w:val="000000"/>
          <w:kern w:val="0"/>
          <w:sz w:val="24"/>
          <w:szCs w:val="20"/>
        </w:rPr>
        <w:t>合同</w:t>
      </w:r>
      <w:r>
        <w:rPr>
          <w:rFonts w:hint="eastAsia" w:ascii="仿宋" w:hAnsi="仿宋" w:eastAsia="仿宋" w:cs="Arial"/>
          <w:b/>
          <w:color w:val="000000"/>
          <w:kern w:val="0"/>
          <w:sz w:val="24"/>
          <w:szCs w:val="20"/>
        </w:rPr>
        <w:t>中</w:t>
      </w:r>
      <w:r>
        <w:rPr>
          <w:rFonts w:ascii="仿宋" w:hAnsi="仿宋" w:eastAsia="仿宋" w:cs="Arial"/>
          <w:b/>
          <w:color w:val="000000"/>
          <w:kern w:val="0"/>
          <w:sz w:val="24"/>
          <w:szCs w:val="20"/>
        </w:rPr>
        <w:t>的</w:t>
      </w:r>
      <w:r>
        <w:rPr>
          <w:rFonts w:hint="eastAsia" w:ascii="仿宋" w:hAnsi="仿宋" w:eastAsia="仿宋" w:cs="Arial"/>
          <w:b/>
          <w:color w:val="000000"/>
          <w:kern w:val="0"/>
          <w:sz w:val="24"/>
          <w:szCs w:val="20"/>
        </w:rPr>
        <w:t>“乙方”</w:t>
      </w:r>
      <w:r>
        <w:rPr>
          <w:rFonts w:hint="eastAsia" w:ascii="仿宋" w:hAnsi="仿宋" w:eastAsia="仿宋" w:cs="Arial"/>
          <w:color w:val="000000"/>
          <w:kern w:val="0"/>
          <w:sz w:val="24"/>
          <w:szCs w:val="20"/>
        </w:rPr>
        <w:t>；</w:t>
      </w:r>
    </w:p>
    <w:p w14:paraId="6F33EF17">
      <w:pPr>
        <w:autoSpaceDE w:val="0"/>
        <w:autoSpaceDN w:val="0"/>
        <w:spacing w:line="360" w:lineRule="auto"/>
        <w:ind w:firstLine="426" w:firstLineChars="177"/>
        <w:rPr>
          <w:rFonts w:hint="eastAsia" w:ascii="仿宋" w:hAnsi="仿宋" w:eastAsia="仿宋" w:cs="Arial"/>
          <w:b/>
          <w:color w:val="000000"/>
          <w:kern w:val="0"/>
          <w:sz w:val="24"/>
          <w:szCs w:val="20"/>
        </w:rPr>
      </w:pPr>
      <w:r>
        <w:rPr>
          <w:rFonts w:hint="eastAsia" w:ascii="仿宋" w:hAnsi="仿宋" w:eastAsia="仿宋" w:cs="Arial"/>
          <w:b/>
          <w:color w:val="000000"/>
          <w:kern w:val="0"/>
          <w:sz w:val="24"/>
          <w:szCs w:val="20"/>
        </w:rPr>
        <w:t>1.5.8“</w:t>
      </w:r>
      <w:r>
        <w:rPr>
          <w:rFonts w:ascii="仿宋" w:hAnsi="仿宋" w:eastAsia="仿宋" w:cs="Arial"/>
          <w:b/>
          <w:color w:val="000000"/>
          <w:kern w:val="0"/>
          <w:sz w:val="24"/>
          <w:szCs w:val="20"/>
        </w:rPr>
        <w:t>同级政府采购监督管理部门</w:t>
      </w:r>
      <w:r>
        <w:rPr>
          <w:rFonts w:hint="eastAsia" w:ascii="仿宋" w:hAnsi="仿宋" w:eastAsia="仿宋" w:cs="Arial"/>
          <w:b/>
          <w:color w:val="000000"/>
          <w:kern w:val="0"/>
          <w:sz w:val="24"/>
          <w:szCs w:val="20"/>
        </w:rPr>
        <w:t>”</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是指“</w:t>
      </w:r>
      <w:r>
        <w:rPr>
          <w:rFonts w:hint="eastAsia" w:ascii="仿宋" w:hAnsi="仿宋" w:eastAsia="仿宋" w:cs="Arial"/>
          <w:b/>
          <w:color w:val="000000"/>
          <w:kern w:val="0"/>
          <w:sz w:val="24"/>
          <w:szCs w:val="20"/>
          <w:u w:val="single"/>
        </w:rPr>
        <w:t>浙江省政府采购行政裁决服务中心（杭州市上城区清泰街549号城建综合大楼11楼）</w:t>
      </w:r>
      <w:r>
        <w:rPr>
          <w:rFonts w:hint="eastAsia" w:ascii="仿宋" w:hAnsi="仿宋" w:eastAsia="仿宋" w:cs="Arial"/>
          <w:b/>
          <w:color w:val="000000"/>
          <w:kern w:val="0"/>
          <w:sz w:val="24"/>
          <w:szCs w:val="20"/>
        </w:rPr>
        <w:t>”</w:t>
      </w:r>
      <w:r>
        <w:rPr>
          <w:rFonts w:ascii="仿宋" w:hAnsi="仿宋" w:eastAsia="仿宋" w:cs="Arial"/>
          <w:b/>
          <w:color w:val="000000"/>
          <w:kern w:val="0"/>
          <w:sz w:val="24"/>
          <w:szCs w:val="20"/>
        </w:rPr>
        <w:t>；</w:t>
      </w:r>
    </w:p>
    <w:p w14:paraId="3668433C">
      <w:pPr>
        <w:autoSpaceDE w:val="0"/>
        <w:autoSpaceDN w:val="0"/>
        <w:spacing w:line="360" w:lineRule="auto"/>
        <w:ind w:firstLine="426" w:firstLineChars="177"/>
        <w:rPr>
          <w:rFonts w:hint="eastAsia" w:ascii="仿宋" w:hAnsi="仿宋" w:eastAsia="仿宋" w:cs="Arial"/>
          <w:b/>
          <w:bCs/>
          <w:color w:val="000000"/>
          <w:kern w:val="0"/>
          <w:sz w:val="24"/>
          <w:szCs w:val="20"/>
        </w:rPr>
      </w:pPr>
      <w:r>
        <w:rPr>
          <w:rFonts w:hint="eastAsia" w:ascii="仿宋" w:hAnsi="仿宋" w:eastAsia="仿宋" w:cs="Arial"/>
          <w:b/>
          <w:bCs/>
          <w:color w:val="000000"/>
          <w:sz w:val="24"/>
          <w:szCs w:val="20"/>
        </w:rPr>
        <w:t>1.5.9“中小企业（含中型、小型、微型）”：</w:t>
      </w:r>
      <w:r>
        <w:rPr>
          <w:rFonts w:hint="eastAsia" w:ascii="仿宋" w:hAnsi="仿宋" w:eastAsia="仿宋" w:cs="Arial"/>
          <w:color w:val="000000"/>
          <w:kern w:val="0"/>
          <w:sz w:val="24"/>
          <w:szCs w:val="20"/>
        </w:rPr>
        <w:t>是指在中华人民共和国境内依法设立，依据国务院批准的中小企业划分标准（</w:t>
      </w:r>
      <w:r>
        <w:rPr>
          <w:rFonts w:ascii="仿宋" w:hAnsi="仿宋" w:eastAsia="仿宋" w:cs="Arial"/>
          <w:color w:val="000000"/>
          <w:kern w:val="0"/>
          <w:sz w:val="24"/>
          <w:szCs w:val="20"/>
        </w:rPr>
        <w:t>工信部联企业[2011]300号</w:t>
      </w:r>
      <w:r>
        <w:rPr>
          <w:rFonts w:hint="eastAsia" w:ascii="仿宋" w:hAnsi="仿宋" w:eastAsia="仿宋" w:cs="Arial"/>
          <w:color w:val="000000"/>
          <w:kern w:val="0"/>
          <w:sz w:val="24"/>
          <w:szCs w:val="20"/>
        </w:rPr>
        <w:t>）确定的中型企业、小型企业和微型企业（与大企业的负责人为同一人，或者与大企业存在直接控股、管理关系的除外）。</w:t>
      </w:r>
      <w:r>
        <w:rPr>
          <w:rFonts w:hint="eastAsia" w:ascii="仿宋" w:hAnsi="仿宋" w:eastAsia="仿宋" w:cs="Arial"/>
          <w:b/>
          <w:bCs/>
          <w:color w:val="000000"/>
          <w:kern w:val="0"/>
          <w:sz w:val="24"/>
          <w:szCs w:val="20"/>
        </w:rPr>
        <w:t>符合中小企业划分标准（</w:t>
      </w:r>
      <w:r>
        <w:rPr>
          <w:rFonts w:ascii="仿宋" w:hAnsi="仿宋" w:eastAsia="仿宋" w:cs="Arial"/>
          <w:b/>
          <w:bCs/>
          <w:color w:val="000000"/>
          <w:kern w:val="0"/>
          <w:sz w:val="24"/>
          <w:szCs w:val="20"/>
        </w:rPr>
        <w:t>工信部联企业[2011]300号</w:t>
      </w:r>
      <w:r>
        <w:rPr>
          <w:rFonts w:hint="eastAsia" w:ascii="仿宋" w:hAnsi="仿宋" w:eastAsia="仿宋" w:cs="Arial"/>
          <w:b/>
          <w:bCs/>
          <w:color w:val="000000"/>
          <w:kern w:val="0"/>
          <w:sz w:val="24"/>
          <w:szCs w:val="20"/>
        </w:rPr>
        <w:t>）的个体工商户在政府采购活动中视同中小企业。</w:t>
      </w:r>
    </w:p>
    <w:p w14:paraId="58E834A1">
      <w:pPr>
        <w:autoSpaceDE w:val="0"/>
        <w:autoSpaceDN w:val="0"/>
        <w:spacing w:line="360" w:lineRule="auto"/>
        <w:ind w:firstLine="426" w:firstLineChars="177"/>
        <w:rPr>
          <w:rFonts w:hint="eastAsia" w:ascii="仿宋" w:hAnsi="仿宋" w:eastAsia="仿宋" w:cs="Arial"/>
          <w:b/>
          <w:bCs/>
          <w:color w:val="000000"/>
          <w:kern w:val="0"/>
          <w:sz w:val="24"/>
          <w:szCs w:val="20"/>
        </w:rPr>
      </w:pPr>
      <w:r>
        <w:rPr>
          <w:rFonts w:hint="eastAsia" w:ascii="仿宋" w:hAnsi="仿宋" w:eastAsia="仿宋" w:cs="Arial"/>
          <w:b/>
          <w:bCs/>
          <w:color w:val="000000"/>
          <w:kern w:val="0"/>
          <w:sz w:val="24"/>
          <w:szCs w:val="20"/>
        </w:rPr>
        <w:t>1.5.10“监狱企业”：</w:t>
      </w:r>
      <w:r>
        <w:rPr>
          <w:rFonts w:hint="eastAsia" w:ascii="仿宋" w:hAnsi="仿宋" w:eastAsia="仿宋" w:cs="Arial"/>
          <w:color w:val="000000"/>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仿宋" w:hAnsi="仿宋" w:eastAsia="仿宋" w:cs="Arial"/>
          <w:b/>
          <w:bCs/>
          <w:color w:val="000000"/>
          <w:kern w:val="0"/>
          <w:sz w:val="24"/>
          <w:szCs w:val="20"/>
        </w:rPr>
        <w:t>在政府采购活动中，监狱企业视同小型、微型企业。</w:t>
      </w:r>
    </w:p>
    <w:p w14:paraId="5F37EA8A">
      <w:pPr>
        <w:autoSpaceDE w:val="0"/>
        <w:autoSpaceDN w:val="0"/>
        <w:spacing w:line="360" w:lineRule="auto"/>
        <w:ind w:firstLine="426" w:firstLineChars="177"/>
        <w:rPr>
          <w:rFonts w:hint="eastAsia" w:ascii="仿宋" w:hAnsi="仿宋" w:eastAsia="仿宋" w:cs="Arial"/>
          <w:b/>
          <w:bCs/>
          <w:color w:val="000000"/>
          <w:kern w:val="0"/>
          <w:sz w:val="24"/>
          <w:szCs w:val="20"/>
        </w:rPr>
      </w:pPr>
      <w:r>
        <w:rPr>
          <w:rFonts w:hint="eastAsia" w:ascii="仿宋" w:hAnsi="仿宋" w:eastAsia="仿宋" w:cs="Arial"/>
          <w:b/>
          <w:bCs/>
          <w:color w:val="000000"/>
          <w:kern w:val="0"/>
          <w:sz w:val="24"/>
          <w:szCs w:val="20"/>
        </w:rPr>
        <w:t>1.5.11“残疾人福利性单位”：</w:t>
      </w:r>
      <w:r>
        <w:rPr>
          <w:rFonts w:hint="eastAsia" w:ascii="仿宋" w:hAnsi="仿宋" w:eastAsia="仿宋" w:cs="Arial"/>
          <w:color w:val="000000"/>
          <w:kern w:val="0"/>
          <w:sz w:val="24"/>
          <w:szCs w:val="20"/>
        </w:rPr>
        <w:t>是指符合《财政部 民政部 中国残疾人联合会关于促进残疾人就业政府采购政策的通知》（财库〔2017〕141号）的规定单位。</w:t>
      </w:r>
      <w:r>
        <w:rPr>
          <w:rFonts w:hint="eastAsia" w:ascii="仿宋" w:hAnsi="仿宋" w:eastAsia="仿宋" w:cs="Arial"/>
          <w:b/>
          <w:bCs/>
          <w:color w:val="000000"/>
          <w:kern w:val="0"/>
          <w:sz w:val="24"/>
          <w:szCs w:val="20"/>
        </w:rPr>
        <w:t>在政府采购活动中，残疾人福利性单位视同小型、微型企业。</w:t>
      </w:r>
    </w:p>
    <w:p w14:paraId="7F2D991B">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12“</w:t>
      </w:r>
      <w:r>
        <w:rPr>
          <w:rFonts w:ascii="仿宋" w:hAnsi="仿宋" w:eastAsia="仿宋" w:cs="Arial"/>
          <w:b/>
          <w:color w:val="000000"/>
          <w:kern w:val="0"/>
          <w:sz w:val="24"/>
          <w:szCs w:val="20"/>
        </w:rPr>
        <w:t>项目</w:t>
      </w:r>
      <w:r>
        <w:rPr>
          <w:rFonts w:hint="eastAsia" w:ascii="仿宋" w:hAnsi="仿宋" w:eastAsia="仿宋" w:cs="Arial"/>
          <w:b/>
          <w:color w:val="000000"/>
          <w:kern w:val="0"/>
          <w:sz w:val="24"/>
          <w:szCs w:val="20"/>
        </w:rPr>
        <w:t>”：</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磋商响应供应商</w:t>
      </w:r>
      <w:r>
        <w:rPr>
          <w:rFonts w:ascii="仿宋" w:hAnsi="仿宋" w:eastAsia="仿宋" w:cs="Arial"/>
          <w:color w:val="000000"/>
          <w:kern w:val="0"/>
          <w:sz w:val="24"/>
          <w:szCs w:val="20"/>
        </w:rPr>
        <w:t>按</w:t>
      </w:r>
      <w:r>
        <w:rPr>
          <w:rFonts w:hint="eastAsia" w:ascii="仿宋" w:hAnsi="仿宋" w:eastAsia="仿宋" w:cs="Arial"/>
          <w:color w:val="000000"/>
          <w:kern w:val="0"/>
          <w:sz w:val="24"/>
          <w:szCs w:val="20"/>
        </w:rPr>
        <w:t>竞争性磋商文件</w:t>
      </w:r>
      <w:r>
        <w:rPr>
          <w:rFonts w:ascii="仿宋" w:hAnsi="仿宋" w:eastAsia="仿宋" w:cs="Arial"/>
          <w:color w:val="000000"/>
          <w:kern w:val="0"/>
          <w:sz w:val="24"/>
          <w:szCs w:val="20"/>
        </w:rPr>
        <w:t>规定向采购人提供的</w:t>
      </w:r>
      <w:r>
        <w:rPr>
          <w:rFonts w:hint="eastAsia" w:ascii="仿宋" w:hAnsi="仿宋" w:eastAsia="仿宋" w:cs="Arial"/>
          <w:color w:val="000000"/>
          <w:kern w:val="0"/>
          <w:sz w:val="24"/>
          <w:szCs w:val="20"/>
        </w:rPr>
        <w:t>货物或</w:t>
      </w:r>
      <w:r>
        <w:rPr>
          <w:rFonts w:ascii="仿宋" w:hAnsi="仿宋" w:eastAsia="仿宋" w:cs="Arial"/>
          <w:color w:val="000000"/>
          <w:kern w:val="0"/>
          <w:sz w:val="24"/>
          <w:szCs w:val="20"/>
        </w:rPr>
        <w:t>服务</w:t>
      </w:r>
      <w:r>
        <w:rPr>
          <w:rFonts w:hint="eastAsia" w:ascii="仿宋" w:hAnsi="仿宋" w:eastAsia="仿宋" w:cs="Arial"/>
          <w:color w:val="000000"/>
          <w:kern w:val="0"/>
          <w:sz w:val="24"/>
          <w:szCs w:val="20"/>
        </w:rPr>
        <w:t>或工程；</w:t>
      </w:r>
    </w:p>
    <w:p w14:paraId="13578D02">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13“</w:t>
      </w:r>
      <w:r>
        <w:rPr>
          <w:rFonts w:ascii="仿宋" w:hAnsi="仿宋" w:eastAsia="仿宋" w:cs="Arial"/>
          <w:b/>
          <w:color w:val="000000"/>
          <w:kern w:val="0"/>
          <w:sz w:val="24"/>
          <w:szCs w:val="20"/>
        </w:rPr>
        <w:t>书面形式</w:t>
      </w:r>
      <w:r>
        <w:rPr>
          <w:rFonts w:hint="eastAsia" w:ascii="仿宋" w:hAnsi="仿宋" w:eastAsia="仿宋" w:cs="Arial"/>
          <w:b/>
          <w:color w:val="000000"/>
          <w:kern w:val="0"/>
          <w:sz w:val="24"/>
          <w:szCs w:val="20"/>
        </w:rPr>
        <w:t>”：</w:t>
      </w:r>
      <w:r>
        <w:rPr>
          <w:rFonts w:ascii="仿宋" w:hAnsi="仿宋" w:eastAsia="仿宋" w:cs="Arial"/>
          <w:color w:val="000000"/>
          <w:kern w:val="0"/>
          <w:sz w:val="24"/>
          <w:szCs w:val="20"/>
        </w:rPr>
        <w:t>是指加盖有单位公章的信函、传真、电子扫描件等</w:t>
      </w:r>
      <w:r>
        <w:rPr>
          <w:rFonts w:hint="eastAsia" w:ascii="仿宋" w:hAnsi="仿宋" w:eastAsia="仿宋" w:cs="Arial"/>
          <w:color w:val="000000"/>
          <w:kern w:val="0"/>
          <w:sz w:val="24"/>
          <w:szCs w:val="20"/>
        </w:rPr>
        <w:t>；</w:t>
      </w:r>
    </w:p>
    <w:p w14:paraId="20C9444B">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cs="Arial"/>
          <w:b/>
          <w:color w:val="000000"/>
          <w:kern w:val="0"/>
          <w:sz w:val="24"/>
          <w:szCs w:val="20"/>
        </w:rPr>
        <w:t>1.5.14“个人有效身份证明”：</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有效的居民身份证、临时居民身份证、护照、驾驶证等，有期限规定的证件在有效期内方为有效；</w:t>
      </w:r>
    </w:p>
    <w:p w14:paraId="644DBE6C">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cs="Arial"/>
          <w:b/>
          <w:color w:val="000000"/>
          <w:kern w:val="0"/>
          <w:sz w:val="24"/>
          <w:szCs w:val="20"/>
        </w:rPr>
        <w:t>1.5.15“制造商”：</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拥有投标产品自主知识产权的单位；</w:t>
      </w:r>
    </w:p>
    <w:p w14:paraId="158F1286">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cs="Arial"/>
          <w:b/>
          <w:color w:val="000000"/>
          <w:kern w:val="0"/>
          <w:sz w:val="24"/>
          <w:szCs w:val="20"/>
        </w:rPr>
        <w:t>1.5.16“竞争性磋商文件（或磋商文件或采购文件）”：</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本文件；</w:t>
      </w:r>
    </w:p>
    <w:p w14:paraId="2CC657A0">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cs="Arial"/>
          <w:b/>
          <w:color w:val="000000"/>
          <w:kern w:val="0"/>
          <w:sz w:val="24"/>
          <w:szCs w:val="20"/>
        </w:rPr>
        <w:t>1.5.17“进口产品”：</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通过中国海关报关验放进入中国境内且产自关境外的产品；</w:t>
      </w:r>
    </w:p>
    <w:p w14:paraId="501C70C3">
      <w:pPr>
        <w:autoSpaceDE w:val="0"/>
        <w:autoSpaceDN w:val="0"/>
        <w:spacing w:line="360" w:lineRule="auto"/>
        <w:ind w:firstLine="426" w:firstLineChars="177"/>
        <w:rPr>
          <w:rFonts w:hint="eastAsia" w:ascii="仿宋" w:hAnsi="仿宋" w:eastAsia="仿宋" w:cs="Arial"/>
          <w:b/>
          <w:color w:val="000000"/>
          <w:kern w:val="0"/>
          <w:sz w:val="24"/>
          <w:szCs w:val="20"/>
          <w:highlight w:val="darkRed"/>
        </w:rPr>
      </w:pPr>
      <w:r>
        <w:rPr>
          <w:rFonts w:hint="eastAsia" w:ascii="仿宋" w:hAnsi="仿宋" w:eastAsia="仿宋" w:cs="Arial"/>
          <w:b/>
          <w:color w:val="000000"/>
          <w:kern w:val="0"/>
          <w:sz w:val="24"/>
          <w:szCs w:val="20"/>
        </w:rPr>
        <w:t>1.5.18“实质性条款（或要求）”：</w:t>
      </w:r>
      <w:r>
        <w:rPr>
          <w:rFonts w:ascii="仿宋" w:hAnsi="仿宋" w:eastAsia="仿宋" w:cs="Arial"/>
          <w:b/>
          <w:color w:val="000000"/>
          <w:kern w:val="0"/>
          <w:sz w:val="24"/>
          <w:szCs w:val="20"/>
          <w:u w:val="single"/>
        </w:rPr>
        <w:t>是指</w:t>
      </w:r>
      <w:r>
        <w:rPr>
          <w:rFonts w:hint="eastAsia" w:ascii="仿宋" w:hAnsi="仿宋" w:eastAsia="仿宋" w:cs="Arial"/>
          <w:b/>
          <w:color w:val="000000"/>
          <w:kern w:val="0"/>
          <w:sz w:val="24"/>
          <w:szCs w:val="20"/>
          <w:u w:val="single"/>
        </w:rPr>
        <w:t>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000000"/>
          <w:kern w:val="0"/>
          <w:sz w:val="24"/>
          <w:szCs w:val="20"/>
        </w:rPr>
        <w:t>；</w:t>
      </w:r>
    </w:p>
    <w:p w14:paraId="6E1EC84C">
      <w:pPr>
        <w:autoSpaceDE w:val="0"/>
        <w:autoSpaceDN w:val="0"/>
        <w:spacing w:line="360" w:lineRule="auto"/>
        <w:ind w:firstLine="426" w:firstLineChars="177"/>
        <w:rPr>
          <w:rFonts w:hint="eastAsia" w:ascii="仿宋" w:hAnsi="仿宋" w:eastAsia="仿宋"/>
          <w:color w:val="000000"/>
          <w:sz w:val="24"/>
          <w:szCs w:val="20"/>
        </w:rPr>
      </w:pPr>
      <w:r>
        <w:rPr>
          <w:rFonts w:hint="eastAsia" w:ascii="仿宋" w:hAnsi="仿宋" w:eastAsia="仿宋"/>
          <w:b/>
          <w:color w:val="000000"/>
          <w:sz w:val="24"/>
          <w:szCs w:val="20"/>
        </w:rPr>
        <w:t>1.5.19“</w:t>
      </w:r>
      <w:r>
        <w:rPr>
          <w:rFonts w:ascii="仿宋" w:hAnsi="仿宋" w:eastAsia="仿宋"/>
          <w:b/>
          <w:color w:val="000000"/>
          <w:sz w:val="24"/>
          <w:szCs w:val="20"/>
        </w:rPr>
        <w:t>重大偏离</w:t>
      </w:r>
      <w:r>
        <w:rPr>
          <w:rFonts w:hint="eastAsia" w:ascii="仿宋" w:hAnsi="仿宋" w:eastAsia="仿宋"/>
          <w:b/>
          <w:color w:val="000000"/>
          <w:sz w:val="24"/>
          <w:szCs w:val="20"/>
        </w:rPr>
        <w:t>”</w:t>
      </w:r>
      <w:r>
        <w:rPr>
          <w:rFonts w:ascii="仿宋" w:hAnsi="仿宋" w:eastAsia="仿宋"/>
          <w:b/>
          <w:color w:val="000000"/>
          <w:sz w:val="24"/>
          <w:szCs w:val="20"/>
        </w:rPr>
        <w:t>或</w:t>
      </w:r>
      <w:r>
        <w:rPr>
          <w:rFonts w:hint="eastAsia" w:ascii="仿宋" w:hAnsi="仿宋" w:eastAsia="仿宋"/>
          <w:b/>
          <w:color w:val="000000"/>
          <w:sz w:val="24"/>
          <w:szCs w:val="20"/>
        </w:rPr>
        <w:t>“</w:t>
      </w:r>
      <w:r>
        <w:rPr>
          <w:rFonts w:ascii="仿宋" w:hAnsi="仿宋" w:eastAsia="仿宋"/>
          <w:b/>
          <w:color w:val="000000"/>
          <w:sz w:val="24"/>
          <w:szCs w:val="20"/>
        </w:rPr>
        <w:t>保留</w:t>
      </w:r>
      <w:r>
        <w:rPr>
          <w:rFonts w:hint="eastAsia" w:ascii="仿宋" w:hAnsi="仿宋" w:eastAsia="仿宋"/>
          <w:b/>
          <w:color w:val="000000"/>
          <w:sz w:val="24"/>
          <w:szCs w:val="20"/>
        </w:rPr>
        <w:t>”：</w:t>
      </w:r>
      <w:r>
        <w:rPr>
          <w:rFonts w:ascii="仿宋" w:hAnsi="仿宋" w:eastAsia="仿宋"/>
          <w:color w:val="000000"/>
          <w:sz w:val="24"/>
          <w:szCs w:val="20"/>
        </w:rPr>
        <w:t>是指将会影响到</w:t>
      </w:r>
      <w:r>
        <w:rPr>
          <w:rFonts w:hint="eastAsia" w:ascii="仿宋" w:hAnsi="仿宋" w:eastAsia="仿宋"/>
          <w:color w:val="000000"/>
          <w:sz w:val="24"/>
          <w:szCs w:val="20"/>
        </w:rPr>
        <w:t>磋商文件</w:t>
      </w:r>
      <w:r>
        <w:rPr>
          <w:rFonts w:ascii="仿宋" w:hAnsi="仿宋" w:eastAsia="仿宋"/>
          <w:color w:val="000000"/>
          <w:sz w:val="24"/>
          <w:szCs w:val="20"/>
        </w:rPr>
        <w:t>规定的服务范围、质量标准，或会给合同中规定的采购人的权利和</w:t>
      </w:r>
      <w:r>
        <w:rPr>
          <w:rFonts w:hint="eastAsia" w:ascii="仿宋" w:hAnsi="仿宋" w:eastAsia="仿宋"/>
          <w:color w:val="000000"/>
          <w:sz w:val="24"/>
          <w:szCs w:val="20"/>
        </w:rPr>
        <w:t>磋商响应供应商</w:t>
      </w:r>
      <w:r>
        <w:rPr>
          <w:rFonts w:ascii="仿宋" w:hAnsi="仿宋" w:eastAsia="仿宋"/>
          <w:color w:val="000000"/>
          <w:sz w:val="24"/>
          <w:szCs w:val="20"/>
        </w:rPr>
        <w:t>的责任造成实质性限制，而纠正这些偏离或保留将对其他</w:t>
      </w:r>
      <w:r>
        <w:rPr>
          <w:rFonts w:hint="eastAsia" w:ascii="仿宋" w:hAnsi="仿宋" w:eastAsia="仿宋"/>
          <w:color w:val="000000"/>
          <w:sz w:val="24"/>
          <w:szCs w:val="20"/>
        </w:rPr>
        <w:t>递交</w:t>
      </w:r>
      <w:r>
        <w:rPr>
          <w:rFonts w:ascii="仿宋" w:hAnsi="仿宋" w:eastAsia="仿宋"/>
          <w:color w:val="000000"/>
          <w:sz w:val="24"/>
          <w:szCs w:val="20"/>
        </w:rPr>
        <w:t>了实质性响应的</w:t>
      </w:r>
      <w:r>
        <w:rPr>
          <w:rFonts w:hint="eastAsia" w:ascii="仿宋" w:hAnsi="仿宋" w:eastAsia="仿宋"/>
          <w:color w:val="000000"/>
          <w:sz w:val="24"/>
          <w:szCs w:val="20"/>
        </w:rPr>
        <w:t>磋商响应文件</w:t>
      </w:r>
      <w:r>
        <w:rPr>
          <w:rFonts w:ascii="仿宋" w:hAnsi="仿宋" w:eastAsia="仿宋"/>
          <w:color w:val="000000"/>
          <w:sz w:val="24"/>
          <w:szCs w:val="20"/>
        </w:rPr>
        <w:t>的</w:t>
      </w:r>
      <w:r>
        <w:rPr>
          <w:rFonts w:hint="eastAsia" w:ascii="仿宋" w:hAnsi="仿宋" w:eastAsia="仿宋"/>
          <w:color w:val="000000"/>
          <w:sz w:val="24"/>
          <w:szCs w:val="20"/>
        </w:rPr>
        <w:t>磋商响应供应商</w:t>
      </w:r>
      <w:r>
        <w:rPr>
          <w:rFonts w:ascii="仿宋" w:hAnsi="仿宋" w:eastAsia="仿宋"/>
          <w:color w:val="000000"/>
          <w:sz w:val="24"/>
          <w:szCs w:val="20"/>
        </w:rPr>
        <w:t>产生不公平影响的。</w:t>
      </w:r>
    </w:p>
    <w:p w14:paraId="2DF6F52F">
      <w:pPr>
        <w:autoSpaceDE w:val="0"/>
        <w:autoSpaceDN w:val="0"/>
        <w:spacing w:line="360" w:lineRule="auto"/>
        <w:ind w:firstLine="426" w:firstLineChars="177"/>
        <w:rPr>
          <w:rFonts w:hint="eastAsia" w:ascii="仿宋" w:hAnsi="仿宋" w:eastAsia="仿宋" w:cs="Arial"/>
          <w:color w:val="000000"/>
          <w:kern w:val="0"/>
          <w:sz w:val="24"/>
          <w:szCs w:val="20"/>
        </w:rPr>
      </w:pPr>
      <w:r>
        <w:rPr>
          <w:rFonts w:hint="eastAsia" w:ascii="仿宋" w:hAnsi="仿宋" w:eastAsia="仿宋"/>
          <w:b/>
          <w:color w:val="000000"/>
          <w:sz w:val="24"/>
          <w:szCs w:val="20"/>
        </w:rPr>
        <w:t>1.5.20“</w:t>
      </w:r>
      <w:r>
        <w:rPr>
          <w:rFonts w:ascii="仿宋" w:hAnsi="仿宋" w:eastAsia="仿宋"/>
          <w:b/>
          <w:color w:val="000000"/>
          <w:sz w:val="24"/>
          <w:szCs w:val="20"/>
        </w:rPr>
        <w:t>细微偏离</w:t>
      </w:r>
      <w:r>
        <w:rPr>
          <w:rFonts w:hint="eastAsia" w:ascii="仿宋" w:hAnsi="仿宋" w:eastAsia="仿宋"/>
          <w:b/>
          <w:color w:val="000000"/>
          <w:sz w:val="24"/>
          <w:szCs w:val="20"/>
        </w:rPr>
        <w:t>”</w:t>
      </w:r>
      <w:r>
        <w:rPr>
          <w:rFonts w:hint="eastAsia" w:ascii="仿宋" w:hAnsi="仿宋" w:eastAsia="仿宋"/>
          <w:color w:val="000000"/>
          <w:sz w:val="24"/>
          <w:szCs w:val="20"/>
        </w:rPr>
        <w:t>：</w:t>
      </w:r>
      <w:r>
        <w:rPr>
          <w:rFonts w:ascii="仿宋" w:hAnsi="仿宋" w:eastAsia="仿宋"/>
          <w:color w:val="000000"/>
          <w:sz w:val="24"/>
          <w:szCs w:val="20"/>
        </w:rPr>
        <w:t>是指</w:t>
      </w:r>
      <w:r>
        <w:rPr>
          <w:rFonts w:hint="eastAsia" w:ascii="仿宋" w:hAnsi="仿宋" w:eastAsia="仿宋"/>
          <w:color w:val="000000"/>
          <w:sz w:val="24"/>
          <w:szCs w:val="20"/>
        </w:rPr>
        <w:t>磋商响应文件</w:t>
      </w:r>
      <w:r>
        <w:rPr>
          <w:rFonts w:ascii="仿宋" w:hAnsi="仿宋" w:eastAsia="仿宋"/>
          <w:color w:val="000000"/>
          <w:sz w:val="24"/>
          <w:szCs w:val="20"/>
        </w:rPr>
        <w:t>对</w:t>
      </w:r>
      <w:r>
        <w:rPr>
          <w:rFonts w:hint="eastAsia" w:ascii="仿宋" w:hAnsi="仿宋" w:eastAsia="仿宋"/>
          <w:color w:val="000000"/>
          <w:sz w:val="24"/>
          <w:szCs w:val="20"/>
        </w:rPr>
        <w:t>磋商</w:t>
      </w:r>
      <w:r>
        <w:rPr>
          <w:rFonts w:ascii="仿宋" w:hAnsi="仿宋" w:eastAsia="仿宋"/>
          <w:color w:val="000000"/>
          <w:sz w:val="24"/>
          <w:szCs w:val="20"/>
        </w:rPr>
        <w:t>文件的非实质性内容存在不完全响应。</w:t>
      </w:r>
    </w:p>
    <w:p w14:paraId="7628E35D">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1.6 投标委托</w:t>
      </w:r>
    </w:p>
    <w:p w14:paraId="19A75814">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kern w:val="0"/>
          <w:sz w:val="24"/>
          <w:szCs w:val="20"/>
        </w:rPr>
        <w:t>磋商响应供应商可以授权其单位的其他在职员工全权代表其处理与本次磋商有关的事项，但其授权代表必</w:t>
      </w:r>
      <w:r>
        <w:rPr>
          <w:rFonts w:ascii="仿宋" w:hAnsi="仿宋" w:eastAsia="仿宋"/>
          <w:b/>
          <w:color w:val="000000"/>
          <w:kern w:val="0"/>
          <w:sz w:val="24"/>
          <w:szCs w:val="20"/>
        </w:rPr>
        <w:t>须</w:t>
      </w:r>
      <w:r>
        <w:rPr>
          <w:rFonts w:hint="eastAsia" w:ascii="仿宋" w:hAnsi="仿宋" w:eastAsia="仿宋"/>
          <w:b/>
          <w:color w:val="000000"/>
          <w:kern w:val="0"/>
          <w:sz w:val="24"/>
          <w:szCs w:val="20"/>
        </w:rPr>
        <w:t>持</w:t>
      </w:r>
      <w:r>
        <w:rPr>
          <w:rFonts w:ascii="仿宋" w:hAnsi="仿宋" w:eastAsia="仿宋"/>
          <w:b/>
          <w:color w:val="000000"/>
          <w:kern w:val="0"/>
          <w:sz w:val="24"/>
          <w:szCs w:val="20"/>
        </w:rPr>
        <w:t>有法</w:t>
      </w:r>
      <w:r>
        <w:rPr>
          <w:rFonts w:hint="eastAsia" w:ascii="仿宋" w:hAnsi="仿宋" w:eastAsia="仿宋"/>
          <w:b/>
          <w:color w:val="000000"/>
          <w:kern w:val="0"/>
          <w:sz w:val="24"/>
          <w:szCs w:val="20"/>
        </w:rPr>
        <w:t>人</w:t>
      </w:r>
      <w:r>
        <w:rPr>
          <w:rFonts w:ascii="仿宋" w:hAnsi="仿宋" w:eastAsia="仿宋"/>
          <w:b/>
          <w:color w:val="000000"/>
          <w:kern w:val="0"/>
          <w:sz w:val="24"/>
          <w:szCs w:val="20"/>
        </w:rPr>
        <w:t>出具的</w:t>
      </w:r>
      <w:r>
        <w:rPr>
          <w:rFonts w:hint="eastAsia" w:ascii="仿宋" w:hAnsi="仿宋" w:eastAsia="仿宋"/>
          <w:b/>
          <w:color w:val="000000"/>
          <w:kern w:val="0"/>
          <w:sz w:val="24"/>
          <w:szCs w:val="20"/>
        </w:rPr>
        <w:t>《法人</w:t>
      </w:r>
      <w:r>
        <w:rPr>
          <w:rFonts w:ascii="仿宋" w:hAnsi="仿宋" w:eastAsia="仿宋"/>
          <w:b/>
          <w:color w:val="000000"/>
          <w:kern w:val="0"/>
          <w:sz w:val="24"/>
          <w:szCs w:val="20"/>
        </w:rPr>
        <w:t>授权委托书</w:t>
      </w:r>
      <w:r>
        <w:rPr>
          <w:rFonts w:hint="eastAsia" w:ascii="仿宋" w:hAnsi="仿宋" w:eastAsia="仿宋"/>
          <w:b/>
          <w:color w:val="000000"/>
          <w:kern w:val="0"/>
          <w:sz w:val="24"/>
          <w:szCs w:val="20"/>
        </w:rPr>
        <w:t>》</w:t>
      </w:r>
      <w:r>
        <w:rPr>
          <w:rFonts w:ascii="仿宋" w:hAnsi="仿宋" w:eastAsia="仿宋"/>
          <w:b/>
          <w:color w:val="000000"/>
          <w:kern w:val="0"/>
          <w:sz w:val="24"/>
          <w:szCs w:val="20"/>
        </w:rPr>
        <w:t>（</w:t>
      </w:r>
      <w:r>
        <w:rPr>
          <w:rFonts w:hint="eastAsia" w:ascii="仿宋" w:hAnsi="仿宋" w:eastAsia="仿宋"/>
          <w:b/>
          <w:color w:val="000000"/>
          <w:kern w:val="0"/>
          <w:sz w:val="24"/>
          <w:szCs w:val="20"/>
        </w:rPr>
        <w:t>格式见第六章磋商响应文件格式</w:t>
      </w:r>
      <w:r>
        <w:rPr>
          <w:rFonts w:ascii="仿宋" w:hAnsi="仿宋" w:eastAsia="仿宋"/>
          <w:b/>
          <w:color w:val="000000"/>
          <w:kern w:val="0"/>
          <w:sz w:val="24"/>
          <w:szCs w:val="20"/>
        </w:rPr>
        <w:t>）</w:t>
      </w:r>
      <w:r>
        <w:rPr>
          <w:rFonts w:hint="eastAsia" w:ascii="仿宋" w:hAnsi="仿宋" w:eastAsia="仿宋"/>
          <w:b/>
          <w:color w:val="000000"/>
          <w:kern w:val="0"/>
          <w:sz w:val="24"/>
          <w:szCs w:val="20"/>
        </w:rPr>
        <w:t>以及在响应供应商处缴纳的社保凭证，《法人</w:t>
      </w:r>
      <w:r>
        <w:rPr>
          <w:rFonts w:ascii="仿宋" w:hAnsi="仿宋" w:eastAsia="仿宋"/>
          <w:b/>
          <w:color w:val="000000"/>
          <w:kern w:val="0"/>
          <w:sz w:val="24"/>
          <w:szCs w:val="20"/>
        </w:rPr>
        <w:t>授权委托书</w:t>
      </w:r>
      <w:r>
        <w:rPr>
          <w:rFonts w:hint="eastAsia" w:ascii="仿宋" w:hAnsi="仿宋" w:eastAsia="仿宋"/>
          <w:b/>
          <w:color w:val="000000"/>
          <w:kern w:val="0"/>
          <w:sz w:val="24"/>
          <w:szCs w:val="20"/>
        </w:rPr>
        <w:t>》</w:t>
      </w:r>
      <w:r>
        <w:rPr>
          <w:rFonts w:hint="eastAsia" w:ascii="仿宋" w:hAnsi="仿宋" w:eastAsia="仿宋"/>
          <w:b/>
          <w:color w:val="000000"/>
          <w:sz w:val="24"/>
          <w:szCs w:val="20"/>
        </w:rPr>
        <w:t>必须经法人（单位）盖章，否则视为无效授权（等同未提供）。</w:t>
      </w:r>
    </w:p>
    <w:p w14:paraId="43EAC351">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1.7 联合体磋商响应</w:t>
      </w:r>
    </w:p>
    <w:p w14:paraId="2053E247">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1.7.1是否接受联合体磋商响应：</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4D1C8E31">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1.7.2《磋商须知前附表》</w:t>
      </w:r>
      <w:r>
        <w:rPr>
          <w:rFonts w:ascii="仿宋" w:hAnsi="仿宋" w:eastAsia="仿宋"/>
          <w:color w:val="000000"/>
          <w:kern w:val="0"/>
          <w:sz w:val="24"/>
          <w:szCs w:val="20"/>
        </w:rPr>
        <w:t>规定接受联合体</w:t>
      </w:r>
      <w:r>
        <w:rPr>
          <w:rFonts w:hint="eastAsia" w:ascii="仿宋" w:hAnsi="仿宋" w:eastAsia="仿宋"/>
          <w:color w:val="000000"/>
          <w:kern w:val="0"/>
          <w:sz w:val="24"/>
          <w:szCs w:val="20"/>
        </w:rPr>
        <w:t>磋商</w:t>
      </w:r>
      <w:r>
        <w:rPr>
          <w:rFonts w:ascii="仿宋" w:hAnsi="仿宋" w:eastAsia="仿宋"/>
          <w:color w:val="000000"/>
          <w:kern w:val="0"/>
          <w:sz w:val="24"/>
          <w:szCs w:val="20"/>
        </w:rPr>
        <w:t>的，</w:t>
      </w:r>
      <w:r>
        <w:rPr>
          <w:rFonts w:hint="eastAsia" w:ascii="仿宋" w:hAnsi="仿宋" w:eastAsia="仿宋"/>
          <w:color w:val="000000"/>
          <w:kern w:val="0"/>
          <w:sz w:val="24"/>
          <w:szCs w:val="20"/>
        </w:rPr>
        <w:t>参加磋商的联合体</w:t>
      </w:r>
      <w:r>
        <w:rPr>
          <w:rFonts w:ascii="仿宋" w:hAnsi="仿宋" w:eastAsia="仿宋"/>
          <w:color w:val="000000"/>
          <w:kern w:val="0"/>
          <w:sz w:val="24"/>
          <w:szCs w:val="20"/>
        </w:rPr>
        <w:t>应遵守以下规定：</w:t>
      </w:r>
    </w:p>
    <w:p w14:paraId="5B87C3D1">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w:t>
      </w:r>
      <w:r>
        <w:rPr>
          <w:rFonts w:ascii="仿宋" w:hAnsi="仿宋" w:eastAsia="仿宋"/>
          <w:color w:val="000000"/>
          <w:kern w:val="0"/>
          <w:sz w:val="24"/>
          <w:szCs w:val="20"/>
        </w:rPr>
        <w:t>两个</w:t>
      </w:r>
      <w:r>
        <w:rPr>
          <w:rFonts w:hint="eastAsia" w:ascii="仿宋" w:hAnsi="仿宋" w:eastAsia="仿宋"/>
          <w:color w:val="000000"/>
          <w:kern w:val="0"/>
          <w:sz w:val="24"/>
          <w:szCs w:val="20"/>
        </w:rPr>
        <w:t>或以上</w:t>
      </w:r>
      <w:r>
        <w:rPr>
          <w:rFonts w:ascii="仿宋" w:hAnsi="仿宋" w:eastAsia="仿宋"/>
          <w:color w:val="000000"/>
          <w:kern w:val="0"/>
          <w:sz w:val="24"/>
          <w:szCs w:val="20"/>
        </w:rPr>
        <w:t>供应商可以组成一个联合体，以一个</w:t>
      </w:r>
      <w:r>
        <w:rPr>
          <w:rFonts w:hint="eastAsia" w:ascii="仿宋" w:hAnsi="仿宋" w:eastAsia="仿宋"/>
          <w:color w:val="000000"/>
          <w:kern w:val="0"/>
          <w:sz w:val="24"/>
          <w:szCs w:val="20"/>
        </w:rPr>
        <w:t>磋商响应</w:t>
      </w:r>
      <w:r>
        <w:rPr>
          <w:rFonts w:ascii="仿宋" w:hAnsi="仿宋" w:eastAsia="仿宋"/>
          <w:color w:val="000000"/>
          <w:kern w:val="0"/>
          <w:sz w:val="24"/>
          <w:szCs w:val="20"/>
        </w:rPr>
        <w:t>供应商的身份共同参加</w:t>
      </w:r>
      <w:r>
        <w:rPr>
          <w:rFonts w:hint="eastAsia" w:ascii="仿宋" w:hAnsi="仿宋" w:eastAsia="仿宋"/>
          <w:color w:val="000000"/>
          <w:kern w:val="0"/>
          <w:sz w:val="24"/>
          <w:szCs w:val="20"/>
        </w:rPr>
        <w:t>磋商</w:t>
      </w:r>
      <w:r>
        <w:rPr>
          <w:rFonts w:ascii="仿宋" w:hAnsi="仿宋" w:eastAsia="仿宋"/>
          <w:color w:val="000000"/>
          <w:kern w:val="0"/>
          <w:sz w:val="24"/>
          <w:szCs w:val="20"/>
        </w:rPr>
        <w:t>；</w:t>
      </w:r>
    </w:p>
    <w:p w14:paraId="027016DA">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（2）两个或以上供应商组成联合体参加本项目磋商响应的，在登记获取竞争性磋商文件时应予以说明备注，并在资格文件中递交《联合投标协议书》，未递交《联合投标协议书》的联合体无效</w:t>
      </w:r>
      <w:r>
        <w:rPr>
          <w:rFonts w:ascii="仿宋" w:hAnsi="仿宋" w:eastAsia="仿宋"/>
          <w:color w:val="000000"/>
          <w:kern w:val="0"/>
          <w:sz w:val="24"/>
          <w:szCs w:val="20"/>
        </w:rPr>
        <w:t>；</w:t>
      </w:r>
    </w:p>
    <w:p w14:paraId="21294838">
      <w:pPr>
        <w:autoSpaceDE w:val="0"/>
        <w:autoSpaceDN w:val="0"/>
        <w:spacing w:line="360" w:lineRule="auto"/>
        <w:ind w:firstLine="424" w:firstLineChars="177"/>
        <w:rPr>
          <w:rFonts w:hint="eastAsia" w:ascii="仿宋" w:hAnsi="仿宋" w:eastAsia="仿宋"/>
          <w:color w:val="0000FF"/>
          <w:kern w:val="0"/>
          <w:sz w:val="24"/>
          <w:szCs w:val="20"/>
        </w:rPr>
      </w:pPr>
      <w:r>
        <w:rPr>
          <w:rFonts w:hint="eastAsia" w:ascii="仿宋" w:hAnsi="仿宋" w:eastAsia="仿宋"/>
          <w:color w:val="000000"/>
          <w:kern w:val="0"/>
          <w:sz w:val="24"/>
          <w:szCs w:val="20"/>
        </w:rPr>
        <w:t>（3）</w:t>
      </w:r>
      <w:r>
        <w:rPr>
          <w:rFonts w:ascii="仿宋" w:hAnsi="仿宋" w:eastAsia="仿宋"/>
          <w:color w:val="000000"/>
          <w:kern w:val="0"/>
          <w:sz w:val="24"/>
          <w:szCs w:val="20"/>
        </w:rPr>
        <w:t>以联合体形式参加本项目</w:t>
      </w:r>
      <w:r>
        <w:rPr>
          <w:rFonts w:hint="eastAsia" w:ascii="仿宋" w:hAnsi="仿宋" w:eastAsia="仿宋"/>
          <w:color w:val="000000"/>
          <w:kern w:val="0"/>
          <w:sz w:val="24"/>
          <w:szCs w:val="20"/>
        </w:rPr>
        <w:t>磋商</w:t>
      </w:r>
      <w:r>
        <w:rPr>
          <w:rFonts w:ascii="仿宋" w:hAnsi="仿宋" w:eastAsia="仿宋"/>
          <w:color w:val="000000"/>
          <w:kern w:val="0"/>
          <w:sz w:val="24"/>
          <w:szCs w:val="20"/>
        </w:rPr>
        <w:t>的，联合体的各成员均应当具备《中华人民共和国政府采购法》第二十二条规定的条件，联合体中有同类资质</w:t>
      </w:r>
      <w:r>
        <w:rPr>
          <w:rFonts w:hint="eastAsia" w:ascii="仿宋" w:hAnsi="仿宋" w:eastAsia="仿宋"/>
          <w:color w:val="000000"/>
          <w:kern w:val="0"/>
          <w:sz w:val="24"/>
          <w:szCs w:val="20"/>
        </w:rPr>
        <w:t>（以及荣誉、等级证书等资信内容）</w:t>
      </w:r>
      <w:r>
        <w:rPr>
          <w:rFonts w:ascii="仿宋" w:hAnsi="仿宋" w:eastAsia="仿宋"/>
          <w:color w:val="000000"/>
          <w:kern w:val="0"/>
          <w:sz w:val="24"/>
          <w:szCs w:val="20"/>
        </w:rPr>
        <w:t>的供应商按照联合体分工承担相同工作的，按照资质等级较低的供应商确定资质</w:t>
      </w:r>
      <w:r>
        <w:rPr>
          <w:rFonts w:hint="eastAsia" w:ascii="仿宋" w:hAnsi="仿宋" w:eastAsia="仿宋"/>
          <w:color w:val="000000"/>
          <w:kern w:val="0"/>
          <w:sz w:val="24"/>
          <w:szCs w:val="20"/>
        </w:rPr>
        <w:t>（以及荣誉、等级证书等资信内容）</w:t>
      </w:r>
      <w:r>
        <w:rPr>
          <w:rFonts w:ascii="仿宋" w:hAnsi="仿宋" w:eastAsia="仿宋"/>
          <w:color w:val="000000"/>
          <w:kern w:val="0"/>
          <w:sz w:val="24"/>
          <w:szCs w:val="20"/>
        </w:rPr>
        <w:t>等级</w:t>
      </w:r>
      <w:r>
        <w:rPr>
          <w:rFonts w:hint="eastAsia" w:ascii="仿宋" w:hAnsi="仿宋" w:eastAsia="仿宋"/>
          <w:color w:val="000000"/>
          <w:kern w:val="0"/>
          <w:sz w:val="24"/>
          <w:szCs w:val="20"/>
        </w:rPr>
        <w:t>；</w:t>
      </w:r>
    </w:p>
    <w:p w14:paraId="47C44777">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（4）</w:t>
      </w:r>
      <w:r>
        <w:rPr>
          <w:rFonts w:ascii="仿宋" w:hAnsi="仿宋" w:eastAsia="仿宋"/>
          <w:color w:val="000000"/>
          <w:kern w:val="0"/>
          <w:sz w:val="24"/>
          <w:szCs w:val="20"/>
        </w:rPr>
        <w:t>联合体各方之间须签订</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，明确约定联合体各方承担的工作和相应的责任，在</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中指定本项目主办人，并将</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作为</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组成的一部分；本项目的主体、关键性工作须由主办人完成，并在</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中进行说明</w:t>
      </w:r>
      <w:r>
        <w:rPr>
          <w:rFonts w:hint="eastAsia" w:ascii="仿宋" w:hAnsi="仿宋" w:eastAsia="仿宋"/>
          <w:color w:val="000000"/>
          <w:kern w:val="0"/>
          <w:sz w:val="24"/>
          <w:szCs w:val="20"/>
        </w:rPr>
        <w:t>；</w:t>
      </w:r>
    </w:p>
    <w:p w14:paraId="4FF676C6">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（5）</w:t>
      </w:r>
      <w:r>
        <w:rPr>
          <w:rFonts w:ascii="仿宋" w:hAnsi="仿宋" w:eastAsia="仿宋"/>
          <w:color w:val="000000"/>
          <w:kern w:val="0"/>
          <w:sz w:val="24"/>
          <w:szCs w:val="20"/>
        </w:rPr>
        <w:t>联合体各方签订</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后，不得再以自己名义单独在本项目中参加</w:t>
      </w:r>
      <w:r>
        <w:rPr>
          <w:rFonts w:hint="eastAsia" w:ascii="仿宋" w:hAnsi="仿宋" w:eastAsia="仿宋"/>
          <w:color w:val="000000"/>
          <w:kern w:val="0"/>
          <w:sz w:val="24"/>
          <w:szCs w:val="20"/>
        </w:rPr>
        <w:t>磋商</w:t>
      </w:r>
      <w:r>
        <w:rPr>
          <w:rFonts w:ascii="仿宋" w:hAnsi="仿宋" w:eastAsia="仿宋"/>
          <w:color w:val="000000"/>
          <w:kern w:val="0"/>
          <w:sz w:val="24"/>
          <w:szCs w:val="20"/>
        </w:rPr>
        <w:t>，也不得组成新的联合体参加本项目</w:t>
      </w:r>
      <w:r>
        <w:rPr>
          <w:rFonts w:hint="eastAsia" w:ascii="仿宋" w:hAnsi="仿宋" w:eastAsia="仿宋"/>
          <w:color w:val="000000"/>
          <w:kern w:val="0"/>
          <w:sz w:val="24"/>
          <w:szCs w:val="20"/>
        </w:rPr>
        <w:t>磋商</w:t>
      </w:r>
      <w:r>
        <w:rPr>
          <w:rFonts w:ascii="仿宋" w:hAnsi="仿宋" w:eastAsia="仿宋"/>
          <w:color w:val="000000"/>
          <w:kern w:val="0"/>
          <w:sz w:val="24"/>
          <w:szCs w:val="20"/>
        </w:rPr>
        <w:t>；</w:t>
      </w:r>
    </w:p>
    <w:p w14:paraId="3D375BE7">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（6）</w:t>
      </w:r>
      <w:r>
        <w:rPr>
          <w:rFonts w:ascii="仿宋" w:hAnsi="仿宋" w:eastAsia="仿宋"/>
          <w:color w:val="000000"/>
          <w:kern w:val="0"/>
          <w:sz w:val="24"/>
          <w:szCs w:val="20"/>
        </w:rPr>
        <w:t>联合体各方共同与采购人签订采购合同，就采购合同约定的事项对采购人承担连带责任；</w:t>
      </w:r>
    </w:p>
    <w:p w14:paraId="0FCD7BD2">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（7）</w:t>
      </w:r>
      <w:r>
        <w:rPr>
          <w:rFonts w:ascii="仿宋" w:hAnsi="仿宋" w:eastAsia="仿宋"/>
          <w:color w:val="000000"/>
          <w:kern w:val="0"/>
          <w:sz w:val="24"/>
          <w:szCs w:val="20"/>
        </w:rPr>
        <w:t>联合体</w:t>
      </w:r>
      <w:r>
        <w:rPr>
          <w:rFonts w:hint="eastAsia" w:ascii="仿宋" w:hAnsi="仿宋" w:eastAsia="仿宋"/>
          <w:color w:val="000000"/>
          <w:kern w:val="0"/>
          <w:sz w:val="24"/>
          <w:szCs w:val="20"/>
        </w:rPr>
        <w:t>磋商响应文件应</w:t>
      </w:r>
      <w:r>
        <w:rPr>
          <w:rFonts w:ascii="仿宋" w:hAnsi="仿宋" w:eastAsia="仿宋"/>
          <w:color w:val="000000"/>
          <w:kern w:val="0"/>
          <w:sz w:val="24"/>
          <w:szCs w:val="20"/>
        </w:rPr>
        <w:t>由主办人</w:t>
      </w:r>
      <w:r>
        <w:rPr>
          <w:rFonts w:hint="eastAsia" w:ascii="仿宋" w:hAnsi="仿宋" w:eastAsia="仿宋"/>
          <w:color w:val="000000"/>
          <w:kern w:val="0"/>
          <w:sz w:val="24"/>
          <w:szCs w:val="20"/>
        </w:rPr>
        <w:t>按规定进行签章；</w:t>
      </w:r>
    </w:p>
    <w:p w14:paraId="5913E507">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（8）采购代理服务费可由主办人一方缴纳，也可以由联合体各方共同缴纳（具体缴纳金额须在《联合投标协议书》中明确）。</w:t>
      </w:r>
    </w:p>
    <w:p w14:paraId="6B463128">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1.8 进口产品磋商响应</w:t>
      </w:r>
    </w:p>
    <w:p w14:paraId="7ED8AFC8">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1.8.1是否允许进口产品磋商响应：</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59DC8D5B">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1.8.2</w:t>
      </w:r>
      <w:r>
        <w:rPr>
          <w:rFonts w:hint="eastAsia" w:ascii="仿宋" w:hAnsi="仿宋" w:eastAsia="仿宋"/>
          <w:b/>
          <w:color w:val="000000"/>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b/>
          <w:color w:val="000000"/>
          <w:kern w:val="0"/>
          <w:sz w:val="24"/>
          <w:szCs w:val="20"/>
        </w:rPr>
        <w:t>。</w:t>
      </w:r>
    </w:p>
    <w:p w14:paraId="7D27C614">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1.9 磋商费用</w:t>
      </w:r>
    </w:p>
    <w:p w14:paraId="79E6EE4A">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1.9.1</w:t>
      </w:r>
      <w:r>
        <w:rPr>
          <w:rFonts w:ascii="仿宋" w:hAnsi="仿宋" w:eastAsia="仿宋"/>
          <w:color w:val="000000"/>
          <w:kern w:val="0"/>
          <w:sz w:val="24"/>
          <w:szCs w:val="20"/>
        </w:rPr>
        <w:t>不论</w:t>
      </w:r>
      <w:r>
        <w:rPr>
          <w:rFonts w:hint="eastAsia" w:ascii="仿宋" w:hAnsi="仿宋" w:eastAsia="仿宋"/>
          <w:color w:val="000000"/>
          <w:kern w:val="0"/>
          <w:sz w:val="24"/>
          <w:szCs w:val="20"/>
        </w:rPr>
        <w:t>磋商</w:t>
      </w:r>
      <w:r>
        <w:rPr>
          <w:rFonts w:ascii="仿宋" w:hAnsi="仿宋" w:eastAsia="仿宋"/>
          <w:color w:val="000000"/>
          <w:kern w:val="0"/>
          <w:sz w:val="24"/>
          <w:szCs w:val="20"/>
        </w:rPr>
        <w:t>结果如何，</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均应自行承担所有与投标有关的全部费用</w:t>
      </w:r>
      <w:r>
        <w:rPr>
          <w:rFonts w:hint="eastAsia" w:ascii="仿宋" w:hAnsi="仿宋" w:eastAsia="仿宋"/>
          <w:color w:val="000000"/>
          <w:kern w:val="0"/>
          <w:sz w:val="24"/>
          <w:szCs w:val="20"/>
        </w:rPr>
        <w:t>，采购组织机构概不负责；</w:t>
      </w:r>
    </w:p>
    <w:p w14:paraId="2B5084FF">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1.9.2</w:t>
      </w:r>
      <w:r>
        <w:rPr>
          <w:rFonts w:ascii="仿宋" w:hAnsi="仿宋" w:eastAsia="仿宋"/>
          <w:color w:val="000000"/>
          <w:kern w:val="0"/>
          <w:sz w:val="24"/>
          <w:szCs w:val="20"/>
        </w:rPr>
        <w:t>合同实施过程中，</w:t>
      </w:r>
      <w:r>
        <w:rPr>
          <w:rFonts w:hint="eastAsia" w:ascii="仿宋" w:hAnsi="仿宋" w:eastAsia="仿宋"/>
          <w:color w:val="000000"/>
          <w:kern w:val="0"/>
          <w:sz w:val="24"/>
          <w:szCs w:val="20"/>
        </w:rPr>
        <w:t>成交供应商</w:t>
      </w:r>
      <w:r>
        <w:rPr>
          <w:rFonts w:ascii="仿宋" w:hAnsi="仿宋" w:eastAsia="仿宋"/>
          <w:color w:val="000000"/>
          <w:kern w:val="0"/>
          <w:sz w:val="24"/>
          <w:szCs w:val="20"/>
        </w:rPr>
        <w:t>须与采购人积极配合。</w:t>
      </w:r>
      <w:r>
        <w:rPr>
          <w:rFonts w:hint="eastAsia" w:ascii="仿宋" w:hAnsi="仿宋" w:eastAsia="仿宋"/>
          <w:color w:val="000000"/>
          <w:kern w:val="0"/>
          <w:sz w:val="24"/>
          <w:szCs w:val="20"/>
        </w:rPr>
        <w:t>成交供应商</w:t>
      </w:r>
      <w:r>
        <w:rPr>
          <w:rFonts w:ascii="仿宋" w:hAnsi="仿宋" w:eastAsia="仿宋"/>
          <w:color w:val="000000"/>
          <w:kern w:val="0"/>
          <w:sz w:val="24"/>
          <w:szCs w:val="20"/>
        </w:rPr>
        <w:t>自行承担本次采购活动中所发生的全部费用。</w:t>
      </w:r>
    </w:p>
    <w:p w14:paraId="4B0AE4B5">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1.10 语言文字及计量单位</w:t>
      </w:r>
    </w:p>
    <w:p w14:paraId="7BF4C4D3">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1.10</w:t>
      </w:r>
      <w:r>
        <w:rPr>
          <w:rFonts w:ascii="仿宋" w:hAnsi="仿宋" w:eastAsia="仿宋"/>
          <w:b/>
          <w:color w:val="000000"/>
          <w:kern w:val="0"/>
          <w:sz w:val="24"/>
          <w:szCs w:val="20"/>
        </w:rPr>
        <w:t>.1</w:t>
      </w:r>
      <w:r>
        <w:rPr>
          <w:rFonts w:hint="eastAsia" w:ascii="仿宋" w:hAnsi="仿宋" w:eastAsia="仿宋"/>
          <w:b/>
          <w:color w:val="000000"/>
          <w:kern w:val="0"/>
          <w:sz w:val="24"/>
          <w:szCs w:val="20"/>
        </w:rPr>
        <w:t>语言文字：</w:t>
      </w:r>
      <w:r>
        <w:rPr>
          <w:rFonts w:hint="eastAsia" w:ascii="仿宋" w:hAnsi="仿宋" w:eastAsia="仿宋"/>
          <w:color w:val="000000"/>
          <w:kern w:val="0"/>
          <w:sz w:val="24"/>
          <w:szCs w:val="20"/>
        </w:rPr>
        <w:t>除专业术语、</w:t>
      </w:r>
      <w:r>
        <w:rPr>
          <w:rFonts w:ascii="仿宋" w:hAnsi="仿宋" w:eastAsia="仿宋"/>
          <w:color w:val="000000"/>
          <w:kern w:val="0"/>
          <w:sz w:val="24"/>
          <w:szCs w:val="20"/>
        </w:rPr>
        <w:t>签名、盖章、名称等特殊情形外</w:t>
      </w:r>
      <w:r>
        <w:rPr>
          <w:rFonts w:hint="eastAsia" w:ascii="仿宋" w:hAnsi="仿宋" w:eastAsia="仿宋"/>
          <w:color w:val="000000"/>
          <w:kern w:val="0"/>
          <w:sz w:val="24"/>
          <w:szCs w:val="20"/>
        </w:rPr>
        <w:t>，与本次采购工作有关的所有材料、来往函电语言均应使用中文</w:t>
      </w:r>
      <w:r>
        <w:rPr>
          <w:rFonts w:ascii="仿宋" w:hAnsi="仿宋" w:eastAsia="仿宋"/>
          <w:color w:val="000000"/>
          <w:kern w:val="0"/>
          <w:sz w:val="24"/>
          <w:szCs w:val="20"/>
        </w:rPr>
        <w:t>，</w:t>
      </w:r>
      <w:r>
        <w:rPr>
          <w:rFonts w:hint="eastAsia" w:ascii="仿宋" w:hAnsi="仿宋" w:eastAsia="仿宋"/>
          <w:color w:val="000000"/>
          <w:kern w:val="0"/>
          <w:sz w:val="24"/>
          <w:szCs w:val="20"/>
        </w:rPr>
        <w:t>专业术语、名称应附有中文注释。</w:t>
      </w:r>
      <w:r>
        <w:rPr>
          <w:rFonts w:hint="eastAsia" w:ascii="仿宋" w:hAnsi="仿宋" w:eastAsia="仿宋"/>
          <w:b/>
          <w:color w:val="000000"/>
          <w:kern w:val="0"/>
          <w:sz w:val="24"/>
          <w:szCs w:val="20"/>
        </w:rPr>
        <w:t>仅</w:t>
      </w:r>
      <w:r>
        <w:rPr>
          <w:rFonts w:ascii="仿宋" w:hAnsi="仿宋" w:eastAsia="仿宋"/>
          <w:b/>
          <w:color w:val="000000"/>
          <w:kern w:val="0"/>
          <w:sz w:val="24"/>
          <w:szCs w:val="20"/>
        </w:rPr>
        <w:t>以中文以外的文字表述的</w:t>
      </w:r>
      <w:r>
        <w:rPr>
          <w:rFonts w:hint="eastAsia" w:ascii="仿宋" w:hAnsi="仿宋" w:eastAsia="仿宋"/>
          <w:b/>
          <w:color w:val="000000"/>
          <w:kern w:val="0"/>
          <w:sz w:val="24"/>
          <w:szCs w:val="20"/>
        </w:rPr>
        <w:t>材料</w:t>
      </w:r>
      <w:r>
        <w:rPr>
          <w:rFonts w:ascii="仿宋" w:hAnsi="仿宋" w:eastAsia="仿宋"/>
          <w:b/>
          <w:color w:val="000000"/>
          <w:kern w:val="0"/>
          <w:sz w:val="24"/>
          <w:szCs w:val="20"/>
        </w:rPr>
        <w:t>视同未提供。</w:t>
      </w:r>
    </w:p>
    <w:p w14:paraId="782FC105">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1.10</w:t>
      </w:r>
      <w:r>
        <w:rPr>
          <w:rFonts w:ascii="仿宋" w:hAnsi="仿宋" w:eastAsia="仿宋"/>
          <w:b/>
          <w:color w:val="000000"/>
          <w:kern w:val="0"/>
          <w:sz w:val="24"/>
          <w:szCs w:val="20"/>
        </w:rPr>
        <w:t>.2计量单位</w:t>
      </w:r>
      <w:r>
        <w:rPr>
          <w:rFonts w:hint="eastAsia" w:ascii="仿宋" w:hAnsi="仿宋" w:eastAsia="仿宋"/>
          <w:b/>
          <w:color w:val="000000"/>
          <w:kern w:val="0"/>
          <w:sz w:val="24"/>
          <w:szCs w:val="20"/>
        </w:rPr>
        <w:t>：</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已有明确规定的，使用</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规定的计量单位；</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没有规定的，应采用中华人民共和国法定计量单位，否则视同未响应。</w:t>
      </w:r>
    </w:p>
    <w:p w14:paraId="5B0CCC15">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1.11 现场勘查</w:t>
      </w:r>
    </w:p>
    <w:p w14:paraId="14FE37CB">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1.11.1现场勘查时间、地点、联系人：</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77AF2B61">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1.11.2《磋商须知前附表》</w:t>
      </w:r>
      <w:r>
        <w:rPr>
          <w:rFonts w:ascii="仿宋" w:hAnsi="仿宋" w:eastAsia="仿宋"/>
          <w:color w:val="000000"/>
          <w:kern w:val="0"/>
          <w:sz w:val="24"/>
          <w:szCs w:val="20"/>
        </w:rPr>
        <w:t>规定组织</w:t>
      </w:r>
      <w:r>
        <w:rPr>
          <w:rFonts w:hint="eastAsia" w:ascii="仿宋" w:hAnsi="仿宋" w:eastAsia="仿宋"/>
          <w:color w:val="000000"/>
          <w:kern w:val="0"/>
          <w:sz w:val="24"/>
          <w:szCs w:val="20"/>
        </w:rPr>
        <w:t>统一现场勘查</w:t>
      </w:r>
      <w:r>
        <w:rPr>
          <w:rFonts w:ascii="仿宋" w:hAnsi="仿宋" w:eastAsia="仿宋"/>
          <w:color w:val="000000"/>
          <w:kern w:val="0"/>
          <w:sz w:val="24"/>
          <w:szCs w:val="20"/>
        </w:rPr>
        <w:t>的，采购人</w:t>
      </w:r>
      <w:r>
        <w:rPr>
          <w:rFonts w:hint="eastAsia" w:ascii="仿宋" w:hAnsi="仿宋" w:eastAsia="仿宋"/>
          <w:color w:val="000000"/>
          <w:kern w:val="0"/>
          <w:sz w:val="24"/>
          <w:szCs w:val="20"/>
        </w:rPr>
        <w:t>将按《磋商须知前附表》规定的时间统一开放现场场地以便供应商进行现场勘查，此外其他任何时间</w:t>
      </w:r>
      <w:r>
        <w:rPr>
          <w:rFonts w:ascii="仿宋" w:hAnsi="仿宋" w:eastAsia="仿宋"/>
          <w:color w:val="000000"/>
          <w:kern w:val="0"/>
          <w:sz w:val="24"/>
          <w:szCs w:val="20"/>
        </w:rPr>
        <w:t>采购人</w:t>
      </w:r>
      <w:r>
        <w:rPr>
          <w:rFonts w:hint="eastAsia" w:ascii="仿宋" w:hAnsi="仿宋" w:eastAsia="仿宋"/>
          <w:color w:val="000000"/>
          <w:kern w:val="0"/>
          <w:sz w:val="24"/>
          <w:szCs w:val="20"/>
        </w:rPr>
        <w:t>不再统一安排供应商进行现场勘查工作（特殊情形除外）；</w:t>
      </w:r>
    </w:p>
    <w:p w14:paraId="162010C4">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1.11.3供应商应自行前往规定的地点参加现场勘查，因参加现场勘查而</w:t>
      </w:r>
      <w:r>
        <w:rPr>
          <w:rFonts w:ascii="仿宋" w:hAnsi="仿宋" w:eastAsia="仿宋"/>
          <w:color w:val="000000"/>
          <w:kern w:val="0"/>
          <w:sz w:val="24"/>
          <w:szCs w:val="20"/>
        </w:rPr>
        <w:t>发生的</w:t>
      </w:r>
      <w:r>
        <w:rPr>
          <w:rFonts w:hint="eastAsia" w:ascii="仿宋" w:hAnsi="仿宋" w:eastAsia="仿宋"/>
          <w:color w:val="000000"/>
          <w:kern w:val="0"/>
          <w:sz w:val="24"/>
          <w:szCs w:val="20"/>
        </w:rPr>
        <w:t>所有</w:t>
      </w:r>
      <w:r>
        <w:rPr>
          <w:rFonts w:ascii="仿宋" w:hAnsi="仿宋" w:eastAsia="仿宋"/>
          <w:color w:val="000000"/>
          <w:kern w:val="0"/>
          <w:sz w:val="24"/>
          <w:szCs w:val="20"/>
        </w:rPr>
        <w:t>费用</w:t>
      </w:r>
      <w:r>
        <w:rPr>
          <w:rFonts w:hint="eastAsia" w:ascii="仿宋" w:hAnsi="仿宋" w:eastAsia="仿宋"/>
          <w:color w:val="000000"/>
          <w:kern w:val="0"/>
          <w:sz w:val="24"/>
          <w:szCs w:val="20"/>
        </w:rPr>
        <w:t>由供应商自行承担；</w:t>
      </w:r>
    </w:p>
    <w:p w14:paraId="672FF1AA">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1.11.4现场勘查过程中，供应商应注意勘查安全，</w:t>
      </w:r>
      <w:r>
        <w:rPr>
          <w:rFonts w:ascii="仿宋" w:hAnsi="仿宋" w:eastAsia="仿宋"/>
          <w:color w:val="000000"/>
          <w:kern w:val="0"/>
          <w:sz w:val="24"/>
          <w:szCs w:val="20"/>
        </w:rPr>
        <w:t>除采购人的原因外，</w:t>
      </w:r>
      <w:r>
        <w:rPr>
          <w:rFonts w:hint="eastAsia" w:ascii="仿宋" w:hAnsi="仿宋" w:eastAsia="仿宋"/>
          <w:color w:val="000000"/>
          <w:kern w:val="0"/>
          <w:sz w:val="24"/>
          <w:szCs w:val="20"/>
        </w:rPr>
        <w:t>供应商</w:t>
      </w:r>
      <w:r>
        <w:rPr>
          <w:rFonts w:ascii="仿宋" w:hAnsi="仿宋" w:eastAsia="仿宋"/>
          <w:color w:val="000000"/>
          <w:kern w:val="0"/>
          <w:sz w:val="24"/>
          <w:szCs w:val="20"/>
        </w:rPr>
        <w:t>在踏勘现场中所发生的人员伤亡和财产损失</w:t>
      </w:r>
      <w:r>
        <w:rPr>
          <w:rFonts w:hint="eastAsia" w:ascii="仿宋" w:hAnsi="仿宋" w:eastAsia="仿宋"/>
          <w:color w:val="000000"/>
          <w:kern w:val="0"/>
          <w:sz w:val="24"/>
          <w:szCs w:val="20"/>
        </w:rPr>
        <w:t>由供应商自行承担；</w:t>
      </w:r>
    </w:p>
    <w:p w14:paraId="3556E505">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1.11.5</w:t>
      </w:r>
      <w:r>
        <w:rPr>
          <w:rFonts w:ascii="仿宋" w:hAnsi="仿宋" w:eastAsia="仿宋"/>
          <w:color w:val="000000"/>
          <w:kern w:val="0"/>
          <w:sz w:val="24"/>
          <w:szCs w:val="20"/>
        </w:rPr>
        <w:t>采购人在现场</w:t>
      </w:r>
      <w:r>
        <w:rPr>
          <w:rFonts w:hint="eastAsia" w:ascii="仿宋" w:hAnsi="仿宋" w:eastAsia="仿宋"/>
          <w:color w:val="000000"/>
          <w:kern w:val="0"/>
          <w:sz w:val="24"/>
          <w:szCs w:val="20"/>
        </w:rPr>
        <w:t>勘查</w:t>
      </w:r>
      <w:r>
        <w:rPr>
          <w:rFonts w:ascii="仿宋" w:hAnsi="仿宋" w:eastAsia="仿宋"/>
          <w:color w:val="000000"/>
          <w:kern w:val="0"/>
          <w:sz w:val="24"/>
          <w:szCs w:val="20"/>
        </w:rPr>
        <w:t>中介绍的场地和相关的周边环境情况，</w:t>
      </w:r>
      <w:r>
        <w:rPr>
          <w:rFonts w:hint="eastAsia" w:ascii="仿宋" w:hAnsi="仿宋" w:eastAsia="仿宋"/>
          <w:color w:val="000000"/>
          <w:kern w:val="0"/>
          <w:sz w:val="24"/>
          <w:szCs w:val="20"/>
        </w:rPr>
        <w:t>仅</w:t>
      </w:r>
      <w:r>
        <w:rPr>
          <w:rFonts w:ascii="仿宋" w:hAnsi="仿宋" w:eastAsia="仿宋"/>
          <w:color w:val="000000"/>
          <w:kern w:val="0"/>
          <w:sz w:val="24"/>
          <w:szCs w:val="20"/>
        </w:rPr>
        <w:t>供</w:t>
      </w:r>
      <w:r>
        <w:rPr>
          <w:rFonts w:hint="eastAsia" w:ascii="仿宋" w:hAnsi="仿宋" w:eastAsia="仿宋"/>
          <w:color w:val="000000"/>
          <w:kern w:val="0"/>
          <w:sz w:val="24"/>
          <w:szCs w:val="20"/>
        </w:rPr>
        <w:t>供应商</w:t>
      </w:r>
      <w:r>
        <w:rPr>
          <w:rFonts w:ascii="仿宋" w:hAnsi="仿宋" w:eastAsia="仿宋"/>
          <w:color w:val="000000"/>
          <w:kern w:val="0"/>
          <w:sz w:val="24"/>
          <w:szCs w:val="20"/>
        </w:rPr>
        <w:t>在编制</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时参考，采购人不对</w:t>
      </w:r>
      <w:r>
        <w:rPr>
          <w:rFonts w:hint="eastAsia" w:ascii="仿宋" w:hAnsi="仿宋" w:eastAsia="仿宋"/>
          <w:color w:val="000000"/>
          <w:kern w:val="0"/>
          <w:sz w:val="24"/>
          <w:szCs w:val="20"/>
        </w:rPr>
        <w:t>供应商</w:t>
      </w:r>
      <w:r>
        <w:rPr>
          <w:rFonts w:ascii="仿宋" w:hAnsi="仿宋" w:eastAsia="仿宋"/>
          <w:color w:val="000000"/>
          <w:kern w:val="0"/>
          <w:sz w:val="24"/>
          <w:szCs w:val="20"/>
        </w:rPr>
        <w:t>据此作出的判断和决策负责。</w:t>
      </w:r>
    </w:p>
    <w:p w14:paraId="619CB79F">
      <w:pPr>
        <w:keepNext/>
        <w:keepLines/>
        <w:autoSpaceDE w:val="0"/>
        <w:autoSpaceDN w:val="0"/>
        <w:spacing w:before="72" w:beforeLines="30" w:after="72"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 xml:space="preserve">1.12 </w:t>
      </w:r>
      <w:r>
        <w:rPr>
          <w:rFonts w:hint="eastAsia" w:eastAsia="华文中宋"/>
          <w:b/>
          <w:bCs/>
          <w:sz w:val="24"/>
          <w:szCs w:val="32"/>
        </w:rPr>
        <w:t>标前答疑会</w:t>
      </w:r>
    </w:p>
    <w:p w14:paraId="543D418D">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1.12.1标前答疑会时间、地点：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14:paraId="4D08A28D">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2</w:t>
      </w:r>
      <w:r>
        <w:rPr>
          <w:rFonts w:ascii="仿宋" w:hAnsi="仿宋" w:eastAsia="仿宋"/>
          <w:color w:val="000000"/>
          <w:sz w:val="24"/>
          <w:szCs w:val="20"/>
        </w:rPr>
        <w:t>前附表规定召开</w:t>
      </w:r>
      <w:r>
        <w:rPr>
          <w:rFonts w:hint="eastAsia" w:ascii="仿宋" w:hAnsi="仿宋" w:eastAsia="仿宋"/>
          <w:color w:val="000000"/>
          <w:sz w:val="24"/>
          <w:szCs w:val="20"/>
        </w:rPr>
        <w:t>标前</w:t>
      </w:r>
      <w:r>
        <w:rPr>
          <w:rFonts w:ascii="仿宋" w:hAnsi="仿宋" w:eastAsia="仿宋"/>
          <w:color w:val="000000"/>
          <w:sz w:val="24"/>
          <w:szCs w:val="20"/>
        </w:rPr>
        <w:t>答疑会的，采购</w:t>
      </w:r>
      <w:r>
        <w:rPr>
          <w:rFonts w:hint="eastAsia" w:ascii="仿宋" w:hAnsi="仿宋" w:eastAsia="仿宋"/>
          <w:color w:val="000000"/>
          <w:sz w:val="24"/>
          <w:szCs w:val="20"/>
        </w:rPr>
        <w:t>组织机构</w:t>
      </w:r>
      <w:r>
        <w:rPr>
          <w:rFonts w:ascii="仿宋" w:hAnsi="仿宋" w:eastAsia="仿宋"/>
          <w:color w:val="000000"/>
          <w:sz w:val="24"/>
          <w:szCs w:val="20"/>
        </w:rPr>
        <w:t>按</w:t>
      </w:r>
      <w:r>
        <w:rPr>
          <w:rFonts w:hint="eastAsia" w:ascii="仿宋" w:hAnsi="仿宋" w:eastAsia="仿宋"/>
          <w:color w:val="000000"/>
          <w:sz w:val="24"/>
          <w:szCs w:val="20"/>
        </w:rPr>
        <w:t>《磋商须知前附表》</w:t>
      </w:r>
      <w:r>
        <w:rPr>
          <w:rFonts w:ascii="仿宋" w:hAnsi="仿宋" w:eastAsia="仿宋"/>
          <w:color w:val="000000"/>
          <w:sz w:val="24"/>
          <w:szCs w:val="20"/>
        </w:rPr>
        <w:t>规定的时间和地点召开</w:t>
      </w:r>
      <w:r>
        <w:rPr>
          <w:rFonts w:hint="eastAsia" w:ascii="仿宋" w:hAnsi="仿宋" w:eastAsia="仿宋"/>
          <w:color w:val="000000"/>
          <w:sz w:val="24"/>
          <w:szCs w:val="20"/>
        </w:rPr>
        <w:t>标前</w:t>
      </w:r>
      <w:r>
        <w:rPr>
          <w:rFonts w:ascii="仿宋" w:hAnsi="仿宋" w:eastAsia="仿宋"/>
          <w:color w:val="000000"/>
          <w:sz w:val="24"/>
          <w:szCs w:val="20"/>
        </w:rPr>
        <w:t>答疑会，澄清</w:t>
      </w:r>
      <w:r>
        <w:rPr>
          <w:rFonts w:hint="eastAsia" w:ascii="仿宋" w:hAnsi="仿宋" w:eastAsia="仿宋"/>
          <w:color w:val="000000"/>
          <w:sz w:val="24"/>
          <w:szCs w:val="20"/>
        </w:rPr>
        <w:t>供应商</w:t>
      </w:r>
      <w:r>
        <w:rPr>
          <w:rFonts w:ascii="仿宋" w:hAnsi="仿宋" w:eastAsia="仿宋"/>
          <w:color w:val="000000"/>
          <w:sz w:val="24"/>
          <w:szCs w:val="20"/>
        </w:rPr>
        <w:t>提出的问题</w:t>
      </w:r>
      <w:r>
        <w:rPr>
          <w:rFonts w:hint="eastAsia" w:ascii="仿宋" w:hAnsi="仿宋" w:eastAsia="仿宋"/>
          <w:color w:val="000000"/>
          <w:sz w:val="24"/>
          <w:szCs w:val="20"/>
        </w:rPr>
        <w:t>；</w:t>
      </w:r>
    </w:p>
    <w:p w14:paraId="5F50DD61">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3供应商</w:t>
      </w:r>
      <w:r>
        <w:rPr>
          <w:rFonts w:ascii="仿宋" w:hAnsi="仿宋" w:eastAsia="仿宋"/>
          <w:color w:val="000000"/>
          <w:sz w:val="24"/>
          <w:szCs w:val="20"/>
        </w:rPr>
        <w:t>应在答疑会时间的</w:t>
      </w:r>
      <w:r>
        <w:rPr>
          <w:rFonts w:hint="eastAsia" w:ascii="仿宋" w:hAnsi="仿宋" w:eastAsia="仿宋"/>
          <w:color w:val="000000"/>
          <w:sz w:val="24"/>
          <w:szCs w:val="20"/>
        </w:rPr>
        <w:t>2日前</w:t>
      </w:r>
      <w:r>
        <w:rPr>
          <w:rFonts w:ascii="仿宋" w:hAnsi="仿宋" w:eastAsia="仿宋"/>
          <w:color w:val="000000"/>
          <w:sz w:val="24"/>
          <w:szCs w:val="20"/>
        </w:rPr>
        <w:t>，以书面形式将</w:t>
      </w:r>
      <w:r>
        <w:rPr>
          <w:rFonts w:hint="eastAsia" w:ascii="仿宋" w:hAnsi="仿宋" w:eastAsia="仿宋"/>
          <w:color w:val="000000"/>
          <w:sz w:val="24"/>
          <w:szCs w:val="20"/>
        </w:rPr>
        <w:t>需要</w:t>
      </w:r>
      <w:r>
        <w:rPr>
          <w:rFonts w:ascii="仿宋" w:hAnsi="仿宋" w:eastAsia="仿宋"/>
          <w:color w:val="000000"/>
          <w:sz w:val="24"/>
          <w:szCs w:val="20"/>
        </w:rPr>
        <w:t>提出的问题送达采购</w:t>
      </w:r>
      <w:r>
        <w:rPr>
          <w:rFonts w:hint="eastAsia" w:ascii="仿宋" w:hAnsi="仿宋" w:eastAsia="仿宋"/>
          <w:color w:val="000000"/>
          <w:sz w:val="24"/>
          <w:szCs w:val="20"/>
        </w:rPr>
        <w:t>组织机构</w:t>
      </w:r>
      <w:r>
        <w:rPr>
          <w:rFonts w:ascii="仿宋" w:hAnsi="仿宋" w:eastAsia="仿宋"/>
          <w:color w:val="000000"/>
          <w:sz w:val="24"/>
          <w:szCs w:val="20"/>
        </w:rPr>
        <w:t>，以便采购</w:t>
      </w:r>
      <w:r>
        <w:rPr>
          <w:rFonts w:hint="eastAsia" w:ascii="仿宋" w:hAnsi="仿宋" w:eastAsia="仿宋"/>
          <w:color w:val="000000"/>
          <w:sz w:val="24"/>
          <w:szCs w:val="20"/>
        </w:rPr>
        <w:t>组织机构</w:t>
      </w:r>
      <w:r>
        <w:rPr>
          <w:rFonts w:ascii="仿宋" w:hAnsi="仿宋" w:eastAsia="仿宋"/>
          <w:color w:val="000000"/>
          <w:sz w:val="24"/>
          <w:szCs w:val="20"/>
        </w:rPr>
        <w:t>在会议期间澄清</w:t>
      </w:r>
      <w:r>
        <w:rPr>
          <w:rFonts w:hint="eastAsia" w:ascii="仿宋" w:hAnsi="仿宋" w:eastAsia="仿宋"/>
          <w:color w:val="000000"/>
          <w:sz w:val="24"/>
          <w:szCs w:val="20"/>
        </w:rPr>
        <w:t>；</w:t>
      </w:r>
    </w:p>
    <w:p w14:paraId="3C49AA21">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4不召开标前答疑会或标前</w:t>
      </w:r>
      <w:r>
        <w:rPr>
          <w:rFonts w:ascii="仿宋" w:hAnsi="仿宋" w:eastAsia="仿宋"/>
          <w:color w:val="000000"/>
          <w:sz w:val="24"/>
          <w:szCs w:val="20"/>
        </w:rPr>
        <w:t>答疑会</w:t>
      </w:r>
      <w:r>
        <w:rPr>
          <w:rFonts w:hint="eastAsia" w:ascii="仿宋" w:hAnsi="仿宋" w:eastAsia="仿宋"/>
          <w:color w:val="000000"/>
          <w:sz w:val="24"/>
          <w:szCs w:val="20"/>
        </w:rPr>
        <w:t>完成后的其他时间</w:t>
      </w:r>
      <w:r>
        <w:rPr>
          <w:rFonts w:ascii="仿宋" w:hAnsi="仿宋" w:eastAsia="仿宋"/>
          <w:color w:val="000000"/>
          <w:sz w:val="24"/>
          <w:szCs w:val="20"/>
        </w:rPr>
        <w:t>，采购</w:t>
      </w:r>
      <w:r>
        <w:rPr>
          <w:rFonts w:hint="eastAsia" w:ascii="仿宋" w:hAnsi="仿宋" w:eastAsia="仿宋"/>
          <w:color w:val="000000"/>
          <w:sz w:val="24"/>
          <w:szCs w:val="20"/>
        </w:rPr>
        <w:t>组织机构将</w:t>
      </w:r>
      <w:r>
        <w:rPr>
          <w:rFonts w:ascii="仿宋" w:hAnsi="仿宋" w:eastAsia="仿宋"/>
          <w:color w:val="000000"/>
          <w:sz w:val="24"/>
          <w:szCs w:val="20"/>
        </w:rPr>
        <w:t>按本章</w:t>
      </w:r>
      <w:r>
        <w:rPr>
          <w:rFonts w:hint="eastAsia" w:ascii="仿宋" w:hAnsi="仿宋" w:eastAsia="仿宋"/>
          <w:color w:val="000000"/>
          <w:sz w:val="24"/>
          <w:szCs w:val="20"/>
        </w:rPr>
        <w:t>第3.2款“竞争性磋商文件的提疑”、第3.3款“竞争性磋商文件的澄清、修改（更正）”相关</w:t>
      </w:r>
      <w:r>
        <w:rPr>
          <w:rFonts w:ascii="仿宋" w:hAnsi="仿宋" w:eastAsia="仿宋"/>
          <w:color w:val="000000"/>
          <w:sz w:val="24"/>
          <w:szCs w:val="20"/>
        </w:rPr>
        <w:t>规定对</w:t>
      </w:r>
      <w:r>
        <w:rPr>
          <w:rFonts w:hint="eastAsia" w:ascii="仿宋" w:hAnsi="仿宋" w:eastAsia="仿宋"/>
          <w:color w:val="000000"/>
          <w:sz w:val="24"/>
          <w:szCs w:val="20"/>
        </w:rPr>
        <w:t>供应商</w:t>
      </w:r>
      <w:r>
        <w:rPr>
          <w:rFonts w:ascii="仿宋" w:hAnsi="仿宋" w:eastAsia="仿宋"/>
          <w:color w:val="000000"/>
          <w:sz w:val="24"/>
          <w:szCs w:val="20"/>
        </w:rPr>
        <w:t>所提问题进行澄清答复</w:t>
      </w:r>
      <w:r>
        <w:rPr>
          <w:rFonts w:hint="eastAsia" w:ascii="仿宋" w:hAnsi="仿宋" w:eastAsia="仿宋"/>
          <w:color w:val="000000"/>
          <w:sz w:val="24"/>
          <w:szCs w:val="20"/>
        </w:rPr>
        <w:t>。</w:t>
      </w:r>
    </w:p>
    <w:p w14:paraId="7110904C">
      <w:pPr>
        <w:keepNext/>
        <w:keepLines/>
        <w:autoSpaceDE w:val="0"/>
        <w:autoSpaceDN w:val="0"/>
        <w:spacing w:before="72" w:beforeLines="30" w:after="72"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 xml:space="preserve">1.13 </w:t>
      </w:r>
      <w:r>
        <w:rPr>
          <w:rFonts w:hint="eastAsia" w:eastAsia="华文中宋"/>
          <w:b/>
          <w:bCs/>
          <w:sz w:val="24"/>
          <w:szCs w:val="32"/>
        </w:rPr>
        <w:t>关</w:t>
      </w:r>
      <w:r>
        <w:rPr>
          <w:rFonts w:eastAsia="华文中宋"/>
          <w:b/>
          <w:bCs/>
          <w:sz w:val="24"/>
          <w:szCs w:val="32"/>
        </w:rPr>
        <w:t>联</w:t>
      </w:r>
      <w:r>
        <w:rPr>
          <w:rFonts w:hint="eastAsia" w:eastAsia="华文中宋"/>
          <w:b/>
          <w:bCs/>
          <w:sz w:val="24"/>
          <w:szCs w:val="32"/>
        </w:rPr>
        <w:t>供应商</w:t>
      </w:r>
      <w:r>
        <w:rPr>
          <w:rFonts w:eastAsia="华文中宋"/>
          <w:b/>
          <w:bCs/>
          <w:sz w:val="24"/>
          <w:szCs w:val="32"/>
        </w:rPr>
        <w:t>投标</w:t>
      </w:r>
      <w:r>
        <w:rPr>
          <w:rFonts w:hint="eastAsia" w:eastAsia="华文中宋"/>
          <w:b/>
          <w:bCs/>
          <w:sz w:val="24"/>
          <w:szCs w:val="32"/>
        </w:rPr>
        <w:t>限制</w:t>
      </w:r>
    </w:p>
    <w:p w14:paraId="237CAB6C">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本采购文件所称“关联企业”，是指存在关联关系的企业；“关联关系”的界定适用《中华人民共和国公司法》相关规定。</w:t>
      </w:r>
    </w:p>
    <w:p w14:paraId="00C912CC">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1.13.1单位负责人为同一人或者存在直接控股、管理关系的不同供应商，不得同时参加同一合同项下的政府采购活动，否则相关供应商的资格均作“不合格”处理。</w:t>
      </w:r>
    </w:p>
    <w:p w14:paraId="3CE2D74E">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1.13.2存在以下利害关系的不同供应商，不得同时参加同一合同项下的政府采购活动，否则相关供应商的投标响应均作无效处理：</w:t>
      </w:r>
    </w:p>
    <w:p w14:paraId="656A91D8">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（1）法定代表人或负责人或实际控制人是夫妻关系；</w:t>
      </w:r>
    </w:p>
    <w:p w14:paraId="4469EDDA">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（2）法定代表人或负责人或实际控制人是直系血亲关系；</w:t>
      </w:r>
    </w:p>
    <w:p w14:paraId="2ED68AA1">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（3）法定代表人或负责人或实际控制人存在三代以内旁系血亲关系；</w:t>
      </w:r>
    </w:p>
    <w:p w14:paraId="7791126F">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（4）法定代表人或负责人或实际控制人存在近姻亲关系；</w:t>
      </w:r>
    </w:p>
    <w:p w14:paraId="137D2543">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（5）法定代表人或负责人或实际控制人存在股份控制或实际控制关系；</w:t>
      </w:r>
    </w:p>
    <w:p w14:paraId="430B3569">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（6）存在共同直接或间接投资设立子公司、联营企业和合营企业情况；</w:t>
      </w:r>
    </w:p>
    <w:p w14:paraId="200CCE38">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（7）存在分级代理或代销关系、同一生产制造商关系、管理关系、重要业务（占主营业务收入50%以上）或重要财务往来关系（如融资）等其他实质性控制关系。</w:t>
      </w:r>
    </w:p>
    <w:p w14:paraId="2650025A">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1.13.3除单一来源采购项目外，为采购项目提供整体设计、规范编制或者项目管理、监理、检测等服务的供应商，不得再参加该采购项目的其他采购活动，相关磋商响应供应商的</w:t>
      </w:r>
      <w:r>
        <w:rPr>
          <w:rFonts w:hint="eastAsia" w:ascii="仿宋" w:hAnsi="仿宋" w:eastAsia="仿宋"/>
          <w:b/>
          <w:kern w:val="0"/>
          <w:sz w:val="24"/>
          <w:szCs w:val="20"/>
        </w:rPr>
        <w:t>磋商响应</w:t>
      </w:r>
      <w:r>
        <w:rPr>
          <w:rFonts w:hint="eastAsia" w:ascii="仿宋" w:hAnsi="仿宋" w:eastAsia="仿宋"/>
          <w:b/>
          <w:color w:val="000000"/>
          <w:kern w:val="0"/>
          <w:sz w:val="24"/>
          <w:szCs w:val="20"/>
        </w:rPr>
        <w:t>作无效处理。</w:t>
      </w:r>
    </w:p>
    <w:p w14:paraId="6676FF86">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1.13</w:t>
      </w:r>
      <w:r>
        <w:rPr>
          <w:rFonts w:ascii="仿宋" w:hAnsi="仿宋" w:eastAsia="仿宋"/>
          <w:b/>
          <w:color w:val="000000"/>
          <w:kern w:val="0"/>
          <w:sz w:val="24"/>
          <w:szCs w:val="20"/>
        </w:rPr>
        <w:t>.</w:t>
      </w:r>
      <w:r>
        <w:rPr>
          <w:rFonts w:hint="eastAsia" w:ascii="仿宋" w:hAnsi="仿宋" w:eastAsia="仿宋"/>
          <w:b/>
          <w:color w:val="000000"/>
          <w:kern w:val="0"/>
          <w:sz w:val="24"/>
          <w:szCs w:val="20"/>
        </w:rPr>
        <w:t>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w:t>
      </w:r>
      <w:r>
        <w:rPr>
          <w:rFonts w:ascii="仿宋" w:hAnsi="仿宋" w:eastAsia="仿宋"/>
          <w:b/>
          <w:color w:val="000000"/>
          <w:kern w:val="0"/>
          <w:sz w:val="24"/>
          <w:szCs w:val="20"/>
        </w:rPr>
        <w:t>均相同时，由</w:t>
      </w:r>
      <w:r>
        <w:rPr>
          <w:rFonts w:hint="eastAsia" w:ascii="仿宋" w:hAnsi="仿宋" w:eastAsia="仿宋"/>
          <w:b/>
          <w:color w:val="000000"/>
          <w:kern w:val="0"/>
          <w:sz w:val="24"/>
          <w:szCs w:val="20"/>
        </w:rPr>
        <w:t>磋商小组按少数服从多数的原则，</w:t>
      </w:r>
      <w:r>
        <w:rPr>
          <w:rFonts w:ascii="仿宋" w:hAnsi="仿宋" w:eastAsia="仿宋"/>
          <w:b/>
          <w:color w:val="000000"/>
          <w:kern w:val="0"/>
          <w:sz w:val="24"/>
          <w:szCs w:val="20"/>
        </w:rPr>
        <w:t>集体决定</w:t>
      </w:r>
      <w:r>
        <w:rPr>
          <w:rFonts w:hint="eastAsia" w:ascii="仿宋" w:hAnsi="仿宋" w:eastAsia="仿宋"/>
          <w:b/>
          <w:color w:val="000000"/>
          <w:kern w:val="0"/>
          <w:sz w:val="24"/>
          <w:szCs w:val="20"/>
        </w:rPr>
        <w:t>；其他同品牌磋商响应供应商不作为成交候选供应商。</w:t>
      </w:r>
    </w:p>
    <w:p w14:paraId="7E35A6CB">
      <w:pPr>
        <w:autoSpaceDE w:val="0"/>
        <w:autoSpaceDN w:val="0"/>
        <w:spacing w:line="360" w:lineRule="auto"/>
        <w:ind w:firstLine="426" w:firstLineChars="177"/>
        <w:rPr>
          <w:rFonts w:hint="eastAsia" w:ascii="仿宋" w:hAnsi="仿宋" w:eastAsia="仿宋"/>
          <w:b/>
          <w:kern w:val="0"/>
          <w:sz w:val="24"/>
          <w:szCs w:val="20"/>
        </w:rPr>
      </w:pPr>
      <w:r>
        <w:rPr>
          <w:rFonts w:hint="eastAsia" w:ascii="仿宋" w:hAnsi="仿宋" w:eastAsia="仿宋"/>
          <w:b/>
          <w:kern w:val="0"/>
          <w:sz w:val="24"/>
          <w:szCs w:val="20"/>
        </w:rPr>
        <w:t>1.13</w:t>
      </w:r>
      <w:r>
        <w:rPr>
          <w:rFonts w:ascii="仿宋" w:hAnsi="仿宋" w:eastAsia="仿宋"/>
          <w:b/>
          <w:kern w:val="0"/>
          <w:sz w:val="24"/>
          <w:szCs w:val="20"/>
        </w:rPr>
        <w:t>.</w:t>
      </w:r>
      <w:r>
        <w:rPr>
          <w:rFonts w:hint="eastAsia" w:ascii="仿宋" w:hAnsi="仿宋" w:eastAsia="仿宋"/>
          <w:b/>
          <w:kern w:val="0"/>
          <w:sz w:val="24"/>
          <w:szCs w:val="20"/>
        </w:rPr>
        <w:t>5（综合评分法、非单一产品采购项目适用）通过资格审查、符合性审查的不同磋商响应供应商参加同一合同项下磋商响应时，提供的核心产品品牌均相同的，按照第1.13.4款处理；本项目核心产品内容见《磋商须知前附表》。</w:t>
      </w:r>
    </w:p>
    <w:p w14:paraId="6B4CC842">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1.14 特殊供应商投标规定</w:t>
      </w:r>
    </w:p>
    <w:p w14:paraId="7BAB7865">
      <w:pPr>
        <w:autoSpaceDE w:val="0"/>
        <w:autoSpaceDN w:val="0"/>
        <w:spacing w:line="360" w:lineRule="auto"/>
        <w:ind w:firstLine="426" w:firstLineChars="177"/>
        <w:rPr>
          <w:rFonts w:ascii="Calibri" w:hAnsi="Calibri" w:eastAsia="仿宋"/>
          <w:b/>
          <w:color w:val="000000"/>
          <w:sz w:val="24"/>
          <w:szCs w:val="20"/>
        </w:rPr>
      </w:pPr>
      <w:r>
        <w:rPr>
          <w:rFonts w:hint="eastAsia" w:ascii="仿宋" w:hAnsi="仿宋" w:eastAsia="仿宋" w:cs="Arial"/>
          <w:b/>
          <w:color w:val="000000"/>
          <w:sz w:val="24"/>
          <w:szCs w:val="20"/>
        </w:rPr>
        <w:t>根据《关于规范政府采购供应商资格设定及资格审查的通知（浙财采监【2013】24号）》第六条规定，</w:t>
      </w:r>
      <w:r>
        <w:rPr>
          <w:rFonts w:ascii="仿宋" w:hAnsi="仿宋" w:eastAsia="仿宋"/>
          <w:b/>
          <w:color w:val="000000"/>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b/>
          <w:color w:val="000000"/>
          <w:kern w:val="0"/>
          <w:sz w:val="24"/>
          <w:szCs w:val="20"/>
        </w:rPr>
        <w:t>本次</w:t>
      </w:r>
      <w:r>
        <w:rPr>
          <w:rFonts w:ascii="仿宋" w:hAnsi="仿宋" w:eastAsia="仿宋"/>
          <w:b/>
          <w:color w:val="000000"/>
          <w:kern w:val="0"/>
          <w:sz w:val="24"/>
          <w:szCs w:val="2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b/>
          <w:color w:val="000000"/>
          <w:kern w:val="0"/>
          <w:sz w:val="24"/>
          <w:szCs w:val="20"/>
        </w:rPr>
        <w:t>。</w:t>
      </w:r>
    </w:p>
    <w:p w14:paraId="7C36B499">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1.15 转包、分包</w:t>
      </w:r>
    </w:p>
    <w:p w14:paraId="59BB3FCD">
      <w:pPr>
        <w:autoSpaceDE w:val="0"/>
        <w:autoSpaceDN w:val="0"/>
        <w:spacing w:line="360" w:lineRule="auto"/>
        <w:ind w:firstLine="426" w:firstLineChars="177"/>
        <w:rPr>
          <w:rFonts w:hint="eastAsia" w:ascii="仿宋" w:hAnsi="仿宋" w:eastAsia="仿宋" w:cs="仿宋"/>
          <w:b/>
          <w:color w:val="000000"/>
          <w:kern w:val="0"/>
          <w:sz w:val="24"/>
          <w:szCs w:val="20"/>
        </w:rPr>
      </w:pPr>
      <w:r>
        <w:rPr>
          <w:rFonts w:hint="eastAsia" w:ascii="仿宋" w:hAnsi="仿宋" w:eastAsia="仿宋" w:cs="仿宋"/>
          <w:b/>
          <w:color w:val="000000"/>
          <w:kern w:val="0"/>
          <w:sz w:val="24"/>
          <w:szCs w:val="20"/>
        </w:rPr>
        <w:t>1.15.1转包：</w:t>
      </w:r>
      <w:r>
        <w:rPr>
          <w:rFonts w:hint="eastAsia" w:ascii="仿宋" w:hAnsi="仿宋" w:eastAsia="仿宋" w:cs="仿宋"/>
          <w:b/>
          <w:color w:val="000000"/>
          <w:kern w:val="0"/>
          <w:sz w:val="24"/>
          <w:szCs w:val="20"/>
          <w:u w:val="single"/>
        </w:rPr>
        <w:t>见《磋商须知前附表》</w:t>
      </w:r>
      <w:r>
        <w:rPr>
          <w:rFonts w:hint="eastAsia" w:ascii="仿宋" w:hAnsi="仿宋" w:eastAsia="仿宋" w:cs="仿宋"/>
          <w:b/>
          <w:color w:val="000000"/>
          <w:kern w:val="0"/>
          <w:sz w:val="24"/>
          <w:szCs w:val="20"/>
        </w:rPr>
        <w:t>；</w:t>
      </w:r>
    </w:p>
    <w:p w14:paraId="7F8B7CCD">
      <w:pPr>
        <w:autoSpaceDE w:val="0"/>
        <w:autoSpaceDN w:val="0"/>
        <w:spacing w:line="360" w:lineRule="auto"/>
        <w:ind w:firstLine="426" w:firstLineChars="177"/>
        <w:rPr>
          <w:rFonts w:hint="eastAsia" w:ascii="仿宋" w:hAnsi="仿宋" w:eastAsia="仿宋" w:cs="仿宋"/>
          <w:color w:val="000000"/>
          <w:kern w:val="0"/>
          <w:sz w:val="24"/>
          <w:szCs w:val="20"/>
        </w:rPr>
      </w:pPr>
      <w:r>
        <w:rPr>
          <w:rFonts w:hint="eastAsia" w:ascii="仿宋" w:hAnsi="仿宋" w:eastAsia="仿宋" w:cs="仿宋"/>
          <w:b/>
          <w:color w:val="000000"/>
          <w:kern w:val="0"/>
          <w:sz w:val="24"/>
          <w:szCs w:val="20"/>
        </w:rPr>
        <w:t>1.15.2分包：</w:t>
      </w:r>
      <w:r>
        <w:rPr>
          <w:rFonts w:hint="eastAsia" w:ascii="仿宋" w:hAnsi="仿宋" w:eastAsia="仿宋" w:cs="仿宋"/>
          <w:b/>
          <w:color w:val="000000"/>
          <w:kern w:val="0"/>
          <w:sz w:val="24"/>
          <w:szCs w:val="20"/>
          <w:u w:val="single"/>
        </w:rPr>
        <w:t>见《磋商须知前附表》</w:t>
      </w:r>
      <w:r>
        <w:rPr>
          <w:rFonts w:hint="eastAsia" w:ascii="仿宋" w:hAnsi="仿宋" w:eastAsia="仿宋" w:cs="仿宋"/>
          <w:b/>
          <w:color w:val="000000"/>
          <w:kern w:val="0"/>
          <w:sz w:val="24"/>
          <w:szCs w:val="20"/>
        </w:rPr>
        <w:t>；</w:t>
      </w:r>
    </w:p>
    <w:p w14:paraId="253FC2CE">
      <w:pPr>
        <w:autoSpaceDE w:val="0"/>
        <w:autoSpaceDN w:val="0"/>
        <w:spacing w:line="360" w:lineRule="auto"/>
        <w:ind w:firstLine="424" w:firstLineChars="177"/>
        <w:rPr>
          <w:rFonts w:hint="eastAsia" w:ascii="仿宋" w:hAnsi="仿宋" w:eastAsia="仿宋" w:cs="仿宋"/>
          <w:color w:val="000000"/>
          <w:kern w:val="0"/>
          <w:sz w:val="24"/>
          <w:szCs w:val="20"/>
        </w:rPr>
      </w:pPr>
      <w:r>
        <w:rPr>
          <w:rFonts w:hint="eastAsia" w:ascii="仿宋" w:hAnsi="仿宋" w:eastAsia="仿宋" w:cs="仿宋"/>
          <w:color w:val="000000"/>
          <w:kern w:val="0"/>
          <w:sz w:val="24"/>
          <w:szCs w:val="20"/>
        </w:rPr>
        <w:t>1.15.3《磋商须知前附表》中声明允许分包的，磋商响应供应商可以根据竞争性磋商文件的规定和采购项目的实际情况进行分包。</w:t>
      </w:r>
      <w:r>
        <w:rPr>
          <w:rFonts w:hint="eastAsia" w:ascii="仿宋" w:hAnsi="仿宋" w:eastAsia="仿宋" w:cs="仿宋"/>
          <w:b/>
          <w:color w:val="000000"/>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仿宋"/>
          <w:color w:val="000000"/>
          <w:kern w:val="0"/>
          <w:sz w:val="24"/>
          <w:szCs w:val="20"/>
        </w:rPr>
        <w:t>政府采购合同分包履行的，中标/成交供应商就采购项目和分包项目向采购人负责，分包供应商就分包项目承担责任。</w:t>
      </w:r>
    </w:p>
    <w:p w14:paraId="1A2115E8">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1.16 供应商询问、质疑和投诉</w:t>
      </w:r>
    </w:p>
    <w:p w14:paraId="02521A2F">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cs="仿宋"/>
          <w:b/>
          <w:color w:val="000000"/>
          <w:kern w:val="0"/>
          <w:sz w:val="24"/>
          <w:szCs w:val="20"/>
        </w:rPr>
        <w:t>1.16.1询问：</w:t>
      </w:r>
      <w:r>
        <w:rPr>
          <w:rFonts w:hint="eastAsia" w:ascii="仿宋" w:hAnsi="仿宋" w:eastAsia="仿宋" w:cs="仿宋"/>
          <w:color w:val="000000"/>
          <w:kern w:val="0"/>
          <w:sz w:val="24"/>
          <w:szCs w:val="20"/>
        </w:rPr>
        <w:t>在采购活动中供应商可以就某</w:t>
      </w:r>
      <w:r>
        <w:rPr>
          <w:rFonts w:hint="eastAsia" w:ascii="仿宋" w:hAnsi="仿宋" w:eastAsia="仿宋"/>
          <w:color w:val="000000"/>
          <w:kern w:val="0"/>
          <w:sz w:val="24"/>
          <w:szCs w:val="20"/>
        </w:rPr>
        <w:t>一事项向采购组织机构发出“询问”，采购组织机构将在收到供应商“询问”后三个工作日内予以答复，但规定不予答复的内容除外。</w:t>
      </w:r>
    </w:p>
    <w:p w14:paraId="22C339B1">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2质</w:t>
      </w:r>
      <w:r>
        <w:rPr>
          <w:rFonts w:hint="eastAsia" w:ascii="仿宋" w:hAnsi="仿宋" w:eastAsia="仿宋"/>
          <w:b/>
          <w:kern w:val="0"/>
          <w:sz w:val="24"/>
          <w:szCs w:val="20"/>
        </w:rPr>
        <w:t>疑：</w:t>
      </w:r>
      <w:r>
        <w:rPr>
          <w:rFonts w:ascii="仿宋" w:hAnsi="仿宋" w:eastAsia="仿宋"/>
          <w:b/>
          <w:kern w:val="0"/>
          <w:sz w:val="24"/>
          <w:szCs w:val="20"/>
        </w:rPr>
        <w:t>供应商认为</w:t>
      </w:r>
      <w:r>
        <w:rPr>
          <w:rFonts w:hint="eastAsia" w:ascii="仿宋" w:hAnsi="仿宋" w:eastAsia="仿宋"/>
          <w:b/>
          <w:kern w:val="0"/>
          <w:sz w:val="24"/>
          <w:szCs w:val="20"/>
        </w:rPr>
        <w:t>竞争性磋商文件</w:t>
      </w:r>
      <w:r>
        <w:rPr>
          <w:rFonts w:ascii="仿宋" w:hAnsi="仿宋" w:eastAsia="仿宋"/>
          <w:b/>
          <w:kern w:val="0"/>
          <w:sz w:val="24"/>
          <w:szCs w:val="20"/>
        </w:rPr>
        <w:t>、</w:t>
      </w:r>
      <w:r>
        <w:rPr>
          <w:rFonts w:hint="eastAsia" w:ascii="仿宋" w:hAnsi="仿宋" w:eastAsia="仿宋"/>
          <w:b/>
          <w:kern w:val="0"/>
          <w:sz w:val="24"/>
          <w:szCs w:val="20"/>
        </w:rPr>
        <w:t>采购</w:t>
      </w:r>
      <w:r>
        <w:rPr>
          <w:rFonts w:ascii="仿宋" w:hAnsi="仿宋" w:eastAsia="仿宋"/>
          <w:b/>
          <w:kern w:val="0"/>
          <w:sz w:val="24"/>
          <w:szCs w:val="20"/>
        </w:rPr>
        <w:t>过程和</w:t>
      </w:r>
      <w:r>
        <w:rPr>
          <w:rFonts w:hint="eastAsia" w:ascii="仿宋" w:hAnsi="仿宋" w:eastAsia="仿宋"/>
          <w:b/>
          <w:kern w:val="0"/>
          <w:sz w:val="24"/>
          <w:szCs w:val="20"/>
        </w:rPr>
        <w:t>采购</w:t>
      </w:r>
      <w:r>
        <w:rPr>
          <w:rFonts w:ascii="仿宋" w:hAnsi="仿宋" w:eastAsia="仿宋"/>
          <w:b/>
          <w:kern w:val="0"/>
          <w:sz w:val="24"/>
          <w:szCs w:val="20"/>
        </w:rPr>
        <w:t>结果使自己的合法权益受到损害的，应当在知道或者应知其权益受到损害之日起七个工作日内，以书面形式</w:t>
      </w:r>
      <w:r>
        <w:rPr>
          <w:rFonts w:hint="eastAsia" w:ascii="仿宋" w:hAnsi="仿宋" w:eastAsia="仿宋"/>
          <w:b/>
          <w:kern w:val="0"/>
          <w:sz w:val="24"/>
          <w:szCs w:val="20"/>
        </w:rPr>
        <w:t>一次性</w:t>
      </w:r>
      <w:r>
        <w:rPr>
          <w:rFonts w:ascii="仿宋" w:hAnsi="仿宋" w:eastAsia="仿宋"/>
          <w:b/>
          <w:kern w:val="0"/>
          <w:sz w:val="24"/>
          <w:szCs w:val="20"/>
        </w:rPr>
        <w:t>向</w:t>
      </w:r>
      <w:r>
        <w:rPr>
          <w:rFonts w:hint="eastAsia" w:ascii="仿宋" w:hAnsi="仿宋" w:eastAsia="仿宋"/>
          <w:b/>
          <w:kern w:val="0"/>
          <w:sz w:val="24"/>
          <w:szCs w:val="20"/>
        </w:rPr>
        <w:t>采购人、采购代理</w:t>
      </w:r>
      <w:r>
        <w:rPr>
          <w:rFonts w:hint="eastAsia" w:ascii="仿宋" w:hAnsi="仿宋" w:eastAsia="仿宋"/>
          <w:b/>
          <w:color w:val="000000"/>
          <w:kern w:val="0"/>
          <w:sz w:val="24"/>
          <w:szCs w:val="20"/>
        </w:rPr>
        <w:t>机构</w:t>
      </w:r>
      <w:r>
        <w:rPr>
          <w:rFonts w:ascii="仿宋" w:hAnsi="仿宋" w:eastAsia="仿宋"/>
          <w:b/>
          <w:color w:val="000000"/>
          <w:kern w:val="0"/>
          <w:sz w:val="24"/>
          <w:szCs w:val="20"/>
        </w:rPr>
        <w:t>提出质疑。</w:t>
      </w:r>
    </w:p>
    <w:p w14:paraId="3689131F">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w:t>
      </w:r>
      <w:r>
        <w:rPr>
          <w:rFonts w:ascii="仿宋" w:hAnsi="仿宋" w:eastAsia="仿宋"/>
          <w:b/>
          <w:color w:val="000000"/>
          <w:kern w:val="0"/>
          <w:sz w:val="24"/>
          <w:szCs w:val="20"/>
        </w:rPr>
        <w:t>.1</w:t>
      </w:r>
      <w:r>
        <w:rPr>
          <w:rFonts w:hint="eastAsia" w:ascii="仿宋" w:hAnsi="仿宋" w:eastAsia="仿宋"/>
          <w:b/>
          <w:color w:val="000000"/>
          <w:kern w:val="0"/>
          <w:sz w:val="24"/>
          <w:szCs w:val="20"/>
        </w:rPr>
        <w:t>上述所指“供应商应知其权益受到损害之日”，是指：</w:t>
      </w:r>
    </w:p>
    <w:p w14:paraId="43AF523F">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w:t>
      </w:r>
      <w:r>
        <w:rPr>
          <w:rFonts w:hint="eastAsia" w:ascii="仿宋" w:hAnsi="仿宋" w:eastAsia="仿宋"/>
          <w:color w:val="000000"/>
          <w:kern w:val="0"/>
          <w:sz w:val="24"/>
          <w:szCs w:val="20"/>
          <w:u w:val="single"/>
        </w:rPr>
        <w:t>对</w:t>
      </w:r>
      <w:r>
        <w:rPr>
          <w:rFonts w:hint="eastAsia" w:ascii="仿宋" w:hAnsi="仿宋" w:eastAsia="仿宋"/>
          <w:color w:val="000000"/>
          <w:sz w:val="24"/>
          <w:szCs w:val="20"/>
          <w:u w:val="single"/>
        </w:rPr>
        <w:t>竞争性磋商文件</w:t>
      </w:r>
      <w:r>
        <w:rPr>
          <w:rFonts w:hint="eastAsia" w:ascii="仿宋" w:hAnsi="仿宋" w:eastAsia="仿宋"/>
          <w:color w:val="000000"/>
          <w:kern w:val="0"/>
          <w:sz w:val="24"/>
          <w:szCs w:val="20"/>
          <w:u w:val="single"/>
        </w:rPr>
        <w:t>提出质疑的，</w:t>
      </w:r>
      <w:r>
        <w:rPr>
          <w:rFonts w:hint="eastAsia" w:ascii="仿宋" w:hAnsi="仿宋" w:eastAsia="仿宋"/>
          <w:color w:val="000000"/>
          <w:sz w:val="24"/>
          <w:szCs w:val="20"/>
          <w:u w:val="single"/>
        </w:rPr>
        <w:t>为获取竞争性磋商文件</w:t>
      </w:r>
      <w:r>
        <w:rPr>
          <w:rFonts w:ascii="仿宋" w:hAnsi="仿宋" w:eastAsia="仿宋"/>
          <w:color w:val="000000"/>
          <w:sz w:val="24"/>
          <w:szCs w:val="20"/>
          <w:u w:val="single"/>
        </w:rPr>
        <w:t>之日</w:t>
      </w:r>
      <w:r>
        <w:rPr>
          <w:rFonts w:hint="eastAsia" w:ascii="仿宋" w:hAnsi="仿宋" w:eastAsia="仿宋"/>
          <w:color w:val="000000"/>
          <w:sz w:val="24"/>
          <w:szCs w:val="20"/>
          <w:u w:val="single"/>
        </w:rPr>
        <w:t>或者竞争性磋商文件公告期限届满之日（竞争性磋商文件公告期限届满后获取竞争性磋商文件的，以竞争性磋商文件公告期限届满之日为准），但</w:t>
      </w:r>
      <w:r>
        <w:rPr>
          <w:rFonts w:hint="eastAsia" w:ascii="仿宋" w:hAnsi="仿宋" w:eastAsia="仿宋"/>
          <w:kern w:val="0"/>
          <w:sz w:val="24"/>
          <w:szCs w:val="20"/>
          <w:u w:val="single"/>
        </w:rPr>
        <w:t>须</w:t>
      </w:r>
      <w:r>
        <w:rPr>
          <w:rFonts w:ascii="仿宋" w:hAnsi="仿宋" w:eastAsia="仿宋"/>
          <w:kern w:val="0"/>
          <w:sz w:val="24"/>
          <w:szCs w:val="20"/>
          <w:u w:val="single"/>
        </w:rPr>
        <w:t>在磋商</w:t>
      </w:r>
      <w:r>
        <w:rPr>
          <w:rFonts w:hint="eastAsia" w:ascii="仿宋" w:hAnsi="仿宋" w:eastAsia="仿宋"/>
          <w:kern w:val="0"/>
          <w:sz w:val="24"/>
          <w:szCs w:val="20"/>
          <w:u w:val="single"/>
        </w:rPr>
        <w:t>响应文件提交</w:t>
      </w:r>
      <w:r>
        <w:rPr>
          <w:rFonts w:ascii="仿宋" w:hAnsi="仿宋" w:eastAsia="仿宋"/>
          <w:kern w:val="0"/>
          <w:sz w:val="24"/>
          <w:szCs w:val="20"/>
          <w:u w:val="single"/>
        </w:rPr>
        <w:t>截止时间前</w:t>
      </w:r>
      <w:r>
        <w:rPr>
          <w:rFonts w:hint="eastAsia" w:ascii="仿宋" w:hAnsi="仿宋" w:eastAsia="仿宋"/>
          <w:kern w:val="0"/>
          <w:sz w:val="24"/>
          <w:szCs w:val="20"/>
          <w:u w:val="single"/>
        </w:rPr>
        <w:t>提出</w:t>
      </w:r>
      <w:r>
        <w:rPr>
          <w:rFonts w:hint="eastAsia" w:ascii="仿宋" w:hAnsi="仿宋" w:eastAsia="仿宋"/>
          <w:color w:val="000000"/>
          <w:kern w:val="0"/>
          <w:sz w:val="24"/>
          <w:szCs w:val="20"/>
        </w:rPr>
        <w:t>；</w:t>
      </w:r>
    </w:p>
    <w:p w14:paraId="37F30764">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（2）</w:t>
      </w:r>
      <w:r>
        <w:rPr>
          <w:rFonts w:hint="eastAsia" w:ascii="仿宋" w:hAnsi="仿宋" w:eastAsia="仿宋"/>
          <w:color w:val="000000"/>
          <w:kern w:val="0"/>
          <w:sz w:val="24"/>
          <w:szCs w:val="20"/>
          <w:u w:val="single"/>
        </w:rPr>
        <w:t>对采购过程提出质疑的，为各采购程序环节结束之日</w:t>
      </w:r>
      <w:r>
        <w:rPr>
          <w:rFonts w:hint="eastAsia" w:ascii="仿宋" w:hAnsi="仿宋" w:eastAsia="仿宋"/>
          <w:color w:val="000000"/>
          <w:kern w:val="0"/>
          <w:sz w:val="24"/>
          <w:szCs w:val="20"/>
        </w:rPr>
        <w:t>；</w:t>
      </w:r>
    </w:p>
    <w:p w14:paraId="016F4C44">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（3）</w:t>
      </w:r>
      <w:r>
        <w:rPr>
          <w:rFonts w:hint="eastAsia" w:ascii="仿宋" w:hAnsi="仿宋" w:eastAsia="仿宋"/>
          <w:color w:val="000000"/>
          <w:kern w:val="0"/>
          <w:sz w:val="24"/>
          <w:szCs w:val="20"/>
          <w:u w:val="single"/>
        </w:rPr>
        <w:t>对成交结果提出质疑的，为成交结果公告期限届满之日</w:t>
      </w:r>
      <w:r>
        <w:rPr>
          <w:rFonts w:hint="eastAsia" w:ascii="仿宋" w:hAnsi="仿宋" w:eastAsia="仿宋"/>
          <w:color w:val="000000"/>
          <w:kern w:val="0"/>
          <w:sz w:val="24"/>
          <w:szCs w:val="20"/>
        </w:rPr>
        <w:t>。</w:t>
      </w:r>
    </w:p>
    <w:p w14:paraId="25CD8460">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1.</w:t>
      </w:r>
      <w:r>
        <w:rPr>
          <w:rFonts w:ascii="仿宋" w:hAnsi="仿宋" w:eastAsia="仿宋"/>
          <w:b/>
          <w:color w:val="000000"/>
          <w:sz w:val="24"/>
          <w:szCs w:val="20"/>
        </w:rPr>
        <w:t>1</w:t>
      </w:r>
      <w:r>
        <w:rPr>
          <w:rFonts w:hint="eastAsia" w:ascii="仿宋" w:hAnsi="仿宋" w:eastAsia="仿宋"/>
          <w:b/>
          <w:color w:val="000000"/>
          <w:sz w:val="24"/>
          <w:szCs w:val="20"/>
        </w:rPr>
        <w:t>6</w:t>
      </w:r>
      <w:r>
        <w:rPr>
          <w:rFonts w:ascii="仿宋" w:hAnsi="仿宋" w:eastAsia="仿宋"/>
          <w:b/>
          <w:color w:val="000000"/>
          <w:sz w:val="24"/>
          <w:szCs w:val="20"/>
        </w:rPr>
        <w:t>.</w:t>
      </w:r>
      <w:r>
        <w:rPr>
          <w:rFonts w:hint="eastAsia" w:ascii="仿宋" w:hAnsi="仿宋" w:eastAsia="仿宋"/>
          <w:b/>
          <w:color w:val="000000"/>
          <w:sz w:val="24"/>
          <w:szCs w:val="20"/>
        </w:rPr>
        <w:t>2</w:t>
      </w:r>
      <w:r>
        <w:rPr>
          <w:rFonts w:ascii="仿宋" w:hAnsi="仿宋" w:eastAsia="仿宋"/>
          <w:b/>
          <w:color w:val="000000"/>
          <w:sz w:val="24"/>
          <w:szCs w:val="20"/>
        </w:rPr>
        <w:t>.2</w:t>
      </w:r>
      <w:r>
        <w:rPr>
          <w:rFonts w:ascii="仿宋" w:hAnsi="仿宋" w:eastAsia="仿宋"/>
          <w:b/>
          <w:color w:val="000000"/>
          <w:sz w:val="24"/>
          <w:szCs w:val="28"/>
        </w:rPr>
        <w:t>供应商提出质疑应当</w:t>
      </w:r>
      <w:r>
        <w:rPr>
          <w:rFonts w:hint="eastAsia" w:ascii="仿宋" w:hAnsi="仿宋" w:eastAsia="仿宋"/>
          <w:b/>
          <w:color w:val="000000"/>
          <w:sz w:val="24"/>
          <w:szCs w:val="28"/>
        </w:rPr>
        <w:t>递交</w:t>
      </w:r>
      <w:r>
        <w:rPr>
          <w:rFonts w:ascii="仿宋" w:hAnsi="仿宋" w:eastAsia="仿宋"/>
          <w:b/>
          <w:color w:val="000000"/>
          <w:sz w:val="24"/>
          <w:szCs w:val="28"/>
        </w:rPr>
        <w:t>质疑函和必要的证明材料。</w:t>
      </w:r>
      <w:r>
        <w:rPr>
          <w:rFonts w:ascii="仿宋" w:hAnsi="仿宋" w:eastAsia="仿宋"/>
          <w:color w:val="000000"/>
          <w:sz w:val="24"/>
          <w:szCs w:val="28"/>
        </w:rPr>
        <w:t>质疑函应当包括下列内容：</w:t>
      </w:r>
    </w:p>
    <w:p w14:paraId="585C2F24">
      <w:pPr>
        <w:autoSpaceDE w:val="0"/>
        <w:autoSpaceDN w:val="0"/>
        <w:spacing w:line="360" w:lineRule="auto"/>
        <w:ind w:firstLine="424" w:firstLineChars="177"/>
        <w:rPr>
          <w:rFonts w:hint="eastAsia"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1</w:t>
      </w:r>
      <w:r>
        <w:rPr>
          <w:rFonts w:ascii="仿宋" w:hAnsi="仿宋" w:eastAsia="仿宋"/>
          <w:color w:val="000000"/>
          <w:sz w:val="24"/>
          <w:szCs w:val="28"/>
        </w:rPr>
        <w:t>）供应商的姓名或者名称、地址、邮编、联系人及联系电话；</w:t>
      </w:r>
    </w:p>
    <w:p w14:paraId="63895C5E">
      <w:pPr>
        <w:autoSpaceDE w:val="0"/>
        <w:autoSpaceDN w:val="0"/>
        <w:spacing w:line="360" w:lineRule="auto"/>
        <w:ind w:firstLine="424" w:firstLineChars="177"/>
        <w:rPr>
          <w:rFonts w:hint="eastAsia"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2</w:t>
      </w:r>
      <w:r>
        <w:rPr>
          <w:rFonts w:ascii="仿宋" w:hAnsi="仿宋" w:eastAsia="仿宋"/>
          <w:color w:val="000000"/>
          <w:sz w:val="24"/>
          <w:szCs w:val="28"/>
        </w:rPr>
        <w:t>）质疑项目的名称、编号；</w:t>
      </w:r>
    </w:p>
    <w:p w14:paraId="27A9740B">
      <w:pPr>
        <w:autoSpaceDE w:val="0"/>
        <w:autoSpaceDN w:val="0"/>
        <w:spacing w:line="360" w:lineRule="auto"/>
        <w:ind w:firstLine="424" w:firstLineChars="177"/>
        <w:rPr>
          <w:rFonts w:hint="eastAsia"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3</w:t>
      </w:r>
      <w:r>
        <w:rPr>
          <w:rFonts w:ascii="仿宋" w:hAnsi="仿宋" w:eastAsia="仿宋"/>
          <w:color w:val="000000"/>
          <w:sz w:val="24"/>
          <w:szCs w:val="28"/>
        </w:rPr>
        <w:t>）具体、明确的质疑事项和与质疑事项相关的请求；</w:t>
      </w:r>
    </w:p>
    <w:p w14:paraId="2AD58112">
      <w:pPr>
        <w:autoSpaceDE w:val="0"/>
        <w:autoSpaceDN w:val="0"/>
        <w:spacing w:line="360" w:lineRule="auto"/>
        <w:ind w:firstLine="424" w:firstLineChars="177"/>
        <w:rPr>
          <w:rFonts w:hint="eastAsia"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4</w:t>
      </w:r>
      <w:r>
        <w:rPr>
          <w:rFonts w:ascii="仿宋" w:hAnsi="仿宋" w:eastAsia="仿宋"/>
          <w:color w:val="000000"/>
          <w:sz w:val="24"/>
          <w:szCs w:val="28"/>
        </w:rPr>
        <w:t>）事实依据；</w:t>
      </w:r>
    </w:p>
    <w:p w14:paraId="5BC5566B">
      <w:pPr>
        <w:autoSpaceDE w:val="0"/>
        <w:autoSpaceDN w:val="0"/>
        <w:spacing w:line="360" w:lineRule="auto"/>
        <w:ind w:firstLine="424" w:firstLineChars="177"/>
        <w:rPr>
          <w:rFonts w:hint="eastAsia"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5</w:t>
      </w:r>
      <w:r>
        <w:rPr>
          <w:rFonts w:ascii="仿宋" w:hAnsi="仿宋" w:eastAsia="仿宋"/>
          <w:color w:val="000000"/>
          <w:sz w:val="24"/>
          <w:szCs w:val="28"/>
        </w:rPr>
        <w:t>）必要的法律依据；</w:t>
      </w:r>
    </w:p>
    <w:p w14:paraId="3C9140A1">
      <w:pPr>
        <w:autoSpaceDE w:val="0"/>
        <w:autoSpaceDN w:val="0"/>
        <w:spacing w:line="360" w:lineRule="auto"/>
        <w:ind w:firstLine="424" w:firstLineChars="177"/>
        <w:rPr>
          <w:rFonts w:hint="eastAsia"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6</w:t>
      </w:r>
      <w:r>
        <w:rPr>
          <w:rFonts w:ascii="仿宋" w:hAnsi="仿宋" w:eastAsia="仿宋"/>
          <w:color w:val="000000"/>
          <w:sz w:val="24"/>
          <w:szCs w:val="28"/>
        </w:rPr>
        <w:t>）提出质疑的日期。</w:t>
      </w:r>
    </w:p>
    <w:p w14:paraId="2B6940B3">
      <w:pPr>
        <w:autoSpaceDE w:val="0"/>
        <w:autoSpaceDN w:val="0"/>
        <w:spacing w:line="360" w:lineRule="auto"/>
        <w:ind w:firstLine="426" w:firstLineChars="177"/>
        <w:rPr>
          <w:rFonts w:hint="eastAsia" w:ascii="仿宋" w:hAnsi="仿宋" w:eastAsia="仿宋"/>
          <w:b/>
          <w:color w:val="000000"/>
          <w:kern w:val="0"/>
          <w:sz w:val="24"/>
          <w:szCs w:val="20"/>
        </w:rPr>
      </w:pPr>
      <w:r>
        <w:rPr>
          <w:rFonts w:ascii="仿宋" w:hAnsi="仿宋" w:eastAsia="仿宋"/>
          <w:b/>
          <w:color w:val="000000"/>
          <w:sz w:val="24"/>
          <w:szCs w:val="28"/>
        </w:rPr>
        <w:t>供应商为自然人的，应当由本人签字</w:t>
      </w:r>
      <w:r>
        <w:rPr>
          <w:rFonts w:hint="eastAsia" w:ascii="仿宋" w:hAnsi="仿宋" w:eastAsia="仿宋"/>
          <w:b/>
          <w:color w:val="000000"/>
          <w:sz w:val="24"/>
          <w:szCs w:val="28"/>
        </w:rPr>
        <w:t>并附上身份证明</w:t>
      </w:r>
      <w:r>
        <w:rPr>
          <w:rFonts w:ascii="仿宋" w:hAnsi="仿宋" w:eastAsia="仿宋"/>
          <w:b/>
          <w:color w:val="000000"/>
          <w:sz w:val="24"/>
          <w:szCs w:val="28"/>
        </w:rPr>
        <w:t>；供应商为法人或者其他组织的，应当由法定代表人或者其授权代表签字或者盖章，并加盖公章。</w:t>
      </w:r>
    </w:p>
    <w:p w14:paraId="7FE3CF31">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.2</w:t>
      </w:r>
      <w:r>
        <w:rPr>
          <w:rFonts w:hint="eastAsia" w:ascii="仿宋" w:hAnsi="仿宋" w:eastAsia="仿宋"/>
          <w:b/>
          <w:color w:val="000000"/>
          <w:kern w:val="0"/>
          <w:sz w:val="24"/>
          <w:szCs w:val="20"/>
        </w:rPr>
        <w:t>.3</w:t>
      </w:r>
      <w:r>
        <w:rPr>
          <w:rFonts w:ascii="仿宋" w:hAnsi="仿宋" w:eastAsia="仿宋"/>
          <w:b/>
          <w:color w:val="000000"/>
          <w:kern w:val="0"/>
          <w:sz w:val="24"/>
          <w:szCs w:val="20"/>
        </w:rPr>
        <w:t>供应商认可采购</w:t>
      </w:r>
      <w:r>
        <w:rPr>
          <w:rFonts w:hint="eastAsia" w:ascii="仿宋" w:hAnsi="仿宋" w:eastAsia="仿宋"/>
          <w:b/>
          <w:color w:val="000000"/>
          <w:kern w:val="0"/>
          <w:sz w:val="24"/>
          <w:szCs w:val="20"/>
        </w:rPr>
        <w:t>组织机构</w:t>
      </w:r>
      <w:r>
        <w:rPr>
          <w:rFonts w:ascii="仿宋" w:hAnsi="仿宋" w:eastAsia="仿宋"/>
          <w:b/>
          <w:color w:val="000000"/>
          <w:kern w:val="0"/>
          <w:sz w:val="24"/>
          <w:szCs w:val="20"/>
        </w:rPr>
        <w:t>在质疑答复程序中启用的调查和</w:t>
      </w:r>
      <w:r>
        <w:rPr>
          <w:rFonts w:hint="eastAsia" w:ascii="仿宋" w:hAnsi="仿宋" w:eastAsia="仿宋"/>
          <w:b/>
          <w:color w:val="000000"/>
          <w:kern w:val="0"/>
          <w:sz w:val="24"/>
          <w:szCs w:val="20"/>
        </w:rPr>
        <w:t>重新评审</w:t>
      </w:r>
      <w:r>
        <w:rPr>
          <w:rFonts w:ascii="仿宋" w:hAnsi="仿宋" w:eastAsia="仿宋"/>
          <w:b/>
          <w:color w:val="000000"/>
          <w:kern w:val="0"/>
          <w:sz w:val="24"/>
          <w:szCs w:val="20"/>
        </w:rPr>
        <w:t>等程序，在该程序操作过程未明显违反法律禁止性规定时，不得再提出异议</w:t>
      </w:r>
      <w:r>
        <w:rPr>
          <w:rFonts w:hint="eastAsia" w:ascii="仿宋" w:hAnsi="仿宋" w:eastAsia="仿宋"/>
          <w:b/>
          <w:color w:val="000000"/>
          <w:kern w:val="0"/>
          <w:sz w:val="24"/>
          <w:szCs w:val="20"/>
        </w:rPr>
        <w:t>；</w:t>
      </w:r>
    </w:p>
    <w:p w14:paraId="61908588">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2.4</w:t>
      </w:r>
      <w:r>
        <w:rPr>
          <w:rFonts w:ascii="仿宋" w:hAnsi="仿宋" w:eastAsia="仿宋"/>
          <w:b/>
          <w:color w:val="000000"/>
          <w:kern w:val="0"/>
          <w:sz w:val="24"/>
          <w:szCs w:val="20"/>
        </w:rPr>
        <w:t>质疑、投诉应当采用书面形式</w:t>
      </w:r>
      <w:r>
        <w:rPr>
          <w:rFonts w:hint="eastAsia" w:ascii="仿宋" w:hAnsi="仿宋" w:eastAsia="仿宋"/>
          <w:b/>
          <w:color w:val="000000"/>
          <w:kern w:val="0"/>
          <w:sz w:val="24"/>
          <w:szCs w:val="20"/>
        </w:rPr>
        <w:t>（原件一式三份），经法定代表人或其授权代表签署后</w:t>
      </w:r>
      <w:r>
        <w:rPr>
          <w:rFonts w:ascii="仿宋" w:hAnsi="仿宋" w:eastAsia="仿宋"/>
          <w:b/>
          <w:color w:val="000000"/>
          <w:kern w:val="0"/>
          <w:sz w:val="24"/>
          <w:szCs w:val="20"/>
        </w:rPr>
        <w:t>加盖单位公章，质疑书、投诉书均应明确阐述</w:t>
      </w:r>
      <w:r>
        <w:rPr>
          <w:rFonts w:hint="eastAsia" w:ascii="仿宋" w:hAnsi="仿宋" w:eastAsia="仿宋"/>
          <w:b/>
          <w:color w:val="000000"/>
          <w:kern w:val="0"/>
          <w:sz w:val="24"/>
          <w:szCs w:val="20"/>
        </w:rPr>
        <w:t>竞争性磋商文件</w:t>
      </w:r>
      <w:r>
        <w:rPr>
          <w:rFonts w:ascii="仿宋" w:hAnsi="仿宋" w:eastAsia="仿宋"/>
          <w:b/>
          <w:color w:val="000000"/>
          <w:kern w:val="0"/>
          <w:sz w:val="24"/>
          <w:szCs w:val="20"/>
        </w:rPr>
        <w:t>、</w:t>
      </w:r>
      <w:r>
        <w:rPr>
          <w:rFonts w:hint="eastAsia" w:ascii="仿宋" w:hAnsi="仿宋" w:eastAsia="仿宋"/>
          <w:b/>
          <w:color w:val="000000"/>
          <w:kern w:val="0"/>
          <w:sz w:val="24"/>
          <w:szCs w:val="20"/>
        </w:rPr>
        <w:t>磋商</w:t>
      </w:r>
      <w:r>
        <w:rPr>
          <w:rFonts w:ascii="仿宋" w:hAnsi="仿宋" w:eastAsia="仿宋"/>
          <w:b/>
          <w:color w:val="000000"/>
          <w:kern w:val="0"/>
          <w:sz w:val="24"/>
          <w:szCs w:val="20"/>
        </w:rPr>
        <w:t>过程和</w:t>
      </w:r>
      <w:r>
        <w:rPr>
          <w:rFonts w:hint="eastAsia" w:ascii="仿宋" w:hAnsi="仿宋" w:eastAsia="仿宋"/>
          <w:b/>
          <w:color w:val="000000"/>
          <w:kern w:val="0"/>
          <w:sz w:val="24"/>
          <w:szCs w:val="20"/>
        </w:rPr>
        <w:t>成交</w:t>
      </w:r>
      <w:r>
        <w:rPr>
          <w:rFonts w:ascii="仿宋" w:hAnsi="仿宋" w:eastAsia="仿宋"/>
          <w:b/>
          <w:color w:val="000000"/>
          <w:kern w:val="0"/>
          <w:sz w:val="24"/>
          <w:szCs w:val="20"/>
        </w:rPr>
        <w:t>结果中使自己合法权益受到损害的实质性内容，</w:t>
      </w:r>
      <w:r>
        <w:rPr>
          <w:rFonts w:hint="eastAsia" w:ascii="仿宋" w:hAnsi="仿宋" w:eastAsia="仿宋"/>
          <w:b/>
          <w:color w:val="000000"/>
          <w:kern w:val="0"/>
          <w:sz w:val="24"/>
          <w:szCs w:val="20"/>
        </w:rPr>
        <w:t>供应商提出的质疑、投诉应当有明确的诉求（即通过质疑所要达到的具体目标）和必要的证明材料（</w:t>
      </w:r>
      <w:r>
        <w:rPr>
          <w:rFonts w:hint="eastAsia" w:ascii="仿宋" w:hAnsi="仿宋" w:eastAsia="仿宋"/>
          <w:b/>
          <w:color w:val="000000"/>
          <w:kern w:val="0"/>
          <w:sz w:val="24"/>
          <w:szCs w:val="20"/>
          <w:u w:val="single"/>
        </w:rPr>
        <w:t>即通过合法手段获得的能够证明供应商的诉求成立的必要材料</w:t>
      </w:r>
      <w:r>
        <w:rPr>
          <w:rFonts w:hint="eastAsia" w:ascii="仿宋" w:hAnsi="仿宋" w:eastAsia="仿宋"/>
          <w:b/>
          <w:color w:val="000000"/>
          <w:kern w:val="0"/>
          <w:sz w:val="24"/>
          <w:szCs w:val="20"/>
        </w:rPr>
        <w:t>）；</w:t>
      </w:r>
    </w:p>
    <w:p w14:paraId="005FA0A1">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1.16.3投诉：</w:t>
      </w:r>
      <w:r>
        <w:rPr>
          <w:rFonts w:ascii="仿宋" w:hAnsi="仿宋" w:eastAsia="仿宋"/>
          <w:color w:val="000000"/>
          <w:kern w:val="0"/>
          <w:sz w:val="24"/>
          <w:szCs w:val="20"/>
        </w:rPr>
        <w:t>供应商对采购</w:t>
      </w:r>
      <w:r>
        <w:rPr>
          <w:rFonts w:hint="eastAsia" w:ascii="仿宋" w:hAnsi="仿宋" w:eastAsia="仿宋"/>
          <w:color w:val="000000"/>
          <w:kern w:val="0"/>
          <w:sz w:val="24"/>
          <w:szCs w:val="20"/>
        </w:rPr>
        <w:t>组织机构</w:t>
      </w:r>
      <w:r>
        <w:rPr>
          <w:rFonts w:ascii="仿宋" w:hAnsi="仿宋" w:eastAsia="仿宋"/>
          <w:color w:val="000000"/>
          <w:kern w:val="0"/>
          <w:sz w:val="24"/>
          <w:szCs w:val="20"/>
        </w:rPr>
        <w:t>的质疑答复不满意或者采购</w:t>
      </w:r>
      <w:r>
        <w:rPr>
          <w:rFonts w:hint="eastAsia" w:ascii="仿宋" w:hAnsi="仿宋" w:eastAsia="仿宋"/>
          <w:color w:val="000000"/>
          <w:kern w:val="0"/>
          <w:sz w:val="24"/>
          <w:szCs w:val="20"/>
        </w:rPr>
        <w:t>组织机构</w:t>
      </w:r>
      <w:r>
        <w:rPr>
          <w:rFonts w:ascii="仿宋" w:hAnsi="仿宋" w:eastAsia="仿宋"/>
          <w:color w:val="000000"/>
          <w:kern w:val="0"/>
          <w:sz w:val="24"/>
          <w:szCs w:val="20"/>
        </w:rPr>
        <w:t>未在规定时间内作出答复的，可以在答复期满后十五个工作日内向同级采购监管部门投诉。</w:t>
      </w:r>
    </w:p>
    <w:p w14:paraId="6FA1FB61">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1.17 其他说明</w:t>
      </w:r>
    </w:p>
    <w:p w14:paraId="3435AF9A">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1.17</w:t>
      </w:r>
      <w:r>
        <w:rPr>
          <w:rFonts w:ascii="仿宋" w:hAnsi="仿宋" w:eastAsia="仿宋"/>
          <w:b/>
          <w:color w:val="000000"/>
          <w:kern w:val="0"/>
          <w:sz w:val="24"/>
          <w:szCs w:val="20"/>
        </w:rPr>
        <w:t>.</w:t>
      </w:r>
      <w:r>
        <w:rPr>
          <w:rFonts w:hint="eastAsia" w:ascii="仿宋" w:hAnsi="仿宋" w:eastAsia="仿宋"/>
          <w:b/>
          <w:color w:val="000000"/>
          <w:kern w:val="0"/>
          <w:sz w:val="24"/>
          <w:szCs w:val="20"/>
        </w:rPr>
        <w:t>1磋商响应供应商磋商</w:t>
      </w:r>
      <w:r>
        <w:rPr>
          <w:rFonts w:ascii="仿宋" w:hAnsi="仿宋" w:eastAsia="仿宋"/>
          <w:b/>
          <w:color w:val="000000"/>
          <w:kern w:val="0"/>
          <w:sz w:val="24"/>
          <w:szCs w:val="20"/>
        </w:rPr>
        <w:t>所使用的资格、信誉、荣誉、</w:t>
      </w:r>
      <w:r>
        <w:rPr>
          <w:rFonts w:hint="eastAsia" w:ascii="仿宋" w:hAnsi="仿宋" w:eastAsia="仿宋"/>
          <w:b/>
          <w:color w:val="000000"/>
          <w:kern w:val="0"/>
          <w:sz w:val="24"/>
          <w:szCs w:val="20"/>
        </w:rPr>
        <w:t>磋商响应供应商</w:t>
      </w:r>
      <w:r>
        <w:rPr>
          <w:rFonts w:ascii="仿宋" w:hAnsi="仿宋" w:eastAsia="仿宋"/>
          <w:b/>
          <w:color w:val="000000"/>
          <w:kern w:val="0"/>
          <w:sz w:val="24"/>
          <w:szCs w:val="20"/>
        </w:rPr>
        <w:t>业绩与企业认证必须为本法人所拥有。</w:t>
      </w:r>
      <w:r>
        <w:rPr>
          <w:rFonts w:hint="eastAsia" w:ascii="仿宋" w:hAnsi="仿宋" w:eastAsia="仿宋"/>
          <w:b/>
          <w:color w:val="000000"/>
          <w:kern w:val="0"/>
          <w:sz w:val="24"/>
          <w:szCs w:val="20"/>
        </w:rPr>
        <w:t>磋商响应供应商磋商</w:t>
      </w:r>
      <w:r>
        <w:rPr>
          <w:rFonts w:ascii="仿宋" w:hAnsi="仿宋" w:eastAsia="仿宋"/>
          <w:b/>
          <w:color w:val="000000"/>
          <w:kern w:val="0"/>
          <w:sz w:val="24"/>
          <w:szCs w:val="20"/>
        </w:rPr>
        <w:t>所使用的项目实施人员可以为其控股公司的工作人员。</w:t>
      </w:r>
      <w:r>
        <w:rPr>
          <w:rFonts w:ascii="仿宋" w:hAnsi="仿宋" w:eastAsia="仿宋"/>
          <w:color w:val="000000"/>
          <w:kern w:val="0"/>
          <w:sz w:val="24"/>
          <w:szCs w:val="20"/>
        </w:rPr>
        <w:t>在组织资格审查</w:t>
      </w:r>
      <w:r>
        <w:rPr>
          <w:rFonts w:hint="eastAsia" w:ascii="仿宋" w:hAnsi="仿宋" w:eastAsia="仿宋"/>
          <w:color w:val="000000"/>
          <w:kern w:val="0"/>
          <w:sz w:val="24"/>
          <w:szCs w:val="20"/>
        </w:rPr>
        <w:t>、</w:t>
      </w:r>
      <w:r>
        <w:rPr>
          <w:rFonts w:ascii="仿宋" w:hAnsi="仿宋" w:eastAsia="仿宋"/>
          <w:color w:val="000000"/>
          <w:kern w:val="0"/>
          <w:sz w:val="24"/>
          <w:szCs w:val="20"/>
        </w:rPr>
        <w:t>商务技术评审时，属于</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母公司（总机构）或者同一</w:t>
      </w:r>
      <w:r>
        <w:rPr>
          <w:rFonts w:hint="eastAsia" w:ascii="仿宋" w:hAnsi="仿宋" w:eastAsia="仿宋"/>
          <w:color w:val="000000"/>
          <w:kern w:val="0"/>
          <w:sz w:val="24"/>
          <w:szCs w:val="20"/>
        </w:rPr>
        <w:t>母公司</w:t>
      </w:r>
      <w:r>
        <w:rPr>
          <w:rFonts w:ascii="仿宋" w:hAnsi="仿宋" w:eastAsia="仿宋"/>
          <w:color w:val="000000"/>
          <w:kern w:val="0"/>
          <w:sz w:val="24"/>
          <w:szCs w:val="20"/>
        </w:rPr>
        <w:t>下属的其他子公司（同一总机构下属的其他分支机构）的人员、业绩、荣誉、知识产权、项目案例等，</w:t>
      </w:r>
      <w:r>
        <w:rPr>
          <w:rFonts w:hint="eastAsia" w:ascii="仿宋" w:hAnsi="仿宋" w:eastAsia="仿宋"/>
          <w:color w:val="000000"/>
          <w:kern w:val="0"/>
          <w:sz w:val="24"/>
          <w:szCs w:val="20"/>
        </w:rPr>
        <w:t>不得</w:t>
      </w:r>
      <w:r>
        <w:rPr>
          <w:rFonts w:ascii="仿宋" w:hAnsi="仿宋" w:eastAsia="仿宋"/>
          <w:color w:val="000000"/>
          <w:kern w:val="0"/>
          <w:sz w:val="24"/>
          <w:szCs w:val="20"/>
        </w:rPr>
        <w:t>作为该</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的资信文件予以确认或审查通过</w:t>
      </w:r>
      <w:r>
        <w:rPr>
          <w:rFonts w:hint="eastAsia" w:ascii="仿宋" w:hAnsi="仿宋" w:eastAsia="仿宋"/>
          <w:color w:val="000000"/>
          <w:kern w:val="0"/>
          <w:sz w:val="24"/>
          <w:szCs w:val="20"/>
        </w:rPr>
        <w:t>。</w:t>
      </w:r>
    </w:p>
    <w:p w14:paraId="0A9E7673">
      <w:pPr>
        <w:autoSpaceDE w:val="0"/>
        <w:autoSpaceDN w:val="0"/>
        <w:spacing w:line="360" w:lineRule="auto"/>
        <w:ind w:firstLine="426" w:firstLineChars="177"/>
        <w:rPr>
          <w:rFonts w:hint="eastAsia" w:ascii="仿宋" w:hAnsi="仿宋" w:eastAsia="仿宋"/>
          <w:b/>
          <w:kern w:val="0"/>
          <w:sz w:val="24"/>
          <w:szCs w:val="20"/>
        </w:rPr>
      </w:pPr>
      <w:r>
        <w:rPr>
          <w:rFonts w:hint="eastAsia" w:ascii="仿宋" w:hAnsi="仿宋" w:eastAsia="仿宋"/>
          <w:b/>
          <w:kern w:val="0"/>
          <w:sz w:val="24"/>
          <w:szCs w:val="20"/>
        </w:rPr>
        <w:t>1.17</w:t>
      </w:r>
      <w:r>
        <w:rPr>
          <w:rFonts w:ascii="仿宋" w:hAnsi="仿宋" w:eastAsia="仿宋"/>
          <w:b/>
          <w:kern w:val="0"/>
          <w:sz w:val="24"/>
          <w:szCs w:val="20"/>
        </w:rPr>
        <w:t>.</w:t>
      </w:r>
      <w:r>
        <w:rPr>
          <w:rFonts w:hint="eastAsia" w:ascii="仿宋" w:hAnsi="仿宋" w:eastAsia="仿宋"/>
          <w:b/>
          <w:kern w:val="0"/>
          <w:sz w:val="24"/>
          <w:szCs w:val="20"/>
        </w:rPr>
        <w:t>2磋商响应供应商</w:t>
      </w:r>
      <w:r>
        <w:rPr>
          <w:rFonts w:ascii="仿宋" w:hAnsi="仿宋" w:eastAsia="仿宋"/>
          <w:b/>
          <w:kern w:val="0"/>
          <w:sz w:val="24"/>
          <w:szCs w:val="20"/>
        </w:rPr>
        <w:t>在</w:t>
      </w:r>
      <w:r>
        <w:rPr>
          <w:rFonts w:hint="eastAsia" w:ascii="仿宋" w:hAnsi="仿宋" w:eastAsia="仿宋"/>
          <w:b/>
          <w:kern w:val="0"/>
          <w:sz w:val="24"/>
          <w:szCs w:val="20"/>
        </w:rPr>
        <w:t>磋商</w:t>
      </w:r>
      <w:r>
        <w:rPr>
          <w:rFonts w:ascii="仿宋" w:hAnsi="仿宋" w:eastAsia="仿宋"/>
          <w:b/>
          <w:kern w:val="0"/>
          <w:sz w:val="24"/>
          <w:szCs w:val="20"/>
        </w:rPr>
        <w:t>活动中提供任何虚假材料或从事其他违法活动的，其</w:t>
      </w:r>
      <w:r>
        <w:rPr>
          <w:rFonts w:hint="eastAsia" w:ascii="仿宋" w:hAnsi="仿宋" w:eastAsia="仿宋"/>
          <w:b/>
          <w:kern w:val="0"/>
          <w:sz w:val="24"/>
          <w:szCs w:val="20"/>
        </w:rPr>
        <w:t>磋商响应</w:t>
      </w:r>
      <w:r>
        <w:rPr>
          <w:rFonts w:ascii="仿宋" w:hAnsi="仿宋" w:eastAsia="仿宋"/>
          <w:b/>
          <w:kern w:val="0"/>
          <w:sz w:val="24"/>
          <w:szCs w:val="20"/>
        </w:rPr>
        <w:t>无效，并报监管部门查处；</w:t>
      </w:r>
      <w:r>
        <w:rPr>
          <w:rFonts w:hint="eastAsia" w:ascii="仿宋" w:hAnsi="仿宋" w:eastAsia="仿宋"/>
          <w:b/>
          <w:kern w:val="0"/>
          <w:sz w:val="24"/>
          <w:szCs w:val="20"/>
        </w:rPr>
        <w:t>成交</w:t>
      </w:r>
      <w:r>
        <w:rPr>
          <w:rFonts w:ascii="仿宋" w:hAnsi="仿宋" w:eastAsia="仿宋"/>
          <w:b/>
          <w:kern w:val="0"/>
          <w:sz w:val="24"/>
          <w:szCs w:val="20"/>
        </w:rPr>
        <w:t>后发现的，</w:t>
      </w:r>
      <w:r>
        <w:rPr>
          <w:rFonts w:hint="eastAsia" w:ascii="仿宋" w:hAnsi="仿宋" w:eastAsia="仿宋"/>
          <w:b/>
          <w:kern w:val="0"/>
          <w:sz w:val="24"/>
          <w:szCs w:val="20"/>
        </w:rPr>
        <w:t>成交结果无效，并</w:t>
      </w:r>
      <w:r>
        <w:rPr>
          <w:rFonts w:ascii="仿宋" w:hAnsi="仿宋" w:eastAsia="仿宋"/>
          <w:b/>
          <w:kern w:val="0"/>
          <w:sz w:val="24"/>
          <w:szCs w:val="20"/>
        </w:rPr>
        <w:t>须依照</w:t>
      </w:r>
      <w:r>
        <w:rPr>
          <w:rFonts w:hint="eastAsia" w:ascii="仿宋" w:hAnsi="仿宋" w:eastAsia="仿宋"/>
          <w:b/>
          <w:kern w:val="0"/>
          <w:sz w:val="24"/>
          <w:szCs w:val="20"/>
        </w:rPr>
        <w:t>相关</w:t>
      </w:r>
      <w:r>
        <w:rPr>
          <w:rFonts w:ascii="仿宋" w:hAnsi="仿宋" w:eastAsia="仿宋"/>
          <w:b/>
          <w:kern w:val="0"/>
          <w:sz w:val="24"/>
          <w:szCs w:val="20"/>
        </w:rPr>
        <w:t>规定双倍赔偿给采购人。且民事赔偿并不免除违法</w:t>
      </w:r>
      <w:r>
        <w:rPr>
          <w:rFonts w:hint="eastAsia" w:ascii="仿宋" w:hAnsi="仿宋" w:eastAsia="仿宋"/>
          <w:b/>
          <w:kern w:val="0"/>
          <w:sz w:val="24"/>
          <w:szCs w:val="20"/>
        </w:rPr>
        <w:t>磋商响应供应商</w:t>
      </w:r>
      <w:r>
        <w:rPr>
          <w:rFonts w:ascii="仿宋" w:hAnsi="仿宋" w:eastAsia="仿宋"/>
          <w:b/>
          <w:kern w:val="0"/>
          <w:sz w:val="24"/>
          <w:szCs w:val="20"/>
        </w:rPr>
        <w:t>的行政与刑事责任</w:t>
      </w:r>
      <w:r>
        <w:rPr>
          <w:rFonts w:hint="eastAsia" w:ascii="仿宋" w:hAnsi="仿宋" w:eastAsia="仿宋"/>
          <w:b/>
          <w:kern w:val="0"/>
          <w:sz w:val="24"/>
          <w:szCs w:val="20"/>
        </w:rPr>
        <w:t>。</w:t>
      </w:r>
    </w:p>
    <w:p w14:paraId="7C32C289">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1.17</w:t>
      </w:r>
      <w:r>
        <w:rPr>
          <w:rFonts w:ascii="仿宋" w:hAnsi="仿宋" w:eastAsia="仿宋"/>
          <w:color w:val="000000"/>
          <w:kern w:val="0"/>
          <w:sz w:val="24"/>
          <w:szCs w:val="20"/>
        </w:rPr>
        <w:t>.</w:t>
      </w:r>
      <w:r>
        <w:rPr>
          <w:rFonts w:hint="eastAsia" w:ascii="仿宋" w:hAnsi="仿宋" w:eastAsia="仿宋"/>
          <w:color w:val="000000"/>
          <w:kern w:val="0"/>
          <w:sz w:val="24"/>
          <w:szCs w:val="20"/>
        </w:rPr>
        <w:t>3磋商响应供应商</w:t>
      </w:r>
      <w:r>
        <w:rPr>
          <w:rFonts w:ascii="仿宋" w:hAnsi="仿宋" w:eastAsia="仿宋"/>
          <w:color w:val="000000"/>
          <w:kern w:val="0"/>
          <w:sz w:val="24"/>
          <w:szCs w:val="20"/>
        </w:rPr>
        <w:t>应仔细阅读</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的所有内容，按照</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的要求</w:t>
      </w:r>
      <w:r>
        <w:rPr>
          <w:rFonts w:hint="eastAsia" w:ascii="仿宋" w:hAnsi="仿宋" w:eastAsia="仿宋"/>
          <w:color w:val="000000"/>
          <w:kern w:val="0"/>
          <w:sz w:val="24"/>
          <w:szCs w:val="20"/>
        </w:rPr>
        <w:t>递交</w:t>
      </w:r>
      <w:r>
        <w:rPr>
          <w:rFonts w:ascii="仿宋" w:hAnsi="仿宋" w:eastAsia="仿宋"/>
          <w:color w:val="000000"/>
          <w:kern w:val="0"/>
          <w:sz w:val="24"/>
          <w:szCs w:val="20"/>
        </w:rPr>
        <w:t>《</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w:t>
      </w:r>
      <w:r>
        <w:rPr>
          <w:rFonts w:ascii="仿宋" w:hAnsi="仿宋" w:eastAsia="仿宋"/>
          <w:bCs/>
          <w:color w:val="000000"/>
          <w:kern w:val="0"/>
          <w:sz w:val="24"/>
          <w:szCs w:val="20"/>
        </w:rPr>
        <w:t>《</w:t>
      </w:r>
      <w:r>
        <w:rPr>
          <w:rFonts w:hint="eastAsia" w:ascii="仿宋" w:hAnsi="仿宋" w:eastAsia="仿宋"/>
          <w:bCs/>
          <w:color w:val="000000"/>
          <w:kern w:val="0"/>
          <w:sz w:val="24"/>
          <w:szCs w:val="20"/>
        </w:rPr>
        <w:t>磋商响应文件</w:t>
      </w:r>
      <w:r>
        <w:rPr>
          <w:rFonts w:ascii="仿宋" w:hAnsi="仿宋" w:eastAsia="仿宋"/>
          <w:bCs/>
          <w:color w:val="000000"/>
          <w:kern w:val="0"/>
          <w:sz w:val="24"/>
          <w:szCs w:val="20"/>
        </w:rPr>
        <w:t>》应对</w:t>
      </w:r>
      <w:r>
        <w:rPr>
          <w:rFonts w:hint="eastAsia" w:ascii="仿宋" w:hAnsi="仿宋" w:eastAsia="仿宋"/>
          <w:bCs/>
          <w:color w:val="000000"/>
          <w:kern w:val="0"/>
          <w:sz w:val="24"/>
          <w:szCs w:val="20"/>
        </w:rPr>
        <w:t>竞争性磋商文件</w:t>
      </w:r>
      <w:r>
        <w:rPr>
          <w:rFonts w:ascii="仿宋" w:hAnsi="仿宋" w:eastAsia="仿宋"/>
          <w:bCs/>
          <w:color w:val="000000"/>
          <w:kern w:val="0"/>
          <w:sz w:val="24"/>
          <w:szCs w:val="20"/>
        </w:rPr>
        <w:t>的要求作出实质性响应，并对所提供的全部资料的真实性承担法律责任</w:t>
      </w:r>
      <w:r>
        <w:rPr>
          <w:rFonts w:hint="eastAsia" w:ascii="仿宋" w:hAnsi="仿宋" w:eastAsia="仿宋"/>
          <w:bCs/>
          <w:color w:val="000000"/>
          <w:kern w:val="0"/>
          <w:sz w:val="24"/>
          <w:szCs w:val="20"/>
        </w:rPr>
        <w:t>。</w:t>
      </w:r>
    </w:p>
    <w:p w14:paraId="425DFAC7">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14:paraId="2A6A8B9F">
      <w:pPr>
        <w:pStyle w:val="135"/>
        <w:autoSpaceDE w:val="0"/>
        <w:autoSpaceDN w:val="0"/>
        <w:spacing w:line="360" w:lineRule="auto"/>
        <w:ind w:firstLine="482"/>
        <w:rPr>
          <w:rFonts w:ascii="Times New Roman" w:hAnsi="Times New Roman" w:eastAsia="仿宋"/>
          <w:bCs/>
          <w:sz w:val="24"/>
        </w:rPr>
      </w:pPr>
      <w:r>
        <w:rPr>
          <w:rFonts w:hint="eastAsia" w:ascii="仿宋" w:hAnsi="仿宋" w:eastAsia="仿宋"/>
          <w:b/>
          <w:bCs/>
          <w:color w:val="000000"/>
          <w:kern w:val="0"/>
          <w:sz w:val="24"/>
          <w:szCs w:val="20"/>
        </w:rPr>
        <w:t>1.17.5</w:t>
      </w:r>
      <w:r>
        <w:rPr>
          <w:rFonts w:hint="eastAsia" w:ascii="Times New Roman" w:hAnsi="仿宋" w:eastAsia="仿宋"/>
          <w:b/>
          <w:bCs/>
          <w:sz w:val="24"/>
          <w:u w:val="single"/>
        </w:rPr>
        <w:t>磋商响应</w:t>
      </w:r>
      <w:r>
        <w:rPr>
          <w:rFonts w:ascii="Times New Roman" w:hAnsi="仿宋" w:eastAsia="仿宋"/>
          <w:b/>
          <w:bCs/>
          <w:sz w:val="24"/>
          <w:u w:val="single"/>
        </w:rPr>
        <w:t>供应商对所响应项内的采购内容必须全部进行响应</w:t>
      </w:r>
      <w:r>
        <w:rPr>
          <w:rFonts w:ascii="Times New Roman" w:hAnsi="仿宋" w:eastAsia="仿宋"/>
          <w:b/>
          <w:bCs/>
          <w:sz w:val="24"/>
        </w:rPr>
        <w:t>。</w:t>
      </w:r>
    </w:p>
    <w:p w14:paraId="547B18BE">
      <w:pPr>
        <w:pStyle w:val="135"/>
        <w:autoSpaceDE w:val="0"/>
        <w:autoSpaceDN w:val="0"/>
        <w:spacing w:line="360" w:lineRule="auto"/>
        <w:ind w:firstLine="480"/>
        <w:rPr>
          <w:rFonts w:ascii="Times New Roman" w:hAnsi="Times New Roman" w:eastAsia="仿宋"/>
          <w:bCs/>
          <w:sz w:val="24"/>
        </w:rPr>
      </w:pPr>
      <w:r>
        <w:rPr>
          <w:rFonts w:hint="eastAsia" w:ascii="仿宋" w:hAnsi="仿宋" w:eastAsia="仿宋"/>
          <w:color w:val="000000"/>
          <w:kern w:val="0"/>
          <w:sz w:val="24"/>
          <w:szCs w:val="20"/>
        </w:rPr>
        <w:t>1.17.6</w:t>
      </w:r>
      <w:r>
        <w:rPr>
          <w:rFonts w:ascii="Times New Roman" w:hAnsi="仿宋" w:eastAsia="仿宋"/>
          <w:bCs/>
          <w:sz w:val="24"/>
        </w:rPr>
        <w:t>竞争性磋商文件中如有描述歧义或前后不一致的地方，磋商小组有权按公平、合理的原则进行评判，但对同一条款的评判适用于每个供应商。</w:t>
      </w:r>
    </w:p>
    <w:p w14:paraId="117123E4">
      <w:pPr>
        <w:pStyle w:val="135"/>
        <w:autoSpaceDE w:val="0"/>
        <w:autoSpaceDN w:val="0"/>
        <w:spacing w:line="360" w:lineRule="auto"/>
        <w:ind w:firstLine="480"/>
        <w:rPr>
          <w:rFonts w:ascii="Times New Roman" w:hAnsi="Times New Roman" w:eastAsia="仿宋"/>
          <w:sz w:val="24"/>
        </w:rPr>
      </w:pPr>
      <w:r>
        <w:rPr>
          <w:rFonts w:hint="eastAsia" w:ascii="仿宋" w:hAnsi="仿宋" w:eastAsia="仿宋"/>
          <w:color w:val="000000"/>
          <w:kern w:val="0"/>
          <w:sz w:val="24"/>
          <w:szCs w:val="20"/>
        </w:rPr>
        <w:t>1.17.7</w:t>
      </w:r>
      <w:r>
        <w:rPr>
          <w:rFonts w:ascii="Times New Roman" w:hAnsi="仿宋" w:eastAsia="仿宋"/>
          <w:bCs/>
          <w:sz w:val="24"/>
        </w:rPr>
        <w:t>响应文件的响应内容必须真实、明确、准确。否则，磋商小组将对其作出不利的评审。</w:t>
      </w:r>
    </w:p>
    <w:p w14:paraId="3C7AA6C3">
      <w:pPr>
        <w:autoSpaceDE w:val="0"/>
        <w:autoSpaceDN w:val="0"/>
        <w:adjustRightInd w:val="0"/>
        <w:snapToGrid w:val="0"/>
        <w:spacing w:line="360" w:lineRule="auto"/>
        <w:ind w:firstLine="480" w:firstLineChars="200"/>
        <w:rPr>
          <w:rFonts w:eastAsia="仿宋"/>
          <w:sz w:val="24"/>
        </w:rPr>
      </w:pPr>
      <w:r>
        <w:rPr>
          <w:rFonts w:hint="eastAsia" w:ascii="仿宋" w:hAnsi="仿宋" w:eastAsia="仿宋"/>
          <w:color w:val="000000"/>
          <w:kern w:val="0"/>
          <w:sz w:val="24"/>
          <w:szCs w:val="20"/>
        </w:rPr>
        <w:t>1.17.8</w:t>
      </w:r>
      <w:r>
        <w:rPr>
          <w:rFonts w:hAnsi="仿宋" w:eastAsia="仿宋"/>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85C64E0">
      <w:pPr>
        <w:pStyle w:val="3"/>
        <w:autoSpaceDE w:val="0"/>
        <w:autoSpaceDN w:val="0"/>
        <w:spacing w:before="360"/>
        <w:ind w:firstLine="0" w:firstLineChars="0"/>
        <w:rPr>
          <w:rFonts w:hint="eastAsia" w:ascii="Times New Roman" w:hAnsi="仿宋" w:eastAsia="仿宋"/>
          <w:sz w:val="28"/>
          <w:szCs w:val="28"/>
        </w:rPr>
      </w:pPr>
      <w:bookmarkStart w:id="20" w:name="_Toc18276"/>
      <w:bookmarkStart w:id="21" w:name="_Toc5614"/>
      <w:r>
        <w:rPr>
          <w:rFonts w:hint="eastAsia" w:ascii="Times New Roman" w:hAnsi="仿宋" w:eastAsia="仿宋"/>
          <w:sz w:val="28"/>
          <w:szCs w:val="28"/>
        </w:rPr>
        <w:t>二、</w:t>
      </w:r>
      <w:bookmarkEnd w:id="18"/>
      <w:bookmarkEnd w:id="19"/>
      <w:r>
        <w:rPr>
          <w:rFonts w:hint="eastAsia" w:ascii="Times New Roman" w:hAnsi="仿宋" w:eastAsia="仿宋"/>
          <w:sz w:val="28"/>
          <w:szCs w:val="28"/>
        </w:rPr>
        <w:t>落实的政府采购政策</w:t>
      </w:r>
      <w:bookmarkEnd w:id="20"/>
      <w:bookmarkEnd w:id="21"/>
    </w:p>
    <w:p w14:paraId="1B96BDA5">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bookmarkStart w:id="22" w:name="_Toc82338241"/>
      <w:bookmarkStart w:id="23" w:name="_Toc82873324"/>
      <w:r>
        <w:rPr>
          <w:rFonts w:hint="eastAsia" w:ascii="华文中宋" w:hAnsi="华文中宋" w:eastAsia="华文中宋" w:cs="华文中宋"/>
          <w:b/>
          <w:bCs/>
          <w:sz w:val="24"/>
          <w:szCs w:val="32"/>
        </w:rPr>
        <w:t>2.1 支持中小企业发展</w:t>
      </w:r>
    </w:p>
    <w:p w14:paraId="00F6155F">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2.1.1是否专门面向中小企业采购：</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14:paraId="7B9E9A5A">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2.1.2 本项目中小企业划分标准所属行业：</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14:paraId="0E945B6C">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2.1.3在政府采购活动中，供应商提供的货物、工程或者服务符合下列情形的，享受中小企业扶持政策：</w:t>
      </w:r>
    </w:p>
    <w:p w14:paraId="6C83EC76">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1C136DD8">
      <w:pPr>
        <w:autoSpaceDE w:val="0"/>
        <w:autoSpaceDN w:val="0"/>
        <w:spacing w:line="360" w:lineRule="auto"/>
        <w:ind w:firstLine="426" w:firstLineChars="177"/>
        <w:rPr>
          <w:rFonts w:hint="eastAsia" w:ascii="仿宋" w:hAnsi="仿宋" w:eastAsia="仿宋"/>
          <w:color w:val="000000"/>
          <w:sz w:val="24"/>
          <w:szCs w:val="20"/>
        </w:rPr>
      </w:pPr>
      <w:r>
        <w:rPr>
          <w:rFonts w:hint="eastAsia" w:ascii="仿宋" w:hAnsi="仿宋" w:eastAsia="仿宋"/>
          <w:b/>
          <w:bCs/>
          <w:color w:val="000000"/>
          <w:sz w:val="24"/>
          <w:szCs w:val="20"/>
        </w:rPr>
        <w:t>（2）在工程采购项目中，工程由中小企业承建，即工程施工单位为中小企业；</w:t>
      </w:r>
    </w:p>
    <w:p w14:paraId="3069BE6D">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（3）在服务采购项目中，服务由中小企业承接，即提供服务的人员为中小企业依照《中华人民共和国劳动合同法》订立劳动合同的从业人员。</w:t>
      </w:r>
    </w:p>
    <w:p w14:paraId="63BB35F6">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以联合体形式参加政府采购活动，联合体各方均为中小企业的，联合体视同中小企业。其中，联合体各方均为小微企业的，联合体视同小微企业。</w:t>
      </w:r>
    </w:p>
    <w:p w14:paraId="2011FA75">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2.1.4对于未预留份额专门面向中小企业采购的采购项目，以及预留份额项目中的非预留部分采购包，对小微企业报价给予5%的扣除，用扣除后的价格参加评审。</w:t>
      </w:r>
    </w:p>
    <w:p w14:paraId="6CC2170B">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14:paraId="6CFAF834">
      <w:pPr>
        <w:autoSpaceDE w:val="0"/>
        <w:autoSpaceDN w:val="0"/>
        <w:spacing w:line="360" w:lineRule="auto"/>
        <w:ind w:firstLine="482" w:firstLineChars="200"/>
        <w:rPr>
          <w:rFonts w:hint="eastAsia" w:ascii="仿宋_GB2312" w:hAnsi="仿宋" w:eastAsia="仿宋_GB2312"/>
          <w:b/>
          <w:bCs/>
          <w:sz w:val="24"/>
        </w:rPr>
      </w:pPr>
      <w:r>
        <w:rPr>
          <w:rFonts w:hint="eastAsia" w:ascii="仿宋" w:hAnsi="仿宋" w:eastAsia="仿宋"/>
          <w:b/>
          <w:bCs/>
          <w:color w:val="000000"/>
          <w:sz w:val="24"/>
          <w:szCs w:val="20"/>
        </w:rPr>
        <w:t>2.1.6</w:t>
      </w:r>
      <w:r>
        <w:rPr>
          <w:rFonts w:hint="eastAsia" w:ascii="仿宋_GB2312" w:hAnsi="仿宋" w:eastAsia="仿宋_GB2312"/>
          <w:b/>
          <w:bCs/>
          <w:sz w:val="24"/>
        </w:rPr>
        <w:t>可享受</w:t>
      </w:r>
      <w:r>
        <w:rPr>
          <w:rFonts w:hint="eastAsia" w:ascii="仿宋_GB2312" w:hAnsi="宋体" w:eastAsia="仿宋_GB2312" w:cs="宋体"/>
          <w:b/>
          <w:bCs/>
          <w:kern w:val="0"/>
          <w:sz w:val="24"/>
        </w:rPr>
        <w:t>中小企业扶持政策</w:t>
      </w:r>
      <w:r>
        <w:rPr>
          <w:rFonts w:hint="eastAsia" w:ascii="仿宋_GB2312" w:hAnsi="仿宋" w:eastAsia="仿宋_GB2312"/>
          <w:b/>
          <w:bCs/>
          <w:sz w:val="24"/>
        </w:rPr>
        <w:t>的供应商应按照磋商响应文件格式要求提供《中小企业声明函》。</w:t>
      </w:r>
    </w:p>
    <w:p w14:paraId="7310E2CA">
      <w:pPr>
        <w:autoSpaceDE w:val="0"/>
        <w:autoSpaceDN w:val="0"/>
        <w:spacing w:line="360" w:lineRule="auto"/>
        <w:ind w:firstLine="426" w:firstLineChars="177"/>
        <w:rPr>
          <w:rFonts w:hint="eastAsia" w:ascii="仿宋" w:hAnsi="仿宋" w:eastAsia="仿宋"/>
          <w:b/>
          <w:sz w:val="24"/>
          <w:szCs w:val="20"/>
        </w:rPr>
      </w:pPr>
      <w:r>
        <w:rPr>
          <w:rFonts w:hint="eastAsia" w:ascii="仿宋" w:hAnsi="仿宋" w:eastAsia="仿宋"/>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14:paraId="69D961FB">
      <w:pPr>
        <w:autoSpaceDE w:val="0"/>
        <w:autoSpaceDN w:val="0"/>
        <w:spacing w:line="360" w:lineRule="auto"/>
        <w:ind w:firstLine="424" w:firstLineChars="177"/>
        <w:rPr>
          <w:rFonts w:hint="eastAsia" w:ascii="仿宋" w:hAnsi="仿宋" w:eastAsia="仿宋"/>
          <w:color w:val="000000"/>
          <w:sz w:val="24"/>
          <w:szCs w:val="20"/>
        </w:rPr>
      </w:pPr>
      <w:r>
        <w:rPr>
          <w:rFonts w:hint="eastAsia" w:ascii="仿宋" w:hAnsi="仿宋" w:eastAsia="仿宋"/>
          <w:color w:val="000000"/>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14:paraId="5390CB1A">
      <w:pPr>
        <w:autoSpaceDE w:val="0"/>
        <w:autoSpaceDN w:val="0"/>
        <w:spacing w:line="360" w:lineRule="auto"/>
        <w:ind w:firstLine="426" w:firstLineChars="177"/>
        <w:rPr>
          <w:rFonts w:hint="eastAsia" w:ascii="仿宋" w:hAnsi="仿宋" w:eastAsia="仿宋"/>
          <w:b/>
          <w:sz w:val="24"/>
          <w:szCs w:val="20"/>
        </w:rPr>
      </w:pPr>
      <w:r>
        <w:rPr>
          <w:rFonts w:hint="eastAsia" w:ascii="仿宋" w:hAnsi="仿宋" w:eastAsia="仿宋"/>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74CC7404">
      <w:pPr>
        <w:autoSpaceDE w:val="0"/>
        <w:autoSpaceDN w:val="0"/>
        <w:spacing w:line="360" w:lineRule="auto"/>
        <w:ind w:firstLine="480" w:firstLineChars="200"/>
        <w:rPr>
          <w:rFonts w:hint="eastAsia" w:ascii="仿宋" w:hAnsi="仿宋" w:eastAsia="仿宋"/>
          <w:color w:val="000000"/>
          <w:sz w:val="24"/>
          <w:szCs w:val="20"/>
        </w:rPr>
      </w:pPr>
      <w:r>
        <w:rPr>
          <w:rFonts w:hint="eastAsia" w:ascii="仿宋" w:hAnsi="仿宋" w:eastAsia="仿宋"/>
          <w:color w:val="000000"/>
          <w:sz w:val="24"/>
          <w:szCs w:val="20"/>
        </w:rPr>
        <w:t>备注：（1）残疾人福利性单位证明材料：残疾人福利性单位声明函（见第六章 磋商响应文件格式）；（2）如提供其他残疾人福利性单位制造的货物，还须同时提供该企业的残疾人福利性单位声明函。</w:t>
      </w:r>
    </w:p>
    <w:p w14:paraId="628BB9E8">
      <w:pPr>
        <w:autoSpaceDE w:val="0"/>
        <w:autoSpaceDN w:val="0"/>
        <w:spacing w:line="360" w:lineRule="auto"/>
        <w:ind w:firstLine="480" w:firstLineChars="200"/>
        <w:rPr>
          <w:rFonts w:hint="eastAsia" w:ascii="仿宋" w:hAnsi="仿宋" w:eastAsia="仿宋"/>
          <w:color w:val="000000"/>
          <w:sz w:val="24"/>
          <w:szCs w:val="20"/>
        </w:rPr>
      </w:pPr>
      <w:r>
        <w:rPr>
          <w:rFonts w:hint="eastAsia" w:ascii="仿宋" w:hAnsi="仿宋" w:eastAsia="仿宋"/>
          <w:color w:val="000000"/>
          <w:sz w:val="24"/>
          <w:szCs w:val="20"/>
        </w:rPr>
        <w:t>2.1.9中小企业</w:t>
      </w:r>
      <w:r>
        <w:rPr>
          <w:rFonts w:ascii="仿宋" w:hAnsi="仿宋" w:eastAsia="仿宋"/>
          <w:color w:val="000000"/>
          <w:sz w:val="24"/>
          <w:szCs w:val="20"/>
        </w:rPr>
        <w:t>享受扶持政策获得政府采购合同的，小微企业不得将合同分包给大中型企业，中型企业不得将合同分包给大型企业</w:t>
      </w:r>
      <w:r>
        <w:rPr>
          <w:rFonts w:hint="eastAsia" w:ascii="仿宋" w:hAnsi="仿宋" w:eastAsia="仿宋"/>
          <w:color w:val="000000"/>
          <w:sz w:val="24"/>
          <w:szCs w:val="20"/>
        </w:rPr>
        <w:t>。</w:t>
      </w:r>
    </w:p>
    <w:p w14:paraId="2567EE3F">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2.2 节能、环保产品政府采购实施相关规定</w:t>
      </w:r>
    </w:p>
    <w:p w14:paraId="1F2BAF1F">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69E9EFA2">
      <w:pPr>
        <w:autoSpaceDE w:val="0"/>
        <w:autoSpaceDN w:val="0"/>
        <w:spacing w:line="360" w:lineRule="auto"/>
        <w:ind w:firstLine="426" w:firstLineChars="177"/>
        <w:rPr>
          <w:rFonts w:hint="eastAsia" w:ascii="仿宋" w:hAnsi="仿宋" w:eastAsia="仿宋"/>
          <w:color w:val="000000"/>
          <w:sz w:val="24"/>
          <w:szCs w:val="20"/>
        </w:rPr>
      </w:pPr>
      <w:r>
        <w:rPr>
          <w:rFonts w:hint="eastAsia" w:ascii="仿宋" w:hAnsi="仿宋" w:eastAsia="仿宋"/>
          <w:b/>
          <w:color w:val="000000"/>
          <w:sz w:val="24"/>
          <w:szCs w:val="20"/>
        </w:rPr>
        <w:t>2.2.2《节能产品政府采购品目清单》详见《关于印发节能产品政府采购品目清单的通知（财库[2019]19号）》（如遇调整，按最新清单执行）。</w:t>
      </w:r>
    </w:p>
    <w:tbl>
      <w:tblPr>
        <w:tblStyle w:val="52"/>
        <w:tblW w:w="9240"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5775"/>
      </w:tblGrid>
      <w:tr w14:paraId="7C31C8D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shd w:val="clear" w:color="auto" w:fill="DAEEF3"/>
            <w:noWrap/>
            <w:vAlign w:val="center"/>
          </w:tcPr>
          <w:p w14:paraId="4E9AFC9B">
            <w:pPr>
              <w:autoSpaceDE w:val="0"/>
              <w:autoSpaceDN w:val="0"/>
              <w:adjustRightInd w:val="0"/>
              <w:snapToGrid w:val="0"/>
              <w:spacing w:line="276" w:lineRule="auto"/>
              <w:jc w:val="center"/>
              <w:rPr>
                <w:rFonts w:hint="eastAsia" w:ascii="仿宋" w:hAnsi="仿宋" w:eastAsia="仿宋"/>
                <w:b/>
                <w:color w:val="000000"/>
                <w:w w:val="80"/>
                <w:sz w:val="24"/>
              </w:rPr>
            </w:pPr>
            <w:r>
              <w:rPr>
                <w:rFonts w:hint="eastAsia" w:ascii="仿宋" w:hAnsi="仿宋" w:eastAsia="仿宋"/>
                <w:b/>
                <w:color w:val="000000"/>
                <w:w w:val="80"/>
                <w:sz w:val="24"/>
              </w:rPr>
              <w:t>品目清单序号</w:t>
            </w:r>
          </w:p>
        </w:tc>
        <w:tc>
          <w:tcPr>
            <w:tcW w:w="8214" w:type="dxa"/>
            <w:gridSpan w:val="2"/>
            <w:shd w:val="clear" w:color="auto" w:fill="DAEEF3"/>
            <w:noWrap/>
            <w:vAlign w:val="center"/>
          </w:tcPr>
          <w:p w14:paraId="2AD9AF96">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产品名称（以</w:t>
            </w:r>
            <w:r>
              <w:rPr>
                <w:rFonts w:ascii="仿宋" w:hAnsi="仿宋" w:eastAsia="仿宋"/>
                <w:b/>
                <w:color w:val="000000"/>
                <w:sz w:val="24"/>
              </w:rPr>
              <w:t>“</w:t>
            </w:r>
            <w:r>
              <w:rPr>
                <w:rFonts w:hint="eastAsia" w:ascii="仿宋" w:hAnsi="仿宋" w:eastAsia="仿宋"/>
                <w:b/>
                <w:color w:val="000000"/>
                <w:sz w:val="24"/>
              </w:rPr>
              <w:t>★</w:t>
            </w:r>
            <w:r>
              <w:rPr>
                <w:rFonts w:ascii="仿宋" w:hAnsi="仿宋" w:eastAsia="仿宋"/>
                <w:b/>
                <w:color w:val="000000"/>
                <w:sz w:val="24"/>
              </w:rPr>
              <w:t>”</w:t>
            </w:r>
            <w:r>
              <w:rPr>
                <w:rFonts w:hint="eastAsia" w:ascii="仿宋" w:hAnsi="仿宋" w:eastAsia="仿宋"/>
                <w:b/>
                <w:color w:val="000000"/>
                <w:sz w:val="24"/>
              </w:rPr>
              <w:t>标注的为政府强制采购产品）</w:t>
            </w:r>
          </w:p>
        </w:tc>
      </w:tr>
      <w:tr w14:paraId="1C74080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1CF28E30">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1</w:t>
            </w:r>
          </w:p>
        </w:tc>
        <w:tc>
          <w:tcPr>
            <w:tcW w:w="2439" w:type="dxa"/>
            <w:noWrap/>
            <w:vAlign w:val="center"/>
          </w:tcPr>
          <w:p w14:paraId="20459630">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A020101计算机设备</w:t>
            </w:r>
          </w:p>
        </w:tc>
        <w:tc>
          <w:tcPr>
            <w:tcW w:w="5775" w:type="dxa"/>
            <w:noWrap/>
            <w:vAlign w:val="center"/>
          </w:tcPr>
          <w:p w14:paraId="289F859B">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A02010104台式计算机</w:t>
            </w:r>
            <w:r>
              <w:rPr>
                <w:rFonts w:hint="eastAsia" w:ascii="仿宋" w:hAnsi="仿宋" w:eastAsia="仿宋"/>
                <w:color w:val="000000"/>
                <w:sz w:val="24"/>
              </w:rPr>
              <w:t>；</w:t>
            </w:r>
          </w:p>
          <w:p w14:paraId="0AD560CE">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A02010105便携式计算机</w:t>
            </w:r>
            <w:r>
              <w:rPr>
                <w:rFonts w:hint="eastAsia" w:ascii="仿宋" w:hAnsi="仿宋" w:eastAsia="仿宋"/>
                <w:color w:val="000000"/>
                <w:sz w:val="24"/>
              </w:rPr>
              <w:t>；</w:t>
            </w:r>
          </w:p>
          <w:p w14:paraId="36EF7BFA">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A02010107平板式微型计算机</w:t>
            </w:r>
            <w:r>
              <w:rPr>
                <w:rFonts w:hint="eastAsia" w:ascii="仿宋" w:hAnsi="仿宋" w:eastAsia="仿宋"/>
                <w:color w:val="000000"/>
                <w:sz w:val="24"/>
              </w:rPr>
              <w:t>。</w:t>
            </w:r>
          </w:p>
        </w:tc>
      </w:tr>
      <w:tr w14:paraId="0AC1610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2A65B995">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2</w:t>
            </w:r>
          </w:p>
        </w:tc>
        <w:tc>
          <w:tcPr>
            <w:tcW w:w="2439" w:type="dxa"/>
            <w:noWrap/>
            <w:vAlign w:val="center"/>
          </w:tcPr>
          <w:p w14:paraId="1B8D6152">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A020106输入输出设备</w:t>
            </w:r>
          </w:p>
        </w:tc>
        <w:tc>
          <w:tcPr>
            <w:tcW w:w="5775" w:type="dxa"/>
            <w:noWrap/>
            <w:vAlign w:val="center"/>
          </w:tcPr>
          <w:p w14:paraId="19DB589D">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A0201060102激光打印机</w:t>
            </w:r>
            <w:r>
              <w:rPr>
                <w:rFonts w:hint="eastAsia" w:ascii="仿宋" w:hAnsi="仿宋" w:eastAsia="仿宋"/>
                <w:color w:val="000000"/>
                <w:sz w:val="24"/>
              </w:rPr>
              <w:t>；</w:t>
            </w:r>
          </w:p>
          <w:p w14:paraId="0EE34000">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A0201060104针式打印机</w:t>
            </w:r>
            <w:r>
              <w:rPr>
                <w:rFonts w:hint="eastAsia" w:ascii="仿宋" w:hAnsi="仿宋" w:eastAsia="仿宋"/>
                <w:color w:val="000000"/>
                <w:sz w:val="24"/>
              </w:rPr>
              <w:t>；</w:t>
            </w:r>
          </w:p>
          <w:p w14:paraId="3F1B05FC">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A0201060401液晶显示器</w:t>
            </w:r>
            <w:r>
              <w:rPr>
                <w:rFonts w:hint="eastAsia" w:ascii="仿宋" w:hAnsi="仿宋" w:eastAsia="仿宋"/>
                <w:color w:val="000000"/>
                <w:sz w:val="24"/>
              </w:rPr>
              <w:t>。</w:t>
            </w:r>
          </w:p>
        </w:tc>
      </w:tr>
      <w:tr w14:paraId="0B6B844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37B4F4A8">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6</w:t>
            </w:r>
          </w:p>
        </w:tc>
        <w:tc>
          <w:tcPr>
            <w:tcW w:w="2439" w:type="dxa"/>
            <w:noWrap/>
            <w:vAlign w:val="center"/>
          </w:tcPr>
          <w:p w14:paraId="341AAF11">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A020523制冷空调设备</w:t>
            </w:r>
          </w:p>
        </w:tc>
        <w:tc>
          <w:tcPr>
            <w:tcW w:w="5775" w:type="dxa"/>
            <w:noWrap/>
            <w:vAlign w:val="center"/>
          </w:tcPr>
          <w:p w14:paraId="7EBAF770">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A02052301制冷压缩机：</w:t>
            </w:r>
            <w:r>
              <w:rPr>
                <w:rFonts w:hint="eastAsia" w:ascii="仿宋" w:hAnsi="仿宋" w:eastAsia="仿宋"/>
                <w:color w:val="000000"/>
                <w:sz w:val="24"/>
              </w:rPr>
              <w:t>冷水机组、水源热泵机组、溴化锂吸收式冷水机组；</w:t>
            </w:r>
          </w:p>
          <w:p w14:paraId="65B382D7">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A02052305空调机组:</w:t>
            </w:r>
            <w:r>
              <w:rPr>
                <w:rFonts w:hint="eastAsia" w:ascii="仿宋" w:hAnsi="仿宋" w:eastAsia="仿宋"/>
                <w:color w:val="000000"/>
                <w:sz w:val="24"/>
              </w:rPr>
              <w:t>多联式空调（热泵）机组(制冷量&gt;14000W)）、单元式空气调节机(制冷量&gt;14000W)；</w:t>
            </w:r>
          </w:p>
          <w:p w14:paraId="32AF5563">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A02052309专用制冷、空调设备：</w:t>
            </w:r>
            <w:r>
              <w:rPr>
                <w:rFonts w:hint="eastAsia" w:ascii="仿宋" w:hAnsi="仿宋" w:eastAsia="仿宋"/>
                <w:color w:val="000000"/>
                <w:sz w:val="24"/>
              </w:rPr>
              <w:t>机房空调。</w:t>
            </w:r>
          </w:p>
        </w:tc>
      </w:tr>
      <w:tr w14:paraId="383BEA4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36BEF61B">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9</w:t>
            </w:r>
          </w:p>
        </w:tc>
        <w:tc>
          <w:tcPr>
            <w:tcW w:w="2439" w:type="dxa"/>
            <w:noWrap/>
            <w:vAlign w:val="center"/>
          </w:tcPr>
          <w:p w14:paraId="56F440E0">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b/>
                <w:color w:val="000000"/>
                <w:sz w:val="24"/>
              </w:rPr>
              <w:t>★A020609镇流器</w:t>
            </w:r>
          </w:p>
        </w:tc>
        <w:tc>
          <w:tcPr>
            <w:tcW w:w="5775" w:type="dxa"/>
            <w:noWrap/>
            <w:vAlign w:val="center"/>
          </w:tcPr>
          <w:p w14:paraId="7369ADC2">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b/>
                <w:color w:val="000000"/>
                <w:sz w:val="24"/>
              </w:rPr>
              <w:t>管型荧光灯镇流器</w:t>
            </w:r>
            <w:r>
              <w:rPr>
                <w:rFonts w:hint="eastAsia" w:ascii="仿宋" w:hAnsi="仿宋" w:eastAsia="仿宋"/>
                <w:color w:val="000000"/>
                <w:sz w:val="24"/>
              </w:rPr>
              <w:t>。</w:t>
            </w:r>
          </w:p>
        </w:tc>
      </w:tr>
      <w:tr w14:paraId="4922C9A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6D96A656">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10</w:t>
            </w:r>
          </w:p>
        </w:tc>
        <w:tc>
          <w:tcPr>
            <w:tcW w:w="2439" w:type="dxa"/>
            <w:noWrap/>
            <w:vAlign w:val="center"/>
          </w:tcPr>
          <w:p w14:paraId="47783291">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b/>
                <w:color w:val="000000"/>
                <w:sz w:val="24"/>
              </w:rPr>
              <w:t>A020618生活用电器</w:t>
            </w:r>
          </w:p>
        </w:tc>
        <w:tc>
          <w:tcPr>
            <w:tcW w:w="5775" w:type="dxa"/>
            <w:noWrap/>
            <w:vAlign w:val="center"/>
          </w:tcPr>
          <w:p w14:paraId="6938D24B">
            <w:pPr>
              <w:autoSpaceDE w:val="0"/>
              <w:autoSpaceDN w:val="0"/>
              <w:adjustRightInd w:val="0"/>
              <w:snapToGrid w:val="0"/>
              <w:spacing w:line="276" w:lineRule="auto"/>
              <w:rPr>
                <w:rFonts w:hint="eastAsia"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A0206180203空调机：</w:t>
            </w:r>
            <w:r>
              <w:rPr>
                <w:rFonts w:hint="eastAsia" w:ascii="仿宋" w:hAnsi="仿宋" w:eastAsia="仿宋"/>
                <w:color w:val="000000"/>
                <w:sz w:val="24"/>
              </w:rPr>
              <w:t>房间空气调节器、多联式空调（热泵）机组（制冷量≤14000W）、单元式空气调节机(制冷量≤14000W)）；</w:t>
            </w:r>
          </w:p>
          <w:p w14:paraId="43E87D7C">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A02061808热水器：★</w:t>
            </w:r>
            <w:r>
              <w:rPr>
                <w:rFonts w:hint="eastAsia" w:ascii="仿宋" w:hAnsi="仿宋" w:eastAsia="仿宋"/>
                <w:b/>
                <w:color w:val="000000"/>
                <w:sz w:val="24"/>
              </w:rPr>
              <w:t>电热水器</w:t>
            </w:r>
            <w:r>
              <w:rPr>
                <w:rFonts w:hint="eastAsia" w:ascii="仿宋" w:hAnsi="仿宋" w:eastAsia="仿宋"/>
                <w:color w:val="000000"/>
                <w:sz w:val="24"/>
              </w:rPr>
              <w:t>。</w:t>
            </w:r>
          </w:p>
        </w:tc>
      </w:tr>
      <w:tr w14:paraId="25230BE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569EC9B5">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11</w:t>
            </w:r>
          </w:p>
        </w:tc>
        <w:tc>
          <w:tcPr>
            <w:tcW w:w="2439" w:type="dxa"/>
            <w:noWrap/>
            <w:vAlign w:val="center"/>
          </w:tcPr>
          <w:p w14:paraId="24AD0DE1">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b/>
                <w:color w:val="000000"/>
                <w:sz w:val="24"/>
              </w:rPr>
              <w:t>A020619照明设备</w:t>
            </w:r>
          </w:p>
        </w:tc>
        <w:tc>
          <w:tcPr>
            <w:tcW w:w="5775" w:type="dxa"/>
            <w:noWrap/>
            <w:vAlign w:val="center"/>
          </w:tcPr>
          <w:p w14:paraId="1DFA4483">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普通照明用双端荧光灯</w:t>
            </w:r>
            <w:r>
              <w:rPr>
                <w:rFonts w:hint="eastAsia" w:ascii="仿宋" w:hAnsi="仿宋" w:eastAsia="仿宋"/>
                <w:color w:val="000000"/>
                <w:sz w:val="24"/>
              </w:rPr>
              <w:t>。</w:t>
            </w:r>
          </w:p>
        </w:tc>
      </w:tr>
      <w:tr w14:paraId="491484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4C8CDDEF">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12</w:t>
            </w:r>
          </w:p>
        </w:tc>
        <w:tc>
          <w:tcPr>
            <w:tcW w:w="2439" w:type="dxa"/>
            <w:noWrap/>
            <w:vAlign w:val="center"/>
          </w:tcPr>
          <w:p w14:paraId="532AF011">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b/>
                <w:color w:val="000000"/>
                <w:sz w:val="24"/>
              </w:rPr>
              <w:t>★A020910电视设备</w:t>
            </w:r>
          </w:p>
        </w:tc>
        <w:tc>
          <w:tcPr>
            <w:tcW w:w="5775" w:type="dxa"/>
            <w:noWrap/>
            <w:vAlign w:val="center"/>
          </w:tcPr>
          <w:p w14:paraId="314898A3">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A02091001普通电视设备（电视机）。</w:t>
            </w:r>
          </w:p>
        </w:tc>
      </w:tr>
      <w:tr w14:paraId="2C6CEC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332FC430">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13</w:t>
            </w:r>
          </w:p>
        </w:tc>
        <w:tc>
          <w:tcPr>
            <w:tcW w:w="2439" w:type="dxa"/>
            <w:noWrap/>
            <w:vAlign w:val="center"/>
          </w:tcPr>
          <w:p w14:paraId="4A8640C6">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b/>
                <w:color w:val="000000"/>
                <w:sz w:val="24"/>
              </w:rPr>
              <w:t>★A020911视频设备</w:t>
            </w:r>
          </w:p>
        </w:tc>
        <w:tc>
          <w:tcPr>
            <w:tcW w:w="5775" w:type="dxa"/>
            <w:noWrap/>
            <w:vAlign w:val="center"/>
          </w:tcPr>
          <w:p w14:paraId="1B6FD5E1">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监视器。</w:t>
            </w:r>
          </w:p>
        </w:tc>
      </w:tr>
      <w:tr w14:paraId="17DAE94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69B7340A">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15</w:t>
            </w:r>
          </w:p>
        </w:tc>
        <w:tc>
          <w:tcPr>
            <w:tcW w:w="2439" w:type="dxa"/>
            <w:noWrap/>
            <w:vAlign w:val="center"/>
          </w:tcPr>
          <w:p w14:paraId="34545C0B">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b/>
                <w:color w:val="000000"/>
                <w:sz w:val="24"/>
              </w:rPr>
              <w:t>★A060805便器</w:t>
            </w:r>
          </w:p>
        </w:tc>
        <w:tc>
          <w:tcPr>
            <w:tcW w:w="5775" w:type="dxa"/>
            <w:noWrap/>
            <w:vAlign w:val="center"/>
          </w:tcPr>
          <w:p w14:paraId="235BE7DE">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坐便器、蹲便器、小便器。</w:t>
            </w:r>
          </w:p>
        </w:tc>
      </w:tr>
      <w:tr w14:paraId="3EEE98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14:paraId="4433C9B1">
            <w:pPr>
              <w:autoSpaceDE w:val="0"/>
              <w:autoSpaceDN w:val="0"/>
              <w:adjustRightInd w:val="0"/>
              <w:snapToGrid w:val="0"/>
              <w:spacing w:line="276" w:lineRule="auto"/>
              <w:jc w:val="center"/>
              <w:rPr>
                <w:rFonts w:hint="eastAsia" w:ascii="仿宋" w:hAnsi="仿宋" w:eastAsia="仿宋"/>
                <w:b/>
                <w:color w:val="000000"/>
                <w:sz w:val="24"/>
              </w:rPr>
            </w:pPr>
            <w:r>
              <w:rPr>
                <w:rFonts w:hint="eastAsia" w:ascii="仿宋" w:hAnsi="仿宋" w:eastAsia="仿宋"/>
                <w:b/>
                <w:color w:val="000000"/>
                <w:sz w:val="24"/>
              </w:rPr>
              <w:t>16</w:t>
            </w:r>
          </w:p>
        </w:tc>
        <w:tc>
          <w:tcPr>
            <w:tcW w:w="2439" w:type="dxa"/>
            <w:noWrap/>
            <w:vAlign w:val="center"/>
          </w:tcPr>
          <w:p w14:paraId="11CD6C09">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b/>
                <w:color w:val="000000"/>
                <w:sz w:val="24"/>
              </w:rPr>
              <w:t>★A060806 水嘴</w:t>
            </w:r>
          </w:p>
        </w:tc>
        <w:tc>
          <w:tcPr>
            <w:tcW w:w="5775" w:type="dxa"/>
            <w:noWrap/>
            <w:vAlign w:val="center"/>
          </w:tcPr>
          <w:p w14:paraId="10B65BDB">
            <w:pPr>
              <w:autoSpaceDE w:val="0"/>
              <w:autoSpaceDN w:val="0"/>
              <w:adjustRightInd w:val="0"/>
              <w:snapToGrid w:val="0"/>
              <w:spacing w:line="276" w:lineRule="auto"/>
              <w:rPr>
                <w:rFonts w:hint="eastAsia" w:ascii="仿宋" w:hAnsi="仿宋" w:eastAsia="仿宋"/>
                <w:b/>
                <w:color w:val="000000"/>
                <w:sz w:val="24"/>
              </w:rPr>
            </w:pPr>
            <w:r>
              <w:rPr>
                <w:rFonts w:hint="eastAsia" w:ascii="仿宋" w:hAnsi="仿宋" w:eastAsia="仿宋"/>
                <w:color w:val="000000"/>
                <w:sz w:val="24"/>
              </w:rPr>
              <w:t>水嘴。</w:t>
            </w:r>
          </w:p>
        </w:tc>
      </w:tr>
    </w:tbl>
    <w:p w14:paraId="624D27F5">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14:paraId="4502C309">
      <w:pPr>
        <w:autoSpaceDE w:val="0"/>
        <w:autoSpaceDN w:val="0"/>
        <w:spacing w:line="360" w:lineRule="auto"/>
        <w:ind w:firstLine="426" w:firstLineChars="177"/>
        <w:rPr>
          <w:rFonts w:hint="eastAsia" w:ascii="仿宋" w:hAnsi="仿宋" w:eastAsia="仿宋"/>
          <w:color w:val="000000"/>
          <w:sz w:val="24"/>
          <w:szCs w:val="20"/>
        </w:rPr>
      </w:pPr>
      <w:r>
        <w:rPr>
          <w:rFonts w:hint="eastAsia" w:ascii="仿宋" w:hAnsi="仿宋" w:eastAsia="仿宋"/>
          <w:b/>
          <w:color w:val="000000"/>
          <w:sz w:val="24"/>
          <w:szCs w:val="20"/>
        </w:rPr>
        <w:t>2.2.4《环境标志产品政府采购品目清单》详见《关于印发环境标志产品政府采购品目清单的通知（财库[2019]18号）》（如遇调整，按最新清单执行）。</w:t>
      </w:r>
    </w:p>
    <w:p w14:paraId="160112BA">
      <w:pPr>
        <w:autoSpaceDE w:val="0"/>
        <w:autoSpaceDN w:val="0"/>
        <w:spacing w:line="360" w:lineRule="auto"/>
        <w:ind w:firstLine="426" w:firstLineChars="177"/>
        <w:rPr>
          <w:rFonts w:hint="eastAsia" w:ascii="仿宋" w:hAnsi="仿宋" w:eastAsia="仿宋"/>
          <w:color w:val="000000"/>
          <w:sz w:val="24"/>
          <w:szCs w:val="20"/>
        </w:rPr>
      </w:pPr>
      <w:r>
        <w:rPr>
          <w:rFonts w:hint="eastAsia" w:ascii="仿宋" w:hAnsi="仿宋" w:eastAsia="仿宋"/>
          <w:b/>
          <w:color w:val="000000"/>
          <w:sz w:val="24"/>
          <w:szCs w:val="20"/>
        </w:rPr>
        <w:t>2.2.5本次采购对属于品目清单范围但不属于政府强制采购产品的，实施优先采购，详见第七章评分标准中有关节能、环保评分内容。</w:t>
      </w:r>
      <w:r>
        <w:rPr>
          <w:rFonts w:hint="eastAsia" w:ascii="仿宋" w:hAnsi="仿宋" w:eastAsia="仿宋"/>
          <w:color w:val="000000"/>
          <w:sz w:val="24"/>
          <w:szCs w:val="20"/>
        </w:rPr>
        <w:t>供应商在响应文件中提供国家确定的认证机构出具的、处于有效期之内的节能产品或环境标志产品认证证书（扫描件）。</w:t>
      </w:r>
    </w:p>
    <w:p w14:paraId="423836F9">
      <w:pPr>
        <w:autoSpaceDE w:val="0"/>
        <w:autoSpaceDN w:val="0"/>
        <w:spacing w:line="360" w:lineRule="auto"/>
        <w:ind w:firstLine="426" w:firstLineChars="177"/>
        <w:rPr>
          <w:rFonts w:hint="eastAsia" w:ascii="仿宋" w:hAnsi="仿宋" w:eastAsia="仿宋"/>
          <w:b/>
          <w:color w:val="000000"/>
          <w:sz w:val="24"/>
          <w:szCs w:val="20"/>
        </w:rPr>
      </w:pPr>
      <w:r>
        <w:rPr>
          <w:rFonts w:hint="eastAsia" w:ascii="仿宋" w:hAnsi="仿宋" w:eastAsia="仿宋"/>
          <w:b/>
          <w:color w:val="000000"/>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01A1BA4A">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sz w:val="24"/>
          <w:szCs w:val="20"/>
        </w:rPr>
        <w:t>2.2.7国家确定的认证机构以国家市场监管总局发布的参与实施政府采购节能产品、环境标志产品认证机构名录为准，详见第八章附件（如遇调整，请以最新公布的为准）。</w:t>
      </w:r>
      <w:bookmarkEnd w:id="22"/>
      <w:bookmarkEnd w:id="23"/>
    </w:p>
    <w:p w14:paraId="34745577">
      <w:pPr>
        <w:pStyle w:val="3"/>
        <w:autoSpaceDE w:val="0"/>
        <w:autoSpaceDN w:val="0"/>
        <w:spacing w:before="360"/>
        <w:ind w:firstLine="281" w:firstLineChars="100"/>
        <w:rPr>
          <w:rFonts w:hint="eastAsia" w:ascii="Times New Roman" w:hAnsi="仿宋" w:eastAsia="仿宋"/>
          <w:sz w:val="28"/>
          <w:szCs w:val="28"/>
        </w:rPr>
      </w:pPr>
      <w:bookmarkStart w:id="24" w:name="_Toc8072"/>
      <w:bookmarkStart w:id="25" w:name="_Toc24807"/>
      <w:r>
        <w:rPr>
          <w:rFonts w:hint="eastAsia" w:ascii="Times New Roman" w:hAnsi="仿宋" w:eastAsia="仿宋"/>
          <w:sz w:val="28"/>
          <w:szCs w:val="28"/>
        </w:rPr>
        <w:t>三、竞争性磋商文件</w:t>
      </w:r>
      <w:bookmarkEnd w:id="24"/>
      <w:bookmarkEnd w:id="25"/>
    </w:p>
    <w:p w14:paraId="6DFF92FE">
      <w:pPr>
        <w:keepNext/>
        <w:keepLines/>
        <w:autoSpaceDE w:val="0"/>
        <w:autoSpaceDN w:val="0"/>
        <w:spacing w:before="72" w:beforeLines="30" w:after="72"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3.1 竞争性磋商文件的组成</w:t>
      </w:r>
    </w:p>
    <w:p w14:paraId="00B6FAAC">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第一章 竞争性磋商公告；</w:t>
      </w:r>
    </w:p>
    <w:p w14:paraId="06BB5302">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第二章 磋商须知前附表；</w:t>
      </w:r>
    </w:p>
    <w:p w14:paraId="5B6C21E2">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第三章 磋商须知；</w:t>
      </w:r>
    </w:p>
    <w:p w14:paraId="5E5CBC3F">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第四章 采购内容及技术要求；</w:t>
      </w:r>
    </w:p>
    <w:p w14:paraId="26AE96A7">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 xml:space="preserve">第五章 </w:t>
      </w:r>
      <w:r>
        <w:rPr>
          <w:rFonts w:ascii="仿宋" w:hAnsi="仿宋" w:eastAsia="仿宋"/>
          <w:color w:val="000000"/>
          <w:kern w:val="0"/>
          <w:sz w:val="24"/>
          <w:szCs w:val="20"/>
        </w:rPr>
        <w:t>合同主要条款</w:t>
      </w:r>
      <w:r>
        <w:rPr>
          <w:rFonts w:hint="eastAsia" w:ascii="仿宋" w:hAnsi="仿宋" w:eastAsia="仿宋"/>
          <w:color w:val="000000"/>
          <w:kern w:val="0"/>
          <w:sz w:val="24"/>
          <w:szCs w:val="20"/>
        </w:rPr>
        <w:t>；</w:t>
      </w:r>
    </w:p>
    <w:p w14:paraId="12D64F60">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第六章 磋商响应文件</w:t>
      </w:r>
      <w:r>
        <w:rPr>
          <w:rFonts w:ascii="仿宋" w:hAnsi="仿宋" w:eastAsia="仿宋"/>
          <w:color w:val="000000"/>
          <w:kern w:val="0"/>
          <w:sz w:val="24"/>
          <w:szCs w:val="20"/>
        </w:rPr>
        <w:t>格式</w:t>
      </w:r>
      <w:r>
        <w:rPr>
          <w:rFonts w:hint="eastAsia" w:ascii="仿宋" w:hAnsi="仿宋" w:eastAsia="仿宋"/>
          <w:color w:val="000000"/>
          <w:kern w:val="0"/>
          <w:sz w:val="24"/>
          <w:szCs w:val="20"/>
        </w:rPr>
        <w:t>；</w:t>
      </w:r>
    </w:p>
    <w:p w14:paraId="42AFCD06">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第七章 评审办法</w:t>
      </w:r>
    </w:p>
    <w:p w14:paraId="6D592D07">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第八章 附件（如有）；</w:t>
      </w:r>
    </w:p>
    <w:p w14:paraId="11215B2F">
      <w:pPr>
        <w:numPr>
          <w:ilvl w:val="0"/>
          <w:numId w:val="2"/>
        </w:numPr>
        <w:autoSpaceDE w:val="0"/>
        <w:autoSpaceDN w:val="0"/>
        <w:spacing w:line="360" w:lineRule="auto"/>
        <w:rPr>
          <w:rFonts w:hint="eastAsia" w:ascii="仿宋" w:hAnsi="仿宋" w:eastAsia="仿宋"/>
          <w:color w:val="000000"/>
          <w:kern w:val="0"/>
          <w:sz w:val="24"/>
          <w:szCs w:val="20"/>
        </w:rPr>
      </w:pPr>
      <w:r>
        <w:rPr>
          <w:rFonts w:hint="eastAsia" w:ascii="仿宋" w:hAnsi="仿宋" w:eastAsia="仿宋"/>
          <w:color w:val="000000"/>
          <w:kern w:val="0"/>
          <w:sz w:val="24"/>
          <w:szCs w:val="20"/>
        </w:rPr>
        <w:t>竞争性磋商文件的澄清、修改文件以及磋商过程中对磋商文件作出的实质性变动（如有，另册）。</w:t>
      </w:r>
    </w:p>
    <w:p w14:paraId="47B3D471">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3.2 竞争性磋商文件的提疑</w:t>
      </w:r>
    </w:p>
    <w:p w14:paraId="58E9DFFF">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3.2.1竞争性磋商文件提疑截止时间：</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1F431786">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3.2</w:t>
      </w:r>
      <w:r>
        <w:rPr>
          <w:rFonts w:ascii="仿宋" w:hAnsi="仿宋" w:eastAsia="仿宋"/>
          <w:b/>
          <w:color w:val="000000"/>
          <w:kern w:val="0"/>
          <w:sz w:val="24"/>
          <w:szCs w:val="20"/>
        </w:rPr>
        <w:t>.</w:t>
      </w:r>
      <w:r>
        <w:rPr>
          <w:rFonts w:hint="eastAsia" w:ascii="仿宋" w:hAnsi="仿宋" w:eastAsia="仿宋"/>
          <w:b/>
          <w:color w:val="000000"/>
          <w:kern w:val="0"/>
          <w:sz w:val="24"/>
          <w:szCs w:val="20"/>
        </w:rPr>
        <w:t>2</w:t>
      </w:r>
      <w:r>
        <w:rPr>
          <w:rFonts w:ascii="仿宋" w:hAnsi="仿宋" w:eastAsia="仿宋"/>
          <w:b/>
          <w:color w:val="000000"/>
          <w:kern w:val="0"/>
          <w:sz w:val="24"/>
          <w:szCs w:val="20"/>
        </w:rPr>
        <w:t>供应商应认真阅读</w:t>
      </w:r>
      <w:r>
        <w:rPr>
          <w:rFonts w:hint="eastAsia" w:ascii="仿宋" w:hAnsi="仿宋" w:eastAsia="仿宋"/>
          <w:b/>
          <w:color w:val="000000"/>
          <w:kern w:val="0"/>
          <w:sz w:val="24"/>
          <w:szCs w:val="20"/>
        </w:rPr>
        <w:t>通过“政府采购云平台”获取的竞争性磋商文件</w:t>
      </w:r>
      <w:r>
        <w:rPr>
          <w:rFonts w:ascii="仿宋" w:hAnsi="仿宋" w:eastAsia="仿宋"/>
          <w:b/>
          <w:color w:val="000000"/>
          <w:kern w:val="0"/>
          <w:sz w:val="24"/>
          <w:szCs w:val="20"/>
        </w:rPr>
        <w:t>，</w:t>
      </w:r>
      <w:r>
        <w:rPr>
          <w:rFonts w:hint="eastAsia" w:ascii="仿宋" w:hAnsi="仿宋" w:eastAsia="仿宋"/>
          <w:b/>
          <w:color w:val="000000"/>
          <w:kern w:val="0"/>
          <w:sz w:val="24"/>
          <w:szCs w:val="20"/>
        </w:rPr>
        <w:t>如</w:t>
      </w:r>
      <w:r>
        <w:rPr>
          <w:rFonts w:ascii="仿宋" w:hAnsi="仿宋" w:eastAsia="仿宋"/>
          <w:b/>
          <w:color w:val="000000"/>
          <w:kern w:val="0"/>
          <w:sz w:val="24"/>
          <w:szCs w:val="20"/>
        </w:rPr>
        <w:t>发现</w:t>
      </w:r>
      <w:r>
        <w:rPr>
          <w:rFonts w:hint="eastAsia" w:ascii="仿宋" w:hAnsi="仿宋" w:eastAsia="仿宋"/>
          <w:b/>
          <w:color w:val="000000"/>
          <w:kern w:val="0"/>
          <w:sz w:val="24"/>
          <w:szCs w:val="20"/>
        </w:rPr>
        <w:t>竞争性磋商文件或清单、图纸</w:t>
      </w:r>
      <w:r>
        <w:rPr>
          <w:rFonts w:ascii="仿宋" w:hAnsi="仿宋" w:eastAsia="仿宋"/>
          <w:b/>
          <w:color w:val="000000"/>
          <w:kern w:val="0"/>
          <w:sz w:val="24"/>
          <w:szCs w:val="20"/>
        </w:rPr>
        <w:t>中有</w:t>
      </w:r>
      <w:r>
        <w:rPr>
          <w:rFonts w:hint="eastAsia" w:ascii="仿宋" w:hAnsi="仿宋" w:eastAsia="仿宋"/>
          <w:b/>
          <w:color w:val="000000"/>
          <w:kern w:val="0"/>
          <w:sz w:val="24"/>
          <w:szCs w:val="20"/>
        </w:rPr>
        <w:t>前后不一致或不清楚或有误的内容</w:t>
      </w:r>
      <w:r>
        <w:rPr>
          <w:rFonts w:ascii="仿宋" w:hAnsi="仿宋" w:eastAsia="仿宋"/>
          <w:b/>
          <w:color w:val="000000"/>
          <w:kern w:val="0"/>
          <w:sz w:val="24"/>
          <w:szCs w:val="20"/>
        </w:rPr>
        <w:t>，</w:t>
      </w:r>
      <w:r>
        <w:rPr>
          <w:rFonts w:hint="eastAsia" w:ascii="仿宋" w:hAnsi="仿宋" w:eastAsia="仿宋"/>
          <w:b/>
          <w:color w:val="000000"/>
          <w:kern w:val="0"/>
          <w:sz w:val="24"/>
          <w:szCs w:val="20"/>
        </w:rPr>
        <w:t>应在“竞争性磋商文件提疑截止时间”</w:t>
      </w:r>
      <w:r>
        <w:rPr>
          <w:rFonts w:ascii="仿宋" w:hAnsi="仿宋" w:eastAsia="仿宋"/>
          <w:b/>
          <w:color w:val="000000"/>
          <w:kern w:val="0"/>
          <w:sz w:val="24"/>
          <w:szCs w:val="20"/>
        </w:rPr>
        <w:t>前以书面形式向采购</w:t>
      </w:r>
      <w:r>
        <w:rPr>
          <w:rFonts w:hint="eastAsia" w:ascii="仿宋" w:hAnsi="仿宋" w:eastAsia="仿宋"/>
          <w:b/>
          <w:color w:val="000000"/>
          <w:kern w:val="0"/>
          <w:sz w:val="24"/>
          <w:szCs w:val="20"/>
        </w:rPr>
        <w:t>组织</w:t>
      </w:r>
      <w:r>
        <w:rPr>
          <w:rFonts w:ascii="仿宋" w:hAnsi="仿宋" w:eastAsia="仿宋"/>
          <w:b/>
          <w:color w:val="000000"/>
          <w:kern w:val="0"/>
          <w:sz w:val="24"/>
          <w:szCs w:val="20"/>
        </w:rPr>
        <w:t>机构</w:t>
      </w:r>
      <w:r>
        <w:rPr>
          <w:rFonts w:hint="eastAsia" w:ascii="仿宋" w:hAnsi="仿宋" w:eastAsia="仿宋"/>
          <w:b/>
          <w:color w:val="000000"/>
          <w:kern w:val="0"/>
          <w:sz w:val="24"/>
          <w:szCs w:val="20"/>
        </w:rPr>
        <w:t>提出，否则造成的一切后果由供应商自行承担，采购组织机构概不负责；</w:t>
      </w:r>
    </w:p>
    <w:p w14:paraId="6BEA3A02">
      <w:pPr>
        <w:autoSpaceDE w:val="0"/>
        <w:autoSpaceDN w:val="0"/>
        <w:spacing w:line="360" w:lineRule="auto"/>
        <w:ind w:firstLine="424" w:firstLineChars="177"/>
        <w:rPr>
          <w:rFonts w:hint="eastAsia" w:ascii="仿宋" w:hAnsi="仿宋" w:eastAsia="仿宋"/>
          <w:color w:val="FF0000"/>
          <w:kern w:val="0"/>
          <w:sz w:val="24"/>
          <w:szCs w:val="20"/>
        </w:rPr>
      </w:pPr>
      <w:r>
        <w:rPr>
          <w:rFonts w:hint="eastAsia" w:ascii="仿宋" w:hAnsi="仿宋" w:eastAsia="仿宋"/>
          <w:color w:val="000000"/>
          <w:kern w:val="0"/>
          <w:sz w:val="24"/>
          <w:szCs w:val="20"/>
        </w:rPr>
        <w:t>3.2</w:t>
      </w:r>
      <w:r>
        <w:rPr>
          <w:rFonts w:ascii="仿宋" w:hAnsi="仿宋" w:eastAsia="仿宋"/>
          <w:color w:val="000000"/>
          <w:kern w:val="0"/>
          <w:sz w:val="24"/>
          <w:szCs w:val="20"/>
        </w:rPr>
        <w:t>.</w:t>
      </w:r>
      <w:r>
        <w:rPr>
          <w:rFonts w:hint="eastAsia" w:ascii="仿宋" w:hAnsi="仿宋" w:eastAsia="仿宋"/>
          <w:color w:val="000000"/>
          <w:kern w:val="0"/>
          <w:sz w:val="24"/>
          <w:szCs w:val="20"/>
        </w:rPr>
        <w:t>3采购组织机构将在收到供应商递交的《疑问函》后三个工作日内以书面形式</w:t>
      </w:r>
      <w:r>
        <w:rPr>
          <w:rFonts w:ascii="仿宋" w:hAnsi="仿宋" w:eastAsia="仿宋"/>
          <w:color w:val="000000"/>
          <w:kern w:val="0"/>
          <w:sz w:val="24"/>
          <w:szCs w:val="20"/>
        </w:rPr>
        <w:t>答复供应商</w:t>
      </w:r>
      <w:r>
        <w:rPr>
          <w:rFonts w:hint="eastAsia" w:ascii="仿宋" w:hAnsi="仿宋" w:eastAsia="仿宋"/>
          <w:color w:val="000000"/>
          <w:kern w:val="0"/>
          <w:sz w:val="24"/>
          <w:szCs w:val="20"/>
        </w:rPr>
        <w:t>提出</w:t>
      </w:r>
      <w:r>
        <w:rPr>
          <w:rFonts w:ascii="仿宋" w:hAnsi="仿宋" w:eastAsia="仿宋"/>
          <w:color w:val="000000"/>
          <w:kern w:val="0"/>
          <w:sz w:val="24"/>
          <w:szCs w:val="20"/>
        </w:rPr>
        <w:t>的问题，</w:t>
      </w:r>
      <w:r>
        <w:rPr>
          <w:rFonts w:ascii="仿宋" w:hAnsi="仿宋" w:eastAsia="仿宋"/>
          <w:kern w:val="0"/>
          <w:sz w:val="24"/>
          <w:szCs w:val="20"/>
        </w:rPr>
        <w:t>并将不包含问题来源的答复通知所有</w:t>
      </w:r>
      <w:r>
        <w:rPr>
          <w:rFonts w:hint="eastAsia" w:ascii="仿宋" w:hAnsi="仿宋" w:eastAsia="仿宋"/>
          <w:kern w:val="0"/>
          <w:sz w:val="24"/>
          <w:szCs w:val="20"/>
        </w:rPr>
        <w:t>已登记获取竞争性磋商文件</w:t>
      </w:r>
      <w:r>
        <w:rPr>
          <w:rFonts w:ascii="仿宋" w:hAnsi="仿宋" w:eastAsia="仿宋"/>
          <w:kern w:val="0"/>
          <w:sz w:val="24"/>
          <w:szCs w:val="20"/>
        </w:rPr>
        <w:t>的</w:t>
      </w:r>
      <w:r>
        <w:rPr>
          <w:rFonts w:hint="eastAsia" w:ascii="仿宋" w:hAnsi="仿宋" w:eastAsia="仿宋"/>
          <w:kern w:val="0"/>
          <w:sz w:val="24"/>
          <w:szCs w:val="20"/>
        </w:rPr>
        <w:t>供应商</w:t>
      </w:r>
      <w:r>
        <w:rPr>
          <w:rFonts w:ascii="仿宋" w:hAnsi="仿宋" w:eastAsia="仿宋"/>
          <w:kern w:val="0"/>
          <w:sz w:val="24"/>
          <w:szCs w:val="20"/>
        </w:rPr>
        <w:t>。</w:t>
      </w:r>
    </w:p>
    <w:p w14:paraId="13C03FC3">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3.3 竞争性磋商文件的澄清、修改（更正）</w:t>
      </w:r>
    </w:p>
    <w:p w14:paraId="515AD802">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color w:val="000000"/>
          <w:kern w:val="0"/>
          <w:sz w:val="24"/>
          <w:szCs w:val="20"/>
        </w:rPr>
        <w:t>3.3.1采购人或者采购代理机构</w:t>
      </w:r>
      <w:r>
        <w:rPr>
          <w:rFonts w:ascii="仿宋" w:hAnsi="仿宋" w:eastAsia="仿宋"/>
          <w:b/>
          <w:color w:val="000000"/>
          <w:kern w:val="0"/>
          <w:sz w:val="24"/>
          <w:szCs w:val="20"/>
        </w:rPr>
        <w:t>可以</w:t>
      </w:r>
      <w:r>
        <w:rPr>
          <w:rFonts w:hint="eastAsia" w:ascii="仿宋" w:hAnsi="仿宋" w:eastAsia="仿宋"/>
          <w:b/>
          <w:color w:val="000000"/>
          <w:kern w:val="0"/>
          <w:sz w:val="24"/>
          <w:szCs w:val="20"/>
        </w:rPr>
        <w:t>对已发出的竞争性磋商文件进行必要的澄清或者修改，澄清或修改将在原公告发布媒体上发布澄清或更正公告</w:t>
      </w:r>
      <w:r>
        <w:rPr>
          <w:rFonts w:ascii="仿宋" w:hAnsi="仿宋" w:eastAsia="仿宋"/>
          <w:b/>
          <w:color w:val="000000"/>
          <w:kern w:val="0"/>
          <w:sz w:val="24"/>
          <w:szCs w:val="20"/>
        </w:rPr>
        <w:t>，并以</w:t>
      </w:r>
      <w:r>
        <w:rPr>
          <w:rFonts w:hint="eastAsia" w:ascii="仿宋" w:hAnsi="仿宋" w:eastAsia="仿宋"/>
          <w:b/>
          <w:color w:val="000000"/>
          <w:kern w:val="0"/>
          <w:sz w:val="24"/>
          <w:szCs w:val="20"/>
        </w:rPr>
        <w:t>传真或邮件（原文扫描件）或网上公告等形式告知所有已登记获取竞争性磋商文件的供应商；</w:t>
      </w:r>
    </w:p>
    <w:p w14:paraId="251D9919">
      <w:pPr>
        <w:autoSpaceDE w:val="0"/>
        <w:autoSpaceDN w:val="0"/>
        <w:spacing w:line="360" w:lineRule="auto"/>
        <w:ind w:firstLine="426" w:firstLineChars="177"/>
        <w:rPr>
          <w:rFonts w:hint="eastAsia" w:ascii="仿宋" w:hAnsi="仿宋" w:eastAsia="仿宋"/>
          <w:color w:val="000000"/>
          <w:kern w:val="0"/>
          <w:sz w:val="24"/>
          <w:szCs w:val="20"/>
        </w:rPr>
      </w:pPr>
      <w:r>
        <w:rPr>
          <w:rFonts w:hint="eastAsia" w:ascii="仿宋" w:hAnsi="仿宋" w:eastAsia="仿宋"/>
          <w:b/>
          <w:color w:val="000000"/>
          <w:kern w:val="0"/>
          <w:sz w:val="24"/>
          <w:szCs w:val="20"/>
        </w:rPr>
        <w:t>3.3.2竞争性磋商文件的澄清或者修改内容为竞争性磋商文件的组成部分，对所有参加本次采购活动的供应商均有约束力；</w:t>
      </w:r>
      <w:r>
        <w:rPr>
          <w:rFonts w:ascii="仿宋" w:hAnsi="仿宋" w:eastAsia="仿宋"/>
          <w:color w:val="000000"/>
          <w:kern w:val="0"/>
          <w:sz w:val="24"/>
          <w:szCs w:val="20"/>
        </w:rPr>
        <w:t>当</w:t>
      </w:r>
      <w:r>
        <w:rPr>
          <w:rFonts w:hint="eastAsia" w:ascii="仿宋" w:hAnsi="仿宋" w:eastAsia="仿宋"/>
          <w:color w:val="000000"/>
          <w:kern w:val="0"/>
          <w:sz w:val="24"/>
          <w:szCs w:val="20"/>
        </w:rPr>
        <w:t>原竞争性磋商文件与澄清、修改的内容</w:t>
      </w:r>
      <w:r>
        <w:rPr>
          <w:rFonts w:ascii="仿宋" w:hAnsi="仿宋" w:eastAsia="仿宋"/>
          <w:color w:val="000000"/>
          <w:kern w:val="0"/>
          <w:sz w:val="24"/>
          <w:szCs w:val="20"/>
        </w:rPr>
        <w:t>就同一</w:t>
      </w:r>
      <w:r>
        <w:rPr>
          <w:rFonts w:hint="eastAsia" w:ascii="仿宋" w:hAnsi="仿宋" w:eastAsia="仿宋"/>
          <w:color w:val="000000"/>
          <w:kern w:val="0"/>
          <w:sz w:val="24"/>
          <w:szCs w:val="20"/>
        </w:rPr>
        <w:t>事项</w:t>
      </w:r>
      <w:r>
        <w:rPr>
          <w:rFonts w:ascii="仿宋" w:hAnsi="仿宋" w:eastAsia="仿宋"/>
          <w:color w:val="000000"/>
          <w:kern w:val="0"/>
          <w:sz w:val="24"/>
          <w:szCs w:val="20"/>
        </w:rPr>
        <w:t>的表述不一致时，以最后发出的文件为准</w:t>
      </w:r>
      <w:r>
        <w:rPr>
          <w:rFonts w:hint="eastAsia" w:ascii="仿宋" w:hAnsi="仿宋" w:eastAsia="仿宋"/>
          <w:color w:val="000000"/>
          <w:kern w:val="0"/>
          <w:sz w:val="24"/>
          <w:szCs w:val="20"/>
        </w:rPr>
        <w:t>；</w:t>
      </w:r>
    </w:p>
    <w:p w14:paraId="7B871BC9">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14:paraId="0941E7B5">
      <w:pPr>
        <w:autoSpaceDE w:val="0"/>
        <w:autoSpaceDN w:val="0"/>
        <w:spacing w:line="360" w:lineRule="auto"/>
        <w:ind w:left="1" w:firstLine="422" w:firstLineChars="175"/>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3.3.4供应商收到采购组织机构发出的澄清、修改（更正）</w:t>
      </w:r>
      <w:r>
        <w:rPr>
          <w:rFonts w:ascii="仿宋" w:hAnsi="仿宋" w:eastAsia="仿宋" w:cs="Arial"/>
          <w:b/>
          <w:color w:val="000000"/>
          <w:kern w:val="0"/>
          <w:sz w:val="24"/>
          <w:szCs w:val="22"/>
        </w:rPr>
        <w:t>文件</w:t>
      </w:r>
      <w:r>
        <w:rPr>
          <w:rFonts w:hint="eastAsia" w:ascii="仿宋" w:hAnsi="仿宋" w:eastAsia="仿宋" w:cs="Arial"/>
          <w:b/>
          <w:color w:val="000000"/>
          <w:kern w:val="0"/>
          <w:sz w:val="24"/>
          <w:szCs w:val="22"/>
        </w:rPr>
        <w:t>后，应在24小时内向采购组织机构递交书面回执；</w:t>
      </w:r>
    </w:p>
    <w:p w14:paraId="4062BDA1">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3.3.5供应商对收到的澄清、修改（更正）</w:t>
      </w:r>
      <w:r>
        <w:rPr>
          <w:rFonts w:ascii="仿宋" w:hAnsi="仿宋" w:eastAsia="仿宋"/>
          <w:color w:val="000000"/>
          <w:kern w:val="0"/>
          <w:sz w:val="24"/>
          <w:szCs w:val="20"/>
        </w:rPr>
        <w:t>文件</w:t>
      </w:r>
      <w:r>
        <w:rPr>
          <w:rFonts w:hint="eastAsia" w:ascii="仿宋" w:hAnsi="仿宋" w:eastAsia="仿宋"/>
          <w:color w:val="000000"/>
          <w:kern w:val="0"/>
          <w:sz w:val="24"/>
          <w:szCs w:val="20"/>
        </w:rPr>
        <w:t>内容有疑问的，应当同时在书面回执中加注说明并与采购人或采购代理机构确认，疑问内容应加盖单位公章、写明日期；</w:t>
      </w:r>
    </w:p>
    <w:p w14:paraId="2711B024">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3.3.6任何口头形式的答复、说明均不属于竞争性磋商文件的组成部分。</w:t>
      </w:r>
    </w:p>
    <w:p w14:paraId="6C9F2912">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3.4 竞争性磋商文件的质疑</w:t>
      </w:r>
    </w:p>
    <w:p w14:paraId="30F78922">
      <w:pPr>
        <w:autoSpaceDE w:val="0"/>
        <w:autoSpaceDN w:val="0"/>
        <w:spacing w:line="360" w:lineRule="auto"/>
        <w:ind w:firstLine="424" w:firstLineChars="177"/>
        <w:rPr>
          <w:rFonts w:hint="eastAsia" w:ascii="仿宋" w:hAnsi="仿宋" w:eastAsia="仿宋"/>
          <w:color w:val="000000"/>
          <w:kern w:val="0"/>
          <w:sz w:val="24"/>
          <w:szCs w:val="20"/>
        </w:rPr>
      </w:pPr>
      <w:r>
        <w:rPr>
          <w:rFonts w:hint="eastAsia" w:ascii="仿宋" w:hAnsi="仿宋" w:eastAsia="仿宋"/>
          <w:color w:val="000000"/>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23549EEA">
      <w:pPr>
        <w:pStyle w:val="3"/>
        <w:autoSpaceDE w:val="0"/>
        <w:autoSpaceDN w:val="0"/>
        <w:spacing w:before="360"/>
        <w:ind w:firstLine="281" w:firstLineChars="100"/>
        <w:rPr>
          <w:rFonts w:hint="eastAsia" w:ascii="Times New Roman" w:hAnsi="仿宋" w:eastAsia="仿宋"/>
          <w:sz w:val="28"/>
          <w:szCs w:val="28"/>
        </w:rPr>
      </w:pPr>
      <w:bookmarkStart w:id="26" w:name="_Toc30204"/>
      <w:bookmarkStart w:id="27" w:name="_Toc672"/>
      <w:r>
        <w:rPr>
          <w:rFonts w:hint="eastAsia" w:ascii="Times New Roman" w:hAnsi="仿宋" w:eastAsia="仿宋"/>
          <w:sz w:val="28"/>
          <w:szCs w:val="28"/>
        </w:rPr>
        <w:t>四、磋商响应文件</w:t>
      </w:r>
      <w:bookmarkEnd w:id="26"/>
      <w:bookmarkEnd w:id="27"/>
    </w:p>
    <w:p w14:paraId="00614E61">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4.1 磋商响应文件的形式</w:t>
      </w:r>
    </w:p>
    <w:p w14:paraId="30088AC6">
      <w:pPr>
        <w:autoSpaceDE w:val="0"/>
        <w:autoSpaceDN w:val="0"/>
        <w:spacing w:line="360" w:lineRule="auto"/>
        <w:ind w:firstLine="426" w:firstLineChars="177"/>
        <w:rPr>
          <w:rFonts w:hint="eastAsia" w:ascii="仿宋" w:hAnsi="仿宋" w:eastAsia="仿宋" w:cs="仿宋"/>
          <w:sz w:val="24"/>
          <w:szCs w:val="20"/>
        </w:rPr>
      </w:pPr>
      <w:r>
        <w:rPr>
          <w:rFonts w:hint="eastAsia" w:ascii="仿宋" w:hAnsi="仿宋" w:eastAsia="仿宋" w:cs="仿宋"/>
          <w:b/>
          <w:color w:val="000000"/>
          <w:sz w:val="24"/>
          <w:szCs w:val="20"/>
        </w:rPr>
        <w:t>4.1.1磋商响应文件的形式：</w:t>
      </w:r>
      <w:r>
        <w:rPr>
          <w:rFonts w:hint="eastAsia" w:ascii="仿宋" w:hAnsi="仿宋" w:eastAsia="仿宋" w:cs="仿宋"/>
          <w:b/>
          <w:color w:val="000000"/>
          <w:sz w:val="24"/>
          <w:szCs w:val="20"/>
          <w:u w:val="single"/>
        </w:rPr>
        <w:t>电子加密磋商响应文件</w:t>
      </w:r>
      <w:r>
        <w:rPr>
          <w:rFonts w:hint="eastAsia" w:ascii="仿宋" w:hAnsi="仿宋" w:eastAsia="仿宋" w:cs="仿宋"/>
          <w:b/>
          <w:color w:val="000000"/>
          <w:sz w:val="24"/>
          <w:szCs w:val="20"/>
        </w:rPr>
        <w:t>（是指通过“政采云电子交易客户端”完成磋商响应文件编制后生成并加密的数据电文形式的磋商响应文件，文件格式“.jmbs”）。</w:t>
      </w:r>
    </w:p>
    <w:p w14:paraId="52C095DD">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4.2 磋商响应文件的组成</w:t>
      </w:r>
    </w:p>
    <w:p w14:paraId="41420F89">
      <w:pPr>
        <w:autoSpaceDE w:val="0"/>
        <w:autoSpaceDN w:val="0"/>
        <w:spacing w:line="360" w:lineRule="auto"/>
        <w:ind w:firstLine="426" w:firstLineChars="177"/>
        <w:rPr>
          <w:rFonts w:hint="eastAsia" w:ascii="仿宋" w:hAnsi="仿宋" w:eastAsia="仿宋" w:cs="仿宋"/>
          <w:b/>
          <w:color w:val="000000"/>
          <w:kern w:val="0"/>
          <w:sz w:val="24"/>
          <w:szCs w:val="22"/>
        </w:rPr>
      </w:pPr>
      <w:r>
        <w:rPr>
          <w:rFonts w:hint="eastAsia" w:ascii="仿宋" w:hAnsi="仿宋" w:eastAsia="仿宋" w:cs="仿宋"/>
          <w:b/>
          <w:color w:val="000000"/>
          <w:kern w:val="0"/>
          <w:sz w:val="24"/>
          <w:szCs w:val="22"/>
        </w:rPr>
        <w:t>4.2.1</w:t>
      </w:r>
      <w:r>
        <w:rPr>
          <w:rFonts w:hint="eastAsia" w:ascii="仿宋" w:hAnsi="仿宋" w:eastAsia="仿宋" w:cs="仿宋"/>
          <w:b/>
          <w:color w:val="000000"/>
          <w:sz w:val="24"/>
          <w:szCs w:val="20"/>
        </w:rPr>
        <w:t>完整的磋商响应文件由《资格文件》、《商务技术文件》和《报价文件》三个部分组成</w:t>
      </w:r>
      <w:r>
        <w:rPr>
          <w:rFonts w:hint="eastAsia" w:ascii="仿宋" w:hAnsi="仿宋" w:eastAsia="仿宋" w:cs="仿宋"/>
          <w:b/>
          <w:color w:val="000000"/>
          <w:kern w:val="0"/>
          <w:sz w:val="24"/>
          <w:szCs w:val="22"/>
        </w:rPr>
        <w:t>（以下统称“磋商响应文件”）。</w:t>
      </w:r>
    </w:p>
    <w:p w14:paraId="1E5AC2DA">
      <w:pPr>
        <w:autoSpaceDE w:val="0"/>
        <w:autoSpaceDN w:val="0"/>
        <w:spacing w:line="360" w:lineRule="auto"/>
        <w:ind w:firstLine="426" w:firstLineChars="177"/>
        <w:rPr>
          <w:rFonts w:hint="eastAsia" w:ascii="仿宋" w:hAnsi="仿宋" w:eastAsia="仿宋" w:cs="仿宋"/>
          <w:b/>
          <w:color w:val="000000"/>
          <w:kern w:val="0"/>
          <w:sz w:val="24"/>
          <w:szCs w:val="22"/>
        </w:rPr>
      </w:pPr>
      <w:r>
        <w:rPr>
          <w:rFonts w:hint="eastAsia" w:ascii="仿宋" w:hAnsi="仿宋" w:eastAsia="仿宋" w:cs="仿宋"/>
          <w:b/>
          <w:color w:val="000000"/>
          <w:kern w:val="0"/>
          <w:sz w:val="24"/>
          <w:szCs w:val="22"/>
        </w:rPr>
        <w:t>4.2.2磋商响应文件内容组成</w:t>
      </w:r>
    </w:p>
    <w:p w14:paraId="1AF1F4FF">
      <w:pPr>
        <w:pStyle w:val="6"/>
        <w:autoSpaceDE w:val="0"/>
        <w:autoSpaceDN w:val="0"/>
        <w:ind w:firstLine="561"/>
      </w:pPr>
      <w:r>
        <w:rPr>
          <w:rFonts w:hint="eastAsia"/>
        </w:rPr>
        <w:t>（1）《资格文件》</w:t>
      </w:r>
    </w:p>
    <w:tbl>
      <w:tblPr>
        <w:tblStyle w:val="52"/>
        <w:tblW w:w="9964"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8331"/>
        <w:gridCol w:w="721"/>
      </w:tblGrid>
      <w:tr w14:paraId="42F1689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vAlign w:val="center"/>
          </w:tcPr>
          <w:p w14:paraId="4F509F45">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b/>
                <w:color w:val="000000" w:themeColor="text1"/>
                <w:kern w:val="0"/>
                <w14:textFill>
                  <w14:solidFill>
                    <w14:schemeClr w14:val="tx1"/>
                  </w14:solidFill>
                </w14:textFill>
              </w:rPr>
              <w:br w:type="page"/>
            </w:r>
            <w:r>
              <w:rPr>
                <w:rFonts w:hint="eastAsia" w:ascii="仿宋" w:hAnsi="仿宋" w:eastAsia="仿宋"/>
                <w:b/>
                <w:color w:val="000000" w:themeColor="text1"/>
                <w:sz w:val="24"/>
                <w14:textFill>
                  <w14:solidFill>
                    <w14:schemeClr w14:val="tx1"/>
                  </w14:solidFill>
                </w14:textFill>
              </w:rPr>
              <w:t>序号</w:t>
            </w:r>
          </w:p>
        </w:tc>
        <w:tc>
          <w:tcPr>
            <w:tcW w:w="8331" w:type="dxa"/>
            <w:shd w:val="clear" w:color="auto" w:fill="DAEEF3"/>
            <w:vAlign w:val="center"/>
          </w:tcPr>
          <w:p w14:paraId="62FB0297">
            <w:pPr>
              <w:autoSpaceDE w:val="0"/>
              <w:autoSpaceDN w:val="0"/>
              <w:jc w:val="center"/>
              <w:rPr>
                <w:rFonts w:hint="eastAsia" w:ascii="仿宋" w:hAnsi="仿宋" w:eastAsia="仿宋"/>
                <w:b/>
                <w:color w:val="000000" w:themeColor="text1"/>
                <w:sz w:val="24"/>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第一部分</w:t>
            </w:r>
            <w:r>
              <w:rPr>
                <w:rFonts w:hint="eastAsia" w:ascii="微软雅黑" w:hAnsi="微软雅黑" w:eastAsia="微软雅黑" w:cs="Arial"/>
                <w:b/>
                <w:color w:val="000000" w:themeColor="text1"/>
                <w:kern w:val="0"/>
                <w:sz w:val="28"/>
                <w:szCs w:val="32"/>
                <w14:textFill>
                  <w14:solidFill>
                    <w14:schemeClr w14:val="tx1"/>
                  </w14:solidFill>
                </w14:textFill>
              </w:rPr>
              <w:t>《资格文件》组成内容及要求</w:t>
            </w:r>
            <w:r>
              <w:rPr>
                <w:rFonts w:ascii="微软雅黑" w:hAnsi="微软雅黑" w:eastAsia="微软雅黑" w:cs="Arial"/>
                <w:b/>
                <w:color w:val="000000" w:themeColor="text1"/>
                <w:kern w:val="0"/>
                <w:sz w:val="28"/>
                <w:szCs w:val="32"/>
                <w14:textFill>
                  <w14:solidFill>
                    <w14:schemeClr w14:val="tx1"/>
                  </w14:solidFill>
                </w14:textFill>
              </w:rPr>
              <w:t>【</w:t>
            </w:r>
            <w:r>
              <w:rPr>
                <w:rFonts w:hint="eastAsia" w:ascii="微软雅黑" w:hAnsi="微软雅黑" w:eastAsia="微软雅黑" w:cs="Arial"/>
                <w:b/>
                <w:color w:val="000000" w:themeColor="text1"/>
                <w:kern w:val="0"/>
                <w:sz w:val="28"/>
                <w:szCs w:val="32"/>
                <w14:textFill>
                  <w14:solidFill>
                    <w14:schemeClr w14:val="tx1"/>
                  </w14:solidFill>
                </w14:textFill>
              </w:rPr>
              <w:t>依序编制</w:t>
            </w:r>
            <w:r>
              <w:rPr>
                <w:rFonts w:ascii="微软雅黑" w:hAnsi="微软雅黑" w:eastAsia="微软雅黑" w:cs="Arial"/>
                <w:b/>
                <w:color w:val="000000" w:themeColor="text1"/>
                <w:kern w:val="0"/>
                <w:sz w:val="28"/>
                <w:szCs w:val="32"/>
                <w14:textFill>
                  <w14:solidFill>
                    <w14:schemeClr w14:val="tx1"/>
                  </w14:solidFill>
                </w14:textFill>
              </w:rPr>
              <w:t>】</w:t>
            </w:r>
          </w:p>
        </w:tc>
        <w:tc>
          <w:tcPr>
            <w:tcW w:w="721" w:type="dxa"/>
            <w:shd w:val="clear" w:color="auto" w:fill="DAEEF3"/>
            <w:vAlign w:val="center"/>
          </w:tcPr>
          <w:p w14:paraId="529F439B">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格式</w:t>
            </w:r>
          </w:p>
        </w:tc>
      </w:tr>
      <w:tr w14:paraId="68C95C7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4246A6E0">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1-1</w:t>
            </w:r>
          </w:p>
        </w:tc>
        <w:tc>
          <w:tcPr>
            <w:tcW w:w="9052" w:type="dxa"/>
            <w:gridSpan w:val="2"/>
            <w:shd w:val="clear" w:color="auto" w:fill="FFFF00"/>
            <w:vAlign w:val="center"/>
          </w:tcPr>
          <w:p w14:paraId="2B7CAB6E">
            <w:pPr>
              <w:autoSpaceDE w:val="0"/>
              <w:autoSpaceDN w:val="0"/>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符合“申请人的资格要求”第1条规定的证明文件</w:t>
            </w:r>
          </w:p>
        </w:tc>
      </w:tr>
      <w:tr w14:paraId="08B9BA3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0FEC782E">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p>
        </w:tc>
        <w:tc>
          <w:tcPr>
            <w:tcW w:w="8331" w:type="dxa"/>
            <w:vAlign w:val="center"/>
          </w:tcPr>
          <w:p w14:paraId="7DCB2C5D">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u w:val="single"/>
                <w14:textFill>
                  <w14:solidFill>
                    <w14:schemeClr w14:val="tx1"/>
                  </w14:solidFill>
                </w14:textFill>
              </w:rPr>
              <w:t>资格</w:t>
            </w:r>
            <w:r>
              <w:rPr>
                <w:rFonts w:hint="eastAsia" w:ascii="仿宋" w:hAnsi="仿宋" w:eastAsia="仿宋"/>
                <w:b/>
                <w:color w:val="000000" w:themeColor="text1"/>
                <w:kern w:val="0"/>
                <w:sz w:val="24"/>
                <w:szCs w:val="28"/>
                <w:u w:val="single"/>
                <w14:textFill>
                  <w14:solidFill>
                    <w14:schemeClr w14:val="tx1"/>
                  </w14:solidFill>
                </w14:textFill>
              </w:rPr>
              <w:t>承诺书</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联合体投标</w:t>
            </w:r>
            <w:r>
              <w:rPr>
                <w:rFonts w:hint="default"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lang w:val="en-US" w:eastAsia="zh-CN"/>
                <w14:textFill>
                  <w14:solidFill>
                    <w14:schemeClr w14:val="tx1"/>
                  </w14:solidFill>
                </w14:textFill>
              </w:rPr>
              <w:t>的，各方均需提供，</w:t>
            </w:r>
            <w:r>
              <w:rPr>
                <w:rFonts w:hint="eastAsia" w:ascii="仿宋" w:hAnsi="仿宋" w:eastAsia="仿宋"/>
                <w:color w:val="000000" w:themeColor="text1"/>
                <w:sz w:val="24"/>
                <w14:textFill>
                  <w14:solidFill>
                    <w14:schemeClr w14:val="tx1"/>
                  </w14:solidFill>
                </w14:textFill>
              </w:rPr>
              <w:t>格式见第六章）</w:t>
            </w:r>
          </w:p>
        </w:tc>
        <w:tc>
          <w:tcPr>
            <w:tcW w:w="721" w:type="dxa"/>
            <w:vAlign w:val="center"/>
          </w:tcPr>
          <w:p w14:paraId="7671D9B4">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598C9C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8299224">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w:t>
            </w:r>
          </w:p>
        </w:tc>
        <w:tc>
          <w:tcPr>
            <w:tcW w:w="8331" w:type="dxa"/>
            <w:vAlign w:val="center"/>
          </w:tcPr>
          <w:p w14:paraId="4DD857D4">
            <w:pPr>
              <w:autoSpaceDE w:val="0"/>
              <w:autoSpaceDN w:val="0"/>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b/>
                <w:color w:val="000000" w:themeColor="text1"/>
                <w:sz w:val="24"/>
                <w:u w:val="single"/>
                <w14:textFill>
                  <w14:solidFill>
                    <w14:schemeClr w14:val="tx1"/>
                  </w14:solidFill>
                </w14:textFill>
              </w:rPr>
              <w:t>营业执照（或事业单位法人证书或执业许可证或自然人有效身份证明）</w:t>
            </w:r>
            <w:r>
              <w:rPr>
                <w:rFonts w:hint="eastAsia" w:ascii="仿宋" w:hAnsi="仿宋" w:eastAsia="仿宋"/>
                <w:color w:val="000000" w:themeColor="text1"/>
                <w:sz w:val="24"/>
                <w14:textFill>
                  <w14:solidFill>
                    <w14:schemeClr w14:val="tx1"/>
                  </w14:solidFill>
                </w14:textFill>
              </w:rPr>
              <w:t>（提供扫描件加盖</w:t>
            </w:r>
            <w:r>
              <w:rPr>
                <w:rFonts w:hint="eastAsia" w:ascii="仿宋" w:hAnsi="仿宋" w:eastAsia="仿宋" w:cs="Arial"/>
                <w:color w:val="000000" w:themeColor="text1"/>
                <w:kern w:val="0"/>
                <w:sz w:val="24"/>
                <w14:textFill>
                  <w14:solidFill>
                    <w14:schemeClr w14:val="tx1"/>
                  </w14:solidFill>
                </w14:textFill>
              </w:rPr>
              <w:t>投标供应商公章</w:t>
            </w:r>
            <w:r>
              <w:rPr>
                <w:rFonts w:hint="eastAsia" w:ascii="仿宋" w:hAnsi="仿宋" w:eastAsia="仿宋" w:cs="Arial"/>
                <w:color w:val="000000" w:themeColor="text1"/>
                <w:kern w:val="0"/>
                <w:sz w:val="24"/>
                <w:lang w:eastAsia="zh-CN"/>
                <w14:textFill>
                  <w14:solidFill>
                    <w14:schemeClr w14:val="tx1"/>
                  </w14:solidFill>
                </w14:textFill>
              </w:rPr>
              <w:t>，</w:t>
            </w:r>
            <w:r>
              <w:rPr>
                <w:rFonts w:hint="eastAsia" w:ascii="仿宋" w:hAnsi="仿宋" w:eastAsia="仿宋"/>
                <w:color w:val="000000" w:themeColor="text1"/>
                <w:sz w:val="24"/>
                <w:lang w:val="en-US" w:eastAsia="zh-CN"/>
                <w14:textFill>
                  <w14:solidFill>
                    <w14:schemeClr w14:val="tx1"/>
                  </w14:solidFill>
                </w14:textFill>
              </w:rPr>
              <w:t>联合体投标响应的，各方均需提供</w:t>
            </w:r>
            <w:r>
              <w:rPr>
                <w:rFonts w:hint="eastAsia" w:ascii="仿宋" w:hAnsi="仿宋" w:eastAsia="仿宋"/>
                <w:color w:val="000000" w:themeColor="text1"/>
                <w:sz w:val="24"/>
                <w14:textFill>
                  <w14:solidFill>
                    <w14:schemeClr w14:val="tx1"/>
                  </w14:solidFill>
                </w14:textFill>
              </w:rPr>
              <w:t>）</w:t>
            </w:r>
          </w:p>
        </w:tc>
        <w:tc>
          <w:tcPr>
            <w:tcW w:w="721" w:type="dxa"/>
            <w:vAlign w:val="center"/>
          </w:tcPr>
          <w:p w14:paraId="7FAE374E">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465C0CF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0261988B">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w:t>
            </w:r>
          </w:p>
        </w:tc>
        <w:tc>
          <w:tcPr>
            <w:tcW w:w="9052" w:type="dxa"/>
            <w:gridSpan w:val="2"/>
            <w:shd w:val="clear" w:color="auto" w:fill="FFFF00"/>
            <w:vAlign w:val="center"/>
          </w:tcPr>
          <w:p w14:paraId="7525CDFB">
            <w:pPr>
              <w:autoSpaceDE w:val="0"/>
              <w:autoSpaceDN w:val="0"/>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w w:val="90"/>
                <w:kern w:val="0"/>
                <w:sz w:val="24"/>
                <w14:textFill>
                  <w14:solidFill>
                    <w14:schemeClr w14:val="tx1"/>
                  </w14:solidFill>
                </w14:textFill>
              </w:rPr>
              <w:t>符合“申请人的资格要求”第2条“</w:t>
            </w:r>
            <w:r>
              <w:rPr>
                <w:rFonts w:hint="eastAsia" w:ascii="仿宋" w:hAnsi="仿宋" w:eastAsia="仿宋" w:cs="Arial"/>
                <w:b/>
                <w:color w:val="000000" w:themeColor="text1"/>
                <w:w w:val="90"/>
                <w:sz w:val="24"/>
                <w14:textFill>
                  <w14:solidFill>
                    <w14:schemeClr w14:val="tx1"/>
                  </w14:solidFill>
                </w14:textFill>
              </w:rPr>
              <w:t>落实政府采购政策需满足的资格要求</w:t>
            </w:r>
            <w:r>
              <w:rPr>
                <w:rFonts w:hint="eastAsia" w:ascii="仿宋" w:hAnsi="仿宋" w:eastAsia="仿宋" w:cs="Arial"/>
                <w:b/>
                <w:color w:val="000000" w:themeColor="text1"/>
                <w:w w:val="90"/>
                <w:kern w:val="0"/>
                <w:sz w:val="24"/>
                <w14:textFill>
                  <w14:solidFill>
                    <w14:schemeClr w14:val="tx1"/>
                  </w14:solidFill>
                </w14:textFill>
              </w:rPr>
              <w:t>”规定的证明文件</w:t>
            </w:r>
          </w:p>
        </w:tc>
      </w:tr>
      <w:tr w14:paraId="4BE79A9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4698CEF">
            <w:pPr>
              <w:autoSpaceDE w:val="0"/>
              <w:autoSpaceDN w:val="0"/>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w:t>
            </w:r>
          </w:p>
        </w:tc>
        <w:tc>
          <w:tcPr>
            <w:tcW w:w="8331" w:type="dxa"/>
            <w:vAlign w:val="center"/>
          </w:tcPr>
          <w:p w14:paraId="705091AD">
            <w:pPr>
              <w:autoSpaceDE w:val="0"/>
              <w:autoSpaceDN w:val="0"/>
              <w:spacing w:line="276" w:lineRule="auto"/>
              <w:jc w:val="left"/>
              <w:rPr>
                <w:rFonts w:hint="eastAsia" w:ascii="仿宋" w:hAnsi="仿宋" w:eastAsia="仿宋"/>
                <w:color w:val="000000"/>
                <w:sz w:val="24"/>
              </w:rPr>
            </w:pPr>
            <w:r>
              <w:rPr>
                <w:rFonts w:hint="eastAsia" w:ascii="仿宋" w:hAnsi="仿宋" w:eastAsia="仿宋"/>
                <w:b/>
                <w:color w:val="000000"/>
                <w:sz w:val="24"/>
              </w:rPr>
              <w:t>▲《</w:t>
            </w:r>
            <w:r>
              <w:rPr>
                <w:rFonts w:hint="eastAsia" w:ascii="仿宋" w:hAnsi="仿宋" w:eastAsia="仿宋"/>
                <w:b/>
                <w:color w:val="000000"/>
                <w:sz w:val="24"/>
                <w:u w:val="single"/>
              </w:rPr>
              <w:t>中小企业声明函</w:t>
            </w:r>
            <w:r>
              <w:rPr>
                <w:rFonts w:hint="eastAsia" w:ascii="仿宋" w:hAnsi="仿宋" w:eastAsia="仿宋"/>
                <w:b/>
                <w:color w:val="000000"/>
                <w:sz w:val="24"/>
              </w:rPr>
              <w:t>》</w:t>
            </w:r>
            <w:r>
              <w:rPr>
                <w:rFonts w:hint="eastAsia" w:ascii="仿宋" w:hAnsi="仿宋" w:eastAsia="仿宋"/>
                <w:color w:val="000000"/>
                <w:sz w:val="24"/>
              </w:rPr>
              <w:t>（格式见第六章）</w:t>
            </w:r>
          </w:p>
          <w:p w14:paraId="5DF1866B">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b/>
                <w:sz w:val="24"/>
              </w:rPr>
              <w:t>提示和说明：</w:t>
            </w:r>
            <w:r>
              <w:rPr>
                <w:rFonts w:hint="eastAsia" w:ascii="仿宋_GB2312" w:hAnsi="仿宋" w:eastAsia="仿宋_GB2312" w:cs="仿宋_GB2312"/>
                <w:sz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tc>
        <w:tc>
          <w:tcPr>
            <w:tcW w:w="721" w:type="dxa"/>
            <w:vAlign w:val="center"/>
          </w:tcPr>
          <w:p w14:paraId="15BE985B">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32F77CE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14:paraId="0F22BAA0">
            <w:pPr>
              <w:autoSpaceDE w:val="0"/>
              <w:autoSpaceDN w:val="0"/>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1-3</w:t>
            </w:r>
          </w:p>
        </w:tc>
        <w:tc>
          <w:tcPr>
            <w:tcW w:w="9052" w:type="dxa"/>
            <w:gridSpan w:val="2"/>
            <w:shd w:val="clear" w:color="auto" w:fill="FFFF00"/>
            <w:vAlign w:val="center"/>
          </w:tcPr>
          <w:p w14:paraId="425E33D6">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符合“申请人的资格要求”第3条“本项目的特定资格要求”的证明文件</w:t>
            </w:r>
          </w:p>
        </w:tc>
      </w:tr>
      <w:tr w14:paraId="01FC860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5B803DF4">
            <w:pPr>
              <w:autoSpaceDE w:val="0"/>
              <w:autoSpaceDN w:val="0"/>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1-3-1</w:t>
            </w:r>
          </w:p>
        </w:tc>
        <w:tc>
          <w:tcPr>
            <w:tcW w:w="8331" w:type="dxa"/>
            <w:vAlign w:val="center"/>
          </w:tcPr>
          <w:p w14:paraId="7EAA848B">
            <w:pPr>
              <w:spacing w:line="276" w:lineRule="auto"/>
              <w:jc w:val="left"/>
              <w:rPr>
                <w:rFonts w:hint="eastAsia" w:ascii="仿宋" w:hAnsi="仿宋" w:eastAsia="仿宋"/>
                <w:color w:val="auto"/>
                <w:sz w:val="24"/>
                <w:u w:val="none"/>
                <w:lang w:val="en-US" w:eastAsia="zh-CN"/>
              </w:rPr>
            </w:pPr>
            <w:r>
              <w:rPr>
                <w:rFonts w:hint="eastAsia" w:ascii="仿宋" w:hAnsi="仿宋" w:eastAsia="仿宋" w:cs="Arial"/>
                <w:b/>
                <w:bCs w:val="0"/>
                <w:color w:val="auto"/>
                <w:w w:val="90"/>
                <w:kern w:val="2"/>
                <w:sz w:val="24"/>
                <w:lang w:eastAsia="zh-CN"/>
              </w:rPr>
              <w:t>（1）</w:t>
            </w:r>
            <w:r>
              <w:rPr>
                <w:rFonts w:hint="eastAsia" w:ascii="仿宋" w:hAnsi="仿宋" w:eastAsia="仿宋" w:cs="Arial"/>
                <w:b/>
                <w:color w:val="auto"/>
                <w:w w:val="90"/>
                <w:sz w:val="24"/>
              </w:rPr>
              <w:t>▲</w:t>
            </w:r>
            <w:r>
              <w:rPr>
                <w:rFonts w:hint="eastAsia" w:ascii="仿宋" w:hAnsi="仿宋" w:eastAsia="仿宋" w:cs="Arial"/>
                <w:b/>
                <w:bCs w:val="0"/>
                <w:color w:val="auto"/>
                <w:w w:val="90"/>
                <w:kern w:val="2"/>
                <w:sz w:val="24"/>
                <w:lang w:eastAsia="zh-CN"/>
              </w:rPr>
              <w:t>具有工程设计-电力行业（送电工程、变电工程）专业</w:t>
            </w:r>
            <w:r>
              <w:rPr>
                <w:rFonts w:hint="eastAsia" w:ascii="仿宋" w:hAnsi="仿宋" w:eastAsia="仿宋" w:cs="Arial"/>
                <w:b/>
                <w:bCs w:val="0"/>
                <w:color w:val="auto"/>
                <w:w w:val="90"/>
                <w:kern w:val="2"/>
                <w:sz w:val="24"/>
                <w:lang w:val="en-US" w:eastAsia="zh-CN"/>
              </w:rPr>
              <w:t>丙</w:t>
            </w:r>
            <w:r>
              <w:rPr>
                <w:rFonts w:hint="eastAsia" w:ascii="仿宋" w:hAnsi="仿宋" w:eastAsia="仿宋" w:cs="Arial"/>
                <w:b/>
                <w:bCs w:val="0"/>
                <w:color w:val="auto"/>
                <w:w w:val="90"/>
                <w:kern w:val="2"/>
                <w:sz w:val="24"/>
                <w:lang w:eastAsia="zh-CN"/>
              </w:rPr>
              <w:t>级及以上资质</w:t>
            </w:r>
            <w:r>
              <w:rPr>
                <w:rFonts w:hint="eastAsia" w:ascii="仿宋" w:hAnsi="仿宋" w:eastAsia="仿宋" w:cs="仿宋"/>
                <w:color w:val="auto"/>
                <w:sz w:val="24"/>
              </w:rPr>
              <w:t>（联合体响应的，承担设计工作一方具有此资质）</w:t>
            </w:r>
            <w:r>
              <w:rPr>
                <w:rFonts w:hint="eastAsia" w:ascii="仿宋" w:hAnsi="仿宋" w:eastAsia="仿宋"/>
                <w:color w:val="auto"/>
                <w:sz w:val="24"/>
                <w:u w:val="none"/>
                <w:lang w:val="en-US" w:eastAsia="zh-CN"/>
              </w:rPr>
              <w:t>；</w:t>
            </w:r>
          </w:p>
          <w:p w14:paraId="0290FD32">
            <w:pPr>
              <w:spacing w:line="276" w:lineRule="auto"/>
              <w:jc w:val="left"/>
              <w:rPr>
                <w:rFonts w:hint="eastAsia" w:ascii="仿宋" w:hAnsi="仿宋" w:eastAsia="仿宋" w:cs="Arial"/>
                <w:b/>
                <w:bCs w:val="0"/>
                <w:color w:val="auto"/>
                <w:w w:val="90"/>
                <w:kern w:val="2"/>
                <w:sz w:val="24"/>
                <w:lang w:eastAsia="zh-CN"/>
              </w:rPr>
            </w:pPr>
            <w:r>
              <w:rPr>
                <w:rFonts w:hint="eastAsia" w:ascii="仿宋" w:hAnsi="仿宋" w:eastAsia="仿宋" w:cs="Arial"/>
                <w:b/>
                <w:bCs w:val="0"/>
                <w:color w:val="auto"/>
                <w:w w:val="90"/>
                <w:kern w:val="2"/>
                <w:sz w:val="24"/>
                <w:lang w:eastAsia="zh-CN"/>
              </w:rPr>
              <w:t>（</w:t>
            </w:r>
            <w:r>
              <w:rPr>
                <w:rFonts w:hint="eastAsia" w:ascii="仿宋" w:hAnsi="仿宋" w:eastAsia="仿宋" w:cs="Arial"/>
                <w:b/>
                <w:bCs w:val="0"/>
                <w:color w:val="auto"/>
                <w:w w:val="90"/>
                <w:kern w:val="2"/>
                <w:sz w:val="24"/>
                <w:lang w:val="en-US" w:eastAsia="zh-CN"/>
              </w:rPr>
              <w:t>2）</w:t>
            </w:r>
            <w:r>
              <w:rPr>
                <w:rFonts w:hint="eastAsia" w:ascii="仿宋" w:hAnsi="仿宋" w:eastAsia="仿宋" w:cs="Arial"/>
                <w:b/>
                <w:color w:val="auto"/>
                <w:w w:val="90"/>
                <w:sz w:val="24"/>
              </w:rPr>
              <w:t>▲</w:t>
            </w:r>
            <w:r>
              <w:rPr>
                <w:rFonts w:hint="eastAsia" w:ascii="仿宋" w:hAnsi="仿宋" w:eastAsia="仿宋" w:cs="Arial"/>
                <w:b/>
                <w:bCs w:val="0"/>
                <w:color w:val="auto"/>
                <w:w w:val="90"/>
                <w:kern w:val="2"/>
                <w:sz w:val="24"/>
                <w:lang w:val="en-US" w:eastAsia="zh-CN"/>
              </w:rPr>
              <w:t>具有</w:t>
            </w:r>
            <w:r>
              <w:rPr>
                <w:rFonts w:hint="eastAsia" w:ascii="仿宋" w:hAnsi="仿宋" w:eastAsia="仿宋" w:cs="Arial"/>
                <w:b/>
                <w:bCs w:val="0"/>
                <w:color w:val="auto"/>
                <w:w w:val="90"/>
                <w:kern w:val="2"/>
                <w:sz w:val="24"/>
                <w:lang w:eastAsia="zh-CN"/>
              </w:rPr>
              <w:t>电力工程施工总承包三级及以上资质或输变电工程专业承包三级及以上资质</w:t>
            </w:r>
            <w:r>
              <w:rPr>
                <w:rFonts w:hint="eastAsia" w:ascii="仿宋" w:hAnsi="仿宋" w:eastAsia="仿宋" w:cs="仿宋"/>
                <w:color w:val="auto"/>
                <w:sz w:val="24"/>
              </w:rPr>
              <w:t>（联合体响应的，承担施工工作一方具有此资质）</w:t>
            </w:r>
            <w:r>
              <w:rPr>
                <w:rFonts w:hint="eastAsia" w:ascii="仿宋" w:hAnsi="仿宋" w:eastAsia="仿宋"/>
                <w:color w:val="auto"/>
                <w:sz w:val="24"/>
                <w:u w:val="none"/>
                <w:lang w:val="en-US" w:eastAsia="zh-CN"/>
              </w:rPr>
              <w:t>；</w:t>
            </w:r>
          </w:p>
          <w:p w14:paraId="331CA525">
            <w:pPr>
              <w:spacing w:line="276" w:lineRule="auto"/>
              <w:jc w:val="left"/>
              <w:rPr>
                <w:rFonts w:hint="eastAsia" w:ascii="仿宋" w:hAnsi="仿宋" w:eastAsia="仿宋" w:cs="Arial"/>
                <w:b/>
                <w:color w:val="auto"/>
                <w:w w:val="90"/>
                <w:sz w:val="24"/>
                <w:lang w:eastAsia="zh-CN"/>
              </w:rPr>
            </w:pPr>
            <w:r>
              <w:rPr>
                <w:rFonts w:hint="eastAsia" w:ascii="仿宋" w:hAnsi="仿宋" w:eastAsia="仿宋" w:cs="Arial"/>
                <w:b/>
                <w:bCs w:val="0"/>
                <w:color w:val="auto"/>
                <w:w w:val="90"/>
                <w:kern w:val="2"/>
                <w:sz w:val="24"/>
                <w:lang w:eastAsia="zh-CN"/>
              </w:rPr>
              <w:t>（</w:t>
            </w:r>
            <w:r>
              <w:rPr>
                <w:rFonts w:hint="eastAsia" w:ascii="仿宋" w:hAnsi="仿宋" w:eastAsia="仿宋" w:cs="Arial"/>
                <w:b/>
                <w:bCs w:val="0"/>
                <w:color w:val="auto"/>
                <w:w w:val="90"/>
                <w:kern w:val="2"/>
                <w:sz w:val="24"/>
                <w:lang w:val="en-US" w:eastAsia="zh-CN"/>
              </w:rPr>
              <w:t>3</w:t>
            </w:r>
            <w:r>
              <w:rPr>
                <w:rFonts w:hint="eastAsia" w:ascii="仿宋" w:hAnsi="仿宋" w:eastAsia="仿宋" w:cs="Arial"/>
                <w:b/>
                <w:color w:val="auto"/>
                <w:w w:val="90"/>
                <w:sz w:val="24"/>
              </w:rPr>
              <w:t>▲</w:t>
            </w:r>
            <w:r>
              <w:rPr>
                <w:rFonts w:hint="eastAsia" w:ascii="仿宋" w:hAnsi="仿宋" w:eastAsia="仿宋" w:cs="Arial"/>
                <w:b/>
                <w:bCs w:val="0"/>
                <w:color w:val="auto"/>
                <w:w w:val="90"/>
                <w:kern w:val="2"/>
                <w:sz w:val="24"/>
                <w:lang w:val="en-US" w:eastAsia="zh-CN"/>
              </w:rPr>
              <w:t>）具有</w:t>
            </w:r>
            <w:r>
              <w:rPr>
                <w:rFonts w:hint="eastAsia" w:ascii="仿宋" w:hAnsi="仿宋" w:eastAsia="仿宋" w:cs="Arial"/>
                <w:b/>
                <w:bCs w:val="0"/>
                <w:color w:val="auto"/>
                <w:w w:val="90"/>
                <w:kern w:val="2"/>
                <w:sz w:val="24"/>
                <w:lang w:eastAsia="zh-CN"/>
              </w:rPr>
              <w:t>承装(修、试)电力设施许可证</w:t>
            </w:r>
            <w:r>
              <w:rPr>
                <w:rFonts w:hint="eastAsia" w:ascii="仿宋" w:hAnsi="仿宋" w:eastAsia="仿宋" w:cs="Arial"/>
                <w:b/>
                <w:bCs w:val="0"/>
                <w:color w:val="auto"/>
                <w:w w:val="90"/>
                <w:kern w:val="2"/>
                <w:sz w:val="24"/>
                <w:lang w:val="en-US" w:eastAsia="zh-CN"/>
              </w:rPr>
              <w:t>五</w:t>
            </w:r>
            <w:r>
              <w:rPr>
                <w:rFonts w:hint="eastAsia" w:ascii="仿宋" w:hAnsi="仿宋" w:eastAsia="仿宋" w:cs="Arial"/>
                <w:b/>
                <w:bCs w:val="0"/>
                <w:color w:val="auto"/>
                <w:w w:val="90"/>
                <w:kern w:val="2"/>
                <w:sz w:val="24"/>
                <w:lang w:eastAsia="zh-CN"/>
              </w:rPr>
              <w:t>级及以上资质</w:t>
            </w:r>
            <w:r>
              <w:rPr>
                <w:rFonts w:hint="eastAsia" w:ascii="仿宋" w:hAnsi="仿宋" w:eastAsia="仿宋" w:cs="仿宋"/>
                <w:color w:val="auto"/>
                <w:sz w:val="24"/>
              </w:rPr>
              <w:t>（联合体响应的，承担施工工作一方具有此资质）</w:t>
            </w:r>
            <w:r>
              <w:rPr>
                <w:rFonts w:hint="eastAsia" w:ascii="仿宋" w:hAnsi="仿宋" w:eastAsia="仿宋"/>
                <w:color w:val="auto"/>
                <w:sz w:val="24"/>
                <w:u w:val="none"/>
                <w:lang w:val="en-US" w:eastAsia="zh-CN"/>
              </w:rPr>
              <w:t>；</w:t>
            </w:r>
          </w:p>
          <w:p w14:paraId="7C726371">
            <w:pPr>
              <w:spacing w:line="276" w:lineRule="auto"/>
              <w:jc w:val="left"/>
              <w:rPr>
                <w:rFonts w:hint="default" w:ascii="仿宋" w:hAnsi="仿宋" w:eastAsia="仿宋"/>
                <w:color w:val="000000" w:themeColor="text1"/>
                <w:sz w:val="24"/>
                <w14:textFill>
                  <w14:solidFill>
                    <w14:schemeClr w14:val="tx1"/>
                  </w14:solidFill>
                </w14:textFill>
              </w:rPr>
            </w:pPr>
            <w:r>
              <w:rPr>
                <w:rFonts w:hint="eastAsia" w:ascii="仿宋" w:hAnsi="仿宋" w:eastAsia="仿宋" w:cs="Arial"/>
                <w:b/>
                <w:bCs w:val="0"/>
                <w:color w:val="auto"/>
                <w:w w:val="90"/>
                <w:kern w:val="2"/>
                <w:sz w:val="24"/>
                <w:lang w:eastAsia="zh-CN"/>
              </w:rPr>
              <w:t>（</w:t>
            </w:r>
            <w:r>
              <w:rPr>
                <w:rFonts w:hint="eastAsia" w:ascii="仿宋" w:hAnsi="仿宋" w:eastAsia="仿宋" w:cs="Arial"/>
                <w:b/>
                <w:bCs w:val="0"/>
                <w:color w:val="auto"/>
                <w:w w:val="90"/>
                <w:kern w:val="2"/>
                <w:sz w:val="24"/>
                <w:lang w:val="en-US" w:eastAsia="zh-CN"/>
              </w:rPr>
              <w:t>4</w:t>
            </w:r>
            <w:r>
              <w:rPr>
                <w:rFonts w:hint="eastAsia" w:ascii="仿宋" w:hAnsi="仿宋" w:eastAsia="仿宋" w:cs="Arial"/>
                <w:b/>
                <w:bCs w:val="0"/>
                <w:color w:val="auto"/>
                <w:w w:val="90"/>
                <w:kern w:val="2"/>
                <w:sz w:val="24"/>
                <w:lang w:eastAsia="zh-CN"/>
              </w:rPr>
              <w:t>）</w:t>
            </w:r>
            <w:r>
              <w:rPr>
                <w:rFonts w:hint="eastAsia" w:ascii="仿宋" w:hAnsi="仿宋" w:eastAsia="仿宋" w:cs="Arial"/>
                <w:b/>
                <w:color w:val="auto"/>
                <w:w w:val="90"/>
                <w:sz w:val="24"/>
              </w:rPr>
              <w:t>▲</w:t>
            </w:r>
            <w:r>
              <w:rPr>
                <w:rFonts w:hint="eastAsia" w:ascii="仿宋" w:hAnsi="仿宋" w:eastAsia="仿宋" w:cs="Arial"/>
                <w:b/>
                <w:bCs w:val="0"/>
                <w:color w:val="auto"/>
                <w:w w:val="90"/>
                <w:kern w:val="2"/>
                <w:sz w:val="24"/>
                <w:lang w:eastAsia="zh-CN"/>
              </w:rPr>
              <w:t>具有企业《安全生产许可证》</w:t>
            </w:r>
            <w:r>
              <w:rPr>
                <w:rFonts w:hint="eastAsia" w:ascii="仿宋" w:hAnsi="仿宋" w:eastAsia="仿宋" w:cs="仿宋"/>
                <w:color w:val="auto"/>
                <w:sz w:val="24"/>
              </w:rPr>
              <w:t>（联合体响应的，承担施工工作一方具有此资质）</w:t>
            </w:r>
            <w:r>
              <w:rPr>
                <w:rFonts w:hint="default" w:ascii="仿宋" w:hAnsi="仿宋" w:eastAsia="仿宋"/>
                <w:color w:val="auto"/>
                <w:sz w:val="24"/>
                <w:u w:val="none"/>
                <w:lang w:eastAsia="zh-CN"/>
              </w:rPr>
              <w:t>。</w:t>
            </w:r>
          </w:p>
        </w:tc>
        <w:tc>
          <w:tcPr>
            <w:tcW w:w="721" w:type="dxa"/>
            <w:vAlign w:val="center"/>
          </w:tcPr>
          <w:p w14:paraId="7346E643">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5E0F715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14:paraId="4FAEDE1C">
            <w:pPr>
              <w:autoSpaceDE w:val="0"/>
              <w:autoSpaceDN w:val="0"/>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1-3-2</w:t>
            </w:r>
          </w:p>
        </w:tc>
        <w:tc>
          <w:tcPr>
            <w:tcW w:w="8331" w:type="dxa"/>
            <w:vAlign w:val="center"/>
          </w:tcPr>
          <w:p w14:paraId="028BC606">
            <w:pPr>
              <w:autoSpaceDE w:val="0"/>
              <w:autoSpaceDN w:val="0"/>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w w:val="90"/>
                <w:kern w:val="0"/>
                <w:sz w:val="24"/>
                <w14:textFill>
                  <w14:solidFill>
                    <w14:schemeClr w14:val="tx1"/>
                  </w14:solidFill>
                </w14:textFill>
              </w:rPr>
              <w:t>▲</w:t>
            </w:r>
            <w:r>
              <w:rPr>
                <w:rFonts w:hint="eastAsia" w:ascii="仿宋" w:hAnsi="仿宋" w:eastAsia="仿宋" w:cs="Arial"/>
                <w:b/>
                <w:color w:val="000000" w:themeColor="text1"/>
                <w:w w:val="90"/>
                <w:sz w:val="24"/>
                <w14:textFill>
                  <w14:solidFill>
                    <w14:schemeClr w14:val="tx1"/>
                  </w14:solidFill>
                </w14:textFill>
              </w:rPr>
              <w:t>有效的《联合投标协议书》（仅联合体须提供）</w:t>
            </w:r>
            <w:r>
              <w:rPr>
                <w:rFonts w:hint="eastAsia" w:ascii="仿宋" w:hAnsi="仿宋" w:eastAsia="仿宋"/>
                <w:color w:val="000000" w:themeColor="text1"/>
                <w:w w:val="90"/>
                <w:sz w:val="24"/>
                <w14:textFill>
                  <w14:solidFill>
                    <w14:schemeClr w14:val="tx1"/>
                  </w14:solidFill>
                </w14:textFill>
              </w:rPr>
              <w:t>（格式见第六章）</w:t>
            </w:r>
          </w:p>
        </w:tc>
        <w:tc>
          <w:tcPr>
            <w:tcW w:w="721" w:type="dxa"/>
            <w:vAlign w:val="center"/>
          </w:tcPr>
          <w:p w14:paraId="4738833C">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173AE4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tcPr>
          <w:p w14:paraId="117BC73D">
            <w:pPr>
              <w:autoSpaceDE w:val="0"/>
              <w:autoSpaceDN w:val="0"/>
              <w:spacing w:line="276" w:lineRule="auto"/>
              <w:jc w:val="center"/>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1-3-3</w:t>
            </w:r>
          </w:p>
        </w:tc>
        <w:tc>
          <w:tcPr>
            <w:tcW w:w="8331" w:type="dxa"/>
          </w:tcPr>
          <w:p w14:paraId="54971E37">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▲有效的《分包意向协议》（仅分包须提供）</w:t>
            </w:r>
            <w:r>
              <w:rPr>
                <w:rFonts w:hint="eastAsia" w:ascii="仿宋" w:hAnsi="仿宋" w:eastAsia="仿宋" w:cs="Arial"/>
                <w:color w:val="000000" w:themeColor="text1"/>
                <w:kern w:val="0"/>
                <w:sz w:val="24"/>
                <w14:textFill>
                  <w14:solidFill>
                    <w14:schemeClr w14:val="tx1"/>
                  </w14:solidFill>
                </w14:textFill>
              </w:rPr>
              <w:t>（格式见第六章）</w:t>
            </w:r>
          </w:p>
        </w:tc>
        <w:tc>
          <w:tcPr>
            <w:tcW w:w="721" w:type="dxa"/>
            <w:vAlign w:val="center"/>
          </w:tcPr>
          <w:p w14:paraId="446F0084">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68F22E5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14:paraId="7DF2C4D1">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p>
        </w:tc>
        <w:tc>
          <w:tcPr>
            <w:tcW w:w="9052" w:type="dxa"/>
            <w:gridSpan w:val="2"/>
            <w:shd w:val="clear" w:color="auto" w:fill="E5DFEC"/>
            <w:vAlign w:val="center"/>
          </w:tcPr>
          <w:p w14:paraId="65758813">
            <w:pPr>
              <w:autoSpaceDE w:val="0"/>
              <w:autoSpaceDN w:val="0"/>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以上</w:t>
            </w:r>
            <w:r>
              <w:rPr>
                <w:rFonts w:hint="eastAsia" w:ascii="仿宋" w:hAnsi="仿宋" w:eastAsia="仿宋" w:cs="Arial"/>
                <w:b/>
                <w:color w:val="000000" w:themeColor="text1"/>
                <w:kern w:val="0"/>
                <w:sz w:val="24"/>
                <w14:textFill>
                  <w14:solidFill>
                    <w14:schemeClr w14:val="tx1"/>
                  </w14:solidFill>
                </w14:textFill>
              </w:rPr>
              <w:t>资格证明文件未提供的，作“资格审查不合格”处理，不得进入后续评标程序。</w:t>
            </w:r>
          </w:p>
        </w:tc>
      </w:tr>
    </w:tbl>
    <w:p w14:paraId="788AEAE0">
      <w:pPr>
        <w:pStyle w:val="296"/>
        <w:autoSpaceDE w:val="0"/>
        <w:autoSpaceDN w:val="0"/>
        <w:adjustRightInd w:val="0"/>
        <w:snapToGrid w:val="0"/>
        <w:spacing w:line="360" w:lineRule="auto"/>
        <w:ind w:firstLine="210" w:firstLineChars="100"/>
        <w:rPr>
          <w:rFonts w:hint="eastAsia" w:ascii="仿宋" w:hAnsi="仿宋" w:eastAsia="仿宋" w:cs="仿宋"/>
          <w:b/>
          <w:bCs/>
          <w:color w:val="FF0000"/>
          <w:kern w:val="0"/>
          <w:sz w:val="24"/>
          <w:highlight w:val="none"/>
          <w:lang w:eastAsia="zh-CN"/>
        </w:rPr>
      </w:pPr>
      <w:r>
        <w:rPr>
          <w:color w:val="000000" w:themeColor="text1"/>
          <w14:textFill>
            <w14:solidFill>
              <w14:schemeClr w14:val="tx1"/>
            </w14:solidFill>
          </w14:textFill>
        </w:rPr>
        <w:br w:type="page"/>
      </w:r>
    </w:p>
    <w:p w14:paraId="7F7C3167">
      <w:pPr>
        <w:pStyle w:val="6"/>
        <w:autoSpaceDE w:val="0"/>
        <w:autoSpaceDN w:val="0"/>
        <w:ind w:firstLine="561"/>
      </w:pPr>
      <w:r>
        <w:rPr>
          <w:rFonts w:hint="eastAsia"/>
        </w:rPr>
        <w:t>（2）《商务技术文件》</w:t>
      </w:r>
    </w:p>
    <w:tbl>
      <w:tblPr>
        <w:tblStyle w:val="52"/>
        <w:tblW w:w="9987"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1725"/>
        <w:gridCol w:w="84"/>
        <w:gridCol w:w="6491"/>
        <w:gridCol w:w="775"/>
      </w:tblGrid>
      <w:tr w14:paraId="41B1810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themeFill="accent5" w:themeFillTint="33"/>
            <w:vAlign w:val="center"/>
          </w:tcPr>
          <w:p w14:paraId="5A80466F">
            <w:pPr>
              <w:autoSpaceDE w:val="0"/>
              <w:autoSpaceDN w:val="0"/>
              <w:spacing w:line="276" w:lineRule="auto"/>
              <w:jc w:val="center"/>
              <w:rPr>
                <w:rFonts w:hint="eastAsia"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300" w:type="dxa"/>
            <w:gridSpan w:val="3"/>
            <w:shd w:val="clear" w:color="auto" w:fill="DAEEF3" w:themeFill="accent5" w:themeFillTint="33"/>
            <w:vAlign w:val="center"/>
          </w:tcPr>
          <w:p w14:paraId="061B00A5">
            <w:pPr>
              <w:autoSpaceDE w:val="0"/>
              <w:autoSpaceDN w:val="0"/>
              <w:jc w:val="center"/>
              <w:rPr>
                <w:rFonts w:hint="eastAsia"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第二部分《商务技术文件》组成内容及要求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75" w:type="dxa"/>
            <w:shd w:val="clear" w:color="auto" w:fill="DAEEF3" w:themeFill="accent5" w:themeFillTint="33"/>
            <w:vAlign w:val="center"/>
          </w:tcPr>
          <w:p w14:paraId="54F47822">
            <w:pPr>
              <w:autoSpaceDE w:val="0"/>
              <w:autoSpaceDN w:val="0"/>
              <w:spacing w:line="276" w:lineRule="auto"/>
              <w:jc w:val="center"/>
              <w:rPr>
                <w:rFonts w:hint="eastAsia"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14:paraId="7ED934D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51B09B40">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w:t>
            </w:r>
          </w:p>
        </w:tc>
        <w:tc>
          <w:tcPr>
            <w:tcW w:w="8300" w:type="dxa"/>
            <w:gridSpan w:val="3"/>
            <w:shd w:val="clear" w:color="auto" w:fill="FFFFFF" w:themeFill="background1"/>
            <w:vAlign w:val="center"/>
          </w:tcPr>
          <w:p w14:paraId="7F40C3AF">
            <w:pPr>
              <w:autoSpaceDE w:val="0"/>
              <w:autoSpaceDN w:val="0"/>
              <w:spacing w:line="276" w:lineRule="auto"/>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《商务技术文件》封面</w:t>
            </w:r>
            <w:r>
              <w:rPr>
                <w:rFonts w:hint="eastAsia" w:ascii="仿宋" w:hAnsi="仿宋" w:eastAsia="仿宋"/>
                <w:color w:val="000000" w:themeColor="text1"/>
                <w:sz w:val="24"/>
                <w14:textFill>
                  <w14:solidFill>
                    <w14:schemeClr w14:val="tx1"/>
                  </w14:solidFill>
                </w14:textFill>
              </w:rPr>
              <w:t>（格式见第六章）</w:t>
            </w:r>
          </w:p>
        </w:tc>
        <w:tc>
          <w:tcPr>
            <w:tcW w:w="775" w:type="dxa"/>
            <w:shd w:val="clear" w:color="auto" w:fill="FFFFFF" w:themeFill="background1"/>
            <w:vAlign w:val="center"/>
          </w:tcPr>
          <w:p w14:paraId="729FFDD1">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57AD11D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4C121757">
            <w:pPr>
              <w:autoSpaceDE w:val="0"/>
              <w:autoSpaceDN w:val="0"/>
              <w:spacing w:line="276" w:lineRule="auto"/>
              <w:jc w:val="cente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2-2</w:t>
            </w:r>
          </w:p>
        </w:tc>
        <w:tc>
          <w:tcPr>
            <w:tcW w:w="8300" w:type="dxa"/>
            <w:gridSpan w:val="3"/>
            <w:shd w:val="clear" w:color="auto" w:fill="FFFFFF" w:themeFill="background1"/>
            <w:vAlign w:val="center"/>
          </w:tcPr>
          <w:p w14:paraId="0CA726CA">
            <w:pPr>
              <w:autoSpaceDE w:val="0"/>
              <w:autoSpaceDN w:val="0"/>
              <w:spacing w:line="276" w:lineRule="auto"/>
              <w:jc w:val="left"/>
              <w:rPr>
                <w:rFonts w:hint="default" w:ascii="仿宋" w:hAnsi="仿宋" w:eastAsia="仿宋" w:cs="Arial"/>
                <w:b/>
                <w:color w:val="000000" w:themeColor="text1"/>
                <w:kern w:val="0"/>
                <w:sz w:val="24"/>
                <w:lang w:val="en-US" w:eastAsia="zh-CN"/>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投标函</w:t>
            </w:r>
            <w:r>
              <w:rPr>
                <w:rFonts w:hint="eastAsia" w:ascii="仿宋" w:hAnsi="仿宋" w:eastAsia="仿宋"/>
                <w:color w:val="000000" w:themeColor="text1"/>
                <w:sz w:val="24"/>
                <w14:textFill>
                  <w14:solidFill>
                    <w14:schemeClr w14:val="tx1"/>
                  </w14:solidFill>
                </w14:textFill>
              </w:rPr>
              <w:t>（格式见第六章）</w:t>
            </w:r>
          </w:p>
        </w:tc>
        <w:tc>
          <w:tcPr>
            <w:tcW w:w="775" w:type="dxa"/>
            <w:shd w:val="clear" w:color="auto" w:fill="FFFFFF" w:themeFill="background1"/>
            <w:vAlign w:val="center"/>
          </w:tcPr>
          <w:p w14:paraId="63E08F18">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67E6CA9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6DCCBD99">
            <w:pPr>
              <w:autoSpaceDE w:val="0"/>
              <w:autoSpaceDN w:val="0"/>
              <w:spacing w:line="276" w:lineRule="auto"/>
              <w:jc w:val="cente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2-3</w:t>
            </w:r>
          </w:p>
        </w:tc>
        <w:tc>
          <w:tcPr>
            <w:tcW w:w="8300" w:type="dxa"/>
            <w:gridSpan w:val="3"/>
            <w:shd w:val="clear" w:color="auto" w:fill="FFFFFF" w:themeFill="background1"/>
            <w:vAlign w:val="center"/>
          </w:tcPr>
          <w:p w14:paraId="629277E9">
            <w:pPr>
              <w:autoSpaceDE w:val="0"/>
              <w:autoSpaceDN w:val="0"/>
              <w:spacing w:line="276" w:lineRule="auto"/>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关于《投标文件》所有内容真实、有效的承诺函</w:t>
            </w:r>
            <w:r>
              <w:rPr>
                <w:rFonts w:hint="eastAsia" w:ascii="仿宋" w:hAnsi="仿宋" w:eastAsia="仿宋"/>
                <w:color w:val="000000" w:themeColor="text1"/>
                <w:sz w:val="24"/>
                <w14:textFill>
                  <w14:solidFill>
                    <w14:schemeClr w14:val="tx1"/>
                  </w14:solidFill>
                </w14:textFill>
              </w:rPr>
              <w:t>（格式见第六章）</w:t>
            </w:r>
          </w:p>
        </w:tc>
        <w:tc>
          <w:tcPr>
            <w:tcW w:w="775" w:type="dxa"/>
            <w:shd w:val="clear" w:color="auto" w:fill="FFFFFF" w:themeFill="background1"/>
            <w:vAlign w:val="center"/>
          </w:tcPr>
          <w:p w14:paraId="280F240D">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1C15152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auto"/>
            <w:vAlign w:val="center"/>
          </w:tcPr>
          <w:p w14:paraId="1BF78BE1">
            <w:pPr>
              <w:autoSpaceDE w:val="0"/>
              <w:autoSpaceDN w:val="0"/>
              <w:spacing w:line="276" w:lineRule="auto"/>
              <w:jc w:val="center"/>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p>
        </w:tc>
        <w:tc>
          <w:tcPr>
            <w:tcW w:w="8300" w:type="dxa"/>
            <w:gridSpan w:val="3"/>
            <w:shd w:val="clear" w:color="auto" w:fill="FFFFFF" w:themeFill="background1"/>
            <w:vAlign w:val="center"/>
          </w:tcPr>
          <w:p w14:paraId="02BDFBFA">
            <w:pPr>
              <w:autoSpaceDE w:val="0"/>
              <w:autoSpaceDN w:val="0"/>
              <w:spacing w:line="276" w:lineRule="auto"/>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《法人（或单位）</w:t>
            </w:r>
            <w:r>
              <w:rPr>
                <w:rFonts w:ascii="仿宋" w:hAnsi="仿宋" w:eastAsia="仿宋" w:cs="Arial"/>
                <w:b/>
                <w:color w:val="000000" w:themeColor="text1"/>
                <w:kern w:val="0"/>
                <w:sz w:val="24"/>
                <w14:textFill>
                  <w14:solidFill>
                    <w14:schemeClr w14:val="tx1"/>
                  </w14:solidFill>
                </w14:textFill>
              </w:rPr>
              <w:t>授权委托书</w:t>
            </w: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（投标供应商授权其单位正式职工全权代表其处理投标事项或签署相关文件时须提供</w:t>
            </w:r>
            <w:r>
              <w:rPr>
                <w:rFonts w:hint="eastAsia" w:ascii="仿宋" w:hAnsi="仿宋" w:eastAsia="仿宋"/>
                <w:color w:val="000000" w:themeColor="text1"/>
                <w:sz w:val="24"/>
                <w14:textFill>
                  <w14:solidFill>
                    <w14:schemeClr w14:val="tx1"/>
                  </w14:solidFill>
                </w14:textFill>
              </w:rPr>
              <w:t>，格式见第六章</w:t>
            </w:r>
            <w:r>
              <w:rPr>
                <w:rFonts w:hint="eastAsia" w:ascii="仿宋" w:hAnsi="仿宋" w:eastAsia="仿宋" w:cs="Arial"/>
                <w:color w:val="000000" w:themeColor="text1"/>
                <w:kern w:val="0"/>
                <w:sz w:val="24"/>
                <w14:textFill>
                  <w14:solidFill>
                    <w14:schemeClr w14:val="tx1"/>
                  </w14:solidFill>
                </w14:textFill>
              </w:rPr>
              <w:t>）</w:t>
            </w:r>
          </w:p>
        </w:tc>
        <w:tc>
          <w:tcPr>
            <w:tcW w:w="775" w:type="dxa"/>
            <w:shd w:val="clear" w:color="auto" w:fill="FFFFFF" w:themeFill="background1"/>
            <w:vAlign w:val="center"/>
          </w:tcPr>
          <w:p w14:paraId="4D785300">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7FA03B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vAlign w:val="center"/>
          </w:tcPr>
          <w:p w14:paraId="6FD91DBB">
            <w:pPr>
              <w:autoSpaceDE w:val="0"/>
              <w:autoSpaceDN w:val="0"/>
              <w:spacing w:line="276" w:lineRule="auto"/>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2-5</w:t>
            </w:r>
          </w:p>
        </w:tc>
        <w:tc>
          <w:tcPr>
            <w:tcW w:w="1725" w:type="dxa"/>
            <w:vMerge w:val="restart"/>
            <w:vAlign w:val="center"/>
          </w:tcPr>
          <w:p w14:paraId="77568159">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供应商履约能力评价材料</w:t>
            </w:r>
          </w:p>
        </w:tc>
        <w:tc>
          <w:tcPr>
            <w:tcW w:w="6575" w:type="dxa"/>
            <w:gridSpan w:val="2"/>
            <w:vAlign w:val="center"/>
          </w:tcPr>
          <w:p w14:paraId="4CAD1B42">
            <w:pPr>
              <w:autoSpaceDE w:val="0"/>
              <w:autoSpaceDN w:val="0"/>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2-4-1供应商履约能力评价证明材料（对照评分细则提供）</w:t>
            </w:r>
          </w:p>
        </w:tc>
        <w:tc>
          <w:tcPr>
            <w:tcW w:w="775" w:type="dxa"/>
            <w:vAlign w:val="center"/>
          </w:tcPr>
          <w:p w14:paraId="27FB8A6B">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4B16E3E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vAlign w:val="center"/>
          </w:tcPr>
          <w:p w14:paraId="4D6E2D78">
            <w:pPr>
              <w:autoSpaceDE w:val="0"/>
              <w:autoSpaceDN w:val="0"/>
              <w:spacing w:line="276" w:lineRule="auto"/>
              <w:jc w:val="center"/>
              <w:rPr>
                <w:rFonts w:hint="eastAsia" w:ascii="仿宋" w:hAnsi="仿宋" w:eastAsia="仿宋"/>
                <w:color w:val="000000" w:themeColor="text1"/>
                <w:sz w:val="24"/>
                <w14:textFill>
                  <w14:solidFill>
                    <w14:schemeClr w14:val="tx1"/>
                  </w14:solidFill>
                </w14:textFill>
              </w:rPr>
            </w:pPr>
          </w:p>
        </w:tc>
        <w:tc>
          <w:tcPr>
            <w:tcW w:w="1725" w:type="dxa"/>
            <w:vMerge w:val="continue"/>
            <w:vAlign w:val="center"/>
          </w:tcPr>
          <w:p w14:paraId="16D33D45">
            <w:pPr>
              <w:autoSpaceDE w:val="0"/>
              <w:autoSpaceDN w:val="0"/>
              <w:spacing w:line="276" w:lineRule="auto"/>
              <w:jc w:val="center"/>
              <w:rPr>
                <w:rFonts w:hint="eastAsia" w:ascii="仿宋" w:hAnsi="仿宋" w:eastAsia="仿宋" w:cs="Arial"/>
                <w:b/>
                <w:color w:val="000000" w:themeColor="text1"/>
                <w:kern w:val="0"/>
                <w:sz w:val="24"/>
                <w14:textFill>
                  <w14:solidFill>
                    <w14:schemeClr w14:val="tx1"/>
                  </w14:solidFill>
                </w14:textFill>
              </w:rPr>
            </w:pPr>
          </w:p>
        </w:tc>
        <w:tc>
          <w:tcPr>
            <w:tcW w:w="6575" w:type="dxa"/>
            <w:gridSpan w:val="2"/>
            <w:vAlign w:val="center"/>
          </w:tcPr>
          <w:p w14:paraId="40E25064">
            <w:pPr>
              <w:autoSpaceDE w:val="0"/>
              <w:autoSpaceDN w:val="0"/>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▲2-4-2拟派项目经理的</w:t>
            </w:r>
            <w:r>
              <w:rPr>
                <w:rFonts w:hint="eastAsia" w:ascii="仿宋" w:hAnsi="仿宋" w:eastAsia="仿宋"/>
                <w:color w:val="auto"/>
                <w:sz w:val="24"/>
                <w:highlight w:val="none"/>
                <w:lang w:val="en-US" w:eastAsia="zh-CN"/>
              </w:rPr>
              <w:t>机电工程</w:t>
            </w:r>
            <w:r>
              <w:rPr>
                <w:rFonts w:hint="eastAsia" w:ascii="仿宋" w:hAnsi="仿宋" w:eastAsia="仿宋"/>
                <w:color w:val="000000" w:themeColor="text1"/>
                <w:sz w:val="24"/>
                <w14:textFill>
                  <w14:solidFill>
                    <w14:schemeClr w14:val="tx1"/>
                  </w14:solidFill>
                </w14:textFill>
              </w:rPr>
              <w:t>专业二级及以上注册建造师资格证书（扫描件加盖磋商响应供应商公章）；拟派项目经理的“三类人员”B类证书、拟派现场的安全专职管理员的施工现场安全生产专职管理人员“三类人员”C类证书（扫描件加盖磋商响应供应商公章）；</w:t>
            </w:r>
          </w:p>
        </w:tc>
        <w:tc>
          <w:tcPr>
            <w:tcW w:w="775" w:type="dxa"/>
            <w:vAlign w:val="center"/>
          </w:tcPr>
          <w:p w14:paraId="4532DB61">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65795C3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vAlign w:val="center"/>
          </w:tcPr>
          <w:p w14:paraId="48327361">
            <w:pPr>
              <w:autoSpaceDE w:val="0"/>
              <w:autoSpaceDN w:val="0"/>
              <w:spacing w:line="276" w:lineRule="auto"/>
              <w:jc w:val="center"/>
              <w:rPr>
                <w:rFonts w:hint="eastAsia" w:ascii="仿宋" w:hAnsi="仿宋" w:eastAsia="仿宋"/>
                <w:color w:val="000000" w:themeColor="text1"/>
                <w:sz w:val="24"/>
                <w14:textFill>
                  <w14:solidFill>
                    <w14:schemeClr w14:val="tx1"/>
                  </w14:solidFill>
                </w14:textFill>
              </w:rPr>
            </w:pPr>
          </w:p>
        </w:tc>
        <w:tc>
          <w:tcPr>
            <w:tcW w:w="1725" w:type="dxa"/>
            <w:vMerge w:val="continue"/>
            <w:vAlign w:val="center"/>
          </w:tcPr>
          <w:p w14:paraId="5281353E">
            <w:pPr>
              <w:autoSpaceDE w:val="0"/>
              <w:autoSpaceDN w:val="0"/>
              <w:spacing w:line="276" w:lineRule="auto"/>
              <w:jc w:val="center"/>
              <w:rPr>
                <w:rFonts w:hint="eastAsia" w:ascii="仿宋" w:hAnsi="仿宋" w:eastAsia="仿宋" w:cs="Arial"/>
                <w:b/>
                <w:color w:val="000000" w:themeColor="text1"/>
                <w:kern w:val="0"/>
                <w:sz w:val="24"/>
                <w14:textFill>
                  <w14:solidFill>
                    <w14:schemeClr w14:val="tx1"/>
                  </w14:solidFill>
                </w14:textFill>
              </w:rPr>
            </w:pPr>
          </w:p>
        </w:tc>
        <w:tc>
          <w:tcPr>
            <w:tcW w:w="6575" w:type="dxa"/>
            <w:gridSpan w:val="2"/>
            <w:vAlign w:val="center"/>
          </w:tcPr>
          <w:p w14:paraId="41E45FAB">
            <w:pPr>
              <w:autoSpaceDE w:val="0"/>
              <w:autoSpaceDN w:val="0"/>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▲2-4-3拟派项目经理无在建项目承诺函</w:t>
            </w:r>
          </w:p>
        </w:tc>
        <w:tc>
          <w:tcPr>
            <w:tcW w:w="775" w:type="dxa"/>
            <w:vAlign w:val="center"/>
          </w:tcPr>
          <w:p w14:paraId="7136FC48">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0E70921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shd w:val="clear" w:color="auto" w:fill="FFFFFF" w:themeFill="background1"/>
            <w:vAlign w:val="center"/>
          </w:tcPr>
          <w:p w14:paraId="7BD30F14">
            <w:pPr>
              <w:autoSpaceDE w:val="0"/>
              <w:autoSpaceDN w:val="0"/>
              <w:spacing w:line="276" w:lineRule="auto"/>
              <w:jc w:val="cente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pPr>
          </w:p>
        </w:tc>
        <w:tc>
          <w:tcPr>
            <w:tcW w:w="1725" w:type="dxa"/>
            <w:vMerge w:val="continue"/>
            <w:vAlign w:val="center"/>
          </w:tcPr>
          <w:p w14:paraId="6AF66A73">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p>
        </w:tc>
        <w:tc>
          <w:tcPr>
            <w:tcW w:w="6575" w:type="dxa"/>
            <w:gridSpan w:val="2"/>
            <w:vAlign w:val="center"/>
          </w:tcPr>
          <w:p w14:paraId="0A5EA51B">
            <w:pPr>
              <w:autoSpaceDE w:val="0"/>
              <w:autoSpaceDN w:val="0"/>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2-4-4供应商类似项目业绩证明材料（对照评分细则提供）</w:t>
            </w:r>
          </w:p>
        </w:tc>
        <w:tc>
          <w:tcPr>
            <w:tcW w:w="775" w:type="dxa"/>
            <w:vAlign w:val="center"/>
          </w:tcPr>
          <w:p w14:paraId="6BF0C2DD">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10EC35C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0FA2703A">
            <w:pPr>
              <w:autoSpaceDE w:val="0"/>
              <w:autoSpaceDN w:val="0"/>
              <w:spacing w:line="276" w:lineRule="auto"/>
              <w:jc w:val="center"/>
              <w:rPr>
                <w:rFonts w:hint="eastAsia" w:ascii="仿宋" w:hAnsi="仿宋" w:eastAsia="仿宋" w:cs="Times New Roman"/>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t>2-6</w:t>
            </w:r>
          </w:p>
        </w:tc>
        <w:tc>
          <w:tcPr>
            <w:tcW w:w="8300" w:type="dxa"/>
            <w:gridSpan w:val="3"/>
            <w:shd w:val="clear" w:color="auto" w:fill="FFFFFF" w:themeFill="background1"/>
            <w:vAlign w:val="center"/>
          </w:tcPr>
          <w:p w14:paraId="65B8270D">
            <w:pPr>
              <w:autoSpaceDE w:val="0"/>
              <w:autoSpaceDN w:val="0"/>
              <w:spacing w:line="276" w:lineRule="auto"/>
              <w:jc w:val="left"/>
              <w:rPr>
                <w:rFonts w:hint="eastAsia" w:ascii="仿宋" w:hAnsi="仿宋" w:eastAsia="仿宋"/>
                <w:b w:val="0"/>
                <w:bCs/>
                <w:color w:val="000000" w:themeColor="text1"/>
                <w:sz w:val="24"/>
                <w14:textFill>
                  <w14:solidFill>
                    <w14:schemeClr w14:val="tx1"/>
                  </w14:solidFill>
                </w14:textFill>
              </w:rPr>
            </w:pPr>
            <w:r>
              <w:rPr>
                <w:rFonts w:hint="eastAsia" w:ascii="仿宋" w:hAnsi="仿宋" w:eastAsia="仿宋" w:cs="Arial"/>
                <w:b w:val="0"/>
                <w:bCs/>
                <w:color w:val="000000" w:themeColor="text1"/>
                <w:kern w:val="0"/>
                <w:sz w:val="24"/>
                <w14:textFill>
                  <w14:solidFill>
                    <w14:schemeClr w14:val="tx1"/>
                  </w14:solidFill>
                </w14:textFill>
              </w:rPr>
              <w:t>拟派项目经理类似项目业绩情况</w:t>
            </w:r>
          </w:p>
        </w:tc>
        <w:tc>
          <w:tcPr>
            <w:tcW w:w="775" w:type="dxa"/>
            <w:shd w:val="clear" w:color="auto" w:fill="FFFFFF" w:themeFill="background1"/>
            <w:vAlign w:val="center"/>
          </w:tcPr>
          <w:p w14:paraId="64BF1096">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940301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50D8646B">
            <w:pPr>
              <w:autoSpaceDE w:val="0"/>
              <w:autoSpaceDN w:val="0"/>
              <w:spacing w:line="276" w:lineRule="auto"/>
              <w:jc w:val="center"/>
              <w:rPr>
                <w:rFonts w:hint="eastAsia" w:ascii="仿宋" w:hAnsi="仿宋" w:eastAsia="仿宋" w:cs="Times New Roman"/>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b w:val="0"/>
                <w:bCs/>
                <w:color w:val="000000" w:themeColor="text1"/>
                <w:sz w:val="24"/>
                <w14:textFill>
                  <w14:solidFill>
                    <w14:schemeClr w14:val="tx1"/>
                  </w14:solidFill>
                </w14:textFill>
              </w:rPr>
              <w:t>2-7</w:t>
            </w:r>
          </w:p>
        </w:tc>
        <w:tc>
          <w:tcPr>
            <w:tcW w:w="8300" w:type="dxa"/>
            <w:gridSpan w:val="3"/>
            <w:shd w:val="clear" w:color="auto" w:fill="FFFFFF" w:themeFill="background1"/>
            <w:vAlign w:val="center"/>
          </w:tcPr>
          <w:p w14:paraId="18913524">
            <w:pPr>
              <w:autoSpaceDE w:val="0"/>
              <w:autoSpaceDN w:val="0"/>
              <w:spacing w:line="276" w:lineRule="auto"/>
              <w:jc w:val="left"/>
              <w:rPr>
                <w:rFonts w:hint="eastAsia" w:ascii="仿宋" w:hAnsi="仿宋" w:eastAsia="仿宋"/>
                <w:b w:val="0"/>
                <w:bCs/>
                <w:color w:val="000000" w:themeColor="text1"/>
                <w:sz w:val="24"/>
                <w14:textFill>
                  <w14:solidFill>
                    <w14:schemeClr w14:val="tx1"/>
                  </w14:solidFill>
                </w14:textFill>
              </w:rPr>
            </w:pPr>
            <w:r>
              <w:rPr>
                <w:rFonts w:hint="eastAsia" w:ascii="仿宋" w:hAnsi="仿宋" w:eastAsia="仿宋" w:cs="Arial"/>
                <w:b w:val="0"/>
                <w:bCs/>
                <w:color w:val="000000" w:themeColor="text1"/>
                <w:kern w:val="0"/>
                <w:sz w:val="24"/>
                <w14:textFill>
                  <w14:solidFill>
                    <w14:schemeClr w14:val="tx1"/>
                  </w14:solidFill>
                </w14:textFill>
              </w:rPr>
              <w:t>商务技术偏离表</w:t>
            </w:r>
            <w:r>
              <w:rPr>
                <w:rFonts w:hint="eastAsia" w:ascii="仿宋" w:hAnsi="仿宋" w:eastAsia="仿宋"/>
                <w:b w:val="0"/>
                <w:bCs/>
                <w:color w:val="000000" w:themeColor="text1"/>
                <w:sz w:val="24"/>
                <w14:textFill>
                  <w14:solidFill>
                    <w14:schemeClr w14:val="tx1"/>
                  </w14:solidFill>
                </w14:textFill>
              </w:rPr>
              <w:t>（格式见第六章）</w:t>
            </w:r>
          </w:p>
        </w:tc>
        <w:tc>
          <w:tcPr>
            <w:tcW w:w="775" w:type="dxa"/>
            <w:shd w:val="clear" w:color="auto" w:fill="FFFFFF" w:themeFill="background1"/>
            <w:vAlign w:val="center"/>
          </w:tcPr>
          <w:p w14:paraId="15B05882">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6A4F7C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14:paraId="1E80E8E6">
            <w:pPr>
              <w:autoSpaceDE w:val="0"/>
              <w:autoSpaceDN w:val="0"/>
              <w:spacing w:line="276" w:lineRule="auto"/>
              <w:jc w:val="center"/>
              <w:rPr>
                <w:rFonts w:hint="eastAsia" w:ascii="仿宋" w:hAnsi="仿宋" w:eastAsia="仿宋" w:cs="Times New Roman"/>
                <w:bCs/>
                <w:color w:val="000000" w:themeColor="text1"/>
                <w:kern w:val="2"/>
                <w:sz w:val="24"/>
                <w:szCs w:val="24"/>
                <w:lang w:val="en-US" w:eastAsia="zh-CN" w:bidi="ar-SA"/>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2-8</w:t>
            </w:r>
          </w:p>
        </w:tc>
        <w:tc>
          <w:tcPr>
            <w:tcW w:w="8300" w:type="dxa"/>
            <w:gridSpan w:val="3"/>
            <w:shd w:val="clear" w:color="auto" w:fill="FFFFFF" w:themeFill="background1"/>
            <w:vAlign w:val="center"/>
          </w:tcPr>
          <w:p w14:paraId="52738889">
            <w:pPr>
              <w:autoSpaceDE w:val="0"/>
              <w:autoSpaceDN w:val="0"/>
              <w:spacing w:line="276" w:lineRule="auto"/>
              <w:jc w:val="left"/>
              <w:rPr>
                <w:rFonts w:hint="eastAsia" w:ascii="仿宋" w:hAnsi="仿宋" w:eastAsia="仿宋" w:cs="Arial"/>
                <w:b w:val="0"/>
                <w:bCs/>
                <w:color w:val="000000" w:themeColor="text1"/>
                <w:kern w:val="0"/>
                <w:sz w:val="24"/>
                <w14:textFill>
                  <w14:solidFill>
                    <w14:schemeClr w14:val="tx1"/>
                  </w14:solidFill>
                </w14:textFill>
              </w:rPr>
            </w:pPr>
            <w:r>
              <w:rPr>
                <w:rFonts w:hint="eastAsia" w:ascii="仿宋" w:hAnsi="仿宋" w:eastAsia="仿宋" w:cs="Arial"/>
                <w:b w:val="0"/>
                <w:bCs/>
                <w:color w:val="000000" w:themeColor="text1"/>
                <w:kern w:val="0"/>
                <w:sz w:val="24"/>
                <w14:textFill>
                  <w14:solidFill>
                    <w14:schemeClr w14:val="tx1"/>
                  </w14:solidFill>
                </w14:textFill>
              </w:rPr>
              <w:t>施工组织设计（</w:t>
            </w:r>
            <w:r>
              <w:rPr>
                <w:rFonts w:hint="eastAsia" w:ascii="仿宋" w:hAnsi="仿宋" w:eastAsia="仿宋"/>
                <w:b w:val="0"/>
                <w:bCs/>
                <w:color w:val="000000" w:themeColor="text1"/>
                <w:sz w:val="24"/>
                <w14:textFill>
                  <w14:solidFill>
                    <w14:schemeClr w14:val="tx1"/>
                  </w14:solidFill>
                </w14:textFill>
              </w:rPr>
              <w:t>格式见第六章</w:t>
            </w:r>
            <w:r>
              <w:rPr>
                <w:rFonts w:hint="eastAsia" w:ascii="仿宋" w:hAnsi="仿宋" w:eastAsia="仿宋" w:cs="Arial"/>
                <w:b w:val="0"/>
                <w:bCs/>
                <w:color w:val="000000" w:themeColor="text1"/>
                <w:kern w:val="0"/>
                <w:sz w:val="24"/>
                <w14:textFill>
                  <w14:solidFill>
                    <w14:schemeClr w14:val="tx1"/>
                  </w14:solidFill>
                </w14:textFill>
              </w:rPr>
              <w:t>）</w:t>
            </w:r>
          </w:p>
        </w:tc>
        <w:tc>
          <w:tcPr>
            <w:tcW w:w="775" w:type="dxa"/>
            <w:shd w:val="clear" w:color="auto" w:fill="FFFFFF" w:themeFill="background1"/>
            <w:vAlign w:val="center"/>
          </w:tcPr>
          <w:p w14:paraId="3549C676">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5FB306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auto"/>
            <w:vAlign w:val="center"/>
          </w:tcPr>
          <w:p w14:paraId="0672A4F4">
            <w:pPr>
              <w:autoSpaceDE w:val="0"/>
              <w:autoSpaceDN w:val="0"/>
              <w:spacing w:line="276" w:lineRule="auto"/>
              <w:jc w:val="center"/>
              <w:rPr>
                <w:rFonts w:hint="eastAsia" w:ascii="仿宋" w:hAnsi="仿宋" w:eastAsia="仿宋" w:cs="Times New Roman"/>
                <w:bCs/>
                <w:color w:val="000000" w:themeColor="text1"/>
                <w:kern w:val="2"/>
                <w:sz w:val="24"/>
                <w:szCs w:val="24"/>
                <w:lang w:val="en-US" w:eastAsia="zh-CN" w:bidi="ar-SA"/>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2-9</w:t>
            </w:r>
          </w:p>
        </w:tc>
        <w:tc>
          <w:tcPr>
            <w:tcW w:w="8300" w:type="dxa"/>
            <w:gridSpan w:val="3"/>
            <w:shd w:val="clear" w:color="auto" w:fill="FFFFFF" w:themeFill="background1"/>
            <w:vAlign w:val="center"/>
          </w:tcPr>
          <w:p w14:paraId="772EE321">
            <w:pPr>
              <w:autoSpaceDE w:val="0"/>
              <w:autoSpaceDN w:val="0"/>
              <w:spacing w:line="276" w:lineRule="auto"/>
              <w:jc w:val="left"/>
              <w:rPr>
                <w:rFonts w:hint="eastAsia" w:ascii="仿宋" w:hAnsi="仿宋" w:eastAsia="仿宋" w:cs="Arial"/>
                <w:b w:val="0"/>
                <w:bCs/>
                <w:color w:val="000000" w:themeColor="text1"/>
                <w:kern w:val="0"/>
                <w:sz w:val="24"/>
                <w14:textFill>
                  <w14:solidFill>
                    <w14:schemeClr w14:val="tx1"/>
                  </w14:solidFill>
                </w14:textFill>
              </w:rPr>
            </w:pPr>
            <w:r>
              <w:rPr>
                <w:rFonts w:hint="eastAsia" w:ascii="仿宋" w:hAnsi="仿宋" w:eastAsia="仿宋" w:cs="Arial"/>
                <w:b w:val="0"/>
                <w:bCs/>
                <w:color w:val="000000" w:themeColor="text1"/>
                <w:kern w:val="0"/>
                <w:sz w:val="24"/>
                <w14:textFill>
                  <w14:solidFill>
                    <w14:schemeClr w14:val="tx1"/>
                  </w14:solidFill>
                </w14:textFill>
              </w:rPr>
              <w:t>技术（服务）方案</w:t>
            </w:r>
          </w:p>
        </w:tc>
        <w:tc>
          <w:tcPr>
            <w:tcW w:w="775" w:type="dxa"/>
            <w:shd w:val="clear" w:color="auto" w:fill="FFFFFF" w:themeFill="background1"/>
            <w:vAlign w:val="center"/>
          </w:tcPr>
          <w:p w14:paraId="5CCC558F">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25B4B3B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shd w:val="clear" w:color="auto" w:fill="auto"/>
            <w:vAlign w:val="center"/>
          </w:tcPr>
          <w:p w14:paraId="307DD1DD">
            <w:pPr>
              <w:autoSpaceDE w:val="0"/>
              <w:autoSpaceDN w:val="0"/>
              <w:spacing w:line="276" w:lineRule="auto"/>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2-10</w:t>
            </w:r>
          </w:p>
        </w:tc>
        <w:tc>
          <w:tcPr>
            <w:tcW w:w="1809" w:type="dxa"/>
            <w:gridSpan w:val="2"/>
            <w:vMerge w:val="restart"/>
            <w:shd w:val="clear" w:color="auto" w:fill="auto"/>
            <w:vAlign w:val="center"/>
          </w:tcPr>
          <w:p w14:paraId="65E8E652">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节能、环保产品证明材料</w:t>
            </w:r>
          </w:p>
        </w:tc>
        <w:tc>
          <w:tcPr>
            <w:tcW w:w="6491" w:type="dxa"/>
            <w:shd w:val="clear" w:color="auto" w:fill="auto"/>
            <w:vAlign w:val="center"/>
          </w:tcPr>
          <w:p w14:paraId="32D8CC3B">
            <w:pPr>
              <w:autoSpaceDE w:val="0"/>
              <w:autoSpaceDN w:val="0"/>
              <w:spacing w:line="276" w:lineRule="auto"/>
              <w:jc w:val="left"/>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（1）所投产品符合政策要求的《</w:t>
            </w:r>
            <w:r>
              <w:rPr>
                <w:rFonts w:hint="eastAsia" w:ascii="仿宋" w:hAnsi="仿宋" w:eastAsia="仿宋"/>
                <w:b/>
                <w:bCs/>
                <w:color w:val="000000" w:themeColor="text1"/>
                <w:kern w:val="0"/>
                <w:sz w:val="24"/>
                <w14:textFill>
                  <w14:solidFill>
                    <w14:schemeClr w14:val="tx1"/>
                  </w14:solidFill>
                </w14:textFill>
              </w:rPr>
              <w:t>节能产品认证证书</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（提供扫描件加盖</w:t>
            </w:r>
            <w:r>
              <w:rPr>
                <w:rFonts w:hint="eastAsia" w:ascii="仿宋" w:hAnsi="仿宋" w:eastAsia="仿宋" w:cs="Arial"/>
                <w:color w:val="000000" w:themeColor="text1"/>
                <w:kern w:val="0"/>
                <w:sz w:val="24"/>
                <w14:textFill>
                  <w14:solidFill>
                    <w14:schemeClr w14:val="tx1"/>
                  </w14:solidFill>
                </w14:textFill>
              </w:rPr>
              <w:t>投标供应商公章</w:t>
            </w:r>
            <w:r>
              <w:rPr>
                <w:rFonts w:hint="eastAsia" w:ascii="仿宋" w:hAnsi="仿宋" w:eastAsia="仿宋"/>
                <w:color w:val="000000" w:themeColor="text1"/>
                <w:sz w:val="24"/>
                <w14:textFill>
                  <w14:solidFill>
                    <w14:schemeClr w14:val="tx1"/>
                  </w14:solidFill>
                </w14:textFill>
              </w:rPr>
              <w:t>）</w:t>
            </w:r>
          </w:p>
          <w:p w14:paraId="421FB140">
            <w:pPr>
              <w:autoSpaceDE w:val="0"/>
              <w:autoSpaceDN w:val="0"/>
              <w:spacing w:line="276" w:lineRule="auto"/>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备注：▲</w:t>
            </w:r>
            <w:r>
              <w:rPr>
                <w:rFonts w:hint="eastAsia" w:ascii="仿宋" w:hAnsi="仿宋" w:eastAsia="仿宋"/>
                <w:b/>
                <w:color w:val="000000" w:themeColor="text1"/>
                <w:sz w:val="24"/>
                <w:u w:val="single"/>
                <w14:textFill>
                  <w14:solidFill>
                    <w14:schemeClr w14:val="tx1"/>
                  </w14:solidFill>
                </w14:textFill>
              </w:rPr>
              <w:t>本次采购对属于节能产品政府采购品目清单规定的政府强制采购产品范围内的产品实施强制采购。供应商应当在投标文件中提供国家确定的认证机构出具的、处于有效期之内的节能产品认证证书（扫描件、加盖公章），否则投标文件无效。政府采购节能产品强制采购目录见本章第2.3.2款</w:t>
            </w:r>
            <w:r>
              <w:rPr>
                <w:rFonts w:hint="eastAsia" w:ascii="仿宋" w:hAnsi="仿宋" w:eastAsia="仿宋"/>
                <w:color w:val="000000" w:themeColor="text1"/>
                <w:sz w:val="24"/>
                <w14:textFill>
                  <w14:solidFill>
                    <w14:schemeClr w14:val="tx1"/>
                  </w14:solidFill>
                </w14:textFill>
              </w:rPr>
              <w:t>。</w:t>
            </w:r>
          </w:p>
        </w:tc>
        <w:tc>
          <w:tcPr>
            <w:tcW w:w="775" w:type="dxa"/>
            <w:shd w:val="clear" w:color="auto" w:fill="auto"/>
            <w:vAlign w:val="center"/>
          </w:tcPr>
          <w:p w14:paraId="54DFB878">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无</w:t>
            </w:r>
          </w:p>
        </w:tc>
      </w:tr>
      <w:tr w14:paraId="46FDFCF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shd w:val="clear" w:color="auto" w:fill="auto"/>
            <w:vAlign w:val="center"/>
          </w:tcPr>
          <w:p w14:paraId="205FC223">
            <w:pPr>
              <w:autoSpaceDE w:val="0"/>
              <w:autoSpaceDN w:val="0"/>
              <w:spacing w:line="276" w:lineRule="auto"/>
              <w:jc w:val="cente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pPr>
          </w:p>
        </w:tc>
        <w:tc>
          <w:tcPr>
            <w:tcW w:w="1809" w:type="dxa"/>
            <w:gridSpan w:val="2"/>
            <w:vMerge w:val="continue"/>
            <w:shd w:val="clear" w:color="auto" w:fill="auto"/>
            <w:vAlign w:val="center"/>
          </w:tcPr>
          <w:p w14:paraId="14A76AD8">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p>
        </w:tc>
        <w:tc>
          <w:tcPr>
            <w:tcW w:w="6491" w:type="dxa"/>
            <w:shd w:val="clear" w:color="auto" w:fill="auto"/>
            <w:vAlign w:val="center"/>
          </w:tcPr>
          <w:p w14:paraId="75BAA7CC">
            <w:pPr>
              <w:autoSpaceDE w:val="0"/>
              <w:autoSpaceDN w:val="0"/>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（2）所投产品符合政策要求的《环境标志产品认证证书》</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如有</w:t>
            </w:r>
            <w:r>
              <w:rPr>
                <w:rFonts w:hint="eastAsia" w:ascii="仿宋" w:hAnsi="仿宋" w:eastAsia="仿宋"/>
                <w:color w:val="000000" w:themeColor="text1"/>
                <w:sz w:val="24"/>
                <w14:textFill>
                  <w14:solidFill>
                    <w14:schemeClr w14:val="tx1"/>
                  </w14:solidFill>
                </w14:textFill>
              </w:rPr>
              <w:t>，提供扫描件加盖</w:t>
            </w:r>
            <w:r>
              <w:rPr>
                <w:rFonts w:hint="eastAsia" w:ascii="仿宋" w:hAnsi="仿宋" w:eastAsia="仿宋" w:cs="Arial"/>
                <w:color w:val="000000" w:themeColor="text1"/>
                <w:kern w:val="0"/>
                <w:sz w:val="24"/>
                <w14:textFill>
                  <w14:solidFill>
                    <w14:schemeClr w14:val="tx1"/>
                  </w14:solidFill>
                </w14:textFill>
              </w:rPr>
              <w:t>投标供应商公章</w:t>
            </w:r>
            <w:r>
              <w:rPr>
                <w:rFonts w:hint="eastAsia" w:ascii="仿宋" w:hAnsi="仿宋" w:eastAsia="仿宋"/>
                <w:color w:val="000000" w:themeColor="text1"/>
                <w:sz w:val="24"/>
                <w14:textFill>
                  <w14:solidFill>
                    <w14:schemeClr w14:val="tx1"/>
                  </w14:solidFill>
                </w14:textFill>
              </w:rPr>
              <w:t>）</w:t>
            </w:r>
          </w:p>
        </w:tc>
        <w:tc>
          <w:tcPr>
            <w:tcW w:w="775" w:type="dxa"/>
            <w:shd w:val="clear" w:color="auto" w:fill="auto"/>
            <w:vAlign w:val="center"/>
          </w:tcPr>
          <w:p w14:paraId="14C43A51">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p>
        </w:tc>
      </w:tr>
      <w:tr w14:paraId="6715DB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auto"/>
            <w:vAlign w:val="center"/>
          </w:tcPr>
          <w:p w14:paraId="18DF14EF">
            <w:pPr>
              <w:autoSpaceDE w:val="0"/>
              <w:autoSpaceDN w:val="0"/>
              <w:spacing w:line="276" w:lineRule="auto"/>
              <w:jc w:val="center"/>
              <w:rPr>
                <w:rFonts w:hint="eastAsia" w:ascii="仿宋" w:hAnsi="仿宋" w:eastAsia="仿宋" w:cs="Times New Roman"/>
                <w:b/>
                <w:color w:val="000000" w:themeColor="text1"/>
                <w:kern w:val="2"/>
                <w:sz w:val="24"/>
                <w:szCs w:val="24"/>
                <w:lang w:val="en-US" w:eastAsia="zh-CN" w:bidi="ar-SA"/>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2-11</w:t>
            </w:r>
          </w:p>
        </w:tc>
        <w:tc>
          <w:tcPr>
            <w:tcW w:w="8300" w:type="dxa"/>
            <w:gridSpan w:val="3"/>
            <w:shd w:val="clear" w:color="auto" w:fill="auto"/>
            <w:vAlign w:val="center"/>
          </w:tcPr>
          <w:p w14:paraId="4132CFF1">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主要材料品牌表</w:t>
            </w:r>
          </w:p>
        </w:tc>
        <w:tc>
          <w:tcPr>
            <w:tcW w:w="775" w:type="dxa"/>
            <w:shd w:val="clear" w:color="auto" w:fill="auto"/>
            <w:vAlign w:val="center"/>
          </w:tcPr>
          <w:p w14:paraId="55603674">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65C6000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25" w:hRule="atLeast"/>
        </w:trPr>
        <w:tc>
          <w:tcPr>
            <w:tcW w:w="912" w:type="dxa"/>
            <w:vAlign w:val="center"/>
          </w:tcPr>
          <w:p w14:paraId="42A944E1">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2-12</w:t>
            </w:r>
          </w:p>
        </w:tc>
        <w:tc>
          <w:tcPr>
            <w:tcW w:w="8300" w:type="dxa"/>
            <w:gridSpan w:val="3"/>
            <w:vAlign w:val="center"/>
          </w:tcPr>
          <w:p w14:paraId="72C4443A">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themeColor="text1"/>
                <w:kern w:val="0"/>
                <w:sz w:val="24"/>
                <w14:textFill>
                  <w14:solidFill>
                    <w14:schemeClr w14:val="tx1"/>
                  </w14:solidFill>
                </w14:textFill>
              </w:rPr>
              <w:t>其他</w:t>
            </w:r>
            <w:r>
              <w:rPr>
                <w:rFonts w:hint="eastAsia" w:ascii="仿宋" w:hAnsi="仿宋" w:eastAsia="仿宋" w:cs="Arial"/>
                <w:b/>
                <w:color w:val="000000" w:themeColor="text1"/>
                <w:kern w:val="0"/>
                <w:sz w:val="24"/>
                <w14:textFill>
                  <w14:solidFill>
                    <w14:schemeClr w14:val="tx1"/>
                  </w14:solidFill>
                </w14:textFill>
              </w:rPr>
              <w:t>与商务技术有关的资料</w:t>
            </w:r>
            <w:r>
              <w:rPr>
                <w:rFonts w:ascii="仿宋" w:hAnsi="仿宋" w:eastAsia="仿宋" w:cs="Arial"/>
                <w:b/>
                <w:color w:val="000000" w:themeColor="text1"/>
                <w:kern w:val="0"/>
                <w:sz w:val="24"/>
                <w14:textFill>
                  <w14:solidFill>
                    <w14:schemeClr w14:val="tx1"/>
                  </w14:solidFill>
                </w14:textFill>
              </w:rPr>
              <w:t>或说明</w:t>
            </w:r>
            <w:r>
              <w:rPr>
                <w:rFonts w:hint="eastAsia" w:ascii="仿宋" w:hAnsi="仿宋" w:eastAsia="仿宋" w:cs="Arial"/>
                <w:b/>
                <w:color w:val="000000" w:themeColor="text1"/>
                <w:kern w:val="0"/>
                <w:sz w:val="24"/>
                <w14:textFill>
                  <w14:solidFill>
                    <w14:schemeClr w14:val="tx1"/>
                  </w14:solidFill>
                </w14:textFill>
              </w:rPr>
              <w:t>（如有，格式见第六章）</w:t>
            </w:r>
          </w:p>
        </w:tc>
        <w:tc>
          <w:tcPr>
            <w:tcW w:w="775" w:type="dxa"/>
            <w:vAlign w:val="center"/>
          </w:tcPr>
          <w:p w14:paraId="6E7A52C3">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5D6C4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14:paraId="77FC93EA">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075" w:type="dxa"/>
            <w:gridSpan w:val="4"/>
            <w:shd w:val="clear" w:color="auto" w:fill="E5DFEC"/>
            <w:vAlign w:val="center"/>
          </w:tcPr>
          <w:p w14:paraId="2FC363C2">
            <w:pPr>
              <w:autoSpaceDE w:val="0"/>
              <w:autoSpaceDN w:val="0"/>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14:paraId="65884F62">
      <w:pPr>
        <w:pStyle w:val="5"/>
        <w:autoSpaceDE w:val="0"/>
        <w:autoSpaceDN w:val="0"/>
        <w:rPr>
          <w:color w:val="000000" w:themeColor="text1"/>
          <w14:textFill>
            <w14:solidFill>
              <w14:schemeClr w14:val="tx1"/>
            </w14:solidFill>
          </w14:textFill>
        </w:rPr>
      </w:pPr>
    </w:p>
    <w:p w14:paraId="6F96113A">
      <w:pPr>
        <w:pStyle w:val="6"/>
        <w:autoSpaceDE w:val="0"/>
        <w:autoSpaceDN w:val="0"/>
        <w:ind w:firstLine="561"/>
      </w:pPr>
      <w:r>
        <w:rPr>
          <w:rFonts w:hint="eastAsia"/>
        </w:rPr>
        <w:t>（3）《报价文件》</w:t>
      </w:r>
    </w:p>
    <w:tbl>
      <w:tblPr>
        <w:tblStyle w:val="52"/>
        <w:tblW w:w="9975"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0"/>
        <w:gridCol w:w="8375"/>
        <w:gridCol w:w="750"/>
      </w:tblGrid>
      <w:tr w14:paraId="2C552E8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0" w:type="dxa"/>
            <w:tcBorders>
              <w:top w:val="thinThickSmallGap" w:color="0070C0" w:sz="12" w:space="0"/>
              <w:bottom w:val="single" w:color="0070C0" w:sz="6" w:space="0"/>
            </w:tcBorders>
            <w:shd w:val="clear" w:color="auto" w:fill="DAEEF3" w:themeFill="accent5" w:themeFillTint="33"/>
            <w:vAlign w:val="center"/>
          </w:tcPr>
          <w:p w14:paraId="6B1FE131">
            <w:pPr>
              <w:autoSpaceDE w:val="0"/>
              <w:autoSpaceDN w:val="0"/>
              <w:spacing w:line="276" w:lineRule="auto"/>
              <w:jc w:val="center"/>
              <w:rPr>
                <w:rFonts w:hint="eastAsia"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序号</w:t>
            </w:r>
          </w:p>
        </w:tc>
        <w:tc>
          <w:tcPr>
            <w:tcW w:w="8375" w:type="dxa"/>
            <w:tcBorders>
              <w:top w:val="thinThickSmallGap" w:color="0070C0" w:sz="12" w:space="0"/>
              <w:bottom w:val="single" w:color="0070C0" w:sz="6" w:space="0"/>
            </w:tcBorders>
            <w:shd w:val="clear" w:color="auto" w:fill="DAEEF3" w:themeFill="accent5" w:themeFillTint="33"/>
            <w:vAlign w:val="center"/>
          </w:tcPr>
          <w:p w14:paraId="410F1035">
            <w:pPr>
              <w:autoSpaceDE w:val="0"/>
              <w:autoSpaceDN w:val="0"/>
              <w:jc w:val="center"/>
              <w:rPr>
                <w:rFonts w:hint="eastAsia" w:ascii="微软雅黑" w:hAnsi="微软雅黑" w:eastAsia="微软雅黑"/>
                <w:b/>
                <w:color w:val="000000" w:themeColor="text1"/>
                <w:sz w:val="28"/>
                <w:szCs w:val="32"/>
                <w14:textFill>
                  <w14:solidFill>
                    <w14:schemeClr w14:val="tx1"/>
                  </w14:solidFill>
                </w14:textFill>
              </w:rPr>
            </w:pPr>
            <w:r>
              <w:rPr>
                <w:rFonts w:hint="eastAsia" w:ascii="微软雅黑" w:hAnsi="微软雅黑" w:eastAsia="微软雅黑"/>
                <w:b/>
                <w:color w:val="000000" w:themeColor="text1"/>
                <w:sz w:val="28"/>
                <w:szCs w:val="32"/>
                <w14:textFill>
                  <w14:solidFill>
                    <w14:schemeClr w14:val="tx1"/>
                  </w14:solidFill>
                </w14:textFill>
              </w:rPr>
              <w:t>第三部分《报价文件》组成内容及要求</w:t>
            </w:r>
            <w:r>
              <w:rPr>
                <w:rFonts w:ascii="微软雅黑" w:hAnsi="微软雅黑" w:eastAsia="微软雅黑"/>
                <w:b/>
                <w:color w:val="000000" w:themeColor="text1"/>
                <w:sz w:val="28"/>
                <w:szCs w:val="32"/>
                <w14:textFill>
                  <w14:solidFill>
                    <w14:schemeClr w14:val="tx1"/>
                  </w14:solidFill>
                </w14:textFill>
              </w:rPr>
              <w:t>【</w:t>
            </w:r>
            <w:r>
              <w:rPr>
                <w:rFonts w:hint="eastAsia" w:ascii="微软雅黑" w:hAnsi="微软雅黑" w:eastAsia="微软雅黑"/>
                <w:b/>
                <w:color w:val="000000" w:themeColor="text1"/>
                <w:sz w:val="28"/>
                <w:szCs w:val="32"/>
                <w14:textFill>
                  <w14:solidFill>
                    <w14:schemeClr w14:val="tx1"/>
                  </w14:solidFill>
                </w14:textFill>
              </w:rPr>
              <w:t>依序编制</w:t>
            </w:r>
            <w:r>
              <w:rPr>
                <w:rFonts w:ascii="微软雅黑" w:hAnsi="微软雅黑" w:eastAsia="微软雅黑"/>
                <w:b/>
                <w:color w:val="000000" w:themeColor="text1"/>
                <w:sz w:val="28"/>
                <w:szCs w:val="32"/>
                <w14:textFill>
                  <w14:solidFill>
                    <w14:schemeClr w14:val="tx1"/>
                  </w14:solidFill>
                </w14:textFill>
              </w:rPr>
              <w:t>】</w:t>
            </w:r>
          </w:p>
        </w:tc>
        <w:tc>
          <w:tcPr>
            <w:tcW w:w="750" w:type="dxa"/>
            <w:tcBorders>
              <w:top w:val="thinThickSmallGap" w:color="0070C0" w:sz="12" w:space="0"/>
              <w:bottom w:val="single" w:color="0070C0" w:sz="6" w:space="0"/>
            </w:tcBorders>
            <w:shd w:val="clear" w:color="auto" w:fill="DAEEF3" w:themeFill="accent5" w:themeFillTint="33"/>
            <w:vAlign w:val="center"/>
          </w:tcPr>
          <w:p w14:paraId="79EDA162">
            <w:pPr>
              <w:autoSpaceDE w:val="0"/>
              <w:autoSpaceDN w:val="0"/>
              <w:spacing w:line="276" w:lineRule="auto"/>
              <w:jc w:val="center"/>
              <w:rPr>
                <w:rFonts w:hint="eastAsia" w:ascii="仿宋" w:hAnsi="仿宋" w:eastAsia="仿宋"/>
                <w:b/>
                <w:color w:val="000000" w:themeColor="text1"/>
                <w:kern w:val="0"/>
                <w:sz w:val="24"/>
                <w:szCs w:val="20"/>
                <w14:textFill>
                  <w14:solidFill>
                    <w14:schemeClr w14:val="tx1"/>
                  </w14:solidFill>
                </w14:textFill>
              </w:rPr>
            </w:pPr>
            <w:r>
              <w:rPr>
                <w:rFonts w:hint="eastAsia" w:ascii="仿宋" w:hAnsi="仿宋" w:eastAsia="仿宋"/>
                <w:b/>
                <w:color w:val="000000" w:themeColor="text1"/>
                <w:kern w:val="0"/>
                <w:sz w:val="24"/>
                <w:szCs w:val="20"/>
                <w14:textFill>
                  <w14:solidFill>
                    <w14:schemeClr w14:val="tx1"/>
                  </w14:solidFill>
                </w14:textFill>
              </w:rPr>
              <w:t>格式</w:t>
            </w:r>
          </w:p>
        </w:tc>
      </w:tr>
      <w:tr w14:paraId="06B0BEC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tcBorders>
              <w:top w:val="single" w:color="0070C0" w:sz="6" w:space="0"/>
            </w:tcBorders>
            <w:shd w:val="clear" w:color="auto" w:fill="FFFFFF" w:themeFill="background1"/>
            <w:vAlign w:val="center"/>
          </w:tcPr>
          <w:p w14:paraId="5AE6C9AF">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3-1</w:t>
            </w:r>
          </w:p>
        </w:tc>
        <w:tc>
          <w:tcPr>
            <w:tcW w:w="8375" w:type="dxa"/>
            <w:tcBorders>
              <w:top w:val="single" w:color="0070C0" w:sz="6" w:space="0"/>
            </w:tcBorders>
            <w:shd w:val="clear" w:color="auto" w:fill="FFFFFF" w:themeFill="background1"/>
            <w:vAlign w:val="center"/>
          </w:tcPr>
          <w:p w14:paraId="62D413D7">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《报价文件》封面</w:t>
            </w:r>
            <w:r>
              <w:rPr>
                <w:rFonts w:hint="eastAsia" w:ascii="仿宋" w:hAnsi="仿宋" w:eastAsia="仿宋" w:cs="Arial"/>
                <w:color w:val="000000" w:themeColor="text1"/>
                <w:kern w:val="0"/>
                <w:sz w:val="24"/>
                <w14:textFill>
                  <w14:solidFill>
                    <w14:schemeClr w14:val="tx1"/>
                  </w14:solidFill>
                </w14:textFill>
              </w:rPr>
              <w:t>（格式见第六章）</w:t>
            </w:r>
          </w:p>
        </w:tc>
        <w:tc>
          <w:tcPr>
            <w:tcW w:w="750" w:type="dxa"/>
            <w:tcBorders>
              <w:top w:val="single" w:color="0070C0" w:sz="6" w:space="0"/>
            </w:tcBorders>
            <w:shd w:val="clear" w:color="auto" w:fill="FFFFFF" w:themeFill="background1"/>
            <w:vAlign w:val="center"/>
          </w:tcPr>
          <w:p w14:paraId="7D0A1411">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797FC12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FF" w:themeFill="background1"/>
            <w:vAlign w:val="center"/>
          </w:tcPr>
          <w:p w14:paraId="4593694D">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w:t>
            </w:r>
          </w:p>
        </w:tc>
        <w:tc>
          <w:tcPr>
            <w:tcW w:w="8375" w:type="dxa"/>
            <w:shd w:val="clear" w:color="auto" w:fill="FFFFFF" w:themeFill="background1"/>
            <w:vAlign w:val="center"/>
          </w:tcPr>
          <w:p w14:paraId="433B91BA">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投标函</w:t>
            </w:r>
            <w:r>
              <w:rPr>
                <w:rFonts w:hint="eastAsia" w:ascii="仿宋" w:hAnsi="仿宋" w:eastAsia="仿宋" w:cs="Arial"/>
                <w:color w:val="000000" w:themeColor="text1"/>
                <w:kern w:val="0"/>
                <w:sz w:val="24"/>
                <w14:textFill>
                  <w14:solidFill>
                    <w14:schemeClr w14:val="tx1"/>
                  </w14:solidFill>
                </w14:textFill>
              </w:rPr>
              <w:t>（格式见第六章）</w:t>
            </w:r>
          </w:p>
        </w:tc>
        <w:tc>
          <w:tcPr>
            <w:tcW w:w="750" w:type="dxa"/>
            <w:shd w:val="clear" w:color="auto" w:fill="FFFFFF" w:themeFill="background1"/>
            <w:vAlign w:val="center"/>
          </w:tcPr>
          <w:p w14:paraId="5F5275D8">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61DD44B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FF" w:themeFill="background1"/>
            <w:vAlign w:val="center"/>
          </w:tcPr>
          <w:p w14:paraId="413D0766">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lang w:val="en-US" w:eastAsia="zh-CN"/>
                <w14:textFill>
                  <w14:solidFill>
                    <w14:schemeClr w14:val="tx1"/>
                  </w14:solidFill>
                </w14:textFill>
              </w:rPr>
              <w:t>3</w:t>
            </w:r>
          </w:p>
        </w:tc>
        <w:tc>
          <w:tcPr>
            <w:tcW w:w="8375" w:type="dxa"/>
            <w:shd w:val="clear" w:color="auto" w:fill="FFFFFF" w:themeFill="background1"/>
            <w:vAlign w:val="center"/>
          </w:tcPr>
          <w:p w14:paraId="732A4AEA">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lang w:val="en-US" w:eastAsia="zh-CN"/>
                <w14:textFill>
                  <w14:solidFill>
                    <w14:schemeClr w14:val="tx1"/>
                  </w14:solidFill>
                </w14:textFill>
              </w:rPr>
              <w:t>工程量清单及计价表式</w:t>
            </w:r>
          </w:p>
        </w:tc>
        <w:tc>
          <w:tcPr>
            <w:tcW w:w="750" w:type="dxa"/>
            <w:shd w:val="clear" w:color="auto" w:fill="FFFFFF" w:themeFill="background1"/>
            <w:vAlign w:val="center"/>
          </w:tcPr>
          <w:p w14:paraId="1101833D">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125EF80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vAlign w:val="center"/>
          </w:tcPr>
          <w:p w14:paraId="5CA04885">
            <w:pPr>
              <w:autoSpaceDE w:val="0"/>
              <w:autoSpaceDN w:val="0"/>
              <w:spacing w:line="276" w:lineRule="auto"/>
              <w:jc w:val="center"/>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lang w:val="en-US" w:eastAsia="zh-CN"/>
                <w14:textFill>
                  <w14:solidFill>
                    <w14:schemeClr w14:val="tx1"/>
                  </w14:solidFill>
                </w14:textFill>
              </w:rPr>
              <w:t>4</w:t>
            </w:r>
          </w:p>
        </w:tc>
        <w:tc>
          <w:tcPr>
            <w:tcW w:w="8375" w:type="dxa"/>
            <w:vAlign w:val="center"/>
          </w:tcPr>
          <w:p w14:paraId="0C0AF88D">
            <w:pPr>
              <w:autoSpaceDE w:val="0"/>
              <w:autoSpaceDN w:val="0"/>
              <w:spacing w:line="276" w:lineRule="auto"/>
              <w:jc w:val="left"/>
              <w:rPr>
                <w:rFonts w:hint="eastAsia" w:ascii="仿宋" w:hAnsi="仿宋" w:eastAsia="仿宋" w:cs="Arial"/>
                <w:b/>
                <w:color w:val="000000" w:themeColor="text1"/>
                <w:kern w:val="0"/>
                <w:sz w:val="24"/>
                <w14:textFill>
                  <w14:solidFill>
                    <w14:schemeClr w14:val="tx1"/>
                  </w14:solidFill>
                </w14:textFill>
              </w:rPr>
            </w:pPr>
            <w:r>
              <w:rPr>
                <w:rFonts w:ascii="仿宋" w:hAnsi="仿宋" w:eastAsia="仿宋" w:cs="Arial"/>
                <w:b/>
                <w:color w:val="000000"/>
                <w:kern w:val="0"/>
                <w:sz w:val="24"/>
              </w:rPr>
              <w:t>供应商认为有必要提供的其他</w:t>
            </w:r>
            <w:r>
              <w:rPr>
                <w:rFonts w:hint="eastAsia" w:ascii="仿宋" w:hAnsi="仿宋" w:eastAsia="仿宋" w:cs="Arial"/>
                <w:b/>
                <w:color w:val="000000"/>
                <w:kern w:val="0"/>
                <w:sz w:val="24"/>
              </w:rPr>
              <w:t>与报价有关的资料或说明（如有，格式见第六章）</w:t>
            </w:r>
          </w:p>
        </w:tc>
        <w:tc>
          <w:tcPr>
            <w:tcW w:w="750" w:type="dxa"/>
            <w:vAlign w:val="center"/>
          </w:tcPr>
          <w:p w14:paraId="1BEDF1B9">
            <w:pPr>
              <w:autoSpaceDE w:val="0"/>
              <w:autoSpaceDN w:val="0"/>
              <w:spacing w:line="276" w:lineRule="auto"/>
              <w:jc w:val="center"/>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有</w:t>
            </w:r>
          </w:p>
        </w:tc>
      </w:tr>
      <w:tr w14:paraId="1BC6EF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E5DFEC"/>
            <w:vAlign w:val="center"/>
          </w:tcPr>
          <w:p w14:paraId="605E4317">
            <w:pPr>
              <w:autoSpaceDE w:val="0"/>
              <w:autoSpaceDN w:val="0"/>
              <w:spacing w:line="276" w:lineRule="auto"/>
              <w:jc w:val="center"/>
              <w:rPr>
                <w:rFonts w:hint="eastAsia"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备注</w:t>
            </w:r>
          </w:p>
        </w:tc>
        <w:tc>
          <w:tcPr>
            <w:tcW w:w="9125" w:type="dxa"/>
            <w:gridSpan w:val="2"/>
            <w:shd w:val="clear" w:color="auto" w:fill="E5DFEC"/>
            <w:vAlign w:val="center"/>
          </w:tcPr>
          <w:p w14:paraId="1B40B0AF">
            <w:pPr>
              <w:autoSpaceDE w:val="0"/>
              <w:autoSpaceDN w:val="0"/>
              <w:spacing w:line="276" w:lineRule="auto"/>
              <w:jc w:val="left"/>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以上清单中标注“</w:t>
            </w:r>
            <w:r>
              <w:rPr>
                <w:rFonts w:hint="eastAsia" w:ascii="仿宋" w:hAnsi="仿宋" w:eastAsia="仿宋" w:cs="Arial"/>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”的内容为必须提供的内容，未提供或提供不齐全的投标无效。</w:t>
            </w:r>
          </w:p>
        </w:tc>
      </w:tr>
    </w:tbl>
    <w:p w14:paraId="39E10D74">
      <w:pPr>
        <w:autoSpaceDE w:val="0"/>
        <w:autoSpaceDN w:val="0"/>
        <w:spacing w:line="360" w:lineRule="auto"/>
        <w:rPr>
          <w:rFonts w:hint="eastAsia" w:ascii="仿宋" w:hAnsi="仿宋" w:eastAsia="仿宋"/>
          <w:b/>
          <w:color w:val="000000"/>
          <w:sz w:val="24"/>
        </w:rPr>
      </w:pPr>
      <w:r>
        <w:rPr>
          <w:rFonts w:hint="eastAsia" w:ascii="仿宋" w:hAnsi="仿宋" w:eastAsia="仿宋"/>
          <w:b/>
          <w:color w:val="000000"/>
          <w:sz w:val="24"/>
        </w:rPr>
        <w:t>注：以上目录是编制响应文件的基本格式要求，各供应商可根据自身情况进一步细化。</w:t>
      </w:r>
    </w:p>
    <w:p w14:paraId="09CDE014">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4.3 磋商响应文件的编制</w:t>
      </w:r>
    </w:p>
    <w:p w14:paraId="3A1A16F0">
      <w:pPr>
        <w:autoSpaceDE w:val="0"/>
        <w:autoSpaceDN w:val="0"/>
        <w:spacing w:line="360" w:lineRule="auto"/>
        <w:ind w:firstLine="422" w:firstLineChars="175"/>
        <w:rPr>
          <w:rFonts w:hint="eastAsia" w:ascii="仿宋" w:hAnsi="仿宋" w:eastAsia="仿宋" w:cs="Arial"/>
          <w:b/>
          <w:color w:val="000000"/>
          <w:sz w:val="24"/>
        </w:rPr>
      </w:pPr>
      <w:r>
        <w:rPr>
          <w:rFonts w:hint="eastAsia" w:ascii="仿宋" w:hAnsi="仿宋" w:eastAsia="仿宋" w:cs="Arial"/>
          <w:b/>
          <w:color w:val="000000"/>
          <w:kern w:val="0"/>
          <w:sz w:val="24"/>
        </w:rPr>
        <w:t>4.3.1</w:t>
      </w:r>
      <w:r>
        <w:rPr>
          <w:rFonts w:hint="eastAsia" w:ascii="仿宋" w:hAnsi="仿宋" w:eastAsia="仿宋" w:cs="Arial"/>
          <w:b/>
          <w:color w:val="000000"/>
          <w:sz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ascii="仿宋" w:hAnsi="仿宋" w:eastAsia="仿宋" w:cs="Arial"/>
          <w:b/>
          <w:color w:val="000000"/>
          <w:sz w:val="24"/>
        </w:rPr>
        <w:t>www.zcygov.cn</w:t>
      </w:r>
      <w:r>
        <w:rPr>
          <w:rFonts w:ascii="仿宋" w:hAnsi="仿宋" w:eastAsia="仿宋" w:cs="Arial"/>
          <w:b/>
          <w:color w:val="000000"/>
          <w:sz w:val="24"/>
        </w:rPr>
        <w:fldChar w:fldCharType="end"/>
      </w:r>
      <w:r>
        <w:rPr>
          <w:rFonts w:hint="eastAsia" w:ascii="仿宋" w:hAnsi="仿宋" w:eastAsia="仿宋" w:cs="Arial"/>
          <w:b/>
          <w:color w:val="000000"/>
          <w:sz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000000"/>
          <w:sz w:val="24"/>
          <w:u w:val="single"/>
        </w:rPr>
        <w:t>供应商未按规定加密的磋商响应文件，“政府采购云平台”将予以拒收</w:t>
      </w:r>
      <w:r>
        <w:rPr>
          <w:rFonts w:hint="eastAsia" w:ascii="仿宋" w:hAnsi="仿宋" w:eastAsia="仿宋" w:cs="Arial"/>
          <w:b/>
          <w:color w:val="000000"/>
          <w:sz w:val="24"/>
        </w:rPr>
        <w:t>。</w:t>
      </w:r>
    </w:p>
    <w:p w14:paraId="15EECD75">
      <w:pPr>
        <w:autoSpaceDE w:val="0"/>
        <w:autoSpaceDN w:val="0"/>
        <w:spacing w:line="360" w:lineRule="auto"/>
        <w:ind w:firstLine="422" w:firstLineChars="175"/>
        <w:rPr>
          <w:rFonts w:hint="eastAsia" w:ascii="仿宋" w:hAnsi="仿宋" w:eastAsia="仿宋" w:cs="Arial"/>
          <w:b/>
          <w:color w:val="000000"/>
          <w:kern w:val="0"/>
          <w:sz w:val="24"/>
        </w:rPr>
      </w:pPr>
      <w:r>
        <w:rPr>
          <w:rFonts w:hint="eastAsia" w:ascii="仿宋" w:hAnsi="仿宋" w:eastAsia="仿宋" w:cs="Arial"/>
          <w:b/>
          <w:color w:val="000000"/>
          <w:kern w:val="0"/>
          <w:sz w:val="24"/>
        </w:rPr>
        <w:t>4.3.2供应商应当按照</w:t>
      </w:r>
      <w:r>
        <w:rPr>
          <w:rFonts w:ascii="仿宋" w:hAnsi="仿宋" w:eastAsia="仿宋" w:cs="Arial"/>
          <w:b/>
          <w:color w:val="000000"/>
          <w:kern w:val="0"/>
          <w:sz w:val="24"/>
        </w:rPr>
        <w:t>本</w:t>
      </w:r>
      <w:r>
        <w:rPr>
          <w:rFonts w:hint="eastAsia" w:ascii="仿宋" w:hAnsi="仿宋" w:eastAsia="仿宋" w:cs="Arial"/>
          <w:b/>
          <w:color w:val="000000"/>
          <w:kern w:val="0"/>
          <w:sz w:val="24"/>
        </w:rPr>
        <w:t>章节第4.2.2款规定的内容在“政采云电子交易客户端”编制磋商响应文件。</w:t>
      </w:r>
    </w:p>
    <w:p w14:paraId="054CB3EF">
      <w:pPr>
        <w:autoSpaceDE w:val="0"/>
        <w:autoSpaceDN w:val="0"/>
        <w:spacing w:line="360" w:lineRule="auto"/>
        <w:ind w:firstLine="422" w:firstLineChars="175"/>
        <w:rPr>
          <w:rFonts w:hint="eastAsia" w:ascii="仿宋" w:hAnsi="仿宋" w:eastAsia="仿宋"/>
          <w:b/>
          <w:color w:val="000000"/>
          <w:sz w:val="24"/>
        </w:rPr>
      </w:pPr>
      <w:r>
        <w:rPr>
          <w:rFonts w:hint="eastAsia" w:ascii="仿宋" w:hAnsi="仿宋" w:eastAsia="仿宋" w:cs="Arial"/>
          <w:b/>
          <w:color w:val="000000"/>
          <w:kern w:val="0"/>
          <w:sz w:val="24"/>
        </w:rPr>
        <w:t>4.3.3</w:t>
      </w:r>
      <w:r>
        <w:rPr>
          <w:rFonts w:hint="eastAsia" w:ascii="仿宋" w:hAnsi="仿宋" w:eastAsia="仿宋"/>
          <w:b/>
          <w:color w:val="000000"/>
          <w:sz w:val="24"/>
        </w:rPr>
        <w:t>本文件《第六章 磋商响应文件格式》中有</w:t>
      </w:r>
      <w:r>
        <w:rPr>
          <w:rFonts w:ascii="仿宋" w:hAnsi="仿宋" w:eastAsia="仿宋"/>
          <w:b/>
          <w:color w:val="000000"/>
          <w:sz w:val="24"/>
        </w:rPr>
        <w:t>提供格式的，</w:t>
      </w:r>
      <w:r>
        <w:rPr>
          <w:rFonts w:hint="eastAsia" w:ascii="仿宋" w:hAnsi="仿宋" w:eastAsia="仿宋"/>
          <w:b/>
          <w:color w:val="000000"/>
          <w:sz w:val="24"/>
        </w:rPr>
        <w:t>供应商应按</w:t>
      </w:r>
      <w:r>
        <w:rPr>
          <w:rFonts w:ascii="仿宋" w:hAnsi="仿宋" w:eastAsia="仿宋"/>
          <w:b/>
          <w:color w:val="000000"/>
          <w:sz w:val="24"/>
        </w:rPr>
        <w:t>照格式</w:t>
      </w:r>
      <w:r>
        <w:rPr>
          <w:rFonts w:hint="eastAsia" w:ascii="仿宋" w:hAnsi="仿宋" w:eastAsia="仿宋"/>
          <w:b/>
          <w:color w:val="000000"/>
          <w:sz w:val="24"/>
        </w:rPr>
        <w:t>进行编制（格式中要求提供相关证明材料的还需后附相关证明材料），并按格式要求在指定位置根据要求进行签章，否则视为未提供；本文件《第六章磋商响应文件格式》</w:t>
      </w:r>
      <w:r>
        <w:rPr>
          <w:rFonts w:ascii="仿宋" w:hAnsi="仿宋" w:eastAsia="仿宋"/>
          <w:b/>
          <w:color w:val="000000"/>
          <w:sz w:val="24"/>
        </w:rPr>
        <w:t>未提供格式的，请</w:t>
      </w:r>
      <w:r>
        <w:rPr>
          <w:rFonts w:hint="eastAsia" w:ascii="仿宋" w:hAnsi="仿宋" w:eastAsia="仿宋"/>
          <w:b/>
          <w:color w:val="000000"/>
          <w:sz w:val="24"/>
        </w:rPr>
        <w:t>供应商自</w:t>
      </w:r>
      <w:r>
        <w:rPr>
          <w:rFonts w:ascii="仿宋" w:hAnsi="仿宋" w:eastAsia="仿宋"/>
          <w:b/>
          <w:color w:val="000000"/>
          <w:sz w:val="24"/>
        </w:rPr>
        <w:t>行拟定格式</w:t>
      </w:r>
      <w:r>
        <w:rPr>
          <w:rFonts w:hint="eastAsia" w:ascii="仿宋" w:hAnsi="仿宋" w:eastAsia="仿宋"/>
          <w:b/>
          <w:color w:val="000000"/>
          <w:sz w:val="24"/>
        </w:rPr>
        <w:t>，并加盖单位公章，否则视为未提供。</w:t>
      </w:r>
    </w:p>
    <w:p w14:paraId="6A9F94AA">
      <w:pPr>
        <w:autoSpaceDE w:val="0"/>
        <w:autoSpaceDN w:val="0"/>
        <w:spacing w:line="360" w:lineRule="auto"/>
        <w:ind w:firstLine="422" w:firstLineChars="175"/>
        <w:rPr>
          <w:rFonts w:hint="eastAsia" w:ascii="仿宋" w:hAnsi="仿宋" w:eastAsia="仿宋"/>
          <w:color w:val="000000"/>
          <w:sz w:val="24"/>
        </w:rPr>
      </w:pPr>
      <w:r>
        <w:rPr>
          <w:rFonts w:hint="eastAsia" w:ascii="仿宋" w:hAnsi="仿宋" w:eastAsia="仿宋"/>
          <w:b/>
          <w:color w:val="000000"/>
          <w:sz w:val="24"/>
        </w:rPr>
        <w:t>4.3.4</w:t>
      </w:r>
      <w:r>
        <w:rPr>
          <w:rFonts w:ascii="仿宋" w:hAnsi="仿宋" w:eastAsia="仿宋" w:cs="Arial"/>
          <w:b/>
          <w:color w:val="000000"/>
          <w:kern w:val="0"/>
          <w:sz w:val="24"/>
        </w:rPr>
        <w:t>本</w:t>
      </w:r>
      <w:r>
        <w:rPr>
          <w:rFonts w:hint="eastAsia" w:ascii="仿宋" w:hAnsi="仿宋" w:eastAsia="仿宋" w:cs="Arial"/>
          <w:b/>
          <w:color w:val="000000"/>
          <w:kern w:val="0"/>
          <w:sz w:val="24"/>
        </w:rPr>
        <w:t>章节第4.2.2款内容中约定</w:t>
      </w:r>
      <w:r>
        <w:rPr>
          <w:rFonts w:hint="eastAsia" w:ascii="仿宋" w:hAnsi="仿宋" w:eastAsia="仿宋"/>
          <w:b/>
          <w:color w:val="000000"/>
          <w:sz w:val="24"/>
        </w:rPr>
        <w:t>可以提供扫描件的相关证明材料必须加盖供应商公章，否则视为未提供</w:t>
      </w:r>
      <w:r>
        <w:rPr>
          <w:rFonts w:hint="eastAsia" w:ascii="仿宋" w:hAnsi="仿宋" w:eastAsia="仿宋"/>
          <w:color w:val="000000"/>
          <w:sz w:val="24"/>
        </w:rPr>
        <w:t>（例如：各类资格资质证书、业绩材料、许可材料、荣誉证书、产品注册登记材料、产品检测材料、验收材料等）。</w:t>
      </w:r>
    </w:p>
    <w:p w14:paraId="07172A7C">
      <w:pPr>
        <w:autoSpaceDE w:val="0"/>
        <w:autoSpaceDN w:val="0"/>
        <w:spacing w:line="360" w:lineRule="auto"/>
        <w:ind w:firstLine="422" w:firstLineChars="175"/>
        <w:rPr>
          <w:rFonts w:hint="eastAsia" w:ascii="仿宋" w:hAnsi="仿宋" w:eastAsia="仿宋" w:cs="Arial"/>
          <w:b/>
          <w:color w:val="000000"/>
          <w:kern w:val="0"/>
          <w:sz w:val="24"/>
        </w:rPr>
      </w:pPr>
      <w:r>
        <w:rPr>
          <w:rFonts w:hint="eastAsia" w:ascii="仿宋" w:hAnsi="仿宋" w:eastAsia="仿宋"/>
          <w:b/>
          <w:color w:val="000000"/>
          <w:sz w:val="24"/>
        </w:rPr>
        <w:t>4.3.5</w:t>
      </w:r>
      <w:r>
        <w:rPr>
          <w:rFonts w:ascii="仿宋" w:hAnsi="仿宋" w:eastAsia="仿宋" w:cs="Arial"/>
          <w:b/>
          <w:color w:val="000000"/>
          <w:kern w:val="0"/>
          <w:sz w:val="24"/>
        </w:rPr>
        <w:t>本</w:t>
      </w:r>
      <w:r>
        <w:rPr>
          <w:rFonts w:hint="eastAsia" w:ascii="仿宋" w:hAnsi="仿宋" w:eastAsia="仿宋" w:cs="Arial"/>
          <w:b/>
          <w:color w:val="000000"/>
          <w:kern w:val="0"/>
          <w:sz w:val="24"/>
        </w:rPr>
        <w:t>章节第4.2.2款内容中标注“▲”的内容为必须提供的内容，未提供的磋商响应文件无效。</w:t>
      </w:r>
    </w:p>
    <w:p w14:paraId="1EC579AB">
      <w:pPr>
        <w:autoSpaceDE w:val="0"/>
        <w:autoSpaceDN w:val="0"/>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rPr>
        <w:t>4.3.6</w:t>
      </w:r>
      <w:r>
        <w:rPr>
          <w:rFonts w:ascii="仿宋" w:hAnsi="仿宋" w:eastAsia="仿宋" w:cs="Arial"/>
          <w:color w:val="000000"/>
          <w:kern w:val="0"/>
          <w:sz w:val="24"/>
        </w:rPr>
        <w:t>《</w:t>
      </w:r>
      <w:r>
        <w:rPr>
          <w:rFonts w:hint="eastAsia" w:ascii="仿宋" w:hAnsi="仿宋" w:eastAsia="仿宋" w:cs="Arial"/>
          <w:color w:val="000000"/>
          <w:kern w:val="0"/>
          <w:sz w:val="24"/>
        </w:rPr>
        <w:t>磋商响应文件</w:t>
      </w:r>
      <w:r>
        <w:rPr>
          <w:rFonts w:ascii="仿宋" w:hAnsi="仿宋" w:eastAsia="仿宋" w:cs="Arial"/>
          <w:color w:val="000000"/>
          <w:kern w:val="0"/>
          <w:sz w:val="24"/>
        </w:rPr>
        <w:t>》内容不完整、编排混乱导致《</w:t>
      </w:r>
      <w:r>
        <w:rPr>
          <w:rFonts w:hint="eastAsia" w:ascii="仿宋" w:hAnsi="仿宋" w:eastAsia="仿宋" w:cs="Arial"/>
          <w:color w:val="000000"/>
          <w:kern w:val="0"/>
          <w:sz w:val="24"/>
        </w:rPr>
        <w:t>磋商响应文件</w:t>
      </w:r>
      <w:r>
        <w:rPr>
          <w:rFonts w:ascii="仿宋" w:hAnsi="仿宋" w:eastAsia="仿宋" w:cs="Arial"/>
          <w:color w:val="000000"/>
          <w:kern w:val="0"/>
          <w:sz w:val="24"/>
        </w:rPr>
        <w:t>》被误读、漏读或者查找不到相关内容的，是</w:t>
      </w:r>
      <w:r>
        <w:rPr>
          <w:rFonts w:hint="eastAsia" w:ascii="仿宋" w:hAnsi="仿宋" w:eastAsia="仿宋" w:cs="Arial"/>
          <w:color w:val="000000"/>
          <w:kern w:val="0"/>
          <w:sz w:val="24"/>
        </w:rPr>
        <w:t>磋商响应供应商</w:t>
      </w:r>
      <w:r>
        <w:rPr>
          <w:rFonts w:ascii="仿宋" w:hAnsi="仿宋" w:eastAsia="仿宋" w:cs="Arial"/>
          <w:color w:val="000000"/>
          <w:kern w:val="0"/>
          <w:sz w:val="24"/>
        </w:rPr>
        <w:t>的责任。</w:t>
      </w:r>
    </w:p>
    <w:p w14:paraId="18D94574">
      <w:pPr>
        <w:autoSpaceDE w:val="0"/>
        <w:autoSpaceDN w:val="0"/>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rPr>
        <w:t>4.3.7《磋商响应文件》</w:t>
      </w:r>
      <w:r>
        <w:rPr>
          <w:rFonts w:ascii="仿宋" w:hAnsi="仿宋" w:eastAsia="仿宋" w:cs="Arial"/>
          <w:color w:val="000000"/>
          <w:kern w:val="0"/>
          <w:sz w:val="24"/>
        </w:rPr>
        <w:t>因字迹潦草或表达不清所引起的后果由</w:t>
      </w:r>
      <w:r>
        <w:rPr>
          <w:rFonts w:hint="eastAsia" w:ascii="仿宋" w:hAnsi="仿宋" w:eastAsia="仿宋" w:cs="Arial"/>
          <w:color w:val="000000"/>
          <w:kern w:val="0"/>
          <w:sz w:val="24"/>
        </w:rPr>
        <w:t>磋商响应供应商</w:t>
      </w:r>
      <w:r>
        <w:rPr>
          <w:rFonts w:ascii="仿宋" w:hAnsi="仿宋" w:eastAsia="仿宋" w:cs="Arial"/>
          <w:color w:val="000000"/>
          <w:kern w:val="0"/>
          <w:sz w:val="24"/>
        </w:rPr>
        <w:t>负责。</w:t>
      </w:r>
    </w:p>
    <w:p w14:paraId="624A2CAF">
      <w:pPr>
        <w:autoSpaceDE w:val="0"/>
        <w:autoSpaceDN w:val="0"/>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rPr>
        <w:t>4.3.8</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没有按照</w:t>
      </w:r>
      <w:r>
        <w:rPr>
          <w:rFonts w:ascii="仿宋" w:hAnsi="仿宋" w:eastAsia="仿宋" w:cs="Arial"/>
          <w:color w:val="000000"/>
          <w:kern w:val="0"/>
          <w:sz w:val="24"/>
        </w:rPr>
        <w:t>本</w:t>
      </w:r>
      <w:r>
        <w:rPr>
          <w:rFonts w:hint="eastAsia" w:ascii="仿宋" w:hAnsi="仿宋" w:eastAsia="仿宋" w:cs="Arial"/>
          <w:color w:val="000000"/>
          <w:kern w:val="0"/>
          <w:sz w:val="24"/>
        </w:rPr>
        <w:t>章节第4.2.2款“</w:t>
      </w:r>
      <w:r>
        <w:rPr>
          <w:rFonts w:hint="eastAsia" w:ascii="仿宋" w:hAnsi="仿宋" w:eastAsia="仿宋" w:cs="Arial"/>
          <w:color w:val="000000"/>
          <w:kern w:val="0"/>
          <w:sz w:val="24"/>
          <w:szCs w:val="22"/>
        </w:rPr>
        <w:t>磋商响应文件内容组成</w:t>
      </w:r>
      <w:r>
        <w:rPr>
          <w:rFonts w:hint="eastAsia" w:ascii="仿宋" w:hAnsi="仿宋" w:eastAsia="仿宋" w:cs="Arial"/>
          <w:color w:val="000000"/>
          <w:kern w:val="0"/>
          <w:sz w:val="24"/>
        </w:rPr>
        <w:t>”</w:t>
      </w:r>
      <w:r>
        <w:rPr>
          <w:rFonts w:ascii="仿宋" w:hAnsi="仿宋" w:eastAsia="仿宋" w:cs="Arial"/>
          <w:color w:val="000000"/>
          <w:kern w:val="0"/>
          <w:sz w:val="24"/>
          <w:szCs w:val="22"/>
        </w:rPr>
        <w:t>要求提供全部资料，</w:t>
      </w:r>
      <w:r>
        <w:rPr>
          <w:rFonts w:hint="eastAsia" w:ascii="仿宋" w:hAnsi="仿宋" w:eastAsia="仿宋" w:cs="Arial"/>
          <w:color w:val="000000"/>
          <w:kern w:val="0"/>
          <w:sz w:val="24"/>
          <w:szCs w:val="22"/>
        </w:rPr>
        <w:t>或者没有仔细阅读竞争性磋商文件，</w:t>
      </w:r>
      <w:r>
        <w:rPr>
          <w:rFonts w:ascii="仿宋" w:hAnsi="仿宋" w:eastAsia="仿宋" w:cs="Arial"/>
          <w:color w:val="000000"/>
          <w:kern w:val="0"/>
          <w:sz w:val="24"/>
          <w:szCs w:val="22"/>
        </w:rPr>
        <w:t>或者没有对</w:t>
      </w:r>
      <w:r>
        <w:rPr>
          <w:rFonts w:hint="eastAsia" w:ascii="仿宋" w:hAnsi="仿宋" w:eastAsia="仿宋" w:cs="Arial"/>
          <w:color w:val="000000"/>
          <w:kern w:val="0"/>
          <w:sz w:val="24"/>
          <w:szCs w:val="22"/>
        </w:rPr>
        <w:t>竞争性磋商文件</w:t>
      </w:r>
      <w:r>
        <w:rPr>
          <w:rFonts w:ascii="仿宋" w:hAnsi="仿宋" w:eastAsia="仿宋" w:cs="Arial"/>
          <w:color w:val="000000"/>
          <w:kern w:val="0"/>
          <w:sz w:val="24"/>
          <w:szCs w:val="22"/>
        </w:rPr>
        <w:t>在各方面的要求作出实质性响应是</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的风险</w:t>
      </w:r>
      <w:r>
        <w:rPr>
          <w:rFonts w:hint="eastAsia" w:ascii="仿宋" w:hAnsi="仿宋" w:eastAsia="仿宋" w:cs="Arial"/>
          <w:color w:val="000000"/>
          <w:kern w:val="0"/>
          <w:sz w:val="24"/>
          <w:szCs w:val="22"/>
        </w:rPr>
        <w:t>，由此造成的一切后果由磋商响应供应商自行承担。</w:t>
      </w:r>
    </w:p>
    <w:p w14:paraId="52A12298">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4.4 磋商响应文件的签章</w:t>
      </w:r>
    </w:p>
    <w:p w14:paraId="0AB90613">
      <w:pPr>
        <w:autoSpaceDE w:val="0"/>
        <w:autoSpaceDN w:val="0"/>
        <w:spacing w:line="360" w:lineRule="auto"/>
        <w:ind w:firstLine="424" w:firstLineChars="176"/>
        <w:rPr>
          <w:rFonts w:hint="eastAsia" w:ascii="仿宋" w:hAnsi="仿宋" w:eastAsia="仿宋" w:cs="Arial"/>
          <w:b/>
          <w:color w:val="000000"/>
          <w:kern w:val="0"/>
          <w:sz w:val="24"/>
          <w:highlight w:val="yellow"/>
        </w:rPr>
      </w:pPr>
      <w:r>
        <w:rPr>
          <w:rFonts w:hint="eastAsia" w:ascii="仿宋" w:hAnsi="仿宋" w:eastAsia="仿宋" w:cs="Arial"/>
          <w:b/>
          <w:color w:val="000000"/>
          <w:kern w:val="0"/>
          <w:sz w:val="24"/>
        </w:rPr>
        <w:t>4.4.1磋商响应文件的签章形式：</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14:paraId="772ACD1B">
      <w:pPr>
        <w:autoSpaceDE w:val="0"/>
        <w:autoSpaceDN w:val="0"/>
        <w:spacing w:line="360" w:lineRule="auto"/>
        <w:ind w:firstLine="426" w:firstLineChars="177"/>
        <w:rPr>
          <w:rFonts w:hint="eastAsia" w:ascii="仿宋" w:hAnsi="仿宋" w:eastAsia="仿宋" w:cs="Arial"/>
          <w:b/>
          <w:color w:val="FF0000"/>
          <w:kern w:val="0"/>
          <w:sz w:val="24"/>
          <w:szCs w:val="22"/>
        </w:rPr>
      </w:pPr>
      <w:r>
        <w:rPr>
          <w:rFonts w:hint="eastAsia" w:ascii="仿宋" w:hAnsi="仿宋" w:eastAsia="仿宋" w:cs="Arial"/>
          <w:b/>
          <w:color w:val="000000"/>
          <w:kern w:val="0"/>
          <w:sz w:val="24"/>
          <w:highlight w:val="none"/>
        </w:rPr>
        <w:t>4.4.2《磋商响应文件》内容应按</w:t>
      </w:r>
      <w:r>
        <w:rPr>
          <w:rFonts w:hint="eastAsia" w:ascii="仿宋" w:hAnsi="仿宋" w:eastAsia="仿宋" w:cs="Arial"/>
          <w:b/>
          <w:color w:val="000000"/>
          <w:sz w:val="24"/>
          <w:highlight w:val="none"/>
        </w:rPr>
        <w:t>《第三章 磋商须知》规定和</w:t>
      </w:r>
      <w:r>
        <w:rPr>
          <w:rFonts w:hint="eastAsia" w:ascii="仿宋" w:hAnsi="仿宋" w:eastAsia="仿宋" w:cs="Arial"/>
          <w:b/>
          <w:color w:val="000000"/>
          <w:kern w:val="0"/>
          <w:sz w:val="24"/>
          <w:highlight w:val="none"/>
        </w:rPr>
        <w:t>《第六章 磋商响应文件格式》</w:t>
      </w:r>
      <w:r>
        <w:rPr>
          <w:rFonts w:hint="eastAsia" w:ascii="仿宋" w:hAnsi="仿宋" w:eastAsia="仿宋" w:cs="Arial"/>
          <w:b/>
          <w:color w:val="000000"/>
          <w:sz w:val="24"/>
          <w:highlight w:val="none"/>
        </w:rPr>
        <w:t>标注的要求进行盖章、签署</w:t>
      </w:r>
      <w:r>
        <w:rPr>
          <w:rFonts w:hint="eastAsia" w:ascii="仿宋" w:hAnsi="仿宋" w:eastAsia="仿宋" w:cs="Arial"/>
          <w:b/>
          <w:color w:val="000000"/>
          <w:kern w:val="0"/>
          <w:sz w:val="24"/>
          <w:highlight w:val="none"/>
        </w:rPr>
        <w:t>，应签章而未签章的材料视为未提供。</w:t>
      </w:r>
      <w:r>
        <w:rPr>
          <w:rFonts w:hint="eastAsia" w:ascii="仿宋" w:hAnsi="仿宋" w:eastAsia="仿宋" w:cs="Arial"/>
          <w:b/>
          <w:color w:val="000000"/>
          <w:kern w:val="0"/>
          <w:sz w:val="24"/>
        </w:rPr>
        <w:t>请各供应商详细查阅本章节第4.3款“磋商响应文件的编制”规定（磋商响应供应商为自然人的，须由自然人本人签字（或盖章），同时提供自然人本人有效身份证明材料，否则视为未提供）。</w:t>
      </w:r>
    </w:p>
    <w:p w14:paraId="400B8C94">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4.5 磋商报价</w:t>
      </w:r>
    </w:p>
    <w:p w14:paraId="161CE8B4">
      <w:pPr>
        <w:autoSpaceDE w:val="0"/>
        <w:autoSpaceDN w:val="0"/>
        <w:spacing w:line="360" w:lineRule="auto"/>
        <w:ind w:firstLine="424" w:firstLineChars="176"/>
        <w:rPr>
          <w:rFonts w:hint="eastAsia" w:ascii="仿宋" w:hAnsi="仿宋" w:eastAsia="仿宋" w:cs="Arial"/>
          <w:b/>
          <w:color w:val="000000"/>
          <w:kern w:val="0"/>
          <w:sz w:val="24"/>
        </w:rPr>
      </w:pPr>
      <w:r>
        <w:rPr>
          <w:rFonts w:hint="eastAsia" w:ascii="仿宋" w:hAnsi="仿宋" w:eastAsia="仿宋" w:cs="Arial"/>
          <w:b/>
          <w:color w:val="000000"/>
          <w:kern w:val="0"/>
          <w:sz w:val="24"/>
        </w:rPr>
        <w:t>4.5</w:t>
      </w:r>
      <w:r>
        <w:rPr>
          <w:rFonts w:ascii="仿宋" w:hAnsi="仿宋" w:eastAsia="仿宋" w:cs="Arial"/>
          <w:b/>
          <w:color w:val="000000"/>
          <w:kern w:val="0"/>
          <w:sz w:val="24"/>
        </w:rPr>
        <w:t>.1</w:t>
      </w:r>
      <w:r>
        <w:rPr>
          <w:rFonts w:hint="eastAsia" w:ascii="仿宋" w:hAnsi="仿宋" w:eastAsia="仿宋" w:cs="Arial"/>
          <w:b/>
          <w:color w:val="000000"/>
          <w:kern w:val="0"/>
          <w:sz w:val="24"/>
        </w:rPr>
        <w:t>磋商</w:t>
      </w:r>
      <w:r>
        <w:rPr>
          <w:rFonts w:ascii="仿宋" w:hAnsi="仿宋" w:eastAsia="仿宋" w:cs="Arial"/>
          <w:b/>
          <w:color w:val="000000"/>
          <w:kern w:val="0"/>
          <w:sz w:val="24"/>
        </w:rPr>
        <w:t>报价应按</w:t>
      </w:r>
      <w:r>
        <w:rPr>
          <w:rFonts w:hint="eastAsia" w:ascii="仿宋" w:hAnsi="仿宋" w:eastAsia="仿宋" w:cs="Arial"/>
          <w:b/>
          <w:color w:val="000000"/>
          <w:kern w:val="0"/>
          <w:sz w:val="24"/>
        </w:rPr>
        <w:t>《第六章 磋商响应文件格式》</w:t>
      </w:r>
      <w:r>
        <w:rPr>
          <w:rFonts w:ascii="仿宋" w:hAnsi="仿宋" w:eastAsia="仿宋" w:cs="Arial"/>
          <w:b/>
          <w:color w:val="000000"/>
          <w:kern w:val="0"/>
          <w:sz w:val="24"/>
        </w:rPr>
        <w:t>中</w:t>
      </w:r>
      <w:r>
        <w:rPr>
          <w:rFonts w:hint="eastAsia" w:ascii="仿宋" w:hAnsi="仿宋" w:eastAsia="仿宋" w:cs="Arial"/>
          <w:b/>
          <w:color w:val="000000"/>
          <w:kern w:val="0"/>
          <w:sz w:val="24"/>
        </w:rPr>
        <w:t>提供的</w:t>
      </w:r>
      <w:r>
        <w:rPr>
          <w:rFonts w:ascii="仿宋" w:hAnsi="仿宋" w:eastAsia="仿宋" w:cs="Arial"/>
          <w:b/>
          <w:color w:val="000000"/>
          <w:kern w:val="0"/>
          <w:sz w:val="24"/>
        </w:rPr>
        <w:t>相关</w:t>
      </w:r>
      <w:r>
        <w:rPr>
          <w:rFonts w:hint="eastAsia" w:ascii="仿宋" w:hAnsi="仿宋" w:eastAsia="仿宋" w:cs="Arial"/>
          <w:b/>
          <w:color w:val="000000"/>
          <w:kern w:val="0"/>
          <w:sz w:val="24"/>
        </w:rPr>
        <w:t>报价</w:t>
      </w:r>
      <w:r>
        <w:rPr>
          <w:rFonts w:ascii="仿宋" w:hAnsi="仿宋" w:eastAsia="仿宋" w:cs="Arial"/>
          <w:b/>
          <w:color w:val="000000"/>
          <w:kern w:val="0"/>
          <w:sz w:val="24"/>
        </w:rPr>
        <w:t>格式填写</w:t>
      </w:r>
      <w:r>
        <w:rPr>
          <w:rFonts w:hint="eastAsia" w:ascii="仿宋" w:hAnsi="仿宋" w:eastAsia="仿宋" w:cs="Arial"/>
          <w:b/>
          <w:color w:val="000000"/>
          <w:kern w:val="0"/>
          <w:sz w:val="24"/>
        </w:rPr>
        <w:t>；</w:t>
      </w:r>
    </w:p>
    <w:p w14:paraId="6E17FA2F">
      <w:pPr>
        <w:autoSpaceDE w:val="0"/>
        <w:autoSpaceDN w:val="0"/>
        <w:spacing w:line="360" w:lineRule="auto"/>
        <w:ind w:firstLine="424" w:firstLineChars="176"/>
        <w:rPr>
          <w:rFonts w:hint="eastAsia" w:ascii="仿宋" w:hAnsi="仿宋" w:eastAsia="仿宋" w:cs="Arial"/>
          <w:b/>
          <w:color w:val="000000"/>
          <w:kern w:val="0"/>
          <w:sz w:val="24"/>
        </w:rPr>
      </w:pPr>
      <w:r>
        <w:rPr>
          <w:rFonts w:hint="eastAsia" w:ascii="仿宋" w:hAnsi="仿宋" w:eastAsia="仿宋" w:cs="Arial"/>
          <w:b/>
          <w:color w:val="000000"/>
          <w:sz w:val="24"/>
        </w:rPr>
        <w:t>4.5.2本项目最高限价：</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rPr>
        <w:t>；</w:t>
      </w:r>
    </w:p>
    <w:p w14:paraId="28E5D124">
      <w:pPr>
        <w:autoSpaceDE w:val="0"/>
        <w:autoSpaceDN w:val="0"/>
        <w:spacing w:line="360" w:lineRule="auto"/>
        <w:ind w:firstLine="424" w:firstLineChars="176"/>
        <w:rPr>
          <w:rFonts w:hint="eastAsia" w:ascii="仿宋" w:hAnsi="仿宋" w:eastAsia="仿宋" w:cs="Arial"/>
          <w:b/>
          <w:color w:val="000000"/>
          <w:kern w:val="0"/>
          <w:sz w:val="24"/>
          <w:u w:val="single"/>
        </w:rPr>
      </w:pPr>
      <w:r>
        <w:rPr>
          <w:rFonts w:hint="eastAsia" w:ascii="仿宋" w:hAnsi="仿宋" w:eastAsia="仿宋" w:cs="Arial"/>
          <w:b/>
          <w:color w:val="000000"/>
          <w:kern w:val="0"/>
          <w:sz w:val="24"/>
          <w:u w:val="single"/>
        </w:rPr>
        <w:t>4.5</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3</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磋商响应文件</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针对每个标项每一轮</w:t>
      </w:r>
      <w:r>
        <w:rPr>
          <w:rFonts w:ascii="仿宋" w:hAnsi="仿宋" w:eastAsia="仿宋" w:cs="Arial"/>
          <w:b/>
          <w:color w:val="000000"/>
          <w:kern w:val="0"/>
          <w:sz w:val="24"/>
          <w:u w:val="single"/>
        </w:rPr>
        <w:t>只允许有一个报价，不接受有选择报价</w:t>
      </w:r>
      <w:r>
        <w:rPr>
          <w:rFonts w:hint="eastAsia" w:ascii="仿宋" w:hAnsi="仿宋" w:eastAsia="仿宋" w:cs="Arial"/>
          <w:b/>
          <w:color w:val="000000"/>
          <w:kern w:val="0"/>
          <w:sz w:val="24"/>
          <w:u w:val="single"/>
        </w:rPr>
        <w:t>的磋商响应（作无效标处理）</w:t>
      </w:r>
      <w:r>
        <w:rPr>
          <w:rFonts w:hint="eastAsia" w:ascii="仿宋" w:hAnsi="仿宋" w:eastAsia="仿宋" w:cs="Arial"/>
          <w:b/>
          <w:color w:val="000000"/>
          <w:kern w:val="0"/>
          <w:sz w:val="24"/>
        </w:rPr>
        <w:t>；</w:t>
      </w:r>
    </w:p>
    <w:p w14:paraId="1395137E">
      <w:pPr>
        <w:autoSpaceDE w:val="0"/>
        <w:autoSpaceDN w:val="0"/>
        <w:spacing w:line="360" w:lineRule="auto"/>
        <w:ind w:firstLine="424" w:firstLineChars="176"/>
        <w:rPr>
          <w:rFonts w:hint="eastAsia" w:ascii="仿宋" w:hAnsi="仿宋" w:eastAsia="仿宋" w:cs="Arial"/>
          <w:b/>
          <w:color w:val="000000"/>
          <w:kern w:val="0"/>
          <w:sz w:val="24"/>
        </w:rPr>
      </w:pPr>
      <w:r>
        <w:rPr>
          <w:rFonts w:hint="eastAsia" w:ascii="仿宋" w:hAnsi="仿宋" w:eastAsia="仿宋" w:cs="Arial"/>
          <w:b/>
          <w:color w:val="000000"/>
          <w:kern w:val="0"/>
          <w:sz w:val="24"/>
        </w:rPr>
        <w:t>4.5</w:t>
      </w:r>
      <w:r>
        <w:rPr>
          <w:rFonts w:ascii="仿宋" w:hAnsi="仿宋" w:eastAsia="仿宋" w:cs="Arial"/>
          <w:b/>
          <w:color w:val="000000"/>
          <w:kern w:val="0"/>
          <w:sz w:val="24"/>
        </w:rPr>
        <w:t>.</w:t>
      </w:r>
      <w:r>
        <w:rPr>
          <w:rFonts w:hint="eastAsia" w:ascii="仿宋" w:hAnsi="仿宋" w:eastAsia="仿宋" w:cs="Arial"/>
          <w:b/>
          <w:color w:val="000000"/>
          <w:kern w:val="0"/>
          <w:sz w:val="24"/>
        </w:rPr>
        <w:t>5</w:t>
      </w:r>
      <w:r>
        <w:rPr>
          <w:rFonts w:ascii="仿宋" w:hAnsi="仿宋" w:eastAsia="仿宋" w:cs="Arial"/>
          <w:b/>
          <w:color w:val="000000"/>
          <w:kern w:val="0"/>
          <w:sz w:val="24"/>
        </w:rPr>
        <w:t>最低报价不是</w:t>
      </w:r>
      <w:r>
        <w:rPr>
          <w:rFonts w:hint="eastAsia" w:ascii="仿宋" w:hAnsi="仿宋" w:eastAsia="仿宋" w:cs="Arial"/>
          <w:b/>
          <w:color w:val="000000"/>
          <w:kern w:val="0"/>
          <w:sz w:val="24"/>
        </w:rPr>
        <w:t>成交</w:t>
      </w:r>
      <w:r>
        <w:rPr>
          <w:rFonts w:ascii="仿宋" w:hAnsi="仿宋" w:eastAsia="仿宋" w:cs="Arial"/>
          <w:b/>
          <w:color w:val="000000"/>
          <w:kern w:val="0"/>
          <w:sz w:val="24"/>
        </w:rPr>
        <w:t>的保证，</w:t>
      </w:r>
      <w:r>
        <w:rPr>
          <w:rFonts w:hint="eastAsia" w:ascii="仿宋" w:hAnsi="仿宋" w:eastAsia="仿宋" w:cs="Arial"/>
          <w:b/>
          <w:color w:val="000000"/>
          <w:kern w:val="0"/>
          <w:sz w:val="24"/>
        </w:rPr>
        <w:t>采购人及采购代理机构</w:t>
      </w:r>
      <w:r>
        <w:rPr>
          <w:rFonts w:ascii="仿宋" w:hAnsi="仿宋" w:eastAsia="仿宋" w:cs="Arial"/>
          <w:b/>
          <w:color w:val="000000"/>
          <w:kern w:val="0"/>
          <w:sz w:val="24"/>
        </w:rPr>
        <w:t>不作任何落标解释。</w:t>
      </w:r>
    </w:p>
    <w:p w14:paraId="59199234">
      <w:pPr>
        <w:pStyle w:val="135"/>
        <w:autoSpaceDE w:val="0"/>
        <w:autoSpaceDN w:val="0"/>
        <w:spacing w:line="360" w:lineRule="auto"/>
        <w:ind w:firstLine="480"/>
        <w:rPr>
          <w:rFonts w:hint="eastAsia" w:ascii="仿宋" w:hAnsi="仿宋" w:eastAsia="仿宋" w:cs="仿宋"/>
          <w:sz w:val="24"/>
          <w:u w:val="thick"/>
        </w:rPr>
      </w:pPr>
      <w:r>
        <w:rPr>
          <w:rFonts w:hint="eastAsia" w:ascii="仿宋" w:hAnsi="仿宋" w:eastAsia="仿宋" w:cs="仿宋"/>
          <w:sz w:val="24"/>
        </w:rPr>
        <w:t>4.5.6 ▲</w:t>
      </w:r>
      <w:r>
        <w:rPr>
          <w:rFonts w:hint="eastAsia" w:ascii="仿宋" w:hAnsi="仿宋" w:eastAsia="仿宋" w:cs="仿宋"/>
          <w:b/>
          <w:color w:val="000000"/>
          <w:kern w:val="0"/>
          <w:sz w:val="24"/>
          <w:u w:val="single"/>
        </w:rPr>
        <w:t>本次磋商报价为含税人民币价</w:t>
      </w:r>
      <w:r>
        <w:rPr>
          <w:rFonts w:hint="eastAsia" w:ascii="仿宋" w:hAnsi="仿宋" w:eastAsia="仿宋" w:cs="仿宋"/>
          <w:b/>
          <w:color w:val="000000"/>
          <w:kern w:val="0"/>
          <w:sz w:val="24"/>
        </w:rPr>
        <w:t>。</w:t>
      </w:r>
    </w:p>
    <w:p w14:paraId="450AAF08">
      <w:pPr>
        <w:pStyle w:val="80"/>
        <w:autoSpaceDE w:val="0"/>
        <w:autoSpaceDN w:val="0"/>
        <w:adjustRightInd w:val="0"/>
        <w:snapToGrid w:val="0"/>
        <w:spacing w:before="0"/>
        <w:ind w:firstLine="480"/>
        <w:rPr>
          <w:rFonts w:hint="eastAsia" w:ascii="仿宋" w:hAnsi="仿宋" w:eastAsia="仿宋" w:cs="仿宋"/>
          <w:bCs/>
        </w:rPr>
      </w:pPr>
      <w:r>
        <w:rPr>
          <w:rFonts w:hint="eastAsia" w:ascii="仿宋" w:hAnsi="仿宋" w:eastAsia="仿宋" w:cs="仿宋"/>
        </w:rPr>
        <w:t>4.5.7磋商报价为磋商响应供应商的磋商响应文件中提出的各项支付金额的总和。</w:t>
      </w:r>
    </w:p>
    <w:p w14:paraId="45E98D17">
      <w:pPr>
        <w:pStyle w:val="135"/>
        <w:autoSpaceDE w:val="0"/>
        <w:autoSpaceDN w:val="0"/>
        <w:spacing w:line="360" w:lineRule="auto"/>
        <w:ind w:firstLine="480"/>
        <w:rPr>
          <w:rFonts w:hint="eastAsia" w:ascii="仿宋" w:hAnsi="仿宋" w:eastAsia="仿宋" w:cs="仿宋"/>
          <w:bCs/>
          <w:sz w:val="24"/>
        </w:rPr>
      </w:pPr>
      <w:r>
        <w:rPr>
          <w:rFonts w:hint="eastAsia" w:ascii="仿宋" w:hAnsi="仿宋" w:eastAsia="仿宋" w:cs="仿宋"/>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cs="仿宋"/>
          <w:bCs/>
          <w:sz w:val="24"/>
        </w:rPr>
        <w:t>。</w:t>
      </w:r>
    </w:p>
    <w:p w14:paraId="5ABE164F">
      <w:pPr>
        <w:pStyle w:val="5"/>
        <w:autoSpaceDE w:val="0"/>
        <w:autoSpaceDN w:val="0"/>
        <w:spacing w:line="360" w:lineRule="auto"/>
        <w:ind w:firstLine="420"/>
        <w:rPr>
          <w:rFonts w:hint="eastAsia" w:ascii="仿宋" w:hAnsi="仿宋" w:eastAsia="仿宋" w:cs="仿宋"/>
          <w:bCs/>
          <w:sz w:val="24"/>
          <w:szCs w:val="24"/>
        </w:rPr>
      </w:pPr>
      <w:r>
        <w:rPr>
          <w:rFonts w:hint="eastAsia" w:ascii="仿宋" w:hAnsi="仿宋" w:eastAsia="仿宋" w:cs="仿宋"/>
          <w:sz w:val="24"/>
        </w:rPr>
        <w:t>4.5.</w:t>
      </w:r>
      <w:r>
        <w:rPr>
          <w:rFonts w:hint="eastAsia" w:ascii="仿宋" w:hAnsi="仿宋" w:eastAsia="仿宋" w:cs="仿宋"/>
          <w:sz w:val="24"/>
          <w:szCs w:val="24"/>
        </w:rPr>
        <w:t>9</w:t>
      </w:r>
      <w:r>
        <w:rPr>
          <w:rFonts w:hint="eastAsia" w:ascii="仿宋" w:hAnsi="仿宋" w:eastAsia="仿宋" w:cs="仿宋"/>
          <w:bCs/>
          <w:sz w:val="24"/>
          <w:szCs w:val="24"/>
        </w:rPr>
        <w:t>技术规范要求所列的施工技术要求所产生的费用均应包括在磋商报价中。上述要求凡采购人提供的工程量清单中未列入的，由磋商响应供应商在相应的分部分项工程量清单项目的综合单价中考虑，采购人不单独列项支付；</w:t>
      </w:r>
    </w:p>
    <w:p w14:paraId="5D36FE10">
      <w:pPr>
        <w:autoSpaceDE w:val="0"/>
        <w:autoSpaceDN w:val="0"/>
        <w:spacing w:line="360" w:lineRule="auto"/>
        <w:ind w:firstLine="420"/>
        <w:rPr>
          <w:rFonts w:hint="eastAsia" w:ascii="仿宋" w:hAnsi="仿宋" w:eastAsia="仿宋" w:cs="仿宋"/>
          <w:bCs/>
          <w:sz w:val="24"/>
        </w:rPr>
      </w:pPr>
      <w:r>
        <w:rPr>
          <w:rFonts w:hint="eastAsia" w:ascii="仿宋" w:hAnsi="仿宋" w:eastAsia="仿宋" w:cs="仿宋"/>
          <w:sz w:val="24"/>
        </w:rPr>
        <w:t>4.5.10</w:t>
      </w:r>
      <w:r>
        <w:rPr>
          <w:rFonts w:hint="eastAsia" w:ascii="仿宋" w:hAnsi="仿宋" w:eastAsia="仿宋" w:cs="仿宋"/>
          <w:b/>
          <w:sz w:val="24"/>
          <w:u w:val="single"/>
        </w:rPr>
        <w:t>竞争性磋商报价以最后报价为准，单价同比例调整（</w:t>
      </w:r>
      <w:r>
        <w:rPr>
          <w:rFonts w:hint="eastAsia" w:ascii="仿宋" w:hAnsi="仿宋" w:eastAsia="仿宋" w:cs="仿宋"/>
          <w:b/>
          <w:sz w:val="24"/>
          <w:u w:val="single"/>
          <w:lang w:val="en-US" w:eastAsia="zh-CN"/>
        </w:rPr>
        <w:t>暂列金、暂估价不调整</w:t>
      </w:r>
      <w:r>
        <w:rPr>
          <w:rFonts w:hint="eastAsia" w:ascii="仿宋" w:hAnsi="仿宋" w:eastAsia="仿宋" w:cs="仿宋"/>
          <w:b/>
          <w:sz w:val="24"/>
          <w:u w:val="single"/>
        </w:rPr>
        <w:t>）。</w:t>
      </w:r>
    </w:p>
    <w:p w14:paraId="3EA074E3">
      <w:pPr>
        <w:pStyle w:val="80"/>
        <w:autoSpaceDE w:val="0"/>
        <w:autoSpaceDN w:val="0"/>
        <w:adjustRightInd w:val="0"/>
        <w:snapToGrid w:val="0"/>
        <w:spacing w:before="0"/>
        <w:ind w:firstLine="480"/>
        <w:rPr>
          <w:rFonts w:hint="eastAsia" w:ascii="仿宋" w:hAnsi="仿宋" w:eastAsia="仿宋" w:cs="仿宋"/>
          <w:szCs w:val="24"/>
        </w:rPr>
      </w:pPr>
      <w:r>
        <w:rPr>
          <w:rFonts w:hint="eastAsia" w:ascii="仿宋" w:hAnsi="仿宋" w:eastAsia="仿宋" w:cs="仿宋"/>
          <w:szCs w:val="24"/>
        </w:rPr>
        <w:t>4.5.11除非合同中另有规定，磋商响应供应商在磋商总价中的价格均包括完成该工程项目的直接费、间接费、利润、税金、风险费等所有费用；</w:t>
      </w:r>
    </w:p>
    <w:p w14:paraId="7E85835C">
      <w:pPr>
        <w:pStyle w:val="80"/>
        <w:autoSpaceDE w:val="0"/>
        <w:autoSpaceDN w:val="0"/>
        <w:adjustRightInd w:val="0"/>
        <w:snapToGrid w:val="0"/>
        <w:spacing w:before="0"/>
        <w:ind w:firstLine="480"/>
        <w:rPr>
          <w:rFonts w:hint="eastAsia" w:ascii="Times New Roman" w:hAnsi="仿宋" w:eastAsia="仿宋"/>
          <w:szCs w:val="24"/>
        </w:rPr>
      </w:pPr>
      <w:r>
        <w:rPr>
          <w:rFonts w:hint="eastAsia" w:ascii="仿宋" w:hAnsi="仿宋" w:eastAsia="仿宋" w:cs="仿宋"/>
          <w:szCs w:val="24"/>
        </w:rPr>
        <w:t>4.5.12磋商响应供应商应先到工地踏勘以充分了解工地位置、情况、道路、储存空间、装卸限制及任何其</w:t>
      </w:r>
      <w:r>
        <w:rPr>
          <w:rFonts w:ascii="Times New Roman" w:hAnsi="仿宋" w:eastAsia="仿宋"/>
          <w:szCs w:val="24"/>
        </w:rPr>
        <w:t>它足以影响承包价的情况，任何因忽视或误解工地情况而导致的索赔或工期延长申请将不获批准；</w:t>
      </w:r>
    </w:p>
    <w:p w14:paraId="4F500920">
      <w:pPr>
        <w:pStyle w:val="80"/>
        <w:autoSpaceDE w:val="0"/>
        <w:autoSpaceDN w:val="0"/>
        <w:adjustRightInd w:val="0"/>
        <w:snapToGrid w:val="0"/>
        <w:spacing w:before="0"/>
        <w:ind w:firstLine="480"/>
        <w:rPr>
          <w:rFonts w:hint="eastAsia" w:ascii="仿宋" w:hAnsi="仿宋" w:eastAsia="仿宋" w:cs="仿宋"/>
          <w:szCs w:val="24"/>
        </w:rPr>
      </w:pPr>
      <w:r>
        <w:rPr>
          <w:rFonts w:hint="eastAsia" w:ascii="仿宋" w:hAnsi="仿宋" w:eastAsia="仿宋" w:cs="仿宋"/>
          <w:szCs w:val="24"/>
        </w:rPr>
        <w:t>4.5.13除非本磋商文件对工程量清单编制和报价另有说明的，否则，磋商响应供应商应按工程量清单中的项目和数量进行报价。</w:t>
      </w:r>
    </w:p>
    <w:p w14:paraId="4C7AEB70">
      <w:pPr>
        <w:pStyle w:val="80"/>
        <w:autoSpaceDE w:val="0"/>
        <w:autoSpaceDN w:val="0"/>
        <w:adjustRightInd w:val="0"/>
        <w:snapToGrid w:val="0"/>
        <w:spacing w:before="0"/>
        <w:ind w:firstLine="480"/>
        <w:rPr>
          <w:rFonts w:hint="eastAsia" w:ascii="仿宋" w:hAnsi="仿宋" w:eastAsia="仿宋" w:cs="仿宋"/>
          <w:szCs w:val="24"/>
        </w:rPr>
      </w:pPr>
      <w:r>
        <w:rPr>
          <w:rFonts w:hint="eastAsia" w:ascii="仿宋" w:hAnsi="仿宋" w:eastAsia="仿宋" w:cs="仿宋"/>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14:paraId="22A7159C">
      <w:pPr>
        <w:pStyle w:val="80"/>
        <w:autoSpaceDE w:val="0"/>
        <w:autoSpaceDN w:val="0"/>
        <w:adjustRightInd w:val="0"/>
        <w:snapToGrid w:val="0"/>
        <w:spacing w:before="0"/>
        <w:ind w:firstLine="480"/>
        <w:rPr>
          <w:rFonts w:hint="eastAsia" w:ascii="仿宋" w:hAnsi="仿宋" w:eastAsia="仿宋" w:cs="仿宋"/>
          <w:szCs w:val="24"/>
        </w:rPr>
      </w:pPr>
      <w:r>
        <w:rPr>
          <w:rFonts w:hint="eastAsia" w:ascii="仿宋" w:hAnsi="仿宋" w:eastAsia="仿宋" w:cs="仿宋"/>
          <w:szCs w:val="24"/>
        </w:rPr>
        <w:t>4.5.15供应商采购过程中对采购人提供的最终工程量清单未提出异议的，须在磋商单价及磋商总价中充分考虑固定总价合同可能存在的工程量与图纸（如有）不一致的风险。</w:t>
      </w:r>
    </w:p>
    <w:p w14:paraId="7085E4E0">
      <w:pPr>
        <w:pStyle w:val="80"/>
        <w:autoSpaceDE w:val="0"/>
        <w:autoSpaceDN w:val="0"/>
        <w:adjustRightInd w:val="0"/>
        <w:snapToGrid w:val="0"/>
        <w:spacing w:before="0"/>
        <w:ind w:firstLine="480"/>
        <w:rPr>
          <w:rFonts w:hint="eastAsia" w:ascii="仿宋" w:hAnsi="仿宋" w:eastAsia="仿宋" w:cs="仿宋"/>
          <w:szCs w:val="24"/>
        </w:rPr>
      </w:pPr>
      <w:r>
        <w:rPr>
          <w:rFonts w:hint="eastAsia" w:ascii="仿宋" w:hAnsi="仿宋" w:eastAsia="仿宋" w:cs="仿宋"/>
          <w:szCs w:val="24"/>
        </w:rPr>
        <w:t>4.5.16供应商须在磋商总价中考虑人、材、机可能的价格变化。</w:t>
      </w:r>
    </w:p>
    <w:p w14:paraId="0F854592">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4.6 磋商响应文件的有效期</w:t>
      </w:r>
    </w:p>
    <w:p w14:paraId="06CAB1A8">
      <w:pPr>
        <w:autoSpaceDE w:val="0"/>
        <w:autoSpaceDN w:val="0"/>
        <w:spacing w:line="360" w:lineRule="auto"/>
        <w:ind w:firstLine="422" w:firstLineChars="175"/>
        <w:rPr>
          <w:rFonts w:hint="eastAsia" w:ascii="仿宋" w:hAnsi="仿宋" w:eastAsia="仿宋" w:cs="Arial"/>
          <w:b/>
          <w:color w:val="000000"/>
          <w:kern w:val="0"/>
          <w:sz w:val="24"/>
        </w:rPr>
      </w:pPr>
      <w:r>
        <w:rPr>
          <w:rFonts w:hint="eastAsia" w:ascii="仿宋" w:hAnsi="仿宋" w:eastAsia="仿宋" w:cs="Arial"/>
          <w:b/>
          <w:color w:val="000000"/>
          <w:kern w:val="0"/>
          <w:sz w:val="24"/>
        </w:rPr>
        <w:t>4.6</w:t>
      </w:r>
      <w:r>
        <w:rPr>
          <w:rFonts w:ascii="仿宋" w:hAnsi="仿宋" w:eastAsia="仿宋" w:cs="Arial"/>
          <w:b/>
          <w:color w:val="000000"/>
          <w:kern w:val="0"/>
          <w:sz w:val="24"/>
        </w:rPr>
        <w:t>.1</w:t>
      </w:r>
      <w:r>
        <w:rPr>
          <w:rFonts w:hint="eastAsia" w:ascii="仿宋" w:hAnsi="仿宋" w:eastAsia="仿宋" w:cs="Arial"/>
          <w:b/>
          <w:color w:val="000000"/>
          <w:kern w:val="0"/>
          <w:sz w:val="24"/>
        </w:rPr>
        <w:t>《磋商响应文件》有效期：</w:t>
      </w:r>
      <w:r>
        <w:rPr>
          <w:rFonts w:hint="eastAsia" w:ascii="仿宋" w:hAnsi="仿宋" w:eastAsia="仿宋" w:cs="Arial"/>
          <w:b/>
          <w:color w:val="000000"/>
          <w:kern w:val="0"/>
          <w:sz w:val="24"/>
          <w:u w:val="single"/>
        </w:rPr>
        <w:t>见《磋商须知前附表》</w:t>
      </w:r>
      <w:r>
        <w:rPr>
          <w:rFonts w:hint="eastAsia" w:ascii="仿宋" w:hAnsi="仿宋" w:eastAsia="仿宋" w:cs="Arial"/>
          <w:b/>
          <w:color w:val="000000"/>
          <w:kern w:val="0"/>
          <w:sz w:val="24"/>
        </w:rPr>
        <w:t>，《磋商响应文件》</w:t>
      </w:r>
      <w:r>
        <w:rPr>
          <w:rFonts w:ascii="仿宋" w:hAnsi="仿宋" w:eastAsia="仿宋" w:cs="Arial"/>
          <w:b/>
          <w:color w:val="000000"/>
          <w:kern w:val="0"/>
          <w:sz w:val="24"/>
        </w:rPr>
        <w:t>有效期</w:t>
      </w:r>
      <w:r>
        <w:rPr>
          <w:rFonts w:hint="eastAsia" w:ascii="仿宋" w:hAnsi="仿宋" w:eastAsia="仿宋" w:cs="Arial"/>
          <w:b/>
          <w:color w:val="000000"/>
          <w:kern w:val="0"/>
          <w:sz w:val="24"/>
        </w:rPr>
        <w:t>少</w:t>
      </w:r>
      <w:r>
        <w:rPr>
          <w:rFonts w:ascii="仿宋" w:hAnsi="仿宋" w:eastAsia="仿宋" w:cs="Arial"/>
          <w:b/>
          <w:color w:val="000000"/>
          <w:kern w:val="0"/>
          <w:sz w:val="24"/>
        </w:rPr>
        <w:t>于这个规定期限的投标</w:t>
      </w:r>
      <w:r>
        <w:rPr>
          <w:rFonts w:hint="eastAsia" w:ascii="仿宋" w:hAnsi="仿宋" w:eastAsia="仿宋" w:cs="Arial"/>
          <w:b/>
          <w:color w:val="000000"/>
          <w:kern w:val="0"/>
          <w:sz w:val="24"/>
        </w:rPr>
        <w:t>响应</w:t>
      </w:r>
      <w:r>
        <w:rPr>
          <w:rFonts w:ascii="仿宋" w:hAnsi="仿宋" w:eastAsia="仿宋" w:cs="Arial"/>
          <w:b/>
          <w:color w:val="000000"/>
          <w:kern w:val="0"/>
          <w:sz w:val="24"/>
        </w:rPr>
        <w:t>将</w:t>
      </w:r>
      <w:r>
        <w:rPr>
          <w:rFonts w:hint="eastAsia" w:ascii="仿宋" w:hAnsi="仿宋" w:eastAsia="仿宋" w:cs="Arial"/>
          <w:b/>
          <w:color w:val="000000"/>
          <w:kern w:val="0"/>
          <w:sz w:val="24"/>
        </w:rPr>
        <w:t>作无效标处理；</w:t>
      </w:r>
    </w:p>
    <w:p w14:paraId="290E35AD">
      <w:pPr>
        <w:autoSpaceDE w:val="0"/>
        <w:autoSpaceDN w:val="0"/>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.2在特殊情况下，</w:t>
      </w:r>
      <w:r>
        <w:rPr>
          <w:rFonts w:hint="eastAsia" w:ascii="仿宋" w:hAnsi="仿宋" w:eastAsia="仿宋" w:cs="Arial"/>
          <w:color w:val="000000"/>
          <w:kern w:val="0"/>
          <w:sz w:val="24"/>
        </w:rPr>
        <w:t>采购</w:t>
      </w:r>
      <w:r>
        <w:rPr>
          <w:rFonts w:ascii="仿宋" w:hAnsi="仿宋" w:eastAsia="仿宋" w:cs="Arial"/>
          <w:color w:val="000000"/>
          <w:kern w:val="0"/>
          <w:sz w:val="24"/>
        </w:rPr>
        <w:t>人可与</w:t>
      </w:r>
      <w:r>
        <w:rPr>
          <w:rFonts w:hint="eastAsia" w:ascii="仿宋" w:hAnsi="仿宋" w:eastAsia="仿宋" w:cs="Arial"/>
          <w:color w:val="000000"/>
          <w:kern w:val="0"/>
          <w:sz w:val="24"/>
        </w:rPr>
        <w:t>磋商响应供应商</w:t>
      </w:r>
      <w:r>
        <w:rPr>
          <w:rFonts w:ascii="仿宋" w:hAnsi="仿宋" w:eastAsia="仿宋" w:cs="Arial"/>
          <w:color w:val="000000"/>
          <w:kern w:val="0"/>
          <w:sz w:val="24"/>
        </w:rPr>
        <w:t>协商延长《</w:t>
      </w:r>
      <w:r>
        <w:rPr>
          <w:rFonts w:hint="eastAsia" w:ascii="仿宋" w:hAnsi="仿宋" w:eastAsia="仿宋" w:cs="Arial"/>
          <w:color w:val="000000"/>
          <w:kern w:val="0"/>
          <w:sz w:val="24"/>
        </w:rPr>
        <w:t>磋商响应文件</w:t>
      </w:r>
      <w:r>
        <w:rPr>
          <w:rFonts w:ascii="仿宋" w:hAnsi="仿宋" w:eastAsia="仿宋" w:cs="Arial"/>
          <w:color w:val="000000"/>
          <w:kern w:val="0"/>
          <w:sz w:val="24"/>
        </w:rPr>
        <w:t>》的有效期，</w:t>
      </w:r>
      <w:r>
        <w:rPr>
          <w:rFonts w:hint="eastAsia" w:ascii="仿宋" w:hAnsi="仿宋" w:eastAsia="仿宋" w:cs="Arial"/>
          <w:color w:val="000000"/>
          <w:kern w:val="0"/>
          <w:sz w:val="24"/>
        </w:rPr>
        <w:t>协商过程</w:t>
      </w:r>
      <w:r>
        <w:rPr>
          <w:rFonts w:ascii="仿宋" w:hAnsi="仿宋" w:eastAsia="仿宋" w:cs="Arial"/>
          <w:color w:val="000000"/>
          <w:kern w:val="0"/>
          <w:sz w:val="24"/>
        </w:rPr>
        <w:t>以书面形式进行</w:t>
      </w:r>
      <w:r>
        <w:rPr>
          <w:rFonts w:hint="eastAsia" w:ascii="仿宋" w:hAnsi="仿宋" w:eastAsia="仿宋" w:cs="Arial"/>
          <w:color w:val="000000"/>
          <w:kern w:val="0"/>
          <w:sz w:val="24"/>
        </w:rPr>
        <w:t>；</w:t>
      </w:r>
    </w:p>
    <w:p w14:paraId="212DF7CE">
      <w:pPr>
        <w:autoSpaceDE w:val="0"/>
        <w:autoSpaceDN w:val="0"/>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.3</w:t>
      </w:r>
      <w:r>
        <w:rPr>
          <w:rFonts w:hint="eastAsia" w:ascii="仿宋" w:hAnsi="仿宋" w:eastAsia="仿宋" w:cs="Arial"/>
          <w:color w:val="000000"/>
          <w:kern w:val="0"/>
          <w:sz w:val="24"/>
        </w:rPr>
        <w:t>磋商响应供应商</w:t>
      </w:r>
      <w:r>
        <w:rPr>
          <w:rFonts w:ascii="仿宋" w:hAnsi="仿宋" w:eastAsia="仿宋" w:cs="Arial"/>
          <w:color w:val="000000"/>
          <w:kern w:val="0"/>
          <w:sz w:val="24"/>
        </w:rPr>
        <w:t>可拒绝接受延期要求</w:t>
      </w:r>
      <w:r>
        <w:rPr>
          <w:rFonts w:hint="eastAsia" w:ascii="仿宋" w:hAnsi="仿宋" w:eastAsia="仿宋" w:cs="Arial"/>
          <w:color w:val="000000"/>
          <w:kern w:val="0"/>
          <w:sz w:val="24"/>
        </w:rPr>
        <w:t>，</w:t>
      </w:r>
      <w:r>
        <w:rPr>
          <w:rFonts w:ascii="仿宋" w:hAnsi="仿宋" w:eastAsia="仿宋" w:cs="Arial"/>
          <w:color w:val="000000"/>
          <w:kern w:val="0"/>
          <w:sz w:val="24"/>
        </w:rPr>
        <w:t>同意延长有效期的</w:t>
      </w:r>
      <w:r>
        <w:rPr>
          <w:rFonts w:hint="eastAsia" w:ascii="仿宋" w:hAnsi="仿宋" w:eastAsia="仿宋" w:cs="Arial"/>
          <w:color w:val="000000"/>
          <w:kern w:val="0"/>
          <w:sz w:val="24"/>
        </w:rPr>
        <w:t>磋商响应供应商</w:t>
      </w:r>
      <w:r>
        <w:rPr>
          <w:rFonts w:ascii="仿宋" w:hAnsi="仿宋" w:eastAsia="仿宋" w:cs="Arial"/>
          <w:color w:val="000000"/>
          <w:kern w:val="0"/>
          <w:sz w:val="24"/>
        </w:rPr>
        <w:t>不能修改《</w:t>
      </w:r>
      <w:r>
        <w:rPr>
          <w:rFonts w:hint="eastAsia" w:ascii="仿宋" w:hAnsi="仿宋" w:eastAsia="仿宋" w:cs="Arial"/>
          <w:color w:val="000000"/>
          <w:kern w:val="0"/>
          <w:sz w:val="24"/>
        </w:rPr>
        <w:t>磋商响应文件</w:t>
      </w:r>
      <w:r>
        <w:rPr>
          <w:rFonts w:ascii="仿宋" w:hAnsi="仿宋" w:eastAsia="仿宋" w:cs="Arial"/>
          <w:color w:val="000000"/>
          <w:kern w:val="0"/>
          <w:sz w:val="24"/>
        </w:rPr>
        <w:t>》</w:t>
      </w:r>
      <w:r>
        <w:rPr>
          <w:rFonts w:hint="eastAsia" w:ascii="仿宋" w:hAnsi="仿宋" w:eastAsia="仿宋" w:cs="Arial"/>
          <w:color w:val="000000"/>
          <w:kern w:val="0"/>
          <w:sz w:val="24"/>
        </w:rPr>
        <w:t>；</w:t>
      </w:r>
    </w:p>
    <w:p w14:paraId="7B885806">
      <w:pPr>
        <w:autoSpaceDE w:val="0"/>
        <w:autoSpaceDN w:val="0"/>
        <w:spacing w:line="360" w:lineRule="auto"/>
        <w:ind w:firstLine="420" w:firstLineChars="175"/>
        <w:rPr>
          <w:rFonts w:hint="eastAsia"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.4</w:t>
      </w:r>
      <w:r>
        <w:rPr>
          <w:rFonts w:hint="eastAsia" w:ascii="仿宋" w:hAnsi="仿宋" w:eastAsia="仿宋" w:cs="Arial"/>
          <w:color w:val="000000"/>
          <w:kern w:val="0"/>
          <w:sz w:val="24"/>
        </w:rPr>
        <w:t>成交供应商的</w:t>
      </w:r>
      <w:r>
        <w:rPr>
          <w:rFonts w:ascii="仿宋" w:hAnsi="仿宋" w:eastAsia="仿宋" w:cs="Arial"/>
          <w:color w:val="000000"/>
          <w:kern w:val="0"/>
          <w:sz w:val="24"/>
        </w:rPr>
        <w:t>《</w:t>
      </w:r>
      <w:r>
        <w:rPr>
          <w:rFonts w:hint="eastAsia" w:ascii="仿宋" w:hAnsi="仿宋" w:eastAsia="仿宋" w:cs="Arial"/>
          <w:color w:val="000000"/>
          <w:kern w:val="0"/>
          <w:sz w:val="24"/>
        </w:rPr>
        <w:t>磋商响应文件</w:t>
      </w:r>
      <w:r>
        <w:rPr>
          <w:rFonts w:ascii="仿宋" w:hAnsi="仿宋" w:eastAsia="仿宋" w:cs="Arial"/>
          <w:color w:val="000000"/>
          <w:kern w:val="0"/>
          <w:sz w:val="24"/>
        </w:rPr>
        <w:t>》</w:t>
      </w:r>
      <w:r>
        <w:rPr>
          <w:rFonts w:hint="eastAsia" w:ascii="仿宋" w:hAnsi="仿宋" w:eastAsia="仿宋" w:cs="Arial"/>
          <w:color w:val="000000"/>
          <w:kern w:val="0"/>
          <w:sz w:val="24"/>
        </w:rPr>
        <w:t>作为合同组成部分，其有效期自动延长至</w:t>
      </w:r>
      <w:r>
        <w:rPr>
          <w:rFonts w:ascii="仿宋" w:hAnsi="仿宋" w:eastAsia="仿宋" w:cs="Arial"/>
          <w:color w:val="000000"/>
          <w:kern w:val="0"/>
          <w:sz w:val="24"/>
        </w:rPr>
        <w:t>合同履行完毕止</w:t>
      </w:r>
      <w:r>
        <w:rPr>
          <w:rFonts w:hint="eastAsia" w:ascii="仿宋" w:hAnsi="仿宋" w:eastAsia="仿宋" w:cs="Arial"/>
          <w:color w:val="000000"/>
          <w:kern w:val="0"/>
          <w:sz w:val="24"/>
        </w:rPr>
        <w:t>；</w:t>
      </w:r>
    </w:p>
    <w:p w14:paraId="38A5D53E">
      <w:pPr>
        <w:autoSpaceDE w:val="0"/>
        <w:autoSpaceDN w:val="0"/>
        <w:spacing w:line="360" w:lineRule="auto"/>
        <w:ind w:firstLine="422" w:firstLineChars="175"/>
        <w:rPr>
          <w:rFonts w:hint="eastAsia" w:ascii="仿宋" w:hAnsi="仿宋" w:eastAsia="仿宋" w:cs="Arial"/>
          <w:color w:val="000000"/>
          <w:kern w:val="0"/>
          <w:sz w:val="24"/>
        </w:rPr>
      </w:pPr>
      <w:r>
        <w:rPr>
          <w:rFonts w:hint="eastAsia" w:ascii="仿宋" w:hAnsi="仿宋" w:eastAsia="仿宋" w:cs="Arial"/>
          <w:b/>
          <w:color w:val="000000"/>
          <w:kern w:val="0"/>
          <w:sz w:val="24"/>
        </w:rPr>
        <w:t>4.6.5磋商响应供应商在《磋商响应文件》有效期内强行撤回（撤销）其磋商响应文件的，</w:t>
      </w:r>
      <w:r>
        <w:rPr>
          <w:rFonts w:hint="eastAsia" w:ascii="仿宋" w:hAnsi="仿宋" w:eastAsia="仿宋"/>
          <w:b/>
          <w:color w:val="000000"/>
          <w:sz w:val="24"/>
        </w:rPr>
        <w:t>采购人将按采购预算金额的5%对其进行追偿（追偿金额不足伍万的按伍万计），以弥补采购人、采购代理机构损失，同时将对其失信行为上报至同级政府采购监督管理部门依法处理。</w:t>
      </w:r>
    </w:p>
    <w:p w14:paraId="4CF27720">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4.7 备份磋商响应文件</w:t>
      </w:r>
    </w:p>
    <w:p w14:paraId="0CD0EB08">
      <w:pPr>
        <w:autoSpaceDE w:val="0"/>
        <w:autoSpaceDN w:val="0"/>
        <w:spacing w:line="360" w:lineRule="auto"/>
        <w:ind w:firstLine="424" w:firstLineChars="176"/>
        <w:rPr>
          <w:rFonts w:hint="eastAsia" w:ascii="仿宋" w:hAnsi="仿宋" w:eastAsia="仿宋" w:cs="Arial"/>
          <w:b/>
          <w:color w:val="000000"/>
          <w:sz w:val="24"/>
        </w:rPr>
      </w:pPr>
      <w:r>
        <w:rPr>
          <w:rFonts w:hint="eastAsia" w:ascii="仿宋" w:hAnsi="仿宋" w:eastAsia="仿宋" w:cs="Arial"/>
          <w:b/>
          <w:color w:val="000000"/>
          <w:sz w:val="24"/>
        </w:rPr>
        <w:t>4.7.1备份磋商响应文件的约定：</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14:paraId="45D554AB">
      <w:pPr>
        <w:autoSpaceDE w:val="0"/>
        <w:autoSpaceDN w:val="0"/>
        <w:spacing w:line="360" w:lineRule="auto"/>
        <w:ind w:firstLine="424" w:firstLineChars="176"/>
        <w:rPr>
          <w:rFonts w:hint="eastAsia" w:ascii="仿宋" w:hAnsi="仿宋" w:eastAsia="仿宋" w:cs="Arial"/>
          <w:b/>
          <w:color w:val="000000"/>
          <w:sz w:val="24"/>
        </w:rPr>
      </w:pPr>
      <w:r>
        <w:rPr>
          <w:rFonts w:hint="eastAsia" w:ascii="仿宋" w:hAnsi="仿宋" w:eastAsia="仿宋" w:cs="Arial"/>
          <w:b/>
          <w:color w:val="000000"/>
          <w:sz w:val="24"/>
        </w:rPr>
        <w:t>4.7.2备份磋商响应文件的编制：</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14:paraId="241DF7E5">
      <w:pPr>
        <w:autoSpaceDE w:val="0"/>
        <w:autoSpaceDN w:val="0"/>
        <w:spacing w:line="360" w:lineRule="auto"/>
        <w:ind w:firstLine="424" w:firstLineChars="176"/>
        <w:rPr>
          <w:rFonts w:hint="eastAsia" w:ascii="仿宋" w:hAnsi="仿宋" w:eastAsia="仿宋" w:cs="Arial"/>
          <w:b/>
          <w:color w:val="0000FF"/>
          <w:sz w:val="24"/>
        </w:rPr>
      </w:pPr>
      <w:r>
        <w:rPr>
          <w:rFonts w:hint="eastAsia" w:ascii="仿宋" w:hAnsi="仿宋" w:eastAsia="仿宋" w:cs="Arial"/>
          <w:b/>
          <w:color w:val="000000"/>
          <w:sz w:val="24"/>
        </w:rPr>
        <w:t>4.7.3备份磋商响应文件的存储、份数、密封包装、标识、递交与接收</w:t>
      </w:r>
    </w:p>
    <w:p w14:paraId="2CBBC284">
      <w:pPr>
        <w:autoSpaceDE w:val="0"/>
        <w:autoSpaceDN w:val="0"/>
        <w:spacing w:line="360" w:lineRule="auto"/>
        <w:ind w:firstLine="424" w:firstLineChars="176"/>
        <w:rPr>
          <w:rFonts w:hint="eastAsia" w:ascii="仿宋" w:hAnsi="仿宋" w:eastAsia="仿宋" w:cs="Arial"/>
          <w:color w:val="000000"/>
          <w:sz w:val="24"/>
        </w:rPr>
      </w:pPr>
      <w:r>
        <w:rPr>
          <w:rFonts w:hint="eastAsia" w:ascii="仿宋" w:hAnsi="仿宋" w:eastAsia="仿宋" w:cs="Arial"/>
          <w:b/>
          <w:color w:val="000000"/>
          <w:sz w:val="24"/>
        </w:rPr>
        <w:t>（1）存储：</w:t>
      </w:r>
      <w:r>
        <w:rPr>
          <w:rFonts w:hint="eastAsia" w:ascii="仿宋" w:hAnsi="仿宋" w:eastAsia="仿宋"/>
          <w:b/>
          <w:color w:val="000000"/>
          <w:kern w:val="0"/>
          <w:sz w:val="24"/>
          <w:u w:val="single"/>
        </w:rPr>
        <w:t>见《磋商须知前附表》</w:t>
      </w:r>
      <w:r>
        <w:rPr>
          <w:rFonts w:hint="eastAsia" w:ascii="仿宋" w:hAnsi="仿宋" w:eastAsia="仿宋" w:cs="Arial"/>
          <w:color w:val="000000"/>
          <w:sz w:val="24"/>
        </w:rPr>
        <w:t>；</w:t>
      </w:r>
    </w:p>
    <w:p w14:paraId="3A220FE1">
      <w:pPr>
        <w:autoSpaceDE w:val="0"/>
        <w:autoSpaceDN w:val="0"/>
        <w:spacing w:line="360" w:lineRule="auto"/>
        <w:ind w:firstLine="424" w:firstLineChars="176"/>
        <w:rPr>
          <w:rFonts w:hint="eastAsia" w:ascii="仿宋" w:hAnsi="仿宋" w:eastAsia="仿宋" w:cs="Arial"/>
          <w:color w:val="000000"/>
          <w:sz w:val="24"/>
        </w:rPr>
      </w:pPr>
      <w:r>
        <w:rPr>
          <w:rFonts w:hint="eastAsia" w:ascii="仿宋" w:hAnsi="仿宋" w:eastAsia="仿宋" w:cs="Arial"/>
          <w:b/>
          <w:color w:val="000000"/>
          <w:sz w:val="24"/>
        </w:rPr>
        <w:t>（2）份数：</w:t>
      </w:r>
      <w:r>
        <w:rPr>
          <w:rFonts w:hint="eastAsia" w:ascii="仿宋" w:hAnsi="仿宋" w:eastAsia="仿宋"/>
          <w:b/>
          <w:color w:val="000000"/>
          <w:kern w:val="0"/>
          <w:sz w:val="24"/>
          <w:u w:val="single"/>
        </w:rPr>
        <w:t>见《磋商须知前附表》</w:t>
      </w:r>
      <w:r>
        <w:rPr>
          <w:rFonts w:hint="eastAsia" w:ascii="仿宋" w:hAnsi="仿宋" w:eastAsia="仿宋" w:cs="Arial"/>
          <w:color w:val="000000"/>
          <w:sz w:val="24"/>
        </w:rPr>
        <w:t>；</w:t>
      </w:r>
    </w:p>
    <w:p w14:paraId="47C800FB">
      <w:pPr>
        <w:autoSpaceDE w:val="0"/>
        <w:autoSpaceDN w:val="0"/>
        <w:spacing w:line="360" w:lineRule="auto"/>
        <w:ind w:firstLine="424" w:firstLineChars="176"/>
        <w:rPr>
          <w:rFonts w:hint="eastAsia" w:ascii="仿宋" w:hAnsi="仿宋" w:eastAsia="仿宋"/>
          <w:b/>
          <w:color w:val="0000FF"/>
          <w:sz w:val="24"/>
        </w:rPr>
      </w:pPr>
      <w:r>
        <w:rPr>
          <w:rFonts w:hint="eastAsia" w:ascii="仿宋" w:hAnsi="仿宋" w:eastAsia="仿宋" w:cs="Arial"/>
          <w:b/>
          <w:color w:val="000000"/>
          <w:sz w:val="24"/>
        </w:rPr>
        <w:t>（3）密封包装、标识：</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r>
        <w:rPr>
          <w:rFonts w:hint="eastAsia" w:ascii="仿宋" w:hAnsi="仿宋" w:eastAsia="仿宋"/>
          <w:b/>
          <w:color w:val="000000"/>
          <w:sz w:val="24"/>
        </w:rPr>
        <w:t>备份磋商响应文件没有密封包装或</w:t>
      </w:r>
      <w:r>
        <w:rPr>
          <w:rFonts w:hint="eastAsia" w:ascii="仿宋" w:hAnsi="仿宋" w:eastAsia="仿宋" w:cs="Arial"/>
          <w:b/>
          <w:color w:val="000000"/>
          <w:sz w:val="24"/>
        </w:rPr>
        <w:t>标识或盖章</w:t>
      </w:r>
      <w:r>
        <w:rPr>
          <w:rFonts w:hint="eastAsia" w:ascii="仿宋" w:hAnsi="仿宋" w:eastAsia="仿宋"/>
          <w:b/>
          <w:color w:val="000000"/>
          <w:sz w:val="24"/>
        </w:rPr>
        <w:t>的</w:t>
      </w:r>
      <w:r>
        <w:rPr>
          <w:rFonts w:hint="eastAsia" w:ascii="仿宋" w:hAnsi="仿宋" w:eastAsia="仿宋" w:cs="Arial"/>
          <w:b/>
          <w:color w:val="000000"/>
          <w:sz w:val="24"/>
        </w:rPr>
        <w:t>视为未递交</w:t>
      </w:r>
      <w:r>
        <w:rPr>
          <w:rFonts w:hint="eastAsia" w:ascii="仿宋" w:hAnsi="仿宋" w:eastAsia="仿宋"/>
          <w:b/>
          <w:color w:val="000000"/>
          <w:sz w:val="24"/>
        </w:rPr>
        <w:t>。</w:t>
      </w:r>
    </w:p>
    <w:p w14:paraId="5EDA79A5">
      <w:pPr>
        <w:autoSpaceDE w:val="0"/>
        <w:autoSpaceDN w:val="0"/>
        <w:spacing w:line="360" w:lineRule="auto"/>
        <w:ind w:firstLine="424" w:firstLineChars="176"/>
        <w:rPr>
          <w:rFonts w:hint="eastAsia" w:ascii="仿宋" w:hAnsi="仿宋" w:eastAsia="仿宋"/>
          <w:color w:val="000000"/>
          <w:sz w:val="24"/>
        </w:rPr>
      </w:pPr>
      <w:r>
        <w:rPr>
          <w:rFonts w:hint="eastAsia" w:ascii="仿宋" w:hAnsi="仿宋" w:eastAsia="仿宋"/>
          <w:b/>
          <w:color w:val="000000"/>
          <w:sz w:val="24"/>
        </w:rPr>
        <w:t>（4）</w:t>
      </w:r>
      <w:r>
        <w:rPr>
          <w:rFonts w:hint="eastAsia" w:ascii="仿宋" w:hAnsi="仿宋" w:eastAsia="仿宋" w:cs="Arial"/>
          <w:b/>
          <w:color w:val="000000"/>
          <w:sz w:val="24"/>
        </w:rPr>
        <w:t>递交与接收：</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r>
        <w:rPr>
          <w:rFonts w:hint="eastAsia" w:ascii="仿宋" w:hAnsi="仿宋" w:eastAsia="仿宋" w:cs="Arial"/>
          <w:b/>
          <w:color w:val="000000"/>
          <w:sz w:val="24"/>
        </w:rPr>
        <w:t>备份磋商响应文件逾期送达的视为未递交。</w:t>
      </w:r>
    </w:p>
    <w:p w14:paraId="7E798E52">
      <w:pPr>
        <w:autoSpaceDE w:val="0"/>
        <w:autoSpaceDN w:val="0"/>
        <w:spacing w:line="360" w:lineRule="auto"/>
        <w:ind w:firstLine="422" w:firstLineChars="175"/>
        <w:rPr>
          <w:rFonts w:hint="eastAsia" w:ascii="仿宋" w:hAnsi="仿宋" w:eastAsia="仿宋"/>
          <w:b/>
          <w:color w:val="000000"/>
          <w:sz w:val="24"/>
        </w:rPr>
      </w:pPr>
      <w:r>
        <w:rPr>
          <w:rFonts w:hint="eastAsia" w:ascii="仿宋" w:hAnsi="仿宋" w:eastAsia="仿宋"/>
          <w:b/>
          <w:color w:val="000000"/>
          <w:sz w:val="24"/>
        </w:rPr>
        <w:t>4.7.4备份磋商响应文件的使用与失效</w:t>
      </w:r>
    </w:p>
    <w:p w14:paraId="1855E8C3">
      <w:pPr>
        <w:autoSpaceDE w:val="0"/>
        <w:autoSpaceDN w:val="0"/>
        <w:spacing w:line="360" w:lineRule="auto"/>
        <w:ind w:firstLine="420" w:firstLineChars="175"/>
        <w:rPr>
          <w:rFonts w:hint="eastAsia" w:ascii="仿宋" w:hAnsi="仿宋" w:eastAsia="仿宋"/>
          <w:color w:val="000000"/>
          <w:sz w:val="24"/>
        </w:rPr>
      </w:pPr>
      <w:r>
        <w:rPr>
          <w:rFonts w:hint="eastAsia" w:ascii="仿宋" w:hAnsi="仿宋" w:eastAsia="仿宋"/>
          <w:color w:val="000000"/>
          <w:sz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b/>
          <w:color w:val="000000"/>
          <w:sz w:val="24"/>
        </w:rPr>
        <w:t>“磋商响应文件解密异常情况处理”办法见《磋商须知前附表》。</w:t>
      </w:r>
    </w:p>
    <w:p w14:paraId="32CF35D1">
      <w:pPr>
        <w:autoSpaceDE w:val="0"/>
        <w:autoSpaceDN w:val="0"/>
        <w:spacing w:line="360" w:lineRule="auto"/>
        <w:ind w:firstLine="424" w:firstLineChars="176"/>
        <w:rPr>
          <w:rFonts w:hint="eastAsia" w:ascii="仿宋" w:hAnsi="仿宋" w:eastAsia="仿宋"/>
          <w:b/>
          <w:color w:val="000000"/>
          <w:sz w:val="24"/>
        </w:rPr>
      </w:pPr>
      <w:r>
        <w:rPr>
          <w:rFonts w:hint="eastAsia" w:ascii="仿宋" w:hAnsi="仿宋" w:eastAsia="仿宋"/>
          <w:b/>
          <w:color w:val="000000"/>
          <w:sz w:val="24"/>
        </w:rPr>
        <w:t>4.7.5“备份磋商响应文件”与电子加密的“磋商响应文件”同时生成，不属于磋商响应备选（替代）方案。</w:t>
      </w:r>
    </w:p>
    <w:p w14:paraId="52505683">
      <w:pPr>
        <w:pStyle w:val="3"/>
        <w:autoSpaceDE w:val="0"/>
        <w:autoSpaceDN w:val="0"/>
        <w:spacing w:before="360"/>
        <w:ind w:firstLine="281" w:firstLineChars="100"/>
        <w:rPr>
          <w:rFonts w:hint="eastAsia" w:ascii="Times New Roman" w:hAnsi="仿宋" w:eastAsia="仿宋"/>
          <w:sz w:val="28"/>
          <w:szCs w:val="28"/>
        </w:rPr>
      </w:pPr>
      <w:bookmarkStart w:id="28" w:name="_Toc82338242"/>
      <w:bookmarkStart w:id="29" w:name="_Toc82873325"/>
      <w:bookmarkStart w:id="30" w:name="_Toc13250"/>
      <w:bookmarkStart w:id="31" w:name="_Toc14319"/>
      <w:r>
        <w:rPr>
          <w:rFonts w:hint="eastAsia" w:ascii="Times New Roman" w:hAnsi="仿宋" w:eastAsia="仿宋"/>
          <w:sz w:val="28"/>
          <w:szCs w:val="28"/>
        </w:rPr>
        <w:t>五、</w:t>
      </w:r>
      <w:bookmarkEnd w:id="28"/>
      <w:bookmarkEnd w:id="29"/>
      <w:r>
        <w:rPr>
          <w:rFonts w:hint="eastAsia" w:ascii="Times New Roman" w:hAnsi="仿宋" w:eastAsia="仿宋"/>
          <w:sz w:val="28"/>
          <w:szCs w:val="28"/>
        </w:rPr>
        <w:t>磋商响应</w:t>
      </w:r>
      <w:bookmarkEnd w:id="30"/>
      <w:bookmarkEnd w:id="31"/>
    </w:p>
    <w:p w14:paraId="6F13B348">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bookmarkStart w:id="32" w:name="_Toc82873326"/>
      <w:bookmarkStart w:id="33" w:name="_Toc82338243"/>
      <w:r>
        <w:rPr>
          <w:rFonts w:hint="eastAsia" w:ascii="华文中宋" w:hAnsi="华文中宋" w:eastAsia="华文中宋" w:cs="华文中宋"/>
          <w:b/>
          <w:bCs/>
          <w:sz w:val="24"/>
          <w:szCs w:val="32"/>
        </w:rPr>
        <w:t>5.1 磋商响应文件提交截止时间</w:t>
      </w:r>
    </w:p>
    <w:p w14:paraId="61D1CD3C">
      <w:pPr>
        <w:autoSpaceDE w:val="0"/>
        <w:autoSpaceDN w:val="0"/>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5.1.1磋商响应文件提交截止时间：</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14:paraId="48BB6F35">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5.2 磋商地点</w:t>
      </w:r>
    </w:p>
    <w:p w14:paraId="59A61A1F">
      <w:pPr>
        <w:autoSpaceDE w:val="0"/>
        <w:autoSpaceDN w:val="0"/>
        <w:spacing w:line="360" w:lineRule="auto"/>
        <w:ind w:firstLine="426" w:firstLineChars="177"/>
        <w:rPr>
          <w:rFonts w:ascii="Calibri" w:hAnsi="Calibri"/>
          <w:color w:val="000000"/>
        </w:rPr>
      </w:pPr>
      <w:r>
        <w:rPr>
          <w:rFonts w:hint="eastAsia" w:ascii="仿宋" w:hAnsi="仿宋" w:eastAsia="仿宋"/>
          <w:b/>
          <w:color w:val="000000"/>
          <w:sz w:val="24"/>
        </w:rPr>
        <w:t>5.2.1磋商响应文件提交地点：</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14:paraId="5444F73E">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5.3 磋商响应文件的传输递交</w:t>
      </w:r>
    </w:p>
    <w:p w14:paraId="74CDF982">
      <w:pPr>
        <w:autoSpaceDE w:val="0"/>
        <w:autoSpaceDN w:val="0"/>
        <w:spacing w:line="360" w:lineRule="auto"/>
        <w:ind w:firstLine="424" w:firstLineChars="176"/>
        <w:rPr>
          <w:rFonts w:hint="eastAsia" w:ascii="仿宋" w:hAnsi="仿宋" w:eastAsia="仿宋" w:cs="Arial"/>
          <w:b/>
          <w:color w:val="000000"/>
          <w:sz w:val="24"/>
        </w:rPr>
      </w:pPr>
      <w:r>
        <w:rPr>
          <w:rFonts w:hint="eastAsia" w:ascii="仿宋" w:hAnsi="仿宋" w:eastAsia="仿宋" w:cs="Arial"/>
          <w:b/>
          <w:color w:val="000000"/>
          <w:kern w:val="0"/>
          <w:sz w:val="24"/>
        </w:rPr>
        <w:t>5.3.1电子加密“磋商响应文件”的传输递交：</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14:paraId="1CE9F753">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5.4 磋商响应文件的补充、修改或撤回</w:t>
      </w:r>
    </w:p>
    <w:p w14:paraId="56C1F1CF">
      <w:pPr>
        <w:autoSpaceDE w:val="0"/>
        <w:autoSpaceDN w:val="0"/>
        <w:spacing w:line="360" w:lineRule="auto"/>
        <w:ind w:firstLine="426" w:firstLineChars="177"/>
        <w:rPr>
          <w:rFonts w:hint="eastAsia" w:ascii="仿宋" w:hAnsi="仿宋" w:eastAsia="仿宋" w:cs="Arial"/>
          <w:color w:val="000000"/>
          <w:kern w:val="0"/>
          <w:sz w:val="24"/>
        </w:rPr>
      </w:pPr>
      <w:r>
        <w:rPr>
          <w:rFonts w:hint="eastAsia" w:ascii="仿宋" w:hAnsi="仿宋" w:eastAsia="仿宋" w:cs="Arial"/>
          <w:b/>
          <w:color w:val="000000"/>
          <w:kern w:val="0"/>
          <w:sz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14:paraId="6966770D">
      <w:pPr>
        <w:autoSpaceDE w:val="0"/>
        <w:autoSpaceDN w:val="0"/>
        <w:spacing w:line="360" w:lineRule="auto"/>
        <w:ind w:firstLine="426" w:firstLineChars="177"/>
        <w:rPr>
          <w:rFonts w:hint="eastAsia" w:ascii="仿宋" w:hAnsi="仿宋" w:eastAsia="仿宋" w:cs="Arial"/>
          <w:b/>
          <w:color w:val="000000"/>
          <w:kern w:val="0"/>
          <w:sz w:val="24"/>
        </w:rPr>
      </w:pPr>
      <w:r>
        <w:rPr>
          <w:rFonts w:hint="eastAsia" w:ascii="仿宋" w:hAnsi="仿宋" w:eastAsia="仿宋" w:cs="Arial"/>
          <w:b/>
          <w:color w:val="000000"/>
          <w:kern w:val="0"/>
          <w:sz w:val="24"/>
        </w:rPr>
        <w:t>5.4.2磋商响应文件提交截止时间</w:t>
      </w:r>
      <w:r>
        <w:rPr>
          <w:rFonts w:ascii="仿宋" w:hAnsi="仿宋" w:eastAsia="仿宋" w:cs="Arial"/>
          <w:b/>
          <w:color w:val="000000"/>
          <w:kern w:val="0"/>
          <w:sz w:val="24"/>
        </w:rPr>
        <w:t>后，供应商不得</w:t>
      </w:r>
      <w:r>
        <w:rPr>
          <w:rFonts w:hint="eastAsia" w:ascii="仿宋" w:hAnsi="仿宋" w:eastAsia="仿宋" w:cs="Arial"/>
          <w:b/>
          <w:color w:val="000000"/>
          <w:kern w:val="0"/>
          <w:sz w:val="24"/>
        </w:rPr>
        <w:t>对磋商响应文件进行补充、修改或撤回。</w:t>
      </w:r>
    </w:p>
    <w:p w14:paraId="1AF21A4C">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5.5 磋商响应文件的备选方案</w:t>
      </w:r>
    </w:p>
    <w:p w14:paraId="54E790A7">
      <w:pPr>
        <w:autoSpaceDE w:val="0"/>
        <w:autoSpaceDN w:val="0"/>
        <w:spacing w:line="360" w:lineRule="auto"/>
        <w:ind w:firstLine="424" w:firstLineChars="176"/>
        <w:rPr>
          <w:rFonts w:hint="eastAsia" w:ascii="仿宋" w:hAnsi="仿宋" w:eastAsia="仿宋"/>
          <w:b/>
          <w:color w:val="000000"/>
          <w:sz w:val="24"/>
        </w:rPr>
      </w:pPr>
      <w:r>
        <w:rPr>
          <w:rFonts w:hint="eastAsia" w:ascii="仿宋" w:hAnsi="仿宋" w:eastAsia="仿宋"/>
          <w:b/>
          <w:color w:val="000000"/>
          <w:sz w:val="24"/>
        </w:rPr>
        <w:t>5.5.1磋商响应供应商不得递交任何的</w:t>
      </w:r>
      <w:r>
        <w:rPr>
          <w:rFonts w:hint="eastAsia" w:ascii="仿宋" w:hAnsi="仿宋" w:eastAsia="仿宋" w:cs="Arial"/>
          <w:b/>
          <w:color w:val="000000"/>
          <w:kern w:val="0"/>
          <w:sz w:val="24"/>
        </w:rPr>
        <w:t>磋商响应备选（替代）方案</w:t>
      </w:r>
      <w:r>
        <w:rPr>
          <w:rFonts w:hint="eastAsia" w:ascii="仿宋" w:hAnsi="仿宋" w:eastAsia="仿宋"/>
          <w:b/>
          <w:color w:val="000000"/>
          <w:sz w:val="24"/>
        </w:rPr>
        <w:t>，否则作无效标处理。</w:t>
      </w:r>
    </w:p>
    <w:p w14:paraId="52A5359A">
      <w:pPr>
        <w:autoSpaceDE w:val="0"/>
        <w:autoSpaceDN w:val="0"/>
        <w:spacing w:line="360" w:lineRule="auto"/>
        <w:ind w:firstLine="424" w:firstLineChars="176"/>
        <w:rPr>
          <w:rFonts w:hint="eastAsia" w:ascii="仿宋" w:hAnsi="仿宋" w:eastAsia="仿宋"/>
          <w:b/>
          <w:color w:val="000000"/>
          <w:sz w:val="24"/>
        </w:rPr>
      </w:pPr>
      <w:r>
        <w:rPr>
          <w:rFonts w:hint="eastAsia" w:ascii="仿宋" w:hAnsi="仿宋" w:eastAsia="仿宋"/>
          <w:b/>
          <w:color w:val="000000"/>
          <w:sz w:val="24"/>
        </w:rPr>
        <w:t>5.5.2与“电子加密磋商响应文件”同时生成的“备份磋商响应文件”不是磋商响应备选（替代）方案。</w:t>
      </w:r>
    </w:p>
    <w:p w14:paraId="2706341B">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5.6 磋商响应供应商不足法定数量的处理</w:t>
      </w:r>
    </w:p>
    <w:p w14:paraId="3409BD83">
      <w:pPr>
        <w:autoSpaceDE w:val="0"/>
        <w:autoSpaceDN w:val="0"/>
        <w:spacing w:line="360" w:lineRule="auto"/>
        <w:ind w:firstLine="424" w:firstLineChars="176"/>
        <w:rPr>
          <w:rFonts w:ascii="Arial" w:hAnsi="Arial" w:cs="Arial"/>
          <w:color w:val="000000"/>
        </w:rPr>
      </w:pPr>
      <w:r>
        <w:rPr>
          <w:rFonts w:hint="eastAsia" w:ascii="仿宋" w:hAnsi="仿宋" w:eastAsia="仿宋" w:cs="Arial"/>
          <w:b/>
          <w:color w:val="000000"/>
          <w:kern w:val="0"/>
          <w:sz w:val="24"/>
          <w:szCs w:val="22"/>
        </w:rPr>
        <w:t>5.6.1到磋商响应文件提交截止时间止，若某个标项成功解密（备份磋商响应文件成功上传的视为成功解密）《磋商响应文件》的供应商少于三家的，</w:t>
      </w:r>
      <w:r>
        <w:rPr>
          <w:rFonts w:ascii="仿宋" w:hAnsi="仿宋" w:eastAsia="仿宋" w:cs="Arial"/>
          <w:b/>
          <w:color w:val="000000"/>
          <w:kern w:val="0"/>
          <w:sz w:val="24"/>
          <w:szCs w:val="22"/>
        </w:rPr>
        <w:t>除采购任务取消情形外，采购人可选择以下方式之一处理：</w:t>
      </w:r>
    </w:p>
    <w:p w14:paraId="74B80BED">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（1）不再进行开标，</w:t>
      </w:r>
      <w:r>
        <w:rPr>
          <w:rFonts w:ascii="仿宋" w:hAnsi="仿宋" w:eastAsia="仿宋" w:cs="Arial"/>
          <w:color w:val="000000"/>
          <w:kern w:val="0"/>
          <w:sz w:val="24"/>
          <w:szCs w:val="22"/>
        </w:rPr>
        <w:t>将本标项作废标处理，重新组织采购；</w:t>
      </w:r>
    </w:p>
    <w:p w14:paraId="53AE6BEC">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（2）</w:t>
      </w:r>
      <w:r>
        <w:rPr>
          <w:rFonts w:ascii="仿宋" w:hAnsi="仿宋" w:eastAsia="仿宋" w:cs="Arial"/>
          <w:color w:val="000000"/>
          <w:kern w:val="0"/>
          <w:sz w:val="24"/>
          <w:szCs w:val="22"/>
        </w:rPr>
        <w:t>按同级政府采购监督管理部门的审批意见采用其他采购方式组织采购</w:t>
      </w:r>
      <w:r>
        <w:rPr>
          <w:rFonts w:hint="eastAsia" w:ascii="仿宋" w:hAnsi="仿宋" w:eastAsia="仿宋" w:cs="Arial"/>
          <w:color w:val="000000"/>
          <w:kern w:val="0"/>
          <w:sz w:val="24"/>
          <w:szCs w:val="22"/>
        </w:rPr>
        <w:t>。</w:t>
      </w:r>
    </w:p>
    <w:p w14:paraId="656F1B11">
      <w:pPr>
        <w:pStyle w:val="3"/>
        <w:autoSpaceDE w:val="0"/>
        <w:autoSpaceDN w:val="0"/>
        <w:spacing w:before="360"/>
        <w:ind w:firstLine="281" w:firstLineChars="100"/>
        <w:rPr>
          <w:rFonts w:hint="eastAsia" w:ascii="Times New Roman" w:hAnsi="仿宋" w:eastAsia="仿宋"/>
          <w:sz w:val="28"/>
          <w:szCs w:val="28"/>
        </w:rPr>
      </w:pPr>
      <w:bookmarkStart w:id="34" w:name="_Toc1264"/>
      <w:bookmarkStart w:id="35" w:name="_Toc31314"/>
      <w:r>
        <w:rPr>
          <w:rFonts w:hint="eastAsia" w:ascii="Times New Roman" w:hAnsi="仿宋" w:eastAsia="仿宋"/>
          <w:sz w:val="28"/>
          <w:szCs w:val="28"/>
        </w:rPr>
        <w:t>六、</w:t>
      </w:r>
      <w:bookmarkEnd w:id="32"/>
      <w:bookmarkEnd w:id="33"/>
      <w:r>
        <w:rPr>
          <w:rFonts w:hint="eastAsia" w:ascii="Times New Roman" w:hAnsi="仿宋" w:eastAsia="仿宋"/>
          <w:sz w:val="28"/>
          <w:szCs w:val="28"/>
        </w:rPr>
        <w:t>开标</w:t>
      </w:r>
      <w:bookmarkEnd w:id="34"/>
      <w:bookmarkEnd w:id="35"/>
    </w:p>
    <w:p w14:paraId="726E4F50">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6.1 磋商时间、地点</w:t>
      </w:r>
    </w:p>
    <w:p w14:paraId="0CE59EBC">
      <w:pPr>
        <w:autoSpaceDE w:val="0"/>
        <w:autoSpaceDN w:val="0"/>
        <w:spacing w:line="360" w:lineRule="auto"/>
        <w:ind w:firstLine="426" w:firstLineChars="177"/>
        <w:rPr>
          <w:rFonts w:hint="eastAsia" w:ascii="仿宋" w:hAnsi="仿宋" w:eastAsia="仿宋"/>
          <w:b/>
          <w:color w:val="000000"/>
          <w:sz w:val="24"/>
        </w:rPr>
      </w:pPr>
      <w:r>
        <w:rPr>
          <w:rFonts w:hint="eastAsia" w:ascii="仿宋" w:hAnsi="仿宋" w:eastAsia="仿宋"/>
          <w:b/>
          <w:color w:val="000000"/>
          <w:sz w:val="24"/>
        </w:rPr>
        <w:t>6.1.1</w:t>
      </w:r>
      <w:r>
        <w:rPr>
          <w:rFonts w:hint="eastAsia" w:ascii="仿宋" w:hAnsi="仿宋" w:eastAsia="仿宋" w:cs="仿宋"/>
          <w:b/>
          <w:color w:val="000000"/>
          <w:sz w:val="24"/>
        </w:rPr>
        <w:t>磋商时间：</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14:paraId="600750B6">
      <w:pPr>
        <w:autoSpaceDE w:val="0"/>
        <w:autoSpaceDN w:val="0"/>
        <w:spacing w:line="360" w:lineRule="auto"/>
        <w:ind w:firstLine="426" w:firstLineChars="177"/>
        <w:rPr>
          <w:rFonts w:hint="eastAsia" w:ascii="仿宋" w:hAnsi="仿宋" w:eastAsia="仿宋"/>
          <w:color w:val="000000"/>
          <w:sz w:val="24"/>
        </w:rPr>
      </w:pPr>
      <w:r>
        <w:rPr>
          <w:rFonts w:hint="eastAsia" w:ascii="仿宋" w:hAnsi="仿宋" w:eastAsia="仿宋"/>
          <w:b/>
          <w:color w:val="000000"/>
          <w:sz w:val="24"/>
        </w:rPr>
        <w:t>6.1.2</w:t>
      </w:r>
      <w:r>
        <w:rPr>
          <w:rFonts w:hint="eastAsia" w:ascii="仿宋" w:hAnsi="仿宋" w:eastAsia="仿宋" w:cs="仿宋"/>
          <w:b/>
          <w:color w:val="000000"/>
          <w:sz w:val="24"/>
        </w:rPr>
        <w:t>磋商地点：</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14:paraId="13B03BB9">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6.2 磋商组织与邀请</w:t>
      </w:r>
    </w:p>
    <w:p w14:paraId="6AEFE75F">
      <w:pPr>
        <w:autoSpaceDE w:val="0"/>
        <w:autoSpaceDN w:val="0"/>
        <w:spacing w:line="360" w:lineRule="auto"/>
        <w:ind w:firstLine="424" w:firstLineChars="176"/>
        <w:rPr>
          <w:rFonts w:hint="eastAsia" w:ascii="仿宋" w:hAnsi="仿宋" w:eastAsia="仿宋" w:cs="Arial"/>
          <w:color w:val="000000"/>
          <w:kern w:val="0"/>
          <w:sz w:val="24"/>
        </w:rPr>
      </w:pPr>
      <w:r>
        <w:rPr>
          <w:rFonts w:hint="eastAsia" w:ascii="仿宋" w:hAnsi="仿宋" w:eastAsia="仿宋" w:cs="Arial"/>
          <w:b/>
          <w:color w:val="000000"/>
          <w:kern w:val="0"/>
          <w:sz w:val="24"/>
        </w:rPr>
        <w:t>6.2.1磋商准备：</w:t>
      </w:r>
      <w:r>
        <w:rPr>
          <w:rFonts w:hint="eastAsia" w:ascii="仿宋" w:hAnsi="仿宋" w:eastAsia="仿宋" w:cs="仿宋"/>
          <w:color w:val="000000"/>
          <w:kern w:val="0"/>
          <w:sz w:val="24"/>
        </w:rPr>
        <w:t>本项目磋商</w:t>
      </w:r>
      <w:r>
        <w:rPr>
          <w:rFonts w:hint="eastAsia" w:ascii="仿宋" w:hAnsi="仿宋" w:eastAsia="仿宋" w:cs="Arial"/>
          <w:color w:val="000000"/>
          <w:kern w:val="0"/>
          <w:sz w:val="24"/>
          <w:szCs w:val="22"/>
        </w:rPr>
        <w:t>现场活动由采购人或采购代理机构（以下简称“采购组织机构”）组织实施，准备工作由采购组织机构负责落实，磋商过程由采购组织机构负责记录，磋商现场由采购组织机构人员主持。</w:t>
      </w:r>
    </w:p>
    <w:p w14:paraId="108C0613">
      <w:pPr>
        <w:autoSpaceDE w:val="0"/>
        <w:autoSpaceDN w:val="0"/>
        <w:spacing w:line="360" w:lineRule="auto"/>
        <w:ind w:firstLine="424" w:firstLineChars="176"/>
        <w:rPr>
          <w:rFonts w:hint="eastAsia" w:ascii="仿宋" w:hAnsi="仿宋" w:eastAsia="仿宋" w:cs="Arial"/>
          <w:b/>
          <w:color w:val="000000"/>
          <w:kern w:val="0"/>
          <w:sz w:val="24"/>
        </w:rPr>
      </w:pPr>
      <w:r>
        <w:rPr>
          <w:rFonts w:hint="eastAsia" w:ascii="仿宋" w:hAnsi="仿宋" w:eastAsia="仿宋" w:cs="Arial"/>
          <w:b/>
          <w:color w:val="000000"/>
          <w:kern w:val="0"/>
          <w:sz w:val="24"/>
        </w:rPr>
        <w:t>6.2.2磋商邀请：本项目采用电子交易，采购组织机构将按照</w:t>
      </w:r>
      <w:r>
        <w:rPr>
          <w:rFonts w:hint="eastAsia" w:ascii="仿宋" w:hAnsi="仿宋" w:eastAsia="仿宋" w:cs="仿宋"/>
          <w:b/>
          <w:color w:val="000000"/>
          <w:kern w:val="0"/>
          <w:sz w:val="24"/>
        </w:rPr>
        <w:t>竞争性磋商文件规定的时间通过</w:t>
      </w:r>
      <w:r>
        <w:rPr>
          <w:rFonts w:hint="eastAsia" w:ascii="仿宋" w:hAnsi="仿宋" w:eastAsia="仿宋" w:cs="Arial"/>
          <w:b/>
          <w:color w:val="000000"/>
          <w:kern w:val="0"/>
          <w:sz w:val="24"/>
        </w:rPr>
        <w:t>“政府采购云平台，网址：</w:t>
      </w:r>
      <w:r>
        <w:rPr>
          <w:rFonts w:hint="eastAsia" w:ascii="仿宋" w:hAnsi="仿宋" w:eastAsia="仿宋" w:cs="Arial"/>
          <w:b/>
          <w:color w:val="000000"/>
          <w:kern w:val="0"/>
          <w:sz w:val="24"/>
        </w:rPr>
        <w:fldChar w:fldCharType="begin"/>
      </w:r>
      <w:r>
        <w:rPr>
          <w:rFonts w:hint="eastAsia" w:ascii="仿宋" w:hAnsi="仿宋" w:eastAsia="仿宋" w:cs="Arial"/>
          <w:b/>
          <w:color w:val="000000"/>
          <w:kern w:val="0"/>
          <w:sz w:val="24"/>
        </w:rPr>
        <w:instrText xml:space="preserve"> HYPERLINK "http://www.zcygov.cn" </w:instrText>
      </w:r>
      <w:r>
        <w:rPr>
          <w:rFonts w:hint="eastAsia" w:ascii="仿宋" w:hAnsi="仿宋" w:eastAsia="仿宋" w:cs="Arial"/>
          <w:b/>
          <w:color w:val="000000"/>
          <w:kern w:val="0"/>
          <w:sz w:val="24"/>
        </w:rPr>
        <w:fldChar w:fldCharType="separate"/>
      </w:r>
      <w:r>
        <w:rPr>
          <w:rFonts w:hint="eastAsia" w:ascii="仿宋" w:hAnsi="仿宋" w:eastAsia="仿宋" w:cs="Arial"/>
          <w:b/>
          <w:color w:val="000000"/>
          <w:kern w:val="0"/>
          <w:sz w:val="24"/>
          <w:szCs w:val="24"/>
        </w:rPr>
        <w:t>www.zcygov.cn</w:t>
      </w:r>
      <w:r>
        <w:rPr>
          <w:rFonts w:hint="eastAsia" w:ascii="仿宋" w:hAnsi="仿宋" w:eastAsia="仿宋" w:cs="Arial"/>
          <w:b/>
          <w:color w:val="000000"/>
          <w:kern w:val="0"/>
          <w:sz w:val="24"/>
          <w:szCs w:val="24"/>
        </w:rPr>
        <w:fldChar w:fldCharType="end"/>
      </w:r>
      <w:r>
        <w:rPr>
          <w:rFonts w:hint="eastAsia" w:ascii="仿宋" w:hAnsi="仿宋" w:eastAsia="仿宋" w:cs="Arial"/>
          <w:b/>
          <w:color w:val="000000"/>
          <w:kern w:val="0"/>
          <w:sz w:val="24"/>
        </w:rPr>
        <w:t>”组织开标、开启磋商响应文件，所有供应商均应当准时在线参加。</w:t>
      </w:r>
    </w:p>
    <w:p w14:paraId="66D1C35E">
      <w:pPr>
        <w:autoSpaceDE w:val="0"/>
        <w:autoSpaceDN w:val="0"/>
        <w:spacing w:line="360" w:lineRule="auto"/>
        <w:ind w:firstLine="424" w:firstLineChars="176"/>
      </w:pPr>
      <w:r>
        <w:rPr>
          <w:rFonts w:hint="eastAsia" w:ascii="仿宋" w:hAnsi="仿宋" w:eastAsia="仿宋" w:cs="Arial"/>
          <w:b/>
          <w:color w:val="000000"/>
          <w:kern w:val="0"/>
          <w:sz w:val="24"/>
          <w:szCs w:val="22"/>
        </w:rPr>
        <w:t>6.2.3磋商响应文件开启顺序：</w:t>
      </w:r>
      <w:r>
        <w:rPr>
          <w:rFonts w:hint="eastAsia" w:ascii="仿宋" w:hAnsi="仿宋" w:eastAsia="仿宋"/>
          <w:b/>
          <w:color w:val="000000"/>
          <w:kern w:val="0"/>
          <w:sz w:val="24"/>
          <w:u w:val="single"/>
        </w:rPr>
        <w:t>资格文件、商务技术文件、报价文件</w:t>
      </w:r>
      <w:r>
        <w:rPr>
          <w:rFonts w:hint="eastAsia" w:ascii="仿宋" w:hAnsi="仿宋" w:eastAsia="仿宋" w:cs="Arial"/>
          <w:color w:val="000000"/>
          <w:kern w:val="0"/>
          <w:sz w:val="24"/>
          <w:szCs w:val="22"/>
        </w:rPr>
        <w:t>。</w:t>
      </w:r>
    </w:p>
    <w:p w14:paraId="1840DD65">
      <w:pPr>
        <w:autoSpaceDE w:val="0"/>
        <w:autoSpaceDN w:val="0"/>
        <w:spacing w:line="360" w:lineRule="auto"/>
        <w:ind w:firstLine="424" w:firstLineChars="176"/>
        <w:rPr>
          <w:rFonts w:hint="eastAsia" w:ascii="仿宋" w:hAnsi="仿宋" w:eastAsia="仿宋" w:cs="Arial"/>
          <w:b/>
          <w:color w:val="000000"/>
          <w:kern w:val="0"/>
          <w:sz w:val="24"/>
          <w:highlight w:val="yellow"/>
        </w:rPr>
      </w:pPr>
      <w:r>
        <w:rPr>
          <w:rFonts w:hint="eastAsia" w:ascii="仿宋" w:hAnsi="仿宋" w:eastAsia="仿宋" w:cs="Arial"/>
          <w:b/>
          <w:color w:val="000000"/>
          <w:kern w:val="0"/>
          <w:sz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000000"/>
          <w:kern w:val="0"/>
          <w:sz w:val="24"/>
        </w:rPr>
        <w:t>。</w:t>
      </w:r>
    </w:p>
    <w:p w14:paraId="0B7A22EB">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6.3 开标流程</w:t>
      </w:r>
    </w:p>
    <w:p w14:paraId="679A3FD3">
      <w:pPr>
        <w:autoSpaceDE w:val="0"/>
        <w:autoSpaceDN w:val="0"/>
        <w:spacing w:line="360" w:lineRule="auto"/>
        <w:ind w:firstLine="426" w:firstLineChars="177"/>
        <w:jc w:val="left"/>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6.3.1本项目通过政府采购云平台按以下步骤组织实施开标：</w:t>
      </w:r>
    </w:p>
    <w:p w14:paraId="238F732C">
      <w:pPr>
        <w:numPr>
          <w:ilvl w:val="0"/>
          <w:numId w:val="3"/>
        </w:numPr>
        <w:autoSpaceDE w:val="0"/>
        <w:autoSpaceDN w:val="0"/>
        <w:spacing w:line="360" w:lineRule="auto"/>
        <w:ind w:firstLine="480" w:firstLineChars="200"/>
        <w:jc w:val="left"/>
        <w:rPr>
          <w:rFonts w:hint="eastAsia" w:ascii="仿宋" w:hAnsi="仿宋" w:eastAsia="仿宋" w:cs="Arial"/>
          <w:color w:val="000000"/>
          <w:kern w:val="0"/>
          <w:sz w:val="24"/>
        </w:rPr>
      </w:pPr>
      <w:r>
        <w:rPr>
          <w:rFonts w:hint="eastAsia" w:ascii="仿宋" w:hAnsi="仿宋" w:eastAsia="仿宋" w:cs="Arial"/>
          <w:color w:val="000000"/>
          <w:kern w:val="0"/>
          <w:sz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000000"/>
          <w:kern w:val="0"/>
          <w:sz w:val="24"/>
        </w:rPr>
        <w:t>（</w:t>
      </w:r>
      <w:r>
        <w:rPr>
          <w:rFonts w:hint="eastAsia" w:ascii="仿宋" w:hAnsi="仿宋" w:eastAsia="仿宋" w:cs="仿宋"/>
          <w:b/>
          <w:kern w:val="0"/>
          <w:sz w:val="24"/>
        </w:rPr>
        <w:t>解密规定见《磋商须知前附表》</w:t>
      </w:r>
      <w:r>
        <w:rPr>
          <w:rFonts w:hint="eastAsia" w:ascii="仿宋" w:hAnsi="仿宋" w:eastAsia="仿宋" w:cs="仿宋"/>
          <w:kern w:val="0"/>
          <w:sz w:val="24"/>
        </w:rPr>
        <w:t>）</w:t>
      </w:r>
      <w:r>
        <w:rPr>
          <w:rFonts w:hint="eastAsia" w:ascii="仿宋" w:hAnsi="仿宋" w:eastAsia="仿宋" w:cs="Arial"/>
          <w:color w:val="000000"/>
          <w:kern w:val="0"/>
          <w:sz w:val="24"/>
        </w:rPr>
        <w:t>。</w:t>
      </w:r>
    </w:p>
    <w:p w14:paraId="51421994">
      <w:pPr>
        <w:autoSpaceDE w:val="0"/>
        <w:autoSpaceDN w:val="0"/>
        <w:spacing w:line="360" w:lineRule="auto"/>
        <w:ind w:firstLine="480" w:firstLineChars="200"/>
        <w:jc w:val="left"/>
        <w:rPr>
          <w:rFonts w:hint="eastAsia" w:ascii="仿宋" w:hAnsi="仿宋" w:eastAsia="仿宋" w:cs="Arial"/>
          <w:color w:val="000000"/>
          <w:kern w:val="0"/>
          <w:sz w:val="24"/>
        </w:rPr>
      </w:pPr>
      <w:r>
        <w:rPr>
          <w:rFonts w:hint="eastAsia" w:ascii="仿宋" w:hAnsi="仿宋" w:eastAsia="仿宋" w:cs="Arial"/>
          <w:color w:val="000000"/>
          <w:kern w:val="0"/>
          <w:sz w:val="24"/>
        </w:rPr>
        <w:t>（2）磋商响应供应商在规定的时间内无法完成已递交的“电子加密响应文件”解密的，按磋商响应文件解密异常情况处理（</w:t>
      </w:r>
      <w:r>
        <w:rPr>
          <w:rFonts w:hint="eastAsia" w:ascii="仿宋" w:hAnsi="仿宋" w:eastAsia="仿宋" w:cs="仿宋"/>
          <w:b/>
          <w:kern w:val="0"/>
          <w:sz w:val="24"/>
        </w:rPr>
        <w:t>处理办法见《磋商须知前附表》</w:t>
      </w:r>
      <w:r>
        <w:rPr>
          <w:rFonts w:hint="eastAsia" w:ascii="仿宋" w:hAnsi="仿宋" w:eastAsia="仿宋" w:cs="Arial"/>
          <w:color w:val="000000"/>
          <w:kern w:val="0"/>
          <w:sz w:val="24"/>
        </w:rPr>
        <w:t>）；</w:t>
      </w:r>
    </w:p>
    <w:p w14:paraId="6FDC1E40">
      <w:pPr>
        <w:autoSpaceDE w:val="0"/>
        <w:autoSpaceDN w:val="0"/>
        <w:spacing w:line="360" w:lineRule="auto"/>
        <w:ind w:firstLine="424" w:firstLineChars="177"/>
        <w:jc w:val="left"/>
        <w:rPr>
          <w:rFonts w:hint="eastAsia"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3）在线公布</w:t>
      </w:r>
      <w:r>
        <w:rPr>
          <w:rFonts w:hint="eastAsia" w:ascii="仿宋" w:hAnsi="仿宋" w:eastAsia="仿宋" w:cs="仿宋"/>
          <w:color w:val="000000"/>
          <w:kern w:val="0"/>
          <w:sz w:val="24"/>
        </w:rPr>
        <w:t>磋商响应文件解密情况（包括成功解密的供应商名单等信息），代理机构组织签署《政府采购活动现场确认声明书》；</w:t>
      </w:r>
    </w:p>
    <w:p w14:paraId="6A817522">
      <w:pPr>
        <w:autoSpaceDE w:val="0"/>
        <w:autoSpaceDN w:val="0"/>
        <w:spacing w:line="360" w:lineRule="auto"/>
        <w:ind w:firstLine="424" w:firstLineChars="177"/>
        <w:jc w:val="left"/>
        <w:rPr>
          <w:rFonts w:hint="eastAsia" w:ascii="仿宋" w:hAnsi="仿宋" w:eastAsia="仿宋" w:cs="Arial"/>
          <w:i/>
          <w:iCs/>
          <w:color w:val="000000"/>
          <w:kern w:val="0"/>
          <w:sz w:val="24"/>
          <w:u w:val="single"/>
        </w:rPr>
      </w:pPr>
      <w:r>
        <w:rPr>
          <w:rFonts w:hint="eastAsia" w:ascii="仿宋" w:hAnsi="仿宋" w:eastAsia="仿宋" w:cs="仿宋"/>
          <w:color w:val="000000"/>
          <w:kern w:val="0"/>
          <w:sz w:val="24"/>
        </w:rPr>
        <w:t>（</w:t>
      </w:r>
      <w:r>
        <w:rPr>
          <w:rFonts w:hint="eastAsia" w:ascii="仿宋" w:hAnsi="仿宋" w:eastAsia="仿宋" w:cs="Arial"/>
          <w:color w:val="000000"/>
          <w:kern w:val="0"/>
          <w:sz w:val="24"/>
        </w:rPr>
        <w:t>4）开启供应商的磋商响应文件。</w:t>
      </w:r>
      <w:r>
        <w:rPr>
          <w:rFonts w:hint="eastAsia" w:ascii="仿宋" w:hAnsi="仿宋" w:eastAsia="仿宋" w:cs="Arial"/>
          <w:color w:val="000000"/>
          <w:kern w:val="0"/>
          <w:sz w:val="24"/>
          <w:szCs w:val="22"/>
        </w:rPr>
        <w:t>由磋商小组对各磋商供应商的资格符合性以及磋商响应文件的有效性、完整性和响应程度进行审查。</w:t>
      </w:r>
      <w:r>
        <w:rPr>
          <w:rFonts w:hint="eastAsia" w:ascii="仿宋" w:hAnsi="仿宋" w:eastAsia="仿宋" w:cs="仿宋"/>
          <w:i/>
          <w:iCs/>
          <w:color w:val="000000"/>
          <w:kern w:val="0"/>
          <w:sz w:val="24"/>
          <w:u w:val="single"/>
        </w:rPr>
        <w:t>有效磋商响应供应商数量不足三家的，项目不再进行评审。</w:t>
      </w:r>
    </w:p>
    <w:p w14:paraId="03778B2C">
      <w:pPr>
        <w:autoSpaceDE w:val="0"/>
        <w:autoSpaceDN w:val="0"/>
        <w:spacing w:line="360" w:lineRule="auto"/>
        <w:ind w:firstLine="424" w:firstLineChars="177"/>
        <w:jc w:val="left"/>
        <w:rPr>
          <w:rFonts w:hint="eastAsia" w:ascii="仿宋" w:hAnsi="仿宋" w:eastAsia="仿宋" w:cs="Arial"/>
          <w:color w:val="000000"/>
          <w:kern w:val="0"/>
          <w:sz w:val="24"/>
        </w:rPr>
      </w:pPr>
      <w:r>
        <w:rPr>
          <w:rFonts w:hint="eastAsia" w:ascii="仿宋" w:hAnsi="仿宋" w:eastAsia="仿宋" w:cs="Arial"/>
          <w:color w:val="000000"/>
          <w:kern w:val="0"/>
          <w:sz w:val="24"/>
        </w:rPr>
        <w:t>（5）由磋商小组组织磋商。</w:t>
      </w:r>
      <w:r>
        <w:rPr>
          <w:rFonts w:hint="eastAsia" w:ascii="仿宋" w:hAnsi="仿宋" w:eastAsia="仿宋" w:cs="仿宋"/>
          <w:color w:val="000000"/>
          <w:kern w:val="0"/>
          <w:sz w:val="24"/>
        </w:rPr>
        <w:t>已提交磋商响应文件的供应商，在提交最后报价之前，若因磋商文件实质性变动导致供应商无法满足采购需求的，允许供应商退出磋商。</w:t>
      </w:r>
    </w:p>
    <w:p w14:paraId="1C22C717">
      <w:pPr>
        <w:autoSpaceDE w:val="0"/>
        <w:autoSpaceDN w:val="0"/>
        <w:spacing w:line="360" w:lineRule="auto"/>
        <w:ind w:firstLine="424" w:firstLineChars="177"/>
        <w:jc w:val="left"/>
        <w:rPr>
          <w:rFonts w:hint="eastAsia" w:ascii="仿宋" w:hAnsi="仿宋" w:eastAsia="仿宋" w:cs="Arial"/>
          <w:color w:val="000000"/>
          <w:kern w:val="0"/>
          <w:sz w:val="24"/>
        </w:rPr>
      </w:pPr>
      <w:r>
        <w:rPr>
          <w:rFonts w:hint="eastAsia" w:ascii="仿宋" w:hAnsi="仿宋" w:eastAsia="仿宋" w:cs="Arial"/>
          <w:color w:val="000000"/>
          <w:kern w:val="0"/>
          <w:sz w:val="24"/>
        </w:rPr>
        <w:t>（6）供应商在规定的时间内自行提交最后报价（加盖签章并上传至政采云平台）。若未在规定时间内提交最后报价的，视为退出本次磋商，作无效标处理。</w:t>
      </w:r>
    </w:p>
    <w:p w14:paraId="7D3C885B">
      <w:pPr>
        <w:autoSpaceDE w:val="0"/>
        <w:autoSpaceDN w:val="0"/>
        <w:spacing w:line="360" w:lineRule="auto"/>
        <w:ind w:firstLine="424" w:firstLineChars="177"/>
        <w:jc w:val="left"/>
        <w:rPr>
          <w:rFonts w:hint="eastAsia" w:ascii="仿宋" w:hAnsi="仿宋" w:eastAsia="仿宋" w:cs="Arial"/>
          <w:color w:val="000000"/>
          <w:kern w:val="0"/>
          <w:sz w:val="24"/>
        </w:rPr>
      </w:pPr>
      <w:r>
        <w:rPr>
          <w:rFonts w:hint="eastAsia" w:ascii="仿宋" w:hAnsi="仿宋" w:eastAsia="仿宋" w:cs="Arial"/>
          <w:color w:val="000000"/>
          <w:kern w:val="0"/>
          <w:sz w:val="24"/>
        </w:rPr>
        <w:t>（7）由磋商小组对已提交最后报价的供应商的商务技术进行</w:t>
      </w:r>
      <w:r>
        <w:rPr>
          <w:rFonts w:hint="eastAsia" w:ascii="仿宋" w:hAnsi="仿宋" w:eastAsia="仿宋" w:cs="仿宋"/>
          <w:color w:val="000000"/>
          <w:kern w:val="0"/>
          <w:sz w:val="24"/>
        </w:rPr>
        <w:t>评审。</w:t>
      </w:r>
    </w:p>
    <w:p w14:paraId="16480472">
      <w:pPr>
        <w:autoSpaceDE w:val="0"/>
        <w:autoSpaceDN w:val="0"/>
        <w:spacing w:line="360" w:lineRule="auto"/>
        <w:ind w:firstLine="424" w:firstLineChars="177"/>
        <w:jc w:val="left"/>
        <w:rPr>
          <w:rFonts w:hint="eastAsia" w:ascii="仿宋" w:hAnsi="仿宋" w:eastAsia="仿宋" w:cs="Arial"/>
          <w:color w:val="000000"/>
          <w:kern w:val="0"/>
          <w:sz w:val="24"/>
          <w:szCs w:val="22"/>
        </w:rPr>
      </w:pPr>
      <w:r>
        <w:rPr>
          <w:rFonts w:hint="eastAsia" w:ascii="仿宋" w:hAnsi="仿宋" w:eastAsia="仿宋" w:cs="仿宋"/>
          <w:color w:val="000000"/>
          <w:kern w:val="0"/>
          <w:sz w:val="24"/>
        </w:rPr>
        <w:t>（</w:t>
      </w:r>
      <w:r>
        <w:rPr>
          <w:rFonts w:hint="eastAsia" w:ascii="仿宋" w:hAnsi="仿宋" w:eastAsia="仿宋" w:cs="Arial"/>
          <w:color w:val="000000"/>
          <w:kern w:val="0"/>
          <w:sz w:val="24"/>
        </w:rPr>
        <w:t>8</w:t>
      </w:r>
      <w:r>
        <w:rPr>
          <w:rFonts w:hint="eastAsia" w:ascii="仿宋" w:hAnsi="仿宋" w:eastAsia="仿宋" w:cs="Arial"/>
          <w:color w:val="000000"/>
          <w:kern w:val="0"/>
          <w:sz w:val="24"/>
          <w:szCs w:val="22"/>
        </w:rPr>
        <w:t>）</w:t>
      </w:r>
      <w:r>
        <w:rPr>
          <w:rFonts w:ascii="仿宋" w:hAnsi="仿宋" w:eastAsia="仿宋" w:cs="Arial"/>
          <w:color w:val="000000"/>
          <w:kern w:val="0"/>
          <w:sz w:val="24"/>
          <w:szCs w:val="22"/>
        </w:rPr>
        <w:t>公布</w:t>
      </w:r>
      <w:r>
        <w:rPr>
          <w:rFonts w:hint="eastAsia" w:ascii="仿宋" w:hAnsi="仿宋" w:eastAsia="仿宋" w:cs="Arial"/>
          <w:color w:val="000000"/>
          <w:kern w:val="0"/>
          <w:sz w:val="24"/>
          <w:szCs w:val="22"/>
        </w:rPr>
        <w:t>所有递交了最后报价的磋商供应商的</w:t>
      </w:r>
      <w:r>
        <w:rPr>
          <w:rFonts w:ascii="仿宋" w:hAnsi="仿宋" w:eastAsia="仿宋" w:cs="Arial"/>
          <w:color w:val="000000"/>
          <w:kern w:val="0"/>
          <w:sz w:val="24"/>
          <w:szCs w:val="22"/>
        </w:rPr>
        <w:t>商务技术</w:t>
      </w:r>
      <w:r>
        <w:rPr>
          <w:rFonts w:hint="eastAsia" w:ascii="仿宋" w:hAnsi="仿宋" w:eastAsia="仿宋" w:cs="Arial"/>
          <w:color w:val="000000"/>
          <w:kern w:val="0"/>
          <w:sz w:val="24"/>
          <w:szCs w:val="22"/>
        </w:rPr>
        <w:t>部分得分情况，并开启各供应商的最后报价信息，</w:t>
      </w:r>
      <w:r>
        <w:rPr>
          <w:rFonts w:ascii="仿宋" w:hAnsi="仿宋" w:eastAsia="仿宋" w:cs="Arial"/>
          <w:color w:val="000000"/>
          <w:kern w:val="0"/>
          <w:sz w:val="24"/>
          <w:szCs w:val="22"/>
        </w:rPr>
        <w:t>由供应商代表</w:t>
      </w:r>
      <w:r>
        <w:rPr>
          <w:rFonts w:hint="eastAsia" w:ascii="仿宋" w:hAnsi="仿宋" w:eastAsia="仿宋" w:cs="Arial"/>
          <w:color w:val="000000"/>
          <w:kern w:val="0"/>
          <w:sz w:val="24"/>
          <w:szCs w:val="22"/>
        </w:rPr>
        <w:t>及相关人员通过政府采购云平台在线确认，供应商不予确认的应说明理由，否则视为无异议。</w:t>
      </w:r>
    </w:p>
    <w:p w14:paraId="63DF46C7">
      <w:pPr>
        <w:autoSpaceDE w:val="0"/>
        <w:autoSpaceDN w:val="0"/>
        <w:spacing w:line="360" w:lineRule="auto"/>
        <w:ind w:firstLine="424" w:firstLineChars="177"/>
        <w:jc w:val="left"/>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（9）公布最终评审结果以及成交候选供应商名单。</w:t>
      </w:r>
    </w:p>
    <w:p w14:paraId="07AB376F">
      <w:pPr>
        <w:autoSpaceDE w:val="0"/>
        <w:autoSpaceDN w:val="0"/>
        <w:spacing w:line="360" w:lineRule="auto"/>
        <w:ind w:firstLine="426" w:firstLineChars="177"/>
        <w:jc w:val="left"/>
        <w:rPr>
          <w:rFonts w:hint="eastAsia" w:ascii="仿宋" w:hAnsi="仿宋" w:eastAsia="仿宋" w:cs="Arial"/>
          <w:b/>
          <w:color w:val="000000"/>
          <w:kern w:val="0"/>
          <w:sz w:val="24"/>
        </w:rPr>
      </w:pPr>
      <w:r>
        <w:rPr>
          <w:rFonts w:hint="eastAsia" w:ascii="仿宋" w:hAnsi="仿宋" w:eastAsia="仿宋" w:cs="Arial"/>
          <w:b/>
          <w:color w:val="000000"/>
          <w:kern w:val="0"/>
          <w:sz w:val="24"/>
        </w:rPr>
        <w:t>6.3.2特殊情况说明</w:t>
      </w:r>
    </w:p>
    <w:p w14:paraId="4E7A4975">
      <w:pPr>
        <w:autoSpaceDE w:val="0"/>
        <w:autoSpaceDN w:val="0"/>
        <w:spacing w:line="360" w:lineRule="auto"/>
        <w:ind w:firstLine="426" w:firstLineChars="177"/>
        <w:jc w:val="left"/>
        <w:rPr>
          <w:rFonts w:hint="eastAsia" w:ascii="仿宋" w:hAnsi="仿宋" w:eastAsia="仿宋" w:cs="Arial"/>
          <w:b/>
          <w:color w:val="000000"/>
          <w:kern w:val="0"/>
          <w:sz w:val="24"/>
        </w:rPr>
      </w:pPr>
      <w:r>
        <w:rPr>
          <w:rFonts w:hint="eastAsia" w:ascii="仿宋" w:hAnsi="仿宋" w:eastAsia="仿宋" w:cs="仿宋"/>
          <w:b/>
          <w:color w:val="000000"/>
          <w:kern w:val="0"/>
          <w:sz w:val="24"/>
        </w:rPr>
        <w:t>（</w:t>
      </w:r>
      <w:r>
        <w:rPr>
          <w:rFonts w:hint="eastAsia" w:ascii="仿宋" w:hAnsi="仿宋" w:eastAsia="仿宋" w:cs="Arial"/>
          <w:b/>
          <w:color w:val="000000"/>
          <w:kern w:val="0"/>
          <w:sz w:val="24"/>
        </w:rPr>
        <w:t>1）本项目采用电子交易，如遇“政府采购云平台”电子化开标或评审程序调整的，按调整后程序执行。</w:t>
      </w:r>
    </w:p>
    <w:p w14:paraId="4460E6D2">
      <w:pPr>
        <w:autoSpaceDE w:val="0"/>
        <w:autoSpaceDN w:val="0"/>
        <w:spacing w:line="360" w:lineRule="auto"/>
        <w:ind w:firstLine="426" w:firstLineChars="177"/>
        <w:jc w:val="left"/>
        <w:rPr>
          <w:rFonts w:hint="eastAsia" w:ascii="Arial" w:hAnsi="新宋体" w:eastAsia="新宋体" w:cs="Arial"/>
          <w:b/>
          <w:color w:val="000000"/>
          <w:kern w:val="0"/>
          <w:sz w:val="22"/>
          <w:szCs w:val="22"/>
        </w:rPr>
      </w:pPr>
      <w:r>
        <w:rPr>
          <w:rFonts w:hint="eastAsia" w:ascii="仿宋" w:hAnsi="仿宋" w:eastAsia="仿宋" w:cs="仿宋"/>
          <w:b/>
          <w:color w:val="000000"/>
          <w:kern w:val="0"/>
          <w:sz w:val="24"/>
        </w:rPr>
        <w:t>（</w:t>
      </w:r>
      <w:r>
        <w:rPr>
          <w:rFonts w:hint="eastAsia" w:ascii="仿宋" w:hAnsi="仿宋" w:eastAsia="仿宋" w:cs="Arial"/>
          <w:b/>
          <w:color w:val="000000"/>
          <w:kern w:val="0"/>
          <w:sz w:val="24"/>
        </w:rPr>
        <w:t>2）磋商过程中需要相关当事人进行签字或盖章确认的材料将通过“政府采购云平台”进行，若因“政府采购云平台”技术问题无法进行签字或盖章确认的，采购组织机构将通过邮件、传真等形式予以确认。</w:t>
      </w:r>
    </w:p>
    <w:p w14:paraId="5483CD8C">
      <w:pPr>
        <w:pStyle w:val="3"/>
        <w:autoSpaceDE w:val="0"/>
        <w:autoSpaceDN w:val="0"/>
        <w:spacing w:before="360"/>
        <w:ind w:firstLine="281" w:firstLineChars="100"/>
        <w:rPr>
          <w:rFonts w:hint="eastAsia" w:ascii="Times New Roman" w:hAnsi="仿宋" w:eastAsia="仿宋"/>
          <w:sz w:val="28"/>
          <w:szCs w:val="28"/>
        </w:rPr>
      </w:pPr>
      <w:bookmarkStart w:id="36" w:name="_Toc7469"/>
      <w:bookmarkStart w:id="37" w:name="_Toc25110"/>
      <w:r>
        <w:rPr>
          <w:rFonts w:hint="eastAsia" w:ascii="Times New Roman" w:hAnsi="仿宋" w:eastAsia="仿宋"/>
          <w:sz w:val="28"/>
          <w:szCs w:val="28"/>
        </w:rPr>
        <w:t>七、评审</w:t>
      </w:r>
      <w:bookmarkEnd w:id="36"/>
      <w:bookmarkEnd w:id="37"/>
      <w:bookmarkStart w:id="38" w:name="_Toc298767927"/>
      <w:bookmarkStart w:id="39" w:name="_Toc294012141"/>
      <w:bookmarkStart w:id="40" w:name="_Toc82873328"/>
      <w:bookmarkStart w:id="41" w:name="_Toc211745569"/>
      <w:bookmarkStart w:id="42" w:name="_Toc82338245"/>
    </w:p>
    <w:p w14:paraId="5F7143BB">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7.1 评审工作的组织</w:t>
      </w:r>
    </w:p>
    <w:p w14:paraId="17404EE7">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采购人或采购代理机构负责组织本项目的评审工作，并依据相关规定履行职责。</w:t>
      </w:r>
    </w:p>
    <w:p w14:paraId="191FB1F6">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7.2 磋商小组的组建</w:t>
      </w:r>
    </w:p>
    <w:p w14:paraId="6FFAED20">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7.2.1磋商小组由采购人或采购代理机构依法组建，成员由采购人代表和评审专家组成，成员人数</w:t>
      </w:r>
      <w:r>
        <w:rPr>
          <w:rFonts w:ascii="仿宋" w:hAnsi="仿宋" w:eastAsia="仿宋" w:cs="Arial"/>
          <w:color w:val="000000"/>
          <w:kern w:val="0"/>
          <w:sz w:val="24"/>
          <w:szCs w:val="22"/>
        </w:rPr>
        <w:t>为</w:t>
      </w:r>
      <w:r>
        <w:rPr>
          <w:rFonts w:hint="eastAsia" w:ascii="仿宋" w:hAnsi="仿宋" w:eastAsia="仿宋" w:cs="Arial"/>
          <w:color w:val="000000"/>
          <w:kern w:val="0"/>
          <w:sz w:val="24"/>
          <w:szCs w:val="22"/>
        </w:rPr>
        <w:t>三</w:t>
      </w:r>
      <w:r>
        <w:rPr>
          <w:rFonts w:ascii="仿宋" w:hAnsi="仿宋" w:eastAsia="仿宋" w:cs="Arial"/>
          <w:color w:val="000000"/>
          <w:kern w:val="0"/>
          <w:sz w:val="24"/>
          <w:szCs w:val="22"/>
        </w:rPr>
        <w:t>人</w:t>
      </w:r>
      <w:r>
        <w:rPr>
          <w:rFonts w:hint="eastAsia" w:ascii="仿宋" w:hAnsi="仿宋" w:eastAsia="仿宋" w:cs="Arial"/>
          <w:color w:val="000000"/>
          <w:kern w:val="0"/>
          <w:sz w:val="24"/>
          <w:szCs w:val="22"/>
        </w:rPr>
        <w:t>或以上单数，其中评审专家不少于成员总数的三分之二。</w:t>
      </w:r>
    </w:p>
    <w:p w14:paraId="0867DEC3">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7.2.2评审专家从省级或以上财政部门设立的政府采购评审专家库中通过随机方式抽取产生。磋商小组成员名单在采购结果公告前保密。</w:t>
      </w:r>
    </w:p>
    <w:p w14:paraId="13D99551">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7.3 磋商小组的职责</w:t>
      </w:r>
    </w:p>
    <w:p w14:paraId="1D41F9ED">
      <w:pPr>
        <w:autoSpaceDE w:val="0"/>
        <w:autoSpaceDN w:val="0"/>
        <w:spacing w:line="360" w:lineRule="auto"/>
        <w:ind w:firstLine="424" w:firstLineChars="176"/>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7.3.1磋商小组负责具体评审事务，并独立履行下列职责：</w:t>
      </w:r>
    </w:p>
    <w:p w14:paraId="071DC71A">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（1）审查、评价磋商响应文件是否符合竞争性磋商文件的资格、商务、技术等实质性要求；</w:t>
      </w:r>
    </w:p>
    <w:p w14:paraId="1C6BE74C">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（2）要求磋商响应供应商对磋商响应文件有关事项作出澄清或者说明；</w:t>
      </w:r>
    </w:p>
    <w:p w14:paraId="72950095">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（3）对磋商响应文件进行比较和评价；</w:t>
      </w:r>
    </w:p>
    <w:p w14:paraId="59445A40">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（4）确定成交候选供应商名单，以及根据采购人委托直接确定成交供应商；</w:t>
      </w:r>
    </w:p>
    <w:p w14:paraId="2E47287C">
      <w:pPr>
        <w:autoSpaceDE w:val="0"/>
        <w:autoSpaceDN w:val="0"/>
        <w:spacing w:line="360" w:lineRule="auto"/>
        <w:ind w:firstLine="422" w:firstLineChars="176"/>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（5）向采购人、采购代理机构或者有关部门报告评审中发现的违法行为。</w:t>
      </w:r>
    </w:p>
    <w:p w14:paraId="7AE8F1B6">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7.4 评审原则</w:t>
      </w:r>
    </w:p>
    <w:p w14:paraId="558DDD0F">
      <w:pPr>
        <w:autoSpaceDE w:val="0"/>
        <w:autoSpaceDN w:val="0"/>
        <w:spacing w:line="360" w:lineRule="auto"/>
        <w:ind w:firstLine="424" w:firstLineChars="177"/>
        <w:rPr>
          <w:rFonts w:hint="eastAsia" w:ascii="仿宋" w:hAnsi="仿宋" w:eastAsia="仿宋" w:cs="Arial"/>
          <w:color w:val="000000"/>
          <w:sz w:val="24"/>
        </w:rPr>
      </w:pPr>
      <w:r>
        <w:rPr>
          <w:rFonts w:hint="eastAsia" w:ascii="仿宋" w:hAnsi="仿宋" w:eastAsia="仿宋" w:cs="Arial"/>
          <w:color w:val="000000"/>
          <w:sz w:val="24"/>
        </w:rPr>
        <w:t>7.4.1评审原则：</w:t>
      </w:r>
      <w:r>
        <w:rPr>
          <w:rFonts w:hint="eastAsia" w:ascii="仿宋" w:hAnsi="仿宋" w:eastAsia="仿宋" w:cs="Arial"/>
          <w:color w:val="000000"/>
          <w:kern w:val="0"/>
          <w:sz w:val="24"/>
          <w:szCs w:val="22"/>
        </w:rPr>
        <w:t>磋商小组</w:t>
      </w:r>
      <w:r>
        <w:rPr>
          <w:rFonts w:hint="eastAsia" w:ascii="仿宋" w:hAnsi="仿宋" w:eastAsia="仿宋" w:cs="Arial"/>
          <w:color w:val="000000"/>
          <w:sz w:val="24"/>
        </w:rPr>
        <w:t>按照客观、公正、审慎、</w:t>
      </w:r>
      <w:r>
        <w:rPr>
          <w:rFonts w:ascii="仿宋" w:hAnsi="仿宋" w:eastAsia="仿宋" w:cs="Arial"/>
          <w:color w:val="000000"/>
          <w:sz w:val="24"/>
        </w:rPr>
        <w:t>择优的</w:t>
      </w:r>
      <w:r>
        <w:rPr>
          <w:rFonts w:hint="eastAsia" w:ascii="仿宋" w:hAnsi="仿宋" w:eastAsia="仿宋" w:cs="Arial"/>
          <w:color w:val="000000"/>
          <w:sz w:val="24"/>
        </w:rPr>
        <w:t>原则，根据竞争性磋商文件规定的评审程序、评审方法和评审标准进行独立评审。</w:t>
      </w:r>
    </w:p>
    <w:p w14:paraId="3E6671B9">
      <w:pPr>
        <w:autoSpaceDE w:val="0"/>
        <w:autoSpaceDN w:val="0"/>
        <w:spacing w:line="360" w:lineRule="auto"/>
        <w:ind w:firstLine="424" w:firstLineChars="177"/>
        <w:rPr>
          <w:rFonts w:hint="eastAsia" w:ascii="仿宋" w:hAnsi="仿宋" w:eastAsia="仿宋" w:cs="Arial"/>
          <w:color w:val="000000"/>
          <w:sz w:val="24"/>
        </w:rPr>
      </w:pPr>
      <w:r>
        <w:rPr>
          <w:rFonts w:hint="eastAsia" w:ascii="仿宋" w:hAnsi="仿宋" w:eastAsia="仿宋" w:cs="Arial"/>
          <w:color w:val="000000"/>
          <w:sz w:val="24"/>
        </w:rPr>
        <w:t>7.4.2评审工作将依据</w:t>
      </w:r>
      <w:r>
        <w:rPr>
          <w:rFonts w:hint="eastAsia" w:ascii="仿宋" w:hAnsi="仿宋" w:eastAsia="仿宋" w:cs="Arial"/>
          <w:color w:val="000000"/>
          <w:kern w:val="0"/>
          <w:sz w:val="24"/>
          <w:szCs w:val="22"/>
        </w:rPr>
        <w:t>竞争性磋商文件、磋商响应文件及竞争性磋商文件中事先已列明的内容进行（如现场方案讲解、演示、样品等）。</w:t>
      </w:r>
    </w:p>
    <w:p w14:paraId="7B25A7E9">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7.5 评审意见的争议处理</w:t>
      </w:r>
    </w:p>
    <w:p w14:paraId="6EA79073">
      <w:pPr>
        <w:autoSpaceDE w:val="0"/>
        <w:autoSpaceDN w:val="0"/>
        <w:spacing w:line="360" w:lineRule="auto"/>
        <w:ind w:firstLine="426" w:firstLineChars="177"/>
        <w:rPr>
          <w:rFonts w:hint="eastAsia" w:ascii="仿宋" w:hAnsi="仿宋" w:eastAsia="仿宋" w:cs="Arial"/>
          <w:color w:val="000000"/>
          <w:sz w:val="24"/>
        </w:rPr>
      </w:pPr>
      <w:r>
        <w:rPr>
          <w:rFonts w:hint="eastAsia" w:ascii="仿宋" w:hAnsi="仿宋" w:eastAsia="仿宋" w:cs="Arial"/>
          <w:b/>
          <w:color w:val="000000"/>
          <w:sz w:val="24"/>
        </w:rPr>
        <w:t>磋商小组</w:t>
      </w:r>
      <w:r>
        <w:rPr>
          <w:rFonts w:ascii="仿宋" w:hAnsi="仿宋" w:eastAsia="仿宋" w:cs="Arial"/>
          <w:b/>
          <w:color w:val="000000"/>
          <w:sz w:val="24"/>
        </w:rPr>
        <w:t>成员对需要共同认定的事项存在争议的，按照少数服从多数的原则作出结论。</w:t>
      </w:r>
      <w:r>
        <w:rPr>
          <w:rFonts w:ascii="仿宋" w:hAnsi="仿宋" w:eastAsia="仿宋" w:cs="Arial"/>
          <w:color w:val="000000"/>
          <w:sz w:val="24"/>
        </w:rPr>
        <w:t>持不同意见的</w:t>
      </w:r>
      <w:r>
        <w:rPr>
          <w:rFonts w:hint="eastAsia" w:ascii="仿宋" w:hAnsi="仿宋" w:eastAsia="仿宋" w:cs="Arial"/>
          <w:color w:val="000000"/>
          <w:sz w:val="24"/>
        </w:rPr>
        <w:t>磋商小组</w:t>
      </w:r>
      <w:r>
        <w:rPr>
          <w:rFonts w:ascii="仿宋" w:hAnsi="仿宋" w:eastAsia="仿宋" w:cs="Arial"/>
          <w:color w:val="000000"/>
          <w:sz w:val="24"/>
        </w:rPr>
        <w:t>成员应当在评</w:t>
      </w:r>
      <w:r>
        <w:rPr>
          <w:rFonts w:hint="eastAsia" w:ascii="仿宋" w:hAnsi="仿宋" w:eastAsia="仿宋" w:cs="Arial"/>
          <w:color w:val="000000"/>
          <w:sz w:val="24"/>
        </w:rPr>
        <w:t>审</w:t>
      </w:r>
      <w:r>
        <w:rPr>
          <w:rFonts w:ascii="仿宋" w:hAnsi="仿宋" w:eastAsia="仿宋" w:cs="Arial"/>
          <w:color w:val="000000"/>
          <w:sz w:val="24"/>
        </w:rPr>
        <w:t>报告上签署不同意见及理由，否则视为同意评</w:t>
      </w:r>
      <w:r>
        <w:rPr>
          <w:rFonts w:hint="eastAsia" w:ascii="仿宋" w:hAnsi="仿宋" w:eastAsia="仿宋" w:cs="Arial"/>
          <w:color w:val="000000"/>
          <w:sz w:val="24"/>
        </w:rPr>
        <w:t>审</w:t>
      </w:r>
      <w:r>
        <w:rPr>
          <w:rFonts w:ascii="仿宋" w:hAnsi="仿宋" w:eastAsia="仿宋" w:cs="Arial"/>
          <w:color w:val="000000"/>
          <w:sz w:val="24"/>
        </w:rPr>
        <w:t>报告。</w:t>
      </w:r>
    </w:p>
    <w:p w14:paraId="2D5D80E4">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7.6 评委纪律</w:t>
      </w:r>
    </w:p>
    <w:p w14:paraId="77268111">
      <w:pPr>
        <w:autoSpaceDE w:val="0"/>
        <w:autoSpaceDN w:val="0"/>
        <w:spacing w:line="360" w:lineRule="auto"/>
        <w:ind w:firstLine="424" w:firstLineChars="177"/>
        <w:rPr>
          <w:rFonts w:ascii="Calibri" w:hAnsi="Calibri"/>
          <w:color w:val="000000"/>
        </w:rPr>
      </w:pPr>
      <w:r>
        <w:rPr>
          <w:rFonts w:hint="eastAsia" w:ascii="仿宋" w:hAnsi="仿宋" w:eastAsia="仿宋" w:cs="Arial"/>
          <w:color w:val="000000"/>
          <w:sz w:val="24"/>
        </w:rPr>
        <w:t>磋商小组成员</w:t>
      </w:r>
      <w:r>
        <w:rPr>
          <w:rFonts w:ascii="仿宋" w:hAnsi="仿宋" w:eastAsia="仿宋" w:cs="Arial"/>
          <w:color w:val="000000"/>
          <w:sz w:val="24"/>
        </w:rPr>
        <w:t>必须严格遵守保密规定，不得泄露评</w:t>
      </w:r>
      <w:r>
        <w:rPr>
          <w:rFonts w:hint="eastAsia" w:ascii="仿宋" w:hAnsi="仿宋" w:eastAsia="仿宋" w:cs="Arial"/>
          <w:color w:val="000000"/>
          <w:sz w:val="24"/>
        </w:rPr>
        <w:t>审</w:t>
      </w:r>
      <w:r>
        <w:rPr>
          <w:rFonts w:ascii="仿宋" w:hAnsi="仿宋" w:eastAsia="仿宋" w:cs="Arial"/>
          <w:color w:val="000000"/>
          <w:sz w:val="24"/>
        </w:rPr>
        <w:t>的有关情况</w:t>
      </w:r>
      <w:r>
        <w:rPr>
          <w:rFonts w:hint="eastAsia" w:ascii="仿宋" w:hAnsi="仿宋" w:eastAsia="仿宋" w:cs="Arial"/>
          <w:color w:val="000000"/>
          <w:kern w:val="0"/>
          <w:sz w:val="24"/>
          <w:szCs w:val="22"/>
        </w:rPr>
        <w:t>，</w:t>
      </w:r>
      <w:r>
        <w:rPr>
          <w:rFonts w:ascii="仿宋" w:hAnsi="仿宋" w:eastAsia="仿宋" w:cs="Arial"/>
          <w:color w:val="000000"/>
          <w:kern w:val="0"/>
          <w:sz w:val="24"/>
          <w:szCs w:val="22"/>
        </w:rPr>
        <w:t>任何单位和个人不得干扰、影响评标的正常进行</w:t>
      </w:r>
      <w:r>
        <w:rPr>
          <w:rFonts w:hint="eastAsia" w:ascii="仿宋" w:hAnsi="仿宋" w:eastAsia="仿宋" w:cs="Arial"/>
          <w:color w:val="000000"/>
          <w:kern w:val="0"/>
          <w:sz w:val="24"/>
          <w:szCs w:val="22"/>
        </w:rPr>
        <w:t>，磋商小组成员</w:t>
      </w:r>
      <w:r>
        <w:rPr>
          <w:rFonts w:ascii="仿宋" w:hAnsi="仿宋" w:eastAsia="仿宋" w:cs="Arial"/>
          <w:color w:val="000000"/>
          <w:kern w:val="0"/>
          <w:sz w:val="24"/>
          <w:szCs w:val="22"/>
        </w:rPr>
        <w:t>不得私下与</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接触</w:t>
      </w:r>
      <w:r>
        <w:rPr>
          <w:rFonts w:hint="eastAsia" w:ascii="仿宋" w:hAnsi="仿宋" w:eastAsia="仿宋" w:cs="Arial"/>
          <w:color w:val="000000"/>
          <w:kern w:val="0"/>
          <w:sz w:val="24"/>
          <w:szCs w:val="22"/>
        </w:rPr>
        <w:t>，不得出现浙江省政府采购活动现场组织管理办法中规定的其他禁止行为。</w:t>
      </w:r>
    </w:p>
    <w:p w14:paraId="1B326C01">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7.7 评审方法和标准</w:t>
      </w:r>
    </w:p>
    <w:p w14:paraId="78661B88">
      <w:pPr>
        <w:autoSpaceDE w:val="0"/>
        <w:autoSpaceDN w:val="0"/>
        <w:spacing w:line="360" w:lineRule="auto"/>
        <w:ind w:firstLine="426" w:firstLineChars="177"/>
        <w:rPr>
          <w:rFonts w:hint="eastAsia" w:ascii="仿宋" w:hAnsi="仿宋" w:eastAsia="仿宋"/>
          <w:b/>
          <w:color w:val="000000"/>
          <w:kern w:val="0"/>
          <w:sz w:val="24"/>
        </w:rPr>
      </w:pPr>
      <w:r>
        <w:rPr>
          <w:rFonts w:hint="eastAsia" w:ascii="仿宋" w:hAnsi="仿宋" w:eastAsia="仿宋"/>
          <w:b/>
          <w:color w:val="000000"/>
          <w:kern w:val="0"/>
          <w:sz w:val="24"/>
        </w:rPr>
        <w:t>7.7.1评审方法和标准：</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14:paraId="003B20F4">
      <w:pPr>
        <w:autoSpaceDE w:val="0"/>
        <w:autoSpaceDN w:val="0"/>
        <w:spacing w:line="360" w:lineRule="auto"/>
        <w:ind w:firstLine="426" w:firstLineChars="177"/>
        <w:rPr>
          <w:rFonts w:hint="eastAsia" w:ascii="仿宋" w:hAnsi="仿宋" w:eastAsia="仿宋" w:cs="Arial"/>
          <w:b/>
          <w:color w:val="000000"/>
          <w:kern w:val="0"/>
          <w:sz w:val="24"/>
          <w:szCs w:val="22"/>
        </w:rPr>
      </w:pPr>
      <w:r>
        <w:rPr>
          <w:rFonts w:hint="eastAsia" w:ascii="仿宋" w:hAnsi="仿宋" w:eastAsia="仿宋"/>
          <w:b/>
          <w:color w:val="000000"/>
          <w:kern w:val="0"/>
          <w:sz w:val="24"/>
        </w:rPr>
        <w:t>7.7.2</w:t>
      </w:r>
      <w:r>
        <w:rPr>
          <w:rFonts w:hint="eastAsia" w:ascii="仿宋" w:hAnsi="仿宋" w:eastAsia="仿宋" w:cs="Arial"/>
          <w:b/>
          <w:color w:val="000000"/>
          <w:kern w:val="0"/>
          <w:sz w:val="24"/>
          <w:szCs w:val="22"/>
        </w:rPr>
        <w:t>标书信息开启后，磋商小组首先依法对磋商响应供应商的资格文件进行审查，审查各磋商响应供应商的资格符合情况。</w:t>
      </w:r>
      <w:r>
        <w:rPr>
          <w:rFonts w:hint="eastAsia" w:ascii="仿宋" w:hAnsi="仿宋" w:eastAsia="仿宋" w:cs="Arial"/>
          <w:b/>
          <w:color w:val="000000"/>
          <w:kern w:val="0"/>
          <w:sz w:val="24"/>
        </w:rPr>
        <w:t>供应商</w:t>
      </w:r>
      <w:r>
        <w:rPr>
          <w:rFonts w:ascii="仿宋" w:hAnsi="仿宋" w:eastAsia="仿宋" w:cs="Arial"/>
          <w:b/>
          <w:color w:val="000000"/>
          <w:sz w:val="24"/>
        </w:rPr>
        <w:t>信用记录</w:t>
      </w:r>
      <w:r>
        <w:rPr>
          <w:rFonts w:hint="eastAsia" w:ascii="仿宋" w:hAnsi="仿宋" w:eastAsia="仿宋" w:cs="Arial"/>
          <w:b/>
          <w:color w:val="000000"/>
          <w:sz w:val="24"/>
        </w:rPr>
        <w:t>查询与使用：</w:t>
      </w:r>
      <w:r>
        <w:rPr>
          <w:rFonts w:hint="eastAsia" w:ascii="仿宋" w:hAnsi="仿宋" w:eastAsia="仿宋"/>
          <w:b/>
          <w:color w:val="000000"/>
          <w:kern w:val="0"/>
          <w:sz w:val="24"/>
          <w:u w:val="single"/>
        </w:rPr>
        <w:t>见《磋商须知前附表》</w:t>
      </w:r>
      <w:r>
        <w:rPr>
          <w:rFonts w:hint="eastAsia" w:ascii="仿宋" w:hAnsi="仿宋" w:eastAsia="仿宋" w:cs="Arial"/>
          <w:b/>
          <w:color w:val="000000"/>
          <w:sz w:val="24"/>
        </w:rPr>
        <w:t>；</w:t>
      </w:r>
    </w:p>
    <w:p w14:paraId="776BDD85">
      <w:pPr>
        <w:autoSpaceDE w:val="0"/>
        <w:autoSpaceDN w:val="0"/>
        <w:spacing w:line="360" w:lineRule="auto"/>
        <w:ind w:firstLine="426" w:firstLineChars="177"/>
        <w:rPr>
          <w:rFonts w:hint="eastAsia" w:ascii="仿宋" w:hAnsi="仿宋" w:eastAsia="仿宋"/>
          <w:color w:val="000000"/>
          <w:kern w:val="0"/>
        </w:rPr>
      </w:pPr>
      <w:r>
        <w:rPr>
          <w:rFonts w:hint="eastAsia" w:ascii="仿宋" w:hAnsi="仿宋" w:eastAsia="仿宋"/>
          <w:b/>
          <w:color w:val="000000"/>
          <w:kern w:val="0"/>
          <w:sz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olor w:val="000000"/>
          <w:kern w:val="0"/>
          <w:sz w:val="24"/>
        </w:rPr>
        <w:t>详细评审方法和标准见本竞争性磋商文件第七章《评审办法》</w:t>
      </w:r>
      <w:r>
        <w:rPr>
          <w:rFonts w:hint="eastAsia" w:ascii="仿宋" w:hAnsi="仿宋" w:eastAsia="仿宋"/>
          <w:color w:val="000000"/>
          <w:kern w:val="0"/>
        </w:rPr>
        <w:t>。</w:t>
      </w:r>
    </w:p>
    <w:p w14:paraId="001E2FF5">
      <w:pPr>
        <w:pStyle w:val="3"/>
        <w:autoSpaceDE w:val="0"/>
        <w:autoSpaceDN w:val="0"/>
        <w:spacing w:before="360"/>
        <w:ind w:firstLine="281" w:firstLineChars="100"/>
      </w:pPr>
      <w:bookmarkStart w:id="43" w:name="_Toc18454"/>
      <w:bookmarkStart w:id="44" w:name="_Toc933"/>
      <w:r>
        <w:rPr>
          <w:rFonts w:hint="eastAsia" w:ascii="Times New Roman" w:hAnsi="仿宋" w:eastAsia="仿宋"/>
          <w:sz w:val="28"/>
          <w:szCs w:val="28"/>
        </w:rPr>
        <w:t>八、采购结果确认与公告</w:t>
      </w:r>
      <w:bookmarkEnd w:id="43"/>
      <w:bookmarkEnd w:id="44"/>
    </w:p>
    <w:p w14:paraId="21227670">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8.1 采购结果确认（确定成交供应商）</w:t>
      </w:r>
    </w:p>
    <w:p w14:paraId="42267584">
      <w:pPr>
        <w:autoSpaceDE w:val="0"/>
        <w:autoSpaceDN w:val="0"/>
        <w:spacing w:line="360" w:lineRule="auto"/>
        <w:ind w:firstLine="422" w:firstLineChars="175"/>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8.1</w:t>
      </w:r>
      <w:r>
        <w:rPr>
          <w:rFonts w:ascii="仿宋" w:hAnsi="仿宋" w:eastAsia="仿宋" w:cs="Arial"/>
          <w:b/>
          <w:color w:val="000000"/>
          <w:kern w:val="0"/>
          <w:sz w:val="24"/>
          <w:szCs w:val="22"/>
        </w:rPr>
        <w:t>.1</w:t>
      </w:r>
      <w:r>
        <w:rPr>
          <w:rFonts w:hint="eastAsia" w:ascii="仿宋" w:hAnsi="仿宋" w:eastAsia="仿宋" w:cs="Arial"/>
          <w:b/>
          <w:color w:val="000000"/>
          <w:kern w:val="0"/>
          <w:sz w:val="24"/>
          <w:szCs w:val="22"/>
        </w:rPr>
        <w:t>采购结果确认（确定成交供应商）：</w:t>
      </w:r>
      <w:r>
        <w:rPr>
          <w:rFonts w:ascii="仿宋" w:hAnsi="仿宋" w:eastAsia="仿宋" w:cs="Arial"/>
          <w:b/>
          <w:color w:val="000000"/>
          <w:kern w:val="0"/>
          <w:sz w:val="24"/>
          <w:szCs w:val="22"/>
        </w:rPr>
        <w:t>本项目由</w:t>
      </w:r>
      <w:r>
        <w:rPr>
          <w:rFonts w:hint="eastAsia" w:ascii="仿宋" w:hAnsi="仿宋" w:eastAsia="仿宋" w:cs="Arial"/>
          <w:b/>
          <w:color w:val="000000"/>
          <w:kern w:val="0"/>
          <w:sz w:val="24"/>
          <w:szCs w:val="22"/>
        </w:rPr>
        <w:t>采购</w:t>
      </w:r>
      <w:r>
        <w:rPr>
          <w:rFonts w:ascii="仿宋" w:hAnsi="仿宋" w:eastAsia="仿宋" w:cs="Arial"/>
          <w:b/>
          <w:color w:val="000000"/>
          <w:kern w:val="0"/>
          <w:sz w:val="24"/>
          <w:szCs w:val="22"/>
        </w:rPr>
        <w:t>人根据</w:t>
      </w:r>
      <w:r>
        <w:rPr>
          <w:rFonts w:hint="eastAsia" w:ascii="仿宋" w:hAnsi="仿宋" w:eastAsia="仿宋" w:cs="Arial"/>
          <w:b/>
          <w:color w:val="000000"/>
          <w:kern w:val="0"/>
          <w:sz w:val="24"/>
          <w:szCs w:val="22"/>
        </w:rPr>
        <w:t>磋商小组递交</w:t>
      </w:r>
      <w:r>
        <w:rPr>
          <w:rFonts w:ascii="仿宋" w:hAnsi="仿宋" w:eastAsia="仿宋" w:cs="Arial"/>
          <w:b/>
          <w:color w:val="000000"/>
          <w:kern w:val="0"/>
          <w:sz w:val="24"/>
          <w:szCs w:val="22"/>
        </w:rPr>
        <w:t>的《评审报告》</w:t>
      </w:r>
      <w:r>
        <w:rPr>
          <w:rFonts w:hint="eastAsia" w:ascii="仿宋" w:hAnsi="仿宋" w:eastAsia="仿宋" w:cs="Arial"/>
          <w:b/>
          <w:color w:val="000000"/>
          <w:kern w:val="0"/>
          <w:sz w:val="24"/>
          <w:szCs w:val="22"/>
        </w:rPr>
        <w:t>，通过“政府采购云平台”</w:t>
      </w:r>
      <w:r>
        <w:rPr>
          <w:rFonts w:ascii="仿宋" w:hAnsi="仿宋" w:eastAsia="仿宋" w:cs="Arial"/>
          <w:b/>
          <w:color w:val="000000"/>
          <w:kern w:val="0"/>
          <w:sz w:val="24"/>
          <w:szCs w:val="22"/>
        </w:rPr>
        <w:t>依法</w:t>
      </w:r>
      <w:r>
        <w:rPr>
          <w:rFonts w:hint="eastAsia" w:ascii="仿宋" w:hAnsi="仿宋" w:eastAsia="仿宋" w:cs="Arial"/>
          <w:b/>
          <w:color w:val="000000"/>
          <w:kern w:val="0"/>
          <w:sz w:val="24"/>
          <w:szCs w:val="22"/>
        </w:rPr>
        <w:t>确认采购结果、</w:t>
      </w:r>
      <w:r>
        <w:rPr>
          <w:rFonts w:ascii="仿宋" w:hAnsi="仿宋" w:eastAsia="仿宋" w:cs="Arial"/>
          <w:b/>
          <w:color w:val="000000"/>
          <w:kern w:val="0"/>
          <w:sz w:val="24"/>
          <w:szCs w:val="22"/>
        </w:rPr>
        <w:t>确定</w:t>
      </w:r>
      <w:r>
        <w:rPr>
          <w:rFonts w:hint="eastAsia" w:ascii="仿宋" w:hAnsi="仿宋" w:eastAsia="仿宋" w:cs="Arial"/>
          <w:b/>
          <w:color w:val="000000"/>
          <w:kern w:val="0"/>
          <w:sz w:val="24"/>
          <w:szCs w:val="22"/>
        </w:rPr>
        <w:t>成交供应商</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具体流程如下：</w:t>
      </w:r>
    </w:p>
    <w:p w14:paraId="58770E1C">
      <w:pPr>
        <w:autoSpaceDE w:val="0"/>
        <w:autoSpaceDN w:val="0"/>
        <w:spacing w:line="360" w:lineRule="auto"/>
        <w:ind w:firstLine="420" w:firstLineChars="175"/>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（1）采购代理机构将在评审结束后</w:t>
      </w:r>
      <w:r>
        <w:rPr>
          <w:rFonts w:ascii="仿宋" w:hAnsi="仿宋" w:eastAsia="仿宋" w:cs="Arial"/>
          <w:color w:val="000000"/>
          <w:kern w:val="0"/>
          <w:sz w:val="24"/>
          <w:szCs w:val="22"/>
        </w:rPr>
        <w:t>2</w:t>
      </w:r>
      <w:r>
        <w:rPr>
          <w:rFonts w:hint="eastAsia" w:ascii="仿宋" w:hAnsi="仿宋" w:eastAsia="仿宋" w:cs="Arial"/>
          <w:color w:val="000000"/>
          <w:kern w:val="0"/>
          <w:sz w:val="24"/>
          <w:szCs w:val="22"/>
        </w:rPr>
        <w:t>个工作日内将评审报告送采购人。</w:t>
      </w:r>
    </w:p>
    <w:p w14:paraId="6A653B1C">
      <w:pPr>
        <w:autoSpaceDE w:val="0"/>
        <w:autoSpaceDN w:val="0"/>
        <w:spacing w:line="360" w:lineRule="auto"/>
        <w:ind w:firstLine="420" w:firstLineChars="175"/>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（2）采购人将在收到评审报告之日起</w:t>
      </w:r>
      <w:r>
        <w:rPr>
          <w:rFonts w:ascii="仿宋" w:hAnsi="仿宋" w:eastAsia="仿宋" w:cs="Arial"/>
          <w:color w:val="000000"/>
          <w:kern w:val="0"/>
          <w:sz w:val="24"/>
          <w:szCs w:val="22"/>
        </w:rPr>
        <w:t>5</w:t>
      </w:r>
      <w:r>
        <w:rPr>
          <w:rFonts w:hint="eastAsia" w:ascii="仿宋" w:hAnsi="仿宋" w:eastAsia="仿宋" w:cs="Arial"/>
          <w:color w:val="000000"/>
          <w:kern w:val="0"/>
          <w:sz w:val="24"/>
          <w:szCs w:val="22"/>
        </w:rPr>
        <w:t>个工作日内，在评审报告推荐的成交候选供应商名单中按顺序确定成交供应商，并将确认意见以书面形式回复采购代理机构。</w:t>
      </w:r>
    </w:p>
    <w:p w14:paraId="48999370">
      <w:pPr>
        <w:autoSpaceDE w:val="0"/>
        <w:autoSpaceDN w:val="0"/>
        <w:spacing w:line="360" w:lineRule="auto"/>
        <w:ind w:firstLine="422" w:firstLineChars="175"/>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8.1</w:t>
      </w:r>
      <w:r>
        <w:rPr>
          <w:rFonts w:ascii="仿宋" w:hAnsi="仿宋" w:eastAsia="仿宋" w:cs="Arial"/>
          <w:b/>
          <w:color w:val="000000"/>
          <w:kern w:val="0"/>
          <w:sz w:val="24"/>
          <w:szCs w:val="22"/>
        </w:rPr>
        <w:t>.2</w:t>
      </w:r>
      <w:r>
        <w:rPr>
          <w:rFonts w:hint="eastAsia" w:ascii="仿宋" w:hAnsi="仿宋" w:eastAsia="仿宋" w:cs="Arial"/>
          <w:b/>
          <w:color w:val="000000"/>
          <w:kern w:val="0"/>
          <w:sz w:val="24"/>
          <w:szCs w:val="22"/>
        </w:rPr>
        <w:t>采购人及</w:t>
      </w:r>
      <w:r>
        <w:rPr>
          <w:rFonts w:ascii="仿宋" w:hAnsi="仿宋" w:eastAsia="仿宋" w:cs="Arial"/>
          <w:b/>
          <w:color w:val="000000"/>
          <w:kern w:val="0"/>
          <w:sz w:val="24"/>
          <w:szCs w:val="22"/>
        </w:rPr>
        <w:t>采购组织机构不对</w:t>
      </w:r>
      <w:r>
        <w:rPr>
          <w:rFonts w:hint="eastAsia" w:ascii="仿宋" w:hAnsi="仿宋" w:eastAsia="仿宋" w:cs="Arial"/>
          <w:b/>
          <w:color w:val="000000"/>
          <w:kern w:val="0"/>
          <w:sz w:val="24"/>
          <w:szCs w:val="22"/>
        </w:rPr>
        <w:t>评审</w:t>
      </w:r>
      <w:r>
        <w:rPr>
          <w:rFonts w:ascii="仿宋" w:hAnsi="仿宋" w:eastAsia="仿宋" w:cs="Arial"/>
          <w:b/>
          <w:color w:val="000000"/>
          <w:kern w:val="0"/>
          <w:sz w:val="24"/>
          <w:szCs w:val="22"/>
        </w:rPr>
        <w:t>结果做任何解释。</w:t>
      </w:r>
    </w:p>
    <w:p w14:paraId="46BA099A">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8.2 采购结果公告和成交通知书签发</w:t>
      </w:r>
    </w:p>
    <w:p w14:paraId="6A0F3195">
      <w:pPr>
        <w:autoSpaceDE w:val="0"/>
        <w:autoSpaceDN w:val="0"/>
        <w:spacing w:line="360" w:lineRule="auto"/>
        <w:ind w:firstLine="422" w:firstLineChars="175"/>
        <w:rPr>
          <w:rFonts w:hint="eastAsia" w:ascii="仿宋" w:hAnsi="仿宋" w:eastAsia="仿宋"/>
          <w:b/>
          <w:color w:val="000000"/>
          <w:kern w:val="0"/>
          <w:sz w:val="24"/>
        </w:rPr>
      </w:pPr>
      <w:r>
        <w:rPr>
          <w:rFonts w:hint="eastAsia" w:ascii="仿宋" w:hAnsi="仿宋" w:eastAsia="仿宋" w:cs="Arial"/>
          <w:b/>
          <w:color w:val="000000"/>
          <w:kern w:val="0"/>
          <w:sz w:val="24"/>
          <w:szCs w:val="22"/>
        </w:rPr>
        <w:t>8.2.1采购结果公告及《成交通知书》签发：</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14:paraId="63EE1CC2">
      <w:pPr>
        <w:autoSpaceDE w:val="0"/>
        <w:autoSpaceDN w:val="0"/>
        <w:spacing w:line="360" w:lineRule="auto"/>
        <w:ind w:firstLine="422" w:firstLineChars="175"/>
        <w:rPr>
          <w:rFonts w:hint="eastAsia" w:ascii="仿宋" w:hAnsi="仿宋" w:eastAsia="仿宋" w:cs="Arial"/>
          <w:color w:val="000000"/>
          <w:kern w:val="0"/>
          <w:sz w:val="24"/>
          <w:szCs w:val="22"/>
        </w:rPr>
      </w:pPr>
      <w:r>
        <w:rPr>
          <w:rFonts w:hint="eastAsia" w:ascii="仿宋" w:hAnsi="仿宋" w:eastAsia="仿宋"/>
          <w:b/>
          <w:color w:val="000000"/>
          <w:kern w:val="0"/>
          <w:sz w:val="24"/>
        </w:rPr>
        <w:t>8.2.2成交公告期限为1个工作日；</w:t>
      </w:r>
    </w:p>
    <w:p w14:paraId="40D23371">
      <w:pPr>
        <w:autoSpaceDE w:val="0"/>
        <w:autoSpaceDN w:val="0"/>
        <w:spacing w:line="360" w:lineRule="auto"/>
        <w:ind w:firstLine="420" w:firstLineChars="175"/>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9.2.3成交通知书发出后，成交供应商无正当理由不得放弃成交。</w:t>
      </w:r>
    </w:p>
    <w:p w14:paraId="5B0C3E48">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bookmarkStart w:id="45" w:name="_Toc35391900"/>
      <w:r>
        <w:rPr>
          <w:rFonts w:hint="eastAsia" w:ascii="华文中宋" w:hAnsi="华文中宋" w:eastAsia="华文中宋" w:cs="华文中宋"/>
          <w:b/>
          <w:bCs/>
          <w:sz w:val="24"/>
          <w:szCs w:val="32"/>
        </w:rPr>
        <w:t>8.3 采购过程、采购结果的质疑</w:t>
      </w:r>
    </w:p>
    <w:p w14:paraId="7FBE2DE3">
      <w:pPr>
        <w:autoSpaceDE w:val="0"/>
        <w:autoSpaceDN w:val="0"/>
        <w:spacing w:line="360" w:lineRule="auto"/>
        <w:ind w:firstLine="426" w:firstLineChars="177"/>
        <w:rPr>
          <w:rFonts w:hint="eastAsia" w:ascii="仿宋" w:hAnsi="仿宋" w:eastAsia="仿宋" w:cs="Arial"/>
          <w:color w:val="000000"/>
          <w:sz w:val="24"/>
        </w:rPr>
      </w:pPr>
      <w:r>
        <w:rPr>
          <w:rFonts w:hint="eastAsia" w:ascii="仿宋" w:hAnsi="仿宋" w:eastAsia="仿宋" w:cs="Arial"/>
          <w:b/>
          <w:color w:val="000000"/>
          <w:kern w:val="0"/>
          <w:sz w:val="24"/>
        </w:rPr>
        <w:t>磋商响应供应商</w:t>
      </w:r>
      <w:r>
        <w:rPr>
          <w:rFonts w:ascii="仿宋" w:hAnsi="仿宋" w:eastAsia="仿宋" w:cs="Arial"/>
          <w:b/>
          <w:color w:val="000000"/>
          <w:kern w:val="0"/>
          <w:sz w:val="24"/>
        </w:rPr>
        <w:t>认为</w:t>
      </w:r>
      <w:r>
        <w:rPr>
          <w:rFonts w:hint="eastAsia" w:ascii="仿宋" w:hAnsi="仿宋" w:eastAsia="仿宋" w:cs="Arial"/>
          <w:b/>
          <w:color w:val="000000"/>
          <w:kern w:val="0"/>
          <w:sz w:val="24"/>
        </w:rPr>
        <w:t>采购</w:t>
      </w:r>
      <w:r>
        <w:rPr>
          <w:rFonts w:ascii="仿宋" w:hAnsi="仿宋" w:eastAsia="仿宋" w:cs="Arial"/>
          <w:b/>
          <w:color w:val="000000"/>
          <w:kern w:val="0"/>
          <w:sz w:val="24"/>
        </w:rPr>
        <w:t>过程</w:t>
      </w:r>
      <w:r>
        <w:rPr>
          <w:rFonts w:hint="eastAsia" w:ascii="仿宋" w:hAnsi="仿宋" w:eastAsia="仿宋" w:cs="Arial"/>
          <w:b/>
          <w:color w:val="000000"/>
          <w:kern w:val="0"/>
          <w:sz w:val="24"/>
        </w:rPr>
        <w:t>、采购</w:t>
      </w:r>
      <w:r>
        <w:rPr>
          <w:rFonts w:ascii="仿宋" w:hAnsi="仿宋" w:eastAsia="仿宋" w:cs="Arial"/>
          <w:b/>
          <w:color w:val="000000"/>
          <w:kern w:val="0"/>
          <w:sz w:val="24"/>
        </w:rPr>
        <w:t>结果使自己的合法权益受到损害的，应当</w:t>
      </w:r>
      <w:r>
        <w:rPr>
          <w:rFonts w:hint="eastAsia" w:ascii="仿宋" w:hAnsi="仿宋" w:eastAsia="仿宋" w:cs="Arial"/>
          <w:b/>
          <w:color w:val="000000"/>
          <w:kern w:val="0"/>
          <w:sz w:val="24"/>
        </w:rPr>
        <w:t>按照本章节第1.16.2款规定</w:t>
      </w:r>
      <w:r>
        <w:rPr>
          <w:rFonts w:ascii="仿宋" w:hAnsi="仿宋" w:eastAsia="仿宋" w:cs="Arial"/>
          <w:b/>
          <w:color w:val="000000"/>
          <w:kern w:val="0"/>
          <w:sz w:val="24"/>
        </w:rPr>
        <w:t>，以书面形式</w:t>
      </w:r>
      <w:r>
        <w:rPr>
          <w:rFonts w:hint="eastAsia" w:ascii="仿宋" w:hAnsi="仿宋" w:eastAsia="仿宋" w:cs="Arial"/>
          <w:b/>
          <w:color w:val="000000"/>
          <w:kern w:val="0"/>
          <w:sz w:val="24"/>
        </w:rPr>
        <w:t>一次性</w:t>
      </w:r>
      <w:r>
        <w:rPr>
          <w:rFonts w:ascii="仿宋" w:hAnsi="仿宋" w:eastAsia="仿宋" w:cs="Arial"/>
          <w:b/>
          <w:color w:val="000000"/>
          <w:kern w:val="0"/>
          <w:sz w:val="24"/>
        </w:rPr>
        <w:t>向</w:t>
      </w:r>
      <w:r>
        <w:rPr>
          <w:rFonts w:hint="eastAsia" w:ascii="仿宋" w:hAnsi="仿宋" w:eastAsia="仿宋" w:cs="Arial"/>
          <w:b/>
          <w:color w:val="000000"/>
          <w:kern w:val="0"/>
          <w:sz w:val="24"/>
        </w:rPr>
        <w:t>采购人、采购代理机构</w:t>
      </w:r>
      <w:r>
        <w:rPr>
          <w:rFonts w:ascii="仿宋" w:hAnsi="仿宋" w:eastAsia="仿宋" w:cs="Arial"/>
          <w:b/>
          <w:color w:val="000000"/>
          <w:kern w:val="0"/>
          <w:sz w:val="24"/>
        </w:rPr>
        <w:t>提出质疑。</w:t>
      </w:r>
      <w:r>
        <w:rPr>
          <w:rFonts w:hint="eastAsia" w:ascii="仿宋" w:hAnsi="仿宋" w:eastAsia="仿宋" w:cs="Arial"/>
          <w:color w:val="000000"/>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3DF36696">
      <w:pPr>
        <w:pStyle w:val="3"/>
        <w:autoSpaceDE w:val="0"/>
        <w:autoSpaceDN w:val="0"/>
        <w:spacing w:before="360"/>
        <w:ind w:firstLine="281" w:firstLineChars="100"/>
        <w:rPr>
          <w:rFonts w:hint="eastAsia" w:ascii="Times New Roman" w:hAnsi="仿宋" w:eastAsia="仿宋"/>
          <w:sz w:val="28"/>
          <w:szCs w:val="28"/>
        </w:rPr>
      </w:pPr>
      <w:bookmarkStart w:id="46" w:name="_Toc32750"/>
      <w:bookmarkStart w:id="47" w:name="_Toc2835"/>
      <w:r>
        <w:rPr>
          <w:rFonts w:hint="eastAsia" w:ascii="Times New Roman" w:hAnsi="仿宋" w:eastAsia="仿宋"/>
          <w:sz w:val="28"/>
          <w:szCs w:val="28"/>
        </w:rPr>
        <w:t>九、采购代理服务费</w:t>
      </w:r>
      <w:bookmarkEnd w:id="45"/>
      <w:bookmarkEnd w:id="46"/>
      <w:bookmarkEnd w:id="47"/>
    </w:p>
    <w:p w14:paraId="3DB34B8E">
      <w:pPr>
        <w:autoSpaceDE w:val="0"/>
        <w:autoSpaceDN w:val="0"/>
        <w:spacing w:line="360" w:lineRule="auto"/>
        <w:ind w:right="42" w:rightChars="20"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sz w:val="24"/>
          <w:szCs w:val="22"/>
        </w:rPr>
        <w:t>9.1.1采购代理服务费的</w:t>
      </w:r>
      <w:r>
        <w:rPr>
          <w:rFonts w:hint="eastAsia" w:ascii="仿宋" w:hAnsi="仿宋" w:eastAsia="仿宋" w:cs="Arial"/>
          <w:b/>
          <w:color w:val="000000"/>
          <w:kern w:val="0"/>
          <w:sz w:val="24"/>
          <w:szCs w:val="22"/>
        </w:rPr>
        <w:t>支付方：</w:t>
      </w:r>
      <w:r>
        <w:rPr>
          <w:rFonts w:hint="eastAsia" w:ascii="仿宋" w:hAnsi="仿宋" w:eastAsia="仿宋" w:cs="Arial"/>
          <w:b/>
          <w:color w:val="000000"/>
          <w:kern w:val="0"/>
          <w:sz w:val="24"/>
          <w:szCs w:val="22"/>
          <w:u w:val="single"/>
        </w:rPr>
        <w:t>成交供应商</w:t>
      </w:r>
      <w:r>
        <w:rPr>
          <w:rFonts w:hint="eastAsia" w:ascii="仿宋" w:hAnsi="仿宋" w:eastAsia="仿宋" w:cs="Arial"/>
          <w:b/>
          <w:color w:val="000000"/>
          <w:kern w:val="0"/>
          <w:sz w:val="24"/>
          <w:szCs w:val="22"/>
        </w:rPr>
        <w:t>；</w:t>
      </w:r>
    </w:p>
    <w:p w14:paraId="22664FDE">
      <w:pPr>
        <w:autoSpaceDE w:val="0"/>
        <w:autoSpaceDN w:val="0"/>
        <w:spacing w:line="360" w:lineRule="auto"/>
        <w:ind w:right="42" w:rightChars="20" w:firstLine="426" w:firstLineChars="177"/>
        <w:rPr>
          <w:rFonts w:hint="eastAsia" w:ascii="仿宋" w:hAnsi="仿宋" w:eastAsia="仿宋" w:cs="Arial"/>
          <w:b/>
          <w:color w:val="000000"/>
          <w:sz w:val="24"/>
          <w:szCs w:val="22"/>
        </w:rPr>
      </w:pPr>
      <w:r>
        <w:rPr>
          <w:rFonts w:hint="eastAsia" w:ascii="仿宋" w:hAnsi="仿宋" w:eastAsia="仿宋" w:cs="Arial"/>
          <w:b/>
          <w:color w:val="000000"/>
          <w:kern w:val="0"/>
          <w:sz w:val="24"/>
          <w:szCs w:val="22"/>
        </w:rPr>
        <w:t>9.1.2</w:t>
      </w:r>
      <w:r>
        <w:rPr>
          <w:rFonts w:hint="eastAsia" w:ascii="仿宋" w:hAnsi="仿宋" w:eastAsia="仿宋" w:cs="Arial"/>
          <w:b/>
          <w:color w:val="000000"/>
          <w:sz w:val="24"/>
          <w:szCs w:val="22"/>
        </w:rPr>
        <w:t>收取标准或金额：</w:t>
      </w:r>
      <w:r>
        <w:rPr>
          <w:rFonts w:hint="eastAsia" w:ascii="仿宋" w:hAnsi="仿宋" w:eastAsia="仿宋"/>
          <w:b/>
          <w:color w:val="000000"/>
          <w:kern w:val="0"/>
          <w:sz w:val="24"/>
          <w:u w:val="single"/>
        </w:rPr>
        <w:t>见《磋商须知前附表》</w:t>
      </w:r>
      <w:r>
        <w:rPr>
          <w:rFonts w:hint="eastAsia" w:ascii="仿宋" w:hAnsi="仿宋" w:eastAsia="仿宋" w:cs="Arial"/>
          <w:b/>
          <w:color w:val="000000"/>
          <w:sz w:val="24"/>
          <w:szCs w:val="22"/>
        </w:rPr>
        <w:t>；</w:t>
      </w:r>
    </w:p>
    <w:p w14:paraId="4A12C3DA">
      <w:pPr>
        <w:autoSpaceDE w:val="0"/>
        <w:autoSpaceDN w:val="0"/>
        <w:spacing w:line="360" w:lineRule="auto"/>
        <w:ind w:right="42" w:rightChars="20" w:firstLine="424" w:firstLineChars="177"/>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9.1.3缴纳时间：成交供应商确定后7日内，一次性缴纳；</w:t>
      </w:r>
    </w:p>
    <w:p w14:paraId="4CF0519E">
      <w:pPr>
        <w:autoSpaceDE w:val="0"/>
        <w:autoSpaceDN w:val="0"/>
        <w:spacing w:line="360" w:lineRule="auto"/>
        <w:ind w:right="42" w:rightChars="20" w:firstLine="424" w:firstLineChars="177"/>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9.1.4缴纳形式：电汇、转账、支票、汇票（不接受现金），由成交供应商账户转出；</w:t>
      </w:r>
    </w:p>
    <w:p w14:paraId="3A7808EB">
      <w:pPr>
        <w:autoSpaceDE w:val="0"/>
        <w:autoSpaceDN w:val="0"/>
        <w:spacing w:line="360" w:lineRule="auto"/>
        <w:ind w:right="42" w:rightChars="20"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9.1.5特别说明：</w:t>
      </w:r>
    </w:p>
    <w:p w14:paraId="29FAF624">
      <w:pPr>
        <w:autoSpaceDE w:val="0"/>
        <w:autoSpaceDN w:val="0"/>
        <w:spacing w:line="360" w:lineRule="auto"/>
        <w:ind w:right="42" w:rightChars="20"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（1）磋商响应供应商在磋商报价时应将采购代理服务费计入磋商总价（单独列项或列入综合单价内，未计入的视为已包含）；</w:t>
      </w:r>
    </w:p>
    <w:p w14:paraId="1BC18398">
      <w:pPr>
        <w:autoSpaceDE w:val="0"/>
        <w:autoSpaceDN w:val="0"/>
        <w:spacing w:line="360" w:lineRule="auto"/>
        <w:ind w:right="42" w:rightChars="20"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（2）采购代理服务费缴纳凭证将作为采购人合同付款和验收的前提条件，成交供应商未按上述规定和磋商承诺缴纳采购代理服务费的，合同款不予支付、合同验收不予通过；</w:t>
      </w:r>
    </w:p>
    <w:p w14:paraId="69E220C1">
      <w:pPr>
        <w:autoSpaceDE w:val="0"/>
        <w:autoSpaceDN w:val="0"/>
        <w:spacing w:line="360" w:lineRule="auto"/>
        <w:ind w:firstLine="426" w:firstLineChars="177"/>
        <w:rPr>
          <w:rFonts w:ascii="Arial" w:hAnsi="Arial" w:eastAsia="新宋体" w:cs="Arial"/>
          <w:color w:val="000000"/>
          <w:kern w:val="0"/>
          <w:sz w:val="22"/>
          <w:szCs w:val="22"/>
        </w:rPr>
      </w:pPr>
      <w:r>
        <w:rPr>
          <w:rFonts w:hint="eastAsia" w:ascii="仿宋" w:hAnsi="仿宋" w:eastAsia="仿宋" w:cs="Arial"/>
          <w:b/>
          <w:color w:val="000000"/>
          <w:sz w:val="24"/>
          <w:szCs w:val="22"/>
        </w:rPr>
        <w:t>9.1.6</w:t>
      </w:r>
      <w:r>
        <w:rPr>
          <w:rFonts w:hint="eastAsia" w:ascii="仿宋" w:hAnsi="仿宋" w:eastAsia="仿宋" w:cs="Arial"/>
          <w:b/>
          <w:color w:val="000000"/>
          <w:sz w:val="24"/>
        </w:rPr>
        <w:t>成交供应商确定后，成交供应商拒绝签订合同的，或因自身原因被取消成交资格或放弃成交的，已收取的采购代理服务费不予退还，未支付的采购代理服务费由采购人追偿后支付。</w:t>
      </w:r>
    </w:p>
    <w:p w14:paraId="230F7158">
      <w:pPr>
        <w:pStyle w:val="3"/>
        <w:autoSpaceDE w:val="0"/>
        <w:autoSpaceDN w:val="0"/>
        <w:spacing w:before="360"/>
        <w:ind w:firstLine="281" w:firstLineChars="100"/>
        <w:rPr>
          <w:rFonts w:hint="eastAsia" w:ascii="Times New Roman" w:hAnsi="仿宋" w:eastAsia="仿宋"/>
          <w:sz w:val="28"/>
          <w:szCs w:val="28"/>
        </w:rPr>
      </w:pPr>
      <w:bookmarkStart w:id="48" w:name="_Toc440162792"/>
      <w:bookmarkStart w:id="49" w:name="_Toc424164160"/>
      <w:bookmarkStart w:id="50" w:name="_Toc13392"/>
      <w:bookmarkStart w:id="51" w:name="_Toc35391901"/>
      <w:bookmarkStart w:id="52" w:name="_Toc3194"/>
      <w:r>
        <w:rPr>
          <w:rFonts w:hint="eastAsia" w:ascii="Times New Roman" w:hAnsi="仿宋" w:eastAsia="仿宋"/>
          <w:sz w:val="28"/>
          <w:szCs w:val="28"/>
        </w:rPr>
        <w:t>十、</w:t>
      </w:r>
      <w:bookmarkEnd w:id="48"/>
      <w:bookmarkEnd w:id="49"/>
      <w:r>
        <w:rPr>
          <w:rFonts w:hint="eastAsia" w:ascii="Times New Roman" w:hAnsi="仿宋" w:eastAsia="仿宋"/>
          <w:sz w:val="28"/>
          <w:szCs w:val="28"/>
        </w:rPr>
        <w:t>合同签订和履约担保</w:t>
      </w:r>
      <w:bookmarkEnd w:id="50"/>
      <w:bookmarkEnd w:id="51"/>
      <w:bookmarkEnd w:id="52"/>
    </w:p>
    <w:p w14:paraId="227BFFA8">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10.1 签订合同</w:t>
      </w:r>
    </w:p>
    <w:p w14:paraId="0A0B9CD6">
      <w:pPr>
        <w:autoSpaceDE w:val="0"/>
        <w:autoSpaceDN w:val="0"/>
        <w:spacing w:line="360" w:lineRule="auto"/>
        <w:ind w:firstLine="424" w:firstLineChars="176"/>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10.1.1合同签订时间期限：</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szCs w:val="22"/>
        </w:rPr>
        <w:t>；</w:t>
      </w:r>
    </w:p>
    <w:p w14:paraId="7A8C782F">
      <w:pPr>
        <w:autoSpaceDE w:val="0"/>
        <w:autoSpaceDN w:val="0"/>
        <w:spacing w:line="360" w:lineRule="auto"/>
        <w:ind w:firstLine="424" w:firstLineChars="176"/>
        <w:rPr>
          <w:rFonts w:hint="eastAsia" w:ascii="仿宋" w:hAnsi="仿宋" w:eastAsia="仿宋" w:cs="Arial"/>
          <w:color w:val="000000"/>
          <w:kern w:val="0"/>
          <w:sz w:val="24"/>
          <w:szCs w:val="22"/>
        </w:rPr>
      </w:pPr>
      <w:r>
        <w:rPr>
          <w:rFonts w:hint="eastAsia" w:ascii="仿宋" w:hAnsi="仿宋" w:eastAsia="仿宋" w:cs="Arial"/>
          <w:b/>
          <w:color w:val="000000"/>
          <w:kern w:val="0"/>
          <w:sz w:val="24"/>
          <w:szCs w:val="22"/>
        </w:rPr>
        <w:t>10.1.2成交供应商</w:t>
      </w:r>
      <w:r>
        <w:rPr>
          <w:rFonts w:ascii="仿宋" w:hAnsi="仿宋" w:eastAsia="仿宋" w:cs="Arial"/>
          <w:b/>
          <w:color w:val="000000"/>
          <w:kern w:val="0"/>
          <w:sz w:val="24"/>
          <w:szCs w:val="22"/>
        </w:rPr>
        <w:t>应</w:t>
      </w:r>
      <w:r>
        <w:rPr>
          <w:rFonts w:hint="eastAsia" w:ascii="仿宋" w:hAnsi="仿宋" w:eastAsia="仿宋" w:cs="Arial"/>
          <w:b/>
          <w:color w:val="000000"/>
          <w:kern w:val="0"/>
          <w:sz w:val="24"/>
          <w:szCs w:val="22"/>
        </w:rPr>
        <w:t>在《磋商须知前附表》中规定的时间内，</w:t>
      </w:r>
      <w:r>
        <w:rPr>
          <w:rFonts w:ascii="仿宋" w:hAnsi="仿宋" w:eastAsia="仿宋" w:cs="Arial"/>
          <w:b/>
          <w:color w:val="000000"/>
          <w:kern w:val="0"/>
          <w:sz w:val="24"/>
          <w:szCs w:val="22"/>
        </w:rPr>
        <w:t>与</w:t>
      </w:r>
      <w:r>
        <w:rPr>
          <w:rFonts w:hint="eastAsia" w:ascii="仿宋" w:hAnsi="仿宋" w:eastAsia="仿宋" w:cs="Arial"/>
          <w:b/>
          <w:color w:val="000000"/>
          <w:kern w:val="0"/>
          <w:sz w:val="24"/>
          <w:szCs w:val="22"/>
        </w:rPr>
        <w:t>采购人通过“政府采购云平台”</w:t>
      </w:r>
      <w:r>
        <w:rPr>
          <w:rFonts w:ascii="仿宋" w:hAnsi="仿宋" w:eastAsia="仿宋" w:cs="Arial"/>
          <w:b/>
          <w:color w:val="000000"/>
          <w:kern w:val="0"/>
          <w:sz w:val="24"/>
          <w:szCs w:val="22"/>
        </w:rPr>
        <w:t>签订</w:t>
      </w:r>
      <w:r>
        <w:rPr>
          <w:rFonts w:hint="eastAsia" w:ascii="仿宋" w:hAnsi="仿宋" w:eastAsia="仿宋" w:cs="Arial"/>
          <w:b/>
          <w:color w:val="000000"/>
          <w:kern w:val="0"/>
          <w:sz w:val="24"/>
          <w:szCs w:val="22"/>
        </w:rPr>
        <w:t>政府采购</w:t>
      </w:r>
      <w:r>
        <w:rPr>
          <w:rFonts w:ascii="仿宋" w:hAnsi="仿宋" w:eastAsia="仿宋" w:cs="Arial"/>
          <w:b/>
          <w:color w:val="000000"/>
          <w:kern w:val="0"/>
          <w:sz w:val="24"/>
          <w:szCs w:val="22"/>
        </w:rPr>
        <w:t>合同。</w:t>
      </w:r>
      <w:r>
        <w:rPr>
          <w:rFonts w:hint="eastAsia" w:ascii="仿宋" w:hAnsi="仿宋" w:eastAsia="仿宋" w:cs="Arial"/>
          <w:color w:val="000000"/>
          <w:kern w:val="0"/>
          <w:sz w:val="24"/>
          <w:szCs w:val="22"/>
        </w:rPr>
        <w:t>所签订的合同不得对竞争性磋商文件确定的事项和成交供应商磋商响应文件作实质性修改。</w:t>
      </w:r>
    </w:p>
    <w:p w14:paraId="79EB96FC">
      <w:pPr>
        <w:autoSpaceDE w:val="0"/>
        <w:autoSpaceDN w:val="0"/>
        <w:spacing w:line="360" w:lineRule="auto"/>
        <w:ind w:firstLine="424" w:firstLineChars="176"/>
        <w:rPr>
          <w:rFonts w:hint="eastAsia" w:ascii="仿宋" w:hAnsi="仿宋" w:eastAsia="仿宋" w:cs="Arial"/>
          <w:color w:val="000000"/>
          <w:kern w:val="0"/>
          <w:sz w:val="24"/>
          <w:szCs w:val="22"/>
        </w:rPr>
      </w:pPr>
      <w:r>
        <w:rPr>
          <w:rFonts w:hint="eastAsia" w:ascii="仿宋" w:hAnsi="仿宋" w:eastAsia="仿宋" w:cs="Arial"/>
          <w:b/>
          <w:color w:val="000000"/>
          <w:sz w:val="24"/>
          <w:szCs w:val="22"/>
        </w:rPr>
        <w:t>10.1.3</w:t>
      </w:r>
      <w:r>
        <w:rPr>
          <w:rFonts w:hint="eastAsia" w:ascii="仿宋" w:hAnsi="仿宋" w:eastAsia="仿宋" w:cs="Arial"/>
          <w:b/>
          <w:color w:val="000000"/>
          <w:kern w:val="0"/>
          <w:sz w:val="24"/>
          <w:szCs w:val="22"/>
        </w:rPr>
        <w:t>成交供应商</w:t>
      </w:r>
      <w:r>
        <w:rPr>
          <w:rFonts w:hint="eastAsia" w:ascii="仿宋" w:hAnsi="仿宋" w:eastAsia="仿宋" w:cs="Arial"/>
          <w:b/>
          <w:color w:val="000000"/>
          <w:sz w:val="24"/>
          <w:szCs w:val="22"/>
        </w:rPr>
        <w:t>拒绝与采购人签订合同的</w:t>
      </w:r>
      <w:r>
        <w:rPr>
          <w:rFonts w:ascii="仿宋" w:hAnsi="仿宋" w:eastAsia="仿宋" w:cs="Arial"/>
          <w:b/>
          <w:color w:val="000000"/>
          <w:kern w:val="0"/>
          <w:sz w:val="24"/>
          <w:szCs w:val="22"/>
        </w:rPr>
        <w:t>，</w:t>
      </w:r>
      <w:r>
        <w:rPr>
          <w:rFonts w:hint="eastAsia" w:ascii="仿宋" w:hAnsi="仿宋" w:eastAsia="仿宋"/>
          <w:b/>
          <w:color w:val="000000"/>
          <w:sz w:val="24"/>
        </w:rPr>
        <w:t>采购人、采购代理机构将对其失信行为上报至同级政府采购监督管理部门对其依法处理。</w:t>
      </w:r>
    </w:p>
    <w:p w14:paraId="5E0C41BF">
      <w:pPr>
        <w:autoSpaceDE w:val="0"/>
        <w:autoSpaceDN w:val="0"/>
        <w:spacing w:line="360" w:lineRule="auto"/>
        <w:ind w:firstLine="424" w:firstLineChars="176"/>
        <w:rPr>
          <w:rFonts w:hint="eastAsia" w:ascii="仿宋" w:hAnsi="仿宋" w:eastAsia="仿宋" w:cs="Arial"/>
          <w:b/>
          <w:color w:val="000000"/>
          <w:sz w:val="24"/>
          <w:szCs w:val="22"/>
        </w:rPr>
      </w:pPr>
      <w:r>
        <w:rPr>
          <w:rFonts w:hint="eastAsia" w:ascii="仿宋" w:hAnsi="仿宋" w:eastAsia="仿宋" w:cs="Arial"/>
          <w:b/>
          <w:color w:val="000000"/>
          <w:kern w:val="0"/>
          <w:sz w:val="24"/>
          <w:szCs w:val="22"/>
        </w:rPr>
        <w:t>10.1</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4原</w:t>
      </w:r>
      <w:r>
        <w:rPr>
          <w:rFonts w:hint="eastAsia" w:ascii="仿宋" w:hAnsi="仿宋" w:eastAsia="仿宋" w:cs="Arial"/>
          <w:b/>
          <w:color w:val="000000"/>
          <w:sz w:val="24"/>
          <w:szCs w:val="22"/>
        </w:rPr>
        <w:t>成交供应商拒绝与采购人签订合同后，采购人可以按照评审报告推荐的成交候选人名单排序，确定下一候选人为成交供应商，也可以重新开展政府采购活动。</w:t>
      </w:r>
    </w:p>
    <w:p w14:paraId="17433480">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10.2 履约担保（履约保证金）</w:t>
      </w:r>
    </w:p>
    <w:p w14:paraId="0841CC80">
      <w:pPr>
        <w:autoSpaceDE w:val="0"/>
        <w:autoSpaceDN w:val="0"/>
        <w:spacing w:line="360" w:lineRule="auto"/>
        <w:ind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10.2.1履约担保递交要求：</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szCs w:val="22"/>
        </w:rPr>
        <w:t>；成交供应商应递交而未递交</w:t>
      </w:r>
      <w:r>
        <w:rPr>
          <w:rFonts w:ascii="仿宋" w:hAnsi="仿宋" w:eastAsia="仿宋" w:cs="Arial"/>
          <w:b/>
          <w:color w:val="000000"/>
          <w:kern w:val="0"/>
          <w:sz w:val="24"/>
          <w:szCs w:val="22"/>
        </w:rPr>
        <w:t>履约</w:t>
      </w:r>
      <w:r>
        <w:rPr>
          <w:rFonts w:hint="eastAsia" w:ascii="仿宋" w:hAnsi="仿宋" w:eastAsia="仿宋" w:cs="Arial"/>
          <w:b/>
          <w:color w:val="000000"/>
          <w:kern w:val="0"/>
          <w:sz w:val="24"/>
          <w:szCs w:val="22"/>
        </w:rPr>
        <w:t>担保的</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合同款不予支付、合同验收不予通过。</w:t>
      </w:r>
    </w:p>
    <w:p w14:paraId="5F4EEE3D">
      <w:pPr>
        <w:autoSpaceDE w:val="0"/>
        <w:autoSpaceDN w:val="0"/>
        <w:spacing w:line="360" w:lineRule="auto"/>
        <w:ind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10.2.2采购合同签订后，成交供应商不按合同约定履约的，采购人可以解除采购合同，并对成交供应商已缴纳的履约保证金作“不予退还”处理。同时，成交供应商还须按以下约定向采购人支付违约金、承担违约责任：</w:t>
      </w:r>
    </w:p>
    <w:p w14:paraId="72168CA6">
      <w:pPr>
        <w:autoSpaceDE w:val="0"/>
        <w:autoSpaceDN w:val="0"/>
        <w:spacing w:line="360" w:lineRule="auto"/>
        <w:ind w:firstLine="422" w:firstLineChars="176"/>
        <w:rPr>
          <w:rFonts w:hint="eastAsia" w:ascii="仿宋" w:hAnsi="仿宋" w:eastAsia="仿宋" w:cs="Arial"/>
          <w:color w:val="000000"/>
          <w:kern w:val="0"/>
          <w:sz w:val="24"/>
        </w:rPr>
      </w:pPr>
      <w:r>
        <w:rPr>
          <w:rFonts w:hint="eastAsia" w:ascii="仿宋" w:hAnsi="仿宋" w:eastAsia="仿宋" w:cs="Arial"/>
          <w:color w:val="000000"/>
          <w:kern w:val="0"/>
          <w:sz w:val="24"/>
        </w:rPr>
        <w:t>（1）采购人已向</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支付了合同款的，</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须一次性退还采购人已支付的合同款，并向采购人支付等额违约金；</w:t>
      </w:r>
    </w:p>
    <w:p w14:paraId="661EAB1F">
      <w:pPr>
        <w:autoSpaceDE w:val="0"/>
        <w:autoSpaceDN w:val="0"/>
        <w:spacing w:line="360" w:lineRule="auto"/>
        <w:ind w:firstLine="424" w:firstLineChars="177"/>
        <w:rPr>
          <w:rFonts w:hint="eastAsia" w:ascii="仿宋" w:hAnsi="仿宋" w:eastAsia="仿宋" w:cs="Arial"/>
          <w:b/>
          <w:color w:val="000000"/>
          <w:kern w:val="0"/>
          <w:sz w:val="24"/>
          <w:szCs w:val="22"/>
        </w:rPr>
      </w:pPr>
      <w:r>
        <w:rPr>
          <w:rFonts w:hint="eastAsia" w:ascii="仿宋" w:hAnsi="仿宋" w:eastAsia="仿宋" w:cs="Arial"/>
          <w:color w:val="000000"/>
          <w:kern w:val="0"/>
          <w:sz w:val="24"/>
        </w:rPr>
        <w:t>（2）采购人还未向</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支付合同款的，</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须一次性向采购人支付合同总额30%的违约金。</w:t>
      </w:r>
    </w:p>
    <w:p w14:paraId="4197B6FA">
      <w:pPr>
        <w:autoSpaceDE w:val="0"/>
        <w:autoSpaceDN w:val="0"/>
        <w:spacing w:line="360" w:lineRule="auto"/>
        <w:ind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10.2</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3</w:t>
      </w:r>
      <w:r>
        <w:rPr>
          <w:rFonts w:ascii="仿宋" w:hAnsi="仿宋" w:eastAsia="仿宋" w:cs="Arial"/>
          <w:b/>
          <w:color w:val="000000"/>
          <w:kern w:val="0"/>
          <w:sz w:val="24"/>
          <w:szCs w:val="22"/>
        </w:rPr>
        <w:t>履约保证金在</w:t>
      </w:r>
      <w:r>
        <w:rPr>
          <w:rFonts w:hint="eastAsia" w:ascii="仿宋" w:hAnsi="仿宋" w:eastAsia="仿宋" w:cs="Arial"/>
          <w:b/>
          <w:color w:val="000000"/>
          <w:kern w:val="0"/>
          <w:sz w:val="24"/>
          <w:szCs w:val="22"/>
        </w:rPr>
        <w:t>成交供应商</w:t>
      </w:r>
      <w:r>
        <w:rPr>
          <w:rFonts w:ascii="仿宋" w:hAnsi="仿宋" w:eastAsia="仿宋" w:cs="Arial"/>
          <w:b/>
          <w:color w:val="000000"/>
          <w:kern w:val="0"/>
          <w:sz w:val="24"/>
          <w:szCs w:val="22"/>
        </w:rPr>
        <w:t>按</w:t>
      </w:r>
      <w:r>
        <w:rPr>
          <w:rFonts w:hint="eastAsia" w:ascii="仿宋" w:hAnsi="仿宋" w:eastAsia="仿宋" w:cs="Arial"/>
          <w:b/>
          <w:color w:val="000000"/>
          <w:kern w:val="0"/>
          <w:sz w:val="24"/>
          <w:szCs w:val="22"/>
        </w:rPr>
        <w:t>约定履约完毕后退还（具体退还方式以合同签订时约定为准）</w:t>
      </w:r>
      <w:r>
        <w:rPr>
          <w:rFonts w:ascii="仿宋" w:hAnsi="仿宋" w:eastAsia="仿宋" w:cs="Arial"/>
          <w:b/>
          <w:color w:val="000000"/>
          <w:kern w:val="0"/>
          <w:sz w:val="24"/>
          <w:szCs w:val="22"/>
        </w:rPr>
        <w:t>。</w:t>
      </w:r>
    </w:p>
    <w:p w14:paraId="7453722E">
      <w:pPr>
        <w:keepNext/>
        <w:keepLines/>
        <w:autoSpaceDE w:val="0"/>
        <w:autoSpaceDN w:val="0"/>
        <w:spacing w:before="72" w:beforeLines="30" w:after="72"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10.3合同款支付方式等</w:t>
      </w:r>
    </w:p>
    <w:p w14:paraId="405034FD">
      <w:pPr>
        <w:autoSpaceDE w:val="0"/>
        <w:autoSpaceDN w:val="0"/>
        <w:spacing w:line="360" w:lineRule="auto"/>
        <w:ind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10.3.1合同款支付方式：</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600DA580">
      <w:pPr>
        <w:autoSpaceDE w:val="0"/>
        <w:autoSpaceDN w:val="0"/>
        <w:spacing w:line="360" w:lineRule="auto"/>
        <w:ind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10.3.2质量保证金：</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0693064E">
      <w:pPr>
        <w:autoSpaceDE w:val="0"/>
        <w:autoSpaceDN w:val="0"/>
        <w:spacing w:line="360" w:lineRule="auto"/>
        <w:ind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10.3.3施工用水电费：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516599E7">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10.4预付款担保</w:t>
      </w:r>
    </w:p>
    <w:p w14:paraId="41CE1C44">
      <w:pPr>
        <w:autoSpaceDE w:val="0"/>
        <w:autoSpaceDN w:val="0"/>
        <w:spacing w:line="360" w:lineRule="auto"/>
        <w:ind w:firstLine="426" w:firstLineChars="177"/>
        <w:rPr>
          <w:rFonts w:hint="eastAsia" w:ascii="仿宋" w:hAnsi="仿宋" w:eastAsia="仿宋" w:cs="Arial"/>
          <w:b/>
          <w:color w:val="000000"/>
          <w:kern w:val="0"/>
          <w:sz w:val="24"/>
          <w:szCs w:val="22"/>
        </w:rPr>
      </w:pPr>
      <w:r>
        <w:rPr>
          <w:rFonts w:hint="eastAsia" w:ascii="仿宋" w:hAnsi="仿宋" w:eastAsia="仿宋" w:cs="Arial"/>
          <w:b/>
          <w:color w:val="000000"/>
          <w:kern w:val="0"/>
          <w:sz w:val="24"/>
          <w:szCs w:val="22"/>
        </w:rPr>
        <w:t>预付款担保：见《磋商须知前附表》。</w:t>
      </w:r>
    </w:p>
    <w:p w14:paraId="1B1F4561">
      <w:pPr>
        <w:pStyle w:val="3"/>
        <w:autoSpaceDE w:val="0"/>
        <w:autoSpaceDN w:val="0"/>
        <w:spacing w:before="360"/>
        <w:ind w:firstLine="281" w:firstLineChars="100"/>
        <w:rPr>
          <w:rFonts w:hint="eastAsia" w:ascii="Times New Roman" w:hAnsi="仿宋" w:eastAsia="仿宋"/>
          <w:sz w:val="28"/>
          <w:szCs w:val="28"/>
        </w:rPr>
      </w:pPr>
      <w:bookmarkStart w:id="53" w:name="_Toc35391902"/>
      <w:bookmarkStart w:id="54" w:name="_Toc10396"/>
      <w:bookmarkStart w:id="55" w:name="_Toc30494"/>
      <w:r>
        <w:rPr>
          <w:rFonts w:hint="eastAsia" w:ascii="Times New Roman" w:hAnsi="仿宋" w:eastAsia="仿宋"/>
          <w:sz w:val="28"/>
          <w:szCs w:val="28"/>
        </w:rPr>
        <w:t>十一、其他事项说明</w:t>
      </w:r>
      <w:bookmarkEnd w:id="53"/>
      <w:bookmarkEnd w:id="54"/>
      <w:bookmarkEnd w:id="55"/>
    </w:p>
    <w:p w14:paraId="19B56A90">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11.1 中小企业信用融资</w:t>
      </w:r>
    </w:p>
    <w:p w14:paraId="5FC5E55C">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sz w:val="24"/>
          <w:szCs w:val="20"/>
        </w:rPr>
        <w:t>11.1.1中小企业融资相关规定：</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45FCEC76">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11.2 重要提醒</w:t>
      </w:r>
    </w:p>
    <w:p w14:paraId="1308563E">
      <w:pPr>
        <w:autoSpaceDE w:val="0"/>
        <w:autoSpaceDN w:val="0"/>
        <w:spacing w:line="360" w:lineRule="auto"/>
        <w:ind w:firstLine="426" w:firstLineChars="177"/>
        <w:rPr>
          <w:rFonts w:hint="eastAsia" w:ascii="仿宋" w:hAnsi="仿宋" w:eastAsia="仿宋"/>
          <w:b/>
          <w:color w:val="000000"/>
          <w:kern w:val="0"/>
          <w:sz w:val="24"/>
          <w:szCs w:val="20"/>
        </w:rPr>
      </w:pPr>
      <w:r>
        <w:rPr>
          <w:rFonts w:hint="eastAsia" w:ascii="仿宋" w:hAnsi="仿宋" w:eastAsia="仿宋"/>
          <w:b/>
          <w:sz w:val="24"/>
          <w:szCs w:val="20"/>
        </w:rPr>
        <w:t>11.2.1磋商重要提醒：</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41E1472A">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11.3 竞争性磋商文件解释权</w:t>
      </w:r>
    </w:p>
    <w:p w14:paraId="7A73EA66">
      <w:pPr>
        <w:autoSpaceDE w:val="0"/>
        <w:autoSpaceDN w:val="0"/>
        <w:spacing w:line="360" w:lineRule="auto"/>
        <w:ind w:firstLine="426" w:firstLineChars="177"/>
        <w:rPr>
          <w:rFonts w:ascii="Calibri" w:hAnsi="Calibri"/>
          <w:sz w:val="24"/>
          <w:szCs w:val="20"/>
        </w:rPr>
      </w:pPr>
      <w:r>
        <w:rPr>
          <w:rFonts w:hint="eastAsia" w:ascii="仿宋" w:hAnsi="仿宋" w:eastAsia="仿宋"/>
          <w:b/>
          <w:color w:val="000000"/>
          <w:kern w:val="0"/>
          <w:sz w:val="24"/>
          <w:szCs w:val="20"/>
        </w:rPr>
        <w:t>11.3.1竞争性磋商文件解释权：</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14:paraId="102C5527">
      <w:pPr>
        <w:pStyle w:val="69"/>
        <w:sectPr>
          <w:headerReference r:id="rId9" w:type="first"/>
          <w:footerReference r:id="rId11" w:type="first"/>
          <w:footerReference r:id="rId10" w:type="default"/>
          <w:pgSz w:w="11906" w:h="16838"/>
          <w:pgMar w:top="1418" w:right="1191" w:bottom="1418" w:left="1191" w:header="850" w:footer="680" w:gutter="0"/>
          <w:pgBorders>
            <w:top w:val="none" w:sz="0" w:space="0"/>
            <w:left w:val="none" w:sz="0" w:space="0"/>
            <w:bottom w:val="none" w:sz="0" w:space="0"/>
            <w:right w:val="none" w:sz="0" w:space="0"/>
          </w:pgBorders>
          <w:pgNumType w:fmt="decimal" w:start="1"/>
          <w:cols w:space="720" w:num="1"/>
          <w:titlePg/>
          <w:docGrid w:linePitch="286" w:charSpace="-3831"/>
        </w:sectPr>
      </w:pPr>
    </w:p>
    <w:p w14:paraId="75DE15F6">
      <w:pPr>
        <w:pStyle w:val="2"/>
        <w:autoSpaceDE w:val="0"/>
        <w:autoSpaceDN w:val="0"/>
        <w:spacing w:before="240"/>
        <w:rPr>
          <w:rFonts w:eastAsia="华文中宋"/>
          <w:bCs/>
          <w:kern w:val="44"/>
          <w:sz w:val="44"/>
          <w:szCs w:val="44"/>
        </w:rPr>
      </w:pPr>
      <w:bookmarkStart w:id="56" w:name="_Toc31970"/>
      <w:bookmarkStart w:id="57" w:name="_Toc29638"/>
      <w:r>
        <w:rPr>
          <w:rFonts w:eastAsia="华文中宋"/>
          <w:bCs/>
          <w:kern w:val="44"/>
          <w:sz w:val="44"/>
          <w:szCs w:val="44"/>
        </w:rPr>
        <w:t xml:space="preserve">第四章  </w:t>
      </w:r>
      <w:bookmarkEnd w:id="38"/>
      <w:bookmarkEnd w:id="39"/>
      <w:r>
        <w:rPr>
          <w:rFonts w:hint="eastAsia" w:eastAsia="华文中宋"/>
          <w:bCs/>
          <w:kern w:val="44"/>
          <w:sz w:val="44"/>
          <w:szCs w:val="44"/>
        </w:rPr>
        <w:t>采购内容及技术要求</w:t>
      </w:r>
      <w:bookmarkEnd w:id="56"/>
      <w:bookmarkEnd w:id="57"/>
    </w:p>
    <w:p w14:paraId="21964C60">
      <w:pPr>
        <w:pStyle w:val="3"/>
        <w:autoSpaceDE w:val="0"/>
        <w:autoSpaceDN w:val="0"/>
        <w:spacing w:beforeLines="0"/>
        <w:ind w:firstLine="0" w:firstLineChars="0"/>
        <w:rPr>
          <w:rFonts w:hint="eastAsia" w:ascii="Arial" w:hAnsi="仿宋" w:eastAsia="仿宋" w:cs="Times New Roman"/>
          <w:sz w:val="24"/>
          <w:szCs w:val="32"/>
        </w:rPr>
      </w:pPr>
      <w:bookmarkStart w:id="58" w:name="_Toc10492"/>
      <w:bookmarkStart w:id="59" w:name="_Toc420505109"/>
      <w:bookmarkStart w:id="60" w:name="_Toc442102512"/>
      <w:bookmarkStart w:id="61" w:name="_Toc16326"/>
      <w:bookmarkStart w:id="62" w:name="_Toc57713377"/>
      <w:r>
        <w:rPr>
          <w:rFonts w:hint="eastAsia" w:ascii="Arial" w:hAnsi="仿宋" w:eastAsia="仿宋" w:cs="Times New Roman"/>
          <w:b/>
          <w:sz w:val="24"/>
          <w:szCs w:val="32"/>
        </w:rPr>
        <w:t>一、工程概况</w:t>
      </w:r>
      <w:bookmarkEnd w:id="58"/>
    </w:p>
    <w:bookmarkEnd w:id="59"/>
    <w:bookmarkEnd w:id="60"/>
    <w:bookmarkEnd w:id="61"/>
    <w:bookmarkEnd w:id="62"/>
    <w:p w14:paraId="4847A48D">
      <w:pPr>
        <w:autoSpaceDE w:val="0"/>
        <w:autoSpaceDN w:val="0"/>
        <w:adjustRightInd w:val="0"/>
        <w:snapToGrid w:val="0"/>
        <w:spacing w:line="360" w:lineRule="auto"/>
        <w:ind w:firstLine="420"/>
        <w:rPr>
          <w:rFonts w:hint="eastAsia" w:ascii="仿宋" w:hAnsi="仿宋" w:eastAsia="仿宋" w:cs="仿宋"/>
          <w:b/>
          <w:bCs/>
          <w:sz w:val="24"/>
          <w:lang w:val="en-US" w:eastAsia="zh-CN"/>
        </w:rPr>
      </w:pPr>
      <w:bookmarkStart w:id="63" w:name="_Hlk167348722"/>
      <w:bookmarkStart w:id="64" w:name="_Toc57713378"/>
      <w:r>
        <w:rPr>
          <w:rFonts w:hint="eastAsia" w:ascii="仿宋" w:hAnsi="仿宋" w:eastAsia="仿宋" w:cs="仿宋"/>
          <w:b/>
          <w:bCs/>
          <w:sz w:val="24"/>
          <w:lang w:val="en-US" w:eastAsia="zh-CN"/>
        </w:rPr>
        <w:t>1.1 工程背景</w:t>
      </w:r>
    </w:p>
    <w:p w14:paraId="0B024600">
      <w:pPr>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lang w:eastAsia="zh-CN"/>
        </w:rPr>
        <w:t>浙江工商大学教工路校区学生宿舍建设工程附属配电房移位改造工程（EPC）</w:t>
      </w:r>
      <w:r>
        <w:rPr>
          <w:rFonts w:hint="eastAsia" w:ascii="仿宋" w:hAnsi="仿宋" w:eastAsia="仿宋" w:cs="仿宋"/>
          <w:sz w:val="24"/>
        </w:rPr>
        <w:t>位于</w:t>
      </w:r>
      <w:r>
        <w:rPr>
          <w:rFonts w:hint="eastAsia" w:ascii="仿宋" w:hAnsi="仿宋" w:eastAsia="仿宋" w:cs="仿宋"/>
          <w:sz w:val="24"/>
          <w:lang w:eastAsia="zh-CN"/>
        </w:rPr>
        <w:t>杭州市西湖区教工路198号</w:t>
      </w:r>
      <w:r>
        <w:rPr>
          <w:rFonts w:hint="eastAsia" w:ascii="仿宋" w:hAnsi="仿宋" w:eastAsia="仿宋" w:cs="仿宋"/>
          <w:sz w:val="24"/>
        </w:rPr>
        <w:t>内，</w:t>
      </w:r>
      <w:r>
        <w:rPr>
          <w:rFonts w:hint="eastAsia" w:ascii="仿宋" w:hAnsi="仿宋" w:eastAsia="仿宋" w:cs="仿宋"/>
          <w:sz w:val="24"/>
          <w:lang w:val="en-US" w:eastAsia="zh-CN"/>
        </w:rPr>
        <w:t>因教工路校区东区拟新建学生宿舍，其所占位置有1座10kV高配房，需腾空并将该高配房移位至教工路校区中区西侧（已有建筑），移位后，进行改造及增容扩容和设备升级。</w:t>
      </w:r>
    </w:p>
    <w:bookmarkEnd w:id="63"/>
    <w:bookmarkEnd w:id="64"/>
    <w:p w14:paraId="71441B67">
      <w:pPr>
        <w:adjustRightInd w:val="0"/>
        <w:snapToGrid w:val="0"/>
        <w:spacing w:line="360" w:lineRule="auto"/>
        <w:ind w:firstLine="420"/>
        <w:rPr>
          <w:rFonts w:hint="eastAsia" w:ascii="仿宋" w:hAnsi="仿宋" w:eastAsia="仿宋" w:cs="仿宋"/>
          <w:b/>
          <w:bCs/>
          <w:sz w:val="24"/>
          <w:lang w:val="en-US" w:eastAsia="zh-CN"/>
        </w:rPr>
      </w:pPr>
      <w:r>
        <w:rPr>
          <w:rFonts w:hint="eastAsia" w:ascii="仿宋" w:hAnsi="仿宋" w:eastAsia="仿宋" w:cs="仿宋"/>
          <w:b/>
          <w:bCs/>
          <w:sz w:val="24"/>
          <w:lang w:val="en-US" w:eastAsia="zh-CN"/>
        </w:rPr>
        <w:t>1.2 工程目标</w:t>
      </w:r>
    </w:p>
    <w:p w14:paraId="46ACB736">
      <w:pPr>
        <w:autoSpaceDE w:val="0"/>
        <w:autoSpaceDN w:val="0"/>
        <w:adjustRightInd w:val="0"/>
        <w:snapToGrid w:val="0"/>
        <w:spacing w:line="360" w:lineRule="auto"/>
        <w:ind w:firstLine="420"/>
        <w:rPr>
          <w:rFonts w:hint="default" w:ascii="仿宋" w:hAnsi="仿宋" w:eastAsia="仿宋" w:cs="仿宋"/>
          <w:sz w:val="24"/>
          <w:lang w:val="en-US" w:eastAsia="zh-CN"/>
        </w:rPr>
      </w:pPr>
      <w:bookmarkStart w:id="65" w:name="_Toc16853"/>
      <w:r>
        <w:rPr>
          <w:rFonts w:hint="eastAsia" w:ascii="仿宋" w:hAnsi="仿宋" w:eastAsia="仿宋" w:cs="仿宋"/>
          <w:sz w:val="24"/>
          <w:lang w:val="en-US" w:eastAsia="zh-CN"/>
        </w:rPr>
        <w:t>1.2.1 腾清现有10kV高配房位置，为后续新建学生宿舍预留建设场地；</w:t>
      </w:r>
    </w:p>
    <w:p w14:paraId="22354D60">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1.2.2 增加供电容量，满足新增宿舍楼及现有的电力需求，确保供电稳定可靠，预留后续稻盛工程所需的出线间隔；</w:t>
      </w:r>
    </w:p>
    <w:p w14:paraId="45BB6343">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1.2.3 提升10kV配电房的进线电缆容量，优化供电网络布局，降低线路损耗，提高电能质量，使电压波动控制在规定范围内；</w:t>
      </w:r>
    </w:p>
    <w:p w14:paraId="3C68D2C1">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1.2.4 按照现代化校园建设标准，配备智慧监测平台，实现对高配设备的远程实时监控与管理。</w:t>
      </w:r>
    </w:p>
    <w:p w14:paraId="57DB9921">
      <w:pPr>
        <w:adjustRightInd w:val="0"/>
        <w:snapToGrid w:val="0"/>
        <w:spacing w:line="360" w:lineRule="auto"/>
        <w:ind w:firstLine="420"/>
        <w:rPr>
          <w:rFonts w:hint="eastAsia" w:ascii="仿宋" w:hAnsi="仿宋" w:eastAsia="仿宋" w:cs="仿宋"/>
          <w:b/>
          <w:bCs/>
          <w:sz w:val="24"/>
          <w:lang w:val="en-US" w:eastAsia="zh-CN"/>
        </w:rPr>
      </w:pPr>
      <w:r>
        <w:rPr>
          <w:rFonts w:hint="eastAsia" w:ascii="仿宋" w:hAnsi="仿宋" w:eastAsia="仿宋" w:cs="仿宋"/>
          <w:b/>
          <w:bCs/>
          <w:sz w:val="24"/>
          <w:lang w:val="en-US" w:eastAsia="zh-CN"/>
        </w:rPr>
        <w:t>1.3 现状评估</w:t>
      </w:r>
    </w:p>
    <w:p w14:paraId="7F17B48A">
      <w:pPr>
        <w:autoSpaceDE w:val="0"/>
        <w:autoSpaceDN w:val="0"/>
        <w:adjustRightInd w:val="0"/>
        <w:snapToGrid w:val="0"/>
        <w:spacing w:line="360" w:lineRule="auto"/>
        <w:ind w:firstLine="420"/>
        <w:rPr>
          <w:rFonts w:hint="eastAsia" w:ascii="仿宋" w:hAnsi="仿宋" w:eastAsia="仿宋" w:cs="仿宋"/>
          <w:b/>
          <w:bCs/>
          <w:sz w:val="24"/>
          <w:lang w:val="en-US" w:eastAsia="zh-CN"/>
        </w:rPr>
      </w:pPr>
      <w:r>
        <w:rPr>
          <w:rFonts w:hint="eastAsia" w:ascii="仿宋" w:hAnsi="仿宋" w:eastAsia="仿宋" w:cs="仿宋"/>
          <w:b/>
          <w:bCs/>
          <w:sz w:val="24"/>
          <w:lang w:val="en-US" w:eastAsia="zh-CN"/>
        </w:rPr>
        <w:t>1.3.1 原高配设施位置分析</w:t>
      </w:r>
    </w:p>
    <w:p w14:paraId="1A138AC8">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①原高配房位于教工路校区东区西南角，位于拟新建学生宿舍区地块，且高配房内部空间狭小，内部开关柜已占满整个高配房，无可拓展空间。</w:t>
      </w:r>
    </w:p>
    <w:p w14:paraId="2C9C7056">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②该区域地下管线复杂，与新规划的校园综合管网冲突，改造难度极大，安全隐患高。</w:t>
      </w:r>
    </w:p>
    <w:p w14:paraId="3A760279">
      <w:pPr>
        <w:autoSpaceDE w:val="0"/>
        <w:autoSpaceDN w:val="0"/>
        <w:adjustRightInd w:val="0"/>
        <w:snapToGrid w:val="0"/>
        <w:spacing w:line="360" w:lineRule="auto"/>
        <w:ind w:firstLine="420"/>
        <w:rPr>
          <w:rFonts w:hint="eastAsia" w:ascii="仿宋" w:hAnsi="仿宋" w:eastAsia="仿宋" w:cs="仿宋"/>
          <w:b/>
          <w:bCs/>
          <w:sz w:val="24"/>
          <w:lang w:val="en-US" w:eastAsia="zh-CN"/>
        </w:rPr>
      </w:pPr>
      <w:r>
        <w:rPr>
          <w:rFonts w:hint="eastAsia" w:ascii="仿宋" w:hAnsi="仿宋" w:eastAsia="仿宋" w:cs="仿宋"/>
          <w:b/>
          <w:bCs/>
          <w:sz w:val="24"/>
          <w:lang w:val="en-US" w:eastAsia="zh-CN"/>
        </w:rPr>
        <w:t>1.3.2 现有设备运行状况</w:t>
      </w:r>
    </w:p>
    <w:p w14:paraId="0285E4FF">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①现开闭所共有10台环网柜，柜型为ABB的Unisec柜，深度1070mm，共有4台出线柜，出线为1#东校变（1000kVA）、2#化校变1250kVA、3#煤校变1250kVA、4#生活变1250kVA，其中化校变和煤校变位于中部校区，生活变和东校变位于东部校区；</w:t>
      </w:r>
    </w:p>
    <w:p w14:paraId="20885583">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②现开闭所中的环网柜为一列布置，总长度5625mm，开闭所内部空间6.5米*3.6米，无扩展空间；</w:t>
      </w:r>
    </w:p>
    <w:p w14:paraId="28547F84">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③配套的总进线电力线缆线径过小，无法在长期高负荷状态下安全运行，难以满足后续用电及增容要求。</w:t>
      </w:r>
    </w:p>
    <w:p w14:paraId="75209244">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④原旧高配房内的10kV设备无法进行分割成两排，无法适配新选址的高配房两列布置的需求；</w:t>
      </w:r>
    </w:p>
    <w:p w14:paraId="0CED09F2">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⑤原旧高配房内的10kV设备尺寸过大，新高配房内无法容纳后续增容设备；</w:t>
      </w:r>
    </w:p>
    <w:p w14:paraId="4D1A7740">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⑥原旧高配房内的10kV设备无法进行智能化的改造。</w:t>
      </w:r>
    </w:p>
    <w:p w14:paraId="6743B343">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⑦使用旧柜涉及工序过多，需返厂改造，停电时间较长，且校区内各关联单位过多，无法实现短时间的停电。</w:t>
      </w:r>
    </w:p>
    <w:p w14:paraId="203D5186">
      <w:pPr>
        <w:autoSpaceDE w:val="0"/>
        <w:autoSpaceDN w:val="0"/>
        <w:adjustRightInd w:val="0"/>
        <w:snapToGrid w:val="0"/>
        <w:spacing w:line="360" w:lineRule="auto"/>
        <w:ind w:firstLine="420"/>
        <w:rPr>
          <w:rFonts w:hint="default" w:ascii="仿宋" w:hAnsi="仿宋" w:eastAsia="仿宋" w:cs="仿宋"/>
          <w:b/>
          <w:bCs/>
          <w:sz w:val="24"/>
          <w:lang w:val="en-US" w:eastAsia="zh-CN"/>
        </w:rPr>
      </w:pPr>
      <w:r>
        <w:rPr>
          <w:rFonts w:hint="eastAsia" w:ascii="仿宋" w:hAnsi="仿宋" w:eastAsia="仿宋" w:cs="仿宋"/>
          <w:b/>
          <w:bCs/>
          <w:sz w:val="24"/>
          <w:lang w:val="en-US" w:eastAsia="zh-CN"/>
        </w:rPr>
        <w:t>1.3.3 增容需求</w:t>
      </w:r>
    </w:p>
    <w:p w14:paraId="6EC667E5">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本次新增2路1000kVA学生宿舍负荷出线，后续计划新增2路</w:t>
      </w:r>
      <w:r>
        <w:rPr>
          <w:rFonts w:hint="eastAsia" w:ascii="仿宋" w:hAnsi="仿宋" w:eastAsia="仿宋" w:cs="仿宋"/>
          <w:color w:val="auto"/>
          <w:sz w:val="24"/>
          <w:lang w:val="en-US" w:eastAsia="zh-CN"/>
        </w:rPr>
        <w:t>1600kVA稻盛工程</w:t>
      </w:r>
      <w:r>
        <w:rPr>
          <w:rFonts w:hint="eastAsia" w:ascii="仿宋" w:hAnsi="仿宋" w:eastAsia="仿宋" w:cs="仿宋"/>
          <w:sz w:val="24"/>
          <w:lang w:val="en-US" w:eastAsia="zh-CN"/>
        </w:rPr>
        <w:t>出线回路。</w:t>
      </w:r>
    </w:p>
    <w:p w14:paraId="3D6BE7D2">
      <w:pPr>
        <w:adjustRightInd w:val="0"/>
        <w:snapToGrid w:val="0"/>
        <w:spacing w:line="360" w:lineRule="auto"/>
        <w:ind w:firstLine="420"/>
        <w:rPr>
          <w:rFonts w:hint="eastAsia" w:ascii="仿宋" w:hAnsi="仿宋" w:eastAsia="仿宋" w:cs="仿宋"/>
          <w:b/>
          <w:bCs/>
          <w:sz w:val="24"/>
          <w:lang w:val="en-US" w:eastAsia="zh-CN"/>
        </w:rPr>
      </w:pPr>
      <w:r>
        <w:rPr>
          <w:rFonts w:hint="eastAsia" w:ascii="仿宋" w:hAnsi="仿宋" w:eastAsia="仿宋" w:cs="仿宋"/>
          <w:b/>
          <w:bCs/>
          <w:sz w:val="24"/>
          <w:lang w:val="en-US" w:eastAsia="zh-CN"/>
        </w:rPr>
        <w:t>1.4 新址的选择</w:t>
      </w:r>
    </w:p>
    <w:p w14:paraId="7275E097">
      <w:pPr>
        <w:autoSpaceDE w:val="0"/>
        <w:autoSpaceDN w:val="0"/>
        <w:adjustRightInd w:val="0"/>
        <w:snapToGrid w:val="0"/>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新10kV高配房选址位于教工路校区中部区块东南角，现为融媒体中心，该楼为2层小楼，一层内部空间为6.6米*3.3米2开间。本区域位于校区负荷中心，供电半径小，可减少线路损耗，靠近进线接入点、新建学生宿舍楼及化校变，便于电力接入与分配。</w:t>
      </w:r>
    </w:p>
    <w:p w14:paraId="5B7FBF6A">
      <w:pPr>
        <w:autoSpaceDE w:val="0"/>
        <w:autoSpaceDN w:val="0"/>
        <w:adjustRightInd w:val="0"/>
        <w:snapToGrid w:val="0"/>
        <w:spacing w:line="360" w:lineRule="auto"/>
        <w:ind w:firstLine="420"/>
        <w:rPr>
          <w:rFonts w:hint="eastAsia" w:ascii="仿宋" w:hAnsi="仿宋" w:eastAsia="仿宋" w:cs="仿宋"/>
          <w:color w:val="FF0000"/>
          <w:sz w:val="24"/>
          <w:lang w:val="en-US" w:eastAsia="zh-CN"/>
        </w:rPr>
      </w:pPr>
      <w:r>
        <w:rPr>
          <w:rFonts w:hint="eastAsia" w:ascii="仿宋" w:hAnsi="仿宋" w:eastAsia="仿宋" w:cs="仿宋"/>
          <w:sz w:val="24"/>
          <w:lang w:val="en-US" w:eastAsia="zh-CN"/>
        </w:rPr>
        <w:t>后续作为新10kV高配房，成交</w:t>
      </w:r>
      <w:r>
        <w:rPr>
          <w:rFonts w:hint="eastAsia" w:ascii="仿宋" w:hAnsi="仿宋" w:eastAsia="仿宋" w:cs="仿宋"/>
          <w:color w:val="auto"/>
          <w:sz w:val="24"/>
          <w:lang w:val="en-US" w:eastAsia="zh-CN"/>
        </w:rPr>
        <w:t>供应商需根据本项目需求，委托专业单位进行楼体勘测、地质勘测和承载力的测量等勘察测量工作，并出具专业报告（费用含在投标报价内）；依据供电公司给出的供电答复，结合电力公司对配电房的要求，给出具体的改建方案并开展施工图设计。</w:t>
      </w:r>
    </w:p>
    <w:p w14:paraId="0284F2CA">
      <w:pPr>
        <w:pStyle w:val="3"/>
        <w:autoSpaceDE w:val="0"/>
        <w:autoSpaceDN w:val="0"/>
        <w:spacing w:beforeLines="0"/>
        <w:ind w:firstLine="0" w:firstLineChars="0"/>
        <w:rPr>
          <w:rFonts w:hint="eastAsia" w:ascii="仿宋" w:hAnsi="仿宋" w:eastAsia="仿宋" w:cs="仿宋"/>
          <w:b/>
          <w:bCs/>
          <w:sz w:val="24"/>
          <w:szCs w:val="24"/>
          <w:lang w:val="en-US" w:eastAsia="zh-CN"/>
        </w:rPr>
      </w:pPr>
      <w:bookmarkStart w:id="66" w:name="_Toc284"/>
      <w:r>
        <w:rPr>
          <w:rFonts w:hint="eastAsia" w:ascii="仿宋" w:hAnsi="仿宋" w:eastAsia="仿宋" w:cs="仿宋"/>
          <w:b/>
          <w:bCs/>
          <w:sz w:val="24"/>
          <w:szCs w:val="24"/>
          <w:lang w:val="en-US" w:eastAsia="zh-CN"/>
        </w:rPr>
        <w:t>二、招标范围</w:t>
      </w:r>
      <w:bookmarkEnd w:id="66"/>
    </w:p>
    <w:p w14:paraId="17083369">
      <w:pPr>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firstLine="420" w:firstLineChars="0"/>
        <w:outlineLvl w:val="9"/>
        <w:rPr>
          <w:rFonts w:hint="eastAsia" w:ascii="仿宋" w:hAnsi="仿宋" w:eastAsia="仿宋" w:cs="仿宋"/>
          <w:sz w:val="24"/>
        </w:rPr>
      </w:pPr>
      <w:r>
        <w:rPr>
          <w:rFonts w:hint="eastAsia" w:ascii="仿宋" w:hAnsi="仿宋" w:eastAsia="仿宋" w:cs="仿宋"/>
          <w:b w:val="0"/>
          <w:bCs w:val="0"/>
          <w:sz w:val="24"/>
          <w:szCs w:val="24"/>
        </w:rPr>
        <w:t>本项目采用设计、采购、施工(EPC)总承包的模式进行建设。</w:t>
      </w:r>
      <w:r>
        <w:rPr>
          <w:rFonts w:hint="eastAsia" w:ascii="仿宋" w:hAnsi="仿宋" w:eastAsia="仿宋" w:cs="仿宋"/>
          <w:sz w:val="24"/>
        </w:rPr>
        <w:t>在拟定的采购内容及技术要求的基础上，请供应商进行优化，完成项目有关的所有前期服务、</w:t>
      </w:r>
      <w:r>
        <w:rPr>
          <w:rFonts w:hint="eastAsia" w:ascii="仿宋" w:hAnsi="仿宋" w:eastAsia="仿宋" w:cs="仿宋"/>
          <w:sz w:val="24"/>
          <w:lang w:val="en-US" w:eastAsia="zh-CN"/>
        </w:rPr>
        <w:t>报批、</w:t>
      </w:r>
      <w:r>
        <w:rPr>
          <w:rFonts w:hint="eastAsia" w:ascii="仿宋" w:hAnsi="仿宋" w:eastAsia="仿宋" w:cs="仿宋"/>
          <w:sz w:val="24"/>
        </w:rPr>
        <w:t>设计（施工图设计）、采购、施工、</w:t>
      </w:r>
      <w:r>
        <w:rPr>
          <w:rFonts w:hint="eastAsia" w:ascii="仿宋" w:hAnsi="仿宋" w:eastAsia="仿宋" w:cs="仿宋"/>
          <w:sz w:val="24"/>
          <w:lang w:val="en-US" w:eastAsia="zh-CN"/>
        </w:rPr>
        <w:t>安装</w:t>
      </w:r>
      <w:r>
        <w:rPr>
          <w:rFonts w:hint="eastAsia" w:ascii="仿宋" w:hAnsi="仿宋" w:eastAsia="仿宋" w:cs="仿宋"/>
          <w:sz w:val="24"/>
        </w:rPr>
        <w:t>调试、验收、培训等服务，建设资料整理归档，并按规定</w:t>
      </w:r>
      <w:r>
        <w:rPr>
          <w:rFonts w:hint="eastAsia" w:ascii="仿宋" w:hAnsi="仿宋" w:eastAsia="仿宋" w:cs="仿宋"/>
          <w:sz w:val="24"/>
          <w:lang w:val="en-US" w:eastAsia="zh-CN"/>
        </w:rPr>
        <w:t>及采购人要求，</w:t>
      </w:r>
      <w:r>
        <w:rPr>
          <w:rFonts w:hint="eastAsia" w:ascii="仿宋" w:hAnsi="仿宋" w:eastAsia="仿宋" w:cs="仿宋"/>
          <w:sz w:val="24"/>
        </w:rPr>
        <w:t>报送相应档案存档，工程缺陷责任期内的缺陷修复、保修服务</w:t>
      </w:r>
      <w:r>
        <w:rPr>
          <w:rFonts w:hint="eastAsia" w:ascii="仿宋" w:hAnsi="仿宋" w:eastAsia="仿宋" w:cs="仿宋"/>
          <w:sz w:val="24"/>
          <w:lang w:val="en-US" w:eastAsia="zh-CN"/>
        </w:rPr>
        <w:t>及</w:t>
      </w:r>
      <w:r>
        <w:rPr>
          <w:rFonts w:hint="eastAsia" w:ascii="仿宋" w:hAnsi="仿宋" w:eastAsia="仿宋" w:cs="仿宋"/>
          <w:sz w:val="24"/>
        </w:rPr>
        <w:t>检测等，具体范围如下：</w:t>
      </w:r>
    </w:p>
    <w:p w14:paraId="2AD867C6">
      <w:pPr>
        <w:autoSpaceDE/>
        <w:autoSpaceDN/>
        <w:adjustRightInd w:val="0"/>
        <w:snapToGrid w:val="0"/>
        <w:spacing w:line="360" w:lineRule="auto"/>
        <w:ind w:firstLine="420"/>
        <w:rPr>
          <w:rFonts w:hint="eastAsia" w:ascii="仿宋" w:hAnsi="仿宋" w:eastAsia="仿宋" w:cs="仿宋"/>
          <w:b/>
          <w:bCs/>
          <w:sz w:val="24"/>
        </w:rPr>
      </w:pPr>
      <w:r>
        <w:rPr>
          <w:rFonts w:hint="eastAsia" w:ascii="仿宋" w:hAnsi="仿宋" w:eastAsia="仿宋" w:cs="仿宋"/>
          <w:b/>
          <w:bCs/>
          <w:sz w:val="24"/>
        </w:rPr>
        <w:t>2.1设计范围</w:t>
      </w:r>
    </w:p>
    <w:p w14:paraId="7F006E02">
      <w:pPr>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firstLine="420" w:firstLineChars="0"/>
        <w:outlineLvl w:val="9"/>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包括但不限于总图设计、工艺设计、结构设计、电气设计、自控设计、建筑设计、暖通设计、给排水设计、</w:t>
      </w:r>
      <w:r>
        <w:rPr>
          <w:rFonts w:hint="eastAsia" w:ascii="仿宋" w:hAnsi="仿宋" w:eastAsia="仿宋" w:cs="仿宋"/>
          <w:sz w:val="24"/>
          <w:lang w:val="en-US" w:eastAsia="zh-CN"/>
        </w:rPr>
        <w:t>消防设计、</w:t>
      </w:r>
      <w:r>
        <w:rPr>
          <w:rFonts w:hint="eastAsia" w:ascii="仿宋" w:hAnsi="仿宋" w:eastAsia="仿宋" w:cs="仿宋"/>
          <w:sz w:val="24"/>
        </w:rPr>
        <w:t>管线综合设计以及所有</w:t>
      </w:r>
      <w:r>
        <w:rPr>
          <w:rFonts w:hint="eastAsia" w:ascii="仿宋" w:hAnsi="仿宋" w:eastAsia="仿宋" w:cs="仿宋"/>
          <w:sz w:val="24"/>
          <w:lang w:val="en-US" w:eastAsia="zh-CN"/>
        </w:rPr>
        <w:t>与本项目相关的</w:t>
      </w:r>
      <w:r>
        <w:rPr>
          <w:rFonts w:hint="eastAsia" w:ascii="仿宋" w:hAnsi="仿宋" w:eastAsia="仿宋" w:cs="仿宋"/>
          <w:sz w:val="24"/>
        </w:rPr>
        <w:t>设计</w:t>
      </w:r>
      <w:r>
        <w:rPr>
          <w:rFonts w:hint="eastAsia" w:ascii="仿宋" w:hAnsi="仿宋" w:eastAsia="仿宋" w:cs="仿宋"/>
          <w:sz w:val="24"/>
          <w:lang w:val="en-US" w:eastAsia="zh-CN"/>
        </w:rPr>
        <w:t>及</w:t>
      </w:r>
      <w:r>
        <w:rPr>
          <w:rFonts w:hint="eastAsia" w:ascii="仿宋" w:hAnsi="仿宋" w:eastAsia="仿宋" w:cs="仿宋"/>
          <w:sz w:val="24"/>
        </w:rPr>
        <w:t>后续服务。</w:t>
      </w:r>
    </w:p>
    <w:p w14:paraId="2326EF7E">
      <w:pPr>
        <w:widowControl/>
        <w:numPr>
          <w:ilvl w:val="-1"/>
          <w:numId w:val="0"/>
        </w:numPr>
        <w:autoSpaceDE w:val="0"/>
        <w:autoSpaceDN w:val="0"/>
        <w:adjustRightInd w:val="0"/>
        <w:snapToGrid w:val="0"/>
        <w:spacing w:line="360" w:lineRule="auto"/>
        <w:ind w:firstLine="420" w:firstLineChars="0"/>
        <w:outlineLvl w:val="9"/>
        <w:rPr>
          <w:rFonts w:hint="eastAsia" w:ascii="仿宋" w:hAnsi="仿宋" w:eastAsia="仿宋" w:cs="仿宋"/>
          <w:sz w:val="24"/>
        </w:rPr>
      </w:pPr>
      <w:r>
        <w:rPr>
          <w:rFonts w:hint="eastAsia" w:ascii="仿宋" w:hAnsi="仿宋" w:eastAsia="仿宋" w:cs="仿宋"/>
          <w:sz w:val="24"/>
          <w:lang w:val="en-US" w:eastAsia="zh-CN"/>
        </w:rPr>
        <w:t>2.1.2</w:t>
      </w:r>
      <w:r>
        <w:rPr>
          <w:rFonts w:hint="eastAsia" w:ascii="仿宋" w:hAnsi="仿宋" w:eastAsia="仿宋" w:cs="仿宋"/>
          <w:sz w:val="24"/>
        </w:rPr>
        <w:t>上述所有设计及深化设计（如有）的评审费、专家费、会务费及</w:t>
      </w:r>
      <w:r>
        <w:rPr>
          <w:rFonts w:hint="eastAsia" w:ascii="仿宋" w:hAnsi="仿宋" w:eastAsia="仿宋" w:cs="仿宋"/>
          <w:sz w:val="24"/>
          <w:lang w:val="en-US" w:eastAsia="zh-CN"/>
        </w:rPr>
        <w:t>其他</w:t>
      </w:r>
      <w:r>
        <w:rPr>
          <w:rFonts w:hint="eastAsia" w:ascii="仿宋" w:hAnsi="仿宋" w:eastAsia="仿宋" w:cs="仿宋"/>
          <w:sz w:val="24"/>
        </w:rPr>
        <w:t>相关费用</w:t>
      </w:r>
      <w:r>
        <w:rPr>
          <w:rFonts w:hint="eastAsia" w:ascii="仿宋" w:hAnsi="仿宋" w:eastAsia="仿宋" w:cs="仿宋"/>
          <w:sz w:val="24"/>
          <w:lang w:val="en-US" w:eastAsia="zh-CN"/>
        </w:rPr>
        <w:t>均</w:t>
      </w:r>
      <w:r>
        <w:rPr>
          <w:rFonts w:hint="eastAsia" w:ascii="仿宋" w:hAnsi="仿宋" w:eastAsia="仿宋" w:cs="仿宋"/>
          <w:sz w:val="24"/>
        </w:rPr>
        <w:t>含在投标报价内。</w:t>
      </w:r>
    </w:p>
    <w:p w14:paraId="626BD3C4">
      <w:pPr>
        <w:autoSpaceDE/>
        <w:autoSpaceDN/>
        <w:adjustRightInd w:val="0"/>
        <w:snapToGrid w:val="0"/>
        <w:spacing w:line="360" w:lineRule="auto"/>
        <w:ind w:firstLine="482" w:firstLineChars="200"/>
        <w:rPr>
          <w:rFonts w:hint="eastAsia" w:ascii="仿宋" w:hAnsi="仿宋" w:eastAsia="仿宋" w:cs="仿宋"/>
          <w:sz w:val="24"/>
          <w:lang w:val="en-US" w:eastAsia="zh-CN"/>
        </w:rPr>
      </w:pPr>
      <w:r>
        <w:rPr>
          <w:rFonts w:hint="eastAsia" w:ascii="仿宋" w:hAnsi="仿宋" w:eastAsia="仿宋" w:cs="仿宋"/>
          <w:b/>
          <w:bCs/>
          <w:sz w:val="24"/>
          <w:lang w:val="en-US" w:eastAsia="zh-CN"/>
        </w:rPr>
        <w:t>2.2</w:t>
      </w:r>
      <w:r>
        <w:rPr>
          <w:rFonts w:hint="eastAsia" w:ascii="仿宋" w:hAnsi="仿宋" w:eastAsia="仿宋" w:cs="仿宋"/>
          <w:b/>
          <w:bCs/>
          <w:sz w:val="24"/>
        </w:rPr>
        <w:t>建安工程施工范围：</w:t>
      </w:r>
      <w:r>
        <w:rPr>
          <w:rFonts w:hint="eastAsia" w:ascii="仿宋" w:hAnsi="仿宋" w:eastAsia="仿宋" w:cs="仿宋"/>
          <w:sz w:val="24"/>
        </w:rPr>
        <w:t>从项目现状开始，纳入项目范围内且采购人要求实施的工程包括但不限于：</w:t>
      </w:r>
    </w:p>
    <w:p w14:paraId="31A126FD">
      <w:pPr>
        <w:widowControl/>
        <w:numPr>
          <w:ilvl w:val="0"/>
          <w:numId w:val="0"/>
        </w:numPr>
        <w:adjustRightInd w:val="0"/>
        <w:snapToGrid w:val="0"/>
        <w:spacing w:line="360" w:lineRule="auto"/>
        <w:ind w:firstLine="420" w:firstLineChars="0"/>
        <w:outlineLvl w:val="9"/>
        <w:rPr>
          <w:rFonts w:hint="eastAsia" w:ascii="仿宋" w:hAnsi="仿宋" w:eastAsia="仿宋" w:cs="仿宋"/>
          <w:b/>
          <w:bCs/>
          <w:sz w:val="24"/>
          <w:lang w:val="en-US" w:eastAsia="zh-CN"/>
        </w:rPr>
      </w:pPr>
      <w:r>
        <w:rPr>
          <w:rFonts w:hint="eastAsia" w:ascii="仿宋" w:hAnsi="仿宋" w:eastAsia="仿宋" w:cs="仿宋"/>
          <w:b/>
          <w:bCs/>
          <w:sz w:val="24"/>
          <w:lang w:val="en-US" w:eastAsia="zh-CN"/>
        </w:rPr>
        <w:t>2.2.1 改扩建工程内容</w:t>
      </w:r>
    </w:p>
    <w:p w14:paraId="5DD2256A">
      <w:pPr>
        <w:widowControl/>
        <w:numPr>
          <w:ilvl w:val="0"/>
          <w:numId w:val="0"/>
        </w:numPr>
        <w:autoSpaceDE w:val="0"/>
        <w:autoSpaceDN w:val="0"/>
        <w:adjustRightInd w:val="0"/>
        <w:snapToGrid w:val="0"/>
        <w:spacing w:line="360" w:lineRule="auto"/>
        <w:ind w:firstLine="420"/>
        <w:outlineLvl w:val="9"/>
        <w:rPr>
          <w:rFonts w:hint="eastAsia" w:ascii="仿宋" w:hAnsi="仿宋" w:eastAsia="仿宋" w:cs="仿宋"/>
          <w:sz w:val="24"/>
          <w:lang w:val="en-US" w:eastAsia="zh-CN"/>
        </w:rPr>
      </w:pPr>
      <w:r>
        <w:rPr>
          <w:rFonts w:hint="eastAsia" w:ascii="仿宋" w:hAnsi="仿宋" w:eastAsia="仿宋" w:cs="仿宋"/>
          <w:sz w:val="24"/>
          <w:lang w:val="en-US" w:eastAsia="zh-CN"/>
        </w:rPr>
        <w:t>2.2.1.1.新10kV高配房建设要求</w:t>
      </w:r>
    </w:p>
    <w:p w14:paraId="7FB664EE">
      <w:pPr>
        <w:widowControl/>
        <w:numPr>
          <w:ilvl w:val="0"/>
          <w:numId w:val="0"/>
        </w:numPr>
        <w:autoSpaceDE w:val="0"/>
        <w:autoSpaceDN w:val="0"/>
        <w:adjustRightInd w:val="0"/>
        <w:snapToGrid w:val="0"/>
        <w:spacing w:line="360" w:lineRule="auto"/>
        <w:ind w:firstLine="420"/>
        <w:outlineLvl w:val="9"/>
        <w:rPr>
          <w:rFonts w:hint="eastAsia" w:ascii="仿宋" w:hAnsi="仿宋" w:eastAsia="仿宋" w:cs="仿宋"/>
          <w:sz w:val="24"/>
          <w:lang w:val="en-US" w:eastAsia="zh-CN"/>
        </w:rPr>
      </w:pPr>
      <w:r>
        <w:rPr>
          <w:rFonts w:hint="eastAsia" w:ascii="仿宋" w:hAnsi="仿宋" w:eastAsia="仿宋" w:cs="仿宋"/>
          <w:sz w:val="24"/>
          <w:lang w:val="en-US" w:eastAsia="zh-CN"/>
        </w:rPr>
        <w:t>①建筑主体工程</w:t>
      </w:r>
    </w:p>
    <w:p w14:paraId="0D0D5146">
      <w:pPr>
        <w:widowControl/>
        <w:numPr>
          <w:ilvl w:val="0"/>
          <w:numId w:val="0"/>
        </w:numPr>
        <w:autoSpaceDE w:val="0"/>
        <w:autoSpaceDN w:val="0"/>
        <w:adjustRightInd w:val="0"/>
        <w:snapToGrid w:val="0"/>
        <w:spacing w:line="360" w:lineRule="auto"/>
        <w:ind w:firstLine="420"/>
        <w:outlineLvl w:val="9"/>
        <w:rPr>
          <w:rFonts w:hint="eastAsia" w:ascii="仿宋" w:hAnsi="仿宋" w:eastAsia="仿宋" w:cs="仿宋"/>
          <w:sz w:val="24"/>
          <w:lang w:val="en-US" w:eastAsia="zh-CN"/>
        </w:rPr>
      </w:pPr>
      <w:r>
        <w:rPr>
          <w:rFonts w:hint="eastAsia" w:ascii="仿宋" w:hAnsi="仿宋" w:eastAsia="仿宋" w:cs="仿宋"/>
          <w:sz w:val="24"/>
          <w:lang w:val="en-US" w:eastAsia="zh-CN"/>
        </w:rPr>
        <w:t>按照电力行业标准设计改建新10kV高配房建筑，经过改造、加固等措施，使其具备良好的抗震、防火性能。由于本建筑层高3.2米，低于供电公司要求的3.5米的开闭所建设要求，必要时可对层高进行加高。建筑面积约为60平方米，设置2间隔室，并设置智能化功能分区，设置排水措施，设计布局合理，便于操作与管理。</w:t>
      </w:r>
    </w:p>
    <w:p w14:paraId="569F9943">
      <w:pPr>
        <w:widowControl/>
        <w:numPr>
          <w:ilvl w:val="0"/>
          <w:numId w:val="0"/>
        </w:numPr>
        <w:autoSpaceDE w:val="0"/>
        <w:autoSpaceDN w:val="0"/>
        <w:adjustRightInd w:val="0"/>
        <w:snapToGrid w:val="0"/>
        <w:spacing w:line="360" w:lineRule="auto"/>
        <w:ind w:firstLine="420"/>
        <w:outlineLvl w:val="9"/>
        <w:rPr>
          <w:rFonts w:hint="eastAsia" w:ascii="仿宋" w:hAnsi="仿宋" w:eastAsia="仿宋" w:cs="仿宋"/>
          <w:sz w:val="24"/>
          <w:lang w:val="en-US" w:eastAsia="zh-CN"/>
        </w:rPr>
      </w:pPr>
      <w:r>
        <w:rPr>
          <w:rFonts w:hint="eastAsia" w:ascii="仿宋" w:hAnsi="仿宋" w:eastAsia="仿宋" w:cs="仿宋"/>
          <w:sz w:val="24"/>
          <w:lang w:val="en-US" w:eastAsia="zh-CN"/>
        </w:rPr>
        <w:t>②电气设备的采购安装</w:t>
      </w:r>
    </w:p>
    <w:p w14:paraId="592FC416">
      <w:pPr>
        <w:widowControl/>
        <w:numPr>
          <w:ilvl w:val="0"/>
          <w:numId w:val="0"/>
        </w:numPr>
        <w:autoSpaceDE w:val="0"/>
        <w:autoSpaceDN w:val="0"/>
        <w:adjustRightInd w:val="0"/>
        <w:snapToGrid w:val="0"/>
        <w:spacing w:line="360" w:lineRule="auto"/>
        <w:ind w:firstLine="420"/>
        <w:outlineLvl w:val="9"/>
        <w:rPr>
          <w:rFonts w:hint="eastAsia" w:ascii="仿宋" w:hAnsi="仿宋" w:eastAsia="仿宋" w:cs="仿宋"/>
          <w:sz w:val="24"/>
          <w:lang w:val="en-US" w:eastAsia="zh-CN"/>
        </w:rPr>
      </w:pPr>
      <w:r>
        <w:rPr>
          <w:rFonts w:hint="eastAsia" w:ascii="仿宋" w:hAnsi="仿宋" w:eastAsia="仿宋" w:cs="仿宋"/>
          <w:sz w:val="24"/>
          <w:lang w:val="en-US" w:eastAsia="zh-CN"/>
        </w:rPr>
        <w:t>本次新10kV高配房拟全部采用新的环网柜，需具备五防功能、智能操控界面，可实时监测设备运行状态，并通过通信接口上传至监控系统平台，实现分区、分类精准控制。</w:t>
      </w:r>
    </w:p>
    <w:p w14:paraId="1C67B7EB">
      <w:pPr>
        <w:widowControl/>
        <w:numPr>
          <w:ilvl w:val="0"/>
          <w:numId w:val="0"/>
        </w:numPr>
        <w:autoSpaceDE w:val="0"/>
        <w:autoSpaceDN w:val="0"/>
        <w:adjustRightInd w:val="0"/>
        <w:snapToGrid w:val="0"/>
        <w:spacing w:line="360" w:lineRule="auto"/>
        <w:ind w:left="0" w:leftChars="0" w:firstLine="420" w:firstLineChars="0"/>
        <w:jc w:val="left"/>
        <w:outlineLvl w:val="9"/>
        <w:rPr>
          <w:rFonts w:hint="eastAsia" w:ascii="仿宋" w:hAnsi="仿宋" w:eastAsia="仿宋" w:cs="仿宋"/>
          <w:sz w:val="24"/>
          <w:lang w:val="en-US" w:eastAsia="zh-CN"/>
        </w:rPr>
      </w:pPr>
      <w:r>
        <w:rPr>
          <w:rFonts w:hint="eastAsia" w:ascii="仿宋" w:hAnsi="仿宋" w:eastAsia="仿宋" w:cs="仿宋"/>
          <w:sz w:val="24"/>
          <w:lang w:val="en-US" w:eastAsia="zh-CN"/>
        </w:rPr>
        <w:t>本次新上环网柜有进线断路器柜2台，计量柜2台，联络母联柜1台，母线提升柜2台，负荷熔断器出线柜6台，预留断路器出线柜2台，联络母线6米。</w:t>
      </w:r>
    </w:p>
    <w:p w14:paraId="3687D795">
      <w:pPr>
        <w:numPr>
          <w:ilvl w:val="0"/>
          <w:numId w:val="0"/>
        </w:numPr>
        <w:spacing w:line="360" w:lineRule="auto"/>
        <w:ind w:left="0" w:leftChars="0" w:firstLine="482" w:firstLineChars="200"/>
        <w:jc w:val="both"/>
        <w:rPr>
          <w:rFonts w:hint="default" w:ascii="仿宋" w:hAnsi="仿宋" w:eastAsia="仿宋" w:cs="仿宋"/>
          <w:b/>
          <w:bCs/>
          <w:sz w:val="24"/>
          <w:lang w:val="en-US" w:eastAsia="zh-CN"/>
        </w:rPr>
      </w:pPr>
      <w:r>
        <w:rPr>
          <w:rFonts w:hint="eastAsia" w:ascii="仿宋" w:hAnsi="仿宋" w:eastAsia="仿宋" w:cs="仿宋"/>
          <w:b/>
          <w:bCs/>
          <w:sz w:val="24"/>
          <w:lang w:val="en-US" w:eastAsia="zh-CN"/>
        </w:rPr>
        <w:t>附图1：高配房I段母线</w:t>
      </w:r>
    </w:p>
    <w:p w14:paraId="303E17BD">
      <w:pPr>
        <w:widowControl/>
        <w:numPr>
          <w:ilvl w:val="-1"/>
          <w:numId w:val="0"/>
        </w:numPr>
        <w:autoSpaceDE w:val="0"/>
        <w:autoSpaceDN w:val="0"/>
        <w:adjustRightInd w:val="0"/>
        <w:snapToGrid w:val="0"/>
        <w:spacing w:line="360" w:lineRule="auto"/>
        <w:ind w:left="0" w:leftChars="0" w:firstLine="420" w:firstLineChars="0"/>
        <w:jc w:val="both"/>
        <w:outlineLvl w:val="9"/>
      </w:pPr>
      <w:r>
        <w:drawing>
          <wp:inline distT="0" distB="0" distL="114300" distR="114300">
            <wp:extent cx="5483225" cy="2011680"/>
            <wp:effectExtent l="0" t="0" r="317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5483225" cy="2011680"/>
                    </a:xfrm>
                    <a:prstGeom prst="rect">
                      <a:avLst/>
                    </a:prstGeom>
                    <a:noFill/>
                    <a:ln>
                      <a:noFill/>
                    </a:ln>
                  </pic:spPr>
                </pic:pic>
              </a:graphicData>
            </a:graphic>
          </wp:inline>
        </w:drawing>
      </w:r>
    </w:p>
    <w:p w14:paraId="18C92970">
      <w:pPr>
        <w:numPr>
          <w:ilvl w:val="0"/>
          <w:numId w:val="0"/>
        </w:numPr>
        <w:spacing w:line="360" w:lineRule="auto"/>
        <w:ind w:left="0" w:leftChars="0" w:firstLine="482" w:firstLineChars="200"/>
        <w:jc w:val="both"/>
        <w:rPr>
          <w:rFonts w:hint="eastAsia"/>
          <w:lang w:val="en-US" w:eastAsia="zh-CN"/>
        </w:rPr>
      </w:pPr>
      <w:r>
        <w:rPr>
          <w:rFonts w:hint="eastAsia" w:ascii="仿宋" w:hAnsi="仿宋" w:eastAsia="仿宋" w:cs="仿宋"/>
          <w:b/>
          <w:bCs/>
          <w:sz w:val="24"/>
          <w:lang w:val="en-US" w:eastAsia="zh-CN"/>
        </w:rPr>
        <w:t>附图2：高配房II段母线</w:t>
      </w:r>
    </w:p>
    <w:p w14:paraId="05107242">
      <w:pPr>
        <w:numPr>
          <w:ilvl w:val="0"/>
          <w:numId w:val="0"/>
        </w:numPr>
        <w:spacing w:line="360" w:lineRule="auto"/>
        <w:jc w:val="center"/>
        <w:rPr>
          <w:rFonts w:hint="default"/>
          <w:lang w:val="en-US" w:eastAsia="zh-CN"/>
        </w:rPr>
      </w:pPr>
      <w:r>
        <w:drawing>
          <wp:inline distT="0" distB="0" distL="114300" distR="114300">
            <wp:extent cx="5408295" cy="2307590"/>
            <wp:effectExtent l="0" t="0" r="1905" b="165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5408295" cy="2307590"/>
                    </a:xfrm>
                    <a:prstGeom prst="rect">
                      <a:avLst/>
                    </a:prstGeom>
                    <a:noFill/>
                    <a:ln>
                      <a:noFill/>
                    </a:ln>
                  </pic:spPr>
                </pic:pic>
              </a:graphicData>
            </a:graphic>
          </wp:inline>
        </w:drawing>
      </w:r>
    </w:p>
    <w:p w14:paraId="029EDFD6">
      <w:pPr>
        <w:autoSpaceDE w:val="0"/>
        <w:autoSpaceDN w:val="0"/>
        <w:adjustRightInd w:val="0"/>
        <w:snapToGrid w:val="0"/>
        <w:spacing w:line="360" w:lineRule="auto"/>
        <w:ind w:firstLine="420"/>
        <w:rPr>
          <w:rFonts w:hint="eastAsia" w:ascii="仿宋" w:hAnsi="仿宋" w:eastAsia="仿宋" w:cs="仿宋"/>
          <w:sz w:val="24"/>
          <w:lang w:val="en-US" w:eastAsia="zh-CN"/>
        </w:rPr>
      </w:pPr>
    </w:p>
    <w:p w14:paraId="7C3B42A5">
      <w:pPr>
        <w:numPr>
          <w:ilvl w:val="0"/>
          <w:numId w:val="0"/>
        </w:numPr>
        <w:autoSpaceDE/>
        <w:autoSpaceDN/>
        <w:adjustRightInd/>
        <w:snapToGrid/>
        <w:spacing w:line="360" w:lineRule="auto"/>
        <w:ind w:left="0" w:firstLine="482" w:firstLineChars="200"/>
        <w:jc w:val="both"/>
        <w:rPr>
          <w:rFonts w:hint="eastAsia" w:ascii="仿宋" w:hAnsi="仿宋" w:eastAsia="仿宋" w:cs="仿宋"/>
          <w:b/>
          <w:bCs/>
          <w:sz w:val="24"/>
          <w:lang w:val="en-US" w:eastAsia="zh-CN"/>
        </w:rPr>
      </w:pPr>
    </w:p>
    <w:p w14:paraId="51DDB3F9">
      <w:pPr>
        <w:numPr>
          <w:ilvl w:val="0"/>
          <w:numId w:val="0"/>
        </w:numPr>
        <w:autoSpaceDE/>
        <w:autoSpaceDN/>
        <w:adjustRightInd/>
        <w:snapToGrid/>
        <w:spacing w:line="360" w:lineRule="auto"/>
        <w:ind w:left="0" w:firstLine="482" w:firstLineChars="200"/>
        <w:jc w:val="both"/>
        <w:rPr>
          <w:rFonts w:hint="eastAsia" w:ascii="仿宋" w:hAnsi="仿宋" w:eastAsia="仿宋" w:cs="仿宋"/>
          <w:b/>
          <w:bCs/>
          <w:sz w:val="24"/>
          <w:lang w:val="en-US" w:eastAsia="zh-CN"/>
        </w:rPr>
      </w:pPr>
    </w:p>
    <w:p w14:paraId="57214E54">
      <w:pPr>
        <w:numPr>
          <w:ilvl w:val="0"/>
          <w:numId w:val="0"/>
        </w:numPr>
        <w:spacing w:line="360" w:lineRule="auto"/>
        <w:ind w:left="0" w:leftChars="0" w:firstLine="964" w:firstLineChars="400"/>
        <w:jc w:val="both"/>
        <w:rPr>
          <w:rFonts w:hint="eastAsia" w:ascii="仿宋" w:hAnsi="仿宋" w:eastAsia="仿宋" w:cs="仿宋"/>
          <w:b/>
          <w:bCs/>
          <w:sz w:val="24"/>
        </w:rPr>
      </w:pPr>
      <w:r>
        <w:rPr>
          <w:rFonts w:hint="eastAsia" w:ascii="仿宋" w:hAnsi="仿宋" w:eastAsia="仿宋" w:cs="仿宋"/>
          <w:b/>
          <w:bCs/>
          <w:sz w:val="24"/>
          <w:lang w:val="en-US" w:eastAsia="zh-CN"/>
        </w:rPr>
        <w:t>附图3：高配房平面布置图</w:t>
      </w:r>
    </w:p>
    <w:p w14:paraId="3EBA4EFC">
      <w:pPr>
        <w:numPr>
          <w:ilvl w:val="0"/>
          <w:numId w:val="0"/>
        </w:numPr>
        <w:spacing w:line="360" w:lineRule="auto"/>
        <w:ind w:left="220" w:leftChars="0" w:firstLine="420" w:firstLineChars="200"/>
        <w:jc w:val="both"/>
      </w:pPr>
      <w:r>
        <w:drawing>
          <wp:inline distT="0" distB="0" distL="114300" distR="114300">
            <wp:extent cx="5335905" cy="5335905"/>
            <wp:effectExtent l="0" t="0" r="13335"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a:stretch>
                      <a:fillRect/>
                    </a:stretch>
                  </pic:blipFill>
                  <pic:spPr>
                    <a:xfrm>
                      <a:off x="0" y="0"/>
                      <a:ext cx="5335905" cy="5335905"/>
                    </a:xfrm>
                    <a:prstGeom prst="rect">
                      <a:avLst/>
                    </a:prstGeom>
                    <a:noFill/>
                    <a:ln>
                      <a:noFill/>
                    </a:ln>
                  </pic:spPr>
                </pic:pic>
              </a:graphicData>
            </a:graphic>
          </wp:inline>
        </w:drawing>
      </w:r>
    </w:p>
    <w:p w14:paraId="40E94155">
      <w:pPr>
        <w:numPr>
          <w:ilvl w:val="0"/>
          <w:numId w:val="0"/>
        </w:numPr>
        <w:spacing w:line="360" w:lineRule="auto"/>
        <w:ind w:left="220" w:leftChars="0" w:firstLine="482" w:firstLineChars="200"/>
        <w:jc w:val="left"/>
        <w:rPr>
          <w:rFonts w:hint="default" w:ascii="仿宋" w:hAnsi="仿宋" w:eastAsia="仿宋" w:cs="仿宋"/>
          <w:b/>
          <w:bCs/>
          <w:color w:val="auto"/>
          <w:sz w:val="24"/>
          <w:highlight w:val="none"/>
          <w:lang w:val="en-US" w:eastAsia="zh-CN"/>
        </w:rPr>
      </w:pPr>
      <w:r>
        <w:rPr>
          <w:rFonts w:hint="eastAsia" w:ascii="仿宋" w:hAnsi="仿宋" w:eastAsia="仿宋" w:cs="仿宋"/>
          <w:b/>
          <w:bCs/>
          <w:sz w:val="24"/>
          <w:lang w:val="en-US" w:eastAsia="zh-CN"/>
        </w:rPr>
        <w:t>2.2.1.2.供电线路</w:t>
      </w:r>
      <w:r>
        <w:rPr>
          <w:rFonts w:hint="eastAsia" w:ascii="仿宋" w:hAnsi="仿宋" w:eastAsia="仿宋" w:cs="仿宋"/>
          <w:b/>
          <w:bCs/>
          <w:color w:val="auto"/>
          <w:sz w:val="24"/>
          <w:highlight w:val="none"/>
          <w:lang w:val="en-US" w:eastAsia="zh-CN"/>
        </w:rPr>
        <w:t>（电缆长度均为预估长度，若超出预估长度，均包含在本次报价中，采购人不再另行支付，请供应商结合图纸并自行勘察现场）</w:t>
      </w:r>
    </w:p>
    <w:p w14:paraId="415715AE">
      <w:pPr>
        <w:numPr>
          <w:ilvl w:val="0"/>
          <w:numId w:val="0"/>
        </w:numPr>
        <w:spacing w:line="360" w:lineRule="auto"/>
        <w:ind w:left="220" w:lef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①进线电缆的更换</w:t>
      </w:r>
    </w:p>
    <w:p w14:paraId="1FEE100C">
      <w:pPr>
        <w:numPr>
          <w:ilvl w:val="0"/>
          <w:numId w:val="0"/>
        </w:numPr>
        <w:spacing w:line="360" w:lineRule="auto"/>
        <w:ind w:left="220" w:lef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现10kV高配房的电源点为耀欣站，现进线电缆为ZC-YJV-8.7/15-3*95，无法满足后续运行及增容的需求。如新10kV高配房不更改电源点，则新10kV高配房至现有电源点耀欣站距离400米，两根电缆预计需要约800米，型号为ZC-YJV-8.7/15-3*400。</w:t>
      </w:r>
    </w:p>
    <w:p w14:paraId="177A8350">
      <w:pPr>
        <w:numPr>
          <w:ilvl w:val="0"/>
          <w:numId w:val="0"/>
        </w:numPr>
        <w:spacing w:line="360" w:lineRule="auto"/>
        <w:ind w:left="220" w:leftChars="0"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②10kV出线电缆的敷设与割接</w:t>
      </w:r>
    </w:p>
    <w:p w14:paraId="48393E50">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eastAsia" w:ascii="仿宋" w:hAnsi="仿宋" w:eastAsia="仿宋" w:cs="仿宋"/>
          <w:color w:val="auto"/>
          <w:sz w:val="24"/>
          <w:highlight w:val="none"/>
          <w:lang w:val="en-US" w:eastAsia="zh-CN"/>
        </w:rPr>
        <w:t>a、生活变和东校变的进线10kV电缆需进行割接，东校变10kV进线电缆型号ZC-YJV-8.7/15-3*70，约100米，生活变10kV进</w:t>
      </w:r>
      <w:r>
        <w:rPr>
          <w:rFonts w:hint="eastAsia" w:ascii="仿宋" w:hAnsi="仿宋" w:eastAsia="仿宋" w:cs="仿宋"/>
          <w:sz w:val="24"/>
          <w:lang w:val="en-US" w:eastAsia="zh-CN"/>
        </w:rPr>
        <w:t>线电缆型号ZR-YJV-8.7/15-3*95，约100米。</w:t>
      </w:r>
    </w:p>
    <w:p w14:paraId="118D2CC9">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b、化校变的进线10kV进线电缆需重新敷设电缆约40米，型号ZC-YJV-8.7/15-3*70。</w:t>
      </w:r>
    </w:p>
    <w:p w14:paraId="256BA4E4">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c、煤校变的进线10kV进线电缆需割接电缆约60米，型号ZC-YJV-8.7/15-3*70。</w:t>
      </w:r>
    </w:p>
    <w:p w14:paraId="3C8A1D22">
      <w:pPr>
        <w:numPr>
          <w:ilvl w:val="0"/>
          <w:numId w:val="0"/>
        </w:numPr>
        <w:spacing w:line="360" w:lineRule="auto"/>
        <w:ind w:left="220" w:leftChars="0" w:firstLine="480" w:firstLineChars="200"/>
        <w:jc w:val="left"/>
        <w:rPr>
          <w:rFonts w:hint="default" w:ascii="仿宋" w:hAnsi="仿宋" w:eastAsia="仿宋" w:cs="仿宋"/>
          <w:b/>
          <w:bCs/>
          <w:sz w:val="24"/>
          <w:lang w:val="en-US" w:eastAsia="zh-CN"/>
        </w:rPr>
      </w:pPr>
      <w:r>
        <w:rPr>
          <w:rFonts w:hint="eastAsia" w:ascii="仿宋" w:hAnsi="仿宋" w:eastAsia="仿宋" w:cs="仿宋"/>
          <w:sz w:val="24"/>
          <w:lang w:val="en-US" w:eastAsia="zh-CN"/>
        </w:rPr>
        <w:t>③</w:t>
      </w:r>
      <w:r>
        <w:rPr>
          <w:rFonts w:hint="eastAsia" w:ascii="仿宋" w:hAnsi="仿宋" w:eastAsia="仿宋" w:cs="仿宋"/>
          <w:b w:val="0"/>
          <w:bCs w:val="0"/>
          <w:sz w:val="24"/>
          <w:lang w:val="en-US" w:eastAsia="zh-CN"/>
        </w:rPr>
        <w:t>电缆路径</w:t>
      </w:r>
    </w:p>
    <w:p w14:paraId="613458D8">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利用化校变东侧的围墙内空间，新建D1井4座，外形2*1.8米，12DN150管道40米，4DN150管道15米，2DN150管道3米;改造D2井1座，加深扩大D3井1座，由原1*1米，扩大至2*1.3米。</w:t>
      </w:r>
    </w:p>
    <w:p w14:paraId="382E37B4">
      <w:pPr>
        <w:numPr>
          <w:ilvl w:val="0"/>
          <w:numId w:val="0"/>
        </w:numPr>
        <w:spacing w:line="360" w:lineRule="auto"/>
        <w:ind w:leftChars="0" w:firstLine="420" w:firstLineChars="0"/>
        <w:jc w:val="left"/>
        <w:rPr>
          <w:rFonts w:hint="eastAsia"/>
          <w:lang w:val="en-US" w:eastAsia="zh-CN"/>
        </w:rPr>
      </w:pPr>
      <w:r>
        <w:drawing>
          <wp:inline distT="0" distB="0" distL="114300" distR="114300">
            <wp:extent cx="5266055" cy="3194685"/>
            <wp:effectExtent l="0" t="0" r="1079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5266055" cy="3194685"/>
                    </a:xfrm>
                    <a:prstGeom prst="rect">
                      <a:avLst/>
                    </a:prstGeom>
                    <a:noFill/>
                    <a:ln>
                      <a:noFill/>
                    </a:ln>
                  </pic:spPr>
                </pic:pic>
              </a:graphicData>
            </a:graphic>
          </wp:inline>
        </w:drawing>
      </w:r>
    </w:p>
    <w:p w14:paraId="568EE682">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上述供电电缆及路径可根据实际进行优化，请供应商充分踏勘现场，报价时可根据踏勘情况进行报价，成交后，采购人后期不因方案调整引起工程量增加而调增工程建设费用，均包含在本次报价中。</w:t>
      </w:r>
    </w:p>
    <w:p w14:paraId="77235244">
      <w:pPr>
        <w:numPr>
          <w:ilvl w:val="0"/>
          <w:numId w:val="0"/>
        </w:numPr>
        <w:spacing w:line="360" w:lineRule="auto"/>
        <w:ind w:left="220" w:leftChars="0"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2.2.1.3.智能监控与自动化系统集成要求</w:t>
      </w:r>
    </w:p>
    <w:p w14:paraId="18441188">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搭建智能电力监控平台：部署电力监控服务器与软件系统，实现对新高配中心所有电气设备的远程实时监控。</w:t>
      </w:r>
    </w:p>
    <w:p w14:paraId="184DCB84">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自动化控制系统建设：引入先进的电力自动化技术，实现高压开关柜的远程分合闸操作、备用电源自动投切等功能，提高供电系统的自动化水平，减少人工干预，确保电力供应的连续性与稳定性。</w:t>
      </w:r>
    </w:p>
    <w:p w14:paraId="421A99E3">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通信系统优化：建立可靠的通信网络，确保监控数据与控制指令的快速、准确传输。在设备现场安装通信终端，实现与监控平台的无缝对接。</w:t>
      </w:r>
    </w:p>
    <w:p w14:paraId="4DBF2061">
      <w:pPr>
        <w:pStyle w:val="33"/>
        <w:rPr>
          <w:rFonts w:hint="eastAsia" w:ascii="仿宋" w:hAnsi="仿宋" w:eastAsia="仿宋" w:cs="仿宋"/>
          <w:sz w:val="24"/>
          <w:lang w:val="en-US" w:eastAsia="zh-CN"/>
        </w:rPr>
      </w:pPr>
      <w:r>
        <w:rPr>
          <w:rFonts w:hint="eastAsia" w:ascii="仿宋" w:hAnsi="仿宋" w:eastAsia="仿宋" w:cs="仿宋"/>
          <w:sz w:val="24"/>
          <w:lang w:val="en-US" w:eastAsia="zh-CN"/>
        </w:rPr>
        <w:t xml:space="preserve">     2.2.1.4 土建改造施工</w:t>
      </w:r>
    </w:p>
    <w:p w14:paraId="09429406">
      <w:pPr>
        <w:numPr>
          <w:ilvl w:val="-1"/>
          <w:numId w:val="0"/>
        </w:numPr>
        <w:snapToGrid w:val="0"/>
        <w:spacing w:line="360" w:lineRule="auto"/>
        <w:ind w:left="0" w:firstLine="422" w:firstLineChars="0"/>
        <w:jc w:val="left"/>
        <w:rPr>
          <w:rFonts w:hint="eastAsia" w:ascii="仿宋" w:hAnsi="仿宋" w:eastAsia="仿宋" w:cs="仿宋"/>
          <w:kern w:val="0"/>
          <w:sz w:val="24"/>
          <w:szCs w:val="24"/>
          <w:highlight w:val="none"/>
        </w:rPr>
      </w:pPr>
      <w:r>
        <w:rPr>
          <w:rFonts w:hint="eastAsia" w:ascii="仿宋" w:hAnsi="仿宋" w:eastAsia="仿宋" w:cs="仿宋"/>
          <w:sz w:val="24"/>
          <w:lang w:val="en-US" w:eastAsia="zh-CN"/>
        </w:rPr>
        <w:t>新址高配房按设计要求进行改造，满足规范及电力验收要求，满足实际使用需</w:t>
      </w:r>
      <w:r>
        <w:rPr>
          <w:rFonts w:hint="eastAsia" w:ascii="仿宋" w:hAnsi="仿宋" w:eastAsia="仿宋" w:cs="仿宋"/>
          <w:sz w:val="24"/>
          <w:highlight w:val="none"/>
          <w:lang w:val="en-US" w:eastAsia="zh-CN"/>
        </w:rPr>
        <w:t>求。</w:t>
      </w:r>
      <w:r>
        <w:rPr>
          <w:rFonts w:hint="eastAsia" w:ascii="仿宋" w:hAnsi="仿宋" w:eastAsia="仿宋" w:cs="仿宋"/>
          <w:kern w:val="0"/>
          <w:sz w:val="24"/>
          <w:szCs w:val="24"/>
          <w:highlight w:val="none"/>
        </w:rPr>
        <w:t>工程质量要求达到相关国家验收规范合格标准。确保本工程通过项目所在地电力部门的审批、验收合格、正式通电投入使用，并协助采购人做好与电力部门的沟通、申请、审批、文件递交等相关事宜。供应商按规范进行施工，直至通过采购人组织的验收，验收过程中，如有不满足磋商文件规定要求及不符合国家相关规范要求的，由供应商负责整改，</w:t>
      </w:r>
      <w:r>
        <w:rPr>
          <w:rFonts w:hint="eastAsia" w:ascii="仿宋" w:hAnsi="仿宋" w:eastAsia="仿宋" w:cs="仿宋"/>
          <w:kern w:val="0"/>
          <w:sz w:val="24"/>
          <w:szCs w:val="24"/>
          <w:highlight w:val="none"/>
          <w:lang w:val="en-US" w:eastAsia="zh-CN"/>
        </w:rPr>
        <w:t>直至验收通过，相关</w:t>
      </w:r>
      <w:r>
        <w:rPr>
          <w:rFonts w:hint="eastAsia" w:ascii="仿宋" w:hAnsi="仿宋" w:eastAsia="仿宋" w:cs="仿宋"/>
          <w:kern w:val="0"/>
          <w:sz w:val="24"/>
          <w:szCs w:val="24"/>
          <w:highlight w:val="none"/>
        </w:rPr>
        <w:t>费用</w:t>
      </w:r>
      <w:r>
        <w:rPr>
          <w:rFonts w:hint="eastAsia" w:ascii="仿宋" w:hAnsi="仿宋" w:eastAsia="仿宋" w:cs="仿宋"/>
          <w:kern w:val="0"/>
          <w:sz w:val="24"/>
          <w:szCs w:val="24"/>
          <w:highlight w:val="none"/>
          <w:lang w:val="en-US" w:eastAsia="zh-CN"/>
        </w:rPr>
        <w:t>含在投标报价内</w:t>
      </w:r>
      <w:r>
        <w:rPr>
          <w:rFonts w:hint="eastAsia" w:ascii="仿宋" w:hAnsi="仿宋" w:eastAsia="仿宋" w:cs="仿宋"/>
          <w:kern w:val="0"/>
          <w:sz w:val="24"/>
          <w:szCs w:val="24"/>
          <w:highlight w:val="none"/>
        </w:rPr>
        <w:t>。</w:t>
      </w:r>
    </w:p>
    <w:p w14:paraId="5F73F0DC">
      <w:pPr>
        <w:numPr>
          <w:ilvl w:val="-1"/>
          <w:numId w:val="0"/>
        </w:numPr>
        <w:snapToGrid w:val="0"/>
        <w:spacing w:line="360" w:lineRule="auto"/>
        <w:ind w:left="0" w:firstLine="422" w:firstLineChars="0"/>
        <w:jc w:val="left"/>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施工建设期间，供应商负责项目相关的报批、审核及沟通接洽工作，由此产生的相关费用，含在投标报价内。</w:t>
      </w:r>
    </w:p>
    <w:p w14:paraId="78D00BC2">
      <w:pPr>
        <w:pStyle w:val="3"/>
        <w:autoSpaceDE w:val="0"/>
        <w:autoSpaceDN w:val="0"/>
        <w:spacing w:beforeLines="0"/>
        <w:ind w:firstLine="0" w:firstLineChars="0"/>
        <w:rPr>
          <w:rFonts w:hint="eastAsia" w:ascii="仿宋" w:hAnsi="仿宋" w:eastAsia="仿宋" w:cs="仿宋"/>
          <w:b/>
          <w:bCs/>
          <w:sz w:val="24"/>
          <w:lang w:val="en-US" w:eastAsia="zh-CN"/>
        </w:rPr>
      </w:pPr>
      <w:bookmarkStart w:id="67" w:name="_Toc7655"/>
      <w:r>
        <w:rPr>
          <w:rFonts w:hint="eastAsia" w:ascii="仿宋" w:hAnsi="仿宋" w:eastAsia="仿宋" w:cs="仿宋"/>
          <w:b/>
          <w:bCs/>
          <w:sz w:val="24"/>
          <w:lang w:val="en-US" w:eastAsia="zh-CN"/>
        </w:rPr>
        <w:t>三、材料及设备要求</w:t>
      </w:r>
      <w:bookmarkEnd w:id="67"/>
    </w:p>
    <w:p w14:paraId="375F5713">
      <w:pPr>
        <w:numPr>
          <w:ilvl w:val="1"/>
          <w:numId w:val="0"/>
        </w:numPr>
        <w:tabs>
          <w:tab w:val="left" w:pos="0"/>
        </w:tabs>
        <w:spacing w:line="360" w:lineRule="auto"/>
        <w:ind w:left="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 xml:space="preserve">3.1 </w:t>
      </w:r>
      <w:r>
        <w:rPr>
          <w:rFonts w:hint="eastAsia" w:ascii="仿宋" w:hAnsi="仿宋" w:eastAsia="仿宋" w:cs="仿宋"/>
          <w:sz w:val="24"/>
        </w:rPr>
        <w:t>本工程中使用的原材料、设施、设备必须符合招标文件、设计要求和施工规范的规定。</w:t>
      </w:r>
      <w:r>
        <w:rPr>
          <w:rFonts w:hint="eastAsia" w:ascii="仿宋" w:hAnsi="仿宋" w:eastAsia="仿宋" w:cs="仿宋"/>
          <w:sz w:val="24"/>
          <w:lang w:val="en-US" w:eastAsia="zh-CN"/>
        </w:rPr>
        <w:t>供应商报价时应按采购要求（包括技术要求、设计要求）对主要设备材料的生产厂家或品牌进行明确。</w:t>
      </w:r>
    </w:p>
    <w:p w14:paraId="39E9C2F1">
      <w:pPr>
        <w:numPr>
          <w:ilvl w:val="1"/>
          <w:numId w:val="0"/>
        </w:numPr>
        <w:tabs>
          <w:tab w:val="left" w:pos="0"/>
        </w:tabs>
        <w:spacing w:line="360" w:lineRule="auto"/>
        <w:ind w:left="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3.2供应商在施工时须按响应的品牌及厂家采购，采购前15天内向采购人提供样品或产品说明，并经采购人和监理工程师认可封样后方可采购；如遇供应商自身的原因而更换的，须经采购人、监理工程师同意方可更换，</w:t>
      </w:r>
      <w:r>
        <w:rPr>
          <w:rFonts w:hint="eastAsia" w:ascii="仿宋" w:hAnsi="仿宋" w:eastAsia="仿宋" w:cs="仿宋"/>
          <w:sz w:val="24"/>
          <w:szCs w:val="24"/>
        </w:rPr>
        <w:t>未经签证，采购人将不予认可</w:t>
      </w:r>
      <w:r>
        <w:rPr>
          <w:rFonts w:hint="eastAsia" w:ascii="仿宋" w:hAnsi="仿宋" w:eastAsia="仿宋" w:cs="仿宋"/>
          <w:sz w:val="24"/>
          <w:lang w:val="en-US" w:eastAsia="zh-CN"/>
        </w:rPr>
        <w:t>。在施工过程中</w:t>
      </w:r>
      <w:r>
        <w:rPr>
          <w:rFonts w:hint="eastAsia" w:ascii="仿宋" w:hAnsi="仿宋" w:eastAsia="仿宋" w:cs="仿宋"/>
          <w:sz w:val="24"/>
          <w:szCs w:val="24"/>
          <w:lang w:val="en-US" w:eastAsia="zh-CN"/>
        </w:rPr>
        <w:t>，</w:t>
      </w:r>
      <w:r>
        <w:rPr>
          <w:rFonts w:hint="eastAsia" w:ascii="仿宋" w:hAnsi="仿宋" w:eastAsia="仿宋" w:cs="仿宋"/>
          <w:sz w:val="24"/>
          <w:lang w:val="en-US" w:eastAsia="zh-CN"/>
        </w:rPr>
        <w:t>材料色泽必须事先经采购人确认，无论材料色泽如何变化，价格均不予调整，请供应商在报价时考虑此因素。</w:t>
      </w:r>
    </w:p>
    <w:p w14:paraId="10A6552A">
      <w:pPr>
        <w:numPr>
          <w:ilvl w:val="1"/>
          <w:numId w:val="0"/>
        </w:numPr>
        <w:tabs>
          <w:tab w:val="left" w:pos="0"/>
        </w:tabs>
        <w:spacing w:line="360" w:lineRule="auto"/>
        <w:ind w:left="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3.3供应商所有设备、材料必须为全新的未使用过的正品，如发现使用假冒伪劣或已经使用过的的设备材料的，需无条件立即更换，并视作供应商违约，根据违约条款进行相应的处罚；造成采购人损失的，供应商应承担全部赔偿责任。</w:t>
      </w:r>
    </w:p>
    <w:p w14:paraId="537D86F0">
      <w:pPr>
        <w:numPr>
          <w:ilvl w:val="1"/>
          <w:numId w:val="0"/>
        </w:numPr>
        <w:tabs>
          <w:tab w:val="left" w:pos="0"/>
        </w:tabs>
        <w:spacing w:line="360" w:lineRule="auto"/>
        <w:ind w:left="0" w:leftChars="0"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3.4本磋商文件涉及的其他主要设备和材料，各供应商须根据设计施工图的要求及意图按中高档的用材标准进行选材并报价，所有设备材料要求采用在行业内有一定知名度的市场主流的优质品牌或生产厂家产品，并符合节能环保要求，严禁选择不合设计要求的低档材料进行报价及组织施工实施，如有其它国家强制性认证要求的也必须满足。</w:t>
      </w:r>
    </w:p>
    <w:p w14:paraId="4B722C17">
      <w:pPr>
        <w:numPr>
          <w:ilvl w:val="1"/>
          <w:numId w:val="0"/>
        </w:numPr>
        <w:tabs>
          <w:tab w:val="left" w:pos="0"/>
        </w:tabs>
        <w:spacing w:line="360" w:lineRule="auto"/>
        <w:ind w:left="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3.5材料的质量要求：</w:t>
      </w:r>
    </w:p>
    <w:p w14:paraId="5F31E101">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（1）在质保期内，成交供应商对有缺陷的部位必须无偿地给予修理与更换，并承担一切由此引起的对采购人或第三者的直接损失，除非该缺陷是由于人为破坏或合同规定的不可抗因素造成的损坏。</w:t>
      </w:r>
    </w:p>
    <w:p w14:paraId="4F04C410">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（2）成交供应商必须对所承包的工程的质量负全部责任，其责任不因其他材料生产商提供的保证书而减轻或更改。</w:t>
      </w:r>
    </w:p>
    <w:p w14:paraId="08C02E42">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（3）材料检验按建发〔2000〕185号文件规定的见证取样和送检规定的程序进行。凡检验结果证明其有害物质含量指标超标的产品不得在工程上使用。</w:t>
      </w:r>
    </w:p>
    <w:p w14:paraId="3355801F">
      <w:pPr>
        <w:numPr>
          <w:ilvl w:val="1"/>
          <w:numId w:val="0"/>
        </w:numPr>
        <w:tabs>
          <w:tab w:val="left" w:pos="0"/>
        </w:tabs>
        <w:spacing w:line="360" w:lineRule="auto"/>
        <w:ind w:left="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3.6材料供应要求：</w:t>
      </w:r>
    </w:p>
    <w:p w14:paraId="4AD743E8">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（1）本项目涉及的所有材料设备，必须经采购人确认后方能采购、进场、加工、安装。否则一律不予承认，不予支付相应款项。</w:t>
      </w:r>
    </w:p>
    <w:p w14:paraId="58F4C4C8">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本次采购承包范围内的建筑施工材料均由成交供应商根据本磋商文件、设计图纸和国家有关规定的具体要求进行采购、运输、检验、保管，但采购人保留变更和指定材料的权利；所有建筑材料须有产品合格证和质量保证书，应先送样品，样品经监理人、采购人确认与采购要求、磋商响应承诺一致后封存，批量供应时应与样品一致，并经相关部门检验合格后方可使用。</w:t>
      </w:r>
    </w:p>
    <w:p w14:paraId="481D8F0C">
      <w:pPr>
        <w:pStyle w:val="33"/>
        <w:ind w:firstLine="720" w:firstLineChars="300"/>
        <w:rPr>
          <w:rFonts w:hint="default" w:ascii="仿宋" w:hAnsi="仿宋" w:eastAsia="仿宋" w:cs="仿宋"/>
          <w:b w:val="0"/>
          <w:bCs w:val="0"/>
          <w:caps w:val="0"/>
          <w:sz w:val="24"/>
          <w:lang w:val="en-US" w:eastAsia="zh-CN"/>
        </w:rPr>
      </w:pPr>
      <w:r>
        <w:rPr>
          <w:rFonts w:hint="eastAsia" w:ascii="仿宋" w:hAnsi="仿宋" w:eastAsia="仿宋" w:cs="仿宋"/>
          <w:b w:val="0"/>
          <w:bCs w:val="0"/>
          <w:caps w:val="0"/>
          <w:sz w:val="24"/>
          <w:lang w:eastAsia="zh-CN" w:bidi="ar-SA"/>
        </w:rPr>
        <w:t>（</w:t>
      </w:r>
      <w:r>
        <w:rPr>
          <w:rFonts w:hint="eastAsia" w:ascii="仿宋" w:hAnsi="仿宋" w:eastAsia="仿宋" w:cs="仿宋"/>
          <w:b w:val="0"/>
          <w:bCs w:val="0"/>
          <w:caps w:val="0"/>
          <w:sz w:val="24"/>
          <w:lang w:val="en-US" w:eastAsia="zh-CN" w:bidi="ar-SA"/>
        </w:rPr>
        <w:t>3</w:t>
      </w:r>
      <w:r>
        <w:rPr>
          <w:rFonts w:hint="eastAsia" w:ascii="仿宋" w:hAnsi="仿宋" w:eastAsia="仿宋" w:cs="仿宋"/>
          <w:b w:val="0"/>
          <w:bCs w:val="0"/>
          <w:caps w:val="0"/>
          <w:sz w:val="24"/>
          <w:lang w:eastAsia="zh-CN" w:bidi="ar-SA"/>
        </w:rPr>
        <w:t>）</w:t>
      </w:r>
      <w:r>
        <w:rPr>
          <w:rFonts w:hint="eastAsia" w:ascii="仿宋" w:hAnsi="仿宋" w:eastAsia="仿宋" w:cs="仿宋"/>
          <w:b w:val="0"/>
          <w:bCs w:val="0"/>
          <w:caps w:val="0"/>
          <w:sz w:val="24"/>
          <w:lang w:val="en-US" w:eastAsia="zh-CN" w:bidi="ar-SA"/>
        </w:rPr>
        <w:t>采购</w:t>
      </w:r>
      <w:r>
        <w:rPr>
          <w:rFonts w:hint="eastAsia" w:ascii="仿宋" w:hAnsi="仿宋" w:eastAsia="仿宋" w:cs="仿宋"/>
          <w:b w:val="0"/>
          <w:bCs w:val="0"/>
          <w:caps w:val="0"/>
          <w:sz w:val="24"/>
          <w:lang w:bidi="ar-SA"/>
        </w:rPr>
        <w:t>人在招标文件中提供材料品牌推荐表对材料设备品牌及系列、规格、型号等有要求的，</w:t>
      </w:r>
      <w:r>
        <w:rPr>
          <w:rFonts w:hint="eastAsia" w:ascii="仿宋" w:hAnsi="仿宋" w:eastAsia="仿宋" w:cs="仿宋"/>
          <w:b w:val="0"/>
          <w:bCs w:val="0"/>
          <w:caps w:val="0"/>
          <w:sz w:val="24"/>
          <w:lang w:val="en-US" w:eastAsia="zh-CN" w:bidi="ar-SA"/>
        </w:rPr>
        <w:t>供应商</w:t>
      </w:r>
      <w:r>
        <w:rPr>
          <w:rFonts w:hint="eastAsia" w:ascii="仿宋" w:hAnsi="仿宋" w:eastAsia="仿宋" w:cs="仿宋"/>
          <w:b w:val="0"/>
          <w:bCs w:val="0"/>
          <w:caps w:val="0"/>
          <w:sz w:val="24"/>
          <w:lang w:bidi="ar-SA"/>
        </w:rPr>
        <w:t>应在</w:t>
      </w:r>
      <w:r>
        <w:rPr>
          <w:rFonts w:hint="eastAsia" w:ascii="仿宋" w:hAnsi="仿宋" w:eastAsia="仿宋" w:cs="仿宋"/>
          <w:b w:val="0"/>
          <w:bCs w:val="0"/>
          <w:caps w:val="0"/>
          <w:sz w:val="24"/>
          <w:lang w:val="en-US" w:eastAsia="zh-CN" w:bidi="ar-SA"/>
        </w:rPr>
        <w:t>采购</w:t>
      </w:r>
      <w:r>
        <w:rPr>
          <w:rFonts w:hint="eastAsia" w:ascii="仿宋" w:hAnsi="仿宋" w:eastAsia="仿宋" w:cs="仿宋"/>
          <w:b w:val="0"/>
          <w:bCs w:val="0"/>
          <w:caps w:val="0"/>
          <w:sz w:val="24"/>
          <w:lang w:bidi="ar-SA"/>
        </w:rPr>
        <w:t>人指定品牌范围内选择产品或选择同档次其他产品进行投标，</w:t>
      </w:r>
      <w:r>
        <w:rPr>
          <w:rFonts w:hint="eastAsia" w:ascii="仿宋" w:hAnsi="仿宋" w:eastAsia="仿宋" w:cs="仿宋"/>
          <w:b w:val="0"/>
          <w:bCs w:val="0"/>
          <w:caps w:val="0"/>
          <w:sz w:val="24"/>
          <w:lang w:val="en-US" w:eastAsia="zh-CN" w:bidi="ar-SA"/>
        </w:rPr>
        <w:t>供应商</w:t>
      </w:r>
      <w:r>
        <w:rPr>
          <w:rFonts w:hint="eastAsia" w:ascii="仿宋" w:hAnsi="仿宋" w:eastAsia="仿宋" w:cs="仿宋"/>
          <w:b w:val="0"/>
          <w:bCs w:val="0"/>
          <w:caps w:val="0"/>
          <w:sz w:val="24"/>
          <w:lang w:bidi="ar-SA"/>
        </w:rPr>
        <w:t>若提供了</w:t>
      </w:r>
      <w:r>
        <w:rPr>
          <w:rFonts w:hint="eastAsia" w:ascii="仿宋" w:hAnsi="仿宋" w:eastAsia="仿宋" w:cs="仿宋"/>
          <w:b w:val="0"/>
          <w:bCs w:val="0"/>
          <w:caps w:val="0"/>
          <w:sz w:val="24"/>
          <w:lang w:val="en-US" w:eastAsia="zh-CN" w:bidi="ar-SA"/>
        </w:rPr>
        <w:t>采购</w:t>
      </w:r>
      <w:r>
        <w:rPr>
          <w:rFonts w:hint="eastAsia" w:ascii="仿宋" w:hAnsi="仿宋" w:eastAsia="仿宋" w:cs="仿宋"/>
          <w:b w:val="0"/>
          <w:bCs w:val="0"/>
          <w:caps w:val="0"/>
          <w:sz w:val="24"/>
          <w:lang w:bidi="ar-SA"/>
        </w:rPr>
        <w:t>人指定品牌外的产品，应同时提供相当于</w:t>
      </w:r>
      <w:r>
        <w:rPr>
          <w:rFonts w:hint="eastAsia" w:ascii="仿宋" w:hAnsi="仿宋" w:eastAsia="仿宋" w:cs="仿宋"/>
          <w:b w:val="0"/>
          <w:bCs w:val="0"/>
          <w:caps w:val="0"/>
          <w:sz w:val="24"/>
          <w:lang w:val="en-US" w:eastAsia="zh-CN" w:bidi="ar-SA"/>
        </w:rPr>
        <w:t>采购</w:t>
      </w:r>
      <w:r>
        <w:rPr>
          <w:rFonts w:hint="eastAsia" w:ascii="仿宋" w:hAnsi="仿宋" w:eastAsia="仿宋" w:cs="仿宋"/>
          <w:b w:val="0"/>
          <w:bCs w:val="0"/>
          <w:caps w:val="0"/>
          <w:sz w:val="24"/>
          <w:lang w:bidi="ar-SA"/>
        </w:rPr>
        <w:t>人指定品牌同档次产品的证明材料，并需</w:t>
      </w:r>
      <w:r>
        <w:rPr>
          <w:rFonts w:hint="eastAsia" w:ascii="仿宋" w:hAnsi="仿宋" w:eastAsia="仿宋" w:cs="仿宋"/>
          <w:b w:val="0"/>
          <w:bCs w:val="0"/>
          <w:caps w:val="0"/>
          <w:sz w:val="24"/>
          <w:lang w:val="en-US" w:eastAsia="zh-CN" w:bidi="ar-SA"/>
        </w:rPr>
        <w:t>采购</w:t>
      </w:r>
      <w:r>
        <w:rPr>
          <w:rFonts w:hint="eastAsia" w:ascii="仿宋" w:hAnsi="仿宋" w:eastAsia="仿宋" w:cs="仿宋"/>
          <w:b w:val="0"/>
          <w:bCs w:val="0"/>
          <w:caps w:val="0"/>
          <w:sz w:val="24"/>
          <w:lang w:bidi="ar-SA"/>
        </w:rPr>
        <w:t>人同意认可，未填报品牌，型号或多选的，即视为</w:t>
      </w:r>
      <w:r>
        <w:rPr>
          <w:rFonts w:hint="eastAsia" w:ascii="仿宋" w:hAnsi="仿宋" w:eastAsia="仿宋" w:cs="仿宋"/>
          <w:b w:val="0"/>
          <w:bCs w:val="0"/>
          <w:caps w:val="0"/>
          <w:sz w:val="24"/>
          <w:lang w:val="en-US" w:eastAsia="zh-CN" w:bidi="ar-SA"/>
        </w:rPr>
        <w:t>采购</w:t>
      </w:r>
      <w:r>
        <w:rPr>
          <w:rFonts w:hint="eastAsia" w:ascii="仿宋" w:hAnsi="仿宋" w:eastAsia="仿宋" w:cs="仿宋"/>
          <w:b w:val="0"/>
          <w:bCs w:val="0"/>
          <w:caps w:val="0"/>
          <w:sz w:val="24"/>
          <w:lang w:bidi="ar-SA"/>
        </w:rPr>
        <w:t>人可以从指定品牌中可任意指定一种，</w:t>
      </w:r>
      <w:r>
        <w:rPr>
          <w:rFonts w:hint="eastAsia" w:ascii="仿宋" w:hAnsi="仿宋" w:eastAsia="仿宋" w:cs="仿宋"/>
          <w:b w:val="0"/>
          <w:bCs w:val="0"/>
          <w:caps w:val="0"/>
          <w:sz w:val="24"/>
          <w:lang w:val="en-US" w:eastAsia="zh-CN" w:bidi="ar-SA"/>
        </w:rPr>
        <w:t>供应商</w:t>
      </w:r>
      <w:r>
        <w:rPr>
          <w:rFonts w:hint="eastAsia" w:ascii="仿宋" w:hAnsi="仿宋" w:eastAsia="仿宋" w:cs="仿宋"/>
          <w:b w:val="0"/>
          <w:bCs w:val="0"/>
          <w:caps w:val="0"/>
          <w:sz w:val="24"/>
          <w:lang w:bidi="ar-SA"/>
        </w:rPr>
        <w:t>应无异议</w:t>
      </w:r>
      <w:r>
        <w:rPr>
          <w:rFonts w:hint="eastAsia" w:ascii="仿宋" w:hAnsi="仿宋" w:eastAsia="仿宋" w:cs="仿宋"/>
          <w:b w:val="0"/>
          <w:bCs w:val="0"/>
          <w:caps w:val="0"/>
          <w:sz w:val="24"/>
          <w:lang w:eastAsia="zh-CN" w:bidi="ar-SA"/>
        </w:rPr>
        <w:t>，</w:t>
      </w:r>
      <w:r>
        <w:rPr>
          <w:rFonts w:hint="eastAsia" w:ascii="仿宋" w:hAnsi="仿宋" w:eastAsia="仿宋" w:cs="仿宋"/>
          <w:b w:val="0"/>
          <w:bCs w:val="0"/>
          <w:caps w:val="0"/>
          <w:sz w:val="24"/>
          <w:lang w:val="en-US" w:eastAsia="zh-CN" w:bidi="ar-SA"/>
        </w:rPr>
        <w:t>且不对合同总价予以调整。</w:t>
      </w:r>
    </w:p>
    <w:p w14:paraId="16FDFE7C">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3.7整体调试要求</w:t>
      </w:r>
    </w:p>
    <w:p w14:paraId="788CAF46">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（1）待设备安装完成，电缆敷设与割接工作完成是，综合对整套系统进行试验工作，对各线路进行绝缘测试、耐压试验。</w:t>
      </w:r>
    </w:p>
    <w:p w14:paraId="5DB07685">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（2）完成智能监控与自动化系统的安装调试，实现与电气设备的互联互通。</w:t>
      </w:r>
    </w:p>
    <w:p w14:paraId="6507E7EE">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（3）对整个高配系统进行联合调试，模拟各种运行工况，检测系统稳定性、可靠性，及时排除故障隐患。</w:t>
      </w:r>
    </w:p>
    <w:p w14:paraId="2C17FBE5">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（4）通过电力等部门的评估。</w:t>
      </w:r>
    </w:p>
    <w:p w14:paraId="001AFD74">
      <w:pPr>
        <w:pStyle w:val="33"/>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主要材料品牌推荐表</w:t>
      </w:r>
    </w:p>
    <w:tbl>
      <w:tblPr>
        <w:tblStyle w:val="52"/>
        <w:tblW w:w="8885" w:type="dxa"/>
        <w:jc w:val="center"/>
        <w:tblLayout w:type="fixed"/>
        <w:tblCellMar>
          <w:top w:w="0" w:type="dxa"/>
          <w:left w:w="10" w:type="dxa"/>
          <w:bottom w:w="0" w:type="dxa"/>
          <w:right w:w="10" w:type="dxa"/>
        </w:tblCellMar>
      </w:tblPr>
      <w:tblGrid>
        <w:gridCol w:w="709"/>
        <w:gridCol w:w="3903"/>
        <w:gridCol w:w="4273"/>
      </w:tblGrid>
      <w:tr w14:paraId="4B875304">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8371">
            <w:pPr>
              <w:autoSpaceDE w:val="0"/>
              <w:autoSpaceDN w:val="0"/>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A01990">
            <w:pPr>
              <w:autoSpaceDE w:val="0"/>
              <w:autoSpaceDN w:val="0"/>
              <w:adjustRightInd w:val="0"/>
              <w:snapToGrid w:val="0"/>
              <w:jc w:val="center"/>
              <w:rPr>
                <w:rFonts w:hint="eastAsia" w:ascii="仿宋" w:hAnsi="仿宋" w:eastAsia="仿宋" w:cs="仿宋"/>
                <w:szCs w:val="21"/>
              </w:rPr>
            </w:pPr>
            <w:r>
              <w:rPr>
                <w:rFonts w:hint="eastAsia" w:ascii="仿宋" w:hAnsi="仿宋" w:eastAsia="仿宋" w:cs="仿宋"/>
                <w:szCs w:val="21"/>
              </w:rPr>
              <w:t>材料名称</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7759E3D">
            <w:pPr>
              <w:autoSpaceDE w:val="0"/>
              <w:autoSpaceDN w:val="0"/>
              <w:adjustRightInd w:val="0"/>
              <w:snapToGrid w:val="0"/>
              <w:jc w:val="center"/>
              <w:rPr>
                <w:rFonts w:hint="eastAsia" w:ascii="仿宋" w:hAnsi="仿宋" w:eastAsia="仿宋" w:cs="仿宋"/>
                <w:szCs w:val="21"/>
                <w:lang w:eastAsia="zh-CN"/>
              </w:rPr>
            </w:pPr>
            <w:r>
              <w:rPr>
                <w:rFonts w:hint="eastAsia" w:ascii="仿宋" w:hAnsi="仿宋" w:eastAsia="仿宋" w:cs="仿宋"/>
                <w:szCs w:val="21"/>
              </w:rPr>
              <w:t>推荐品牌或制造商</w:t>
            </w:r>
            <w:r>
              <w:rPr>
                <w:rFonts w:hint="eastAsia" w:ascii="仿宋" w:hAnsi="仿宋" w:eastAsia="仿宋" w:cs="仿宋"/>
                <w:szCs w:val="21"/>
                <w:lang w:eastAsia="zh-CN"/>
              </w:rPr>
              <w:t>（</w:t>
            </w:r>
            <w:r>
              <w:rPr>
                <w:rFonts w:hint="eastAsia" w:ascii="仿宋" w:hAnsi="仿宋" w:eastAsia="仿宋" w:cs="仿宋"/>
                <w:color w:val="000000"/>
                <w:sz w:val="24"/>
                <w:szCs w:val="24"/>
                <w:highlight w:val="none"/>
              </w:rPr>
              <w:t>或相当于</w:t>
            </w:r>
            <w:r>
              <w:rPr>
                <w:rFonts w:hint="eastAsia" w:ascii="仿宋" w:hAnsi="仿宋" w:eastAsia="仿宋" w:cs="仿宋"/>
                <w:color w:val="000000"/>
                <w:sz w:val="24"/>
                <w:szCs w:val="24"/>
                <w:highlight w:val="none"/>
                <w:lang w:eastAsia="zh-CN"/>
              </w:rPr>
              <w:t>）</w:t>
            </w:r>
          </w:p>
        </w:tc>
      </w:tr>
      <w:tr w14:paraId="067621A1">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8D53">
            <w:pPr>
              <w:autoSpaceDE w:val="0"/>
              <w:autoSpaceDN w:val="0"/>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61A1E3E">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高压柜</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DF9A85A">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浙宝电气、</w:t>
            </w:r>
            <w:r>
              <w:rPr>
                <w:rFonts w:hint="eastAsia" w:ascii="仿宋" w:hAnsi="仿宋" w:eastAsia="仿宋" w:cs="仿宋"/>
                <w:color w:val="auto"/>
                <w:szCs w:val="21"/>
                <w:lang w:eastAsia="zh-CN"/>
              </w:rPr>
              <w:t>杭州圣力</w:t>
            </w:r>
            <w:r>
              <w:rPr>
                <w:rFonts w:hint="eastAsia" w:ascii="仿宋" w:hAnsi="仿宋" w:eastAsia="仿宋" w:cs="仿宋"/>
                <w:color w:val="auto"/>
                <w:szCs w:val="21"/>
              </w:rPr>
              <w:t>、杭开</w:t>
            </w:r>
          </w:p>
        </w:tc>
      </w:tr>
      <w:tr w14:paraId="14850C8C">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30D7F">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2</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57C0554">
            <w:pPr>
              <w:autoSpaceDE w:val="0"/>
              <w:autoSpaceDN w:val="0"/>
              <w:snapToGrid w:val="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rPr>
              <w:t>真空断路器及负荷开关</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4DD254">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施耐德、ABB、西门子</w:t>
            </w:r>
          </w:p>
        </w:tc>
      </w:tr>
      <w:tr w14:paraId="45BA7DAD">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F33C">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3</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8B9128D">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综合继电保护</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275600">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施耐德、ABB、西门子</w:t>
            </w:r>
          </w:p>
        </w:tc>
      </w:tr>
      <w:tr w14:paraId="6DBDECFB">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46AB">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001C7E5">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智能配电系统</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E3F7EF0">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施耐德、ABB、西门子</w:t>
            </w:r>
          </w:p>
        </w:tc>
      </w:tr>
      <w:tr w14:paraId="12CCA442">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6FCD">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5</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A5DC8F1">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直流屏及控制柜</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F3E40D">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博朗耐、英威腾、航天柏克</w:t>
            </w:r>
          </w:p>
        </w:tc>
      </w:tr>
      <w:tr w14:paraId="76AD3E49">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829DF">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6</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E27DFC">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LED灯具</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C714E8">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欧普、三雄极光、飞利浦、雷士</w:t>
            </w:r>
          </w:p>
        </w:tc>
      </w:tr>
      <w:tr w14:paraId="5AC634E7">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B9AFD">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7</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845E50C">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智慧监测平台</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D91C86F">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海康、大华、宇视</w:t>
            </w:r>
          </w:p>
        </w:tc>
      </w:tr>
      <w:tr w14:paraId="598FCE82">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F97D">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8</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F655635">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电线、电缆</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824A034">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永通中策、浙江万马、无锡华美、江苏鑫峰</w:t>
            </w:r>
          </w:p>
        </w:tc>
      </w:tr>
      <w:tr w14:paraId="614E96CA">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0D82">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9</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C194046">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桥架</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8A3F71">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远大、上海正大、浙江信一、浙江博奥</w:t>
            </w:r>
          </w:p>
        </w:tc>
      </w:tr>
      <w:tr w14:paraId="77F1911C">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254D">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D3D1AE">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母线</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2A43B72">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浙江远大、杭州鸿雁、杭州杭开</w:t>
            </w:r>
          </w:p>
        </w:tc>
      </w:tr>
      <w:tr w14:paraId="198248B7">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29F5">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11</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A5A9B0">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管材</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A7B93EE">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公元、中财、伟星</w:t>
            </w:r>
          </w:p>
        </w:tc>
      </w:tr>
      <w:tr w14:paraId="0D68694C">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A26A">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EE4F339">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乳胶漆、真石漆</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F395BC">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上海立邦、嘉宝莉、多乐士、华润</w:t>
            </w:r>
          </w:p>
        </w:tc>
      </w:tr>
      <w:tr w14:paraId="56C342DA">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4EFE">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0A08509">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灭火器</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76A1F2">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龙成消防、星浙安、神龙消防</w:t>
            </w:r>
          </w:p>
        </w:tc>
      </w:tr>
      <w:tr w14:paraId="7AC25816">
        <w:tblPrEx>
          <w:tblCellMar>
            <w:top w:w="0" w:type="dxa"/>
            <w:left w:w="10" w:type="dxa"/>
            <w:bottom w:w="0" w:type="dxa"/>
            <w:right w:w="10" w:type="dxa"/>
          </w:tblCellMar>
        </w:tblPrEx>
        <w:trPr>
          <w:trHeight w:val="6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A42C">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14</w:t>
            </w:r>
          </w:p>
        </w:tc>
        <w:tc>
          <w:tcPr>
            <w:tcW w:w="390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2FA14FA">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空调</w:t>
            </w:r>
          </w:p>
        </w:tc>
        <w:tc>
          <w:tcPr>
            <w:tcW w:w="427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3D16F2">
            <w:pPr>
              <w:autoSpaceDE w:val="0"/>
              <w:autoSpaceDN w:val="0"/>
              <w:snapToGrid w:val="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rPr>
              <w:t>格力、美的、海尔</w:t>
            </w:r>
          </w:p>
        </w:tc>
      </w:tr>
    </w:tbl>
    <w:p w14:paraId="19D1C7E6">
      <w:pPr>
        <w:rPr>
          <w:rFonts w:hint="default"/>
          <w:lang w:val="en-US" w:eastAsia="zh-CN"/>
        </w:rPr>
      </w:pPr>
    </w:p>
    <w:p w14:paraId="54EF6F86">
      <w:pPr>
        <w:pStyle w:val="3"/>
        <w:autoSpaceDE w:val="0"/>
        <w:autoSpaceDN w:val="0"/>
        <w:spacing w:beforeLines="0"/>
        <w:ind w:firstLine="482"/>
        <w:rPr>
          <w:rFonts w:hint="eastAsia" w:ascii="仿宋" w:hAnsi="仿宋" w:eastAsia="仿宋" w:cs="仿宋"/>
          <w:b/>
          <w:bCs/>
          <w:sz w:val="24"/>
          <w:lang w:val="en-US" w:eastAsia="zh-CN"/>
        </w:rPr>
      </w:pPr>
      <w:bookmarkStart w:id="68" w:name="_Toc26802"/>
      <w:r>
        <w:rPr>
          <w:rFonts w:hint="eastAsia" w:ascii="仿宋" w:hAnsi="仿宋" w:eastAsia="仿宋" w:cs="仿宋"/>
          <w:b/>
          <w:bCs/>
          <w:sz w:val="24"/>
          <w:lang w:val="en-US" w:eastAsia="zh-CN"/>
        </w:rPr>
        <w:t>四、</w:t>
      </w:r>
      <w:r>
        <w:rPr>
          <w:rFonts w:hint="eastAsia" w:ascii="仿宋" w:hAnsi="仿宋" w:eastAsia="仿宋" w:cs="仿宋"/>
          <w:sz w:val="24"/>
          <w:lang w:val="en-US" w:eastAsia="zh-CN"/>
        </w:rPr>
        <w:t>质量要求</w:t>
      </w:r>
      <w:bookmarkEnd w:id="68"/>
    </w:p>
    <w:p w14:paraId="6A9D62F2">
      <w:pPr>
        <w:numPr>
          <w:ilvl w:val="0"/>
          <w:numId w:val="0"/>
        </w:numPr>
        <w:spacing w:line="360" w:lineRule="auto"/>
        <w:ind w:left="220" w:leftChars="0" w:firstLine="482" w:firstLineChars="200"/>
        <w:jc w:val="left"/>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4.1.</w:t>
      </w:r>
      <w:r>
        <w:rPr>
          <w:rFonts w:hint="default" w:ascii="仿宋" w:hAnsi="仿宋" w:eastAsia="仿宋" w:cs="仿宋"/>
          <w:b/>
          <w:bCs/>
          <w:color w:val="auto"/>
          <w:sz w:val="24"/>
          <w:lang w:val="en-US" w:eastAsia="zh-CN"/>
        </w:rPr>
        <w:t>设计质量把控</w:t>
      </w:r>
    </w:p>
    <w:p w14:paraId="4CEB7A40">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在设计过程中，充分考虑校园电力需求特点、未来发展规划以及相关规范标准要求，确保设计先进性、合理性与可行性。</w:t>
      </w:r>
    </w:p>
    <w:p w14:paraId="727B739F">
      <w:pPr>
        <w:numPr>
          <w:ilvl w:val="0"/>
          <w:numId w:val="0"/>
        </w:numPr>
        <w:spacing w:line="360" w:lineRule="auto"/>
        <w:ind w:left="220" w:leftChars="0"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4.2.</w:t>
      </w:r>
      <w:r>
        <w:rPr>
          <w:rFonts w:hint="default" w:ascii="仿宋" w:hAnsi="仿宋" w:eastAsia="仿宋" w:cs="仿宋"/>
          <w:b/>
          <w:bCs/>
          <w:sz w:val="24"/>
          <w:lang w:val="en-US" w:eastAsia="zh-CN"/>
        </w:rPr>
        <w:t>施工质量管控</w:t>
      </w:r>
    </w:p>
    <w:p w14:paraId="117BA4E0">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建立健全质量管理体系，施工过程中，实行施工单位自检、业主单位</w:t>
      </w:r>
      <w:r>
        <w:rPr>
          <w:rFonts w:hint="eastAsia" w:ascii="仿宋" w:hAnsi="仿宋" w:eastAsia="仿宋" w:cs="仿宋"/>
          <w:sz w:val="24"/>
          <w:lang w:val="en-US" w:eastAsia="zh-CN"/>
        </w:rPr>
        <w:t>及供电公司</w:t>
      </w:r>
      <w:r>
        <w:rPr>
          <w:rFonts w:hint="default" w:ascii="仿宋" w:hAnsi="仿宋" w:eastAsia="仿宋" w:cs="仿宋"/>
          <w:sz w:val="24"/>
          <w:lang w:val="en-US" w:eastAsia="zh-CN"/>
        </w:rPr>
        <w:t>终检的“三检”制度，确保施工质量符合设计与规范要求。</w:t>
      </w:r>
    </w:p>
    <w:p w14:paraId="79C009C5">
      <w:pPr>
        <w:numPr>
          <w:ilvl w:val="0"/>
          <w:numId w:val="0"/>
        </w:numPr>
        <w:spacing w:line="360" w:lineRule="auto"/>
        <w:ind w:left="220" w:leftChars="0"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4.3.</w:t>
      </w:r>
      <w:r>
        <w:rPr>
          <w:rFonts w:hint="default" w:ascii="仿宋" w:hAnsi="仿宋" w:eastAsia="仿宋" w:cs="仿宋"/>
          <w:b/>
          <w:bCs/>
          <w:sz w:val="24"/>
          <w:lang w:val="en-US" w:eastAsia="zh-CN"/>
        </w:rPr>
        <w:t>加强原材料与设备质量控制，所有进场材料、设备必须具备质量合格证明文件，不合格产品严禁使用。</w:t>
      </w:r>
    </w:p>
    <w:p w14:paraId="1BC0EB1B">
      <w:pPr>
        <w:numPr>
          <w:ilvl w:val="0"/>
          <w:numId w:val="0"/>
        </w:numPr>
        <w:spacing w:line="360" w:lineRule="auto"/>
        <w:ind w:left="220" w:leftChars="0" w:firstLine="482" w:firstLineChars="200"/>
        <w:jc w:val="left"/>
        <w:rPr>
          <w:rFonts w:hint="default" w:ascii="仿宋" w:hAnsi="仿宋" w:eastAsia="仿宋" w:cs="仿宋"/>
          <w:b/>
          <w:bCs/>
          <w:sz w:val="24"/>
          <w:lang w:val="en-US" w:eastAsia="zh-CN"/>
        </w:rPr>
      </w:pPr>
      <w:r>
        <w:rPr>
          <w:rFonts w:hint="eastAsia" w:ascii="仿宋" w:hAnsi="仿宋" w:eastAsia="仿宋" w:cs="仿宋"/>
          <w:b/>
          <w:bCs/>
          <w:sz w:val="24"/>
          <w:lang w:val="en-US" w:eastAsia="zh-CN"/>
        </w:rPr>
        <w:t>4.4.</w:t>
      </w:r>
      <w:r>
        <w:rPr>
          <w:rFonts w:hint="default" w:ascii="仿宋" w:hAnsi="仿宋" w:eastAsia="仿宋" w:cs="仿宋"/>
          <w:b/>
          <w:bCs/>
          <w:sz w:val="24"/>
          <w:lang w:val="en-US" w:eastAsia="zh-CN"/>
        </w:rPr>
        <w:t>竣工验收管理</w:t>
      </w:r>
    </w:p>
    <w:p w14:paraId="19B52A7A">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按照国家和地方有关电力工程竣工验收标准，制定详细的验收流程与验收标准。</w:t>
      </w:r>
      <w:r>
        <w:rPr>
          <w:rFonts w:hint="eastAsia" w:ascii="仿宋" w:hAnsi="仿宋" w:eastAsia="仿宋" w:cs="仿宋"/>
          <w:sz w:val="24"/>
          <w:lang w:val="en-US" w:eastAsia="zh-CN"/>
        </w:rPr>
        <w:t>会同供电公司</w:t>
      </w:r>
      <w:r>
        <w:rPr>
          <w:rFonts w:hint="default" w:ascii="仿宋" w:hAnsi="仿宋" w:eastAsia="仿宋" w:cs="仿宋"/>
          <w:sz w:val="24"/>
          <w:lang w:val="en-US" w:eastAsia="zh-CN"/>
        </w:rPr>
        <w:t>对工程土建、电气安装、智能监控等各分项工程进行全面验收，对验收发现的问题及时整改，直至验收合格，确保工程交付质量。</w:t>
      </w:r>
    </w:p>
    <w:p w14:paraId="458D9EE1">
      <w:pPr>
        <w:pStyle w:val="3"/>
        <w:autoSpaceDE w:val="0"/>
        <w:autoSpaceDN w:val="0"/>
        <w:spacing w:beforeLines="0"/>
        <w:ind w:firstLine="482"/>
        <w:rPr>
          <w:rFonts w:hint="eastAsia" w:ascii="仿宋" w:hAnsi="仿宋" w:eastAsia="仿宋" w:cs="仿宋"/>
          <w:b/>
          <w:bCs/>
          <w:sz w:val="24"/>
          <w:lang w:val="en-US" w:eastAsia="zh-CN"/>
        </w:rPr>
      </w:pPr>
      <w:bookmarkStart w:id="69" w:name="_Toc12992"/>
      <w:r>
        <w:rPr>
          <w:rFonts w:hint="eastAsia" w:ascii="仿宋" w:hAnsi="仿宋" w:eastAsia="仿宋" w:cs="仿宋"/>
          <w:b/>
          <w:bCs/>
          <w:sz w:val="24"/>
          <w:lang w:val="en-US" w:eastAsia="zh-CN"/>
        </w:rPr>
        <w:t>五、</w:t>
      </w:r>
      <w:r>
        <w:rPr>
          <w:rFonts w:hint="eastAsia" w:ascii="仿宋" w:hAnsi="仿宋" w:eastAsia="仿宋" w:cs="仿宋"/>
          <w:sz w:val="24"/>
          <w:lang w:val="en-US" w:eastAsia="zh-CN"/>
        </w:rPr>
        <w:t>安全及</w:t>
      </w:r>
      <w:r>
        <w:rPr>
          <w:rFonts w:hint="eastAsia" w:ascii="仿宋" w:hAnsi="仿宋" w:eastAsia="仿宋" w:cs="仿宋"/>
          <w:b/>
          <w:bCs/>
          <w:sz w:val="24"/>
          <w:lang w:val="en-US" w:eastAsia="zh-CN"/>
        </w:rPr>
        <w:t>保障要求</w:t>
      </w:r>
      <w:bookmarkEnd w:id="69"/>
    </w:p>
    <w:p w14:paraId="587F4D4E">
      <w:pPr>
        <w:numPr>
          <w:ilvl w:val="0"/>
          <w:numId w:val="0"/>
        </w:numPr>
        <w:spacing w:line="360" w:lineRule="auto"/>
        <w:ind w:left="220" w:leftChars="0" w:firstLine="480" w:firstLineChars="200"/>
        <w:jc w:val="left"/>
        <w:rPr>
          <w:rFonts w:hint="default" w:ascii="仿宋" w:hAnsi="仿宋" w:eastAsia="仿宋" w:cs="仿宋"/>
          <w:sz w:val="24"/>
          <w:lang w:val="en-US" w:eastAsia="zh-CN"/>
        </w:rPr>
      </w:pPr>
      <w:r>
        <w:rPr>
          <w:rFonts w:hint="default" w:ascii="仿宋" w:hAnsi="仿宋" w:eastAsia="仿宋" w:cs="仿宋"/>
          <w:sz w:val="24"/>
          <w:lang w:val="en-US" w:eastAsia="zh-CN"/>
        </w:rPr>
        <w:t>制定完善的施工现场安全管理制度，明确各方安全责任。施工单位配备专职安全管理人员，对施工现场进行日常巡查，及时消除安全隐患。对施工人员进行三级安全教育培训，考核合格后方可充当的电力运维团队，明确岗位职责，制定绩效考核制度。</w:t>
      </w:r>
    </w:p>
    <w:p w14:paraId="120535EB">
      <w:pPr>
        <w:numPr>
          <w:ilvl w:val="0"/>
          <w:numId w:val="0"/>
        </w:numPr>
        <w:spacing w:line="360" w:lineRule="auto"/>
        <w:ind w:left="220" w:leftChars="0" w:firstLine="480" w:firstLineChars="200"/>
        <w:jc w:val="left"/>
        <w:rPr>
          <w:rFonts w:hint="eastAsia" w:ascii="仿宋" w:hAnsi="仿宋" w:eastAsia="仿宋" w:cs="仿宋"/>
          <w:sz w:val="24"/>
          <w:lang w:val="en-US" w:eastAsia="zh-CN"/>
        </w:rPr>
      </w:pPr>
      <w:r>
        <w:rPr>
          <w:rFonts w:hint="default" w:ascii="仿宋" w:hAnsi="仿宋" w:eastAsia="仿宋" w:cs="仿宋"/>
          <w:sz w:val="24"/>
          <w:lang w:val="en-US" w:eastAsia="zh-CN"/>
        </w:rPr>
        <w:t>技术培训与提升：组织运维人员参加专业技术培训，邀请设备厂家技术人员、电力行业专家进行授课，学习新设备、新技术、新工艺，不断提升运维人员业务水平。</w:t>
      </w:r>
    </w:p>
    <w:p w14:paraId="0B14B26F">
      <w:pPr>
        <w:pStyle w:val="3"/>
        <w:autoSpaceDE w:val="0"/>
        <w:autoSpaceDN w:val="0"/>
        <w:spacing w:beforeLines="0"/>
        <w:ind w:firstLine="482"/>
        <w:rPr>
          <w:rFonts w:hint="eastAsia" w:ascii="仿宋" w:hAnsi="仿宋" w:eastAsia="仿宋" w:cs="仿宋"/>
          <w:sz w:val="24"/>
        </w:rPr>
      </w:pPr>
      <w:bookmarkStart w:id="70" w:name="_Toc27511"/>
      <w:r>
        <w:rPr>
          <w:rFonts w:hint="eastAsia" w:ascii="仿宋" w:hAnsi="仿宋" w:eastAsia="仿宋" w:cs="仿宋"/>
          <w:sz w:val="24"/>
          <w:lang w:val="en-US" w:eastAsia="zh-CN"/>
        </w:rPr>
        <w:t>六</w:t>
      </w:r>
      <w:r>
        <w:rPr>
          <w:rFonts w:hint="eastAsia" w:ascii="仿宋" w:hAnsi="仿宋" w:eastAsia="仿宋" w:cs="仿宋"/>
          <w:sz w:val="24"/>
        </w:rPr>
        <w:t>、人员</w:t>
      </w:r>
      <w:r>
        <w:rPr>
          <w:rFonts w:hint="eastAsia" w:ascii="仿宋" w:hAnsi="仿宋" w:eastAsia="仿宋" w:cs="仿宋"/>
          <w:b/>
          <w:bCs/>
          <w:sz w:val="24"/>
          <w:lang w:val="en-US" w:eastAsia="zh-CN"/>
        </w:rPr>
        <w:t>要求</w:t>
      </w:r>
      <w:bookmarkEnd w:id="65"/>
      <w:bookmarkEnd w:id="70"/>
    </w:p>
    <w:p w14:paraId="340DFE4D">
      <w:pPr>
        <w:autoSpaceDE w:val="0"/>
        <w:autoSpaceDN w:val="0"/>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▲1.</w:t>
      </w:r>
      <w:r>
        <w:rPr>
          <w:rFonts w:hint="eastAsia" w:ascii="仿宋" w:hAnsi="仿宋" w:eastAsia="仿宋" w:cs="仿宋"/>
          <w:b/>
          <w:bCs/>
          <w:sz w:val="24"/>
          <w:highlight w:val="none"/>
        </w:rPr>
        <w:t>拟派项目经理</w:t>
      </w:r>
      <w:bookmarkStart w:id="71" w:name="_Hlk90025785"/>
      <w:r>
        <w:rPr>
          <w:rFonts w:hint="eastAsia" w:ascii="仿宋" w:hAnsi="仿宋" w:eastAsia="仿宋" w:cs="仿宋"/>
          <w:b/>
          <w:bCs/>
          <w:sz w:val="24"/>
          <w:highlight w:val="none"/>
        </w:rPr>
        <w:t>具有</w:t>
      </w:r>
      <w:r>
        <w:rPr>
          <w:rFonts w:hint="eastAsia" w:ascii="仿宋" w:hAnsi="仿宋" w:eastAsia="仿宋" w:cs="仿宋"/>
          <w:b/>
          <w:bCs/>
          <w:sz w:val="24"/>
          <w:highlight w:val="none"/>
          <w:lang w:eastAsia="zh-CN"/>
        </w:rPr>
        <w:t>机电工程专业二级</w:t>
      </w:r>
      <w:r>
        <w:rPr>
          <w:rFonts w:hint="eastAsia" w:ascii="仿宋" w:hAnsi="仿宋" w:eastAsia="仿宋" w:cs="仿宋"/>
          <w:b/>
          <w:bCs/>
          <w:sz w:val="24"/>
          <w:highlight w:val="none"/>
        </w:rPr>
        <w:t>及以上</w:t>
      </w:r>
      <w:bookmarkEnd w:id="71"/>
      <w:r>
        <w:rPr>
          <w:rFonts w:hint="eastAsia" w:ascii="仿宋" w:hAnsi="仿宋" w:eastAsia="仿宋" w:cs="仿宋"/>
          <w:b/>
          <w:bCs/>
          <w:sz w:val="24"/>
          <w:highlight w:val="none"/>
        </w:rPr>
        <w:t>注册建造师资格（在响应文件中提供证书扫描件）；</w:t>
      </w:r>
    </w:p>
    <w:p w14:paraId="17E1AFBC">
      <w:pPr>
        <w:autoSpaceDE w:val="0"/>
        <w:autoSpaceDN w:val="0"/>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▲2.项目经理须提供无在建工程项目承诺函;</w:t>
      </w:r>
    </w:p>
    <w:p w14:paraId="481F7804">
      <w:pPr>
        <w:autoSpaceDE w:val="0"/>
        <w:autoSpaceDN w:val="0"/>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▲3.拟派项目经理具有“三类人员”B类证书；拟派现场的安全专职管理员具有施工现场安全生产专职管理人员“三类人员”C类证书。（在响应文件中提供证书扫描件）</w:t>
      </w:r>
    </w:p>
    <w:p w14:paraId="7C64AB0C">
      <w:pPr>
        <w:pStyle w:val="3"/>
        <w:keepNext/>
        <w:keepLines/>
        <w:widowControl w:val="0"/>
        <w:autoSpaceDE w:val="0"/>
        <w:autoSpaceDN w:val="0"/>
        <w:spacing w:beforeLines="0"/>
        <w:rPr>
          <w:rFonts w:hint="eastAsia" w:ascii="仿宋" w:hAnsi="仿宋" w:eastAsia="仿宋" w:cs="仿宋"/>
          <w:b/>
          <w:bCs/>
          <w:sz w:val="24"/>
          <w:szCs w:val="32"/>
        </w:rPr>
      </w:pPr>
      <w:bookmarkStart w:id="72" w:name="_Toc31263"/>
      <w:r>
        <w:rPr>
          <w:rFonts w:hint="eastAsia" w:ascii="仿宋" w:hAnsi="仿宋" w:eastAsia="仿宋" w:cs="仿宋"/>
          <w:b/>
          <w:bCs/>
          <w:sz w:val="24"/>
          <w:lang w:val="en-US" w:eastAsia="zh-CN"/>
        </w:rPr>
        <w:t>七、</w:t>
      </w:r>
      <w:r>
        <w:rPr>
          <w:rFonts w:hint="eastAsia" w:ascii="仿宋" w:hAnsi="仿宋" w:eastAsia="仿宋" w:cs="仿宋"/>
          <w:b/>
          <w:bCs/>
          <w:sz w:val="24"/>
          <w:szCs w:val="32"/>
          <w:lang w:val="en-US" w:eastAsia="zh-CN"/>
        </w:rPr>
        <w:t>工期要求</w:t>
      </w:r>
      <w:bookmarkEnd w:id="72"/>
    </w:p>
    <w:p w14:paraId="4A896EE7">
      <w:pPr>
        <w:keepNext w:val="0"/>
        <w:keepLines w:val="0"/>
        <w:pageBreakBefore w:val="0"/>
        <w:widowControl/>
        <w:numPr>
          <w:ilvl w:val="0"/>
          <w:numId w:val="0"/>
        </w:numPr>
        <w:kinsoku/>
        <w:wordWrap/>
        <w:overflowPunct/>
        <w:topLinePunct w:val="0"/>
        <w:autoSpaceDE/>
        <w:autoSpaceDN/>
        <w:bidi w:val="0"/>
        <w:spacing w:line="360" w:lineRule="auto"/>
        <w:ind w:left="220" w:firstLine="480" w:firstLineChars="200"/>
        <w:jc w:val="left"/>
        <w:rPr>
          <w:rFonts w:hint="default" w:ascii="仿宋" w:hAnsi="仿宋" w:eastAsia="仿宋" w:cs="仿宋"/>
          <w:sz w:val="24"/>
          <w:szCs w:val="24"/>
        </w:rPr>
      </w:pPr>
      <w:r>
        <w:rPr>
          <w:rFonts w:hint="default" w:ascii="仿宋" w:hAnsi="仿宋" w:eastAsia="仿宋" w:cs="仿宋"/>
          <w:sz w:val="24"/>
          <w:szCs w:val="24"/>
          <w:lang w:val="en-US" w:eastAsia="zh-CN"/>
        </w:rPr>
        <w:t>7</w:t>
      </w:r>
      <w:r>
        <w:rPr>
          <w:rFonts w:hint="default" w:ascii="仿宋" w:hAnsi="仿宋" w:eastAsia="仿宋" w:cs="仿宋"/>
          <w:sz w:val="24"/>
          <w:szCs w:val="24"/>
        </w:rPr>
        <w:t>.1设计周期要求：</w:t>
      </w:r>
      <w:r>
        <w:rPr>
          <w:rFonts w:hint="default" w:ascii="仿宋" w:hAnsi="仿宋" w:eastAsia="仿宋" w:cs="仿宋"/>
          <w:sz w:val="24"/>
        </w:rPr>
        <w:t>自合同签订之日起开始计算，</w:t>
      </w:r>
      <w:r>
        <w:rPr>
          <w:rFonts w:hint="default" w:ascii="仿宋" w:hAnsi="仿宋" w:eastAsia="仿宋" w:cs="仿宋"/>
          <w:sz w:val="24"/>
          <w:lang w:val="en-US" w:eastAsia="zh-CN"/>
        </w:rPr>
        <w:t>3</w:t>
      </w:r>
      <w:r>
        <w:rPr>
          <w:rFonts w:hint="default" w:ascii="仿宋" w:hAnsi="仿宋" w:eastAsia="仿宋" w:cs="仿宋"/>
          <w:sz w:val="24"/>
        </w:rPr>
        <w:t>0日历天内完成方案优化及</w:t>
      </w:r>
      <w:r>
        <w:rPr>
          <w:rFonts w:hint="default" w:ascii="仿宋" w:hAnsi="仿宋" w:eastAsia="仿宋" w:cs="仿宋"/>
          <w:snapToGrid/>
          <w:sz w:val="24"/>
          <w:szCs w:val="24"/>
        </w:rPr>
        <w:t>施工图设计(</w:t>
      </w:r>
      <w:r>
        <w:rPr>
          <w:rFonts w:hint="default" w:ascii="仿宋" w:hAnsi="仿宋" w:eastAsia="仿宋" w:cs="仿宋"/>
          <w:sz w:val="24"/>
        </w:rPr>
        <w:t>总图、工艺、结构、电气、自控、建筑、暖通等施工图设计</w:t>
      </w:r>
      <w:r>
        <w:rPr>
          <w:rFonts w:hint="default" w:ascii="仿宋" w:hAnsi="仿宋" w:eastAsia="仿宋" w:cs="仿宋"/>
          <w:snapToGrid/>
          <w:sz w:val="24"/>
          <w:szCs w:val="24"/>
        </w:rPr>
        <w:t>)</w:t>
      </w:r>
      <w:r>
        <w:rPr>
          <w:rFonts w:hint="default" w:ascii="仿宋" w:hAnsi="仿宋" w:eastAsia="仿宋" w:cs="仿宋"/>
          <w:snapToGrid/>
          <w:sz w:val="24"/>
          <w:szCs w:val="24"/>
          <w:lang w:eastAsia="zh-CN"/>
        </w:rPr>
        <w:t>，</w:t>
      </w:r>
      <w:r>
        <w:rPr>
          <w:rFonts w:hint="default" w:ascii="仿宋" w:hAnsi="仿宋" w:eastAsia="仿宋" w:cs="仿宋"/>
          <w:snapToGrid/>
          <w:sz w:val="24"/>
          <w:szCs w:val="24"/>
          <w:lang w:val="en-US" w:eastAsia="zh-CN"/>
        </w:rPr>
        <w:t>出具正式施工图并提交施工图预算</w:t>
      </w:r>
      <w:r>
        <w:rPr>
          <w:rFonts w:hint="default" w:ascii="仿宋" w:hAnsi="仿宋" w:eastAsia="仿宋" w:cs="仿宋"/>
          <w:snapToGrid/>
          <w:sz w:val="24"/>
          <w:szCs w:val="24"/>
        </w:rPr>
        <w:t>；</w:t>
      </w:r>
    </w:p>
    <w:p w14:paraId="0E1F200C">
      <w:pPr>
        <w:numPr>
          <w:ilvl w:val="0"/>
          <w:numId w:val="0"/>
        </w:numPr>
        <w:spacing w:line="360" w:lineRule="auto"/>
        <w:ind w:left="220" w:firstLine="480" w:firstLineChars="200"/>
        <w:jc w:val="left"/>
        <w:rPr>
          <w:rFonts w:hint="default" w:ascii="仿宋" w:hAnsi="仿宋" w:eastAsia="仿宋" w:cs="仿宋"/>
          <w:sz w:val="24"/>
        </w:rPr>
      </w:pPr>
      <w:r>
        <w:rPr>
          <w:rFonts w:hint="default" w:ascii="仿宋" w:hAnsi="仿宋" w:eastAsia="仿宋" w:cs="仿宋"/>
          <w:sz w:val="24"/>
          <w:szCs w:val="24"/>
          <w:lang w:val="en-US" w:eastAsia="zh-CN"/>
        </w:rPr>
        <w:t>7</w:t>
      </w:r>
      <w:r>
        <w:rPr>
          <w:rFonts w:hint="default" w:ascii="仿宋" w:hAnsi="仿宋" w:eastAsia="仿宋" w:cs="仿宋"/>
          <w:sz w:val="24"/>
          <w:szCs w:val="24"/>
        </w:rPr>
        <w:t>.2施工工期要求：</w:t>
      </w:r>
      <w:r>
        <w:rPr>
          <w:rFonts w:hint="eastAsia" w:ascii="仿宋" w:hAnsi="仿宋" w:eastAsia="仿宋" w:cs="仿宋"/>
          <w:color w:val="auto"/>
          <w:sz w:val="24"/>
          <w:szCs w:val="24"/>
          <w:lang w:val="en-US" w:eastAsia="zh-CN"/>
        </w:rPr>
        <w:t>6</w:t>
      </w:r>
      <w:r>
        <w:rPr>
          <w:rFonts w:hint="default" w:ascii="仿宋" w:hAnsi="仿宋" w:eastAsia="仿宋" w:cs="仿宋"/>
          <w:color w:val="auto"/>
          <w:sz w:val="24"/>
        </w:rPr>
        <w:t>0日历天（</w:t>
      </w:r>
      <w:r>
        <w:rPr>
          <w:rFonts w:hint="default" w:ascii="仿宋" w:hAnsi="仿宋" w:eastAsia="仿宋" w:cs="仿宋"/>
          <w:sz w:val="24"/>
        </w:rPr>
        <w:t>以开工令或开工报告载明的时间起计算）内完成所有工程，满足竣工验收条件，并验收合格（包括调试达到采购人要求</w:t>
      </w:r>
      <w:r>
        <w:rPr>
          <w:rFonts w:hint="default" w:ascii="仿宋" w:hAnsi="仿宋" w:eastAsia="仿宋" w:cs="仿宋"/>
          <w:sz w:val="24"/>
          <w:lang w:val="en-US" w:eastAsia="zh-CN"/>
        </w:rPr>
        <w:t>及通过电力部门验收</w:t>
      </w:r>
      <w:r>
        <w:rPr>
          <w:rFonts w:hint="default" w:ascii="仿宋" w:hAnsi="仿宋" w:eastAsia="仿宋" w:cs="仿宋"/>
          <w:sz w:val="24"/>
        </w:rPr>
        <w:t>）。</w:t>
      </w:r>
    </w:p>
    <w:p w14:paraId="0685C0D5">
      <w:pPr>
        <w:pStyle w:val="3"/>
        <w:autoSpaceDE w:val="0"/>
        <w:autoSpaceDN w:val="0"/>
        <w:spacing w:beforeLines="0"/>
        <w:ind w:firstLine="482"/>
        <w:rPr>
          <w:rFonts w:hint="eastAsia" w:ascii="Arial" w:hAnsi="仿宋" w:eastAsia="仿宋" w:cs="Times New Roman"/>
          <w:b/>
          <w:bCs/>
          <w:caps w:val="0"/>
          <w:sz w:val="24"/>
          <w:szCs w:val="32"/>
        </w:rPr>
      </w:pPr>
      <w:bookmarkStart w:id="73" w:name="_Toc27502"/>
      <w:r>
        <w:rPr>
          <w:rFonts w:hint="eastAsia" w:ascii="Arial" w:hAnsi="仿宋" w:eastAsia="仿宋" w:cs="Times New Roman"/>
          <w:b/>
          <w:bCs/>
          <w:caps w:val="0"/>
          <w:sz w:val="24"/>
          <w:szCs w:val="32"/>
          <w:lang w:val="en-US" w:eastAsia="zh-CN"/>
        </w:rPr>
        <w:t>八、</w:t>
      </w:r>
      <w:r>
        <w:rPr>
          <w:rFonts w:hint="eastAsia" w:ascii="Arial" w:hAnsi="仿宋" w:eastAsia="仿宋" w:cs="Times New Roman"/>
          <w:b/>
          <w:bCs/>
          <w:caps w:val="0"/>
          <w:sz w:val="24"/>
          <w:szCs w:val="32"/>
        </w:rPr>
        <w:t>采购技术规格及要求</w:t>
      </w:r>
      <w:bookmarkEnd w:id="73"/>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294"/>
        <w:gridCol w:w="5532"/>
        <w:gridCol w:w="852"/>
      </w:tblGrid>
      <w:tr w14:paraId="7A4F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212090E">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序号</w:t>
            </w:r>
          </w:p>
        </w:tc>
        <w:tc>
          <w:tcPr>
            <w:tcW w:w="2294" w:type="dxa"/>
            <w:vAlign w:val="center"/>
          </w:tcPr>
          <w:p w14:paraId="72153B67">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主要设备</w:t>
            </w:r>
          </w:p>
        </w:tc>
        <w:tc>
          <w:tcPr>
            <w:tcW w:w="5532" w:type="dxa"/>
            <w:vAlign w:val="center"/>
          </w:tcPr>
          <w:p w14:paraId="48261671">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规格要求（具体详见磋商文件附图及图纸）</w:t>
            </w:r>
          </w:p>
        </w:tc>
        <w:tc>
          <w:tcPr>
            <w:tcW w:w="852" w:type="dxa"/>
            <w:vAlign w:val="center"/>
          </w:tcPr>
          <w:p w14:paraId="36ECC252">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数量</w:t>
            </w:r>
          </w:p>
        </w:tc>
      </w:tr>
      <w:tr w14:paraId="5166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286B424">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2294" w:type="dxa"/>
            <w:vAlign w:val="center"/>
          </w:tcPr>
          <w:p w14:paraId="15A9D4E7">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高压成套配电柜</w:t>
            </w:r>
            <w:r>
              <w:rPr>
                <w:rFonts w:hint="eastAsia" w:ascii="仿宋" w:hAnsi="仿宋" w:eastAsia="仿宋" w:cs="仿宋"/>
                <w:sz w:val="24"/>
                <w:lang w:val="en-US" w:eastAsia="zh-CN"/>
              </w:rPr>
              <w:t>（1）</w:t>
            </w:r>
          </w:p>
        </w:tc>
        <w:tc>
          <w:tcPr>
            <w:tcW w:w="5532" w:type="dxa"/>
            <w:vAlign w:val="center"/>
          </w:tcPr>
          <w:p w14:paraId="7E253F30">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高压柜G1、G15安装及调试，10#基础槽钢制作安装,盘柜下电缆防火堵洞,接地，含柜内母线</w:t>
            </w:r>
            <w:r>
              <w:rPr>
                <w:rFonts w:hint="eastAsia" w:ascii="仿宋" w:hAnsi="仿宋" w:eastAsia="仿宋" w:cs="仿宋"/>
                <w:sz w:val="24"/>
                <w:lang w:val="en-US" w:eastAsia="zh-CN"/>
              </w:rPr>
              <w:t>。</w:t>
            </w:r>
          </w:p>
        </w:tc>
        <w:tc>
          <w:tcPr>
            <w:tcW w:w="852" w:type="dxa"/>
            <w:vAlign w:val="center"/>
          </w:tcPr>
          <w:p w14:paraId="25D4A5D8">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2台</w:t>
            </w:r>
          </w:p>
        </w:tc>
      </w:tr>
      <w:tr w14:paraId="6D4B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39BF14F2">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2294" w:type="dxa"/>
            <w:vAlign w:val="center"/>
          </w:tcPr>
          <w:p w14:paraId="296723D8">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高压成套配电柜</w:t>
            </w:r>
            <w:r>
              <w:rPr>
                <w:rFonts w:hint="eastAsia" w:ascii="仿宋" w:hAnsi="仿宋" w:eastAsia="仿宋" w:cs="仿宋"/>
                <w:sz w:val="24"/>
                <w:lang w:val="en-US" w:eastAsia="zh-CN"/>
              </w:rPr>
              <w:t>（2）</w:t>
            </w:r>
          </w:p>
        </w:tc>
        <w:tc>
          <w:tcPr>
            <w:tcW w:w="5532" w:type="dxa"/>
            <w:vAlign w:val="center"/>
          </w:tcPr>
          <w:p w14:paraId="3A6F945E">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高压柜G2、G14安装及调试，10#基础槽钢制作安装,盘柜下电缆防火堵洞,接地，含柜内母线</w:t>
            </w:r>
            <w:r>
              <w:rPr>
                <w:rFonts w:hint="eastAsia" w:ascii="仿宋" w:hAnsi="仿宋" w:eastAsia="仿宋" w:cs="仿宋"/>
                <w:sz w:val="24"/>
                <w:lang w:val="en-US" w:eastAsia="zh-CN"/>
              </w:rPr>
              <w:t>。</w:t>
            </w:r>
          </w:p>
        </w:tc>
        <w:tc>
          <w:tcPr>
            <w:tcW w:w="852" w:type="dxa"/>
            <w:vAlign w:val="center"/>
          </w:tcPr>
          <w:p w14:paraId="0026FFA6">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2台</w:t>
            </w:r>
          </w:p>
        </w:tc>
      </w:tr>
      <w:tr w14:paraId="73BC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1FB4469">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2294" w:type="dxa"/>
            <w:vAlign w:val="center"/>
          </w:tcPr>
          <w:p w14:paraId="18F74F9B">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高压成套配电柜</w:t>
            </w:r>
            <w:r>
              <w:rPr>
                <w:rFonts w:hint="eastAsia" w:ascii="仿宋" w:hAnsi="仿宋" w:eastAsia="仿宋" w:cs="仿宋"/>
                <w:sz w:val="24"/>
                <w:lang w:val="en-US" w:eastAsia="zh-CN"/>
              </w:rPr>
              <w:t>（3）</w:t>
            </w:r>
          </w:p>
        </w:tc>
        <w:tc>
          <w:tcPr>
            <w:tcW w:w="5532" w:type="dxa"/>
            <w:vAlign w:val="center"/>
          </w:tcPr>
          <w:p w14:paraId="317F24D4">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高压柜G3-G5、G11-G13安装及调试，10#基础槽钢制作安装,盘柜下电缆防火堵洞,接地，含柜内母线</w:t>
            </w:r>
            <w:r>
              <w:rPr>
                <w:rFonts w:hint="eastAsia" w:ascii="仿宋" w:hAnsi="仿宋" w:eastAsia="仿宋" w:cs="仿宋"/>
                <w:sz w:val="24"/>
                <w:lang w:val="en-US" w:eastAsia="zh-CN"/>
              </w:rPr>
              <w:t>。</w:t>
            </w:r>
          </w:p>
        </w:tc>
        <w:tc>
          <w:tcPr>
            <w:tcW w:w="852" w:type="dxa"/>
            <w:vAlign w:val="center"/>
          </w:tcPr>
          <w:p w14:paraId="3F557319">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6台</w:t>
            </w:r>
          </w:p>
        </w:tc>
      </w:tr>
      <w:tr w14:paraId="7611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245D3AB">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2294" w:type="dxa"/>
            <w:vAlign w:val="center"/>
          </w:tcPr>
          <w:p w14:paraId="71CE6084">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高压成套配电柜</w:t>
            </w:r>
            <w:r>
              <w:rPr>
                <w:rFonts w:hint="eastAsia" w:ascii="仿宋" w:hAnsi="仿宋" w:eastAsia="仿宋" w:cs="仿宋"/>
                <w:sz w:val="24"/>
                <w:lang w:val="en-US" w:eastAsia="zh-CN"/>
              </w:rPr>
              <w:t>（4）</w:t>
            </w:r>
          </w:p>
        </w:tc>
        <w:tc>
          <w:tcPr>
            <w:tcW w:w="5532" w:type="dxa"/>
            <w:vAlign w:val="center"/>
          </w:tcPr>
          <w:p w14:paraId="03520FB0">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高压柜G6、G10安装及调试，10#基础槽钢制作安装,盘柜下电缆防火堵洞,接地，含柜内母线</w:t>
            </w:r>
            <w:r>
              <w:rPr>
                <w:rFonts w:hint="eastAsia" w:ascii="仿宋" w:hAnsi="仿宋" w:eastAsia="仿宋" w:cs="仿宋"/>
                <w:sz w:val="24"/>
                <w:lang w:val="en-US" w:eastAsia="zh-CN"/>
              </w:rPr>
              <w:t>。</w:t>
            </w:r>
          </w:p>
        </w:tc>
        <w:tc>
          <w:tcPr>
            <w:tcW w:w="852" w:type="dxa"/>
            <w:vAlign w:val="center"/>
          </w:tcPr>
          <w:p w14:paraId="7F341E17">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2台</w:t>
            </w:r>
          </w:p>
        </w:tc>
      </w:tr>
      <w:tr w14:paraId="1769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11" w:type="dxa"/>
            <w:vAlign w:val="center"/>
          </w:tcPr>
          <w:p w14:paraId="094CD8B5">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2294" w:type="dxa"/>
            <w:vAlign w:val="center"/>
          </w:tcPr>
          <w:p w14:paraId="024C1C29">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高压成套配电柜</w:t>
            </w:r>
            <w:r>
              <w:rPr>
                <w:rFonts w:hint="eastAsia" w:ascii="仿宋" w:hAnsi="仿宋" w:eastAsia="仿宋" w:cs="仿宋"/>
                <w:sz w:val="24"/>
                <w:lang w:val="en-US" w:eastAsia="zh-CN"/>
              </w:rPr>
              <w:t>（5）</w:t>
            </w:r>
          </w:p>
        </w:tc>
        <w:tc>
          <w:tcPr>
            <w:tcW w:w="5532" w:type="dxa"/>
            <w:vAlign w:val="center"/>
          </w:tcPr>
          <w:p w14:paraId="2408509C">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高压柜G7安装及调试，10#基础槽钢制作安装,盘柜下电缆防火堵洞,接地，含柜内母线</w:t>
            </w:r>
            <w:r>
              <w:rPr>
                <w:rFonts w:hint="eastAsia" w:ascii="仿宋" w:hAnsi="仿宋" w:eastAsia="仿宋" w:cs="仿宋"/>
                <w:sz w:val="24"/>
                <w:lang w:val="en-US" w:eastAsia="zh-CN"/>
              </w:rPr>
              <w:t>。</w:t>
            </w:r>
          </w:p>
        </w:tc>
        <w:tc>
          <w:tcPr>
            <w:tcW w:w="852" w:type="dxa"/>
            <w:vAlign w:val="center"/>
          </w:tcPr>
          <w:p w14:paraId="7402636C">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1台</w:t>
            </w:r>
          </w:p>
        </w:tc>
      </w:tr>
      <w:tr w14:paraId="64E1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6199E35">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2294" w:type="dxa"/>
            <w:vAlign w:val="center"/>
          </w:tcPr>
          <w:p w14:paraId="1E6C4E65">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高压成套配电柜</w:t>
            </w:r>
            <w:r>
              <w:rPr>
                <w:rFonts w:hint="eastAsia" w:ascii="仿宋" w:hAnsi="仿宋" w:eastAsia="仿宋" w:cs="仿宋"/>
                <w:sz w:val="24"/>
                <w:lang w:val="en-US" w:eastAsia="zh-CN"/>
              </w:rPr>
              <w:t>（6）</w:t>
            </w:r>
          </w:p>
        </w:tc>
        <w:tc>
          <w:tcPr>
            <w:tcW w:w="5532" w:type="dxa"/>
            <w:vAlign w:val="center"/>
          </w:tcPr>
          <w:p w14:paraId="0BB1397D">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高压柜G8、G9安装及调试，10#基础槽钢制作安装,盘柜下电缆防火堵洞,接地，含柜内母线</w:t>
            </w:r>
            <w:r>
              <w:rPr>
                <w:rFonts w:hint="eastAsia" w:ascii="仿宋" w:hAnsi="仿宋" w:eastAsia="仿宋" w:cs="仿宋"/>
                <w:sz w:val="24"/>
                <w:lang w:val="en-US" w:eastAsia="zh-CN"/>
              </w:rPr>
              <w:t>。</w:t>
            </w:r>
          </w:p>
        </w:tc>
        <w:tc>
          <w:tcPr>
            <w:tcW w:w="852" w:type="dxa"/>
            <w:vAlign w:val="center"/>
          </w:tcPr>
          <w:p w14:paraId="2CC669FC">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2台</w:t>
            </w:r>
          </w:p>
        </w:tc>
      </w:tr>
      <w:tr w14:paraId="68B6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4653BA9">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2294" w:type="dxa"/>
            <w:vAlign w:val="center"/>
          </w:tcPr>
          <w:p w14:paraId="4E7658F5">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直流馈电屏</w:t>
            </w:r>
          </w:p>
        </w:tc>
        <w:tc>
          <w:tcPr>
            <w:tcW w:w="5532" w:type="dxa"/>
            <w:vAlign w:val="center"/>
          </w:tcPr>
          <w:p w14:paraId="10B316D3">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壁挂式直流屏DC110V 20AH安装及调试</w:t>
            </w:r>
            <w:r>
              <w:rPr>
                <w:rFonts w:hint="eastAsia" w:ascii="仿宋" w:hAnsi="仿宋" w:eastAsia="仿宋" w:cs="仿宋"/>
                <w:sz w:val="24"/>
                <w:lang w:val="en-US" w:eastAsia="zh-CN"/>
              </w:rPr>
              <w:t>。</w:t>
            </w:r>
          </w:p>
        </w:tc>
        <w:tc>
          <w:tcPr>
            <w:tcW w:w="852" w:type="dxa"/>
            <w:vAlign w:val="center"/>
          </w:tcPr>
          <w:p w14:paraId="39FF5478">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1台</w:t>
            </w:r>
          </w:p>
        </w:tc>
      </w:tr>
      <w:tr w14:paraId="2811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2A41BD6">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2294" w:type="dxa"/>
            <w:vAlign w:val="center"/>
          </w:tcPr>
          <w:p w14:paraId="46F65F0C">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交流电源装置</w:t>
            </w:r>
          </w:p>
        </w:tc>
        <w:tc>
          <w:tcPr>
            <w:tcW w:w="5532" w:type="dxa"/>
            <w:vAlign w:val="center"/>
          </w:tcPr>
          <w:p w14:paraId="6590AB99">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AC400V，壁挂式</w:t>
            </w:r>
            <w:r>
              <w:rPr>
                <w:rFonts w:hint="eastAsia" w:ascii="仿宋" w:hAnsi="仿宋" w:eastAsia="仿宋" w:cs="仿宋"/>
                <w:sz w:val="24"/>
                <w:lang w:val="en-US" w:eastAsia="zh-CN"/>
              </w:rPr>
              <w:t>。</w:t>
            </w:r>
          </w:p>
        </w:tc>
        <w:tc>
          <w:tcPr>
            <w:tcW w:w="852" w:type="dxa"/>
            <w:vAlign w:val="center"/>
          </w:tcPr>
          <w:p w14:paraId="43BB1563">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1台</w:t>
            </w:r>
          </w:p>
        </w:tc>
      </w:tr>
      <w:tr w14:paraId="6A90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9C66106">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2294" w:type="dxa"/>
            <w:vAlign w:val="center"/>
          </w:tcPr>
          <w:p w14:paraId="38E579B1">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10kV管型母线</w:t>
            </w:r>
          </w:p>
        </w:tc>
        <w:tc>
          <w:tcPr>
            <w:tcW w:w="5532" w:type="dxa"/>
            <w:vAlign w:val="center"/>
          </w:tcPr>
          <w:p w14:paraId="051CF922">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default" w:ascii="仿宋" w:hAnsi="仿宋" w:eastAsia="仿宋" w:cs="仿宋"/>
                <w:sz w:val="24"/>
                <w:lang w:val="en-US" w:eastAsia="zh-CN"/>
              </w:rPr>
              <w:t>10kV管型母线1250A含接插箱</w:t>
            </w:r>
            <w:r>
              <w:rPr>
                <w:rFonts w:hint="eastAsia" w:ascii="仿宋" w:hAnsi="仿宋" w:eastAsia="仿宋" w:cs="仿宋"/>
                <w:sz w:val="24"/>
                <w:lang w:val="en-US" w:eastAsia="zh-CN"/>
              </w:rPr>
              <w:t>。</w:t>
            </w:r>
          </w:p>
        </w:tc>
        <w:tc>
          <w:tcPr>
            <w:tcW w:w="852" w:type="dxa"/>
            <w:vAlign w:val="center"/>
          </w:tcPr>
          <w:p w14:paraId="44A82E7E">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6米</w:t>
            </w:r>
          </w:p>
        </w:tc>
      </w:tr>
      <w:tr w14:paraId="75CF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1" w:type="dxa"/>
            <w:vAlign w:val="center"/>
          </w:tcPr>
          <w:p w14:paraId="4DCAEA40">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2294" w:type="dxa"/>
            <w:vAlign w:val="center"/>
          </w:tcPr>
          <w:p w14:paraId="52E4C5B5">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智慧监测平台</w:t>
            </w:r>
          </w:p>
        </w:tc>
        <w:tc>
          <w:tcPr>
            <w:tcW w:w="5532" w:type="dxa"/>
            <w:vAlign w:val="center"/>
          </w:tcPr>
          <w:p w14:paraId="35D1772F">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color w:val="auto"/>
                <w:sz w:val="24"/>
                <w:lang w:val="en-US" w:eastAsia="zh-CN"/>
              </w:rPr>
            </w:pPr>
            <w:r>
              <w:rPr>
                <w:rFonts w:hint="default" w:ascii="仿宋" w:hAnsi="仿宋" w:eastAsia="仿宋" w:cs="仿宋"/>
                <w:color w:val="auto"/>
                <w:sz w:val="24"/>
                <w:lang w:val="en-US" w:eastAsia="zh-CN"/>
              </w:rPr>
              <w:t>应有电缆温度监测、断路器位置及分合闸信号监测。以上监测设备以及所有仪表和视频监控设备应以双路交流电作供电电源，且应集中布设信号输出的预留接口，以便于后期监测平台建设施工接线。视频监控根据现场实际情况布设，配电间内应设有对射枪机以供操作人员查看设备运行环境以及变配所人员出入等情况，配电设备前应设有球机以供操作人员查看各表计读数以及设备运行情况。</w:t>
            </w:r>
          </w:p>
        </w:tc>
        <w:tc>
          <w:tcPr>
            <w:tcW w:w="852" w:type="dxa"/>
            <w:vAlign w:val="center"/>
          </w:tcPr>
          <w:p w14:paraId="10E22C05">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1项</w:t>
            </w:r>
          </w:p>
        </w:tc>
      </w:tr>
      <w:tr w14:paraId="73BA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1" w:type="dxa"/>
            <w:vAlign w:val="center"/>
          </w:tcPr>
          <w:p w14:paraId="24BB5CF6">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2294" w:type="dxa"/>
            <w:vAlign w:val="center"/>
          </w:tcPr>
          <w:p w14:paraId="25E4E46B">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空调</w:t>
            </w:r>
          </w:p>
        </w:tc>
        <w:tc>
          <w:tcPr>
            <w:tcW w:w="5532" w:type="dxa"/>
            <w:vAlign w:val="center"/>
          </w:tcPr>
          <w:p w14:paraId="4D95D231">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5匹。</w:t>
            </w:r>
          </w:p>
        </w:tc>
        <w:tc>
          <w:tcPr>
            <w:tcW w:w="852" w:type="dxa"/>
            <w:vAlign w:val="center"/>
          </w:tcPr>
          <w:p w14:paraId="751D62B6">
            <w:pPr>
              <w:keepNext w:val="0"/>
              <w:keepLines w:val="0"/>
              <w:pageBreakBefore w:val="0"/>
              <w:widowControl w:val="0"/>
              <w:numPr>
                <w:ilvl w:val="0"/>
                <w:numId w:val="0"/>
              </w:numPr>
              <w:kinsoku/>
              <w:wordWrap/>
              <w:overflowPunct/>
              <w:topLinePunct w:val="0"/>
              <w:autoSpaceDE/>
              <w:autoSpaceDN/>
              <w:bidi w:val="0"/>
              <w:adjustRightInd/>
              <w:snapToGrid/>
              <w:spacing w:before="34" w:beforeLines="10" w:after="34" w:afterLines="10"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1台</w:t>
            </w:r>
          </w:p>
        </w:tc>
      </w:tr>
    </w:tbl>
    <w:p w14:paraId="65AD36BD">
      <w:pPr>
        <w:pStyle w:val="33"/>
        <w:rPr>
          <w:rFonts w:hint="default"/>
          <w:lang w:val="en-US" w:eastAsia="zh-CN"/>
        </w:rPr>
      </w:pPr>
    </w:p>
    <w:p w14:paraId="11A0CE51">
      <w:pPr>
        <w:pStyle w:val="3"/>
        <w:autoSpaceDE w:val="0"/>
        <w:autoSpaceDN w:val="0"/>
        <w:spacing w:beforeLines="0"/>
        <w:ind w:firstLine="482"/>
        <w:rPr>
          <w:rFonts w:hint="eastAsia" w:ascii="Arial" w:hAnsi="仿宋" w:eastAsia="仿宋" w:cs="Times New Roman"/>
          <w:b/>
          <w:caps w:val="0"/>
          <w:sz w:val="24"/>
          <w:szCs w:val="32"/>
        </w:rPr>
      </w:pPr>
      <w:bookmarkStart w:id="74" w:name="_Toc10399"/>
      <w:r>
        <w:rPr>
          <w:rFonts w:hint="eastAsia" w:ascii="Arial" w:hAnsi="仿宋" w:eastAsia="仿宋" w:cs="Times New Roman"/>
          <w:b/>
          <w:caps w:val="0"/>
          <w:sz w:val="24"/>
          <w:szCs w:val="32"/>
          <w:lang w:val="en-US" w:eastAsia="zh-CN"/>
        </w:rPr>
        <w:t>九</w:t>
      </w:r>
      <w:r>
        <w:rPr>
          <w:rFonts w:hint="eastAsia" w:ascii="Arial" w:hAnsi="仿宋" w:eastAsia="仿宋" w:cs="Times New Roman"/>
          <w:b/>
          <w:caps w:val="0"/>
          <w:sz w:val="24"/>
          <w:szCs w:val="32"/>
        </w:rPr>
        <w:t>、工程特别要求</w:t>
      </w:r>
      <w:bookmarkEnd w:id="74"/>
    </w:p>
    <w:p w14:paraId="75B6B36C">
      <w:pPr>
        <w:widowControl/>
        <w:numPr>
          <w:ilvl w:val="0"/>
          <w:numId w:val="0"/>
        </w:numPr>
        <w:snapToGrid/>
        <w:spacing w:line="360" w:lineRule="auto"/>
        <w:ind w:left="220" w:firstLine="480" w:firstLineChars="200"/>
        <w:jc w:val="left"/>
        <w:rPr>
          <w:rFonts w:hint="default" w:ascii="仿宋" w:hAnsi="仿宋" w:eastAsia="仿宋" w:cs="仿宋"/>
          <w:sz w:val="24"/>
        </w:rPr>
      </w:pPr>
      <w:r>
        <w:rPr>
          <w:rFonts w:hint="default" w:ascii="仿宋" w:hAnsi="仿宋" w:eastAsia="仿宋" w:cs="仿宋"/>
          <w:b w:val="0"/>
          <w:sz w:val="24"/>
          <w:lang w:val="en-US" w:eastAsia="zh-CN"/>
        </w:rPr>
        <w:t>9.</w:t>
      </w:r>
      <w:r>
        <w:rPr>
          <w:rFonts w:hint="default" w:ascii="仿宋" w:hAnsi="仿宋" w:eastAsia="仿宋" w:cs="仿宋"/>
          <w:b w:val="0"/>
          <w:sz w:val="24"/>
        </w:rPr>
        <w:t>1</w:t>
      </w:r>
      <w:r>
        <w:rPr>
          <w:rFonts w:hint="default" w:ascii="仿宋" w:hAnsi="仿宋" w:eastAsia="仿宋" w:cs="仿宋"/>
          <w:b w:val="0"/>
          <w:sz w:val="24"/>
          <w:lang w:val="en-US" w:eastAsia="zh-CN"/>
        </w:rPr>
        <w:t xml:space="preserve"> </w:t>
      </w:r>
      <w:r>
        <w:rPr>
          <w:rFonts w:hint="default" w:ascii="仿宋" w:hAnsi="仿宋" w:eastAsia="仿宋" w:cs="仿宋"/>
          <w:b w:val="0"/>
          <w:sz w:val="24"/>
        </w:rPr>
        <w:t>本工程施工地点在</w:t>
      </w:r>
      <w:r>
        <w:rPr>
          <w:rFonts w:hint="default" w:ascii="仿宋" w:hAnsi="仿宋" w:eastAsia="仿宋" w:cs="仿宋"/>
          <w:b w:val="0"/>
          <w:sz w:val="24"/>
          <w:lang w:val="en-US" w:eastAsia="zh-CN"/>
        </w:rPr>
        <w:t>浙江工商大学教工路校区</w:t>
      </w:r>
      <w:r>
        <w:rPr>
          <w:rFonts w:hint="default" w:ascii="仿宋" w:hAnsi="仿宋" w:eastAsia="仿宋" w:cs="仿宋"/>
          <w:b w:val="0"/>
          <w:sz w:val="24"/>
        </w:rPr>
        <w:t>，施工人员进出学校应按相关规定执行；施工期间，需注意安全文明施工；采购人不提供住宿场地，须由供应商自行解决，相关费用包含在投标报价中；若施工场地无法满足供应商临时设施布置需求，由供应商自行就近解决（场地租赁费用及场地到施工现场间的人材机的短驳转运在组织措施费考虑包干）。施工期间，供应商须严格服从采购人代表及监理人现场管理；在施工期内，供应商应做好安全防护工作，以免造成不必要的伤亡，保险等相关费用综合考虑在投标报价中，因施工造成财物损坏、人员受伤等情况，由</w:t>
      </w:r>
      <w:r>
        <w:rPr>
          <w:rFonts w:hint="default" w:ascii="仿宋" w:hAnsi="仿宋" w:eastAsia="仿宋" w:cs="仿宋"/>
          <w:b w:val="0"/>
          <w:bCs w:val="0"/>
          <w:sz w:val="24"/>
          <w:szCs w:val="24"/>
        </w:rPr>
        <w:t>供应商</w:t>
      </w:r>
      <w:r>
        <w:rPr>
          <w:rFonts w:hint="default" w:ascii="仿宋" w:hAnsi="仿宋" w:eastAsia="仿宋" w:cs="仿宋"/>
          <w:b w:val="0"/>
          <w:sz w:val="24"/>
        </w:rPr>
        <w:t>承担全部责任。</w:t>
      </w:r>
    </w:p>
    <w:p w14:paraId="5AB0F4E4">
      <w:pPr>
        <w:widowControl/>
        <w:numPr>
          <w:ilvl w:val="-1"/>
          <w:numId w:val="0"/>
        </w:numPr>
        <w:snapToGrid w:val="0"/>
        <w:spacing w:line="440" w:lineRule="exact"/>
        <w:ind w:left="0" w:firstLine="480" w:firstLineChars="200"/>
        <w:jc w:val="left"/>
        <w:rPr>
          <w:rFonts w:hint="default" w:ascii="仿宋" w:hAnsi="仿宋" w:eastAsia="仿宋" w:cs="仿宋"/>
          <w:b w:val="0"/>
          <w:bCs w:val="0"/>
          <w:sz w:val="24"/>
          <w:szCs w:val="24"/>
        </w:rPr>
      </w:pPr>
      <w:r>
        <w:rPr>
          <w:rFonts w:hint="default" w:ascii="仿宋" w:hAnsi="仿宋" w:eastAsia="仿宋" w:cs="仿宋"/>
          <w:b w:val="0"/>
          <w:bCs w:val="0"/>
          <w:sz w:val="24"/>
          <w:szCs w:val="24"/>
          <w:lang w:val="en-US" w:eastAsia="zh-CN"/>
        </w:rPr>
        <w:t xml:space="preserve">9.2 </w:t>
      </w:r>
      <w:r>
        <w:rPr>
          <w:rFonts w:hint="default" w:ascii="仿宋" w:hAnsi="仿宋" w:eastAsia="仿宋" w:cs="仿宋"/>
          <w:b w:val="0"/>
          <w:sz w:val="24"/>
        </w:rPr>
        <w:t>供应商</w:t>
      </w:r>
      <w:r>
        <w:rPr>
          <w:rFonts w:hint="default" w:ascii="仿宋" w:hAnsi="仿宋" w:eastAsia="仿宋" w:cs="仿宋"/>
          <w:b w:val="0"/>
          <w:bCs w:val="0"/>
          <w:sz w:val="24"/>
          <w:szCs w:val="24"/>
        </w:rPr>
        <w:t>负责在工程施工、竣工及保修的整个过程中施工现场全部人员、邻近设施和附近师生的安全，在工地现场做好警戒工作并在施工区域或危险区域设置醒目的警示标志，加强施工管理。施工作业中，如发生安全事故，由</w:t>
      </w:r>
      <w:r>
        <w:rPr>
          <w:rFonts w:hint="default" w:ascii="仿宋" w:hAnsi="仿宋" w:eastAsia="仿宋" w:cs="仿宋"/>
          <w:b w:val="0"/>
          <w:sz w:val="24"/>
        </w:rPr>
        <w:t>供应商</w:t>
      </w:r>
      <w:r>
        <w:rPr>
          <w:rFonts w:hint="default" w:ascii="仿宋" w:hAnsi="仿宋" w:eastAsia="仿宋" w:cs="仿宋"/>
          <w:b w:val="0"/>
          <w:bCs w:val="0"/>
          <w:sz w:val="24"/>
          <w:szCs w:val="24"/>
        </w:rPr>
        <w:t>承担全部责任，所产生的费用由</w:t>
      </w:r>
      <w:r>
        <w:rPr>
          <w:rFonts w:hint="default" w:ascii="仿宋" w:hAnsi="仿宋" w:eastAsia="仿宋" w:cs="仿宋"/>
          <w:b w:val="0"/>
          <w:sz w:val="24"/>
        </w:rPr>
        <w:t>供应商</w:t>
      </w:r>
      <w:r>
        <w:rPr>
          <w:rFonts w:hint="default" w:ascii="仿宋" w:hAnsi="仿宋" w:eastAsia="仿宋" w:cs="仿宋"/>
          <w:b w:val="0"/>
          <w:bCs w:val="0"/>
          <w:sz w:val="24"/>
          <w:szCs w:val="24"/>
        </w:rPr>
        <w:t>全部承担，因</w:t>
      </w:r>
      <w:r>
        <w:rPr>
          <w:rFonts w:hint="default" w:ascii="仿宋" w:hAnsi="仿宋" w:eastAsia="仿宋" w:cs="仿宋"/>
          <w:b w:val="0"/>
          <w:sz w:val="24"/>
        </w:rPr>
        <w:t>供应商</w:t>
      </w:r>
      <w:r>
        <w:rPr>
          <w:rFonts w:hint="default" w:ascii="仿宋" w:hAnsi="仿宋" w:eastAsia="仿宋" w:cs="仿宋"/>
          <w:b w:val="0"/>
          <w:bCs w:val="0"/>
          <w:sz w:val="24"/>
          <w:szCs w:val="24"/>
        </w:rPr>
        <w:t>管理不善或使用不当造成的损失，由</w:t>
      </w:r>
      <w:r>
        <w:rPr>
          <w:rFonts w:hint="default" w:ascii="仿宋" w:hAnsi="仿宋" w:eastAsia="仿宋" w:cs="仿宋"/>
          <w:b w:val="0"/>
          <w:sz w:val="24"/>
        </w:rPr>
        <w:t>供应商</w:t>
      </w:r>
      <w:r>
        <w:rPr>
          <w:rFonts w:hint="default" w:ascii="仿宋" w:hAnsi="仿宋" w:eastAsia="仿宋" w:cs="仿宋"/>
          <w:b w:val="0"/>
          <w:bCs w:val="0"/>
          <w:sz w:val="24"/>
          <w:szCs w:val="24"/>
        </w:rPr>
        <w:t>负责赔偿，在施工区域因缺少相应安全措施或相关安全设施缺损未及时修复而引起的各类事故由</w:t>
      </w:r>
      <w:r>
        <w:rPr>
          <w:rFonts w:hint="default" w:ascii="仿宋" w:hAnsi="仿宋" w:eastAsia="仿宋" w:cs="仿宋"/>
          <w:b w:val="0"/>
          <w:sz w:val="24"/>
        </w:rPr>
        <w:t>供应商</w:t>
      </w:r>
      <w:r>
        <w:rPr>
          <w:rFonts w:hint="default" w:ascii="仿宋" w:hAnsi="仿宋" w:eastAsia="仿宋" w:cs="仿宋"/>
          <w:b w:val="0"/>
          <w:bCs w:val="0"/>
          <w:sz w:val="24"/>
          <w:szCs w:val="24"/>
        </w:rPr>
        <w:t>承担全部责任，并负责赔偿。以上费用请</w:t>
      </w:r>
      <w:r>
        <w:rPr>
          <w:rFonts w:hint="default" w:ascii="仿宋" w:hAnsi="仿宋" w:eastAsia="仿宋" w:cs="仿宋"/>
          <w:b w:val="0"/>
          <w:sz w:val="24"/>
        </w:rPr>
        <w:t>供应商</w:t>
      </w:r>
      <w:r>
        <w:rPr>
          <w:rFonts w:hint="default" w:ascii="仿宋" w:hAnsi="仿宋" w:eastAsia="仿宋" w:cs="仿宋"/>
          <w:b w:val="0"/>
          <w:bCs w:val="0"/>
          <w:sz w:val="24"/>
          <w:szCs w:val="24"/>
        </w:rPr>
        <w:t>在投标报价时考虑计入措施费，一次性包干，今后不再调整。</w:t>
      </w:r>
    </w:p>
    <w:p w14:paraId="0DEF107C">
      <w:pPr>
        <w:widowControl/>
        <w:numPr>
          <w:ilvl w:val="0"/>
          <w:numId w:val="0"/>
        </w:numPr>
        <w:snapToGrid/>
        <w:spacing w:line="360" w:lineRule="auto"/>
        <w:ind w:left="220" w:firstLine="480" w:firstLineChars="200"/>
        <w:jc w:val="left"/>
        <w:rPr>
          <w:rFonts w:hint="eastAsia" w:ascii="仿宋" w:hAnsi="仿宋" w:eastAsia="仿宋" w:cs="仿宋"/>
          <w:b w:val="0"/>
          <w:sz w:val="24"/>
          <w:lang w:eastAsia="zh-CN"/>
        </w:rPr>
      </w:pPr>
      <w:r>
        <w:rPr>
          <w:rFonts w:hint="eastAsia" w:ascii="仿宋" w:hAnsi="仿宋" w:eastAsia="仿宋" w:cs="仿宋"/>
          <w:b w:val="0"/>
          <w:bCs w:val="0"/>
          <w:sz w:val="24"/>
          <w:szCs w:val="24"/>
          <w:lang w:val="en-US" w:eastAsia="zh-CN"/>
        </w:rPr>
        <w:t>9.3</w:t>
      </w:r>
      <w:r>
        <w:rPr>
          <w:rFonts w:hint="default" w:ascii="仿宋" w:hAnsi="仿宋" w:eastAsia="仿宋" w:cs="仿宋"/>
          <w:sz w:val="24"/>
          <w:lang w:bidi="ar"/>
        </w:rPr>
        <w:t>全面贯彻执行、关于印发杭州市建设工地围挡设置管理规范（试行）的通知、杭州市人民政府令第278号《杭州市建设工程文明施工管理规定》、《关于开展建设“两美浙江”打造“美丽杭州”建设工地环境专项整治的通知》（杭建监总[2015]39号）、《关于印发《2015年杭州市建设工程扬尘污染治理和文明施工综合整治工作方案的通知》（杭建文领办〔2015〕1号）、《关于全市建设工地实施安全文明施工责任人公示制度的通知》杭建工发[2016]7号、《杭州市人民政府办公厅关于进一步加强我市建设工程安全生产与文明施工管理工作的通知》、《2016年杭州市建筑施工安全隐患排查治理工作方案》[2016]16</w:t>
      </w:r>
      <w:r>
        <w:rPr>
          <w:rFonts w:hint="default" w:ascii="仿宋" w:hAnsi="仿宋" w:eastAsia="仿宋" w:cs="仿宋"/>
          <w:b w:val="0"/>
          <w:sz w:val="24"/>
        </w:rPr>
        <w:t>9号、区房屋市政工程文明施工标准化指导图集（试行）等文件的相关规定，安全生产、文明施工及环境保护</w:t>
      </w:r>
      <w:r>
        <w:rPr>
          <w:rFonts w:hint="eastAsia" w:ascii="仿宋" w:hAnsi="仿宋" w:eastAsia="仿宋" w:cs="仿宋"/>
          <w:b w:val="0"/>
          <w:sz w:val="24"/>
          <w:lang w:val="en-US" w:eastAsia="zh-CN"/>
        </w:rPr>
        <w:t>的</w:t>
      </w:r>
      <w:r>
        <w:rPr>
          <w:rFonts w:hint="default" w:ascii="仿宋" w:hAnsi="仿宋" w:eastAsia="仿宋" w:cs="仿宋"/>
          <w:b w:val="0"/>
          <w:sz w:val="24"/>
        </w:rPr>
        <w:t>具体要求，相关费用已包含在</w:t>
      </w:r>
      <w:r>
        <w:rPr>
          <w:rFonts w:hint="eastAsia" w:ascii="仿宋" w:hAnsi="仿宋" w:eastAsia="仿宋" w:cs="仿宋"/>
          <w:b w:val="0"/>
          <w:sz w:val="24"/>
          <w:lang w:val="en-US" w:eastAsia="zh-CN"/>
        </w:rPr>
        <w:t>投标报</w:t>
      </w:r>
      <w:r>
        <w:rPr>
          <w:rFonts w:hint="default" w:ascii="仿宋" w:hAnsi="仿宋" w:eastAsia="仿宋" w:cs="仿宋"/>
          <w:b w:val="0"/>
          <w:sz w:val="24"/>
        </w:rPr>
        <w:t>价内</w:t>
      </w:r>
      <w:r>
        <w:rPr>
          <w:rFonts w:hint="eastAsia" w:ascii="仿宋" w:hAnsi="仿宋" w:eastAsia="仿宋" w:cs="仿宋"/>
          <w:b w:val="0"/>
          <w:sz w:val="24"/>
          <w:lang w:eastAsia="zh-CN"/>
        </w:rPr>
        <w:t>。</w:t>
      </w:r>
    </w:p>
    <w:p w14:paraId="6B018BD0">
      <w:pPr>
        <w:widowControl/>
        <w:numPr>
          <w:ilvl w:val="0"/>
          <w:numId w:val="0"/>
        </w:numPr>
        <w:snapToGrid/>
        <w:spacing w:line="360" w:lineRule="auto"/>
        <w:ind w:left="220" w:firstLine="480" w:firstLineChars="200"/>
        <w:jc w:val="left"/>
        <w:rPr>
          <w:rFonts w:hint="default" w:ascii="仿宋" w:hAnsi="仿宋" w:eastAsia="仿宋" w:cs="仿宋"/>
          <w:b w:val="0"/>
          <w:sz w:val="24"/>
        </w:rPr>
      </w:pPr>
      <w:r>
        <w:rPr>
          <w:rFonts w:hint="default" w:ascii="仿宋" w:hAnsi="仿宋" w:eastAsia="仿宋" w:cs="仿宋"/>
          <w:b w:val="0"/>
          <w:sz w:val="24"/>
          <w:lang w:val="en-US" w:eastAsia="zh-CN"/>
        </w:rPr>
        <w:t>9.</w:t>
      </w:r>
      <w:r>
        <w:rPr>
          <w:rFonts w:hint="eastAsia" w:ascii="仿宋" w:hAnsi="仿宋" w:eastAsia="仿宋" w:cs="仿宋"/>
          <w:b w:val="0"/>
          <w:sz w:val="24"/>
          <w:lang w:val="en-US" w:eastAsia="zh-CN"/>
        </w:rPr>
        <w:t>4</w:t>
      </w:r>
      <w:r>
        <w:rPr>
          <w:rFonts w:hint="default" w:ascii="仿宋" w:hAnsi="仿宋" w:eastAsia="仿宋" w:cs="仿宋"/>
          <w:b w:val="0"/>
          <w:sz w:val="24"/>
          <w:lang w:val="en-US" w:eastAsia="zh-CN"/>
        </w:rPr>
        <w:t xml:space="preserve"> </w:t>
      </w:r>
      <w:r>
        <w:rPr>
          <w:rFonts w:hint="default" w:ascii="仿宋" w:hAnsi="仿宋" w:eastAsia="仿宋" w:cs="仿宋"/>
          <w:b w:val="0"/>
          <w:sz w:val="24"/>
        </w:rPr>
        <w:t>供应商应充分踏勘现场，了解掌握现场情况，如工地位置、情况、道路、储存空间、装卸限制、市政、交通及任何其它足以影响投标报价的情况，预计施工过程中各种不利因素，可将处理所需费用单列，汇入措施费中，计入投标报价内。</w:t>
      </w:r>
    </w:p>
    <w:p w14:paraId="6B6D48EC">
      <w:pPr>
        <w:widowControl/>
        <w:numPr>
          <w:ilvl w:val="0"/>
          <w:numId w:val="0"/>
        </w:numPr>
        <w:snapToGrid/>
        <w:spacing w:line="360" w:lineRule="auto"/>
        <w:ind w:left="220" w:firstLine="480" w:firstLineChars="200"/>
        <w:jc w:val="left"/>
        <w:rPr>
          <w:rFonts w:hint="default" w:ascii="仿宋" w:hAnsi="仿宋" w:eastAsia="仿宋" w:cs="仿宋"/>
          <w:b w:val="0"/>
          <w:sz w:val="24"/>
        </w:rPr>
      </w:pPr>
      <w:r>
        <w:rPr>
          <w:rFonts w:hint="default" w:ascii="仿宋" w:hAnsi="仿宋" w:eastAsia="仿宋" w:cs="仿宋"/>
          <w:b w:val="0"/>
          <w:sz w:val="24"/>
          <w:lang w:val="en-US" w:eastAsia="zh-CN"/>
        </w:rPr>
        <w:t>9.</w:t>
      </w:r>
      <w:r>
        <w:rPr>
          <w:rFonts w:hint="eastAsia" w:ascii="仿宋" w:hAnsi="仿宋" w:eastAsia="仿宋" w:cs="仿宋"/>
          <w:b w:val="0"/>
          <w:sz w:val="24"/>
          <w:lang w:val="en-US" w:eastAsia="zh-CN"/>
        </w:rPr>
        <w:t>5</w:t>
      </w:r>
      <w:r>
        <w:rPr>
          <w:rFonts w:hint="default" w:ascii="仿宋" w:hAnsi="仿宋" w:eastAsia="仿宋" w:cs="仿宋"/>
          <w:b w:val="0"/>
          <w:sz w:val="24"/>
          <w:lang w:val="en-US" w:eastAsia="zh-CN"/>
        </w:rPr>
        <w:t xml:space="preserve"> </w:t>
      </w:r>
      <w:r>
        <w:rPr>
          <w:rFonts w:hint="default" w:ascii="仿宋" w:hAnsi="仿宋" w:eastAsia="仿宋" w:cs="仿宋"/>
          <w:b w:val="0"/>
          <w:sz w:val="24"/>
        </w:rPr>
        <w:t>对本工程实施范围存在的各类管线，供应商应充分踏勘现场，必须确保在不被破坏的前提下再进行施工作业，所涉及的保护费用等考虑在组织措施费用内，今后不做调整。如因施工不慎或不可避免产生破坏的，需按采购人要求予以恢复，如遇相关的管道、线路必须移位的，则报请采购人同意后予以处理，相关费用亦考虑在投标报价内。</w:t>
      </w:r>
    </w:p>
    <w:p w14:paraId="4DC55748">
      <w:pPr>
        <w:widowControl/>
        <w:numPr>
          <w:ilvl w:val="0"/>
          <w:numId w:val="0"/>
        </w:numPr>
        <w:spacing w:line="360" w:lineRule="auto"/>
        <w:ind w:left="220" w:firstLine="480" w:firstLineChars="200"/>
        <w:jc w:val="left"/>
        <w:rPr>
          <w:rFonts w:hint="default" w:ascii="仿宋" w:hAnsi="仿宋" w:eastAsia="仿宋" w:cs="仿宋"/>
          <w:b w:val="0"/>
          <w:sz w:val="24"/>
        </w:rPr>
      </w:pPr>
      <w:r>
        <w:rPr>
          <w:rFonts w:hint="default" w:ascii="仿宋" w:hAnsi="仿宋" w:eastAsia="仿宋" w:cs="仿宋"/>
          <w:b w:val="0"/>
          <w:sz w:val="24"/>
          <w:lang w:val="en-US" w:eastAsia="zh-CN"/>
        </w:rPr>
        <w:t>9.</w:t>
      </w:r>
      <w:r>
        <w:rPr>
          <w:rFonts w:hint="eastAsia" w:ascii="仿宋" w:hAnsi="仿宋" w:eastAsia="仿宋" w:cs="仿宋"/>
          <w:b w:val="0"/>
          <w:sz w:val="24"/>
          <w:lang w:val="en-US" w:eastAsia="zh-CN"/>
        </w:rPr>
        <w:t>6</w:t>
      </w:r>
      <w:r>
        <w:rPr>
          <w:rFonts w:hint="default" w:ascii="仿宋" w:hAnsi="仿宋" w:eastAsia="仿宋" w:cs="仿宋"/>
          <w:b w:val="0"/>
          <w:sz w:val="24"/>
        </w:rPr>
        <w:t>项目采用设计、采购、安装总承包（EPC）模式，采购内容及技术指标参数等描述是主要工作内容，其他辅助工作内容供应商自行考虑，并计入综合单价及合价。综合单价应是包含了这一计量单位项目范围内的所有工作内容所需的直接费、企业管理费、利润以及风险费用等完成该项工作所包含的所有费用（含方案优化后设计施工图所对应的内容）。采购内容中不能反映的，而现场施工中有实际发生的费用由供应商自行踏勘现场后计入总价。</w:t>
      </w:r>
    </w:p>
    <w:p w14:paraId="3D205080">
      <w:pPr>
        <w:widowControl/>
        <w:numPr>
          <w:ilvl w:val="0"/>
          <w:numId w:val="0"/>
        </w:numPr>
        <w:snapToGrid/>
        <w:spacing w:line="360" w:lineRule="auto"/>
        <w:ind w:left="220" w:firstLine="480" w:firstLineChars="200"/>
        <w:jc w:val="left"/>
        <w:rPr>
          <w:rFonts w:hint="default" w:ascii="仿宋" w:hAnsi="仿宋" w:eastAsia="仿宋" w:cs="仿宋"/>
          <w:b w:val="0"/>
          <w:sz w:val="24"/>
        </w:rPr>
      </w:pPr>
      <w:r>
        <w:rPr>
          <w:rFonts w:hint="default" w:ascii="仿宋" w:hAnsi="仿宋" w:eastAsia="仿宋" w:cs="仿宋"/>
          <w:b w:val="0"/>
          <w:sz w:val="24"/>
          <w:lang w:val="en-US" w:eastAsia="zh-CN"/>
        </w:rPr>
        <w:t>9.</w:t>
      </w:r>
      <w:r>
        <w:rPr>
          <w:rFonts w:hint="eastAsia" w:ascii="仿宋" w:hAnsi="仿宋" w:eastAsia="仿宋" w:cs="仿宋"/>
          <w:b w:val="0"/>
          <w:sz w:val="24"/>
          <w:lang w:val="en-US" w:eastAsia="zh-CN"/>
        </w:rPr>
        <w:t>7</w:t>
      </w:r>
      <w:r>
        <w:rPr>
          <w:rFonts w:hint="default" w:ascii="仿宋" w:hAnsi="仿宋" w:eastAsia="仿宋" w:cs="仿宋"/>
          <w:b w:val="0"/>
          <w:sz w:val="24"/>
          <w:lang w:val="en-US" w:eastAsia="zh-CN"/>
        </w:rPr>
        <w:t xml:space="preserve"> </w:t>
      </w:r>
      <w:r>
        <w:rPr>
          <w:rFonts w:hint="default" w:ascii="仿宋" w:hAnsi="仿宋" w:eastAsia="仿宋" w:cs="仿宋"/>
          <w:b w:val="0"/>
          <w:sz w:val="24"/>
        </w:rPr>
        <w:t>若本工程因与周边工程</w:t>
      </w:r>
      <w:r>
        <w:rPr>
          <w:rFonts w:hint="default" w:ascii="仿宋" w:hAnsi="仿宋" w:eastAsia="仿宋" w:cs="仿宋"/>
          <w:b w:val="0"/>
          <w:sz w:val="24"/>
          <w:lang w:eastAsia="zh-CN"/>
        </w:rPr>
        <w:t>、</w:t>
      </w:r>
      <w:r>
        <w:rPr>
          <w:rFonts w:hint="default" w:ascii="仿宋" w:hAnsi="仿宋" w:eastAsia="仿宋" w:cs="仿宋"/>
          <w:b w:val="0"/>
          <w:sz w:val="24"/>
        </w:rPr>
        <w:t>道路等有直接关联的，中标后应有专门的针对性施工方案解决工程衔接，交通组织</w:t>
      </w:r>
      <w:r>
        <w:rPr>
          <w:rFonts w:hint="default" w:ascii="仿宋" w:hAnsi="仿宋" w:eastAsia="仿宋" w:cs="仿宋"/>
          <w:b w:val="0"/>
          <w:sz w:val="24"/>
          <w:lang w:eastAsia="zh-CN"/>
        </w:rPr>
        <w:t>、</w:t>
      </w:r>
      <w:r>
        <w:rPr>
          <w:rFonts w:hint="default" w:ascii="仿宋" w:hAnsi="仿宋" w:eastAsia="仿宋" w:cs="仿宋"/>
          <w:b w:val="0"/>
          <w:sz w:val="24"/>
          <w:lang w:val="en-US" w:eastAsia="zh-CN"/>
        </w:rPr>
        <w:t>道路恢复</w:t>
      </w:r>
      <w:r>
        <w:rPr>
          <w:rFonts w:hint="default" w:ascii="仿宋" w:hAnsi="仿宋" w:eastAsia="仿宋" w:cs="仿宋"/>
          <w:b w:val="0"/>
          <w:sz w:val="24"/>
        </w:rPr>
        <w:t>等问题，可能发生的费用措施费中考虑，今后不再做调整。</w:t>
      </w:r>
    </w:p>
    <w:p w14:paraId="291BDC02">
      <w:pPr>
        <w:widowControl/>
        <w:numPr>
          <w:ilvl w:val="0"/>
          <w:numId w:val="0"/>
        </w:numPr>
        <w:snapToGrid/>
        <w:spacing w:line="360" w:lineRule="auto"/>
        <w:ind w:left="220" w:firstLine="480" w:firstLineChars="200"/>
        <w:jc w:val="left"/>
        <w:rPr>
          <w:rFonts w:hint="default" w:ascii="仿宋" w:hAnsi="仿宋" w:eastAsia="仿宋" w:cs="仿宋"/>
          <w:sz w:val="24"/>
          <w:lang w:bidi="ar"/>
        </w:rPr>
      </w:pPr>
      <w:r>
        <w:rPr>
          <w:rFonts w:hint="default" w:ascii="仿宋" w:hAnsi="仿宋" w:eastAsia="仿宋" w:cs="仿宋"/>
          <w:sz w:val="24"/>
          <w:lang w:val="en-US" w:eastAsia="zh-CN" w:bidi="ar"/>
        </w:rPr>
        <w:t>9.8</w:t>
      </w:r>
      <w:r>
        <w:rPr>
          <w:rFonts w:hint="default" w:ascii="仿宋" w:hAnsi="仿宋" w:eastAsia="仿宋" w:cs="仿宋"/>
          <w:sz w:val="24"/>
          <w:lang w:bidi="ar"/>
        </w:rPr>
        <w:t>本工程涉及到需要外运的土方运距投标人自行考虑，弃土地点须经有关部门认可。土石方（包括淤泥、渣土）综合单价包括挖、装、外运、卸、城市卫生费、市容环境及土石方（包括淤泥、渣土）处置等有关发生的一切费用；以上单价不因运距、人工单价、交通拥堵的车辆运输机械降效系数等一切因素的变化而调整。土方类别综合考虑，包括：淤泥、泥浆、建筑渣土、地下挖出的管线、破除的混凝土、砌体、现场留存的建筑垃圾、以及现场产生的全部废弃物。</w:t>
      </w:r>
    </w:p>
    <w:p w14:paraId="48F7723E">
      <w:pPr>
        <w:widowControl/>
        <w:numPr>
          <w:ilvl w:val="0"/>
          <w:numId w:val="0"/>
        </w:numPr>
        <w:spacing w:line="360" w:lineRule="auto"/>
        <w:ind w:left="220" w:firstLine="480" w:firstLineChars="200"/>
        <w:jc w:val="left"/>
        <w:rPr>
          <w:rFonts w:hint="default" w:ascii="仿宋" w:hAnsi="仿宋" w:eastAsia="仿宋" w:cs="仿宋"/>
          <w:sz w:val="24"/>
          <w:lang w:bidi="ar"/>
        </w:rPr>
      </w:pPr>
      <w:r>
        <w:rPr>
          <w:rFonts w:hint="default" w:ascii="仿宋" w:hAnsi="仿宋" w:eastAsia="仿宋" w:cs="仿宋"/>
          <w:sz w:val="24"/>
          <w:lang w:val="en-US" w:eastAsia="zh-CN" w:bidi="ar"/>
        </w:rPr>
        <w:t>9.9</w:t>
      </w:r>
      <w:r>
        <w:rPr>
          <w:rFonts w:hint="default" w:ascii="仿宋" w:hAnsi="仿宋" w:eastAsia="仿宋" w:cs="仿宋"/>
          <w:sz w:val="24"/>
          <w:lang w:bidi="ar"/>
        </w:rPr>
        <w:t>考虑本工程内容，工期较紧，请</w:t>
      </w:r>
      <w:r>
        <w:rPr>
          <w:rFonts w:hint="default" w:ascii="仿宋" w:hAnsi="仿宋" w:eastAsia="仿宋" w:cs="仿宋"/>
          <w:sz w:val="24"/>
          <w:lang w:val="en-US" w:eastAsia="zh-CN" w:bidi="ar"/>
        </w:rPr>
        <w:t>供应商</w:t>
      </w:r>
      <w:r>
        <w:rPr>
          <w:rFonts w:hint="default" w:ascii="仿宋" w:hAnsi="仿宋" w:eastAsia="仿宋" w:cs="仿宋"/>
          <w:sz w:val="24"/>
          <w:lang w:bidi="ar"/>
        </w:rPr>
        <w:t>充分踏勘现场，全面考虑由此带来的工效降低，作业难度增大等困难，因此增加的各项费用（包括但不限于：人员、机械设备增加；赶工；机械设备多次进出场等费用）自行综合考虑计入</w:t>
      </w:r>
      <w:r>
        <w:rPr>
          <w:rFonts w:hint="default" w:ascii="仿宋" w:hAnsi="仿宋" w:eastAsia="仿宋" w:cs="仿宋"/>
          <w:sz w:val="24"/>
          <w:lang w:val="en-US" w:eastAsia="zh-CN" w:bidi="ar"/>
        </w:rPr>
        <w:t>投标报</w:t>
      </w:r>
      <w:r>
        <w:rPr>
          <w:rFonts w:hint="default" w:ascii="仿宋" w:hAnsi="仿宋" w:eastAsia="仿宋" w:cs="仿宋"/>
          <w:sz w:val="24"/>
          <w:lang w:bidi="ar"/>
        </w:rPr>
        <w:t>价，</w:t>
      </w:r>
      <w:r>
        <w:rPr>
          <w:rFonts w:hint="default" w:ascii="仿宋" w:hAnsi="仿宋" w:eastAsia="仿宋" w:cs="仿宋"/>
          <w:sz w:val="24"/>
          <w:lang w:val="en-US" w:eastAsia="zh-CN" w:bidi="ar"/>
        </w:rPr>
        <w:t>成交</w:t>
      </w:r>
      <w:r>
        <w:rPr>
          <w:rFonts w:hint="default" w:ascii="仿宋" w:hAnsi="仿宋" w:eastAsia="仿宋" w:cs="仿宋"/>
          <w:sz w:val="24"/>
          <w:lang w:bidi="ar"/>
        </w:rPr>
        <w:t>后不因此增加任何费用。</w:t>
      </w:r>
    </w:p>
    <w:p w14:paraId="29263AF3">
      <w:pPr>
        <w:widowControl/>
        <w:numPr>
          <w:ilvl w:val="0"/>
          <w:numId w:val="0"/>
        </w:numPr>
        <w:spacing w:line="360" w:lineRule="auto"/>
        <w:ind w:left="220" w:firstLine="480" w:firstLineChars="200"/>
        <w:jc w:val="left"/>
        <w:rPr>
          <w:rFonts w:hint="default" w:ascii="仿宋" w:hAnsi="仿宋" w:eastAsia="仿宋" w:cs="仿宋"/>
          <w:color w:val="auto"/>
          <w:sz w:val="24"/>
          <w:highlight w:val="none"/>
          <w:lang w:bidi="ar"/>
        </w:rPr>
      </w:pPr>
      <w:r>
        <w:rPr>
          <w:rFonts w:hint="default" w:ascii="仿宋" w:hAnsi="仿宋" w:eastAsia="仿宋" w:cs="仿宋"/>
          <w:sz w:val="24"/>
          <w:lang w:val="en-US" w:eastAsia="zh-CN" w:bidi="ar"/>
        </w:rPr>
        <w:t>9.10</w:t>
      </w:r>
      <w:r>
        <w:rPr>
          <w:rFonts w:hint="default" w:ascii="仿宋" w:hAnsi="仿宋" w:eastAsia="仿宋" w:cs="仿宋"/>
          <w:sz w:val="24"/>
          <w:lang w:bidi="ar"/>
        </w:rPr>
        <w:t>全部工程验收合格，双方签署验收证书之日起10日内清除所有与现场无关的任何多余物品（建筑材料、设备等）及（建筑、生活）垃圾等，达到工程正常使用要求。如</w:t>
      </w:r>
      <w:r>
        <w:rPr>
          <w:rFonts w:hint="default" w:ascii="仿宋" w:hAnsi="仿宋" w:eastAsia="仿宋" w:cs="仿宋"/>
          <w:sz w:val="24"/>
          <w:lang w:val="en-US" w:eastAsia="zh-CN" w:bidi="ar"/>
        </w:rPr>
        <w:t>供应商</w:t>
      </w:r>
      <w:r>
        <w:rPr>
          <w:rFonts w:hint="default" w:ascii="仿宋" w:hAnsi="仿宋" w:eastAsia="仿宋" w:cs="仿宋"/>
          <w:sz w:val="24"/>
          <w:lang w:bidi="ar"/>
        </w:rPr>
        <w:t>不履行，</w:t>
      </w:r>
      <w:r>
        <w:rPr>
          <w:rFonts w:hint="default" w:ascii="仿宋" w:hAnsi="仿宋" w:eastAsia="仿宋" w:cs="仿宋"/>
          <w:sz w:val="24"/>
          <w:lang w:val="en-US" w:eastAsia="zh-CN" w:bidi="ar"/>
        </w:rPr>
        <w:t>采购</w:t>
      </w:r>
      <w:r>
        <w:rPr>
          <w:rFonts w:hint="default" w:ascii="仿宋" w:hAnsi="仿宋" w:eastAsia="仿宋" w:cs="仿宋"/>
          <w:sz w:val="24"/>
          <w:lang w:bidi="ar"/>
        </w:rPr>
        <w:t>人可自行清除，发生的费用由</w:t>
      </w:r>
      <w:r>
        <w:rPr>
          <w:rFonts w:hint="default" w:ascii="仿宋" w:hAnsi="仿宋" w:eastAsia="仿宋" w:cs="仿宋"/>
          <w:sz w:val="24"/>
          <w:lang w:val="en-US" w:eastAsia="zh-CN" w:bidi="ar"/>
        </w:rPr>
        <w:t>供应商</w:t>
      </w:r>
      <w:r>
        <w:rPr>
          <w:rFonts w:hint="default" w:ascii="仿宋" w:hAnsi="仿宋" w:eastAsia="仿宋" w:cs="仿宋"/>
          <w:sz w:val="24"/>
          <w:lang w:bidi="ar"/>
        </w:rPr>
        <w:t>承担，并在最近一次结算的工程款中予以扣</w:t>
      </w:r>
      <w:r>
        <w:rPr>
          <w:rFonts w:hint="default" w:ascii="仿宋" w:hAnsi="仿宋" w:eastAsia="仿宋" w:cs="仿宋"/>
          <w:color w:val="auto"/>
          <w:sz w:val="24"/>
          <w:highlight w:val="none"/>
          <w:lang w:bidi="ar"/>
        </w:rPr>
        <w:t>除。</w:t>
      </w:r>
      <w:r>
        <w:rPr>
          <w:rFonts w:hint="default" w:ascii="仿宋" w:hAnsi="仿宋" w:eastAsia="仿宋" w:cs="仿宋"/>
          <w:b w:val="0"/>
          <w:color w:val="auto"/>
          <w:sz w:val="24"/>
          <w:highlight w:val="none"/>
        </w:rPr>
        <w:t>原楼内一层及二层废弃物处置</w:t>
      </w:r>
      <w:r>
        <w:rPr>
          <w:rFonts w:hint="default" w:ascii="仿宋" w:hAnsi="仿宋" w:eastAsia="仿宋" w:cs="仿宋"/>
          <w:b w:val="0"/>
          <w:color w:val="auto"/>
          <w:sz w:val="24"/>
          <w:highlight w:val="none"/>
          <w:lang w:val="en-US" w:eastAsia="zh-CN"/>
        </w:rPr>
        <w:t>相关费用</w:t>
      </w:r>
      <w:r>
        <w:rPr>
          <w:rFonts w:hint="eastAsia" w:ascii="仿宋" w:hAnsi="仿宋" w:eastAsia="仿宋" w:cs="仿宋"/>
          <w:b w:val="0"/>
          <w:color w:val="auto"/>
          <w:sz w:val="24"/>
          <w:highlight w:val="none"/>
          <w:lang w:val="en-US" w:eastAsia="zh-CN"/>
        </w:rPr>
        <w:t>，</w:t>
      </w:r>
      <w:r>
        <w:rPr>
          <w:rFonts w:hint="default" w:ascii="仿宋" w:hAnsi="仿宋" w:eastAsia="仿宋" w:cs="仿宋"/>
          <w:b w:val="0"/>
          <w:color w:val="auto"/>
          <w:sz w:val="24"/>
          <w:highlight w:val="none"/>
          <w:lang w:val="en-US" w:eastAsia="zh-CN"/>
        </w:rPr>
        <w:t>含在</w:t>
      </w:r>
      <w:r>
        <w:rPr>
          <w:rFonts w:hint="eastAsia" w:ascii="仿宋" w:hAnsi="仿宋" w:eastAsia="仿宋" w:cs="仿宋"/>
          <w:b w:val="0"/>
          <w:color w:val="auto"/>
          <w:sz w:val="24"/>
          <w:highlight w:val="none"/>
          <w:lang w:val="en-US" w:eastAsia="zh-CN"/>
        </w:rPr>
        <w:t>本次</w:t>
      </w:r>
      <w:r>
        <w:rPr>
          <w:rFonts w:hint="default" w:ascii="仿宋" w:hAnsi="仿宋" w:eastAsia="仿宋" w:cs="仿宋"/>
          <w:b w:val="0"/>
          <w:color w:val="auto"/>
          <w:sz w:val="24"/>
          <w:highlight w:val="none"/>
          <w:lang w:val="en-US" w:eastAsia="zh-CN"/>
        </w:rPr>
        <w:t>投标报价内</w:t>
      </w:r>
      <w:r>
        <w:rPr>
          <w:rFonts w:hint="eastAsia" w:ascii="仿宋" w:hAnsi="仿宋" w:eastAsia="仿宋" w:cs="仿宋"/>
          <w:b w:val="0"/>
          <w:color w:val="auto"/>
          <w:sz w:val="24"/>
          <w:highlight w:val="none"/>
          <w:lang w:val="en-US" w:eastAsia="zh-CN"/>
        </w:rPr>
        <w:t>，后续不予调整</w:t>
      </w:r>
      <w:r>
        <w:rPr>
          <w:rFonts w:hint="default" w:ascii="仿宋" w:hAnsi="仿宋" w:eastAsia="仿宋" w:cs="仿宋"/>
          <w:b w:val="0"/>
          <w:color w:val="auto"/>
          <w:sz w:val="24"/>
          <w:highlight w:val="none"/>
        </w:rPr>
        <w:t>。</w:t>
      </w:r>
    </w:p>
    <w:p w14:paraId="6B3AF267">
      <w:pPr>
        <w:widowControl/>
        <w:numPr>
          <w:ilvl w:val="0"/>
          <w:numId w:val="0"/>
        </w:numPr>
        <w:snapToGrid/>
        <w:spacing w:line="360" w:lineRule="auto"/>
        <w:ind w:left="220" w:firstLine="480" w:firstLineChars="200"/>
        <w:jc w:val="left"/>
        <w:rPr>
          <w:rFonts w:hint="default" w:ascii="仿宋" w:hAnsi="仿宋" w:eastAsia="仿宋" w:cs="仿宋"/>
          <w:color w:val="auto"/>
          <w:sz w:val="24"/>
          <w:highlight w:val="none"/>
          <w:lang w:val="en-US" w:eastAsia="zh-CN" w:bidi="ar"/>
        </w:rPr>
      </w:pPr>
      <w:r>
        <w:rPr>
          <w:rFonts w:hint="default" w:ascii="仿宋" w:hAnsi="仿宋" w:eastAsia="仿宋" w:cs="仿宋"/>
          <w:color w:val="auto"/>
          <w:sz w:val="24"/>
          <w:highlight w:val="none"/>
          <w:lang w:val="en-US" w:eastAsia="zh-CN" w:bidi="ar"/>
        </w:rPr>
        <w:t>9.11</w:t>
      </w:r>
      <w:r>
        <w:rPr>
          <w:rFonts w:hint="default" w:ascii="仿宋" w:hAnsi="仿宋" w:eastAsia="仿宋" w:cs="仿宋"/>
          <w:color w:val="auto"/>
          <w:sz w:val="24"/>
          <w:highlight w:val="none"/>
          <w:lang w:bidi="ar"/>
        </w:rPr>
        <w:t>施工过程中若对周边环境或居民造成不利影响而引起投诉、罚款等，则由</w:t>
      </w:r>
      <w:r>
        <w:rPr>
          <w:rFonts w:hint="default" w:ascii="仿宋" w:hAnsi="仿宋" w:eastAsia="仿宋" w:cs="仿宋"/>
          <w:color w:val="auto"/>
          <w:sz w:val="24"/>
          <w:highlight w:val="none"/>
          <w:lang w:val="en-US" w:eastAsia="zh-CN" w:bidi="ar"/>
        </w:rPr>
        <w:t>供应商</w:t>
      </w:r>
      <w:r>
        <w:rPr>
          <w:rFonts w:hint="default" w:ascii="仿宋" w:hAnsi="仿宋" w:eastAsia="仿宋" w:cs="仿宋"/>
          <w:color w:val="auto"/>
          <w:sz w:val="24"/>
          <w:highlight w:val="none"/>
          <w:lang w:bidi="ar"/>
        </w:rPr>
        <w:t>妥善解决并承担所有责任</w:t>
      </w:r>
      <w:r>
        <w:rPr>
          <w:rFonts w:hint="default" w:ascii="仿宋" w:hAnsi="仿宋" w:eastAsia="仿宋" w:cs="仿宋"/>
          <w:color w:val="auto"/>
          <w:sz w:val="24"/>
          <w:highlight w:val="none"/>
          <w:lang w:val="en-US" w:eastAsia="zh-CN" w:bidi="ar"/>
        </w:rPr>
        <w:t>及可能产生的费用</w:t>
      </w:r>
      <w:r>
        <w:rPr>
          <w:rFonts w:hint="default" w:ascii="仿宋" w:hAnsi="仿宋" w:eastAsia="仿宋" w:cs="仿宋"/>
          <w:color w:val="auto"/>
          <w:sz w:val="24"/>
          <w:highlight w:val="none"/>
          <w:lang w:bidi="ar"/>
        </w:rPr>
        <w:t>。</w:t>
      </w:r>
    </w:p>
    <w:p w14:paraId="1733D4C0">
      <w:pPr>
        <w:widowControl/>
        <w:numPr>
          <w:ilvl w:val="0"/>
          <w:numId w:val="0"/>
        </w:numPr>
        <w:spacing w:line="360" w:lineRule="auto"/>
        <w:ind w:left="220" w:firstLine="480" w:firstLineChars="200"/>
        <w:jc w:val="left"/>
        <w:rPr>
          <w:rFonts w:hint="default" w:ascii="仿宋" w:hAnsi="仿宋" w:eastAsia="仿宋" w:cs="仿宋"/>
          <w:b w:val="0"/>
          <w:color w:val="auto"/>
          <w:sz w:val="24"/>
          <w:highlight w:val="none"/>
        </w:rPr>
      </w:pPr>
      <w:r>
        <w:rPr>
          <w:rFonts w:hint="eastAsia" w:ascii="仿宋" w:hAnsi="仿宋" w:eastAsia="仿宋" w:cs="仿宋"/>
          <w:b w:val="0"/>
          <w:color w:val="auto"/>
          <w:sz w:val="24"/>
          <w:highlight w:val="none"/>
          <w:lang w:val="en-US" w:eastAsia="zh-CN"/>
        </w:rPr>
        <w:t xml:space="preserve">9.12 </w:t>
      </w:r>
      <w:r>
        <w:rPr>
          <w:rFonts w:hint="default" w:ascii="仿宋" w:hAnsi="仿宋" w:eastAsia="仿宋" w:cs="仿宋"/>
          <w:b w:val="0"/>
          <w:color w:val="auto"/>
          <w:sz w:val="24"/>
          <w:highlight w:val="none"/>
        </w:rPr>
        <w:t>民工工资必须按时支付，否则采购人有权暂扣工程款直到供应商付清民工工资为止，并根据上级主管部门的相关规定进行处罚。</w:t>
      </w:r>
    </w:p>
    <w:p w14:paraId="064E61DF">
      <w:pPr>
        <w:widowControl/>
        <w:numPr>
          <w:ilvl w:val="0"/>
          <w:numId w:val="0"/>
        </w:numPr>
        <w:spacing w:line="360" w:lineRule="auto"/>
        <w:ind w:left="220" w:firstLine="480" w:firstLineChars="200"/>
        <w:jc w:val="left"/>
        <w:rPr>
          <w:rFonts w:hint="default" w:ascii="仿宋" w:hAnsi="仿宋" w:eastAsia="仿宋" w:cs="仿宋"/>
          <w:b w:val="0"/>
          <w:color w:val="auto"/>
          <w:sz w:val="24"/>
          <w:highlight w:val="none"/>
        </w:rPr>
      </w:pPr>
      <w:r>
        <w:rPr>
          <w:rFonts w:hint="eastAsia" w:ascii="仿宋" w:hAnsi="仿宋" w:eastAsia="仿宋" w:cs="仿宋"/>
          <w:b w:val="0"/>
          <w:color w:val="auto"/>
          <w:sz w:val="24"/>
          <w:highlight w:val="none"/>
          <w:lang w:val="en-US" w:eastAsia="zh-CN"/>
        </w:rPr>
        <w:t xml:space="preserve">9.13 </w:t>
      </w:r>
      <w:r>
        <w:rPr>
          <w:rFonts w:hint="default" w:ascii="仿宋" w:hAnsi="仿宋" w:eastAsia="仿宋" w:cs="仿宋"/>
          <w:b w:val="0"/>
          <w:color w:val="auto"/>
          <w:sz w:val="24"/>
          <w:highlight w:val="none"/>
        </w:rPr>
        <w:t>在本工程项目未竣工验收交付采购人前，本工程成品或半成品及设备保护均由供应商负责保护，费用请综合考虑到报价中。</w:t>
      </w:r>
    </w:p>
    <w:p w14:paraId="570BB7D3">
      <w:pPr>
        <w:widowControl/>
        <w:numPr>
          <w:ilvl w:val="0"/>
          <w:numId w:val="0"/>
        </w:numPr>
        <w:snapToGrid/>
        <w:spacing w:line="360" w:lineRule="auto"/>
        <w:ind w:left="220" w:firstLine="480" w:firstLineChars="200"/>
        <w:jc w:val="left"/>
        <w:rPr>
          <w:rFonts w:hint="default" w:ascii="仿宋" w:hAnsi="仿宋" w:eastAsia="仿宋" w:cs="仿宋"/>
          <w:b w:val="0"/>
          <w:color w:val="auto"/>
          <w:sz w:val="24"/>
          <w:highlight w:val="none"/>
        </w:rPr>
      </w:pPr>
      <w:r>
        <w:rPr>
          <w:rFonts w:hint="eastAsia" w:ascii="仿宋" w:hAnsi="仿宋" w:eastAsia="仿宋" w:cs="仿宋"/>
          <w:b w:val="0"/>
          <w:color w:val="auto"/>
          <w:sz w:val="24"/>
          <w:highlight w:val="none"/>
          <w:lang w:val="en-US" w:eastAsia="zh-CN"/>
        </w:rPr>
        <w:t xml:space="preserve">9.14 </w:t>
      </w:r>
      <w:r>
        <w:rPr>
          <w:rFonts w:hint="default" w:ascii="仿宋" w:hAnsi="仿宋" w:eastAsia="仿宋" w:cs="仿宋"/>
          <w:b w:val="0"/>
          <w:color w:val="auto"/>
          <w:sz w:val="24"/>
          <w:highlight w:val="none"/>
        </w:rPr>
        <w:t>凡采购文件中要求进入报价的费用若在供应商投标文件中不体现，均视同已进入投标总价或作为优惠不计入投标价，成交后，不再另行支付与之相关的费用。</w:t>
      </w:r>
    </w:p>
    <w:p w14:paraId="15B0B79A">
      <w:pPr>
        <w:widowControl/>
        <w:numPr>
          <w:ilvl w:val="0"/>
          <w:numId w:val="0"/>
        </w:numPr>
        <w:spacing w:line="360" w:lineRule="auto"/>
        <w:ind w:left="220" w:firstLine="480" w:firstLineChars="200"/>
        <w:jc w:val="left"/>
        <w:rPr>
          <w:rFonts w:hint="default" w:ascii="仿宋" w:hAnsi="仿宋" w:eastAsia="仿宋" w:cs="仿宋"/>
          <w:b w:val="0"/>
          <w:color w:val="auto"/>
          <w:sz w:val="24"/>
          <w:highlight w:val="none"/>
        </w:rPr>
      </w:pPr>
      <w:r>
        <w:rPr>
          <w:rFonts w:hint="eastAsia" w:ascii="仿宋" w:hAnsi="仿宋" w:eastAsia="仿宋" w:cs="仿宋"/>
          <w:b w:val="0"/>
          <w:color w:val="auto"/>
          <w:sz w:val="24"/>
          <w:highlight w:val="none"/>
          <w:lang w:val="en-US" w:eastAsia="zh-CN"/>
        </w:rPr>
        <w:t xml:space="preserve">9.15 </w:t>
      </w:r>
      <w:r>
        <w:rPr>
          <w:rFonts w:hint="default" w:ascii="仿宋" w:hAnsi="仿宋" w:eastAsia="仿宋" w:cs="仿宋"/>
          <w:b w:val="0"/>
          <w:color w:val="auto"/>
          <w:sz w:val="24"/>
          <w:highlight w:val="none"/>
        </w:rPr>
        <w:t>因重大活动、会议或其它特殊情况，采购人发布相关停工通知的，项目必须无条件服从通知要求进行停工，供应商应充分考虑组织措施增加费、技术措施增加费，人员、机械窝工及相关全部费用，请供应商在报价中综合考虑。后期，上述相关费用不予以签证，不再调整费用，工期予以顺延。</w:t>
      </w:r>
    </w:p>
    <w:p w14:paraId="79039EC7">
      <w:pPr>
        <w:widowControl/>
        <w:numPr>
          <w:ilvl w:val="0"/>
          <w:numId w:val="0"/>
        </w:numPr>
        <w:spacing w:line="360" w:lineRule="auto"/>
        <w:ind w:left="220" w:firstLine="480" w:firstLineChars="200"/>
        <w:jc w:val="left"/>
        <w:rPr>
          <w:rFonts w:hint="default" w:ascii="仿宋" w:hAnsi="仿宋" w:eastAsia="仿宋" w:cs="仿宋"/>
          <w:b w:val="0"/>
          <w:color w:val="auto"/>
          <w:sz w:val="24"/>
          <w:highlight w:val="none"/>
        </w:rPr>
      </w:pPr>
      <w:r>
        <w:rPr>
          <w:rFonts w:hint="eastAsia" w:ascii="仿宋" w:hAnsi="仿宋" w:eastAsia="仿宋" w:cs="仿宋"/>
          <w:b w:val="0"/>
          <w:color w:val="auto"/>
          <w:sz w:val="24"/>
          <w:highlight w:val="none"/>
          <w:lang w:val="en-US" w:eastAsia="zh-CN"/>
        </w:rPr>
        <w:t xml:space="preserve">9.16 </w:t>
      </w:r>
      <w:r>
        <w:rPr>
          <w:rFonts w:hint="default" w:ascii="仿宋" w:hAnsi="仿宋" w:eastAsia="仿宋" w:cs="仿宋"/>
          <w:b w:val="0"/>
          <w:color w:val="auto"/>
          <w:sz w:val="24"/>
          <w:highlight w:val="none"/>
        </w:rPr>
        <w:t>施工期间不停电（保电）费用</w:t>
      </w:r>
      <w:r>
        <w:rPr>
          <w:rFonts w:hint="eastAsia" w:ascii="仿宋" w:hAnsi="仿宋" w:eastAsia="仿宋" w:cs="仿宋"/>
          <w:b w:val="0"/>
          <w:color w:val="auto"/>
          <w:sz w:val="24"/>
          <w:highlight w:val="none"/>
          <w:lang w:eastAsia="zh-CN"/>
        </w:rPr>
        <w:t>，</w:t>
      </w:r>
      <w:r>
        <w:rPr>
          <w:rFonts w:hint="default" w:ascii="仿宋" w:hAnsi="仿宋" w:eastAsia="仿宋" w:cs="仿宋"/>
          <w:b w:val="0"/>
          <w:color w:val="auto"/>
          <w:sz w:val="24"/>
          <w:highlight w:val="none"/>
          <w:lang w:val="en-US" w:eastAsia="zh-CN"/>
        </w:rPr>
        <w:t>含在</w:t>
      </w:r>
      <w:r>
        <w:rPr>
          <w:rFonts w:hint="eastAsia" w:ascii="仿宋" w:hAnsi="仿宋" w:eastAsia="仿宋" w:cs="仿宋"/>
          <w:b w:val="0"/>
          <w:color w:val="auto"/>
          <w:sz w:val="24"/>
          <w:highlight w:val="none"/>
          <w:lang w:val="en-US" w:eastAsia="zh-CN"/>
        </w:rPr>
        <w:t>本次</w:t>
      </w:r>
      <w:r>
        <w:rPr>
          <w:rFonts w:hint="default" w:ascii="仿宋" w:hAnsi="仿宋" w:eastAsia="仿宋" w:cs="仿宋"/>
          <w:b w:val="0"/>
          <w:color w:val="auto"/>
          <w:sz w:val="24"/>
          <w:highlight w:val="none"/>
          <w:lang w:val="en-US" w:eastAsia="zh-CN"/>
        </w:rPr>
        <w:t>投标报价内</w:t>
      </w:r>
      <w:r>
        <w:rPr>
          <w:rFonts w:hint="eastAsia" w:ascii="仿宋" w:hAnsi="仿宋" w:eastAsia="仿宋" w:cs="仿宋"/>
          <w:b w:val="0"/>
          <w:color w:val="auto"/>
          <w:sz w:val="24"/>
          <w:highlight w:val="none"/>
          <w:lang w:val="en-US" w:eastAsia="zh-CN"/>
        </w:rPr>
        <w:t>，后续不予调整</w:t>
      </w:r>
      <w:r>
        <w:rPr>
          <w:rFonts w:hint="default" w:ascii="仿宋" w:hAnsi="仿宋" w:eastAsia="仿宋" w:cs="仿宋"/>
          <w:b w:val="0"/>
          <w:color w:val="auto"/>
          <w:sz w:val="24"/>
          <w:highlight w:val="none"/>
        </w:rPr>
        <w:t>。</w:t>
      </w:r>
    </w:p>
    <w:p w14:paraId="302854C4">
      <w:pPr>
        <w:widowControl/>
        <w:numPr>
          <w:ilvl w:val="0"/>
          <w:numId w:val="0"/>
        </w:numPr>
        <w:spacing w:line="360" w:lineRule="auto"/>
        <w:ind w:left="220" w:firstLine="480" w:firstLineChars="200"/>
        <w:jc w:val="left"/>
        <w:rPr>
          <w:rFonts w:hint="default"/>
          <w:color w:val="auto"/>
          <w:highlight w:val="none"/>
          <w:lang w:val="en-US" w:eastAsia="zh-CN"/>
        </w:rPr>
      </w:pPr>
      <w:r>
        <w:rPr>
          <w:rFonts w:hint="default" w:ascii="仿宋" w:hAnsi="仿宋" w:eastAsia="仿宋" w:cs="仿宋"/>
          <w:b w:val="0"/>
          <w:color w:val="auto"/>
          <w:sz w:val="24"/>
          <w:highlight w:val="none"/>
          <w:lang w:val="en-US" w:eastAsia="zh-CN"/>
        </w:rPr>
        <w:t>9.1</w:t>
      </w:r>
      <w:r>
        <w:rPr>
          <w:rFonts w:hint="eastAsia" w:ascii="仿宋" w:hAnsi="仿宋" w:eastAsia="仿宋" w:cs="仿宋"/>
          <w:b w:val="0"/>
          <w:color w:val="auto"/>
          <w:sz w:val="24"/>
          <w:highlight w:val="none"/>
          <w:lang w:val="en-US" w:eastAsia="zh-CN"/>
        </w:rPr>
        <w:t>7</w:t>
      </w:r>
      <w:r>
        <w:rPr>
          <w:rFonts w:hint="default" w:ascii="仿宋" w:hAnsi="仿宋" w:eastAsia="仿宋" w:cs="仿宋"/>
          <w:b w:val="0"/>
          <w:color w:val="auto"/>
          <w:sz w:val="24"/>
          <w:highlight w:val="none"/>
          <w:lang w:val="en-US" w:eastAsia="zh-CN"/>
        </w:rPr>
        <w:t xml:space="preserve"> </w:t>
      </w:r>
      <w:r>
        <w:rPr>
          <w:rFonts w:hint="default" w:ascii="仿宋" w:hAnsi="仿宋" w:eastAsia="仿宋" w:cs="仿宋"/>
          <w:b w:val="0"/>
          <w:color w:val="auto"/>
          <w:sz w:val="24"/>
          <w:szCs w:val="24"/>
          <w:highlight w:val="none"/>
        </w:rPr>
        <w:t>本项目需外送结算审计，审计价增减总额超过5%的审计</w:t>
      </w:r>
      <w:r>
        <w:rPr>
          <w:rFonts w:hint="default" w:ascii="仿宋" w:hAnsi="仿宋" w:eastAsia="仿宋" w:cs="仿宋"/>
          <w:b w:val="0"/>
          <w:color w:val="auto"/>
          <w:sz w:val="24"/>
          <w:szCs w:val="24"/>
          <w:highlight w:val="none"/>
          <w:lang w:val="en-US" w:eastAsia="zh-CN"/>
        </w:rPr>
        <w:t>供应商</w:t>
      </w:r>
      <w:r>
        <w:rPr>
          <w:rFonts w:hint="default" w:ascii="仿宋" w:hAnsi="仿宋" w:eastAsia="仿宋" w:cs="仿宋"/>
          <w:b w:val="0"/>
          <w:color w:val="auto"/>
          <w:sz w:val="24"/>
          <w:szCs w:val="24"/>
          <w:highlight w:val="none"/>
        </w:rPr>
        <w:t>支付</w:t>
      </w:r>
      <w:r>
        <w:rPr>
          <w:rFonts w:hint="default" w:ascii="仿宋" w:hAnsi="仿宋" w:eastAsia="仿宋" w:cs="仿宋"/>
          <w:b w:val="0"/>
          <w:color w:val="auto"/>
          <w:sz w:val="24"/>
          <w:szCs w:val="24"/>
          <w:highlight w:val="none"/>
          <w:lang w:eastAsia="zh-CN"/>
        </w:rPr>
        <w:t>，</w:t>
      </w:r>
      <w:r>
        <w:rPr>
          <w:rFonts w:hint="default" w:ascii="仿宋" w:hAnsi="仿宋" w:eastAsia="仿宋" w:cs="仿宋"/>
          <w:b w:val="0"/>
          <w:color w:val="auto"/>
          <w:sz w:val="24"/>
          <w:szCs w:val="24"/>
          <w:highlight w:val="none"/>
          <w:lang w:val="en-US" w:eastAsia="zh-CN"/>
        </w:rPr>
        <w:t>相关费用已含在投标报价内</w:t>
      </w:r>
      <w:r>
        <w:rPr>
          <w:rFonts w:hint="default" w:ascii="仿宋" w:hAnsi="仿宋" w:eastAsia="仿宋" w:cs="仿宋"/>
          <w:b w:val="0"/>
          <w:color w:val="auto"/>
          <w:sz w:val="24"/>
          <w:szCs w:val="24"/>
          <w:highlight w:val="none"/>
        </w:rPr>
        <w:t>。</w:t>
      </w:r>
    </w:p>
    <w:p w14:paraId="7A4C1E8C">
      <w:pPr>
        <w:pStyle w:val="3"/>
        <w:autoSpaceDE w:val="0"/>
        <w:autoSpaceDN w:val="0"/>
        <w:spacing w:beforeLines="0"/>
        <w:ind w:firstLine="482"/>
        <w:rPr>
          <w:rFonts w:hint="eastAsia" w:hAnsi="仿宋" w:eastAsia="仿宋"/>
          <w:sz w:val="24"/>
        </w:rPr>
      </w:pPr>
      <w:bookmarkStart w:id="75" w:name="_Toc111039981"/>
      <w:bookmarkStart w:id="76" w:name="_Toc32217"/>
      <w:bookmarkStart w:id="77" w:name="_Toc17119"/>
      <w:r>
        <w:rPr>
          <w:rFonts w:hint="eastAsia" w:hAnsi="仿宋" w:eastAsia="仿宋"/>
          <w:sz w:val="24"/>
          <w:lang w:val="en-US" w:eastAsia="zh-CN"/>
        </w:rPr>
        <w:t>十</w:t>
      </w:r>
      <w:r>
        <w:rPr>
          <w:rFonts w:hint="eastAsia" w:hAnsi="仿宋" w:eastAsia="仿宋"/>
          <w:sz w:val="24"/>
        </w:rPr>
        <w:t>、商务</w:t>
      </w:r>
      <w:bookmarkEnd w:id="75"/>
      <w:r>
        <w:rPr>
          <w:rFonts w:hint="eastAsia" w:hAnsi="仿宋" w:eastAsia="仿宋"/>
          <w:sz w:val="24"/>
        </w:rPr>
        <w:t>部分</w:t>
      </w:r>
      <w:bookmarkEnd w:id="76"/>
      <w:bookmarkEnd w:id="77"/>
    </w:p>
    <w:p w14:paraId="553CCCAE">
      <w:pPr>
        <w:autoSpaceDE w:val="0"/>
        <w:autoSpaceDN w:val="0"/>
        <w:snapToGrid w:val="0"/>
        <w:spacing w:line="360" w:lineRule="auto"/>
        <w:ind w:firstLine="482" w:firstLineChars="200"/>
        <w:rPr>
          <w:rFonts w:hint="eastAsia" w:ascii="仿宋" w:hAnsi="仿宋" w:eastAsia="仿宋" w:cs="宋体"/>
          <w:b/>
          <w:bCs/>
          <w:sz w:val="24"/>
          <w:lang w:eastAsia="zh-CN"/>
        </w:rPr>
      </w:pPr>
      <w:r>
        <w:rPr>
          <w:rFonts w:hint="eastAsia" w:ascii="仿宋" w:hAnsi="仿宋" w:eastAsia="仿宋" w:cs="宋体"/>
          <w:b/>
          <w:bCs/>
          <w:sz w:val="24"/>
        </w:rPr>
        <w:t>1</w:t>
      </w:r>
      <w:bookmarkStart w:id="78" w:name="_Hlk113457415"/>
      <w:r>
        <w:rPr>
          <w:rFonts w:hint="eastAsia" w:ascii="仿宋" w:hAnsi="仿宋" w:eastAsia="仿宋" w:cs="宋体"/>
          <w:b/>
          <w:bCs/>
          <w:sz w:val="24"/>
          <w:lang w:val="en-US" w:eastAsia="zh-CN"/>
        </w:rPr>
        <w:t>0</w:t>
      </w:r>
      <w:r>
        <w:rPr>
          <w:rFonts w:hint="eastAsia" w:ascii="仿宋" w:hAnsi="仿宋" w:eastAsia="仿宋" w:cs="宋体"/>
          <w:b/>
          <w:bCs/>
          <w:sz w:val="24"/>
        </w:rPr>
        <w:t>.</w:t>
      </w:r>
      <w:bookmarkEnd w:id="78"/>
      <w:r>
        <w:rPr>
          <w:rFonts w:hint="eastAsia" w:ascii="仿宋" w:hAnsi="仿宋" w:eastAsia="仿宋" w:cs="宋体"/>
          <w:b/>
          <w:bCs/>
          <w:sz w:val="24"/>
          <w:lang w:val="en-US" w:eastAsia="zh-CN"/>
        </w:rPr>
        <w:t>1</w:t>
      </w:r>
      <w:r>
        <w:rPr>
          <w:rFonts w:hint="eastAsia" w:ascii="仿宋" w:hAnsi="仿宋" w:eastAsia="仿宋" w:cs="宋体"/>
          <w:b/>
          <w:bCs/>
          <w:sz w:val="24"/>
        </w:rPr>
        <w:t>合同价格形式：</w:t>
      </w:r>
      <w:r>
        <w:rPr>
          <w:rFonts w:hint="eastAsia" w:ascii="仿宋" w:hAnsi="仿宋" w:eastAsia="仿宋" w:cs="宋体"/>
          <w:b/>
          <w:bCs/>
          <w:sz w:val="24"/>
          <w:u w:val="single"/>
        </w:rPr>
        <w:t>固定</w:t>
      </w:r>
      <w:r>
        <w:rPr>
          <w:rFonts w:hint="eastAsia" w:ascii="仿宋" w:hAnsi="仿宋" w:eastAsia="仿宋" w:cs="宋体"/>
          <w:b/>
          <w:bCs/>
          <w:sz w:val="24"/>
          <w:u w:val="single"/>
          <w:lang w:val="en-US" w:eastAsia="zh-CN"/>
        </w:rPr>
        <w:t>总价</w:t>
      </w:r>
      <w:r>
        <w:rPr>
          <w:rFonts w:hint="eastAsia" w:ascii="仿宋" w:hAnsi="仿宋" w:eastAsia="仿宋" w:cs="宋体"/>
          <w:b/>
          <w:bCs/>
          <w:sz w:val="24"/>
          <w:u w:val="single"/>
        </w:rPr>
        <w:t>合同</w:t>
      </w:r>
    </w:p>
    <w:p w14:paraId="47F0D049">
      <w:pPr>
        <w:autoSpaceDE w:val="0"/>
        <w:autoSpaceDN w:val="0"/>
        <w:snapToGrid w:val="0"/>
        <w:spacing w:line="360" w:lineRule="auto"/>
        <w:ind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10.2响应报价费用说明：</w:t>
      </w:r>
    </w:p>
    <w:p w14:paraId="286C5C75">
      <w:pPr>
        <w:autoSpaceDE w:val="0"/>
        <w:autoSpaceDN w:val="0"/>
        <w:snapToGrid w:val="0"/>
        <w:spacing w:line="360" w:lineRule="auto"/>
        <w:ind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工程设计费的说明：包括本工程所需的可研报告（如有）、勘察（如有）、方案设计优化、初步设计、施工图设计、竣工图文件及相关服务等，包括图纸审查、审批、论证等相关费用。任何原因导致的重新勘察（如有）、设计；重复勘察（如有）、设计；修改设计、设计变更、增加投资等风险及费用均包含在工程设计费报价中，</w:t>
      </w:r>
      <w:r>
        <w:rPr>
          <w:rFonts w:hint="eastAsia" w:ascii="仿宋" w:hAnsi="仿宋" w:eastAsia="仿宋" w:cs="宋体"/>
          <w:b/>
          <w:bCs/>
          <w:color w:val="auto"/>
          <w:sz w:val="24"/>
          <w:u w:val="single"/>
          <w:lang w:val="en-US" w:eastAsia="zh-CN"/>
        </w:rPr>
        <w:t>工程设计费报价在成交后实施过程中不作调整，最高限价7万元。</w:t>
      </w:r>
    </w:p>
    <w:p w14:paraId="29027058">
      <w:pPr>
        <w:autoSpaceDE w:val="0"/>
        <w:autoSpaceDN w:val="0"/>
        <w:snapToGrid w:val="0"/>
        <w:spacing w:line="360" w:lineRule="auto"/>
        <w:ind w:firstLine="480" w:firstLineChars="200"/>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工程费用（含设备及材料采购费）的说明：包括但不限于供应商为完成本项目施工所需的所有人工费、材料费、设备费、机械费、措施费、企业管理费、利润、风险、规费及税金，项目建设过程中需要的各类监测类、检测类费用和各类验收费等安全文明施工所需费用，直至完成全部工程竣工并达到本磋商文件规定的质量要求所需的全部费用。报价含完成本工程的所有费用，包含施工期间内外协调、审批报批等事项，未单独列入的，视为包含在本次报价中，后续总价不予调整。</w:t>
      </w:r>
    </w:p>
    <w:p w14:paraId="294A9B2B">
      <w:pPr>
        <w:autoSpaceDE w:val="0"/>
        <w:autoSpaceDN w:val="0"/>
        <w:snapToGrid w:val="0"/>
        <w:spacing w:line="360" w:lineRule="auto"/>
        <w:ind w:firstLine="480" w:firstLineChars="200"/>
        <w:rPr>
          <w:rFonts w:hint="eastAsia" w:ascii="仿宋" w:hAnsi="仿宋" w:eastAsia="仿宋" w:cs="仿宋_GB2312"/>
          <w:sz w:val="24"/>
        </w:rPr>
      </w:pPr>
      <w:r>
        <w:rPr>
          <w:rFonts w:hint="eastAsia" w:ascii="仿宋" w:hAnsi="仿宋" w:eastAsia="仿宋" w:cs="宋体"/>
          <w:sz w:val="24"/>
          <w:lang w:val="en-US" w:eastAsia="zh-CN"/>
        </w:rPr>
        <w:t>10.4</w:t>
      </w:r>
      <w:r>
        <w:rPr>
          <w:rFonts w:hint="eastAsia" w:ascii="仿宋" w:hAnsi="仿宋" w:eastAsia="仿宋" w:cs="宋体"/>
          <w:sz w:val="24"/>
        </w:rPr>
        <w:t>工程款项支付方式：</w:t>
      </w:r>
      <w:r>
        <w:rPr>
          <w:rFonts w:hint="eastAsia" w:ascii="仿宋" w:hAnsi="仿宋" w:eastAsia="仿宋" w:cs="仿宋_GB2312"/>
          <w:sz w:val="24"/>
          <w:highlight w:val="none"/>
          <w:u w:val="single"/>
        </w:rPr>
        <w:t>①合同签订7天内支付签约</w:t>
      </w:r>
      <w:r>
        <w:rPr>
          <w:rFonts w:hint="eastAsia" w:ascii="仿宋" w:hAnsi="仿宋" w:eastAsia="仿宋" w:cs="仿宋_GB2312"/>
          <w:color w:val="auto"/>
          <w:sz w:val="24"/>
          <w:highlight w:val="none"/>
          <w:u w:val="single"/>
        </w:rPr>
        <w:t>合同价</w:t>
      </w:r>
      <w:r>
        <w:rPr>
          <w:rFonts w:hint="eastAsia" w:ascii="仿宋" w:hAnsi="仿宋" w:eastAsia="仿宋" w:cs="仿宋_GB2312"/>
          <w:sz w:val="24"/>
          <w:highlight w:val="none"/>
          <w:u w:val="single"/>
          <w:lang w:val="en-US" w:eastAsia="zh-CN"/>
        </w:rPr>
        <w:t>（不含暂列金）</w:t>
      </w:r>
      <w:r>
        <w:rPr>
          <w:rFonts w:hint="eastAsia" w:ascii="仿宋" w:hAnsi="仿宋" w:eastAsia="仿宋" w:cs="仿宋_GB2312"/>
          <w:color w:val="auto"/>
          <w:sz w:val="24"/>
          <w:highlight w:val="none"/>
          <w:u w:val="single"/>
        </w:rPr>
        <w:t>40%的预付款（</w:t>
      </w:r>
      <w:r>
        <w:rPr>
          <w:rFonts w:hint="eastAsia" w:ascii="仿宋" w:hAnsi="仿宋" w:eastAsia="仿宋" w:cs="仿宋_GB2312"/>
          <w:color w:val="auto"/>
          <w:sz w:val="24"/>
          <w:highlight w:val="none"/>
          <w:u w:val="single"/>
          <w:lang w:val="en-US" w:eastAsia="zh-CN"/>
        </w:rPr>
        <w:t>含安全文明施工费，</w:t>
      </w:r>
      <w:r>
        <w:rPr>
          <w:rFonts w:hint="eastAsia" w:ascii="仿宋" w:hAnsi="仿宋" w:eastAsia="仿宋" w:cs="仿宋_GB2312"/>
          <w:color w:val="auto"/>
          <w:sz w:val="24"/>
          <w:highlight w:val="none"/>
          <w:u w:val="single"/>
        </w:rPr>
        <w:t>承包人相应提供签约合同价</w:t>
      </w:r>
      <w:r>
        <w:rPr>
          <w:rFonts w:hint="eastAsia" w:ascii="仿宋" w:hAnsi="仿宋" w:eastAsia="仿宋" w:cs="仿宋_GB2312"/>
          <w:sz w:val="24"/>
          <w:highlight w:val="none"/>
          <w:u w:val="single"/>
          <w:lang w:val="en-US" w:eastAsia="zh-CN"/>
        </w:rPr>
        <w:t>（不含暂列金）</w:t>
      </w:r>
      <w:r>
        <w:rPr>
          <w:rFonts w:hint="eastAsia" w:ascii="仿宋" w:hAnsi="仿宋" w:eastAsia="仿宋" w:cs="仿宋_GB2312"/>
          <w:color w:val="auto"/>
          <w:sz w:val="24"/>
          <w:highlight w:val="none"/>
          <w:u w:val="single"/>
        </w:rPr>
        <w:t>的40%预付款担保，预付款在第一期进度款中扣回）；②</w:t>
      </w:r>
      <w:r>
        <w:rPr>
          <w:rFonts w:hint="eastAsia" w:ascii="仿宋" w:hAnsi="仿宋" w:eastAsia="仿宋" w:cs="仿宋_GB2312"/>
          <w:color w:val="auto"/>
          <w:sz w:val="24"/>
          <w:highlight w:val="none"/>
          <w:u w:val="single"/>
          <w:lang w:val="en-US" w:eastAsia="zh-CN"/>
        </w:rPr>
        <w:t>主要设备、电缆进场，并报监理人及采购人审核通过后7天内</w:t>
      </w:r>
      <w:r>
        <w:rPr>
          <w:rFonts w:hint="eastAsia" w:ascii="仿宋" w:hAnsi="仿宋" w:eastAsia="仿宋" w:cs="仿宋_GB2312"/>
          <w:sz w:val="24"/>
          <w:highlight w:val="none"/>
          <w:u w:val="single"/>
          <w:lang w:val="en-US" w:eastAsia="zh-CN"/>
        </w:rPr>
        <w:t>，支付至合同价</w:t>
      </w:r>
      <w:r>
        <w:rPr>
          <w:rFonts w:hint="eastAsia" w:ascii="仿宋" w:hAnsi="仿宋" w:eastAsia="仿宋" w:cs="仿宋_GB2312"/>
          <w:sz w:val="24"/>
          <w:highlight w:val="none"/>
          <w:u w:val="single"/>
        </w:rPr>
        <w:t>的</w:t>
      </w:r>
      <w:r>
        <w:rPr>
          <w:rFonts w:hint="eastAsia" w:ascii="仿宋" w:hAnsi="仿宋" w:eastAsia="仿宋" w:cs="仿宋_GB2312"/>
          <w:sz w:val="24"/>
          <w:highlight w:val="none"/>
          <w:u w:val="single"/>
          <w:lang w:val="en-US" w:eastAsia="zh-CN"/>
        </w:rPr>
        <w:t>60</w:t>
      </w:r>
      <w:r>
        <w:rPr>
          <w:rFonts w:hint="eastAsia" w:ascii="仿宋" w:hAnsi="仿宋" w:eastAsia="仿宋" w:cs="仿宋_GB2312"/>
          <w:sz w:val="24"/>
          <w:highlight w:val="none"/>
          <w:u w:val="single"/>
        </w:rPr>
        <w:t>%作为第一期进度款</w:t>
      </w:r>
      <w:r>
        <w:rPr>
          <w:rFonts w:hint="eastAsia" w:ascii="仿宋" w:hAnsi="仿宋" w:eastAsia="仿宋" w:cs="仿宋_GB2312"/>
          <w:sz w:val="24"/>
          <w:highlight w:val="none"/>
          <w:u w:val="single"/>
          <w:lang w:val="en-US" w:eastAsia="zh-CN"/>
        </w:rPr>
        <w:t>；</w:t>
      </w:r>
      <w:r>
        <w:rPr>
          <w:rFonts w:hint="eastAsia" w:ascii="仿宋" w:hAnsi="仿宋" w:eastAsia="仿宋" w:cs="仿宋_GB2312"/>
          <w:sz w:val="24"/>
          <w:highlight w:val="none"/>
          <w:u w:val="single"/>
        </w:rPr>
        <w:t>③工程验收合格后7天内，支付至合同价85%；</w:t>
      </w:r>
      <w:r>
        <w:rPr>
          <w:rFonts w:hint="eastAsia" w:ascii="仿宋" w:hAnsi="仿宋" w:eastAsia="仿宋" w:cs="仿宋_GB2312"/>
          <w:sz w:val="24"/>
          <w:u w:val="single"/>
        </w:rPr>
        <w:fldChar w:fldCharType="begin"/>
      </w:r>
      <w:r>
        <w:rPr>
          <w:rFonts w:hint="eastAsia" w:ascii="仿宋" w:hAnsi="仿宋" w:eastAsia="仿宋" w:cs="仿宋_GB2312"/>
          <w:sz w:val="24"/>
          <w:u w:val="single"/>
        </w:rPr>
        <w:instrText xml:space="preserve"> = 4 \* GB3 </w:instrText>
      </w:r>
      <w:r>
        <w:rPr>
          <w:rFonts w:hint="eastAsia" w:ascii="仿宋" w:hAnsi="仿宋" w:eastAsia="仿宋" w:cs="仿宋_GB2312"/>
          <w:sz w:val="24"/>
          <w:u w:val="single"/>
        </w:rPr>
        <w:fldChar w:fldCharType="separate"/>
      </w:r>
      <w:r>
        <w:rPr>
          <w:rFonts w:hint="eastAsia" w:ascii="仿宋" w:hAnsi="仿宋" w:eastAsia="仿宋" w:cs="仿宋_GB2312"/>
          <w:sz w:val="24"/>
          <w:u w:val="single"/>
        </w:rPr>
        <w:t>④</w:t>
      </w:r>
      <w:r>
        <w:rPr>
          <w:rFonts w:hint="eastAsia" w:ascii="仿宋" w:hAnsi="仿宋" w:eastAsia="仿宋" w:cs="仿宋_GB2312"/>
          <w:sz w:val="24"/>
          <w:u w:val="single"/>
        </w:rPr>
        <w:fldChar w:fldCharType="end"/>
      </w:r>
      <w:r>
        <w:rPr>
          <w:rFonts w:hint="eastAsia" w:ascii="仿宋" w:hAnsi="仿宋" w:eastAsia="仿宋" w:cs="仿宋_GB2312"/>
          <w:sz w:val="24"/>
          <w:highlight w:val="none"/>
          <w:u w:val="single"/>
        </w:rPr>
        <w:t>承包人提交竣工、结算资料经结算审计完成，由采购人组织进行项目总验收，</w:t>
      </w:r>
      <w:r>
        <w:rPr>
          <w:rFonts w:hint="eastAsia" w:ascii="仿宋" w:hAnsi="仿宋" w:eastAsia="仿宋" w:cs="仿宋_GB2312"/>
          <w:sz w:val="24"/>
          <w:u w:val="single"/>
        </w:rPr>
        <w:t>验收合格，</w:t>
      </w:r>
      <w:bookmarkStart w:id="79" w:name="_Hlk167359998"/>
      <w:r>
        <w:rPr>
          <w:rFonts w:hint="eastAsia" w:ascii="仿宋" w:hAnsi="仿宋" w:eastAsia="仿宋" w:cs="仿宋_GB2312"/>
          <w:sz w:val="24"/>
          <w:u w:val="single"/>
        </w:rPr>
        <w:t>承包人在缴纳工程质量保证金及施工用水电费后，</w:t>
      </w:r>
      <w:bookmarkEnd w:id="79"/>
      <w:r>
        <w:rPr>
          <w:rFonts w:hint="eastAsia" w:ascii="仿宋" w:hAnsi="仿宋" w:eastAsia="仿宋" w:cs="仿宋_GB2312"/>
          <w:sz w:val="24"/>
          <w:u w:val="single"/>
        </w:rPr>
        <w:t>支付至审定价的100%</w:t>
      </w:r>
      <w:r>
        <w:rPr>
          <w:rFonts w:hint="eastAsia" w:ascii="仿宋" w:hAnsi="仿宋" w:eastAsia="仿宋" w:cs="仿宋_GB2312"/>
          <w:sz w:val="24"/>
        </w:rPr>
        <w:t>。</w:t>
      </w:r>
    </w:p>
    <w:p w14:paraId="44EC700C">
      <w:pPr>
        <w:autoSpaceDE w:val="0"/>
        <w:autoSpaceDN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10.5</w:t>
      </w:r>
      <w:r>
        <w:rPr>
          <w:rFonts w:hint="eastAsia" w:ascii="仿宋" w:hAnsi="仿宋" w:eastAsia="仿宋" w:cs="仿宋"/>
          <w:kern w:val="0"/>
          <w:sz w:val="24"/>
        </w:rPr>
        <w:t>质量保证金：</w:t>
      </w:r>
      <w:r>
        <w:rPr>
          <w:rFonts w:hint="eastAsia" w:ascii="仿宋" w:hAnsi="仿宋" w:eastAsia="仿宋" w:cs="仿宋"/>
          <w:kern w:val="0"/>
          <w:sz w:val="24"/>
          <w:u w:val="single"/>
        </w:rPr>
        <w:t>审定金额的1.5%，保修期满后无质量问题无息退还</w:t>
      </w:r>
      <w:r>
        <w:rPr>
          <w:rFonts w:hint="eastAsia" w:ascii="仿宋" w:hAnsi="仿宋" w:eastAsia="仿宋" w:cs="仿宋"/>
          <w:kern w:val="0"/>
          <w:sz w:val="24"/>
        </w:rPr>
        <w:t>。</w:t>
      </w:r>
    </w:p>
    <w:p w14:paraId="3D9353A7">
      <w:pPr>
        <w:autoSpaceDE w:val="0"/>
        <w:autoSpaceDN w:val="0"/>
        <w:snapToGrid w:val="0"/>
        <w:spacing w:line="360" w:lineRule="auto"/>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10.6</w:t>
      </w:r>
      <w:r>
        <w:rPr>
          <w:rFonts w:hint="eastAsia" w:ascii="仿宋" w:hAnsi="仿宋" w:eastAsia="仿宋" w:cs="仿宋"/>
          <w:kern w:val="0"/>
          <w:sz w:val="24"/>
        </w:rPr>
        <w:t>施工用水电费：</w:t>
      </w:r>
      <w:r>
        <w:rPr>
          <w:rFonts w:hint="eastAsia" w:ascii="仿宋" w:hAnsi="仿宋" w:eastAsia="仿宋" w:cs="仿宋_GB2312"/>
          <w:sz w:val="24"/>
          <w:u w:val="single"/>
        </w:rPr>
        <w:t>施工用水、用电费用由承包人</w:t>
      </w:r>
      <w:bookmarkStart w:id="254" w:name="_GoBack"/>
      <w:bookmarkEnd w:id="254"/>
      <w:r>
        <w:rPr>
          <w:rFonts w:hint="eastAsia" w:ascii="仿宋" w:hAnsi="仿宋" w:eastAsia="仿宋" w:cs="仿宋_GB2312"/>
          <w:sz w:val="24"/>
          <w:u w:val="single"/>
        </w:rPr>
        <w:t>承担，在工程结算时按最终结算审定金额的0.4%结算水电费</w:t>
      </w:r>
      <w:r>
        <w:rPr>
          <w:rFonts w:hint="eastAsia" w:ascii="仿宋" w:hAnsi="仿宋" w:eastAsia="仿宋" w:cs="仿宋_GB2312"/>
          <w:sz w:val="24"/>
          <w:u w:val="single"/>
          <w:lang w:eastAsia="zh-CN"/>
        </w:rPr>
        <w:t>；</w:t>
      </w:r>
      <w:r>
        <w:rPr>
          <w:rFonts w:hint="eastAsia" w:ascii="仿宋" w:hAnsi="仿宋" w:eastAsia="仿宋" w:cs="仿宋_GB2312"/>
          <w:sz w:val="24"/>
          <w:u w:val="single"/>
        </w:rPr>
        <w:t>在工程结算</w:t>
      </w:r>
      <w:r>
        <w:rPr>
          <w:rFonts w:hint="eastAsia" w:ascii="仿宋" w:hAnsi="仿宋" w:eastAsia="仿宋" w:cs="仿宋_GB2312"/>
          <w:sz w:val="24"/>
          <w:u w:val="single"/>
          <w:lang w:val="en-US" w:eastAsia="zh-CN"/>
        </w:rPr>
        <w:t>款支付前另行缴纳。</w:t>
      </w:r>
    </w:p>
    <w:p w14:paraId="57FCF898">
      <w:pPr>
        <w:autoSpaceDE w:val="0"/>
        <w:autoSpaceDN w:val="0"/>
        <w:snapToGrid w:val="0"/>
        <w:spacing w:line="360" w:lineRule="auto"/>
        <w:ind w:firstLine="480" w:firstLineChars="200"/>
        <w:rPr>
          <w:rFonts w:hint="eastAsia" w:ascii="仿宋" w:hAnsi="仿宋" w:eastAsia="仿宋" w:cs="宋体"/>
          <w:sz w:val="24"/>
        </w:rPr>
      </w:pPr>
      <w:r>
        <w:rPr>
          <w:rFonts w:hint="eastAsia" w:ascii="仿宋" w:hAnsi="仿宋" w:eastAsia="仿宋" w:cs="仿宋"/>
          <w:kern w:val="0"/>
          <w:sz w:val="24"/>
          <w:lang w:val="en-US" w:eastAsia="zh-CN"/>
        </w:rPr>
        <w:t>10.7</w:t>
      </w:r>
      <w:r>
        <w:rPr>
          <w:rFonts w:hint="eastAsia" w:ascii="仿宋" w:hAnsi="仿宋" w:eastAsia="仿宋" w:cs="仿宋"/>
          <w:kern w:val="0"/>
          <w:sz w:val="24"/>
        </w:rPr>
        <w:t>预付款担保：</w:t>
      </w:r>
      <w:r>
        <w:rPr>
          <w:rFonts w:hint="eastAsia" w:ascii="仿宋" w:hAnsi="仿宋" w:eastAsia="仿宋" w:cs="仿宋_GB2312"/>
          <w:sz w:val="24"/>
          <w:u w:val="single"/>
        </w:rPr>
        <w:t>①担保方式：银行、保险公司等金融机构出具的预付款保函；②担保的金额：签约合同价</w:t>
      </w:r>
      <w:r>
        <w:rPr>
          <w:rFonts w:hint="eastAsia" w:ascii="仿宋" w:hAnsi="仿宋" w:eastAsia="仿宋" w:cs="仿宋_GB2312"/>
          <w:sz w:val="24"/>
          <w:highlight w:val="none"/>
          <w:u w:val="single"/>
          <w:lang w:val="en-US" w:eastAsia="zh-CN"/>
        </w:rPr>
        <w:t>（不含暂列金）</w:t>
      </w:r>
      <w:r>
        <w:rPr>
          <w:rFonts w:hint="eastAsia" w:ascii="仿宋" w:hAnsi="仿宋" w:eastAsia="仿宋" w:cs="仿宋_GB2312"/>
          <w:sz w:val="24"/>
          <w:u w:val="single"/>
        </w:rPr>
        <w:t>的</w:t>
      </w:r>
      <w:r>
        <w:rPr>
          <w:rFonts w:hint="eastAsia" w:ascii="仿宋" w:hAnsi="仿宋" w:eastAsia="仿宋" w:cs="仿宋_GB2312"/>
          <w:sz w:val="24"/>
          <w:highlight w:val="none"/>
          <w:u w:val="single"/>
        </w:rPr>
        <w:t>40</w:t>
      </w:r>
      <w:r>
        <w:rPr>
          <w:rFonts w:hint="eastAsia" w:ascii="仿宋" w:hAnsi="仿宋" w:eastAsia="仿宋" w:cs="仿宋_GB2312"/>
          <w:sz w:val="24"/>
          <w:u w:val="single"/>
        </w:rPr>
        <w:t>%；③担保有效期：预付款担保自交纳之日起至发包人支付的进度款扣清预付款后7天内有效，在此有效期截止日预付款担保解除</w:t>
      </w:r>
      <w:r>
        <w:rPr>
          <w:rFonts w:hint="eastAsia" w:ascii="仿宋" w:hAnsi="仿宋" w:eastAsia="仿宋" w:cs="仿宋_GB2312"/>
          <w:sz w:val="24"/>
        </w:rPr>
        <w:t>。</w:t>
      </w:r>
    </w:p>
    <w:p w14:paraId="1ED9D1A3">
      <w:pPr>
        <w:pStyle w:val="21"/>
        <w:spacing w:before="0" w:line="360" w:lineRule="auto"/>
        <w:ind w:firstLine="482" w:firstLineChars="200"/>
        <w:rPr>
          <w:rFonts w:hint="eastAsia" w:ascii="仿宋" w:hAnsi="仿宋" w:eastAsia="仿宋" w:cs="宋体"/>
          <w:b/>
          <w:bCs/>
        </w:rPr>
      </w:pPr>
      <w:r>
        <w:rPr>
          <w:rFonts w:hint="eastAsia" w:ascii="仿宋" w:hAnsi="仿宋" w:eastAsia="仿宋" w:cs="宋体"/>
          <w:b/>
          <w:bCs/>
        </w:rPr>
        <w:t>注：在签订合同时，供应商明确表示无需预付款或者主动要求降低预付款比例的，采购人可按其调整；2.预付款、进度款、预付款担保均不含暂列金。</w:t>
      </w:r>
    </w:p>
    <w:p w14:paraId="254C1BB4">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10</w:t>
      </w:r>
      <w:r>
        <w:rPr>
          <w:rFonts w:hint="eastAsia" w:ascii="仿宋" w:hAnsi="仿宋" w:eastAsia="仿宋"/>
          <w:sz w:val="24"/>
        </w:rPr>
        <w:t>.</w:t>
      </w:r>
      <w:r>
        <w:rPr>
          <w:rFonts w:hint="eastAsia" w:ascii="仿宋" w:hAnsi="仿宋" w:eastAsia="仿宋"/>
          <w:sz w:val="24"/>
          <w:lang w:val="en-US" w:eastAsia="zh-CN"/>
        </w:rPr>
        <w:t>8</w:t>
      </w:r>
      <w:r>
        <w:rPr>
          <w:rFonts w:hint="eastAsia" w:ascii="仿宋" w:hAnsi="仿宋" w:eastAsia="仿宋"/>
          <w:sz w:val="24"/>
        </w:rPr>
        <w:t xml:space="preserve">工程变更联系单估价原则 </w:t>
      </w:r>
    </w:p>
    <w:p w14:paraId="27422CCF">
      <w:pPr>
        <w:autoSpaceDE w:val="0"/>
        <w:autoSpaceDN w:val="0"/>
        <w:adjustRightInd w:val="0"/>
        <w:snapToGrid w:val="0"/>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val="en-US" w:eastAsia="zh-CN"/>
        </w:rPr>
        <w:t>按现行计价依据规定的控制价编制方法计算（企业管理费、规费、利润均按建筑安装工程施工取费费率中其所属专业工程的中值计取），同时考虑让利幅度【让利幅度＝1－投标价中建筑安装工程费（扣除暂列金额和暂估价总额）/最高投标限价中建筑安装工程费（扣除暂列金额和暂估价总额）】。</w:t>
      </w:r>
    </w:p>
    <w:p w14:paraId="1AC6D52E">
      <w:pPr>
        <w:autoSpaceDE w:val="0"/>
        <w:autoSpaceDN w:val="0"/>
        <w:snapToGrid w:val="0"/>
        <w:spacing w:line="360" w:lineRule="auto"/>
        <w:ind w:firstLine="480" w:firstLineChars="200"/>
        <w:jc w:val="left"/>
        <w:rPr>
          <w:rFonts w:hint="eastAsia" w:ascii="仿宋" w:hAnsi="仿宋" w:eastAsia="仿宋" w:cs="仿宋_GB2312"/>
          <w:sz w:val="24"/>
          <w:u w:val="single"/>
        </w:rPr>
      </w:pPr>
      <w:r>
        <w:rPr>
          <w:rFonts w:hint="eastAsia" w:ascii="仿宋" w:hAnsi="仿宋" w:eastAsia="仿宋" w:cs="仿宋"/>
          <w:kern w:val="0"/>
          <w:sz w:val="24"/>
          <w:lang w:val="en-US" w:eastAsia="zh-CN"/>
        </w:rPr>
        <w:t>10.</w:t>
      </w:r>
      <w:r>
        <w:rPr>
          <w:rFonts w:hint="eastAsia" w:ascii="仿宋" w:hAnsi="仿宋" w:eastAsia="仿宋" w:cs="仿宋_GB2312"/>
          <w:sz w:val="24"/>
          <w:lang w:val="en-US" w:eastAsia="zh-CN"/>
        </w:rPr>
        <w:t>9</w:t>
      </w:r>
      <w:r>
        <w:rPr>
          <w:rFonts w:hint="eastAsia" w:ascii="仿宋" w:hAnsi="仿宋" w:eastAsia="仿宋" w:cs="仿宋_GB2312"/>
          <w:sz w:val="24"/>
        </w:rPr>
        <w:t>售后服务要求：</w:t>
      </w:r>
      <w:r>
        <w:rPr>
          <w:rFonts w:hint="eastAsia" w:ascii="仿宋" w:hAnsi="仿宋" w:eastAsia="仿宋" w:cs="仿宋_GB2312"/>
          <w:sz w:val="24"/>
          <w:u w:val="single"/>
        </w:rPr>
        <w:t>保修期自全部工程竣工验收合格之日起计算，保修期为：</w:t>
      </w:r>
      <w:r>
        <w:rPr>
          <w:rFonts w:ascii="仿宋" w:hAnsi="仿宋" w:eastAsia="仿宋" w:cs="仿宋_GB2312"/>
          <w:sz w:val="24"/>
          <w:u w:val="single"/>
        </w:rPr>
        <w:fldChar w:fldCharType="begin"/>
      </w:r>
      <w:r>
        <w:rPr>
          <w:rFonts w:ascii="仿宋" w:hAnsi="仿宋" w:eastAsia="仿宋" w:cs="仿宋_GB2312"/>
          <w:sz w:val="24"/>
          <w:u w:val="single"/>
        </w:rPr>
        <w:instrText xml:space="preserve"> </w:instrText>
      </w:r>
      <w:r>
        <w:rPr>
          <w:rFonts w:hint="eastAsia" w:ascii="仿宋" w:hAnsi="仿宋" w:eastAsia="仿宋" w:cs="仿宋_GB2312"/>
          <w:sz w:val="24"/>
          <w:u w:val="single"/>
        </w:rPr>
        <w:instrText xml:space="preserve">= 1 \* GB3</w:instrText>
      </w:r>
      <w:r>
        <w:rPr>
          <w:rFonts w:ascii="仿宋" w:hAnsi="仿宋" w:eastAsia="仿宋" w:cs="仿宋_GB2312"/>
          <w:sz w:val="24"/>
          <w:u w:val="single"/>
        </w:rPr>
        <w:instrText xml:space="preserve"> </w:instrText>
      </w:r>
      <w:r>
        <w:rPr>
          <w:rFonts w:ascii="仿宋" w:hAnsi="仿宋" w:eastAsia="仿宋" w:cs="仿宋_GB2312"/>
          <w:sz w:val="24"/>
          <w:u w:val="single"/>
        </w:rPr>
        <w:fldChar w:fldCharType="separate"/>
      </w:r>
      <w:r>
        <w:rPr>
          <w:rFonts w:hint="eastAsia" w:ascii="仿宋" w:hAnsi="仿宋" w:eastAsia="仿宋" w:cs="仿宋_GB2312"/>
          <w:sz w:val="24"/>
          <w:u w:val="single"/>
        </w:rPr>
        <w:t>①</w:t>
      </w:r>
      <w:r>
        <w:rPr>
          <w:rFonts w:ascii="仿宋" w:hAnsi="仿宋" w:eastAsia="仿宋" w:cs="仿宋_GB2312"/>
          <w:sz w:val="24"/>
          <w:u w:val="single"/>
        </w:rPr>
        <w:fldChar w:fldCharType="end"/>
      </w:r>
      <w:r>
        <w:rPr>
          <w:rFonts w:hint="eastAsia" w:ascii="仿宋" w:hAnsi="仿宋" w:eastAsia="仿宋" w:cs="仿宋"/>
          <w:sz w:val="24"/>
          <w:u w:val="single"/>
        </w:rPr>
        <w:t>地基基础工程和主体结构工程为设计文件规定的工程合理使用年限；</w:t>
      </w:r>
      <w:r>
        <w:rPr>
          <w:rFonts w:ascii="仿宋" w:hAnsi="仿宋" w:eastAsia="仿宋" w:cs="仿宋"/>
          <w:sz w:val="24"/>
          <w:u w:val="single"/>
        </w:rPr>
        <w:fldChar w:fldCharType="begin"/>
      </w:r>
      <w:r>
        <w:rPr>
          <w:rFonts w:ascii="仿宋" w:hAnsi="仿宋" w:eastAsia="仿宋" w:cs="仿宋"/>
          <w:sz w:val="24"/>
          <w:u w:val="single"/>
        </w:rPr>
        <w:instrText xml:space="preserve"> </w:instrText>
      </w:r>
      <w:r>
        <w:rPr>
          <w:rFonts w:hint="eastAsia" w:ascii="仿宋" w:hAnsi="仿宋" w:eastAsia="仿宋" w:cs="仿宋"/>
          <w:sz w:val="24"/>
          <w:u w:val="single"/>
        </w:rPr>
        <w:instrText xml:space="preserve">= 2 \* GB3</w:instrText>
      </w:r>
      <w:r>
        <w:rPr>
          <w:rFonts w:ascii="仿宋" w:hAnsi="仿宋" w:eastAsia="仿宋" w:cs="仿宋"/>
          <w:sz w:val="24"/>
          <w:u w:val="single"/>
        </w:rPr>
        <w:instrText xml:space="preserve"> </w:instrText>
      </w:r>
      <w:r>
        <w:rPr>
          <w:rFonts w:ascii="仿宋" w:hAnsi="仿宋" w:eastAsia="仿宋" w:cs="仿宋"/>
          <w:sz w:val="24"/>
          <w:u w:val="single"/>
        </w:rPr>
        <w:fldChar w:fldCharType="separate"/>
      </w:r>
      <w:r>
        <w:rPr>
          <w:rFonts w:hint="eastAsia" w:ascii="仿宋" w:hAnsi="仿宋" w:eastAsia="仿宋" w:cs="仿宋"/>
          <w:sz w:val="24"/>
          <w:u w:val="single"/>
        </w:rPr>
        <w:t>②</w:t>
      </w:r>
      <w:r>
        <w:rPr>
          <w:rFonts w:ascii="仿宋" w:hAnsi="仿宋" w:eastAsia="仿宋" w:cs="仿宋"/>
          <w:sz w:val="24"/>
          <w:u w:val="single"/>
        </w:rPr>
        <w:fldChar w:fldCharType="end"/>
      </w:r>
      <w:r>
        <w:rPr>
          <w:rFonts w:hint="eastAsia" w:ascii="仿宋" w:hAnsi="仿宋" w:eastAsia="仿宋" w:cs="仿宋"/>
          <w:sz w:val="24"/>
          <w:u w:val="single"/>
        </w:rPr>
        <w:t>屋面防水工程、有防水要求的卫生间、房间和外墙面的防渗为5年</w:t>
      </w:r>
      <w:r>
        <w:rPr>
          <w:rFonts w:hint="eastAsia" w:ascii="仿宋" w:hAnsi="仿宋" w:eastAsia="仿宋" w:cs="仿宋_GB2312"/>
          <w:sz w:val="24"/>
          <w:u w:val="single"/>
        </w:rPr>
        <w:t>；</w:t>
      </w:r>
      <w:r>
        <w:rPr>
          <w:rFonts w:ascii="仿宋" w:hAnsi="仿宋" w:eastAsia="仿宋" w:cs="仿宋_GB2312"/>
          <w:sz w:val="24"/>
          <w:u w:val="single"/>
        </w:rPr>
        <w:fldChar w:fldCharType="begin"/>
      </w:r>
      <w:r>
        <w:rPr>
          <w:rFonts w:ascii="仿宋" w:hAnsi="仿宋" w:eastAsia="仿宋" w:cs="仿宋_GB2312"/>
          <w:sz w:val="24"/>
          <w:u w:val="single"/>
        </w:rPr>
        <w:instrText xml:space="preserve"> </w:instrText>
      </w:r>
      <w:r>
        <w:rPr>
          <w:rFonts w:hint="eastAsia" w:ascii="仿宋" w:hAnsi="仿宋" w:eastAsia="仿宋" w:cs="仿宋_GB2312"/>
          <w:sz w:val="24"/>
          <w:u w:val="single"/>
        </w:rPr>
        <w:instrText xml:space="preserve">= 3 \* GB3</w:instrText>
      </w:r>
      <w:r>
        <w:rPr>
          <w:rFonts w:ascii="仿宋" w:hAnsi="仿宋" w:eastAsia="仿宋" w:cs="仿宋_GB2312"/>
          <w:sz w:val="24"/>
          <w:u w:val="single"/>
        </w:rPr>
        <w:instrText xml:space="preserve"> </w:instrText>
      </w:r>
      <w:r>
        <w:rPr>
          <w:rFonts w:ascii="仿宋" w:hAnsi="仿宋" w:eastAsia="仿宋" w:cs="仿宋_GB2312"/>
          <w:sz w:val="24"/>
          <w:u w:val="single"/>
        </w:rPr>
        <w:fldChar w:fldCharType="separate"/>
      </w:r>
      <w:r>
        <w:rPr>
          <w:rFonts w:hint="eastAsia" w:ascii="仿宋" w:hAnsi="仿宋" w:eastAsia="仿宋" w:cs="仿宋_GB2312"/>
          <w:sz w:val="24"/>
          <w:u w:val="single"/>
        </w:rPr>
        <w:t>③</w:t>
      </w:r>
      <w:r>
        <w:rPr>
          <w:rFonts w:ascii="仿宋" w:hAnsi="仿宋" w:eastAsia="仿宋" w:cs="仿宋_GB2312"/>
          <w:sz w:val="24"/>
          <w:u w:val="single"/>
        </w:rPr>
        <w:fldChar w:fldCharType="end"/>
      </w:r>
      <w:r>
        <w:rPr>
          <w:rFonts w:hint="eastAsia" w:ascii="仿宋" w:hAnsi="仿宋" w:eastAsia="仿宋" w:cs="仿宋_GB2312"/>
          <w:sz w:val="24"/>
          <w:u w:val="single"/>
        </w:rPr>
        <w:t>装修工程为2年；</w:t>
      </w:r>
      <w:r>
        <w:rPr>
          <w:rFonts w:hint="eastAsia" w:ascii="仿宋" w:hAnsi="仿宋" w:eastAsia="仿宋" w:cs="仿宋_GB2312"/>
          <w:sz w:val="24"/>
          <w:u w:val="single"/>
        </w:rPr>
        <w:fldChar w:fldCharType="begin"/>
      </w:r>
      <w:r>
        <w:rPr>
          <w:rFonts w:hint="eastAsia" w:ascii="仿宋" w:hAnsi="仿宋" w:eastAsia="仿宋" w:cs="仿宋_GB2312"/>
          <w:sz w:val="24"/>
          <w:u w:val="single"/>
        </w:rPr>
        <w:instrText xml:space="preserve"> = 4 \* GB3 </w:instrText>
      </w:r>
      <w:r>
        <w:rPr>
          <w:rFonts w:hint="eastAsia" w:ascii="仿宋" w:hAnsi="仿宋" w:eastAsia="仿宋" w:cs="仿宋_GB2312"/>
          <w:sz w:val="24"/>
          <w:u w:val="single"/>
        </w:rPr>
        <w:fldChar w:fldCharType="separate"/>
      </w:r>
      <w:r>
        <w:rPr>
          <w:rFonts w:hint="eastAsia" w:ascii="仿宋" w:hAnsi="仿宋" w:eastAsia="仿宋" w:cs="仿宋_GB2312"/>
          <w:sz w:val="24"/>
          <w:u w:val="single"/>
        </w:rPr>
        <w:t>④</w:t>
      </w:r>
      <w:r>
        <w:rPr>
          <w:rFonts w:hint="eastAsia" w:ascii="仿宋" w:hAnsi="仿宋" w:eastAsia="仿宋" w:cs="仿宋_GB2312"/>
          <w:sz w:val="24"/>
          <w:u w:val="single"/>
        </w:rPr>
        <w:fldChar w:fldCharType="end"/>
      </w:r>
      <w:r>
        <w:rPr>
          <w:rFonts w:hint="eastAsia" w:ascii="仿宋" w:hAnsi="仿宋" w:eastAsia="仿宋" w:cs="仿宋_GB2312"/>
          <w:sz w:val="24"/>
          <w:u w:val="single"/>
        </w:rPr>
        <w:t>电气管线、给排水管道、设备安装工程为2年；</w:t>
      </w:r>
      <w:r>
        <w:rPr>
          <w:rFonts w:hint="eastAsia" w:ascii="仿宋" w:hAnsi="仿宋" w:eastAsia="仿宋" w:cs="仿宋_GB2312"/>
          <w:sz w:val="24"/>
          <w:u w:val="single"/>
        </w:rPr>
        <w:fldChar w:fldCharType="begin"/>
      </w:r>
      <w:r>
        <w:rPr>
          <w:rFonts w:hint="eastAsia" w:ascii="仿宋" w:hAnsi="仿宋" w:eastAsia="仿宋" w:cs="仿宋_GB2312"/>
          <w:sz w:val="24"/>
          <w:u w:val="single"/>
        </w:rPr>
        <w:instrText xml:space="preserve"> = 5 \* GB3 </w:instrText>
      </w:r>
      <w:r>
        <w:rPr>
          <w:rFonts w:hint="eastAsia" w:ascii="仿宋" w:hAnsi="仿宋" w:eastAsia="仿宋" w:cs="仿宋_GB2312"/>
          <w:sz w:val="24"/>
          <w:u w:val="single"/>
        </w:rPr>
        <w:fldChar w:fldCharType="separate"/>
      </w:r>
      <w:r>
        <w:rPr>
          <w:rFonts w:hint="eastAsia" w:ascii="仿宋" w:hAnsi="仿宋" w:eastAsia="仿宋" w:cs="仿宋_GB2312"/>
          <w:sz w:val="24"/>
          <w:u w:val="single"/>
        </w:rPr>
        <w:t>⑤</w:t>
      </w:r>
      <w:r>
        <w:rPr>
          <w:rFonts w:hint="eastAsia" w:ascii="仿宋" w:hAnsi="仿宋" w:eastAsia="仿宋" w:cs="仿宋_GB2312"/>
          <w:sz w:val="24"/>
          <w:u w:val="single"/>
        </w:rPr>
        <w:fldChar w:fldCharType="end"/>
      </w:r>
      <w:r>
        <w:rPr>
          <w:rFonts w:hint="eastAsia" w:ascii="仿宋" w:hAnsi="仿宋" w:eastAsia="仿宋" w:cs="仿宋_GB2312"/>
          <w:sz w:val="24"/>
          <w:u w:val="single"/>
        </w:rPr>
        <w:t>供热与供冷系统为2个采暖期；</w:t>
      </w:r>
      <w:r>
        <w:rPr>
          <w:rFonts w:hint="eastAsia" w:ascii="仿宋" w:hAnsi="仿宋" w:eastAsia="仿宋" w:cs="仿宋_GB2312"/>
          <w:sz w:val="24"/>
          <w:u w:val="single"/>
        </w:rPr>
        <w:fldChar w:fldCharType="begin"/>
      </w:r>
      <w:r>
        <w:rPr>
          <w:rFonts w:hint="eastAsia" w:ascii="仿宋" w:hAnsi="仿宋" w:eastAsia="仿宋" w:cs="仿宋_GB2312"/>
          <w:sz w:val="24"/>
          <w:u w:val="single"/>
        </w:rPr>
        <w:instrText xml:space="preserve"> = 6 \* GB3 </w:instrText>
      </w:r>
      <w:r>
        <w:rPr>
          <w:rFonts w:hint="eastAsia" w:ascii="仿宋" w:hAnsi="仿宋" w:eastAsia="仿宋" w:cs="仿宋_GB2312"/>
          <w:sz w:val="24"/>
          <w:u w:val="single"/>
        </w:rPr>
        <w:fldChar w:fldCharType="separate"/>
      </w:r>
      <w:r>
        <w:rPr>
          <w:rFonts w:hint="eastAsia" w:ascii="仿宋" w:hAnsi="仿宋" w:eastAsia="仿宋" w:cs="仿宋_GB2312"/>
          <w:sz w:val="24"/>
          <w:u w:val="single"/>
        </w:rPr>
        <w:t>⑥</w:t>
      </w:r>
      <w:r>
        <w:rPr>
          <w:rFonts w:hint="eastAsia" w:ascii="仿宋" w:hAnsi="仿宋" w:eastAsia="仿宋" w:cs="仿宋_GB2312"/>
          <w:sz w:val="24"/>
          <w:u w:val="single"/>
        </w:rPr>
        <w:fldChar w:fldCharType="end"/>
      </w:r>
      <w:r>
        <w:rPr>
          <w:rFonts w:hint="eastAsia" w:ascii="仿宋" w:hAnsi="仿宋" w:eastAsia="仿宋" w:cs="仿宋_GB2312"/>
          <w:sz w:val="24"/>
          <w:u w:val="single"/>
        </w:rPr>
        <w:t>施工图纸及工程量清单涉及的其他工程为2年</w:t>
      </w:r>
      <w:r>
        <w:rPr>
          <w:rFonts w:hint="eastAsia" w:ascii="仿宋" w:hAnsi="仿宋" w:eastAsia="仿宋" w:cs="仿宋_GB2312"/>
          <w:sz w:val="24"/>
        </w:rPr>
        <w:t>。</w:t>
      </w:r>
    </w:p>
    <w:p w14:paraId="58ECF6A3">
      <w:pPr>
        <w:autoSpaceDE w:val="0"/>
        <w:autoSpaceDN w:val="0"/>
        <w:snapToGrid w:val="0"/>
        <w:spacing w:line="360" w:lineRule="auto"/>
        <w:ind w:firstLine="480" w:firstLineChars="200"/>
        <w:jc w:val="left"/>
        <w:rPr>
          <w:rFonts w:hint="eastAsia" w:ascii="仿宋" w:hAnsi="仿宋" w:eastAsia="仿宋" w:cs="仿宋_GB2312"/>
          <w:sz w:val="24"/>
        </w:rPr>
      </w:pPr>
      <w:r>
        <w:rPr>
          <w:rFonts w:hint="eastAsia" w:ascii="仿宋" w:hAnsi="仿宋" w:eastAsia="仿宋" w:cs="仿宋"/>
          <w:kern w:val="0"/>
          <w:sz w:val="24"/>
          <w:lang w:val="en-US" w:eastAsia="zh-CN"/>
        </w:rPr>
        <w:t>10.10</w:t>
      </w:r>
      <w:r>
        <w:rPr>
          <w:rFonts w:hint="eastAsia" w:ascii="仿宋" w:hAnsi="仿宋" w:eastAsia="仿宋" w:cs="仿宋_GB2312"/>
          <w:sz w:val="24"/>
        </w:rPr>
        <w:t>其他商务要求：</w:t>
      </w:r>
      <w:r>
        <w:rPr>
          <w:rFonts w:hint="eastAsia" w:ascii="仿宋" w:hAnsi="仿宋" w:eastAsia="仿宋" w:cs="仿宋_GB2312"/>
          <w:sz w:val="24"/>
          <w:u w:val="single"/>
        </w:rPr>
        <w:t>①因承包人原因不能按合同约定工期竣工，每延误一天，承包人应按人民币贰仟元向发包人支付违约金（累计不超过签约合同价的5%）</w:t>
      </w:r>
      <w:r>
        <w:rPr>
          <w:rFonts w:hint="eastAsia" w:ascii="仿宋" w:hAnsi="仿宋" w:eastAsia="仿宋" w:cs="仿宋_GB2312"/>
          <w:sz w:val="24"/>
        </w:rPr>
        <w:t>。</w:t>
      </w:r>
      <w:r>
        <w:rPr>
          <w:rFonts w:ascii="仿宋" w:hAnsi="仿宋" w:eastAsia="仿宋"/>
          <w:sz w:val="24"/>
        </w:rPr>
        <w:t xml:space="preserve"> </w:t>
      </w:r>
    </w:p>
    <w:p w14:paraId="15BEBC82">
      <w:pPr>
        <w:pStyle w:val="3"/>
        <w:autoSpaceDE w:val="0"/>
        <w:autoSpaceDN w:val="0"/>
        <w:spacing w:beforeLines="0"/>
        <w:ind w:firstLine="482"/>
        <w:rPr>
          <w:rFonts w:hint="eastAsia" w:hAnsi="仿宋" w:eastAsia="仿宋"/>
          <w:sz w:val="24"/>
        </w:rPr>
      </w:pPr>
      <w:bookmarkStart w:id="80" w:name="_Toc12057"/>
      <w:bookmarkStart w:id="81" w:name="_Toc27169"/>
      <w:r>
        <w:rPr>
          <w:rFonts w:hint="eastAsia" w:hAnsi="仿宋" w:eastAsia="仿宋"/>
          <w:sz w:val="24"/>
          <w:lang w:val="en-US" w:eastAsia="zh-CN"/>
        </w:rPr>
        <w:t>十一</w:t>
      </w:r>
      <w:r>
        <w:rPr>
          <w:rFonts w:hint="eastAsia" w:hAnsi="仿宋" w:eastAsia="仿宋"/>
          <w:sz w:val="24"/>
        </w:rPr>
        <w:t>、其他要求</w:t>
      </w:r>
      <w:bookmarkEnd w:id="80"/>
      <w:bookmarkEnd w:id="81"/>
    </w:p>
    <w:p w14:paraId="51529347">
      <w:pPr>
        <w:autoSpaceDE w:val="0"/>
        <w:autoSpaceDN w:val="0"/>
        <w:snapToGrid w:val="0"/>
        <w:spacing w:line="360" w:lineRule="auto"/>
        <w:ind w:firstLine="480" w:firstLineChars="200"/>
        <w:rPr>
          <w:rFonts w:hint="eastAsia" w:ascii="仿宋" w:hAnsi="仿宋" w:eastAsia="仿宋" w:cs="仿宋_GB2312"/>
          <w:sz w:val="24"/>
        </w:rPr>
      </w:pPr>
      <w:bookmarkStart w:id="82" w:name="_Toc57713381"/>
      <w:r>
        <w:rPr>
          <w:rFonts w:hint="eastAsia" w:ascii="仿宋" w:hAnsi="仿宋" w:eastAsia="仿宋" w:cs="仿宋_GB2312"/>
          <w:sz w:val="24"/>
        </w:rPr>
        <w:t>（1）</w:t>
      </w:r>
      <w:r>
        <w:rPr>
          <w:rFonts w:hint="eastAsia" w:ascii="仿宋" w:hAnsi="仿宋" w:eastAsia="仿宋" w:cs="仿宋_GB2312"/>
          <w:sz w:val="24"/>
          <w:u w:val="single"/>
        </w:rPr>
        <w:t>本项目禁止非法分包，一经发现，即中止合同，承包人赔偿由此造成的一切损失</w:t>
      </w:r>
      <w:r>
        <w:rPr>
          <w:rFonts w:hint="eastAsia" w:ascii="仿宋" w:hAnsi="仿宋" w:eastAsia="仿宋" w:cs="仿宋_GB2312"/>
          <w:sz w:val="24"/>
        </w:rPr>
        <w:t>；</w:t>
      </w:r>
    </w:p>
    <w:p w14:paraId="67E8F2A4">
      <w:pPr>
        <w:autoSpaceDE w:val="0"/>
        <w:autoSpaceDN w:val="0"/>
        <w:snapToGrid w:val="0"/>
        <w:spacing w:line="360" w:lineRule="auto"/>
        <w:ind w:firstLine="480" w:firstLineChars="200"/>
        <w:rPr>
          <w:rFonts w:hint="eastAsia" w:ascii="仿宋" w:hAnsi="仿宋" w:eastAsia="仿宋" w:cs="仿宋_GB2312"/>
          <w:sz w:val="24"/>
          <w:u w:val="single"/>
        </w:rPr>
      </w:pPr>
      <w:r>
        <w:rPr>
          <w:rFonts w:hint="eastAsia" w:ascii="仿宋" w:hAnsi="仿宋" w:eastAsia="仿宋" w:cs="仿宋_GB2312"/>
          <w:sz w:val="24"/>
        </w:rPr>
        <w:t>（2）</w:t>
      </w:r>
      <w:r>
        <w:rPr>
          <w:rFonts w:hint="eastAsia" w:ascii="仿宋" w:hAnsi="仿宋" w:eastAsia="仿宋" w:cs="仿宋_GB2312"/>
          <w:sz w:val="24"/>
          <w:u w:val="single"/>
        </w:rPr>
        <w:t>承包人应严格按设计图纸和已确认的施工技术方案组织施工，无条件地接受发包人委托的施工监理单位对施工质量、进度和造价的监督管理</w:t>
      </w:r>
      <w:r>
        <w:rPr>
          <w:rFonts w:hint="eastAsia" w:ascii="仿宋" w:hAnsi="仿宋" w:eastAsia="仿宋" w:cs="仿宋_GB2312"/>
          <w:sz w:val="24"/>
        </w:rPr>
        <w:t>；</w:t>
      </w:r>
    </w:p>
    <w:p w14:paraId="6EB17456">
      <w:pPr>
        <w:autoSpaceDE w:val="0"/>
        <w:autoSpaceDN w:val="0"/>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sz w:val="24"/>
          <w:u w:val="single"/>
        </w:rPr>
        <w:t>隐蔽工程经发包人和监理验收合格后方可进入下道工序施工</w:t>
      </w:r>
      <w:r>
        <w:rPr>
          <w:rFonts w:hint="eastAsia" w:ascii="仿宋" w:hAnsi="仿宋" w:eastAsia="仿宋" w:cs="仿宋_GB2312"/>
          <w:sz w:val="24"/>
        </w:rPr>
        <w:t>；</w:t>
      </w:r>
    </w:p>
    <w:p w14:paraId="28C903A0">
      <w:pPr>
        <w:autoSpaceDE w:val="0"/>
        <w:autoSpaceDN w:val="0"/>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（4）</w:t>
      </w:r>
      <w:r>
        <w:rPr>
          <w:rFonts w:hint="eastAsia" w:ascii="仿宋" w:hAnsi="仿宋" w:eastAsia="仿宋" w:cs="仿宋_GB2312"/>
          <w:sz w:val="24"/>
          <w:u w:val="single"/>
        </w:rPr>
        <w:t>工程管理必须严格遵守《工程建设标准强制条文》、《建筑工程施工验收规范》、《中华人民共和国消防法》、《建设工程消防验收评定标准》、《建设工程消防监督管理规定》等有关规定</w:t>
      </w:r>
      <w:r>
        <w:rPr>
          <w:rFonts w:hint="eastAsia" w:ascii="仿宋" w:hAnsi="仿宋" w:eastAsia="仿宋" w:cs="仿宋_GB2312"/>
          <w:sz w:val="24"/>
        </w:rPr>
        <w:t>；</w:t>
      </w:r>
    </w:p>
    <w:p w14:paraId="429CD8AF">
      <w:pPr>
        <w:autoSpaceDE w:val="0"/>
        <w:autoSpaceDN w:val="0"/>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（5）</w:t>
      </w:r>
      <w:r>
        <w:rPr>
          <w:rFonts w:hint="eastAsia" w:ascii="仿宋" w:hAnsi="仿宋" w:eastAsia="仿宋" w:cs="仿宋_GB2312"/>
          <w:sz w:val="24"/>
          <w:u w:val="single"/>
        </w:rPr>
        <w:t>承包人在响应文件中承诺的项目经理及相应资质的专业技术、管理人员未经发包人书面同意，承包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r>
        <w:rPr>
          <w:rFonts w:hint="eastAsia" w:ascii="仿宋" w:hAnsi="仿宋" w:eastAsia="仿宋" w:cs="仿宋_GB2312"/>
          <w:sz w:val="24"/>
        </w:rPr>
        <w:t>；</w:t>
      </w:r>
    </w:p>
    <w:p w14:paraId="163176F6">
      <w:pPr>
        <w:autoSpaceDE w:val="0"/>
        <w:autoSpaceDN w:val="0"/>
        <w:snapToGrid w:val="0"/>
        <w:spacing w:line="360" w:lineRule="auto"/>
        <w:ind w:firstLine="480" w:firstLineChars="200"/>
        <w:rPr>
          <w:rFonts w:hint="eastAsia" w:ascii="仿宋" w:hAnsi="仿宋" w:eastAsia="仿宋" w:cs="仿宋_GB2312"/>
          <w:sz w:val="24"/>
          <w:u w:val="single"/>
        </w:rPr>
      </w:pPr>
      <w:r>
        <w:rPr>
          <w:rFonts w:hint="eastAsia" w:ascii="仿宋" w:hAnsi="仿宋" w:eastAsia="仿宋" w:cs="仿宋_GB2312"/>
          <w:sz w:val="24"/>
        </w:rPr>
        <w:t>（6）</w:t>
      </w:r>
      <w:r>
        <w:rPr>
          <w:rFonts w:hint="eastAsia" w:ascii="仿宋" w:hAnsi="仿宋" w:eastAsia="仿宋" w:cs="仿宋_GB2312"/>
          <w:sz w:val="24"/>
          <w:u w:val="single"/>
        </w:rPr>
        <w:t>承包人在施工期间，必须对自身及其他项目参建单位的进场材料设备、已完工的工作面进行成品保护，如有损坏，由承包人负责修复，造成发包人损失的，发包人有权要求赔偿，费用从工程款或结算款中扣减</w:t>
      </w:r>
      <w:r>
        <w:rPr>
          <w:rFonts w:hint="eastAsia" w:ascii="仿宋" w:hAnsi="仿宋" w:eastAsia="仿宋" w:cs="仿宋_GB2312"/>
          <w:sz w:val="24"/>
        </w:rPr>
        <w:t>；</w:t>
      </w:r>
    </w:p>
    <w:p w14:paraId="02AD767D">
      <w:pPr>
        <w:autoSpaceDE w:val="0"/>
        <w:autoSpaceDN w:val="0"/>
        <w:snapToGrid w:val="0"/>
        <w:spacing w:line="360" w:lineRule="auto"/>
        <w:ind w:firstLine="480" w:firstLineChars="200"/>
        <w:rPr>
          <w:rFonts w:hint="eastAsia" w:ascii="仿宋" w:hAnsi="仿宋" w:eastAsia="仿宋" w:cs="仿宋_GB2312"/>
          <w:sz w:val="24"/>
          <w:u w:val="single"/>
        </w:rPr>
      </w:pPr>
      <w:r>
        <w:rPr>
          <w:rFonts w:hint="eastAsia" w:ascii="仿宋" w:hAnsi="仿宋" w:eastAsia="仿宋" w:cs="仿宋_GB2312"/>
          <w:sz w:val="24"/>
        </w:rPr>
        <w:t>（7）</w:t>
      </w:r>
      <w:r>
        <w:rPr>
          <w:rFonts w:hint="eastAsia" w:ascii="仿宋" w:hAnsi="仿宋" w:eastAsia="仿宋" w:cs="仿宋_GB2312"/>
          <w:sz w:val="24"/>
          <w:u w:val="single"/>
        </w:rPr>
        <w:t>承包人进场前应将特种作业人员报监理单位备案，提供相应人员的特种作业操作证书，特种作业人员施工时必须做到持证上岗</w:t>
      </w:r>
      <w:r>
        <w:rPr>
          <w:rFonts w:hint="eastAsia" w:ascii="仿宋" w:hAnsi="仿宋" w:eastAsia="仿宋" w:cs="仿宋_GB2312"/>
          <w:sz w:val="24"/>
        </w:rPr>
        <w:t>；</w:t>
      </w:r>
    </w:p>
    <w:p w14:paraId="53A758F3">
      <w:pPr>
        <w:autoSpaceDE w:val="0"/>
        <w:autoSpaceDN w:val="0"/>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（8）</w:t>
      </w:r>
      <w:r>
        <w:rPr>
          <w:rFonts w:hint="eastAsia" w:ascii="仿宋" w:hAnsi="仿宋" w:eastAsia="仿宋" w:cs="仿宋_GB2312"/>
          <w:sz w:val="24"/>
          <w:u w:val="single"/>
        </w:rPr>
        <w:t>承包人须做好安全文明施工措施，施工期间发生的人身伤亡、财产损失及其它一切事故，由承包人承担由此带来的一切损失和相关处罚。给发包人造成损失的，由承包人应负责赔偿</w:t>
      </w:r>
      <w:r>
        <w:rPr>
          <w:rFonts w:hint="eastAsia" w:ascii="仿宋" w:hAnsi="仿宋" w:eastAsia="仿宋" w:cs="仿宋_GB2312"/>
          <w:sz w:val="24"/>
        </w:rPr>
        <w:t>；</w:t>
      </w:r>
    </w:p>
    <w:p w14:paraId="560C3D51">
      <w:pPr>
        <w:autoSpaceDE w:val="0"/>
        <w:autoSpaceDN w:val="0"/>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（9）</w:t>
      </w:r>
      <w:r>
        <w:rPr>
          <w:rFonts w:hint="eastAsia" w:ascii="仿宋" w:hAnsi="仿宋" w:eastAsia="仿宋" w:cs="仿宋_GB2312"/>
          <w:sz w:val="24"/>
          <w:u w:val="single"/>
        </w:rPr>
        <w:t>承包人应按有关规定办理各类保险，并自行承担费用</w:t>
      </w:r>
      <w:r>
        <w:rPr>
          <w:rFonts w:hint="eastAsia" w:ascii="仿宋" w:hAnsi="仿宋" w:eastAsia="仿宋" w:cs="仿宋_GB2312"/>
          <w:sz w:val="24"/>
        </w:rPr>
        <w:t>；</w:t>
      </w:r>
    </w:p>
    <w:p w14:paraId="2E993181">
      <w:pPr>
        <w:autoSpaceDE w:val="0"/>
        <w:autoSpaceDN w:val="0"/>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（10）</w:t>
      </w:r>
      <w:r>
        <w:rPr>
          <w:rFonts w:hint="eastAsia" w:ascii="仿宋" w:hAnsi="仿宋" w:eastAsia="仿宋" w:cs="仿宋_GB2312"/>
          <w:sz w:val="24"/>
          <w:u w:val="single"/>
        </w:rPr>
        <w:t>承包人须在施工现场悬挂工程概况、施工安全提示等标识牌，施工材料统一堆放，并做好围挡措施</w:t>
      </w:r>
      <w:r>
        <w:rPr>
          <w:rFonts w:hint="eastAsia" w:ascii="仿宋" w:hAnsi="仿宋" w:eastAsia="仿宋" w:cs="仿宋_GB2312"/>
          <w:sz w:val="24"/>
        </w:rPr>
        <w:t>；</w:t>
      </w:r>
    </w:p>
    <w:p w14:paraId="460CFCFA">
      <w:pPr>
        <w:autoSpaceDE w:val="0"/>
        <w:autoSpaceDN w:val="0"/>
        <w:snapToGrid w:val="0"/>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（11）</w:t>
      </w:r>
      <w:r>
        <w:rPr>
          <w:rFonts w:hint="eastAsia" w:ascii="仿宋" w:hAnsi="仿宋" w:eastAsia="仿宋" w:cs="仿宋_GB2312"/>
          <w:sz w:val="24"/>
          <w:u w:val="single"/>
        </w:rPr>
        <w:t>承包人须负责施工现场的消防安全工作，严格落实消防措施。工地现场及时清除易燃、可燃物品，配置消防器材，落实专人监护，保证现场的消防安全</w:t>
      </w:r>
      <w:r>
        <w:rPr>
          <w:rFonts w:hint="eastAsia" w:ascii="仿宋" w:hAnsi="仿宋" w:eastAsia="仿宋" w:cs="仿宋_GB2312"/>
          <w:sz w:val="24"/>
        </w:rPr>
        <w:t>。</w:t>
      </w:r>
    </w:p>
    <w:p w14:paraId="73DCDD73">
      <w:pPr>
        <w:autoSpaceDE w:val="0"/>
        <w:autoSpaceDN w:val="0"/>
        <w:adjustRightInd w:val="0"/>
        <w:snapToGrid w:val="0"/>
        <w:spacing w:line="360" w:lineRule="auto"/>
        <w:ind w:firstLine="42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12）</w:t>
      </w:r>
      <w:r>
        <w:rPr>
          <w:rFonts w:hint="eastAsia" w:ascii="仿宋" w:hAnsi="仿宋" w:eastAsia="仿宋" w:cs="仿宋_GB2312"/>
          <w:sz w:val="24"/>
          <w:u w:val="single"/>
        </w:rPr>
        <w:t>本工程项目的材料、设备、施工必须达到中华人民共和国及省、市、行业的现行版本法规、规范的要求，上述标准如有不一致，执行两者中更严格的标准（技术标准及规范由乙方自备）。</w:t>
      </w:r>
    </w:p>
    <w:p w14:paraId="33B66879">
      <w:pPr>
        <w:autoSpaceDE w:val="0"/>
        <w:autoSpaceDN w:val="0"/>
        <w:adjustRightInd w:val="0"/>
        <w:snapToGrid w:val="0"/>
        <w:spacing w:line="360" w:lineRule="auto"/>
        <w:ind w:firstLine="420"/>
        <w:rPr>
          <w:rFonts w:hint="eastAsia" w:ascii="仿宋" w:hAnsi="仿宋" w:eastAsia="仿宋" w:cs="仿宋_GB2312"/>
          <w:sz w:val="24"/>
          <w:u w:val="single"/>
        </w:rPr>
      </w:pPr>
      <w:r>
        <w:rPr>
          <w:rFonts w:hint="eastAsia" w:ascii="仿宋" w:hAnsi="仿宋" w:eastAsia="仿宋" w:cs="仿宋"/>
          <w:sz w:val="24"/>
          <w:lang w:eastAsia="zh-CN"/>
        </w:rPr>
        <w:t>（</w:t>
      </w:r>
      <w:r>
        <w:rPr>
          <w:rFonts w:hint="eastAsia" w:ascii="仿宋" w:hAnsi="仿宋" w:eastAsia="仿宋" w:cs="仿宋"/>
          <w:sz w:val="24"/>
          <w:lang w:val="en-US" w:eastAsia="zh-CN"/>
        </w:rPr>
        <w:t>13）</w:t>
      </w:r>
      <w:r>
        <w:rPr>
          <w:rFonts w:hint="eastAsia" w:ascii="仿宋" w:hAnsi="仿宋" w:eastAsia="仿宋" w:cs="仿宋_GB2312"/>
          <w:sz w:val="24"/>
          <w:u w:val="single"/>
          <w:lang w:val="en-US" w:eastAsia="zh-CN"/>
        </w:rPr>
        <w:t>承包人</w:t>
      </w:r>
      <w:r>
        <w:rPr>
          <w:rFonts w:hint="eastAsia" w:ascii="仿宋" w:hAnsi="仿宋" w:eastAsia="仿宋" w:cs="仿宋_GB2312"/>
          <w:sz w:val="24"/>
          <w:u w:val="single"/>
        </w:rPr>
        <w:t>施工及选用的设备和材料符合最新版本的国家标准、规范。</w:t>
      </w:r>
    </w:p>
    <w:p w14:paraId="7B51D7DC">
      <w:pPr>
        <w:autoSpaceDE w:val="0"/>
        <w:autoSpaceDN w:val="0"/>
        <w:snapToGrid w:val="0"/>
        <w:spacing w:line="360" w:lineRule="auto"/>
        <w:ind w:firstLine="482" w:firstLineChars="200"/>
        <w:rPr>
          <w:rFonts w:hint="eastAsia" w:ascii="仿宋" w:hAnsi="仿宋" w:eastAsia="仿宋" w:cs="仿宋_GB2312"/>
          <w:color w:val="FF0000"/>
          <w:sz w:val="24"/>
        </w:rPr>
      </w:pPr>
      <w:r>
        <w:rPr>
          <w:rFonts w:hint="eastAsia" w:ascii="Arial" w:hAnsi="仿宋" w:eastAsia="仿宋"/>
          <w:b/>
          <w:bCs/>
          <w:sz w:val="24"/>
          <w:szCs w:val="32"/>
        </w:rPr>
        <w:t>未尽事宜，详见合同条款。</w:t>
      </w:r>
      <w:r>
        <w:rPr>
          <w:rFonts w:hint="eastAsia" w:ascii="仿宋" w:hAnsi="仿宋" w:eastAsia="仿宋" w:cs="仿宋_GB2312"/>
          <w:sz w:val="24"/>
        </w:rPr>
        <w:t xml:space="preserve"> </w:t>
      </w:r>
      <w:r>
        <w:rPr>
          <w:rFonts w:hint="eastAsia" w:ascii="仿宋" w:hAnsi="仿宋" w:eastAsia="仿宋" w:cs="仿宋_GB2312"/>
          <w:color w:val="FF0000"/>
          <w:sz w:val="24"/>
        </w:rPr>
        <w:t xml:space="preserve"> </w:t>
      </w:r>
    </w:p>
    <w:bookmarkEnd w:id="82"/>
    <w:p w14:paraId="0DD31959">
      <w:pPr>
        <w:autoSpaceDE w:val="0"/>
        <w:autoSpaceDN w:val="0"/>
        <w:rPr>
          <w:rFonts w:eastAsia="华文中宋"/>
          <w:bCs/>
          <w:kern w:val="44"/>
          <w:sz w:val="44"/>
          <w:szCs w:val="44"/>
        </w:rPr>
      </w:pPr>
      <w:r>
        <w:rPr>
          <w:rFonts w:eastAsia="华文中宋"/>
          <w:bCs/>
          <w:kern w:val="44"/>
          <w:sz w:val="44"/>
          <w:szCs w:val="44"/>
        </w:rPr>
        <w:br w:type="page"/>
      </w:r>
    </w:p>
    <w:p w14:paraId="768019B6">
      <w:pPr>
        <w:pStyle w:val="2"/>
        <w:autoSpaceDE w:val="0"/>
        <w:autoSpaceDN w:val="0"/>
        <w:spacing w:before="240"/>
        <w:rPr>
          <w:rFonts w:eastAsia="华文中宋"/>
          <w:bCs/>
          <w:kern w:val="44"/>
          <w:sz w:val="44"/>
          <w:szCs w:val="44"/>
        </w:rPr>
      </w:pPr>
      <w:bookmarkStart w:id="83" w:name="_Toc13243"/>
      <w:bookmarkStart w:id="84" w:name="_Toc26665"/>
      <w:r>
        <w:rPr>
          <w:rFonts w:eastAsia="华文中宋"/>
          <w:bCs/>
          <w:kern w:val="44"/>
          <w:sz w:val="44"/>
          <w:szCs w:val="44"/>
        </w:rPr>
        <w:t>第五章  合同</w:t>
      </w:r>
      <w:bookmarkEnd w:id="40"/>
      <w:bookmarkEnd w:id="41"/>
      <w:bookmarkEnd w:id="42"/>
      <w:bookmarkEnd w:id="83"/>
      <w:bookmarkEnd w:id="84"/>
    </w:p>
    <w:p w14:paraId="2B6745AB">
      <w:pPr>
        <w:pStyle w:val="3"/>
        <w:autoSpaceDE w:val="0"/>
        <w:autoSpaceDN w:val="0"/>
        <w:spacing w:before="360"/>
        <w:ind w:firstLine="281" w:firstLineChars="100"/>
        <w:jc w:val="center"/>
        <w:rPr>
          <w:rFonts w:hint="eastAsia" w:ascii="Times New Roman" w:hAnsi="仿宋" w:eastAsia="仿宋"/>
          <w:sz w:val="28"/>
          <w:szCs w:val="28"/>
        </w:rPr>
      </w:pPr>
      <w:bookmarkStart w:id="85" w:name="_Toc30644"/>
      <w:bookmarkStart w:id="86" w:name="_Toc7500"/>
      <w:r>
        <w:rPr>
          <w:rFonts w:hint="eastAsia" w:ascii="Times New Roman" w:hAnsi="仿宋" w:eastAsia="仿宋"/>
          <w:sz w:val="28"/>
          <w:szCs w:val="28"/>
        </w:rPr>
        <w:t>合同主要条款</w:t>
      </w:r>
      <w:bookmarkEnd w:id="85"/>
      <w:bookmarkEnd w:id="86"/>
    </w:p>
    <w:p w14:paraId="33E86FFD">
      <w:pPr>
        <w:widowControl/>
        <w:autoSpaceDE w:val="0"/>
        <w:autoSpaceDN w:val="0"/>
        <w:adjustRightInd w:val="0"/>
        <w:snapToGrid w:val="0"/>
        <w:spacing w:line="360" w:lineRule="auto"/>
        <w:jc w:val="center"/>
        <w:rPr>
          <w:rFonts w:hint="eastAsia" w:ascii="仿宋" w:hAnsi="仿宋" w:eastAsia="仿宋"/>
          <w:b/>
          <w:sz w:val="28"/>
          <w:szCs w:val="28"/>
        </w:rPr>
      </w:pPr>
      <w:r>
        <w:rPr>
          <w:rFonts w:hint="eastAsia" w:ascii="仿宋" w:hAnsi="仿宋" w:eastAsia="仿宋"/>
          <w:b/>
          <w:sz w:val="28"/>
          <w:szCs w:val="28"/>
        </w:rPr>
        <w:t>（中小企业预留合同，以最终签订为准）</w:t>
      </w:r>
    </w:p>
    <w:p w14:paraId="771CFF98">
      <w:pPr>
        <w:widowControl/>
        <w:autoSpaceDE w:val="0"/>
        <w:autoSpaceDN w:val="0"/>
        <w:adjustRightInd w:val="0"/>
        <w:snapToGrid w:val="0"/>
        <w:spacing w:line="360" w:lineRule="auto"/>
        <w:jc w:val="center"/>
        <w:rPr>
          <w:b/>
          <w:bCs/>
        </w:rPr>
      </w:pPr>
      <w:r>
        <w:rPr>
          <w:rFonts w:hint="eastAsia" w:ascii="仿宋" w:hAnsi="仿宋" w:eastAsia="仿宋"/>
          <w:b/>
          <w:sz w:val="28"/>
          <w:szCs w:val="28"/>
        </w:rPr>
        <w:t>第一部分 合同协议书</w:t>
      </w:r>
    </w:p>
    <w:p w14:paraId="2E865D63">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发包人（全称）：</w:t>
      </w:r>
      <w:r>
        <w:rPr>
          <w:rFonts w:hint="eastAsia" w:ascii="仿宋" w:hAnsi="仿宋" w:eastAsia="仿宋"/>
          <w:sz w:val="24"/>
          <w:u w:val="single"/>
        </w:rPr>
        <w:t>浙江工商大学</w:t>
      </w:r>
      <w:r>
        <w:rPr>
          <w:rFonts w:hint="eastAsia" w:ascii="仿宋" w:hAnsi="仿宋" w:eastAsia="仿宋"/>
          <w:sz w:val="24"/>
        </w:rPr>
        <w:t xml:space="preserve">        </w:t>
      </w:r>
    </w:p>
    <w:p w14:paraId="73B9597B">
      <w:pPr>
        <w:autoSpaceDE w:val="0"/>
        <w:autoSpaceDN w:val="0"/>
        <w:adjustRightInd w:val="0"/>
        <w:snapToGrid w:val="0"/>
        <w:spacing w:line="360" w:lineRule="auto"/>
        <w:rPr>
          <w:rFonts w:hint="eastAsia" w:ascii="仿宋" w:hAnsi="仿宋" w:eastAsia="仿宋"/>
          <w:sz w:val="24"/>
          <w:u w:val="single"/>
        </w:rPr>
      </w:pPr>
      <w:r>
        <w:rPr>
          <w:rFonts w:hint="eastAsia" w:ascii="仿宋" w:hAnsi="仿宋" w:eastAsia="仿宋"/>
          <w:sz w:val="24"/>
        </w:rPr>
        <w:t>承包人（全称）：</w:t>
      </w:r>
      <w:r>
        <w:rPr>
          <w:rFonts w:hint="eastAsia" w:ascii="仿宋" w:hAnsi="仿宋" w:eastAsia="仿宋"/>
          <w:sz w:val="24"/>
          <w:u w:val="single"/>
        </w:rPr>
        <w:t xml:space="preserve">            </w:t>
      </w:r>
    </w:p>
    <w:p w14:paraId="28AABE91">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按照《中华人民共和国政府采购法》、《政府采购竞争性磋商采购方式管理暂行办法》等有关规定及经</w:t>
      </w:r>
      <w:r>
        <w:rPr>
          <w:rFonts w:hint="eastAsia" w:ascii="仿宋" w:hAnsi="仿宋" w:eastAsia="仿宋"/>
          <w:sz w:val="24"/>
          <w:u w:val="single"/>
        </w:rPr>
        <w:t>浙江省成套招标代理有限公司</w:t>
      </w:r>
      <w:r>
        <w:rPr>
          <w:rFonts w:hint="eastAsia" w:ascii="仿宋" w:hAnsi="仿宋" w:eastAsia="仿宋" w:cs="仿宋"/>
          <w:sz w:val="24"/>
        </w:rPr>
        <w:t>组织的竞争性磋商采购结果，确定</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（成交单位）</w:t>
      </w:r>
      <w:r>
        <w:rPr>
          <w:rFonts w:ascii="仿宋" w:hAnsi="仿宋" w:eastAsia="仿宋" w:cs="仿宋"/>
          <w:sz w:val="24"/>
          <w:u w:val="single"/>
        </w:rPr>
        <w:t xml:space="preserve"> </w:t>
      </w:r>
      <w:r>
        <w:rPr>
          <w:rFonts w:hint="eastAsia" w:ascii="仿宋" w:hAnsi="仿宋" w:eastAsia="仿宋" w:cs="仿宋"/>
          <w:sz w:val="24"/>
        </w:rPr>
        <w:t>为</w:t>
      </w:r>
      <w:r>
        <w:rPr>
          <w:rFonts w:hint="eastAsia" w:ascii="仿宋" w:hAnsi="仿宋" w:eastAsia="仿宋" w:cs="仿宋"/>
          <w:sz w:val="24"/>
          <w:u w:val="single"/>
          <w:lang w:eastAsia="zh-CN"/>
        </w:rPr>
        <w:t>浙江工商大学教工路校区学生宿舍建设工程附属配电房移位改造工程（EPC）</w:t>
      </w:r>
      <w:r>
        <w:rPr>
          <w:rFonts w:hint="eastAsia" w:ascii="仿宋" w:hAnsi="仿宋" w:eastAsia="仿宋" w:cs="仿宋"/>
          <w:sz w:val="24"/>
          <w:u w:val="single"/>
        </w:rPr>
        <w:t>（项目编号：</w:t>
      </w:r>
      <w:r>
        <w:rPr>
          <w:rFonts w:hint="eastAsia" w:ascii="仿宋" w:hAnsi="仿宋" w:eastAsia="仿宋" w:cs="仿宋"/>
          <w:sz w:val="24"/>
          <w:u w:val="single"/>
          <w:lang w:eastAsia="zh-CN"/>
        </w:rPr>
        <w:t>CTZB-2025050222</w:t>
      </w:r>
      <w:r>
        <w:rPr>
          <w:rFonts w:hint="eastAsia" w:ascii="仿宋" w:hAnsi="仿宋" w:eastAsia="仿宋" w:cs="仿宋"/>
          <w:sz w:val="24"/>
          <w:u w:val="single"/>
        </w:rPr>
        <w:t>），采购计划书：）</w:t>
      </w:r>
      <w:r>
        <w:rPr>
          <w:rFonts w:hint="eastAsia" w:ascii="仿宋" w:hAnsi="仿宋" w:eastAsia="仿宋" w:cs="仿宋"/>
          <w:sz w:val="24"/>
        </w:rPr>
        <w:t>的承包人。根据《中华人民共和国民法典》、《中华人民共和国建筑法》及相关法律、法规规定，双方就本工程的施工及有关事项协商一致，共同达成如下协议：</w:t>
      </w:r>
    </w:p>
    <w:p w14:paraId="395D9652">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一、工程概况</w:t>
      </w:r>
    </w:p>
    <w:p w14:paraId="565C92DE">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1.工程名称：</w:t>
      </w:r>
      <w:r>
        <w:rPr>
          <w:rFonts w:hint="eastAsia" w:ascii="仿宋" w:hAnsi="仿宋" w:eastAsia="仿宋"/>
          <w:sz w:val="24"/>
          <w:u w:val="single"/>
          <w:lang w:eastAsia="zh-CN"/>
        </w:rPr>
        <w:t>浙江工商大学教工路校区学生宿舍建设工程附属配电房移位改造工程（EPC）</w:t>
      </w:r>
      <w:r>
        <w:rPr>
          <w:rFonts w:hint="eastAsia" w:ascii="仿宋" w:hAnsi="仿宋" w:eastAsia="仿宋"/>
          <w:sz w:val="24"/>
        </w:rPr>
        <w:t xml:space="preserve"> </w:t>
      </w:r>
    </w:p>
    <w:p w14:paraId="387B28A3">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2.工程地点：</w:t>
      </w:r>
      <w:r>
        <w:rPr>
          <w:rFonts w:hint="eastAsia" w:ascii="仿宋" w:hAnsi="仿宋" w:eastAsia="仿宋"/>
          <w:sz w:val="24"/>
          <w:u w:val="single"/>
          <w:lang w:eastAsia="zh-CN"/>
        </w:rPr>
        <w:t>杭州市西湖区教工路198号</w:t>
      </w:r>
      <w:r>
        <w:rPr>
          <w:rFonts w:hint="eastAsia" w:ascii="仿宋" w:hAnsi="仿宋" w:eastAsia="仿宋"/>
          <w:sz w:val="24"/>
          <w:u w:val="single"/>
        </w:rPr>
        <w:t>内</w:t>
      </w:r>
      <w:r>
        <w:rPr>
          <w:rFonts w:hint="eastAsia" w:ascii="仿宋" w:hAnsi="仿宋" w:eastAsia="仿宋"/>
          <w:sz w:val="24"/>
        </w:rPr>
        <w:t xml:space="preserve"> </w:t>
      </w:r>
    </w:p>
    <w:p w14:paraId="67D2D4D2">
      <w:pPr>
        <w:autoSpaceDE w:val="0"/>
        <w:autoSpaceDN w:val="0"/>
        <w:adjustRightInd w:val="0"/>
        <w:snapToGrid w:val="0"/>
        <w:spacing w:line="360" w:lineRule="auto"/>
        <w:ind w:firstLine="480" w:firstLineChars="200"/>
        <w:rPr>
          <w:rFonts w:hint="default" w:ascii="仿宋" w:hAnsi="仿宋" w:eastAsia="仿宋"/>
          <w:sz w:val="24"/>
          <w:lang w:val="en-US" w:eastAsia="zh-CN"/>
        </w:rPr>
      </w:pPr>
      <w:r>
        <w:rPr>
          <w:rFonts w:hint="eastAsia" w:ascii="仿宋" w:hAnsi="仿宋" w:eastAsia="仿宋"/>
          <w:sz w:val="24"/>
        </w:rPr>
        <w:t>3.工程</w:t>
      </w:r>
      <w:r>
        <w:rPr>
          <w:rFonts w:hint="eastAsia" w:ascii="仿宋" w:hAnsi="仿宋" w:eastAsia="仿宋" w:cs="Times New Roman"/>
          <w:sz w:val="24"/>
          <w:lang w:val="en-US" w:eastAsia="zh-CN"/>
        </w:rPr>
        <w:t>审批、核准或备案文号</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p>
    <w:p w14:paraId="1E3B73CD">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4.资金来源：</w:t>
      </w:r>
      <w:r>
        <w:rPr>
          <w:rFonts w:hint="eastAsia" w:ascii="仿宋" w:hAnsi="仿宋" w:eastAsia="仿宋"/>
          <w:sz w:val="24"/>
          <w:u w:val="single"/>
        </w:rPr>
        <w:t>财政资金</w:t>
      </w:r>
      <w:r>
        <w:rPr>
          <w:rFonts w:hint="eastAsia" w:ascii="仿宋" w:hAnsi="仿宋" w:eastAsia="仿宋"/>
          <w:sz w:val="24"/>
        </w:rPr>
        <w:t></w:t>
      </w:r>
    </w:p>
    <w:p w14:paraId="69D64E72">
      <w:pPr>
        <w:autoSpaceDE w:val="0"/>
        <w:autoSpaceDN w:val="0"/>
        <w:adjustRightInd w:val="0"/>
        <w:snapToGrid w:val="0"/>
        <w:spacing w:line="360" w:lineRule="auto"/>
        <w:ind w:firstLine="480" w:firstLineChars="200"/>
        <w:jc w:val="left"/>
        <w:rPr>
          <w:rFonts w:hint="default" w:ascii="仿宋" w:hAnsi="仿宋" w:eastAsia="仿宋"/>
          <w:sz w:val="24"/>
          <w:lang w:val="en-US"/>
        </w:rPr>
      </w:pPr>
      <w:r>
        <w:rPr>
          <w:rFonts w:hint="eastAsia" w:ascii="仿宋" w:hAnsi="仿宋" w:eastAsia="仿宋"/>
          <w:sz w:val="24"/>
        </w:rPr>
        <w:t>5.</w:t>
      </w:r>
      <w:r>
        <w:rPr>
          <w:rFonts w:hint="eastAsia" w:ascii="仿宋" w:hAnsi="仿宋" w:eastAsia="仿宋"/>
          <w:sz w:val="24"/>
          <w:lang w:val="en-US" w:eastAsia="zh-CN"/>
        </w:rPr>
        <w:t>工程</w:t>
      </w:r>
      <w:r>
        <w:rPr>
          <w:rFonts w:hint="eastAsia" w:ascii="仿宋" w:hAnsi="仿宋" w:eastAsia="仿宋"/>
          <w:sz w:val="24"/>
        </w:rPr>
        <w:t>内容</w:t>
      </w:r>
      <w:r>
        <w:rPr>
          <w:rFonts w:hint="eastAsia" w:ascii="仿宋" w:hAnsi="仿宋" w:eastAsia="仿宋"/>
          <w:sz w:val="24"/>
          <w:lang w:val="en-US" w:eastAsia="zh-CN"/>
        </w:rPr>
        <w:t>及规模</w:t>
      </w:r>
      <w:r>
        <w:rPr>
          <w:rFonts w:hint="eastAsia" w:ascii="仿宋" w:hAnsi="仿宋" w:eastAsia="仿宋"/>
          <w:sz w:val="24"/>
        </w:rPr>
        <w:t>：</w:t>
      </w:r>
      <w:r>
        <w:rPr>
          <w:rFonts w:hint="eastAsia" w:ascii="仿宋" w:hAnsi="仿宋" w:eastAsia="仿宋"/>
          <w:sz w:val="24"/>
          <w:u w:val="single"/>
          <w:lang w:eastAsia="zh-CN"/>
        </w:rPr>
        <w:t>浙江工商大学教工路校区学生宿舍建设工程附属配电房移位改造工程</w:t>
      </w:r>
      <w:r>
        <w:rPr>
          <w:rFonts w:hint="eastAsia" w:ascii="仿宋" w:hAnsi="仿宋" w:eastAsia="仿宋"/>
          <w:sz w:val="24"/>
          <w:u w:val="single"/>
          <w:lang w:val="en-US" w:eastAsia="zh-CN"/>
        </w:rPr>
        <w:t>的设计、采购、施工。本项目为交钥匙工程。</w:t>
      </w:r>
    </w:p>
    <w:p w14:paraId="5D8C567C">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二、合同工期</w:t>
      </w:r>
    </w:p>
    <w:p w14:paraId="6BDEC28A">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计划开工日期：</w:t>
      </w:r>
      <w:r>
        <w:rPr>
          <w:rFonts w:ascii="仿宋" w:hAnsi="仿宋" w:eastAsia="仿宋"/>
          <w:sz w:val="24"/>
          <w:u w:val="single"/>
        </w:rPr>
        <w:t>202</w:t>
      </w:r>
      <w:r>
        <w:rPr>
          <w:rFonts w:hint="eastAsia" w:ascii="仿宋" w:hAnsi="仿宋" w:eastAsia="仿宋"/>
          <w:sz w:val="24"/>
          <w:u w:val="single"/>
        </w:rPr>
        <w:t>5</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6CC8C8C7">
      <w:pPr>
        <w:autoSpaceDE w:val="0"/>
        <w:autoSpaceDN w:val="0"/>
        <w:adjustRightInd w:val="0"/>
        <w:snapToGrid w:val="0"/>
        <w:spacing w:line="360" w:lineRule="auto"/>
        <w:ind w:firstLine="480" w:firstLineChars="200"/>
        <w:rPr>
          <w:rFonts w:hint="eastAsia"/>
        </w:rPr>
      </w:pPr>
      <w:r>
        <w:rPr>
          <w:rFonts w:hint="eastAsia" w:ascii="仿宋" w:hAnsi="仿宋" w:eastAsia="仿宋" w:cs="Times New Roman"/>
          <w:sz w:val="24"/>
          <w:lang w:val="en-US" w:eastAsia="zh-CN"/>
        </w:rPr>
        <w:t>计划开始现场施工日期：2025年</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lang w:val="en-US" w:eastAsia="zh-CN"/>
        </w:rPr>
        <w:t>月</w:t>
      </w:r>
      <w:r>
        <w:rPr>
          <w:rFonts w:hint="eastAsia" w:ascii="仿宋" w:hAnsi="仿宋" w:eastAsia="仿宋" w:cs="Times New Roman"/>
          <w:sz w:val="24"/>
          <w:u w:val="single"/>
          <w:lang w:val="en-US" w:eastAsia="zh-CN"/>
        </w:rPr>
        <w:t xml:space="preserve">    </w:t>
      </w:r>
      <w:r>
        <w:rPr>
          <w:rFonts w:hint="eastAsia" w:ascii="仿宋" w:hAnsi="仿宋" w:eastAsia="仿宋" w:cs="Times New Roman"/>
          <w:sz w:val="24"/>
          <w:lang w:val="en-US" w:eastAsia="zh-CN"/>
        </w:rPr>
        <w:t>日</w:t>
      </w:r>
    </w:p>
    <w:p w14:paraId="5BDA0CC3">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计划竣工日期：</w:t>
      </w:r>
      <w:r>
        <w:rPr>
          <w:rFonts w:ascii="仿宋" w:hAnsi="仿宋" w:eastAsia="仿宋"/>
          <w:sz w:val="24"/>
          <w:u w:val="single"/>
        </w:rPr>
        <w:t>202</w:t>
      </w:r>
      <w:r>
        <w:rPr>
          <w:rFonts w:hint="eastAsia" w:ascii="仿宋" w:hAnsi="仿宋" w:eastAsia="仿宋"/>
          <w:sz w:val="24"/>
          <w:u w:val="single"/>
        </w:rPr>
        <w:t>5</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14:paraId="57286C94">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工期总日历天数：</w:t>
      </w:r>
      <w:r>
        <w:rPr>
          <w:rFonts w:hint="eastAsia" w:ascii="仿宋" w:hAnsi="仿宋" w:eastAsia="仿宋"/>
          <w:b w:val="0"/>
          <w:bCs w:val="0"/>
          <w:color w:val="auto"/>
          <w:sz w:val="24"/>
          <w:lang w:val="en-US" w:eastAsia="zh-CN"/>
        </w:rPr>
        <w:t>9</w:t>
      </w:r>
      <w:r>
        <w:rPr>
          <w:rFonts w:hint="eastAsia" w:ascii="仿宋" w:hAnsi="仿宋" w:eastAsia="仿宋"/>
          <w:b w:val="0"/>
          <w:bCs w:val="0"/>
          <w:color w:val="auto"/>
          <w:sz w:val="24"/>
          <w:lang w:eastAsia="zh-CN"/>
        </w:rPr>
        <w:t>0个日历天</w:t>
      </w:r>
      <w:r>
        <w:rPr>
          <w:rFonts w:hint="eastAsia" w:ascii="仿宋" w:hAnsi="仿宋" w:eastAsia="仿宋"/>
          <w:b w:val="0"/>
          <w:bCs w:val="0"/>
          <w:color w:val="auto"/>
          <w:sz w:val="24"/>
        </w:rPr>
        <w:t>。</w:t>
      </w:r>
      <w:r>
        <w:rPr>
          <w:rFonts w:hint="eastAsia" w:ascii="仿宋" w:hAnsi="仿宋" w:eastAsia="仿宋"/>
          <w:sz w:val="24"/>
        </w:rPr>
        <w:t>工期总日历天数与根据前述计划开竣工日期计算的工期天数不一致的，以工期总日历天数为准。</w:t>
      </w:r>
    </w:p>
    <w:p w14:paraId="44DA5E81">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三、质量标准</w:t>
      </w:r>
    </w:p>
    <w:p w14:paraId="1F66A2BC">
      <w:pPr>
        <w:autoSpaceDE w:val="0"/>
        <w:autoSpaceDN w:val="0"/>
        <w:adjustRightInd w:val="0"/>
        <w:snapToGrid w:val="0"/>
        <w:spacing w:line="360" w:lineRule="auto"/>
        <w:ind w:firstLine="480" w:firstLineChars="200"/>
        <w:rPr>
          <w:rFonts w:hint="eastAsia" w:ascii="仿宋" w:hAnsi="仿宋" w:eastAsia="仿宋"/>
          <w:sz w:val="24"/>
          <w:u w:val="single"/>
          <w:lang w:val="en-US" w:eastAsia="zh-CN"/>
        </w:rPr>
      </w:pPr>
      <w:r>
        <w:rPr>
          <w:rFonts w:hint="eastAsia" w:ascii="仿宋" w:hAnsi="仿宋" w:eastAsia="仿宋"/>
          <w:sz w:val="24"/>
          <w:u w:val="single"/>
          <w:lang w:val="en-US" w:eastAsia="zh-CN"/>
        </w:rPr>
        <w:t>工程设计质量要求：符合现行国家标准，达到《建筑工程设计文件编制深度规定（2016版）》，并通过电力部门审核；</w:t>
      </w:r>
    </w:p>
    <w:p w14:paraId="0868548E">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u w:val="single"/>
          <w:lang w:val="en-US" w:eastAsia="zh-CN"/>
        </w:rPr>
        <w:t>工程施工质量标准：</w:t>
      </w:r>
      <w:r>
        <w:rPr>
          <w:rFonts w:hint="eastAsia" w:ascii="仿宋" w:hAnsi="仿宋" w:eastAsia="仿宋"/>
          <w:sz w:val="24"/>
          <w:u w:val="single"/>
        </w:rPr>
        <w:t>工程质量达到国家施工验收规范合格标准</w:t>
      </w:r>
      <w:r>
        <w:rPr>
          <w:rFonts w:hint="eastAsia" w:ascii="仿宋" w:hAnsi="仿宋" w:eastAsia="仿宋"/>
          <w:sz w:val="24"/>
        </w:rPr>
        <w:t>。</w:t>
      </w:r>
    </w:p>
    <w:p w14:paraId="25808F53">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四、签约合同价与合同价格形式</w:t>
      </w:r>
      <w:r>
        <w:rPr>
          <w:rFonts w:hint="eastAsia" w:ascii="仿宋" w:hAnsi="仿宋" w:eastAsia="仿宋"/>
          <w:sz w:val="24"/>
        </w:rPr>
        <w:tab/>
      </w:r>
    </w:p>
    <w:p w14:paraId="3DD971B2">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1.签约合同价</w:t>
      </w:r>
      <w:r>
        <w:rPr>
          <w:rFonts w:hint="eastAsia" w:ascii="仿宋" w:hAnsi="仿宋" w:eastAsia="仿宋" w:cs="仿宋"/>
          <w:color w:val="auto"/>
          <w:kern w:val="2"/>
          <w:sz w:val="24"/>
          <w:szCs w:val="24"/>
          <w:highlight w:val="none"/>
          <w:lang w:val="en-US" w:eastAsia="zh-CN" w:bidi="ar"/>
        </w:rPr>
        <w:t>（含税）</w:t>
      </w: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cs="仿宋"/>
          <w:sz w:val="24"/>
          <w:u w:val="single"/>
        </w:rPr>
        <w:t>(</w:t>
      </w:r>
      <w:r>
        <w:rPr>
          <w:rFonts w:hint="eastAsia" w:ascii="Calibri" w:hAnsi="Calibri" w:eastAsia="仿宋" w:cs="Calibri"/>
          <w:sz w:val="24"/>
          <w:u w:val="single"/>
        </w:rPr>
        <w:t>￥</w:t>
      </w:r>
      <w:r>
        <w:rPr>
          <w:rFonts w:hint="eastAsia" w:ascii="Calibri" w:hAnsi="Calibri" w:eastAsia="仿宋" w:cs="Calibri"/>
          <w:sz w:val="24"/>
          <w:u w:val="single"/>
          <w:lang w:val="en-US" w:eastAsia="zh-CN"/>
        </w:rPr>
        <w:t xml:space="preserve">    </w:t>
      </w:r>
      <w:r>
        <w:rPr>
          <w:rFonts w:hint="eastAsia" w:ascii="仿宋" w:hAnsi="仿宋" w:eastAsia="仿宋" w:cs="仿宋"/>
          <w:sz w:val="24"/>
          <w:u w:val="single"/>
        </w:rPr>
        <w:t>元)</w:t>
      </w:r>
    </w:p>
    <w:p w14:paraId="3C26E2B6">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其中：</w:t>
      </w:r>
    </w:p>
    <w:p w14:paraId="41605DDB">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（1）设计费（含税）：</w:t>
      </w:r>
    </w:p>
    <w:p w14:paraId="303BA5FA">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人民币（大写）</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r>
        <w:rPr>
          <w:rFonts w:hint="eastAsia" w:ascii="Calibri" w:hAnsi="Calibri" w:eastAsia="仿宋" w:cs="Calibri"/>
          <w:sz w:val="24"/>
          <w:u w:val="single"/>
        </w:rPr>
        <w:t>￥</w:t>
      </w:r>
      <w:r>
        <w:rPr>
          <w:rFonts w:hint="eastAsia" w:ascii="Calibri" w:hAnsi="Calibri" w:eastAsia="仿宋" w:cs="Calibri"/>
          <w:sz w:val="24"/>
          <w:u w:val="single"/>
          <w:lang w:val="en-US" w:eastAsia="zh-CN"/>
        </w:rPr>
        <w:t xml:space="preserve">    </w:t>
      </w:r>
      <w:r>
        <w:rPr>
          <w:rFonts w:hint="eastAsia" w:ascii="仿宋" w:hAnsi="仿宋" w:eastAsia="仿宋" w:cs="仿宋"/>
          <w:sz w:val="24"/>
          <w:u w:val="single"/>
        </w:rPr>
        <w:t>元</w:t>
      </w:r>
      <w:r>
        <w:rPr>
          <w:rFonts w:hint="eastAsia" w:ascii="仿宋" w:hAnsi="仿宋" w:eastAsia="仿宋" w:cs="仿宋"/>
          <w:color w:val="auto"/>
          <w:kern w:val="2"/>
          <w:sz w:val="24"/>
          <w:szCs w:val="24"/>
          <w:highlight w:val="none"/>
          <w:lang w:val="en-US" w:eastAsia="zh-CN" w:bidi="ar"/>
        </w:rPr>
        <w:t>）；适用税率：</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20E72B52">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（2）设备购置费（含税）：</w:t>
      </w:r>
    </w:p>
    <w:p w14:paraId="31CA7964">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人民币（大写）</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r>
        <w:rPr>
          <w:rFonts w:hint="eastAsia" w:ascii="Calibri" w:hAnsi="Calibri" w:eastAsia="仿宋" w:cs="Calibri"/>
          <w:sz w:val="24"/>
          <w:u w:val="single"/>
        </w:rPr>
        <w:t>￥</w:t>
      </w:r>
      <w:r>
        <w:rPr>
          <w:rFonts w:hint="eastAsia" w:ascii="Calibri" w:hAnsi="Calibri" w:eastAsia="仿宋" w:cs="Calibri"/>
          <w:sz w:val="24"/>
          <w:u w:val="single"/>
          <w:lang w:val="en-US" w:eastAsia="zh-CN"/>
        </w:rPr>
        <w:t xml:space="preserve">    </w:t>
      </w:r>
      <w:r>
        <w:rPr>
          <w:rFonts w:hint="eastAsia" w:ascii="仿宋" w:hAnsi="仿宋" w:eastAsia="仿宋" w:cs="仿宋"/>
          <w:sz w:val="24"/>
          <w:u w:val="single"/>
        </w:rPr>
        <w:t>元</w:t>
      </w:r>
      <w:r>
        <w:rPr>
          <w:rFonts w:hint="eastAsia" w:ascii="仿宋" w:hAnsi="仿宋" w:eastAsia="仿宋" w:cs="仿宋"/>
          <w:color w:val="auto"/>
          <w:kern w:val="2"/>
          <w:sz w:val="24"/>
          <w:szCs w:val="24"/>
          <w:highlight w:val="none"/>
          <w:lang w:val="en-US" w:eastAsia="zh-CN" w:bidi="ar"/>
        </w:rPr>
        <w:t>）；适用税率：</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042727E7">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（3）建筑安装工程费（含税）：</w:t>
      </w:r>
    </w:p>
    <w:p w14:paraId="780285E9">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人民币（大写）</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r>
        <w:rPr>
          <w:rFonts w:hint="eastAsia" w:ascii="Calibri" w:hAnsi="Calibri" w:eastAsia="仿宋" w:cs="Calibri"/>
          <w:sz w:val="24"/>
          <w:u w:val="single"/>
        </w:rPr>
        <w:t>￥</w:t>
      </w:r>
      <w:r>
        <w:rPr>
          <w:rFonts w:hint="eastAsia" w:ascii="Calibri" w:hAnsi="Calibri" w:eastAsia="仿宋" w:cs="Calibri"/>
          <w:sz w:val="24"/>
          <w:u w:val="single"/>
          <w:lang w:val="en-US" w:eastAsia="zh-CN"/>
        </w:rPr>
        <w:t xml:space="preserve">    </w:t>
      </w:r>
      <w:r>
        <w:rPr>
          <w:rFonts w:hint="eastAsia" w:ascii="仿宋" w:hAnsi="仿宋" w:eastAsia="仿宋" w:cs="仿宋"/>
          <w:sz w:val="24"/>
          <w:u w:val="single"/>
        </w:rPr>
        <w:t>元</w:t>
      </w:r>
      <w:r>
        <w:rPr>
          <w:rFonts w:hint="eastAsia" w:ascii="仿宋" w:hAnsi="仿宋" w:eastAsia="仿宋" w:cs="仿宋"/>
          <w:color w:val="auto"/>
          <w:kern w:val="2"/>
          <w:sz w:val="24"/>
          <w:szCs w:val="24"/>
          <w:highlight w:val="none"/>
          <w:lang w:val="en-US" w:eastAsia="zh-CN" w:bidi="ar"/>
        </w:rPr>
        <w:t>）；适用税率：</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5EBDD67A">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（4）暂估价（含税）：</w:t>
      </w:r>
    </w:p>
    <w:p w14:paraId="3F3642FF">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人民币（大写）</w:t>
      </w:r>
      <w:r>
        <w:rPr>
          <w:rFonts w:hint="eastAsia" w:ascii="仿宋" w:hAnsi="仿宋" w:eastAsia="仿宋" w:cs="仿宋"/>
          <w:color w:val="auto"/>
          <w:kern w:val="2"/>
          <w:sz w:val="24"/>
          <w:szCs w:val="24"/>
          <w:highlight w:val="none"/>
          <w:u w:val="single"/>
          <w:lang w:val="en-US" w:eastAsia="zh-CN" w:bidi="ar"/>
        </w:rPr>
        <w:t xml:space="preserve">  壹拾叁万伍仟元整   </w:t>
      </w:r>
      <w:r>
        <w:rPr>
          <w:rFonts w:hint="eastAsia" w:ascii="仿宋" w:hAnsi="仿宋" w:eastAsia="仿宋" w:cs="仿宋"/>
          <w:color w:val="auto"/>
          <w:kern w:val="2"/>
          <w:sz w:val="24"/>
          <w:szCs w:val="24"/>
          <w:highlight w:val="none"/>
          <w:lang w:val="en-US" w:eastAsia="zh-CN" w:bidi="ar"/>
        </w:rPr>
        <w:t>（</w:t>
      </w:r>
      <w:r>
        <w:rPr>
          <w:rFonts w:hint="eastAsia" w:ascii="Calibri" w:hAnsi="Calibri" w:eastAsia="仿宋" w:cs="Calibri"/>
          <w:sz w:val="24"/>
          <w:u w:val="single"/>
        </w:rPr>
        <w:t>￥</w:t>
      </w:r>
      <w:r>
        <w:rPr>
          <w:rFonts w:hint="eastAsia" w:ascii="Calibri" w:hAnsi="Calibri" w:eastAsia="仿宋" w:cs="Calibri"/>
          <w:sz w:val="24"/>
          <w:u w:val="single"/>
          <w:lang w:val="en-US" w:eastAsia="zh-CN"/>
        </w:rPr>
        <w:t>135000</w:t>
      </w:r>
      <w:r>
        <w:rPr>
          <w:rFonts w:hint="eastAsia" w:ascii="仿宋" w:hAnsi="仿宋" w:eastAsia="仿宋" w:cs="仿宋"/>
          <w:sz w:val="24"/>
          <w:u w:val="single"/>
        </w:rPr>
        <w:t>元，</w:t>
      </w:r>
      <w:r>
        <w:rPr>
          <w:rFonts w:hint="eastAsia" w:ascii="仿宋" w:hAnsi="仿宋" w:eastAsia="仿宋" w:cs="仿宋"/>
          <w:color w:val="auto"/>
          <w:sz w:val="24"/>
          <w:u w:val="single"/>
          <w:lang w:val="en-US" w:eastAsia="zh-CN"/>
        </w:rPr>
        <w:t>含</w:t>
      </w:r>
      <w:r>
        <w:rPr>
          <w:rFonts w:hint="eastAsia" w:ascii="仿宋" w:hAnsi="仿宋" w:eastAsia="仿宋" w:cs="仿宋"/>
          <w:color w:val="auto"/>
          <w:sz w:val="24"/>
          <w:u w:val="single"/>
        </w:rPr>
        <w:t>税</w:t>
      </w:r>
      <w:r>
        <w:rPr>
          <w:rFonts w:hint="eastAsia" w:ascii="仿宋" w:hAnsi="仿宋" w:eastAsia="仿宋" w:cs="仿宋"/>
          <w:color w:val="auto"/>
          <w:sz w:val="24"/>
          <w:u w:val="single"/>
          <w:lang w:eastAsia="zh-CN"/>
        </w:rPr>
        <w:t>）</w:t>
      </w:r>
      <w:r>
        <w:rPr>
          <w:rFonts w:hint="eastAsia" w:ascii="仿宋" w:hAnsi="仿宋" w:eastAsia="仿宋" w:cs="仿宋"/>
          <w:color w:val="auto"/>
          <w:kern w:val="2"/>
          <w:sz w:val="24"/>
          <w:szCs w:val="24"/>
          <w:highlight w:val="none"/>
          <w:lang w:val="en-US" w:eastAsia="zh-CN" w:bidi="ar"/>
        </w:rPr>
        <w:t>。</w:t>
      </w:r>
    </w:p>
    <w:p w14:paraId="097BF1EB">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（5）暂列金额（含税）：</w:t>
      </w:r>
    </w:p>
    <w:p w14:paraId="06031C29">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人民币（大写）</w:t>
      </w:r>
      <w:r>
        <w:rPr>
          <w:rFonts w:hint="eastAsia" w:ascii="仿宋" w:hAnsi="仿宋" w:eastAsia="仿宋" w:cs="仿宋"/>
          <w:color w:val="auto"/>
          <w:kern w:val="2"/>
          <w:sz w:val="24"/>
          <w:szCs w:val="24"/>
          <w:highlight w:val="none"/>
          <w:u w:val="single"/>
          <w:lang w:val="en-US" w:eastAsia="zh-CN" w:bidi="ar"/>
        </w:rPr>
        <w:t xml:space="preserve">  壹拾叁万伍仟元整   </w:t>
      </w:r>
      <w:r>
        <w:rPr>
          <w:rFonts w:hint="eastAsia" w:ascii="仿宋" w:hAnsi="仿宋" w:eastAsia="仿宋" w:cs="仿宋"/>
          <w:color w:val="auto"/>
          <w:kern w:val="2"/>
          <w:sz w:val="24"/>
          <w:szCs w:val="24"/>
          <w:highlight w:val="none"/>
          <w:lang w:val="en-US" w:eastAsia="zh-CN" w:bidi="ar"/>
        </w:rPr>
        <w:t>（</w:t>
      </w:r>
      <w:r>
        <w:rPr>
          <w:rFonts w:hint="eastAsia" w:ascii="Calibri" w:hAnsi="Calibri" w:eastAsia="仿宋" w:cs="Calibri"/>
          <w:sz w:val="24"/>
          <w:u w:val="single"/>
        </w:rPr>
        <w:t>￥</w:t>
      </w:r>
      <w:r>
        <w:rPr>
          <w:rFonts w:hint="eastAsia" w:ascii="Calibri" w:hAnsi="Calibri" w:eastAsia="仿宋" w:cs="Calibri"/>
          <w:sz w:val="24"/>
          <w:u w:val="single"/>
          <w:lang w:val="en-US" w:eastAsia="zh-CN"/>
        </w:rPr>
        <w:t>135000</w:t>
      </w:r>
      <w:r>
        <w:rPr>
          <w:rFonts w:hint="eastAsia" w:ascii="仿宋" w:hAnsi="仿宋" w:eastAsia="仿宋" w:cs="仿宋"/>
          <w:sz w:val="24"/>
          <w:u w:val="single"/>
        </w:rPr>
        <w:t>元，</w:t>
      </w:r>
      <w:r>
        <w:rPr>
          <w:rFonts w:hint="eastAsia" w:ascii="仿宋" w:hAnsi="仿宋" w:eastAsia="仿宋" w:cs="仿宋"/>
          <w:color w:val="auto"/>
          <w:sz w:val="24"/>
          <w:u w:val="single"/>
          <w:lang w:val="en-US" w:eastAsia="zh-CN"/>
        </w:rPr>
        <w:t>含</w:t>
      </w:r>
      <w:r>
        <w:rPr>
          <w:rFonts w:hint="eastAsia" w:ascii="仿宋" w:hAnsi="仿宋" w:eastAsia="仿宋" w:cs="仿宋"/>
          <w:color w:val="auto"/>
          <w:sz w:val="24"/>
          <w:u w:val="single"/>
        </w:rPr>
        <w:t>税</w:t>
      </w:r>
      <w:r>
        <w:rPr>
          <w:rFonts w:hint="eastAsia" w:ascii="仿宋" w:hAnsi="仿宋" w:eastAsia="仿宋" w:cs="仿宋"/>
          <w:color w:val="auto"/>
          <w:sz w:val="24"/>
          <w:u w:val="single"/>
          <w:lang w:eastAsia="zh-CN"/>
        </w:rPr>
        <w:t>）</w:t>
      </w:r>
      <w:r>
        <w:rPr>
          <w:rFonts w:hint="eastAsia" w:ascii="仿宋" w:hAnsi="仿宋" w:eastAsia="仿宋" w:cs="仿宋"/>
          <w:color w:val="auto"/>
          <w:kern w:val="2"/>
          <w:sz w:val="24"/>
          <w:szCs w:val="24"/>
          <w:highlight w:val="none"/>
          <w:lang w:val="en-US" w:eastAsia="zh-CN" w:bidi="ar"/>
        </w:rPr>
        <w:t>。</w:t>
      </w:r>
    </w:p>
    <w:p w14:paraId="55B404EB">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（6）双方约定的其他费用（含税）：</w:t>
      </w:r>
    </w:p>
    <w:p w14:paraId="5C98C93A">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人民币（大写</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r>
        <w:rPr>
          <w:rFonts w:hint="eastAsia" w:ascii="Calibri" w:hAnsi="Calibri" w:eastAsia="仿宋" w:cs="Calibri"/>
          <w:sz w:val="24"/>
          <w:u w:val="single"/>
        </w:rPr>
        <w:t>￥</w:t>
      </w:r>
      <w:r>
        <w:rPr>
          <w:rFonts w:hint="eastAsia" w:ascii="Calibri" w:hAnsi="Calibri" w:eastAsia="仿宋" w:cs="Calibri"/>
          <w:sz w:val="24"/>
          <w:u w:val="single"/>
          <w:lang w:val="en-US" w:eastAsia="zh-CN"/>
        </w:rPr>
        <w:t xml:space="preserve">    </w:t>
      </w:r>
      <w:r>
        <w:rPr>
          <w:rFonts w:hint="eastAsia" w:ascii="仿宋" w:hAnsi="仿宋" w:eastAsia="仿宋" w:cs="仿宋"/>
          <w:sz w:val="24"/>
          <w:u w:val="single"/>
        </w:rPr>
        <w:t>元</w:t>
      </w:r>
      <w:r>
        <w:rPr>
          <w:rFonts w:hint="eastAsia" w:ascii="仿宋" w:hAnsi="仿宋" w:eastAsia="仿宋" w:cs="仿宋"/>
          <w:color w:val="auto"/>
          <w:kern w:val="2"/>
          <w:sz w:val="24"/>
          <w:szCs w:val="24"/>
          <w:highlight w:val="none"/>
          <w:lang w:val="en-US" w:eastAsia="zh-CN" w:bidi="ar"/>
        </w:rPr>
        <w:t>）；适用税率：</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%，税金为人民币（大写</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r>
        <w:rPr>
          <w:rFonts w:hint="eastAsia" w:ascii="Calibri" w:hAnsi="Calibri" w:eastAsia="仿宋" w:cs="Calibri"/>
          <w:sz w:val="24"/>
          <w:u w:val="single"/>
        </w:rPr>
        <w:t>￥</w:t>
      </w:r>
      <w:r>
        <w:rPr>
          <w:rFonts w:hint="eastAsia" w:ascii="Calibri" w:hAnsi="Calibri" w:eastAsia="仿宋" w:cs="Calibri"/>
          <w:sz w:val="24"/>
          <w:u w:val="single"/>
          <w:lang w:val="en-US" w:eastAsia="zh-CN"/>
        </w:rPr>
        <w:t xml:space="preserve">    </w:t>
      </w:r>
      <w:r>
        <w:rPr>
          <w:rFonts w:hint="eastAsia" w:ascii="仿宋" w:hAnsi="仿宋" w:eastAsia="仿宋" w:cs="仿宋"/>
          <w:sz w:val="24"/>
          <w:u w:val="single"/>
        </w:rPr>
        <w:t>元</w:t>
      </w:r>
      <w:r>
        <w:rPr>
          <w:rFonts w:hint="eastAsia" w:ascii="仿宋" w:hAnsi="仿宋" w:eastAsia="仿宋" w:cs="仿宋"/>
          <w:color w:val="auto"/>
          <w:kern w:val="2"/>
          <w:sz w:val="24"/>
          <w:szCs w:val="24"/>
          <w:highlight w:val="none"/>
          <w:lang w:val="en-US" w:eastAsia="zh-CN" w:bidi="ar"/>
        </w:rPr>
        <w:t>）。</w:t>
      </w:r>
    </w:p>
    <w:p w14:paraId="54835266">
      <w:pPr>
        <w:autoSpaceDE w:val="0"/>
        <w:autoSpaceDN w:val="0"/>
        <w:adjustRightInd w:val="0"/>
        <w:snapToGrid w:val="0"/>
        <w:spacing w:line="360" w:lineRule="auto"/>
        <w:ind w:firstLine="480" w:firstLineChars="200"/>
        <w:rPr>
          <w:rFonts w:hint="eastAsia" w:ascii="仿宋" w:hAnsi="仿宋" w:eastAsia="仿宋" w:cs="Times New Roman"/>
          <w:sz w:val="24"/>
          <w:u w:val="single"/>
          <w:lang w:val="en-US" w:eastAsia="zh-CN"/>
        </w:rPr>
      </w:pPr>
      <w:r>
        <w:rPr>
          <w:rFonts w:hint="eastAsia" w:ascii="仿宋" w:hAnsi="仿宋" w:eastAsia="仿宋"/>
          <w:sz w:val="24"/>
          <w:lang w:val="en-US" w:eastAsia="zh-CN"/>
        </w:rPr>
        <w:t>2.</w:t>
      </w:r>
      <w:r>
        <w:rPr>
          <w:rFonts w:hint="eastAsia" w:ascii="仿宋" w:hAnsi="仿宋" w:eastAsia="仿宋"/>
          <w:sz w:val="24"/>
        </w:rPr>
        <w:t>合同价格形式：</w:t>
      </w:r>
      <w:r>
        <w:rPr>
          <w:rFonts w:hint="eastAsia" w:ascii="仿宋" w:hAnsi="仿宋" w:eastAsia="仿宋"/>
          <w:sz w:val="24"/>
          <w:u w:val="single"/>
          <w:lang w:val="en-US" w:eastAsia="zh-CN"/>
        </w:rPr>
        <w:t>固定总价</w:t>
      </w:r>
      <w:r>
        <w:rPr>
          <w:rFonts w:hint="eastAsia" w:ascii="仿宋" w:hAnsi="仿宋" w:eastAsia="仿宋" w:cs="Times New Roman"/>
          <w:sz w:val="24"/>
          <w:u w:val="single"/>
          <w:lang w:val="en-US" w:eastAsia="zh-CN"/>
        </w:rPr>
        <w:t>合同，除根据合同约定的在工程实施过程中需进行增减的款项外，合同价格不予调整，但合同当事人另有约定的除外。</w:t>
      </w:r>
    </w:p>
    <w:p w14:paraId="0E773674">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合同当事人对合同价格形式的其他约定：</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4CFCFDE7">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五、</w:t>
      </w:r>
      <w:r>
        <w:rPr>
          <w:rFonts w:hint="eastAsia" w:ascii="仿宋" w:hAnsi="仿宋" w:eastAsia="仿宋"/>
          <w:sz w:val="24"/>
          <w:lang w:val="en-US" w:eastAsia="zh-CN"/>
        </w:rPr>
        <w:t>工程总承包</w:t>
      </w:r>
      <w:r>
        <w:rPr>
          <w:rFonts w:hint="eastAsia" w:ascii="仿宋" w:hAnsi="仿宋" w:eastAsia="仿宋"/>
          <w:sz w:val="24"/>
        </w:rPr>
        <w:t>项目经理</w:t>
      </w:r>
    </w:p>
    <w:p w14:paraId="18E946F2">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lang w:val="en-US" w:eastAsia="zh-CN"/>
        </w:rPr>
        <w:t>工程总</w:t>
      </w:r>
      <w:r>
        <w:rPr>
          <w:rFonts w:hint="eastAsia" w:ascii="仿宋" w:hAnsi="仿宋" w:eastAsia="仿宋"/>
          <w:sz w:val="24"/>
        </w:rPr>
        <w:t>承包项目经理：</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 xml:space="preserve">           </w:t>
      </w:r>
    </w:p>
    <w:p w14:paraId="039A82DC">
      <w:pPr>
        <w:autoSpaceDE w:val="0"/>
        <w:autoSpaceDN w:val="0"/>
        <w:adjustRightInd w:val="0"/>
        <w:snapToGrid w:val="0"/>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 xml:space="preserve">六、合同文件构成 </w:t>
      </w:r>
    </w:p>
    <w:p w14:paraId="573DFDEC">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（1）发包人、承包人加盖法人公章的补充合同、补充协议文件；</w:t>
      </w:r>
    </w:p>
    <w:p w14:paraId="34E02F76">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（2）合同协议书；</w:t>
      </w:r>
    </w:p>
    <w:p w14:paraId="19D54F92">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（3）中标通知书；</w:t>
      </w:r>
    </w:p>
    <w:p w14:paraId="5F8B6D2E">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（4）响应函及响应函附录；</w:t>
      </w:r>
    </w:p>
    <w:p w14:paraId="6444EE5E">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（5）本专用合同条款及发包人要求；</w:t>
      </w:r>
    </w:p>
    <w:p w14:paraId="4FA6A2E1">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（6）本通用合同条款；</w:t>
      </w:r>
    </w:p>
    <w:p w14:paraId="07148CE6">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（7）招标文件；</w:t>
      </w:r>
    </w:p>
    <w:p w14:paraId="6989F382">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（8）投标文件；</w:t>
      </w:r>
    </w:p>
    <w:p w14:paraId="30435EF9">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（9）经发包人批准的承包人建议书；</w:t>
      </w:r>
    </w:p>
    <w:p w14:paraId="65D607A8">
      <w:pPr>
        <w:keepNext w:val="0"/>
        <w:keepLines w:val="0"/>
        <w:pageBreakBefore w:val="0"/>
        <w:widowControl w:val="0"/>
        <w:suppressLineNumbers w:val="0"/>
        <w:wordWrap/>
        <w:overflowPunct/>
        <w:topLinePunct w:val="0"/>
        <w:bidi w:val="0"/>
        <w:spacing w:before="0" w:beforeAutospacing="0" w:after="0" w:afterAutospacing="0" w:line="288"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（10）其他合同文件。</w:t>
      </w:r>
    </w:p>
    <w:p w14:paraId="3DBFFF86">
      <w:pPr>
        <w:pStyle w:val="21"/>
        <w:numPr>
          <w:ilvl w:val="0"/>
          <w:numId w:val="0"/>
        </w:numPr>
        <w:ind w:left="480" w:leftChars="0"/>
        <w:rPr>
          <w:rFonts w:hint="eastAsia"/>
        </w:rPr>
      </w:pPr>
    </w:p>
    <w:p w14:paraId="25E0D16B">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上述各项合同文件包括合同当事人就该项合同文件所作出的补充和修改，属于同一类内容的文件，应以最新签署的为准。专用合同条款及其附件须经合同当事人签字或盖章。</w:t>
      </w:r>
    </w:p>
    <w:p w14:paraId="3CCEC4C5">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七、承诺</w:t>
      </w:r>
    </w:p>
    <w:p w14:paraId="635F9DAB">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1.发包人承诺按照法律规定履行项目审批手续、筹集工程建设资金并按照合同约定的期限和方式支付合同价款。</w:t>
      </w:r>
    </w:p>
    <w:p w14:paraId="66309CBC">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2.承包人承诺按照法律规定及合同约定组织完成工程</w:t>
      </w:r>
      <w:r>
        <w:rPr>
          <w:rFonts w:hint="eastAsia" w:ascii="仿宋" w:hAnsi="仿宋" w:eastAsia="仿宋"/>
          <w:sz w:val="24"/>
          <w:lang w:val="en-US" w:eastAsia="zh-CN"/>
        </w:rPr>
        <w:t>的设计、采购和</w:t>
      </w:r>
      <w:r>
        <w:rPr>
          <w:rFonts w:hint="eastAsia" w:ascii="仿宋" w:hAnsi="仿宋" w:eastAsia="仿宋"/>
          <w:sz w:val="24"/>
        </w:rPr>
        <w:t>施工</w:t>
      </w:r>
      <w:r>
        <w:rPr>
          <w:rFonts w:hint="eastAsia" w:ascii="仿宋" w:hAnsi="仿宋" w:eastAsia="仿宋"/>
          <w:sz w:val="24"/>
          <w:lang w:val="en-US" w:eastAsia="zh-CN"/>
        </w:rPr>
        <w:t>等工作</w:t>
      </w:r>
      <w:r>
        <w:rPr>
          <w:rFonts w:hint="eastAsia" w:ascii="仿宋" w:hAnsi="仿宋" w:eastAsia="仿宋"/>
          <w:sz w:val="24"/>
        </w:rPr>
        <w:t>，确保工程质量和安全，不进行转包及违法分包，并在缺陷责任期及保修期内承担相应的工程维修责任。</w:t>
      </w:r>
    </w:p>
    <w:p w14:paraId="22BDC03C">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3.发包人和承包人通过招投标形式签订合同的，双方理解并承诺不再就同一工程另行签订与合同实质性内容相背离的协议。</w:t>
      </w:r>
    </w:p>
    <w:p w14:paraId="64847A56">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八</w:t>
      </w:r>
      <w:r>
        <w:rPr>
          <w:rFonts w:hint="eastAsia" w:ascii="仿宋" w:hAnsi="仿宋" w:eastAsia="仿宋"/>
          <w:sz w:val="24"/>
        </w:rPr>
        <w:t>、签订时间</w:t>
      </w:r>
    </w:p>
    <w:p w14:paraId="49562C74">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本合同于</w:t>
      </w:r>
      <w:r>
        <w:rPr>
          <w:rFonts w:ascii="仿宋" w:hAnsi="仿宋" w:eastAsia="仿宋"/>
          <w:sz w:val="24"/>
          <w:u w:val="single"/>
        </w:rPr>
        <w:t>202</w:t>
      </w:r>
      <w:r>
        <w:rPr>
          <w:rFonts w:hint="eastAsia" w:ascii="仿宋" w:hAnsi="仿宋" w:eastAsia="仿宋"/>
          <w:sz w:val="24"/>
          <w:u w:val="single"/>
        </w:rPr>
        <w:t>5</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日签订。</w:t>
      </w:r>
    </w:p>
    <w:p w14:paraId="09F4379C">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九</w:t>
      </w:r>
      <w:r>
        <w:rPr>
          <w:rFonts w:hint="eastAsia" w:ascii="仿宋" w:hAnsi="仿宋" w:eastAsia="仿宋"/>
          <w:sz w:val="24"/>
        </w:rPr>
        <w:t>、签订地点</w:t>
      </w:r>
    </w:p>
    <w:p w14:paraId="79060A80">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本合同在</w:t>
      </w:r>
      <w:r>
        <w:rPr>
          <w:rFonts w:hint="eastAsia" w:ascii="仿宋" w:hAnsi="仿宋" w:eastAsia="仿宋"/>
          <w:sz w:val="24"/>
          <w:u w:val="single"/>
        </w:rPr>
        <w:t>浙江工商大学下沙校区签订</w:t>
      </w:r>
      <w:r>
        <w:rPr>
          <w:rFonts w:hint="eastAsia" w:ascii="仿宋" w:hAnsi="仿宋" w:eastAsia="仿宋"/>
          <w:sz w:val="24"/>
        </w:rPr>
        <w:t>。</w:t>
      </w:r>
    </w:p>
    <w:p w14:paraId="77CDBE7E">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十、补充协议</w:t>
      </w:r>
    </w:p>
    <w:p w14:paraId="2B11DA7E">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合同未尽事宜，合同当事人另行签订补充协议，补充协议是合同的组成部分。</w:t>
      </w:r>
    </w:p>
    <w:p w14:paraId="66F7CAD8">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十</w:t>
      </w:r>
      <w:r>
        <w:rPr>
          <w:rFonts w:hint="eastAsia" w:ascii="仿宋" w:hAnsi="仿宋" w:eastAsia="仿宋"/>
          <w:sz w:val="24"/>
          <w:lang w:val="en-US" w:eastAsia="zh-CN"/>
        </w:rPr>
        <w:t>一</w:t>
      </w:r>
      <w:r>
        <w:rPr>
          <w:rFonts w:hint="eastAsia" w:ascii="仿宋" w:hAnsi="仿宋" w:eastAsia="仿宋"/>
          <w:sz w:val="24"/>
        </w:rPr>
        <w:t>、合同生效</w:t>
      </w:r>
    </w:p>
    <w:p w14:paraId="4B2DADB7">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本合同自签订盖章之日生效。</w:t>
      </w:r>
    </w:p>
    <w:p w14:paraId="326E18E0">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    十</w:t>
      </w:r>
      <w:r>
        <w:rPr>
          <w:rFonts w:hint="eastAsia" w:ascii="仿宋" w:hAnsi="仿宋" w:eastAsia="仿宋"/>
          <w:sz w:val="24"/>
          <w:lang w:val="en-US" w:eastAsia="zh-CN"/>
        </w:rPr>
        <w:t>二</w:t>
      </w:r>
      <w:r>
        <w:rPr>
          <w:rFonts w:hint="eastAsia" w:ascii="仿宋" w:hAnsi="仿宋" w:eastAsia="仿宋"/>
          <w:sz w:val="24"/>
        </w:rPr>
        <w:t>、合同份数</w:t>
      </w:r>
    </w:p>
    <w:p w14:paraId="67BEF6C3">
      <w:pPr>
        <w:autoSpaceDE w:val="0"/>
        <w:autoSpaceDN w:val="0"/>
        <w:adjustRightInd w:val="0"/>
        <w:snapToGrid w:val="0"/>
        <w:spacing w:line="360" w:lineRule="auto"/>
        <w:ind w:firstLine="480" w:firstLineChars="200"/>
        <w:rPr>
          <w:rFonts w:hint="default" w:eastAsia="宋体"/>
          <w:lang w:val="en-US" w:eastAsia="zh-CN"/>
        </w:rPr>
      </w:pPr>
      <w:r>
        <w:rPr>
          <w:rFonts w:hint="eastAsia" w:ascii="仿宋" w:hAnsi="仿宋" w:eastAsia="仿宋"/>
          <w:sz w:val="24"/>
        </w:rPr>
        <w:t>本合同一式</w:t>
      </w:r>
      <w:r>
        <w:rPr>
          <w:rFonts w:hint="eastAsia" w:ascii="仿宋" w:hAnsi="仿宋" w:eastAsia="仿宋"/>
          <w:sz w:val="24"/>
          <w:lang w:val="en-US" w:eastAsia="zh-CN"/>
        </w:rPr>
        <w:t>拾</w:t>
      </w:r>
      <w:r>
        <w:rPr>
          <w:rFonts w:hint="eastAsia" w:ascii="仿宋" w:hAnsi="仿宋" w:eastAsia="仿宋"/>
          <w:sz w:val="24"/>
        </w:rPr>
        <w:t>份，均具有同等法律效力，发包人执</w:t>
      </w:r>
      <w:r>
        <w:rPr>
          <w:rFonts w:hint="eastAsia" w:ascii="仿宋" w:hAnsi="仿宋" w:eastAsia="仿宋"/>
          <w:sz w:val="24"/>
          <w:lang w:val="en-US" w:eastAsia="zh-CN"/>
        </w:rPr>
        <w:t>柒</w:t>
      </w:r>
      <w:r>
        <w:rPr>
          <w:rFonts w:hint="eastAsia" w:ascii="仿宋" w:hAnsi="仿宋" w:eastAsia="仿宋"/>
          <w:sz w:val="24"/>
        </w:rPr>
        <w:t>份，承包人执叁份。</w:t>
      </w:r>
    </w:p>
    <w:p w14:paraId="240D84E9">
      <w:pPr>
        <w:autoSpaceDE w:val="0"/>
        <w:autoSpaceDN w:val="0"/>
        <w:adjustRightInd w:val="0"/>
        <w:snapToGrid w:val="0"/>
        <w:spacing w:line="480" w:lineRule="auto"/>
        <w:ind w:firstLine="420" w:firstLineChars="200"/>
        <w:rPr>
          <w:rFonts w:hint="eastAsia" w:ascii="仿宋" w:hAnsi="仿宋" w:eastAsia="仿宋"/>
          <w:szCs w:val="21"/>
        </w:rPr>
      </w:pPr>
      <w:r>
        <w:rPr>
          <w:rFonts w:hint="eastAsia" w:ascii="仿宋" w:hAnsi="仿宋" w:eastAsia="仿宋"/>
          <w:szCs w:val="21"/>
        </w:rPr>
        <w:t xml:space="preserve">发包人（盖章）                           </w:t>
      </w:r>
      <w:r>
        <w:rPr>
          <w:rFonts w:ascii="仿宋" w:hAnsi="仿宋" w:eastAsia="仿宋"/>
          <w:szCs w:val="21"/>
        </w:rPr>
        <w:t xml:space="preserve">  </w:t>
      </w:r>
      <w:r>
        <w:rPr>
          <w:rFonts w:hint="eastAsia" w:ascii="仿宋" w:hAnsi="仿宋" w:eastAsia="仿宋"/>
          <w:szCs w:val="21"/>
        </w:rPr>
        <w:t>承包人（盖章）</w:t>
      </w:r>
    </w:p>
    <w:p w14:paraId="35B0B1F7">
      <w:pPr>
        <w:autoSpaceDE w:val="0"/>
        <w:autoSpaceDN w:val="0"/>
        <w:adjustRightInd w:val="0"/>
        <w:snapToGrid w:val="0"/>
        <w:spacing w:line="480" w:lineRule="auto"/>
        <w:ind w:firstLine="420" w:firstLineChars="200"/>
        <w:rPr>
          <w:rFonts w:hint="eastAsia" w:ascii="仿宋" w:hAnsi="仿宋" w:eastAsia="仿宋"/>
          <w:szCs w:val="21"/>
        </w:rPr>
      </w:pPr>
      <w:r>
        <w:rPr>
          <w:rFonts w:hint="eastAsia" w:ascii="仿宋" w:hAnsi="仿宋" w:eastAsia="仿宋"/>
          <w:szCs w:val="21"/>
        </w:rPr>
        <w:t xml:space="preserve">单位地址：杭州市钱塘区学正街18号       </w:t>
      </w:r>
      <w:r>
        <w:rPr>
          <w:rFonts w:ascii="仿宋" w:hAnsi="仿宋" w:eastAsia="仿宋"/>
          <w:szCs w:val="21"/>
        </w:rPr>
        <w:t xml:space="preserve">    </w:t>
      </w:r>
      <w:r>
        <w:rPr>
          <w:rFonts w:hint="eastAsia" w:ascii="仿宋" w:hAnsi="仿宋" w:eastAsia="仿宋"/>
          <w:szCs w:val="21"/>
        </w:rPr>
        <w:t>单位地址：</w:t>
      </w:r>
    </w:p>
    <w:p w14:paraId="56A829F8">
      <w:pPr>
        <w:autoSpaceDE w:val="0"/>
        <w:autoSpaceDN w:val="0"/>
        <w:adjustRightInd w:val="0"/>
        <w:snapToGrid w:val="0"/>
        <w:spacing w:line="480" w:lineRule="auto"/>
        <w:ind w:firstLine="420" w:firstLineChars="200"/>
        <w:rPr>
          <w:rFonts w:hint="eastAsia" w:ascii="仿宋" w:hAnsi="仿宋" w:eastAsia="仿宋"/>
          <w:szCs w:val="21"/>
        </w:rPr>
      </w:pPr>
      <w:r>
        <w:rPr>
          <w:rFonts w:hint="eastAsia" w:ascii="仿宋" w:hAnsi="仿宋" w:eastAsia="仿宋"/>
          <w:szCs w:val="21"/>
        </w:rPr>
        <w:t>法定（授权）代表人（签章）：               法定（授权）代表人（签章）：</w:t>
      </w:r>
    </w:p>
    <w:p w14:paraId="0C5EF5C0">
      <w:pPr>
        <w:autoSpaceDE w:val="0"/>
        <w:autoSpaceDN w:val="0"/>
        <w:adjustRightInd w:val="0"/>
        <w:snapToGrid w:val="0"/>
        <w:spacing w:line="480" w:lineRule="auto"/>
        <w:ind w:firstLine="420" w:firstLineChars="200"/>
        <w:rPr>
          <w:rFonts w:hint="eastAsia" w:ascii="仿宋" w:hAnsi="仿宋" w:eastAsia="仿宋"/>
          <w:szCs w:val="21"/>
        </w:rPr>
      </w:pPr>
      <w:r>
        <w:rPr>
          <w:rFonts w:hint="eastAsia" w:ascii="仿宋" w:hAnsi="仿宋" w:eastAsia="仿宋"/>
          <w:szCs w:val="21"/>
        </w:rPr>
        <w:t>开户银行：工行高新支行                     开户银行：</w:t>
      </w:r>
    </w:p>
    <w:p w14:paraId="32067462">
      <w:pPr>
        <w:autoSpaceDE w:val="0"/>
        <w:autoSpaceDN w:val="0"/>
        <w:adjustRightInd w:val="0"/>
        <w:snapToGrid w:val="0"/>
        <w:spacing w:line="480" w:lineRule="auto"/>
        <w:ind w:firstLine="420" w:firstLineChars="200"/>
        <w:rPr>
          <w:rFonts w:hint="eastAsia" w:ascii="仿宋" w:hAnsi="仿宋" w:eastAsia="仿宋"/>
          <w:szCs w:val="21"/>
        </w:rPr>
      </w:pPr>
      <w:r>
        <w:rPr>
          <w:rFonts w:hint="eastAsia" w:ascii="仿宋" w:hAnsi="仿宋" w:eastAsia="仿宋"/>
          <w:szCs w:val="21"/>
        </w:rPr>
        <w:t>帐号：1202026209008930682                  帐号：</w:t>
      </w:r>
    </w:p>
    <w:p w14:paraId="3CAB9ED5">
      <w:pPr>
        <w:autoSpaceDE w:val="0"/>
        <w:autoSpaceDN w:val="0"/>
        <w:adjustRightInd w:val="0"/>
        <w:snapToGrid w:val="0"/>
        <w:spacing w:line="480" w:lineRule="auto"/>
        <w:ind w:firstLine="420" w:firstLineChars="200"/>
        <w:rPr>
          <w:rFonts w:hint="eastAsia" w:ascii="仿宋" w:hAnsi="仿宋" w:eastAsia="仿宋" w:cs="仿宋"/>
          <w:szCs w:val="21"/>
        </w:rPr>
      </w:pPr>
      <w:r>
        <w:rPr>
          <w:rFonts w:hint="eastAsia" w:ascii="仿宋" w:hAnsi="仿宋" w:eastAsia="仿宋" w:cs="仿宋"/>
          <w:szCs w:val="21"/>
        </w:rPr>
        <w:t>统一社会信用代码：</w:t>
      </w:r>
      <w:r>
        <w:rPr>
          <w:rFonts w:hint="eastAsia" w:ascii="仿宋" w:hAnsi="仿宋" w:eastAsia="仿宋"/>
          <w:szCs w:val="21"/>
        </w:rPr>
        <w:t>1233000047000901</w:t>
      </w:r>
      <w:r>
        <w:rPr>
          <w:rFonts w:ascii="仿宋" w:hAnsi="仿宋" w:eastAsia="仿宋"/>
          <w:szCs w:val="21"/>
        </w:rPr>
        <w:t>8</w:t>
      </w:r>
      <w:r>
        <w:rPr>
          <w:rFonts w:hint="eastAsia" w:ascii="仿宋" w:hAnsi="仿宋" w:eastAsia="仿宋"/>
          <w:szCs w:val="21"/>
        </w:rPr>
        <w:t xml:space="preserve">0       </w:t>
      </w:r>
      <w:r>
        <w:rPr>
          <w:rFonts w:hint="eastAsia" w:ascii="仿宋" w:hAnsi="仿宋" w:eastAsia="仿宋" w:cs="仿宋"/>
          <w:szCs w:val="21"/>
        </w:rPr>
        <w:t>统一社会信用代码：</w:t>
      </w:r>
    </w:p>
    <w:p w14:paraId="2F83515C">
      <w:pPr>
        <w:rPr>
          <w:rFonts w:ascii="仿宋" w:hAnsi="仿宋" w:eastAsia="仿宋"/>
          <w:b/>
          <w:sz w:val="28"/>
          <w:szCs w:val="28"/>
        </w:rPr>
      </w:pPr>
      <w:r>
        <w:rPr>
          <w:rFonts w:ascii="仿宋" w:hAnsi="仿宋" w:eastAsia="仿宋"/>
          <w:b/>
          <w:sz w:val="28"/>
          <w:szCs w:val="28"/>
        </w:rPr>
        <w:br w:type="page"/>
      </w:r>
    </w:p>
    <w:p w14:paraId="6209CF44">
      <w:pPr>
        <w:autoSpaceDE w:val="0"/>
        <w:autoSpaceDN w:val="0"/>
        <w:adjustRightInd w:val="0"/>
        <w:snapToGrid w:val="0"/>
        <w:spacing w:line="360" w:lineRule="auto"/>
        <w:jc w:val="center"/>
        <w:rPr>
          <w:rFonts w:hint="eastAsia" w:ascii="仿宋" w:hAnsi="仿宋" w:eastAsia="仿宋"/>
          <w:b/>
          <w:sz w:val="28"/>
          <w:szCs w:val="28"/>
        </w:rPr>
      </w:pPr>
      <w:r>
        <w:rPr>
          <w:rFonts w:ascii="仿宋" w:hAnsi="仿宋" w:eastAsia="仿宋"/>
          <w:b/>
          <w:sz w:val="28"/>
          <w:szCs w:val="28"/>
        </w:rPr>
        <w:t>第</w:t>
      </w:r>
      <w:r>
        <w:rPr>
          <w:rFonts w:hint="eastAsia" w:ascii="仿宋" w:hAnsi="仿宋" w:eastAsia="仿宋"/>
          <w:b/>
          <w:sz w:val="28"/>
          <w:szCs w:val="28"/>
        </w:rPr>
        <w:t>二</w:t>
      </w:r>
      <w:r>
        <w:rPr>
          <w:rFonts w:ascii="仿宋" w:hAnsi="仿宋" w:eastAsia="仿宋"/>
          <w:b/>
          <w:sz w:val="28"/>
          <w:szCs w:val="28"/>
        </w:rPr>
        <w:t xml:space="preserve">部分 </w:t>
      </w:r>
      <w:r>
        <w:rPr>
          <w:rFonts w:hint="eastAsia" w:ascii="仿宋" w:hAnsi="仿宋" w:eastAsia="仿宋"/>
          <w:b/>
          <w:sz w:val="28"/>
          <w:szCs w:val="28"/>
        </w:rPr>
        <w:t>通用合同条款（略）</w:t>
      </w:r>
    </w:p>
    <w:p w14:paraId="0F436D75">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sz w:val="24"/>
        </w:rPr>
      </w:pPr>
      <w:r>
        <w:rPr>
          <w:rFonts w:hint="eastAsia" w:ascii="仿宋" w:hAnsi="仿宋" w:eastAsia="仿宋" w:cs="Times New Roman"/>
          <w:sz w:val="24"/>
          <w:lang w:val="en-US" w:eastAsia="zh-CN"/>
        </w:rPr>
        <w:t>详见《建设项目工程总承包合同（示范文本）GF-2020-0216》</w:t>
      </w:r>
    </w:p>
    <w:p w14:paraId="09938BDE">
      <w:pPr>
        <w:autoSpaceDE w:val="0"/>
        <w:autoSpaceDN w:val="0"/>
        <w:adjustRightInd w:val="0"/>
        <w:snapToGrid w:val="0"/>
        <w:spacing w:line="360" w:lineRule="auto"/>
        <w:jc w:val="center"/>
        <w:rPr>
          <w:rFonts w:hint="eastAsia" w:ascii="仿宋" w:hAnsi="仿宋" w:eastAsia="仿宋"/>
          <w:b/>
          <w:sz w:val="28"/>
          <w:szCs w:val="28"/>
        </w:rPr>
      </w:pPr>
      <w:r>
        <w:rPr>
          <w:rFonts w:hint="eastAsia" w:ascii="仿宋" w:hAnsi="仿宋" w:eastAsia="仿宋"/>
          <w:b/>
          <w:sz w:val="28"/>
          <w:szCs w:val="28"/>
        </w:rPr>
        <w:t>第三部分 专用合同条款</w:t>
      </w:r>
    </w:p>
    <w:p w14:paraId="7C696A29">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 一般约定</w:t>
      </w:r>
    </w:p>
    <w:p w14:paraId="365D5060">
      <w:pPr>
        <w:autoSpaceDE w:val="0"/>
        <w:autoSpaceDN w:val="0"/>
        <w:adjustRightInd w:val="0"/>
        <w:snapToGrid w:val="0"/>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1.5 合同文件的优先顺序</w:t>
      </w:r>
    </w:p>
    <w:p w14:paraId="31C08898">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合同文件的优先解释顺序如下：</w:t>
      </w:r>
    </w:p>
    <w:p w14:paraId="5FE54242">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（1）发包人、承包人加盖法人公章的补充合同、补充协议文件；</w:t>
      </w:r>
    </w:p>
    <w:p w14:paraId="38ECEBFE">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（2）合同协议书；</w:t>
      </w:r>
    </w:p>
    <w:p w14:paraId="10596C59">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（3）中标通知书；</w:t>
      </w:r>
    </w:p>
    <w:p w14:paraId="3D508F6D">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（4）响应函及响应函附录；</w:t>
      </w:r>
    </w:p>
    <w:p w14:paraId="69014300">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（5）本专用合同条款及发包人要求；</w:t>
      </w:r>
    </w:p>
    <w:p w14:paraId="67D0C319">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（6）本通用合同条款；</w:t>
      </w:r>
    </w:p>
    <w:p w14:paraId="2ADD11B9">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（7）招标文件；</w:t>
      </w:r>
    </w:p>
    <w:p w14:paraId="44522F58">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（8）投标文件；</w:t>
      </w:r>
    </w:p>
    <w:p w14:paraId="76C3D8D0">
      <w:pPr>
        <w:keepNext w:val="0"/>
        <w:keepLines w:val="0"/>
        <w:widowControl w:val="0"/>
        <w:suppressLineNumbers w:val="0"/>
        <w:spacing w:before="0" w:beforeAutospacing="0" w:after="0" w:afterAutospacing="0" w:line="288" w:lineRule="auto"/>
        <w:ind w:left="0" w:right="0" w:firstLine="480" w:firstLineChars="200"/>
        <w:jc w:val="both"/>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 xml:space="preserve">（9）经发包人批准的承包人建议书； </w:t>
      </w:r>
    </w:p>
    <w:p w14:paraId="06969D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（10）其他合同文件。</w:t>
      </w:r>
    </w:p>
    <w:p w14:paraId="6F431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1.6 文件的提供和照管</w:t>
      </w:r>
    </w:p>
    <w:p w14:paraId="71B0C8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1.6.1 发包人文件的提供</w:t>
      </w:r>
    </w:p>
    <w:p w14:paraId="15BF4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发包人文件的提供期限、名称、数量和形式：</w:t>
      </w:r>
      <w:r>
        <w:rPr>
          <w:rFonts w:hint="eastAsia" w:ascii="仿宋" w:hAnsi="仿宋" w:eastAsia="仿宋" w:cs="仿宋"/>
          <w:color w:val="auto"/>
          <w:kern w:val="2"/>
          <w:sz w:val="24"/>
          <w:szCs w:val="24"/>
          <w:highlight w:val="none"/>
          <w:u w:val="single"/>
          <w:lang w:val="en-US" w:eastAsia="zh-CN" w:bidi="ar"/>
        </w:rPr>
        <w:t xml:space="preserve"> 提供本项目的相关资料，在合同签订后7日历天内提供3份 </w:t>
      </w:r>
      <w:r>
        <w:rPr>
          <w:rFonts w:hint="eastAsia" w:ascii="仿宋" w:hAnsi="仿宋" w:eastAsia="仿宋" w:cs="仿宋"/>
          <w:color w:val="auto"/>
          <w:kern w:val="2"/>
          <w:sz w:val="24"/>
          <w:szCs w:val="24"/>
          <w:highlight w:val="none"/>
          <w:lang w:val="en-US" w:eastAsia="zh-CN" w:bidi="ar"/>
        </w:rPr>
        <w:t>。</w:t>
      </w:r>
    </w:p>
    <w:p w14:paraId="50990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1.6.2 承包人文件的提供</w:t>
      </w:r>
    </w:p>
    <w:p w14:paraId="7D5836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承包人文件的内容、提供期限、名称、数量和形式：</w:t>
      </w:r>
    </w:p>
    <w:p w14:paraId="0F70D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项目总进度计划。承包人进场7日历天前提供3份；</w:t>
      </w:r>
    </w:p>
    <w:p w14:paraId="39BF58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其中：设计进度计划。承包人进场7日历天前提供3份；</w:t>
      </w:r>
    </w:p>
    <w:p w14:paraId="4CBC56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总体施工组织设计（包括施工技术方法、施工进度计划、施工人力资源计划一览表、主要施工机具资源计划一览表在内）。施工图审查通过后7日历天前提供3份；</w:t>
      </w:r>
    </w:p>
    <w:p w14:paraId="6CB4F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施工图预算价：施工图审查通过后15日历天内提供。</w:t>
      </w:r>
    </w:p>
    <w:p w14:paraId="7D24EEC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1.7 联络</w:t>
      </w:r>
    </w:p>
    <w:p w14:paraId="470F823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（1）联络来往信函的送达期限：合同约定了发出期限的，送达期限为合同约定的发出期限后的24小时内；合同约定了通知、提供或者报送期限的，通知、提供或者报送期限即为送达期限。</w:t>
      </w:r>
    </w:p>
    <w:p w14:paraId="77B9659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（2）发包人指定的接收人：</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020CB12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（3）发包人指定的接收地点：</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1090D6E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发包人和承包人中任何一方指定的接收人或者接收地点发生变动，应当在实际变动前提前至少一个工作日以书面方式通知另一方。发包人和承包人应当确保其各自指定的接收人在法定的和（或）符合合同约定的工作时间内始终工作在指定的接收地点，指定接收人离开工作岗位而无法及时签收来往信函构成拒不签收。</w:t>
      </w:r>
    </w:p>
    <w:p w14:paraId="345D3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5）发包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4639F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1.10 知识产权</w:t>
      </w:r>
    </w:p>
    <w:p w14:paraId="34561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1.10.1 由发包人（或以发包人名义）编制的《发包人要求》和其他文件的著作权归属：</w:t>
      </w:r>
      <w:r>
        <w:rPr>
          <w:rFonts w:hint="eastAsia" w:ascii="仿宋" w:hAnsi="仿宋" w:eastAsia="仿宋" w:cs="仿宋"/>
          <w:color w:val="auto"/>
          <w:kern w:val="2"/>
          <w:sz w:val="24"/>
          <w:szCs w:val="24"/>
          <w:highlight w:val="none"/>
          <w:u w:val="single"/>
          <w:lang w:val="en-US" w:eastAsia="zh-CN" w:bidi="ar"/>
        </w:rPr>
        <w:t xml:space="preserve">   发包人  </w:t>
      </w:r>
      <w:r>
        <w:rPr>
          <w:rFonts w:hint="eastAsia" w:ascii="仿宋" w:hAnsi="仿宋" w:eastAsia="仿宋" w:cs="仿宋"/>
          <w:color w:val="auto"/>
          <w:kern w:val="2"/>
          <w:sz w:val="24"/>
          <w:szCs w:val="24"/>
          <w:highlight w:val="none"/>
          <w:lang w:val="en-US" w:eastAsia="zh-CN" w:bidi="ar"/>
        </w:rPr>
        <w:t>。</w:t>
      </w:r>
    </w:p>
    <w:p w14:paraId="5AA66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1.10.2 由承包人（或以承包人名义）为实施工程所编制的文件、承包人完成的设计工作成果和建造完成的建筑物的知识产权归属：</w:t>
      </w:r>
      <w:r>
        <w:rPr>
          <w:rFonts w:hint="eastAsia" w:ascii="仿宋" w:hAnsi="仿宋" w:eastAsia="仿宋" w:cs="仿宋"/>
          <w:color w:val="auto"/>
          <w:kern w:val="2"/>
          <w:sz w:val="24"/>
          <w:szCs w:val="24"/>
          <w:highlight w:val="none"/>
          <w:u w:val="single"/>
          <w:lang w:val="en-US" w:eastAsia="zh-CN" w:bidi="ar"/>
        </w:rPr>
        <w:t xml:space="preserve">   发包人  </w:t>
      </w:r>
      <w:r>
        <w:rPr>
          <w:rFonts w:hint="eastAsia" w:ascii="仿宋" w:hAnsi="仿宋" w:eastAsia="仿宋" w:cs="仿宋"/>
          <w:color w:val="auto"/>
          <w:kern w:val="2"/>
          <w:sz w:val="24"/>
          <w:szCs w:val="24"/>
          <w:highlight w:val="none"/>
          <w:lang w:val="en-US" w:eastAsia="zh-CN" w:bidi="ar"/>
        </w:rPr>
        <w:t>。</w:t>
      </w:r>
    </w:p>
    <w:p w14:paraId="7411A6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1.10.4 承包人在投标文件中采用的专利、专有技术、技术秘密的使用费的承担方式：</w:t>
      </w:r>
      <w:r>
        <w:rPr>
          <w:rFonts w:hint="eastAsia" w:ascii="仿宋" w:hAnsi="仿宋" w:eastAsia="仿宋" w:cs="仿宋"/>
          <w:color w:val="auto"/>
          <w:kern w:val="2"/>
          <w:sz w:val="24"/>
          <w:szCs w:val="24"/>
          <w:highlight w:val="none"/>
          <w:u w:val="single"/>
          <w:lang w:val="en-US" w:eastAsia="zh-CN" w:bidi="ar"/>
        </w:rPr>
        <w:t xml:space="preserve"> 承包人</w:t>
      </w:r>
      <w:r>
        <w:rPr>
          <w:rFonts w:hint="eastAsia" w:ascii="仿宋" w:hAnsi="仿宋" w:eastAsia="仿宋" w:cs="仿宋"/>
          <w:color w:val="auto"/>
          <w:kern w:val="2"/>
          <w:sz w:val="24"/>
          <w:szCs w:val="24"/>
          <w:highlight w:val="none"/>
          <w:lang w:val="en-US" w:eastAsia="zh-CN" w:bidi="ar"/>
        </w:rPr>
        <w:t>。</w:t>
      </w:r>
    </w:p>
    <w:p w14:paraId="5E87FD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1.13 责任限制</w:t>
      </w:r>
    </w:p>
    <w:p w14:paraId="7396B9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承包人对发包人赔偿责任的最高限额为</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00B5C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1.14 建筑信息模型技术的应用</w:t>
      </w:r>
    </w:p>
    <w:p w14:paraId="2AF994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关于建筑信息模型技术的开发、使用、存储、传输、交付及费用约定如下：</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7FC30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第2条 发包人</w:t>
      </w:r>
    </w:p>
    <w:p w14:paraId="3ABF2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2.2 提供施工现场和工作条件</w:t>
      </w:r>
    </w:p>
    <w:p w14:paraId="7E2EC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2.2.1 提供施工现场</w:t>
      </w:r>
    </w:p>
    <w:p w14:paraId="059CC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关于发包人提供施工现场的范围和期限：</w:t>
      </w:r>
      <w:r>
        <w:rPr>
          <w:rFonts w:hint="eastAsia" w:ascii="仿宋" w:hAnsi="仿宋" w:eastAsia="仿宋" w:cs="仿宋"/>
          <w:color w:val="auto"/>
          <w:kern w:val="2"/>
          <w:sz w:val="24"/>
          <w:szCs w:val="24"/>
          <w:highlight w:val="none"/>
          <w:u w:val="single"/>
          <w:lang w:val="en-US" w:eastAsia="zh-CN" w:bidi="ar"/>
        </w:rPr>
        <w:t>施工场地应当在发包人发出的开始工作通知中载明的开始工作日期前 7天具备施工条件并移交给承包人。发包人最迟应当在移交施工场地的同时向承包人提供施工场地内地下管线和地下设施等有关资料，并保证资料的真实、准确和完整</w:t>
      </w:r>
      <w:r>
        <w:rPr>
          <w:rFonts w:hint="eastAsia" w:ascii="仿宋" w:hAnsi="仿宋" w:eastAsia="仿宋" w:cs="仿宋"/>
          <w:color w:val="auto"/>
          <w:kern w:val="2"/>
          <w:sz w:val="24"/>
          <w:szCs w:val="24"/>
          <w:highlight w:val="none"/>
          <w:lang w:val="en-US" w:eastAsia="zh-CN" w:bidi="ar"/>
        </w:rPr>
        <w:t>。</w:t>
      </w:r>
    </w:p>
    <w:p w14:paraId="19AEF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2.2.2 提供工作条件</w:t>
      </w:r>
    </w:p>
    <w:p w14:paraId="1B449F7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sz w:val="24"/>
          <w:u w:val="single"/>
        </w:rPr>
      </w:pPr>
      <w:r>
        <w:rPr>
          <w:rFonts w:hint="eastAsia" w:ascii="仿宋" w:hAnsi="仿宋" w:eastAsia="仿宋" w:cs="仿宋"/>
          <w:color w:val="auto"/>
          <w:kern w:val="2"/>
          <w:sz w:val="24"/>
          <w:szCs w:val="24"/>
          <w:highlight w:val="none"/>
          <w:lang w:val="en-US" w:eastAsia="zh-CN" w:bidi="ar"/>
        </w:rPr>
        <w:t>关于发包人应负责提供的工作条件包括：</w:t>
      </w:r>
      <w:r>
        <w:rPr>
          <w:rFonts w:hint="eastAsia" w:ascii="仿宋" w:hAnsi="仿宋" w:eastAsia="仿宋"/>
          <w:sz w:val="24"/>
          <w:u w:val="single"/>
        </w:rPr>
        <w:t>除通用合同条款规定外，开工日3天前，由发包人协助承包人办理好施工所需证件、批件；开工前3天，完成施工现场的校验；</w:t>
      </w:r>
    </w:p>
    <w:p w14:paraId="1B05793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2）施工所需的水、电、电讯线路接至施工场地的时间、地点和供应要求：</w:t>
      </w:r>
    </w:p>
    <w:p w14:paraId="6ED52C8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①</w:t>
      </w:r>
      <w:r>
        <w:rPr>
          <w:rFonts w:hint="eastAsia" w:ascii="仿宋" w:hAnsi="仿宋" w:eastAsia="仿宋"/>
          <w:sz w:val="24"/>
          <w:u w:val="single"/>
        </w:rPr>
        <w:t>正常施工所需的电源、水源已由发包人在开工前安装至施工现场边缘</w:t>
      </w:r>
      <w:r>
        <w:rPr>
          <w:rFonts w:hint="eastAsia" w:ascii="仿宋" w:hAnsi="仿宋" w:eastAsia="仿宋"/>
          <w:sz w:val="24"/>
        </w:rPr>
        <w:t xml:space="preserve">。 </w:t>
      </w:r>
    </w:p>
    <w:p w14:paraId="2170DC6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②施工用电：</w:t>
      </w:r>
      <w:r>
        <w:rPr>
          <w:rFonts w:hint="eastAsia" w:ascii="仿宋" w:hAnsi="仿宋" w:eastAsia="仿宋"/>
          <w:sz w:val="24"/>
          <w:u w:val="single"/>
        </w:rPr>
        <w:t>施工场内临时低压接电及线缆铺设费用要求承包人自理并包括在合同价中</w:t>
      </w:r>
      <w:r>
        <w:rPr>
          <w:rFonts w:hint="eastAsia" w:ascii="仿宋" w:hAnsi="仿宋" w:eastAsia="仿宋"/>
          <w:sz w:val="24"/>
        </w:rPr>
        <w:t>。</w:t>
      </w:r>
    </w:p>
    <w:p w14:paraId="57237B3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③施工用水：</w:t>
      </w:r>
      <w:r>
        <w:rPr>
          <w:rFonts w:hint="eastAsia" w:ascii="仿宋" w:hAnsi="仿宋" w:eastAsia="仿宋"/>
          <w:sz w:val="24"/>
          <w:u w:val="single"/>
        </w:rPr>
        <w:t>施工场内临时用水接水管铺设费用由承包人自理并包括在合同价中</w:t>
      </w:r>
      <w:r>
        <w:rPr>
          <w:rFonts w:hint="eastAsia" w:ascii="仿宋" w:hAnsi="仿宋" w:eastAsia="仿宋"/>
          <w:sz w:val="24"/>
        </w:rPr>
        <w:t>。</w:t>
      </w:r>
    </w:p>
    <w:p w14:paraId="7170079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sz w:val="24"/>
        </w:rPr>
      </w:pPr>
      <w:r>
        <w:rPr>
          <w:rFonts w:hint="eastAsia" w:ascii="仿宋" w:hAnsi="仿宋" w:eastAsia="仿宋"/>
          <w:sz w:val="24"/>
        </w:rPr>
        <w:t>④</w:t>
      </w:r>
      <w:r>
        <w:rPr>
          <w:rFonts w:hint="eastAsia" w:ascii="仿宋" w:hAnsi="仿宋" w:eastAsia="仿宋"/>
          <w:sz w:val="24"/>
          <w:u w:val="single"/>
        </w:rPr>
        <w:t>施工用水、用电费用由承包人承担，在工程结算时按最终结算审定金额的0.4%结算水电费</w:t>
      </w:r>
      <w:r>
        <w:rPr>
          <w:rFonts w:hint="eastAsia" w:ascii="仿宋" w:hAnsi="仿宋" w:eastAsia="仿宋"/>
          <w:sz w:val="24"/>
        </w:rPr>
        <w:t>。</w:t>
      </w:r>
    </w:p>
    <w:p w14:paraId="1D0B95E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sz w:val="24"/>
          <w:szCs w:val="24"/>
        </w:rPr>
      </w:pPr>
      <w:r>
        <w:rPr>
          <w:rFonts w:hint="eastAsia" w:ascii="仿宋" w:hAnsi="仿宋" w:eastAsia="仿宋"/>
          <w:sz w:val="24"/>
          <w:szCs w:val="24"/>
        </w:rPr>
        <w:t>⑤</w:t>
      </w:r>
      <w:r>
        <w:rPr>
          <w:rFonts w:hint="eastAsia" w:ascii="仿宋" w:hAnsi="仿宋" w:eastAsia="仿宋"/>
          <w:sz w:val="24"/>
          <w:szCs w:val="24"/>
          <w:u w:val="single"/>
        </w:rPr>
        <w:t>用电与用水高峰期时供应不足由承包人自行设法解决，费用包括在合同价中，发包人不另支付相关费用</w:t>
      </w:r>
      <w:r>
        <w:rPr>
          <w:rFonts w:hint="eastAsia" w:ascii="仿宋" w:hAnsi="仿宋" w:eastAsia="仿宋"/>
          <w:sz w:val="24"/>
          <w:szCs w:val="24"/>
        </w:rPr>
        <w:t>。</w:t>
      </w:r>
    </w:p>
    <w:p w14:paraId="77F3335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2.3 提供基础资料</w:t>
      </w:r>
    </w:p>
    <w:p w14:paraId="24A1380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关于发包人应提供的基础资料的范围和期限：</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45C17CD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2.5 支付合同价款</w:t>
      </w:r>
    </w:p>
    <w:p w14:paraId="0B4F2D4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none"/>
        </w:rPr>
      </w:pPr>
      <w:r>
        <w:rPr>
          <w:rFonts w:hint="eastAsia" w:ascii="仿宋" w:hAnsi="仿宋" w:eastAsia="仿宋" w:cs="仿宋"/>
          <w:color w:val="auto"/>
          <w:kern w:val="2"/>
          <w:sz w:val="24"/>
          <w:szCs w:val="24"/>
          <w:highlight w:val="none"/>
          <w:u w:val="none"/>
          <w:lang w:val="en-US" w:eastAsia="zh-CN" w:bidi="ar"/>
        </w:rPr>
        <w:t>2.5.1发包人应按合同约定支付工程款。</w:t>
      </w:r>
    </w:p>
    <w:p w14:paraId="6B509BA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2.5.2 发包人提供资金来源证明及资金安排的期限要求：</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75E1CBF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2.5.3 发包人提供支付担保的形式、期限、金额（或比例）：</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3BDAF81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2.7 其他义务</w:t>
      </w:r>
    </w:p>
    <w:p w14:paraId="02B5F4F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发包人应履行的其他义务：</w:t>
      </w:r>
    </w:p>
    <w:p w14:paraId="52852F8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(1)批准和确认：按合同约定应当由发包人回复、批复、批准、确认或提出修改意见的承包人的要求、请求、申请和报批等，自发包人指定的接收人收到承包人发出的相应要求、请求、申请和报批之日起，如果发包人在合同约定的期限内未予回复、批复、批准、确认或提出修改意见的，视为发包人已经同意、确认或者批准。</w:t>
      </w:r>
    </w:p>
    <w:p w14:paraId="44D2F9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u w:val="single"/>
          <w:lang w:val="en-US" w:eastAsia="zh-CN" w:bidi="ar"/>
        </w:rPr>
        <w:t>(2)发包人应当履行合同约定的其他义务以及下述义务：发包人协助承包人与当地行政管理部门的联系沟通，协助解决承包人现场工作人员与当地公安户籍部门各项沟通与注册</w:t>
      </w:r>
      <w:r>
        <w:rPr>
          <w:rFonts w:hint="eastAsia" w:ascii="仿宋" w:hAnsi="仿宋" w:eastAsia="仿宋" w:cs="仿宋"/>
          <w:color w:val="auto"/>
          <w:kern w:val="2"/>
          <w:sz w:val="24"/>
          <w:szCs w:val="24"/>
          <w:highlight w:val="none"/>
          <w:lang w:val="en-US" w:eastAsia="zh-CN" w:bidi="ar"/>
        </w:rPr>
        <w:t>。</w:t>
      </w:r>
    </w:p>
    <w:p w14:paraId="605DA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第3条 发包人的管理</w:t>
      </w:r>
    </w:p>
    <w:p w14:paraId="68ABE4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3.1 发包人代表</w:t>
      </w:r>
    </w:p>
    <w:p w14:paraId="63E52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发包人代表的姓名：</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70DE9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发包人代表的身份证号：</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3C76C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发包人代表的职务：</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6DEA2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发包人代表的联系电话：</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3EB09A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发包人代表的电子邮箱：</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07B4AE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发包人代表的通信地址：</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05CF13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发包人对发包人代表的授权范围如下：</w:t>
      </w:r>
    </w:p>
    <w:p w14:paraId="4C05E5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（1）发出可能引起工程范围的扩大或缩小、工程质量标准的提高或降低的工程变更指令或其它指令；</w:t>
      </w:r>
    </w:p>
    <w:p w14:paraId="315D2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lang w:val="en-US" w:eastAsia="zh-CN" w:bidi="ar"/>
        </w:rPr>
      </w:pPr>
      <w:r>
        <w:rPr>
          <w:rFonts w:hint="eastAsia" w:ascii="仿宋" w:hAnsi="仿宋" w:eastAsia="仿宋" w:cs="仿宋"/>
          <w:color w:val="auto"/>
          <w:kern w:val="2"/>
          <w:sz w:val="24"/>
          <w:szCs w:val="24"/>
          <w:highlight w:val="none"/>
          <w:u w:val="single"/>
          <w:lang w:val="en-US" w:eastAsia="zh-CN" w:bidi="ar"/>
        </w:rPr>
        <w:t>（2）发布开工令、停工令、复工令；</w:t>
      </w:r>
    </w:p>
    <w:p w14:paraId="6B6D96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lang w:val="en-US" w:eastAsia="zh-CN" w:bidi="ar"/>
        </w:rPr>
      </w:pPr>
      <w:r>
        <w:rPr>
          <w:rFonts w:hint="eastAsia" w:ascii="仿宋" w:hAnsi="仿宋" w:eastAsia="仿宋" w:cs="仿宋"/>
          <w:color w:val="auto"/>
          <w:kern w:val="2"/>
          <w:sz w:val="24"/>
          <w:szCs w:val="24"/>
          <w:highlight w:val="none"/>
          <w:u w:val="single"/>
          <w:lang w:val="en-US" w:eastAsia="zh-CN" w:bidi="ar"/>
        </w:rPr>
        <w:t>（3）审核承包人提出的顺延工期的申请；</w:t>
      </w:r>
    </w:p>
    <w:p w14:paraId="45403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（4）审核承包人提出的追加或变更工程价款、补偿损失的申请及工程索赔价款的确认；</w:t>
      </w:r>
    </w:p>
    <w:p w14:paraId="6C9621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（5）审核承包人提出的主要材料设备的采购清单；</w:t>
      </w:r>
    </w:p>
    <w:p w14:paraId="42757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（6）审核工程进度款以及变更或增加工程量的签证；</w:t>
      </w:r>
    </w:p>
    <w:p w14:paraId="02F70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lang w:val="en-US" w:eastAsia="zh-CN" w:bidi="ar"/>
        </w:rPr>
      </w:pPr>
      <w:r>
        <w:rPr>
          <w:rFonts w:hint="eastAsia" w:ascii="仿宋" w:hAnsi="仿宋" w:eastAsia="仿宋" w:cs="仿宋"/>
          <w:color w:val="auto"/>
          <w:kern w:val="2"/>
          <w:sz w:val="24"/>
          <w:szCs w:val="24"/>
          <w:highlight w:val="none"/>
          <w:u w:val="single"/>
          <w:lang w:val="en-US" w:eastAsia="zh-CN" w:bidi="ar"/>
        </w:rPr>
        <w:t>（7）工程竣工验收报告或甩项验收报告及工程缺陷证书的确认；</w:t>
      </w:r>
    </w:p>
    <w:p w14:paraId="2AD4C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（8）撤换承包人主要管理人员。</w:t>
      </w:r>
    </w:p>
    <w:p w14:paraId="1C455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发包人代表的职责：</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76D48A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发包人代表在发出上述指令、批准或确认时，应附上发包人加盖公章的书面确认。</w:t>
      </w:r>
    </w:p>
    <w:p w14:paraId="70A4F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3.2 发包人人员</w:t>
      </w:r>
    </w:p>
    <w:p w14:paraId="02F154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发包人人员姓名：</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435169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发包人人员职务：</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72B6A5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发包人人员职责：</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 xml:space="preserve"> 。</w:t>
      </w:r>
    </w:p>
    <w:p w14:paraId="2F00F8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3.3 工程师</w:t>
      </w:r>
    </w:p>
    <w:p w14:paraId="5EED8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3.3.1 工程师名称：</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；工程师监督管理范围、内容：</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；工程师权限：</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0BEEA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3.6 商定或确定</w:t>
      </w:r>
    </w:p>
    <w:p w14:paraId="78734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3.6.2 关于商定时间限制的具体约定：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2B74F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3.6.3 关于商定或确定效力的具体约定：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；关于对工程师的确定提出异议的具体约定：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3353F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3.7 会议</w:t>
      </w:r>
    </w:p>
    <w:p w14:paraId="4637D2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3.7.1 关于召开会议的具体约定：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1FE089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3.7.2 关于保存和提供会议纪要的具体约定：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1ABCB9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第4条 承包人</w:t>
      </w:r>
    </w:p>
    <w:p w14:paraId="7DE7E8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4.2 履约担保</w:t>
      </w:r>
    </w:p>
    <w:p w14:paraId="673B2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履约担保的形式：</w:t>
      </w:r>
      <w:r>
        <w:rPr>
          <w:rFonts w:hint="eastAsia" w:ascii="仿宋" w:hAnsi="仿宋" w:eastAsia="仿宋" w:cs="仿宋"/>
          <w:color w:val="auto"/>
          <w:kern w:val="2"/>
          <w:sz w:val="24"/>
          <w:szCs w:val="24"/>
          <w:highlight w:val="none"/>
          <w:u w:val="single"/>
          <w:lang w:val="en-US" w:eastAsia="zh-CN" w:bidi="ar"/>
        </w:rPr>
        <w:t>/。</w:t>
      </w:r>
    </w:p>
    <w:p w14:paraId="294720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履约担保的金额及期限：</w:t>
      </w:r>
      <w:r>
        <w:rPr>
          <w:rFonts w:hint="eastAsia" w:ascii="仿宋" w:hAnsi="仿宋" w:eastAsia="仿宋" w:cs="仿宋"/>
          <w:color w:val="auto"/>
          <w:kern w:val="2"/>
          <w:sz w:val="24"/>
          <w:szCs w:val="24"/>
          <w:highlight w:val="none"/>
          <w:u w:val="single"/>
          <w:lang w:val="en-US" w:eastAsia="zh-CN" w:bidi="ar"/>
        </w:rPr>
        <w:t>/。</w:t>
      </w:r>
    </w:p>
    <w:p w14:paraId="047BE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履约担保金在工程竣工验收合格且提交完整的结算资料后，扣除各项违约金一次性无息退还。</w:t>
      </w:r>
    </w:p>
    <w:p w14:paraId="7EE01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4.3 工程总承包项目经理</w:t>
      </w:r>
    </w:p>
    <w:p w14:paraId="16B670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4.3.1 工程总承包项目经理姓名：</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5E810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执业资格或职称类型：</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185153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执业资格证或职称证号码：</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0DD41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联系电话：</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34AF1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电子邮箱：</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674642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通信地址：</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5110C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承包人未提交劳动合同，以及没有为工程总承包项目经理缴纳社会保险证明的违约责任：</w:t>
      </w:r>
      <w:r>
        <w:rPr>
          <w:rFonts w:hint="eastAsia" w:ascii="仿宋" w:hAnsi="仿宋" w:eastAsia="仿宋" w:cs="仿宋"/>
          <w:color w:val="auto"/>
          <w:kern w:val="2"/>
          <w:sz w:val="24"/>
          <w:szCs w:val="24"/>
          <w:highlight w:val="none"/>
          <w:u w:val="single"/>
          <w:lang w:val="en-US" w:eastAsia="zh-CN" w:bidi="ar"/>
        </w:rPr>
        <w:t xml:space="preserve">  发包人有权解除本项目合同  </w:t>
      </w:r>
      <w:r>
        <w:rPr>
          <w:rFonts w:hint="eastAsia" w:ascii="仿宋" w:hAnsi="仿宋" w:eastAsia="仿宋" w:cs="仿宋"/>
          <w:color w:val="auto"/>
          <w:kern w:val="2"/>
          <w:sz w:val="24"/>
          <w:szCs w:val="24"/>
          <w:highlight w:val="none"/>
          <w:lang w:val="en-US" w:eastAsia="zh-CN" w:bidi="ar"/>
        </w:rPr>
        <w:t>。</w:t>
      </w:r>
    </w:p>
    <w:p w14:paraId="6003A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4.3.2 工程总承包项目经理每月在现场的时间要求：</w:t>
      </w:r>
      <w:r>
        <w:rPr>
          <w:rFonts w:hint="eastAsia" w:ascii="仿宋" w:hAnsi="仿宋" w:eastAsia="仿宋" w:cs="仿宋"/>
          <w:color w:val="auto"/>
          <w:kern w:val="2"/>
          <w:sz w:val="24"/>
          <w:szCs w:val="24"/>
          <w:highlight w:val="none"/>
          <w:u w:val="single"/>
          <w:lang w:val="en-US" w:eastAsia="zh-CN" w:bidi="ar"/>
        </w:rPr>
        <w:t xml:space="preserve"> 应常驻现场，且每月在现场时间不少于24天</w:t>
      </w:r>
      <w:r>
        <w:rPr>
          <w:rFonts w:hint="eastAsia" w:ascii="仿宋" w:hAnsi="仿宋" w:eastAsia="仿宋" w:cs="仿宋"/>
          <w:color w:val="auto"/>
          <w:kern w:val="2"/>
          <w:sz w:val="24"/>
          <w:szCs w:val="24"/>
          <w:highlight w:val="none"/>
          <w:lang w:val="en-US" w:eastAsia="zh-CN" w:bidi="ar"/>
        </w:rPr>
        <w:t>。</w:t>
      </w:r>
    </w:p>
    <w:p w14:paraId="215891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工程总承包项目经理未经批准擅自离开施工现场的违约责任：</w:t>
      </w:r>
      <w:r>
        <w:rPr>
          <w:rFonts w:hint="eastAsia" w:ascii="仿宋" w:hAnsi="仿宋" w:eastAsia="仿宋"/>
          <w:sz w:val="24"/>
          <w:u w:val="single"/>
        </w:rPr>
        <w:t>若项目经理未经批准，擅自离开施工现场，导致工程质量、进度不能满足本项目要求的，按人民币1000元/次从结算款中扣除违约金</w:t>
      </w:r>
      <w:r>
        <w:rPr>
          <w:rFonts w:hint="eastAsia" w:ascii="仿宋" w:hAnsi="仿宋" w:eastAsia="仿宋" w:cs="仿宋"/>
          <w:color w:val="auto"/>
          <w:kern w:val="2"/>
          <w:sz w:val="24"/>
          <w:szCs w:val="24"/>
          <w:highlight w:val="none"/>
          <w:lang w:val="en-US" w:eastAsia="zh-CN" w:bidi="ar"/>
        </w:rPr>
        <w:t>。</w:t>
      </w:r>
    </w:p>
    <w:p w14:paraId="57305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4.3.3 承包人对工程总承包项目经理的授权范围:</w:t>
      </w:r>
    </w:p>
    <w:p w14:paraId="26F43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（1）参与项目招标、投标和合同签订；</w:t>
      </w:r>
    </w:p>
    <w:p w14:paraId="55E27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（2）参与组建项目管理机构；</w:t>
      </w:r>
    </w:p>
    <w:p w14:paraId="60BFE6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（3）参与组织对项目各阶段的重大决策；</w:t>
      </w:r>
    </w:p>
    <w:p w14:paraId="68BEF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（4）主持项目管理机构工作；</w:t>
      </w:r>
    </w:p>
    <w:p w14:paraId="601C4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（5）决定授权范围内的项目资源使用；</w:t>
      </w:r>
    </w:p>
    <w:p w14:paraId="7D49C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（6）在组织制度的框架下制定项目管理机构管理制度；</w:t>
      </w:r>
    </w:p>
    <w:p w14:paraId="5A9C8C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（7）在授权范围内与项目相关方进行直接沟通；</w:t>
      </w:r>
    </w:p>
    <w:p w14:paraId="4588AC18">
      <w:pPr>
        <w:autoSpaceDE w:val="0"/>
        <w:autoSpaceDN w:val="0"/>
        <w:adjustRightInd w:val="0"/>
        <w:snapToGrid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4.3.4 承包人擅自更换工程总承包项目经理的违约责任：</w:t>
      </w:r>
      <w:r>
        <w:rPr>
          <w:rFonts w:hint="eastAsia" w:ascii="仿宋" w:hAnsi="仿宋" w:eastAsia="仿宋" w:cs="Times New Roman"/>
          <w:sz w:val="24"/>
          <w:u w:val="single"/>
        </w:rPr>
        <w:t>承包人擅自更换项目经理的将被视为承包人违约，按照5000元/人次在结算款中扣除违约金</w:t>
      </w:r>
      <w:r>
        <w:rPr>
          <w:rFonts w:hint="eastAsia" w:ascii="仿宋" w:hAnsi="仿宋" w:eastAsia="仿宋" w:cs="Times New Roman"/>
          <w:sz w:val="24"/>
          <w:u w:val="single"/>
          <w:lang w:val="en-US" w:eastAsia="zh-CN"/>
        </w:rPr>
        <w:t>；若确因特殊原因需更换，须经发包人同意；更换后的项目经理资质等级不得低于原项目经理资质等级。</w:t>
      </w:r>
    </w:p>
    <w:p w14:paraId="6EDA98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4.4 承包人人员</w:t>
      </w:r>
    </w:p>
    <w:p w14:paraId="6D8B4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4.4.1 人员安排</w:t>
      </w:r>
    </w:p>
    <w:p w14:paraId="188BE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承包人提交项目管理机构及施工现场人员安排的报告的期限：</w:t>
      </w:r>
      <w:r>
        <w:rPr>
          <w:rFonts w:hint="eastAsia" w:ascii="仿宋" w:hAnsi="仿宋" w:eastAsia="仿宋" w:cs="仿宋"/>
          <w:color w:val="auto"/>
          <w:kern w:val="2"/>
          <w:sz w:val="24"/>
          <w:szCs w:val="24"/>
          <w:highlight w:val="none"/>
          <w:u w:val="single"/>
          <w:lang w:val="en-US" w:eastAsia="zh-CN" w:bidi="ar"/>
        </w:rPr>
        <w:t xml:space="preserve"> 承包人进场7日历天前</w:t>
      </w:r>
      <w:r>
        <w:rPr>
          <w:rFonts w:hint="eastAsia" w:ascii="仿宋" w:hAnsi="仿宋" w:eastAsia="仿宋" w:cs="仿宋"/>
          <w:color w:val="auto"/>
          <w:kern w:val="2"/>
          <w:sz w:val="24"/>
          <w:szCs w:val="24"/>
          <w:highlight w:val="none"/>
          <w:lang w:val="en-US" w:eastAsia="zh-CN" w:bidi="ar"/>
        </w:rPr>
        <w:t>。</w:t>
      </w:r>
    </w:p>
    <w:p w14:paraId="0EE39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承包人提交关键人员信息及注册执业资格等证明其具备担任关键人员能力的相关文件的期限：</w:t>
      </w:r>
      <w:r>
        <w:rPr>
          <w:rFonts w:hint="eastAsia" w:ascii="仿宋" w:hAnsi="仿宋" w:eastAsia="仿宋" w:cs="仿宋"/>
          <w:color w:val="auto"/>
          <w:kern w:val="2"/>
          <w:sz w:val="24"/>
          <w:szCs w:val="24"/>
          <w:highlight w:val="none"/>
          <w:u w:val="single"/>
          <w:lang w:val="en-US" w:eastAsia="zh-CN" w:bidi="ar"/>
        </w:rPr>
        <w:t>承包人进场7日历天前</w:t>
      </w:r>
      <w:r>
        <w:rPr>
          <w:rFonts w:hint="eastAsia" w:ascii="仿宋" w:hAnsi="仿宋" w:eastAsia="仿宋" w:cs="仿宋"/>
          <w:color w:val="auto"/>
          <w:kern w:val="2"/>
          <w:sz w:val="24"/>
          <w:szCs w:val="24"/>
          <w:highlight w:val="none"/>
          <w:lang w:val="en-US" w:eastAsia="zh-CN" w:bidi="ar"/>
        </w:rPr>
        <w:t>。</w:t>
      </w:r>
    </w:p>
    <w:p w14:paraId="2E53C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4.4.2 关键人员更换</w:t>
      </w:r>
    </w:p>
    <w:p w14:paraId="55E09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承包人擅自更换关键人员的违约责任：</w:t>
      </w:r>
      <w:r>
        <w:rPr>
          <w:rFonts w:hint="eastAsia" w:ascii="仿宋" w:hAnsi="仿宋" w:eastAsia="仿宋" w:cs="仿宋"/>
          <w:color w:val="auto"/>
          <w:kern w:val="2"/>
          <w:sz w:val="24"/>
          <w:szCs w:val="24"/>
          <w:highlight w:val="none"/>
          <w:u w:val="single"/>
          <w:lang w:val="en-US" w:eastAsia="zh-CN" w:bidi="ar"/>
        </w:rPr>
        <w:t xml:space="preserve"> 未经发包人同意擅自变更项目实施主要管理人员的处1万元每人每次的罚款, 更换后的项目实施主要管理人员资质等级不得低于原管理人员的职称等级。</w:t>
      </w:r>
    </w:p>
    <w:p w14:paraId="73F274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4.4.3 现场管理关键人员在岗要求</w:t>
      </w:r>
    </w:p>
    <w:p w14:paraId="15460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承包人现场管理关键人员离开施工现场的批准要求：</w:t>
      </w:r>
      <w:r>
        <w:rPr>
          <w:rFonts w:hint="eastAsia" w:ascii="仿宋" w:hAnsi="仿宋" w:eastAsia="仿宋" w:cs="仿宋"/>
          <w:color w:val="auto"/>
          <w:kern w:val="2"/>
          <w:sz w:val="24"/>
          <w:szCs w:val="24"/>
          <w:highlight w:val="none"/>
          <w:u w:val="single"/>
          <w:lang w:val="en-US" w:eastAsia="zh-CN" w:bidi="ar"/>
        </w:rPr>
        <w:t xml:space="preserve"> 须经发包人同意 </w:t>
      </w:r>
      <w:r>
        <w:rPr>
          <w:rFonts w:hint="eastAsia" w:ascii="仿宋" w:hAnsi="仿宋" w:eastAsia="仿宋" w:cs="仿宋"/>
          <w:color w:val="auto"/>
          <w:kern w:val="2"/>
          <w:sz w:val="24"/>
          <w:szCs w:val="24"/>
          <w:highlight w:val="none"/>
          <w:lang w:val="en-US" w:eastAsia="zh-CN" w:bidi="ar"/>
        </w:rPr>
        <w:t>。</w:t>
      </w:r>
    </w:p>
    <w:p w14:paraId="132134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olor w:val="auto"/>
          <w:sz w:val="24"/>
        </w:rPr>
      </w:pPr>
      <w:r>
        <w:rPr>
          <w:rFonts w:hint="eastAsia" w:ascii="仿宋" w:hAnsi="仿宋" w:eastAsia="仿宋" w:cs="仿宋"/>
          <w:color w:val="auto"/>
          <w:kern w:val="2"/>
          <w:sz w:val="24"/>
          <w:szCs w:val="24"/>
          <w:highlight w:val="none"/>
          <w:lang w:val="en-US" w:eastAsia="zh-CN" w:bidi="ar"/>
        </w:rPr>
        <w:t>承包人现场管理关键人员擅自离开施工现场的违约责任：</w:t>
      </w:r>
      <w:r>
        <w:rPr>
          <w:rFonts w:hint="eastAsia" w:ascii="仿宋" w:hAnsi="仿宋" w:eastAsia="仿宋"/>
          <w:color w:val="auto"/>
          <w:sz w:val="24"/>
          <w:u w:val="single"/>
        </w:rPr>
        <w:t>主要施工管理人员</w:t>
      </w:r>
      <w:r>
        <w:rPr>
          <w:rFonts w:hint="eastAsia" w:ascii="仿宋" w:hAnsi="仿宋" w:eastAsia="仿宋"/>
          <w:color w:val="auto"/>
          <w:sz w:val="24"/>
          <w:u w:val="single"/>
          <w:lang w:eastAsia="zh-CN"/>
        </w:rPr>
        <w:t>（</w:t>
      </w:r>
      <w:r>
        <w:rPr>
          <w:rFonts w:hint="eastAsia" w:ascii="仿宋" w:hAnsi="仿宋" w:eastAsia="仿宋"/>
          <w:color w:val="auto"/>
          <w:sz w:val="24"/>
          <w:u w:val="single"/>
        </w:rPr>
        <w:t>技术负责人</w:t>
      </w:r>
      <w:r>
        <w:rPr>
          <w:rFonts w:hint="eastAsia" w:ascii="仿宋" w:hAnsi="仿宋" w:eastAsia="仿宋"/>
          <w:color w:val="auto"/>
          <w:sz w:val="24"/>
          <w:u w:val="single"/>
          <w:lang w:eastAsia="zh-CN"/>
        </w:rPr>
        <w:t>、</w:t>
      </w:r>
      <w:r>
        <w:rPr>
          <w:rFonts w:hint="eastAsia" w:ascii="仿宋" w:hAnsi="仿宋" w:eastAsia="仿宋"/>
          <w:color w:val="auto"/>
          <w:sz w:val="24"/>
          <w:u w:val="single"/>
        </w:rPr>
        <w:t>施工员</w:t>
      </w:r>
      <w:r>
        <w:rPr>
          <w:rFonts w:hint="eastAsia" w:ascii="仿宋" w:hAnsi="仿宋" w:eastAsia="仿宋"/>
          <w:color w:val="auto"/>
          <w:sz w:val="24"/>
          <w:u w:val="single"/>
          <w:lang w:eastAsia="zh-CN"/>
        </w:rPr>
        <w:t>、</w:t>
      </w:r>
      <w:r>
        <w:rPr>
          <w:rFonts w:hint="eastAsia" w:ascii="仿宋" w:hAnsi="仿宋" w:eastAsia="仿宋"/>
          <w:color w:val="auto"/>
          <w:sz w:val="24"/>
          <w:u w:val="single"/>
          <w:lang w:val="en-US" w:eastAsia="zh-CN"/>
        </w:rPr>
        <w:t>安全员</w:t>
      </w:r>
      <w:r>
        <w:rPr>
          <w:rFonts w:hint="eastAsia" w:ascii="仿宋" w:hAnsi="仿宋" w:eastAsia="仿宋"/>
          <w:color w:val="auto"/>
          <w:sz w:val="24"/>
          <w:u w:val="single"/>
          <w:lang w:eastAsia="zh-CN"/>
        </w:rPr>
        <w:t>）</w:t>
      </w:r>
      <w:r>
        <w:rPr>
          <w:rFonts w:hint="eastAsia" w:ascii="仿宋" w:hAnsi="仿宋" w:eastAsia="仿宋"/>
          <w:color w:val="auto"/>
          <w:sz w:val="24"/>
          <w:u w:val="single"/>
        </w:rPr>
        <w:t>到位率</w:t>
      </w:r>
      <w:r>
        <w:rPr>
          <w:rFonts w:hint="eastAsia" w:ascii="仿宋" w:hAnsi="仿宋" w:eastAsia="仿宋"/>
          <w:color w:val="auto"/>
          <w:sz w:val="24"/>
          <w:u w:val="single"/>
          <w:lang w:val="en-US" w:eastAsia="zh-CN"/>
        </w:rPr>
        <w:t>80</w:t>
      </w:r>
      <w:r>
        <w:rPr>
          <w:rFonts w:hint="eastAsia" w:ascii="仿宋" w:hAnsi="仿宋" w:eastAsia="仿宋"/>
          <w:color w:val="auto"/>
          <w:sz w:val="24"/>
          <w:u w:val="single"/>
        </w:rPr>
        <w:t>%以上，若因主要施工管理人员擅自离开施工现场，按300元人民币/人次在结算款中扣除违约金</w:t>
      </w:r>
      <w:r>
        <w:rPr>
          <w:rFonts w:hint="eastAsia" w:ascii="仿宋" w:hAnsi="仿宋" w:eastAsia="仿宋"/>
          <w:color w:val="auto"/>
          <w:sz w:val="24"/>
        </w:rPr>
        <w:t>。</w:t>
      </w:r>
    </w:p>
    <w:p w14:paraId="290C4FA6">
      <w:pPr>
        <w:keepNext w:val="0"/>
        <w:keepLines w:val="0"/>
        <w:pageBreakBefore w:val="0"/>
        <w:kinsoku/>
        <w:wordWrap/>
        <w:overflowPunct/>
        <w:topLinePunct w:val="0"/>
        <w:autoSpaceDE w:val="0"/>
        <w:autoSpaceDN w:val="0"/>
        <w:bidi w:val="0"/>
        <w:adjustRightInd/>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承包人需更换</w:t>
      </w:r>
      <w:r>
        <w:rPr>
          <w:rFonts w:hint="eastAsia" w:ascii="仿宋" w:hAnsi="仿宋" w:eastAsia="仿宋"/>
          <w:color w:val="auto"/>
          <w:sz w:val="24"/>
          <w:u w:val="single"/>
        </w:rPr>
        <w:t>主要施工管理人员</w:t>
      </w:r>
      <w:r>
        <w:rPr>
          <w:rFonts w:hint="eastAsia" w:ascii="仿宋" w:hAnsi="仿宋" w:eastAsia="仿宋"/>
          <w:color w:val="auto"/>
          <w:sz w:val="24"/>
          <w:u w:val="single"/>
          <w:lang w:eastAsia="zh-CN"/>
        </w:rPr>
        <w:t>（</w:t>
      </w:r>
      <w:r>
        <w:rPr>
          <w:rFonts w:hint="eastAsia" w:ascii="仿宋" w:hAnsi="仿宋" w:eastAsia="仿宋"/>
          <w:color w:val="auto"/>
          <w:sz w:val="24"/>
          <w:u w:val="single"/>
        </w:rPr>
        <w:t>技术负责人</w:t>
      </w:r>
      <w:r>
        <w:rPr>
          <w:rFonts w:hint="eastAsia" w:ascii="仿宋" w:hAnsi="仿宋" w:eastAsia="仿宋"/>
          <w:color w:val="auto"/>
          <w:sz w:val="24"/>
          <w:u w:val="single"/>
          <w:lang w:eastAsia="zh-CN"/>
        </w:rPr>
        <w:t>、</w:t>
      </w:r>
      <w:r>
        <w:rPr>
          <w:rFonts w:hint="eastAsia" w:ascii="仿宋" w:hAnsi="仿宋" w:eastAsia="仿宋"/>
          <w:color w:val="auto"/>
          <w:sz w:val="24"/>
          <w:u w:val="single"/>
        </w:rPr>
        <w:t>施工员</w:t>
      </w:r>
      <w:r>
        <w:rPr>
          <w:rFonts w:hint="eastAsia" w:ascii="仿宋" w:hAnsi="仿宋" w:eastAsia="仿宋"/>
          <w:color w:val="auto"/>
          <w:sz w:val="24"/>
          <w:u w:val="single"/>
          <w:lang w:eastAsia="zh-CN"/>
        </w:rPr>
        <w:t>、</w:t>
      </w:r>
      <w:r>
        <w:rPr>
          <w:rFonts w:hint="eastAsia" w:ascii="仿宋" w:hAnsi="仿宋" w:eastAsia="仿宋"/>
          <w:color w:val="auto"/>
          <w:sz w:val="24"/>
          <w:u w:val="single"/>
          <w:lang w:val="en-US" w:eastAsia="zh-CN"/>
        </w:rPr>
        <w:t>安全员</w:t>
      </w:r>
      <w:r>
        <w:rPr>
          <w:rFonts w:hint="eastAsia" w:ascii="仿宋" w:hAnsi="仿宋" w:eastAsia="仿宋"/>
          <w:color w:val="auto"/>
          <w:sz w:val="24"/>
          <w:u w:val="single"/>
          <w:lang w:eastAsia="zh-CN"/>
        </w:rPr>
        <w:t>）</w:t>
      </w:r>
      <w:r>
        <w:rPr>
          <w:rFonts w:hint="eastAsia" w:ascii="仿宋" w:hAnsi="仿宋" w:eastAsia="仿宋"/>
          <w:color w:val="auto"/>
          <w:sz w:val="24"/>
        </w:rPr>
        <w:t>的，继任人员的数量、注册执业资格、管理经验的约定：</w:t>
      </w:r>
      <w:r>
        <w:rPr>
          <w:rFonts w:hint="eastAsia" w:ascii="仿宋" w:hAnsi="仿宋" w:eastAsia="仿宋"/>
          <w:color w:val="auto"/>
          <w:sz w:val="24"/>
          <w:u w:val="single"/>
        </w:rPr>
        <w:t>不得低于原主要施工管理人员的数量、注册执业资格、管理经验</w:t>
      </w:r>
      <w:r>
        <w:rPr>
          <w:rFonts w:hint="eastAsia" w:ascii="仿宋" w:hAnsi="仿宋" w:eastAsia="仿宋"/>
          <w:color w:val="auto"/>
          <w:sz w:val="24"/>
        </w:rPr>
        <w:t>。</w:t>
      </w:r>
    </w:p>
    <w:p w14:paraId="35B89BE8">
      <w:pPr>
        <w:keepNext w:val="0"/>
        <w:keepLines w:val="0"/>
        <w:pageBreakBefore w:val="0"/>
        <w:kinsoku/>
        <w:wordWrap/>
        <w:overflowPunct/>
        <w:topLinePunct w:val="0"/>
        <w:autoSpaceDE w:val="0"/>
        <w:autoSpaceDN w:val="0"/>
        <w:bidi w:val="0"/>
        <w:adjustRightInd/>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承包人无正当理由拒绝撤换主要施工管理人员的违约责任：</w:t>
      </w:r>
      <w:r>
        <w:rPr>
          <w:rFonts w:hint="eastAsia" w:ascii="仿宋" w:hAnsi="仿宋" w:eastAsia="仿宋"/>
          <w:color w:val="auto"/>
          <w:sz w:val="24"/>
          <w:u w:val="single"/>
        </w:rPr>
        <w:t>因主要施工管理人员</w:t>
      </w:r>
      <w:r>
        <w:rPr>
          <w:rFonts w:hint="eastAsia" w:ascii="仿宋" w:hAnsi="仿宋" w:eastAsia="仿宋"/>
          <w:color w:val="auto"/>
          <w:sz w:val="24"/>
          <w:u w:val="single"/>
          <w:lang w:eastAsia="zh-CN"/>
        </w:rPr>
        <w:t>（</w:t>
      </w:r>
      <w:r>
        <w:rPr>
          <w:rFonts w:hint="eastAsia" w:ascii="仿宋" w:hAnsi="仿宋" w:eastAsia="仿宋"/>
          <w:color w:val="auto"/>
          <w:sz w:val="24"/>
          <w:u w:val="single"/>
        </w:rPr>
        <w:t>技术负责人</w:t>
      </w:r>
      <w:r>
        <w:rPr>
          <w:rFonts w:hint="eastAsia" w:ascii="仿宋" w:hAnsi="仿宋" w:eastAsia="仿宋"/>
          <w:color w:val="auto"/>
          <w:sz w:val="24"/>
          <w:u w:val="single"/>
          <w:lang w:eastAsia="zh-CN"/>
        </w:rPr>
        <w:t>、</w:t>
      </w:r>
      <w:r>
        <w:rPr>
          <w:rFonts w:hint="eastAsia" w:ascii="仿宋" w:hAnsi="仿宋" w:eastAsia="仿宋"/>
          <w:color w:val="auto"/>
          <w:sz w:val="24"/>
          <w:u w:val="single"/>
        </w:rPr>
        <w:t>施工员</w:t>
      </w:r>
      <w:r>
        <w:rPr>
          <w:rFonts w:hint="eastAsia" w:ascii="仿宋" w:hAnsi="仿宋" w:eastAsia="仿宋"/>
          <w:color w:val="auto"/>
          <w:sz w:val="24"/>
          <w:u w:val="single"/>
          <w:lang w:eastAsia="zh-CN"/>
        </w:rPr>
        <w:t>、</w:t>
      </w:r>
      <w:r>
        <w:rPr>
          <w:rFonts w:hint="eastAsia" w:ascii="仿宋" w:hAnsi="仿宋" w:eastAsia="仿宋"/>
          <w:color w:val="auto"/>
          <w:sz w:val="24"/>
          <w:u w:val="single"/>
          <w:lang w:val="en-US" w:eastAsia="zh-CN"/>
        </w:rPr>
        <w:t>安全员</w:t>
      </w:r>
      <w:r>
        <w:rPr>
          <w:rFonts w:hint="eastAsia" w:ascii="仿宋" w:hAnsi="仿宋" w:eastAsia="仿宋"/>
          <w:color w:val="auto"/>
          <w:sz w:val="24"/>
          <w:u w:val="single"/>
          <w:lang w:eastAsia="zh-CN"/>
        </w:rPr>
        <w:t>）</w:t>
      </w:r>
      <w:r>
        <w:rPr>
          <w:rFonts w:hint="eastAsia" w:ascii="仿宋" w:hAnsi="仿宋" w:eastAsia="仿宋"/>
          <w:color w:val="auto"/>
          <w:sz w:val="24"/>
          <w:u w:val="single"/>
        </w:rPr>
        <w:t>不能胜任本项目工作，发包人要求更换的，承包人无正当理由拒绝更换的，将被视为承包人违约，按照500元/人次在结算款中扣除违约金</w:t>
      </w:r>
      <w:r>
        <w:rPr>
          <w:rFonts w:hint="eastAsia" w:ascii="仿宋" w:hAnsi="仿宋" w:eastAsia="仿宋"/>
          <w:color w:val="auto"/>
          <w:sz w:val="24"/>
        </w:rPr>
        <w:t>。</w:t>
      </w:r>
    </w:p>
    <w:p w14:paraId="436F6CB6">
      <w:pPr>
        <w:pStyle w:val="21"/>
        <w:keepNext w:val="0"/>
        <w:keepLines w:val="0"/>
        <w:pageBreakBefore w:val="0"/>
        <w:kinsoku/>
        <w:wordWrap/>
        <w:overflowPunct/>
        <w:topLinePunct w:val="0"/>
        <w:bidi w:val="0"/>
        <w:adjustRightInd/>
        <w:spacing w:line="360" w:lineRule="auto"/>
        <w:rPr>
          <w:rFonts w:hint="eastAsia"/>
        </w:rPr>
      </w:pPr>
      <w:r>
        <w:rPr>
          <w:rFonts w:hint="eastAsia" w:ascii="仿宋" w:hAnsi="仿宋" w:eastAsia="仿宋"/>
          <w:color w:val="auto"/>
          <w:sz w:val="24"/>
        </w:rPr>
        <w:t>承包人擅自更换</w:t>
      </w:r>
      <w:r>
        <w:rPr>
          <w:rFonts w:hint="eastAsia" w:ascii="仿宋" w:hAnsi="仿宋" w:eastAsia="仿宋"/>
          <w:color w:val="auto"/>
          <w:sz w:val="24"/>
          <w:u w:val="single"/>
        </w:rPr>
        <w:t>主要施工管理人员</w:t>
      </w:r>
      <w:r>
        <w:rPr>
          <w:rFonts w:hint="eastAsia" w:ascii="仿宋" w:hAnsi="仿宋" w:eastAsia="仿宋"/>
          <w:color w:val="auto"/>
          <w:sz w:val="24"/>
          <w:u w:val="single"/>
          <w:lang w:eastAsia="zh-CN"/>
        </w:rPr>
        <w:t>（</w:t>
      </w:r>
      <w:r>
        <w:rPr>
          <w:rFonts w:hint="eastAsia" w:ascii="仿宋" w:hAnsi="仿宋" w:eastAsia="仿宋"/>
          <w:color w:val="auto"/>
          <w:sz w:val="24"/>
          <w:u w:val="single"/>
        </w:rPr>
        <w:t>技术负责人</w:t>
      </w:r>
      <w:r>
        <w:rPr>
          <w:rFonts w:hint="eastAsia" w:ascii="仿宋" w:hAnsi="仿宋" w:eastAsia="仿宋"/>
          <w:color w:val="auto"/>
          <w:sz w:val="24"/>
          <w:u w:val="single"/>
          <w:lang w:eastAsia="zh-CN"/>
        </w:rPr>
        <w:t>、</w:t>
      </w:r>
      <w:r>
        <w:rPr>
          <w:rFonts w:hint="eastAsia" w:ascii="仿宋" w:hAnsi="仿宋" w:eastAsia="仿宋"/>
          <w:color w:val="auto"/>
          <w:sz w:val="24"/>
          <w:u w:val="single"/>
        </w:rPr>
        <w:t>施工员</w:t>
      </w:r>
      <w:r>
        <w:rPr>
          <w:rFonts w:hint="eastAsia" w:ascii="仿宋" w:hAnsi="仿宋" w:eastAsia="仿宋"/>
          <w:color w:val="auto"/>
          <w:sz w:val="24"/>
          <w:u w:val="single"/>
          <w:lang w:eastAsia="zh-CN"/>
        </w:rPr>
        <w:t>、</w:t>
      </w:r>
      <w:r>
        <w:rPr>
          <w:rFonts w:hint="eastAsia" w:ascii="仿宋" w:hAnsi="仿宋" w:eastAsia="仿宋"/>
          <w:color w:val="auto"/>
          <w:sz w:val="24"/>
          <w:u w:val="single"/>
          <w:lang w:val="en-US" w:eastAsia="zh-CN"/>
        </w:rPr>
        <w:t>安全员</w:t>
      </w:r>
      <w:r>
        <w:rPr>
          <w:rFonts w:hint="eastAsia" w:ascii="仿宋" w:hAnsi="仿宋" w:eastAsia="仿宋"/>
          <w:color w:val="auto"/>
          <w:sz w:val="24"/>
          <w:u w:val="single"/>
          <w:lang w:eastAsia="zh-CN"/>
        </w:rPr>
        <w:t>）</w:t>
      </w:r>
      <w:r>
        <w:rPr>
          <w:rFonts w:hint="eastAsia" w:ascii="仿宋" w:hAnsi="仿宋" w:eastAsia="仿宋"/>
          <w:color w:val="auto"/>
          <w:sz w:val="24"/>
        </w:rPr>
        <w:t>的违约责任：</w:t>
      </w:r>
      <w:r>
        <w:rPr>
          <w:rFonts w:hint="eastAsia" w:ascii="仿宋" w:hAnsi="仿宋" w:eastAsia="仿宋"/>
          <w:color w:val="auto"/>
          <w:sz w:val="24"/>
          <w:u w:val="single"/>
        </w:rPr>
        <w:t>承包人在施工期间不准任意更换主要施工管理人员</w:t>
      </w:r>
      <w:r>
        <w:rPr>
          <w:rFonts w:hint="eastAsia" w:ascii="仿宋" w:hAnsi="仿宋" w:eastAsia="仿宋"/>
          <w:color w:val="auto"/>
          <w:sz w:val="24"/>
          <w:u w:val="single"/>
          <w:lang w:eastAsia="zh-CN"/>
        </w:rPr>
        <w:t>（</w:t>
      </w:r>
      <w:r>
        <w:rPr>
          <w:rFonts w:hint="eastAsia" w:ascii="仿宋" w:hAnsi="仿宋" w:eastAsia="仿宋"/>
          <w:color w:val="auto"/>
          <w:sz w:val="24"/>
          <w:u w:val="single"/>
        </w:rPr>
        <w:t>技术负责人</w:t>
      </w:r>
      <w:r>
        <w:rPr>
          <w:rFonts w:hint="eastAsia" w:ascii="仿宋" w:hAnsi="仿宋" w:eastAsia="仿宋"/>
          <w:color w:val="auto"/>
          <w:sz w:val="24"/>
          <w:u w:val="single"/>
          <w:lang w:eastAsia="zh-CN"/>
        </w:rPr>
        <w:t>、</w:t>
      </w:r>
      <w:r>
        <w:rPr>
          <w:rFonts w:hint="eastAsia" w:ascii="仿宋" w:hAnsi="仿宋" w:eastAsia="仿宋"/>
          <w:color w:val="auto"/>
          <w:sz w:val="24"/>
          <w:u w:val="single"/>
        </w:rPr>
        <w:t>施工员</w:t>
      </w:r>
      <w:r>
        <w:rPr>
          <w:rFonts w:hint="eastAsia" w:ascii="仿宋" w:hAnsi="仿宋" w:eastAsia="仿宋"/>
          <w:color w:val="auto"/>
          <w:sz w:val="24"/>
          <w:u w:val="single"/>
          <w:lang w:eastAsia="zh-CN"/>
        </w:rPr>
        <w:t>、</w:t>
      </w:r>
      <w:r>
        <w:rPr>
          <w:rFonts w:hint="eastAsia" w:ascii="仿宋" w:hAnsi="仿宋" w:eastAsia="仿宋"/>
          <w:color w:val="auto"/>
          <w:sz w:val="24"/>
          <w:u w:val="single"/>
          <w:lang w:val="en-US" w:eastAsia="zh-CN"/>
        </w:rPr>
        <w:t>安全员</w:t>
      </w:r>
      <w:r>
        <w:rPr>
          <w:rFonts w:hint="eastAsia" w:ascii="仿宋" w:hAnsi="仿宋" w:eastAsia="仿宋"/>
          <w:color w:val="auto"/>
          <w:sz w:val="24"/>
          <w:u w:val="single"/>
          <w:lang w:eastAsia="zh-CN"/>
        </w:rPr>
        <w:t>）</w:t>
      </w:r>
      <w:r>
        <w:rPr>
          <w:rFonts w:hint="eastAsia" w:ascii="仿宋" w:hAnsi="仿宋" w:eastAsia="仿宋"/>
          <w:color w:val="auto"/>
          <w:sz w:val="24"/>
          <w:u w:val="single"/>
        </w:rPr>
        <w:t>，特殊情况要求更换的，须经发包人同意。承包人擅自更换技术负责人、施工员</w:t>
      </w:r>
      <w:r>
        <w:rPr>
          <w:rFonts w:hint="eastAsia" w:ascii="仿宋" w:hAnsi="仿宋" w:eastAsia="仿宋"/>
          <w:color w:val="auto"/>
          <w:sz w:val="24"/>
          <w:u w:val="single"/>
          <w:lang w:eastAsia="zh-CN"/>
        </w:rPr>
        <w:t>、</w:t>
      </w:r>
      <w:r>
        <w:rPr>
          <w:rFonts w:hint="eastAsia" w:ascii="仿宋" w:hAnsi="仿宋" w:eastAsia="仿宋"/>
          <w:color w:val="auto"/>
          <w:sz w:val="24"/>
          <w:u w:val="single"/>
          <w:lang w:val="en-US" w:eastAsia="zh-CN"/>
        </w:rPr>
        <w:t>安全员</w:t>
      </w:r>
      <w:r>
        <w:rPr>
          <w:rFonts w:hint="eastAsia" w:ascii="仿宋" w:hAnsi="仿宋" w:eastAsia="仿宋"/>
          <w:sz w:val="24"/>
          <w:u w:val="single"/>
        </w:rPr>
        <w:t>的将被视为承包人违约，按照500元/人次在结算款中扣除违约金</w:t>
      </w:r>
      <w:r>
        <w:rPr>
          <w:rFonts w:hint="eastAsia" w:ascii="仿宋" w:hAnsi="仿宋" w:eastAsia="仿宋"/>
          <w:sz w:val="24"/>
        </w:rPr>
        <w:t xml:space="preserve">。  </w:t>
      </w:r>
    </w:p>
    <w:p w14:paraId="5129D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4.5 分包</w:t>
      </w:r>
    </w:p>
    <w:p w14:paraId="215AC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4.5.1发包人同意承包人分包的非主体、非关键性工作：本项目不得转包与违法分包（对施工中的特殊专业工程确需分包的，须征得发包人的同意），一经发现转包与违法分包，发包人可立即终止合同，同时不支付工程款。</w:t>
      </w:r>
    </w:p>
    <w:p w14:paraId="04DCCC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发包人同意承包人分包的非主体、非关键性工作，除通用合同条款第4.5款的约定外，分包还应遵循以下约定：</w:t>
      </w:r>
    </w:p>
    <w:p w14:paraId="5074D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除本款约定的分包内容外，承包人可在工程实施阶段分批分期就分包事项向发包人提交申请，发包人在接到分包事项申请后的15日内，予以批准或提出意见。发包人未能在15日批准亦未提出意见的，承包人有权在提交该分包事项后的第16日开始，将提出的拟分包事项对外分包。</w:t>
      </w:r>
    </w:p>
    <w:p w14:paraId="58F027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(2)未经发包人同意的分包工程和分包人，发包人有权拒绝验收分包工程和支付相应款项，由此引起的发包人费用增加和(或)延误的工期由承包人承担。</w:t>
      </w:r>
    </w:p>
    <w:p w14:paraId="48872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4.6 联合体</w:t>
      </w:r>
    </w:p>
    <w:p w14:paraId="2FA3C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本项目接受联合体。</w:t>
      </w:r>
    </w:p>
    <w:p w14:paraId="399B44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第5条 设计</w:t>
      </w:r>
    </w:p>
    <w:p w14:paraId="027ED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5.2 承包人文件审查</w:t>
      </w:r>
    </w:p>
    <w:p w14:paraId="2BCF47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5.2.1 承包人文件审查的期限：</w:t>
      </w:r>
      <w:r>
        <w:rPr>
          <w:rFonts w:hint="eastAsia" w:ascii="仿宋" w:hAnsi="仿宋" w:eastAsia="仿宋" w:cs="仿宋"/>
          <w:color w:val="auto"/>
          <w:kern w:val="2"/>
          <w:sz w:val="24"/>
          <w:szCs w:val="24"/>
          <w:highlight w:val="none"/>
          <w:u w:val="single"/>
          <w:lang w:val="en-US" w:eastAsia="zh-CN" w:bidi="ar"/>
        </w:rPr>
        <w:t>发包人收到承包人递交的施工图后，应在7天内审查完毕。</w:t>
      </w:r>
    </w:p>
    <w:p w14:paraId="51864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bidi="ar"/>
        </w:rPr>
        <w:t>第7条 施工</w:t>
      </w:r>
    </w:p>
    <w:p w14:paraId="2A28F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7.4 测量放线</w:t>
      </w:r>
    </w:p>
    <w:p w14:paraId="6AB2C1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7.4.1 关于测量放线的特别约定的技术规范：</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。施工控制网资料的告知期限：</w:t>
      </w:r>
      <w:r>
        <w:rPr>
          <w:rFonts w:hint="eastAsia" w:ascii="仿宋" w:hAnsi="仿宋" w:eastAsia="仿宋" w:cs="仿宋"/>
          <w:color w:val="auto"/>
          <w:kern w:val="2"/>
          <w:sz w:val="24"/>
          <w:szCs w:val="24"/>
          <w:highlight w:val="none"/>
          <w:u w:val="single"/>
          <w:lang w:val="en-US" w:eastAsia="zh-CN" w:bidi="ar"/>
        </w:rPr>
        <w:t xml:space="preserve">   开工前7天内双方现场交验，并做交验记录 </w:t>
      </w:r>
      <w:r>
        <w:rPr>
          <w:rFonts w:hint="eastAsia" w:ascii="仿宋" w:hAnsi="仿宋" w:eastAsia="仿宋" w:cs="仿宋"/>
          <w:color w:val="auto"/>
          <w:kern w:val="2"/>
          <w:sz w:val="24"/>
          <w:szCs w:val="24"/>
          <w:highlight w:val="none"/>
          <w:lang w:val="en-US" w:eastAsia="zh-CN" w:bidi="ar"/>
        </w:rPr>
        <w:t>。</w:t>
      </w:r>
    </w:p>
    <w:p w14:paraId="17120A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7.5 现场劳动用工</w:t>
      </w:r>
    </w:p>
    <w:p w14:paraId="192FF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7.5.2 合同当事人对建筑工人工资清偿事宜和违约责任的约定：</w:t>
      </w:r>
      <w:r>
        <w:rPr>
          <w:rFonts w:hint="eastAsia" w:ascii="仿宋" w:hAnsi="仿宋" w:eastAsia="仿宋" w:cs="仿宋"/>
          <w:color w:val="auto"/>
          <w:kern w:val="2"/>
          <w:sz w:val="24"/>
          <w:szCs w:val="24"/>
          <w:highlight w:val="none"/>
          <w:u w:val="single"/>
          <w:lang w:val="en-US" w:eastAsia="zh-CN" w:bidi="ar"/>
        </w:rPr>
        <w:t xml:space="preserve">承包人每月必须按时足额发放工人工资，若因为拖欠引起投诉或纠纷，承包人承担所有责任。发包人可以单独支付工人工资，并有权对承包人处10000元每起的罚款。 </w:t>
      </w:r>
    </w:p>
    <w:p w14:paraId="0BAF5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7.6 安全文明施工</w:t>
      </w:r>
    </w:p>
    <w:p w14:paraId="44BE6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7.6.1 安全生产要求</w:t>
      </w:r>
    </w:p>
    <w:p w14:paraId="0BDE44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合同当事人对安全施工的要求：</w:t>
      </w:r>
      <w:r>
        <w:rPr>
          <w:rFonts w:hint="eastAsia" w:ascii="仿宋" w:hAnsi="仿宋" w:eastAsia="仿宋" w:cs="仿宋"/>
          <w:color w:val="auto"/>
          <w:kern w:val="2"/>
          <w:sz w:val="24"/>
          <w:szCs w:val="24"/>
          <w:highlight w:val="none"/>
          <w:u w:val="single"/>
          <w:lang w:val="en-US" w:eastAsia="zh-CN" w:bidi="ar"/>
        </w:rPr>
        <w:t xml:space="preserve"> 承包人必须按国家、浙江省及杭州市有关文件规定实行安全施工，若违反安全施工方面的有关规定，发包人有权从文明施工保证金及工程款中扣除相应发生的实际费用 </w:t>
      </w:r>
      <w:r>
        <w:rPr>
          <w:rFonts w:hint="eastAsia" w:ascii="仿宋" w:hAnsi="仿宋" w:eastAsia="仿宋" w:cs="仿宋"/>
          <w:color w:val="auto"/>
          <w:kern w:val="2"/>
          <w:sz w:val="24"/>
          <w:szCs w:val="24"/>
          <w:highlight w:val="none"/>
          <w:lang w:val="en-US" w:eastAsia="zh-CN" w:bidi="ar"/>
        </w:rPr>
        <w:t>。</w:t>
      </w:r>
    </w:p>
    <w:p w14:paraId="71F9E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7.6.3 文明施工</w:t>
      </w:r>
    </w:p>
    <w:p w14:paraId="16084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合同当事人对文明施工的要求：</w:t>
      </w:r>
      <w:r>
        <w:rPr>
          <w:rFonts w:hint="eastAsia" w:ascii="仿宋" w:hAnsi="仿宋" w:eastAsia="仿宋" w:cs="仿宋"/>
          <w:color w:val="auto"/>
          <w:kern w:val="2"/>
          <w:sz w:val="24"/>
          <w:szCs w:val="24"/>
          <w:highlight w:val="none"/>
          <w:u w:val="single"/>
          <w:lang w:val="en-US" w:eastAsia="zh-CN" w:bidi="ar"/>
        </w:rPr>
        <w:t xml:space="preserve">承包人必须按国家、浙江省及杭州市有关文件规定实行文明施工，工程竣工时必须做到工完场清、料清、障清，若违反文明施工方面的有关规定，发包人有权从文明施工保证金及工程款中扣除相应发生的实际费用 </w:t>
      </w:r>
      <w:r>
        <w:rPr>
          <w:rFonts w:hint="eastAsia" w:ascii="仿宋" w:hAnsi="仿宋" w:eastAsia="仿宋" w:cs="仿宋"/>
          <w:color w:val="auto"/>
          <w:kern w:val="2"/>
          <w:sz w:val="24"/>
          <w:szCs w:val="24"/>
          <w:highlight w:val="none"/>
          <w:lang w:val="en-US" w:eastAsia="zh-CN" w:bidi="ar"/>
        </w:rPr>
        <w:t>。</w:t>
      </w:r>
    </w:p>
    <w:p w14:paraId="65406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7.9 临时性公用设施</w:t>
      </w:r>
    </w:p>
    <w:p w14:paraId="236D92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关于临时性公用设施的特别约定：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37B937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7.10 现场安保</w:t>
      </w:r>
    </w:p>
    <w:p w14:paraId="07540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承包人现场安保义务的特别约定：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09FE4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第8条 工期和进度</w:t>
      </w:r>
    </w:p>
    <w:p w14:paraId="60476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8.1 开始工作</w:t>
      </w:r>
    </w:p>
    <w:p w14:paraId="45775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8.1.1 开始准备工作：</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323E2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8.1.2 发包人可在计划开始工作之日起84日后发出开始工作通知的特殊情形：</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473F61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8.2 竣工日期</w:t>
      </w:r>
    </w:p>
    <w:p w14:paraId="6EB132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竣工日期的约定：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7AE7FA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8.4 项目进度计划</w:t>
      </w:r>
    </w:p>
    <w:p w14:paraId="3D351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8.4.3 进度计划的修订</w:t>
      </w:r>
    </w:p>
    <w:p w14:paraId="1C3223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承包人应向发包人代表提交修订合同进度计划的申请报告，并附有关措施和相关资料，报发包人代表批准；发包人代表也可以直接向承包人作出修订合同进度计划的指示，承包人应按该指示修订合同进度计划，报发包人代表批准。发包人代表收到申请报告后应在 7 日内批复。</w:t>
      </w:r>
    </w:p>
    <w:p w14:paraId="281E30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8.7 工期延误</w:t>
      </w:r>
    </w:p>
    <w:p w14:paraId="471420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8.7.2 因承包人原因导致工期延误</w:t>
      </w:r>
    </w:p>
    <w:p w14:paraId="3051E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sz w:val="24"/>
        </w:rPr>
      </w:pPr>
      <w:r>
        <w:rPr>
          <w:rFonts w:hint="eastAsia" w:ascii="仿宋" w:hAnsi="仿宋" w:eastAsia="仿宋" w:cs="Times New Roman"/>
          <w:sz w:val="24"/>
          <w:u w:val="single"/>
          <w:lang w:val="en-US" w:eastAsia="zh-CN"/>
        </w:rPr>
        <w:t>因承包人原因使竣工日期延误，</w:t>
      </w:r>
      <w:r>
        <w:rPr>
          <w:rFonts w:hint="eastAsia" w:ascii="仿宋" w:hAnsi="仿宋" w:eastAsia="仿宋" w:cs="Times New Roman"/>
          <w:sz w:val="24"/>
          <w:u w:val="single"/>
        </w:rPr>
        <w:t>不能按合同约定工期竣工，每延误一天，承包人应按人民币2000元向</w:t>
      </w:r>
      <w:r>
        <w:rPr>
          <w:rFonts w:hint="eastAsia" w:ascii="仿宋" w:hAnsi="仿宋" w:eastAsia="仿宋"/>
          <w:sz w:val="24"/>
          <w:u w:val="single"/>
        </w:rPr>
        <w:t>发包人支付违约金。该违约金由发包人直接在工程结算价款中扣除</w:t>
      </w:r>
      <w:r>
        <w:rPr>
          <w:rFonts w:hint="eastAsia" w:ascii="仿宋" w:hAnsi="仿宋" w:eastAsia="仿宋"/>
          <w:sz w:val="24"/>
        </w:rPr>
        <w:t>。</w:t>
      </w:r>
    </w:p>
    <w:p w14:paraId="266A2743">
      <w:pPr>
        <w:autoSpaceDE w:val="0"/>
        <w:autoSpaceDN w:val="0"/>
        <w:snapToGrid w:val="0"/>
        <w:spacing w:line="360" w:lineRule="auto"/>
        <w:ind w:firstLine="480" w:firstLineChars="200"/>
        <w:rPr>
          <w:rFonts w:hint="eastAsia"/>
        </w:rPr>
      </w:pPr>
      <w:r>
        <w:rPr>
          <w:rFonts w:hint="eastAsia" w:ascii="仿宋" w:hAnsi="仿宋" w:eastAsia="仿宋"/>
          <w:sz w:val="24"/>
        </w:rPr>
        <w:t>因承包人原因造成工期延误，逾期竣工违约金的上限：</w:t>
      </w:r>
      <w:r>
        <w:rPr>
          <w:rFonts w:hint="eastAsia" w:ascii="仿宋" w:hAnsi="仿宋" w:eastAsia="仿宋"/>
          <w:sz w:val="24"/>
          <w:u w:val="single"/>
        </w:rPr>
        <w:t>累计不超过签约合同总价的</w:t>
      </w:r>
      <w:r>
        <w:rPr>
          <w:rFonts w:ascii="仿宋" w:hAnsi="仿宋" w:eastAsia="仿宋"/>
          <w:sz w:val="24"/>
          <w:u w:val="single"/>
        </w:rPr>
        <w:t>5</w:t>
      </w:r>
      <w:r>
        <w:rPr>
          <w:rFonts w:hint="eastAsia" w:ascii="仿宋" w:hAnsi="仿宋" w:eastAsia="仿宋"/>
          <w:sz w:val="24"/>
          <w:u w:val="single"/>
        </w:rPr>
        <w:t>%</w:t>
      </w:r>
      <w:r>
        <w:rPr>
          <w:rFonts w:hint="eastAsia" w:ascii="仿宋" w:hAnsi="仿宋" w:eastAsia="仿宋"/>
          <w:sz w:val="24"/>
        </w:rPr>
        <w:t>。</w:t>
      </w:r>
    </w:p>
    <w:p w14:paraId="622292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8.7.4 异常恶劣的气候条件</w:t>
      </w:r>
    </w:p>
    <w:p w14:paraId="012176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双方约定视为异常恶劣的气候条件的情形：</w:t>
      </w:r>
    </w:p>
    <w:p w14:paraId="70CD43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（1）24小时内可能或者已经受热带气旋影响，沿海或者陆地平均风力达6级以上，或者阵风8级以上并可能持续。</w:t>
      </w:r>
    </w:p>
    <w:p w14:paraId="73729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（2）12小时内降雨量将达50毫米以上，或者已达50毫米以上且降雨可能持续。</w:t>
      </w:r>
    </w:p>
    <w:p w14:paraId="4A3AAB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（3）12小时内降雪量将达4毫米以上，或者已达4毫米以上且降雪持续。</w:t>
      </w:r>
    </w:p>
    <w:p w14:paraId="2DD8B5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（4）24小时内可能受大风影响，平均风力可达6级以上，或者阵风7级以上；或者已经受大风影响， 平均风力为6～7级，或者阵风7～8级并可能持续。</w:t>
      </w:r>
    </w:p>
    <w:p w14:paraId="4D9BE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（5）2小时内发生雷电活动的可能性很大，或者已经受雷电活动影响，且可能持续，出现雷电灾害事故的可能性比较大。</w:t>
      </w:r>
    </w:p>
    <w:p w14:paraId="1632B26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第9条 竣工试验</w:t>
      </w:r>
    </w:p>
    <w:p w14:paraId="2DA8B4C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9.1 竣工试验的义务</w:t>
      </w:r>
    </w:p>
    <w:p w14:paraId="14B8176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9.1.2竣工验收申请报告</w:t>
      </w:r>
    </w:p>
    <w:p w14:paraId="11263F4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竣工验收资料的份数：</w:t>
      </w:r>
      <w:r>
        <w:rPr>
          <w:rFonts w:hint="eastAsia" w:ascii="仿宋" w:hAnsi="仿宋" w:eastAsia="仿宋" w:cs="仿宋"/>
          <w:color w:val="auto"/>
          <w:kern w:val="2"/>
          <w:sz w:val="24"/>
          <w:szCs w:val="24"/>
          <w:highlight w:val="none"/>
          <w:u w:val="single"/>
          <w:lang w:val="en-US" w:eastAsia="zh-CN" w:bidi="ar"/>
        </w:rPr>
        <w:t xml:space="preserve">  原件一套，复印件七套（含一套光盘）  </w:t>
      </w:r>
      <w:r>
        <w:rPr>
          <w:rFonts w:hint="eastAsia" w:ascii="仿宋" w:hAnsi="仿宋" w:eastAsia="仿宋" w:cs="仿宋"/>
          <w:color w:val="auto"/>
          <w:kern w:val="2"/>
          <w:sz w:val="24"/>
          <w:szCs w:val="24"/>
          <w:highlight w:val="none"/>
          <w:lang w:val="en-US" w:eastAsia="zh-CN" w:bidi="ar"/>
        </w:rPr>
        <w:t>。</w:t>
      </w:r>
    </w:p>
    <w:p w14:paraId="0300E9D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竣工验收资料的费用支付方式：</w:t>
      </w:r>
      <w:r>
        <w:rPr>
          <w:rFonts w:hint="eastAsia" w:ascii="仿宋" w:hAnsi="仿宋" w:eastAsia="仿宋" w:cs="仿宋"/>
          <w:color w:val="auto"/>
          <w:kern w:val="2"/>
          <w:sz w:val="24"/>
          <w:szCs w:val="24"/>
          <w:highlight w:val="none"/>
          <w:u w:val="single"/>
          <w:lang w:val="en-US" w:eastAsia="zh-CN" w:bidi="ar"/>
        </w:rPr>
        <w:t xml:space="preserve">  承包人承担     </w:t>
      </w:r>
      <w:r>
        <w:rPr>
          <w:rFonts w:hint="eastAsia" w:ascii="仿宋" w:hAnsi="仿宋" w:eastAsia="仿宋" w:cs="仿宋"/>
          <w:color w:val="auto"/>
          <w:kern w:val="2"/>
          <w:sz w:val="24"/>
          <w:szCs w:val="24"/>
          <w:highlight w:val="none"/>
          <w:lang w:val="en-US" w:eastAsia="zh-CN" w:bidi="ar"/>
        </w:rPr>
        <w:t>。</w:t>
      </w:r>
    </w:p>
    <w:p w14:paraId="2309DE0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第10条 验收和工程接收</w:t>
      </w:r>
    </w:p>
    <w:p w14:paraId="60BF4F4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10.5 竣工退场</w:t>
      </w:r>
    </w:p>
    <w:p w14:paraId="5DB3BC5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10.5.1 竣工退场的相关约定</w:t>
      </w:r>
    </w:p>
    <w:p w14:paraId="529B71D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除合同另有约定外，工程竣工验收合格证书颁发后，承包人应按以下要求对施工场地进行清理，直至发包人代表检验合格为止。竣工清场费用由承包人承担。</w:t>
      </w:r>
    </w:p>
    <w:p w14:paraId="3A721DC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（1）施工场地内残留的垃圾已全部清除出场；</w:t>
      </w:r>
    </w:p>
    <w:p w14:paraId="2921A05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（2）临时工程已拆除，场地已按合同要求进行清理、平整或复原；</w:t>
      </w:r>
    </w:p>
    <w:p w14:paraId="3BB8ACA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（3）按合同约定应撤离的承包人设备和剩余的材料，包括废弃的施工设备和材料，已按计划撤离施工场地；</w:t>
      </w:r>
    </w:p>
    <w:p w14:paraId="20EA3DF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（4）工程建筑物周边及其附近道路、河道的施工堆积物，已按发包人指示全部清理；</w:t>
      </w:r>
    </w:p>
    <w:p w14:paraId="1632334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（5）发包人代表指示的其他场地清理工作已全部完成。</w:t>
      </w:r>
    </w:p>
    <w:p w14:paraId="4D951E9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10.5.2 承包人未按发包人代表的要求恢复临时占地，或者场地清理未达到合同约定的，发包人有权委托其他人恢复或清理，所发生的金额从拟支付给承包人的款项中扣除。</w:t>
      </w:r>
    </w:p>
    <w:p w14:paraId="35FB39D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10.5.3施工队伍的撤离</w:t>
      </w:r>
    </w:p>
    <w:p w14:paraId="6EC8A50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工程竣工验收证书颁发后的14天内，除了经发包人代表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DFB28F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第11条 缺陷责任与保修</w:t>
      </w:r>
    </w:p>
    <w:p w14:paraId="0CA01F1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11.2 缺陷责任期</w:t>
      </w:r>
    </w:p>
    <w:p w14:paraId="1DC7032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缺陷责任期的期限：</w:t>
      </w:r>
      <w:r>
        <w:rPr>
          <w:rFonts w:hint="eastAsia" w:ascii="仿宋" w:hAnsi="仿宋" w:eastAsia="仿宋" w:cs="仿宋"/>
          <w:color w:val="auto"/>
          <w:kern w:val="2"/>
          <w:sz w:val="24"/>
          <w:szCs w:val="24"/>
          <w:highlight w:val="none"/>
          <w:u w:val="single"/>
          <w:lang w:val="en-US" w:eastAsia="zh-CN" w:bidi="ar"/>
        </w:rPr>
        <w:t xml:space="preserve">  24个月  </w:t>
      </w:r>
      <w:r>
        <w:rPr>
          <w:rFonts w:hint="eastAsia" w:ascii="仿宋" w:hAnsi="仿宋" w:eastAsia="仿宋" w:cs="仿宋"/>
          <w:color w:val="auto"/>
          <w:kern w:val="2"/>
          <w:sz w:val="24"/>
          <w:szCs w:val="24"/>
          <w:highlight w:val="none"/>
          <w:lang w:val="en-US" w:eastAsia="zh-CN" w:bidi="ar"/>
        </w:rPr>
        <w:t>。</w:t>
      </w:r>
    </w:p>
    <w:p w14:paraId="48859C0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11.3 缺陷调查</w:t>
      </w:r>
    </w:p>
    <w:p w14:paraId="6E60BD0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11.3.4 修复通知</w:t>
      </w:r>
    </w:p>
    <w:p w14:paraId="04D907B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承包人收到保修通知并到达工程现场的合理时间：</w:t>
      </w:r>
      <w:r>
        <w:rPr>
          <w:rFonts w:hint="eastAsia" w:ascii="仿宋" w:hAnsi="仿宋" w:eastAsia="仿宋" w:cs="仿宋"/>
          <w:color w:val="auto"/>
          <w:kern w:val="2"/>
          <w:sz w:val="24"/>
          <w:szCs w:val="24"/>
          <w:highlight w:val="none"/>
          <w:u w:val="single"/>
          <w:lang w:val="en-US" w:eastAsia="zh-CN" w:bidi="ar"/>
        </w:rPr>
        <w:t xml:space="preserve"> 2天  </w:t>
      </w:r>
      <w:r>
        <w:rPr>
          <w:rFonts w:hint="eastAsia" w:ascii="仿宋" w:hAnsi="仿宋" w:eastAsia="仿宋" w:cs="仿宋"/>
          <w:color w:val="auto"/>
          <w:kern w:val="2"/>
          <w:sz w:val="24"/>
          <w:szCs w:val="24"/>
          <w:highlight w:val="none"/>
          <w:lang w:val="en-US" w:eastAsia="zh-CN" w:bidi="ar"/>
        </w:rPr>
        <w:t>。</w:t>
      </w:r>
    </w:p>
    <w:p w14:paraId="0B779D0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11.6 缺陷责任期终止证书</w:t>
      </w:r>
    </w:p>
    <w:p w14:paraId="17643BF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承包人应于缺陷责任期届满后</w:t>
      </w:r>
      <w:r>
        <w:rPr>
          <w:rFonts w:hint="eastAsia" w:ascii="仿宋" w:hAnsi="仿宋" w:eastAsia="仿宋" w:cs="仿宋"/>
          <w:color w:val="auto"/>
          <w:kern w:val="2"/>
          <w:sz w:val="24"/>
          <w:szCs w:val="24"/>
          <w:highlight w:val="none"/>
          <w:u w:val="single"/>
          <w:lang w:val="en-US" w:eastAsia="zh-CN" w:bidi="ar"/>
        </w:rPr>
        <w:t xml:space="preserve"> 14 </w:t>
      </w:r>
      <w:r>
        <w:rPr>
          <w:rFonts w:hint="eastAsia" w:ascii="仿宋" w:hAnsi="仿宋" w:eastAsia="仿宋" w:cs="仿宋"/>
          <w:color w:val="auto"/>
          <w:kern w:val="2"/>
          <w:sz w:val="24"/>
          <w:szCs w:val="24"/>
          <w:highlight w:val="none"/>
          <w:lang w:val="en-US" w:eastAsia="zh-CN" w:bidi="ar"/>
        </w:rPr>
        <w:t>天内向发包人发出缺陷责任期届满通知，发包人应在收到缺陷责任期满通知后</w:t>
      </w:r>
      <w:r>
        <w:rPr>
          <w:rFonts w:hint="eastAsia" w:ascii="仿宋" w:hAnsi="仿宋" w:eastAsia="仿宋" w:cs="仿宋"/>
          <w:color w:val="auto"/>
          <w:kern w:val="2"/>
          <w:sz w:val="24"/>
          <w:szCs w:val="24"/>
          <w:highlight w:val="none"/>
          <w:u w:val="single"/>
          <w:lang w:val="en-US" w:eastAsia="zh-CN" w:bidi="ar"/>
        </w:rPr>
        <w:t xml:space="preserve"> 14 </w:t>
      </w:r>
      <w:r>
        <w:rPr>
          <w:rFonts w:hint="eastAsia" w:ascii="仿宋" w:hAnsi="仿宋" w:eastAsia="仿宋" w:cs="仿宋"/>
          <w:color w:val="auto"/>
          <w:kern w:val="2"/>
          <w:sz w:val="24"/>
          <w:szCs w:val="24"/>
          <w:highlight w:val="none"/>
          <w:lang w:val="en-US" w:eastAsia="zh-CN" w:bidi="ar"/>
        </w:rPr>
        <w:t>天内核实承包人是否履行缺陷修复义务，承包人未能履行缺陷修复义务的，发包人有权扣除相应金额的维修费用。发包人应在收到缺陷责任期届满通知后</w:t>
      </w:r>
      <w:r>
        <w:rPr>
          <w:rFonts w:hint="eastAsia" w:ascii="仿宋" w:hAnsi="仿宋" w:eastAsia="仿宋" w:cs="仿宋"/>
          <w:color w:val="auto"/>
          <w:kern w:val="2"/>
          <w:sz w:val="24"/>
          <w:szCs w:val="24"/>
          <w:highlight w:val="none"/>
          <w:u w:val="single"/>
          <w:lang w:val="en-US" w:eastAsia="zh-CN" w:bidi="ar"/>
        </w:rPr>
        <w:t xml:space="preserve"> 14 </w:t>
      </w:r>
      <w:r>
        <w:rPr>
          <w:rFonts w:hint="eastAsia" w:ascii="仿宋" w:hAnsi="仿宋" w:eastAsia="仿宋" w:cs="仿宋"/>
          <w:color w:val="auto"/>
          <w:kern w:val="2"/>
          <w:sz w:val="24"/>
          <w:szCs w:val="24"/>
          <w:highlight w:val="none"/>
          <w:lang w:val="en-US" w:eastAsia="zh-CN" w:bidi="ar"/>
        </w:rPr>
        <w:t>天内，向承包人颁发缺陷责任期终止证书。</w:t>
      </w:r>
    </w:p>
    <w:p w14:paraId="1B8D373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11.7 保修责任</w:t>
      </w:r>
    </w:p>
    <w:p w14:paraId="0C9644A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(1)工程质量保修范围：本项目全部内容。</w:t>
      </w:r>
    </w:p>
    <w:p w14:paraId="24F98AF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(2)工程质量保修期限：2年。</w:t>
      </w:r>
    </w:p>
    <w:p w14:paraId="71625B7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(3)工程质量保修责任：</w:t>
      </w:r>
    </w:p>
    <w:p w14:paraId="7F9D9BE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1）属于保修范围、内容的项目，承包人应当在接到保修通知之日起7天内派人保修。承包人不在约定期限内派人保修的，发包人可以委托他人修理，相关费用由承包人承担。</w:t>
      </w:r>
    </w:p>
    <w:p w14:paraId="74E0025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2）发生紧急抢修事故的，承包人在接到事故通知后，应当立即到达事故现场抢修。</w:t>
      </w:r>
    </w:p>
    <w:p w14:paraId="1069F0E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A351AB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第13条 变更与调整</w:t>
      </w:r>
    </w:p>
    <w:p w14:paraId="3C9BF4F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13.1变更</w:t>
      </w:r>
      <w:r>
        <w:rPr>
          <w:rFonts w:hint="eastAsia" w:ascii="仿宋" w:hAnsi="仿宋" w:eastAsia="仿宋" w:cs="仿宋"/>
          <w:b/>
          <w:bCs w:val="0"/>
          <w:color w:val="auto"/>
          <w:kern w:val="2"/>
          <w:sz w:val="24"/>
          <w:szCs w:val="24"/>
          <w:highlight w:val="none"/>
          <w:lang w:val="en-US" w:eastAsia="zh-CN" w:bidi="ar"/>
        </w:rPr>
        <w:t>的形式</w:t>
      </w:r>
    </w:p>
    <w:p w14:paraId="59FA9D3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由发包人批准并发出的书面变更指令，属于变更。所有变更指令均需通过发包人代表下达承包人；</w:t>
      </w:r>
    </w:p>
    <w:p w14:paraId="072C9C3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承包人对自身设计、采购、施工、竣工试验、竣工后试验存在的缺陷，应自费修正、调整和完善，不属于变更。</w:t>
      </w:r>
    </w:p>
    <w:p w14:paraId="45CBDF8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13.2 承包人的合理化建议</w:t>
      </w:r>
    </w:p>
    <w:p w14:paraId="470DD4C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13.2.2 发包人应在收到承包人提交的合理化建议后7日内审查完毕并报送发包人，发现其中存在技术上的缺陷，应通知承包人修改。合理化建议经发包人批准的，发包人代表应及时发出变更指示。发包人不同意变更的，发包人代表应书面通知承包人。</w:t>
      </w:r>
    </w:p>
    <w:p w14:paraId="20B33FA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13.3 变更程序</w:t>
      </w:r>
    </w:p>
    <w:p w14:paraId="3B72B3A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13.3.3 变更估价</w:t>
      </w:r>
    </w:p>
    <w:p w14:paraId="33A4DA8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发包人签证确认的变更，承包人按组价依据编制预算（按投标同口径下浮），并经发包人委托的造价咨询机构审定，作为结算的依据。组价依据：</w:t>
      </w:r>
    </w:p>
    <w:p w14:paraId="3742BCF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◆《建设工程工程量清单计价规范》（GB50500-2013）；</w:t>
      </w:r>
    </w:p>
    <w:p w14:paraId="19FCE66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◆《浙江省建设工程计价规则》（2018版）；</w:t>
      </w:r>
    </w:p>
    <w:p w14:paraId="48B36B8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◆《浙江省房屋建筑与装饰工程预算定额》（2018版）；</w:t>
      </w:r>
    </w:p>
    <w:p w14:paraId="025E861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◆《浙江省通用安装工程预算定额》（2018版）；</w:t>
      </w:r>
    </w:p>
    <w:p w14:paraId="05B1DA4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◆《浙江省市政工程预算定额》（2018版）；</w:t>
      </w:r>
    </w:p>
    <w:p w14:paraId="1887DD6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◆《浙江省建设工程施工机械台班费用定额》（2018版）及相关文件；</w:t>
      </w:r>
    </w:p>
    <w:p w14:paraId="3A3301D9">
      <w:pPr>
        <w:autoSpaceDE w:val="0"/>
        <w:autoSpaceDN w:val="0"/>
        <w:adjustRightInd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Times New Roman"/>
          <w:sz w:val="24"/>
          <w:lang w:val="en-US" w:eastAsia="zh-CN"/>
        </w:rPr>
        <w:t>按现行计价依据规定的控制价编制方法计算（企业管理费、规费、利润均按建筑安装工程施工取费费率中其所属专业工程的中值计取），同时考虑让利幅度【让利幅度＝1－投标价中建筑安装工程费（扣除暂列金额和暂估价总额）/最高投标限价中建筑安装工程费（扣除暂列金额和暂估价总额）】。</w:t>
      </w:r>
    </w:p>
    <w:p w14:paraId="2128BB3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第14条 合同价格与支付</w:t>
      </w:r>
    </w:p>
    <w:p w14:paraId="4237913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14.1 合同价格形式</w:t>
      </w:r>
    </w:p>
    <w:p w14:paraId="087839C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14.1.1 本项目合同价格（项目建设费用）</w:t>
      </w:r>
      <w:r>
        <w:rPr>
          <w:rFonts w:hint="eastAsia" w:ascii="仿宋" w:hAnsi="仿宋" w:eastAsia="仿宋" w:cs="仿宋"/>
          <w:color w:val="auto"/>
          <w:kern w:val="2"/>
          <w:sz w:val="24"/>
          <w:szCs w:val="24"/>
          <w:highlight w:val="none"/>
          <w:u w:val="single"/>
          <w:lang w:val="en-US" w:eastAsia="zh-CN" w:bidi="ar"/>
        </w:rPr>
        <w:t>由设计费、工程费、总承包其他费组成</w:t>
      </w:r>
      <w:r>
        <w:rPr>
          <w:rFonts w:hint="eastAsia" w:ascii="仿宋" w:hAnsi="仿宋" w:eastAsia="仿宋" w:cs="仿宋"/>
          <w:color w:val="auto"/>
          <w:kern w:val="2"/>
          <w:sz w:val="24"/>
          <w:szCs w:val="24"/>
          <w:highlight w:val="none"/>
          <w:lang w:val="en-US" w:eastAsia="zh-CN" w:bidi="ar"/>
        </w:rPr>
        <w:t>。</w:t>
      </w:r>
    </w:p>
    <w:p w14:paraId="4B69641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14.1.2 关于合同价格调整的约定： </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75E3578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14.1.3 按实际完成的工程量支付工程价款的计量方法、估价方法： </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1C81C37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14.2 预付款</w:t>
      </w:r>
    </w:p>
    <w:p w14:paraId="79B205F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14.2.1</w:t>
      </w:r>
      <w:r>
        <w:rPr>
          <w:rFonts w:hint="eastAsia" w:ascii="仿宋" w:hAnsi="仿宋" w:eastAsia="仿宋" w:cs="仿宋"/>
          <w:b/>
          <w:bCs/>
          <w:color w:val="auto"/>
          <w:kern w:val="2"/>
          <w:sz w:val="24"/>
          <w:szCs w:val="24"/>
          <w:highlight w:val="none"/>
          <w:lang w:val="en-US" w:eastAsia="zh-CN" w:bidi="ar"/>
        </w:rPr>
        <w:t xml:space="preserve"> </w:t>
      </w:r>
      <w:r>
        <w:rPr>
          <w:rFonts w:hint="eastAsia" w:ascii="仿宋" w:hAnsi="仿宋" w:eastAsia="仿宋" w:cs="仿宋"/>
          <w:b w:val="0"/>
          <w:bCs w:val="0"/>
          <w:color w:val="auto"/>
          <w:kern w:val="2"/>
          <w:sz w:val="24"/>
          <w:szCs w:val="24"/>
          <w:highlight w:val="none"/>
          <w:lang w:val="en-US" w:eastAsia="zh-CN" w:bidi="ar"/>
        </w:rPr>
        <w:t>预付款</w:t>
      </w:r>
      <w:r>
        <w:rPr>
          <w:rFonts w:hint="eastAsia" w:ascii="仿宋" w:hAnsi="仿宋" w:eastAsia="仿宋" w:cs="仿宋"/>
          <w:color w:val="auto"/>
          <w:kern w:val="2"/>
          <w:sz w:val="24"/>
          <w:szCs w:val="24"/>
          <w:highlight w:val="none"/>
          <w:lang w:val="en-US" w:eastAsia="zh-CN" w:bidi="ar"/>
        </w:rPr>
        <w:t>支付</w:t>
      </w:r>
    </w:p>
    <w:p w14:paraId="1E3F08A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预付款的金额或比例为：</w:t>
      </w:r>
      <w:r>
        <w:rPr>
          <w:rFonts w:hint="eastAsia" w:ascii="仿宋" w:hAnsi="仿宋" w:eastAsia="仿宋"/>
          <w:sz w:val="24"/>
          <w:u w:val="single"/>
        </w:rPr>
        <w:t>签约合同价(不含暂列金)的</w:t>
      </w:r>
      <w:r>
        <w:rPr>
          <w:rFonts w:ascii="仿宋" w:hAnsi="仿宋" w:eastAsia="仿宋"/>
          <w:sz w:val="24"/>
          <w:u w:val="single"/>
        </w:rPr>
        <w:t>4</w:t>
      </w:r>
      <w:r>
        <w:rPr>
          <w:rFonts w:hint="eastAsia" w:ascii="仿宋" w:hAnsi="仿宋" w:eastAsia="仿宋"/>
          <w:sz w:val="24"/>
          <w:u w:val="single"/>
        </w:rPr>
        <w:t>0%</w:t>
      </w:r>
      <w:r>
        <w:rPr>
          <w:rFonts w:hint="eastAsia" w:ascii="仿宋" w:hAnsi="仿宋" w:eastAsia="仿宋" w:cs="仿宋"/>
          <w:color w:val="auto"/>
          <w:kern w:val="2"/>
          <w:sz w:val="24"/>
          <w:szCs w:val="24"/>
          <w:highlight w:val="none"/>
          <w:lang w:val="en-US" w:eastAsia="zh-CN" w:bidi="ar"/>
        </w:rPr>
        <w:t>。</w:t>
      </w:r>
    </w:p>
    <w:p w14:paraId="7D748C7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预付款支付期限：</w:t>
      </w:r>
      <w:r>
        <w:rPr>
          <w:rFonts w:hint="eastAsia" w:ascii="仿宋" w:hAnsi="仿宋" w:eastAsia="仿宋" w:cs="仿宋"/>
          <w:color w:val="auto"/>
          <w:kern w:val="2"/>
          <w:sz w:val="24"/>
          <w:szCs w:val="24"/>
          <w:highlight w:val="none"/>
          <w:u w:val="single"/>
          <w:lang w:val="en-US" w:eastAsia="zh-CN" w:bidi="ar"/>
        </w:rPr>
        <w:t>合同签订，开工后7日内</w:t>
      </w:r>
      <w:r>
        <w:rPr>
          <w:rFonts w:hint="eastAsia" w:ascii="仿宋" w:hAnsi="仿宋" w:eastAsia="仿宋" w:cs="仿宋"/>
          <w:color w:val="auto"/>
          <w:kern w:val="2"/>
          <w:sz w:val="24"/>
          <w:szCs w:val="24"/>
          <w:highlight w:val="none"/>
          <w:lang w:val="en-US" w:eastAsia="zh-CN" w:bidi="ar"/>
        </w:rPr>
        <w:t>。</w:t>
      </w:r>
    </w:p>
    <w:p w14:paraId="68C5E1B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预付款扣回的方式：</w:t>
      </w:r>
      <w:r>
        <w:rPr>
          <w:rFonts w:hint="eastAsia" w:ascii="仿宋" w:hAnsi="仿宋" w:eastAsia="仿宋" w:cs="仿宋"/>
          <w:color w:val="auto"/>
          <w:kern w:val="2"/>
          <w:sz w:val="24"/>
          <w:szCs w:val="24"/>
          <w:highlight w:val="none"/>
          <w:u w:val="single"/>
          <w:lang w:val="en-US" w:eastAsia="zh-CN" w:bidi="ar"/>
        </w:rPr>
        <w:t xml:space="preserve"> 在第一期进度款中扣回</w:t>
      </w:r>
      <w:r>
        <w:rPr>
          <w:rFonts w:hint="eastAsia" w:ascii="仿宋" w:hAnsi="仿宋" w:eastAsia="仿宋" w:cs="仿宋"/>
          <w:color w:val="auto"/>
          <w:kern w:val="2"/>
          <w:sz w:val="24"/>
          <w:szCs w:val="24"/>
          <w:highlight w:val="none"/>
          <w:lang w:val="en-US" w:eastAsia="zh-CN" w:bidi="ar"/>
        </w:rPr>
        <w:t>。</w:t>
      </w:r>
    </w:p>
    <w:p w14:paraId="118B8BE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14.2.2预付款担保</w:t>
      </w:r>
    </w:p>
    <w:p w14:paraId="202C81E5">
      <w:pPr>
        <w:autoSpaceDE w:val="0"/>
        <w:autoSpaceDN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提供预付款担保期限：</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olor w:val="auto"/>
          <w:sz w:val="24"/>
          <w:u w:val="single"/>
        </w:rPr>
        <w:t>提交预付款支付申请前</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28D24CF1">
      <w:pPr>
        <w:autoSpaceDE w:val="0"/>
        <w:autoSpaceDN w:val="0"/>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u w:val="single"/>
        </w:rPr>
        <w:t>预付款担保自交纳之日起至发包人支付的进度款扣清预付款后7天内有效，在此有效期截止日预付款担保解除。如工期延误，则承包人必须在有效期满前10天办理预付款担保有效期顺延事宜，否则发包人有权不予支付工程款</w:t>
      </w:r>
      <w:r>
        <w:rPr>
          <w:rFonts w:hint="eastAsia" w:ascii="仿宋" w:hAnsi="仿宋" w:eastAsia="仿宋"/>
          <w:color w:val="auto"/>
          <w:sz w:val="24"/>
        </w:rPr>
        <w:t xml:space="preserve">。 </w:t>
      </w:r>
    </w:p>
    <w:p w14:paraId="5B6D1C46">
      <w:pPr>
        <w:autoSpaceDE w:val="0"/>
        <w:autoSpaceDN w:val="0"/>
        <w:adjustRightInd w:val="0"/>
        <w:snapToGrid w:val="0"/>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olor w:val="auto"/>
          <w:sz w:val="24"/>
          <w:u w:val="single"/>
        </w:rPr>
        <w:t>预付款担保有效期内如承包人出现违约情况，发包人将予以处罚，承包人应在接到处罚通知后15天内缴纳违约金，否则发包人有权停止支付工程进度款或从工程进度款中扣除</w:t>
      </w:r>
      <w:r>
        <w:rPr>
          <w:rFonts w:hint="eastAsia" w:ascii="仿宋" w:hAnsi="仿宋" w:eastAsia="仿宋"/>
          <w:color w:val="auto"/>
          <w:sz w:val="24"/>
        </w:rPr>
        <w:t>。</w:t>
      </w:r>
    </w:p>
    <w:p w14:paraId="7E324D2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预付款担保形式：</w:t>
      </w:r>
      <w:r>
        <w:rPr>
          <w:rFonts w:hint="eastAsia" w:ascii="仿宋" w:hAnsi="仿宋" w:eastAsia="仿宋"/>
          <w:color w:val="auto"/>
          <w:sz w:val="24"/>
          <w:u w:val="single"/>
        </w:rPr>
        <w:t>银行、保险公司等金融机构出具的预付款保函。</w:t>
      </w:r>
    </w:p>
    <w:p w14:paraId="5EF000B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14.3 工程进度款</w:t>
      </w:r>
    </w:p>
    <w:p w14:paraId="2123871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14.3.1 工程进度付款申请</w:t>
      </w:r>
    </w:p>
    <w:p w14:paraId="2428636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工程进度付款申请方式：</w:t>
      </w:r>
      <w:r>
        <w:rPr>
          <w:rFonts w:hint="eastAsia" w:ascii="仿宋" w:hAnsi="仿宋" w:eastAsia="仿宋" w:cs="仿宋"/>
          <w:color w:val="auto"/>
          <w:kern w:val="2"/>
          <w:sz w:val="24"/>
          <w:szCs w:val="24"/>
          <w:highlight w:val="none"/>
          <w:u w:val="single"/>
          <w:lang w:val="en-US" w:eastAsia="zh-CN" w:bidi="ar"/>
        </w:rPr>
        <w:t xml:space="preserve">根据发包人代表计量并签证确认的已完工程计量表，递交进度付款申请单 </w:t>
      </w:r>
      <w:r>
        <w:rPr>
          <w:rFonts w:hint="eastAsia" w:ascii="仿宋" w:hAnsi="仿宋" w:eastAsia="仿宋" w:cs="仿宋"/>
          <w:color w:val="auto"/>
          <w:kern w:val="2"/>
          <w:sz w:val="24"/>
          <w:szCs w:val="24"/>
          <w:highlight w:val="none"/>
          <w:lang w:val="en-US" w:eastAsia="zh-CN" w:bidi="ar"/>
        </w:rPr>
        <w:t>。</w:t>
      </w:r>
    </w:p>
    <w:p w14:paraId="492FAF9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14.3.2 进度付款审核和支付</w:t>
      </w:r>
    </w:p>
    <w:p w14:paraId="4146CE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kern w:val="2"/>
          <w:sz w:val="24"/>
          <w:szCs w:val="24"/>
          <w:highlight w:val="none"/>
          <w:lang w:val="en-US" w:eastAsia="zh-CN" w:bidi="ar"/>
        </w:rPr>
        <w:t>进度付款的审核方式和支付的约定：</w:t>
      </w:r>
      <w:r>
        <w:rPr>
          <w:rFonts w:hint="eastAsia" w:ascii="仿宋" w:hAnsi="仿宋" w:eastAsia="仿宋" w:cs="仿宋_GB2312"/>
          <w:color w:val="auto"/>
          <w:sz w:val="24"/>
          <w:highlight w:val="none"/>
          <w:u w:val="single"/>
        </w:rPr>
        <w:t>①合同签订7天内支付签约合同价</w:t>
      </w:r>
      <w:r>
        <w:rPr>
          <w:rFonts w:hint="eastAsia" w:ascii="仿宋" w:hAnsi="仿宋" w:eastAsia="仿宋"/>
          <w:sz w:val="24"/>
          <w:u w:val="single"/>
        </w:rPr>
        <w:t>（不含暂列金）</w:t>
      </w:r>
      <w:r>
        <w:rPr>
          <w:rFonts w:hint="eastAsia" w:ascii="仿宋" w:hAnsi="仿宋" w:eastAsia="仿宋" w:cs="仿宋_GB2312"/>
          <w:color w:val="auto"/>
          <w:sz w:val="24"/>
          <w:highlight w:val="none"/>
          <w:u w:val="single"/>
        </w:rPr>
        <w:t>40%的预付款（承包人相应提供签约合同价的40%预付款担保，预付款在第一期进度款中扣回）；②</w:t>
      </w:r>
      <w:r>
        <w:rPr>
          <w:rFonts w:hint="eastAsia" w:ascii="仿宋" w:hAnsi="仿宋" w:eastAsia="仿宋" w:cs="仿宋_GB2312"/>
          <w:color w:val="auto"/>
          <w:sz w:val="24"/>
          <w:highlight w:val="none"/>
          <w:u w:val="single"/>
          <w:lang w:val="en-US" w:eastAsia="zh-CN"/>
        </w:rPr>
        <w:t>主要设备、电缆进场，并报监理人及采购人审核通过后7天内，支付至合同价</w:t>
      </w:r>
      <w:r>
        <w:rPr>
          <w:rFonts w:hint="eastAsia" w:ascii="仿宋" w:hAnsi="仿宋" w:eastAsia="仿宋" w:cs="仿宋_GB2312"/>
          <w:color w:val="auto"/>
          <w:sz w:val="24"/>
          <w:highlight w:val="none"/>
          <w:u w:val="single"/>
        </w:rPr>
        <w:t>（不含暂列金）的</w:t>
      </w:r>
      <w:r>
        <w:rPr>
          <w:rFonts w:hint="eastAsia" w:ascii="仿宋" w:hAnsi="仿宋" w:eastAsia="仿宋" w:cs="仿宋_GB2312"/>
          <w:color w:val="auto"/>
          <w:sz w:val="24"/>
          <w:highlight w:val="none"/>
          <w:u w:val="single"/>
          <w:lang w:val="en-US" w:eastAsia="zh-CN"/>
        </w:rPr>
        <w:t>60</w:t>
      </w:r>
      <w:r>
        <w:rPr>
          <w:rFonts w:hint="eastAsia" w:ascii="仿宋" w:hAnsi="仿宋" w:eastAsia="仿宋" w:cs="仿宋_GB2312"/>
          <w:color w:val="auto"/>
          <w:sz w:val="24"/>
          <w:highlight w:val="none"/>
          <w:u w:val="single"/>
        </w:rPr>
        <w:t>%作为第一期进度款</w:t>
      </w:r>
      <w:r>
        <w:rPr>
          <w:rFonts w:hint="eastAsia" w:ascii="仿宋" w:hAnsi="仿宋" w:eastAsia="仿宋" w:cs="Arial"/>
          <w:bCs/>
          <w:color w:val="auto"/>
          <w:sz w:val="24"/>
          <w:highlight w:val="none"/>
          <w:lang w:val="en-US" w:eastAsia="zh-CN"/>
        </w:rPr>
        <w:t>；</w:t>
      </w:r>
      <w:r>
        <w:rPr>
          <w:rFonts w:hint="eastAsia" w:ascii="仿宋" w:hAnsi="仿宋" w:eastAsia="仿宋" w:cs="仿宋_GB2312"/>
          <w:color w:val="auto"/>
          <w:sz w:val="24"/>
          <w:highlight w:val="none"/>
          <w:u w:val="single"/>
        </w:rPr>
        <w:t>③工程验收合格后7天内，支付至合同价</w:t>
      </w:r>
      <w:r>
        <w:rPr>
          <w:rFonts w:hint="eastAsia" w:ascii="仿宋" w:hAnsi="仿宋" w:eastAsia="仿宋"/>
          <w:sz w:val="24"/>
          <w:u w:val="single"/>
        </w:rPr>
        <w:t>（不含暂列金）</w:t>
      </w:r>
      <w:r>
        <w:rPr>
          <w:rFonts w:hint="eastAsia" w:ascii="仿宋" w:hAnsi="仿宋" w:eastAsia="仿宋" w:cs="仿宋_GB2312"/>
          <w:color w:val="auto"/>
          <w:sz w:val="24"/>
          <w:highlight w:val="none"/>
          <w:u w:val="single"/>
        </w:rPr>
        <w:t>85%；</w:t>
      </w:r>
      <w:r>
        <w:rPr>
          <w:rFonts w:hint="eastAsia" w:ascii="仿宋" w:hAnsi="仿宋" w:eastAsia="仿宋" w:cs="仿宋_GB2312"/>
          <w:color w:val="auto"/>
          <w:sz w:val="24"/>
          <w:u w:val="single"/>
        </w:rPr>
        <w:fldChar w:fldCharType="begin"/>
      </w:r>
      <w:r>
        <w:rPr>
          <w:rFonts w:hint="eastAsia" w:ascii="仿宋" w:hAnsi="仿宋" w:eastAsia="仿宋" w:cs="仿宋_GB2312"/>
          <w:color w:val="auto"/>
          <w:sz w:val="24"/>
          <w:u w:val="single"/>
        </w:rPr>
        <w:instrText xml:space="preserve"> = 4 \* GB3 </w:instrText>
      </w:r>
      <w:r>
        <w:rPr>
          <w:rFonts w:hint="eastAsia" w:ascii="仿宋" w:hAnsi="仿宋" w:eastAsia="仿宋" w:cs="仿宋_GB2312"/>
          <w:color w:val="auto"/>
          <w:sz w:val="24"/>
          <w:u w:val="single"/>
        </w:rPr>
        <w:fldChar w:fldCharType="separate"/>
      </w:r>
      <w:r>
        <w:rPr>
          <w:rFonts w:hint="eastAsia" w:ascii="仿宋" w:hAnsi="仿宋" w:eastAsia="仿宋" w:cs="仿宋_GB2312"/>
          <w:color w:val="auto"/>
          <w:sz w:val="24"/>
          <w:u w:val="single"/>
        </w:rPr>
        <w:t>④</w:t>
      </w:r>
      <w:r>
        <w:rPr>
          <w:rFonts w:hint="eastAsia" w:ascii="仿宋" w:hAnsi="仿宋" w:eastAsia="仿宋" w:cs="仿宋_GB2312"/>
          <w:color w:val="auto"/>
          <w:sz w:val="24"/>
          <w:u w:val="single"/>
        </w:rPr>
        <w:fldChar w:fldCharType="end"/>
      </w:r>
      <w:r>
        <w:rPr>
          <w:rFonts w:hint="eastAsia" w:ascii="仿宋" w:hAnsi="仿宋" w:eastAsia="仿宋" w:cs="仿宋_GB2312"/>
          <w:color w:val="auto"/>
          <w:sz w:val="24"/>
          <w:highlight w:val="none"/>
          <w:u w:val="single"/>
        </w:rPr>
        <w:t>承包人提交竣工、结算资料经结算审计完成，由采购人组织进行项目总验收，</w:t>
      </w:r>
      <w:r>
        <w:rPr>
          <w:rFonts w:hint="eastAsia" w:ascii="仿宋" w:hAnsi="仿宋" w:eastAsia="仿宋" w:cs="仿宋_GB2312"/>
          <w:color w:val="auto"/>
          <w:sz w:val="24"/>
          <w:u w:val="single"/>
        </w:rPr>
        <w:t>验收合格，承包人在缴纳工程质量保证金及施工用水电费后，支付至审定价的100%</w:t>
      </w:r>
      <w:r>
        <w:rPr>
          <w:rFonts w:hint="eastAsia" w:ascii="仿宋" w:hAnsi="仿宋" w:eastAsia="仿宋" w:cs="仿宋_GB2312"/>
          <w:color w:val="auto"/>
          <w:sz w:val="24"/>
        </w:rPr>
        <w:t>。</w:t>
      </w:r>
    </w:p>
    <w:p w14:paraId="60EC861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14.4 付款计划表</w:t>
      </w:r>
    </w:p>
    <w:p w14:paraId="06D3434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14.4.1 付款计划表的编制要求：</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1260DD9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14.4.2 付款计划表的编制与审批</w:t>
      </w:r>
    </w:p>
    <w:p w14:paraId="42EC0B3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付款计划表的编制：</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311D19C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14.5 竣工结算</w:t>
      </w:r>
    </w:p>
    <w:p w14:paraId="737A864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14.5.1 竣工结算申请</w:t>
      </w:r>
    </w:p>
    <w:p w14:paraId="6DBCB19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承包人提交竣工结算申请的时间：</w:t>
      </w:r>
      <w:r>
        <w:rPr>
          <w:rFonts w:hint="eastAsia" w:ascii="仿宋" w:hAnsi="仿宋" w:eastAsia="仿宋" w:cs="仿宋"/>
          <w:color w:val="auto"/>
          <w:kern w:val="2"/>
          <w:sz w:val="24"/>
          <w:szCs w:val="24"/>
          <w:highlight w:val="none"/>
          <w:u w:val="single"/>
          <w:lang w:val="en-US" w:eastAsia="zh-CN" w:bidi="ar"/>
        </w:rPr>
        <w:t xml:space="preserve"> 竣工验收合格后28天内 </w:t>
      </w:r>
      <w:r>
        <w:rPr>
          <w:rFonts w:hint="eastAsia" w:ascii="仿宋" w:hAnsi="仿宋" w:eastAsia="仿宋" w:cs="仿宋"/>
          <w:color w:val="auto"/>
          <w:kern w:val="2"/>
          <w:sz w:val="24"/>
          <w:szCs w:val="24"/>
          <w:highlight w:val="none"/>
          <w:lang w:val="en-US" w:eastAsia="zh-CN" w:bidi="ar"/>
        </w:rPr>
        <w:t>。</w:t>
      </w:r>
    </w:p>
    <w:p w14:paraId="531E1F1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竣工结算申请的资料清单和份数：</w:t>
      </w:r>
      <w:r>
        <w:rPr>
          <w:rFonts w:hint="eastAsia" w:ascii="仿宋" w:hAnsi="仿宋" w:eastAsia="仿宋" w:cs="仿宋"/>
          <w:color w:val="auto"/>
          <w:kern w:val="2"/>
          <w:sz w:val="24"/>
          <w:szCs w:val="24"/>
          <w:highlight w:val="none"/>
          <w:u w:val="single"/>
          <w:lang w:val="en-US" w:eastAsia="zh-CN" w:bidi="ar"/>
        </w:rPr>
        <w:t xml:space="preserve"> 承包人负责整理和提交竣工图、竣工决算书、签证材料，一式八份。 </w:t>
      </w:r>
    </w:p>
    <w:p w14:paraId="2A6E7C9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竣工结算申请单的内容应包括：</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63F8E4C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14.6 质量保证金</w:t>
      </w:r>
    </w:p>
    <w:p w14:paraId="53E705E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14.6.1 承包人提供质量保证金的方式</w:t>
      </w:r>
    </w:p>
    <w:p w14:paraId="59DA0C6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质量保证金采用以下第</w:t>
      </w:r>
      <w:r>
        <w:rPr>
          <w:rFonts w:hint="eastAsia" w:ascii="仿宋" w:hAnsi="仿宋" w:eastAsia="仿宋" w:cs="仿宋"/>
          <w:color w:val="auto"/>
          <w:kern w:val="2"/>
          <w:sz w:val="24"/>
          <w:szCs w:val="24"/>
          <w:highlight w:val="none"/>
          <w:u w:val="single"/>
          <w:lang w:val="en-US" w:eastAsia="zh-CN" w:bidi="ar"/>
        </w:rPr>
        <w:t xml:space="preserve">   （1）    </w:t>
      </w:r>
      <w:r>
        <w:rPr>
          <w:rFonts w:hint="eastAsia" w:ascii="仿宋" w:hAnsi="仿宋" w:eastAsia="仿宋" w:cs="仿宋"/>
          <w:color w:val="auto"/>
          <w:kern w:val="2"/>
          <w:sz w:val="24"/>
          <w:szCs w:val="24"/>
          <w:highlight w:val="none"/>
          <w:lang w:val="en-US" w:eastAsia="zh-CN" w:bidi="ar"/>
        </w:rPr>
        <w:t>种方式：</w:t>
      </w:r>
    </w:p>
    <w:p w14:paraId="09A1B95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 工程质量保证担保，保证金额为：</w:t>
      </w:r>
      <w:r>
        <w:rPr>
          <w:rFonts w:hint="eastAsia" w:ascii="仿宋" w:hAnsi="仿宋" w:eastAsia="仿宋" w:cs="仿宋"/>
          <w:color w:val="auto"/>
          <w:kern w:val="2"/>
          <w:sz w:val="24"/>
          <w:szCs w:val="24"/>
          <w:highlight w:val="none"/>
          <w:u w:val="single"/>
          <w:lang w:val="en-US" w:eastAsia="zh-CN" w:bidi="ar"/>
        </w:rPr>
        <w:t xml:space="preserve"> 审定价格的1.5%   </w:t>
      </w:r>
      <w:r>
        <w:rPr>
          <w:rFonts w:hint="eastAsia" w:ascii="仿宋" w:hAnsi="仿宋" w:eastAsia="仿宋" w:cs="仿宋"/>
          <w:color w:val="auto"/>
          <w:kern w:val="2"/>
          <w:sz w:val="24"/>
          <w:szCs w:val="24"/>
          <w:highlight w:val="none"/>
          <w:lang w:val="en-US" w:eastAsia="zh-CN" w:bidi="ar"/>
        </w:rPr>
        <w:t>；</w:t>
      </w:r>
    </w:p>
    <w:p w14:paraId="5DD1023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(2) </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%的工程款；</w:t>
      </w:r>
    </w:p>
    <w:p w14:paraId="39FEEF4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 其他方式：</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4FC8320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14.6.2 质量保证金的预留</w:t>
      </w:r>
    </w:p>
    <w:p w14:paraId="32B40705">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质量保证金的预留采取以下第</w:t>
      </w:r>
      <w:r>
        <w:rPr>
          <w:rFonts w:hint="eastAsia" w:ascii="仿宋" w:hAnsi="仿宋" w:eastAsia="仿宋" w:cs="仿宋"/>
          <w:color w:val="auto"/>
          <w:kern w:val="2"/>
          <w:sz w:val="24"/>
          <w:szCs w:val="24"/>
          <w:highlight w:val="none"/>
          <w:u w:val="single"/>
          <w:lang w:val="en-US" w:eastAsia="zh-CN" w:bidi="ar"/>
        </w:rPr>
        <w:t xml:space="preserve">  （3）  </w:t>
      </w:r>
      <w:r>
        <w:rPr>
          <w:rFonts w:hint="eastAsia" w:ascii="仿宋" w:hAnsi="仿宋" w:eastAsia="仿宋" w:cs="仿宋"/>
          <w:color w:val="auto"/>
          <w:kern w:val="2"/>
          <w:sz w:val="24"/>
          <w:szCs w:val="24"/>
          <w:highlight w:val="none"/>
          <w:lang w:val="en-US" w:eastAsia="zh-CN" w:bidi="ar"/>
        </w:rPr>
        <w:t>种方式：</w:t>
      </w:r>
    </w:p>
    <w:p w14:paraId="1BE8E85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 在支付工程进度款时逐次预留的质量保证金的比例：在此情形下，质量保证金的计算基数不包括预付款的支付、扣回以及价格调整的金额；</w:t>
      </w:r>
    </w:p>
    <w:p w14:paraId="0C91CBC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 工程竣工结算时一次性预留专用合同条件第14.6.1项第(2)目约定的工程款预留比例的质量保证金；</w:t>
      </w:r>
    </w:p>
    <w:p w14:paraId="57F266B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FF0000"/>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(3) 其他预留方式: </w:t>
      </w:r>
      <w:r>
        <w:rPr>
          <w:rFonts w:hint="eastAsia" w:ascii="仿宋" w:hAnsi="仿宋" w:eastAsia="仿宋" w:cs="仿宋"/>
          <w:color w:val="auto"/>
          <w:kern w:val="2"/>
          <w:sz w:val="24"/>
          <w:szCs w:val="24"/>
          <w:highlight w:val="none"/>
          <w:u w:val="single"/>
          <w:lang w:val="en-US" w:eastAsia="zh-CN" w:bidi="ar"/>
        </w:rPr>
        <w:t xml:space="preserve"> 工程竣工验收合格后,承包人向发包人缴纳审定价格的1.5%作为质量保证金，质保期满后无息退还。 </w:t>
      </w:r>
    </w:p>
    <w:p w14:paraId="13D09B87">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关于质量保证金的补充约定：</w:t>
      </w:r>
      <w:r>
        <w:rPr>
          <w:rFonts w:hint="eastAsia" w:ascii="仿宋" w:hAnsi="仿宋" w:eastAsia="仿宋"/>
          <w:sz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仿宋" w:hAnsi="仿宋" w:eastAsia="仿宋"/>
          <w:sz w:val="24"/>
        </w:rPr>
        <w:t>。</w:t>
      </w:r>
      <w:r>
        <w:rPr>
          <w:rFonts w:hint="eastAsia" w:ascii="仿宋" w:hAnsi="仿宋" w:eastAsia="仿宋"/>
          <w:sz w:val="24"/>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 w:hAnsi="仿宋" w:eastAsia="仿宋"/>
          <w:sz w:val="24"/>
        </w:rPr>
        <w:t>。</w:t>
      </w:r>
    </w:p>
    <w:p w14:paraId="1F96307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14.7 最终结清</w:t>
      </w:r>
    </w:p>
    <w:p w14:paraId="0BB71F3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14.7.1 最终结清申请单</w:t>
      </w:r>
    </w:p>
    <w:p w14:paraId="3F4266C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当事人双方关于最终结清申请的其他约定：</w:t>
      </w:r>
      <w:r>
        <w:rPr>
          <w:rFonts w:hint="eastAsia" w:ascii="仿宋" w:hAnsi="仿宋" w:eastAsia="仿宋" w:cs="仿宋"/>
          <w:color w:val="auto"/>
          <w:kern w:val="2"/>
          <w:sz w:val="24"/>
          <w:szCs w:val="24"/>
          <w:highlight w:val="none"/>
          <w:u w:val="single"/>
          <w:lang w:val="en-US" w:eastAsia="zh-CN" w:bidi="ar"/>
        </w:rPr>
        <w:t xml:space="preserve">   一式八份、缺陷责任期终止，保修责任期满且双方无异议后28天内。</w:t>
      </w:r>
    </w:p>
    <w:p w14:paraId="68A06F3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14.7.2 最终结清证书和支付</w:t>
      </w:r>
    </w:p>
    <w:p w14:paraId="1CF2888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当事人双方关于最终结清支付的其他约定：</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 w:hAnsi="仿宋" w:eastAsia="仿宋" w:cs="仿宋"/>
          <w:color w:val="auto"/>
          <w:kern w:val="2"/>
          <w:sz w:val="24"/>
          <w:szCs w:val="24"/>
          <w:highlight w:val="none"/>
          <w:lang w:val="en-US" w:eastAsia="zh-CN" w:bidi="ar"/>
        </w:rPr>
        <w:t>。</w:t>
      </w:r>
    </w:p>
    <w:p w14:paraId="6D8D280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第15条 违约</w:t>
      </w:r>
    </w:p>
    <w:p w14:paraId="3AA9777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15.1 发包人违约</w:t>
      </w:r>
    </w:p>
    <w:p w14:paraId="45D1FCB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15.1.1 发包人违约的情形</w:t>
      </w:r>
    </w:p>
    <w:p w14:paraId="6FBE52D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（1）因发包人原因未能在计划开工日期前7天内下达开工通知的违约责任：</w:t>
      </w:r>
      <w:r>
        <w:rPr>
          <w:rFonts w:hint="eastAsia" w:ascii="仿宋" w:hAnsi="仿宋" w:eastAsia="仿宋" w:cs="仿宋"/>
          <w:color w:val="auto"/>
          <w:kern w:val="2"/>
          <w:sz w:val="24"/>
          <w:szCs w:val="24"/>
          <w:highlight w:val="none"/>
          <w:u w:val="single"/>
          <w:lang w:val="en-US" w:eastAsia="zh-CN" w:bidi="ar"/>
        </w:rPr>
        <w:t>因发包人原因未能在计划开工日期前7天内下达开工通知的，不作为发包人违约责任</w:t>
      </w:r>
      <w:r>
        <w:rPr>
          <w:rFonts w:hint="eastAsia" w:ascii="仿宋" w:hAnsi="仿宋" w:eastAsia="仿宋" w:cs="仿宋"/>
          <w:color w:val="auto"/>
          <w:kern w:val="2"/>
          <w:sz w:val="24"/>
          <w:szCs w:val="24"/>
          <w:highlight w:val="none"/>
          <w:lang w:val="en-US" w:eastAsia="zh-CN" w:bidi="ar"/>
        </w:rPr>
        <w:t>。</w:t>
      </w:r>
    </w:p>
    <w:p w14:paraId="1C7A56B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（2）因发包人原因未能按合同约定支付合同价款的违约责任</w:t>
      </w:r>
      <w:r>
        <w:rPr>
          <w:rFonts w:hint="eastAsia" w:ascii="仿宋" w:hAnsi="仿宋" w:eastAsia="仿宋" w:cs="仿宋"/>
          <w:color w:val="auto"/>
          <w:kern w:val="2"/>
          <w:sz w:val="24"/>
          <w:szCs w:val="24"/>
          <w:highlight w:val="none"/>
          <w:u w:val="single"/>
          <w:lang w:val="en-US" w:eastAsia="zh-CN" w:bidi="ar"/>
        </w:rPr>
        <w:t>：以逾期应付款为基数，按照中国人民银行发布的同期同类贷款基准利率支付违约金</w:t>
      </w:r>
      <w:r>
        <w:rPr>
          <w:rFonts w:hint="eastAsia" w:ascii="仿宋" w:hAnsi="仿宋" w:eastAsia="仿宋" w:cs="仿宋"/>
          <w:color w:val="auto"/>
          <w:kern w:val="2"/>
          <w:sz w:val="24"/>
          <w:szCs w:val="24"/>
          <w:highlight w:val="none"/>
          <w:lang w:val="en-US" w:eastAsia="zh-CN" w:bidi="ar"/>
        </w:rPr>
        <w:t>。</w:t>
      </w:r>
    </w:p>
    <w:p w14:paraId="1E491BF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（3）发包人违反变更约定，自行实施被取消的工作或转由他人实施的违约责任：</w:t>
      </w:r>
      <w:r>
        <w:rPr>
          <w:rFonts w:hint="eastAsia" w:ascii="仿宋" w:hAnsi="仿宋" w:eastAsia="仿宋" w:cs="仿宋"/>
          <w:color w:val="auto"/>
          <w:kern w:val="2"/>
          <w:sz w:val="24"/>
          <w:szCs w:val="24"/>
          <w:highlight w:val="none"/>
          <w:u w:val="single"/>
          <w:lang w:val="en-US" w:eastAsia="zh-CN" w:bidi="ar"/>
        </w:rPr>
        <w:t>根据项目价值双方另行协商</w:t>
      </w:r>
      <w:r>
        <w:rPr>
          <w:rFonts w:hint="eastAsia" w:ascii="仿宋" w:hAnsi="仿宋" w:eastAsia="仿宋" w:cs="仿宋"/>
          <w:color w:val="auto"/>
          <w:kern w:val="2"/>
          <w:sz w:val="24"/>
          <w:szCs w:val="24"/>
          <w:highlight w:val="none"/>
          <w:lang w:val="en-US" w:eastAsia="zh-CN" w:bidi="ar"/>
        </w:rPr>
        <w:t>。</w:t>
      </w:r>
    </w:p>
    <w:p w14:paraId="302E7A0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2"/>
          <w:sz w:val="24"/>
          <w:szCs w:val="24"/>
          <w:highlight w:val="none"/>
          <w:u w:val="single"/>
          <w:lang w:val="en-US" w:eastAsia="zh-CN" w:bidi="ar"/>
        </w:rPr>
        <w:t>若影响关键线路工作的仅工期予以顺延</w:t>
      </w:r>
      <w:r>
        <w:rPr>
          <w:rFonts w:hint="eastAsia" w:ascii="仿宋" w:hAnsi="仿宋" w:eastAsia="仿宋" w:cs="仿宋"/>
          <w:color w:val="auto"/>
          <w:kern w:val="2"/>
          <w:sz w:val="24"/>
          <w:szCs w:val="24"/>
          <w:highlight w:val="none"/>
          <w:lang w:val="en-US" w:eastAsia="zh-CN" w:bidi="ar"/>
        </w:rPr>
        <w:t>。</w:t>
      </w:r>
    </w:p>
    <w:p w14:paraId="3E6F556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（5）因发包人违反合同约定造成暂停施工的违约责任：</w:t>
      </w:r>
      <w:r>
        <w:rPr>
          <w:rFonts w:hint="eastAsia" w:ascii="仿宋" w:hAnsi="仿宋" w:eastAsia="仿宋" w:cs="仿宋"/>
          <w:color w:val="auto"/>
          <w:kern w:val="2"/>
          <w:sz w:val="24"/>
          <w:szCs w:val="24"/>
          <w:highlight w:val="none"/>
          <w:u w:val="single"/>
          <w:lang w:val="en-US" w:eastAsia="zh-CN" w:bidi="ar"/>
        </w:rPr>
        <w:t>双方另行协商</w:t>
      </w:r>
      <w:r>
        <w:rPr>
          <w:rFonts w:hint="eastAsia" w:ascii="仿宋" w:hAnsi="仿宋" w:eastAsia="仿宋" w:cs="仿宋"/>
          <w:color w:val="auto"/>
          <w:kern w:val="2"/>
          <w:sz w:val="24"/>
          <w:szCs w:val="24"/>
          <w:highlight w:val="none"/>
          <w:lang w:val="en-US" w:eastAsia="zh-CN" w:bidi="ar"/>
        </w:rPr>
        <w:t>。</w:t>
      </w:r>
    </w:p>
    <w:p w14:paraId="174C53D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（6）发包人无正当理由没有在约定期限内发出复工指示，导致承包人无法复工的违约责任：</w:t>
      </w:r>
      <w:r>
        <w:rPr>
          <w:rFonts w:hint="eastAsia" w:ascii="仿宋" w:hAnsi="仿宋" w:eastAsia="仿宋" w:cs="仿宋"/>
          <w:color w:val="auto"/>
          <w:kern w:val="2"/>
          <w:sz w:val="24"/>
          <w:szCs w:val="24"/>
          <w:highlight w:val="none"/>
          <w:u w:val="single"/>
          <w:lang w:val="en-US" w:eastAsia="zh-CN" w:bidi="ar"/>
        </w:rPr>
        <w:t>双方另行协商</w:t>
      </w:r>
      <w:r>
        <w:rPr>
          <w:rFonts w:hint="eastAsia" w:ascii="仿宋" w:hAnsi="仿宋" w:eastAsia="仿宋" w:cs="仿宋"/>
          <w:color w:val="auto"/>
          <w:kern w:val="2"/>
          <w:sz w:val="24"/>
          <w:szCs w:val="24"/>
          <w:highlight w:val="none"/>
          <w:lang w:val="en-US" w:eastAsia="zh-CN" w:bidi="ar"/>
        </w:rPr>
        <w:t>。</w:t>
      </w:r>
    </w:p>
    <w:p w14:paraId="79D8C06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15.1.2 发包人违约的其他情形：</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11C988F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15.1.3 发包人违约的责任</w:t>
      </w:r>
    </w:p>
    <w:p w14:paraId="3437C75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发包人违约责任的承担方式和计算方法：</w:t>
      </w:r>
      <w:r>
        <w:rPr>
          <w:rFonts w:hint="eastAsia" w:ascii="仿宋" w:hAnsi="仿宋" w:eastAsia="仿宋" w:cs="仿宋"/>
          <w:color w:val="auto"/>
          <w:kern w:val="2"/>
          <w:sz w:val="24"/>
          <w:szCs w:val="24"/>
          <w:highlight w:val="none"/>
          <w:u w:val="single"/>
          <w:lang w:val="en-US" w:eastAsia="zh-CN" w:bidi="ar"/>
        </w:rPr>
        <w:t xml:space="preserve"> 按前文相关条款执行  </w:t>
      </w:r>
      <w:r>
        <w:rPr>
          <w:rFonts w:hint="eastAsia" w:ascii="仿宋" w:hAnsi="仿宋" w:eastAsia="仿宋" w:cs="仿宋"/>
          <w:color w:val="auto"/>
          <w:kern w:val="2"/>
          <w:sz w:val="24"/>
          <w:szCs w:val="24"/>
          <w:highlight w:val="none"/>
          <w:lang w:val="en-US" w:eastAsia="zh-CN" w:bidi="ar"/>
        </w:rPr>
        <w:t>。</w:t>
      </w:r>
    </w:p>
    <w:p w14:paraId="7F3CE23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15.2 承包人</w:t>
      </w:r>
      <w:r>
        <w:rPr>
          <w:rFonts w:hint="eastAsia" w:ascii="仿宋" w:hAnsi="仿宋" w:eastAsia="仿宋" w:cs="仿宋"/>
          <w:b/>
          <w:bCs/>
          <w:color w:val="auto"/>
          <w:kern w:val="2"/>
          <w:sz w:val="24"/>
          <w:szCs w:val="24"/>
          <w:highlight w:val="none"/>
          <w:lang w:val="en-US" w:eastAsia="zh-CN" w:bidi="ar"/>
        </w:rPr>
        <w:t>违约</w:t>
      </w:r>
    </w:p>
    <w:p w14:paraId="5B3CAD8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15.2.1 承包人违约的情形：</w:t>
      </w:r>
    </w:p>
    <w:p w14:paraId="60FB615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w:t>
      </w:r>
      <w:r>
        <w:rPr>
          <w:rFonts w:hint="eastAsia" w:ascii="仿宋" w:hAnsi="仿宋" w:eastAsia="仿宋" w:cs="仿宋"/>
          <w:color w:val="auto"/>
          <w:kern w:val="2"/>
          <w:sz w:val="24"/>
          <w:szCs w:val="24"/>
          <w:highlight w:val="none"/>
          <w:u w:val="single"/>
          <w:lang w:val="en-US" w:eastAsia="zh-CN" w:bidi="ar"/>
        </w:rPr>
        <w:t>承包人应与发包人和相关单位保持正常的业务交往，按照有关法律和程序开展业务工作，并遵守《廉政协议书》中规定的内容。</w:t>
      </w:r>
    </w:p>
    <w:p w14:paraId="2D8A4B0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（2）</w:t>
      </w:r>
      <w:r>
        <w:rPr>
          <w:rFonts w:hint="eastAsia" w:ascii="仿宋" w:hAnsi="仿宋" w:eastAsia="仿宋" w:cs="仿宋"/>
          <w:color w:val="auto"/>
          <w:kern w:val="2"/>
          <w:sz w:val="24"/>
          <w:szCs w:val="24"/>
          <w:highlight w:val="none"/>
          <w:u w:val="single"/>
          <w:lang w:val="en-US" w:eastAsia="zh-CN" w:bidi="ar"/>
        </w:rPr>
        <w:t>安全、文明施工按建设行政主管部门规定的安全建设、文明施工内容标准为准，因承包人原因违反安全、文明施工规定，在杭州市工程质量安全检查中被有关部门或被发包人责令停工整改的，每次处违约金3000元；如发生人身安全事故，按照国家有关法律法规严肃查处，并处违约金3-5万元。</w:t>
      </w:r>
    </w:p>
    <w:p w14:paraId="0C1E6CF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（3）</w:t>
      </w:r>
      <w:r>
        <w:rPr>
          <w:rFonts w:hint="eastAsia" w:ascii="仿宋" w:hAnsi="仿宋" w:eastAsia="仿宋" w:cs="仿宋"/>
          <w:color w:val="auto"/>
          <w:kern w:val="2"/>
          <w:sz w:val="24"/>
          <w:szCs w:val="24"/>
          <w:highlight w:val="none"/>
          <w:u w:val="single"/>
          <w:lang w:val="en-US" w:eastAsia="zh-CN" w:bidi="ar"/>
        </w:rPr>
        <w:t>质量验收按质量监督部门验收结果为准，因承包人原因由政府质检部门或发包人查出的质量缺陷，承包人未在规定时间内整改完毕并报发包人复验的，每延迟整改一天处违约金500元/项，如未整改即进入下道工序的，除返工整改外，每次处违约金5000元；因承包人原因发生重大质量事故，除由承包人无条件负责返工补修合格，并承担返工费用和延误所造成的工期损失外（返工引起的工期延误列入工期考核），并处违约金3-5万元。</w:t>
      </w:r>
    </w:p>
    <w:p w14:paraId="01B5D6A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bidi="ar"/>
        </w:rPr>
        <w:t>（4）</w:t>
      </w:r>
      <w:r>
        <w:rPr>
          <w:rFonts w:hint="eastAsia" w:ascii="仿宋" w:hAnsi="仿宋" w:eastAsia="仿宋" w:cs="仿宋"/>
          <w:color w:val="auto"/>
          <w:kern w:val="2"/>
          <w:sz w:val="24"/>
          <w:szCs w:val="24"/>
          <w:highlight w:val="none"/>
          <w:u w:val="single"/>
          <w:lang w:val="en-US" w:eastAsia="zh-CN" w:bidi="ar"/>
        </w:rPr>
        <w:t>承包人在施工期间应保障民工工资的支付和民工工伤保险费的支付。如因承包人拖欠民工工资或不缴纳民工工伤保险费等造成政府相关部门的处罚或新闻媒介报道，发包人将代为支付，所支付费用在工程款中直接扣除，且发包人将追加处罚1万元/次的违约金。</w:t>
      </w:r>
    </w:p>
    <w:p w14:paraId="1502D45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（5）</w:t>
      </w:r>
      <w:r>
        <w:rPr>
          <w:rFonts w:hint="eastAsia" w:ascii="仿宋" w:hAnsi="仿宋" w:eastAsia="仿宋" w:cs="仿宋"/>
          <w:color w:val="auto"/>
          <w:kern w:val="2"/>
          <w:sz w:val="24"/>
          <w:szCs w:val="24"/>
          <w:highlight w:val="none"/>
          <w:u w:val="single"/>
          <w:lang w:val="en-US" w:eastAsia="zh-CN" w:bidi="ar"/>
        </w:rPr>
        <w:t>针对现场隐蔽工程未经发包人书面验收确认合格，并擅自覆盖的，发包人有权要求施工方立即打开并重新验收，并按现场未验收数量，每处处以5000元违约金。</w:t>
      </w:r>
    </w:p>
    <w:p w14:paraId="4CC9514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（6）</w:t>
      </w:r>
      <w:r>
        <w:rPr>
          <w:rFonts w:hint="eastAsia" w:ascii="仿宋" w:hAnsi="仿宋" w:eastAsia="仿宋" w:cs="仿宋"/>
          <w:color w:val="auto"/>
          <w:kern w:val="2"/>
          <w:sz w:val="24"/>
          <w:szCs w:val="24"/>
          <w:highlight w:val="none"/>
          <w:u w:val="single"/>
          <w:lang w:val="en-US" w:eastAsia="zh-CN" w:bidi="ar"/>
        </w:rPr>
        <w:t>针对发包人开具的工程部通知单，未按通知单规定要求、时限及时书面回复的，按每延期一天处以200元违约金，累计计算。</w:t>
      </w:r>
    </w:p>
    <w:p w14:paraId="6B4C1F0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承包人违约的其他情形：</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29ACF88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15.2.3 承包人违约的责任</w:t>
      </w:r>
    </w:p>
    <w:p w14:paraId="3B8B2FFD">
      <w:pPr>
        <w:autoSpaceDE w:val="0"/>
        <w:autoSpaceDN w:val="0"/>
        <w:snapToGrid w:val="0"/>
        <w:spacing w:line="360" w:lineRule="auto"/>
        <w:ind w:firstLine="480"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承包人违约责任的承担方式和计算方法：</w:t>
      </w:r>
    </w:p>
    <w:p w14:paraId="04E999E8">
      <w:pPr>
        <w:autoSpaceDE w:val="0"/>
        <w:autoSpaceDN w:val="0"/>
        <w:snapToGrid w:val="0"/>
        <w:spacing w:line="360" w:lineRule="auto"/>
        <w:ind w:firstLine="480" w:firstLineChars="200"/>
        <w:rPr>
          <w:rFonts w:hint="eastAsia" w:ascii="仿宋" w:hAnsi="仿宋" w:eastAsia="仿宋"/>
          <w:sz w:val="24"/>
          <w:u w:val="single"/>
        </w:rPr>
      </w:pPr>
      <w:r>
        <w:rPr>
          <w:rFonts w:hint="eastAsia" w:ascii="仿宋" w:hAnsi="仿宋" w:eastAsia="仿宋"/>
          <w:sz w:val="24"/>
        </w:rPr>
        <w:t>（1）</w:t>
      </w:r>
      <w:r>
        <w:rPr>
          <w:rFonts w:hint="eastAsia" w:ascii="仿宋" w:hAnsi="仿宋" w:eastAsia="仿宋"/>
          <w:sz w:val="24"/>
          <w:u w:val="single"/>
        </w:rPr>
        <w:t>承包人违反合同约定采购和使用不合格的材料和工程设备的违约责任：发包人有权要求承包人重新采购合格的材料和工程设备，承包人必须及时改正并承担相应损失；</w:t>
      </w:r>
    </w:p>
    <w:p w14:paraId="793E8091">
      <w:pPr>
        <w:autoSpaceDE w:val="0"/>
        <w:autoSpaceDN w:val="0"/>
        <w:snapToGrid w:val="0"/>
        <w:spacing w:line="360" w:lineRule="auto"/>
        <w:ind w:firstLine="480" w:firstLineChars="200"/>
        <w:rPr>
          <w:rFonts w:hint="eastAsia" w:ascii="仿宋" w:hAnsi="仿宋" w:eastAsia="仿宋"/>
          <w:bCs/>
          <w:sz w:val="24"/>
        </w:rPr>
      </w:pPr>
      <w:r>
        <w:rPr>
          <w:rFonts w:hint="eastAsia" w:ascii="仿宋" w:hAnsi="仿宋" w:eastAsia="仿宋"/>
          <w:sz w:val="24"/>
        </w:rPr>
        <w:t>（2）</w:t>
      </w:r>
      <w:r>
        <w:rPr>
          <w:rFonts w:hint="eastAsia" w:ascii="仿宋" w:hAnsi="仿宋" w:eastAsia="仿宋"/>
          <w:sz w:val="24"/>
          <w:u w:val="single"/>
        </w:rPr>
        <w:t>工程经验收，质量未达到合同约定“合格”标准的，由承包人负责整改直至通过验收，承包人承担由此产生的所有费用，</w:t>
      </w:r>
      <w:r>
        <w:rPr>
          <w:rFonts w:hint="eastAsia" w:ascii="仿宋" w:hAnsi="仿宋" w:eastAsia="仿宋"/>
          <w:bCs/>
          <w:sz w:val="24"/>
          <w:u w:val="single"/>
        </w:rPr>
        <w:t>因此而造成延误的，承包人应依据本合同专用条款规定承担迟延履行的违约责任</w:t>
      </w:r>
      <w:r>
        <w:rPr>
          <w:rFonts w:hint="eastAsia" w:ascii="仿宋" w:hAnsi="仿宋" w:eastAsia="仿宋"/>
          <w:bCs/>
          <w:sz w:val="24"/>
        </w:rPr>
        <w:t>。</w:t>
      </w:r>
    </w:p>
    <w:p w14:paraId="774A046F">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（3）</w:t>
      </w:r>
      <w:r>
        <w:rPr>
          <w:rFonts w:hint="eastAsia" w:ascii="仿宋" w:hAnsi="仿宋" w:eastAsia="仿宋"/>
          <w:sz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r>
        <w:rPr>
          <w:rFonts w:hint="eastAsia" w:ascii="仿宋" w:hAnsi="仿宋" w:eastAsia="仿宋"/>
          <w:sz w:val="24"/>
        </w:rPr>
        <w:t>。</w:t>
      </w:r>
    </w:p>
    <w:p w14:paraId="5F3C74E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sz w:val="24"/>
        </w:rPr>
        <w:t>（4）</w:t>
      </w:r>
      <w:r>
        <w:rPr>
          <w:rFonts w:hint="eastAsia" w:ascii="仿宋" w:hAnsi="仿宋" w:eastAsia="仿宋"/>
          <w:sz w:val="24"/>
          <w:u w:val="single"/>
        </w:rPr>
        <w:t>承包人违反通用条款〔材料与设备专用要求〕的约定，未经批准，私自将已按照合同约定进入施工现场的材料或设备撤离施工现场的违约责任：承包人应及时停止撤离，并承担相应损失</w:t>
      </w:r>
      <w:r>
        <w:rPr>
          <w:rFonts w:hint="eastAsia" w:ascii="仿宋" w:hAnsi="仿宋" w:eastAsia="仿宋"/>
          <w:sz w:val="24"/>
        </w:rPr>
        <w:t xml:space="preserve">。  </w:t>
      </w:r>
    </w:p>
    <w:p w14:paraId="111A267B">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第16条 合同解除</w:t>
      </w:r>
    </w:p>
    <w:p w14:paraId="7B604F8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16.1 由发包人解除合同</w:t>
      </w:r>
    </w:p>
    <w:p w14:paraId="6C6380A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16.1.1 因承包人违约解除合同</w:t>
      </w:r>
    </w:p>
    <w:p w14:paraId="4C9CC94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双方约定可由发包人解除合同的其他事由：</w:t>
      </w:r>
      <w:r>
        <w:rPr>
          <w:rFonts w:hint="eastAsia" w:ascii="仿宋" w:hAnsi="仿宋" w:eastAsia="仿宋" w:cs="仿宋"/>
          <w:color w:val="auto"/>
          <w:kern w:val="2"/>
          <w:sz w:val="24"/>
          <w:szCs w:val="24"/>
          <w:highlight w:val="none"/>
          <w:u w:val="single"/>
          <w:lang w:val="en-US" w:eastAsia="zh-CN" w:bidi="ar"/>
        </w:rPr>
        <w:t xml:space="preserve">  因承包人原因造成本合同无法履行时、或者因承包人原因造成工程进度严重滞后、或者承包人在工期滞后接到发包人代表要求整改通知后仍未有效改善进度的，发包人有权终止其合同，由此造成的各项损失均由承包人承担</w:t>
      </w:r>
      <w:r>
        <w:rPr>
          <w:rFonts w:hint="eastAsia" w:ascii="仿宋" w:hAnsi="仿宋" w:eastAsia="仿宋" w:cs="仿宋"/>
          <w:color w:val="auto"/>
          <w:kern w:val="2"/>
          <w:sz w:val="24"/>
          <w:szCs w:val="24"/>
          <w:highlight w:val="none"/>
          <w:lang w:val="en-US" w:eastAsia="zh-CN" w:bidi="ar"/>
        </w:rPr>
        <w:t>。</w:t>
      </w:r>
    </w:p>
    <w:p w14:paraId="48B6B28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16.2 由承包人解除合同</w:t>
      </w:r>
    </w:p>
    <w:p w14:paraId="57DF571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16.2.1 因发包人违约解除合同</w:t>
      </w:r>
    </w:p>
    <w:p w14:paraId="68522BB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双方约定可由承包人解除合同的其他事由：</w:t>
      </w:r>
      <w:r>
        <w:rPr>
          <w:rFonts w:hint="eastAsia" w:ascii="仿宋" w:hAnsi="仿宋" w:eastAsia="仿宋" w:cs="仿宋"/>
          <w:color w:val="auto"/>
          <w:kern w:val="2"/>
          <w:sz w:val="24"/>
          <w:szCs w:val="24"/>
          <w:highlight w:val="none"/>
          <w:u w:val="single"/>
          <w:lang w:val="en-US" w:eastAsia="zh-CN" w:bidi="ar"/>
        </w:rPr>
        <w:t xml:space="preserve">  承包人按发包人违约的情形约定暂停施工满90 天后发包人仍不纠正其违约行为并致使合同目的不能实现的，承包人有权解除合同  </w:t>
      </w:r>
      <w:r>
        <w:rPr>
          <w:rFonts w:hint="eastAsia" w:ascii="仿宋" w:hAnsi="仿宋" w:eastAsia="仿宋" w:cs="仿宋"/>
          <w:color w:val="auto"/>
          <w:kern w:val="2"/>
          <w:sz w:val="24"/>
          <w:szCs w:val="24"/>
          <w:highlight w:val="none"/>
          <w:lang w:val="en-US" w:eastAsia="zh-CN" w:bidi="ar"/>
        </w:rPr>
        <w:t>。</w:t>
      </w:r>
    </w:p>
    <w:p w14:paraId="04266061">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第17条 不可抗力</w:t>
      </w:r>
    </w:p>
    <w:p w14:paraId="7B5112B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17.1 不可抗力的定义</w:t>
      </w:r>
    </w:p>
    <w:p w14:paraId="44793A4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除通用合同条件约定的不可抗力事件之外，视为不可抗力的其他情形：</w:t>
      </w:r>
    </w:p>
    <w:p w14:paraId="1085CCE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（1）战争、敌对行动（不论宣战与否）、入侵、外敌行为；</w:t>
      </w:r>
    </w:p>
    <w:p w14:paraId="5A5F49D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（2）叛乱、恐怖主义、革命、暴动、军事政变或篡夺政权、内乱；</w:t>
      </w:r>
    </w:p>
    <w:p w14:paraId="652749D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（3）战争军火、爆炸物资、电离辐射或放射性污染；</w:t>
      </w:r>
    </w:p>
    <w:p w14:paraId="01BE706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（4）地震、海啸等自然灾害；</w:t>
      </w:r>
    </w:p>
    <w:p w14:paraId="5A8DF1F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（5）传染病爆发、瘟疫；</w:t>
      </w:r>
    </w:p>
    <w:p w14:paraId="2F94289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（6）火灾、空中飞行物坠落等其他非发包人承包人原因引发的后果；</w:t>
      </w:r>
    </w:p>
    <w:p w14:paraId="4A59CE83">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（7）社会异常事件；</w:t>
      </w:r>
    </w:p>
    <w:p w14:paraId="6F43A31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 xml:space="preserve">（8）禁运、禁止令或政府的其他限制政令； </w:t>
      </w:r>
    </w:p>
    <w:p w14:paraId="7FB3EBA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u w:val="single"/>
          <w:lang w:val="en-US" w:eastAsia="zh-CN" w:bidi="ar"/>
        </w:rPr>
        <w:t>（9）国家法律法规变化。</w:t>
      </w:r>
    </w:p>
    <w:p w14:paraId="6BE69A0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17.6 因不可抗力解除合同</w:t>
      </w:r>
    </w:p>
    <w:p w14:paraId="42A02F7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合同解除后，发包人应当在商定或确定发包人应支付款项后的</w:t>
      </w:r>
      <w:r>
        <w:rPr>
          <w:rFonts w:hint="eastAsia" w:ascii="仿宋" w:hAnsi="仿宋" w:eastAsia="仿宋" w:cs="仿宋"/>
          <w:color w:val="auto"/>
          <w:kern w:val="2"/>
          <w:sz w:val="24"/>
          <w:szCs w:val="24"/>
          <w:highlight w:val="none"/>
          <w:u w:val="single"/>
          <w:lang w:val="en-US" w:eastAsia="zh-CN" w:bidi="ar"/>
        </w:rPr>
        <w:t xml:space="preserve">  14 </w:t>
      </w:r>
      <w:r>
        <w:rPr>
          <w:rFonts w:hint="eastAsia" w:ascii="仿宋" w:hAnsi="仿宋" w:eastAsia="仿宋" w:cs="仿宋"/>
          <w:color w:val="auto"/>
          <w:kern w:val="2"/>
          <w:sz w:val="24"/>
          <w:szCs w:val="24"/>
          <w:highlight w:val="none"/>
          <w:lang w:val="en-US" w:eastAsia="zh-CN" w:bidi="ar"/>
        </w:rPr>
        <w:t>天内完成款项的支付。</w:t>
      </w:r>
    </w:p>
    <w:p w14:paraId="4A4F2A4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第18条 保险</w:t>
      </w:r>
    </w:p>
    <w:p w14:paraId="5DB574C6">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18.1 设计和工程保险</w:t>
      </w:r>
    </w:p>
    <w:p w14:paraId="4D9FB49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18.1.1 双方当事人关于设计和工程保险的特别约定：</w:t>
      </w:r>
      <w:r>
        <w:rPr>
          <w:rFonts w:hint="eastAsia" w:ascii="仿宋" w:hAnsi="仿宋" w:eastAsia="仿宋" w:cs="仿宋"/>
          <w:color w:val="auto"/>
          <w:kern w:val="2"/>
          <w:sz w:val="24"/>
          <w:szCs w:val="24"/>
          <w:highlight w:val="none"/>
          <w:u w:val="single"/>
          <w:lang w:val="en-US" w:eastAsia="zh-CN" w:bidi="ar"/>
        </w:rPr>
        <w:t xml:space="preserve">  承包人应按照合同总价投保工程一切险   </w:t>
      </w:r>
      <w:r>
        <w:rPr>
          <w:rFonts w:hint="eastAsia" w:ascii="仿宋" w:hAnsi="仿宋" w:eastAsia="仿宋" w:cs="仿宋"/>
          <w:color w:val="auto"/>
          <w:kern w:val="2"/>
          <w:sz w:val="24"/>
          <w:szCs w:val="24"/>
          <w:highlight w:val="none"/>
          <w:lang w:val="en-US" w:eastAsia="zh-CN" w:bidi="ar"/>
        </w:rPr>
        <w:t>。</w:t>
      </w:r>
    </w:p>
    <w:p w14:paraId="75019EED">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18.1.2 双方当事人关于第三方责任险的特别约定：</w:t>
      </w:r>
      <w:r>
        <w:rPr>
          <w:rFonts w:hint="eastAsia" w:ascii="仿宋" w:hAnsi="仿宋" w:eastAsia="仿宋" w:cs="仿宋"/>
          <w:color w:val="auto"/>
          <w:kern w:val="2"/>
          <w:sz w:val="24"/>
          <w:szCs w:val="24"/>
          <w:highlight w:val="none"/>
          <w:u w:val="single"/>
          <w:lang w:val="en-US" w:eastAsia="zh-CN" w:bidi="ar"/>
        </w:rPr>
        <w:t xml:space="preserve">  承包人应投保第三方责任险，累计金额300万，每次事故赔偿限额150万 </w:t>
      </w:r>
      <w:r>
        <w:rPr>
          <w:rFonts w:hint="eastAsia" w:ascii="仿宋" w:hAnsi="仿宋" w:eastAsia="仿宋" w:cs="仿宋"/>
          <w:color w:val="auto"/>
          <w:kern w:val="2"/>
          <w:sz w:val="24"/>
          <w:szCs w:val="24"/>
          <w:highlight w:val="none"/>
          <w:lang w:val="en-US" w:eastAsia="zh-CN" w:bidi="ar"/>
        </w:rPr>
        <w:t>。</w:t>
      </w:r>
    </w:p>
    <w:p w14:paraId="3DFEC77E">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18.2 工伤和意外伤害保险</w:t>
      </w:r>
    </w:p>
    <w:p w14:paraId="31A7BC2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18.2.3 关于工伤保险和意外伤害保险的特别约定：</w:t>
      </w:r>
      <w:r>
        <w:rPr>
          <w:rFonts w:hint="eastAsia" w:ascii="仿宋" w:hAnsi="仿宋" w:eastAsia="仿宋" w:cs="仿宋"/>
          <w:color w:val="auto"/>
          <w:kern w:val="2"/>
          <w:sz w:val="24"/>
          <w:szCs w:val="24"/>
          <w:highlight w:val="none"/>
          <w:u w:val="single"/>
          <w:lang w:val="en-US" w:eastAsia="zh-CN" w:bidi="ar"/>
        </w:rPr>
        <w:t xml:space="preserve">  工伤保险承包人按照法律法规的相关规定投保；意外伤害保险由承包人自行酌情投保   </w:t>
      </w:r>
      <w:r>
        <w:rPr>
          <w:rFonts w:hint="eastAsia" w:ascii="仿宋" w:hAnsi="仿宋" w:eastAsia="仿宋" w:cs="仿宋"/>
          <w:color w:val="auto"/>
          <w:kern w:val="2"/>
          <w:sz w:val="24"/>
          <w:szCs w:val="24"/>
          <w:highlight w:val="none"/>
          <w:lang w:val="en-US" w:eastAsia="zh-CN" w:bidi="ar"/>
        </w:rPr>
        <w:t>。</w:t>
      </w:r>
    </w:p>
    <w:p w14:paraId="22DF2EF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18.3 货物保险</w:t>
      </w:r>
    </w:p>
    <w:p w14:paraId="493A3828">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关于承包人应为其施工设备、材料、工程设备和临时工程等办理财产保险的特别约定：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39895109">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18.4 其他保险</w:t>
      </w:r>
    </w:p>
    <w:p w14:paraId="7D73797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关于其他保险的约定：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65FA0C5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18.5 对各项保险的一般要求</w:t>
      </w:r>
    </w:p>
    <w:p w14:paraId="0D946A1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18.5.2 保险凭证</w:t>
      </w:r>
    </w:p>
    <w:p w14:paraId="7DD6C81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保险单的条件：</w:t>
      </w:r>
      <w:r>
        <w:rPr>
          <w:rFonts w:hint="eastAsia" w:ascii="仿宋" w:hAnsi="仿宋" w:eastAsia="仿宋" w:cs="仿宋"/>
          <w:color w:val="auto"/>
          <w:kern w:val="2"/>
          <w:sz w:val="24"/>
          <w:szCs w:val="24"/>
          <w:highlight w:val="none"/>
          <w:u w:val="single"/>
          <w:lang w:val="en-US" w:eastAsia="zh-CN" w:bidi="ar"/>
        </w:rPr>
        <w:t xml:space="preserve">   保险期限自开工日起生效至竣工验收合格止 </w:t>
      </w:r>
      <w:r>
        <w:rPr>
          <w:rFonts w:hint="eastAsia" w:ascii="仿宋" w:hAnsi="仿宋" w:eastAsia="仿宋" w:cs="仿宋"/>
          <w:color w:val="auto"/>
          <w:kern w:val="2"/>
          <w:sz w:val="24"/>
          <w:szCs w:val="24"/>
          <w:highlight w:val="none"/>
          <w:lang w:val="en-US" w:eastAsia="zh-CN" w:bidi="ar"/>
        </w:rPr>
        <w:t>。</w:t>
      </w:r>
    </w:p>
    <w:p w14:paraId="34227B1C">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18.5.4 通知义务</w:t>
      </w:r>
    </w:p>
    <w:p w14:paraId="3A1915DF">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关于变更保险合同时的通知义务的约定：</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w:t>
      </w:r>
    </w:p>
    <w:p w14:paraId="042AFAE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第20条 争议解决</w:t>
      </w:r>
    </w:p>
    <w:p w14:paraId="3EC598EA">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lang w:val="en-US" w:eastAsia="zh-CN" w:bidi="ar"/>
        </w:rPr>
        <w:t>20.4 仲裁或诉讼</w:t>
      </w:r>
    </w:p>
    <w:p w14:paraId="60616EA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因合同及合同有关事项发生的争议，按下列第</w:t>
      </w:r>
      <w:r>
        <w:rPr>
          <w:rFonts w:hint="eastAsia" w:ascii="仿宋" w:hAnsi="仿宋" w:eastAsia="仿宋" w:cs="仿宋"/>
          <w:color w:val="auto"/>
          <w:kern w:val="2"/>
          <w:sz w:val="24"/>
          <w:szCs w:val="24"/>
          <w:highlight w:val="none"/>
          <w:u w:val="single"/>
          <w:lang w:val="en-US" w:eastAsia="zh-CN" w:bidi="ar"/>
        </w:rPr>
        <w:t xml:space="preserve"> （2） </w:t>
      </w:r>
      <w:r>
        <w:rPr>
          <w:rFonts w:hint="eastAsia" w:ascii="仿宋" w:hAnsi="仿宋" w:eastAsia="仿宋" w:cs="仿宋"/>
          <w:color w:val="auto"/>
          <w:kern w:val="2"/>
          <w:sz w:val="24"/>
          <w:szCs w:val="24"/>
          <w:highlight w:val="none"/>
          <w:lang w:val="en-US" w:eastAsia="zh-CN" w:bidi="ar"/>
        </w:rPr>
        <w:t>种方式解决：</w:t>
      </w:r>
    </w:p>
    <w:p w14:paraId="3D194210">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（1）向</w:t>
      </w:r>
      <w:r>
        <w:rPr>
          <w:rFonts w:hint="eastAsia" w:ascii="仿宋" w:hAnsi="仿宋" w:eastAsia="仿宋" w:cs="仿宋"/>
          <w:color w:val="auto"/>
          <w:kern w:val="2"/>
          <w:sz w:val="24"/>
          <w:szCs w:val="24"/>
          <w:highlight w:val="none"/>
          <w:u w:val="single"/>
          <w:lang w:val="en-US" w:eastAsia="zh-CN" w:bidi="ar"/>
        </w:rPr>
        <w:t xml:space="preserve">   /   </w:t>
      </w:r>
      <w:r>
        <w:rPr>
          <w:rFonts w:hint="eastAsia" w:ascii="仿宋" w:hAnsi="仿宋" w:eastAsia="仿宋" w:cs="仿宋"/>
          <w:color w:val="auto"/>
          <w:kern w:val="2"/>
          <w:sz w:val="24"/>
          <w:szCs w:val="24"/>
          <w:highlight w:val="none"/>
          <w:lang w:val="en-US" w:eastAsia="zh-CN" w:bidi="ar"/>
        </w:rPr>
        <w:t>仲裁委员会申请仲裁；</w:t>
      </w:r>
    </w:p>
    <w:p w14:paraId="6B0153A3">
      <w:pPr>
        <w:snapToGrid/>
        <w:spacing w:line="360" w:lineRule="auto"/>
        <w:ind w:firstLine="480" w:firstLineChars="200"/>
        <w:rPr>
          <w:rFonts w:hint="eastAsia" w:ascii="仿宋" w:hAnsi="仿宋" w:eastAsia="仿宋" w:cs="仿宋"/>
          <w:b/>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（2）向</w:t>
      </w:r>
      <w:r>
        <w:rPr>
          <w:rFonts w:hint="eastAsia" w:ascii="仿宋" w:hAnsi="仿宋" w:eastAsia="仿宋" w:cs="仿宋"/>
          <w:color w:val="auto"/>
          <w:kern w:val="2"/>
          <w:sz w:val="24"/>
          <w:szCs w:val="24"/>
          <w:highlight w:val="none"/>
          <w:u w:val="single"/>
          <w:lang w:val="en-US" w:eastAsia="zh-CN" w:bidi="ar"/>
        </w:rPr>
        <w:t>工程所在地</w:t>
      </w:r>
      <w:r>
        <w:rPr>
          <w:rFonts w:hint="eastAsia" w:ascii="仿宋" w:hAnsi="仿宋" w:eastAsia="仿宋" w:cs="仿宋"/>
          <w:color w:val="auto"/>
          <w:kern w:val="2"/>
          <w:sz w:val="24"/>
          <w:szCs w:val="24"/>
          <w:highlight w:val="none"/>
          <w:lang w:val="en-US" w:eastAsia="zh-CN" w:bidi="ar"/>
        </w:rPr>
        <w:t>人民法院起诉。</w:t>
      </w:r>
    </w:p>
    <w:p w14:paraId="38E47334">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right="0" w:firstLine="482" w:firstLineChars="200"/>
        <w:jc w:val="both"/>
        <w:textAlignment w:val="auto"/>
        <w:rPr>
          <w:rFonts w:hint="eastAsia" w:ascii="仿宋" w:hAnsi="仿宋" w:eastAsia="仿宋" w:cs="仿宋"/>
          <w:b/>
          <w:bCs w:val="0"/>
          <w:color w:val="auto"/>
          <w:sz w:val="24"/>
          <w:highlight w:val="none"/>
          <w:lang w:bidi="ar"/>
        </w:rPr>
      </w:pPr>
      <w:r>
        <w:rPr>
          <w:rFonts w:hint="eastAsia" w:ascii="仿宋" w:hAnsi="仿宋" w:eastAsia="仿宋" w:cs="仿宋"/>
          <w:b/>
          <w:color w:val="auto"/>
          <w:kern w:val="2"/>
          <w:sz w:val="24"/>
          <w:szCs w:val="24"/>
          <w:highlight w:val="none"/>
          <w:lang w:val="en-US" w:eastAsia="zh-CN" w:bidi="ar"/>
        </w:rPr>
        <w:t xml:space="preserve">第21条 </w:t>
      </w:r>
      <w:r>
        <w:rPr>
          <w:rFonts w:hint="eastAsia" w:ascii="仿宋" w:hAnsi="仿宋" w:eastAsia="仿宋" w:cs="仿宋"/>
          <w:b/>
          <w:bCs w:val="0"/>
          <w:color w:val="auto"/>
          <w:sz w:val="24"/>
          <w:highlight w:val="none"/>
          <w:lang w:bidi="ar"/>
        </w:rPr>
        <w:t>其他补充事项的约定</w:t>
      </w:r>
    </w:p>
    <w:p w14:paraId="0C0816E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 w:hAnsi="仿宋" w:eastAsia="仿宋" w:cs="仿宋"/>
          <w:sz w:val="24"/>
        </w:rPr>
      </w:pPr>
      <w:r>
        <w:rPr>
          <w:rFonts w:hint="eastAsia" w:ascii="仿宋" w:hAnsi="仿宋" w:eastAsia="仿宋" w:cs="仿宋"/>
          <w:b w:val="0"/>
          <w:sz w:val="24"/>
          <w:lang w:val="en-US" w:eastAsia="zh-CN"/>
        </w:rPr>
        <w:t>21</w:t>
      </w:r>
      <w:r>
        <w:rPr>
          <w:rFonts w:hint="default" w:ascii="仿宋" w:hAnsi="仿宋" w:eastAsia="仿宋" w:cs="仿宋"/>
          <w:b w:val="0"/>
          <w:sz w:val="24"/>
          <w:lang w:val="en-US" w:eastAsia="zh-CN"/>
        </w:rPr>
        <w:t>.</w:t>
      </w:r>
      <w:r>
        <w:rPr>
          <w:rFonts w:hint="default" w:ascii="仿宋" w:hAnsi="仿宋" w:eastAsia="仿宋" w:cs="仿宋"/>
          <w:b w:val="0"/>
          <w:sz w:val="24"/>
        </w:rPr>
        <w:t>1</w:t>
      </w:r>
      <w:r>
        <w:rPr>
          <w:rFonts w:hint="default" w:ascii="仿宋" w:hAnsi="仿宋" w:eastAsia="仿宋" w:cs="仿宋"/>
          <w:b w:val="0"/>
          <w:sz w:val="24"/>
          <w:lang w:val="en-US" w:eastAsia="zh-CN"/>
        </w:rPr>
        <w:t xml:space="preserve"> </w:t>
      </w:r>
      <w:r>
        <w:rPr>
          <w:rFonts w:hint="default" w:ascii="仿宋" w:hAnsi="仿宋" w:eastAsia="仿宋" w:cs="仿宋"/>
          <w:b w:val="0"/>
          <w:sz w:val="24"/>
        </w:rPr>
        <w:t>本工程施工地点在</w:t>
      </w:r>
      <w:r>
        <w:rPr>
          <w:rFonts w:hint="default" w:ascii="仿宋" w:hAnsi="仿宋" w:eastAsia="仿宋" w:cs="仿宋"/>
          <w:b w:val="0"/>
          <w:sz w:val="24"/>
          <w:lang w:val="en-US" w:eastAsia="zh-CN"/>
        </w:rPr>
        <w:t>浙江工商大学教工路校区</w:t>
      </w:r>
      <w:r>
        <w:rPr>
          <w:rFonts w:hint="default" w:ascii="仿宋" w:hAnsi="仿宋" w:eastAsia="仿宋" w:cs="仿宋"/>
          <w:b w:val="0"/>
          <w:sz w:val="24"/>
        </w:rPr>
        <w:t>，施工人员进出学校应按相关规定执行；施工期间，需注意安全文明施工；采购人不提供住宿场地，须由供应商自行解决，相关费用包含在投标报价中；若施工场地无法满足供应商临时设施布置需求，由供应商自行就近解决（场地租赁费用及场地到施工现场间的人材机的短驳转运在组织措施费考虑包干）。施工期间，供应商须严格服从采购人代表及监理人现场管理；在施工期内，供应商应做好安全防护工作，以免造成不必要的伤亡，保险等相关费用综合考虑在投标报价中，因施工造成财物损坏、人员受伤等情况，由</w:t>
      </w:r>
      <w:r>
        <w:rPr>
          <w:rFonts w:hint="default" w:ascii="仿宋" w:hAnsi="仿宋" w:eastAsia="仿宋" w:cs="仿宋"/>
          <w:b w:val="0"/>
          <w:bCs w:val="0"/>
          <w:sz w:val="24"/>
          <w:szCs w:val="24"/>
        </w:rPr>
        <w:t>供应商</w:t>
      </w:r>
      <w:r>
        <w:rPr>
          <w:rFonts w:hint="default" w:ascii="仿宋" w:hAnsi="仿宋" w:eastAsia="仿宋" w:cs="仿宋"/>
          <w:b w:val="0"/>
          <w:sz w:val="24"/>
        </w:rPr>
        <w:t>承担全部责任。</w:t>
      </w:r>
    </w:p>
    <w:p w14:paraId="74CC83E0">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firstLine="480" w:firstLineChars="200"/>
        <w:jc w:val="left"/>
        <w:textAlignment w:val="auto"/>
        <w:rPr>
          <w:rFonts w:hint="default" w:ascii="仿宋" w:hAnsi="仿宋" w:eastAsia="仿宋" w:cs="仿宋"/>
          <w:b w:val="0"/>
          <w:bCs w:val="0"/>
          <w:sz w:val="24"/>
          <w:szCs w:val="24"/>
        </w:rPr>
      </w:pPr>
      <w:r>
        <w:rPr>
          <w:rFonts w:hint="eastAsia" w:ascii="仿宋" w:hAnsi="仿宋" w:eastAsia="仿宋" w:cs="仿宋"/>
          <w:b w:val="0"/>
          <w:bCs w:val="0"/>
          <w:sz w:val="24"/>
          <w:szCs w:val="24"/>
          <w:lang w:val="en-US" w:eastAsia="zh-CN"/>
        </w:rPr>
        <w:t>21</w:t>
      </w:r>
      <w:r>
        <w:rPr>
          <w:rFonts w:hint="default" w:ascii="仿宋" w:hAnsi="仿宋" w:eastAsia="仿宋" w:cs="仿宋"/>
          <w:b w:val="0"/>
          <w:bCs w:val="0"/>
          <w:sz w:val="24"/>
          <w:szCs w:val="24"/>
          <w:lang w:val="en-US" w:eastAsia="zh-CN"/>
        </w:rPr>
        <w:t xml:space="preserve">.2 </w:t>
      </w:r>
      <w:r>
        <w:rPr>
          <w:rFonts w:hint="default" w:ascii="仿宋" w:hAnsi="仿宋" w:eastAsia="仿宋" w:cs="仿宋"/>
          <w:b w:val="0"/>
          <w:sz w:val="24"/>
        </w:rPr>
        <w:t>供应商</w:t>
      </w:r>
      <w:r>
        <w:rPr>
          <w:rFonts w:hint="default" w:ascii="仿宋" w:hAnsi="仿宋" w:eastAsia="仿宋" w:cs="仿宋"/>
          <w:b w:val="0"/>
          <w:bCs w:val="0"/>
          <w:sz w:val="24"/>
          <w:szCs w:val="24"/>
        </w:rPr>
        <w:t>负责在工程施工、竣工及保修的整个过程中施工现场全部人员、邻近设施和附近师生的安全，在工地现场做好警戒工作并在施工区域或危险区域设置醒目的警示标志，加强施工管理。施工作业中，如发生安全事故，由</w:t>
      </w:r>
      <w:r>
        <w:rPr>
          <w:rFonts w:hint="default" w:ascii="仿宋" w:hAnsi="仿宋" w:eastAsia="仿宋" w:cs="仿宋"/>
          <w:b w:val="0"/>
          <w:sz w:val="24"/>
        </w:rPr>
        <w:t>供应商</w:t>
      </w:r>
      <w:r>
        <w:rPr>
          <w:rFonts w:hint="default" w:ascii="仿宋" w:hAnsi="仿宋" w:eastAsia="仿宋" w:cs="仿宋"/>
          <w:b w:val="0"/>
          <w:bCs w:val="0"/>
          <w:sz w:val="24"/>
          <w:szCs w:val="24"/>
        </w:rPr>
        <w:t>承担全部责任，所产生的费用由</w:t>
      </w:r>
      <w:r>
        <w:rPr>
          <w:rFonts w:hint="default" w:ascii="仿宋" w:hAnsi="仿宋" w:eastAsia="仿宋" w:cs="仿宋"/>
          <w:b w:val="0"/>
          <w:sz w:val="24"/>
        </w:rPr>
        <w:t>供应商</w:t>
      </w:r>
      <w:r>
        <w:rPr>
          <w:rFonts w:hint="default" w:ascii="仿宋" w:hAnsi="仿宋" w:eastAsia="仿宋" w:cs="仿宋"/>
          <w:b w:val="0"/>
          <w:bCs w:val="0"/>
          <w:sz w:val="24"/>
          <w:szCs w:val="24"/>
        </w:rPr>
        <w:t>全部承担，因</w:t>
      </w:r>
      <w:r>
        <w:rPr>
          <w:rFonts w:hint="default" w:ascii="仿宋" w:hAnsi="仿宋" w:eastAsia="仿宋" w:cs="仿宋"/>
          <w:b w:val="0"/>
          <w:sz w:val="24"/>
        </w:rPr>
        <w:t>供应商</w:t>
      </w:r>
      <w:r>
        <w:rPr>
          <w:rFonts w:hint="default" w:ascii="仿宋" w:hAnsi="仿宋" w:eastAsia="仿宋" w:cs="仿宋"/>
          <w:b w:val="0"/>
          <w:bCs w:val="0"/>
          <w:sz w:val="24"/>
          <w:szCs w:val="24"/>
        </w:rPr>
        <w:t>管理不善或使用不当造成的损失，由</w:t>
      </w:r>
      <w:r>
        <w:rPr>
          <w:rFonts w:hint="default" w:ascii="仿宋" w:hAnsi="仿宋" w:eastAsia="仿宋" w:cs="仿宋"/>
          <w:b w:val="0"/>
          <w:sz w:val="24"/>
        </w:rPr>
        <w:t>供应商</w:t>
      </w:r>
      <w:r>
        <w:rPr>
          <w:rFonts w:hint="default" w:ascii="仿宋" w:hAnsi="仿宋" w:eastAsia="仿宋" w:cs="仿宋"/>
          <w:b w:val="0"/>
          <w:bCs w:val="0"/>
          <w:sz w:val="24"/>
          <w:szCs w:val="24"/>
        </w:rPr>
        <w:t>负责赔偿，在施工区域因缺少相应安全措施或相关安全设施缺损未及时修复而引起的各类事故由</w:t>
      </w:r>
      <w:r>
        <w:rPr>
          <w:rFonts w:hint="default" w:ascii="仿宋" w:hAnsi="仿宋" w:eastAsia="仿宋" w:cs="仿宋"/>
          <w:b w:val="0"/>
          <w:sz w:val="24"/>
        </w:rPr>
        <w:t>供应商</w:t>
      </w:r>
      <w:r>
        <w:rPr>
          <w:rFonts w:hint="default" w:ascii="仿宋" w:hAnsi="仿宋" w:eastAsia="仿宋" w:cs="仿宋"/>
          <w:b w:val="0"/>
          <w:bCs w:val="0"/>
          <w:sz w:val="24"/>
          <w:szCs w:val="24"/>
        </w:rPr>
        <w:t>承担全部责任，并负责赔偿。以上费用请</w:t>
      </w:r>
      <w:r>
        <w:rPr>
          <w:rFonts w:hint="default" w:ascii="仿宋" w:hAnsi="仿宋" w:eastAsia="仿宋" w:cs="仿宋"/>
          <w:b w:val="0"/>
          <w:sz w:val="24"/>
        </w:rPr>
        <w:t>供应商</w:t>
      </w:r>
      <w:r>
        <w:rPr>
          <w:rFonts w:hint="default" w:ascii="仿宋" w:hAnsi="仿宋" w:eastAsia="仿宋" w:cs="仿宋"/>
          <w:b w:val="0"/>
          <w:bCs w:val="0"/>
          <w:sz w:val="24"/>
          <w:szCs w:val="24"/>
        </w:rPr>
        <w:t>在投标报价时考虑计入措施费，一次性包干，今后不再调整。</w:t>
      </w:r>
    </w:p>
    <w:p w14:paraId="5E247A2D">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firstLine="480" w:firstLineChars="200"/>
        <w:jc w:val="left"/>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21.3</w:t>
      </w:r>
      <w:r>
        <w:rPr>
          <w:rFonts w:hint="default" w:ascii="仿宋" w:hAnsi="仿宋" w:eastAsia="仿宋" w:cs="仿宋"/>
          <w:sz w:val="24"/>
          <w:lang w:bidi="ar"/>
        </w:rPr>
        <w:t>全面贯彻执行、关于印发杭州市建设工地围挡设置管理规范（试行）的通知、杭州市人民政府令第278号《杭州市建设工程文明施工管理规定》、《关于开展建设“两美浙江”打造“美丽杭州”建设工地环境专项整治的通知》（杭建监总[2015]39号）、《关于印发《2015年杭州市建设工程扬尘污染治理和文明施工综合整治工作方案的通知》（杭建文领办〔2015〕1号）、《关于全市建设工地实施安全文明施工责任人公示制度的通知》杭建工发[2016]7号、《杭州市人民政府办公厅关于进一步加强我市建设工程安全生产与文明施工管理工作的通知》、《2016年杭州市建筑施工安全隐患排查治理工作方案》[2016]169号、区房屋市政工程文明施工标准化指导图集（试行）等文件的相关规定，安全生产、文明施工及环境保护</w:t>
      </w:r>
      <w:r>
        <w:rPr>
          <w:rFonts w:hint="eastAsia" w:ascii="仿宋" w:hAnsi="仿宋" w:eastAsia="仿宋" w:cs="仿宋"/>
          <w:sz w:val="24"/>
          <w:lang w:val="en-US" w:eastAsia="zh-CN" w:bidi="ar"/>
        </w:rPr>
        <w:t>的</w:t>
      </w:r>
      <w:r>
        <w:rPr>
          <w:rFonts w:hint="default" w:ascii="仿宋" w:hAnsi="仿宋" w:eastAsia="仿宋" w:cs="仿宋"/>
          <w:sz w:val="24"/>
          <w:lang w:bidi="ar"/>
        </w:rPr>
        <w:t>具体要求，相关费用已包含在</w:t>
      </w:r>
      <w:r>
        <w:rPr>
          <w:rFonts w:hint="eastAsia" w:ascii="仿宋" w:hAnsi="仿宋" w:eastAsia="仿宋" w:cs="仿宋"/>
          <w:sz w:val="24"/>
          <w:lang w:val="en-US" w:eastAsia="zh-CN" w:bidi="ar"/>
        </w:rPr>
        <w:t>投标报</w:t>
      </w:r>
      <w:r>
        <w:rPr>
          <w:rFonts w:hint="default" w:ascii="仿宋" w:hAnsi="仿宋" w:eastAsia="仿宋" w:cs="仿宋"/>
          <w:sz w:val="24"/>
          <w:lang w:bidi="ar"/>
        </w:rPr>
        <w:t>价内</w:t>
      </w:r>
      <w:r>
        <w:rPr>
          <w:rFonts w:hint="eastAsia" w:ascii="仿宋" w:hAnsi="仿宋" w:eastAsia="仿宋" w:cs="仿宋"/>
          <w:sz w:val="24"/>
          <w:lang w:eastAsia="zh-CN" w:bidi="ar"/>
        </w:rPr>
        <w:t>。</w:t>
      </w:r>
    </w:p>
    <w:p w14:paraId="7D20D1A7">
      <w:pPr>
        <w:keepNext w:val="0"/>
        <w:keepLines w:val="0"/>
        <w:pageBreakBefore w:val="0"/>
        <w:widowControl/>
        <w:numPr>
          <w:ilvl w:val="0"/>
          <w:numId w:val="0"/>
        </w:numPr>
        <w:kinsoku/>
        <w:wordWrap/>
        <w:overflowPunct/>
        <w:topLinePunct w:val="0"/>
        <w:autoSpaceDE/>
        <w:autoSpaceDN/>
        <w:bidi w:val="0"/>
        <w:adjustRightInd/>
        <w:spacing w:line="360" w:lineRule="auto"/>
        <w:ind w:left="0" w:firstLine="480" w:firstLineChars="200"/>
        <w:jc w:val="left"/>
        <w:textAlignment w:val="auto"/>
        <w:rPr>
          <w:rFonts w:hint="default" w:ascii="仿宋" w:hAnsi="仿宋" w:eastAsia="仿宋" w:cs="仿宋"/>
          <w:b w:val="0"/>
          <w:bCs w:val="0"/>
          <w:sz w:val="24"/>
          <w:szCs w:val="24"/>
        </w:rPr>
      </w:pPr>
      <w:r>
        <w:rPr>
          <w:rFonts w:hint="eastAsia" w:ascii="仿宋" w:hAnsi="仿宋" w:eastAsia="仿宋" w:cs="仿宋"/>
          <w:b w:val="0"/>
          <w:bCs w:val="0"/>
          <w:sz w:val="24"/>
          <w:szCs w:val="24"/>
          <w:lang w:val="en-US" w:eastAsia="zh-CN"/>
        </w:rPr>
        <w:t>21</w:t>
      </w:r>
      <w:r>
        <w:rPr>
          <w:rFonts w:hint="default"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4</w:t>
      </w:r>
      <w:r>
        <w:rPr>
          <w:rFonts w:hint="default" w:ascii="仿宋" w:hAnsi="仿宋" w:eastAsia="仿宋" w:cs="仿宋"/>
          <w:b w:val="0"/>
          <w:bCs w:val="0"/>
          <w:sz w:val="24"/>
          <w:szCs w:val="24"/>
          <w:lang w:val="en-US" w:eastAsia="zh-CN"/>
        </w:rPr>
        <w:t xml:space="preserve"> </w:t>
      </w:r>
      <w:r>
        <w:rPr>
          <w:rFonts w:hint="default" w:ascii="仿宋" w:hAnsi="仿宋" w:eastAsia="仿宋" w:cs="仿宋"/>
          <w:b w:val="0"/>
          <w:bCs w:val="0"/>
          <w:sz w:val="24"/>
          <w:szCs w:val="24"/>
        </w:rPr>
        <w:t>供应商应充分踏勘现场，了解掌握现场情况，如工地位置、情况、道路、储存空间、装卸限制、市政、交通及任何其它足以影响投标报价的情况，预计施工过程中各种不利因素，可将处理所需费用单列，汇入措施费中，计入投标报价内。</w:t>
      </w:r>
    </w:p>
    <w:p w14:paraId="529C8DE5">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 w:hAnsi="仿宋" w:eastAsia="仿宋" w:cs="仿宋"/>
          <w:b w:val="0"/>
          <w:sz w:val="24"/>
        </w:rPr>
      </w:pPr>
      <w:r>
        <w:rPr>
          <w:rFonts w:hint="eastAsia" w:ascii="仿宋" w:hAnsi="仿宋" w:eastAsia="仿宋" w:cs="仿宋"/>
          <w:b w:val="0"/>
          <w:sz w:val="24"/>
          <w:lang w:val="en-US" w:eastAsia="zh-CN"/>
        </w:rPr>
        <w:t>21</w:t>
      </w:r>
      <w:r>
        <w:rPr>
          <w:rFonts w:hint="default" w:ascii="仿宋" w:hAnsi="仿宋" w:eastAsia="仿宋" w:cs="仿宋"/>
          <w:b w:val="0"/>
          <w:sz w:val="24"/>
          <w:lang w:val="en-US" w:eastAsia="zh-CN"/>
        </w:rPr>
        <w:t>.</w:t>
      </w:r>
      <w:r>
        <w:rPr>
          <w:rFonts w:hint="eastAsia" w:ascii="仿宋" w:hAnsi="仿宋" w:eastAsia="仿宋" w:cs="仿宋"/>
          <w:b w:val="0"/>
          <w:sz w:val="24"/>
          <w:lang w:val="en-US" w:eastAsia="zh-CN"/>
        </w:rPr>
        <w:t>5</w:t>
      </w:r>
      <w:r>
        <w:rPr>
          <w:rFonts w:hint="default" w:ascii="仿宋" w:hAnsi="仿宋" w:eastAsia="仿宋" w:cs="仿宋"/>
          <w:b w:val="0"/>
          <w:sz w:val="24"/>
          <w:lang w:val="en-US" w:eastAsia="zh-CN"/>
        </w:rPr>
        <w:t xml:space="preserve"> </w:t>
      </w:r>
      <w:r>
        <w:rPr>
          <w:rFonts w:hint="default" w:ascii="仿宋" w:hAnsi="仿宋" w:eastAsia="仿宋" w:cs="仿宋"/>
          <w:b w:val="0"/>
          <w:sz w:val="24"/>
        </w:rPr>
        <w:t>对本工程实施范围存在的各类管线，供应商应充分踏勘现场，必须确保在不被破坏的前提下再进行施工作业，所涉及的保护费用等考虑在组织措施费用内，今后不做调整。如因施工不慎或不可避免产生破坏的，需按采购人要求予以恢复，如遇相关的管道、线路必须移位的，则报请采购人同意后予以处理，相关费用亦考虑在投标报价内。</w:t>
      </w:r>
    </w:p>
    <w:p w14:paraId="537159C0">
      <w:pPr>
        <w:keepNext w:val="0"/>
        <w:keepLines w:val="0"/>
        <w:pageBreakBefore w:val="0"/>
        <w:widowControl/>
        <w:numPr>
          <w:ilvl w:val="0"/>
          <w:numId w:val="0"/>
        </w:numPr>
        <w:kinsoku/>
        <w:wordWrap/>
        <w:overflowPunct/>
        <w:topLinePunct w:val="0"/>
        <w:autoSpaceDE/>
        <w:autoSpaceDN/>
        <w:bidi w:val="0"/>
        <w:adjustRightInd/>
        <w:spacing w:line="360" w:lineRule="auto"/>
        <w:ind w:left="0" w:firstLine="480" w:firstLineChars="200"/>
        <w:jc w:val="left"/>
        <w:textAlignment w:val="auto"/>
        <w:rPr>
          <w:rFonts w:hint="default" w:ascii="仿宋" w:hAnsi="仿宋" w:eastAsia="仿宋" w:cs="仿宋"/>
          <w:b w:val="0"/>
          <w:sz w:val="24"/>
        </w:rPr>
      </w:pPr>
      <w:r>
        <w:rPr>
          <w:rFonts w:hint="eastAsia" w:ascii="仿宋" w:hAnsi="仿宋" w:eastAsia="仿宋" w:cs="仿宋"/>
          <w:b w:val="0"/>
          <w:sz w:val="24"/>
          <w:lang w:val="en-US" w:eastAsia="zh-CN"/>
        </w:rPr>
        <w:t>21</w:t>
      </w:r>
      <w:r>
        <w:rPr>
          <w:rFonts w:hint="default" w:ascii="仿宋" w:hAnsi="仿宋" w:eastAsia="仿宋" w:cs="仿宋"/>
          <w:b w:val="0"/>
          <w:sz w:val="24"/>
          <w:lang w:val="en-US" w:eastAsia="zh-CN"/>
        </w:rPr>
        <w:t>.</w:t>
      </w:r>
      <w:r>
        <w:rPr>
          <w:rFonts w:hint="eastAsia" w:ascii="仿宋" w:hAnsi="仿宋" w:eastAsia="仿宋" w:cs="仿宋"/>
          <w:b w:val="0"/>
          <w:sz w:val="24"/>
          <w:lang w:val="en-US" w:eastAsia="zh-CN"/>
        </w:rPr>
        <w:t>6</w:t>
      </w:r>
      <w:r>
        <w:rPr>
          <w:rFonts w:hint="default" w:ascii="仿宋" w:hAnsi="仿宋" w:eastAsia="仿宋" w:cs="仿宋"/>
          <w:b w:val="0"/>
          <w:sz w:val="24"/>
        </w:rPr>
        <w:t>项目采用设计、采购、安装总承包（EPC）模式，采购内容及技术指标参数等描述是主要工作内容，其他辅助工作内容供应商自行考虑，并计入综合单价及合价。综合单价应是包含了这一计量单位项目范围内的所有工作内容所需的直接费、企业管理费、利润以及风险费用等完成该项工作所包含的所有费用（含方案优化后设计施工图所对应的内容）。采购内容中不能反映的，而现场施工中有实际发生的费用由供应商自行踏勘现场后计入总价。</w:t>
      </w:r>
    </w:p>
    <w:p w14:paraId="05192C4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 w:hAnsi="仿宋" w:eastAsia="仿宋" w:cs="仿宋"/>
          <w:b w:val="0"/>
          <w:sz w:val="24"/>
        </w:rPr>
      </w:pPr>
      <w:r>
        <w:rPr>
          <w:rFonts w:hint="eastAsia" w:ascii="仿宋" w:hAnsi="仿宋" w:eastAsia="仿宋" w:cs="仿宋"/>
          <w:b w:val="0"/>
          <w:sz w:val="24"/>
          <w:lang w:val="en-US" w:eastAsia="zh-CN"/>
        </w:rPr>
        <w:t>21</w:t>
      </w:r>
      <w:r>
        <w:rPr>
          <w:rFonts w:hint="default" w:ascii="仿宋" w:hAnsi="仿宋" w:eastAsia="仿宋" w:cs="仿宋"/>
          <w:b w:val="0"/>
          <w:sz w:val="24"/>
          <w:lang w:val="en-US" w:eastAsia="zh-CN"/>
        </w:rPr>
        <w:t>.</w:t>
      </w:r>
      <w:r>
        <w:rPr>
          <w:rFonts w:hint="eastAsia" w:ascii="仿宋" w:hAnsi="仿宋" w:eastAsia="仿宋" w:cs="仿宋"/>
          <w:b w:val="0"/>
          <w:sz w:val="24"/>
          <w:lang w:val="en-US" w:eastAsia="zh-CN"/>
        </w:rPr>
        <w:t>7</w:t>
      </w:r>
      <w:r>
        <w:rPr>
          <w:rFonts w:hint="default" w:ascii="仿宋" w:hAnsi="仿宋" w:eastAsia="仿宋" w:cs="仿宋"/>
          <w:b w:val="0"/>
          <w:sz w:val="24"/>
          <w:lang w:val="en-US" w:eastAsia="zh-CN"/>
        </w:rPr>
        <w:t xml:space="preserve"> </w:t>
      </w:r>
      <w:r>
        <w:rPr>
          <w:rFonts w:hint="default" w:ascii="仿宋" w:hAnsi="仿宋" w:eastAsia="仿宋" w:cs="仿宋"/>
          <w:b w:val="0"/>
          <w:sz w:val="24"/>
        </w:rPr>
        <w:t>若本工程因与周边工程</w:t>
      </w:r>
      <w:r>
        <w:rPr>
          <w:rFonts w:hint="default" w:ascii="仿宋" w:hAnsi="仿宋" w:eastAsia="仿宋" w:cs="仿宋"/>
          <w:b w:val="0"/>
          <w:sz w:val="24"/>
          <w:lang w:eastAsia="zh-CN"/>
        </w:rPr>
        <w:t>、</w:t>
      </w:r>
      <w:r>
        <w:rPr>
          <w:rFonts w:hint="default" w:ascii="仿宋" w:hAnsi="仿宋" w:eastAsia="仿宋" w:cs="仿宋"/>
          <w:b w:val="0"/>
          <w:sz w:val="24"/>
        </w:rPr>
        <w:t>道路等有直接关联的，中标后应有专门的针对性施工方案解决工程衔接，交通组织</w:t>
      </w:r>
      <w:r>
        <w:rPr>
          <w:rFonts w:hint="default" w:ascii="仿宋" w:hAnsi="仿宋" w:eastAsia="仿宋" w:cs="仿宋"/>
          <w:b w:val="0"/>
          <w:sz w:val="24"/>
          <w:lang w:eastAsia="zh-CN"/>
        </w:rPr>
        <w:t>、</w:t>
      </w:r>
      <w:r>
        <w:rPr>
          <w:rFonts w:hint="default" w:ascii="仿宋" w:hAnsi="仿宋" w:eastAsia="仿宋" w:cs="仿宋"/>
          <w:b w:val="0"/>
          <w:sz w:val="24"/>
          <w:lang w:val="en-US" w:eastAsia="zh-CN"/>
        </w:rPr>
        <w:t>道路恢复</w:t>
      </w:r>
      <w:r>
        <w:rPr>
          <w:rFonts w:hint="default" w:ascii="仿宋" w:hAnsi="仿宋" w:eastAsia="仿宋" w:cs="仿宋"/>
          <w:b w:val="0"/>
          <w:sz w:val="24"/>
        </w:rPr>
        <w:t>等问题，可能发生的费用措施费中考虑，今后不再做调整。</w:t>
      </w:r>
    </w:p>
    <w:p w14:paraId="46F73E00">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firstLine="480" w:firstLineChars="200"/>
        <w:jc w:val="left"/>
        <w:textAlignment w:val="auto"/>
        <w:rPr>
          <w:rFonts w:hint="default" w:ascii="仿宋" w:hAnsi="仿宋" w:eastAsia="仿宋" w:cs="仿宋"/>
          <w:sz w:val="24"/>
          <w:lang w:bidi="ar"/>
        </w:rPr>
      </w:pPr>
      <w:r>
        <w:rPr>
          <w:rFonts w:hint="eastAsia" w:ascii="仿宋" w:hAnsi="仿宋" w:eastAsia="仿宋" w:cs="仿宋"/>
          <w:sz w:val="24"/>
          <w:lang w:val="en-US" w:eastAsia="zh-CN" w:bidi="ar"/>
        </w:rPr>
        <w:t>21.8</w:t>
      </w:r>
      <w:r>
        <w:rPr>
          <w:rFonts w:hint="default" w:ascii="仿宋" w:hAnsi="仿宋" w:eastAsia="仿宋" w:cs="仿宋"/>
          <w:sz w:val="24"/>
          <w:lang w:bidi="ar"/>
        </w:rPr>
        <w:t>本工程涉及到需要外运的土方运距投标人自行考虑，弃土地点须经有关部门认可。土石方（包括淤泥、渣土）综合单价包括挖、装、外运、卸、城市卫生费、市容环境及土石方（包括淤泥、渣土）处置等有关发生的一切费用；以上单价不因运距、人工单价、交通拥堵的车辆运输机械降效系数等一切因素的变化而调整。土方类别综合考虑，包括：淤泥、泥浆、建筑渣土、地下挖出的管线、破除的混凝土、砌体、现场留存的建筑垃圾、以及现场产生的全部废弃物。</w:t>
      </w:r>
    </w:p>
    <w:p w14:paraId="437DA7D9">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firstLine="480" w:firstLineChars="200"/>
        <w:jc w:val="left"/>
        <w:textAlignment w:val="auto"/>
        <w:rPr>
          <w:rFonts w:hint="default" w:ascii="仿宋" w:hAnsi="仿宋" w:eastAsia="仿宋" w:cs="仿宋"/>
          <w:sz w:val="24"/>
          <w:lang w:bidi="ar"/>
        </w:rPr>
      </w:pPr>
      <w:r>
        <w:rPr>
          <w:rFonts w:hint="eastAsia" w:ascii="仿宋" w:hAnsi="仿宋" w:eastAsia="仿宋" w:cs="仿宋"/>
          <w:sz w:val="24"/>
          <w:lang w:val="en-US" w:eastAsia="zh-CN" w:bidi="ar"/>
        </w:rPr>
        <w:t>21.9</w:t>
      </w:r>
      <w:r>
        <w:rPr>
          <w:rFonts w:hint="default" w:ascii="仿宋" w:hAnsi="仿宋" w:eastAsia="仿宋" w:cs="仿宋"/>
          <w:sz w:val="24"/>
          <w:lang w:bidi="ar"/>
        </w:rPr>
        <w:t>考虑本工程内容，工期较紧，请</w:t>
      </w:r>
      <w:r>
        <w:rPr>
          <w:rFonts w:hint="eastAsia" w:ascii="仿宋" w:hAnsi="仿宋" w:eastAsia="仿宋" w:cs="仿宋"/>
          <w:sz w:val="24"/>
          <w:lang w:val="en-US" w:eastAsia="zh-CN" w:bidi="ar"/>
        </w:rPr>
        <w:t>供应商</w:t>
      </w:r>
      <w:r>
        <w:rPr>
          <w:rFonts w:hint="default" w:ascii="仿宋" w:hAnsi="仿宋" w:eastAsia="仿宋" w:cs="仿宋"/>
          <w:sz w:val="24"/>
          <w:lang w:bidi="ar"/>
        </w:rPr>
        <w:t>充分踏勘现场，全面考虑由此带来的工效降低，作业难度增大等困难，因此增加的各项费用（包括但不限于：人员、机械设备增加；赶工；机械设备多次进出场等费用）自行综合考虑计入</w:t>
      </w:r>
      <w:r>
        <w:rPr>
          <w:rFonts w:hint="eastAsia" w:ascii="仿宋" w:hAnsi="仿宋" w:eastAsia="仿宋" w:cs="仿宋"/>
          <w:sz w:val="24"/>
          <w:lang w:val="en-US" w:eastAsia="zh-CN" w:bidi="ar"/>
        </w:rPr>
        <w:t>投标报</w:t>
      </w:r>
      <w:r>
        <w:rPr>
          <w:rFonts w:hint="default" w:ascii="仿宋" w:hAnsi="仿宋" w:eastAsia="仿宋" w:cs="仿宋"/>
          <w:sz w:val="24"/>
          <w:lang w:bidi="ar"/>
        </w:rPr>
        <w:t>价，中标后不因此增加任何费用。</w:t>
      </w:r>
    </w:p>
    <w:p w14:paraId="26B135C6">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firstLine="480" w:firstLineChars="200"/>
        <w:jc w:val="left"/>
        <w:textAlignment w:val="auto"/>
        <w:rPr>
          <w:rFonts w:hint="default" w:ascii="仿宋" w:hAnsi="仿宋" w:eastAsia="仿宋" w:cs="仿宋"/>
          <w:sz w:val="24"/>
          <w:lang w:bidi="ar"/>
        </w:rPr>
      </w:pPr>
      <w:r>
        <w:rPr>
          <w:rFonts w:hint="eastAsia" w:ascii="仿宋" w:hAnsi="仿宋" w:eastAsia="仿宋" w:cs="仿宋"/>
          <w:sz w:val="24"/>
          <w:lang w:val="en-US" w:eastAsia="zh-CN" w:bidi="ar"/>
        </w:rPr>
        <w:t>21.10</w:t>
      </w:r>
      <w:r>
        <w:rPr>
          <w:rFonts w:hint="default" w:ascii="仿宋" w:hAnsi="仿宋" w:eastAsia="仿宋" w:cs="仿宋"/>
          <w:sz w:val="24"/>
          <w:lang w:bidi="ar"/>
        </w:rPr>
        <w:t>全部工程验收合格，双方签署验收证书之日起10日内清除所有与现场无关的任何多余物品（建筑材料、设备等）及（建筑、生活）垃圾等，达到工程正常使用要求。如</w:t>
      </w:r>
      <w:r>
        <w:rPr>
          <w:rFonts w:hint="eastAsia" w:ascii="仿宋" w:hAnsi="仿宋" w:eastAsia="仿宋" w:cs="仿宋"/>
          <w:sz w:val="24"/>
          <w:lang w:val="en-US" w:eastAsia="zh-CN" w:bidi="ar"/>
        </w:rPr>
        <w:t>供应商</w:t>
      </w:r>
      <w:r>
        <w:rPr>
          <w:rFonts w:hint="default" w:ascii="仿宋" w:hAnsi="仿宋" w:eastAsia="仿宋" w:cs="仿宋"/>
          <w:sz w:val="24"/>
          <w:lang w:bidi="ar"/>
        </w:rPr>
        <w:t>不履行，</w:t>
      </w:r>
      <w:r>
        <w:rPr>
          <w:rFonts w:hint="eastAsia" w:ascii="仿宋" w:hAnsi="仿宋" w:eastAsia="仿宋" w:cs="仿宋"/>
          <w:sz w:val="24"/>
          <w:lang w:val="en-US" w:eastAsia="zh-CN" w:bidi="ar"/>
        </w:rPr>
        <w:t>采购</w:t>
      </w:r>
      <w:r>
        <w:rPr>
          <w:rFonts w:hint="default" w:ascii="仿宋" w:hAnsi="仿宋" w:eastAsia="仿宋" w:cs="仿宋"/>
          <w:sz w:val="24"/>
          <w:lang w:bidi="ar"/>
        </w:rPr>
        <w:t>人可自行清除，发生的费用由</w:t>
      </w:r>
      <w:r>
        <w:rPr>
          <w:rFonts w:hint="eastAsia" w:ascii="仿宋" w:hAnsi="仿宋" w:eastAsia="仿宋" w:cs="仿宋"/>
          <w:sz w:val="24"/>
          <w:lang w:val="en-US" w:eastAsia="zh-CN" w:bidi="ar"/>
        </w:rPr>
        <w:t>供应商</w:t>
      </w:r>
      <w:r>
        <w:rPr>
          <w:rFonts w:hint="default" w:ascii="仿宋" w:hAnsi="仿宋" w:eastAsia="仿宋" w:cs="仿宋"/>
          <w:sz w:val="24"/>
          <w:lang w:bidi="ar"/>
        </w:rPr>
        <w:t>承担，并在最近一次结算的工程款中予以扣除。</w:t>
      </w:r>
    </w:p>
    <w:p w14:paraId="3DDFBCCD">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firstLine="480" w:firstLineChars="200"/>
        <w:jc w:val="left"/>
        <w:textAlignment w:val="auto"/>
        <w:rPr>
          <w:rFonts w:hint="default" w:ascii="仿宋" w:hAnsi="仿宋" w:eastAsia="仿宋" w:cs="仿宋"/>
          <w:sz w:val="24"/>
          <w:lang w:val="en-US" w:eastAsia="zh-CN" w:bidi="ar"/>
        </w:rPr>
      </w:pPr>
      <w:r>
        <w:rPr>
          <w:rFonts w:hint="eastAsia" w:ascii="仿宋" w:hAnsi="仿宋" w:eastAsia="仿宋" w:cs="仿宋"/>
          <w:sz w:val="24"/>
          <w:lang w:val="en-US" w:eastAsia="zh-CN" w:bidi="ar"/>
        </w:rPr>
        <w:t>21</w:t>
      </w:r>
      <w:r>
        <w:rPr>
          <w:rFonts w:hint="default" w:ascii="仿宋" w:hAnsi="仿宋" w:eastAsia="仿宋" w:cs="仿宋"/>
          <w:sz w:val="24"/>
          <w:lang w:val="en-US" w:eastAsia="zh-CN" w:bidi="ar"/>
        </w:rPr>
        <w:t>.11</w:t>
      </w:r>
      <w:r>
        <w:rPr>
          <w:rFonts w:hint="default" w:ascii="仿宋" w:hAnsi="仿宋" w:eastAsia="仿宋" w:cs="仿宋"/>
          <w:sz w:val="24"/>
          <w:lang w:bidi="ar"/>
        </w:rPr>
        <w:t>施工过程中若对周边环境或居民造成不利影响而引起投诉、罚款等，则由</w:t>
      </w:r>
      <w:r>
        <w:rPr>
          <w:rFonts w:hint="eastAsia" w:ascii="仿宋" w:hAnsi="仿宋" w:eastAsia="仿宋" w:cs="仿宋"/>
          <w:sz w:val="24"/>
          <w:lang w:val="en-US" w:eastAsia="zh-CN" w:bidi="ar"/>
        </w:rPr>
        <w:t>供应商</w:t>
      </w:r>
      <w:r>
        <w:rPr>
          <w:rFonts w:hint="default" w:ascii="仿宋" w:hAnsi="仿宋" w:eastAsia="仿宋" w:cs="仿宋"/>
          <w:sz w:val="24"/>
          <w:lang w:bidi="ar"/>
        </w:rPr>
        <w:t>妥善解决并承担所有责任。</w:t>
      </w:r>
    </w:p>
    <w:p w14:paraId="214C0981">
      <w:pPr>
        <w:keepNext w:val="0"/>
        <w:keepLines w:val="0"/>
        <w:pageBreakBefore w:val="0"/>
        <w:widowControl/>
        <w:numPr>
          <w:ilvl w:val="0"/>
          <w:numId w:val="0"/>
        </w:numPr>
        <w:kinsoku/>
        <w:wordWrap/>
        <w:overflowPunct/>
        <w:topLinePunct w:val="0"/>
        <w:autoSpaceDE/>
        <w:autoSpaceDN/>
        <w:bidi w:val="0"/>
        <w:adjustRightInd/>
        <w:spacing w:line="360" w:lineRule="auto"/>
        <w:ind w:left="0" w:firstLine="480" w:firstLineChars="200"/>
        <w:jc w:val="left"/>
        <w:textAlignment w:val="auto"/>
        <w:rPr>
          <w:rFonts w:hint="default" w:ascii="仿宋" w:hAnsi="仿宋" w:eastAsia="仿宋" w:cs="仿宋"/>
          <w:b w:val="0"/>
          <w:sz w:val="24"/>
        </w:rPr>
      </w:pPr>
      <w:r>
        <w:rPr>
          <w:rFonts w:hint="eastAsia" w:ascii="仿宋" w:hAnsi="仿宋" w:eastAsia="仿宋" w:cs="仿宋"/>
          <w:b w:val="0"/>
          <w:sz w:val="24"/>
          <w:lang w:val="en-US" w:eastAsia="zh-CN"/>
        </w:rPr>
        <w:t xml:space="preserve">21.12 </w:t>
      </w:r>
      <w:r>
        <w:rPr>
          <w:rFonts w:hint="default" w:ascii="仿宋" w:hAnsi="仿宋" w:eastAsia="仿宋" w:cs="仿宋"/>
          <w:b w:val="0"/>
          <w:sz w:val="24"/>
        </w:rPr>
        <w:t>民工工资必须按时支付，否则采购人有权暂扣工程款直到供应商付清民工工资为止，并根据上级主管部门的相关规定进行处罚。</w:t>
      </w:r>
    </w:p>
    <w:p w14:paraId="61A779D6">
      <w:pPr>
        <w:keepNext w:val="0"/>
        <w:keepLines w:val="0"/>
        <w:pageBreakBefore w:val="0"/>
        <w:widowControl/>
        <w:numPr>
          <w:ilvl w:val="0"/>
          <w:numId w:val="0"/>
        </w:numPr>
        <w:kinsoku/>
        <w:wordWrap/>
        <w:overflowPunct/>
        <w:topLinePunct w:val="0"/>
        <w:autoSpaceDE/>
        <w:autoSpaceDN/>
        <w:bidi w:val="0"/>
        <w:adjustRightInd/>
        <w:spacing w:line="360" w:lineRule="auto"/>
        <w:ind w:left="0" w:firstLine="480" w:firstLineChars="200"/>
        <w:jc w:val="left"/>
        <w:textAlignment w:val="auto"/>
        <w:rPr>
          <w:rFonts w:hint="default" w:ascii="仿宋" w:hAnsi="仿宋" w:eastAsia="仿宋" w:cs="仿宋"/>
          <w:b w:val="0"/>
          <w:sz w:val="24"/>
        </w:rPr>
      </w:pPr>
      <w:r>
        <w:rPr>
          <w:rFonts w:hint="eastAsia" w:ascii="仿宋" w:hAnsi="仿宋" w:eastAsia="仿宋" w:cs="仿宋"/>
          <w:b w:val="0"/>
          <w:sz w:val="24"/>
          <w:lang w:val="en-US" w:eastAsia="zh-CN"/>
        </w:rPr>
        <w:t xml:space="preserve">21.13 </w:t>
      </w:r>
      <w:r>
        <w:rPr>
          <w:rFonts w:hint="default" w:ascii="仿宋" w:hAnsi="仿宋" w:eastAsia="仿宋" w:cs="仿宋"/>
          <w:b w:val="0"/>
          <w:sz w:val="24"/>
        </w:rPr>
        <w:t>在本工程项目未竣工验收交付采购人前，本工程成品或半成品及设备保护均由供应商负责保护，费用请综合考虑到报价中。</w:t>
      </w:r>
    </w:p>
    <w:p w14:paraId="7D7C42C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default" w:ascii="仿宋" w:hAnsi="仿宋" w:eastAsia="仿宋" w:cs="仿宋"/>
          <w:b w:val="0"/>
          <w:sz w:val="24"/>
        </w:rPr>
      </w:pPr>
      <w:r>
        <w:rPr>
          <w:rFonts w:hint="eastAsia" w:ascii="仿宋" w:hAnsi="仿宋" w:eastAsia="仿宋" w:cs="仿宋"/>
          <w:b w:val="0"/>
          <w:sz w:val="24"/>
          <w:lang w:val="en-US" w:eastAsia="zh-CN"/>
        </w:rPr>
        <w:t xml:space="preserve">21.14 </w:t>
      </w:r>
      <w:r>
        <w:rPr>
          <w:rFonts w:hint="default" w:ascii="仿宋" w:hAnsi="仿宋" w:eastAsia="仿宋" w:cs="仿宋"/>
          <w:b w:val="0"/>
          <w:sz w:val="24"/>
        </w:rPr>
        <w:t>凡采购文件中要求进入报价的费用若在供应商投标文件中不体现，均视同已进入投标总价或作为优惠不计入投标价，成交后，不再另行支付与之相关的费用。</w:t>
      </w:r>
    </w:p>
    <w:p w14:paraId="729D88AE">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firstLine="480" w:firstLineChars="200"/>
        <w:jc w:val="left"/>
        <w:textAlignment w:val="auto"/>
        <w:rPr>
          <w:rFonts w:hint="default" w:ascii="仿宋" w:hAnsi="仿宋" w:eastAsia="仿宋" w:cs="仿宋"/>
          <w:sz w:val="24"/>
          <w:lang w:bidi="ar"/>
        </w:rPr>
      </w:pPr>
      <w:r>
        <w:rPr>
          <w:rFonts w:hint="eastAsia" w:ascii="仿宋" w:hAnsi="仿宋" w:eastAsia="仿宋" w:cs="仿宋"/>
          <w:b w:val="0"/>
          <w:sz w:val="24"/>
          <w:lang w:val="en-US" w:eastAsia="zh-CN"/>
        </w:rPr>
        <w:t>21.</w:t>
      </w:r>
      <w:r>
        <w:rPr>
          <w:rFonts w:hint="eastAsia" w:ascii="仿宋" w:hAnsi="仿宋" w:eastAsia="仿宋" w:cs="仿宋"/>
          <w:sz w:val="24"/>
          <w:lang w:val="en-US" w:eastAsia="zh-CN" w:bidi="ar"/>
        </w:rPr>
        <w:t xml:space="preserve">15 </w:t>
      </w:r>
      <w:r>
        <w:rPr>
          <w:rFonts w:hint="default" w:ascii="仿宋" w:hAnsi="仿宋" w:eastAsia="仿宋" w:cs="仿宋"/>
          <w:sz w:val="24"/>
          <w:lang w:bidi="ar"/>
        </w:rPr>
        <w:t>因重大活动、会议或其它特殊情况，采购人发布相关停工通知的，项目必须无条件服从通知要求进行停工，供应商应充分考虑组织措施增加费、技术措施增加费，人员、机械窝工及相关全部费用，请供应商在报价中综合考虑。后期，上述相关费用不予以签证，不再调整费用，工期予以顺延。</w:t>
      </w:r>
    </w:p>
    <w:p w14:paraId="36FBCA6C">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0" w:firstLine="480" w:firstLineChars="200"/>
        <w:jc w:val="left"/>
        <w:textAlignment w:val="auto"/>
        <w:rPr>
          <w:rFonts w:hint="default" w:ascii="仿宋" w:hAnsi="仿宋" w:eastAsia="仿宋" w:cs="仿宋"/>
          <w:sz w:val="24"/>
          <w:lang w:bidi="ar"/>
        </w:rPr>
      </w:pPr>
      <w:r>
        <w:rPr>
          <w:rFonts w:hint="eastAsia" w:ascii="仿宋" w:hAnsi="仿宋" w:eastAsia="仿宋" w:cs="仿宋"/>
          <w:sz w:val="24"/>
          <w:lang w:val="en-US" w:eastAsia="zh-CN" w:bidi="ar"/>
        </w:rPr>
        <w:t xml:space="preserve">21.16 </w:t>
      </w:r>
      <w:r>
        <w:rPr>
          <w:rFonts w:hint="default" w:ascii="仿宋" w:hAnsi="仿宋" w:eastAsia="仿宋" w:cs="仿宋"/>
          <w:sz w:val="24"/>
          <w:lang w:bidi="ar"/>
        </w:rPr>
        <w:t>本项目需外送结算审计，审计价增减总额超过5%的审计</w:t>
      </w:r>
      <w:r>
        <w:rPr>
          <w:rFonts w:hint="eastAsia" w:ascii="仿宋" w:hAnsi="仿宋" w:eastAsia="仿宋" w:cs="仿宋"/>
          <w:sz w:val="24"/>
          <w:lang w:val="en-US" w:eastAsia="zh-CN" w:bidi="ar"/>
        </w:rPr>
        <w:t>供应商</w:t>
      </w:r>
      <w:r>
        <w:rPr>
          <w:rFonts w:hint="default" w:ascii="仿宋" w:hAnsi="仿宋" w:eastAsia="仿宋" w:cs="仿宋"/>
          <w:sz w:val="24"/>
          <w:lang w:bidi="ar"/>
        </w:rPr>
        <w:t>支付</w:t>
      </w:r>
      <w:r>
        <w:rPr>
          <w:rFonts w:hint="eastAsia" w:ascii="仿宋" w:hAnsi="仿宋" w:eastAsia="仿宋" w:cs="仿宋"/>
          <w:sz w:val="24"/>
          <w:lang w:eastAsia="zh-CN" w:bidi="ar"/>
        </w:rPr>
        <w:t>，</w:t>
      </w:r>
      <w:r>
        <w:rPr>
          <w:rFonts w:hint="eastAsia" w:ascii="仿宋" w:hAnsi="仿宋" w:eastAsia="仿宋" w:cs="仿宋"/>
          <w:sz w:val="24"/>
          <w:lang w:val="en-US" w:eastAsia="zh-CN" w:bidi="ar"/>
        </w:rPr>
        <w:t>相关费用已含在投标报价内</w:t>
      </w:r>
      <w:r>
        <w:rPr>
          <w:rFonts w:hint="default" w:ascii="仿宋" w:hAnsi="仿宋" w:eastAsia="仿宋" w:cs="仿宋"/>
          <w:sz w:val="24"/>
          <w:lang w:bidi="ar"/>
        </w:rPr>
        <w:t>。</w:t>
      </w:r>
    </w:p>
    <w:p w14:paraId="78DCA078">
      <w:pPr>
        <w:pStyle w:val="33"/>
        <w:ind w:firstLine="422" w:firstLineChars="200"/>
        <w:rPr>
          <w:rFonts w:hint="default" w:ascii="Times New Roman" w:hAnsi="Times New Roman" w:eastAsia="宋体" w:cs="Times New Roman"/>
          <w:b/>
          <w:color w:val="auto"/>
          <w:sz w:val="21"/>
          <w:szCs w:val="21"/>
          <w:highlight w:val="none"/>
          <w:lang w:val="en-US" w:eastAsia="zh-CN"/>
        </w:rPr>
      </w:pPr>
    </w:p>
    <w:p w14:paraId="4898CDD1">
      <w:pPr>
        <w:pStyle w:val="33"/>
        <w:rPr>
          <w:rFonts w:hint="eastAsia" w:ascii="Times New Roman" w:hAnsi="Times New Roman" w:cs="Times New Roman"/>
          <w:bCs/>
          <w:lang w:bidi="ar"/>
        </w:rPr>
      </w:pPr>
    </w:p>
    <w:p w14:paraId="00A3B71D">
      <w:pPr>
        <w:pStyle w:val="33"/>
        <w:rPr>
          <w:rFonts w:hint="eastAsia"/>
        </w:rPr>
      </w:pPr>
    </w:p>
    <w:p w14:paraId="7788084A">
      <w:pPr>
        <w:rPr>
          <w:rFonts w:hint="eastAsia"/>
        </w:rPr>
        <w:sectPr>
          <w:footerReference r:id="rId12" w:type="default"/>
          <w:pgSz w:w="11906" w:h="16838"/>
          <w:pgMar w:top="1281" w:right="1247" w:bottom="1247" w:left="1247" w:header="0" w:footer="782" w:gutter="0"/>
          <w:pgBorders>
            <w:top w:val="none" w:sz="0" w:space="0"/>
            <w:left w:val="none" w:sz="0" w:space="0"/>
            <w:bottom w:val="none" w:sz="0" w:space="0"/>
            <w:right w:val="none" w:sz="0" w:space="0"/>
          </w:pgBorders>
          <w:pgNumType w:fmt="decimal"/>
          <w:cols w:space="720" w:num="1"/>
          <w:rtlGutter w:val="0"/>
          <w:docGrid w:linePitch="326" w:charSpace="0"/>
        </w:sectPr>
      </w:pPr>
    </w:p>
    <w:p w14:paraId="328A5BD2">
      <w:pPr>
        <w:autoSpaceDE w:val="0"/>
        <w:autoSpaceDN w:val="0"/>
        <w:spacing w:line="340" w:lineRule="exact"/>
        <w:rPr>
          <w:rFonts w:hint="eastAsia" w:ascii="仿宋" w:hAnsi="仿宋" w:eastAsia="仿宋"/>
          <w:color w:val="000000"/>
          <w:sz w:val="24"/>
          <w:szCs w:val="22"/>
        </w:rPr>
      </w:pPr>
      <w:r>
        <w:rPr>
          <w:rFonts w:hint="eastAsia" w:ascii="仿宋" w:hAnsi="仿宋" w:eastAsia="仿宋"/>
          <w:color w:val="000000"/>
          <w:sz w:val="24"/>
          <w:szCs w:val="22"/>
        </w:rPr>
        <w:t>附件1</w:t>
      </w:r>
    </w:p>
    <w:p w14:paraId="00F152D2">
      <w:pPr>
        <w:pStyle w:val="3"/>
        <w:autoSpaceDE w:val="0"/>
        <w:autoSpaceDN w:val="0"/>
        <w:spacing w:before="360"/>
        <w:ind w:firstLine="281" w:firstLineChars="100"/>
        <w:jc w:val="center"/>
        <w:rPr>
          <w:rFonts w:hint="eastAsia" w:ascii="Times New Roman" w:hAnsi="仿宋" w:eastAsia="仿宋"/>
          <w:sz w:val="28"/>
          <w:szCs w:val="28"/>
        </w:rPr>
      </w:pPr>
      <w:bookmarkStart w:id="87" w:name="_Toc15168"/>
      <w:bookmarkStart w:id="88" w:name="_Toc15632"/>
      <w:bookmarkStart w:id="89" w:name="_Toc30831"/>
      <w:r>
        <w:rPr>
          <w:rFonts w:ascii="Times New Roman" w:hAnsi="仿宋" w:eastAsia="仿宋"/>
          <w:sz w:val="28"/>
          <w:szCs w:val="28"/>
        </w:rPr>
        <w:t>工程质量保修书</w:t>
      </w:r>
      <w:bookmarkEnd w:id="87"/>
      <w:bookmarkEnd w:id="88"/>
      <w:bookmarkEnd w:id="89"/>
    </w:p>
    <w:p w14:paraId="4502F95D">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 xml:space="preserve">发包人（甲方）： </w:t>
      </w:r>
    </w:p>
    <w:p w14:paraId="1E252BAC">
      <w:pPr>
        <w:autoSpaceDE w:val="0"/>
        <w:autoSpaceDN w:val="0"/>
        <w:adjustRightInd w:val="0"/>
        <w:snapToGrid w:val="0"/>
        <w:spacing w:line="360" w:lineRule="auto"/>
        <w:rPr>
          <w:rFonts w:hint="eastAsia" w:ascii="仿宋" w:hAnsi="仿宋" w:eastAsia="仿宋"/>
          <w:sz w:val="24"/>
        </w:rPr>
      </w:pPr>
      <w:r>
        <w:rPr>
          <w:rFonts w:hint="eastAsia" w:ascii="仿宋" w:hAnsi="仿宋" w:eastAsia="仿宋"/>
          <w:sz w:val="24"/>
        </w:rPr>
        <w:t>承包人（乙方）：</w:t>
      </w:r>
    </w:p>
    <w:p w14:paraId="13091DFC">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双方</w:t>
      </w:r>
      <w:r>
        <w:rPr>
          <w:rFonts w:ascii="仿宋" w:hAnsi="仿宋" w:eastAsia="仿宋"/>
          <w:sz w:val="24"/>
        </w:rPr>
        <w:t>根据《中华人民共和国建筑法》和《建设工程质量管理条例》，经协商一致就</w:t>
      </w:r>
      <w:r>
        <w:rPr>
          <w:rFonts w:hint="eastAsia" w:ascii="仿宋" w:hAnsi="仿宋" w:eastAsia="仿宋"/>
          <w:sz w:val="24"/>
          <w:u w:val="single"/>
          <w:lang w:eastAsia="zh-CN"/>
        </w:rPr>
        <w:t>浙江工商大学教工路校区学生宿舍建设工程附属配电房移位改造工程（EPC）</w:t>
      </w:r>
      <w:r>
        <w:rPr>
          <w:rFonts w:ascii="仿宋" w:hAnsi="仿宋" w:eastAsia="仿宋"/>
          <w:sz w:val="24"/>
        </w:rPr>
        <w:t>签订工程质量保修书。</w:t>
      </w:r>
    </w:p>
    <w:p w14:paraId="5FCFFE5F">
      <w:pPr>
        <w:autoSpaceDE w:val="0"/>
        <w:autoSpaceDN w:val="0"/>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一、工程质量保修范围和内容</w:t>
      </w:r>
    </w:p>
    <w:p w14:paraId="495E7AB2">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承包人在质量保修期内，按照有关法律、法规、规章的管理规定和双方约定，承担本工程质量保修责任。</w:t>
      </w:r>
    </w:p>
    <w:p w14:paraId="4895E5FD">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质量保修范围包括：</w:t>
      </w:r>
      <w:r>
        <w:rPr>
          <w:rFonts w:hint="eastAsia" w:ascii="仿宋" w:hAnsi="仿宋" w:eastAsia="仿宋"/>
          <w:sz w:val="24"/>
          <w:u w:val="single"/>
        </w:rPr>
        <w:t>图纸、工程量清单、竞争性磋商文件规定范围内的工程以及双方约定的其他项目</w:t>
      </w:r>
      <w:r>
        <w:rPr>
          <w:rFonts w:hint="eastAsia" w:ascii="仿宋" w:hAnsi="仿宋" w:eastAsia="仿宋"/>
          <w:sz w:val="24"/>
        </w:rPr>
        <w:t>。具体保修内容为：</w:t>
      </w:r>
      <w:r>
        <w:rPr>
          <w:rFonts w:hint="eastAsia" w:ascii="仿宋" w:hAnsi="仿宋" w:eastAsia="仿宋"/>
          <w:sz w:val="24"/>
          <w:u w:val="single"/>
        </w:rPr>
        <w:t>承包人对</w:t>
      </w:r>
      <w:r>
        <w:rPr>
          <w:rFonts w:hint="eastAsia" w:ascii="仿宋" w:hAnsi="仿宋" w:eastAsia="仿宋"/>
          <w:sz w:val="24"/>
          <w:u w:val="single"/>
          <w:lang w:eastAsia="zh-CN"/>
        </w:rPr>
        <w:t>浙江工商大学教工路校区学生宿舍建设工程附属配电房移位改造工程（EPC）</w:t>
      </w:r>
      <w:r>
        <w:rPr>
          <w:rFonts w:ascii="仿宋" w:hAnsi="仿宋" w:eastAsia="仿宋"/>
          <w:sz w:val="24"/>
          <w:u w:val="single"/>
        </w:rPr>
        <w:t>各部位的质量缺陷（含产品质量及施工质量）及由于</w:t>
      </w:r>
      <w:r>
        <w:rPr>
          <w:rFonts w:hint="eastAsia" w:ascii="仿宋" w:hAnsi="仿宋" w:eastAsia="仿宋"/>
          <w:sz w:val="24"/>
          <w:u w:val="single"/>
        </w:rPr>
        <w:t>承包人</w:t>
      </w:r>
      <w:r>
        <w:rPr>
          <w:rFonts w:ascii="仿宋" w:hAnsi="仿宋" w:eastAsia="仿宋"/>
          <w:sz w:val="24"/>
          <w:u w:val="single"/>
        </w:rPr>
        <w:t>维修造成的质量缺陷，</w:t>
      </w:r>
      <w:r>
        <w:rPr>
          <w:rFonts w:hint="eastAsia" w:ascii="仿宋" w:hAnsi="仿宋" w:eastAsia="仿宋"/>
          <w:sz w:val="24"/>
          <w:u w:val="single"/>
        </w:rPr>
        <w:t>承担免费保修义务，避免出现任何质量劣化现象</w:t>
      </w:r>
      <w:r>
        <w:rPr>
          <w:rFonts w:hint="eastAsia" w:ascii="仿宋" w:hAnsi="仿宋" w:eastAsia="仿宋"/>
          <w:sz w:val="24"/>
        </w:rPr>
        <w:t>。</w:t>
      </w:r>
    </w:p>
    <w:p w14:paraId="39A50742">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二、质量保修期</w:t>
      </w:r>
    </w:p>
    <w:p w14:paraId="0B143B7B">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双方根据《建设工程质量管理条例》及国家有关规定，结合具体工程情况约定质量保修期如下：</w:t>
      </w:r>
    </w:p>
    <w:p w14:paraId="223AA29F">
      <w:pPr>
        <w:autoSpaceDE w:val="0"/>
        <w:autoSpaceDN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地基基础工程和主体结构工程为设计文件规定的工程合理使用年限；</w:t>
      </w:r>
    </w:p>
    <w:p w14:paraId="3E7D656F">
      <w:pPr>
        <w:autoSpaceDE w:val="0"/>
        <w:autoSpaceDN w:val="0"/>
        <w:snapToGrid w:val="0"/>
        <w:spacing w:line="360" w:lineRule="auto"/>
        <w:ind w:firstLine="480" w:firstLineChars="200"/>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屋面防水工程、有防水要求的卫生间、房间和外墙面的防渗为5年；</w:t>
      </w:r>
    </w:p>
    <w:p w14:paraId="6BA92B96">
      <w:pPr>
        <w:autoSpaceDE w:val="0"/>
        <w:autoSpaceDN w:val="0"/>
        <w:snapToGrid w:val="0"/>
        <w:spacing w:line="360" w:lineRule="auto"/>
        <w:ind w:firstLine="480" w:firstLineChars="200"/>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装修工程为2年；</w:t>
      </w:r>
    </w:p>
    <w:p w14:paraId="53FA18A5">
      <w:pPr>
        <w:autoSpaceDE w:val="0"/>
        <w:autoSpaceDN w:val="0"/>
        <w:snapToGrid w:val="0"/>
        <w:spacing w:line="360" w:lineRule="auto"/>
        <w:ind w:firstLine="480" w:firstLineChars="200"/>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电气管线、给排水管道、设备安装工程为2年；</w:t>
      </w:r>
    </w:p>
    <w:p w14:paraId="3C905539">
      <w:pPr>
        <w:autoSpaceDE w:val="0"/>
        <w:autoSpaceDN w:val="0"/>
        <w:snapToGrid w:val="0"/>
        <w:spacing w:line="360" w:lineRule="auto"/>
        <w:ind w:firstLine="480" w:firstLineChars="200"/>
        <w:rPr>
          <w:rFonts w:hint="eastAsia" w:ascii="仿宋" w:hAnsi="仿宋" w:eastAsia="仿宋" w:cs="仿宋"/>
          <w:sz w:val="24"/>
        </w:rPr>
      </w:pPr>
      <w:r>
        <w:rPr>
          <w:rFonts w:ascii="仿宋" w:hAnsi="仿宋" w:eastAsia="仿宋" w:cs="仿宋"/>
          <w:sz w:val="24"/>
        </w:rPr>
        <w:t>5.</w:t>
      </w:r>
      <w:r>
        <w:rPr>
          <w:rFonts w:hint="eastAsia" w:ascii="仿宋" w:hAnsi="仿宋" w:eastAsia="仿宋" w:cs="仿宋"/>
          <w:sz w:val="24"/>
        </w:rPr>
        <w:t>供热与供冷系统为2个采暖期；</w:t>
      </w:r>
    </w:p>
    <w:p w14:paraId="08223909">
      <w:pPr>
        <w:autoSpaceDE w:val="0"/>
        <w:autoSpaceDN w:val="0"/>
        <w:snapToGrid w:val="0"/>
        <w:spacing w:line="360" w:lineRule="auto"/>
        <w:ind w:firstLine="480" w:firstLineChars="200"/>
        <w:rPr>
          <w:rFonts w:hint="eastAsia" w:ascii="仿宋" w:hAnsi="仿宋" w:eastAsia="仿宋" w:cs="仿宋"/>
          <w:sz w:val="24"/>
        </w:rPr>
      </w:pPr>
      <w:r>
        <w:rPr>
          <w:rFonts w:ascii="仿宋" w:hAnsi="仿宋" w:eastAsia="仿宋" w:cs="仿宋"/>
          <w:sz w:val="24"/>
        </w:rPr>
        <w:t>6.</w:t>
      </w:r>
      <w:r>
        <w:rPr>
          <w:rFonts w:hint="eastAsia" w:ascii="仿宋" w:hAnsi="仿宋" w:eastAsia="仿宋" w:cs="仿宋"/>
          <w:sz w:val="24"/>
        </w:rPr>
        <w:t>施工图纸及工程量清单涉及的其他工程为2年。</w:t>
      </w:r>
    </w:p>
    <w:p w14:paraId="23F2D321">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质量保修期从工程竣工验收合格之日算起。</w:t>
      </w:r>
    </w:p>
    <w:p w14:paraId="359A700E">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三、缺陷责任期</w:t>
      </w:r>
    </w:p>
    <w:p w14:paraId="00C9A57A">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工程缺陷责任期为</w:t>
      </w:r>
      <w:r>
        <w:rPr>
          <w:rFonts w:ascii="仿宋" w:hAnsi="仿宋" w:eastAsia="仿宋"/>
          <w:b/>
          <w:sz w:val="24"/>
          <w:u w:val="single"/>
        </w:rPr>
        <w:t>24</w:t>
      </w:r>
      <w:r>
        <w:rPr>
          <w:rFonts w:hint="eastAsia" w:ascii="仿宋" w:hAnsi="仿宋" w:eastAsia="仿宋"/>
          <w:sz w:val="24"/>
        </w:rPr>
        <w:t>个月，缺陷责任期自工程竣工验收合格之日起计算。单位工程先于全部工程进行验收，单位工程缺陷责任期自单位工程验收合格之日起算。</w:t>
      </w:r>
    </w:p>
    <w:p w14:paraId="52DDEB5F">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四、质量保修责任</w:t>
      </w:r>
    </w:p>
    <w:p w14:paraId="269B823E">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u w:val="single"/>
        </w:rPr>
        <w:t>属于保修范围、内容的项目，承包人必须在接到报修通知之日起24小时内派人保修，承包人不在约定期限内派人保修，发包人可委托其他人员修理,</w:t>
      </w:r>
      <w:r>
        <w:rPr>
          <w:rFonts w:ascii="仿宋" w:hAnsi="仿宋" w:eastAsia="仿宋"/>
          <w:sz w:val="24"/>
          <w:u w:val="single"/>
        </w:rPr>
        <w:t>所发生的相关费用在承包人质量保修金中扣除</w:t>
      </w:r>
      <w:r>
        <w:rPr>
          <w:rFonts w:hint="eastAsia" w:ascii="仿宋" w:hAnsi="仿宋" w:eastAsia="仿宋"/>
          <w:sz w:val="24"/>
        </w:rPr>
        <w:t>。</w:t>
      </w:r>
    </w:p>
    <w:p w14:paraId="36E04497">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发生须紧急抢修事故，承包人在接到事故通知后，应当立即到达事故现场抢修</w:t>
      </w:r>
      <w:r>
        <w:rPr>
          <w:rFonts w:hint="eastAsia" w:ascii="仿宋" w:hAnsi="仿宋" w:eastAsia="仿宋"/>
          <w:sz w:val="24"/>
        </w:rPr>
        <w:t>。</w:t>
      </w:r>
    </w:p>
    <w:p w14:paraId="54B413F2">
      <w:pPr>
        <w:autoSpaceDE w:val="0"/>
        <w:autoSpaceDN w:val="0"/>
        <w:snapToGrid w:val="0"/>
        <w:spacing w:line="360" w:lineRule="auto"/>
        <w:ind w:firstLine="480" w:firstLineChars="200"/>
        <w:rPr>
          <w:rFonts w:hint="eastAsia"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仿宋" w:hAnsi="仿宋" w:eastAsia="仿宋"/>
          <w:sz w:val="24"/>
        </w:rPr>
        <w:t>。</w:t>
      </w:r>
    </w:p>
    <w:p w14:paraId="1B6E0282">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4.</w:t>
      </w:r>
      <w:r>
        <w:rPr>
          <w:rFonts w:hint="eastAsia" w:ascii="仿宋" w:hAnsi="仿宋" w:eastAsia="仿宋"/>
          <w:sz w:val="24"/>
          <w:u w:val="single"/>
        </w:rPr>
        <w:t>因承包人原因致使工程在合理使用期限内造成人身和财产损害的，承包人应承担损害赔偿责任</w:t>
      </w:r>
      <w:r>
        <w:rPr>
          <w:rFonts w:hint="eastAsia" w:ascii="仿宋" w:hAnsi="仿宋" w:eastAsia="仿宋"/>
          <w:sz w:val="24"/>
        </w:rPr>
        <w:t>。</w:t>
      </w:r>
    </w:p>
    <w:p w14:paraId="6662F5AA">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5.</w:t>
      </w:r>
      <w:r>
        <w:rPr>
          <w:rFonts w:hint="eastAsia" w:ascii="仿宋" w:hAnsi="仿宋" w:eastAsia="仿宋"/>
          <w:sz w:val="24"/>
          <w:u w:val="single"/>
        </w:rPr>
        <w:t>质量保修完成后，由发包人组织验收</w:t>
      </w:r>
      <w:r>
        <w:rPr>
          <w:rFonts w:hint="eastAsia" w:ascii="仿宋" w:hAnsi="仿宋" w:eastAsia="仿宋"/>
          <w:sz w:val="24"/>
        </w:rPr>
        <w:t>。</w:t>
      </w:r>
    </w:p>
    <w:p w14:paraId="7D775CB0">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五、保修费用</w:t>
      </w:r>
    </w:p>
    <w:p w14:paraId="672BB549">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u w:val="single"/>
        </w:rPr>
        <w:t>在</w:t>
      </w:r>
      <w:r>
        <w:rPr>
          <w:rFonts w:ascii="仿宋" w:hAnsi="仿宋" w:eastAsia="仿宋"/>
          <w:sz w:val="24"/>
          <w:u w:val="single"/>
        </w:rPr>
        <w:t>双方</w:t>
      </w:r>
      <w:r>
        <w:rPr>
          <w:rFonts w:hint="eastAsia" w:ascii="仿宋" w:hAnsi="仿宋" w:eastAsia="仿宋"/>
          <w:sz w:val="24"/>
          <w:u w:val="single"/>
        </w:rPr>
        <w:t>工程结算时，承包人按结算审定金额的1</w:t>
      </w:r>
      <w:r>
        <w:rPr>
          <w:rFonts w:ascii="仿宋" w:hAnsi="仿宋" w:eastAsia="仿宋"/>
          <w:sz w:val="24"/>
          <w:u w:val="single"/>
        </w:rPr>
        <w:t>.5</w:t>
      </w:r>
      <w:r>
        <w:rPr>
          <w:rFonts w:hint="eastAsia" w:ascii="仿宋" w:hAnsi="仿宋" w:eastAsia="仿宋"/>
          <w:sz w:val="24"/>
          <w:u w:val="single"/>
        </w:rPr>
        <w:t>%缴纳质量保修金</w:t>
      </w:r>
      <w:r>
        <w:rPr>
          <w:rFonts w:hint="eastAsia" w:ascii="仿宋" w:hAnsi="仿宋" w:eastAsia="仿宋"/>
          <w:sz w:val="24"/>
        </w:rPr>
        <w:t>；</w:t>
      </w:r>
    </w:p>
    <w:p w14:paraId="12D69A59">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u w:val="single"/>
        </w:rPr>
        <w:t>在质量保修期内</w:t>
      </w:r>
      <w:r>
        <w:rPr>
          <w:rFonts w:hint="eastAsia" w:ascii="仿宋" w:hAnsi="仿宋" w:eastAsia="仿宋"/>
          <w:sz w:val="24"/>
          <w:u w:val="single"/>
        </w:rPr>
        <w:t>，保修费用由造成质量缺陷的责任方承担</w:t>
      </w:r>
      <w:r>
        <w:rPr>
          <w:rFonts w:hint="eastAsia" w:ascii="仿宋" w:hAnsi="仿宋" w:eastAsia="仿宋"/>
          <w:sz w:val="24"/>
        </w:rPr>
        <w:t>。</w:t>
      </w:r>
    </w:p>
    <w:p w14:paraId="4DEC003A">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u w:val="single"/>
        </w:rPr>
        <w:t>质量保修期满，</w:t>
      </w:r>
      <w:r>
        <w:rPr>
          <w:rFonts w:hint="eastAsia" w:ascii="仿宋" w:hAnsi="仿宋" w:eastAsia="仿宋"/>
          <w:sz w:val="24"/>
          <w:u w:val="single"/>
        </w:rPr>
        <w:t>经复验合格，发包人无息返还剩余的质量保修金</w:t>
      </w:r>
      <w:r>
        <w:rPr>
          <w:rFonts w:hint="eastAsia" w:ascii="仿宋" w:hAnsi="仿宋" w:eastAsia="仿宋"/>
          <w:sz w:val="24"/>
        </w:rPr>
        <w:t>。</w:t>
      </w:r>
    </w:p>
    <w:p w14:paraId="71D19E3D">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六、其他</w:t>
      </w:r>
    </w:p>
    <w:p w14:paraId="11B07CF4">
      <w:pPr>
        <w:autoSpaceDE w:val="0"/>
        <w:autoSpaceDN w:val="0"/>
        <w:snapToGrid w:val="0"/>
        <w:spacing w:line="360" w:lineRule="auto"/>
        <w:ind w:firstLine="480" w:firstLineChars="200"/>
        <w:rPr>
          <w:rFonts w:hint="eastAsia" w:ascii="仿宋" w:hAnsi="仿宋" w:eastAsia="仿宋"/>
          <w:sz w:val="24"/>
          <w:u w:val="single"/>
        </w:rPr>
      </w:pPr>
      <w:r>
        <w:rPr>
          <w:rFonts w:hint="eastAsia" w:ascii="仿宋" w:hAnsi="仿宋" w:eastAsia="仿宋"/>
          <w:sz w:val="24"/>
        </w:rPr>
        <w:t>双方约定的其他工程质量保修事项：</w:t>
      </w:r>
      <w:r>
        <w:rPr>
          <w:rFonts w:ascii="仿宋" w:hAnsi="仿宋" w:eastAsia="仿宋"/>
          <w:sz w:val="24"/>
          <w:u w:val="single"/>
        </w:rPr>
        <w:t>1.承包人在保修期间进出</w:t>
      </w:r>
      <w:r>
        <w:rPr>
          <w:rFonts w:hint="eastAsia" w:ascii="仿宋" w:hAnsi="仿宋" w:eastAsia="仿宋"/>
          <w:sz w:val="24"/>
          <w:u w:val="single"/>
        </w:rPr>
        <w:t>学校</w:t>
      </w:r>
      <w:r>
        <w:rPr>
          <w:rFonts w:ascii="仿宋" w:hAnsi="仿宋" w:eastAsia="仿宋"/>
          <w:sz w:val="24"/>
          <w:u w:val="single"/>
        </w:rPr>
        <w:t>的所有维修人员，应遵守</w:t>
      </w:r>
      <w:r>
        <w:rPr>
          <w:rFonts w:hint="eastAsia" w:ascii="仿宋" w:hAnsi="仿宋" w:eastAsia="仿宋"/>
          <w:sz w:val="24"/>
          <w:u w:val="single"/>
        </w:rPr>
        <w:t>学校</w:t>
      </w:r>
      <w:r>
        <w:rPr>
          <w:rFonts w:ascii="仿宋" w:hAnsi="仿宋" w:eastAsia="仿宋"/>
          <w:sz w:val="24"/>
          <w:u w:val="single"/>
        </w:rPr>
        <w:t>的各项规定</w:t>
      </w:r>
      <w:r>
        <w:rPr>
          <w:rFonts w:hint="eastAsia" w:ascii="仿宋" w:hAnsi="仿宋" w:eastAsia="仿宋"/>
          <w:sz w:val="24"/>
          <w:u w:val="single"/>
        </w:rPr>
        <w:t>。2</w:t>
      </w:r>
      <w:r>
        <w:rPr>
          <w:rFonts w:ascii="仿宋" w:hAnsi="仿宋" w:eastAsia="仿宋"/>
          <w:sz w:val="24"/>
          <w:u w:val="single"/>
        </w:rPr>
        <w:t>.</w:t>
      </w:r>
      <w:r>
        <w:rPr>
          <w:rFonts w:hint="eastAsia" w:ascii="仿宋" w:hAnsi="仿宋" w:eastAsia="仿宋"/>
          <w:sz w:val="24"/>
          <w:u w:val="single"/>
        </w:rPr>
        <w:t>承包人在保修维修施工中所造成的人身伤亡及财产损失的，由承包人自行承担全部责任和由此发生的相关费用；3</w:t>
      </w:r>
      <w:r>
        <w:rPr>
          <w:rFonts w:ascii="仿宋" w:hAnsi="仿宋" w:eastAsia="仿宋"/>
          <w:sz w:val="24"/>
          <w:u w:val="single"/>
        </w:rPr>
        <w:t>.承包人提供的保修施工方案需经发包人认可后方可施工，责任由承包人承担</w:t>
      </w:r>
      <w:r>
        <w:rPr>
          <w:rFonts w:hint="eastAsia" w:ascii="仿宋" w:hAnsi="仿宋" w:eastAsia="仿宋"/>
          <w:sz w:val="24"/>
          <w:u w:val="single"/>
        </w:rPr>
        <w:t>；</w:t>
      </w:r>
      <w:r>
        <w:rPr>
          <w:rFonts w:ascii="仿宋" w:hAnsi="仿宋" w:eastAsia="仿宋"/>
          <w:sz w:val="24"/>
          <w:u w:val="single"/>
        </w:rPr>
        <w:t>4.承包人应进行现场保护并做好标识，施工期间及完工后及时清运施工垃圾</w:t>
      </w:r>
      <w:r>
        <w:rPr>
          <w:rFonts w:hint="eastAsia" w:ascii="仿宋" w:hAnsi="仿宋" w:eastAsia="仿宋"/>
          <w:sz w:val="24"/>
        </w:rPr>
        <w:t>。</w:t>
      </w:r>
    </w:p>
    <w:p w14:paraId="3AB65A9B">
      <w:pPr>
        <w:autoSpaceDE w:val="0"/>
        <w:autoSpaceDN w:val="0"/>
        <w:snapToGrid w:val="0"/>
        <w:spacing w:line="360" w:lineRule="auto"/>
        <w:ind w:firstLine="480" w:firstLineChars="200"/>
        <w:rPr>
          <w:rFonts w:hint="eastAsia" w:ascii="仿宋" w:hAnsi="仿宋" w:eastAsia="仿宋"/>
          <w:sz w:val="24"/>
        </w:rPr>
      </w:pPr>
      <w:r>
        <w:rPr>
          <w:rFonts w:hint="eastAsia" w:ascii="仿宋" w:hAnsi="仿宋" w:eastAsia="仿宋"/>
          <w:sz w:val="24"/>
        </w:rPr>
        <w:t>本工程质量保修书由双方在竣工验收前共同签署，作为施工合同附件，其有效期限至保修期满。</w:t>
      </w:r>
    </w:p>
    <w:p w14:paraId="00BECE78">
      <w:pPr>
        <w:autoSpaceDE w:val="0"/>
        <w:autoSpaceDN w:val="0"/>
        <w:snapToGrid w:val="0"/>
        <w:spacing w:line="360" w:lineRule="auto"/>
        <w:rPr>
          <w:rFonts w:hint="eastAsia" w:ascii="仿宋" w:hAnsi="仿宋" w:eastAsia="仿宋"/>
          <w:sz w:val="24"/>
        </w:rPr>
      </w:pPr>
    </w:p>
    <w:p w14:paraId="3303831F">
      <w:pPr>
        <w:pStyle w:val="21"/>
        <w:adjustRightInd w:val="0"/>
        <w:spacing w:before="0" w:line="600" w:lineRule="auto"/>
        <w:ind w:firstLine="840" w:firstLineChars="400"/>
        <w:rPr>
          <w:rFonts w:hint="eastAsia" w:ascii="仿宋" w:hAnsi="仿宋" w:eastAsia="仿宋"/>
          <w:sz w:val="21"/>
          <w:szCs w:val="21"/>
        </w:rPr>
      </w:pPr>
      <w:r>
        <w:rPr>
          <w:rFonts w:hint="eastAsia" w:ascii="仿宋" w:hAnsi="仿宋" w:eastAsia="仿宋"/>
          <w:sz w:val="21"/>
          <w:szCs w:val="21"/>
        </w:rPr>
        <w:t xml:space="preserve">发包人（盖章）：浙江工商大学 </w:t>
      </w:r>
      <w:r>
        <w:rPr>
          <w:rFonts w:ascii="仿宋" w:hAnsi="仿宋" w:eastAsia="仿宋"/>
          <w:sz w:val="21"/>
          <w:szCs w:val="21"/>
        </w:rPr>
        <w:t xml:space="preserve">           </w:t>
      </w:r>
      <w:r>
        <w:rPr>
          <w:rFonts w:hint="eastAsia" w:ascii="仿宋" w:hAnsi="仿宋" w:eastAsia="仿宋"/>
          <w:sz w:val="21"/>
          <w:szCs w:val="21"/>
        </w:rPr>
        <w:t xml:space="preserve">承包人（盖章）： </w:t>
      </w:r>
    </w:p>
    <w:p w14:paraId="28CA1894">
      <w:pPr>
        <w:pStyle w:val="21"/>
        <w:adjustRightInd w:val="0"/>
        <w:spacing w:before="0" w:line="600" w:lineRule="auto"/>
        <w:ind w:firstLine="840" w:firstLineChars="400"/>
        <w:rPr>
          <w:rFonts w:hint="eastAsia"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法定（授权）代表人（签章）：</w:t>
      </w:r>
    </w:p>
    <w:p w14:paraId="6C1D9C59">
      <w:pPr>
        <w:pStyle w:val="21"/>
        <w:adjustRightInd w:val="0"/>
        <w:spacing w:before="0" w:line="600" w:lineRule="auto"/>
        <w:ind w:firstLine="840" w:firstLineChars="400"/>
        <w:rPr>
          <w:rFonts w:hint="eastAsia" w:ascii="仿宋" w:hAnsi="仿宋" w:eastAsia="仿宋"/>
          <w:sz w:val="21"/>
          <w:szCs w:val="21"/>
        </w:rPr>
      </w:pPr>
      <w:r>
        <w:rPr>
          <w:rFonts w:hint="eastAsia" w:ascii="仿宋" w:hAnsi="仿宋" w:eastAsia="仿宋"/>
          <w:sz w:val="21"/>
          <w:szCs w:val="21"/>
        </w:rPr>
        <w:t xml:space="preserve">签约日期：2025年  月  日 </w:t>
      </w:r>
      <w:r>
        <w:rPr>
          <w:rFonts w:ascii="仿宋" w:hAnsi="仿宋" w:eastAsia="仿宋"/>
          <w:sz w:val="21"/>
          <w:szCs w:val="21"/>
        </w:rPr>
        <w:t xml:space="preserve">             </w:t>
      </w:r>
      <w:r>
        <w:rPr>
          <w:rFonts w:hint="eastAsia" w:ascii="仿宋" w:hAnsi="仿宋" w:eastAsia="仿宋"/>
          <w:sz w:val="21"/>
          <w:szCs w:val="21"/>
        </w:rPr>
        <w:t>签约日期：2025年  月  日</w:t>
      </w:r>
    </w:p>
    <w:p w14:paraId="4703FBD4">
      <w:pPr>
        <w:pStyle w:val="21"/>
        <w:spacing w:line="480" w:lineRule="auto"/>
        <w:ind w:firstLine="573"/>
        <w:rPr>
          <w:rFonts w:hint="eastAsia" w:ascii="仿宋" w:hAnsi="仿宋" w:eastAsia="仿宋"/>
          <w:szCs w:val="24"/>
        </w:rPr>
      </w:pPr>
    </w:p>
    <w:p w14:paraId="7EE0CF0D">
      <w:pPr>
        <w:pStyle w:val="21"/>
        <w:spacing w:line="480" w:lineRule="auto"/>
        <w:ind w:firstLine="573"/>
        <w:rPr>
          <w:rFonts w:hint="eastAsia" w:ascii="仿宋" w:hAnsi="仿宋" w:eastAsia="仿宋"/>
          <w:szCs w:val="24"/>
        </w:rPr>
      </w:pPr>
    </w:p>
    <w:p w14:paraId="11741A2A">
      <w:pPr>
        <w:pStyle w:val="21"/>
        <w:spacing w:before="0" w:line="480" w:lineRule="auto"/>
        <w:ind w:firstLine="573"/>
        <w:rPr>
          <w:rFonts w:hint="eastAsia" w:ascii="仿宋" w:hAnsi="仿宋" w:eastAsia="仿宋"/>
          <w:szCs w:val="24"/>
        </w:rPr>
      </w:pPr>
    </w:p>
    <w:p w14:paraId="2E1C7B3A">
      <w:pPr>
        <w:pStyle w:val="21"/>
        <w:adjustRightInd w:val="0"/>
        <w:spacing w:before="0" w:line="480" w:lineRule="auto"/>
        <w:ind w:firstLine="0"/>
        <w:rPr>
          <w:rFonts w:hint="eastAsia" w:ascii="仿宋" w:hAnsi="仿宋" w:eastAsia="仿宋"/>
          <w:szCs w:val="24"/>
        </w:rPr>
      </w:pPr>
      <w:r>
        <w:rPr>
          <w:rFonts w:hint="eastAsia" w:ascii="仿宋" w:hAnsi="仿宋" w:eastAsia="仿宋"/>
          <w:szCs w:val="24"/>
        </w:rPr>
        <w:t>附件2</w:t>
      </w:r>
    </w:p>
    <w:p w14:paraId="15B01BDE">
      <w:pPr>
        <w:pStyle w:val="3"/>
        <w:autoSpaceDE w:val="0"/>
        <w:autoSpaceDN w:val="0"/>
        <w:spacing w:beforeLines="0"/>
        <w:ind w:firstLine="281" w:firstLineChars="100"/>
        <w:jc w:val="center"/>
        <w:rPr>
          <w:rFonts w:hint="eastAsia" w:ascii="Times New Roman" w:hAnsi="仿宋" w:eastAsia="仿宋"/>
          <w:sz w:val="28"/>
          <w:szCs w:val="28"/>
        </w:rPr>
      </w:pPr>
      <w:bookmarkStart w:id="90" w:name="_Toc25713"/>
      <w:bookmarkStart w:id="91" w:name="_Toc7860"/>
      <w:r>
        <w:rPr>
          <w:rFonts w:hint="eastAsia" w:ascii="Times New Roman" w:hAnsi="仿宋" w:eastAsia="仿宋"/>
          <w:sz w:val="28"/>
          <w:szCs w:val="28"/>
        </w:rPr>
        <w:t>安全生产责任协议书</w:t>
      </w:r>
      <w:bookmarkEnd w:id="90"/>
      <w:bookmarkEnd w:id="91"/>
    </w:p>
    <w:p w14:paraId="2029C52E">
      <w:pPr>
        <w:pStyle w:val="21"/>
        <w:adjustRightInd w:val="0"/>
        <w:spacing w:before="0" w:line="360" w:lineRule="auto"/>
        <w:ind w:firstLine="0"/>
        <w:rPr>
          <w:rFonts w:hint="eastAsia" w:ascii="仿宋" w:hAnsi="仿宋" w:eastAsia="仿宋"/>
          <w:szCs w:val="24"/>
        </w:rPr>
      </w:pPr>
      <w:r>
        <w:rPr>
          <w:rFonts w:hint="eastAsia" w:ascii="仿宋" w:hAnsi="仿宋" w:eastAsia="仿宋"/>
          <w:szCs w:val="24"/>
        </w:rPr>
        <w:t xml:space="preserve">发包人（甲方）： </w:t>
      </w:r>
    </w:p>
    <w:p w14:paraId="7D7E2BA8">
      <w:pPr>
        <w:pStyle w:val="21"/>
        <w:adjustRightInd w:val="0"/>
        <w:spacing w:before="0" w:line="360" w:lineRule="auto"/>
        <w:ind w:firstLine="0"/>
        <w:rPr>
          <w:rFonts w:hint="eastAsia" w:ascii="仿宋" w:hAnsi="仿宋" w:eastAsia="仿宋"/>
          <w:szCs w:val="24"/>
        </w:rPr>
      </w:pPr>
      <w:r>
        <w:rPr>
          <w:rFonts w:hint="eastAsia" w:ascii="仿宋" w:hAnsi="仿宋" w:eastAsia="仿宋"/>
          <w:szCs w:val="24"/>
        </w:rPr>
        <w:t>承包人（乙方）：</w:t>
      </w:r>
    </w:p>
    <w:p w14:paraId="6C5DC3D7">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为落实安全生产的管理要求，确保工程建设的顺利进行，按《杭州市建设工程安全生产、文明施工标准化样板工地管理办法》和《浙江省建筑安全文明施工标准化工地管理办法》（浙建建[2005]41号)规定，发包人、承包人双方共同协商，一致同意如下：</w:t>
      </w:r>
    </w:p>
    <w:p w14:paraId="642EFA07">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793AC02C">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二、发包人应积极组织和督促承包人开展安全达标活动，及时传达和部署上级的有关安全生产精神和要求，定期听取承包人的意见和要求。加强安全生产的指导和协调。</w:t>
      </w:r>
    </w:p>
    <w:p w14:paraId="5DEB4BD2">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26C8B09A">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7C2BBA57">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责任违约的经济处理的约定：</w:t>
      </w:r>
    </w:p>
    <w:p w14:paraId="349896DD">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依据国家和地方相关法律法规、政策、规定、制度以及本工程施工合同执行。</w:t>
      </w:r>
    </w:p>
    <w:p w14:paraId="5CE06E7B">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14:paraId="28FB487D">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4B18BB27">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0ED0958C">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7305CF2F">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九、承包人要按照“安全自查，隐患自改、责任自负”的原则加强对施工责任区的日常安全检查。及时制止和处理各类违章违法行为。对查获的隐患要及时落实整改措施，消除隐患。</w:t>
      </w:r>
    </w:p>
    <w:p w14:paraId="40EA282C">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7214019D">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048ED7E1">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十二、承包人须参加由发包人召集的每周一次的工程工作列会，对工程进度、工程质量、安全施工等情况向会议进行汇报，并接受发包人和监理单位的安全检查。</w:t>
      </w:r>
    </w:p>
    <w:p w14:paraId="76FC7F51">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十三、承包人不准将工程项目进行整体转包。</w:t>
      </w:r>
    </w:p>
    <w:p w14:paraId="4FAD498D">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45EB7B44">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十五、承包人须为施工作业人员缴纳相关保险，并在合同签订之日起的10个工作日内将缴纳保险凭证复印件交发包人。</w:t>
      </w:r>
    </w:p>
    <w:p w14:paraId="75E4BFC2">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十六、本协议中未涉及的有关条款，双方可根据需要协商补充修改。</w:t>
      </w:r>
    </w:p>
    <w:p w14:paraId="639D706F">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如遇有国家和本市的有关法规不符的，应按国家和本市的有关法规执行。</w:t>
      </w:r>
    </w:p>
    <w:p w14:paraId="29EF2F03">
      <w:pPr>
        <w:pStyle w:val="21"/>
        <w:adjustRightInd w:val="0"/>
        <w:spacing w:before="0" w:line="360" w:lineRule="auto"/>
        <w:ind w:firstLine="573"/>
        <w:rPr>
          <w:rFonts w:hint="eastAsia" w:ascii="仿宋" w:hAnsi="仿宋" w:eastAsia="仿宋"/>
          <w:szCs w:val="24"/>
        </w:rPr>
      </w:pPr>
      <w:r>
        <w:rPr>
          <w:rFonts w:hint="eastAsia" w:ascii="仿宋" w:hAnsi="仿宋" w:eastAsia="仿宋"/>
          <w:szCs w:val="24"/>
        </w:rPr>
        <w:t>十七、本协议作为双方工程承包合同的附件，在工程承包合同签约后生效，与工程承包合同具有同等法律效力。工程承包合同期满，本协议终止。</w:t>
      </w:r>
    </w:p>
    <w:p w14:paraId="57EB5404">
      <w:pPr>
        <w:pStyle w:val="21"/>
        <w:adjustRightInd w:val="0"/>
        <w:spacing w:before="0" w:line="360" w:lineRule="auto"/>
        <w:ind w:firstLine="573"/>
        <w:rPr>
          <w:rFonts w:hint="eastAsia" w:ascii="仿宋" w:hAnsi="仿宋" w:eastAsia="仿宋"/>
          <w:szCs w:val="24"/>
        </w:rPr>
      </w:pPr>
    </w:p>
    <w:p w14:paraId="7A02F3B1">
      <w:pPr>
        <w:pStyle w:val="21"/>
        <w:adjustRightInd w:val="0"/>
        <w:spacing w:before="0" w:line="360" w:lineRule="auto"/>
        <w:ind w:firstLine="573"/>
        <w:rPr>
          <w:rFonts w:hint="eastAsia" w:ascii="仿宋" w:hAnsi="仿宋" w:eastAsia="仿宋"/>
          <w:szCs w:val="24"/>
        </w:rPr>
      </w:pPr>
    </w:p>
    <w:p w14:paraId="5E4BD020">
      <w:pPr>
        <w:pStyle w:val="21"/>
        <w:adjustRightInd w:val="0"/>
        <w:spacing w:before="0" w:line="600" w:lineRule="auto"/>
        <w:ind w:firstLine="840" w:firstLineChars="400"/>
        <w:rPr>
          <w:rFonts w:hint="eastAsia" w:ascii="仿宋" w:hAnsi="仿宋" w:eastAsia="仿宋"/>
          <w:sz w:val="21"/>
          <w:szCs w:val="21"/>
        </w:rPr>
      </w:pPr>
      <w:r>
        <w:rPr>
          <w:rFonts w:hint="eastAsia" w:ascii="仿宋" w:hAnsi="仿宋" w:eastAsia="仿宋"/>
          <w:sz w:val="21"/>
          <w:szCs w:val="21"/>
        </w:rPr>
        <w:t xml:space="preserve">发包人（盖章）： </w:t>
      </w:r>
      <w:r>
        <w:rPr>
          <w:rFonts w:ascii="仿宋" w:hAnsi="仿宋" w:eastAsia="仿宋"/>
          <w:sz w:val="21"/>
          <w:szCs w:val="21"/>
        </w:rPr>
        <w:t xml:space="preserve">           </w:t>
      </w:r>
      <w:r>
        <w:rPr>
          <w:rFonts w:hint="eastAsia" w:ascii="仿宋" w:hAnsi="仿宋" w:eastAsia="仿宋"/>
          <w:sz w:val="21"/>
          <w:szCs w:val="21"/>
        </w:rPr>
        <w:t xml:space="preserve">           承包人（</w:t>
      </w:r>
      <w:bookmarkStart w:id="92" w:name="_Hlk136595889"/>
      <w:r>
        <w:rPr>
          <w:rFonts w:hint="eastAsia" w:ascii="仿宋" w:hAnsi="仿宋" w:eastAsia="仿宋"/>
          <w:sz w:val="21"/>
          <w:szCs w:val="21"/>
        </w:rPr>
        <w:t>盖</w:t>
      </w:r>
      <w:bookmarkEnd w:id="92"/>
      <w:r>
        <w:rPr>
          <w:rFonts w:hint="eastAsia" w:ascii="仿宋" w:hAnsi="仿宋" w:eastAsia="仿宋"/>
          <w:sz w:val="21"/>
          <w:szCs w:val="21"/>
        </w:rPr>
        <w:t>章）：</w:t>
      </w:r>
    </w:p>
    <w:p w14:paraId="1D7C3B29">
      <w:pPr>
        <w:pStyle w:val="21"/>
        <w:adjustRightInd w:val="0"/>
        <w:spacing w:before="0" w:line="600" w:lineRule="auto"/>
        <w:ind w:firstLine="840" w:firstLineChars="400"/>
        <w:rPr>
          <w:rFonts w:hint="eastAsia"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法定（授权）代表人（签章）：</w:t>
      </w:r>
    </w:p>
    <w:p w14:paraId="41F65E13">
      <w:pPr>
        <w:pStyle w:val="21"/>
        <w:adjustRightInd w:val="0"/>
        <w:spacing w:before="0" w:line="600" w:lineRule="auto"/>
        <w:ind w:firstLine="840" w:firstLineChars="400"/>
        <w:rPr>
          <w:rFonts w:hint="eastAsia" w:ascii="仿宋" w:hAnsi="仿宋" w:eastAsia="仿宋"/>
          <w:sz w:val="21"/>
          <w:szCs w:val="21"/>
        </w:rPr>
      </w:pP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 xml:space="preserve">年 </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 xml:space="preserve">日             </w:t>
      </w:r>
      <w:r>
        <w:rPr>
          <w:rFonts w:ascii="仿宋" w:hAnsi="仿宋" w:eastAsia="仿宋"/>
          <w:sz w:val="21"/>
          <w:szCs w:val="21"/>
        </w:rPr>
        <w:t xml:space="preserve">  </w:t>
      </w: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p w14:paraId="2383D200">
      <w:pPr>
        <w:pStyle w:val="21"/>
        <w:adjustRightInd w:val="0"/>
        <w:spacing w:before="0" w:line="480" w:lineRule="auto"/>
        <w:ind w:firstLine="573"/>
        <w:rPr>
          <w:rFonts w:hint="eastAsia" w:ascii="仿宋" w:hAnsi="仿宋" w:eastAsia="仿宋"/>
          <w:sz w:val="21"/>
          <w:szCs w:val="21"/>
        </w:rPr>
      </w:pPr>
      <w:r>
        <w:rPr>
          <w:rFonts w:ascii="仿宋" w:hAnsi="仿宋" w:eastAsia="仿宋"/>
          <w:sz w:val="21"/>
          <w:szCs w:val="21"/>
        </w:rPr>
        <w:t xml:space="preserve"> </w:t>
      </w:r>
    </w:p>
    <w:p w14:paraId="131C0E56">
      <w:pPr>
        <w:pStyle w:val="21"/>
        <w:spacing w:line="480" w:lineRule="auto"/>
        <w:ind w:firstLine="573"/>
        <w:rPr>
          <w:rFonts w:hint="eastAsia" w:ascii="仿宋" w:hAnsi="仿宋" w:eastAsia="仿宋"/>
          <w:szCs w:val="24"/>
        </w:rPr>
      </w:pPr>
    </w:p>
    <w:p w14:paraId="365EC5E5">
      <w:pPr>
        <w:pStyle w:val="21"/>
        <w:spacing w:line="480" w:lineRule="auto"/>
        <w:ind w:firstLine="573"/>
        <w:rPr>
          <w:rFonts w:hint="eastAsia" w:ascii="仿宋" w:hAnsi="仿宋" w:eastAsia="仿宋"/>
          <w:szCs w:val="24"/>
        </w:rPr>
      </w:pPr>
    </w:p>
    <w:p w14:paraId="6CDAB50F">
      <w:pPr>
        <w:pStyle w:val="21"/>
        <w:spacing w:line="480" w:lineRule="auto"/>
        <w:ind w:firstLine="573"/>
        <w:rPr>
          <w:rFonts w:hint="eastAsia" w:ascii="仿宋" w:hAnsi="仿宋" w:eastAsia="仿宋"/>
          <w:szCs w:val="24"/>
        </w:rPr>
      </w:pPr>
    </w:p>
    <w:p w14:paraId="1D60FC9C">
      <w:pPr>
        <w:pStyle w:val="21"/>
        <w:spacing w:line="480" w:lineRule="auto"/>
        <w:ind w:firstLine="573"/>
        <w:rPr>
          <w:rFonts w:hint="eastAsia" w:ascii="仿宋" w:hAnsi="仿宋" w:eastAsia="仿宋"/>
          <w:szCs w:val="24"/>
        </w:rPr>
      </w:pPr>
    </w:p>
    <w:p w14:paraId="2CC79F66">
      <w:pPr>
        <w:pStyle w:val="21"/>
        <w:spacing w:line="480" w:lineRule="auto"/>
        <w:ind w:firstLine="573"/>
        <w:rPr>
          <w:rFonts w:hint="eastAsia" w:ascii="仿宋" w:hAnsi="仿宋" w:eastAsia="仿宋"/>
          <w:szCs w:val="24"/>
        </w:rPr>
      </w:pPr>
    </w:p>
    <w:p w14:paraId="013AE4C6">
      <w:pPr>
        <w:pStyle w:val="21"/>
        <w:spacing w:line="480" w:lineRule="auto"/>
        <w:ind w:firstLine="573"/>
        <w:rPr>
          <w:rFonts w:hint="eastAsia" w:ascii="仿宋" w:hAnsi="仿宋" w:eastAsia="仿宋"/>
          <w:szCs w:val="24"/>
        </w:rPr>
      </w:pPr>
    </w:p>
    <w:p w14:paraId="4B6735CE">
      <w:pPr>
        <w:pStyle w:val="21"/>
        <w:spacing w:line="480" w:lineRule="auto"/>
        <w:ind w:firstLine="573"/>
        <w:rPr>
          <w:rFonts w:hint="eastAsia" w:ascii="仿宋" w:hAnsi="仿宋" w:eastAsia="仿宋"/>
          <w:szCs w:val="24"/>
        </w:rPr>
      </w:pPr>
    </w:p>
    <w:p w14:paraId="5187EA51">
      <w:pPr>
        <w:pStyle w:val="21"/>
        <w:adjustRightInd w:val="0"/>
        <w:spacing w:before="0" w:line="480" w:lineRule="auto"/>
        <w:ind w:firstLine="0"/>
        <w:rPr>
          <w:rFonts w:hint="eastAsia" w:ascii="仿宋" w:hAnsi="仿宋" w:eastAsia="仿宋"/>
          <w:szCs w:val="24"/>
        </w:rPr>
      </w:pPr>
    </w:p>
    <w:p w14:paraId="6634F97E">
      <w:pPr>
        <w:pStyle w:val="21"/>
        <w:adjustRightInd w:val="0"/>
        <w:spacing w:before="0" w:line="480" w:lineRule="auto"/>
        <w:ind w:firstLine="0"/>
        <w:rPr>
          <w:rFonts w:hint="eastAsia" w:ascii="仿宋" w:hAnsi="仿宋" w:eastAsia="仿宋"/>
          <w:szCs w:val="24"/>
        </w:rPr>
      </w:pPr>
    </w:p>
    <w:p w14:paraId="19544F56">
      <w:pPr>
        <w:pStyle w:val="21"/>
        <w:adjustRightInd w:val="0"/>
        <w:spacing w:before="0" w:line="480" w:lineRule="auto"/>
        <w:ind w:firstLine="0"/>
        <w:rPr>
          <w:rFonts w:hint="eastAsia" w:ascii="仿宋" w:hAnsi="仿宋" w:eastAsia="仿宋"/>
          <w:szCs w:val="24"/>
        </w:rPr>
      </w:pPr>
      <w:r>
        <w:rPr>
          <w:rFonts w:hint="eastAsia" w:ascii="仿宋" w:hAnsi="仿宋" w:eastAsia="仿宋"/>
          <w:szCs w:val="24"/>
        </w:rPr>
        <w:t>附件3</w:t>
      </w:r>
    </w:p>
    <w:p w14:paraId="527453AF">
      <w:pPr>
        <w:pStyle w:val="3"/>
        <w:autoSpaceDE w:val="0"/>
        <w:autoSpaceDN w:val="0"/>
        <w:adjustRightInd w:val="0"/>
        <w:snapToGrid w:val="0"/>
        <w:spacing w:beforeLines="0"/>
        <w:ind w:firstLine="0" w:firstLineChars="0"/>
        <w:jc w:val="center"/>
        <w:rPr>
          <w:rFonts w:hint="eastAsia" w:ascii="Times New Roman" w:hAnsi="仿宋" w:eastAsia="仿宋"/>
          <w:sz w:val="28"/>
          <w:szCs w:val="28"/>
        </w:rPr>
      </w:pPr>
      <w:bookmarkStart w:id="93" w:name="_Toc19869"/>
      <w:bookmarkStart w:id="94" w:name="_Toc18251"/>
      <w:r>
        <w:rPr>
          <w:rFonts w:hint="eastAsia" w:ascii="Times New Roman" w:hAnsi="仿宋" w:eastAsia="仿宋"/>
          <w:sz w:val="28"/>
          <w:szCs w:val="28"/>
        </w:rPr>
        <w:t>文明施工责任协议书</w:t>
      </w:r>
      <w:bookmarkEnd w:id="93"/>
      <w:bookmarkEnd w:id="94"/>
    </w:p>
    <w:p w14:paraId="53BB3850">
      <w:pPr>
        <w:pStyle w:val="21"/>
        <w:adjustRightInd w:val="0"/>
        <w:spacing w:before="0" w:line="360" w:lineRule="auto"/>
        <w:ind w:firstLine="0"/>
        <w:rPr>
          <w:rFonts w:hint="eastAsia" w:ascii="仿宋" w:hAnsi="仿宋" w:eastAsia="仿宋"/>
          <w:szCs w:val="24"/>
        </w:rPr>
      </w:pPr>
      <w:r>
        <w:rPr>
          <w:rFonts w:hint="eastAsia" w:ascii="仿宋" w:hAnsi="仿宋" w:eastAsia="仿宋"/>
          <w:szCs w:val="24"/>
        </w:rPr>
        <w:t xml:space="preserve">发包人（甲方）： </w:t>
      </w:r>
    </w:p>
    <w:p w14:paraId="506C49CD">
      <w:pPr>
        <w:pStyle w:val="21"/>
        <w:adjustRightInd w:val="0"/>
        <w:spacing w:before="0" w:line="360" w:lineRule="auto"/>
        <w:ind w:firstLine="0"/>
        <w:rPr>
          <w:rFonts w:hint="eastAsia" w:ascii="仿宋" w:hAnsi="仿宋" w:eastAsia="仿宋"/>
          <w:szCs w:val="24"/>
        </w:rPr>
      </w:pPr>
      <w:r>
        <w:rPr>
          <w:rFonts w:hint="eastAsia" w:ascii="仿宋" w:hAnsi="仿宋" w:eastAsia="仿宋"/>
          <w:szCs w:val="24"/>
        </w:rPr>
        <w:t>承包人（乙方）：</w:t>
      </w:r>
    </w:p>
    <w:p w14:paraId="65581729">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为认真做好工程建设施工区域内的文明施工，现经发包人、承包人双方协商同意，明确在文明施工和文明施工管理中的各自职责，并签订如下协议。</w:t>
      </w:r>
    </w:p>
    <w:p w14:paraId="7F7D69FD">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一、双方同意在在工程管理和工程建设中必须坚持社会效益第一，经济效益和社会效益相—致，“方便人民生活，有利于发展生产、保护生态环境”的原则，坚持便民、利民、为民服务的宗旨。搞好工程建设中的文明施工。</w:t>
      </w:r>
    </w:p>
    <w:p w14:paraId="095816E9">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二、双方要认真贯彻”建设单位负责，施工单位实施，地方政府监督”的文明施工原则。现场由发包人代表牵头，建立参方共同参与的文明施工管理小组，负责日常管理协调工作，争创文明工地。发包人按合同有关要求，及时拨付有关费用并按市有关创建文明工地的规定，组织、指导、检查、考核、和开展选评工作，创建活动的实施由承包人负责。</w:t>
      </w:r>
    </w:p>
    <w:p w14:paraId="13738FD6">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三、承包人应遵守如下规定：</w:t>
      </w:r>
    </w:p>
    <w:p w14:paraId="5361B824">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1.根据工程的特点，编制文明施工实施方案，在开工前5日内，将文明施工实施方案报发包人和市安全监督部门备案。</w:t>
      </w:r>
    </w:p>
    <w:p w14:paraId="66E22E25">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2.承包人按有关规定专项包干使用文明施工费，不得挪作他用。</w:t>
      </w:r>
    </w:p>
    <w:p w14:paraId="0E111EF5">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3.工地应设置专职文明施工安全员，做到佩证上岗、动态管理，及时收集、记录、整理、管理台帐等技术资料。</w:t>
      </w:r>
    </w:p>
    <w:p w14:paraId="41DD447E">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4.施工现场应按文明施工安全生产的要求，设置各项临时设施，并达到下列要求：</w:t>
      </w:r>
    </w:p>
    <w:p w14:paraId="6099650C">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（1）施工区域与非施工区域严格分隔。</w:t>
      </w:r>
    </w:p>
    <w:p w14:paraId="77C65DF0">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（2）施工区域内应设置能保证施工安全的夜间照明和警示标志，并采取安全防护措施。</w:t>
      </w:r>
    </w:p>
    <w:p w14:paraId="100EC590">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（3）各类材料、机具设备按工地总平面图的布置，在固定场地整齐堆放，不得侵占场内道路及安全防护等设施。</w:t>
      </w:r>
    </w:p>
    <w:p w14:paraId="21BDE514">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（4）其他要求：</w:t>
      </w:r>
    </w:p>
    <w:p w14:paraId="0D09F9D9">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5.工地民工宿舍应符合卫生要求和居住条件，地面应用砼硬化，照明电线敷设应符合规范，不得任意拉线接电。宿舍应保持整洁有序，不得男女混杂居住及居住与施工无关的人员。</w:t>
      </w:r>
    </w:p>
    <w:p w14:paraId="52C2BB8B">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6</w:t>
      </w:r>
      <w:r>
        <w:rPr>
          <w:rFonts w:ascii="仿宋" w:hAnsi="仿宋" w:eastAsia="仿宋"/>
          <w:szCs w:val="24"/>
        </w:rPr>
        <w:t>.</w:t>
      </w:r>
      <w:r>
        <w:rPr>
          <w:rFonts w:hint="eastAsia" w:ascii="仿宋" w:hAnsi="仿宋" w:eastAsia="仿宋"/>
          <w:szCs w:val="24"/>
        </w:rPr>
        <w:t>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14:paraId="13A1A8CD">
      <w:pPr>
        <w:pStyle w:val="21"/>
        <w:adjustRightInd w:val="0"/>
        <w:spacing w:before="0" w:line="360" w:lineRule="auto"/>
        <w:rPr>
          <w:rFonts w:hint="eastAsia" w:ascii="仿宋" w:hAnsi="仿宋" w:eastAsia="仿宋"/>
          <w:szCs w:val="24"/>
        </w:rPr>
      </w:pPr>
      <w:r>
        <w:rPr>
          <w:rFonts w:hint="eastAsia" w:ascii="仿宋" w:hAnsi="仿宋" w:eastAsia="仿宋"/>
          <w:szCs w:val="24"/>
        </w:rPr>
        <w:t>施工现场应设置茶桶、保障茶水供应。</w:t>
      </w:r>
    </w:p>
    <w:p w14:paraId="3BD58A21">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7.建筑垃圾和其他散体物料装运应实行车辆密闭式运输，冲洗干净后出场，运输过程中严禁沿途抛、洒、滴、漏。</w:t>
      </w:r>
    </w:p>
    <w:p w14:paraId="0A20DCAC">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8.承包人应当严格依照《中华人民共和国消防条例》的规定，在工地建立和执行防火管理制度，重点部位设置符合消防要求的消防设施，并保持完好的备用状态。　</w:t>
      </w:r>
    </w:p>
    <w:p w14:paraId="29BE6D4E">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9.遵守建设地的现场管理要求。</w:t>
      </w:r>
    </w:p>
    <w:p w14:paraId="0974135E">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10.施工单位在施工中应遵守下列规定：</w:t>
      </w:r>
    </w:p>
    <w:p w14:paraId="4517C24F">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（1）完善技术和操作管理规程，确保防汛设施和地下管线通畅、安全。</w:t>
      </w:r>
    </w:p>
    <w:p w14:paraId="3B861D47">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（2）采取各种有效措施，控制扬尘、噪声。</w:t>
      </w:r>
    </w:p>
    <w:p w14:paraId="231DF8B3">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（3）设置各种防护设施，防止施工中废弃物、杂物影响周围环境，伤害过往行人。</w:t>
      </w:r>
    </w:p>
    <w:p w14:paraId="4FDA9E94">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（4）随时清理建筑垃圾，控制工地污染。</w:t>
      </w:r>
    </w:p>
    <w:p w14:paraId="11026C69">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（5）控制夜间施工作业，确需夜间作业的，必须事先向环保部门申办《夜间施工许可证》。</w:t>
      </w:r>
    </w:p>
    <w:p w14:paraId="2505A70D">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（6）运用其他有效方式，减少施工时对市容、绿化和环境的不良影响。</w:t>
      </w:r>
    </w:p>
    <w:p w14:paraId="64E66C52">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（7）遵守交通管理规定，不得使用人力车、三轮车向场外运输建筑垃圾、废土、物料。</w:t>
      </w:r>
    </w:p>
    <w:p w14:paraId="76D67461">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11.施工人员在施工中应严格遵守下列规定：</w:t>
      </w:r>
    </w:p>
    <w:p w14:paraId="1C3BB157">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（1）施工中产生的各类垃圾应及时清运到市容环境卫生管理部门指定的地点，严禁随意倾倒在城市道路、河道、绿化带、空旷地带和居民生活垃圾容器内。</w:t>
      </w:r>
    </w:p>
    <w:p w14:paraId="390F1313">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（2）施工中不得随意丢弃废物、旧料和其他杂物。</w:t>
      </w:r>
    </w:p>
    <w:p w14:paraId="125B89C9">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（3）施工中应注意清理施工场地，做到随做随清。</w:t>
      </w:r>
    </w:p>
    <w:p w14:paraId="5CC19B3E">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（4）其他：</w:t>
      </w:r>
    </w:p>
    <w:p w14:paraId="0A6D6E59">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12.承包人应确保工地出入口和道路的畅通、安全。施工中造成沿线单位、人员的出入口障碍和道路交通堵塞，应及时采取有效措施。</w:t>
      </w:r>
    </w:p>
    <w:p w14:paraId="232EF120">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13.施工中造成下水道和其他地下管线堵塞或损坏的，应立即疏浚或修复；对工地周围的单位及人员财产造成损失的，应承担经济赔偿责任。</w:t>
      </w:r>
    </w:p>
    <w:p w14:paraId="5AE51338">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四、发包人对承包人开展创建文明土地的工作要经常性地给予指导，定期组织检查，对承包人存在的问题应及时通知承包人进行整改，并有权对承包人责任违约，按约定办法进行经济处理。</w:t>
      </w:r>
    </w:p>
    <w:p w14:paraId="211F26D5">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违反约定的责任处理办法：</w:t>
      </w:r>
    </w:p>
    <w:p w14:paraId="43218AE7">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凡承包人整改不力，逾期不改的，发包人根据实际情况可给予承包商一次性的经济处理 (100-5000元人民币)。</w:t>
      </w:r>
    </w:p>
    <w:p w14:paraId="78DA8B5E">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五、因承包人违反文明施工管理要求，被地方政府有关部门查获而受到的经济处罚，以及由此而使发包人受到的经济损失，均由承包人承担。</w:t>
      </w:r>
    </w:p>
    <w:p w14:paraId="732191FA">
      <w:pPr>
        <w:pStyle w:val="21"/>
        <w:adjustRightInd w:val="0"/>
        <w:spacing w:before="0" w:line="360" w:lineRule="auto"/>
        <w:ind w:firstLine="480" w:firstLineChars="200"/>
        <w:rPr>
          <w:rFonts w:hint="eastAsia" w:ascii="仿宋" w:hAnsi="仿宋" w:eastAsia="仿宋"/>
          <w:szCs w:val="24"/>
        </w:rPr>
      </w:pPr>
      <w:r>
        <w:rPr>
          <w:rFonts w:hint="eastAsia" w:ascii="仿宋" w:hAnsi="仿宋" w:eastAsia="仿宋"/>
          <w:szCs w:val="24"/>
        </w:rPr>
        <w:t>六、本协议作为发包人、承包人双方工程合同的附件，在工程合同正式签约后有效，与工程合同具有同等法律效力。工程合同期满，本协议终止。</w:t>
      </w:r>
    </w:p>
    <w:p w14:paraId="69EA1556">
      <w:pPr>
        <w:pStyle w:val="21"/>
        <w:adjustRightInd w:val="0"/>
        <w:spacing w:before="0" w:line="360" w:lineRule="auto"/>
        <w:ind w:firstLine="573"/>
        <w:rPr>
          <w:rFonts w:hint="eastAsia" w:ascii="仿宋" w:hAnsi="仿宋" w:eastAsia="仿宋"/>
          <w:szCs w:val="24"/>
        </w:rPr>
      </w:pPr>
    </w:p>
    <w:p w14:paraId="54416546">
      <w:pPr>
        <w:pStyle w:val="21"/>
        <w:adjustRightInd w:val="0"/>
        <w:spacing w:before="0" w:line="600" w:lineRule="auto"/>
        <w:ind w:firstLine="840" w:firstLineChars="400"/>
        <w:rPr>
          <w:rFonts w:hint="eastAsia" w:ascii="仿宋" w:hAnsi="仿宋" w:eastAsia="仿宋"/>
          <w:sz w:val="21"/>
          <w:szCs w:val="21"/>
        </w:rPr>
      </w:pPr>
      <w:r>
        <w:rPr>
          <w:rFonts w:hint="eastAsia" w:ascii="仿宋" w:hAnsi="仿宋" w:eastAsia="仿宋"/>
          <w:sz w:val="21"/>
          <w:szCs w:val="21"/>
        </w:rPr>
        <w:t xml:space="preserve">发包人（盖章）： </w:t>
      </w:r>
      <w:r>
        <w:rPr>
          <w:rFonts w:ascii="仿宋" w:hAnsi="仿宋" w:eastAsia="仿宋"/>
          <w:sz w:val="21"/>
          <w:szCs w:val="21"/>
        </w:rPr>
        <w:t xml:space="preserve">           </w:t>
      </w:r>
      <w:r>
        <w:rPr>
          <w:rFonts w:hint="eastAsia" w:ascii="仿宋" w:hAnsi="仿宋" w:eastAsia="仿宋"/>
          <w:sz w:val="21"/>
          <w:szCs w:val="21"/>
        </w:rPr>
        <w:t xml:space="preserve">           承包人（盖章）：  </w:t>
      </w:r>
    </w:p>
    <w:p w14:paraId="6BD710E2">
      <w:pPr>
        <w:pStyle w:val="21"/>
        <w:adjustRightInd w:val="0"/>
        <w:spacing w:before="0" w:line="600" w:lineRule="auto"/>
        <w:ind w:firstLine="840" w:firstLineChars="400"/>
        <w:rPr>
          <w:rFonts w:hint="eastAsia" w:ascii="仿宋" w:hAnsi="仿宋" w:eastAsia="仿宋"/>
          <w:sz w:val="21"/>
          <w:szCs w:val="21"/>
        </w:rPr>
      </w:pPr>
      <w:bookmarkStart w:id="95" w:name="_Hlk136595306"/>
      <w:r>
        <w:rPr>
          <w:rFonts w:hint="eastAsia" w:ascii="仿宋" w:hAnsi="仿宋" w:eastAsia="仿宋"/>
          <w:sz w:val="21"/>
          <w:szCs w:val="21"/>
        </w:rPr>
        <w:t>法定（授权）代表人（签章）</w:t>
      </w:r>
      <w:bookmarkEnd w:id="95"/>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法定（授权）代表人（签章）：</w:t>
      </w:r>
    </w:p>
    <w:p w14:paraId="34AFA1DE">
      <w:pPr>
        <w:pStyle w:val="21"/>
        <w:adjustRightInd w:val="0"/>
        <w:spacing w:before="0" w:line="600" w:lineRule="auto"/>
        <w:ind w:firstLine="840" w:firstLineChars="400"/>
        <w:rPr>
          <w:rFonts w:hint="eastAsia" w:ascii="仿宋" w:hAnsi="仿宋" w:eastAsia="仿宋"/>
          <w:sz w:val="21"/>
          <w:szCs w:val="21"/>
        </w:rPr>
      </w:pP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 xml:space="preserve">日             </w:t>
      </w:r>
      <w:r>
        <w:rPr>
          <w:rFonts w:ascii="仿宋" w:hAnsi="仿宋" w:eastAsia="仿宋"/>
          <w:sz w:val="21"/>
          <w:szCs w:val="21"/>
        </w:rPr>
        <w:t xml:space="preserve">  </w:t>
      </w: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p w14:paraId="50E18D8D">
      <w:pPr>
        <w:pStyle w:val="21"/>
        <w:adjustRightInd w:val="0"/>
        <w:spacing w:before="0" w:line="480" w:lineRule="auto"/>
        <w:ind w:firstLine="420" w:firstLineChars="200"/>
        <w:rPr>
          <w:rFonts w:hint="eastAsia" w:ascii="仿宋" w:hAnsi="仿宋" w:eastAsia="仿宋"/>
          <w:sz w:val="21"/>
          <w:szCs w:val="21"/>
        </w:rPr>
      </w:pPr>
    </w:p>
    <w:p w14:paraId="78003422">
      <w:pPr>
        <w:pStyle w:val="21"/>
        <w:adjustRightInd w:val="0"/>
        <w:spacing w:before="0" w:line="480" w:lineRule="auto"/>
        <w:ind w:firstLine="420" w:firstLineChars="200"/>
        <w:rPr>
          <w:rFonts w:hint="eastAsia" w:ascii="仿宋" w:hAnsi="仿宋" w:eastAsia="仿宋"/>
          <w:sz w:val="21"/>
          <w:szCs w:val="21"/>
        </w:rPr>
      </w:pPr>
    </w:p>
    <w:p w14:paraId="3ADCFB5B">
      <w:pPr>
        <w:pStyle w:val="21"/>
        <w:adjustRightInd w:val="0"/>
        <w:spacing w:line="480" w:lineRule="auto"/>
        <w:ind w:firstLine="420" w:firstLineChars="200"/>
        <w:rPr>
          <w:rFonts w:hint="eastAsia" w:ascii="仿宋" w:hAnsi="仿宋" w:eastAsia="仿宋"/>
          <w:sz w:val="21"/>
          <w:szCs w:val="21"/>
        </w:rPr>
      </w:pPr>
    </w:p>
    <w:p w14:paraId="4AA3A767">
      <w:pPr>
        <w:pStyle w:val="21"/>
        <w:adjustRightInd w:val="0"/>
        <w:spacing w:line="480" w:lineRule="auto"/>
        <w:ind w:firstLine="420" w:firstLineChars="200"/>
        <w:rPr>
          <w:rFonts w:hint="eastAsia" w:ascii="仿宋" w:hAnsi="仿宋" w:eastAsia="仿宋"/>
          <w:sz w:val="21"/>
          <w:szCs w:val="21"/>
        </w:rPr>
      </w:pPr>
    </w:p>
    <w:p w14:paraId="0359EFFD">
      <w:pPr>
        <w:pStyle w:val="21"/>
        <w:adjustRightInd w:val="0"/>
        <w:spacing w:line="480" w:lineRule="auto"/>
        <w:ind w:firstLine="420" w:firstLineChars="200"/>
        <w:rPr>
          <w:rFonts w:hint="eastAsia" w:ascii="仿宋" w:hAnsi="仿宋" w:eastAsia="仿宋"/>
          <w:sz w:val="21"/>
          <w:szCs w:val="21"/>
        </w:rPr>
      </w:pPr>
    </w:p>
    <w:p w14:paraId="2C588106">
      <w:pPr>
        <w:pStyle w:val="21"/>
        <w:adjustRightInd w:val="0"/>
        <w:spacing w:line="480" w:lineRule="auto"/>
        <w:ind w:firstLine="420" w:firstLineChars="200"/>
        <w:rPr>
          <w:rFonts w:hint="eastAsia" w:ascii="仿宋" w:hAnsi="仿宋" w:eastAsia="仿宋"/>
          <w:sz w:val="21"/>
          <w:szCs w:val="21"/>
        </w:rPr>
      </w:pPr>
    </w:p>
    <w:p w14:paraId="5A5A7AED">
      <w:pPr>
        <w:pStyle w:val="21"/>
        <w:adjustRightInd w:val="0"/>
        <w:spacing w:line="480" w:lineRule="auto"/>
        <w:ind w:firstLine="420" w:firstLineChars="200"/>
        <w:rPr>
          <w:rFonts w:hint="eastAsia" w:ascii="仿宋" w:hAnsi="仿宋" w:eastAsia="仿宋"/>
          <w:sz w:val="21"/>
          <w:szCs w:val="21"/>
        </w:rPr>
      </w:pPr>
    </w:p>
    <w:p w14:paraId="5C2AB555">
      <w:pPr>
        <w:pStyle w:val="21"/>
        <w:adjustRightInd w:val="0"/>
        <w:spacing w:line="480" w:lineRule="auto"/>
        <w:ind w:firstLine="420" w:firstLineChars="200"/>
        <w:rPr>
          <w:rFonts w:hint="eastAsia" w:ascii="仿宋" w:hAnsi="仿宋" w:eastAsia="仿宋"/>
          <w:sz w:val="21"/>
          <w:szCs w:val="21"/>
        </w:rPr>
      </w:pPr>
    </w:p>
    <w:p w14:paraId="6D7B528C">
      <w:pPr>
        <w:pStyle w:val="21"/>
        <w:adjustRightInd w:val="0"/>
        <w:spacing w:line="480" w:lineRule="auto"/>
        <w:ind w:firstLine="420" w:firstLineChars="200"/>
        <w:rPr>
          <w:rFonts w:hint="eastAsia" w:ascii="仿宋" w:hAnsi="仿宋" w:eastAsia="仿宋"/>
          <w:sz w:val="21"/>
          <w:szCs w:val="21"/>
        </w:rPr>
      </w:pPr>
    </w:p>
    <w:p w14:paraId="2F1AA871">
      <w:pPr>
        <w:pStyle w:val="21"/>
        <w:adjustRightInd w:val="0"/>
        <w:spacing w:before="0" w:line="480" w:lineRule="auto"/>
        <w:ind w:firstLine="0"/>
        <w:rPr>
          <w:rFonts w:hint="eastAsia" w:ascii="仿宋" w:hAnsi="仿宋" w:eastAsia="仿宋"/>
          <w:szCs w:val="24"/>
        </w:rPr>
      </w:pPr>
      <w:r>
        <w:rPr>
          <w:rFonts w:hint="eastAsia" w:ascii="仿宋" w:hAnsi="仿宋" w:eastAsia="仿宋"/>
          <w:szCs w:val="24"/>
        </w:rPr>
        <w:t>附件4</w:t>
      </w:r>
    </w:p>
    <w:p w14:paraId="2CBCB9F7">
      <w:pPr>
        <w:pStyle w:val="3"/>
        <w:autoSpaceDE w:val="0"/>
        <w:autoSpaceDN w:val="0"/>
        <w:adjustRightInd w:val="0"/>
        <w:snapToGrid w:val="0"/>
        <w:spacing w:beforeLines="0"/>
        <w:ind w:firstLine="0" w:firstLineChars="0"/>
        <w:jc w:val="center"/>
        <w:rPr>
          <w:rFonts w:hint="eastAsia" w:ascii="Times New Roman" w:hAnsi="仿宋" w:eastAsia="仿宋"/>
          <w:sz w:val="28"/>
          <w:szCs w:val="28"/>
        </w:rPr>
      </w:pPr>
      <w:bookmarkStart w:id="96" w:name="_Toc25374"/>
      <w:bookmarkStart w:id="97" w:name="_Toc29697"/>
      <w:r>
        <w:rPr>
          <w:rFonts w:hint="eastAsia" w:ascii="Times New Roman" w:hAnsi="仿宋" w:eastAsia="仿宋"/>
          <w:sz w:val="28"/>
          <w:szCs w:val="28"/>
        </w:rPr>
        <w:t>建设工程廉洁协议书</w:t>
      </w:r>
      <w:bookmarkEnd w:id="96"/>
      <w:bookmarkEnd w:id="97"/>
    </w:p>
    <w:p w14:paraId="5F36F412">
      <w:pPr>
        <w:pStyle w:val="21"/>
        <w:adjustRightInd w:val="0"/>
        <w:spacing w:line="360" w:lineRule="auto"/>
        <w:ind w:firstLine="0"/>
        <w:rPr>
          <w:rFonts w:hint="eastAsia" w:ascii="仿宋" w:hAnsi="仿宋" w:eastAsia="仿宋"/>
          <w:szCs w:val="24"/>
        </w:rPr>
      </w:pPr>
      <w:r>
        <w:rPr>
          <w:rFonts w:hint="eastAsia" w:ascii="仿宋" w:hAnsi="仿宋" w:eastAsia="仿宋"/>
          <w:szCs w:val="24"/>
        </w:rPr>
        <w:t>发包人（甲方）：</w:t>
      </w:r>
    </w:p>
    <w:p w14:paraId="5A3E5158">
      <w:pPr>
        <w:pStyle w:val="21"/>
        <w:adjustRightInd w:val="0"/>
        <w:spacing w:line="360" w:lineRule="auto"/>
        <w:ind w:firstLine="0"/>
        <w:rPr>
          <w:rFonts w:hint="eastAsia" w:ascii="仿宋" w:hAnsi="仿宋" w:eastAsia="仿宋"/>
          <w:szCs w:val="24"/>
        </w:rPr>
      </w:pPr>
      <w:r>
        <w:rPr>
          <w:rFonts w:hint="eastAsia" w:ascii="仿宋" w:hAnsi="仿宋" w:eastAsia="仿宋"/>
          <w:szCs w:val="24"/>
        </w:rPr>
        <w:t>承包人（乙方）：</w:t>
      </w:r>
    </w:p>
    <w:p w14:paraId="23C39202">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为了在工程建设中保持廉政自律的工作作风，防止各种不正当行为的发生，根据国家和省市有关建设工程承发包和廉政建设的各项规定，结合工程建设的特点，订立本协议如下：</w:t>
      </w:r>
    </w:p>
    <w:p w14:paraId="20C525EE">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一、双方应当自觉遵守国家和市关于建设工程承发包工作规则以及有关廉政建设的各项规定。</w:t>
      </w:r>
    </w:p>
    <w:p w14:paraId="464CCEB6">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二、发包人及其工作人员不得以任何形式向承包人索要和收受回扣等好处费。</w:t>
      </w:r>
    </w:p>
    <w:p w14:paraId="0BA2FF40">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三、发包人工作人员应当保持与承包人的正常业务交往，不得接受承包人的现金、有价证券和贵重物品，不得在承包人报销任何应有个人支付的费用。</w:t>
      </w:r>
    </w:p>
    <w:p w14:paraId="0726F9A5">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四、发包人工作人员不得参加可能对公正执行公务有影响的宴请和娱乐活动。</w:t>
      </w:r>
    </w:p>
    <w:p w14:paraId="7D43D5AD">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五、发包人工作人员不得要求接受承包人为其住房装修、婚丧嫁娶、家属和子女的工作安排以及出国等提供方便。</w:t>
      </w:r>
    </w:p>
    <w:p w14:paraId="2E694A88">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六、发包人工作人员不得向承包人介绍家属或者亲友从事与发包人工程有关的材料设备供应、工程分包等经济活动。</w:t>
      </w:r>
    </w:p>
    <w:p w14:paraId="185D007A">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七、承包人应当通过正常途径开展相对业务工作，不得为获取某些不正当利益而向发包人工作人员赠送礼金、有价证券和贵重物品等。</w:t>
      </w:r>
    </w:p>
    <w:p w14:paraId="42E7FD38">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八、承包人不得为谋取私利擅自与发包人工作人员就工程承包、工程费用、材料设备供应、工程量变动、工程验收、工程质量问题处理等进行私下商谈或者达成默契。</w:t>
      </w:r>
    </w:p>
    <w:p w14:paraId="58EA3053">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九、承包人不得以洽谈业务、签订经济合同为借口，邀请发包人工作人员外出旅游和进入高档娱乐性场所。</w:t>
      </w:r>
    </w:p>
    <w:p w14:paraId="2B4CB7F8">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十、承包人不得为发包人和个人购置或者提供通讯工具、家电、高档办公用品等物品。</w:t>
      </w:r>
    </w:p>
    <w:p w14:paraId="393A7A70">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十一、承包人如发现发包人工作人员有违反上述协议者，应向发包人领导或者发包人上级单位举报。发包人不得找任何借口对承包人进行报复。发包人对举报属实和严格遵守廉政协议的承包人，在同等条件下给予承接后续工程的优先邀请投标权。</w:t>
      </w:r>
    </w:p>
    <w:p w14:paraId="1377F042">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十二、发包人发现承包人有违反本协议或者采用不正当的手段行贿发包人工作人员，发包人根据具体情节和造成的后果追究承包人工程合同造价1%—5%的违约金，由此给发包人造成的损失均由承包人承担，承包人用不正当手段获取的非法所得由发包人单位予以追缴。</w:t>
      </w:r>
    </w:p>
    <w:p w14:paraId="7B48D815">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十三、严格执行中纪委下发的中纪发【2007】7号《中共中央纪委关于严格禁止利用职务上的便利谋取不正当利益的若干规定》。</w:t>
      </w:r>
    </w:p>
    <w:p w14:paraId="3496A21A">
      <w:pPr>
        <w:pStyle w:val="21"/>
        <w:adjustRightInd w:val="0"/>
        <w:spacing w:line="360" w:lineRule="auto"/>
        <w:ind w:firstLine="480" w:firstLineChars="200"/>
        <w:rPr>
          <w:rFonts w:hint="eastAsia" w:ascii="仿宋" w:hAnsi="仿宋" w:eastAsia="仿宋"/>
          <w:szCs w:val="24"/>
        </w:rPr>
      </w:pPr>
      <w:r>
        <w:rPr>
          <w:rFonts w:hint="eastAsia" w:ascii="仿宋" w:hAnsi="仿宋" w:eastAsia="仿宋"/>
          <w:szCs w:val="24"/>
        </w:rPr>
        <w:t>十四、本廉政协议作为工程承发包合同的附件，与工程承发包合同具有同等法律效力，经协议双方签署后立即生效。</w:t>
      </w:r>
    </w:p>
    <w:p w14:paraId="11D59EAF">
      <w:pPr>
        <w:pStyle w:val="21"/>
        <w:adjustRightInd w:val="0"/>
        <w:spacing w:line="360" w:lineRule="auto"/>
        <w:ind w:firstLine="0"/>
        <w:rPr>
          <w:rFonts w:hint="eastAsia" w:ascii="仿宋" w:hAnsi="仿宋" w:eastAsia="仿宋"/>
          <w:szCs w:val="24"/>
        </w:rPr>
      </w:pPr>
    </w:p>
    <w:p w14:paraId="4B354DE1">
      <w:pPr>
        <w:pStyle w:val="21"/>
        <w:adjustRightInd w:val="0"/>
        <w:spacing w:before="0" w:line="600" w:lineRule="auto"/>
        <w:ind w:firstLine="420" w:firstLineChars="200"/>
        <w:rPr>
          <w:rFonts w:hint="eastAsia" w:ascii="仿宋" w:hAnsi="仿宋" w:eastAsia="仿宋"/>
          <w:sz w:val="21"/>
          <w:szCs w:val="21"/>
        </w:rPr>
      </w:pPr>
      <w:r>
        <w:rPr>
          <w:rFonts w:hint="eastAsia" w:ascii="仿宋" w:hAnsi="仿宋" w:eastAsia="仿宋"/>
          <w:sz w:val="21"/>
          <w:szCs w:val="21"/>
        </w:rPr>
        <w:t xml:space="preserve">发包人（盖章）： </w:t>
      </w:r>
      <w:r>
        <w:rPr>
          <w:rFonts w:ascii="仿宋" w:hAnsi="仿宋" w:eastAsia="仿宋"/>
          <w:sz w:val="21"/>
          <w:szCs w:val="21"/>
        </w:rPr>
        <w:t xml:space="preserve">             </w:t>
      </w:r>
      <w:r>
        <w:rPr>
          <w:rFonts w:hint="eastAsia" w:ascii="仿宋" w:hAnsi="仿宋" w:eastAsia="仿宋"/>
          <w:sz w:val="21"/>
          <w:szCs w:val="21"/>
        </w:rPr>
        <w:t xml:space="preserve">         承包人（盖章）： </w:t>
      </w:r>
    </w:p>
    <w:p w14:paraId="56F99451">
      <w:pPr>
        <w:pStyle w:val="21"/>
        <w:adjustRightInd w:val="0"/>
        <w:spacing w:before="0" w:line="600" w:lineRule="auto"/>
        <w:ind w:firstLine="420" w:firstLineChars="200"/>
        <w:rPr>
          <w:rFonts w:hint="eastAsia"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法定（授权）代表人（签章）：</w:t>
      </w:r>
    </w:p>
    <w:p w14:paraId="7546670C">
      <w:pPr>
        <w:pStyle w:val="21"/>
        <w:adjustRightInd w:val="0"/>
        <w:spacing w:before="0" w:line="600" w:lineRule="auto"/>
        <w:ind w:firstLine="420" w:firstLineChars="200"/>
        <w:rPr>
          <w:rFonts w:hint="eastAsia" w:ascii="仿宋" w:hAnsi="仿宋" w:eastAsia="仿宋"/>
          <w:sz w:val="21"/>
          <w:szCs w:val="21"/>
        </w:rPr>
        <w:sectPr>
          <w:pgSz w:w="11910" w:h="16840"/>
          <w:pgMar w:top="1418" w:right="1418" w:bottom="1418" w:left="1418" w:header="851" w:footer="851" w:gutter="0"/>
          <w:pgBorders>
            <w:top w:val="none" w:sz="0" w:space="0"/>
            <w:left w:val="none" w:sz="0" w:space="0"/>
            <w:bottom w:val="none" w:sz="0" w:space="0"/>
            <w:right w:val="none" w:sz="0" w:space="0"/>
          </w:pgBorders>
          <w:pgNumType w:fmt="decimal"/>
          <w:cols w:space="720" w:num="1"/>
          <w:docGrid w:linePitch="286" w:charSpace="0"/>
        </w:sectPr>
      </w:pP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 xml:space="preserve">日             </w:t>
      </w:r>
      <w:r>
        <w:rPr>
          <w:rFonts w:ascii="仿宋" w:hAnsi="仿宋" w:eastAsia="仿宋"/>
          <w:sz w:val="21"/>
          <w:szCs w:val="21"/>
        </w:rPr>
        <w:t xml:space="preserve">  </w:t>
      </w: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p w14:paraId="233F64DE">
      <w:pPr>
        <w:pStyle w:val="2"/>
        <w:autoSpaceDE w:val="0"/>
        <w:autoSpaceDN w:val="0"/>
        <w:spacing w:before="240"/>
        <w:rPr>
          <w:rFonts w:eastAsia="华文中宋"/>
          <w:bCs/>
          <w:kern w:val="44"/>
          <w:sz w:val="44"/>
          <w:szCs w:val="44"/>
        </w:rPr>
      </w:pPr>
      <w:bookmarkStart w:id="98" w:name="_Toc20569"/>
      <w:bookmarkStart w:id="99" w:name="_Toc8898"/>
      <w:r>
        <w:rPr>
          <w:rFonts w:eastAsia="华文中宋"/>
          <w:bCs/>
          <w:kern w:val="44"/>
          <w:sz w:val="44"/>
          <w:szCs w:val="44"/>
        </w:rPr>
        <w:t xml:space="preserve">第六章  </w:t>
      </w:r>
      <w:r>
        <w:rPr>
          <w:rFonts w:hint="eastAsia" w:eastAsia="华文中宋"/>
          <w:bCs/>
          <w:kern w:val="44"/>
          <w:sz w:val="44"/>
          <w:szCs w:val="44"/>
        </w:rPr>
        <w:t>磋商</w:t>
      </w:r>
      <w:r>
        <w:rPr>
          <w:rFonts w:eastAsia="华文中宋"/>
          <w:bCs/>
          <w:kern w:val="44"/>
          <w:sz w:val="44"/>
          <w:szCs w:val="44"/>
        </w:rPr>
        <w:t>响应文件格式</w:t>
      </w:r>
      <w:bookmarkEnd w:id="98"/>
      <w:bookmarkEnd w:id="99"/>
    </w:p>
    <w:p w14:paraId="520D4ADA">
      <w:pPr>
        <w:autoSpaceDE w:val="0"/>
        <w:autoSpaceDN w:val="0"/>
        <w:spacing w:before="240" w:line="360" w:lineRule="auto"/>
        <w:jc w:val="center"/>
        <w:rPr>
          <w:color w:val="000000" w:themeColor="text1"/>
          <w:sz w:val="20"/>
          <w:szCs w:val="22"/>
          <w14:textFill>
            <w14:solidFill>
              <w14:schemeClr w14:val="tx1"/>
            </w14:solidFill>
          </w14:textFill>
        </w:rPr>
      </w:pPr>
      <w:bookmarkStart w:id="100" w:name="_Toc211745566"/>
      <w:bookmarkStart w:id="101" w:name="_Toc82873317"/>
      <w:bookmarkStart w:id="102" w:name="_Toc82338234"/>
      <w:r>
        <w:rPr>
          <w:rFonts w:ascii="华文中宋" w:hAnsi="华文中宋" w:eastAsia="华文中宋"/>
          <w:b/>
          <w:color w:val="000000" w:themeColor="text1"/>
          <w:sz w:val="40"/>
          <w:szCs w:val="40"/>
          <w14:textFill>
            <w14:solidFill>
              <w14:schemeClr w14:val="tx1"/>
            </w14:solidFill>
          </w14:textFill>
        </w:rPr>
        <w:t>重要提示</w:t>
      </w:r>
    </w:p>
    <w:p w14:paraId="62FD5B7E">
      <w:pPr>
        <w:autoSpaceDE w:val="0"/>
        <w:autoSpaceDN w:val="0"/>
        <w:spacing w:line="360" w:lineRule="auto"/>
        <w:ind w:firstLine="424" w:firstLineChars="151"/>
        <w:jc w:val="left"/>
        <w:rPr>
          <w:rFonts w:hint="eastAsia" w:ascii="仿宋" w:hAnsi="仿宋" w:eastAsia="仿宋"/>
          <w:b/>
          <w:color w:val="000000" w:themeColor="text1"/>
          <w:sz w:val="28"/>
          <w:u w:val="single"/>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（1）</w:t>
      </w:r>
      <w:r>
        <w:rPr>
          <w:rFonts w:hint="eastAsia" w:ascii="仿宋" w:hAnsi="仿宋" w:eastAsia="仿宋"/>
          <w:b/>
          <w:color w:val="000000" w:themeColor="text1"/>
          <w:sz w:val="28"/>
          <w:u w:val="single"/>
          <w14:textFill>
            <w14:solidFill>
              <w14:schemeClr w14:val="tx1"/>
            </w14:solidFill>
          </w14:textFill>
        </w:rPr>
        <w:t>本章中有</w:t>
      </w:r>
      <w:r>
        <w:rPr>
          <w:rFonts w:ascii="仿宋" w:hAnsi="仿宋" w:eastAsia="仿宋"/>
          <w:b/>
          <w:color w:val="000000" w:themeColor="text1"/>
          <w:sz w:val="28"/>
          <w:u w:val="single"/>
          <w14:textFill>
            <w14:solidFill>
              <w14:schemeClr w14:val="tx1"/>
            </w14:solidFill>
          </w14:textFill>
        </w:rPr>
        <w:t>提供格式的，</w:t>
      </w:r>
      <w:r>
        <w:rPr>
          <w:rFonts w:hint="eastAsia" w:ascii="仿宋" w:hAnsi="仿宋" w:eastAsia="仿宋"/>
          <w:b/>
          <w:color w:val="000000" w:themeColor="text1"/>
          <w:sz w:val="28"/>
          <w:u w:val="single"/>
          <w14:textFill>
            <w14:solidFill>
              <w14:schemeClr w14:val="tx1"/>
            </w14:solidFill>
          </w14:textFill>
        </w:rPr>
        <w:t>供应商须按</w:t>
      </w:r>
      <w:r>
        <w:rPr>
          <w:rFonts w:ascii="仿宋" w:hAnsi="仿宋" w:eastAsia="仿宋"/>
          <w:b/>
          <w:color w:val="000000" w:themeColor="text1"/>
          <w:sz w:val="28"/>
          <w:u w:val="single"/>
          <w14:textFill>
            <w14:solidFill>
              <w14:schemeClr w14:val="tx1"/>
            </w14:solidFill>
          </w14:textFill>
        </w:rPr>
        <w:t>照格式</w:t>
      </w:r>
      <w:r>
        <w:rPr>
          <w:rFonts w:hint="eastAsia" w:ascii="仿宋" w:hAnsi="仿宋" w:eastAsia="仿宋"/>
          <w:b/>
          <w:color w:val="000000" w:themeColor="text1"/>
          <w:sz w:val="28"/>
          <w:u w:val="single"/>
          <w14:textFill>
            <w14:solidFill>
              <w14:schemeClr w14:val="tx1"/>
            </w14:solidFill>
          </w14:textFill>
        </w:rPr>
        <w:t>进行编制（格式中要求提供相关证明材料的还需后附相关有效证明材料），并按格式要求进行签、章，否则视为未提供。</w:t>
      </w:r>
    </w:p>
    <w:p w14:paraId="2CABE9DC">
      <w:pPr>
        <w:autoSpaceDE w:val="0"/>
        <w:autoSpaceDN w:val="0"/>
        <w:spacing w:line="360" w:lineRule="auto"/>
        <w:ind w:firstLine="424" w:firstLineChars="151"/>
        <w:jc w:val="left"/>
        <w:rPr>
          <w:rFonts w:hint="eastAsia" w:ascii="仿宋" w:hAnsi="仿宋" w:eastAsia="仿宋"/>
          <w:b/>
          <w:color w:val="000000" w:themeColor="text1"/>
          <w:sz w:val="28"/>
          <w:u w:val="single"/>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（2）</w:t>
      </w:r>
      <w:r>
        <w:rPr>
          <w:rFonts w:hint="eastAsia" w:ascii="仿宋" w:hAnsi="仿宋" w:eastAsia="仿宋"/>
          <w:b/>
          <w:color w:val="000000" w:themeColor="text1"/>
          <w:sz w:val="28"/>
          <w:u w:val="single"/>
          <w14:textFill>
            <w14:solidFill>
              <w14:schemeClr w14:val="tx1"/>
            </w14:solidFill>
          </w14:textFill>
        </w:rPr>
        <w:t>本章</w:t>
      </w:r>
      <w:r>
        <w:rPr>
          <w:rFonts w:ascii="仿宋" w:hAnsi="仿宋" w:eastAsia="仿宋"/>
          <w:b/>
          <w:color w:val="000000" w:themeColor="text1"/>
          <w:sz w:val="28"/>
          <w:u w:val="single"/>
          <w14:textFill>
            <w14:solidFill>
              <w14:schemeClr w14:val="tx1"/>
            </w14:solidFill>
          </w14:textFill>
        </w:rPr>
        <w:t>未提供格式的，请</w:t>
      </w:r>
      <w:r>
        <w:rPr>
          <w:rFonts w:hint="eastAsia" w:ascii="仿宋" w:hAnsi="仿宋" w:eastAsia="仿宋"/>
          <w:b/>
          <w:color w:val="000000" w:themeColor="text1"/>
          <w:sz w:val="28"/>
          <w:u w:val="single"/>
          <w14:textFill>
            <w14:solidFill>
              <w14:schemeClr w14:val="tx1"/>
            </w14:solidFill>
          </w14:textFill>
        </w:rPr>
        <w:t>供应商</w:t>
      </w:r>
      <w:r>
        <w:rPr>
          <w:rFonts w:ascii="仿宋" w:hAnsi="仿宋" w:eastAsia="仿宋"/>
          <w:b/>
          <w:color w:val="000000" w:themeColor="text1"/>
          <w:sz w:val="28"/>
          <w:u w:val="single"/>
          <w14:textFill>
            <w14:solidFill>
              <w14:schemeClr w14:val="tx1"/>
            </w14:solidFill>
          </w14:textFill>
        </w:rPr>
        <w:t>自行拟定格式</w:t>
      </w:r>
      <w:r>
        <w:rPr>
          <w:rFonts w:hint="eastAsia" w:ascii="仿宋" w:hAnsi="仿宋" w:eastAsia="仿宋"/>
          <w:b/>
          <w:color w:val="000000" w:themeColor="text1"/>
          <w:sz w:val="28"/>
          <w:u w:val="single"/>
          <w14:textFill>
            <w14:solidFill>
              <w14:schemeClr w14:val="tx1"/>
            </w14:solidFill>
          </w14:textFill>
        </w:rPr>
        <w:t>，并加盖单位公章，否则视为未提供。</w:t>
      </w:r>
    </w:p>
    <w:p w14:paraId="5A3764C7">
      <w:pPr>
        <w:autoSpaceDE w:val="0"/>
        <w:autoSpaceDN w:val="0"/>
        <w:spacing w:line="360" w:lineRule="auto"/>
        <w:ind w:firstLine="424" w:firstLineChars="151"/>
        <w:jc w:val="left"/>
        <w:rPr>
          <w:rFonts w:hint="eastAsia" w:ascii="仿宋" w:hAnsi="仿宋" w:eastAsia="仿宋" w:cs="Arial"/>
          <w:b/>
          <w:color w:val="000000" w:themeColor="text1"/>
          <w:kern w:val="0"/>
          <w:sz w:val="28"/>
          <w:u w:val="single"/>
          <w14:textFill>
            <w14:solidFill>
              <w14:schemeClr w14:val="tx1"/>
            </w14:solidFill>
          </w14:textFill>
        </w:rPr>
      </w:pPr>
      <w:r>
        <w:rPr>
          <w:rFonts w:hint="eastAsia" w:ascii="仿宋" w:hAnsi="仿宋" w:eastAsia="仿宋"/>
          <w:b/>
          <w:color w:val="000000" w:themeColor="text1"/>
          <w:sz w:val="28"/>
          <w14:textFill>
            <w14:solidFill>
              <w14:schemeClr w14:val="tx1"/>
            </w14:solidFill>
          </w14:textFill>
        </w:rPr>
        <w:t>（3）</w:t>
      </w:r>
      <w:r>
        <w:rPr>
          <w:rFonts w:hint="eastAsia" w:ascii="仿宋" w:hAnsi="仿宋" w:eastAsia="仿宋"/>
          <w:b/>
          <w:color w:val="000000" w:themeColor="text1"/>
          <w:sz w:val="28"/>
          <w:u w:val="single"/>
          <w14:textFill>
            <w14:solidFill>
              <w14:schemeClr w14:val="tx1"/>
            </w14:solidFill>
          </w14:textFill>
        </w:rPr>
        <w:t>可以提供扫描件的相关证明材料必须加盖供应商公章，否则视为未提供（例如：各类资格资质证书、业绩材料、许可材料、荣誉证书、产品注册登记材料、产品检测材料、验收材料等）。</w:t>
      </w:r>
    </w:p>
    <w:p w14:paraId="1A22078D">
      <w:pPr>
        <w:autoSpaceDE w:val="0"/>
        <w:autoSpaceDN w:val="0"/>
        <w:spacing w:line="360" w:lineRule="auto"/>
        <w:ind w:firstLine="424" w:firstLineChars="151"/>
        <w:rPr>
          <w:rFonts w:hint="eastAsia" w:ascii="仿宋" w:hAnsi="仿宋" w:eastAsia="仿宋" w:cs="Arial"/>
          <w:b/>
          <w:color w:val="000000" w:themeColor="text1"/>
          <w:kern w:val="0"/>
          <w:sz w:val="28"/>
          <w:u w:val="single"/>
          <w14:textFill>
            <w14:solidFill>
              <w14:schemeClr w14:val="tx1"/>
            </w14:solidFill>
          </w14:textFill>
        </w:rPr>
      </w:pPr>
      <w:r>
        <w:rPr>
          <w:rFonts w:hint="eastAsia" w:ascii="仿宋" w:hAnsi="仿宋" w:eastAsia="仿宋" w:cs="Arial"/>
          <w:b/>
          <w:color w:val="000000" w:themeColor="text1"/>
          <w:kern w:val="0"/>
          <w:sz w:val="28"/>
          <w14:textFill>
            <w14:solidFill>
              <w14:schemeClr w14:val="tx1"/>
            </w14:solidFill>
          </w14:textFill>
        </w:rPr>
        <w:t>（4）</w:t>
      </w:r>
      <w:r>
        <w:rPr>
          <w:rFonts w:hint="eastAsia" w:ascii="仿宋" w:hAnsi="仿宋" w:eastAsia="仿宋" w:cs="Arial"/>
          <w:b/>
          <w:color w:val="000000" w:themeColor="text1"/>
          <w:kern w:val="0"/>
          <w:sz w:val="28"/>
          <w:u w:val="single"/>
          <w14:textFill>
            <w14:solidFill>
              <w14:schemeClr w14:val="tx1"/>
            </w14:solidFill>
          </w14:textFill>
        </w:rPr>
        <w:t>第三章投标须知第4.2.2款投标文件内容组成清单中标注“</w:t>
      </w:r>
      <w:r>
        <w:rPr>
          <w:rFonts w:hint="eastAsia" w:ascii="仿宋" w:hAnsi="仿宋" w:eastAsia="仿宋" w:cs="Arial"/>
          <w:color w:val="000000" w:themeColor="text1"/>
          <w:kern w:val="0"/>
          <w:sz w:val="28"/>
          <w:u w:val="single"/>
          <w14:textFill>
            <w14:solidFill>
              <w14:schemeClr w14:val="tx1"/>
            </w14:solidFill>
          </w14:textFill>
        </w:rPr>
        <w:t>▲</w:t>
      </w:r>
      <w:r>
        <w:rPr>
          <w:rFonts w:hint="eastAsia" w:ascii="仿宋" w:hAnsi="仿宋" w:eastAsia="仿宋" w:cs="Arial"/>
          <w:b/>
          <w:color w:val="000000" w:themeColor="text1"/>
          <w:kern w:val="0"/>
          <w:sz w:val="28"/>
          <w:u w:val="single"/>
          <w14:textFill>
            <w14:solidFill>
              <w14:schemeClr w14:val="tx1"/>
            </w14:solidFill>
          </w14:textFill>
        </w:rPr>
        <w:t>”的内容为必须提供的内容，未提供的投标无效。</w:t>
      </w:r>
    </w:p>
    <w:p w14:paraId="26887D39">
      <w:pPr>
        <w:autoSpaceDE w:val="0"/>
        <w:autoSpaceDN w:val="0"/>
        <w:rPr>
          <w:rFonts w:hint="eastAsia" w:ascii="仿宋" w:hAnsi="仿宋" w:eastAsia="仿宋" w:cs="Arial"/>
          <w:b/>
          <w:color w:val="000000" w:themeColor="text1"/>
          <w:kern w:val="0"/>
          <w:sz w:val="28"/>
          <w:u w:val="single"/>
          <w14:textFill>
            <w14:solidFill>
              <w14:schemeClr w14:val="tx1"/>
            </w14:solidFill>
          </w14:textFill>
        </w:rPr>
      </w:pPr>
      <w:r>
        <w:rPr>
          <w:rFonts w:hint="eastAsia" w:ascii="仿宋" w:hAnsi="仿宋" w:eastAsia="仿宋" w:cs="Arial"/>
          <w:b/>
          <w:color w:val="000000" w:themeColor="text1"/>
          <w:kern w:val="0"/>
          <w:sz w:val="28"/>
          <w:u w:val="single"/>
          <w14:textFill>
            <w14:solidFill>
              <w14:schemeClr w14:val="tx1"/>
            </w14:solidFill>
          </w14:textFill>
        </w:rPr>
        <w:br w:type="page"/>
      </w:r>
    </w:p>
    <w:p w14:paraId="5D38B4BE">
      <w:pPr>
        <w:pStyle w:val="3"/>
        <w:autoSpaceDE w:val="0"/>
        <w:autoSpaceDN w:val="0"/>
        <w:spacing w:before="360"/>
        <w:ind w:firstLine="0" w:firstLineChars="0"/>
        <w:rPr>
          <w:rFonts w:hint="eastAsia" w:ascii="Times New Roman" w:hAnsi="仿宋" w:eastAsia="仿宋"/>
          <w:sz w:val="28"/>
          <w:szCs w:val="28"/>
        </w:rPr>
      </w:pPr>
      <w:bookmarkStart w:id="103" w:name="_Toc18896"/>
      <w:bookmarkStart w:id="104" w:name="_Toc21011"/>
      <w:r>
        <w:rPr>
          <w:rFonts w:hint="eastAsia" w:ascii="Times New Roman" w:hAnsi="仿宋" w:eastAsia="仿宋"/>
          <w:sz w:val="28"/>
          <w:szCs w:val="28"/>
        </w:rPr>
        <w:t>第一部分“资格文件格式”</w:t>
      </w:r>
      <w:bookmarkEnd w:id="103"/>
      <w:bookmarkEnd w:id="104"/>
    </w:p>
    <w:p w14:paraId="637AD056">
      <w:pPr>
        <w:pStyle w:val="4"/>
        <w:spacing w:before="120" w:after="120" w:line="324" w:lineRule="auto"/>
        <w:ind w:firstLine="280"/>
        <w:jc w:val="both"/>
        <w:rPr>
          <w:rFonts w:hint="eastAsia" w:ascii="华文中宋" w:hAnsi="华文中宋"/>
          <w:bCs/>
          <w:color w:val="000000"/>
          <w:kern w:val="0"/>
          <w:sz w:val="28"/>
          <w:szCs w:val="28"/>
        </w:rPr>
      </w:pPr>
      <w:r>
        <w:rPr>
          <w:rFonts w:hint="eastAsia" w:ascii="华文中宋" w:hAnsi="华文中宋"/>
          <w:bCs/>
          <w:color w:val="000000"/>
          <w:kern w:val="0"/>
          <w:sz w:val="28"/>
          <w:szCs w:val="28"/>
        </w:rPr>
        <w:t>1-1▲符合“申请人的资格要求”第1条规定的证明文件</w:t>
      </w:r>
    </w:p>
    <w:p w14:paraId="799761FC">
      <w:pPr>
        <w:pStyle w:val="6"/>
        <w:autoSpaceDE w:val="0"/>
        <w:autoSpaceDN w:val="0"/>
        <w:ind w:firstLine="480"/>
        <w:jc w:val="left"/>
        <w:rPr>
          <w:rFonts w:hint="eastAsia" w:ascii="华文中宋" w:hAnsi="华文中宋" w:cs="华文中宋"/>
          <w:sz w:val="24"/>
          <w:szCs w:val="24"/>
        </w:rPr>
      </w:pPr>
      <w:r>
        <w:rPr>
          <w:rFonts w:hint="eastAsia" w:ascii="华文中宋" w:hAnsi="华文中宋" w:cs="华文中宋"/>
          <w:sz w:val="24"/>
          <w:szCs w:val="24"/>
        </w:rPr>
        <w:t>（1）▲资格承诺函</w:t>
      </w:r>
    </w:p>
    <w:p w14:paraId="3F96EC38">
      <w:pPr>
        <w:autoSpaceDE w:val="0"/>
        <w:autoSpaceDN w:val="0"/>
        <w:spacing w:line="360" w:lineRule="auto"/>
        <w:jc w:val="center"/>
        <w:rPr>
          <w:rFonts w:hint="eastAsia" w:ascii="仿宋" w:hAnsi="仿宋" w:eastAsia="仿宋"/>
          <w:b/>
          <w:color w:val="0000FF"/>
          <w:sz w:val="36"/>
          <w:szCs w:val="36"/>
        </w:rPr>
      </w:pPr>
      <w:r>
        <w:rPr>
          <w:rFonts w:hint="eastAsia" w:ascii="仿宋" w:hAnsi="仿宋" w:eastAsia="仿宋"/>
          <w:b/>
          <w:sz w:val="36"/>
          <w:szCs w:val="36"/>
        </w:rPr>
        <w:t>资格承诺函（联合体、分包承担主体各方均须提供）</w:t>
      </w:r>
    </w:p>
    <w:p w14:paraId="1BF0FAEF">
      <w:pPr>
        <w:autoSpaceDE w:val="0"/>
        <w:autoSpaceDN w:val="0"/>
        <w:spacing w:line="360" w:lineRule="auto"/>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u w:val="single"/>
          <w14:textFill>
            <w14:solidFill>
              <w14:schemeClr w14:val="tx1"/>
            </w14:solidFill>
          </w14:textFill>
        </w:rPr>
        <w:t>浙江工商大学、浙江省成套招标代理有限公司</w:t>
      </w:r>
      <w:r>
        <w:rPr>
          <w:rFonts w:hint="eastAsia" w:ascii="仿宋" w:hAnsi="仿宋" w:eastAsia="仿宋" w:cs="Arial"/>
          <w:b/>
          <w:color w:val="000000" w:themeColor="text1"/>
          <w:kern w:val="0"/>
          <w:sz w:val="24"/>
          <w14:textFill>
            <w14:solidFill>
              <w14:schemeClr w14:val="tx1"/>
            </w14:solidFill>
          </w14:textFill>
        </w:rPr>
        <w:t>：</w:t>
      </w:r>
    </w:p>
    <w:p w14:paraId="06D76D75">
      <w:pPr>
        <w:autoSpaceDE w:val="0"/>
        <w:autoSpaceDN w:val="0"/>
        <w:spacing w:line="360" w:lineRule="auto"/>
        <w:ind w:firstLine="482" w:firstLineChars="200"/>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我方参加</w:t>
      </w:r>
      <w:r>
        <w:rPr>
          <w:rFonts w:hint="eastAsia" w:ascii="仿宋" w:hAnsi="仿宋" w:eastAsia="仿宋" w:cs="Arial"/>
          <w:b/>
          <w:color w:val="000000" w:themeColor="text1"/>
          <w:kern w:val="0"/>
          <w:sz w:val="24"/>
          <w:u w:val="single"/>
          <w:lang w:eastAsia="zh-CN"/>
          <w14:textFill>
            <w14:solidFill>
              <w14:schemeClr w14:val="tx1"/>
            </w14:solidFill>
          </w14:textFill>
        </w:rPr>
        <w:t>浙江工商大学教工路校区学生宿舍建设工程附属配电房移位改造工程（EPC）</w:t>
      </w:r>
      <w:r>
        <w:rPr>
          <w:rFonts w:hint="eastAsia" w:ascii="仿宋" w:hAnsi="仿宋" w:eastAsia="仿宋" w:cs="Arial"/>
          <w:b/>
          <w:color w:val="000000" w:themeColor="text1"/>
          <w:kern w:val="0"/>
          <w:sz w:val="24"/>
          <w:u w:val="single"/>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CTZB-2025050222</w:t>
      </w:r>
      <w:r>
        <w:rPr>
          <w:rFonts w:hint="eastAsia"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的政府采购活动，依据采购文件相关规定，郑重承诺如下：</w:t>
      </w:r>
    </w:p>
    <w:p w14:paraId="118ED1B0">
      <w:pPr>
        <w:autoSpaceDE w:val="0"/>
        <w:autoSpaceDN w:val="0"/>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（1）我方具有独立承担民事责任的能力；</w:t>
      </w:r>
    </w:p>
    <w:p w14:paraId="2F0EF88C">
      <w:pPr>
        <w:autoSpaceDE w:val="0"/>
        <w:autoSpaceDN w:val="0"/>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（2）我方具有</w:t>
      </w:r>
      <w:r>
        <w:rPr>
          <w:rFonts w:ascii="仿宋" w:hAnsi="仿宋" w:eastAsia="仿宋" w:cs="Arial"/>
          <w:color w:val="000000" w:themeColor="text1"/>
          <w:kern w:val="0"/>
          <w:sz w:val="24"/>
          <w14:textFill>
            <w14:solidFill>
              <w14:schemeClr w14:val="tx1"/>
            </w14:solidFill>
          </w14:textFill>
        </w:rPr>
        <w:t>良好的商业信誉和健全的财务会计制度</w:t>
      </w:r>
      <w:r>
        <w:rPr>
          <w:rFonts w:hint="eastAsia" w:ascii="仿宋" w:hAnsi="仿宋" w:eastAsia="仿宋" w:cs="Arial"/>
          <w:color w:val="000000" w:themeColor="text1"/>
          <w:kern w:val="0"/>
          <w:sz w:val="24"/>
          <w14:textFill>
            <w14:solidFill>
              <w14:schemeClr w14:val="tx1"/>
            </w14:solidFill>
          </w14:textFill>
        </w:rPr>
        <w:t>；</w:t>
      </w:r>
    </w:p>
    <w:p w14:paraId="6C61E1C2">
      <w:pPr>
        <w:autoSpaceDE w:val="0"/>
        <w:autoSpaceDN w:val="0"/>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（3）我方具有履行本项目合同所必需的设备和专业技术能力；</w:t>
      </w:r>
    </w:p>
    <w:p w14:paraId="021EB396">
      <w:pPr>
        <w:autoSpaceDE w:val="0"/>
        <w:autoSpaceDN w:val="0"/>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（4）我方</w:t>
      </w:r>
      <w:r>
        <w:rPr>
          <w:rFonts w:ascii="仿宋" w:hAnsi="仿宋" w:eastAsia="仿宋" w:cs="Arial"/>
          <w:color w:val="000000" w:themeColor="text1"/>
          <w:kern w:val="0"/>
          <w:sz w:val="24"/>
          <w14:textFill>
            <w14:solidFill>
              <w14:schemeClr w14:val="tx1"/>
            </w14:solidFill>
          </w14:textFill>
        </w:rPr>
        <w:t>有依法缴纳税收和社会保障资金的良好记录</w:t>
      </w:r>
      <w:r>
        <w:rPr>
          <w:rFonts w:hint="eastAsia" w:ascii="仿宋" w:hAnsi="仿宋" w:eastAsia="仿宋" w:cs="Arial"/>
          <w:color w:val="000000" w:themeColor="text1"/>
          <w:kern w:val="0"/>
          <w:sz w:val="24"/>
          <w14:textFill>
            <w14:solidFill>
              <w14:schemeClr w14:val="tx1"/>
            </w14:solidFill>
          </w14:textFill>
        </w:rPr>
        <w:t>；</w:t>
      </w:r>
    </w:p>
    <w:p w14:paraId="6EDC2861">
      <w:pPr>
        <w:autoSpaceDE w:val="0"/>
        <w:autoSpaceDN w:val="0"/>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000000" w:themeColor="text1"/>
          <w:sz w:val="24"/>
          <w14:textFill>
            <w14:solidFill>
              <w14:schemeClr w14:val="tx1"/>
            </w14:solidFill>
          </w14:textFill>
        </w:rPr>
        <w:t>；</w:t>
      </w:r>
    </w:p>
    <w:p w14:paraId="0F05F57F">
      <w:pPr>
        <w:autoSpaceDE w:val="0"/>
        <w:autoSpaceDN w:val="0"/>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（6）我方符合法律、行政法规规定的其他条件；</w:t>
      </w:r>
    </w:p>
    <w:p w14:paraId="72A7D509">
      <w:pPr>
        <w:autoSpaceDE w:val="0"/>
        <w:autoSpaceDN w:val="0"/>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（7）</w:t>
      </w:r>
      <w:r>
        <w:rPr>
          <w:rFonts w:hint="eastAsia" w:ascii="仿宋" w:hAnsi="仿宋" w:eastAsia="仿宋" w:cs="Arial"/>
          <w:color w:val="000000" w:themeColor="text1"/>
          <w:kern w:val="0"/>
          <w:sz w:val="24"/>
          <w14:textFill>
            <w14:solidFill>
              <w14:schemeClr w14:val="tx1"/>
            </w14:solidFill>
          </w14:textFill>
        </w:rPr>
        <w:t>我方在投标文件递交前，未被</w:t>
      </w:r>
      <w:r>
        <w:rPr>
          <w:rFonts w:ascii="仿宋" w:hAnsi="仿宋" w:eastAsia="仿宋" w:cs="Arial"/>
          <w:color w:val="000000" w:themeColor="text1"/>
          <w:kern w:val="0"/>
          <w:sz w:val="24"/>
          <w14:textFill>
            <w14:solidFill>
              <w14:schemeClr w14:val="tx1"/>
            </w14:solidFill>
          </w14:textFill>
        </w:rPr>
        <w:t>“信用中国”</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www.creditchina.gov.cn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中国政府采购网</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www.ccgp.gov.cn</w:t>
      </w:r>
      <w:r>
        <w:rPr>
          <w:rFonts w:hint="eastAsia" w:ascii="仿宋" w:hAnsi="仿宋" w:eastAsia="仿宋" w:cs="Arial"/>
          <w:color w:val="000000" w:themeColor="text1"/>
          <w:kern w:val="0"/>
          <w:sz w:val="24"/>
          <w14:textFill>
            <w14:solidFill>
              <w14:schemeClr w14:val="tx1"/>
            </w14:solidFill>
          </w14:textFill>
        </w:rPr>
        <w:t>）</w:t>
      </w:r>
      <w:r>
        <w:rPr>
          <w:rFonts w:ascii="仿宋" w:hAnsi="仿宋" w:eastAsia="仿宋" w:cs="Arial"/>
          <w:color w:val="000000" w:themeColor="text1"/>
          <w:kern w:val="0"/>
          <w:sz w:val="24"/>
          <w14:textFill>
            <w14:solidFill>
              <w14:schemeClr w14:val="tx1"/>
            </w14:solidFill>
          </w14:textFill>
        </w:rPr>
        <w:t>列入失信被执行人</w:t>
      </w:r>
      <w:r>
        <w:rPr>
          <w:rFonts w:hint="eastAsia" w:ascii="仿宋" w:hAnsi="仿宋" w:eastAsia="仿宋" w:cs="Arial"/>
          <w:color w:val="000000" w:themeColor="text1"/>
          <w:kern w:val="0"/>
          <w:sz w:val="24"/>
          <w14:textFill>
            <w14:solidFill>
              <w14:schemeClr w14:val="tx1"/>
            </w14:solidFill>
          </w14:textFill>
        </w:rPr>
        <w:t>名单</w:t>
      </w:r>
      <w:r>
        <w:rPr>
          <w:rFonts w:ascii="仿宋" w:hAnsi="仿宋" w:eastAsia="仿宋" w:cs="Arial"/>
          <w:color w:val="000000" w:themeColor="text1"/>
          <w:kern w:val="0"/>
          <w:sz w:val="24"/>
          <w14:textFill>
            <w14:solidFill>
              <w14:schemeClr w14:val="tx1"/>
            </w14:solidFill>
          </w14:textFill>
        </w:rPr>
        <w:t>、重大税收违法案件当事人名单、政府采购严重违法失信行为记录名单</w:t>
      </w:r>
      <w:r>
        <w:rPr>
          <w:rFonts w:hint="eastAsia" w:ascii="仿宋" w:hAnsi="仿宋" w:eastAsia="仿宋" w:cs="Arial"/>
          <w:color w:val="000000" w:themeColor="text1"/>
          <w:kern w:val="0"/>
          <w:sz w:val="24"/>
          <w14:textFill>
            <w14:solidFill>
              <w14:schemeClr w14:val="tx1"/>
            </w14:solidFill>
          </w14:textFill>
        </w:rPr>
        <w:t>（我方的信用信息记录以采购人或采购代理机构统一查询的结果为准）。</w:t>
      </w:r>
    </w:p>
    <w:p w14:paraId="2BA4BA8C">
      <w:pPr>
        <w:autoSpaceDE w:val="0"/>
        <w:autoSpaceDN w:val="0"/>
        <w:spacing w:line="360" w:lineRule="auto"/>
        <w:ind w:firstLine="482" w:firstLineChars="200"/>
        <w:rPr>
          <w:rFonts w:hint="eastAsia"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以上承诺如有虚假或隐瞒，采购人可取消我方任何资格（投标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中标</w:t>
      </w:r>
      <w:r>
        <w:rPr>
          <w:rFonts w:ascii="仿宋" w:hAnsi="仿宋" w:eastAsia="仿宋" w:cs="Arial"/>
          <w:b/>
          <w:color w:val="000000" w:themeColor="text1"/>
          <w:kern w:val="0"/>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签订合同），我方对此无任何异议，并愿意承担一切后果和责任。</w:t>
      </w:r>
    </w:p>
    <w:p w14:paraId="6995657F">
      <w:pPr>
        <w:autoSpaceDE w:val="0"/>
        <w:autoSpaceDN w:val="0"/>
        <w:spacing w:line="360" w:lineRule="auto"/>
        <w:ind w:firstLine="480" w:firstLineChars="200"/>
        <w:rPr>
          <w:rFonts w:hint="eastAsia" w:ascii="仿宋" w:hAnsi="仿宋" w:eastAsia="仿宋" w:cs="Arial"/>
          <w:color w:val="000000" w:themeColor="text1"/>
          <w:kern w:val="0"/>
          <w:sz w:val="24"/>
          <w14:textFill>
            <w14:solidFill>
              <w14:schemeClr w14:val="tx1"/>
            </w14:solidFill>
          </w14:textFill>
        </w:rPr>
      </w:pPr>
      <w:r>
        <w:rPr>
          <w:rFonts w:hint="eastAsia" w:ascii="仿宋" w:hAnsi="仿宋" w:eastAsia="仿宋" w:cs="Arial"/>
          <w:color w:val="000000" w:themeColor="text1"/>
          <w:kern w:val="0"/>
          <w:sz w:val="24"/>
          <w14:textFill>
            <w14:solidFill>
              <w14:schemeClr w14:val="tx1"/>
            </w14:solidFill>
          </w14:textFill>
        </w:rPr>
        <w:t>特此承诺</w:t>
      </w:r>
    </w:p>
    <w:p w14:paraId="2363B4C5">
      <w:pPr>
        <w:autoSpaceDE w:val="0"/>
        <w:autoSpaceDN w:val="0"/>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投标供应商名称（盖章）：__________________________________</w:t>
      </w:r>
    </w:p>
    <w:p w14:paraId="431AB82B">
      <w:pPr>
        <w:autoSpaceDE w:val="0"/>
        <w:autoSpaceDN w:val="0"/>
        <w:spacing w:line="360" w:lineRule="auto"/>
        <w:ind w:firstLine="480" w:firstLineChars="20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日期：________年____月____日</w:t>
      </w:r>
    </w:p>
    <w:p w14:paraId="731811D9">
      <w:pPr>
        <w:pStyle w:val="6"/>
        <w:autoSpaceDE w:val="0"/>
        <w:autoSpaceDN w:val="0"/>
        <w:ind w:firstLine="480"/>
        <w:jc w:val="left"/>
        <w:rPr>
          <w:rFonts w:hint="eastAsia" w:ascii="华文中宋" w:hAnsi="华文中宋" w:cs="华文中宋"/>
          <w:sz w:val="24"/>
          <w:szCs w:val="24"/>
        </w:rPr>
      </w:pPr>
      <w:r>
        <w:rPr>
          <w:rFonts w:hint="eastAsia" w:ascii="华文中宋" w:hAnsi="华文中宋" w:cs="华文中宋"/>
          <w:sz w:val="24"/>
          <w:szCs w:val="24"/>
        </w:rPr>
        <w:t>（2）▲营业执照或其他同类证明文件</w:t>
      </w:r>
    </w:p>
    <w:tbl>
      <w:tblPr>
        <w:tblStyle w:val="5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20"/>
      </w:tblGrid>
      <w:tr w14:paraId="467FDD6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575" w:hRule="atLeast"/>
        </w:trPr>
        <w:tc>
          <w:tcPr>
            <w:tcW w:w="9020" w:type="dxa"/>
            <w:vAlign w:val="center"/>
          </w:tcPr>
          <w:p w14:paraId="7D71B5ED">
            <w:pPr>
              <w:autoSpaceDE w:val="0"/>
              <w:autoSpaceDN w:val="0"/>
              <w:spacing w:before="600" w:beforeLines="250" w:line="360" w:lineRule="auto"/>
              <w:jc w:val="left"/>
              <w:rPr>
                <w:rFonts w:hint="eastAsia" w:ascii="仿宋" w:hAnsi="仿宋" w:eastAsia="仿宋"/>
                <w:b/>
                <w:color w:val="000000"/>
                <w:sz w:val="28"/>
              </w:rPr>
            </w:pPr>
            <w:r>
              <w:rPr>
                <w:rFonts w:hint="eastAsia" w:ascii="仿宋" w:hAnsi="仿宋" w:eastAsia="仿宋"/>
                <w:b/>
                <w:color w:val="000000"/>
                <w:sz w:val="28"/>
              </w:rPr>
              <w:t>证明材料：</w:t>
            </w:r>
            <w:r>
              <w:rPr>
                <w:rFonts w:hint="eastAsia" w:ascii="仿宋" w:hAnsi="仿宋" w:eastAsia="仿宋"/>
                <w:b/>
                <w:color w:val="000000"/>
                <w:sz w:val="28"/>
                <w:u w:val="single"/>
              </w:rPr>
              <w:t>营业执照（或事业单位法人证书或执业许可证或自然人有效身份证明）</w:t>
            </w:r>
            <w:r>
              <w:rPr>
                <w:rFonts w:hint="eastAsia" w:ascii="仿宋" w:hAnsi="仿宋" w:eastAsia="仿宋"/>
                <w:color w:val="000000"/>
                <w:sz w:val="28"/>
              </w:rPr>
              <w:t>（提供扫描件加盖磋商响应供应商公章）</w:t>
            </w:r>
            <w:r>
              <w:rPr>
                <w:rFonts w:hint="eastAsia" w:ascii="仿宋" w:hAnsi="仿宋" w:eastAsia="仿宋"/>
                <w:color w:val="000000"/>
                <w:sz w:val="24"/>
              </w:rPr>
              <w:t>。</w:t>
            </w:r>
          </w:p>
          <w:p w14:paraId="0E5D4E4B">
            <w:pPr>
              <w:autoSpaceDE w:val="0"/>
              <w:autoSpaceDN w:val="0"/>
              <w:spacing w:line="360" w:lineRule="auto"/>
              <w:jc w:val="left"/>
              <w:rPr>
                <w:rFonts w:hint="eastAsia" w:ascii="仿宋" w:hAnsi="仿宋" w:eastAsia="仿宋"/>
                <w:i/>
                <w:color w:val="000000"/>
                <w:sz w:val="24"/>
              </w:rPr>
            </w:pPr>
          </w:p>
          <w:p w14:paraId="2C915D34">
            <w:pPr>
              <w:autoSpaceDE w:val="0"/>
              <w:autoSpaceDN w:val="0"/>
              <w:spacing w:line="360" w:lineRule="auto"/>
              <w:jc w:val="left"/>
              <w:rPr>
                <w:rFonts w:hint="eastAsia" w:ascii="仿宋" w:hAnsi="仿宋" w:eastAsia="仿宋"/>
                <w:b/>
                <w:i/>
                <w:color w:val="000000"/>
                <w:sz w:val="28"/>
              </w:rPr>
            </w:pPr>
            <w:r>
              <w:rPr>
                <w:rFonts w:hint="eastAsia" w:ascii="仿宋" w:hAnsi="仿宋" w:eastAsia="仿宋"/>
                <w:b/>
                <w:i/>
                <w:color w:val="000000"/>
                <w:sz w:val="28"/>
              </w:rPr>
              <w:t>提示和说明：</w:t>
            </w:r>
          </w:p>
          <w:p w14:paraId="5FB15214">
            <w:pPr>
              <w:autoSpaceDE w:val="0"/>
              <w:autoSpaceDN w:val="0"/>
              <w:spacing w:line="360" w:lineRule="auto"/>
              <w:ind w:firstLine="369" w:firstLineChars="132"/>
              <w:jc w:val="left"/>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30A6C054">
            <w:pPr>
              <w:autoSpaceDE w:val="0"/>
              <w:autoSpaceDN w:val="0"/>
              <w:spacing w:line="360" w:lineRule="auto"/>
              <w:ind w:firstLine="422" w:firstLineChars="151"/>
              <w:jc w:val="left"/>
              <w:rPr>
                <w:rFonts w:hint="eastAsia"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082D220C">
            <w:pPr>
              <w:autoSpaceDE w:val="0"/>
              <w:autoSpaceDN w:val="0"/>
              <w:spacing w:line="360" w:lineRule="auto"/>
              <w:ind w:firstLine="424" w:firstLineChars="151"/>
              <w:jc w:val="left"/>
              <w:rPr>
                <w:rFonts w:hint="eastAsia" w:ascii="仿宋" w:hAnsi="仿宋" w:eastAsia="仿宋" w:cs="Arial"/>
                <w:i/>
                <w:color w:val="000000"/>
                <w:kern w:val="0"/>
                <w:sz w:val="24"/>
              </w:rPr>
            </w:pPr>
            <w:r>
              <w:rPr>
                <w:rFonts w:hint="eastAsia" w:ascii="仿宋" w:hAnsi="仿宋" w:eastAsia="仿宋" w:cs="Arial"/>
                <w:b/>
                <w:kern w:val="0"/>
                <w:sz w:val="28"/>
              </w:rPr>
              <w:t>c.联合体、分包承担主体各方均须提供。</w:t>
            </w:r>
          </w:p>
        </w:tc>
      </w:tr>
    </w:tbl>
    <w:p w14:paraId="325EB235">
      <w:pPr>
        <w:autoSpaceDE w:val="0"/>
        <w:autoSpaceDN w:val="0"/>
        <w:rPr>
          <w:rFonts w:hint="eastAsia" w:ascii="华文中宋" w:hAnsi="华文中宋" w:cs="华文中宋"/>
          <w:sz w:val="24"/>
        </w:rPr>
      </w:pPr>
      <w:r>
        <w:rPr>
          <w:rFonts w:hint="eastAsia" w:ascii="华文中宋" w:hAnsi="华文中宋" w:cs="华文中宋"/>
          <w:sz w:val="24"/>
        </w:rPr>
        <w:br w:type="page"/>
      </w:r>
    </w:p>
    <w:p w14:paraId="75E76EA5">
      <w:pPr>
        <w:pStyle w:val="4"/>
        <w:spacing w:before="120" w:after="120"/>
        <w:ind w:firstLine="280"/>
        <w:jc w:val="both"/>
        <w:rPr>
          <w:rFonts w:hint="eastAsia" w:ascii="微软雅黑" w:hAnsi="微软雅黑" w:eastAsia="微软雅黑"/>
          <w:sz w:val="40"/>
          <w:szCs w:val="44"/>
        </w:rPr>
      </w:pPr>
      <w:r>
        <w:rPr>
          <w:rFonts w:hint="eastAsia" w:ascii="华文中宋" w:hAnsi="华文中宋"/>
          <w:bCs/>
          <w:color w:val="000000"/>
          <w:kern w:val="0"/>
          <w:sz w:val="28"/>
          <w:szCs w:val="28"/>
        </w:rPr>
        <w:t>1-2 符合“申请人的资格要求”第2条“落实政府采购政策需满足的资格要求”规定的证明文件</w:t>
      </w:r>
    </w:p>
    <w:p w14:paraId="4A8CB683">
      <w:pPr>
        <w:pStyle w:val="6"/>
        <w:autoSpaceDE w:val="0"/>
        <w:autoSpaceDN w:val="0"/>
        <w:ind w:firstLine="561"/>
        <w:jc w:val="left"/>
        <w:rPr>
          <w:kern w:val="0"/>
        </w:rPr>
      </w:pPr>
      <w:r>
        <w:rPr>
          <w:rFonts w:hint="eastAsia"/>
          <w:kern w:val="0"/>
        </w:rPr>
        <w:t>1-2-1▲中小企业声明函</w:t>
      </w:r>
    </w:p>
    <w:p w14:paraId="1342A220">
      <w:pPr>
        <w:autoSpaceDE w:val="0"/>
        <w:autoSpaceDN w:val="0"/>
        <w:spacing w:line="312" w:lineRule="auto"/>
        <w:jc w:val="center"/>
        <w:rPr>
          <w:rFonts w:hint="eastAsia" w:ascii="微软雅黑" w:hAnsi="微软雅黑" w:eastAsia="微软雅黑"/>
          <w:b/>
          <w:color w:val="000000"/>
          <w:sz w:val="40"/>
          <w:szCs w:val="44"/>
        </w:rPr>
      </w:pPr>
      <w:r>
        <w:rPr>
          <w:rFonts w:hint="eastAsia" w:ascii="微软雅黑" w:hAnsi="微软雅黑" w:eastAsia="微软雅黑"/>
          <w:b/>
          <w:color w:val="000000"/>
          <w:sz w:val="40"/>
          <w:szCs w:val="44"/>
        </w:rPr>
        <w:t>▲中小企业声明函</w:t>
      </w:r>
    </w:p>
    <w:p w14:paraId="7E5253A1">
      <w:pPr>
        <w:pStyle w:val="45"/>
        <w:autoSpaceDE w:val="0"/>
        <w:autoSpaceDN w:val="0"/>
        <w:spacing w:before="60" w:beforeAutospacing="0" w:after="60" w:afterAutospacing="0" w:line="312" w:lineRule="auto"/>
        <w:ind w:firstLine="560" w:firstLineChars="200"/>
        <w:rPr>
          <w:rFonts w:hint="eastAsia" w:ascii="仿宋" w:hAnsi="仿宋" w:eastAsia="仿宋" w:cs="Arial"/>
          <w:color w:val="000000"/>
          <w:sz w:val="28"/>
          <w:szCs w:val="28"/>
        </w:rPr>
      </w:pPr>
      <w:r>
        <w:rPr>
          <w:rFonts w:ascii="仿宋" w:hAnsi="仿宋" w:eastAsia="仿宋" w:cs="Arial"/>
          <w:color w:val="000000"/>
          <w:sz w:val="28"/>
          <w:szCs w:val="28"/>
        </w:rPr>
        <w:t>本公司郑重声明，根据《政府采购促进中小企业发展管理办法》（财库</w:t>
      </w:r>
      <w:r>
        <w:rPr>
          <w:rFonts w:hint="eastAsia" w:ascii="仿宋" w:hAnsi="仿宋" w:eastAsia="仿宋" w:cs="Arial"/>
          <w:color w:val="000000"/>
          <w:sz w:val="28"/>
          <w:szCs w:val="28"/>
        </w:rPr>
        <w:t>﹝</w:t>
      </w:r>
      <w:r>
        <w:rPr>
          <w:rFonts w:ascii="仿宋" w:hAnsi="仿宋" w:eastAsia="仿宋" w:cs="Arial"/>
          <w:color w:val="000000"/>
          <w:sz w:val="28"/>
          <w:szCs w:val="28"/>
        </w:rPr>
        <w:t>2020</w:t>
      </w:r>
      <w:r>
        <w:rPr>
          <w:rFonts w:hint="eastAsia" w:ascii="仿宋" w:hAnsi="仿宋" w:eastAsia="仿宋" w:cs="Arial"/>
          <w:color w:val="000000"/>
          <w:sz w:val="28"/>
          <w:szCs w:val="28"/>
        </w:rPr>
        <w:t>﹞</w:t>
      </w:r>
      <w:r>
        <w:rPr>
          <w:rFonts w:ascii="仿宋" w:hAnsi="仿宋" w:eastAsia="仿宋" w:cs="Arial"/>
          <w:color w:val="000000"/>
          <w:sz w:val="28"/>
          <w:szCs w:val="28"/>
        </w:rPr>
        <w:t>46 号）的规定，本公司参加</w:t>
      </w:r>
      <w:r>
        <w:rPr>
          <w:rFonts w:hint="eastAsia" w:ascii="仿宋" w:hAnsi="仿宋" w:eastAsia="仿宋" w:cs="Arial"/>
          <w:b/>
          <w:bCs/>
          <w:color w:val="000000"/>
          <w:sz w:val="28"/>
          <w:szCs w:val="28"/>
          <w:u w:val="single"/>
        </w:rPr>
        <w:t>浙江工商大学</w:t>
      </w:r>
      <w:r>
        <w:rPr>
          <w:rFonts w:hint="eastAsia" w:ascii="仿宋" w:hAnsi="仿宋" w:eastAsia="仿宋" w:cs="Arial"/>
          <w:color w:val="000000"/>
          <w:sz w:val="28"/>
          <w:szCs w:val="28"/>
        </w:rPr>
        <w:t>的</w:t>
      </w:r>
      <w:r>
        <w:rPr>
          <w:rFonts w:hint="eastAsia" w:ascii="仿宋" w:hAnsi="仿宋" w:eastAsia="仿宋" w:cs="Arial"/>
          <w:b/>
          <w:bCs/>
          <w:color w:val="000000"/>
          <w:sz w:val="28"/>
          <w:szCs w:val="28"/>
          <w:u w:val="single"/>
          <w:lang w:eastAsia="zh-CN"/>
        </w:rPr>
        <w:t>浙江工商大学教工路校区学生宿舍建设工程附属配电房移位改造工程（EPC）</w:t>
      </w:r>
      <w:r>
        <w:rPr>
          <w:rFonts w:ascii="仿宋" w:hAnsi="仿宋" w:eastAsia="仿宋" w:cs="Arial"/>
          <w:color w:val="000000"/>
          <w:sz w:val="28"/>
          <w:szCs w:val="28"/>
        </w:rPr>
        <w:t>采购活动，工程的施工单位全部为符合政策要求的中小企业。企业具体情况如下：</w:t>
      </w:r>
    </w:p>
    <w:p w14:paraId="375F358F">
      <w:pPr>
        <w:pStyle w:val="45"/>
        <w:autoSpaceDE w:val="0"/>
        <w:autoSpaceDN w:val="0"/>
        <w:spacing w:before="60" w:beforeAutospacing="0" w:after="60" w:afterAutospacing="0" w:line="312" w:lineRule="auto"/>
        <w:ind w:firstLine="373"/>
        <w:rPr>
          <w:rFonts w:hint="eastAsia" w:ascii="仿宋" w:hAnsi="仿宋" w:eastAsia="仿宋" w:cs="宋体"/>
          <w:color w:val="000000"/>
          <w:sz w:val="28"/>
          <w:szCs w:val="28"/>
        </w:rPr>
      </w:pPr>
      <w:r>
        <w:rPr>
          <w:rFonts w:hint="eastAsia" w:ascii="仿宋" w:hAnsi="仿宋" w:eastAsia="仿宋" w:cs="宋体"/>
          <w:color w:val="000000"/>
          <w:sz w:val="28"/>
          <w:szCs w:val="28"/>
        </w:rPr>
        <w:t>1.</w:t>
      </w:r>
      <w:r>
        <w:rPr>
          <w:rFonts w:hint="eastAsia" w:ascii="仿宋" w:hAnsi="仿宋" w:eastAsia="仿宋" w:cs="宋体"/>
          <w:b/>
          <w:bCs/>
          <w:i/>
          <w:iCs/>
          <w:color w:val="000000"/>
          <w:sz w:val="28"/>
          <w:szCs w:val="28"/>
          <w:u w:val="single"/>
          <w:lang w:eastAsia="zh-CN"/>
        </w:rPr>
        <w:t>浙江工商大学教工路校区学生宿舍建设工程附属配电房移位改造工程（EPC）</w:t>
      </w:r>
      <w:r>
        <w:rPr>
          <w:rFonts w:hint="eastAsia" w:ascii="仿宋" w:hAnsi="仿宋" w:eastAsia="仿宋" w:cs="宋体"/>
          <w:color w:val="000000"/>
          <w:sz w:val="28"/>
          <w:szCs w:val="28"/>
        </w:rPr>
        <w:t>，属于</w:t>
      </w:r>
      <w:r>
        <w:rPr>
          <w:rFonts w:hint="eastAsia" w:ascii="仿宋" w:hAnsi="仿宋" w:eastAsia="仿宋" w:cs="宋体"/>
          <w:b/>
          <w:bCs/>
          <w:i/>
          <w:iCs/>
          <w:color w:val="000000"/>
          <w:sz w:val="28"/>
          <w:szCs w:val="28"/>
          <w:u w:val="single"/>
        </w:rPr>
        <w:t>建筑业</w:t>
      </w:r>
      <w:r>
        <w:rPr>
          <w:rFonts w:hint="eastAsia" w:ascii="仿宋" w:hAnsi="仿宋" w:eastAsia="仿宋" w:cs="宋体"/>
          <w:color w:val="000000"/>
          <w:sz w:val="28"/>
          <w:szCs w:val="28"/>
        </w:rPr>
        <w:t>；承建（承接）企业为</w:t>
      </w:r>
      <w:r>
        <w:rPr>
          <w:rFonts w:hint="eastAsia" w:ascii="仿宋" w:hAnsi="仿宋" w:eastAsia="仿宋" w:cs="宋体"/>
          <w:i/>
          <w:iCs/>
          <w:color w:val="000000"/>
          <w:sz w:val="28"/>
          <w:szCs w:val="28"/>
          <w:u w:val="single"/>
        </w:rPr>
        <w:t>（企业名称）</w:t>
      </w:r>
      <w:r>
        <w:rPr>
          <w:rFonts w:hint="eastAsia" w:ascii="仿宋" w:hAnsi="仿宋" w:eastAsia="仿宋" w:cs="宋体"/>
          <w:color w:val="000000"/>
          <w:sz w:val="28"/>
          <w:szCs w:val="28"/>
        </w:rPr>
        <w:t>，从业人员</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人，营业收入为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万元，资产总额为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万元，属于</w:t>
      </w:r>
      <w:r>
        <w:rPr>
          <w:rFonts w:hint="eastAsia" w:ascii="仿宋" w:hAnsi="仿宋" w:eastAsia="仿宋" w:cs="宋体"/>
          <w:i/>
          <w:iCs/>
          <w:color w:val="000000"/>
          <w:sz w:val="28"/>
          <w:szCs w:val="28"/>
          <w:u w:val="single"/>
        </w:rPr>
        <w:t>（中型企业、小型企业、微型企业）</w:t>
      </w:r>
      <w:r>
        <w:rPr>
          <w:rFonts w:hint="eastAsia" w:ascii="仿宋" w:hAnsi="仿宋" w:eastAsia="仿宋" w:cs="宋体"/>
          <w:color w:val="000000"/>
          <w:sz w:val="28"/>
          <w:szCs w:val="28"/>
        </w:rPr>
        <w:t>；</w:t>
      </w:r>
    </w:p>
    <w:p w14:paraId="5A968258">
      <w:pPr>
        <w:pStyle w:val="45"/>
        <w:autoSpaceDE w:val="0"/>
        <w:autoSpaceDN w:val="0"/>
        <w:spacing w:before="60" w:beforeAutospacing="0" w:after="60" w:afterAutospacing="0" w:line="312" w:lineRule="auto"/>
        <w:ind w:firstLine="373"/>
        <w:rPr>
          <w:rFonts w:hint="eastAsia" w:ascii="仿宋" w:hAnsi="仿宋" w:eastAsia="仿宋" w:cs="宋体"/>
          <w:color w:val="000000"/>
          <w:sz w:val="28"/>
          <w:szCs w:val="28"/>
        </w:rPr>
      </w:pPr>
      <w:r>
        <w:rPr>
          <w:rFonts w:hint="eastAsia" w:ascii="仿宋" w:hAnsi="仿宋" w:eastAsia="仿宋" w:cs="宋体"/>
          <w:color w:val="000000"/>
          <w:sz w:val="28"/>
          <w:szCs w:val="28"/>
        </w:rPr>
        <w:t>2</w:t>
      </w:r>
      <w:r>
        <w:rPr>
          <w:rFonts w:ascii="仿宋" w:hAnsi="仿宋" w:eastAsia="仿宋" w:cs="宋体"/>
          <w:color w:val="000000"/>
          <w:sz w:val="28"/>
          <w:szCs w:val="28"/>
        </w:rPr>
        <w:t>.</w:t>
      </w:r>
      <w:r>
        <w:rPr>
          <w:rFonts w:hint="eastAsia" w:ascii="仿宋" w:hAnsi="仿宋" w:eastAsia="仿宋" w:cs="宋体"/>
          <w:b/>
          <w:bCs/>
          <w:i/>
          <w:iCs/>
          <w:color w:val="000000"/>
          <w:sz w:val="28"/>
          <w:szCs w:val="28"/>
          <w:u w:val="single"/>
        </w:rPr>
        <w:t>（标的名称）</w:t>
      </w:r>
      <w:r>
        <w:rPr>
          <w:rFonts w:hint="eastAsia" w:ascii="仿宋" w:hAnsi="仿宋" w:eastAsia="仿宋" w:cs="宋体"/>
          <w:color w:val="000000"/>
          <w:sz w:val="28"/>
          <w:szCs w:val="28"/>
        </w:rPr>
        <w:t>，属于</w:t>
      </w:r>
      <w:r>
        <w:rPr>
          <w:rFonts w:hint="eastAsia" w:ascii="仿宋" w:hAnsi="仿宋" w:eastAsia="仿宋" w:cs="宋体"/>
          <w:b/>
          <w:bCs/>
          <w:i/>
          <w:iCs/>
          <w:color w:val="000000"/>
          <w:sz w:val="28"/>
          <w:szCs w:val="28"/>
          <w:u w:val="single"/>
        </w:rPr>
        <w:t>建筑业</w:t>
      </w:r>
      <w:r>
        <w:rPr>
          <w:rFonts w:hint="eastAsia" w:ascii="仿宋" w:hAnsi="仿宋" w:eastAsia="仿宋" w:cs="宋体"/>
          <w:color w:val="000000"/>
          <w:sz w:val="28"/>
          <w:szCs w:val="28"/>
        </w:rPr>
        <w:t>；承建（承接）企业为</w:t>
      </w:r>
      <w:r>
        <w:rPr>
          <w:rFonts w:hint="eastAsia" w:ascii="仿宋" w:hAnsi="仿宋" w:eastAsia="仿宋" w:cs="宋体"/>
          <w:i/>
          <w:iCs/>
          <w:color w:val="000000"/>
          <w:sz w:val="28"/>
          <w:szCs w:val="28"/>
          <w:u w:val="single"/>
        </w:rPr>
        <w:t>（企业名称）</w:t>
      </w:r>
      <w:r>
        <w:rPr>
          <w:rFonts w:hint="eastAsia" w:ascii="仿宋" w:hAnsi="仿宋" w:eastAsia="仿宋" w:cs="宋体"/>
          <w:color w:val="000000"/>
          <w:sz w:val="28"/>
          <w:szCs w:val="28"/>
        </w:rPr>
        <w:t>，从业人员</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人，营业收入为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万元，资产总额为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万元，属于</w:t>
      </w:r>
      <w:r>
        <w:rPr>
          <w:rFonts w:hint="eastAsia" w:ascii="仿宋" w:hAnsi="仿宋" w:eastAsia="仿宋" w:cs="宋体"/>
          <w:i/>
          <w:iCs/>
          <w:color w:val="000000"/>
          <w:sz w:val="28"/>
          <w:szCs w:val="28"/>
          <w:u w:val="single"/>
        </w:rPr>
        <w:t>（中型企业、小型企业、微型企业）</w:t>
      </w:r>
      <w:r>
        <w:rPr>
          <w:rFonts w:hint="eastAsia" w:ascii="仿宋" w:hAnsi="仿宋" w:eastAsia="仿宋" w:cs="宋体"/>
          <w:color w:val="000000"/>
          <w:sz w:val="28"/>
          <w:szCs w:val="28"/>
        </w:rPr>
        <w:t>；</w:t>
      </w:r>
    </w:p>
    <w:p w14:paraId="5B134A2D">
      <w:pPr>
        <w:pStyle w:val="45"/>
        <w:autoSpaceDE w:val="0"/>
        <w:autoSpaceDN w:val="0"/>
        <w:spacing w:before="60" w:beforeAutospacing="0" w:after="60" w:afterAutospacing="0" w:line="312" w:lineRule="auto"/>
        <w:rPr>
          <w:rFonts w:hint="eastAsia" w:ascii="仿宋" w:hAnsi="仿宋" w:eastAsia="仿宋" w:cs="宋体"/>
          <w:color w:val="000000"/>
          <w:sz w:val="28"/>
          <w:szCs w:val="28"/>
        </w:rPr>
      </w:pPr>
      <w:r>
        <w:rPr>
          <w:rFonts w:hint="eastAsia" w:ascii="仿宋" w:hAnsi="仿宋" w:eastAsia="仿宋" w:cs="宋体"/>
          <w:color w:val="000000"/>
          <w:sz w:val="28"/>
          <w:szCs w:val="28"/>
        </w:rPr>
        <w:t>........</w:t>
      </w:r>
    </w:p>
    <w:p w14:paraId="0E1182E2">
      <w:pPr>
        <w:autoSpaceDE w:val="0"/>
        <w:autoSpaceDN w:val="0"/>
        <w:spacing w:line="360" w:lineRule="auto"/>
        <w:ind w:firstLine="565" w:firstLineChars="202"/>
        <w:jc w:val="left"/>
        <w:rPr>
          <w:rFonts w:hint="eastAsia" w:ascii="仿宋" w:hAnsi="仿宋" w:eastAsia="仿宋" w:cs="Arial"/>
          <w:color w:val="000000"/>
          <w:kern w:val="0"/>
          <w:sz w:val="28"/>
          <w:szCs w:val="28"/>
        </w:rPr>
      </w:pPr>
      <w:r>
        <w:rPr>
          <w:rFonts w:ascii="仿宋" w:hAnsi="仿宋" w:eastAsia="仿宋" w:cs="Arial"/>
          <w:color w:val="000000"/>
          <w:kern w:val="0"/>
          <w:sz w:val="28"/>
          <w:szCs w:val="28"/>
        </w:rPr>
        <w:t>以上企业，不属于大企业的分支机构，不存在控股股东为大企业的情形，也不存在与大企业的负责人为同一人的情形。</w:t>
      </w:r>
    </w:p>
    <w:p w14:paraId="50D6C61B">
      <w:pPr>
        <w:autoSpaceDE w:val="0"/>
        <w:autoSpaceDN w:val="0"/>
        <w:spacing w:line="360" w:lineRule="auto"/>
        <w:ind w:firstLine="565" w:firstLineChars="202"/>
        <w:jc w:val="left"/>
        <w:rPr>
          <w:rFonts w:hint="eastAsia" w:ascii="仿宋" w:hAnsi="仿宋" w:eastAsia="仿宋" w:cs="Arial"/>
          <w:color w:val="000000"/>
          <w:kern w:val="0"/>
          <w:sz w:val="28"/>
          <w:szCs w:val="28"/>
        </w:rPr>
      </w:pPr>
      <w:r>
        <w:rPr>
          <w:rFonts w:ascii="仿宋" w:hAnsi="仿宋" w:eastAsia="仿宋" w:cs="Arial"/>
          <w:color w:val="000000"/>
          <w:kern w:val="0"/>
          <w:sz w:val="28"/>
          <w:szCs w:val="28"/>
        </w:rPr>
        <w:t>本企业对上述声明内容的真实性负责。如有虚假，将依法承担相应责任。</w:t>
      </w:r>
    </w:p>
    <w:p w14:paraId="5A7AE7E1">
      <w:pPr>
        <w:autoSpaceDE w:val="0"/>
        <w:autoSpaceDN w:val="0"/>
        <w:spacing w:line="360" w:lineRule="auto"/>
        <w:ind w:left="3570" w:leftChars="1700" w:firstLine="565" w:firstLineChars="202"/>
        <w:jc w:val="left"/>
        <w:rPr>
          <w:rFonts w:hint="eastAsia" w:ascii="仿宋" w:hAnsi="仿宋" w:eastAsia="仿宋" w:cs="Arial"/>
          <w:color w:val="000000"/>
          <w:kern w:val="0"/>
          <w:sz w:val="28"/>
          <w:szCs w:val="28"/>
        </w:rPr>
      </w:pPr>
      <w:r>
        <w:rPr>
          <w:rFonts w:ascii="仿宋" w:hAnsi="仿宋" w:eastAsia="仿宋" w:cs="Arial"/>
          <w:color w:val="000000"/>
          <w:kern w:val="0"/>
          <w:sz w:val="28"/>
          <w:szCs w:val="28"/>
        </w:rPr>
        <w:t>企业名称（盖章）：</w:t>
      </w:r>
    </w:p>
    <w:p w14:paraId="381E760F">
      <w:pPr>
        <w:autoSpaceDE w:val="0"/>
        <w:autoSpaceDN w:val="0"/>
        <w:spacing w:line="360" w:lineRule="auto"/>
        <w:ind w:left="3570" w:leftChars="1700" w:firstLine="565" w:firstLineChars="202"/>
        <w:jc w:val="left"/>
        <w:rPr>
          <w:rFonts w:hint="eastAsia" w:ascii="仿宋" w:hAnsi="仿宋" w:eastAsia="仿宋" w:cs="Arial"/>
          <w:color w:val="000000"/>
          <w:kern w:val="0"/>
          <w:sz w:val="28"/>
          <w:szCs w:val="28"/>
        </w:rPr>
      </w:pPr>
      <w:r>
        <w:rPr>
          <w:rFonts w:ascii="仿宋" w:hAnsi="仿宋" w:eastAsia="仿宋" w:cs="Arial"/>
          <w:color w:val="000000"/>
          <w:kern w:val="0"/>
          <w:sz w:val="28"/>
          <w:szCs w:val="28"/>
        </w:rPr>
        <w:t>日期：</w:t>
      </w:r>
    </w:p>
    <w:p w14:paraId="03A3F6B1">
      <w:pPr>
        <w:pStyle w:val="21"/>
        <w:rPr>
          <w:rFonts w:hint="eastAsia" w:ascii="仿宋" w:hAnsi="仿宋" w:eastAsia="仿宋" w:cs="仿宋"/>
          <w:b/>
          <w:bCs/>
        </w:rPr>
      </w:pPr>
      <w:r>
        <w:rPr>
          <w:rFonts w:hint="eastAsia" w:ascii="仿宋" w:hAnsi="仿宋" w:eastAsia="仿宋" w:cs="仿宋"/>
          <w:b/>
          <w:bCs/>
        </w:rPr>
        <w:t>备注：1、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2、从业人员、营业收入、资产总额填报上一年度数据，无上一年度数据的新成立企业可不填报。</w:t>
      </w:r>
    </w:p>
    <w:p w14:paraId="443BA497">
      <w:pPr>
        <w:pStyle w:val="21"/>
        <w:ind w:firstLine="0"/>
        <w:rPr>
          <w:highlight w:val="yellow"/>
        </w:rPr>
      </w:pPr>
    </w:p>
    <w:p w14:paraId="3F2608DA">
      <w:pPr>
        <w:pStyle w:val="6"/>
        <w:autoSpaceDE w:val="0"/>
        <w:autoSpaceDN w:val="0"/>
        <w:ind w:firstLine="0" w:firstLineChars="0"/>
        <w:jc w:val="left"/>
      </w:pPr>
      <w:r>
        <w:rPr>
          <w:rFonts w:hint="eastAsia" w:ascii="华文中宋" w:hAnsi="华文中宋"/>
          <w:color w:val="000000"/>
        </w:rPr>
        <w:t>（1）残疾人福利性单位声明函（如是）</w:t>
      </w:r>
    </w:p>
    <w:p w14:paraId="312E5E6D">
      <w:pPr>
        <w:autoSpaceDE w:val="0"/>
        <w:autoSpaceDN w:val="0"/>
        <w:spacing w:before="240" w:line="360" w:lineRule="auto"/>
        <w:jc w:val="center"/>
        <w:rPr>
          <w:rFonts w:ascii="仿宋_GB2312" w:eastAsia="仿宋_GB2312"/>
          <w:b/>
          <w:color w:val="000000"/>
          <w:spacing w:val="6"/>
          <w:sz w:val="32"/>
          <w:szCs w:val="32"/>
        </w:rPr>
      </w:pPr>
      <w:r>
        <w:rPr>
          <w:rFonts w:hint="eastAsia" w:ascii="微软雅黑" w:hAnsi="微软雅黑" w:eastAsia="微软雅黑"/>
          <w:b/>
          <w:color w:val="000000"/>
          <w:sz w:val="40"/>
          <w:szCs w:val="44"/>
        </w:rPr>
        <w:t>残疾人福利性单位声明函</w:t>
      </w:r>
    </w:p>
    <w:p w14:paraId="5AE93D29">
      <w:pPr>
        <w:autoSpaceDE w:val="0"/>
        <w:autoSpaceDN w:val="0"/>
        <w:spacing w:line="360" w:lineRule="auto"/>
        <w:ind w:firstLine="584" w:firstLineChars="200"/>
        <w:rPr>
          <w:rFonts w:hint="eastAsia" w:ascii="仿宋" w:hAnsi="仿宋" w:eastAsia="仿宋"/>
          <w:color w:val="000000"/>
          <w:spacing w:val="6"/>
          <w:sz w:val="28"/>
        </w:rPr>
      </w:pPr>
      <w:r>
        <w:rPr>
          <w:rFonts w:hint="eastAsia" w:ascii="仿宋" w:hAnsi="仿宋" w:eastAsia="仿宋"/>
          <w:color w:val="000000"/>
          <w:spacing w:val="6"/>
          <w:sz w:val="28"/>
        </w:rPr>
        <w:t>本单位郑重声明，根据《财政部</w:t>
      </w:r>
      <w:r>
        <w:rPr>
          <w:rFonts w:ascii="仿宋" w:hAnsi="仿宋" w:eastAsia="仿宋"/>
          <w:color w:val="000000"/>
          <w:spacing w:val="6"/>
          <w:sz w:val="28"/>
        </w:rPr>
        <w:t xml:space="preserve"> </w:t>
      </w:r>
      <w:r>
        <w:rPr>
          <w:rFonts w:hint="eastAsia" w:ascii="仿宋" w:hAnsi="仿宋" w:eastAsia="仿宋"/>
          <w:color w:val="000000"/>
          <w:spacing w:val="6"/>
          <w:sz w:val="28"/>
        </w:rPr>
        <w:t>民政部</w:t>
      </w:r>
      <w:r>
        <w:rPr>
          <w:rFonts w:ascii="仿宋" w:hAnsi="仿宋" w:eastAsia="仿宋"/>
          <w:color w:val="000000"/>
          <w:spacing w:val="6"/>
          <w:sz w:val="28"/>
        </w:rPr>
        <w:t xml:space="preserve"> </w:t>
      </w:r>
      <w:r>
        <w:rPr>
          <w:rFonts w:hint="eastAsia" w:ascii="仿宋" w:hAnsi="仿宋" w:eastAsia="仿宋"/>
          <w:color w:val="000000"/>
          <w:spacing w:val="6"/>
          <w:sz w:val="28"/>
        </w:rPr>
        <w:t>中国残疾人联合会关于促进残疾人就业政府采购政策的通知》（财库</w:t>
      </w:r>
      <w:r>
        <w:rPr>
          <w:rFonts w:hint="eastAsia" w:ascii="仿宋" w:hAnsi="仿宋" w:eastAsia="仿宋"/>
          <w:color w:val="000000"/>
          <w:sz w:val="28"/>
        </w:rPr>
        <w:t>〔</w:t>
      </w:r>
      <w:r>
        <w:rPr>
          <w:rFonts w:ascii="仿宋" w:hAnsi="仿宋" w:eastAsia="仿宋"/>
          <w:color w:val="000000"/>
          <w:sz w:val="28"/>
        </w:rPr>
        <w:t>2017</w:t>
      </w:r>
      <w:r>
        <w:rPr>
          <w:rFonts w:hint="eastAsia" w:ascii="仿宋" w:hAnsi="仿宋" w:eastAsia="仿宋"/>
          <w:color w:val="000000"/>
          <w:sz w:val="28"/>
        </w:rPr>
        <w:t>〕</w:t>
      </w:r>
      <w:r>
        <w:rPr>
          <w:rFonts w:ascii="仿宋" w:hAnsi="仿宋" w:eastAsia="仿宋"/>
          <w:color w:val="000000"/>
          <w:sz w:val="28"/>
        </w:rPr>
        <w:t>141</w:t>
      </w:r>
      <w:r>
        <w:rPr>
          <w:rFonts w:hint="eastAsia" w:ascii="仿宋" w:hAnsi="仿宋" w:eastAsia="仿宋"/>
          <w:color w:val="000000"/>
          <w:spacing w:val="6"/>
          <w:sz w:val="28"/>
        </w:rPr>
        <w:t>号）的规定，本单位为符合条件的残疾人福利性单位，且本单位参加</w:t>
      </w:r>
      <w:r>
        <w:rPr>
          <w:rFonts w:hint="eastAsia" w:ascii="仿宋" w:hAnsi="仿宋" w:eastAsia="仿宋" w:cs="宋体"/>
          <w:b/>
          <w:bCs/>
          <w:color w:val="000000"/>
          <w:kern w:val="0"/>
          <w:sz w:val="28"/>
          <w:szCs w:val="28"/>
          <w:u w:val="single"/>
          <w:lang w:eastAsia="zh-CN"/>
        </w:rPr>
        <w:t>浙江工商大学教工路校区学生宿舍建设工程附属配电房移位改造工程（EPC）</w:t>
      </w:r>
      <w:r>
        <w:rPr>
          <w:rFonts w:hint="eastAsia" w:ascii="仿宋" w:hAnsi="仿宋" w:eastAsia="仿宋" w:cs="宋体"/>
          <w:b/>
          <w:bCs/>
          <w:color w:val="000000"/>
          <w:kern w:val="0"/>
          <w:sz w:val="28"/>
          <w:szCs w:val="28"/>
          <w:u w:val="single"/>
        </w:rPr>
        <w:t>（项目编号：</w:t>
      </w:r>
      <w:r>
        <w:rPr>
          <w:rFonts w:hint="eastAsia" w:ascii="仿宋" w:hAnsi="仿宋" w:eastAsia="仿宋" w:cs="宋体"/>
          <w:b/>
          <w:bCs/>
          <w:color w:val="000000"/>
          <w:kern w:val="0"/>
          <w:sz w:val="28"/>
          <w:szCs w:val="28"/>
          <w:u w:val="single"/>
          <w:lang w:eastAsia="zh-CN"/>
        </w:rPr>
        <w:t>CTZB-2025050222</w:t>
      </w:r>
      <w:r>
        <w:rPr>
          <w:rFonts w:hint="eastAsia" w:ascii="仿宋" w:hAnsi="仿宋" w:eastAsia="仿宋" w:cs="宋体"/>
          <w:b/>
          <w:bCs/>
          <w:color w:val="000000"/>
          <w:kern w:val="0"/>
          <w:sz w:val="28"/>
          <w:szCs w:val="28"/>
          <w:u w:val="single"/>
        </w:rPr>
        <w:t>）</w:t>
      </w:r>
      <w:r>
        <w:rPr>
          <w:rFonts w:hint="eastAsia" w:ascii="仿宋" w:hAnsi="仿宋" w:eastAsia="仿宋"/>
          <w:color w:val="000000"/>
          <w:spacing w:val="6"/>
          <w:sz w:val="28"/>
        </w:rPr>
        <w:t>的采购活动，由本单位承担工程。</w:t>
      </w:r>
    </w:p>
    <w:p w14:paraId="40DC2543">
      <w:pPr>
        <w:autoSpaceDE w:val="0"/>
        <w:autoSpaceDN w:val="0"/>
        <w:spacing w:line="360" w:lineRule="auto"/>
        <w:ind w:firstLine="584" w:firstLineChars="200"/>
        <w:rPr>
          <w:rFonts w:hint="eastAsia" w:ascii="仿宋" w:hAnsi="仿宋" w:eastAsia="仿宋"/>
          <w:color w:val="000000"/>
          <w:spacing w:val="6"/>
          <w:sz w:val="28"/>
        </w:rPr>
      </w:pPr>
      <w:r>
        <w:rPr>
          <w:rFonts w:hint="eastAsia" w:ascii="仿宋" w:hAnsi="仿宋" w:eastAsia="仿宋"/>
          <w:color w:val="000000"/>
          <w:spacing w:val="6"/>
          <w:sz w:val="28"/>
        </w:rPr>
        <w:t>本单位对上述声明的真实性负责。如有虚假，将依法承担相应责任。</w:t>
      </w:r>
    </w:p>
    <w:p w14:paraId="588E4D3C">
      <w:pPr>
        <w:pStyle w:val="21"/>
      </w:pPr>
    </w:p>
    <w:p w14:paraId="6635E517">
      <w:pPr>
        <w:autoSpaceDE w:val="0"/>
        <w:autoSpaceDN w:val="0"/>
        <w:spacing w:line="360" w:lineRule="auto"/>
        <w:ind w:firstLine="504" w:firstLineChars="200"/>
        <w:rPr>
          <w:rFonts w:hint="eastAsia" w:ascii="仿宋" w:hAnsi="仿宋" w:eastAsia="仿宋"/>
          <w:color w:val="000000"/>
          <w:spacing w:val="6"/>
          <w:sz w:val="24"/>
        </w:rPr>
      </w:pPr>
    </w:p>
    <w:p w14:paraId="3CA28B95">
      <w:pPr>
        <w:autoSpaceDE w:val="0"/>
        <w:autoSpaceDN w:val="0"/>
        <w:spacing w:line="360" w:lineRule="auto"/>
        <w:ind w:firstLine="504" w:firstLineChars="200"/>
        <w:rPr>
          <w:rFonts w:hint="eastAsia" w:ascii="仿宋" w:hAnsi="仿宋" w:eastAsia="仿宋"/>
          <w:color w:val="000000"/>
          <w:spacing w:val="6"/>
          <w:sz w:val="24"/>
        </w:rPr>
      </w:pPr>
    </w:p>
    <w:p w14:paraId="42D1A001">
      <w:pPr>
        <w:tabs>
          <w:tab w:val="left" w:pos="4860"/>
        </w:tabs>
        <w:autoSpaceDE w:val="0"/>
        <w:autoSpaceDN w:val="0"/>
        <w:spacing w:line="360" w:lineRule="auto"/>
        <w:ind w:right="1560"/>
        <w:jc w:val="left"/>
        <w:rPr>
          <w:rFonts w:hint="eastAsia" w:ascii="仿宋" w:hAnsi="仿宋" w:eastAsia="仿宋"/>
          <w:color w:val="000000"/>
          <w:spacing w:val="6"/>
          <w:sz w:val="28"/>
        </w:rPr>
      </w:pPr>
      <w:r>
        <w:rPr>
          <w:rFonts w:hint="eastAsia" w:ascii="仿宋" w:hAnsi="仿宋" w:eastAsia="仿宋"/>
          <w:color w:val="000000"/>
          <w:spacing w:val="6"/>
          <w:sz w:val="28"/>
        </w:rPr>
        <w:t>单位名称（盖章）：</w:t>
      </w:r>
      <w:r>
        <w:rPr>
          <w:rFonts w:ascii="仿宋" w:hAnsi="仿宋" w:eastAsia="仿宋" w:cs="Arial"/>
          <w:color w:val="000000"/>
          <w:w w:val="90"/>
          <w:kern w:val="0"/>
          <w:sz w:val="28"/>
        </w:rPr>
        <w:t>__________________________________</w:t>
      </w:r>
    </w:p>
    <w:p w14:paraId="7EF42E23">
      <w:pPr>
        <w:autoSpaceDE w:val="0"/>
        <w:autoSpaceDN w:val="0"/>
        <w:spacing w:line="360" w:lineRule="auto"/>
        <w:rPr>
          <w:rFonts w:hint="eastAsia" w:ascii="仿宋" w:hAnsi="仿宋" w:eastAsia="仿宋" w:cs="Arial"/>
          <w:color w:val="000000"/>
          <w:w w:val="90"/>
          <w:kern w:val="0"/>
          <w:sz w:val="28"/>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14:paraId="789AE481">
      <w:pPr>
        <w:autoSpaceDE w:val="0"/>
        <w:autoSpaceDN w:val="0"/>
        <w:spacing w:line="360" w:lineRule="auto"/>
        <w:ind w:firstLine="426" w:firstLineChars="177"/>
        <w:rPr>
          <w:rFonts w:hint="eastAsia" w:ascii="仿宋" w:hAnsi="仿宋" w:eastAsia="仿宋"/>
          <w:b/>
          <w:sz w:val="24"/>
          <w:szCs w:val="20"/>
        </w:rPr>
      </w:pPr>
      <w:r>
        <w:rPr>
          <w:rFonts w:hint="eastAsia" w:ascii="仿宋" w:hAnsi="仿宋" w:eastAsia="仿宋"/>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14:paraId="693D295D">
      <w:pPr>
        <w:autoSpaceDE w:val="0"/>
        <w:autoSpaceDN w:val="0"/>
        <w:spacing w:line="360" w:lineRule="auto"/>
        <w:ind w:firstLine="482" w:firstLineChars="200"/>
        <w:rPr>
          <w:rFonts w:hint="eastAsia" w:ascii="仿宋" w:hAnsi="仿宋" w:eastAsia="仿宋"/>
          <w:b/>
          <w:bCs/>
          <w:color w:val="000000"/>
          <w:sz w:val="24"/>
          <w:szCs w:val="20"/>
        </w:rPr>
      </w:pPr>
      <w:r>
        <w:rPr>
          <w:rFonts w:hint="eastAsia" w:ascii="仿宋" w:hAnsi="仿宋" w:eastAsia="仿宋"/>
          <w:b/>
          <w:bCs/>
          <w:color w:val="000000"/>
          <w:sz w:val="24"/>
          <w:szCs w:val="20"/>
        </w:rPr>
        <w:t>（2）残疾人福利性单位证明材料：残疾人福利性单位声明函，如提供其他残疾人福利性单位制造的货物，还须同时提供该企业的残疾人福利性单位声明函。</w:t>
      </w:r>
    </w:p>
    <w:p w14:paraId="6A68C267">
      <w:pPr>
        <w:pStyle w:val="6"/>
        <w:autoSpaceDE w:val="0"/>
        <w:autoSpaceDN w:val="0"/>
        <w:ind w:firstLine="0" w:firstLineChars="0"/>
        <w:jc w:val="left"/>
        <w:rPr>
          <w:rFonts w:hint="eastAsia" w:ascii="华文中宋" w:hAnsi="华文中宋"/>
          <w:color w:val="000000"/>
        </w:rPr>
      </w:pPr>
      <w:r>
        <w:rPr>
          <w:rFonts w:hint="eastAsia" w:ascii="华文中宋" w:hAnsi="华文中宋"/>
          <w:color w:val="000000"/>
        </w:rPr>
        <w:br w:type="page"/>
      </w:r>
      <w:r>
        <w:rPr>
          <w:rFonts w:hint="eastAsia" w:ascii="华文中宋" w:hAnsi="华文中宋"/>
          <w:color w:val="000000"/>
        </w:rPr>
        <w:t>（2）监狱企业证明文件</w:t>
      </w:r>
    </w:p>
    <w:p w14:paraId="4FF6DFA7">
      <w:pPr>
        <w:autoSpaceDE w:val="0"/>
        <w:autoSpaceDN w:val="0"/>
        <w:spacing w:line="360" w:lineRule="auto"/>
        <w:jc w:val="center"/>
        <w:rPr>
          <w:rFonts w:hint="eastAsia" w:ascii="微软雅黑" w:hAnsi="微软雅黑" w:eastAsia="微软雅黑"/>
          <w:b/>
          <w:color w:val="000000"/>
          <w:sz w:val="40"/>
          <w:szCs w:val="44"/>
        </w:rPr>
      </w:pPr>
      <w:r>
        <w:rPr>
          <w:rFonts w:hint="eastAsia" w:ascii="微软雅黑" w:hAnsi="微软雅黑" w:eastAsia="微软雅黑"/>
          <w:b/>
          <w:color w:val="000000"/>
          <w:sz w:val="40"/>
          <w:szCs w:val="44"/>
        </w:rPr>
        <w:t>监狱企业证明文件</w:t>
      </w:r>
    </w:p>
    <w:tbl>
      <w:tblPr>
        <w:tblStyle w:val="5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7EB58BE">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14:paraId="4CEEFBA2">
            <w:pPr>
              <w:autoSpaceDE w:val="0"/>
              <w:autoSpaceDN w:val="0"/>
              <w:spacing w:line="360" w:lineRule="auto"/>
              <w:ind w:firstLine="426" w:firstLineChars="177"/>
              <w:rPr>
                <w:rFonts w:hint="eastAsia" w:ascii="仿宋" w:hAnsi="仿宋" w:eastAsia="仿宋"/>
                <w:b/>
                <w:sz w:val="24"/>
                <w:szCs w:val="20"/>
              </w:rPr>
            </w:pPr>
            <w:r>
              <w:rPr>
                <w:rFonts w:hint="eastAsia" w:ascii="仿宋" w:hAnsi="仿宋" w:eastAsia="仿宋"/>
                <w:b/>
                <w:sz w:val="24"/>
                <w:szCs w:val="20"/>
              </w:rPr>
              <w:t>备注:（1）根据《关于政府采购支持监狱企业发展有关问题的通知》（财库[2014]68号）的规定，符合规定要求的供应商视同为小型和微型企业。</w:t>
            </w:r>
          </w:p>
          <w:p w14:paraId="07385A42">
            <w:pPr>
              <w:autoSpaceDE w:val="0"/>
              <w:autoSpaceDN w:val="0"/>
              <w:spacing w:line="360" w:lineRule="auto"/>
              <w:ind w:firstLine="426" w:firstLineChars="177"/>
              <w:rPr>
                <w:rFonts w:hint="eastAsia" w:ascii="仿宋" w:hAnsi="仿宋" w:eastAsia="仿宋" w:cs="Arial"/>
                <w:b/>
                <w:i/>
                <w:color w:val="000000"/>
                <w:kern w:val="0"/>
                <w:sz w:val="28"/>
              </w:rPr>
            </w:pPr>
            <w:r>
              <w:rPr>
                <w:rFonts w:hint="eastAsia" w:ascii="仿宋" w:hAnsi="仿宋" w:eastAsia="仿宋"/>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14:paraId="7A655AC0">
      <w:pPr>
        <w:pStyle w:val="21"/>
        <w:rPr>
          <w:rFonts w:hint="eastAsia" w:ascii="仿宋_GB2312" w:hAnsi="仿宋" w:eastAsia="仿宋_GB2312" w:cs="仿宋_GB2312"/>
        </w:rPr>
        <w:sectPr>
          <w:pgSz w:w="11910" w:h="16840"/>
          <w:pgMar w:top="1440" w:right="1380" w:bottom="1497" w:left="1580" w:header="850" w:footer="850" w:gutter="0"/>
          <w:pgBorders>
            <w:top w:val="none" w:sz="0" w:space="0"/>
            <w:left w:val="none" w:sz="0" w:space="0"/>
            <w:bottom w:val="none" w:sz="0" w:space="0"/>
            <w:right w:val="none" w:sz="0" w:space="0"/>
          </w:pgBorders>
          <w:pgNumType w:fmt="decimal"/>
          <w:cols w:space="720" w:num="1"/>
          <w:docGrid w:linePitch="286" w:charSpace="0"/>
        </w:sectPr>
      </w:pPr>
    </w:p>
    <w:p w14:paraId="44743EA6">
      <w:pPr>
        <w:pStyle w:val="4"/>
        <w:spacing w:before="120" w:after="120"/>
        <w:ind w:firstLine="280"/>
        <w:jc w:val="both"/>
        <w:rPr>
          <w:rFonts w:hint="eastAsia" w:ascii="华文中宋" w:hAnsi="华文中宋"/>
          <w:bCs/>
          <w:color w:val="000000"/>
          <w:kern w:val="0"/>
          <w:sz w:val="28"/>
          <w:szCs w:val="28"/>
        </w:rPr>
      </w:pPr>
      <w:r>
        <w:rPr>
          <w:rFonts w:hint="eastAsia" w:ascii="华文中宋" w:hAnsi="华文中宋"/>
          <w:bCs/>
          <w:color w:val="000000"/>
          <w:kern w:val="0"/>
          <w:sz w:val="28"/>
          <w:szCs w:val="28"/>
        </w:rPr>
        <w:t>1-3 ▲符合“申请人的资格要求”第3条“本项目的特定资格要求”的证明文件</w:t>
      </w:r>
    </w:p>
    <w:tbl>
      <w:tblPr>
        <w:tblStyle w:val="52"/>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14:paraId="35C1034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14:paraId="3A94343B">
            <w:pPr>
              <w:autoSpaceDE w:val="0"/>
              <w:autoSpaceDN w:val="0"/>
              <w:snapToGrid w:val="0"/>
              <w:spacing w:line="360" w:lineRule="auto"/>
              <w:ind w:firstLine="703" w:firstLineChars="250"/>
              <w:rPr>
                <w:rFonts w:hint="eastAsia" w:ascii="仿宋" w:hAnsi="仿宋" w:eastAsia="仿宋"/>
                <w:b/>
                <w:sz w:val="28"/>
              </w:rPr>
            </w:pPr>
            <w:r>
              <w:rPr>
                <w:rFonts w:hint="eastAsia" w:ascii="仿宋" w:hAnsi="仿宋" w:eastAsia="仿宋"/>
                <w:b/>
                <w:sz w:val="28"/>
              </w:rPr>
              <w:t>（1）▲</w:t>
            </w:r>
            <w:r>
              <w:rPr>
                <w:rFonts w:hint="eastAsia" w:ascii="仿宋" w:hAnsi="仿宋" w:eastAsia="仿宋" w:cs="Times New Roman"/>
                <w:b/>
                <w:bCs w:val="0"/>
                <w:kern w:val="2"/>
                <w:sz w:val="28"/>
                <w:lang w:eastAsia="zh-CN"/>
              </w:rPr>
              <w:t>具有工程设计-电力行业（送电工程、变电工程）专业</w:t>
            </w:r>
            <w:r>
              <w:rPr>
                <w:rFonts w:hint="eastAsia" w:ascii="仿宋" w:hAnsi="仿宋" w:eastAsia="仿宋" w:cs="Times New Roman"/>
                <w:b/>
                <w:bCs w:val="0"/>
                <w:kern w:val="2"/>
                <w:sz w:val="28"/>
                <w:lang w:val="en-US" w:eastAsia="zh-CN"/>
              </w:rPr>
              <w:t>丙</w:t>
            </w:r>
            <w:r>
              <w:rPr>
                <w:rFonts w:hint="eastAsia" w:ascii="仿宋" w:hAnsi="仿宋" w:eastAsia="仿宋" w:cs="Times New Roman"/>
                <w:b/>
                <w:bCs w:val="0"/>
                <w:kern w:val="2"/>
                <w:sz w:val="28"/>
                <w:lang w:eastAsia="zh-CN"/>
              </w:rPr>
              <w:t>级及以上</w:t>
            </w:r>
            <w:r>
              <w:rPr>
                <w:rFonts w:hint="eastAsia" w:ascii="仿宋" w:hAnsi="仿宋" w:eastAsia="仿宋"/>
                <w:b/>
                <w:sz w:val="28"/>
                <w:lang w:eastAsia="zh-CN"/>
              </w:rPr>
              <w:t>资质</w:t>
            </w:r>
            <w:r>
              <w:rPr>
                <w:rFonts w:hint="eastAsia" w:ascii="仿宋" w:hAnsi="仿宋" w:eastAsia="仿宋"/>
                <w:b/>
                <w:sz w:val="28"/>
              </w:rPr>
              <w:t>证书（扫描件加盖磋商响应供应商公章）；</w:t>
            </w:r>
          </w:p>
          <w:p w14:paraId="4889CEB7">
            <w:pPr>
              <w:autoSpaceDE w:val="0"/>
              <w:autoSpaceDN w:val="0"/>
              <w:snapToGrid w:val="0"/>
              <w:spacing w:line="360" w:lineRule="auto"/>
              <w:ind w:firstLine="703" w:firstLineChars="250"/>
              <w:rPr>
                <w:rFonts w:hint="eastAsia" w:ascii="仿宋" w:hAnsi="仿宋" w:eastAsia="仿宋"/>
                <w:b/>
                <w:sz w:val="28"/>
              </w:rPr>
            </w:pPr>
            <w:r>
              <w:rPr>
                <w:rFonts w:hint="eastAsia" w:ascii="仿宋" w:hAnsi="仿宋" w:eastAsia="仿宋" w:cs="Times New Roman"/>
                <w:b/>
                <w:bCs w:val="0"/>
                <w:kern w:val="2"/>
                <w:sz w:val="28"/>
                <w:lang w:val="en-US" w:eastAsia="zh-CN"/>
              </w:rPr>
              <w:t>（2）</w:t>
            </w:r>
            <w:r>
              <w:rPr>
                <w:rFonts w:hint="eastAsia" w:ascii="仿宋" w:hAnsi="仿宋" w:eastAsia="仿宋"/>
                <w:b/>
                <w:sz w:val="28"/>
              </w:rPr>
              <w:t>▲</w:t>
            </w:r>
            <w:r>
              <w:rPr>
                <w:rFonts w:hint="eastAsia" w:ascii="仿宋" w:hAnsi="仿宋" w:eastAsia="仿宋" w:cs="Times New Roman"/>
                <w:b/>
                <w:bCs w:val="0"/>
                <w:kern w:val="2"/>
                <w:sz w:val="28"/>
                <w:lang w:val="en-US" w:eastAsia="zh-CN"/>
              </w:rPr>
              <w:t>具有</w:t>
            </w:r>
            <w:r>
              <w:rPr>
                <w:rFonts w:hint="eastAsia" w:ascii="仿宋" w:hAnsi="仿宋" w:eastAsia="仿宋" w:cs="Times New Roman"/>
                <w:b/>
                <w:bCs w:val="0"/>
                <w:kern w:val="2"/>
                <w:sz w:val="28"/>
                <w:lang w:eastAsia="zh-CN"/>
              </w:rPr>
              <w:t>电力工程施工总承包三级及以上资质或输变电工程专业承包三级及以上资质</w:t>
            </w:r>
            <w:r>
              <w:rPr>
                <w:rFonts w:hint="eastAsia" w:ascii="仿宋" w:hAnsi="仿宋" w:eastAsia="仿宋"/>
                <w:b/>
                <w:sz w:val="28"/>
              </w:rPr>
              <w:t>证书（扫描件加盖磋商响应供应商公章）；</w:t>
            </w:r>
          </w:p>
          <w:p w14:paraId="0E5615E7">
            <w:pPr>
              <w:autoSpaceDE w:val="0"/>
              <w:autoSpaceDN w:val="0"/>
              <w:snapToGrid w:val="0"/>
              <w:spacing w:line="360" w:lineRule="auto"/>
              <w:ind w:firstLine="703" w:firstLineChars="250"/>
              <w:rPr>
                <w:rFonts w:hint="eastAsia" w:ascii="仿宋" w:hAnsi="仿宋" w:eastAsia="仿宋"/>
                <w:b/>
                <w:sz w:val="28"/>
                <w:lang w:val="en-US" w:eastAsia="zh-CN"/>
              </w:rPr>
            </w:pPr>
            <w:r>
              <w:rPr>
                <w:rFonts w:hint="eastAsia" w:ascii="仿宋" w:hAnsi="仿宋" w:eastAsia="仿宋"/>
                <w:b/>
                <w:sz w:val="28"/>
                <w:lang w:eastAsia="zh-CN"/>
              </w:rPr>
              <w:t>（</w:t>
            </w:r>
            <w:r>
              <w:rPr>
                <w:rFonts w:hint="eastAsia" w:ascii="仿宋" w:hAnsi="仿宋" w:eastAsia="仿宋"/>
                <w:b/>
                <w:sz w:val="28"/>
                <w:lang w:val="en-US" w:eastAsia="zh-CN"/>
              </w:rPr>
              <w:t>3）</w:t>
            </w:r>
            <w:r>
              <w:rPr>
                <w:rFonts w:hint="eastAsia" w:ascii="仿宋" w:hAnsi="仿宋" w:eastAsia="仿宋"/>
                <w:b/>
                <w:sz w:val="28"/>
              </w:rPr>
              <w:t>▲</w:t>
            </w:r>
            <w:r>
              <w:rPr>
                <w:rFonts w:hint="eastAsia" w:ascii="仿宋" w:hAnsi="仿宋" w:eastAsia="仿宋" w:cs="Times New Roman"/>
                <w:b/>
                <w:bCs w:val="0"/>
                <w:kern w:val="2"/>
                <w:sz w:val="28"/>
                <w:lang w:val="en-US" w:eastAsia="zh-CN"/>
              </w:rPr>
              <w:t>具有</w:t>
            </w:r>
            <w:r>
              <w:rPr>
                <w:rFonts w:hint="eastAsia" w:ascii="仿宋" w:hAnsi="仿宋" w:eastAsia="仿宋" w:cs="Times New Roman"/>
                <w:b/>
                <w:bCs w:val="0"/>
                <w:kern w:val="2"/>
                <w:sz w:val="28"/>
                <w:lang w:eastAsia="zh-CN"/>
              </w:rPr>
              <w:t>承装(修、试)电力设施许可证</w:t>
            </w:r>
            <w:r>
              <w:rPr>
                <w:rFonts w:hint="eastAsia" w:ascii="仿宋" w:hAnsi="仿宋" w:eastAsia="仿宋" w:cs="Times New Roman"/>
                <w:b/>
                <w:bCs w:val="0"/>
                <w:kern w:val="2"/>
                <w:sz w:val="28"/>
                <w:lang w:val="en-US" w:eastAsia="zh-CN"/>
              </w:rPr>
              <w:t>五</w:t>
            </w:r>
            <w:r>
              <w:rPr>
                <w:rFonts w:hint="eastAsia" w:ascii="仿宋" w:hAnsi="仿宋" w:eastAsia="仿宋" w:cs="Times New Roman"/>
                <w:b/>
                <w:bCs w:val="0"/>
                <w:kern w:val="2"/>
                <w:sz w:val="28"/>
                <w:lang w:eastAsia="zh-CN"/>
              </w:rPr>
              <w:t>级及以上资质</w:t>
            </w:r>
            <w:r>
              <w:rPr>
                <w:rFonts w:hint="eastAsia" w:ascii="仿宋" w:hAnsi="仿宋" w:eastAsia="仿宋"/>
                <w:b/>
                <w:sz w:val="28"/>
              </w:rPr>
              <w:t>证书（扫描件加盖磋商响应供应商公章）；</w:t>
            </w:r>
          </w:p>
          <w:p w14:paraId="62A491AD">
            <w:pPr>
              <w:autoSpaceDE w:val="0"/>
              <w:autoSpaceDN w:val="0"/>
              <w:snapToGrid w:val="0"/>
              <w:spacing w:line="360" w:lineRule="auto"/>
              <w:ind w:firstLine="703" w:firstLineChars="250"/>
              <w:rPr>
                <w:rFonts w:hint="eastAsia" w:ascii="仿宋" w:hAnsi="仿宋" w:eastAsia="仿宋"/>
                <w:b/>
                <w:sz w:val="28"/>
              </w:rPr>
            </w:pPr>
            <w:r>
              <w:rPr>
                <w:rFonts w:hint="eastAsia" w:ascii="仿宋" w:hAnsi="仿宋" w:eastAsia="仿宋"/>
                <w:b/>
                <w:sz w:val="28"/>
              </w:rPr>
              <w:t>（</w:t>
            </w:r>
            <w:r>
              <w:rPr>
                <w:rFonts w:hint="eastAsia" w:ascii="仿宋" w:hAnsi="仿宋" w:eastAsia="仿宋"/>
                <w:b/>
                <w:sz w:val="28"/>
                <w:lang w:val="en-US" w:eastAsia="zh-CN"/>
              </w:rPr>
              <w:t>4</w:t>
            </w:r>
            <w:r>
              <w:rPr>
                <w:rFonts w:hint="eastAsia" w:ascii="仿宋" w:hAnsi="仿宋" w:eastAsia="仿宋"/>
                <w:b/>
                <w:sz w:val="28"/>
              </w:rPr>
              <w:t>）▲企业《安全生产许可证》证书（扫描件加盖磋商响应供应商公章）；</w:t>
            </w:r>
          </w:p>
          <w:p w14:paraId="5E75764F">
            <w:pPr>
              <w:autoSpaceDE w:val="0"/>
              <w:autoSpaceDN w:val="0"/>
              <w:snapToGrid w:val="0"/>
              <w:spacing w:line="360" w:lineRule="auto"/>
              <w:ind w:firstLine="703" w:firstLineChars="250"/>
              <w:rPr>
                <w:rFonts w:hint="eastAsia" w:ascii="仿宋" w:hAnsi="仿宋" w:eastAsia="仿宋"/>
                <w:b/>
                <w:sz w:val="28"/>
                <w:lang w:eastAsia="zh-CN"/>
              </w:rPr>
            </w:pPr>
            <w:r>
              <w:rPr>
                <w:rFonts w:hint="eastAsia" w:ascii="仿宋" w:hAnsi="仿宋" w:eastAsia="仿宋"/>
                <w:b/>
                <w:sz w:val="28"/>
              </w:rPr>
              <w:t>（</w:t>
            </w:r>
            <w:r>
              <w:rPr>
                <w:rFonts w:hint="eastAsia" w:ascii="仿宋" w:hAnsi="仿宋" w:eastAsia="仿宋"/>
                <w:b/>
                <w:sz w:val="28"/>
                <w:lang w:val="en-US" w:eastAsia="zh-CN"/>
              </w:rPr>
              <w:t>5</w:t>
            </w:r>
            <w:r>
              <w:rPr>
                <w:rFonts w:hint="eastAsia" w:ascii="仿宋" w:hAnsi="仿宋" w:eastAsia="仿宋"/>
                <w:b/>
                <w:sz w:val="28"/>
              </w:rPr>
              <w:t>）▲有效的《联合投标协议书》（仅联合体须提供）（格式附后）</w:t>
            </w:r>
            <w:r>
              <w:rPr>
                <w:rFonts w:hint="eastAsia" w:ascii="仿宋" w:hAnsi="仿宋" w:eastAsia="仿宋"/>
                <w:b/>
                <w:sz w:val="28"/>
                <w:lang w:eastAsia="zh-CN"/>
              </w:rPr>
              <w:t>；</w:t>
            </w:r>
          </w:p>
          <w:p w14:paraId="5B489415">
            <w:pPr>
              <w:autoSpaceDE w:val="0"/>
              <w:autoSpaceDN w:val="0"/>
              <w:snapToGrid w:val="0"/>
              <w:spacing w:line="360" w:lineRule="auto"/>
              <w:ind w:firstLine="703" w:firstLineChars="250"/>
              <w:rPr>
                <w:rFonts w:hint="eastAsia" w:ascii="仿宋" w:hAnsi="仿宋" w:eastAsia="仿宋"/>
                <w:b/>
                <w:sz w:val="28"/>
              </w:rPr>
            </w:pPr>
            <w:r>
              <w:rPr>
                <w:rFonts w:hint="eastAsia" w:ascii="仿宋" w:hAnsi="仿宋" w:eastAsia="仿宋"/>
                <w:b/>
                <w:sz w:val="28"/>
              </w:rPr>
              <w:t>（</w:t>
            </w:r>
            <w:r>
              <w:rPr>
                <w:rFonts w:hint="eastAsia" w:ascii="仿宋" w:hAnsi="仿宋" w:eastAsia="仿宋"/>
                <w:b/>
                <w:sz w:val="28"/>
                <w:lang w:val="en-US" w:eastAsia="zh-CN"/>
              </w:rPr>
              <w:t>6</w:t>
            </w:r>
            <w:r>
              <w:rPr>
                <w:rFonts w:hint="eastAsia" w:ascii="仿宋" w:hAnsi="仿宋" w:eastAsia="仿宋"/>
                <w:b/>
                <w:sz w:val="28"/>
              </w:rPr>
              <w:t>）▲有效的《分包意向协议》（仅分包须提供）（格式附后）。</w:t>
            </w:r>
          </w:p>
          <w:p w14:paraId="0A65CC3D">
            <w:pPr>
              <w:autoSpaceDE w:val="0"/>
              <w:autoSpaceDN w:val="0"/>
              <w:snapToGrid w:val="0"/>
              <w:spacing w:line="360" w:lineRule="auto"/>
              <w:ind w:firstLine="703" w:firstLineChars="250"/>
              <w:rPr>
                <w:rFonts w:hint="eastAsia" w:ascii="仿宋" w:hAnsi="仿宋" w:eastAsia="仿宋"/>
                <w:b/>
                <w:sz w:val="28"/>
              </w:rPr>
            </w:pPr>
          </w:p>
          <w:p w14:paraId="7D5AD417">
            <w:pPr>
              <w:pStyle w:val="3"/>
              <w:autoSpaceDE w:val="0"/>
              <w:autoSpaceDN w:val="0"/>
              <w:snapToGrid w:val="0"/>
              <w:spacing w:before="360"/>
              <w:ind w:firstLine="0" w:firstLineChars="0"/>
              <w:rPr>
                <w:rFonts w:hint="eastAsia" w:ascii="仿宋" w:hAnsi="仿宋" w:eastAsia="仿宋"/>
                <w:bCs w:val="0"/>
                <w:sz w:val="28"/>
                <w:szCs w:val="24"/>
              </w:rPr>
            </w:pPr>
          </w:p>
        </w:tc>
      </w:tr>
    </w:tbl>
    <w:p w14:paraId="183B2A46">
      <w:pPr>
        <w:pStyle w:val="6"/>
        <w:autoSpaceDE w:val="0"/>
        <w:autoSpaceDN w:val="0"/>
        <w:ind w:firstLine="561"/>
        <w:jc w:val="left"/>
        <w:rPr>
          <w:kern w:val="0"/>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01965996">
      <w:pPr>
        <w:pStyle w:val="6"/>
        <w:autoSpaceDE w:val="0"/>
        <w:autoSpaceDN w:val="0"/>
        <w:ind w:firstLine="561"/>
        <w:jc w:val="left"/>
      </w:pPr>
      <w:r>
        <w:rPr>
          <w:rFonts w:hint="eastAsia"/>
        </w:rPr>
        <w:t>附、联合投标协议书</w:t>
      </w:r>
    </w:p>
    <w:p w14:paraId="7FF772EE">
      <w:pPr>
        <w:widowControl/>
        <w:autoSpaceDE w:val="0"/>
        <w:autoSpaceDN w:val="0"/>
        <w:spacing w:line="360" w:lineRule="auto"/>
        <w:jc w:val="center"/>
        <w:rPr>
          <w:rFonts w:hint="eastAsia" w:ascii="华文中宋" w:hAnsi="华文中宋" w:eastAsia="华文中宋" w:cs="Arial"/>
          <w:b/>
          <w:w w:val="80"/>
          <w:kern w:val="0"/>
          <w:sz w:val="32"/>
          <w:szCs w:val="44"/>
        </w:rPr>
      </w:pPr>
      <w:r>
        <w:rPr>
          <w:rFonts w:hint="eastAsia" w:ascii="微软雅黑" w:hAnsi="微软雅黑" w:eastAsia="微软雅黑"/>
          <w:b/>
          <w:sz w:val="40"/>
        </w:rPr>
        <w:t>▲联合投标协议</w:t>
      </w:r>
      <w:r>
        <w:rPr>
          <w:rFonts w:hint="eastAsia" w:ascii="微软雅黑" w:hAnsi="微软雅黑" w:eastAsia="微软雅黑"/>
          <w:b/>
          <w:sz w:val="40"/>
          <w:szCs w:val="44"/>
        </w:rPr>
        <w:t>书</w:t>
      </w:r>
      <w:r>
        <w:rPr>
          <w:rFonts w:hint="eastAsia" w:ascii="微软雅黑" w:hAnsi="微软雅黑" w:eastAsia="微软雅黑"/>
          <w:b/>
          <w:sz w:val="40"/>
        </w:rPr>
        <w:t>（仅联合体适用）</w:t>
      </w:r>
    </w:p>
    <w:p w14:paraId="53011171">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联合体各方全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w:t>
      </w:r>
      <w:r>
        <w:rPr>
          <w:rFonts w:ascii="仿宋" w:hAnsi="仿宋" w:eastAsia="仿宋" w:cs="Arial"/>
          <w:color w:val="000000" w:themeColor="text1"/>
          <w:sz w:val="24"/>
          <w14:textFill>
            <w14:solidFill>
              <w14:schemeClr w14:val="tx1"/>
            </w14:solidFill>
          </w14:textFill>
        </w:rPr>
        <w:t>自愿组成联合体</w:t>
      </w:r>
      <w:r>
        <w:rPr>
          <w:rFonts w:hint="eastAsia" w:ascii="仿宋" w:hAnsi="仿宋" w:eastAsia="仿宋" w:cs="Arial"/>
          <w:color w:val="000000" w:themeColor="text1"/>
          <w:sz w:val="24"/>
          <w14:textFill>
            <w14:solidFill>
              <w14:schemeClr w14:val="tx1"/>
            </w14:solidFill>
          </w14:textFill>
        </w:rPr>
        <w:t>，以一个供应商的身份</w:t>
      </w:r>
      <w:r>
        <w:rPr>
          <w:rFonts w:ascii="仿宋" w:hAnsi="仿宋" w:eastAsia="仿宋" w:cs="Arial"/>
          <w:color w:val="000000" w:themeColor="text1"/>
          <w:sz w:val="24"/>
          <w14:textFill>
            <w14:solidFill>
              <w14:schemeClr w14:val="tx1"/>
            </w14:solidFill>
          </w14:textFill>
        </w:rPr>
        <w:t>参加</w:t>
      </w:r>
      <w:r>
        <w:rPr>
          <w:rFonts w:hint="eastAsia" w:ascii="仿宋" w:hAnsi="仿宋" w:eastAsia="仿宋" w:cs="Arial"/>
          <w:b/>
          <w:color w:val="000000" w:themeColor="text1"/>
          <w:kern w:val="0"/>
          <w:sz w:val="24"/>
          <w:u w:val="single"/>
          <w:lang w:eastAsia="zh-CN"/>
          <w14:textFill>
            <w14:solidFill>
              <w14:schemeClr w14:val="tx1"/>
            </w14:solidFill>
          </w14:textFill>
        </w:rPr>
        <w:t>浙江工商大学教工路校区学生宿舍建设工程附属配电房移位改造工程（EPC）</w:t>
      </w:r>
      <w:r>
        <w:rPr>
          <w:rFonts w:hint="eastAsia" w:ascii="仿宋" w:hAnsi="仿宋" w:eastAsia="仿宋" w:cs="Arial"/>
          <w:b/>
          <w:color w:val="000000" w:themeColor="text1"/>
          <w:kern w:val="0"/>
          <w:sz w:val="24"/>
          <w:u w:val="single"/>
          <w14:textFill>
            <w14:solidFill>
              <w14:schemeClr w14:val="tx1"/>
            </w14:solidFill>
          </w14:textFill>
        </w:rPr>
        <w:t>（项目编号：</w:t>
      </w:r>
      <w:r>
        <w:rPr>
          <w:rFonts w:hint="eastAsia" w:ascii="仿宋" w:hAnsi="仿宋" w:eastAsia="仿宋" w:cs="Arial"/>
          <w:b/>
          <w:color w:val="000000" w:themeColor="text1"/>
          <w:kern w:val="0"/>
          <w:sz w:val="24"/>
          <w:u w:val="single"/>
          <w:lang w:eastAsia="zh-CN"/>
          <w14:textFill>
            <w14:solidFill>
              <w14:schemeClr w14:val="tx1"/>
            </w14:solidFill>
          </w14:textFill>
        </w:rPr>
        <w:t>CTZB-2025050222</w:t>
      </w:r>
      <w:r>
        <w:rPr>
          <w:rFonts w:hint="eastAsia" w:ascii="仿宋" w:hAnsi="仿宋" w:eastAsia="仿宋" w:cs="Arial"/>
          <w:b/>
          <w:color w:val="000000" w:themeColor="text1"/>
          <w:kern w:val="0"/>
          <w:sz w:val="24"/>
          <w:u w:val="single"/>
          <w14:textFill>
            <w14:solidFill>
              <w14:schemeClr w14:val="tx1"/>
            </w14:solidFill>
          </w14:textFill>
        </w:rPr>
        <w:t>）</w:t>
      </w:r>
      <w:r>
        <w:rPr>
          <w:rFonts w:hint="eastAsia" w:ascii="仿宋" w:hAnsi="仿宋" w:eastAsia="仿宋" w:cs="Arial"/>
          <w:color w:val="000000" w:themeColor="text1"/>
          <w:kern w:val="0"/>
          <w:sz w:val="24"/>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政府采购活动</w:t>
      </w:r>
      <w:r>
        <w:rPr>
          <w:rFonts w:ascii="仿宋" w:hAnsi="仿宋" w:eastAsia="仿宋" w:cs="Arial"/>
          <w:color w:val="000000" w:themeColor="text1"/>
          <w:sz w:val="24"/>
          <w14:textFill>
            <w14:solidFill>
              <w14:schemeClr w14:val="tx1"/>
            </w14:solidFill>
          </w14:textFill>
        </w:rPr>
        <w:t>。现就有关</w:t>
      </w:r>
      <w:r>
        <w:rPr>
          <w:rFonts w:hint="eastAsia" w:ascii="仿宋" w:hAnsi="仿宋" w:eastAsia="仿宋" w:cs="Arial"/>
          <w:color w:val="000000" w:themeColor="text1"/>
          <w:sz w:val="24"/>
          <w14:textFill>
            <w14:solidFill>
              <w14:schemeClr w14:val="tx1"/>
            </w14:solidFill>
          </w14:textFill>
        </w:rPr>
        <w:t>联合投标（响应）</w:t>
      </w:r>
      <w:r>
        <w:rPr>
          <w:rFonts w:ascii="仿宋" w:hAnsi="仿宋" w:eastAsia="仿宋" w:cs="Arial"/>
          <w:color w:val="000000" w:themeColor="text1"/>
          <w:sz w:val="24"/>
          <w14:textFill>
            <w14:solidFill>
              <w14:schemeClr w14:val="tx1"/>
            </w14:solidFill>
          </w14:textFill>
        </w:rPr>
        <w:t>事宜订立协议如下：</w:t>
      </w:r>
    </w:p>
    <w:p w14:paraId="6B070087">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联合体牵头方全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牵头方，</w:t>
      </w:r>
      <w:r>
        <w:rPr>
          <w:rFonts w:ascii="仿宋" w:hAnsi="仿宋" w:eastAsia="仿宋" w:cs="Arial"/>
          <w:color w:val="000000" w:themeColor="text1"/>
          <w:kern w:val="0"/>
          <w:sz w:val="24"/>
          <w14:textFill>
            <w14:solidFill>
              <w14:schemeClr w14:val="tx1"/>
            </w14:solidFill>
          </w14:textFill>
        </w:rPr>
        <w:t>_________</w:t>
      </w:r>
      <w:r>
        <w:rPr>
          <w:rFonts w:ascii="仿宋" w:hAnsi="仿宋" w:eastAsia="仿宋" w:cs="Arial"/>
          <w:color w:val="000000" w:themeColor="text1"/>
          <w:sz w:val="24"/>
          <w:u w:val="single"/>
          <w14:textFill>
            <w14:solidFill>
              <w14:schemeClr w14:val="tx1"/>
            </w14:solidFill>
          </w14:textFill>
        </w:rPr>
        <w:t>（</w:t>
      </w:r>
      <w:r>
        <w:rPr>
          <w:rFonts w:hint="eastAsia" w:ascii="仿宋" w:hAnsi="仿宋" w:eastAsia="仿宋" w:cs="Arial"/>
          <w:color w:val="000000" w:themeColor="text1"/>
          <w:sz w:val="24"/>
          <w:u w:val="single"/>
          <w14:textFill>
            <w14:solidFill>
              <w14:schemeClr w14:val="tx1"/>
            </w14:solidFill>
          </w14:textFill>
        </w:rPr>
        <w:t>联合体成员放全</w:t>
      </w:r>
      <w:r>
        <w:rPr>
          <w:rFonts w:ascii="仿宋" w:hAnsi="仿宋" w:eastAsia="仿宋" w:cs="Arial"/>
          <w:color w:val="000000" w:themeColor="text1"/>
          <w:sz w:val="24"/>
          <w:u w:val="single"/>
          <w14:textFill>
            <w14:solidFill>
              <w14:schemeClr w14:val="tx1"/>
            </w14:solidFill>
          </w14:textFill>
        </w:rPr>
        <w:t>称）</w:t>
      </w:r>
      <w:r>
        <w:rPr>
          <w:rFonts w:ascii="仿宋" w:hAnsi="仿宋" w:eastAsia="仿宋" w:cs="Arial"/>
          <w:color w:val="000000" w:themeColor="text1"/>
          <w:kern w:val="0"/>
          <w:sz w:val="24"/>
          <w14:textFill>
            <w14:solidFill>
              <w14:schemeClr w14:val="tx1"/>
            </w14:solidFill>
          </w14:textFill>
        </w:rPr>
        <w:t>_______________</w:t>
      </w:r>
      <w:r>
        <w:rPr>
          <w:rFonts w:ascii="仿宋" w:hAnsi="仿宋" w:eastAsia="仿宋" w:cs="Arial"/>
          <w:color w:val="000000" w:themeColor="text1"/>
          <w:sz w:val="24"/>
          <w14:textFill>
            <w14:solidFill>
              <w14:schemeClr w14:val="tx1"/>
            </w14:solidFill>
          </w14:textFill>
        </w:rPr>
        <w:t>为联合体</w:t>
      </w:r>
      <w:r>
        <w:rPr>
          <w:rFonts w:hint="eastAsia" w:ascii="仿宋" w:hAnsi="仿宋" w:eastAsia="仿宋" w:cs="Arial"/>
          <w:color w:val="000000" w:themeColor="text1"/>
          <w:sz w:val="24"/>
          <w14:textFill>
            <w14:solidFill>
              <w14:schemeClr w14:val="tx1"/>
            </w14:solidFill>
          </w14:textFill>
        </w:rPr>
        <w:t>的</w:t>
      </w:r>
      <w:r>
        <w:rPr>
          <w:rFonts w:ascii="仿宋" w:hAnsi="仿宋" w:eastAsia="仿宋" w:cs="Arial"/>
          <w:color w:val="000000" w:themeColor="text1"/>
          <w:sz w:val="24"/>
          <w14:textFill>
            <w14:solidFill>
              <w14:schemeClr w14:val="tx1"/>
            </w14:solidFill>
          </w14:textFill>
        </w:rPr>
        <w:t>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w:t>
      </w:r>
    </w:p>
    <w:p w14:paraId="06AC2B24">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2、联合体内部有关事项规定如下：</w:t>
      </w:r>
    </w:p>
    <w:p w14:paraId="15FFAD5E">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（1）由牵头方</w:t>
      </w:r>
      <w:r>
        <w:rPr>
          <w:rFonts w:hint="eastAsia" w:ascii="仿宋" w:hAnsi="仿宋" w:eastAsia="仿宋" w:cs="Arial"/>
          <w:color w:val="000000" w:themeColor="text1"/>
          <w:sz w:val="24"/>
          <w14:textFill>
            <w14:solidFill>
              <w14:schemeClr w14:val="tx1"/>
            </w14:solidFill>
          </w14:textFill>
        </w:rPr>
        <w:t>代表本联合体</w:t>
      </w:r>
      <w:r>
        <w:rPr>
          <w:rFonts w:ascii="仿宋" w:hAnsi="仿宋" w:eastAsia="仿宋" w:cs="Arial"/>
          <w:color w:val="000000" w:themeColor="text1"/>
          <w:sz w:val="24"/>
          <w14:textFill>
            <w14:solidFill>
              <w14:schemeClr w14:val="tx1"/>
            </w14:solidFill>
          </w14:textFill>
        </w:rPr>
        <w:t>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联系</w:t>
      </w:r>
      <w:r>
        <w:rPr>
          <w:rFonts w:hint="eastAsia" w:ascii="仿宋" w:hAnsi="仿宋" w:eastAsia="仿宋" w:cs="Arial"/>
          <w:color w:val="000000" w:themeColor="text1"/>
          <w:sz w:val="24"/>
          <w14:textFill>
            <w14:solidFill>
              <w14:schemeClr w14:val="tx1"/>
            </w14:solidFill>
          </w14:textFill>
        </w:rPr>
        <w:t>，负责协调工作</w:t>
      </w:r>
      <w:r>
        <w:rPr>
          <w:rFonts w:ascii="仿宋" w:hAnsi="仿宋" w:eastAsia="仿宋" w:cs="Arial"/>
          <w:color w:val="000000" w:themeColor="text1"/>
          <w:sz w:val="24"/>
          <w14:textFill>
            <w14:solidFill>
              <w14:schemeClr w14:val="tx1"/>
            </w14:solidFill>
          </w14:textFill>
        </w:rPr>
        <w:t>。</w:t>
      </w:r>
    </w:p>
    <w:p w14:paraId="0CAAA5D9">
      <w:pPr>
        <w:autoSpaceDE w:val="0"/>
        <w:autoSpaceDN w:val="0"/>
        <w:spacing w:line="360" w:lineRule="auto"/>
        <w:ind w:firstLine="465" w:firstLineChars="193"/>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（2）</w:t>
      </w:r>
      <w:r>
        <w:rPr>
          <w:rFonts w:hint="eastAsia" w:ascii="仿宋" w:hAnsi="仿宋" w:eastAsia="仿宋" w:cs="Arial"/>
          <w:b/>
          <w:color w:val="000000" w:themeColor="text1"/>
          <w:sz w:val="24"/>
          <w14:textFill>
            <w14:solidFill>
              <w14:schemeClr w14:val="tx1"/>
            </w14:solidFill>
          </w14:textFill>
        </w:rPr>
        <w:t>磋商响应</w:t>
      </w:r>
      <w:r>
        <w:rPr>
          <w:rFonts w:ascii="仿宋" w:hAnsi="仿宋" w:eastAsia="仿宋" w:cs="Arial"/>
          <w:b/>
          <w:color w:val="000000" w:themeColor="text1"/>
          <w:sz w:val="24"/>
          <w14:textFill>
            <w14:solidFill>
              <w14:schemeClr w14:val="tx1"/>
            </w14:solidFill>
          </w14:textFill>
        </w:rPr>
        <w:t>工作由联合体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牵头方负责，由</w:t>
      </w:r>
      <w:r>
        <w:rPr>
          <w:rFonts w:hint="eastAsia" w:ascii="仿宋" w:hAnsi="仿宋" w:eastAsia="仿宋" w:cs="Arial"/>
          <w:b/>
          <w:color w:val="000000" w:themeColor="text1"/>
          <w:sz w:val="24"/>
          <w14:textFill>
            <w14:solidFill>
              <w14:schemeClr w14:val="tx1"/>
            </w14:solidFill>
          </w14:textFill>
        </w:rPr>
        <w:t>各</w:t>
      </w:r>
      <w:r>
        <w:rPr>
          <w:rFonts w:ascii="仿宋" w:hAnsi="仿宋" w:eastAsia="仿宋" w:cs="Arial"/>
          <w:b/>
          <w:color w:val="000000" w:themeColor="text1"/>
          <w:sz w:val="24"/>
          <w14:textFill>
            <w14:solidFill>
              <w14:schemeClr w14:val="tx1"/>
            </w14:solidFill>
          </w14:textFill>
        </w:rPr>
        <w:t>方组成的</w:t>
      </w:r>
      <w:r>
        <w:rPr>
          <w:rFonts w:hint="eastAsia" w:ascii="仿宋" w:hAnsi="仿宋" w:eastAsia="仿宋" w:cs="Arial"/>
          <w:b/>
          <w:color w:val="000000" w:themeColor="text1"/>
          <w:sz w:val="24"/>
          <w14:textFill>
            <w14:solidFill>
              <w14:schemeClr w14:val="tx1"/>
            </w14:solidFill>
          </w14:textFill>
        </w:rPr>
        <w:t>磋商响应</w:t>
      </w:r>
      <w:r>
        <w:rPr>
          <w:rFonts w:ascii="仿宋" w:hAnsi="仿宋" w:eastAsia="仿宋" w:cs="Arial"/>
          <w:b/>
          <w:color w:val="000000" w:themeColor="text1"/>
          <w:sz w:val="24"/>
          <w14:textFill>
            <w14:solidFill>
              <w14:schemeClr w14:val="tx1"/>
            </w14:solidFill>
          </w14:textFill>
        </w:rPr>
        <w:t>小组具体实施；联合体</w:t>
      </w:r>
      <w:r>
        <w:rPr>
          <w:rFonts w:hint="eastAsia" w:ascii="仿宋" w:hAnsi="仿宋" w:eastAsia="仿宋" w:cs="Arial"/>
          <w:b/>
          <w:color w:val="000000" w:themeColor="text1"/>
          <w:sz w:val="24"/>
          <w14:textFill>
            <w14:solidFill>
              <w14:schemeClr w14:val="tx1"/>
            </w14:solidFill>
          </w14:textFill>
        </w:rPr>
        <w:t>中的</w:t>
      </w:r>
      <w:r>
        <w:rPr>
          <w:rFonts w:ascii="仿宋" w:hAnsi="仿宋" w:eastAsia="仿宋" w:cs="Arial"/>
          <w:b/>
          <w:color w:val="000000" w:themeColor="text1"/>
          <w:sz w:val="24"/>
          <w14:textFill>
            <w14:solidFill>
              <w14:schemeClr w14:val="tx1"/>
            </w14:solidFill>
          </w14:textFill>
        </w:rPr>
        <w:t>牵头方代表联合体办理</w:t>
      </w:r>
      <w:r>
        <w:rPr>
          <w:rFonts w:hint="eastAsia" w:ascii="仿宋" w:hAnsi="仿宋" w:eastAsia="仿宋" w:cs="Arial"/>
          <w:b/>
          <w:color w:val="000000" w:themeColor="text1"/>
          <w:sz w:val="24"/>
          <w14:textFill>
            <w14:solidFill>
              <w14:schemeClr w14:val="tx1"/>
            </w14:solidFill>
          </w14:textFill>
        </w:rPr>
        <w:t>磋商响应</w:t>
      </w:r>
      <w:r>
        <w:rPr>
          <w:rFonts w:ascii="仿宋" w:hAnsi="仿宋" w:eastAsia="仿宋" w:cs="Arial"/>
          <w:b/>
          <w:color w:val="000000" w:themeColor="text1"/>
          <w:sz w:val="24"/>
          <w14:textFill>
            <w14:solidFill>
              <w14:schemeClr w14:val="tx1"/>
            </w14:solidFill>
          </w14:textFill>
        </w:rPr>
        <w:t>事宜，联合体牵头方在</w:t>
      </w:r>
      <w:r>
        <w:rPr>
          <w:rFonts w:hint="eastAsia" w:ascii="仿宋" w:hAnsi="仿宋" w:eastAsia="仿宋" w:cs="Arial"/>
          <w:b/>
          <w:color w:val="000000" w:themeColor="text1"/>
          <w:sz w:val="24"/>
          <w14:textFill>
            <w14:solidFill>
              <w14:schemeClr w14:val="tx1"/>
            </w14:solidFill>
          </w14:textFill>
        </w:rPr>
        <w:t>响应文件及磋商过程</w:t>
      </w:r>
      <w:r>
        <w:rPr>
          <w:rFonts w:ascii="仿宋" w:hAnsi="仿宋" w:eastAsia="仿宋" w:cs="Arial"/>
          <w:b/>
          <w:color w:val="000000" w:themeColor="text1"/>
          <w:sz w:val="24"/>
          <w14:textFill>
            <w14:solidFill>
              <w14:schemeClr w14:val="tx1"/>
            </w14:solidFill>
          </w14:textFill>
        </w:rPr>
        <w:t>中的所有承诺均代表了联合体各成员</w:t>
      </w:r>
      <w:r>
        <w:rPr>
          <w:rFonts w:hint="eastAsia" w:ascii="仿宋" w:hAnsi="仿宋" w:eastAsia="仿宋" w:cs="Arial"/>
          <w:b/>
          <w:color w:val="000000" w:themeColor="text1"/>
          <w:sz w:val="24"/>
          <w14:textFill>
            <w14:solidFill>
              <w14:schemeClr w14:val="tx1"/>
            </w14:solidFill>
          </w14:textFill>
        </w:rPr>
        <w:t>的真实意愿</w:t>
      </w:r>
      <w:r>
        <w:rPr>
          <w:rFonts w:ascii="仿宋" w:hAnsi="仿宋" w:eastAsia="仿宋" w:cs="Arial"/>
          <w:b/>
          <w:color w:val="000000" w:themeColor="text1"/>
          <w:sz w:val="24"/>
          <w14:textFill>
            <w14:solidFill>
              <w14:schemeClr w14:val="tx1"/>
            </w14:solidFill>
          </w14:textFill>
        </w:rPr>
        <w:t>。</w:t>
      </w:r>
    </w:p>
    <w:p w14:paraId="09A9403D">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（3）联合体将严格按照</w:t>
      </w:r>
      <w:r>
        <w:rPr>
          <w:rFonts w:hint="eastAsia" w:ascii="仿宋" w:hAnsi="仿宋" w:eastAsia="仿宋" w:cs="Arial"/>
          <w:color w:val="000000" w:themeColor="text1"/>
          <w:sz w:val="24"/>
          <w14:textFill>
            <w14:solidFill>
              <w14:schemeClr w14:val="tx1"/>
            </w14:solidFill>
          </w14:textFill>
        </w:rPr>
        <w:t>磋商</w:t>
      </w:r>
      <w:r>
        <w:rPr>
          <w:rFonts w:ascii="仿宋" w:hAnsi="仿宋" w:eastAsia="仿宋" w:cs="Arial"/>
          <w:color w:val="000000" w:themeColor="text1"/>
          <w:sz w:val="24"/>
          <w14:textFill>
            <w14:solidFill>
              <w14:schemeClr w14:val="tx1"/>
            </w14:solidFill>
          </w14:textFill>
        </w:rPr>
        <w:t>文件的各项要求，递交</w:t>
      </w:r>
      <w:r>
        <w:rPr>
          <w:rFonts w:hint="eastAsia" w:ascii="仿宋" w:hAnsi="仿宋" w:eastAsia="仿宋" w:cs="Arial"/>
          <w:color w:val="000000" w:themeColor="text1"/>
          <w:sz w:val="24"/>
          <w14:textFill>
            <w14:solidFill>
              <w14:schemeClr w14:val="tx1"/>
            </w14:solidFill>
          </w14:textFill>
        </w:rPr>
        <w:t>响应文件</w:t>
      </w:r>
      <w:r>
        <w:rPr>
          <w:rFonts w:ascii="仿宋" w:hAnsi="仿宋" w:eastAsia="仿宋" w:cs="Arial"/>
          <w:color w:val="000000" w:themeColor="text1"/>
          <w:sz w:val="24"/>
          <w14:textFill>
            <w14:solidFill>
              <w14:schemeClr w14:val="tx1"/>
            </w14:solidFill>
          </w14:textFill>
        </w:rPr>
        <w:t>，切实执行一切合同文件，共同承担合同规定的一切义务和责任，同时按照内部职责的划分，承担自身所负的责任和风险，在法律上承担连带责任。</w:t>
      </w:r>
    </w:p>
    <w:p w14:paraId="3D1225CC">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，联合体内部将遵守以下规定：</w:t>
      </w:r>
    </w:p>
    <w:p w14:paraId="7C40E171">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a．联合体牵头方和成员</w:t>
      </w:r>
      <w:r>
        <w:rPr>
          <w:rFonts w:hint="eastAsia" w:ascii="仿宋" w:hAnsi="仿宋" w:eastAsia="仿宋" w:cs="Arial"/>
          <w:color w:val="000000" w:themeColor="text1"/>
          <w:sz w:val="24"/>
          <w14:textFill>
            <w14:solidFill>
              <w14:schemeClr w14:val="tx1"/>
            </w14:solidFill>
          </w14:textFill>
        </w:rPr>
        <w:t>方</w:t>
      </w:r>
      <w:r>
        <w:rPr>
          <w:rFonts w:ascii="仿宋" w:hAnsi="仿宋" w:eastAsia="仿宋" w:cs="Arial"/>
          <w:color w:val="000000" w:themeColor="text1"/>
          <w:sz w:val="24"/>
          <w14:textFill>
            <w14:solidFill>
              <w14:schemeClr w14:val="tx1"/>
            </w14:solidFill>
          </w14:textFill>
        </w:rPr>
        <w:t>共同与</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签订</w:t>
      </w:r>
      <w:r>
        <w:rPr>
          <w:rFonts w:hint="eastAsia" w:ascii="仿宋" w:hAnsi="仿宋" w:eastAsia="仿宋" w:cs="Arial"/>
          <w:color w:val="000000" w:themeColor="text1"/>
          <w:sz w:val="24"/>
          <w14:textFill>
            <w14:solidFill>
              <w14:schemeClr w14:val="tx1"/>
            </w14:solidFill>
          </w14:textFill>
        </w:rPr>
        <w:t>采购合同</w:t>
      </w:r>
      <w:r>
        <w:rPr>
          <w:rFonts w:ascii="仿宋" w:hAnsi="仿宋" w:eastAsia="仿宋" w:cs="Arial"/>
          <w:color w:val="000000" w:themeColor="text1"/>
          <w:sz w:val="24"/>
          <w14:textFill>
            <w14:solidFill>
              <w14:schemeClr w14:val="tx1"/>
            </w14:solidFill>
          </w14:textFill>
        </w:rPr>
        <w:t>，并就中标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项目向</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sz w:val="24"/>
          <w14:textFill>
            <w14:solidFill>
              <w14:schemeClr w14:val="tx1"/>
            </w14:solidFill>
          </w14:textFill>
        </w:rPr>
        <w:t>负责有连带的和各自的法律责任；</w:t>
      </w:r>
    </w:p>
    <w:p w14:paraId="6015A030">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b．联合体牵头方代表联合体成员</w:t>
      </w:r>
      <w:r>
        <w:rPr>
          <w:rFonts w:hint="eastAsia" w:ascii="仿宋" w:hAnsi="仿宋" w:eastAsia="仿宋" w:cs="Arial"/>
          <w:color w:val="000000" w:themeColor="text1"/>
          <w:sz w:val="24"/>
          <w14:textFill>
            <w14:solidFill>
              <w14:schemeClr w14:val="tx1"/>
            </w14:solidFill>
          </w14:textFill>
        </w:rPr>
        <w:t>接收采购人</w:t>
      </w:r>
      <w:r>
        <w:rPr>
          <w:rFonts w:ascii="仿宋" w:hAnsi="仿宋" w:eastAsia="仿宋" w:cs="Arial"/>
          <w:color w:val="000000" w:themeColor="text1"/>
          <w:sz w:val="24"/>
          <w14:textFill>
            <w14:solidFill>
              <w14:schemeClr w14:val="tx1"/>
            </w14:solidFill>
          </w14:textFill>
        </w:rPr>
        <w:t>的指令、指示和通知，并且在整个合同实施过程中的全部事宜（包括</w:t>
      </w:r>
      <w:r>
        <w:rPr>
          <w:rFonts w:hint="eastAsia" w:ascii="仿宋" w:hAnsi="仿宋" w:eastAsia="仿宋" w:cs="Arial"/>
          <w:color w:val="000000" w:themeColor="text1"/>
          <w:sz w:val="24"/>
          <w14:textFill>
            <w14:solidFill>
              <w14:schemeClr w14:val="tx1"/>
            </w14:solidFill>
          </w14:textFill>
        </w:rPr>
        <w:t>合同款</w:t>
      </w:r>
      <w:r>
        <w:rPr>
          <w:rFonts w:ascii="仿宋" w:hAnsi="仿宋" w:eastAsia="仿宋" w:cs="Arial"/>
          <w:color w:val="000000" w:themeColor="text1"/>
          <w:sz w:val="24"/>
          <w14:textFill>
            <w14:solidFill>
              <w14:schemeClr w14:val="tx1"/>
            </w14:solidFill>
          </w14:textFill>
        </w:rPr>
        <w:t>支付）均由联合体牵头方负责；</w:t>
      </w:r>
    </w:p>
    <w:p w14:paraId="38AF4042">
      <w:pPr>
        <w:autoSpaceDE w:val="0"/>
        <w:autoSpaceDN w:val="0"/>
        <w:spacing w:line="360" w:lineRule="auto"/>
        <w:ind w:firstLine="465" w:firstLineChars="193"/>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c．联合体</w:t>
      </w:r>
      <w:r>
        <w:rPr>
          <w:rFonts w:hint="eastAsia" w:ascii="仿宋" w:hAnsi="仿宋" w:eastAsia="仿宋" w:cs="Arial"/>
          <w:b/>
          <w:color w:val="000000" w:themeColor="text1"/>
          <w:sz w:val="24"/>
          <w14:textFill>
            <w14:solidFill>
              <w14:schemeClr w14:val="tx1"/>
            </w14:solidFill>
          </w14:textFill>
        </w:rPr>
        <w:t>各方承担的工作和义务详细安排如下：</w:t>
      </w:r>
    </w:p>
    <w:p w14:paraId="3640F041">
      <w:pPr>
        <w:autoSpaceDE w:val="0"/>
        <w:autoSpaceDN w:val="0"/>
        <w:spacing w:line="360" w:lineRule="auto"/>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____________________________________________________________________________________________________________________________________________________</w:t>
      </w:r>
    </w:p>
    <w:p w14:paraId="744DC401">
      <w:pPr>
        <w:autoSpaceDE w:val="0"/>
        <w:autoSpaceDN w:val="0"/>
        <w:spacing w:line="360" w:lineRule="auto"/>
        <w:ind w:firstLine="465" w:firstLineChars="193"/>
        <w:jc w:val="left"/>
        <w:rPr>
          <w:rFonts w:hint="eastAsia" w:ascii="仿宋" w:hAnsi="仿宋" w:eastAsia="仿宋" w:cs="Arial"/>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（5）投标</w:t>
      </w:r>
      <w:r>
        <w:rPr>
          <w:rFonts w:hint="eastAsia" w:ascii="仿宋" w:hAnsi="仿宋" w:eastAsia="仿宋" w:cs="Arial"/>
          <w:b/>
          <w:color w:val="000000" w:themeColor="text1"/>
          <w:sz w:val="24"/>
          <w14:textFill>
            <w14:solidFill>
              <w14:schemeClr w14:val="tx1"/>
            </w14:solidFill>
          </w14:textFill>
        </w:rPr>
        <w:t>（响应）</w:t>
      </w:r>
      <w:r>
        <w:rPr>
          <w:rFonts w:ascii="仿宋" w:hAnsi="仿宋" w:eastAsia="仿宋" w:cs="Arial"/>
          <w:b/>
          <w:color w:val="000000" w:themeColor="text1"/>
          <w:sz w:val="24"/>
          <w14:textFill>
            <w14:solidFill>
              <w14:schemeClr w14:val="tx1"/>
            </w14:solidFill>
          </w14:textFill>
        </w:rPr>
        <w:t>工作和联合体在中标</w:t>
      </w:r>
      <w:r>
        <w:rPr>
          <w:rFonts w:hint="eastAsia" w:ascii="仿宋" w:hAnsi="仿宋" w:eastAsia="仿宋" w:cs="Arial"/>
          <w:b/>
          <w:color w:val="000000" w:themeColor="text1"/>
          <w:sz w:val="24"/>
          <w14:textFill>
            <w14:solidFill>
              <w14:schemeClr w14:val="tx1"/>
            </w14:solidFill>
          </w14:textFill>
        </w:rPr>
        <w:t>（成交）</w:t>
      </w:r>
      <w:r>
        <w:rPr>
          <w:rFonts w:ascii="仿宋" w:hAnsi="仿宋" w:eastAsia="仿宋" w:cs="Arial"/>
          <w:b/>
          <w:color w:val="000000" w:themeColor="text1"/>
          <w:sz w:val="24"/>
          <w14:textFill>
            <w14:solidFill>
              <w14:schemeClr w14:val="tx1"/>
            </w14:solidFill>
          </w14:textFill>
        </w:rPr>
        <w:t>后工程实施过程中的有关费用按各自承担的工作量分摊</w:t>
      </w:r>
      <w:r>
        <w:rPr>
          <w:rFonts w:hint="eastAsia" w:ascii="仿宋" w:hAnsi="仿宋" w:eastAsia="仿宋" w:cs="Arial"/>
          <w:b/>
          <w:color w:val="000000" w:themeColor="text1"/>
          <w:sz w:val="24"/>
          <w14:textFill>
            <w14:solidFill>
              <w14:schemeClr w14:val="tx1"/>
            </w14:solidFill>
          </w14:textFill>
        </w:rPr>
        <w:t>，具体说明如下：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14:paraId="666544C2">
      <w:pPr>
        <w:autoSpaceDE w:val="0"/>
        <w:autoSpaceDN w:val="0"/>
        <w:spacing w:line="360" w:lineRule="auto"/>
        <w:ind w:firstLine="465" w:firstLineChars="193"/>
        <w:jc w:val="left"/>
        <w:rPr>
          <w:rFonts w:hint="eastAsia" w:ascii="仿宋" w:hAnsi="仿宋" w:eastAsia="仿宋" w:cs="Arial"/>
          <w:b/>
          <w:color w:val="000000" w:themeColor="text1"/>
          <w:sz w:val="24"/>
          <w14:textFill>
            <w14:solidFill>
              <w14:schemeClr w14:val="tx1"/>
            </w14:solidFill>
          </w14:textFill>
        </w:rPr>
      </w:pP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6</w:t>
      </w:r>
      <w:r>
        <w:rPr>
          <w:rFonts w:ascii="仿宋" w:hAnsi="仿宋" w:eastAsia="仿宋" w:cs="Arial"/>
          <w:b/>
          <w:color w:val="000000" w:themeColor="text1"/>
          <w:sz w:val="24"/>
          <w14:textFill>
            <w14:solidFill>
              <w14:schemeClr w14:val="tx1"/>
            </w14:solidFill>
          </w14:textFill>
        </w:rPr>
        <w:t>）</w:t>
      </w:r>
      <w:r>
        <w:rPr>
          <w:rFonts w:hint="eastAsia" w:ascii="仿宋" w:hAnsi="仿宋" w:eastAsia="仿宋" w:cs="Arial"/>
          <w:b/>
          <w:color w:val="000000" w:themeColor="text1"/>
          <w:sz w:val="24"/>
          <w14:textFill>
            <w14:solidFill>
              <w14:schemeClr w14:val="tx1"/>
            </w14:solidFill>
          </w14:textFill>
        </w:rPr>
        <w:t>如中标（成交），采购代理服务费支付承诺如下：</w:t>
      </w:r>
      <w:r>
        <w:rPr>
          <w:rFonts w:ascii="仿宋" w:hAnsi="仿宋" w:eastAsia="仿宋" w:cs="Arial"/>
          <w:color w:val="000000" w:themeColor="text1"/>
          <w:sz w:val="24"/>
          <w14:textFill>
            <w14:solidFill>
              <w14:schemeClr w14:val="tx1"/>
            </w14:solidFill>
          </w14:textFill>
        </w:rPr>
        <w:t>_______________________________________________________________</w:t>
      </w:r>
    </w:p>
    <w:p w14:paraId="560BC3FB">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3、</w:t>
      </w:r>
      <w:r>
        <w:rPr>
          <w:rFonts w:hint="eastAsia" w:ascii="仿宋" w:hAnsi="仿宋" w:eastAsia="仿宋" w:cs="Arial"/>
          <w:color w:val="000000" w:themeColor="text1"/>
          <w:sz w:val="24"/>
          <w14:textFill>
            <w14:solidFill>
              <w14:schemeClr w14:val="tx1"/>
            </w14:solidFill>
          </w14:textFill>
        </w:rPr>
        <w:t>我们承诺各</w:t>
      </w:r>
      <w:r>
        <w:rPr>
          <w:rFonts w:ascii="仿宋" w:hAnsi="仿宋" w:eastAsia="仿宋" w:cs="Arial"/>
          <w:color w:val="000000" w:themeColor="text1"/>
          <w:sz w:val="24"/>
          <w14:textFill>
            <w14:solidFill>
              <w14:schemeClr w14:val="tx1"/>
            </w14:solidFill>
          </w14:textFill>
        </w:rPr>
        <w:t>成员不再以自己的名义单独投标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，也</w:t>
      </w:r>
      <w:r>
        <w:rPr>
          <w:rFonts w:hint="eastAsia" w:ascii="仿宋" w:hAnsi="仿宋" w:eastAsia="仿宋" w:cs="Arial"/>
          <w:color w:val="000000" w:themeColor="text1"/>
          <w:sz w:val="24"/>
          <w14:textFill>
            <w14:solidFill>
              <w14:schemeClr w14:val="tx1"/>
            </w14:solidFill>
          </w14:textFill>
        </w:rPr>
        <w:t>不再与其他供应商组成联合体参加本项目的</w:t>
      </w:r>
      <w:r>
        <w:rPr>
          <w:rFonts w:ascii="仿宋" w:hAnsi="仿宋" w:eastAsia="仿宋" w:cs="Arial"/>
          <w:color w:val="000000" w:themeColor="text1"/>
          <w:sz w:val="24"/>
          <w14:textFill>
            <w14:solidFill>
              <w14:schemeClr w14:val="tx1"/>
            </w14:solidFill>
          </w14:textFill>
        </w:rPr>
        <w:t>投标</w:t>
      </w:r>
      <w:r>
        <w:rPr>
          <w:rFonts w:hint="eastAsia" w:ascii="仿宋" w:hAnsi="仿宋" w:eastAsia="仿宋" w:cs="Arial"/>
          <w:color w:val="000000" w:themeColor="text1"/>
          <w:sz w:val="24"/>
          <w14:textFill>
            <w14:solidFill>
              <w14:schemeClr w14:val="tx1"/>
            </w14:solidFill>
          </w14:textFill>
        </w:rPr>
        <w:t>（响应）</w:t>
      </w:r>
      <w:r>
        <w:rPr>
          <w:rFonts w:ascii="仿宋" w:hAnsi="仿宋" w:eastAsia="仿宋" w:cs="Arial"/>
          <w:color w:val="000000" w:themeColor="text1"/>
          <w:sz w:val="24"/>
          <w14:textFill>
            <w14:solidFill>
              <w14:schemeClr w14:val="tx1"/>
            </w14:solidFill>
          </w14:textFill>
        </w:rPr>
        <w:t>。</w:t>
      </w:r>
    </w:p>
    <w:p w14:paraId="1C6A578A">
      <w:pPr>
        <w:autoSpaceDE w:val="0"/>
        <w:autoSpaceDN w:val="0"/>
        <w:spacing w:line="360" w:lineRule="auto"/>
        <w:ind w:firstLine="463" w:firstLineChars="193"/>
        <w:rPr>
          <w:rFonts w:hint="eastAsia" w:ascii="仿宋" w:hAnsi="仿宋" w:eastAsia="仿宋" w:cs="Arial"/>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4、本协议书自签署之日起生效，在上述（4）a所述的合同书规定的期限之后自行失效；如中标</w:t>
      </w:r>
      <w:r>
        <w:rPr>
          <w:rFonts w:hint="eastAsia" w:ascii="仿宋" w:hAnsi="仿宋" w:eastAsia="仿宋" w:cs="Arial"/>
          <w:color w:val="000000" w:themeColor="text1"/>
          <w:sz w:val="24"/>
          <w14:textFill>
            <w14:solidFill>
              <w14:schemeClr w14:val="tx1"/>
            </w14:solidFill>
          </w14:textFill>
        </w:rPr>
        <w:t>（成交）</w:t>
      </w:r>
      <w:r>
        <w:rPr>
          <w:rFonts w:ascii="仿宋" w:hAnsi="仿宋" w:eastAsia="仿宋" w:cs="Arial"/>
          <w:color w:val="000000" w:themeColor="text1"/>
          <w:sz w:val="24"/>
          <w14:textFill>
            <w14:solidFill>
              <w14:schemeClr w14:val="tx1"/>
            </w14:solidFill>
          </w14:textFill>
        </w:rPr>
        <w:t>后，联合体内部另有协议的，联合体牵头方应将该协议书送交业主。</w:t>
      </w:r>
    </w:p>
    <w:p w14:paraId="36AD1D6E">
      <w:pPr>
        <w:autoSpaceDE w:val="0"/>
        <w:autoSpaceDN w:val="0"/>
        <w:spacing w:line="360" w:lineRule="auto"/>
        <w:ind w:firstLine="463" w:firstLineChars="193"/>
        <w:rPr>
          <w:color w:val="000000" w:themeColor="text1"/>
          <w:sz w:val="24"/>
          <w14:textFill>
            <w14:solidFill>
              <w14:schemeClr w14:val="tx1"/>
            </w14:solidFill>
          </w14:textFill>
        </w:rPr>
      </w:pPr>
      <w:r>
        <w:rPr>
          <w:rFonts w:ascii="仿宋" w:hAnsi="仿宋" w:eastAsia="仿宋" w:cs="Arial"/>
          <w:color w:val="000000" w:themeColor="text1"/>
          <w:sz w:val="24"/>
          <w14:textFill>
            <w14:solidFill>
              <w14:schemeClr w14:val="tx1"/>
            </w14:solidFill>
          </w14:textFill>
        </w:rPr>
        <w:t>5、本协议书正本一式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投标时使用</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联合体成员各</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r>
        <w:rPr>
          <w:rFonts w:hint="eastAsia" w:ascii="仿宋" w:hAnsi="仿宋" w:eastAsia="仿宋" w:cs="Arial"/>
          <w:color w:val="000000" w:themeColor="text1"/>
          <w:sz w:val="24"/>
          <w14:textFill>
            <w14:solidFill>
              <w14:schemeClr w14:val="tx1"/>
            </w14:solidFill>
          </w14:textFill>
        </w:rPr>
        <w:t>，如中标（成交）</w:t>
      </w:r>
      <w:r>
        <w:rPr>
          <w:rFonts w:ascii="仿宋" w:hAnsi="仿宋" w:eastAsia="仿宋" w:cs="Arial"/>
          <w:color w:val="000000" w:themeColor="text1"/>
          <w:sz w:val="24"/>
          <w14:textFill>
            <w14:solidFill>
              <w14:schemeClr w14:val="tx1"/>
            </w14:solidFill>
          </w14:textFill>
        </w:rPr>
        <w:t>送</w:t>
      </w:r>
      <w:r>
        <w:rPr>
          <w:rFonts w:hint="eastAsia" w:ascii="仿宋" w:hAnsi="仿宋" w:eastAsia="仿宋" w:cs="Arial"/>
          <w:color w:val="000000" w:themeColor="text1"/>
          <w:sz w:val="24"/>
          <w14:textFill>
            <w14:solidFill>
              <w14:schemeClr w14:val="tx1"/>
            </w14:solidFill>
          </w14:textFill>
        </w:rPr>
        <w:t>采购人</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份；副本一式</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份，联合体成员各执</w:t>
      </w:r>
      <w:r>
        <w:rPr>
          <w:rFonts w:ascii="仿宋" w:hAnsi="仿宋" w:eastAsia="仿宋" w:cs="Arial"/>
          <w:color w:val="000000" w:themeColor="text1"/>
          <w:kern w:val="0"/>
          <w:sz w:val="24"/>
          <w:u w:val="single"/>
          <w14:textFill>
            <w14:solidFill>
              <w14:schemeClr w14:val="tx1"/>
            </w14:solidFill>
          </w14:textFill>
        </w:rPr>
        <w:t>△</w:t>
      </w:r>
      <w:r>
        <w:rPr>
          <w:rFonts w:ascii="仿宋" w:hAnsi="仿宋" w:eastAsia="仿宋" w:cs="Arial"/>
          <w:color w:val="000000" w:themeColor="text1"/>
          <w:sz w:val="24"/>
          <w14:textFill>
            <w14:solidFill>
              <w14:schemeClr w14:val="tx1"/>
            </w14:solidFill>
          </w14:textFill>
        </w:rPr>
        <w:t>份。</w:t>
      </w:r>
    </w:p>
    <w:p w14:paraId="2A4EC5B3">
      <w:pPr>
        <w:widowControl/>
        <w:autoSpaceDE w:val="0"/>
        <w:autoSpaceDN w:val="0"/>
        <w:jc w:val="left"/>
        <w:rPr>
          <w:color w:val="000000" w:themeColor="text1"/>
          <w:sz w:val="24"/>
          <w14:textFill>
            <w14:solidFill>
              <w14:schemeClr w14:val="tx1"/>
            </w14:solidFill>
          </w14:textFill>
        </w:rPr>
      </w:pPr>
    </w:p>
    <w:tbl>
      <w:tblPr>
        <w:tblStyle w:val="52"/>
        <w:tblW w:w="0" w:type="auto"/>
        <w:tblInd w:w="0" w:type="dxa"/>
        <w:tblLayout w:type="fixed"/>
        <w:tblCellMar>
          <w:top w:w="0" w:type="dxa"/>
          <w:left w:w="108" w:type="dxa"/>
          <w:bottom w:w="0" w:type="dxa"/>
          <w:right w:w="108" w:type="dxa"/>
        </w:tblCellMar>
      </w:tblPr>
      <w:tblGrid>
        <w:gridCol w:w="4572"/>
        <w:gridCol w:w="4573"/>
      </w:tblGrid>
      <w:tr w14:paraId="35E1C9AE">
        <w:tblPrEx>
          <w:tblCellMar>
            <w:top w:w="0" w:type="dxa"/>
            <w:left w:w="108" w:type="dxa"/>
            <w:bottom w:w="0" w:type="dxa"/>
            <w:right w:w="108" w:type="dxa"/>
          </w:tblCellMar>
        </w:tblPrEx>
        <w:trPr>
          <w:trHeight w:val="680" w:hRule="atLeast"/>
        </w:trPr>
        <w:tc>
          <w:tcPr>
            <w:tcW w:w="4572" w:type="dxa"/>
            <w:vAlign w:val="center"/>
          </w:tcPr>
          <w:p w14:paraId="2B033B78">
            <w:pPr>
              <w:widowControl/>
              <w:autoSpaceDE w:val="0"/>
              <w:autoSpaceDN w:val="0"/>
              <w:rPr>
                <w:rFonts w:hint="eastAsia"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c>
          <w:tcPr>
            <w:tcW w:w="4573" w:type="dxa"/>
            <w:vAlign w:val="center"/>
          </w:tcPr>
          <w:p w14:paraId="360D4376">
            <w:pPr>
              <w:widowControl/>
              <w:autoSpaceDE w:val="0"/>
              <w:autoSpaceDN w:val="0"/>
              <w:rPr>
                <w:rFonts w:hint="eastAsia"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单位名称</w:t>
            </w:r>
            <w:r>
              <w:rPr>
                <w:rFonts w:ascii="仿宋" w:hAnsi="仿宋" w:eastAsia="仿宋" w:cs="Arial"/>
                <w:color w:val="000000" w:themeColor="text1"/>
                <w:sz w:val="24"/>
                <w14:textFill>
                  <w14:solidFill>
                    <w14:schemeClr w14:val="tx1"/>
                  </w14:solidFill>
                </w14:textFill>
              </w:rPr>
              <w:t>（盖章）：</w:t>
            </w:r>
          </w:p>
        </w:tc>
      </w:tr>
      <w:tr w14:paraId="6EE6E685">
        <w:tblPrEx>
          <w:tblCellMar>
            <w:top w:w="0" w:type="dxa"/>
            <w:left w:w="108" w:type="dxa"/>
            <w:bottom w:w="0" w:type="dxa"/>
            <w:right w:w="108" w:type="dxa"/>
          </w:tblCellMar>
        </w:tblPrEx>
        <w:trPr>
          <w:trHeight w:val="680" w:hRule="atLeast"/>
        </w:trPr>
        <w:tc>
          <w:tcPr>
            <w:tcW w:w="4572" w:type="dxa"/>
            <w:vAlign w:val="center"/>
          </w:tcPr>
          <w:p w14:paraId="3202DA73">
            <w:pPr>
              <w:widowControl/>
              <w:autoSpaceDE w:val="0"/>
              <w:autoSpaceDN w:val="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c>
          <w:tcPr>
            <w:tcW w:w="4573" w:type="dxa"/>
            <w:vAlign w:val="center"/>
          </w:tcPr>
          <w:p w14:paraId="32833722">
            <w:pPr>
              <w:widowControl/>
              <w:autoSpaceDE w:val="0"/>
              <w:autoSpaceDN w:val="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p>
        </w:tc>
      </w:tr>
      <w:tr w14:paraId="0FDC2363">
        <w:tblPrEx>
          <w:tblCellMar>
            <w:top w:w="0" w:type="dxa"/>
            <w:left w:w="108" w:type="dxa"/>
            <w:bottom w:w="0" w:type="dxa"/>
            <w:right w:w="108" w:type="dxa"/>
          </w:tblCellMar>
        </w:tblPrEx>
        <w:trPr>
          <w:trHeight w:val="680" w:hRule="atLeast"/>
        </w:trPr>
        <w:tc>
          <w:tcPr>
            <w:tcW w:w="4572" w:type="dxa"/>
            <w:vAlign w:val="center"/>
          </w:tcPr>
          <w:p w14:paraId="2B266DFC">
            <w:pPr>
              <w:widowControl/>
              <w:autoSpaceDE w:val="0"/>
              <w:autoSpaceDN w:val="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c>
          <w:tcPr>
            <w:tcW w:w="4573" w:type="dxa"/>
            <w:vAlign w:val="center"/>
          </w:tcPr>
          <w:p w14:paraId="7C562526">
            <w:pPr>
              <w:widowControl/>
              <w:autoSpaceDE w:val="0"/>
              <w:autoSpaceDN w:val="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法定代表人或授权代表</w:t>
            </w:r>
            <w:r>
              <w:rPr>
                <w:rFonts w:ascii="仿宋" w:hAnsi="仿宋" w:eastAsia="仿宋" w:cs="Arial"/>
                <w:color w:val="000000" w:themeColor="text1"/>
                <w:sz w:val="24"/>
                <w14:textFill>
                  <w14:solidFill>
                    <w14:schemeClr w14:val="tx1"/>
                  </w14:solidFill>
                </w14:textFill>
              </w:rPr>
              <w:t>（签字或盖章）：</w:t>
            </w:r>
          </w:p>
        </w:tc>
      </w:tr>
      <w:tr w14:paraId="23F70BA8">
        <w:tblPrEx>
          <w:tblCellMar>
            <w:top w:w="0" w:type="dxa"/>
            <w:left w:w="108" w:type="dxa"/>
            <w:bottom w:w="0" w:type="dxa"/>
            <w:right w:w="108" w:type="dxa"/>
          </w:tblCellMar>
        </w:tblPrEx>
        <w:trPr>
          <w:trHeight w:val="680" w:hRule="atLeast"/>
        </w:trPr>
        <w:tc>
          <w:tcPr>
            <w:tcW w:w="4572" w:type="dxa"/>
            <w:vAlign w:val="center"/>
          </w:tcPr>
          <w:p w14:paraId="0B4634C1">
            <w:pPr>
              <w:widowControl/>
              <w:autoSpaceDE w:val="0"/>
              <w:autoSpaceDN w:val="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c>
          <w:tcPr>
            <w:tcW w:w="4573" w:type="dxa"/>
            <w:vAlign w:val="center"/>
          </w:tcPr>
          <w:p w14:paraId="1F6294E6">
            <w:pPr>
              <w:widowControl/>
              <w:autoSpaceDE w:val="0"/>
              <w:autoSpaceDN w:val="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联系方式：</w:t>
            </w:r>
          </w:p>
        </w:tc>
      </w:tr>
      <w:tr w14:paraId="4435D437">
        <w:tblPrEx>
          <w:tblCellMar>
            <w:top w:w="0" w:type="dxa"/>
            <w:left w:w="108" w:type="dxa"/>
            <w:bottom w:w="0" w:type="dxa"/>
            <w:right w:w="108" w:type="dxa"/>
          </w:tblCellMar>
        </w:tblPrEx>
        <w:trPr>
          <w:trHeight w:val="680" w:hRule="atLeast"/>
        </w:trPr>
        <w:tc>
          <w:tcPr>
            <w:tcW w:w="4572" w:type="dxa"/>
            <w:vAlign w:val="center"/>
          </w:tcPr>
          <w:p w14:paraId="5786E62D">
            <w:pPr>
              <w:widowControl/>
              <w:autoSpaceDE w:val="0"/>
              <w:autoSpaceDN w:val="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c>
          <w:tcPr>
            <w:tcW w:w="4573" w:type="dxa"/>
            <w:vAlign w:val="center"/>
          </w:tcPr>
          <w:p w14:paraId="6D392463">
            <w:pPr>
              <w:widowControl/>
              <w:autoSpaceDE w:val="0"/>
              <w:autoSpaceDN w:val="0"/>
              <w:rPr>
                <w:rFonts w:hint="eastAsia"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协议签订时间：</w:t>
            </w:r>
          </w:p>
        </w:tc>
      </w:tr>
    </w:tbl>
    <w:p w14:paraId="601B0B55">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088EB56B">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65D26ECF">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54F1EA18">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5FAE6DF6">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41BD6F01">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1B583DC6">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2346A88D">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68BCF7F8">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3481E1A0">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75B98C9D">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6A546CE7">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43E2BC26">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6C58DCA9">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28163DF3">
      <w:pPr>
        <w:pStyle w:val="5"/>
        <w:autoSpaceDE w:val="0"/>
        <w:autoSpaceDN w:val="0"/>
        <w:spacing w:line="360" w:lineRule="auto"/>
        <w:ind w:firstLine="421" w:firstLineChars="195"/>
        <w:jc w:val="left"/>
        <w:rPr>
          <w:rFonts w:hint="eastAsia" w:ascii="仿宋" w:hAnsi="仿宋" w:eastAsia="仿宋"/>
          <w:i/>
          <w:color w:val="000000"/>
          <w:w w:val="90"/>
          <w:sz w:val="24"/>
          <w:szCs w:val="28"/>
        </w:rPr>
      </w:pPr>
    </w:p>
    <w:p w14:paraId="7853652C">
      <w:pPr>
        <w:pStyle w:val="6"/>
        <w:autoSpaceDE w:val="0"/>
        <w:autoSpaceDN w:val="0"/>
        <w:ind w:firstLine="561"/>
        <w:jc w:val="left"/>
      </w:pPr>
      <w:r>
        <w:rPr>
          <w:rFonts w:hint="eastAsia"/>
        </w:rPr>
        <w:t>附、分包意向协议</w:t>
      </w:r>
    </w:p>
    <w:p w14:paraId="325D3748">
      <w:pPr>
        <w:widowControl/>
        <w:autoSpaceDE w:val="0"/>
        <w:autoSpaceDN w:val="0"/>
        <w:spacing w:line="360" w:lineRule="auto"/>
        <w:jc w:val="center"/>
        <w:rPr>
          <w:rFonts w:hint="eastAsia" w:ascii="华文中宋" w:hAnsi="华文中宋" w:eastAsia="华文中宋" w:cs="Arial"/>
          <w:b/>
          <w:w w:val="80"/>
          <w:kern w:val="0"/>
          <w:sz w:val="32"/>
          <w:szCs w:val="44"/>
        </w:rPr>
      </w:pPr>
      <w:r>
        <w:rPr>
          <w:rFonts w:hint="eastAsia" w:ascii="微软雅黑" w:hAnsi="微软雅黑" w:eastAsia="微软雅黑"/>
          <w:b/>
          <w:sz w:val="40"/>
        </w:rPr>
        <w:t>▲分包意向协议（仅分包适用）</w:t>
      </w:r>
    </w:p>
    <w:p w14:paraId="3D1E8705">
      <w:pPr>
        <w:autoSpaceDE w:val="0"/>
        <w:autoSpaceDN w:val="0"/>
        <w:spacing w:line="360" w:lineRule="auto"/>
        <w:ind w:firstLine="465" w:firstLineChars="193"/>
        <w:jc w:val="left"/>
        <w:rPr>
          <w:rFonts w:hint="eastAsia" w:ascii="仿宋" w:hAnsi="仿宋" w:eastAsia="仿宋" w:cs="Arial"/>
          <w:b/>
          <w:color w:val="000000" w:themeColor="text1"/>
          <w:sz w:val="24"/>
          <w14:textFill>
            <w14:solidFill>
              <w14:schemeClr w14:val="tx1"/>
            </w14:solidFill>
          </w14:textFill>
        </w:rPr>
      </w:pPr>
      <w:r>
        <w:rPr>
          <w:rFonts w:hint="eastAsia" w:ascii="仿宋" w:hAnsi="仿宋" w:eastAsia="仿宋" w:cs="Arial"/>
          <w:b/>
          <w:color w:val="000000" w:themeColor="text1"/>
          <w:sz w:val="24"/>
          <w14:textFill>
            <w14:solidFill>
              <w14:schemeClr w14:val="tx1"/>
            </w14:solidFill>
          </w14:textFill>
        </w:rPr>
        <w:t>（成交后以分包方式履行合同的，提供分包意向协议；采购人不同意分包或者磋商响应公寓成交后不以分包方式履行合同的，则不需要提供。）</w:t>
      </w:r>
    </w:p>
    <w:p w14:paraId="572E97B1">
      <w:pPr>
        <w:autoSpaceDE w:val="0"/>
        <w:autoSpaceDN w:val="0"/>
        <w:spacing w:line="360" w:lineRule="auto"/>
        <w:ind w:firstLine="463" w:firstLineChars="193"/>
        <w:rPr>
          <w:rFonts w:hint="eastAsia"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u w:val="single"/>
          <w14:textFill>
            <w14:solidFill>
              <w14:schemeClr w14:val="tx1"/>
            </w14:solidFill>
          </w14:textFill>
        </w:rPr>
        <w:t>（磋商响应供应商名称）</w:t>
      </w:r>
      <w:r>
        <w:rPr>
          <w:rFonts w:hint="eastAsia" w:ascii="仿宋" w:hAnsi="仿宋" w:eastAsia="仿宋" w:cs="Arial"/>
          <w:color w:val="000000" w:themeColor="text1"/>
          <w:sz w:val="24"/>
          <w:lang w:val="zh-CN"/>
          <w14:textFill>
            <w14:solidFill>
              <w14:schemeClr w14:val="tx1"/>
            </w14:solidFill>
          </w14:textFill>
        </w:rPr>
        <w:t>若成为</w:t>
      </w:r>
      <w:r>
        <w:rPr>
          <w:rFonts w:hint="eastAsia" w:ascii="仿宋" w:hAnsi="仿宋" w:eastAsia="仿宋" w:cs="Arial"/>
          <w:b/>
          <w:bCs/>
          <w:color w:val="000000" w:themeColor="text1"/>
          <w:sz w:val="24"/>
          <w:u w:val="single"/>
          <w:lang w:eastAsia="zh-CN"/>
          <w14:textFill>
            <w14:solidFill>
              <w14:schemeClr w14:val="tx1"/>
            </w14:solidFill>
          </w14:textFill>
        </w:rPr>
        <w:t>浙江工商大学教工路校区学生宿舍建设工程附属配电房移位改造工程（EPC）</w:t>
      </w:r>
      <w:r>
        <w:rPr>
          <w:rFonts w:hint="eastAsia" w:ascii="仿宋" w:hAnsi="仿宋" w:eastAsia="仿宋" w:cs="Arial"/>
          <w:b/>
          <w:bCs/>
          <w:color w:val="000000" w:themeColor="text1"/>
          <w:sz w:val="24"/>
          <w:u w:val="single"/>
          <w14:textFill>
            <w14:solidFill>
              <w14:schemeClr w14:val="tx1"/>
            </w14:solidFill>
          </w14:textFill>
        </w:rPr>
        <w:t>（项目编号：</w:t>
      </w:r>
      <w:r>
        <w:rPr>
          <w:rFonts w:hint="eastAsia" w:ascii="仿宋" w:hAnsi="仿宋" w:eastAsia="仿宋" w:cs="Arial"/>
          <w:b/>
          <w:bCs/>
          <w:color w:val="000000" w:themeColor="text1"/>
          <w:sz w:val="24"/>
          <w:u w:val="single"/>
          <w:lang w:eastAsia="zh-CN"/>
          <w14:textFill>
            <w14:solidFill>
              <w14:schemeClr w14:val="tx1"/>
            </w14:solidFill>
          </w14:textFill>
        </w:rPr>
        <w:t>CTZB-2025050222</w:t>
      </w:r>
      <w:r>
        <w:rPr>
          <w:rFonts w:hint="eastAsia" w:ascii="仿宋" w:hAnsi="仿宋" w:eastAsia="仿宋" w:cs="Arial"/>
          <w:b/>
          <w:bCs/>
          <w:color w:val="000000" w:themeColor="text1"/>
          <w:sz w:val="24"/>
          <w:u w:val="single"/>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的</w:t>
      </w:r>
      <w:r>
        <w:rPr>
          <w:rFonts w:hint="eastAsia" w:ascii="仿宋" w:hAnsi="仿宋" w:eastAsia="仿宋" w:cs="Arial"/>
          <w:color w:val="000000" w:themeColor="text1"/>
          <w:sz w:val="24"/>
          <w14:textFill>
            <w14:solidFill>
              <w14:schemeClr w14:val="tx1"/>
            </w14:solidFill>
          </w14:textFill>
        </w:rPr>
        <w:t>成交</w:t>
      </w:r>
      <w:r>
        <w:rPr>
          <w:rFonts w:hint="eastAsia" w:ascii="仿宋" w:hAnsi="仿宋" w:eastAsia="仿宋" w:cs="Arial"/>
          <w:color w:val="000000" w:themeColor="text1"/>
          <w:sz w:val="24"/>
          <w:lang w:val="zh-CN"/>
          <w14:textFill>
            <w14:solidFill>
              <w14:schemeClr w14:val="tx1"/>
            </w14:solidFill>
          </w14:textFill>
        </w:rPr>
        <w:t>供应商，将依法采取分包方式履行合同。</w:t>
      </w:r>
      <w:r>
        <w:rPr>
          <w:rFonts w:hint="eastAsia" w:ascii="仿宋" w:hAnsi="仿宋" w:eastAsia="仿宋" w:cs="Arial"/>
          <w:b/>
          <w:bCs/>
          <w:color w:val="000000" w:themeColor="text1"/>
          <w:sz w:val="24"/>
          <w:u w:val="single"/>
          <w14:textFill>
            <w14:solidFill>
              <w14:schemeClr w14:val="tx1"/>
            </w14:solidFill>
          </w14:textFill>
        </w:rPr>
        <w:t>（磋商响应供应商名称）</w:t>
      </w:r>
      <w:r>
        <w:rPr>
          <w:rFonts w:hint="eastAsia" w:ascii="仿宋" w:hAnsi="仿宋" w:eastAsia="仿宋" w:cs="Arial"/>
          <w:color w:val="000000" w:themeColor="text1"/>
          <w:sz w:val="24"/>
          <w14:textFill>
            <w14:solidFill>
              <w14:schemeClr w14:val="tx1"/>
            </w14:solidFill>
          </w14:textFill>
        </w:rPr>
        <w:t>与</w:t>
      </w:r>
      <w:r>
        <w:rPr>
          <w:rFonts w:hint="eastAsia" w:ascii="仿宋" w:hAnsi="仿宋" w:eastAsia="仿宋" w:cs="Arial"/>
          <w:b/>
          <w:bCs/>
          <w:color w:val="000000" w:themeColor="text1"/>
          <w:sz w:val="24"/>
          <w:u w:val="single"/>
          <w14:textFill>
            <w14:solidFill>
              <w14:schemeClr w14:val="tx1"/>
            </w14:solidFill>
          </w14:textFill>
        </w:rPr>
        <w:t>（所有分包供应商名称）</w:t>
      </w:r>
      <w:r>
        <w:rPr>
          <w:rFonts w:hint="eastAsia" w:ascii="仿宋" w:hAnsi="仿宋" w:eastAsia="仿宋" w:cs="Arial"/>
          <w:color w:val="000000" w:themeColor="text1"/>
          <w:sz w:val="24"/>
          <w14:textFill>
            <w14:solidFill>
              <w14:schemeClr w14:val="tx1"/>
            </w14:solidFill>
          </w14:textFill>
        </w:rPr>
        <w:t>达成分包意向协议</w:t>
      </w:r>
      <w:r>
        <w:rPr>
          <w:rFonts w:hint="eastAsia" w:ascii="仿宋" w:hAnsi="仿宋" w:eastAsia="仿宋" w:cs="Arial"/>
          <w:color w:val="000000" w:themeColor="text1"/>
          <w:sz w:val="24"/>
          <w:lang w:val="zh-CN"/>
          <w14:textFill>
            <w14:solidFill>
              <w14:schemeClr w14:val="tx1"/>
            </w14:solidFill>
          </w14:textFill>
        </w:rPr>
        <w:t>。</w:t>
      </w:r>
      <w:r>
        <w:rPr>
          <w:rFonts w:ascii="仿宋" w:hAnsi="仿宋" w:eastAsia="仿宋" w:cs="Arial"/>
          <w:color w:val="000000" w:themeColor="text1"/>
          <w:sz w:val="24"/>
          <w:lang w:val="zh-CN"/>
          <w14:textFill>
            <w14:solidFill>
              <w14:schemeClr w14:val="tx1"/>
            </w14:solidFill>
          </w14:textFill>
        </w:rPr>
        <w:t xml:space="preserve"> </w:t>
      </w:r>
    </w:p>
    <w:p w14:paraId="317E4914">
      <w:pPr>
        <w:autoSpaceDE w:val="0"/>
        <w:autoSpaceDN w:val="0"/>
        <w:spacing w:line="360" w:lineRule="auto"/>
        <w:ind w:firstLine="463" w:firstLineChars="193"/>
        <w:rPr>
          <w:rFonts w:hint="eastAsia"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lang w:val="zh-CN"/>
          <w14:textFill>
            <w14:solidFill>
              <w14:schemeClr w14:val="tx1"/>
            </w14:solidFill>
          </w14:textFill>
        </w:rPr>
        <w:t>一、分包标的及数量</w:t>
      </w:r>
    </w:p>
    <w:p w14:paraId="54C64DB2">
      <w:pPr>
        <w:autoSpaceDE w:val="0"/>
        <w:autoSpaceDN w:val="0"/>
        <w:spacing w:line="360" w:lineRule="auto"/>
        <w:ind w:firstLine="465" w:firstLineChars="193"/>
        <w:rPr>
          <w:rFonts w:hint="eastAsia" w:ascii="仿宋" w:hAnsi="仿宋" w:eastAsia="仿宋" w:cs="Arial"/>
          <w:color w:val="000000" w:themeColor="text1"/>
          <w:sz w:val="24"/>
          <w:lang w:val="zh-CN"/>
          <w14:textFill>
            <w14:solidFill>
              <w14:schemeClr w14:val="tx1"/>
            </w14:solidFill>
          </w14:textFill>
        </w:rPr>
      </w:pPr>
      <w:r>
        <w:rPr>
          <w:rFonts w:hint="eastAsia" w:ascii="仿宋" w:hAnsi="仿宋" w:eastAsia="仿宋" w:cs="Arial"/>
          <w:b/>
          <w:bCs/>
          <w:color w:val="000000" w:themeColor="text1"/>
          <w:sz w:val="24"/>
          <w:u w:val="single"/>
          <w14:textFill>
            <w14:solidFill>
              <w14:schemeClr w14:val="tx1"/>
            </w14:solidFill>
          </w14:textFill>
        </w:rPr>
        <w:t>（磋商响应供应商名称）</w:t>
      </w:r>
      <w:r>
        <w:rPr>
          <w:rFonts w:hint="eastAsia" w:ascii="仿宋" w:hAnsi="仿宋" w:eastAsia="仿宋" w:cs="Arial"/>
          <w:color w:val="000000" w:themeColor="text1"/>
          <w:sz w:val="24"/>
          <w:lang w:val="zh-CN"/>
          <w14:textFill>
            <w14:solidFill>
              <w14:schemeClr w14:val="tx1"/>
            </w14:solidFill>
          </w14:textFill>
        </w:rPr>
        <w:t>将</w:t>
      </w:r>
      <w:r>
        <w:rPr>
          <w:rFonts w:hint="eastAsia" w:ascii="仿宋" w:hAnsi="仿宋" w:eastAsia="仿宋" w:cs="Arial"/>
          <w:b/>
          <w:bCs/>
          <w:color w:val="000000" w:themeColor="text1"/>
          <w:sz w:val="24"/>
          <w:u w:val="single"/>
          <w14:textFill>
            <w14:solidFill>
              <w14:schemeClr w14:val="tx1"/>
            </w14:solidFill>
          </w14:textFill>
        </w:rPr>
        <w:t xml:space="preserve">   XX工作内容   </w:t>
      </w:r>
      <w:r>
        <w:rPr>
          <w:rFonts w:hint="eastAsia" w:ascii="仿宋" w:hAnsi="仿宋" w:eastAsia="仿宋" w:cs="Arial"/>
          <w:color w:val="000000" w:themeColor="text1"/>
          <w:sz w:val="24"/>
          <w14:textFill>
            <w14:solidFill>
              <w14:schemeClr w14:val="tx1"/>
            </w14:solidFill>
          </w14:textFill>
        </w:rPr>
        <w:t>分包给</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lang w:val="zh-CN"/>
          <w14:textFill>
            <w14:solidFill>
              <w14:schemeClr w14:val="tx1"/>
            </w14:solidFill>
          </w14:textFill>
        </w:rPr>
        <w:t>，</w:t>
      </w:r>
      <w:r>
        <w:rPr>
          <w:rFonts w:hint="eastAsia" w:ascii="仿宋" w:hAnsi="仿宋" w:eastAsia="仿宋" w:cs="Arial"/>
          <w:b/>
          <w:bCs/>
          <w:color w:val="000000" w:themeColor="text1"/>
          <w:sz w:val="24"/>
          <w:u w:val="single"/>
          <w14:textFill>
            <w14:solidFill>
              <w14:schemeClr w14:val="tx1"/>
            </w14:solidFill>
          </w14:textFill>
        </w:rPr>
        <w:t>（某分包供应商名称）</w:t>
      </w:r>
      <w:r>
        <w:rPr>
          <w:rFonts w:hint="eastAsia" w:ascii="仿宋" w:hAnsi="仿宋" w:eastAsia="仿宋" w:cs="Arial"/>
          <w:color w:val="000000" w:themeColor="text1"/>
          <w:sz w:val="24"/>
          <w14:textFill>
            <w14:solidFill>
              <w14:schemeClr w14:val="tx1"/>
            </w14:solidFill>
          </w14:textFill>
        </w:rPr>
        <w:t>，</w:t>
      </w:r>
      <w:r>
        <w:rPr>
          <w:rFonts w:hint="eastAsia" w:ascii="仿宋" w:hAnsi="仿宋" w:eastAsia="仿宋" w:cs="Arial"/>
          <w:color w:val="000000" w:themeColor="text1"/>
          <w:sz w:val="24"/>
          <w:lang w:val="zh-CN"/>
          <w14:textFill>
            <w14:solidFill>
              <w14:schemeClr w14:val="tx1"/>
            </w14:solidFill>
          </w14:textFill>
        </w:rPr>
        <w:t>具备承</w:t>
      </w:r>
      <w:r>
        <w:rPr>
          <w:rFonts w:hint="eastAsia" w:ascii="仿宋" w:hAnsi="仿宋" w:eastAsia="仿宋" w:cs="Arial"/>
          <w:color w:val="000000" w:themeColor="text1"/>
          <w:sz w:val="24"/>
          <w14:textFill>
            <w14:solidFill>
              <w14:schemeClr w14:val="tx1"/>
            </w14:solidFill>
          </w14:textFill>
        </w:rPr>
        <w:t>担</w:t>
      </w:r>
      <w:r>
        <w:rPr>
          <w:rFonts w:hint="eastAsia" w:ascii="仿宋" w:hAnsi="仿宋" w:eastAsia="仿宋" w:cs="Arial"/>
          <w:b/>
          <w:bCs/>
          <w:color w:val="000000" w:themeColor="text1"/>
          <w:sz w:val="24"/>
          <w:u w:val="single"/>
          <w:lang w:val="zh-CN"/>
          <w14:textFill>
            <w14:solidFill>
              <w14:schemeClr w14:val="tx1"/>
            </w14:solidFill>
          </w14:textFill>
        </w:rPr>
        <w:t>XX工作内容</w:t>
      </w:r>
      <w:r>
        <w:rPr>
          <w:rFonts w:hint="eastAsia" w:ascii="仿宋" w:hAnsi="仿宋" w:eastAsia="仿宋" w:cs="Arial"/>
          <w:color w:val="000000" w:themeColor="text1"/>
          <w:sz w:val="24"/>
          <w:lang w:val="zh-CN"/>
          <w14:textFill>
            <w14:solidFill>
              <w14:schemeClr w14:val="tx1"/>
            </w14:solidFill>
          </w14:textFill>
        </w:rPr>
        <w:t>相应资质条件且不得再次分包；</w:t>
      </w:r>
    </w:p>
    <w:p w14:paraId="569F7FCD">
      <w:pPr>
        <w:autoSpaceDE w:val="0"/>
        <w:autoSpaceDN w:val="0"/>
        <w:spacing w:line="360" w:lineRule="auto"/>
        <w:ind w:firstLine="463" w:firstLineChars="193"/>
        <w:rPr>
          <w:rFonts w:hint="eastAsia" w:ascii="仿宋" w:hAnsi="仿宋" w:eastAsia="仿宋" w:cs="Arial"/>
          <w:color w:val="000000" w:themeColor="text1"/>
          <w:sz w:val="24"/>
          <w:lang w:val="zh-CN"/>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二、</w:t>
      </w:r>
      <w:r>
        <w:rPr>
          <w:rFonts w:hint="eastAsia" w:ascii="仿宋" w:hAnsi="仿宋" w:eastAsia="仿宋" w:cs="Arial"/>
          <w:color w:val="000000" w:themeColor="text1"/>
          <w:sz w:val="24"/>
          <w:lang w:val="zh-CN"/>
          <w14:textFill>
            <w14:solidFill>
              <w14:schemeClr w14:val="tx1"/>
            </w14:solidFill>
          </w14:textFill>
        </w:rPr>
        <w:t>分包工作履行期限、地点、方式</w:t>
      </w:r>
    </w:p>
    <w:p w14:paraId="3FF6C905">
      <w:pPr>
        <w:autoSpaceDE w:val="0"/>
        <w:autoSpaceDN w:val="0"/>
        <w:spacing w:line="360" w:lineRule="auto"/>
        <w:rPr>
          <w:rFonts w:eastAsia="仿宋"/>
        </w:rPr>
      </w:pPr>
      <w:r>
        <w:rPr>
          <w:rFonts w:ascii="仿宋" w:hAnsi="仿宋" w:eastAsia="仿宋" w:cs="Arial"/>
          <w:color w:val="000000" w:themeColor="text1"/>
          <w:sz w:val="24"/>
          <w14:textFill>
            <w14:solidFill>
              <w14:schemeClr w14:val="tx1"/>
            </w14:solidFill>
          </w14:textFill>
        </w:rPr>
        <w:t>___________________________________________________________________</w:t>
      </w:r>
      <w:r>
        <w:rPr>
          <w:rFonts w:hint="eastAsia" w:ascii="仿宋" w:hAnsi="仿宋" w:eastAsia="仿宋" w:cs="Arial"/>
          <w:color w:val="000000" w:themeColor="text1"/>
          <w:sz w:val="24"/>
          <w14:textFill>
            <w14:solidFill>
              <w14:schemeClr w14:val="tx1"/>
            </w14:solidFill>
          </w14:textFill>
        </w:rPr>
        <w:t xml:space="preserve">    </w:t>
      </w:r>
    </w:p>
    <w:p w14:paraId="798A8DB8">
      <w:pPr>
        <w:autoSpaceDE w:val="0"/>
        <w:autoSpaceDN w:val="0"/>
        <w:spacing w:line="360" w:lineRule="auto"/>
        <w:ind w:firstLine="463" w:firstLineChars="193"/>
        <w:rPr>
          <w:lang w:val="zh-CN"/>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lang w:val="zh-CN"/>
        </w:rPr>
        <w:t>质量</w:t>
      </w:r>
    </w:p>
    <w:p w14:paraId="536BC1EE">
      <w:pPr>
        <w:autoSpaceDE w:val="0"/>
        <w:autoSpaceDN w:val="0"/>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w:t>
      </w:r>
    </w:p>
    <w:p w14:paraId="67FBAB7D">
      <w:pPr>
        <w:autoSpaceDE w:val="0"/>
        <w:autoSpaceDN w:val="0"/>
        <w:spacing w:line="360" w:lineRule="auto"/>
        <w:ind w:firstLine="463" w:firstLineChars="193"/>
        <w:rPr>
          <w:lang w:val="zh-CN"/>
        </w:rPr>
      </w:pPr>
      <w:r>
        <w:rPr>
          <w:rFonts w:hint="eastAsia" w:ascii="仿宋_GB2312" w:hAnsi="仿宋" w:eastAsia="仿宋_GB2312" w:cs="仿宋_GB2312"/>
          <w:kern w:val="0"/>
          <w:sz w:val="24"/>
        </w:rPr>
        <w:t>四、</w:t>
      </w:r>
      <w:r>
        <w:rPr>
          <w:rFonts w:hint="eastAsia" w:ascii="仿宋_GB2312" w:hAnsi="仿宋" w:eastAsia="仿宋_GB2312" w:cs="仿宋_GB2312"/>
          <w:kern w:val="0"/>
          <w:sz w:val="24"/>
          <w:lang w:val="zh-CN"/>
        </w:rPr>
        <w:t>价款或者报酬</w:t>
      </w:r>
    </w:p>
    <w:p w14:paraId="3CEEC70F">
      <w:pPr>
        <w:autoSpaceDE w:val="0"/>
        <w:autoSpaceDN w:val="0"/>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p>
    <w:p w14:paraId="2F574C76">
      <w:pPr>
        <w:autoSpaceDE w:val="0"/>
        <w:autoSpaceDN w:val="0"/>
        <w:spacing w:line="360" w:lineRule="auto"/>
        <w:ind w:firstLine="463" w:firstLineChars="193"/>
        <w:rPr>
          <w:lang w:val="zh-CN"/>
        </w:rPr>
      </w:pPr>
      <w:r>
        <w:rPr>
          <w:rFonts w:hint="eastAsia" w:ascii="仿宋_GB2312" w:hAnsi="仿宋" w:eastAsia="仿宋_GB2312" w:cs="仿宋_GB2312"/>
          <w:kern w:val="0"/>
          <w:sz w:val="24"/>
        </w:rPr>
        <w:t>五、</w:t>
      </w:r>
      <w:r>
        <w:rPr>
          <w:rFonts w:hint="eastAsia" w:ascii="仿宋_GB2312" w:hAnsi="仿宋" w:eastAsia="仿宋_GB2312" w:cs="仿宋_GB2312"/>
          <w:kern w:val="0"/>
          <w:sz w:val="24"/>
          <w:lang w:val="zh-CN"/>
        </w:rPr>
        <w:t>违约责任</w:t>
      </w:r>
    </w:p>
    <w:p w14:paraId="431D25AE">
      <w:pPr>
        <w:autoSpaceDE w:val="0"/>
        <w:autoSpaceDN w:val="0"/>
        <w:snapToGrid w:val="0"/>
        <w:spacing w:line="360" w:lineRule="auto"/>
        <w:rPr>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_____________________________________________________________________</w:t>
      </w:r>
    </w:p>
    <w:p w14:paraId="503B63BE">
      <w:pPr>
        <w:autoSpaceDE w:val="0"/>
        <w:autoSpaceDN w:val="0"/>
        <w:spacing w:line="360" w:lineRule="auto"/>
        <w:ind w:firstLine="463" w:firstLineChars="193"/>
        <w:rPr>
          <w:rFonts w:hint="eastAsia" w:ascii="仿宋_GB2312" w:hAnsi="仿宋" w:eastAsia="仿宋_GB2312" w:cs="仿宋_GB2312"/>
          <w:kern w:val="0"/>
          <w:sz w:val="24"/>
          <w:lang w:val="zh-CN"/>
        </w:rPr>
      </w:pPr>
      <w:r>
        <w:rPr>
          <w:rFonts w:hint="eastAsia" w:ascii="仿宋_GB2312" w:hAnsi="仿宋" w:eastAsia="仿宋_GB2312" w:cs="仿宋_GB2312"/>
          <w:kern w:val="0"/>
          <w:sz w:val="24"/>
        </w:rPr>
        <w:t>六、</w:t>
      </w:r>
      <w:r>
        <w:rPr>
          <w:rFonts w:hint="eastAsia" w:ascii="仿宋_GB2312" w:hAnsi="仿宋" w:eastAsia="仿宋_GB2312" w:cs="仿宋_GB2312"/>
          <w:kern w:val="0"/>
          <w:sz w:val="24"/>
          <w:lang w:val="zh-CN"/>
        </w:rPr>
        <w:t>争议解决的办法</w:t>
      </w:r>
    </w:p>
    <w:p w14:paraId="116E6092">
      <w:pPr>
        <w:autoSpaceDE w:val="0"/>
        <w:autoSpaceDN w:val="0"/>
        <w:snapToGrid w:val="0"/>
        <w:spacing w:line="360" w:lineRule="auto"/>
        <w:rPr>
          <w:rFonts w:hint="eastAsia"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 xml:space="preserve">____________________________________________________________________                                                                            </w:t>
      </w:r>
      <w:r>
        <w:rPr>
          <w:rFonts w:ascii="仿宋_GB2312" w:hAnsi="仿宋" w:eastAsia="仿宋_GB2312"/>
          <w:u w:val="single"/>
        </w:rPr>
        <w:t xml:space="preserve">  </w:t>
      </w:r>
    </w:p>
    <w:p w14:paraId="527B6DC5">
      <w:pPr>
        <w:autoSpaceDE w:val="0"/>
        <w:autoSpaceDN w:val="0"/>
        <w:spacing w:line="360" w:lineRule="auto"/>
        <w:ind w:firstLine="463" w:firstLineChars="193"/>
        <w:rPr>
          <w:rFonts w:hint="eastAsia" w:ascii="仿宋_GB2312" w:hAnsi="仿宋" w:eastAsia="仿宋_GB2312" w:cs="仿宋_GB2312"/>
          <w:kern w:val="0"/>
          <w:sz w:val="24"/>
          <w:lang w:val="zh-CN"/>
        </w:rPr>
      </w:pPr>
      <w:r>
        <w:rPr>
          <w:rFonts w:hint="eastAsia" w:ascii="仿宋_GB2312" w:hAnsi="仿宋" w:eastAsia="仿宋_GB2312" w:cs="仿宋_GB2312"/>
          <w:kern w:val="0"/>
          <w:sz w:val="24"/>
        </w:rPr>
        <w:t>七、</w:t>
      </w:r>
      <w:r>
        <w:rPr>
          <w:rFonts w:hint="eastAsia" w:ascii="仿宋_GB2312" w:hAnsi="仿宋" w:eastAsia="仿宋_GB2312" w:cs="仿宋_GB2312"/>
          <w:kern w:val="0"/>
          <w:sz w:val="24"/>
          <w:lang w:val="zh-CN"/>
        </w:rPr>
        <w:t>其他</w:t>
      </w:r>
    </w:p>
    <w:p w14:paraId="642F0943">
      <w:pPr>
        <w:autoSpaceDE w:val="0"/>
        <w:autoSpaceDN w:val="0"/>
        <w:snapToGrid w:val="0"/>
        <w:spacing w:line="360" w:lineRule="auto"/>
        <w:ind w:left="5760" w:hanging="5760" w:hangingChars="2400"/>
        <w:rPr>
          <w:rFonts w:hint="eastAsia" w:ascii="仿宋_GB2312" w:hAnsi="仿宋" w:eastAsia="仿宋_GB2312" w:cs="仿宋_GB2312"/>
          <w:kern w:val="0"/>
          <w:sz w:val="24"/>
          <w:lang w:val="zh-CN"/>
        </w:rPr>
      </w:pPr>
      <w:r>
        <w:rPr>
          <w:rFonts w:ascii="仿宋" w:hAnsi="仿宋" w:eastAsia="仿宋" w:cs="Arial"/>
          <w:color w:val="000000" w:themeColor="text1"/>
          <w:sz w:val="24"/>
          <w14:textFill>
            <w14:solidFill>
              <w14:schemeClr w14:val="tx1"/>
            </w14:solidFill>
          </w14:textFill>
        </w:rPr>
        <w:t>____________________________________________________________________</w:t>
      </w: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rPr>
        <w:t>磋商响应供应商</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14:paraId="7B83425A">
      <w:pPr>
        <w:autoSpaceDE w:val="0"/>
        <w:autoSpaceDN w:val="0"/>
        <w:snapToGrid w:val="0"/>
        <w:spacing w:line="360" w:lineRule="auto"/>
        <w:ind w:firstLine="5640" w:firstLineChars="23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14:paraId="75956FED">
      <w:pPr>
        <w:autoSpaceDE w:val="0"/>
        <w:autoSpaceDN w:val="0"/>
        <w:spacing w:line="360" w:lineRule="auto"/>
        <w:jc w:val="center"/>
        <w:rPr>
          <w:rFonts w:hint="eastAsia"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14:paraId="00F3D368">
      <w:pPr>
        <w:pStyle w:val="5"/>
        <w:autoSpaceDE w:val="0"/>
        <w:autoSpaceDN w:val="0"/>
        <w:spacing w:line="360" w:lineRule="auto"/>
        <w:jc w:val="left"/>
        <w:rPr>
          <w:rFonts w:hint="eastAsia" w:ascii="仿宋" w:hAnsi="仿宋" w:eastAsia="仿宋"/>
          <w:i/>
          <w:color w:val="000000"/>
          <w:w w:val="90"/>
          <w:sz w:val="24"/>
          <w:szCs w:val="28"/>
        </w:rPr>
      </w:pPr>
    </w:p>
    <w:p w14:paraId="2501FD72">
      <w:pPr>
        <w:pStyle w:val="6"/>
        <w:autoSpaceDE w:val="0"/>
        <w:autoSpaceDN w:val="0"/>
        <w:ind w:firstLine="0" w:firstLineChars="0"/>
        <w:jc w:val="left"/>
        <w:rPr>
          <w:kern w:val="0"/>
        </w:rPr>
      </w:pPr>
      <w:r>
        <w:rPr>
          <w:rFonts w:ascii="Calibri" w:hAnsi="Calibri" w:eastAsia="宋体"/>
          <w:color w:val="000000"/>
        </w:rPr>
        <w:br w:type="page"/>
      </w:r>
      <w:r>
        <w:rPr>
          <w:rFonts w:hint="eastAsia" w:ascii="仿宋" w:hAnsi="仿宋" w:eastAsia="仿宋"/>
          <w:bCs w:val="0"/>
          <w:color w:val="000000"/>
          <w:sz w:val="24"/>
          <w:szCs w:val="20"/>
        </w:rPr>
        <w:t>附：政府采购活动现场确认声明书（开标后填写）</w:t>
      </w:r>
    </w:p>
    <w:p w14:paraId="5864CEE3">
      <w:pPr>
        <w:widowControl/>
        <w:autoSpaceDE w:val="0"/>
        <w:autoSpaceDN w:val="0"/>
        <w:spacing w:line="360" w:lineRule="auto"/>
        <w:ind w:firstLine="482" w:firstLineChars="200"/>
        <w:jc w:val="left"/>
        <w:rPr>
          <w:rFonts w:hint="eastAsia" w:ascii="仿宋" w:hAnsi="仿宋" w:eastAsia="仿宋" w:cs="仿宋"/>
          <w:b/>
          <w:color w:val="000000"/>
          <w:kern w:val="0"/>
          <w:sz w:val="24"/>
          <w:u w:val="single"/>
        </w:rPr>
      </w:pPr>
      <w:r>
        <w:rPr>
          <w:rFonts w:hint="eastAsia" w:ascii="仿宋" w:hAnsi="仿宋" w:eastAsia="仿宋" w:cs="仿宋"/>
          <w:b/>
          <w:color w:val="000000"/>
          <w:kern w:val="0"/>
          <w:sz w:val="24"/>
          <w:u w:val="single"/>
        </w:rPr>
        <w:t>说明：供应商得知本项目磋商响应文件成功解密的供应商名单等信息后，认真阅读、填写此声明书并盖章或签字,发送至邮箱87631191@zjsct.cn</w:t>
      </w:r>
    </w:p>
    <w:p w14:paraId="2E61C2F4">
      <w:pPr>
        <w:widowControl/>
        <w:autoSpaceDE w:val="0"/>
        <w:autoSpaceDN w:val="0"/>
        <w:spacing w:line="360" w:lineRule="auto"/>
        <w:jc w:val="center"/>
        <w:rPr>
          <w:rFonts w:hint="eastAsia" w:hAnsi="华文中宋" w:eastAsia="华文中宋"/>
          <w:b/>
          <w:color w:val="000000"/>
          <w:w w:val="80"/>
          <w:kern w:val="0"/>
          <w:sz w:val="44"/>
          <w:szCs w:val="44"/>
        </w:rPr>
      </w:pPr>
      <w:r>
        <w:rPr>
          <w:rFonts w:hint="eastAsia" w:hAnsi="华文中宋" w:eastAsia="华文中宋"/>
          <w:b/>
          <w:color w:val="000000"/>
          <w:w w:val="80"/>
          <w:kern w:val="0"/>
          <w:sz w:val="44"/>
          <w:szCs w:val="44"/>
        </w:rPr>
        <w:t>政府采购活动现场确认声明书（开标后填写）</w:t>
      </w:r>
    </w:p>
    <w:p w14:paraId="7780DCC2">
      <w:pPr>
        <w:autoSpaceDE w:val="0"/>
        <w:autoSpaceDN w:val="0"/>
        <w:spacing w:line="360" w:lineRule="auto"/>
        <w:rPr>
          <w:rFonts w:hint="eastAsia" w:ascii="仿宋" w:hAnsi="仿宋" w:eastAsia="仿宋" w:cs="仿宋"/>
          <w:b/>
          <w:color w:val="000000"/>
          <w:szCs w:val="21"/>
        </w:rPr>
      </w:pPr>
      <w:r>
        <w:rPr>
          <w:rFonts w:hint="eastAsia" w:ascii="仿宋" w:hAnsi="仿宋" w:eastAsia="仿宋" w:cs="仿宋"/>
          <w:b/>
          <w:color w:val="000000"/>
          <w:kern w:val="0"/>
          <w:szCs w:val="21"/>
          <w:u w:val="single"/>
        </w:rPr>
        <w:t>浙江工商大学、浙江省成套招标代理有限公司</w:t>
      </w:r>
      <w:r>
        <w:rPr>
          <w:rFonts w:hint="eastAsia" w:ascii="仿宋" w:hAnsi="仿宋" w:eastAsia="仿宋" w:cs="仿宋"/>
          <w:b/>
          <w:color w:val="000000"/>
          <w:kern w:val="0"/>
          <w:szCs w:val="21"/>
        </w:rPr>
        <w:t>：</w:t>
      </w:r>
    </w:p>
    <w:p w14:paraId="25A201AE">
      <w:pPr>
        <w:widowControl/>
        <w:autoSpaceDE w:val="0"/>
        <w:autoSpaceDN w:val="0"/>
        <w:spacing w:line="360" w:lineRule="auto"/>
        <w:ind w:firstLine="420" w:firstLineChars="200"/>
        <w:jc w:val="left"/>
        <w:rPr>
          <w:rFonts w:hint="eastAsia" w:ascii="仿宋" w:hAnsi="仿宋" w:eastAsia="仿宋" w:cs="仿宋"/>
          <w:b/>
          <w:color w:val="000000"/>
          <w:kern w:val="0"/>
          <w:szCs w:val="21"/>
        </w:rPr>
      </w:pPr>
      <w:r>
        <w:rPr>
          <w:rFonts w:hint="eastAsia" w:ascii="仿宋" w:hAnsi="仿宋" w:eastAsia="仿宋" w:cs="仿宋"/>
          <w:color w:val="000000"/>
          <w:kern w:val="0"/>
          <w:szCs w:val="21"/>
        </w:rPr>
        <w:t>本人经由____________________________________________________________</w:t>
      </w:r>
      <w:r>
        <w:rPr>
          <w:rFonts w:hint="eastAsia" w:ascii="仿宋" w:hAnsi="仿宋" w:eastAsia="仿宋" w:cs="仿宋"/>
          <w:color w:val="000000"/>
          <w:kern w:val="0"/>
          <w:szCs w:val="21"/>
          <w:u w:val="single"/>
        </w:rPr>
        <w:t>（供应商名称）</w:t>
      </w:r>
      <w:r>
        <w:rPr>
          <w:rFonts w:hint="eastAsia" w:ascii="仿宋" w:hAnsi="仿宋" w:eastAsia="仿宋" w:cs="仿宋"/>
          <w:color w:val="000000"/>
          <w:kern w:val="0"/>
          <w:szCs w:val="21"/>
        </w:rPr>
        <w:t>法定代表人__________________</w:t>
      </w:r>
      <w:r>
        <w:rPr>
          <w:rFonts w:hint="eastAsia" w:ascii="仿宋" w:hAnsi="仿宋" w:eastAsia="仿宋" w:cs="仿宋"/>
          <w:color w:val="000000"/>
          <w:kern w:val="0"/>
          <w:szCs w:val="21"/>
          <w:u w:val="single"/>
        </w:rPr>
        <w:t>（姓名）</w:t>
      </w:r>
      <w:r>
        <w:rPr>
          <w:rFonts w:hint="eastAsia" w:ascii="仿宋" w:hAnsi="仿宋" w:eastAsia="仿宋" w:cs="仿宋"/>
          <w:color w:val="000000"/>
          <w:kern w:val="0"/>
          <w:szCs w:val="21"/>
        </w:rPr>
        <w:t>合法授权参加</w:t>
      </w:r>
      <w:r>
        <w:rPr>
          <w:rFonts w:hint="eastAsia" w:ascii="仿宋" w:hAnsi="仿宋" w:eastAsia="仿宋" w:cs="仿宋"/>
          <w:b/>
          <w:color w:val="000000"/>
          <w:kern w:val="0"/>
          <w:szCs w:val="21"/>
          <w:u w:val="single"/>
          <w:lang w:eastAsia="zh-CN"/>
        </w:rPr>
        <w:t>浙江工商大学教工路校区学生宿舍建设工程附属配电房移位改造工程（EPC）</w:t>
      </w:r>
      <w:r>
        <w:rPr>
          <w:rFonts w:hint="eastAsia" w:ascii="仿宋" w:hAnsi="仿宋" w:eastAsia="仿宋" w:cs="仿宋"/>
          <w:b/>
          <w:color w:val="000000"/>
          <w:kern w:val="0"/>
          <w:szCs w:val="21"/>
          <w:u w:val="single"/>
        </w:rPr>
        <w:t>（项目编号：</w:t>
      </w:r>
      <w:r>
        <w:rPr>
          <w:rFonts w:hint="eastAsia" w:ascii="仿宋" w:hAnsi="仿宋" w:eastAsia="仿宋" w:cs="仿宋"/>
          <w:b/>
          <w:color w:val="000000"/>
          <w:kern w:val="0"/>
          <w:szCs w:val="21"/>
          <w:u w:val="single"/>
          <w:lang w:eastAsia="zh-CN"/>
        </w:rPr>
        <w:t>CTZB-2025050222</w:t>
      </w:r>
      <w:r>
        <w:rPr>
          <w:rFonts w:hint="eastAsia" w:ascii="仿宋" w:hAnsi="仿宋" w:eastAsia="仿宋" w:cs="仿宋"/>
          <w:b/>
          <w:color w:val="000000"/>
          <w:kern w:val="0"/>
          <w:szCs w:val="21"/>
          <w:u w:val="single"/>
        </w:rPr>
        <w:t>）</w:t>
      </w:r>
      <w:r>
        <w:rPr>
          <w:rFonts w:hint="eastAsia" w:ascii="仿宋" w:hAnsi="仿宋" w:eastAsia="仿宋" w:cs="仿宋"/>
          <w:color w:val="000000"/>
          <w:kern w:val="0"/>
          <w:szCs w:val="21"/>
        </w:rPr>
        <w:t>的政府采购活动，</w:t>
      </w:r>
      <w:r>
        <w:rPr>
          <w:rFonts w:hint="eastAsia" w:ascii="仿宋" w:hAnsi="仿宋" w:eastAsia="仿宋" w:cs="仿宋"/>
          <w:b/>
          <w:color w:val="000000"/>
          <w:kern w:val="0"/>
          <w:szCs w:val="21"/>
        </w:rPr>
        <w:t>经与本单位法定代表人（负责人）联系确认，现就有关公平竞争事项郑重声明如下：</w:t>
      </w:r>
    </w:p>
    <w:p w14:paraId="532725C9">
      <w:pPr>
        <w:autoSpaceDE w:val="0"/>
        <w:autoSpaceDN w:val="0"/>
        <w:spacing w:line="360" w:lineRule="auto"/>
        <w:ind w:firstLine="373" w:firstLineChars="177"/>
        <w:jc w:val="left"/>
        <w:rPr>
          <w:rFonts w:hint="eastAsia" w:ascii="仿宋" w:hAnsi="仿宋" w:eastAsia="仿宋" w:cs="仿宋"/>
          <w:b/>
          <w:bCs/>
          <w:color w:val="000000"/>
          <w:kern w:val="0"/>
          <w:szCs w:val="21"/>
        </w:rPr>
      </w:pPr>
      <w:r>
        <w:rPr>
          <w:rFonts w:hint="eastAsia" w:ascii="仿宋" w:hAnsi="仿宋" w:eastAsia="仿宋" w:cs="仿宋"/>
          <w:b/>
          <w:color w:val="000000"/>
          <w:kern w:val="0"/>
          <w:szCs w:val="21"/>
        </w:rPr>
        <w:t>一、本单位与采购人之间：</w:t>
      </w:r>
      <w:r>
        <w:rPr>
          <w:rFonts w:hint="eastAsia" w:ascii="仿宋" w:hAnsi="仿宋" w:eastAsia="仿宋" w:cs="仿宋"/>
          <w:b/>
          <w:bCs/>
          <w:color w:val="000000"/>
          <w:kern w:val="0"/>
          <w:szCs w:val="21"/>
        </w:rPr>
        <w:t>□不存在利害关系/□存在下列利害关系</w:t>
      </w:r>
      <w:r>
        <w:rPr>
          <w:rFonts w:hint="eastAsia" w:ascii="仿宋" w:hAnsi="仿宋" w:eastAsia="仿宋" w:cs="仿宋"/>
          <w:b/>
          <w:color w:val="000000"/>
          <w:kern w:val="0"/>
          <w:szCs w:val="21"/>
        </w:rPr>
        <w:t>_______________</w:t>
      </w:r>
      <w:r>
        <w:rPr>
          <w:rFonts w:hint="eastAsia" w:ascii="仿宋" w:hAnsi="仿宋" w:eastAsia="仿宋" w:cs="仿宋"/>
          <w:b/>
          <w:bCs/>
          <w:color w:val="000000"/>
          <w:kern w:val="0"/>
          <w:szCs w:val="21"/>
        </w:rPr>
        <w:t>：</w:t>
      </w:r>
    </w:p>
    <w:p w14:paraId="1FE164FE">
      <w:pPr>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A.投资关系；B.行政隶属关系；C.业务指导关系；D.其他可能影响采购公正的利害关系（如有，请如实说明）：</w:t>
      </w:r>
      <w:r>
        <w:rPr>
          <w:rFonts w:hint="eastAsia" w:ascii="仿宋" w:hAnsi="仿宋" w:eastAsia="仿宋" w:cs="仿宋"/>
          <w:b/>
          <w:color w:val="000000"/>
          <w:kern w:val="0"/>
          <w:szCs w:val="21"/>
        </w:rPr>
        <w:t>__________________________________________</w:t>
      </w:r>
    </w:p>
    <w:p w14:paraId="24EC1700">
      <w:pPr>
        <w:autoSpaceDE w:val="0"/>
        <w:autoSpaceDN w:val="0"/>
        <w:spacing w:line="360" w:lineRule="auto"/>
        <w:ind w:firstLine="373" w:firstLineChars="177"/>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二、现已清楚知道参加本项目采购活动的其他所有供应商名称，本单位:</w:t>
      </w:r>
    </w:p>
    <w:p w14:paraId="103B33B8">
      <w:pPr>
        <w:autoSpaceDE w:val="0"/>
        <w:autoSpaceDN w:val="0"/>
        <w:spacing w:line="360" w:lineRule="auto"/>
        <w:ind w:firstLine="373" w:firstLineChars="177"/>
        <w:jc w:val="left"/>
        <w:rPr>
          <w:rFonts w:hint="eastAsia" w:ascii="仿宋" w:hAnsi="仿宋" w:eastAsia="仿宋" w:cs="仿宋"/>
          <w:b/>
          <w:bCs/>
          <w:color w:val="000000"/>
          <w:kern w:val="0"/>
          <w:szCs w:val="21"/>
        </w:rPr>
      </w:pPr>
      <w:r>
        <w:rPr>
          <w:rFonts w:hint="eastAsia" w:ascii="仿宋" w:hAnsi="仿宋" w:eastAsia="仿宋" w:cs="仿宋"/>
          <w:b/>
          <w:bCs/>
          <w:color w:val="000000"/>
          <w:kern w:val="0"/>
          <w:szCs w:val="21"/>
        </w:rPr>
        <w:t>□与其他所有供应商之间均不存在利害关系；</w:t>
      </w:r>
    </w:p>
    <w:p w14:paraId="4A3BCFB8">
      <w:pPr>
        <w:autoSpaceDE w:val="0"/>
        <w:autoSpaceDN w:val="0"/>
        <w:spacing w:line="360" w:lineRule="auto"/>
        <w:ind w:firstLine="373" w:firstLineChars="177"/>
        <w:jc w:val="left"/>
        <w:rPr>
          <w:rFonts w:hint="eastAsia" w:ascii="仿宋" w:hAnsi="仿宋" w:eastAsia="仿宋" w:cs="仿宋"/>
          <w:color w:val="000000"/>
          <w:kern w:val="0"/>
          <w:szCs w:val="21"/>
        </w:rPr>
      </w:pPr>
      <w:r>
        <w:rPr>
          <w:rFonts w:hint="eastAsia" w:ascii="仿宋" w:hAnsi="仿宋" w:eastAsia="仿宋" w:cs="仿宋"/>
          <w:b/>
          <w:bCs/>
          <w:color w:val="000000"/>
          <w:kern w:val="0"/>
          <w:szCs w:val="21"/>
        </w:rPr>
        <w:t>□与</w:t>
      </w:r>
      <w:r>
        <w:rPr>
          <w:rFonts w:hint="eastAsia" w:ascii="仿宋" w:hAnsi="仿宋" w:eastAsia="仿宋" w:cs="仿宋"/>
          <w:b/>
          <w:color w:val="000000"/>
          <w:kern w:val="0"/>
          <w:szCs w:val="21"/>
        </w:rPr>
        <w:t>____________________________________</w:t>
      </w:r>
      <w:r>
        <w:rPr>
          <w:rFonts w:hint="eastAsia" w:ascii="仿宋" w:hAnsi="仿宋" w:eastAsia="仿宋" w:cs="仿宋"/>
          <w:b/>
          <w:bCs/>
          <w:color w:val="000000"/>
          <w:kern w:val="0"/>
          <w:szCs w:val="21"/>
          <w:u w:val="single"/>
        </w:rPr>
        <w:t>（供应商名称）</w:t>
      </w:r>
      <w:r>
        <w:rPr>
          <w:rFonts w:hint="eastAsia" w:ascii="仿宋" w:hAnsi="仿宋" w:eastAsia="仿宋" w:cs="仿宋"/>
          <w:b/>
          <w:bCs/>
          <w:color w:val="000000"/>
          <w:kern w:val="0"/>
          <w:szCs w:val="21"/>
        </w:rPr>
        <w:t>之间存在下列利害关系</w:t>
      </w:r>
      <w:r>
        <w:rPr>
          <w:rFonts w:hint="eastAsia" w:ascii="仿宋" w:hAnsi="仿宋" w:eastAsia="仿宋" w:cs="仿宋"/>
          <w:b/>
          <w:color w:val="000000"/>
          <w:kern w:val="0"/>
          <w:szCs w:val="21"/>
        </w:rPr>
        <w:t>_______</w:t>
      </w:r>
      <w:r>
        <w:rPr>
          <w:rFonts w:hint="eastAsia" w:ascii="仿宋" w:hAnsi="仿宋" w:eastAsia="仿宋" w:cs="仿宋"/>
          <w:color w:val="000000"/>
          <w:kern w:val="0"/>
          <w:szCs w:val="21"/>
        </w:rPr>
        <w:t>：</w:t>
      </w:r>
    </w:p>
    <w:p w14:paraId="739C9052">
      <w:pPr>
        <w:widowControl/>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A.法定代表人或负责人或实际控制人是同一人；</w:t>
      </w:r>
    </w:p>
    <w:p w14:paraId="585988C2">
      <w:pPr>
        <w:widowControl/>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B.法定代表人或负责人或实际控制人是夫妻关系；</w:t>
      </w:r>
    </w:p>
    <w:p w14:paraId="7DE054C3">
      <w:pPr>
        <w:widowControl/>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C.法定代表人或负责人或实际控制人是直系血亲关系；</w:t>
      </w:r>
    </w:p>
    <w:p w14:paraId="2220B853">
      <w:pPr>
        <w:widowControl/>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D.法定代表人或负责人或实际控制人存在三代以内旁系血亲关系；</w:t>
      </w:r>
    </w:p>
    <w:p w14:paraId="5C4C08D0">
      <w:pPr>
        <w:widowControl/>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E.法定代表人或负责人或实际控制人存在近姻亲关系；</w:t>
      </w:r>
    </w:p>
    <w:p w14:paraId="6BFB0A65">
      <w:pPr>
        <w:widowControl/>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F.法定代表人或负责人或实际控制人存在股份控制或实际控制关系；</w:t>
      </w:r>
    </w:p>
    <w:p w14:paraId="18CAC80B">
      <w:pPr>
        <w:widowControl/>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G.存在共同直接或间接投资设立子公司、联营企业和合营企业情况；</w:t>
      </w:r>
    </w:p>
    <w:p w14:paraId="36691182">
      <w:pPr>
        <w:widowControl/>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H.存在分级代理或代销关系、同一生产制造商关系、管理关系、重要业务（占主营业务收入50%以上）或重要财务往来关系（如融资）等其他实质性控制关系；</w:t>
      </w:r>
    </w:p>
    <w:p w14:paraId="77D174F3">
      <w:pPr>
        <w:autoSpaceDE w:val="0"/>
        <w:autoSpaceDN w:val="0"/>
        <w:spacing w:line="360" w:lineRule="auto"/>
        <w:ind w:firstLine="371" w:firstLineChars="177"/>
        <w:jc w:val="left"/>
        <w:rPr>
          <w:rFonts w:hint="eastAsia" w:ascii="仿宋" w:hAnsi="仿宋" w:eastAsia="仿宋" w:cs="仿宋"/>
          <w:color w:val="000000"/>
          <w:kern w:val="0"/>
          <w:szCs w:val="21"/>
        </w:rPr>
      </w:pPr>
      <w:r>
        <w:rPr>
          <w:rFonts w:hint="eastAsia" w:ascii="仿宋" w:hAnsi="仿宋" w:eastAsia="仿宋" w:cs="仿宋"/>
          <w:color w:val="000000"/>
          <w:kern w:val="0"/>
          <w:szCs w:val="21"/>
        </w:rPr>
        <w:t>I.其他利害关系情况</w:t>
      </w:r>
      <w:r>
        <w:rPr>
          <w:rFonts w:hint="eastAsia" w:ascii="仿宋" w:hAnsi="仿宋" w:eastAsia="仿宋" w:cs="仿宋"/>
          <w:b/>
          <w:color w:val="000000"/>
          <w:kern w:val="0"/>
          <w:szCs w:val="21"/>
        </w:rPr>
        <w:t>_______________________________________________</w:t>
      </w:r>
      <w:r>
        <w:rPr>
          <w:rFonts w:hint="eastAsia" w:ascii="仿宋" w:hAnsi="仿宋" w:eastAsia="仿宋" w:cs="仿宋"/>
          <w:color w:val="000000"/>
          <w:kern w:val="0"/>
          <w:szCs w:val="21"/>
        </w:rPr>
        <w:t>。</w:t>
      </w:r>
    </w:p>
    <w:p w14:paraId="39808E7B">
      <w:pPr>
        <w:widowControl/>
        <w:autoSpaceDE w:val="0"/>
        <w:autoSpaceDN w:val="0"/>
        <w:spacing w:line="360" w:lineRule="auto"/>
        <w:ind w:firstLine="373" w:firstLineChars="177"/>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三、现已清楚知道并严格遵守政府采购法律法规和现场纪律。</w:t>
      </w:r>
    </w:p>
    <w:p w14:paraId="13E6D66F">
      <w:pPr>
        <w:widowControl/>
        <w:autoSpaceDE w:val="0"/>
        <w:autoSpaceDN w:val="0"/>
        <w:spacing w:line="360" w:lineRule="auto"/>
        <w:ind w:firstLine="373" w:firstLineChars="177"/>
        <w:jc w:val="left"/>
        <w:rPr>
          <w:rFonts w:hint="eastAsia" w:ascii="仿宋" w:hAnsi="仿宋" w:eastAsia="仿宋" w:cs="仿宋"/>
          <w:b/>
          <w:color w:val="000000"/>
          <w:kern w:val="0"/>
          <w:szCs w:val="21"/>
        </w:rPr>
      </w:pPr>
      <w:r>
        <w:rPr>
          <w:rFonts w:hint="eastAsia" w:ascii="仿宋" w:hAnsi="仿宋" w:eastAsia="仿宋" w:cs="仿宋"/>
          <w:b/>
          <w:color w:val="000000"/>
          <w:kern w:val="0"/>
          <w:szCs w:val="21"/>
        </w:rPr>
        <w:t>四、我发现____________________________________________________________________供应商之间存在或可能存在上述第二条第__________________项利害关系。</w:t>
      </w:r>
    </w:p>
    <w:p w14:paraId="19BD1A52">
      <w:pPr>
        <w:autoSpaceDE w:val="0"/>
        <w:autoSpaceDN w:val="0"/>
        <w:snapToGrid w:val="0"/>
        <w:spacing w:before="240" w:beforeLines="100" w:line="360" w:lineRule="auto"/>
        <w:jc w:val="right"/>
        <w:rPr>
          <w:rFonts w:hint="eastAsia" w:ascii="仿宋" w:hAnsi="仿宋" w:eastAsia="仿宋" w:cs="仿宋"/>
          <w:color w:val="000000"/>
          <w:kern w:val="0"/>
          <w:szCs w:val="21"/>
        </w:rPr>
      </w:pPr>
      <w:r>
        <w:rPr>
          <w:rFonts w:hint="eastAsia" w:ascii="仿宋" w:hAnsi="仿宋" w:eastAsia="仿宋" w:cs="仿宋"/>
          <w:b/>
          <w:color w:val="000000"/>
          <w:kern w:val="0"/>
          <w:szCs w:val="21"/>
        </w:rPr>
        <w:t>供应商盖章或法定代表人（或授权代表）签字（或盖章）：_______________</w:t>
      </w:r>
    </w:p>
    <w:p w14:paraId="07D7B20B">
      <w:pPr>
        <w:autoSpaceDE w:val="0"/>
        <w:autoSpaceDN w:val="0"/>
        <w:jc w:val="right"/>
        <w:rPr>
          <w:rFonts w:eastAsia="仿宋"/>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000000"/>
          <w:szCs w:val="21"/>
        </w:rPr>
        <w:t>日期：________年____月____ 日</w:t>
      </w:r>
    </w:p>
    <w:p w14:paraId="63C86E51">
      <w:pPr>
        <w:pStyle w:val="3"/>
        <w:autoSpaceDE w:val="0"/>
        <w:autoSpaceDN w:val="0"/>
        <w:spacing w:before="360"/>
        <w:ind w:firstLine="0" w:firstLineChars="0"/>
        <w:rPr>
          <w:rFonts w:hint="eastAsia" w:ascii="Times New Roman" w:hAnsi="仿宋" w:eastAsia="仿宋"/>
          <w:sz w:val="28"/>
          <w:szCs w:val="28"/>
        </w:rPr>
      </w:pPr>
      <w:bookmarkStart w:id="105" w:name="_Toc7988414"/>
      <w:bookmarkStart w:id="106" w:name="_Toc12132"/>
      <w:bookmarkStart w:id="107" w:name="_Toc440162800"/>
      <w:bookmarkStart w:id="108" w:name="_Toc424164168"/>
      <w:bookmarkStart w:id="109" w:name="_Toc14067"/>
      <w:bookmarkStart w:id="110" w:name="_Toc3598"/>
      <w:bookmarkStart w:id="111" w:name="_Toc44671434"/>
      <w:bookmarkStart w:id="112" w:name="_Toc8008423"/>
      <w:bookmarkStart w:id="113" w:name="_Toc46485599"/>
      <w:bookmarkStart w:id="114" w:name="_Toc7988468"/>
      <w:r>
        <w:rPr>
          <w:rFonts w:hint="eastAsia" w:ascii="Times New Roman" w:hAnsi="仿宋" w:eastAsia="仿宋"/>
          <w:sz w:val="28"/>
          <w:szCs w:val="28"/>
        </w:rPr>
        <w:t>第二部分“商务技术文件”格式</w:t>
      </w:r>
      <w:bookmarkEnd w:id="105"/>
      <w:bookmarkEnd w:id="106"/>
      <w:bookmarkEnd w:id="107"/>
      <w:bookmarkEnd w:id="108"/>
      <w:bookmarkEnd w:id="109"/>
      <w:bookmarkEnd w:id="110"/>
      <w:bookmarkEnd w:id="111"/>
      <w:bookmarkEnd w:id="112"/>
      <w:bookmarkEnd w:id="113"/>
      <w:bookmarkEnd w:id="114"/>
    </w:p>
    <w:p w14:paraId="1B3D083F">
      <w:pPr>
        <w:pStyle w:val="4"/>
        <w:keepNext/>
        <w:keepLines/>
        <w:widowControl w:val="0"/>
        <w:spacing w:before="120" w:after="120" w:line="360" w:lineRule="auto"/>
        <w:ind w:firstLine="240"/>
        <w:rPr>
          <w:rFonts w:hint="eastAsia" w:ascii="华文中宋" w:hAnsi="华文中宋"/>
          <w:bCs/>
          <w:color w:val="000000"/>
          <w:kern w:val="0"/>
          <w:szCs w:val="24"/>
        </w:rPr>
      </w:pPr>
      <w:r>
        <w:rPr>
          <w:rFonts w:hint="eastAsia" w:ascii="华文中宋" w:hAnsi="华文中宋"/>
          <w:bCs/>
          <w:color w:val="000000"/>
          <w:kern w:val="0"/>
          <w:szCs w:val="24"/>
        </w:rPr>
        <w:t>2-1 “商务技术文件”封面</w:t>
      </w:r>
    </w:p>
    <w:p w14:paraId="0F72252B">
      <w:pPr>
        <w:pStyle w:val="5"/>
        <w:autoSpaceDE w:val="0"/>
        <w:autoSpaceDN w:val="0"/>
        <w:rPr>
          <w:rFonts w:ascii="Calibri" w:hAnsi="Calibri"/>
          <w:color w:val="000000"/>
        </w:rPr>
      </w:pPr>
    </w:p>
    <w:p w14:paraId="290892A7">
      <w:pPr>
        <w:autoSpaceDE w:val="0"/>
        <w:autoSpaceDN w:val="0"/>
        <w:spacing w:line="276" w:lineRule="auto"/>
        <w:jc w:val="center"/>
        <w:rPr>
          <w:rFonts w:hint="eastAsia" w:ascii="微软雅黑" w:hAnsi="微软雅黑" w:eastAsia="微软雅黑" w:cs="Arial"/>
          <w:b/>
          <w:color w:val="000000"/>
          <w:sz w:val="90"/>
          <w:szCs w:val="90"/>
        </w:rPr>
      </w:pPr>
      <w:r>
        <w:rPr>
          <w:rFonts w:hint="eastAsia" w:ascii="微软雅黑" w:hAnsi="微软雅黑" w:eastAsia="微软雅黑" w:cs="Arial"/>
          <w:b/>
          <w:color w:val="000000"/>
          <w:kern w:val="0"/>
          <w:sz w:val="52"/>
          <w:szCs w:val="90"/>
        </w:rPr>
        <w:t>浙江省政府采购电子交易项目</w:t>
      </w:r>
    </w:p>
    <w:p w14:paraId="48EED4B4">
      <w:pPr>
        <w:autoSpaceDE w:val="0"/>
        <w:autoSpaceDN w:val="0"/>
        <w:spacing w:line="360" w:lineRule="auto"/>
        <w:rPr>
          <w:rFonts w:hint="eastAsia" w:ascii="仿宋" w:hAnsi="仿宋" w:eastAsia="仿宋"/>
          <w:color w:val="000000"/>
          <w:sz w:val="24"/>
        </w:rPr>
      </w:pPr>
    </w:p>
    <w:p w14:paraId="0D62D489">
      <w:pPr>
        <w:autoSpaceDE w:val="0"/>
        <w:autoSpaceDN w:val="0"/>
        <w:spacing w:line="276" w:lineRule="auto"/>
        <w:jc w:val="center"/>
        <w:rPr>
          <w:rFonts w:hint="eastAsia" w:ascii="微软雅黑" w:hAnsi="微软雅黑" w:eastAsia="微软雅黑" w:cs="Arial"/>
          <w:color w:val="000000"/>
          <w:kern w:val="0"/>
          <w:sz w:val="120"/>
          <w:szCs w:val="120"/>
        </w:rPr>
      </w:pPr>
      <w:r>
        <w:rPr>
          <w:rFonts w:hint="eastAsia" w:ascii="微软雅黑" w:hAnsi="微软雅黑" w:eastAsia="微软雅黑" w:cs="Arial"/>
          <w:color w:val="000000"/>
          <w:kern w:val="0"/>
          <w:sz w:val="120"/>
          <w:szCs w:val="120"/>
        </w:rPr>
        <w:t>磋商响应文件</w:t>
      </w:r>
    </w:p>
    <w:p w14:paraId="238048C3">
      <w:pPr>
        <w:autoSpaceDE w:val="0"/>
        <w:autoSpaceDN w:val="0"/>
        <w:spacing w:line="360" w:lineRule="auto"/>
        <w:jc w:val="center"/>
        <w:rPr>
          <w:rFonts w:hint="eastAsia" w:ascii="微软雅黑" w:hAnsi="微软雅黑" w:eastAsia="微软雅黑" w:cs="Arial"/>
          <w:b/>
          <w:color w:val="000000"/>
          <w:kern w:val="0"/>
          <w:sz w:val="48"/>
          <w:szCs w:val="84"/>
        </w:rPr>
      </w:pPr>
      <w:r>
        <w:rPr>
          <w:rFonts w:hint="eastAsia" w:ascii="微软雅黑" w:hAnsi="微软雅黑" w:eastAsia="微软雅黑" w:cs="Arial"/>
          <w:b/>
          <w:color w:val="000000"/>
          <w:kern w:val="0"/>
          <w:sz w:val="48"/>
          <w:szCs w:val="84"/>
        </w:rPr>
        <w:t>（二、商务技术文件）</w:t>
      </w:r>
    </w:p>
    <w:p w14:paraId="0B743523">
      <w:pPr>
        <w:autoSpaceDE w:val="0"/>
        <w:autoSpaceDN w:val="0"/>
        <w:adjustRightInd w:val="0"/>
        <w:snapToGrid w:val="0"/>
        <w:spacing w:line="360" w:lineRule="auto"/>
        <w:jc w:val="left"/>
        <w:rPr>
          <w:kern w:val="0"/>
          <w:sz w:val="20"/>
        </w:rPr>
      </w:pPr>
    </w:p>
    <w:p w14:paraId="04274075">
      <w:pPr>
        <w:autoSpaceDE w:val="0"/>
        <w:autoSpaceDN w:val="0"/>
        <w:adjustRightInd w:val="0"/>
        <w:snapToGrid w:val="0"/>
        <w:spacing w:line="360" w:lineRule="auto"/>
        <w:jc w:val="left"/>
        <w:rPr>
          <w:kern w:val="0"/>
          <w:sz w:val="20"/>
        </w:rPr>
      </w:pPr>
    </w:p>
    <w:p w14:paraId="70E07994">
      <w:pPr>
        <w:autoSpaceDE w:val="0"/>
        <w:autoSpaceDN w:val="0"/>
        <w:adjustRightInd w:val="0"/>
        <w:snapToGrid w:val="0"/>
        <w:spacing w:line="360" w:lineRule="auto"/>
        <w:jc w:val="left"/>
        <w:rPr>
          <w:kern w:val="0"/>
          <w:sz w:val="20"/>
        </w:rPr>
      </w:pPr>
    </w:p>
    <w:tbl>
      <w:tblPr>
        <w:tblStyle w:val="52"/>
        <w:tblW w:w="9356" w:type="dxa"/>
        <w:tblInd w:w="108" w:type="dxa"/>
        <w:tblLayout w:type="fixed"/>
        <w:tblCellMar>
          <w:top w:w="0" w:type="dxa"/>
          <w:left w:w="108" w:type="dxa"/>
          <w:bottom w:w="0" w:type="dxa"/>
          <w:right w:w="108" w:type="dxa"/>
        </w:tblCellMar>
      </w:tblPr>
      <w:tblGrid>
        <w:gridCol w:w="9356"/>
      </w:tblGrid>
      <w:tr w14:paraId="5015F799">
        <w:tblPrEx>
          <w:tblCellMar>
            <w:top w:w="0" w:type="dxa"/>
            <w:left w:w="108" w:type="dxa"/>
            <w:bottom w:w="0" w:type="dxa"/>
            <w:right w:w="108" w:type="dxa"/>
          </w:tblCellMar>
        </w:tblPrEx>
        <w:trPr>
          <w:trHeight w:val="680" w:hRule="atLeast"/>
        </w:trPr>
        <w:tc>
          <w:tcPr>
            <w:tcW w:w="9356" w:type="dxa"/>
            <w:vAlign w:val="center"/>
          </w:tcPr>
          <w:p w14:paraId="6EA521FE">
            <w:pPr>
              <w:autoSpaceDE w:val="0"/>
              <w:autoSpaceDN w:val="0"/>
              <w:rPr>
                <w:rFonts w:hint="eastAsia" w:ascii="仿宋" w:hAnsi="仿宋" w:eastAsia="仿宋"/>
                <w:b/>
                <w:color w:val="000000"/>
                <w:sz w:val="28"/>
                <w:szCs w:val="28"/>
                <w:lang w:eastAsia="zh-CN"/>
              </w:rPr>
            </w:pPr>
            <w:r>
              <w:rPr>
                <w:rFonts w:hint="eastAsia" w:ascii="仿宋" w:hAnsi="仿宋" w:eastAsia="仿宋" w:cs="Arial"/>
                <w:b/>
                <w:color w:val="000000"/>
                <w:sz w:val="28"/>
                <w:szCs w:val="28"/>
              </w:rPr>
              <w:t>项目名称：</w:t>
            </w:r>
            <w:r>
              <w:rPr>
                <w:rFonts w:hint="eastAsia" w:ascii="仿宋" w:hAnsi="仿宋" w:eastAsia="仿宋" w:cs="Arial"/>
                <w:b/>
                <w:bCs/>
                <w:color w:val="000000"/>
                <w:kern w:val="0"/>
                <w:sz w:val="28"/>
                <w:szCs w:val="32"/>
                <w:lang w:eastAsia="zh-CN"/>
              </w:rPr>
              <w:t>浙江工商大学教工路校区学生宿舍建设工程附属配电房移位改造工程（EPC）</w:t>
            </w:r>
          </w:p>
        </w:tc>
      </w:tr>
      <w:tr w14:paraId="26D04B76">
        <w:tblPrEx>
          <w:tblCellMar>
            <w:top w:w="0" w:type="dxa"/>
            <w:left w:w="108" w:type="dxa"/>
            <w:bottom w:w="0" w:type="dxa"/>
            <w:right w:w="108" w:type="dxa"/>
          </w:tblCellMar>
        </w:tblPrEx>
        <w:trPr>
          <w:trHeight w:val="680" w:hRule="atLeast"/>
        </w:trPr>
        <w:tc>
          <w:tcPr>
            <w:tcW w:w="9356" w:type="dxa"/>
            <w:vAlign w:val="center"/>
          </w:tcPr>
          <w:p w14:paraId="75C878D4">
            <w:pPr>
              <w:autoSpaceDE w:val="0"/>
              <w:autoSpaceDN w:val="0"/>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cs="Arial"/>
                <w:b/>
                <w:bCs/>
                <w:color w:val="000000"/>
                <w:kern w:val="0"/>
                <w:sz w:val="28"/>
                <w:szCs w:val="32"/>
                <w:lang w:eastAsia="zh-CN"/>
              </w:rPr>
              <w:t>CTZB-2025050222</w:t>
            </w:r>
          </w:p>
        </w:tc>
      </w:tr>
      <w:tr w14:paraId="31DDCD7F">
        <w:tblPrEx>
          <w:tblCellMar>
            <w:top w:w="0" w:type="dxa"/>
            <w:left w:w="108" w:type="dxa"/>
            <w:bottom w:w="0" w:type="dxa"/>
            <w:right w:w="108" w:type="dxa"/>
          </w:tblCellMar>
        </w:tblPrEx>
        <w:trPr>
          <w:trHeight w:val="680" w:hRule="atLeast"/>
        </w:trPr>
        <w:tc>
          <w:tcPr>
            <w:tcW w:w="9356" w:type="dxa"/>
            <w:vAlign w:val="center"/>
          </w:tcPr>
          <w:p w14:paraId="1FEBBDD1">
            <w:pPr>
              <w:autoSpaceDE w:val="0"/>
              <w:autoSpaceDN w:val="0"/>
              <w:rPr>
                <w:rFonts w:hint="eastAsia" w:ascii="仿宋" w:hAnsi="仿宋" w:eastAsia="仿宋"/>
                <w:color w:val="000000"/>
                <w:sz w:val="28"/>
                <w:szCs w:val="28"/>
              </w:rPr>
            </w:pPr>
            <w:r>
              <w:rPr>
                <w:rFonts w:hint="eastAsia" w:ascii="仿宋" w:hAnsi="仿宋" w:eastAsia="仿宋"/>
                <w:color w:val="000000"/>
                <w:sz w:val="28"/>
                <w:szCs w:val="28"/>
              </w:rPr>
              <w:t>磋商响应供应商名称（盖章）：</w:t>
            </w:r>
            <w:r>
              <w:rPr>
                <w:rFonts w:ascii="仿宋" w:hAnsi="仿宋" w:eastAsia="仿宋" w:cs="Arial"/>
                <w:color w:val="000000"/>
                <w:w w:val="90"/>
                <w:kern w:val="0"/>
                <w:sz w:val="22"/>
                <w:szCs w:val="22"/>
              </w:rPr>
              <w:t>_________________________________________________</w:t>
            </w:r>
          </w:p>
        </w:tc>
      </w:tr>
      <w:tr w14:paraId="0CA32F60">
        <w:tblPrEx>
          <w:tblCellMar>
            <w:top w:w="0" w:type="dxa"/>
            <w:left w:w="108" w:type="dxa"/>
            <w:bottom w:w="0" w:type="dxa"/>
            <w:right w:w="108" w:type="dxa"/>
          </w:tblCellMar>
        </w:tblPrEx>
        <w:trPr>
          <w:trHeight w:val="680" w:hRule="atLeast"/>
        </w:trPr>
        <w:tc>
          <w:tcPr>
            <w:tcW w:w="9356" w:type="dxa"/>
            <w:vAlign w:val="center"/>
          </w:tcPr>
          <w:p w14:paraId="2521616C">
            <w:pPr>
              <w:autoSpaceDE w:val="0"/>
              <w:autoSpaceDN w:val="0"/>
              <w:rPr>
                <w:rFonts w:hint="eastAsia" w:ascii="仿宋" w:hAnsi="仿宋" w:eastAsia="仿宋"/>
                <w:color w:val="000000"/>
                <w:sz w:val="28"/>
                <w:szCs w:val="28"/>
              </w:rPr>
            </w:pPr>
            <w:r>
              <w:rPr>
                <w:rFonts w:hint="eastAsia" w:ascii="仿宋" w:hAnsi="仿宋" w:eastAsia="仿宋"/>
                <w:color w:val="000000"/>
                <w:sz w:val="28"/>
                <w:szCs w:val="28"/>
              </w:rPr>
              <w:t>磋商响应供应商地址：</w:t>
            </w:r>
            <w:r>
              <w:rPr>
                <w:rFonts w:ascii="仿宋" w:hAnsi="仿宋" w:eastAsia="仿宋" w:cs="Arial"/>
                <w:color w:val="000000"/>
                <w:w w:val="90"/>
                <w:kern w:val="0"/>
                <w:sz w:val="22"/>
                <w:szCs w:val="22"/>
              </w:rPr>
              <w:t>___________________________________________________________</w:t>
            </w:r>
          </w:p>
        </w:tc>
      </w:tr>
      <w:tr w14:paraId="6E9843EB">
        <w:tblPrEx>
          <w:tblCellMar>
            <w:top w:w="0" w:type="dxa"/>
            <w:left w:w="108" w:type="dxa"/>
            <w:bottom w:w="0" w:type="dxa"/>
            <w:right w:w="108" w:type="dxa"/>
          </w:tblCellMar>
        </w:tblPrEx>
        <w:trPr>
          <w:trHeight w:val="680" w:hRule="atLeast"/>
        </w:trPr>
        <w:tc>
          <w:tcPr>
            <w:tcW w:w="9356" w:type="dxa"/>
            <w:vAlign w:val="center"/>
          </w:tcPr>
          <w:p w14:paraId="6B5D1FC2">
            <w:pPr>
              <w:autoSpaceDE w:val="0"/>
              <w:autoSpaceDN w:val="0"/>
              <w:rPr>
                <w:rFonts w:hint="eastAsia" w:ascii="仿宋" w:hAnsi="仿宋" w:eastAsia="仿宋"/>
                <w:color w:val="000000"/>
                <w:sz w:val="28"/>
                <w:szCs w:val="28"/>
              </w:rPr>
            </w:pPr>
            <w:r>
              <w:rPr>
                <w:rFonts w:hint="eastAsia" w:ascii="仿宋" w:hAnsi="仿宋" w:eastAsia="仿宋"/>
                <w:color w:val="000000"/>
                <w:sz w:val="28"/>
              </w:rPr>
              <w:t>磋商响应供应商联系电话：</w:t>
            </w:r>
            <w:r>
              <w:rPr>
                <w:rFonts w:ascii="仿宋" w:hAnsi="仿宋" w:eastAsia="仿宋" w:cs="Arial"/>
                <w:color w:val="000000"/>
                <w:w w:val="90"/>
                <w:kern w:val="0"/>
                <w:sz w:val="28"/>
              </w:rPr>
              <w:t>_________________________________________</w:t>
            </w:r>
          </w:p>
        </w:tc>
      </w:tr>
      <w:tr w14:paraId="5E590038">
        <w:tblPrEx>
          <w:tblCellMar>
            <w:top w:w="0" w:type="dxa"/>
            <w:left w:w="108" w:type="dxa"/>
            <w:bottom w:w="0" w:type="dxa"/>
            <w:right w:w="108" w:type="dxa"/>
          </w:tblCellMar>
        </w:tblPrEx>
        <w:trPr>
          <w:trHeight w:val="680" w:hRule="atLeast"/>
        </w:trPr>
        <w:tc>
          <w:tcPr>
            <w:tcW w:w="9356" w:type="dxa"/>
            <w:vAlign w:val="center"/>
          </w:tcPr>
          <w:p w14:paraId="627284AE">
            <w:pPr>
              <w:autoSpaceDE w:val="0"/>
              <w:autoSpaceDN w:val="0"/>
              <w:rPr>
                <w:rFonts w:hint="eastAsia"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s="Arial"/>
                <w:color w:val="000000"/>
                <w:w w:val="90"/>
                <w:kern w:val="0"/>
                <w:sz w:val="22"/>
                <w:szCs w:val="22"/>
              </w:rPr>
              <w:t>_________________________________________________________________________</w:t>
            </w:r>
          </w:p>
        </w:tc>
      </w:tr>
      <w:tr w14:paraId="63E2EB98">
        <w:tblPrEx>
          <w:tblCellMar>
            <w:top w:w="0" w:type="dxa"/>
            <w:left w:w="108" w:type="dxa"/>
            <w:bottom w:w="0" w:type="dxa"/>
            <w:right w:w="108" w:type="dxa"/>
          </w:tblCellMar>
        </w:tblPrEx>
        <w:trPr>
          <w:trHeight w:val="680" w:hRule="atLeast"/>
        </w:trPr>
        <w:tc>
          <w:tcPr>
            <w:tcW w:w="9356" w:type="dxa"/>
            <w:vAlign w:val="center"/>
          </w:tcPr>
          <w:p w14:paraId="176A4B99">
            <w:pPr>
              <w:autoSpaceDE w:val="0"/>
              <w:autoSpaceDN w:val="0"/>
              <w:jc w:val="center"/>
              <w:rPr>
                <w:rFonts w:hint="eastAsia" w:ascii="仿宋" w:hAnsi="仿宋" w:eastAsia="仿宋"/>
                <w:b/>
                <w:color w:val="000000"/>
                <w:sz w:val="28"/>
                <w:szCs w:val="28"/>
              </w:rPr>
            </w:pPr>
          </w:p>
        </w:tc>
      </w:tr>
    </w:tbl>
    <w:p w14:paraId="0FA771BC">
      <w:pPr>
        <w:autoSpaceDE w:val="0"/>
        <w:autoSpaceDN w:val="0"/>
        <w:spacing w:line="360" w:lineRule="auto"/>
        <w:jc w:val="center"/>
        <w:sectPr>
          <w:pgSz w:w="11906" w:h="16838"/>
          <w:pgMar w:top="1247" w:right="1619" w:bottom="1247" w:left="1467" w:header="850" w:footer="850" w:gutter="0"/>
          <w:pgBorders>
            <w:top w:val="none" w:sz="0" w:space="0"/>
            <w:left w:val="none" w:sz="0" w:space="0"/>
            <w:bottom w:val="none" w:sz="0" w:space="0"/>
            <w:right w:val="none" w:sz="0" w:space="0"/>
          </w:pgBorders>
          <w:pgNumType w:fmt="decimal"/>
          <w:cols w:space="720" w:num="1"/>
          <w:docGrid w:linePitch="312" w:charSpace="0"/>
        </w:sectPr>
      </w:pPr>
    </w:p>
    <w:p w14:paraId="7C51D42E">
      <w:pPr>
        <w:pStyle w:val="4"/>
        <w:keepNext/>
        <w:keepLines/>
        <w:widowControl w:val="0"/>
        <w:spacing w:before="120" w:after="120" w:line="360" w:lineRule="auto"/>
        <w:ind w:firstLine="240"/>
        <w:rPr>
          <w:rFonts w:hint="default" w:ascii="华文中宋" w:hAnsi="华文中宋" w:eastAsia="华文中宋"/>
          <w:bCs/>
          <w:color w:val="000000"/>
          <w:kern w:val="0"/>
          <w:szCs w:val="24"/>
          <w:lang w:val="en-US" w:eastAsia="zh-CN"/>
        </w:rPr>
      </w:pPr>
      <w:r>
        <w:rPr>
          <w:rFonts w:hint="eastAsia" w:ascii="华文中宋" w:hAnsi="华文中宋"/>
          <w:bCs/>
          <w:color w:val="000000"/>
          <w:kern w:val="0"/>
          <w:szCs w:val="24"/>
        </w:rPr>
        <w:t>2-2 ▲</w:t>
      </w:r>
      <w:r>
        <w:rPr>
          <w:rFonts w:hint="eastAsia" w:ascii="华文中宋" w:hAnsi="华文中宋"/>
          <w:bCs/>
          <w:color w:val="000000"/>
          <w:kern w:val="0"/>
          <w:szCs w:val="24"/>
          <w:lang w:val="en-US" w:eastAsia="zh-CN"/>
        </w:rPr>
        <w:t>投标函</w:t>
      </w:r>
    </w:p>
    <w:p w14:paraId="12E3A23F">
      <w:pPr>
        <w:autoSpaceDE w:val="0"/>
        <w:autoSpaceDN w:val="0"/>
        <w:spacing w:line="360" w:lineRule="auto"/>
        <w:jc w:val="center"/>
        <w:rPr>
          <w:rFonts w:hint="eastAsia" w:eastAsia="华文中宋"/>
          <w:b/>
          <w:color w:val="000000"/>
          <w:sz w:val="40"/>
        </w:rPr>
      </w:pPr>
    </w:p>
    <w:p w14:paraId="3643F54E">
      <w:pPr>
        <w:autoSpaceDE w:val="0"/>
        <w:autoSpaceDN w:val="0"/>
        <w:spacing w:line="360" w:lineRule="auto"/>
        <w:jc w:val="center"/>
      </w:pPr>
      <w:r>
        <w:rPr>
          <w:rFonts w:hint="eastAsia" w:eastAsia="华文中宋"/>
          <w:b/>
          <w:color w:val="000000"/>
          <w:sz w:val="40"/>
        </w:rPr>
        <w:t>投标函</w:t>
      </w:r>
    </w:p>
    <w:p w14:paraId="682694C3">
      <w:pPr>
        <w:autoSpaceDE w:val="0"/>
        <w:autoSpaceDN w:val="0"/>
        <w:spacing w:after="240" w:afterLines="100" w:line="360" w:lineRule="auto"/>
        <w:rPr>
          <w:rFonts w:hint="eastAsia" w:ascii="仿宋" w:hAnsi="仿宋" w:eastAsia="仿宋" w:cs="仿宋"/>
          <w:b/>
          <w:bCs/>
          <w:sz w:val="24"/>
        </w:rPr>
      </w:pPr>
      <w:r>
        <w:rPr>
          <w:rFonts w:hint="eastAsia" w:ascii="仿宋" w:hAnsi="仿宋" w:eastAsia="仿宋" w:cs="仿宋"/>
          <w:b/>
          <w:bCs/>
          <w:sz w:val="24"/>
          <w:u w:val="single"/>
        </w:rPr>
        <w:t>浙江工商大学</w:t>
      </w:r>
      <w:r>
        <w:rPr>
          <w:rFonts w:hint="eastAsia" w:ascii="仿宋" w:hAnsi="仿宋" w:eastAsia="仿宋" w:cs="仿宋"/>
          <w:b/>
          <w:bCs/>
          <w:sz w:val="24"/>
        </w:rPr>
        <w:t>：</w:t>
      </w:r>
    </w:p>
    <w:p w14:paraId="2B25FE78">
      <w:pPr>
        <w:pStyle w:val="69"/>
        <w:spacing w:line="480" w:lineRule="auto"/>
        <w:ind w:firstLine="480" w:firstLineChars="200"/>
        <w:rPr>
          <w:rFonts w:hint="eastAsia" w:ascii="仿宋" w:hAnsi="仿宋" w:eastAsia="仿宋" w:cs="仿宋"/>
          <w:u w:val="single"/>
        </w:rPr>
      </w:pPr>
      <w:r>
        <w:rPr>
          <w:rFonts w:hint="eastAsia" w:ascii="仿宋" w:hAnsi="仿宋" w:eastAsia="仿宋" w:cs="仿宋"/>
        </w:rPr>
        <w:t>1．我方已仔细研究了</w:t>
      </w:r>
      <w:r>
        <w:rPr>
          <w:rFonts w:hint="eastAsia" w:ascii="仿宋" w:hAnsi="仿宋" w:eastAsia="仿宋" w:cs="仿宋"/>
          <w:u w:val="single"/>
          <w:lang w:eastAsia="zh-CN"/>
        </w:rPr>
        <w:t>浙江工商大学教工路校区学生宿舍建设工程附属配电房移位改造工程（EPC）</w:t>
      </w:r>
      <w:r>
        <w:rPr>
          <w:rFonts w:hint="eastAsia" w:ascii="仿宋" w:hAnsi="仿宋" w:eastAsia="仿宋" w:cs="仿宋"/>
          <w:u w:val="single"/>
        </w:rPr>
        <w:t>（项目编号：</w:t>
      </w:r>
      <w:r>
        <w:rPr>
          <w:rFonts w:hint="eastAsia" w:ascii="仿宋" w:hAnsi="仿宋" w:eastAsia="仿宋" w:cs="仿宋"/>
          <w:u w:val="single"/>
          <w:lang w:eastAsia="zh-CN"/>
        </w:rPr>
        <w:t>CTZB-2025050222</w:t>
      </w:r>
      <w:r>
        <w:rPr>
          <w:rFonts w:hint="eastAsia" w:ascii="仿宋" w:hAnsi="仿宋" w:eastAsia="仿宋" w:cs="仿宋"/>
          <w:u w:val="single"/>
        </w:rPr>
        <w:t>）</w:t>
      </w:r>
      <w:r>
        <w:rPr>
          <w:rFonts w:hint="eastAsia" w:ascii="仿宋" w:hAnsi="仿宋" w:eastAsia="仿宋" w:cs="仿宋"/>
        </w:rPr>
        <w:t>施工磋商文件的全部内容，按合同约定实施和完成承包工程，修补工程中的任何缺陷，工程质量达到</w:t>
      </w:r>
      <w:r>
        <w:rPr>
          <w:rFonts w:hint="eastAsia" w:ascii="仿宋" w:hAnsi="仿宋" w:eastAsia="仿宋" w:cs="仿宋"/>
          <w:u w:val="single"/>
        </w:rPr>
        <w:t xml:space="preserve">           </w:t>
      </w:r>
      <w:r>
        <w:rPr>
          <w:rFonts w:hint="eastAsia" w:ascii="仿宋" w:hAnsi="仿宋" w:eastAsia="仿宋" w:cs="仿宋"/>
        </w:rPr>
        <w:t>。</w:t>
      </w:r>
    </w:p>
    <w:p w14:paraId="6B9FFE35">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2．我方承诺在竞争性磋商有效期内不修改、撤销磋商响应文件。</w:t>
      </w:r>
    </w:p>
    <w:p w14:paraId="73E8356E">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3．如我方成交：</w:t>
      </w:r>
    </w:p>
    <w:p w14:paraId="2E56B8AB">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（1）我方承诺在收到成交通知书后，在成交通知书规定的期限内与你方签订合同。</w:t>
      </w:r>
    </w:p>
    <w:p w14:paraId="4FF74DC3">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（2）我方承诺按照磋商文件规定向你方递交预付款担保。</w:t>
      </w:r>
    </w:p>
    <w:p w14:paraId="5D6F2348">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（3）我方承诺在合同约定的期限内完成并移交全部合同工程。</w:t>
      </w:r>
    </w:p>
    <w:p w14:paraId="0BA95B26">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4．我方在此声明，所递交的磋商响应文件及有关资料内容完整、真实和准确。</w:t>
      </w:r>
    </w:p>
    <w:p w14:paraId="7B1A7A0C">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5．（其他补充说明）。</w:t>
      </w:r>
    </w:p>
    <w:p w14:paraId="5A58DB0F">
      <w:pPr>
        <w:autoSpaceDE w:val="0"/>
        <w:autoSpaceDN w:val="0"/>
        <w:spacing w:line="360" w:lineRule="auto"/>
        <w:rPr>
          <w:rFonts w:hint="eastAsia" w:ascii="仿宋" w:hAnsi="仿宋" w:eastAsia="仿宋" w:cs="仿宋"/>
          <w:sz w:val="24"/>
        </w:rPr>
      </w:pPr>
    </w:p>
    <w:p w14:paraId="1DD8C07E">
      <w:pPr>
        <w:autoSpaceDE w:val="0"/>
        <w:autoSpaceDN w:val="0"/>
        <w:spacing w:line="360" w:lineRule="auto"/>
        <w:ind w:firstLine="240" w:firstLineChars="100"/>
        <w:rPr>
          <w:rFonts w:hint="eastAsia" w:ascii="仿宋" w:hAnsi="仿宋" w:eastAsia="仿宋" w:cs="仿宋"/>
          <w:sz w:val="24"/>
        </w:rPr>
      </w:pPr>
      <w:r>
        <w:rPr>
          <w:rFonts w:hint="eastAsia" w:ascii="仿宋" w:hAnsi="仿宋" w:eastAsia="仿宋" w:cs="仿宋"/>
          <w:sz w:val="24"/>
        </w:rPr>
        <w:t>磋商响应供应商（盖章）：</w:t>
      </w:r>
    </w:p>
    <w:p w14:paraId="1F5D66C9">
      <w:pPr>
        <w:autoSpaceDE w:val="0"/>
        <w:autoSpaceDN w:val="0"/>
        <w:spacing w:line="360" w:lineRule="auto"/>
        <w:ind w:firstLine="240" w:firstLineChars="100"/>
        <w:rPr>
          <w:rFonts w:hint="eastAsia" w:ascii="仿宋" w:hAnsi="仿宋" w:eastAsia="仿宋" w:cs="仿宋"/>
          <w:sz w:val="24"/>
        </w:rPr>
      </w:pPr>
      <w:r>
        <w:rPr>
          <w:rFonts w:hint="eastAsia" w:ascii="仿宋" w:hAnsi="仿宋" w:eastAsia="仿宋" w:cs="仿宋"/>
          <w:sz w:val="24"/>
        </w:rPr>
        <w:t>地址：</w:t>
      </w:r>
    </w:p>
    <w:p w14:paraId="5D3CEBA8">
      <w:pPr>
        <w:autoSpaceDE w:val="0"/>
        <w:autoSpaceDN w:val="0"/>
        <w:spacing w:line="360" w:lineRule="auto"/>
        <w:ind w:firstLine="240" w:firstLineChars="100"/>
        <w:rPr>
          <w:rFonts w:hint="eastAsia" w:ascii="仿宋" w:hAnsi="仿宋" w:eastAsia="仿宋" w:cs="仿宋"/>
          <w:sz w:val="24"/>
        </w:rPr>
      </w:pPr>
      <w:r>
        <w:rPr>
          <w:rFonts w:hint="eastAsia" w:ascii="仿宋" w:hAnsi="仿宋" w:eastAsia="仿宋" w:cs="仿宋"/>
          <w:sz w:val="24"/>
        </w:rPr>
        <w:t>电话：</w:t>
      </w:r>
    </w:p>
    <w:p w14:paraId="6748CBEE">
      <w:pPr>
        <w:autoSpaceDE w:val="0"/>
        <w:autoSpaceDN w:val="0"/>
        <w:spacing w:line="360" w:lineRule="auto"/>
        <w:ind w:firstLine="240" w:firstLineChars="100"/>
        <w:rPr>
          <w:rFonts w:hint="eastAsia" w:ascii="仿宋" w:hAnsi="仿宋" w:eastAsia="仿宋" w:cs="仿宋"/>
          <w:sz w:val="24"/>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rPr>
        <w:t>年 月 日</w:t>
      </w:r>
    </w:p>
    <w:p w14:paraId="155AAEB1"/>
    <w:p w14:paraId="64EC931E">
      <w:pPr>
        <w:pStyle w:val="4"/>
        <w:keepNext/>
        <w:keepLines/>
        <w:widowControl w:val="0"/>
        <w:spacing w:before="120" w:after="120" w:line="360" w:lineRule="auto"/>
        <w:ind w:firstLine="240"/>
        <w:rPr>
          <w:rFonts w:hint="eastAsia" w:ascii="华文中宋" w:hAnsi="华文中宋"/>
          <w:bCs/>
          <w:color w:val="000000"/>
          <w:kern w:val="0"/>
          <w:szCs w:val="24"/>
        </w:rPr>
      </w:pPr>
      <w:r>
        <w:rPr>
          <w:rFonts w:hint="eastAsia" w:ascii="华文中宋" w:hAnsi="华文中宋"/>
          <w:bCs/>
          <w:color w:val="000000"/>
          <w:kern w:val="0"/>
          <w:szCs w:val="24"/>
        </w:rPr>
        <w:t>2-</w:t>
      </w:r>
      <w:r>
        <w:rPr>
          <w:rFonts w:hint="eastAsia" w:ascii="华文中宋" w:hAnsi="华文中宋"/>
          <w:bCs/>
          <w:color w:val="000000"/>
          <w:kern w:val="0"/>
          <w:szCs w:val="24"/>
          <w:lang w:val="en-US" w:eastAsia="zh-CN"/>
        </w:rPr>
        <w:t>3</w:t>
      </w:r>
      <w:r>
        <w:rPr>
          <w:rFonts w:hint="eastAsia" w:ascii="华文中宋" w:hAnsi="华文中宋"/>
          <w:bCs/>
          <w:color w:val="000000"/>
          <w:kern w:val="0"/>
          <w:szCs w:val="24"/>
        </w:rPr>
        <w:t xml:space="preserve"> ▲关于投标文件所有内容真实有效的承诺函</w:t>
      </w:r>
    </w:p>
    <w:p w14:paraId="62D4D2C4">
      <w:pPr>
        <w:autoSpaceDE w:val="0"/>
        <w:autoSpaceDN w:val="0"/>
        <w:spacing w:line="360" w:lineRule="auto"/>
        <w:jc w:val="center"/>
        <w:rPr>
          <w:rFonts w:hint="eastAsia" w:ascii="华文中宋" w:hAnsi="华文中宋" w:eastAsia="华文中宋" w:cs="Arial"/>
          <w:b/>
          <w:color w:val="000000" w:themeColor="text1"/>
          <w:kern w:val="0"/>
          <w:sz w:val="36"/>
          <w:szCs w:val="32"/>
          <w14:textFill>
            <w14:solidFill>
              <w14:schemeClr w14:val="tx1"/>
            </w14:solidFill>
          </w14:textFill>
        </w:rPr>
      </w:pPr>
    </w:p>
    <w:p w14:paraId="19A6A67C">
      <w:pPr>
        <w:autoSpaceDE w:val="0"/>
        <w:autoSpaceDN w:val="0"/>
        <w:spacing w:line="360" w:lineRule="auto"/>
        <w:jc w:val="center"/>
        <w:rPr>
          <w:rFonts w:hint="eastAsia" w:ascii="微软雅黑" w:hAnsi="微软雅黑" w:eastAsia="微软雅黑"/>
          <w:b/>
          <w:color w:val="000000" w:themeColor="text1"/>
          <w:sz w:val="40"/>
          <w14:textFill>
            <w14:solidFill>
              <w14:schemeClr w14:val="tx1"/>
            </w14:solidFill>
          </w14:textFill>
        </w:rPr>
      </w:pPr>
      <w:r>
        <w:rPr>
          <w:rFonts w:hint="eastAsia" w:ascii="微软雅黑" w:hAnsi="微软雅黑" w:eastAsia="微软雅黑"/>
          <w:b/>
          <w:color w:val="000000" w:themeColor="text1"/>
          <w:sz w:val="40"/>
          <w14:textFill>
            <w14:solidFill>
              <w14:schemeClr w14:val="tx1"/>
            </w14:solidFill>
          </w14:textFill>
        </w:rPr>
        <w:t>关于投标文件所有内容真实、有效的承诺函</w:t>
      </w:r>
    </w:p>
    <w:p w14:paraId="294DB180">
      <w:pPr>
        <w:autoSpaceDE w:val="0"/>
        <w:autoSpaceDN w:val="0"/>
        <w:spacing w:line="360" w:lineRule="auto"/>
        <w:rPr>
          <w:rFonts w:hint="eastAsia" w:ascii="Arial" w:hAnsi="新宋体" w:eastAsia="新宋体" w:cs="Arial"/>
          <w:b/>
          <w:color w:val="000000" w:themeColor="text1"/>
          <w:kern w:val="0"/>
          <w:sz w:val="28"/>
          <w:szCs w:val="28"/>
          <w:u w:val="single"/>
          <w14:textFill>
            <w14:solidFill>
              <w14:schemeClr w14:val="tx1"/>
            </w14:solidFill>
          </w14:textFill>
        </w:rPr>
      </w:pPr>
    </w:p>
    <w:p w14:paraId="249F35CC">
      <w:pPr>
        <w:autoSpaceDE w:val="0"/>
        <w:autoSpaceDN w:val="0"/>
        <w:spacing w:line="360" w:lineRule="auto"/>
        <w:rPr>
          <w:rFonts w:hint="eastAsia" w:ascii="仿宋" w:hAnsi="仿宋" w:eastAsia="仿宋" w:cs="Arial"/>
          <w:b/>
          <w:color w:val="000000" w:themeColor="text1"/>
          <w:kern w:val="0"/>
          <w:sz w:val="32"/>
          <w:szCs w:val="28"/>
          <w:u w:val="single"/>
          <w14:textFill>
            <w14:solidFill>
              <w14:schemeClr w14:val="tx1"/>
            </w14:solidFill>
          </w14:textFill>
        </w:rPr>
      </w:pPr>
      <w:r>
        <w:rPr>
          <w:rFonts w:hint="eastAsia" w:ascii="仿宋" w:hAnsi="仿宋" w:eastAsia="仿宋" w:cs="Arial"/>
          <w:b/>
          <w:color w:val="000000" w:themeColor="text1"/>
          <w:w w:val="90"/>
          <w:kern w:val="0"/>
          <w:sz w:val="28"/>
          <w:szCs w:val="22"/>
          <w:u w:val="single"/>
          <w14:textFill>
            <w14:solidFill>
              <w14:schemeClr w14:val="tx1"/>
            </w14:solidFill>
          </w14:textFill>
        </w:rPr>
        <w:t>浙江工商大学、浙江省成套招标代理有限公司</w:t>
      </w:r>
      <w:r>
        <w:rPr>
          <w:rFonts w:hint="eastAsia" w:ascii="仿宋" w:hAnsi="仿宋" w:eastAsia="仿宋" w:cs="Arial"/>
          <w:b/>
          <w:color w:val="000000" w:themeColor="text1"/>
          <w:w w:val="90"/>
          <w:kern w:val="0"/>
          <w:sz w:val="28"/>
          <w:szCs w:val="22"/>
          <w14:textFill>
            <w14:solidFill>
              <w14:schemeClr w14:val="tx1"/>
            </w14:solidFill>
          </w14:textFill>
        </w:rPr>
        <w:t>：</w:t>
      </w:r>
    </w:p>
    <w:p w14:paraId="0ADF92BA">
      <w:pPr>
        <w:autoSpaceDE w:val="0"/>
        <w:autoSpaceDN w:val="0"/>
        <w:spacing w:line="360" w:lineRule="auto"/>
        <w:rPr>
          <w:rFonts w:hint="eastAsia" w:ascii="仿宋" w:hAnsi="仿宋" w:eastAsia="仿宋" w:cs="Arial"/>
          <w:color w:val="000000" w:themeColor="text1"/>
          <w:kern w:val="0"/>
          <w:sz w:val="32"/>
          <w:szCs w:val="28"/>
          <w14:textFill>
            <w14:solidFill>
              <w14:schemeClr w14:val="tx1"/>
            </w14:solidFill>
          </w14:textFill>
        </w:rPr>
      </w:pPr>
    </w:p>
    <w:p w14:paraId="3E0CA537">
      <w:pPr>
        <w:autoSpaceDE w:val="0"/>
        <w:autoSpaceDN w:val="0"/>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我</w:t>
      </w:r>
      <w:r>
        <w:rPr>
          <w:rFonts w:hint="eastAsia" w:ascii="仿宋" w:hAnsi="仿宋" w:eastAsia="仿宋" w:cs="Arial"/>
          <w:color w:val="000000" w:themeColor="text1"/>
          <w:kern w:val="0"/>
          <w:sz w:val="28"/>
          <w:szCs w:val="28"/>
          <w14:textFill>
            <w14:solidFill>
              <w14:schemeClr w14:val="tx1"/>
            </w14:solidFill>
          </w14:textFill>
        </w:rPr>
        <w:t>方</w:t>
      </w:r>
      <w:r>
        <w:rPr>
          <w:rFonts w:hint="eastAsia" w:ascii="仿宋" w:hAnsi="仿宋" w:eastAsia="仿宋" w:cs="Arial"/>
          <w:color w:val="000000" w:themeColor="text1"/>
          <w:kern w:val="0"/>
          <w:sz w:val="28"/>
          <w:szCs w:val="22"/>
          <w14:textFill>
            <w14:solidFill>
              <w14:schemeClr w14:val="tx1"/>
            </w14:solidFill>
          </w14:textFill>
        </w:rPr>
        <w:t>参加</w:t>
      </w:r>
      <w:r>
        <w:rPr>
          <w:rFonts w:hint="eastAsia" w:ascii="仿宋" w:hAnsi="仿宋" w:eastAsia="仿宋" w:cs="Arial"/>
          <w:b/>
          <w:color w:val="000000" w:themeColor="text1"/>
          <w:kern w:val="0"/>
          <w:sz w:val="28"/>
          <w:szCs w:val="22"/>
          <w:u w:val="single"/>
          <w:lang w:eastAsia="zh-CN"/>
          <w14:textFill>
            <w14:solidFill>
              <w14:schemeClr w14:val="tx1"/>
            </w14:solidFill>
          </w14:textFill>
        </w:rPr>
        <w:t>浙江工商大学教工路校区学生宿舍建设工程附属配电房移位改造工程（EPC）</w:t>
      </w:r>
      <w:r>
        <w:rPr>
          <w:rFonts w:hint="eastAsia" w:ascii="仿宋" w:hAnsi="仿宋" w:eastAsia="仿宋" w:cs="Arial"/>
          <w:b/>
          <w:color w:val="000000" w:themeColor="text1"/>
          <w:kern w:val="0"/>
          <w:sz w:val="28"/>
          <w:szCs w:val="22"/>
          <w:u w:val="single"/>
          <w14:textFill>
            <w14:solidFill>
              <w14:schemeClr w14:val="tx1"/>
            </w14:solidFill>
          </w14:textFill>
        </w:rPr>
        <w:t>（项目编号：</w:t>
      </w:r>
      <w:r>
        <w:rPr>
          <w:rFonts w:hint="eastAsia" w:ascii="仿宋" w:hAnsi="仿宋" w:eastAsia="仿宋" w:cs="Arial"/>
          <w:b/>
          <w:color w:val="000000" w:themeColor="text1"/>
          <w:kern w:val="0"/>
          <w:sz w:val="28"/>
          <w:szCs w:val="22"/>
          <w:u w:val="single"/>
          <w:lang w:eastAsia="zh-CN"/>
          <w14:textFill>
            <w14:solidFill>
              <w14:schemeClr w14:val="tx1"/>
            </w14:solidFill>
          </w14:textFill>
        </w:rPr>
        <w:t>CTZB-2025050222</w:t>
      </w:r>
      <w:r>
        <w:rPr>
          <w:rFonts w:hint="eastAsia" w:ascii="仿宋" w:hAnsi="仿宋" w:eastAsia="仿宋" w:cs="Arial"/>
          <w:b/>
          <w:color w:val="000000" w:themeColor="text1"/>
          <w:kern w:val="0"/>
          <w:sz w:val="28"/>
          <w:szCs w:val="22"/>
          <w:u w:val="single"/>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的政府采购活动中所提交的投标文件（包括资格文件、商务技术文件、报价文件）所有内容真实、有效，不存在虚假响应、资料造假等行为。如有虚假，采购人可取消我方任何资格（投标</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谈判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中标（成交）</w:t>
      </w:r>
      <w:r>
        <w:rPr>
          <w:rFonts w:ascii="仿宋" w:hAnsi="仿宋" w:eastAsia="仿宋" w:cs="Arial"/>
          <w:color w:val="000000" w:themeColor="text1"/>
          <w:kern w:val="0"/>
          <w:sz w:val="28"/>
          <w:szCs w:val="22"/>
          <w14:textFill>
            <w14:solidFill>
              <w14:schemeClr w14:val="tx1"/>
            </w14:solidFill>
          </w14:textFill>
        </w:rPr>
        <w:t>/</w:t>
      </w:r>
      <w:r>
        <w:rPr>
          <w:rFonts w:hint="eastAsia" w:ascii="仿宋" w:hAnsi="仿宋" w:eastAsia="仿宋" w:cs="Arial"/>
          <w:color w:val="000000" w:themeColor="text1"/>
          <w:kern w:val="0"/>
          <w:sz w:val="28"/>
          <w:szCs w:val="22"/>
          <w14:textFill>
            <w14:solidFill>
              <w14:schemeClr w14:val="tx1"/>
            </w14:solidFill>
          </w14:textFill>
        </w:rPr>
        <w:t>签订合同），我方对此无任何异议，并愿意承担一切后果和责任。</w:t>
      </w:r>
    </w:p>
    <w:p w14:paraId="062AF8F0">
      <w:pPr>
        <w:autoSpaceDE w:val="0"/>
        <w:autoSpaceDN w:val="0"/>
        <w:spacing w:line="360" w:lineRule="auto"/>
        <w:ind w:firstLine="560" w:firstLineChars="200"/>
        <w:rPr>
          <w:rFonts w:hint="eastAsia" w:ascii="仿宋" w:hAnsi="仿宋" w:eastAsia="仿宋" w:cs="Arial"/>
          <w:color w:val="000000" w:themeColor="text1"/>
          <w:kern w:val="0"/>
          <w:sz w:val="28"/>
          <w:szCs w:val="22"/>
          <w14:textFill>
            <w14:solidFill>
              <w14:schemeClr w14:val="tx1"/>
            </w14:solidFill>
          </w14:textFill>
        </w:rPr>
      </w:pPr>
    </w:p>
    <w:p w14:paraId="399CCD61">
      <w:pPr>
        <w:autoSpaceDE w:val="0"/>
        <w:autoSpaceDN w:val="0"/>
        <w:spacing w:line="360" w:lineRule="auto"/>
        <w:ind w:firstLine="560" w:firstLineChars="200"/>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8"/>
          <w:szCs w:val="22"/>
          <w14:textFill>
            <w14:solidFill>
              <w14:schemeClr w14:val="tx1"/>
            </w14:solidFill>
          </w14:textFill>
        </w:rPr>
        <w:t>特此</w:t>
      </w:r>
      <w:r>
        <w:rPr>
          <w:rFonts w:hint="eastAsia" w:ascii="仿宋" w:hAnsi="仿宋" w:eastAsia="仿宋" w:cs="Arial"/>
          <w:color w:val="000000" w:themeColor="text1"/>
          <w:kern w:val="0"/>
          <w:sz w:val="28"/>
          <w:szCs w:val="28"/>
          <w14:textFill>
            <w14:solidFill>
              <w14:schemeClr w14:val="tx1"/>
            </w14:solidFill>
          </w14:textFill>
        </w:rPr>
        <w:t>承诺</w:t>
      </w:r>
      <w:r>
        <w:rPr>
          <w:rFonts w:hint="eastAsia" w:ascii="仿宋" w:hAnsi="仿宋" w:eastAsia="仿宋" w:cs="Arial"/>
          <w:color w:val="000000" w:themeColor="text1"/>
          <w:kern w:val="0"/>
          <w:sz w:val="28"/>
          <w:szCs w:val="22"/>
          <w14:textFill>
            <w14:solidFill>
              <w14:schemeClr w14:val="tx1"/>
            </w14:solidFill>
          </w14:textFill>
        </w:rPr>
        <w:t>！</w:t>
      </w:r>
    </w:p>
    <w:p w14:paraId="4F7FD2EF">
      <w:pPr>
        <w:autoSpaceDE w:val="0"/>
        <w:autoSpaceDN w:val="0"/>
        <w:spacing w:line="360" w:lineRule="auto"/>
        <w:ind w:firstLine="420" w:firstLineChars="200"/>
        <w:rPr>
          <w:rFonts w:hint="eastAsia" w:ascii="仿宋" w:hAnsi="仿宋" w:eastAsia="仿宋" w:cs="Arial"/>
          <w:color w:val="000000" w:themeColor="text1"/>
          <w:kern w:val="0"/>
          <w:szCs w:val="22"/>
          <w14:textFill>
            <w14:solidFill>
              <w14:schemeClr w14:val="tx1"/>
            </w14:solidFill>
          </w14:textFill>
        </w:rPr>
      </w:pPr>
    </w:p>
    <w:p w14:paraId="75CC0CB6">
      <w:pPr>
        <w:autoSpaceDE w:val="0"/>
        <w:autoSpaceDN w:val="0"/>
        <w:snapToGrid w:val="0"/>
        <w:spacing w:line="360" w:lineRule="auto"/>
        <w:ind w:left="567" w:leftChars="270"/>
        <w:rPr>
          <w:rFonts w:hint="eastAsia"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投标供应商名称（盖章）：</w:t>
      </w:r>
      <w:r>
        <w:rPr>
          <w:rFonts w:ascii="仿宋" w:hAnsi="仿宋" w:eastAsia="仿宋" w:cs="Arial"/>
          <w:color w:val="000000" w:themeColor="text1"/>
          <w:w w:val="90"/>
          <w:kern w:val="0"/>
          <w:sz w:val="28"/>
          <w:szCs w:val="28"/>
          <w14:textFill>
            <w14:solidFill>
              <w14:schemeClr w14:val="tx1"/>
            </w14:solidFill>
          </w14:textFill>
        </w:rPr>
        <w:t>__________________________________</w:t>
      </w:r>
    </w:p>
    <w:p w14:paraId="54C1D5B2">
      <w:pPr>
        <w:autoSpaceDE w:val="0"/>
        <w:autoSpaceDN w:val="0"/>
        <w:spacing w:line="360" w:lineRule="auto"/>
        <w:ind w:firstLine="560" w:firstLineChars="200"/>
        <w:rPr>
          <w:rFonts w:hint="eastAsia" w:ascii="仿宋" w:hAnsi="仿宋" w:eastAsia="仿宋" w:cs="Arial"/>
          <w:color w:val="000000" w:themeColor="text1"/>
          <w:w w:val="90"/>
          <w:kern w:val="0"/>
          <w:sz w:val="28"/>
          <w:szCs w:val="28"/>
          <w14:textFill>
            <w14:solidFill>
              <w14:schemeClr w14:val="tx1"/>
            </w14:solidFill>
          </w14:textFill>
        </w:rPr>
        <w:sectPr>
          <w:pgSz w:w="11906" w:h="16838"/>
          <w:pgMar w:top="1247" w:right="1619" w:bottom="1247" w:left="1467" w:header="850"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Arial"/>
          <w:color w:val="000000" w:themeColor="text1"/>
          <w:sz w:val="28"/>
          <w:szCs w:val="28"/>
          <w14:textFill>
            <w14:solidFill>
              <w14:schemeClr w14:val="tx1"/>
            </w14:solidFill>
          </w14:textFill>
        </w:rPr>
        <w:t>日期：</w:t>
      </w:r>
      <w:r>
        <w:rPr>
          <w:rFonts w:ascii="仿宋" w:hAnsi="仿宋" w:eastAsia="仿宋" w:cs="Arial"/>
          <w:color w:val="000000" w:themeColor="text1"/>
          <w:w w:val="90"/>
          <w:kern w:val="0"/>
          <w:sz w:val="28"/>
          <w:szCs w:val="28"/>
          <w14:textFill>
            <w14:solidFill>
              <w14:schemeClr w14:val="tx1"/>
            </w14:solidFill>
          </w14:textFill>
        </w:rPr>
        <w:t>________</w:t>
      </w:r>
      <w:r>
        <w:rPr>
          <w:rFonts w:hint="eastAsia" w:ascii="仿宋" w:hAnsi="仿宋" w:eastAsia="仿宋" w:cs="Arial"/>
          <w:color w:val="000000" w:themeColor="text1"/>
          <w:w w:val="90"/>
          <w:kern w:val="0"/>
          <w:sz w:val="28"/>
          <w:szCs w:val="28"/>
          <w14:textFill>
            <w14:solidFill>
              <w14:schemeClr w14:val="tx1"/>
            </w14:solidFill>
          </w14:textFill>
        </w:rPr>
        <w:t>年</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月</w:t>
      </w:r>
      <w:r>
        <w:rPr>
          <w:rFonts w:ascii="仿宋" w:hAnsi="仿宋" w:eastAsia="仿宋" w:cs="Arial"/>
          <w:color w:val="000000" w:themeColor="text1"/>
          <w:w w:val="90"/>
          <w:kern w:val="0"/>
          <w:sz w:val="28"/>
          <w:szCs w:val="28"/>
          <w14:textFill>
            <w14:solidFill>
              <w14:schemeClr w14:val="tx1"/>
            </w14:solidFill>
          </w14:textFill>
        </w:rPr>
        <w:t>____</w:t>
      </w:r>
      <w:r>
        <w:rPr>
          <w:rFonts w:hint="eastAsia" w:ascii="仿宋" w:hAnsi="仿宋" w:eastAsia="仿宋" w:cs="Arial"/>
          <w:color w:val="000000" w:themeColor="text1"/>
          <w:w w:val="90"/>
          <w:kern w:val="0"/>
          <w:sz w:val="28"/>
          <w:szCs w:val="28"/>
          <w14:textFill>
            <w14:solidFill>
              <w14:schemeClr w14:val="tx1"/>
            </w14:solidFill>
          </w14:textFill>
        </w:rPr>
        <w:t>日</w:t>
      </w:r>
    </w:p>
    <w:p w14:paraId="09B9EF55">
      <w:pPr>
        <w:pStyle w:val="4"/>
        <w:spacing w:before="120" w:after="120"/>
        <w:ind w:firstLine="240"/>
        <w:jc w:val="both"/>
        <w:rPr>
          <w:rFonts w:hint="eastAsia" w:ascii="华文中宋" w:hAnsi="华文中宋"/>
          <w:bCs/>
          <w:color w:val="000000"/>
          <w:kern w:val="0"/>
          <w:szCs w:val="24"/>
        </w:rPr>
      </w:pPr>
      <w:r>
        <w:rPr>
          <w:rFonts w:hint="eastAsia" w:ascii="华文中宋" w:hAnsi="华文中宋"/>
          <w:bCs/>
          <w:color w:val="000000"/>
          <w:kern w:val="0"/>
          <w:szCs w:val="24"/>
        </w:rPr>
        <w:t>2-</w:t>
      </w:r>
      <w:r>
        <w:rPr>
          <w:rFonts w:hint="eastAsia" w:ascii="华文中宋" w:hAnsi="华文中宋"/>
          <w:bCs/>
          <w:color w:val="000000"/>
          <w:kern w:val="0"/>
          <w:szCs w:val="24"/>
          <w:lang w:val="en-US" w:eastAsia="zh-CN"/>
        </w:rPr>
        <w:t>4</w:t>
      </w:r>
      <w:r>
        <w:rPr>
          <w:rFonts w:hint="eastAsia" w:ascii="华文中宋" w:hAnsi="华文中宋"/>
          <w:bCs/>
          <w:color w:val="000000"/>
          <w:kern w:val="0"/>
          <w:szCs w:val="24"/>
        </w:rPr>
        <w:t>▲法人授权委托书</w:t>
      </w:r>
    </w:p>
    <w:p w14:paraId="3D1F43E1">
      <w:pPr>
        <w:autoSpaceDE w:val="0"/>
        <w:autoSpaceDN w:val="0"/>
        <w:spacing w:line="360" w:lineRule="auto"/>
        <w:jc w:val="center"/>
        <w:rPr>
          <w:rFonts w:hint="eastAsia" w:ascii="微软雅黑" w:hAnsi="微软雅黑" w:eastAsia="微软雅黑"/>
          <w:b/>
          <w:color w:val="000000"/>
          <w:sz w:val="40"/>
        </w:rPr>
      </w:pPr>
      <w:r>
        <w:rPr>
          <w:rFonts w:hint="eastAsia" w:ascii="微软雅黑" w:hAnsi="微软雅黑" w:eastAsia="微软雅黑"/>
          <w:b/>
          <w:color w:val="000000"/>
          <w:sz w:val="40"/>
        </w:rPr>
        <w:t>法人授权委托书</w:t>
      </w:r>
    </w:p>
    <w:p w14:paraId="737BEAD3">
      <w:pPr>
        <w:autoSpaceDE w:val="0"/>
        <w:autoSpaceDN w:val="0"/>
        <w:spacing w:line="360" w:lineRule="auto"/>
        <w:rPr>
          <w:rFonts w:hint="eastAsia" w:ascii="仿宋" w:hAnsi="仿宋" w:eastAsia="仿宋" w:cs="仿宋"/>
          <w:sz w:val="28"/>
          <w:szCs w:val="28"/>
        </w:rPr>
      </w:pPr>
      <w:r>
        <w:rPr>
          <w:rFonts w:hint="eastAsia" w:ascii="仿宋" w:hAnsi="仿宋" w:eastAsia="仿宋" w:cs="仿宋"/>
          <w:b/>
          <w:color w:val="000000"/>
          <w:w w:val="90"/>
          <w:kern w:val="0"/>
          <w:sz w:val="28"/>
          <w:szCs w:val="28"/>
          <w:u w:val="single"/>
        </w:rPr>
        <w:t>浙江工商大学、浙江省成套招标代理有限公司：</w:t>
      </w:r>
    </w:p>
    <w:p w14:paraId="73EC838E">
      <w:pPr>
        <w:pStyle w:val="5"/>
        <w:autoSpaceDE w:val="0"/>
        <w:autoSpaceDN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我单位授权</w:t>
      </w:r>
      <w:r>
        <w:rPr>
          <w:rFonts w:hint="eastAsia" w:ascii="仿宋" w:hAnsi="仿宋" w:eastAsia="仿宋" w:cs="仿宋"/>
          <w:sz w:val="28"/>
          <w:szCs w:val="28"/>
          <w:u w:val="single"/>
        </w:rPr>
        <w:t xml:space="preserve">       （姓名、身份证号码）</w:t>
      </w:r>
      <w:r>
        <w:rPr>
          <w:rFonts w:hint="eastAsia" w:ascii="仿宋" w:hAnsi="仿宋" w:eastAsia="仿宋" w:cs="仿宋"/>
          <w:sz w:val="28"/>
          <w:szCs w:val="28"/>
        </w:rPr>
        <w:t>为全权代表，参加贵单位组织的</w:t>
      </w:r>
      <w:r>
        <w:rPr>
          <w:rFonts w:hint="eastAsia" w:ascii="仿宋" w:hAnsi="仿宋" w:eastAsia="仿宋" w:cs="仿宋"/>
          <w:kern w:val="0"/>
          <w:sz w:val="28"/>
          <w:szCs w:val="28"/>
          <w:u w:val="single"/>
          <w:lang w:eastAsia="zh-CN"/>
        </w:rPr>
        <w:t>浙江工商大学教工路校区学生宿舍建设工程附属配电房移位改造工程（EPC）</w:t>
      </w:r>
      <w:r>
        <w:rPr>
          <w:rFonts w:hint="eastAsia" w:ascii="仿宋" w:hAnsi="仿宋" w:eastAsia="仿宋" w:cs="仿宋"/>
          <w:kern w:val="0"/>
          <w:sz w:val="28"/>
          <w:szCs w:val="28"/>
          <w:u w:val="single"/>
        </w:rPr>
        <w:t>（项目编号：</w:t>
      </w:r>
      <w:r>
        <w:rPr>
          <w:rFonts w:hint="eastAsia" w:ascii="仿宋" w:hAnsi="仿宋" w:eastAsia="仿宋" w:cs="仿宋"/>
          <w:sz w:val="28"/>
          <w:szCs w:val="28"/>
          <w:u w:val="single"/>
          <w:lang w:eastAsia="zh-CN"/>
        </w:rPr>
        <w:t>CTZB-2025050222</w:t>
      </w:r>
      <w:r>
        <w:rPr>
          <w:rFonts w:hint="eastAsia" w:ascii="仿宋" w:hAnsi="仿宋" w:eastAsia="仿宋" w:cs="仿宋"/>
          <w:sz w:val="28"/>
          <w:szCs w:val="28"/>
        </w:rPr>
        <w:t>）的采购，签署本项目相关磋商响应文件并全权处理磋商活动中的一切事宜。我单位承认全权代表做出的与本项目采购活动有关的全部行为。</w:t>
      </w:r>
    </w:p>
    <w:p w14:paraId="537FD5CC">
      <w:pPr>
        <w:pStyle w:val="5"/>
        <w:autoSpaceDE w:val="0"/>
        <w:autoSpaceDN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磋商响应供应商全称（盖单位公章）：</w:t>
      </w:r>
    </w:p>
    <w:p w14:paraId="6A39CCA5">
      <w:pPr>
        <w:pStyle w:val="5"/>
        <w:autoSpaceDE w:val="0"/>
        <w:autoSpaceDN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附：</w:t>
      </w:r>
    </w:p>
    <w:p w14:paraId="466CD877">
      <w:pPr>
        <w:pStyle w:val="5"/>
        <w:autoSpaceDE w:val="0"/>
        <w:autoSpaceDN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全权代表姓名：</w:t>
      </w:r>
    </w:p>
    <w:p w14:paraId="58B9371A">
      <w:pPr>
        <w:pStyle w:val="5"/>
        <w:autoSpaceDE w:val="0"/>
        <w:autoSpaceDN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职务：          电话：</w:t>
      </w:r>
    </w:p>
    <w:p w14:paraId="5483D389">
      <w:pPr>
        <w:autoSpaceDE w:val="0"/>
        <w:autoSpaceDN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全权代表身份证扫描件</w:t>
      </w:r>
    </w:p>
    <w:p w14:paraId="6057089B">
      <w:pPr>
        <w:autoSpaceDE w:val="0"/>
        <w:autoSpaceDN w:val="0"/>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sz w:val="28"/>
          <w:szCs w:val="28"/>
        </w:rPr>
        <w:t>注：法人授权其公司员工签署及参加响应的，在磋商响应文件中出具此授权委托书，并附身份证扫描件以及被授权人</w:t>
      </w:r>
      <w:r>
        <w:rPr>
          <w:rFonts w:hint="eastAsia" w:ascii="仿宋" w:hAnsi="仿宋" w:eastAsia="仿宋" w:cs="仿宋"/>
          <w:b/>
          <w:color w:val="auto"/>
          <w:sz w:val="28"/>
          <w:szCs w:val="28"/>
        </w:rPr>
        <w:t>在响应供应商处的社保缴纳凭证。</w:t>
      </w:r>
    </w:p>
    <w:p w14:paraId="05F21A59">
      <w:pPr>
        <w:autoSpaceDE w:val="0"/>
        <w:autoSpaceDN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磋商响应文件格式中所提到的供应商代表是指以上两文件确定的签署人员。</w:t>
      </w:r>
    </w:p>
    <w:p w14:paraId="33E97B5C">
      <w:pPr>
        <w:autoSpaceDE w:val="0"/>
        <w:autoSpaceDN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如参加磋商并在磋商过程中签署文件的人员与磋商响应供应商代表不一致，须另行提供授权书。</w:t>
      </w:r>
    </w:p>
    <w:p w14:paraId="50E14B6E">
      <w:pPr>
        <w:autoSpaceDE w:val="0"/>
        <w:autoSpaceDN w:val="0"/>
        <w:spacing w:line="360" w:lineRule="auto"/>
        <w:ind w:firstLine="560" w:firstLineChars="200"/>
        <w:rPr>
          <w:rFonts w:hint="eastAsia" w:ascii="仿宋" w:hAnsi="仿宋" w:eastAsia="仿宋" w:cs="仿宋"/>
          <w:sz w:val="28"/>
          <w:szCs w:val="28"/>
        </w:rPr>
        <w:sectPr>
          <w:footerReference r:id="rId13" w:type="first"/>
          <w:pgSz w:w="11906" w:h="16838"/>
          <w:pgMar w:top="1247" w:right="1619" w:bottom="1247" w:left="1467" w:header="850" w:footer="850" w:gutter="0"/>
          <w:pgBorders>
            <w:top w:val="none" w:sz="0" w:space="0"/>
            <w:left w:val="none" w:sz="0" w:space="0"/>
            <w:bottom w:val="none" w:sz="0" w:space="0"/>
            <w:right w:val="none" w:sz="0" w:space="0"/>
          </w:pgBorders>
          <w:pgNumType w:fmt="decimal"/>
          <w:cols w:space="720" w:num="1"/>
          <w:docGrid w:linePitch="312" w:charSpace="0"/>
        </w:sectPr>
      </w:pPr>
    </w:p>
    <w:p w14:paraId="4D591A0F">
      <w:pPr>
        <w:pStyle w:val="4"/>
        <w:spacing w:before="120" w:after="120"/>
        <w:ind w:firstLine="240"/>
        <w:jc w:val="both"/>
        <w:rPr>
          <w:kern w:val="0"/>
        </w:rPr>
      </w:pPr>
      <w:bookmarkStart w:id="115" w:name="_Toc358842834"/>
      <w:r>
        <w:rPr>
          <w:rFonts w:hint="eastAsia" w:ascii="华文中宋" w:hAnsi="华文中宋"/>
          <w:bCs/>
          <w:color w:val="000000"/>
          <w:kern w:val="0"/>
          <w:szCs w:val="24"/>
        </w:rPr>
        <w:t>2-</w:t>
      </w:r>
      <w:r>
        <w:rPr>
          <w:rFonts w:hint="eastAsia" w:ascii="华文中宋" w:hAnsi="华文中宋"/>
          <w:bCs/>
          <w:color w:val="000000"/>
          <w:kern w:val="0"/>
          <w:szCs w:val="24"/>
          <w:lang w:val="en-US" w:eastAsia="zh-CN"/>
        </w:rPr>
        <w:t>5</w:t>
      </w:r>
      <w:r>
        <w:rPr>
          <w:rFonts w:hint="eastAsia" w:ascii="华文中宋" w:hAnsi="华文中宋"/>
          <w:bCs/>
          <w:color w:val="000000"/>
          <w:kern w:val="0"/>
          <w:szCs w:val="24"/>
        </w:rPr>
        <w:t xml:space="preserve"> 供应商履约能力评价证明材料</w:t>
      </w:r>
    </w:p>
    <w:p w14:paraId="6E497D6D">
      <w:pPr>
        <w:autoSpaceDE w:val="0"/>
        <w:autoSpaceDN w:val="0"/>
        <w:spacing w:before="240" w:line="360" w:lineRule="auto"/>
        <w:jc w:val="center"/>
        <w:rPr>
          <w:rFonts w:hint="eastAsia" w:ascii="华文中宋" w:hAnsi="华文中宋" w:eastAsia="华文中宋"/>
          <w:b/>
          <w:color w:val="000000"/>
          <w:sz w:val="44"/>
          <w:szCs w:val="44"/>
        </w:rPr>
      </w:pPr>
      <w:r>
        <w:rPr>
          <w:rFonts w:hint="eastAsia" w:ascii="微软雅黑" w:hAnsi="微软雅黑" w:eastAsia="微软雅黑"/>
          <w:b/>
          <w:color w:val="000000"/>
          <w:sz w:val="40"/>
          <w:szCs w:val="44"/>
        </w:rPr>
        <w:t>磋商响应供应商履约能力评价证明材料</w:t>
      </w:r>
    </w:p>
    <w:tbl>
      <w:tblPr>
        <w:tblStyle w:val="52"/>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1C41BD4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vAlign w:val="center"/>
          </w:tcPr>
          <w:p w14:paraId="145D9F7C">
            <w:pPr>
              <w:autoSpaceDE w:val="0"/>
              <w:autoSpaceDN w:val="0"/>
              <w:spacing w:line="360" w:lineRule="auto"/>
              <w:ind w:firstLine="602" w:firstLineChars="200"/>
              <w:rPr>
                <w:rFonts w:hint="eastAsia" w:ascii="仿宋" w:hAnsi="仿宋" w:eastAsia="仿宋" w:cs="Arial"/>
                <w:b/>
                <w:bCs/>
                <w:i/>
                <w:color w:val="000000"/>
                <w:kern w:val="0"/>
                <w:sz w:val="30"/>
                <w:szCs w:val="30"/>
              </w:rPr>
            </w:pPr>
            <w:r>
              <w:rPr>
                <w:rFonts w:hint="eastAsia" w:ascii="仿宋" w:hAnsi="仿宋" w:eastAsia="仿宋" w:cs="Arial"/>
                <w:b/>
                <w:bCs/>
                <w:i/>
                <w:color w:val="000000"/>
                <w:kern w:val="0"/>
                <w:sz w:val="30"/>
                <w:szCs w:val="30"/>
              </w:rPr>
              <w:t>2-4-1供应商履约能力评价证明材料（对照评分细则提供）</w:t>
            </w:r>
          </w:p>
          <w:p w14:paraId="66BC0647">
            <w:pPr>
              <w:autoSpaceDE w:val="0"/>
              <w:autoSpaceDN w:val="0"/>
              <w:spacing w:line="360" w:lineRule="auto"/>
              <w:jc w:val="center"/>
              <w:rPr>
                <w:rFonts w:hint="eastAsia" w:ascii="仿宋" w:hAnsi="仿宋" w:eastAsia="仿宋" w:cs="Arial"/>
                <w:b/>
                <w:bCs/>
                <w:i/>
                <w:color w:val="000000"/>
                <w:kern w:val="0"/>
                <w:sz w:val="30"/>
                <w:szCs w:val="30"/>
              </w:rPr>
            </w:pPr>
            <w:r>
              <w:rPr>
                <w:rFonts w:hint="eastAsia" w:ascii="仿宋" w:hAnsi="仿宋" w:eastAsia="仿宋" w:cs="Arial"/>
                <w:b/>
                <w:bCs/>
                <w:i/>
                <w:color w:val="000000"/>
                <w:kern w:val="0"/>
                <w:sz w:val="30"/>
                <w:szCs w:val="30"/>
              </w:rPr>
              <w:t>▲2-4-2拟派项目经理的</w:t>
            </w:r>
            <w:r>
              <w:rPr>
                <w:rFonts w:hint="eastAsia" w:ascii="仿宋" w:hAnsi="仿宋" w:eastAsia="仿宋" w:cs="Arial"/>
                <w:b/>
                <w:bCs/>
                <w:i/>
                <w:color w:val="000000"/>
                <w:kern w:val="0"/>
                <w:sz w:val="30"/>
                <w:szCs w:val="30"/>
                <w:lang w:eastAsia="zh-CN"/>
              </w:rPr>
              <w:t>机电工程专业二级</w:t>
            </w:r>
            <w:r>
              <w:rPr>
                <w:rFonts w:hint="eastAsia" w:ascii="仿宋" w:hAnsi="仿宋" w:eastAsia="仿宋" w:cs="Arial"/>
                <w:b/>
                <w:bCs/>
                <w:i/>
                <w:color w:val="000000"/>
                <w:kern w:val="0"/>
                <w:sz w:val="30"/>
                <w:szCs w:val="30"/>
              </w:rPr>
              <w:t>及以上注册建造师资格证书（扫描件加盖磋商响应供应商公章）；拟派项目经理的“三类人员”B类证书、拟派现场的安全专职管理员的施工现场安全生产专职管理人员“三类人员”C类证书（扫描件加盖磋商响应供应商公章）；</w:t>
            </w:r>
          </w:p>
          <w:p w14:paraId="5649AE67">
            <w:pPr>
              <w:autoSpaceDE w:val="0"/>
              <w:autoSpaceDN w:val="0"/>
              <w:spacing w:line="360" w:lineRule="auto"/>
              <w:rPr>
                <w:rFonts w:hint="eastAsia" w:ascii="仿宋" w:hAnsi="仿宋" w:eastAsia="仿宋" w:cs="Arial"/>
                <w:b/>
                <w:bCs/>
                <w:i/>
                <w:color w:val="000000"/>
                <w:kern w:val="0"/>
                <w:sz w:val="30"/>
                <w:szCs w:val="30"/>
              </w:rPr>
            </w:pPr>
            <w:r>
              <w:rPr>
                <w:rFonts w:hint="eastAsia" w:ascii="仿宋" w:hAnsi="仿宋" w:eastAsia="仿宋" w:cs="Arial"/>
                <w:b/>
                <w:bCs/>
                <w:i/>
                <w:color w:val="000000"/>
                <w:kern w:val="0"/>
                <w:sz w:val="30"/>
                <w:szCs w:val="30"/>
              </w:rPr>
              <w:t>▲2-4-3拟派项目经理无在建工程承诺函；</w:t>
            </w:r>
          </w:p>
          <w:p w14:paraId="63B492BD">
            <w:pPr>
              <w:autoSpaceDE w:val="0"/>
              <w:autoSpaceDN w:val="0"/>
              <w:spacing w:line="360" w:lineRule="auto"/>
              <w:ind w:firstLine="301" w:firstLineChars="100"/>
              <w:rPr>
                <w:rFonts w:hint="eastAsia" w:ascii="仿宋" w:hAnsi="仿宋" w:eastAsia="仿宋" w:cs="Arial"/>
                <w:b/>
                <w:bCs/>
                <w:i/>
                <w:color w:val="000000"/>
                <w:kern w:val="0"/>
                <w:sz w:val="30"/>
                <w:szCs w:val="30"/>
              </w:rPr>
            </w:pPr>
            <w:r>
              <w:rPr>
                <w:rFonts w:hint="eastAsia" w:ascii="仿宋" w:hAnsi="仿宋" w:eastAsia="仿宋" w:cs="Arial"/>
                <w:b/>
                <w:bCs/>
                <w:i/>
                <w:color w:val="000000"/>
                <w:kern w:val="0"/>
                <w:sz w:val="30"/>
                <w:szCs w:val="30"/>
              </w:rPr>
              <w:t>2-4-4供应商类似项目业绩证明材料（对照评分细则提供）</w:t>
            </w:r>
          </w:p>
          <w:p w14:paraId="216E3707">
            <w:pPr>
              <w:autoSpaceDE w:val="0"/>
              <w:autoSpaceDN w:val="0"/>
              <w:spacing w:line="360" w:lineRule="auto"/>
              <w:jc w:val="center"/>
              <w:rPr>
                <w:rFonts w:hint="eastAsia" w:ascii="Arial" w:hAnsi="新宋体" w:eastAsia="新宋体" w:cs="Arial"/>
                <w:i/>
                <w:color w:val="000000"/>
                <w:sz w:val="32"/>
                <w:szCs w:val="21"/>
              </w:rPr>
            </w:pPr>
            <w:r>
              <w:rPr>
                <w:rFonts w:hint="eastAsia" w:ascii="仿宋" w:hAnsi="仿宋" w:eastAsia="仿宋" w:cs="Arial"/>
                <w:i/>
                <w:color w:val="000000"/>
                <w:kern w:val="0"/>
                <w:sz w:val="30"/>
                <w:szCs w:val="30"/>
              </w:rPr>
              <w:t>（均加盖磋商响应供应商公章，否则视为未提供）</w:t>
            </w:r>
          </w:p>
        </w:tc>
      </w:tr>
    </w:tbl>
    <w:p w14:paraId="2106BC9C">
      <w:pPr>
        <w:autoSpaceDE w:val="0"/>
        <w:autoSpaceDN w:val="0"/>
        <w:rPr>
          <w:rFonts w:hint="eastAsia" w:ascii="微软雅黑" w:hAnsi="微软雅黑" w:eastAsia="微软雅黑"/>
          <w:b/>
          <w:color w:val="000000"/>
          <w:sz w:val="40"/>
        </w:rPr>
      </w:pPr>
      <w:r>
        <w:rPr>
          <w:rFonts w:hint="eastAsia" w:ascii="微软雅黑" w:hAnsi="微软雅黑" w:eastAsia="微软雅黑"/>
          <w:b/>
          <w:color w:val="000000"/>
          <w:sz w:val="40"/>
        </w:rPr>
        <w:br w:type="page"/>
      </w:r>
    </w:p>
    <w:p w14:paraId="72A92FAE">
      <w:pPr>
        <w:autoSpaceDE w:val="0"/>
        <w:autoSpaceDN w:val="0"/>
        <w:spacing w:line="360" w:lineRule="auto"/>
        <w:jc w:val="center"/>
        <w:rPr>
          <w:rFonts w:hint="eastAsia" w:ascii="微软雅黑" w:hAnsi="微软雅黑" w:eastAsia="微软雅黑"/>
          <w:b/>
          <w:color w:val="000000"/>
          <w:sz w:val="40"/>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01A230C9">
      <w:pPr>
        <w:autoSpaceDE w:val="0"/>
        <w:autoSpaceDN w:val="0"/>
        <w:spacing w:before="240" w:beforeLines="100" w:line="360" w:lineRule="auto"/>
        <w:jc w:val="center"/>
        <w:rPr>
          <w:rFonts w:hint="eastAsia" w:ascii="仿宋" w:hAnsi="仿宋" w:eastAsia="仿宋" w:cs="Arial"/>
          <w:b/>
          <w:bCs/>
          <w:i/>
          <w:color w:val="000000"/>
          <w:kern w:val="0"/>
          <w:sz w:val="30"/>
          <w:szCs w:val="30"/>
        </w:rPr>
      </w:pPr>
      <w:r>
        <w:rPr>
          <w:rFonts w:hint="eastAsia" w:ascii="微软雅黑" w:hAnsi="微软雅黑" w:eastAsia="微软雅黑"/>
          <w:b/>
          <w:color w:val="000000"/>
          <w:sz w:val="40"/>
        </w:rPr>
        <w:t>▲拟派项目经理无在建工程承诺函</w:t>
      </w:r>
    </w:p>
    <w:p w14:paraId="46363DDA">
      <w:pPr>
        <w:pStyle w:val="21"/>
        <w:spacing w:after="360" w:afterLines="150"/>
        <w:ind w:firstLine="0"/>
        <w:jc w:val="left"/>
        <w:rPr>
          <w:rFonts w:hint="eastAsia" w:ascii="仿宋" w:hAnsi="仿宋" w:eastAsia="仿宋" w:cs="Arial"/>
          <w:b/>
          <w:bCs/>
          <w:i/>
          <w:color w:val="000000"/>
          <w:sz w:val="30"/>
          <w:szCs w:val="30"/>
        </w:rPr>
      </w:pPr>
      <w:r>
        <w:rPr>
          <w:rFonts w:hint="eastAsia" w:eastAsia="仿宋"/>
          <w:b/>
          <w:color w:val="000000"/>
          <w:u w:val="single"/>
        </w:rPr>
        <w:t>浙江工商大学、浙江省成套招标代理有限公司：</w:t>
      </w:r>
    </w:p>
    <w:p w14:paraId="29EF9BD4">
      <w:pPr>
        <w:tabs>
          <w:tab w:val="left" w:pos="720"/>
        </w:tabs>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我单位在此声明，我单位拟派往</w:t>
      </w:r>
      <w:r>
        <w:rPr>
          <w:rFonts w:hint="eastAsia" w:ascii="仿宋" w:hAnsi="仿宋" w:eastAsia="仿宋" w:cs="仿宋"/>
          <w:sz w:val="24"/>
          <w:u w:val="single"/>
          <w:lang w:eastAsia="zh-CN"/>
        </w:rPr>
        <w:t>浙江工商大学教工路校区学生宿舍建设工程附属配电房移位改造工程（EPC）</w:t>
      </w:r>
      <w:r>
        <w:rPr>
          <w:rFonts w:hint="eastAsia" w:ascii="仿宋" w:hAnsi="仿宋" w:eastAsia="仿宋" w:cs="仿宋"/>
          <w:sz w:val="24"/>
          <w:u w:val="single"/>
        </w:rPr>
        <w:t>（项目编号：</w:t>
      </w:r>
      <w:r>
        <w:rPr>
          <w:rFonts w:hint="eastAsia" w:ascii="仿宋" w:hAnsi="仿宋" w:eastAsia="仿宋" w:cs="仿宋"/>
          <w:sz w:val="24"/>
          <w:u w:val="single"/>
          <w:lang w:eastAsia="zh-CN"/>
        </w:rPr>
        <w:t>CTZB-2025050222</w:t>
      </w:r>
      <w:r>
        <w:rPr>
          <w:rFonts w:hint="eastAsia" w:ascii="仿宋" w:hAnsi="仿宋" w:eastAsia="仿宋" w:cs="仿宋"/>
          <w:sz w:val="24"/>
          <w:u w:val="single"/>
        </w:rPr>
        <w:t>）</w:t>
      </w:r>
      <w:r>
        <w:rPr>
          <w:rFonts w:hint="eastAsia" w:ascii="仿宋" w:hAnsi="仿宋" w:eastAsia="仿宋" w:cs="仿宋"/>
          <w:sz w:val="24"/>
        </w:rPr>
        <w:t>的项目经理（姓名）</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注册证书号码：</w:t>
      </w:r>
      <w:r>
        <w:rPr>
          <w:rFonts w:hint="eastAsia" w:ascii="仿宋" w:hAnsi="仿宋" w:eastAsia="仿宋" w:cs="仿宋"/>
          <w:sz w:val="24"/>
          <w:u w:val="single"/>
        </w:rPr>
        <w:t xml:space="preserve">          </w:t>
      </w:r>
      <w:r>
        <w:rPr>
          <w:rFonts w:hint="eastAsia" w:ascii="仿宋" w:hAnsi="仿宋" w:eastAsia="仿宋" w:cs="仿宋"/>
          <w:sz w:val="24"/>
        </w:rPr>
        <w:t>目前没有担任任何在建建设工程项目的项目经理。</w:t>
      </w:r>
    </w:p>
    <w:p w14:paraId="6839EBD4">
      <w:pPr>
        <w:tabs>
          <w:tab w:val="left" w:pos="720"/>
        </w:tabs>
        <w:autoSpaceDE w:val="0"/>
        <w:autoSpaceDN w:val="0"/>
        <w:spacing w:line="440" w:lineRule="exact"/>
        <w:ind w:firstLine="480" w:firstLineChars="200"/>
        <w:rPr>
          <w:rFonts w:hint="eastAsia" w:ascii="仿宋" w:hAnsi="仿宋" w:eastAsia="仿宋" w:cs="仿宋"/>
          <w:sz w:val="24"/>
        </w:rPr>
      </w:pPr>
    </w:p>
    <w:p w14:paraId="11191FBA">
      <w:pPr>
        <w:tabs>
          <w:tab w:val="left" w:pos="720"/>
        </w:tabs>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我单位保证上述信息的真实和准确，并愿意承担因我单位就此弄虚作假所引起的一切法律后果。</w:t>
      </w:r>
    </w:p>
    <w:p w14:paraId="0BE2D1C7">
      <w:pPr>
        <w:pStyle w:val="21"/>
        <w:rPr>
          <w:rFonts w:eastAsia="仿宋"/>
          <w:b/>
          <w:color w:val="000000"/>
        </w:rPr>
      </w:pPr>
    </w:p>
    <w:p w14:paraId="17968368">
      <w:pPr>
        <w:pStyle w:val="21"/>
        <w:rPr>
          <w:rFonts w:eastAsia="仿宋"/>
          <w:bCs/>
          <w:color w:val="000000"/>
        </w:rPr>
      </w:pPr>
      <w:r>
        <w:rPr>
          <w:rFonts w:hint="eastAsia" w:eastAsia="仿宋"/>
          <w:bCs/>
          <w:color w:val="000000"/>
        </w:rPr>
        <w:t>特此承诺</w:t>
      </w:r>
    </w:p>
    <w:p w14:paraId="043BE488">
      <w:pPr>
        <w:pStyle w:val="21"/>
        <w:rPr>
          <w:rFonts w:eastAsia="仿宋"/>
          <w:b/>
          <w:color w:val="000000"/>
        </w:rPr>
      </w:pPr>
    </w:p>
    <w:p w14:paraId="08BAEE48">
      <w:pPr>
        <w:pStyle w:val="21"/>
        <w:rPr>
          <w:rFonts w:eastAsia="仿宋"/>
          <w:b/>
          <w:color w:val="000000"/>
        </w:rPr>
      </w:pPr>
    </w:p>
    <w:p w14:paraId="0653EE77">
      <w:pPr>
        <w:autoSpaceDE w:val="0"/>
        <w:autoSpaceDN w:val="0"/>
        <w:snapToGrid w:val="0"/>
        <w:spacing w:line="360" w:lineRule="auto"/>
        <w:jc w:val="right"/>
        <w:rPr>
          <w:rFonts w:hint="eastAsia" w:ascii="仿宋" w:hAnsi="仿宋" w:eastAsia="仿宋" w:cs="Arial"/>
          <w:color w:val="000000"/>
          <w:sz w:val="24"/>
        </w:rPr>
      </w:pPr>
      <w:r>
        <w:rPr>
          <w:rFonts w:hint="eastAsia" w:eastAsia="仿宋"/>
          <w:b/>
          <w:color w:val="000000"/>
          <w:sz w:val="24"/>
        </w:rPr>
        <w:t xml:space="preserve">          </w:t>
      </w:r>
      <w:r>
        <w:rPr>
          <w:rFonts w:hint="eastAsia" w:ascii="仿宋" w:hAnsi="仿宋" w:eastAsia="仿宋" w:cs="Arial"/>
          <w:color w:val="000000"/>
          <w:sz w:val="24"/>
        </w:rPr>
        <w:t>磋商响应供应商名称（盖章）：_______________________________</w:t>
      </w:r>
    </w:p>
    <w:p w14:paraId="5CF00872">
      <w:pPr>
        <w:autoSpaceDE w:val="0"/>
        <w:autoSpaceDN w:val="0"/>
        <w:snapToGrid w:val="0"/>
        <w:spacing w:line="360" w:lineRule="auto"/>
        <w:jc w:val="right"/>
        <w:rPr>
          <w:rFonts w:hint="eastAsia" w:ascii="仿宋" w:hAnsi="仿宋" w:eastAsia="仿宋" w:cs="Arial"/>
          <w:color w:val="000000"/>
          <w:sz w:val="24"/>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14:paraId="6A5B9A54">
      <w:pPr>
        <w:pStyle w:val="21"/>
        <w:rPr>
          <w:rFonts w:eastAsia="仿宋"/>
          <w:b/>
          <w:color w:val="000000"/>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0F1BEFC7">
      <w:pPr>
        <w:autoSpaceDE w:val="0"/>
        <w:autoSpaceDN w:val="0"/>
        <w:spacing w:line="360" w:lineRule="auto"/>
        <w:jc w:val="center"/>
        <w:rPr>
          <w:rFonts w:hint="eastAsia" w:ascii="微软雅黑" w:hAnsi="微软雅黑" w:eastAsia="微软雅黑"/>
          <w:b/>
          <w:color w:val="000000"/>
          <w:sz w:val="40"/>
        </w:rPr>
      </w:pPr>
      <w:r>
        <w:rPr>
          <w:rFonts w:hint="eastAsia" w:ascii="微软雅黑" w:hAnsi="微软雅黑" w:eastAsia="微软雅黑"/>
          <w:b/>
          <w:color w:val="000000"/>
          <w:sz w:val="40"/>
        </w:rPr>
        <w:t>磋商响应供应商类似业绩汇总表及证明材料</w:t>
      </w:r>
    </w:p>
    <w:p w14:paraId="3DCA5792">
      <w:pPr>
        <w:autoSpaceDE w:val="0"/>
        <w:autoSpaceDN w:val="0"/>
        <w:spacing w:line="360" w:lineRule="auto"/>
        <w:rPr>
          <w:rFonts w:hint="eastAsia" w:eastAsia="仿宋"/>
          <w:b/>
          <w:color w:val="000000"/>
          <w:sz w:val="24"/>
          <w:u w:val="single"/>
          <w:lang w:eastAsia="zh-CN"/>
        </w:rPr>
      </w:pPr>
      <w:r>
        <w:rPr>
          <w:rFonts w:eastAsia="仿宋"/>
          <w:b/>
          <w:color w:val="000000"/>
          <w:sz w:val="24"/>
        </w:rPr>
        <w:t>项目名称：</w:t>
      </w:r>
      <w:r>
        <w:rPr>
          <w:rFonts w:hint="eastAsia" w:ascii="仿宋" w:hAnsi="仿宋" w:eastAsia="仿宋" w:cs="Arial"/>
          <w:b/>
          <w:color w:val="000000"/>
          <w:sz w:val="24"/>
          <w:u w:val="single"/>
          <w:lang w:eastAsia="zh-CN"/>
        </w:rPr>
        <w:t>浙江工商大学教工路校区学生宿舍建设工程附属配电房移位改造工程（EPC）</w:t>
      </w:r>
    </w:p>
    <w:p w14:paraId="168E514F">
      <w:pPr>
        <w:autoSpaceDE w:val="0"/>
        <w:autoSpaceDN w:val="0"/>
        <w:spacing w:line="360" w:lineRule="auto"/>
        <w:rPr>
          <w:rFonts w:hint="eastAsia" w:eastAsia="仿宋"/>
          <w:color w:val="000000"/>
          <w:kern w:val="0"/>
          <w:sz w:val="24"/>
          <w:u w:val="single"/>
          <w:lang w:eastAsia="zh-CN"/>
        </w:rPr>
      </w:pPr>
      <w:r>
        <w:rPr>
          <w:rFonts w:eastAsia="仿宋"/>
          <w:b/>
          <w:color w:val="000000"/>
          <w:sz w:val="24"/>
        </w:rPr>
        <w:t>项目编号：</w:t>
      </w:r>
      <w:r>
        <w:rPr>
          <w:rFonts w:hint="eastAsia" w:ascii="仿宋" w:hAnsi="仿宋" w:eastAsia="仿宋" w:cs="Arial"/>
          <w:b/>
          <w:color w:val="000000"/>
          <w:sz w:val="24"/>
          <w:u w:val="single"/>
          <w:lang w:eastAsia="zh-CN"/>
        </w:rPr>
        <w:t>CTZB-2025050222</w:t>
      </w:r>
    </w:p>
    <w:tbl>
      <w:tblPr>
        <w:tblStyle w:val="52"/>
        <w:tblW w:w="969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97"/>
        <w:gridCol w:w="1559"/>
        <w:gridCol w:w="1275"/>
        <w:gridCol w:w="1134"/>
        <w:gridCol w:w="1134"/>
        <w:gridCol w:w="993"/>
        <w:gridCol w:w="1040"/>
      </w:tblGrid>
      <w:tr w14:paraId="5EF3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4" w:type="dxa"/>
            <w:noWrap/>
            <w:vAlign w:val="center"/>
          </w:tcPr>
          <w:p w14:paraId="6CD2124C">
            <w:pPr>
              <w:autoSpaceDE w:val="0"/>
              <w:autoSpaceDN w:val="0"/>
              <w:spacing w:line="400" w:lineRule="exact"/>
              <w:jc w:val="center"/>
              <w:rPr>
                <w:rFonts w:eastAsia="仿宋"/>
                <w:b/>
                <w:color w:val="000000"/>
                <w:kern w:val="0"/>
                <w:sz w:val="24"/>
              </w:rPr>
            </w:pPr>
            <w:r>
              <w:rPr>
                <w:rFonts w:eastAsia="仿宋"/>
                <w:b/>
                <w:color w:val="000000"/>
                <w:kern w:val="0"/>
                <w:sz w:val="24"/>
              </w:rPr>
              <w:t>序号</w:t>
            </w:r>
          </w:p>
        </w:tc>
        <w:tc>
          <w:tcPr>
            <w:tcW w:w="1697" w:type="dxa"/>
            <w:noWrap/>
            <w:vAlign w:val="center"/>
          </w:tcPr>
          <w:p w14:paraId="5214DC34">
            <w:pPr>
              <w:autoSpaceDE w:val="0"/>
              <w:autoSpaceDN w:val="0"/>
              <w:spacing w:line="400" w:lineRule="exact"/>
              <w:jc w:val="center"/>
              <w:rPr>
                <w:rFonts w:eastAsia="仿宋"/>
                <w:b/>
                <w:color w:val="000000"/>
                <w:kern w:val="0"/>
                <w:sz w:val="24"/>
              </w:rPr>
            </w:pPr>
            <w:r>
              <w:rPr>
                <w:rFonts w:eastAsia="仿宋"/>
                <w:b/>
                <w:color w:val="000000"/>
                <w:kern w:val="0"/>
                <w:sz w:val="24"/>
              </w:rPr>
              <w:t>甲方单位</w:t>
            </w:r>
          </w:p>
        </w:tc>
        <w:tc>
          <w:tcPr>
            <w:tcW w:w="1559" w:type="dxa"/>
            <w:noWrap/>
            <w:vAlign w:val="center"/>
          </w:tcPr>
          <w:p w14:paraId="055094A1">
            <w:pPr>
              <w:autoSpaceDE w:val="0"/>
              <w:autoSpaceDN w:val="0"/>
              <w:spacing w:line="400" w:lineRule="exact"/>
              <w:jc w:val="center"/>
              <w:rPr>
                <w:rFonts w:eastAsia="仿宋"/>
                <w:b/>
                <w:color w:val="000000"/>
                <w:kern w:val="0"/>
                <w:sz w:val="24"/>
              </w:rPr>
            </w:pPr>
            <w:r>
              <w:rPr>
                <w:rFonts w:eastAsia="仿宋"/>
                <w:b/>
                <w:color w:val="000000"/>
                <w:kern w:val="0"/>
                <w:sz w:val="24"/>
              </w:rPr>
              <w:t>项目名称</w:t>
            </w:r>
          </w:p>
        </w:tc>
        <w:tc>
          <w:tcPr>
            <w:tcW w:w="1275" w:type="dxa"/>
            <w:noWrap/>
            <w:vAlign w:val="center"/>
          </w:tcPr>
          <w:p w14:paraId="7F62A0E0">
            <w:pPr>
              <w:autoSpaceDE w:val="0"/>
              <w:autoSpaceDN w:val="0"/>
              <w:spacing w:line="400" w:lineRule="exact"/>
              <w:jc w:val="center"/>
              <w:rPr>
                <w:rFonts w:eastAsia="仿宋"/>
                <w:b/>
                <w:color w:val="000000"/>
                <w:kern w:val="0"/>
                <w:sz w:val="24"/>
              </w:rPr>
            </w:pPr>
            <w:r>
              <w:rPr>
                <w:rFonts w:eastAsia="仿宋"/>
                <w:b/>
                <w:color w:val="000000"/>
                <w:kern w:val="0"/>
                <w:sz w:val="24"/>
              </w:rPr>
              <w:t>合同金额</w:t>
            </w:r>
          </w:p>
        </w:tc>
        <w:tc>
          <w:tcPr>
            <w:tcW w:w="1134" w:type="dxa"/>
            <w:noWrap/>
            <w:vAlign w:val="center"/>
          </w:tcPr>
          <w:p w14:paraId="05C2C104">
            <w:pPr>
              <w:autoSpaceDE w:val="0"/>
              <w:autoSpaceDN w:val="0"/>
              <w:spacing w:line="400" w:lineRule="exact"/>
              <w:jc w:val="center"/>
              <w:rPr>
                <w:rFonts w:eastAsia="仿宋"/>
                <w:b/>
                <w:color w:val="000000"/>
                <w:kern w:val="0"/>
                <w:sz w:val="24"/>
              </w:rPr>
            </w:pPr>
            <w:r>
              <w:rPr>
                <w:rFonts w:eastAsia="仿宋"/>
                <w:b/>
                <w:color w:val="000000"/>
                <w:kern w:val="0"/>
                <w:sz w:val="24"/>
              </w:rPr>
              <w:t>合同主要内容</w:t>
            </w:r>
          </w:p>
        </w:tc>
        <w:tc>
          <w:tcPr>
            <w:tcW w:w="1134" w:type="dxa"/>
            <w:noWrap/>
            <w:vAlign w:val="center"/>
          </w:tcPr>
          <w:p w14:paraId="1B7371E0">
            <w:pPr>
              <w:autoSpaceDE w:val="0"/>
              <w:autoSpaceDN w:val="0"/>
              <w:spacing w:line="400" w:lineRule="exact"/>
              <w:jc w:val="center"/>
              <w:rPr>
                <w:rFonts w:eastAsia="仿宋"/>
                <w:b/>
                <w:color w:val="000000"/>
                <w:kern w:val="0"/>
                <w:sz w:val="24"/>
              </w:rPr>
            </w:pPr>
            <w:r>
              <w:rPr>
                <w:rFonts w:eastAsia="仿宋"/>
                <w:b/>
                <w:color w:val="000000"/>
                <w:kern w:val="0"/>
                <w:sz w:val="24"/>
              </w:rPr>
              <w:t>合同签订时间</w:t>
            </w:r>
          </w:p>
        </w:tc>
        <w:tc>
          <w:tcPr>
            <w:tcW w:w="993" w:type="dxa"/>
            <w:noWrap/>
            <w:vAlign w:val="center"/>
          </w:tcPr>
          <w:p w14:paraId="36E4536D">
            <w:pPr>
              <w:autoSpaceDE w:val="0"/>
              <w:autoSpaceDN w:val="0"/>
              <w:spacing w:line="400" w:lineRule="exact"/>
              <w:jc w:val="center"/>
              <w:rPr>
                <w:rFonts w:eastAsia="仿宋"/>
                <w:b/>
                <w:color w:val="000000"/>
                <w:kern w:val="0"/>
                <w:sz w:val="24"/>
              </w:rPr>
            </w:pPr>
            <w:r>
              <w:rPr>
                <w:rFonts w:eastAsia="仿宋"/>
                <w:b/>
                <w:color w:val="000000"/>
                <w:kern w:val="0"/>
                <w:sz w:val="24"/>
              </w:rPr>
              <w:t>甲方联系人</w:t>
            </w:r>
          </w:p>
        </w:tc>
        <w:tc>
          <w:tcPr>
            <w:tcW w:w="1040" w:type="dxa"/>
            <w:noWrap/>
            <w:vAlign w:val="center"/>
          </w:tcPr>
          <w:p w14:paraId="70614726">
            <w:pPr>
              <w:autoSpaceDE w:val="0"/>
              <w:autoSpaceDN w:val="0"/>
              <w:spacing w:line="400" w:lineRule="exact"/>
              <w:jc w:val="center"/>
              <w:rPr>
                <w:rFonts w:eastAsia="仿宋"/>
                <w:b/>
                <w:color w:val="000000"/>
                <w:kern w:val="0"/>
                <w:sz w:val="24"/>
              </w:rPr>
            </w:pPr>
            <w:r>
              <w:rPr>
                <w:rFonts w:eastAsia="仿宋"/>
                <w:b/>
                <w:color w:val="000000"/>
                <w:kern w:val="0"/>
                <w:sz w:val="24"/>
              </w:rPr>
              <w:t>甲方联系电话</w:t>
            </w:r>
          </w:p>
        </w:tc>
      </w:tr>
      <w:tr w14:paraId="7856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 w:type="dxa"/>
            <w:noWrap/>
            <w:vAlign w:val="center"/>
          </w:tcPr>
          <w:p w14:paraId="3C85B944">
            <w:pPr>
              <w:autoSpaceDE w:val="0"/>
              <w:autoSpaceDN w:val="0"/>
              <w:jc w:val="center"/>
              <w:rPr>
                <w:rFonts w:eastAsia="仿宋"/>
                <w:color w:val="000000"/>
                <w:sz w:val="24"/>
              </w:rPr>
            </w:pPr>
          </w:p>
        </w:tc>
        <w:tc>
          <w:tcPr>
            <w:tcW w:w="1697" w:type="dxa"/>
            <w:noWrap/>
            <w:vAlign w:val="center"/>
          </w:tcPr>
          <w:p w14:paraId="71214229">
            <w:pPr>
              <w:autoSpaceDE w:val="0"/>
              <w:autoSpaceDN w:val="0"/>
              <w:rPr>
                <w:rFonts w:eastAsia="仿宋"/>
                <w:color w:val="000000"/>
                <w:sz w:val="24"/>
              </w:rPr>
            </w:pPr>
          </w:p>
        </w:tc>
        <w:tc>
          <w:tcPr>
            <w:tcW w:w="1559" w:type="dxa"/>
            <w:noWrap/>
            <w:vAlign w:val="center"/>
          </w:tcPr>
          <w:p w14:paraId="23F424A5">
            <w:pPr>
              <w:autoSpaceDE w:val="0"/>
              <w:autoSpaceDN w:val="0"/>
              <w:rPr>
                <w:rFonts w:eastAsia="仿宋"/>
                <w:color w:val="000000"/>
                <w:sz w:val="24"/>
              </w:rPr>
            </w:pPr>
          </w:p>
        </w:tc>
        <w:tc>
          <w:tcPr>
            <w:tcW w:w="1275" w:type="dxa"/>
            <w:noWrap/>
            <w:vAlign w:val="center"/>
          </w:tcPr>
          <w:p w14:paraId="682E8A42">
            <w:pPr>
              <w:autoSpaceDE w:val="0"/>
              <w:autoSpaceDN w:val="0"/>
              <w:rPr>
                <w:rFonts w:eastAsia="仿宋"/>
                <w:color w:val="000000"/>
                <w:sz w:val="24"/>
              </w:rPr>
            </w:pPr>
          </w:p>
        </w:tc>
        <w:tc>
          <w:tcPr>
            <w:tcW w:w="1134" w:type="dxa"/>
            <w:noWrap/>
            <w:vAlign w:val="center"/>
          </w:tcPr>
          <w:p w14:paraId="5C7AE848">
            <w:pPr>
              <w:autoSpaceDE w:val="0"/>
              <w:autoSpaceDN w:val="0"/>
              <w:rPr>
                <w:rFonts w:eastAsia="仿宋"/>
                <w:color w:val="000000"/>
                <w:sz w:val="24"/>
              </w:rPr>
            </w:pPr>
          </w:p>
        </w:tc>
        <w:tc>
          <w:tcPr>
            <w:tcW w:w="1134" w:type="dxa"/>
            <w:noWrap/>
            <w:vAlign w:val="center"/>
          </w:tcPr>
          <w:p w14:paraId="722DF7FB">
            <w:pPr>
              <w:autoSpaceDE w:val="0"/>
              <w:autoSpaceDN w:val="0"/>
              <w:rPr>
                <w:rFonts w:eastAsia="仿宋"/>
                <w:color w:val="000000"/>
                <w:sz w:val="24"/>
              </w:rPr>
            </w:pPr>
          </w:p>
        </w:tc>
        <w:tc>
          <w:tcPr>
            <w:tcW w:w="993" w:type="dxa"/>
            <w:noWrap/>
            <w:vAlign w:val="center"/>
          </w:tcPr>
          <w:p w14:paraId="688F529D">
            <w:pPr>
              <w:autoSpaceDE w:val="0"/>
              <w:autoSpaceDN w:val="0"/>
              <w:rPr>
                <w:rFonts w:eastAsia="仿宋"/>
                <w:color w:val="000000"/>
                <w:sz w:val="24"/>
              </w:rPr>
            </w:pPr>
          </w:p>
        </w:tc>
        <w:tc>
          <w:tcPr>
            <w:tcW w:w="1040" w:type="dxa"/>
            <w:noWrap/>
            <w:vAlign w:val="center"/>
          </w:tcPr>
          <w:p w14:paraId="5D6149BE">
            <w:pPr>
              <w:autoSpaceDE w:val="0"/>
              <w:autoSpaceDN w:val="0"/>
              <w:rPr>
                <w:rFonts w:eastAsia="仿宋"/>
                <w:color w:val="000000"/>
                <w:sz w:val="24"/>
              </w:rPr>
            </w:pPr>
          </w:p>
        </w:tc>
      </w:tr>
      <w:tr w14:paraId="6284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3A3901B4">
            <w:pPr>
              <w:autoSpaceDE w:val="0"/>
              <w:autoSpaceDN w:val="0"/>
              <w:jc w:val="center"/>
              <w:rPr>
                <w:rFonts w:eastAsia="仿宋"/>
                <w:color w:val="000000"/>
                <w:sz w:val="24"/>
              </w:rPr>
            </w:pPr>
          </w:p>
        </w:tc>
        <w:tc>
          <w:tcPr>
            <w:tcW w:w="1697" w:type="dxa"/>
            <w:noWrap/>
            <w:vAlign w:val="center"/>
          </w:tcPr>
          <w:p w14:paraId="38032597">
            <w:pPr>
              <w:autoSpaceDE w:val="0"/>
              <w:autoSpaceDN w:val="0"/>
              <w:rPr>
                <w:rFonts w:eastAsia="仿宋"/>
                <w:color w:val="000000"/>
                <w:sz w:val="24"/>
              </w:rPr>
            </w:pPr>
          </w:p>
        </w:tc>
        <w:tc>
          <w:tcPr>
            <w:tcW w:w="1559" w:type="dxa"/>
            <w:noWrap/>
            <w:vAlign w:val="center"/>
          </w:tcPr>
          <w:p w14:paraId="6BC5EB78">
            <w:pPr>
              <w:autoSpaceDE w:val="0"/>
              <w:autoSpaceDN w:val="0"/>
              <w:rPr>
                <w:rFonts w:eastAsia="仿宋"/>
                <w:color w:val="000000"/>
                <w:sz w:val="24"/>
              </w:rPr>
            </w:pPr>
          </w:p>
        </w:tc>
        <w:tc>
          <w:tcPr>
            <w:tcW w:w="1275" w:type="dxa"/>
            <w:noWrap/>
            <w:vAlign w:val="center"/>
          </w:tcPr>
          <w:p w14:paraId="22E73DBA">
            <w:pPr>
              <w:autoSpaceDE w:val="0"/>
              <w:autoSpaceDN w:val="0"/>
              <w:rPr>
                <w:rFonts w:eastAsia="仿宋"/>
                <w:color w:val="000000"/>
                <w:sz w:val="24"/>
              </w:rPr>
            </w:pPr>
          </w:p>
        </w:tc>
        <w:tc>
          <w:tcPr>
            <w:tcW w:w="1134" w:type="dxa"/>
            <w:noWrap/>
            <w:vAlign w:val="center"/>
          </w:tcPr>
          <w:p w14:paraId="1C37C809">
            <w:pPr>
              <w:autoSpaceDE w:val="0"/>
              <w:autoSpaceDN w:val="0"/>
              <w:rPr>
                <w:rFonts w:eastAsia="仿宋"/>
                <w:color w:val="000000"/>
                <w:sz w:val="24"/>
              </w:rPr>
            </w:pPr>
          </w:p>
        </w:tc>
        <w:tc>
          <w:tcPr>
            <w:tcW w:w="1134" w:type="dxa"/>
            <w:noWrap/>
            <w:vAlign w:val="center"/>
          </w:tcPr>
          <w:p w14:paraId="2301D557">
            <w:pPr>
              <w:autoSpaceDE w:val="0"/>
              <w:autoSpaceDN w:val="0"/>
              <w:rPr>
                <w:rFonts w:eastAsia="仿宋"/>
                <w:color w:val="000000"/>
                <w:sz w:val="24"/>
              </w:rPr>
            </w:pPr>
          </w:p>
        </w:tc>
        <w:tc>
          <w:tcPr>
            <w:tcW w:w="993" w:type="dxa"/>
            <w:noWrap/>
            <w:vAlign w:val="center"/>
          </w:tcPr>
          <w:p w14:paraId="18623CCE">
            <w:pPr>
              <w:autoSpaceDE w:val="0"/>
              <w:autoSpaceDN w:val="0"/>
              <w:rPr>
                <w:rFonts w:eastAsia="仿宋"/>
                <w:color w:val="000000"/>
                <w:sz w:val="24"/>
              </w:rPr>
            </w:pPr>
          </w:p>
        </w:tc>
        <w:tc>
          <w:tcPr>
            <w:tcW w:w="1040" w:type="dxa"/>
            <w:noWrap/>
            <w:vAlign w:val="center"/>
          </w:tcPr>
          <w:p w14:paraId="0BC36848">
            <w:pPr>
              <w:autoSpaceDE w:val="0"/>
              <w:autoSpaceDN w:val="0"/>
              <w:rPr>
                <w:rFonts w:eastAsia="仿宋"/>
                <w:color w:val="000000"/>
                <w:sz w:val="24"/>
              </w:rPr>
            </w:pPr>
          </w:p>
        </w:tc>
      </w:tr>
      <w:tr w14:paraId="2F78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071FAD26">
            <w:pPr>
              <w:autoSpaceDE w:val="0"/>
              <w:autoSpaceDN w:val="0"/>
              <w:jc w:val="center"/>
              <w:rPr>
                <w:rFonts w:eastAsia="仿宋"/>
                <w:color w:val="000000"/>
                <w:sz w:val="24"/>
              </w:rPr>
            </w:pPr>
          </w:p>
        </w:tc>
        <w:tc>
          <w:tcPr>
            <w:tcW w:w="1697" w:type="dxa"/>
            <w:noWrap/>
            <w:vAlign w:val="center"/>
          </w:tcPr>
          <w:p w14:paraId="65423E21">
            <w:pPr>
              <w:autoSpaceDE w:val="0"/>
              <w:autoSpaceDN w:val="0"/>
              <w:rPr>
                <w:rFonts w:eastAsia="仿宋"/>
                <w:color w:val="000000"/>
                <w:sz w:val="24"/>
              </w:rPr>
            </w:pPr>
          </w:p>
        </w:tc>
        <w:tc>
          <w:tcPr>
            <w:tcW w:w="1559" w:type="dxa"/>
            <w:noWrap/>
            <w:vAlign w:val="center"/>
          </w:tcPr>
          <w:p w14:paraId="39566216">
            <w:pPr>
              <w:autoSpaceDE w:val="0"/>
              <w:autoSpaceDN w:val="0"/>
              <w:rPr>
                <w:rFonts w:eastAsia="仿宋"/>
                <w:color w:val="000000"/>
                <w:sz w:val="24"/>
              </w:rPr>
            </w:pPr>
          </w:p>
        </w:tc>
        <w:tc>
          <w:tcPr>
            <w:tcW w:w="1275" w:type="dxa"/>
            <w:noWrap/>
            <w:vAlign w:val="center"/>
          </w:tcPr>
          <w:p w14:paraId="41FDC7A0">
            <w:pPr>
              <w:autoSpaceDE w:val="0"/>
              <w:autoSpaceDN w:val="0"/>
              <w:rPr>
                <w:rFonts w:eastAsia="仿宋"/>
                <w:color w:val="000000"/>
                <w:sz w:val="24"/>
              </w:rPr>
            </w:pPr>
          </w:p>
        </w:tc>
        <w:tc>
          <w:tcPr>
            <w:tcW w:w="1134" w:type="dxa"/>
            <w:noWrap/>
            <w:vAlign w:val="center"/>
          </w:tcPr>
          <w:p w14:paraId="3FE0129A">
            <w:pPr>
              <w:autoSpaceDE w:val="0"/>
              <w:autoSpaceDN w:val="0"/>
              <w:rPr>
                <w:rFonts w:eastAsia="仿宋"/>
                <w:color w:val="000000"/>
                <w:sz w:val="24"/>
              </w:rPr>
            </w:pPr>
          </w:p>
        </w:tc>
        <w:tc>
          <w:tcPr>
            <w:tcW w:w="1134" w:type="dxa"/>
            <w:noWrap/>
            <w:vAlign w:val="center"/>
          </w:tcPr>
          <w:p w14:paraId="123670BF">
            <w:pPr>
              <w:autoSpaceDE w:val="0"/>
              <w:autoSpaceDN w:val="0"/>
              <w:rPr>
                <w:rFonts w:eastAsia="仿宋"/>
                <w:color w:val="000000"/>
                <w:sz w:val="24"/>
              </w:rPr>
            </w:pPr>
          </w:p>
        </w:tc>
        <w:tc>
          <w:tcPr>
            <w:tcW w:w="993" w:type="dxa"/>
            <w:noWrap/>
            <w:vAlign w:val="center"/>
          </w:tcPr>
          <w:p w14:paraId="4D8FF7D9">
            <w:pPr>
              <w:autoSpaceDE w:val="0"/>
              <w:autoSpaceDN w:val="0"/>
              <w:rPr>
                <w:rFonts w:eastAsia="仿宋"/>
                <w:color w:val="000000"/>
                <w:sz w:val="24"/>
              </w:rPr>
            </w:pPr>
          </w:p>
        </w:tc>
        <w:tc>
          <w:tcPr>
            <w:tcW w:w="1040" w:type="dxa"/>
            <w:noWrap/>
            <w:vAlign w:val="center"/>
          </w:tcPr>
          <w:p w14:paraId="27241CF8">
            <w:pPr>
              <w:autoSpaceDE w:val="0"/>
              <w:autoSpaceDN w:val="0"/>
              <w:rPr>
                <w:rFonts w:eastAsia="仿宋"/>
                <w:color w:val="000000"/>
                <w:sz w:val="24"/>
              </w:rPr>
            </w:pPr>
          </w:p>
        </w:tc>
      </w:tr>
      <w:tr w14:paraId="1DC6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2F8EE41C">
            <w:pPr>
              <w:autoSpaceDE w:val="0"/>
              <w:autoSpaceDN w:val="0"/>
              <w:jc w:val="center"/>
              <w:rPr>
                <w:rFonts w:eastAsia="仿宋"/>
                <w:color w:val="000000"/>
                <w:sz w:val="24"/>
              </w:rPr>
            </w:pPr>
          </w:p>
        </w:tc>
        <w:tc>
          <w:tcPr>
            <w:tcW w:w="1697" w:type="dxa"/>
            <w:noWrap/>
            <w:vAlign w:val="center"/>
          </w:tcPr>
          <w:p w14:paraId="17D1E4E2">
            <w:pPr>
              <w:autoSpaceDE w:val="0"/>
              <w:autoSpaceDN w:val="0"/>
              <w:rPr>
                <w:rFonts w:eastAsia="仿宋"/>
                <w:color w:val="000000"/>
                <w:sz w:val="24"/>
              </w:rPr>
            </w:pPr>
          </w:p>
        </w:tc>
        <w:tc>
          <w:tcPr>
            <w:tcW w:w="1559" w:type="dxa"/>
            <w:noWrap/>
            <w:vAlign w:val="center"/>
          </w:tcPr>
          <w:p w14:paraId="6A467C5A">
            <w:pPr>
              <w:autoSpaceDE w:val="0"/>
              <w:autoSpaceDN w:val="0"/>
              <w:rPr>
                <w:rFonts w:eastAsia="仿宋"/>
                <w:color w:val="000000"/>
                <w:sz w:val="24"/>
              </w:rPr>
            </w:pPr>
          </w:p>
        </w:tc>
        <w:tc>
          <w:tcPr>
            <w:tcW w:w="1275" w:type="dxa"/>
            <w:noWrap/>
            <w:vAlign w:val="center"/>
          </w:tcPr>
          <w:p w14:paraId="2D1D8920">
            <w:pPr>
              <w:autoSpaceDE w:val="0"/>
              <w:autoSpaceDN w:val="0"/>
              <w:rPr>
                <w:rFonts w:eastAsia="仿宋"/>
                <w:color w:val="000000"/>
                <w:sz w:val="24"/>
              </w:rPr>
            </w:pPr>
          </w:p>
        </w:tc>
        <w:tc>
          <w:tcPr>
            <w:tcW w:w="1134" w:type="dxa"/>
            <w:noWrap/>
            <w:vAlign w:val="center"/>
          </w:tcPr>
          <w:p w14:paraId="612250D6">
            <w:pPr>
              <w:autoSpaceDE w:val="0"/>
              <w:autoSpaceDN w:val="0"/>
              <w:rPr>
                <w:rFonts w:eastAsia="仿宋"/>
                <w:color w:val="000000"/>
                <w:sz w:val="24"/>
              </w:rPr>
            </w:pPr>
          </w:p>
        </w:tc>
        <w:tc>
          <w:tcPr>
            <w:tcW w:w="1134" w:type="dxa"/>
            <w:noWrap/>
            <w:vAlign w:val="center"/>
          </w:tcPr>
          <w:p w14:paraId="7C841521">
            <w:pPr>
              <w:autoSpaceDE w:val="0"/>
              <w:autoSpaceDN w:val="0"/>
              <w:rPr>
                <w:rFonts w:eastAsia="仿宋"/>
                <w:color w:val="000000"/>
                <w:sz w:val="24"/>
              </w:rPr>
            </w:pPr>
          </w:p>
        </w:tc>
        <w:tc>
          <w:tcPr>
            <w:tcW w:w="993" w:type="dxa"/>
            <w:noWrap/>
            <w:vAlign w:val="center"/>
          </w:tcPr>
          <w:p w14:paraId="722B88B3">
            <w:pPr>
              <w:autoSpaceDE w:val="0"/>
              <w:autoSpaceDN w:val="0"/>
              <w:rPr>
                <w:rFonts w:eastAsia="仿宋"/>
                <w:color w:val="000000"/>
                <w:sz w:val="24"/>
              </w:rPr>
            </w:pPr>
          </w:p>
        </w:tc>
        <w:tc>
          <w:tcPr>
            <w:tcW w:w="1040" w:type="dxa"/>
            <w:noWrap/>
            <w:vAlign w:val="center"/>
          </w:tcPr>
          <w:p w14:paraId="0B2822A8">
            <w:pPr>
              <w:autoSpaceDE w:val="0"/>
              <w:autoSpaceDN w:val="0"/>
              <w:rPr>
                <w:rFonts w:eastAsia="仿宋"/>
                <w:color w:val="000000"/>
                <w:sz w:val="24"/>
              </w:rPr>
            </w:pPr>
          </w:p>
        </w:tc>
      </w:tr>
      <w:tr w14:paraId="6917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59F5D0EE">
            <w:pPr>
              <w:autoSpaceDE w:val="0"/>
              <w:autoSpaceDN w:val="0"/>
              <w:jc w:val="center"/>
              <w:rPr>
                <w:rFonts w:eastAsia="仿宋"/>
                <w:color w:val="000000"/>
                <w:sz w:val="24"/>
              </w:rPr>
            </w:pPr>
          </w:p>
        </w:tc>
        <w:tc>
          <w:tcPr>
            <w:tcW w:w="1697" w:type="dxa"/>
            <w:noWrap/>
            <w:vAlign w:val="center"/>
          </w:tcPr>
          <w:p w14:paraId="465D2323">
            <w:pPr>
              <w:autoSpaceDE w:val="0"/>
              <w:autoSpaceDN w:val="0"/>
              <w:rPr>
                <w:rFonts w:eastAsia="仿宋"/>
                <w:color w:val="000000"/>
                <w:sz w:val="24"/>
              </w:rPr>
            </w:pPr>
          </w:p>
        </w:tc>
        <w:tc>
          <w:tcPr>
            <w:tcW w:w="1559" w:type="dxa"/>
            <w:noWrap/>
            <w:vAlign w:val="center"/>
          </w:tcPr>
          <w:p w14:paraId="7E19C609">
            <w:pPr>
              <w:autoSpaceDE w:val="0"/>
              <w:autoSpaceDN w:val="0"/>
              <w:rPr>
                <w:rFonts w:eastAsia="仿宋"/>
                <w:color w:val="000000"/>
                <w:sz w:val="24"/>
              </w:rPr>
            </w:pPr>
          </w:p>
        </w:tc>
        <w:tc>
          <w:tcPr>
            <w:tcW w:w="1275" w:type="dxa"/>
            <w:noWrap/>
            <w:vAlign w:val="center"/>
          </w:tcPr>
          <w:p w14:paraId="3DCF3CAF">
            <w:pPr>
              <w:autoSpaceDE w:val="0"/>
              <w:autoSpaceDN w:val="0"/>
              <w:rPr>
                <w:rFonts w:eastAsia="仿宋"/>
                <w:color w:val="000000"/>
                <w:sz w:val="24"/>
              </w:rPr>
            </w:pPr>
          </w:p>
        </w:tc>
        <w:tc>
          <w:tcPr>
            <w:tcW w:w="1134" w:type="dxa"/>
            <w:noWrap/>
            <w:vAlign w:val="center"/>
          </w:tcPr>
          <w:p w14:paraId="5257D153">
            <w:pPr>
              <w:autoSpaceDE w:val="0"/>
              <w:autoSpaceDN w:val="0"/>
              <w:rPr>
                <w:rFonts w:eastAsia="仿宋"/>
                <w:color w:val="000000"/>
                <w:sz w:val="24"/>
              </w:rPr>
            </w:pPr>
          </w:p>
        </w:tc>
        <w:tc>
          <w:tcPr>
            <w:tcW w:w="1134" w:type="dxa"/>
            <w:noWrap/>
            <w:vAlign w:val="center"/>
          </w:tcPr>
          <w:p w14:paraId="0E064F7F">
            <w:pPr>
              <w:autoSpaceDE w:val="0"/>
              <w:autoSpaceDN w:val="0"/>
              <w:rPr>
                <w:rFonts w:eastAsia="仿宋"/>
                <w:color w:val="000000"/>
                <w:sz w:val="24"/>
              </w:rPr>
            </w:pPr>
          </w:p>
        </w:tc>
        <w:tc>
          <w:tcPr>
            <w:tcW w:w="993" w:type="dxa"/>
            <w:noWrap/>
            <w:vAlign w:val="center"/>
          </w:tcPr>
          <w:p w14:paraId="232475A8">
            <w:pPr>
              <w:autoSpaceDE w:val="0"/>
              <w:autoSpaceDN w:val="0"/>
              <w:rPr>
                <w:rFonts w:eastAsia="仿宋"/>
                <w:color w:val="000000"/>
                <w:sz w:val="24"/>
              </w:rPr>
            </w:pPr>
          </w:p>
        </w:tc>
        <w:tc>
          <w:tcPr>
            <w:tcW w:w="1040" w:type="dxa"/>
            <w:noWrap/>
            <w:vAlign w:val="center"/>
          </w:tcPr>
          <w:p w14:paraId="48C2828D">
            <w:pPr>
              <w:autoSpaceDE w:val="0"/>
              <w:autoSpaceDN w:val="0"/>
              <w:rPr>
                <w:rFonts w:eastAsia="仿宋"/>
                <w:color w:val="000000"/>
                <w:sz w:val="24"/>
              </w:rPr>
            </w:pPr>
          </w:p>
        </w:tc>
      </w:tr>
      <w:tr w14:paraId="066F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14:paraId="39BA7FBA">
            <w:pPr>
              <w:autoSpaceDE w:val="0"/>
              <w:autoSpaceDN w:val="0"/>
              <w:jc w:val="center"/>
              <w:rPr>
                <w:rFonts w:eastAsia="仿宋"/>
                <w:color w:val="000000"/>
                <w:sz w:val="24"/>
              </w:rPr>
            </w:pPr>
          </w:p>
        </w:tc>
        <w:tc>
          <w:tcPr>
            <w:tcW w:w="1697" w:type="dxa"/>
            <w:noWrap/>
            <w:vAlign w:val="center"/>
          </w:tcPr>
          <w:p w14:paraId="42C2DC8F">
            <w:pPr>
              <w:autoSpaceDE w:val="0"/>
              <w:autoSpaceDN w:val="0"/>
              <w:rPr>
                <w:rFonts w:eastAsia="仿宋"/>
                <w:color w:val="000000"/>
                <w:sz w:val="24"/>
              </w:rPr>
            </w:pPr>
          </w:p>
        </w:tc>
        <w:tc>
          <w:tcPr>
            <w:tcW w:w="1559" w:type="dxa"/>
            <w:noWrap/>
            <w:vAlign w:val="center"/>
          </w:tcPr>
          <w:p w14:paraId="4894398F">
            <w:pPr>
              <w:autoSpaceDE w:val="0"/>
              <w:autoSpaceDN w:val="0"/>
              <w:rPr>
                <w:rFonts w:eastAsia="仿宋"/>
                <w:color w:val="000000"/>
                <w:sz w:val="24"/>
              </w:rPr>
            </w:pPr>
          </w:p>
        </w:tc>
        <w:tc>
          <w:tcPr>
            <w:tcW w:w="1275" w:type="dxa"/>
            <w:noWrap/>
            <w:vAlign w:val="center"/>
          </w:tcPr>
          <w:p w14:paraId="7970F418">
            <w:pPr>
              <w:autoSpaceDE w:val="0"/>
              <w:autoSpaceDN w:val="0"/>
              <w:rPr>
                <w:rFonts w:eastAsia="仿宋"/>
                <w:color w:val="000000"/>
                <w:sz w:val="24"/>
              </w:rPr>
            </w:pPr>
          </w:p>
        </w:tc>
        <w:tc>
          <w:tcPr>
            <w:tcW w:w="1134" w:type="dxa"/>
            <w:noWrap/>
            <w:vAlign w:val="center"/>
          </w:tcPr>
          <w:p w14:paraId="7D51320E">
            <w:pPr>
              <w:autoSpaceDE w:val="0"/>
              <w:autoSpaceDN w:val="0"/>
              <w:rPr>
                <w:rFonts w:eastAsia="仿宋"/>
                <w:color w:val="000000"/>
                <w:sz w:val="24"/>
              </w:rPr>
            </w:pPr>
          </w:p>
        </w:tc>
        <w:tc>
          <w:tcPr>
            <w:tcW w:w="1134" w:type="dxa"/>
            <w:noWrap/>
            <w:vAlign w:val="center"/>
          </w:tcPr>
          <w:p w14:paraId="2EFA2E4F">
            <w:pPr>
              <w:autoSpaceDE w:val="0"/>
              <w:autoSpaceDN w:val="0"/>
              <w:rPr>
                <w:rFonts w:eastAsia="仿宋"/>
                <w:color w:val="000000"/>
                <w:sz w:val="24"/>
              </w:rPr>
            </w:pPr>
          </w:p>
        </w:tc>
        <w:tc>
          <w:tcPr>
            <w:tcW w:w="993" w:type="dxa"/>
            <w:noWrap/>
            <w:vAlign w:val="center"/>
          </w:tcPr>
          <w:p w14:paraId="4ECF63D7">
            <w:pPr>
              <w:autoSpaceDE w:val="0"/>
              <w:autoSpaceDN w:val="0"/>
              <w:rPr>
                <w:rFonts w:eastAsia="仿宋"/>
                <w:color w:val="000000"/>
                <w:sz w:val="24"/>
              </w:rPr>
            </w:pPr>
          </w:p>
        </w:tc>
        <w:tc>
          <w:tcPr>
            <w:tcW w:w="1040" w:type="dxa"/>
            <w:noWrap/>
            <w:vAlign w:val="center"/>
          </w:tcPr>
          <w:p w14:paraId="05361277">
            <w:pPr>
              <w:autoSpaceDE w:val="0"/>
              <w:autoSpaceDN w:val="0"/>
              <w:rPr>
                <w:rFonts w:eastAsia="仿宋"/>
                <w:color w:val="000000"/>
                <w:sz w:val="24"/>
              </w:rPr>
            </w:pPr>
          </w:p>
        </w:tc>
      </w:tr>
      <w:tr w14:paraId="40A2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64" w:type="dxa"/>
            <w:noWrap/>
            <w:vAlign w:val="center"/>
          </w:tcPr>
          <w:p w14:paraId="6D58C4FE">
            <w:pPr>
              <w:autoSpaceDE w:val="0"/>
              <w:autoSpaceDN w:val="0"/>
              <w:jc w:val="center"/>
              <w:rPr>
                <w:rFonts w:eastAsia="仿宋"/>
                <w:color w:val="000000"/>
                <w:sz w:val="24"/>
              </w:rPr>
            </w:pPr>
          </w:p>
        </w:tc>
        <w:tc>
          <w:tcPr>
            <w:tcW w:w="1697" w:type="dxa"/>
            <w:noWrap/>
            <w:vAlign w:val="center"/>
          </w:tcPr>
          <w:p w14:paraId="018A4215">
            <w:pPr>
              <w:autoSpaceDE w:val="0"/>
              <w:autoSpaceDN w:val="0"/>
              <w:rPr>
                <w:rFonts w:eastAsia="仿宋"/>
                <w:color w:val="000000"/>
                <w:sz w:val="24"/>
              </w:rPr>
            </w:pPr>
          </w:p>
        </w:tc>
        <w:tc>
          <w:tcPr>
            <w:tcW w:w="1559" w:type="dxa"/>
            <w:noWrap/>
            <w:vAlign w:val="center"/>
          </w:tcPr>
          <w:p w14:paraId="3015D235">
            <w:pPr>
              <w:autoSpaceDE w:val="0"/>
              <w:autoSpaceDN w:val="0"/>
              <w:rPr>
                <w:rFonts w:eastAsia="仿宋"/>
                <w:color w:val="000000"/>
                <w:sz w:val="24"/>
              </w:rPr>
            </w:pPr>
          </w:p>
        </w:tc>
        <w:tc>
          <w:tcPr>
            <w:tcW w:w="1275" w:type="dxa"/>
            <w:noWrap/>
            <w:vAlign w:val="center"/>
          </w:tcPr>
          <w:p w14:paraId="502E0608">
            <w:pPr>
              <w:autoSpaceDE w:val="0"/>
              <w:autoSpaceDN w:val="0"/>
              <w:rPr>
                <w:rFonts w:eastAsia="仿宋"/>
                <w:color w:val="000000"/>
                <w:sz w:val="24"/>
              </w:rPr>
            </w:pPr>
          </w:p>
        </w:tc>
        <w:tc>
          <w:tcPr>
            <w:tcW w:w="1134" w:type="dxa"/>
            <w:noWrap/>
            <w:vAlign w:val="center"/>
          </w:tcPr>
          <w:p w14:paraId="10AA50E4">
            <w:pPr>
              <w:autoSpaceDE w:val="0"/>
              <w:autoSpaceDN w:val="0"/>
              <w:rPr>
                <w:rFonts w:eastAsia="仿宋"/>
                <w:color w:val="000000"/>
                <w:sz w:val="24"/>
              </w:rPr>
            </w:pPr>
          </w:p>
        </w:tc>
        <w:tc>
          <w:tcPr>
            <w:tcW w:w="1134" w:type="dxa"/>
            <w:noWrap/>
            <w:vAlign w:val="center"/>
          </w:tcPr>
          <w:p w14:paraId="70EDECE1">
            <w:pPr>
              <w:autoSpaceDE w:val="0"/>
              <w:autoSpaceDN w:val="0"/>
              <w:rPr>
                <w:rFonts w:eastAsia="仿宋"/>
                <w:color w:val="000000"/>
                <w:sz w:val="24"/>
              </w:rPr>
            </w:pPr>
          </w:p>
        </w:tc>
        <w:tc>
          <w:tcPr>
            <w:tcW w:w="993" w:type="dxa"/>
            <w:noWrap/>
            <w:vAlign w:val="center"/>
          </w:tcPr>
          <w:p w14:paraId="72A55A76">
            <w:pPr>
              <w:autoSpaceDE w:val="0"/>
              <w:autoSpaceDN w:val="0"/>
              <w:rPr>
                <w:rFonts w:eastAsia="仿宋"/>
                <w:color w:val="000000"/>
                <w:sz w:val="24"/>
              </w:rPr>
            </w:pPr>
          </w:p>
        </w:tc>
        <w:tc>
          <w:tcPr>
            <w:tcW w:w="1040" w:type="dxa"/>
            <w:noWrap/>
            <w:vAlign w:val="center"/>
          </w:tcPr>
          <w:p w14:paraId="4C8C6245">
            <w:pPr>
              <w:autoSpaceDE w:val="0"/>
              <w:autoSpaceDN w:val="0"/>
              <w:rPr>
                <w:rFonts w:eastAsia="仿宋"/>
                <w:color w:val="000000"/>
                <w:sz w:val="24"/>
              </w:rPr>
            </w:pPr>
          </w:p>
        </w:tc>
      </w:tr>
    </w:tbl>
    <w:p w14:paraId="3E8E8C21">
      <w:pPr>
        <w:autoSpaceDE w:val="0"/>
        <w:autoSpaceDN w:val="0"/>
        <w:spacing w:line="360" w:lineRule="auto"/>
        <w:rPr>
          <w:rFonts w:eastAsia="仿宋"/>
          <w:b/>
          <w:color w:val="000000"/>
          <w:sz w:val="24"/>
        </w:rPr>
      </w:pPr>
      <w:r>
        <w:rPr>
          <w:rFonts w:eastAsia="仿宋"/>
          <w:b/>
          <w:color w:val="000000"/>
          <w:sz w:val="24"/>
        </w:rPr>
        <w:t>备注：</w:t>
      </w:r>
    </w:p>
    <w:p w14:paraId="7DA29E15">
      <w:pPr>
        <w:autoSpaceDE w:val="0"/>
        <w:autoSpaceDN w:val="0"/>
        <w:spacing w:line="360" w:lineRule="auto"/>
        <w:rPr>
          <w:rFonts w:eastAsia="仿宋"/>
          <w:b/>
          <w:color w:val="000000"/>
          <w:w w:val="90"/>
          <w:kern w:val="0"/>
          <w:sz w:val="24"/>
        </w:rPr>
      </w:pPr>
      <w:r>
        <w:rPr>
          <w:rFonts w:eastAsia="仿宋"/>
          <w:b/>
          <w:color w:val="000000"/>
          <w:sz w:val="24"/>
        </w:rPr>
        <w:t>（1）后附证明材料，</w:t>
      </w:r>
      <w:r>
        <w:rPr>
          <w:rFonts w:eastAsia="仿宋"/>
          <w:b/>
          <w:color w:val="000000"/>
          <w:w w:val="90"/>
          <w:kern w:val="0"/>
          <w:sz w:val="24"/>
        </w:rPr>
        <w:t>证明材料详见评审办法要求。</w:t>
      </w:r>
    </w:p>
    <w:p w14:paraId="6297927F">
      <w:pPr>
        <w:autoSpaceDE w:val="0"/>
        <w:autoSpaceDN w:val="0"/>
        <w:spacing w:line="360" w:lineRule="auto"/>
        <w:rPr>
          <w:rFonts w:eastAsia="仿宋"/>
          <w:b/>
          <w:color w:val="000000"/>
          <w:sz w:val="24"/>
        </w:rPr>
      </w:pPr>
      <w:r>
        <w:rPr>
          <w:rFonts w:eastAsia="仿宋"/>
          <w:b/>
          <w:color w:val="000000"/>
          <w:kern w:val="0"/>
          <w:sz w:val="24"/>
        </w:rPr>
        <w:t>（2）没有类似业绩的，此表可以不提供。</w:t>
      </w:r>
    </w:p>
    <w:p w14:paraId="6BDC108A">
      <w:pPr>
        <w:autoSpaceDE w:val="0"/>
        <w:autoSpaceDN w:val="0"/>
        <w:spacing w:line="360" w:lineRule="auto"/>
        <w:rPr>
          <w:rFonts w:eastAsia="仿宋"/>
          <w:color w:val="000000"/>
          <w:sz w:val="24"/>
        </w:rPr>
      </w:pPr>
    </w:p>
    <w:p w14:paraId="74736861">
      <w:pPr>
        <w:autoSpaceDE w:val="0"/>
        <w:autoSpaceDN w:val="0"/>
        <w:snapToGrid w:val="0"/>
        <w:spacing w:line="360" w:lineRule="auto"/>
        <w:rPr>
          <w:rFonts w:hint="eastAsia"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14:paraId="0A7840F6">
      <w:pPr>
        <w:autoSpaceDE w:val="0"/>
        <w:autoSpaceDN w:val="0"/>
        <w:snapToGrid w:val="0"/>
        <w:spacing w:line="360" w:lineRule="auto"/>
        <w:rPr>
          <w:rFonts w:hint="eastAsia" w:ascii="仿宋" w:hAnsi="仿宋" w:eastAsia="仿宋" w:cs="Arial"/>
          <w:color w:val="000000"/>
          <w:sz w:val="24"/>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14:paraId="522E8253">
      <w:pPr>
        <w:autoSpaceDE w:val="0"/>
        <w:autoSpaceDN w:val="0"/>
        <w:adjustRightInd w:val="0"/>
        <w:spacing w:line="360" w:lineRule="auto"/>
        <w:ind w:firstLine="420"/>
        <w:jc w:val="left"/>
        <w:rPr>
          <w:rFonts w:eastAsia="仿宋"/>
          <w:color w:val="000000"/>
          <w:w w:val="90"/>
          <w:kern w:val="0"/>
          <w:sz w:val="22"/>
          <w:szCs w:val="22"/>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163BCB86">
      <w:pPr>
        <w:pStyle w:val="4"/>
        <w:spacing w:before="120" w:after="120"/>
        <w:ind w:firstLine="240"/>
        <w:jc w:val="both"/>
        <w:rPr>
          <w:rFonts w:hint="eastAsia" w:ascii="华文中宋" w:hAnsi="华文中宋"/>
          <w:bCs/>
          <w:color w:val="000000"/>
          <w:kern w:val="0"/>
          <w:szCs w:val="24"/>
        </w:rPr>
      </w:pPr>
      <w:r>
        <w:rPr>
          <w:rFonts w:hint="eastAsia" w:ascii="华文中宋" w:hAnsi="华文中宋"/>
          <w:bCs/>
          <w:color w:val="000000"/>
          <w:kern w:val="0"/>
          <w:szCs w:val="24"/>
        </w:rPr>
        <w:t>2-</w:t>
      </w:r>
      <w:r>
        <w:rPr>
          <w:rFonts w:hint="eastAsia" w:ascii="华文中宋" w:hAnsi="华文中宋"/>
          <w:bCs/>
          <w:color w:val="000000"/>
          <w:kern w:val="0"/>
          <w:szCs w:val="24"/>
          <w:lang w:val="en-US" w:eastAsia="zh-CN"/>
        </w:rPr>
        <w:t>6</w:t>
      </w:r>
      <w:r>
        <w:rPr>
          <w:rFonts w:hint="eastAsia" w:ascii="华文中宋" w:hAnsi="华文中宋"/>
          <w:bCs/>
          <w:color w:val="000000"/>
          <w:kern w:val="0"/>
          <w:szCs w:val="24"/>
        </w:rPr>
        <w:t xml:space="preserve"> 拟派项目经理类似项目业绩情况</w:t>
      </w:r>
    </w:p>
    <w:p w14:paraId="0EFB9818">
      <w:pPr>
        <w:autoSpaceDE w:val="0"/>
        <w:autoSpaceDN w:val="0"/>
        <w:spacing w:line="360" w:lineRule="auto"/>
        <w:jc w:val="center"/>
        <w:rPr>
          <w:rFonts w:eastAsia="华文中宋"/>
          <w:b/>
          <w:color w:val="000000"/>
          <w:kern w:val="0"/>
          <w:sz w:val="44"/>
          <w:szCs w:val="28"/>
        </w:rPr>
      </w:pPr>
      <w:r>
        <w:rPr>
          <w:rFonts w:eastAsia="华文中宋"/>
          <w:b/>
          <w:color w:val="000000"/>
          <w:kern w:val="0"/>
          <w:sz w:val="44"/>
          <w:szCs w:val="28"/>
        </w:rPr>
        <w:t>拟派项目经理类似业绩表及证明材料</w:t>
      </w:r>
    </w:p>
    <w:p w14:paraId="65067DF9">
      <w:pPr>
        <w:autoSpaceDE w:val="0"/>
        <w:autoSpaceDN w:val="0"/>
        <w:spacing w:line="360" w:lineRule="auto"/>
        <w:rPr>
          <w:rFonts w:hint="eastAsia" w:eastAsia="仿宋"/>
          <w:b/>
          <w:color w:val="000000"/>
          <w:sz w:val="24"/>
          <w:u w:val="single"/>
          <w:lang w:eastAsia="zh-CN"/>
        </w:rPr>
      </w:pPr>
      <w:r>
        <w:rPr>
          <w:rFonts w:eastAsia="仿宋"/>
          <w:b/>
          <w:color w:val="000000"/>
          <w:sz w:val="24"/>
        </w:rPr>
        <w:t>项目名称：</w:t>
      </w:r>
      <w:r>
        <w:rPr>
          <w:rFonts w:hint="eastAsia" w:ascii="仿宋" w:hAnsi="仿宋" w:eastAsia="仿宋" w:cs="Arial"/>
          <w:b/>
          <w:color w:val="000000"/>
          <w:sz w:val="24"/>
          <w:u w:val="single"/>
          <w:lang w:eastAsia="zh-CN"/>
        </w:rPr>
        <w:t>浙江工商大学教工路校区学生宿舍建设工程附属配电房移位改造工程（EPC）</w:t>
      </w:r>
    </w:p>
    <w:p w14:paraId="451BAE92">
      <w:pPr>
        <w:autoSpaceDE w:val="0"/>
        <w:autoSpaceDN w:val="0"/>
        <w:spacing w:line="360" w:lineRule="auto"/>
        <w:rPr>
          <w:rFonts w:hint="eastAsia" w:eastAsia="仿宋"/>
          <w:lang w:eastAsia="zh-CN"/>
        </w:rPr>
      </w:pPr>
      <w:r>
        <w:rPr>
          <w:rFonts w:eastAsia="仿宋"/>
          <w:b/>
          <w:color w:val="000000"/>
          <w:sz w:val="24"/>
        </w:rPr>
        <w:t>项目编号：</w:t>
      </w:r>
      <w:r>
        <w:rPr>
          <w:rFonts w:hint="eastAsia" w:ascii="仿宋" w:hAnsi="仿宋" w:eastAsia="仿宋" w:cs="Arial"/>
          <w:b/>
          <w:color w:val="000000"/>
          <w:sz w:val="24"/>
          <w:u w:val="single"/>
          <w:lang w:eastAsia="zh-CN"/>
        </w:rPr>
        <w:t>CTZB-2025050222</w:t>
      </w:r>
    </w:p>
    <w:tbl>
      <w:tblPr>
        <w:tblStyle w:val="52"/>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01"/>
        <w:gridCol w:w="1559"/>
        <w:gridCol w:w="1275"/>
        <w:gridCol w:w="1134"/>
        <w:gridCol w:w="1134"/>
        <w:gridCol w:w="993"/>
        <w:gridCol w:w="1134"/>
      </w:tblGrid>
      <w:tr w14:paraId="701E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8" w:type="dxa"/>
            <w:noWrap/>
            <w:vAlign w:val="center"/>
          </w:tcPr>
          <w:p w14:paraId="5204ED35">
            <w:pPr>
              <w:autoSpaceDE w:val="0"/>
              <w:autoSpaceDN w:val="0"/>
              <w:spacing w:line="400" w:lineRule="exact"/>
              <w:jc w:val="center"/>
              <w:rPr>
                <w:rFonts w:eastAsia="仿宋"/>
                <w:b/>
                <w:color w:val="000000"/>
                <w:kern w:val="0"/>
                <w:sz w:val="24"/>
              </w:rPr>
            </w:pPr>
            <w:r>
              <w:rPr>
                <w:rFonts w:eastAsia="仿宋"/>
                <w:b/>
                <w:color w:val="000000"/>
                <w:kern w:val="0"/>
                <w:sz w:val="24"/>
              </w:rPr>
              <w:t>序号</w:t>
            </w:r>
          </w:p>
        </w:tc>
        <w:tc>
          <w:tcPr>
            <w:tcW w:w="1901" w:type="dxa"/>
            <w:noWrap/>
            <w:vAlign w:val="center"/>
          </w:tcPr>
          <w:p w14:paraId="220CDFC0">
            <w:pPr>
              <w:autoSpaceDE w:val="0"/>
              <w:autoSpaceDN w:val="0"/>
              <w:spacing w:line="400" w:lineRule="exact"/>
              <w:jc w:val="center"/>
              <w:rPr>
                <w:rFonts w:eastAsia="仿宋"/>
                <w:b/>
                <w:color w:val="000000"/>
                <w:kern w:val="0"/>
                <w:sz w:val="24"/>
              </w:rPr>
            </w:pPr>
            <w:r>
              <w:rPr>
                <w:rFonts w:eastAsia="仿宋"/>
                <w:b/>
                <w:color w:val="000000"/>
                <w:kern w:val="0"/>
                <w:sz w:val="24"/>
              </w:rPr>
              <w:t>甲方单位</w:t>
            </w:r>
          </w:p>
        </w:tc>
        <w:tc>
          <w:tcPr>
            <w:tcW w:w="1559" w:type="dxa"/>
            <w:noWrap/>
            <w:vAlign w:val="center"/>
          </w:tcPr>
          <w:p w14:paraId="62F085E4">
            <w:pPr>
              <w:autoSpaceDE w:val="0"/>
              <w:autoSpaceDN w:val="0"/>
              <w:spacing w:line="400" w:lineRule="exact"/>
              <w:jc w:val="center"/>
              <w:rPr>
                <w:rFonts w:eastAsia="仿宋"/>
                <w:b/>
                <w:color w:val="000000"/>
                <w:kern w:val="0"/>
                <w:sz w:val="24"/>
              </w:rPr>
            </w:pPr>
            <w:r>
              <w:rPr>
                <w:rFonts w:eastAsia="仿宋"/>
                <w:b/>
                <w:color w:val="000000"/>
                <w:kern w:val="0"/>
                <w:sz w:val="24"/>
              </w:rPr>
              <w:t>项目名称</w:t>
            </w:r>
          </w:p>
        </w:tc>
        <w:tc>
          <w:tcPr>
            <w:tcW w:w="1275" w:type="dxa"/>
            <w:noWrap/>
            <w:vAlign w:val="center"/>
          </w:tcPr>
          <w:p w14:paraId="404D5E0F">
            <w:pPr>
              <w:autoSpaceDE w:val="0"/>
              <w:autoSpaceDN w:val="0"/>
              <w:spacing w:line="400" w:lineRule="exact"/>
              <w:jc w:val="center"/>
              <w:rPr>
                <w:rFonts w:eastAsia="仿宋"/>
                <w:b/>
                <w:color w:val="000000"/>
                <w:kern w:val="0"/>
                <w:sz w:val="24"/>
              </w:rPr>
            </w:pPr>
            <w:r>
              <w:rPr>
                <w:rFonts w:eastAsia="仿宋"/>
                <w:b/>
                <w:color w:val="000000"/>
                <w:kern w:val="0"/>
                <w:sz w:val="24"/>
              </w:rPr>
              <w:t>合同金额</w:t>
            </w:r>
          </w:p>
        </w:tc>
        <w:tc>
          <w:tcPr>
            <w:tcW w:w="1134" w:type="dxa"/>
            <w:noWrap/>
            <w:vAlign w:val="center"/>
          </w:tcPr>
          <w:p w14:paraId="731E444E">
            <w:pPr>
              <w:autoSpaceDE w:val="0"/>
              <w:autoSpaceDN w:val="0"/>
              <w:spacing w:line="400" w:lineRule="exact"/>
              <w:jc w:val="center"/>
              <w:rPr>
                <w:rFonts w:eastAsia="仿宋"/>
                <w:b/>
                <w:color w:val="000000"/>
                <w:kern w:val="0"/>
                <w:sz w:val="24"/>
              </w:rPr>
            </w:pPr>
            <w:r>
              <w:rPr>
                <w:rFonts w:eastAsia="仿宋"/>
                <w:b/>
                <w:color w:val="000000"/>
                <w:kern w:val="0"/>
                <w:sz w:val="24"/>
              </w:rPr>
              <w:t>合同主要内容</w:t>
            </w:r>
          </w:p>
        </w:tc>
        <w:tc>
          <w:tcPr>
            <w:tcW w:w="1134" w:type="dxa"/>
            <w:noWrap/>
            <w:vAlign w:val="center"/>
          </w:tcPr>
          <w:p w14:paraId="6B2F62E3">
            <w:pPr>
              <w:autoSpaceDE w:val="0"/>
              <w:autoSpaceDN w:val="0"/>
              <w:spacing w:line="400" w:lineRule="exact"/>
              <w:jc w:val="center"/>
              <w:rPr>
                <w:rFonts w:eastAsia="仿宋"/>
                <w:b/>
                <w:color w:val="000000"/>
                <w:kern w:val="0"/>
                <w:sz w:val="24"/>
              </w:rPr>
            </w:pPr>
            <w:r>
              <w:rPr>
                <w:rFonts w:eastAsia="仿宋"/>
                <w:b/>
                <w:color w:val="000000"/>
                <w:kern w:val="0"/>
                <w:sz w:val="24"/>
              </w:rPr>
              <w:t>合同签订时间</w:t>
            </w:r>
          </w:p>
        </w:tc>
        <w:tc>
          <w:tcPr>
            <w:tcW w:w="993" w:type="dxa"/>
            <w:noWrap/>
            <w:vAlign w:val="center"/>
          </w:tcPr>
          <w:p w14:paraId="13F196BA">
            <w:pPr>
              <w:autoSpaceDE w:val="0"/>
              <w:autoSpaceDN w:val="0"/>
              <w:spacing w:line="400" w:lineRule="exact"/>
              <w:jc w:val="center"/>
              <w:rPr>
                <w:rFonts w:eastAsia="仿宋"/>
                <w:b/>
                <w:color w:val="000000"/>
                <w:kern w:val="0"/>
                <w:sz w:val="24"/>
              </w:rPr>
            </w:pPr>
            <w:r>
              <w:rPr>
                <w:rFonts w:eastAsia="仿宋"/>
                <w:b/>
                <w:color w:val="000000"/>
                <w:kern w:val="0"/>
                <w:sz w:val="24"/>
              </w:rPr>
              <w:t>甲方联系人</w:t>
            </w:r>
          </w:p>
        </w:tc>
        <w:tc>
          <w:tcPr>
            <w:tcW w:w="1134" w:type="dxa"/>
            <w:noWrap/>
            <w:vAlign w:val="center"/>
          </w:tcPr>
          <w:p w14:paraId="36302594">
            <w:pPr>
              <w:autoSpaceDE w:val="0"/>
              <w:autoSpaceDN w:val="0"/>
              <w:spacing w:line="400" w:lineRule="exact"/>
              <w:jc w:val="center"/>
              <w:rPr>
                <w:rFonts w:eastAsia="仿宋"/>
                <w:b/>
                <w:color w:val="000000"/>
                <w:kern w:val="0"/>
                <w:sz w:val="24"/>
              </w:rPr>
            </w:pPr>
            <w:r>
              <w:rPr>
                <w:rFonts w:eastAsia="仿宋"/>
                <w:b/>
                <w:color w:val="000000"/>
                <w:kern w:val="0"/>
                <w:sz w:val="24"/>
              </w:rPr>
              <w:t>甲方联系电话</w:t>
            </w:r>
          </w:p>
        </w:tc>
      </w:tr>
      <w:tr w14:paraId="29B3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8" w:type="dxa"/>
            <w:noWrap/>
            <w:vAlign w:val="center"/>
          </w:tcPr>
          <w:p w14:paraId="59792156">
            <w:pPr>
              <w:autoSpaceDE w:val="0"/>
              <w:autoSpaceDN w:val="0"/>
              <w:jc w:val="center"/>
              <w:rPr>
                <w:rFonts w:eastAsia="仿宋"/>
                <w:color w:val="000000"/>
                <w:sz w:val="24"/>
              </w:rPr>
            </w:pPr>
          </w:p>
        </w:tc>
        <w:tc>
          <w:tcPr>
            <w:tcW w:w="1901" w:type="dxa"/>
            <w:noWrap/>
            <w:vAlign w:val="center"/>
          </w:tcPr>
          <w:p w14:paraId="1700C878">
            <w:pPr>
              <w:autoSpaceDE w:val="0"/>
              <w:autoSpaceDN w:val="0"/>
              <w:rPr>
                <w:rFonts w:eastAsia="仿宋"/>
                <w:color w:val="000000"/>
                <w:sz w:val="24"/>
              </w:rPr>
            </w:pPr>
          </w:p>
        </w:tc>
        <w:tc>
          <w:tcPr>
            <w:tcW w:w="1559" w:type="dxa"/>
            <w:noWrap/>
            <w:vAlign w:val="center"/>
          </w:tcPr>
          <w:p w14:paraId="14177079">
            <w:pPr>
              <w:autoSpaceDE w:val="0"/>
              <w:autoSpaceDN w:val="0"/>
              <w:rPr>
                <w:rFonts w:eastAsia="仿宋"/>
                <w:color w:val="000000"/>
                <w:sz w:val="24"/>
              </w:rPr>
            </w:pPr>
          </w:p>
        </w:tc>
        <w:tc>
          <w:tcPr>
            <w:tcW w:w="1275" w:type="dxa"/>
            <w:noWrap/>
            <w:vAlign w:val="center"/>
          </w:tcPr>
          <w:p w14:paraId="6242935E">
            <w:pPr>
              <w:autoSpaceDE w:val="0"/>
              <w:autoSpaceDN w:val="0"/>
              <w:rPr>
                <w:rFonts w:eastAsia="仿宋"/>
                <w:color w:val="000000"/>
                <w:sz w:val="24"/>
              </w:rPr>
            </w:pPr>
          </w:p>
        </w:tc>
        <w:tc>
          <w:tcPr>
            <w:tcW w:w="1134" w:type="dxa"/>
            <w:noWrap/>
            <w:vAlign w:val="center"/>
          </w:tcPr>
          <w:p w14:paraId="2F1C6CF1">
            <w:pPr>
              <w:autoSpaceDE w:val="0"/>
              <w:autoSpaceDN w:val="0"/>
              <w:rPr>
                <w:rFonts w:eastAsia="仿宋"/>
                <w:color w:val="000000"/>
                <w:sz w:val="24"/>
              </w:rPr>
            </w:pPr>
          </w:p>
        </w:tc>
        <w:tc>
          <w:tcPr>
            <w:tcW w:w="1134" w:type="dxa"/>
            <w:noWrap/>
            <w:vAlign w:val="center"/>
          </w:tcPr>
          <w:p w14:paraId="708C33B0">
            <w:pPr>
              <w:autoSpaceDE w:val="0"/>
              <w:autoSpaceDN w:val="0"/>
              <w:rPr>
                <w:rFonts w:eastAsia="仿宋"/>
                <w:color w:val="000000"/>
                <w:sz w:val="24"/>
              </w:rPr>
            </w:pPr>
          </w:p>
        </w:tc>
        <w:tc>
          <w:tcPr>
            <w:tcW w:w="993" w:type="dxa"/>
            <w:noWrap/>
            <w:vAlign w:val="center"/>
          </w:tcPr>
          <w:p w14:paraId="4DA7D47B">
            <w:pPr>
              <w:autoSpaceDE w:val="0"/>
              <w:autoSpaceDN w:val="0"/>
              <w:rPr>
                <w:rFonts w:eastAsia="仿宋"/>
                <w:color w:val="000000"/>
                <w:sz w:val="24"/>
              </w:rPr>
            </w:pPr>
          </w:p>
        </w:tc>
        <w:tc>
          <w:tcPr>
            <w:tcW w:w="1134" w:type="dxa"/>
            <w:noWrap/>
            <w:vAlign w:val="center"/>
          </w:tcPr>
          <w:p w14:paraId="3A8F621A">
            <w:pPr>
              <w:autoSpaceDE w:val="0"/>
              <w:autoSpaceDN w:val="0"/>
              <w:rPr>
                <w:rFonts w:eastAsia="仿宋"/>
                <w:color w:val="000000"/>
                <w:sz w:val="24"/>
              </w:rPr>
            </w:pPr>
          </w:p>
        </w:tc>
      </w:tr>
      <w:tr w14:paraId="096A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14:paraId="6107B098">
            <w:pPr>
              <w:autoSpaceDE w:val="0"/>
              <w:autoSpaceDN w:val="0"/>
              <w:jc w:val="center"/>
              <w:rPr>
                <w:rFonts w:eastAsia="仿宋"/>
                <w:color w:val="000000"/>
                <w:sz w:val="24"/>
              </w:rPr>
            </w:pPr>
          </w:p>
        </w:tc>
        <w:tc>
          <w:tcPr>
            <w:tcW w:w="1901" w:type="dxa"/>
            <w:noWrap/>
            <w:vAlign w:val="center"/>
          </w:tcPr>
          <w:p w14:paraId="7F0EA49C">
            <w:pPr>
              <w:autoSpaceDE w:val="0"/>
              <w:autoSpaceDN w:val="0"/>
              <w:rPr>
                <w:rFonts w:eastAsia="仿宋"/>
                <w:color w:val="000000"/>
                <w:sz w:val="24"/>
              </w:rPr>
            </w:pPr>
          </w:p>
        </w:tc>
        <w:tc>
          <w:tcPr>
            <w:tcW w:w="1559" w:type="dxa"/>
            <w:noWrap/>
            <w:vAlign w:val="center"/>
          </w:tcPr>
          <w:p w14:paraId="6FCDFC5D">
            <w:pPr>
              <w:autoSpaceDE w:val="0"/>
              <w:autoSpaceDN w:val="0"/>
              <w:rPr>
                <w:rFonts w:eastAsia="仿宋"/>
                <w:color w:val="000000"/>
                <w:sz w:val="24"/>
              </w:rPr>
            </w:pPr>
          </w:p>
        </w:tc>
        <w:tc>
          <w:tcPr>
            <w:tcW w:w="1275" w:type="dxa"/>
            <w:noWrap/>
            <w:vAlign w:val="center"/>
          </w:tcPr>
          <w:p w14:paraId="4C577A30">
            <w:pPr>
              <w:autoSpaceDE w:val="0"/>
              <w:autoSpaceDN w:val="0"/>
              <w:rPr>
                <w:rFonts w:eastAsia="仿宋"/>
                <w:color w:val="000000"/>
                <w:sz w:val="24"/>
              </w:rPr>
            </w:pPr>
          </w:p>
        </w:tc>
        <w:tc>
          <w:tcPr>
            <w:tcW w:w="1134" w:type="dxa"/>
            <w:noWrap/>
            <w:vAlign w:val="center"/>
          </w:tcPr>
          <w:p w14:paraId="52F76DC3">
            <w:pPr>
              <w:autoSpaceDE w:val="0"/>
              <w:autoSpaceDN w:val="0"/>
              <w:rPr>
                <w:rFonts w:eastAsia="仿宋"/>
                <w:color w:val="000000"/>
                <w:sz w:val="24"/>
              </w:rPr>
            </w:pPr>
          </w:p>
        </w:tc>
        <w:tc>
          <w:tcPr>
            <w:tcW w:w="1134" w:type="dxa"/>
            <w:noWrap/>
            <w:vAlign w:val="center"/>
          </w:tcPr>
          <w:p w14:paraId="793AA203">
            <w:pPr>
              <w:autoSpaceDE w:val="0"/>
              <w:autoSpaceDN w:val="0"/>
              <w:rPr>
                <w:rFonts w:eastAsia="仿宋"/>
                <w:color w:val="000000"/>
                <w:sz w:val="24"/>
              </w:rPr>
            </w:pPr>
          </w:p>
        </w:tc>
        <w:tc>
          <w:tcPr>
            <w:tcW w:w="993" w:type="dxa"/>
            <w:noWrap/>
            <w:vAlign w:val="center"/>
          </w:tcPr>
          <w:p w14:paraId="59663491">
            <w:pPr>
              <w:autoSpaceDE w:val="0"/>
              <w:autoSpaceDN w:val="0"/>
              <w:rPr>
                <w:rFonts w:eastAsia="仿宋"/>
                <w:color w:val="000000"/>
                <w:sz w:val="24"/>
              </w:rPr>
            </w:pPr>
          </w:p>
        </w:tc>
        <w:tc>
          <w:tcPr>
            <w:tcW w:w="1134" w:type="dxa"/>
            <w:noWrap/>
            <w:vAlign w:val="center"/>
          </w:tcPr>
          <w:p w14:paraId="40FB72AC">
            <w:pPr>
              <w:autoSpaceDE w:val="0"/>
              <w:autoSpaceDN w:val="0"/>
              <w:rPr>
                <w:rFonts w:eastAsia="仿宋"/>
                <w:color w:val="000000"/>
                <w:sz w:val="24"/>
              </w:rPr>
            </w:pPr>
          </w:p>
        </w:tc>
      </w:tr>
      <w:tr w14:paraId="2FE7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14:paraId="68475D0A">
            <w:pPr>
              <w:autoSpaceDE w:val="0"/>
              <w:autoSpaceDN w:val="0"/>
              <w:jc w:val="center"/>
              <w:rPr>
                <w:rFonts w:eastAsia="仿宋"/>
                <w:color w:val="000000"/>
                <w:sz w:val="24"/>
              </w:rPr>
            </w:pPr>
          </w:p>
        </w:tc>
        <w:tc>
          <w:tcPr>
            <w:tcW w:w="1901" w:type="dxa"/>
            <w:noWrap/>
            <w:vAlign w:val="center"/>
          </w:tcPr>
          <w:p w14:paraId="14C9465E">
            <w:pPr>
              <w:autoSpaceDE w:val="0"/>
              <w:autoSpaceDN w:val="0"/>
              <w:rPr>
                <w:rFonts w:eastAsia="仿宋"/>
                <w:color w:val="000000"/>
                <w:sz w:val="24"/>
              </w:rPr>
            </w:pPr>
          </w:p>
        </w:tc>
        <w:tc>
          <w:tcPr>
            <w:tcW w:w="1559" w:type="dxa"/>
            <w:noWrap/>
            <w:vAlign w:val="center"/>
          </w:tcPr>
          <w:p w14:paraId="089D2FAF">
            <w:pPr>
              <w:autoSpaceDE w:val="0"/>
              <w:autoSpaceDN w:val="0"/>
              <w:rPr>
                <w:rFonts w:eastAsia="仿宋"/>
                <w:color w:val="000000"/>
                <w:sz w:val="24"/>
              </w:rPr>
            </w:pPr>
          </w:p>
        </w:tc>
        <w:tc>
          <w:tcPr>
            <w:tcW w:w="1275" w:type="dxa"/>
            <w:noWrap/>
            <w:vAlign w:val="center"/>
          </w:tcPr>
          <w:p w14:paraId="113B1482">
            <w:pPr>
              <w:autoSpaceDE w:val="0"/>
              <w:autoSpaceDN w:val="0"/>
              <w:rPr>
                <w:rFonts w:eastAsia="仿宋"/>
                <w:color w:val="000000"/>
                <w:sz w:val="24"/>
              </w:rPr>
            </w:pPr>
          </w:p>
        </w:tc>
        <w:tc>
          <w:tcPr>
            <w:tcW w:w="1134" w:type="dxa"/>
            <w:noWrap/>
            <w:vAlign w:val="center"/>
          </w:tcPr>
          <w:p w14:paraId="228E8117">
            <w:pPr>
              <w:autoSpaceDE w:val="0"/>
              <w:autoSpaceDN w:val="0"/>
              <w:rPr>
                <w:rFonts w:eastAsia="仿宋"/>
                <w:color w:val="000000"/>
                <w:sz w:val="24"/>
              </w:rPr>
            </w:pPr>
          </w:p>
        </w:tc>
        <w:tc>
          <w:tcPr>
            <w:tcW w:w="1134" w:type="dxa"/>
            <w:noWrap/>
            <w:vAlign w:val="center"/>
          </w:tcPr>
          <w:p w14:paraId="4FFB1C3B">
            <w:pPr>
              <w:autoSpaceDE w:val="0"/>
              <w:autoSpaceDN w:val="0"/>
              <w:rPr>
                <w:rFonts w:eastAsia="仿宋"/>
                <w:color w:val="000000"/>
                <w:sz w:val="24"/>
              </w:rPr>
            </w:pPr>
          </w:p>
        </w:tc>
        <w:tc>
          <w:tcPr>
            <w:tcW w:w="993" w:type="dxa"/>
            <w:noWrap/>
            <w:vAlign w:val="center"/>
          </w:tcPr>
          <w:p w14:paraId="6F76EB35">
            <w:pPr>
              <w:autoSpaceDE w:val="0"/>
              <w:autoSpaceDN w:val="0"/>
              <w:rPr>
                <w:rFonts w:eastAsia="仿宋"/>
                <w:color w:val="000000"/>
                <w:sz w:val="24"/>
              </w:rPr>
            </w:pPr>
          </w:p>
        </w:tc>
        <w:tc>
          <w:tcPr>
            <w:tcW w:w="1134" w:type="dxa"/>
            <w:noWrap/>
            <w:vAlign w:val="center"/>
          </w:tcPr>
          <w:p w14:paraId="402A400C">
            <w:pPr>
              <w:autoSpaceDE w:val="0"/>
              <w:autoSpaceDN w:val="0"/>
              <w:rPr>
                <w:rFonts w:eastAsia="仿宋"/>
                <w:color w:val="000000"/>
                <w:sz w:val="24"/>
              </w:rPr>
            </w:pPr>
          </w:p>
        </w:tc>
      </w:tr>
      <w:tr w14:paraId="0F8C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14:paraId="6E8283AE">
            <w:pPr>
              <w:autoSpaceDE w:val="0"/>
              <w:autoSpaceDN w:val="0"/>
              <w:jc w:val="center"/>
              <w:rPr>
                <w:rFonts w:eastAsia="仿宋"/>
                <w:color w:val="000000"/>
                <w:sz w:val="24"/>
              </w:rPr>
            </w:pPr>
          </w:p>
        </w:tc>
        <w:tc>
          <w:tcPr>
            <w:tcW w:w="1901" w:type="dxa"/>
            <w:noWrap/>
            <w:vAlign w:val="center"/>
          </w:tcPr>
          <w:p w14:paraId="2002997B">
            <w:pPr>
              <w:autoSpaceDE w:val="0"/>
              <w:autoSpaceDN w:val="0"/>
              <w:rPr>
                <w:rFonts w:eastAsia="仿宋"/>
                <w:color w:val="000000"/>
                <w:sz w:val="24"/>
              </w:rPr>
            </w:pPr>
          </w:p>
        </w:tc>
        <w:tc>
          <w:tcPr>
            <w:tcW w:w="1559" w:type="dxa"/>
            <w:noWrap/>
            <w:vAlign w:val="center"/>
          </w:tcPr>
          <w:p w14:paraId="1EC6D37C">
            <w:pPr>
              <w:autoSpaceDE w:val="0"/>
              <w:autoSpaceDN w:val="0"/>
              <w:rPr>
                <w:rFonts w:eastAsia="仿宋"/>
                <w:color w:val="000000"/>
                <w:sz w:val="24"/>
              </w:rPr>
            </w:pPr>
          </w:p>
        </w:tc>
        <w:tc>
          <w:tcPr>
            <w:tcW w:w="1275" w:type="dxa"/>
            <w:noWrap/>
            <w:vAlign w:val="center"/>
          </w:tcPr>
          <w:p w14:paraId="4CAC00AE">
            <w:pPr>
              <w:autoSpaceDE w:val="0"/>
              <w:autoSpaceDN w:val="0"/>
              <w:rPr>
                <w:rFonts w:eastAsia="仿宋"/>
                <w:color w:val="000000"/>
                <w:sz w:val="24"/>
              </w:rPr>
            </w:pPr>
          </w:p>
        </w:tc>
        <w:tc>
          <w:tcPr>
            <w:tcW w:w="1134" w:type="dxa"/>
            <w:noWrap/>
            <w:vAlign w:val="center"/>
          </w:tcPr>
          <w:p w14:paraId="7DA2FBBC">
            <w:pPr>
              <w:autoSpaceDE w:val="0"/>
              <w:autoSpaceDN w:val="0"/>
              <w:rPr>
                <w:rFonts w:eastAsia="仿宋"/>
                <w:color w:val="000000"/>
                <w:sz w:val="24"/>
              </w:rPr>
            </w:pPr>
          </w:p>
        </w:tc>
        <w:tc>
          <w:tcPr>
            <w:tcW w:w="1134" w:type="dxa"/>
            <w:noWrap/>
            <w:vAlign w:val="center"/>
          </w:tcPr>
          <w:p w14:paraId="70A0440B">
            <w:pPr>
              <w:autoSpaceDE w:val="0"/>
              <w:autoSpaceDN w:val="0"/>
              <w:rPr>
                <w:rFonts w:eastAsia="仿宋"/>
                <w:color w:val="000000"/>
                <w:sz w:val="24"/>
              </w:rPr>
            </w:pPr>
          </w:p>
        </w:tc>
        <w:tc>
          <w:tcPr>
            <w:tcW w:w="993" w:type="dxa"/>
            <w:noWrap/>
            <w:vAlign w:val="center"/>
          </w:tcPr>
          <w:p w14:paraId="4F5F57CD">
            <w:pPr>
              <w:autoSpaceDE w:val="0"/>
              <w:autoSpaceDN w:val="0"/>
              <w:rPr>
                <w:rFonts w:eastAsia="仿宋"/>
                <w:color w:val="000000"/>
                <w:sz w:val="24"/>
              </w:rPr>
            </w:pPr>
          </w:p>
        </w:tc>
        <w:tc>
          <w:tcPr>
            <w:tcW w:w="1134" w:type="dxa"/>
            <w:noWrap/>
            <w:vAlign w:val="center"/>
          </w:tcPr>
          <w:p w14:paraId="17B82C6A">
            <w:pPr>
              <w:autoSpaceDE w:val="0"/>
              <w:autoSpaceDN w:val="0"/>
              <w:rPr>
                <w:rFonts w:eastAsia="仿宋"/>
                <w:color w:val="000000"/>
                <w:sz w:val="24"/>
              </w:rPr>
            </w:pPr>
          </w:p>
        </w:tc>
      </w:tr>
      <w:tr w14:paraId="2B48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14:paraId="22473A00">
            <w:pPr>
              <w:autoSpaceDE w:val="0"/>
              <w:autoSpaceDN w:val="0"/>
              <w:jc w:val="center"/>
              <w:rPr>
                <w:rFonts w:eastAsia="仿宋"/>
                <w:color w:val="000000"/>
                <w:sz w:val="24"/>
              </w:rPr>
            </w:pPr>
          </w:p>
        </w:tc>
        <w:tc>
          <w:tcPr>
            <w:tcW w:w="1901" w:type="dxa"/>
            <w:noWrap/>
            <w:vAlign w:val="center"/>
          </w:tcPr>
          <w:p w14:paraId="2188DBBB">
            <w:pPr>
              <w:autoSpaceDE w:val="0"/>
              <w:autoSpaceDN w:val="0"/>
              <w:rPr>
                <w:rFonts w:eastAsia="仿宋"/>
                <w:color w:val="000000"/>
                <w:sz w:val="24"/>
              </w:rPr>
            </w:pPr>
          </w:p>
        </w:tc>
        <w:tc>
          <w:tcPr>
            <w:tcW w:w="1559" w:type="dxa"/>
            <w:noWrap/>
            <w:vAlign w:val="center"/>
          </w:tcPr>
          <w:p w14:paraId="1A626496">
            <w:pPr>
              <w:autoSpaceDE w:val="0"/>
              <w:autoSpaceDN w:val="0"/>
              <w:rPr>
                <w:rFonts w:eastAsia="仿宋"/>
                <w:color w:val="000000"/>
                <w:sz w:val="24"/>
              </w:rPr>
            </w:pPr>
          </w:p>
        </w:tc>
        <w:tc>
          <w:tcPr>
            <w:tcW w:w="1275" w:type="dxa"/>
            <w:noWrap/>
            <w:vAlign w:val="center"/>
          </w:tcPr>
          <w:p w14:paraId="4BB98531">
            <w:pPr>
              <w:autoSpaceDE w:val="0"/>
              <w:autoSpaceDN w:val="0"/>
              <w:rPr>
                <w:rFonts w:eastAsia="仿宋"/>
                <w:color w:val="000000"/>
                <w:sz w:val="24"/>
              </w:rPr>
            </w:pPr>
          </w:p>
        </w:tc>
        <w:tc>
          <w:tcPr>
            <w:tcW w:w="1134" w:type="dxa"/>
            <w:noWrap/>
            <w:vAlign w:val="center"/>
          </w:tcPr>
          <w:p w14:paraId="27377335">
            <w:pPr>
              <w:autoSpaceDE w:val="0"/>
              <w:autoSpaceDN w:val="0"/>
              <w:rPr>
                <w:rFonts w:eastAsia="仿宋"/>
                <w:color w:val="000000"/>
                <w:sz w:val="24"/>
              </w:rPr>
            </w:pPr>
          </w:p>
        </w:tc>
        <w:tc>
          <w:tcPr>
            <w:tcW w:w="1134" w:type="dxa"/>
            <w:noWrap/>
            <w:vAlign w:val="center"/>
          </w:tcPr>
          <w:p w14:paraId="154B79E5">
            <w:pPr>
              <w:autoSpaceDE w:val="0"/>
              <w:autoSpaceDN w:val="0"/>
              <w:rPr>
                <w:rFonts w:eastAsia="仿宋"/>
                <w:color w:val="000000"/>
                <w:sz w:val="24"/>
              </w:rPr>
            </w:pPr>
          </w:p>
        </w:tc>
        <w:tc>
          <w:tcPr>
            <w:tcW w:w="993" w:type="dxa"/>
            <w:noWrap/>
            <w:vAlign w:val="center"/>
          </w:tcPr>
          <w:p w14:paraId="0B8FFE2B">
            <w:pPr>
              <w:autoSpaceDE w:val="0"/>
              <w:autoSpaceDN w:val="0"/>
              <w:rPr>
                <w:rFonts w:eastAsia="仿宋"/>
                <w:color w:val="000000"/>
                <w:sz w:val="24"/>
              </w:rPr>
            </w:pPr>
          </w:p>
        </w:tc>
        <w:tc>
          <w:tcPr>
            <w:tcW w:w="1134" w:type="dxa"/>
            <w:noWrap/>
            <w:vAlign w:val="center"/>
          </w:tcPr>
          <w:p w14:paraId="2E165F09">
            <w:pPr>
              <w:autoSpaceDE w:val="0"/>
              <w:autoSpaceDN w:val="0"/>
              <w:rPr>
                <w:rFonts w:eastAsia="仿宋"/>
                <w:color w:val="000000"/>
                <w:sz w:val="24"/>
              </w:rPr>
            </w:pPr>
          </w:p>
        </w:tc>
      </w:tr>
      <w:tr w14:paraId="5A0A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14:paraId="1CDE801C">
            <w:pPr>
              <w:autoSpaceDE w:val="0"/>
              <w:autoSpaceDN w:val="0"/>
              <w:jc w:val="center"/>
              <w:rPr>
                <w:rFonts w:eastAsia="仿宋"/>
                <w:color w:val="000000"/>
                <w:sz w:val="24"/>
              </w:rPr>
            </w:pPr>
          </w:p>
        </w:tc>
        <w:tc>
          <w:tcPr>
            <w:tcW w:w="1901" w:type="dxa"/>
            <w:noWrap/>
            <w:vAlign w:val="center"/>
          </w:tcPr>
          <w:p w14:paraId="1EE56A72">
            <w:pPr>
              <w:autoSpaceDE w:val="0"/>
              <w:autoSpaceDN w:val="0"/>
              <w:rPr>
                <w:rFonts w:eastAsia="仿宋"/>
                <w:color w:val="000000"/>
                <w:sz w:val="24"/>
              </w:rPr>
            </w:pPr>
          </w:p>
        </w:tc>
        <w:tc>
          <w:tcPr>
            <w:tcW w:w="1559" w:type="dxa"/>
            <w:noWrap/>
            <w:vAlign w:val="center"/>
          </w:tcPr>
          <w:p w14:paraId="62315AB3">
            <w:pPr>
              <w:autoSpaceDE w:val="0"/>
              <w:autoSpaceDN w:val="0"/>
              <w:rPr>
                <w:rFonts w:eastAsia="仿宋"/>
                <w:color w:val="000000"/>
                <w:sz w:val="24"/>
              </w:rPr>
            </w:pPr>
          </w:p>
        </w:tc>
        <w:tc>
          <w:tcPr>
            <w:tcW w:w="1275" w:type="dxa"/>
            <w:noWrap/>
            <w:vAlign w:val="center"/>
          </w:tcPr>
          <w:p w14:paraId="1A716337">
            <w:pPr>
              <w:autoSpaceDE w:val="0"/>
              <w:autoSpaceDN w:val="0"/>
              <w:rPr>
                <w:rFonts w:eastAsia="仿宋"/>
                <w:color w:val="000000"/>
                <w:sz w:val="24"/>
              </w:rPr>
            </w:pPr>
          </w:p>
        </w:tc>
        <w:tc>
          <w:tcPr>
            <w:tcW w:w="1134" w:type="dxa"/>
            <w:noWrap/>
            <w:vAlign w:val="center"/>
          </w:tcPr>
          <w:p w14:paraId="0AF7F4D3">
            <w:pPr>
              <w:autoSpaceDE w:val="0"/>
              <w:autoSpaceDN w:val="0"/>
              <w:rPr>
                <w:rFonts w:eastAsia="仿宋"/>
                <w:color w:val="000000"/>
                <w:sz w:val="24"/>
              </w:rPr>
            </w:pPr>
          </w:p>
        </w:tc>
        <w:tc>
          <w:tcPr>
            <w:tcW w:w="1134" w:type="dxa"/>
            <w:noWrap/>
            <w:vAlign w:val="center"/>
          </w:tcPr>
          <w:p w14:paraId="6577ECD6">
            <w:pPr>
              <w:autoSpaceDE w:val="0"/>
              <w:autoSpaceDN w:val="0"/>
              <w:rPr>
                <w:rFonts w:eastAsia="仿宋"/>
                <w:color w:val="000000"/>
                <w:sz w:val="24"/>
              </w:rPr>
            </w:pPr>
          </w:p>
        </w:tc>
        <w:tc>
          <w:tcPr>
            <w:tcW w:w="993" w:type="dxa"/>
            <w:noWrap/>
            <w:vAlign w:val="center"/>
          </w:tcPr>
          <w:p w14:paraId="44C5B1B2">
            <w:pPr>
              <w:autoSpaceDE w:val="0"/>
              <w:autoSpaceDN w:val="0"/>
              <w:rPr>
                <w:rFonts w:eastAsia="仿宋"/>
                <w:color w:val="000000"/>
                <w:sz w:val="24"/>
              </w:rPr>
            </w:pPr>
          </w:p>
        </w:tc>
        <w:tc>
          <w:tcPr>
            <w:tcW w:w="1134" w:type="dxa"/>
            <w:noWrap/>
            <w:vAlign w:val="center"/>
          </w:tcPr>
          <w:p w14:paraId="6F3EDF57">
            <w:pPr>
              <w:autoSpaceDE w:val="0"/>
              <w:autoSpaceDN w:val="0"/>
              <w:rPr>
                <w:rFonts w:eastAsia="仿宋"/>
                <w:color w:val="000000"/>
                <w:sz w:val="24"/>
              </w:rPr>
            </w:pPr>
          </w:p>
        </w:tc>
      </w:tr>
      <w:tr w14:paraId="6ACC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8" w:type="dxa"/>
            <w:noWrap/>
            <w:vAlign w:val="center"/>
          </w:tcPr>
          <w:p w14:paraId="720334E2">
            <w:pPr>
              <w:autoSpaceDE w:val="0"/>
              <w:autoSpaceDN w:val="0"/>
              <w:jc w:val="center"/>
              <w:rPr>
                <w:rFonts w:eastAsia="仿宋"/>
                <w:color w:val="000000"/>
                <w:sz w:val="24"/>
              </w:rPr>
            </w:pPr>
          </w:p>
        </w:tc>
        <w:tc>
          <w:tcPr>
            <w:tcW w:w="1901" w:type="dxa"/>
            <w:noWrap/>
            <w:vAlign w:val="center"/>
          </w:tcPr>
          <w:p w14:paraId="0010A529">
            <w:pPr>
              <w:autoSpaceDE w:val="0"/>
              <w:autoSpaceDN w:val="0"/>
              <w:rPr>
                <w:rFonts w:eastAsia="仿宋"/>
                <w:color w:val="000000"/>
                <w:sz w:val="24"/>
              </w:rPr>
            </w:pPr>
          </w:p>
        </w:tc>
        <w:tc>
          <w:tcPr>
            <w:tcW w:w="1559" w:type="dxa"/>
            <w:noWrap/>
            <w:vAlign w:val="center"/>
          </w:tcPr>
          <w:p w14:paraId="199CCE78">
            <w:pPr>
              <w:autoSpaceDE w:val="0"/>
              <w:autoSpaceDN w:val="0"/>
              <w:rPr>
                <w:rFonts w:eastAsia="仿宋"/>
                <w:color w:val="000000"/>
                <w:sz w:val="24"/>
              </w:rPr>
            </w:pPr>
          </w:p>
        </w:tc>
        <w:tc>
          <w:tcPr>
            <w:tcW w:w="1275" w:type="dxa"/>
            <w:noWrap/>
            <w:vAlign w:val="center"/>
          </w:tcPr>
          <w:p w14:paraId="2FA98A64">
            <w:pPr>
              <w:autoSpaceDE w:val="0"/>
              <w:autoSpaceDN w:val="0"/>
              <w:rPr>
                <w:rFonts w:eastAsia="仿宋"/>
                <w:color w:val="000000"/>
                <w:sz w:val="24"/>
              </w:rPr>
            </w:pPr>
          </w:p>
        </w:tc>
        <w:tc>
          <w:tcPr>
            <w:tcW w:w="1134" w:type="dxa"/>
            <w:noWrap/>
            <w:vAlign w:val="center"/>
          </w:tcPr>
          <w:p w14:paraId="162EF9B0">
            <w:pPr>
              <w:autoSpaceDE w:val="0"/>
              <w:autoSpaceDN w:val="0"/>
              <w:rPr>
                <w:rFonts w:eastAsia="仿宋"/>
                <w:color w:val="000000"/>
                <w:sz w:val="24"/>
              </w:rPr>
            </w:pPr>
          </w:p>
        </w:tc>
        <w:tc>
          <w:tcPr>
            <w:tcW w:w="1134" w:type="dxa"/>
            <w:noWrap/>
            <w:vAlign w:val="center"/>
          </w:tcPr>
          <w:p w14:paraId="232D90A8">
            <w:pPr>
              <w:autoSpaceDE w:val="0"/>
              <w:autoSpaceDN w:val="0"/>
              <w:rPr>
                <w:rFonts w:eastAsia="仿宋"/>
                <w:color w:val="000000"/>
                <w:sz w:val="24"/>
              </w:rPr>
            </w:pPr>
          </w:p>
        </w:tc>
        <w:tc>
          <w:tcPr>
            <w:tcW w:w="993" w:type="dxa"/>
            <w:noWrap/>
            <w:vAlign w:val="center"/>
          </w:tcPr>
          <w:p w14:paraId="26134DF5">
            <w:pPr>
              <w:autoSpaceDE w:val="0"/>
              <w:autoSpaceDN w:val="0"/>
              <w:rPr>
                <w:rFonts w:eastAsia="仿宋"/>
                <w:color w:val="000000"/>
                <w:sz w:val="24"/>
              </w:rPr>
            </w:pPr>
          </w:p>
        </w:tc>
        <w:tc>
          <w:tcPr>
            <w:tcW w:w="1134" w:type="dxa"/>
            <w:noWrap/>
            <w:vAlign w:val="center"/>
          </w:tcPr>
          <w:p w14:paraId="4DA26A13">
            <w:pPr>
              <w:autoSpaceDE w:val="0"/>
              <w:autoSpaceDN w:val="0"/>
              <w:rPr>
                <w:rFonts w:eastAsia="仿宋"/>
                <w:color w:val="000000"/>
                <w:sz w:val="24"/>
              </w:rPr>
            </w:pPr>
          </w:p>
        </w:tc>
      </w:tr>
    </w:tbl>
    <w:p w14:paraId="35BFDDD4">
      <w:pPr>
        <w:autoSpaceDE w:val="0"/>
        <w:autoSpaceDN w:val="0"/>
        <w:spacing w:line="360" w:lineRule="auto"/>
        <w:rPr>
          <w:rFonts w:eastAsia="仿宋"/>
          <w:b/>
          <w:color w:val="000000"/>
          <w:sz w:val="24"/>
        </w:rPr>
      </w:pPr>
      <w:r>
        <w:rPr>
          <w:rFonts w:eastAsia="仿宋"/>
          <w:b/>
          <w:color w:val="000000"/>
          <w:sz w:val="24"/>
        </w:rPr>
        <w:t>备注：</w:t>
      </w:r>
    </w:p>
    <w:p w14:paraId="1CADD6EC">
      <w:pPr>
        <w:autoSpaceDE w:val="0"/>
        <w:autoSpaceDN w:val="0"/>
        <w:spacing w:line="360" w:lineRule="auto"/>
        <w:rPr>
          <w:rFonts w:eastAsia="仿宋"/>
          <w:b/>
          <w:color w:val="000000"/>
          <w:w w:val="90"/>
          <w:kern w:val="0"/>
          <w:sz w:val="24"/>
        </w:rPr>
      </w:pPr>
      <w:r>
        <w:rPr>
          <w:rFonts w:eastAsia="仿宋"/>
          <w:b/>
          <w:color w:val="000000"/>
          <w:sz w:val="24"/>
        </w:rPr>
        <w:t>（1）后附证明材料，</w:t>
      </w:r>
      <w:r>
        <w:rPr>
          <w:rFonts w:eastAsia="仿宋"/>
          <w:b/>
          <w:color w:val="000000"/>
          <w:w w:val="90"/>
          <w:kern w:val="0"/>
          <w:sz w:val="24"/>
        </w:rPr>
        <w:t>证明材料详见评审办法要求。</w:t>
      </w:r>
    </w:p>
    <w:p w14:paraId="541AEB75">
      <w:pPr>
        <w:autoSpaceDE w:val="0"/>
        <w:autoSpaceDN w:val="0"/>
        <w:spacing w:line="360" w:lineRule="auto"/>
        <w:rPr>
          <w:rFonts w:eastAsia="仿宋"/>
          <w:b/>
          <w:color w:val="000000"/>
          <w:sz w:val="24"/>
        </w:rPr>
      </w:pPr>
      <w:r>
        <w:rPr>
          <w:rFonts w:eastAsia="仿宋"/>
          <w:b/>
          <w:color w:val="000000"/>
          <w:kern w:val="0"/>
          <w:sz w:val="24"/>
        </w:rPr>
        <w:t>（2）没有类似业绩的，此表可以不提供。</w:t>
      </w:r>
    </w:p>
    <w:p w14:paraId="27C7CB89">
      <w:pPr>
        <w:autoSpaceDE w:val="0"/>
        <w:autoSpaceDN w:val="0"/>
        <w:spacing w:line="360" w:lineRule="auto"/>
        <w:rPr>
          <w:rFonts w:eastAsia="仿宋"/>
          <w:color w:val="000000"/>
          <w:sz w:val="24"/>
        </w:rPr>
      </w:pPr>
    </w:p>
    <w:p w14:paraId="36D80D0E">
      <w:pPr>
        <w:autoSpaceDE w:val="0"/>
        <w:autoSpaceDN w:val="0"/>
        <w:snapToGrid w:val="0"/>
        <w:spacing w:line="360" w:lineRule="auto"/>
        <w:rPr>
          <w:rFonts w:hint="eastAsia"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14:paraId="1979941A">
      <w:pPr>
        <w:autoSpaceDE w:val="0"/>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14:paraId="073127CE">
      <w:pPr>
        <w:autoSpaceDE w:val="0"/>
        <w:autoSpaceDN w:val="0"/>
        <w:adjustRightInd w:val="0"/>
        <w:spacing w:line="360" w:lineRule="auto"/>
        <w:ind w:firstLine="420"/>
        <w:jc w:val="left"/>
        <w:rPr>
          <w:rFonts w:eastAsia="仿宋"/>
          <w:color w:val="000000"/>
          <w:w w:val="90"/>
          <w:kern w:val="0"/>
          <w:sz w:val="22"/>
          <w:szCs w:val="22"/>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15A5F9BA">
      <w:pPr>
        <w:pStyle w:val="4"/>
        <w:spacing w:before="120" w:after="120"/>
        <w:ind w:firstLine="240"/>
        <w:jc w:val="both"/>
        <w:rPr>
          <w:rFonts w:hint="eastAsia" w:ascii="华文中宋" w:hAnsi="华文中宋"/>
          <w:bCs/>
          <w:color w:val="000000"/>
          <w:kern w:val="0"/>
          <w:szCs w:val="24"/>
        </w:rPr>
      </w:pPr>
      <w:r>
        <w:rPr>
          <w:rFonts w:hint="eastAsia" w:ascii="华文中宋" w:hAnsi="华文中宋"/>
          <w:bCs/>
          <w:color w:val="000000"/>
          <w:kern w:val="0"/>
          <w:szCs w:val="24"/>
        </w:rPr>
        <w:t>2-</w:t>
      </w:r>
      <w:r>
        <w:rPr>
          <w:rFonts w:hint="eastAsia" w:ascii="华文中宋" w:hAnsi="华文中宋"/>
          <w:bCs/>
          <w:color w:val="000000"/>
          <w:kern w:val="0"/>
          <w:szCs w:val="24"/>
          <w:lang w:val="en-US" w:eastAsia="zh-CN"/>
        </w:rPr>
        <w:t>7</w:t>
      </w:r>
      <w:r>
        <w:rPr>
          <w:rFonts w:hint="eastAsia" w:ascii="华文中宋" w:hAnsi="华文中宋"/>
          <w:bCs/>
          <w:color w:val="000000"/>
          <w:kern w:val="0"/>
          <w:szCs w:val="24"/>
        </w:rPr>
        <w:t xml:space="preserve"> 商务技术偏离表</w:t>
      </w:r>
    </w:p>
    <w:p w14:paraId="1B6A1EC0">
      <w:pPr>
        <w:autoSpaceDE w:val="0"/>
        <w:autoSpaceDN w:val="0"/>
        <w:spacing w:line="360" w:lineRule="auto"/>
        <w:jc w:val="center"/>
        <w:rPr>
          <w:rFonts w:eastAsia="华文中宋"/>
          <w:b/>
          <w:color w:val="000000"/>
          <w:kern w:val="0"/>
          <w:sz w:val="44"/>
          <w:szCs w:val="28"/>
        </w:rPr>
      </w:pPr>
      <w:r>
        <w:rPr>
          <w:rFonts w:hint="eastAsia" w:eastAsia="华文中宋"/>
          <w:b/>
          <w:color w:val="000000"/>
          <w:kern w:val="0"/>
          <w:sz w:val="44"/>
          <w:szCs w:val="28"/>
        </w:rPr>
        <w:t>商务技术偏离表</w:t>
      </w:r>
    </w:p>
    <w:p w14:paraId="512A7ED8">
      <w:pPr>
        <w:autoSpaceDE w:val="0"/>
        <w:autoSpaceDN w:val="0"/>
        <w:spacing w:line="360" w:lineRule="auto"/>
        <w:rPr>
          <w:rFonts w:hint="eastAsia" w:eastAsia="仿宋"/>
          <w:b/>
          <w:color w:val="000000"/>
          <w:sz w:val="24"/>
          <w:u w:val="single"/>
          <w:lang w:eastAsia="zh-CN"/>
        </w:rPr>
      </w:pPr>
      <w:r>
        <w:rPr>
          <w:rFonts w:eastAsia="仿宋"/>
          <w:b/>
          <w:color w:val="000000"/>
          <w:sz w:val="24"/>
        </w:rPr>
        <w:t>项目名称：</w:t>
      </w:r>
      <w:r>
        <w:rPr>
          <w:rFonts w:hint="eastAsia" w:ascii="仿宋" w:hAnsi="仿宋" w:eastAsia="仿宋" w:cs="Arial"/>
          <w:b/>
          <w:color w:val="000000"/>
          <w:sz w:val="24"/>
          <w:u w:val="single"/>
          <w:lang w:eastAsia="zh-CN"/>
        </w:rPr>
        <w:t>浙江工商大学教工路校区学生宿舍建设工程附属配电房移位改造工程（EPC）</w:t>
      </w:r>
    </w:p>
    <w:p w14:paraId="66510F2A">
      <w:pPr>
        <w:autoSpaceDE w:val="0"/>
        <w:autoSpaceDN w:val="0"/>
        <w:spacing w:line="360" w:lineRule="auto"/>
        <w:rPr>
          <w:rFonts w:hint="eastAsia" w:eastAsia="仿宋"/>
          <w:lang w:eastAsia="zh-CN"/>
        </w:rPr>
      </w:pPr>
      <w:r>
        <w:rPr>
          <w:rFonts w:eastAsia="仿宋"/>
          <w:b/>
          <w:color w:val="000000"/>
          <w:sz w:val="24"/>
        </w:rPr>
        <w:t>项目编号：</w:t>
      </w:r>
      <w:r>
        <w:rPr>
          <w:rFonts w:hint="eastAsia" w:ascii="仿宋" w:hAnsi="仿宋" w:eastAsia="仿宋" w:cs="Arial"/>
          <w:b/>
          <w:color w:val="000000"/>
          <w:sz w:val="24"/>
          <w:u w:val="single"/>
          <w:lang w:eastAsia="zh-CN"/>
        </w:rPr>
        <w:t>CTZB-2025050222</w:t>
      </w:r>
    </w:p>
    <w:tbl>
      <w:tblPr>
        <w:tblStyle w:val="52"/>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14:paraId="38A3F0C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tcBorders>
            <w:noWrap/>
            <w:vAlign w:val="center"/>
          </w:tcPr>
          <w:p w14:paraId="4EBFB146">
            <w:pPr>
              <w:autoSpaceDE w:val="0"/>
              <w:autoSpaceDN w:val="0"/>
              <w:spacing w:line="400" w:lineRule="exact"/>
              <w:jc w:val="center"/>
              <w:rPr>
                <w:rFonts w:eastAsia="仿宋"/>
                <w:b/>
                <w:color w:val="000000"/>
                <w:kern w:val="0"/>
                <w:sz w:val="24"/>
              </w:rPr>
            </w:pPr>
            <w:r>
              <w:rPr>
                <w:rFonts w:hint="eastAsia" w:eastAsia="仿宋"/>
                <w:b/>
                <w:color w:val="000000"/>
                <w:kern w:val="0"/>
                <w:sz w:val="24"/>
              </w:rPr>
              <w:t>序号</w:t>
            </w:r>
          </w:p>
        </w:tc>
        <w:tc>
          <w:tcPr>
            <w:tcW w:w="2565" w:type="dxa"/>
            <w:tcBorders>
              <w:top w:val="single" w:color="auto" w:sz="2" w:space="0"/>
            </w:tcBorders>
            <w:noWrap/>
            <w:vAlign w:val="center"/>
          </w:tcPr>
          <w:p w14:paraId="2B009D4D">
            <w:pPr>
              <w:autoSpaceDE w:val="0"/>
              <w:autoSpaceDN w:val="0"/>
              <w:spacing w:line="400" w:lineRule="exact"/>
              <w:jc w:val="center"/>
              <w:rPr>
                <w:rFonts w:eastAsia="仿宋"/>
                <w:b/>
                <w:color w:val="000000"/>
                <w:kern w:val="0"/>
                <w:sz w:val="24"/>
              </w:rPr>
            </w:pPr>
            <w:r>
              <w:rPr>
                <w:rFonts w:hint="eastAsia" w:eastAsia="仿宋"/>
                <w:b/>
                <w:color w:val="000000"/>
                <w:kern w:val="0"/>
                <w:sz w:val="24"/>
              </w:rPr>
              <w:t>磋商文件要求</w:t>
            </w:r>
          </w:p>
        </w:tc>
        <w:tc>
          <w:tcPr>
            <w:tcW w:w="2606" w:type="dxa"/>
            <w:tcBorders>
              <w:top w:val="single" w:color="auto" w:sz="2" w:space="0"/>
            </w:tcBorders>
            <w:noWrap/>
            <w:vAlign w:val="center"/>
          </w:tcPr>
          <w:p w14:paraId="519F68C4">
            <w:pPr>
              <w:autoSpaceDE w:val="0"/>
              <w:autoSpaceDN w:val="0"/>
              <w:spacing w:line="400" w:lineRule="exact"/>
              <w:jc w:val="center"/>
              <w:rPr>
                <w:rFonts w:eastAsia="仿宋"/>
                <w:b/>
                <w:color w:val="000000"/>
                <w:kern w:val="0"/>
                <w:sz w:val="24"/>
              </w:rPr>
            </w:pPr>
            <w:r>
              <w:rPr>
                <w:rFonts w:hint="eastAsia" w:eastAsia="仿宋"/>
                <w:b/>
                <w:color w:val="000000"/>
                <w:kern w:val="0"/>
                <w:sz w:val="24"/>
              </w:rPr>
              <w:t>响应情况</w:t>
            </w:r>
          </w:p>
        </w:tc>
        <w:tc>
          <w:tcPr>
            <w:tcW w:w="1437" w:type="dxa"/>
            <w:tcBorders>
              <w:top w:val="single" w:color="auto" w:sz="2" w:space="0"/>
            </w:tcBorders>
            <w:noWrap/>
            <w:vAlign w:val="center"/>
          </w:tcPr>
          <w:p w14:paraId="6B830037">
            <w:pPr>
              <w:autoSpaceDE w:val="0"/>
              <w:autoSpaceDN w:val="0"/>
              <w:spacing w:line="400" w:lineRule="exact"/>
              <w:jc w:val="center"/>
              <w:rPr>
                <w:rFonts w:eastAsia="仿宋"/>
                <w:b/>
                <w:color w:val="000000"/>
                <w:kern w:val="0"/>
                <w:sz w:val="24"/>
              </w:rPr>
            </w:pPr>
            <w:r>
              <w:rPr>
                <w:rFonts w:hint="eastAsia" w:eastAsia="仿宋"/>
                <w:b/>
                <w:color w:val="000000"/>
                <w:kern w:val="0"/>
                <w:sz w:val="24"/>
              </w:rPr>
              <w:t>正/负偏离</w:t>
            </w:r>
          </w:p>
        </w:tc>
        <w:tc>
          <w:tcPr>
            <w:tcW w:w="1857" w:type="dxa"/>
            <w:tcBorders>
              <w:top w:val="single" w:color="auto" w:sz="2" w:space="0"/>
              <w:right w:val="single" w:color="auto" w:sz="2" w:space="0"/>
            </w:tcBorders>
            <w:noWrap/>
            <w:vAlign w:val="center"/>
          </w:tcPr>
          <w:p w14:paraId="1BAC3618">
            <w:pPr>
              <w:autoSpaceDE w:val="0"/>
              <w:autoSpaceDN w:val="0"/>
              <w:spacing w:line="400" w:lineRule="exact"/>
              <w:jc w:val="center"/>
              <w:rPr>
                <w:rFonts w:eastAsia="仿宋"/>
                <w:b/>
                <w:color w:val="000000"/>
                <w:kern w:val="0"/>
                <w:sz w:val="24"/>
              </w:rPr>
            </w:pPr>
            <w:r>
              <w:rPr>
                <w:rFonts w:hint="eastAsia" w:eastAsia="仿宋"/>
                <w:b/>
                <w:color w:val="000000"/>
                <w:kern w:val="0"/>
                <w:sz w:val="24"/>
              </w:rPr>
              <w:t>理由</w:t>
            </w:r>
          </w:p>
        </w:tc>
      </w:tr>
      <w:tr w14:paraId="3539ABB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04594676">
            <w:pPr>
              <w:autoSpaceDE w:val="0"/>
              <w:autoSpaceDN w:val="0"/>
              <w:spacing w:line="400" w:lineRule="exact"/>
              <w:jc w:val="center"/>
              <w:rPr>
                <w:rFonts w:eastAsia="仿宋"/>
                <w:bCs/>
                <w:color w:val="000000"/>
                <w:kern w:val="0"/>
                <w:sz w:val="24"/>
              </w:rPr>
            </w:pPr>
            <w:r>
              <w:rPr>
                <w:rFonts w:hint="eastAsia" w:eastAsia="仿宋"/>
                <w:bCs/>
                <w:color w:val="000000"/>
                <w:kern w:val="0"/>
                <w:sz w:val="24"/>
              </w:rPr>
              <w:t>1</w:t>
            </w:r>
          </w:p>
        </w:tc>
        <w:tc>
          <w:tcPr>
            <w:tcW w:w="2565" w:type="dxa"/>
            <w:noWrap/>
            <w:vAlign w:val="center"/>
          </w:tcPr>
          <w:p w14:paraId="6FF0BE82">
            <w:pPr>
              <w:autoSpaceDE w:val="0"/>
              <w:autoSpaceDN w:val="0"/>
              <w:spacing w:line="400" w:lineRule="exact"/>
              <w:jc w:val="center"/>
              <w:rPr>
                <w:rFonts w:eastAsia="仿宋"/>
                <w:bCs/>
                <w:color w:val="000000"/>
                <w:kern w:val="0"/>
                <w:sz w:val="24"/>
              </w:rPr>
            </w:pPr>
          </w:p>
        </w:tc>
        <w:tc>
          <w:tcPr>
            <w:tcW w:w="2606" w:type="dxa"/>
            <w:noWrap/>
            <w:vAlign w:val="center"/>
          </w:tcPr>
          <w:p w14:paraId="01C9706D">
            <w:pPr>
              <w:autoSpaceDE w:val="0"/>
              <w:autoSpaceDN w:val="0"/>
              <w:spacing w:line="400" w:lineRule="exact"/>
              <w:jc w:val="center"/>
              <w:rPr>
                <w:rFonts w:eastAsia="仿宋"/>
                <w:bCs/>
                <w:color w:val="000000"/>
                <w:kern w:val="0"/>
                <w:sz w:val="24"/>
              </w:rPr>
            </w:pPr>
          </w:p>
        </w:tc>
        <w:tc>
          <w:tcPr>
            <w:tcW w:w="1437" w:type="dxa"/>
            <w:noWrap/>
            <w:vAlign w:val="center"/>
          </w:tcPr>
          <w:p w14:paraId="27EAA7FE">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703B7D0F">
            <w:pPr>
              <w:autoSpaceDE w:val="0"/>
              <w:autoSpaceDN w:val="0"/>
              <w:spacing w:line="400" w:lineRule="exact"/>
              <w:jc w:val="center"/>
              <w:rPr>
                <w:rFonts w:eastAsia="仿宋"/>
                <w:bCs/>
                <w:color w:val="000000"/>
                <w:kern w:val="0"/>
                <w:sz w:val="24"/>
              </w:rPr>
            </w:pPr>
          </w:p>
        </w:tc>
      </w:tr>
      <w:tr w14:paraId="653413F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007DBB0B">
            <w:pPr>
              <w:autoSpaceDE w:val="0"/>
              <w:autoSpaceDN w:val="0"/>
              <w:spacing w:line="400" w:lineRule="exact"/>
              <w:jc w:val="center"/>
              <w:rPr>
                <w:rFonts w:eastAsia="仿宋"/>
                <w:bCs/>
                <w:color w:val="000000"/>
                <w:kern w:val="0"/>
                <w:sz w:val="24"/>
              </w:rPr>
            </w:pPr>
            <w:r>
              <w:rPr>
                <w:rFonts w:hint="eastAsia" w:eastAsia="仿宋"/>
                <w:bCs/>
                <w:color w:val="000000"/>
                <w:kern w:val="0"/>
                <w:sz w:val="24"/>
              </w:rPr>
              <w:t>2</w:t>
            </w:r>
          </w:p>
        </w:tc>
        <w:tc>
          <w:tcPr>
            <w:tcW w:w="2565" w:type="dxa"/>
            <w:noWrap/>
            <w:vAlign w:val="center"/>
          </w:tcPr>
          <w:p w14:paraId="727D3882">
            <w:pPr>
              <w:autoSpaceDE w:val="0"/>
              <w:autoSpaceDN w:val="0"/>
              <w:spacing w:line="400" w:lineRule="exact"/>
              <w:jc w:val="center"/>
              <w:rPr>
                <w:rFonts w:eastAsia="仿宋"/>
                <w:bCs/>
                <w:color w:val="000000"/>
                <w:kern w:val="0"/>
                <w:sz w:val="24"/>
              </w:rPr>
            </w:pPr>
          </w:p>
        </w:tc>
        <w:tc>
          <w:tcPr>
            <w:tcW w:w="2606" w:type="dxa"/>
            <w:noWrap/>
            <w:vAlign w:val="center"/>
          </w:tcPr>
          <w:p w14:paraId="48EDD72D">
            <w:pPr>
              <w:autoSpaceDE w:val="0"/>
              <w:autoSpaceDN w:val="0"/>
              <w:spacing w:line="400" w:lineRule="exact"/>
              <w:jc w:val="center"/>
              <w:rPr>
                <w:rFonts w:eastAsia="仿宋"/>
                <w:bCs/>
                <w:color w:val="000000"/>
                <w:kern w:val="0"/>
                <w:sz w:val="24"/>
              </w:rPr>
            </w:pPr>
          </w:p>
        </w:tc>
        <w:tc>
          <w:tcPr>
            <w:tcW w:w="1437" w:type="dxa"/>
            <w:noWrap/>
            <w:vAlign w:val="center"/>
          </w:tcPr>
          <w:p w14:paraId="6764B9C7">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1E37FEBB">
            <w:pPr>
              <w:autoSpaceDE w:val="0"/>
              <w:autoSpaceDN w:val="0"/>
              <w:spacing w:line="400" w:lineRule="exact"/>
              <w:jc w:val="center"/>
              <w:rPr>
                <w:rFonts w:eastAsia="仿宋"/>
                <w:bCs/>
                <w:color w:val="000000"/>
                <w:kern w:val="0"/>
                <w:sz w:val="24"/>
              </w:rPr>
            </w:pPr>
          </w:p>
        </w:tc>
      </w:tr>
      <w:tr w14:paraId="672EF3D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19EDCD62">
            <w:pPr>
              <w:autoSpaceDE w:val="0"/>
              <w:autoSpaceDN w:val="0"/>
              <w:spacing w:line="400" w:lineRule="exact"/>
              <w:jc w:val="center"/>
              <w:rPr>
                <w:rFonts w:eastAsia="仿宋"/>
                <w:bCs/>
                <w:color w:val="000000"/>
                <w:kern w:val="0"/>
                <w:sz w:val="24"/>
              </w:rPr>
            </w:pPr>
            <w:r>
              <w:rPr>
                <w:rFonts w:hint="eastAsia" w:eastAsia="仿宋"/>
                <w:bCs/>
                <w:color w:val="000000"/>
                <w:kern w:val="0"/>
                <w:sz w:val="24"/>
              </w:rPr>
              <w:t>3</w:t>
            </w:r>
          </w:p>
        </w:tc>
        <w:tc>
          <w:tcPr>
            <w:tcW w:w="2565" w:type="dxa"/>
            <w:noWrap/>
            <w:vAlign w:val="center"/>
          </w:tcPr>
          <w:p w14:paraId="52ECF15B">
            <w:pPr>
              <w:autoSpaceDE w:val="0"/>
              <w:autoSpaceDN w:val="0"/>
              <w:spacing w:line="400" w:lineRule="exact"/>
              <w:jc w:val="center"/>
              <w:rPr>
                <w:rFonts w:eastAsia="仿宋"/>
                <w:bCs/>
                <w:color w:val="000000"/>
                <w:kern w:val="0"/>
                <w:sz w:val="24"/>
              </w:rPr>
            </w:pPr>
          </w:p>
        </w:tc>
        <w:tc>
          <w:tcPr>
            <w:tcW w:w="2606" w:type="dxa"/>
            <w:noWrap/>
            <w:vAlign w:val="center"/>
          </w:tcPr>
          <w:p w14:paraId="66F41835">
            <w:pPr>
              <w:autoSpaceDE w:val="0"/>
              <w:autoSpaceDN w:val="0"/>
              <w:spacing w:line="400" w:lineRule="exact"/>
              <w:jc w:val="center"/>
              <w:rPr>
                <w:rFonts w:eastAsia="仿宋"/>
                <w:bCs/>
                <w:color w:val="000000"/>
                <w:kern w:val="0"/>
                <w:sz w:val="24"/>
              </w:rPr>
            </w:pPr>
          </w:p>
        </w:tc>
        <w:tc>
          <w:tcPr>
            <w:tcW w:w="1437" w:type="dxa"/>
            <w:noWrap/>
            <w:vAlign w:val="center"/>
          </w:tcPr>
          <w:p w14:paraId="3D519587">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7DE22193">
            <w:pPr>
              <w:autoSpaceDE w:val="0"/>
              <w:autoSpaceDN w:val="0"/>
              <w:spacing w:line="400" w:lineRule="exact"/>
              <w:jc w:val="center"/>
              <w:rPr>
                <w:rFonts w:eastAsia="仿宋"/>
                <w:bCs/>
                <w:color w:val="000000"/>
                <w:kern w:val="0"/>
                <w:sz w:val="24"/>
              </w:rPr>
            </w:pPr>
          </w:p>
        </w:tc>
      </w:tr>
      <w:tr w14:paraId="71ED8BB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0F4C9D07">
            <w:pPr>
              <w:autoSpaceDE w:val="0"/>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14:paraId="0930D1F0">
            <w:pPr>
              <w:autoSpaceDE w:val="0"/>
              <w:autoSpaceDN w:val="0"/>
              <w:spacing w:line="400" w:lineRule="exact"/>
              <w:jc w:val="center"/>
              <w:rPr>
                <w:rFonts w:eastAsia="仿宋"/>
                <w:bCs/>
                <w:color w:val="000000"/>
                <w:kern w:val="0"/>
                <w:sz w:val="24"/>
              </w:rPr>
            </w:pPr>
          </w:p>
        </w:tc>
        <w:tc>
          <w:tcPr>
            <w:tcW w:w="2606" w:type="dxa"/>
            <w:noWrap/>
            <w:vAlign w:val="center"/>
          </w:tcPr>
          <w:p w14:paraId="30F2A71A">
            <w:pPr>
              <w:autoSpaceDE w:val="0"/>
              <w:autoSpaceDN w:val="0"/>
              <w:spacing w:line="400" w:lineRule="exact"/>
              <w:jc w:val="center"/>
              <w:rPr>
                <w:rFonts w:eastAsia="仿宋"/>
                <w:bCs/>
                <w:color w:val="000000"/>
                <w:kern w:val="0"/>
                <w:sz w:val="24"/>
              </w:rPr>
            </w:pPr>
          </w:p>
        </w:tc>
        <w:tc>
          <w:tcPr>
            <w:tcW w:w="1437" w:type="dxa"/>
            <w:noWrap/>
            <w:vAlign w:val="center"/>
          </w:tcPr>
          <w:p w14:paraId="68014BC9">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14C558D4">
            <w:pPr>
              <w:autoSpaceDE w:val="0"/>
              <w:autoSpaceDN w:val="0"/>
              <w:spacing w:line="400" w:lineRule="exact"/>
              <w:jc w:val="center"/>
              <w:rPr>
                <w:rFonts w:eastAsia="仿宋"/>
                <w:bCs/>
                <w:color w:val="000000"/>
                <w:kern w:val="0"/>
                <w:sz w:val="24"/>
              </w:rPr>
            </w:pPr>
          </w:p>
        </w:tc>
      </w:tr>
      <w:tr w14:paraId="1DECB3F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4114D480">
            <w:pPr>
              <w:autoSpaceDE w:val="0"/>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14:paraId="57290C30">
            <w:pPr>
              <w:autoSpaceDE w:val="0"/>
              <w:autoSpaceDN w:val="0"/>
              <w:spacing w:line="400" w:lineRule="exact"/>
              <w:jc w:val="center"/>
              <w:rPr>
                <w:rFonts w:eastAsia="仿宋"/>
                <w:bCs/>
                <w:color w:val="000000"/>
                <w:kern w:val="0"/>
                <w:sz w:val="24"/>
              </w:rPr>
            </w:pPr>
          </w:p>
        </w:tc>
        <w:tc>
          <w:tcPr>
            <w:tcW w:w="2606" w:type="dxa"/>
            <w:noWrap/>
            <w:vAlign w:val="center"/>
          </w:tcPr>
          <w:p w14:paraId="5CC57789">
            <w:pPr>
              <w:autoSpaceDE w:val="0"/>
              <w:autoSpaceDN w:val="0"/>
              <w:spacing w:line="400" w:lineRule="exact"/>
              <w:jc w:val="center"/>
              <w:rPr>
                <w:rFonts w:eastAsia="仿宋"/>
                <w:bCs/>
                <w:color w:val="000000"/>
                <w:kern w:val="0"/>
                <w:sz w:val="24"/>
              </w:rPr>
            </w:pPr>
          </w:p>
        </w:tc>
        <w:tc>
          <w:tcPr>
            <w:tcW w:w="1437" w:type="dxa"/>
            <w:noWrap/>
            <w:vAlign w:val="center"/>
          </w:tcPr>
          <w:p w14:paraId="1E87A467">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54BAD0E5">
            <w:pPr>
              <w:autoSpaceDE w:val="0"/>
              <w:autoSpaceDN w:val="0"/>
              <w:spacing w:line="400" w:lineRule="exact"/>
              <w:jc w:val="center"/>
              <w:rPr>
                <w:rFonts w:eastAsia="仿宋"/>
                <w:bCs/>
                <w:color w:val="000000"/>
                <w:kern w:val="0"/>
                <w:sz w:val="24"/>
              </w:rPr>
            </w:pPr>
          </w:p>
        </w:tc>
      </w:tr>
      <w:tr w14:paraId="49713D8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1CC1BFBD">
            <w:pPr>
              <w:autoSpaceDE w:val="0"/>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14:paraId="4FE56C6F">
            <w:pPr>
              <w:autoSpaceDE w:val="0"/>
              <w:autoSpaceDN w:val="0"/>
              <w:spacing w:line="400" w:lineRule="exact"/>
              <w:jc w:val="center"/>
              <w:rPr>
                <w:rFonts w:eastAsia="仿宋"/>
                <w:bCs/>
                <w:color w:val="000000"/>
                <w:kern w:val="0"/>
                <w:sz w:val="24"/>
              </w:rPr>
            </w:pPr>
          </w:p>
        </w:tc>
        <w:tc>
          <w:tcPr>
            <w:tcW w:w="2606" w:type="dxa"/>
            <w:noWrap/>
            <w:vAlign w:val="center"/>
          </w:tcPr>
          <w:p w14:paraId="2F7DAFB3">
            <w:pPr>
              <w:autoSpaceDE w:val="0"/>
              <w:autoSpaceDN w:val="0"/>
              <w:spacing w:line="400" w:lineRule="exact"/>
              <w:jc w:val="center"/>
              <w:rPr>
                <w:rFonts w:eastAsia="仿宋"/>
                <w:bCs/>
                <w:color w:val="000000"/>
                <w:kern w:val="0"/>
                <w:sz w:val="24"/>
              </w:rPr>
            </w:pPr>
          </w:p>
        </w:tc>
        <w:tc>
          <w:tcPr>
            <w:tcW w:w="1437" w:type="dxa"/>
            <w:noWrap/>
            <w:vAlign w:val="center"/>
          </w:tcPr>
          <w:p w14:paraId="03CA238C">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7CC26A34">
            <w:pPr>
              <w:autoSpaceDE w:val="0"/>
              <w:autoSpaceDN w:val="0"/>
              <w:spacing w:line="400" w:lineRule="exact"/>
              <w:jc w:val="center"/>
              <w:rPr>
                <w:rFonts w:eastAsia="仿宋"/>
                <w:bCs/>
                <w:color w:val="000000"/>
                <w:kern w:val="0"/>
                <w:sz w:val="24"/>
              </w:rPr>
            </w:pPr>
          </w:p>
        </w:tc>
      </w:tr>
      <w:tr w14:paraId="5B8932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18517E5E">
            <w:pPr>
              <w:autoSpaceDE w:val="0"/>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14:paraId="0969A355">
            <w:pPr>
              <w:autoSpaceDE w:val="0"/>
              <w:autoSpaceDN w:val="0"/>
              <w:spacing w:line="400" w:lineRule="exact"/>
              <w:jc w:val="center"/>
              <w:rPr>
                <w:rFonts w:eastAsia="仿宋"/>
                <w:bCs/>
                <w:color w:val="000000"/>
                <w:kern w:val="0"/>
                <w:sz w:val="24"/>
              </w:rPr>
            </w:pPr>
          </w:p>
        </w:tc>
        <w:tc>
          <w:tcPr>
            <w:tcW w:w="2606" w:type="dxa"/>
            <w:noWrap/>
            <w:vAlign w:val="center"/>
          </w:tcPr>
          <w:p w14:paraId="34ABBCC9">
            <w:pPr>
              <w:autoSpaceDE w:val="0"/>
              <w:autoSpaceDN w:val="0"/>
              <w:spacing w:line="400" w:lineRule="exact"/>
              <w:jc w:val="center"/>
              <w:rPr>
                <w:rFonts w:eastAsia="仿宋"/>
                <w:bCs/>
                <w:color w:val="000000"/>
                <w:kern w:val="0"/>
                <w:sz w:val="24"/>
              </w:rPr>
            </w:pPr>
          </w:p>
        </w:tc>
        <w:tc>
          <w:tcPr>
            <w:tcW w:w="1437" w:type="dxa"/>
            <w:noWrap/>
            <w:vAlign w:val="center"/>
          </w:tcPr>
          <w:p w14:paraId="3B763ABE">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41B86F0E">
            <w:pPr>
              <w:autoSpaceDE w:val="0"/>
              <w:autoSpaceDN w:val="0"/>
              <w:spacing w:line="400" w:lineRule="exact"/>
              <w:jc w:val="center"/>
              <w:rPr>
                <w:rFonts w:eastAsia="仿宋"/>
                <w:bCs/>
                <w:color w:val="000000"/>
                <w:kern w:val="0"/>
                <w:sz w:val="24"/>
              </w:rPr>
            </w:pPr>
          </w:p>
        </w:tc>
      </w:tr>
      <w:tr w14:paraId="474AEDF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395E2886">
            <w:pPr>
              <w:autoSpaceDE w:val="0"/>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14:paraId="6C45777E">
            <w:pPr>
              <w:autoSpaceDE w:val="0"/>
              <w:autoSpaceDN w:val="0"/>
              <w:spacing w:line="400" w:lineRule="exact"/>
              <w:jc w:val="center"/>
              <w:rPr>
                <w:rFonts w:eastAsia="仿宋"/>
                <w:bCs/>
                <w:color w:val="000000"/>
                <w:kern w:val="0"/>
                <w:sz w:val="24"/>
              </w:rPr>
            </w:pPr>
          </w:p>
        </w:tc>
        <w:tc>
          <w:tcPr>
            <w:tcW w:w="2606" w:type="dxa"/>
            <w:noWrap/>
            <w:vAlign w:val="center"/>
          </w:tcPr>
          <w:p w14:paraId="4005FC4F">
            <w:pPr>
              <w:autoSpaceDE w:val="0"/>
              <w:autoSpaceDN w:val="0"/>
              <w:spacing w:line="400" w:lineRule="exact"/>
              <w:jc w:val="center"/>
              <w:rPr>
                <w:rFonts w:eastAsia="仿宋"/>
                <w:bCs/>
                <w:color w:val="000000"/>
                <w:kern w:val="0"/>
                <w:sz w:val="24"/>
              </w:rPr>
            </w:pPr>
          </w:p>
        </w:tc>
        <w:tc>
          <w:tcPr>
            <w:tcW w:w="1437" w:type="dxa"/>
            <w:noWrap/>
            <w:vAlign w:val="center"/>
          </w:tcPr>
          <w:p w14:paraId="40AD2CF4">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4EA266B4">
            <w:pPr>
              <w:autoSpaceDE w:val="0"/>
              <w:autoSpaceDN w:val="0"/>
              <w:spacing w:line="400" w:lineRule="exact"/>
              <w:jc w:val="center"/>
              <w:rPr>
                <w:rFonts w:eastAsia="仿宋"/>
                <w:bCs/>
                <w:color w:val="000000"/>
                <w:kern w:val="0"/>
                <w:sz w:val="24"/>
              </w:rPr>
            </w:pPr>
          </w:p>
        </w:tc>
      </w:tr>
      <w:tr w14:paraId="3C9191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14:paraId="2098101F">
            <w:pPr>
              <w:autoSpaceDE w:val="0"/>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14:paraId="04AF449D">
            <w:pPr>
              <w:autoSpaceDE w:val="0"/>
              <w:autoSpaceDN w:val="0"/>
              <w:spacing w:line="400" w:lineRule="exact"/>
              <w:jc w:val="center"/>
              <w:rPr>
                <w:rFonts w:eastAsia="仿宋"/>
                <w:bCs/>
                <w:color w:val="000000"/>
                <w:kern w:val="0"/>
                <w:sz w:val="24"/>
              </w:rPr>
            </w:pPr>
          </w:p>
        </w:tc>
        <w:tc>
          <w:tcPr>
            <w:tcW w:w="2606" w:type="dxa"/>
            <w:noWrap/>
            <w:vAlign w:val="center"/>
          </w:tcPr>
          <w:p w14:paraId="52E7FC39">
            <w:pPr>
              <w:autoSpaceDE w:val="0"/>
              <w:autoSpaceDN w:val="0"/>
              <w:spacing w:line="400" w:lineRule="exact"/>
              <w:jc w:val="center"/>
              <w:rPr>
                <w:rFonts w:eastAsia="仿宋"/>
                <w:bCs/>
                <w:color w:val="000000"/>
                <w:kern w:val="0"/>
                <w:sz w:val="24"/>
              </w:rPr>
            </w:pPr>
          </w:p>
        </w:tc>
        <w:tc>
          <w:tcPr>
            <w:tcW w:w="1437" w:type="dxa"/>
            <w:noWrap/>
            <w:vAlign w:val="center"/>
          </w:tcPr>
          <w:p w14:paraId="28C3F199">
            <w:pPr>
              <w:autoSpaceDE w:val="0"/>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14:paraId="00183ABA">
            <w:pPr>
              <w:autoSpaceDE w:val="0"/>
              <w:autoSpaceDN w:val="0"/>
              <w:spacing w:line="400" w:lineRule="exact"/>
              <w:jc w:val="center"/>
              <w:rPr>
                <w:rFonts w:eastAsia="仿宋"/>
                <w:bCs/>
                <w:color w:val="000000"/>
                <w:kern w:val="0"/>
                <w:sz w:val="24"/>
              </w:rPr>
            </w:pPr>
          </w:p>
        </w:tc>
      </w:tr>
      <w:tr w14:paraId="0454F1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bottom w:val="single" w:color="auto" w:sz="2" w:space="0"/>
            </w:tcBorders>
            <w:noWrap/>
            <w:vAlign w:val="center"/>
          </w:tcPr>
          <w:p w14:paraId="377EB12D">
            <w:pPr>
              <w:autoSpaceDE w:val="0"/>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tcBorders>
              <w:bottom w:val="single" w:color="auto" w:sz="2" w:space="0"/>
            </w:tcBorders>
            <w:noWrap/>
            <w:vAlign w:val="center"/>
          </w:tcPr>
          <w:p w14:paraId="125FD9CD">
            <w:pPr>
              <w:autoSpaceDE w:val="0"/>
              <w:autoSpaceDN w:val="0"/>
              <w:spacing w:line="400" w:lineRule="exact"/>
              <w:jc w:val="center"/>
              <w:rPr>
                <w:rFonts w:eastAsia="仿宋"/>
                <w:bCs/>
                <w:color w:val="000000"/>
                <w:kern w:val="0"/>
                <w:sz w:val="24"/>
              </w:rPr>
            </w:pPr>
          </w:p>
        </w:tc>
        <w:tc>
          <w:tcPr>
            <w:tcW w:w="2606" w:type="dxa"/>
            <w:tcBorders>
              <w:bottom w:val="single" w:color="auto" w:sz="2" w:space="0"/>
            </w:tcBorders>
            <w:noWrap/>
            <w:vAlign w:val="center"/>
          </w:tcPr>
          <w:p w14:paraId="023347C5">
            <w:pPr>
              <w:autoSpaceDE w:val="0"/>
              <w:autoSpaceDN w:val="0"/>
              <w:spacing w:line="400" w:lineRule="exact"/>
              <w:jc w:val="center"/>
              <w:rPr>
                <w:rFonts w:eastAsia="仿宋"/>
                <w:bCs/>
                <w:color w:val="000000"/>
                <w:kern w:val="0"/>
                <w:sz w:val="24"/>
              </w:rPr>
            </w:pPr>
          </w:p>
        </w:tc>
        <w:tc>
          <w:tcPr>
            <w:tcW w:w="1437" w:type="dxa"/>
            <w:tcBorders>
              <w:bottom w:val="single" w:color="auto" w:sz="2" w:space="0"/>
            </w:tcBorders>
            <w:noWrap/>
            <w:vAlign w:val="center"/>
          </w:tcPr>
          <w:p w14:paraId="0455102F">
            <w:pPr>
              <w:autoSpaceDE w:val="0"/>
              <w:autoSpaceDN w:val="0"/>
              <w:spacing w:line="400" w:lineRule="exact"/>
              <w:jc w:val="center"/>
              <w:rPr>
                <w:rFonts w:eastAsia="仿宋"/>
                <w:bCs/>
                <w:color w:val="000000"/>
                <w:kern w:val="0"/>
                <w:sz w:val="24"/>
              </w:rPr>
            </w:pPr>
          </w:p>
        </w:tc>
        <w:tc>
          <w:tcPr>
            <w:tcW w:w="1857" w:type="dxa"/>
            <w:tcBorders>
              <w:bottom w:val="single" w:color="auto" w:sz="2" w:space="0"/>
              <w:right w:val="single" w:color="auto" w:sz="2" w:space="0"/>
            </w:tcBorders>
            <w:noWrap/>
            <w:vAlign w:val="center"/>
          </w:tcPr>
          <w:p w14:paraId="4E5A96B8">
            <w:pPr>
              <w:autoSpaceDE w:val="0"/>
              <w:autoSpaceDN w:val="0"/>
              <w:spacing w:line="400" w:lineRule="exact"/>
              <w:jc w:val="center"/>
              <w:rPr>
                <w:rFonts w:eastAsia="仿宋"/>
                <w:bCs/>
                <w:color w:val="000000"/>
                <w:kern w:val="0"/>
                <w:sz w:val="24"/>
              </w:rPr>
            </w:pPr>
          </w:p>
        </w:tc>
      </w:tr>
    </w:tbl>
    <w:p w14:paraId="49CCC4F3">
      <w:pPr>
        <w:autoSpaceDE w:val="0"/>
        <w:autoSpaceDN w:val="0"/>
        <w:spacing w:line="360" w:lineRule="auto"/>
        <w:rPr>
          <w:rFonts w:eastAsia="仿宋"/>
          <w:b/>
          <w:color w:val="000000"/>
          <w:w w:val="90"/>
          <w:kern w:val="0"/>
          <w:sz w:val="24"/>
          <w:lang w:val="zh-CN"/>
        </w:rPr>
      </w:pPr>
      <w:r>
        <w:rPr>
          <w:rFonts w:hint="eastAsia" w:eastAsia="仿宋"/>
          <w:b/>
          <w:color w:val="000000"/>
          <w:w w:val="90"/>
          <w:kern w:val="0"/>
          <w:sz w:val="24"/>
          <w:lang w:val="zh-CN"/>
        </w:rPr>
        <w:t>备注：根据磋商文件要求，如有偏离均应填写偏离表，不填写或未提供偏离表均视为无偏离且完全响应磋商文件要求。</w:t>
      </w:r>
    </w:p>
    <w:p w14:paraId="4FAC6DB3">
      <w:pPr>
        <w:autoSpaceDE w:val="0"/>
        <w:autoSpaceDN w:val="0"/>
      </w:pPr>
    </w:p>
    <w:p w14:paraId="24F95A8C">
      <w:pPr>
        <w:pStyle w:val="69"/>
      </w:pPr>
    </w:p>
    <w:p w14:paraId="0D1383A1">
      <w:pPr>
        <w:autoSpaceDE w:val="0"/>
        <w:autoSpaceDN w:val="0"/>
        <w:snapToGrid w:val="0"/>
        <w:spacing w:line="360" w:lineRule="auto"/>
        <w:rPr>
          <w:rFonts w:hint="eastAsia"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14:paraId="40AD7800">
      <w:pPr>
        <w:autoSpaceDE w:val="0"/>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14:paraId="37BD3DE6">
      <w:pPr>
        <w:pStyle w:val="70"/>
        <w:wordWrap/>
        <w:autoSpaceDE w:val="0"/>
        <w:autoSpaceDN w:val="0"/>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3B1ADCC9">
      <w:pPr>
        <w:pStyle w:val="4"/>
        <w:spacing w:before="120" w:after="120"/>
        <w:ind w:firstLine="240"/>
        <w:jc w:val="both"/>
        <w:rPr>
          <w:rFonts w:hint="eastAsia" w:ascii="华文中宋" w:hAnsi="华文中宋"/>
          <w:bCs/>
          <w:color w:val="000000"/>
          <w:kern w:val="0"/>
          <w:szCs w:val="24"/>
        </w:rPr>
      </w:pPr>
      <w:r>
        <w:rPr>
          <w:rFonts w:hint="eastAsia" w:ascii="华文中宋" w:hAnsi="华文中宋"/>
          <w:bCs/>
          <w:color w:val="000000"/>
          <w:kern w:val="0"/>
          <w:szCs w:val="24"/>
        </w:rPr>
        <w:t>2-</w:t>
      </w:r>
      <w:r>
        <w:rPr>
          <w:rFonts w:hint="eastAsia" w:ascii="华文中宋" w:hAnsi="华文中宋"/>
          <w:bCs/>
          <w:color w:val="000000"/>
          <w:kern w:val="0"/>
          <w:szCs w:val="24"/>
          <w:lang w:val="en-US" w:eastAsia="zh-CN"/>
        </w:rPr>
        <w:t xml:space="preserve">8 </w:t>
      </w:r>
      <w:r>
        <w:rPr>
          <w:rFonts w:hint="eastAsia" w:ascii="华文中宋" w:hAnsi="华文中宋"/>
          <w:bCs/>
          <w:color w:val="000000"/>
          <w:kern w:val="0"/>
          <w:szCs w:val="24"/>
        </w:rPr>
        <w:t>施工组织设计</w:t>
      </w:r>
    </w:p>
    <w:p w14:paraId="1094CDB5">
      <w:pPr>
        <w:tabs>
          <w:tab w:val="left" w:pos="720"/>
        </w:tabs>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1、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14:paraId="37A4658E">
      <w:pPr>
        <w:tabs>
          <w:tab w:val="left" w:pos="720"/>
        </w:tabs>
        <w:autoSpaceDE w:val="0"/>
        <w:autoSpaceDN w:val="0"/>
        <w:spacing w:line="440" w:lineRule="exact"/>
        <w:ind w:firstLine="480" w:firstLineChars="200"/>
        <w:rPr>
          <w:rFonts w:hint="eastAsia" w:ascii="仿宋" w:hAnsi="仿宋" w:eastAsia="仿宋" w:cs="仿宋"/>
          <w:sz w:val="24"/>
        </w:rPr>
      </w:pPr>
      <w:r>
        <w:rPr>
          <w:rFonts w:hint="eastAsia" w:ascii="仿宋" w:hAnsi="仿宋" w:eastAsia="仿宋" w:cs="仿宋"/>
          <w:sz w:val="24"/>
        </w:rPr>
        <w:t>2、施工组织设计除采用文字表述外可附下列图表，图表及格式要求附后。</w:t>
      </w:r>
    </w:p>
    <w:p w14:paraId="38D8D965">
      <w:pPr>
        <w:tabs>
          <w:tab w:val="left" w:pos="720"/>
        </w:tabs>
        <w:autoSpaceDE w:val="0"/>
        <w:autoSpaceDN w:val="0"/>
        <w:spacing w:line="440" w:lineRule="exact"/>
        <w:ind w:firstLine="864" w:firstLineChars="360"/>
        <w:rPr>
          <w:rFonts w:hint="eastAsia" w:ascii="仿宋" w:hAnsi="仿宋" w:eastAsia="仿宋" w:cs="仿宋"/>
          <w:sz w:val="24"/>
        </w:rPr>
      </w:pPr>
      <w:r>
        <w:rPr>
          <w:rFonts w:hint="eastAsia" w:ascii="仿宋" w:hAnsi="仿宋" w:eastAsia="仿宋" w:cs="仿宋"/>
          <w:sz w:val="24"/>
        </w:rPr>
        <w:t>附表一  拟投入的主要施工设备表</w:t>
      </w:r>
    </w:p>
    <w:p w14:paraId="7218C53D">
      <w:pPr>
        <w:tabs>
          <w:tab w:val="left" w:pos="720"/>
        </w:tabs>
        <w:autoSpaceDE w:val="0"/>
        <w:autoSpaceDN w:val="0"/>
        <w:spacing w:line="440" w:lineRule="exact"/>
        <w:ind w:firstLine="864" w:firstLineChars="360"/>
        <w:rPr>
          <w:rFonts w:hint="eastAsia" w:ascii="仿宋" w:hAnsi="仿宋" w:eastAsia="仿宋" w:cs="仿宋"/>
          <w:sz w:val="24"/>
        </w:rPr>
      </w:pPr>
      <w:r>
        <w:rPr>
          <w:rFonts w:hint="eastAsia" w:ascii="仿宋" w:hAnsi="仿宋" w:eastAsia="仿宋" w:cs="仿宋"/>
          <w:sz w:val="24"/>
        </w:rPr>
        <w:t>附表二  拟配备的试验和检测仪器设备表</w:t>
      </w:r>
    </w:p>
    <w:p w14:paraId="3B53B54A">
      <w:pPr>
        <w:tabs>
          <w:tab w:val="left" w:pos="720"/>
        </w:tabs>
        <w:autoSpaceDE w:val="0"/>
        <w:autoSpaceDN w:val="0"/>
        <w:spacing w:line="440" w:lineRule="exact"/>
        <w:ind w:firstLine="864" w:firstLineChars="360"/>
        <w:rPr>
          <w:rFonts w:hint="eastAsia" w:ascii="仿宋" w:hAnsi="仿宋" w:eastAsia="仿宋" w:cs="仿宋"/>
          <w:sz w:val="24"/>
        </w:rPr>
      </w:pPr>
      <w:r>
        <w:rPr>
          <w:rFonts w:hint="eastAsia" w:ascii="仿宋" w:hAnsi="仿宋" w:eastAsia="仿宋" w:cs="仿宋"/>
          <w:sz w:val="24"/>
        </w:rPr>
        <w:t>附表三  项目管理班子配备情况表</w:t>
      </w:r>
    </w:p>
    <w:p w14:paraId="155EA2BD">
      <w:pPr>
        <w:tabs>
          <w:tab w:val="left" w:pos="720"/>
        </w:tabs>
        <w:autoSpaceDE w:val="0"/>
        <w:autoSpaceDN w:val="0"/>
        <w:spacing w:line="440" w:lineRule="exact"/>
        <w:ind w:firstLine="864" w:firstLineChars="360"/>
        <w:rPr>
          <w:rFonts w:hint="eastAsia" w:ascii="仿宋" w:hAnsi="仿宋" w:eastAsia="仿宋" w:cs="仿宋"/>
          <w:sz w:val="24"/>
        </w:rPr>
      </w:pPr>
      <w:r>
        <w:rPr>
          <w:rFonts w:hint="eastAsia" w:ascii="仿宋" w:hAnsi="仿宋" w:eastAsia="仿宋" w:cs="仿宋"/>
          <w:sz w:val="24"/>
        </w:rPr>
        <w:t>附表四、项目经理简历表</w:t>
      </w:r>
    </w:p>
    <w:p w14:paraId="6A95F1BE">
      <w:pPr>
        <w:tabs>
          <w:tab w:val="left" w:pos="720"/>
        </w:tabs>
        <w:autoSpaceDE w:val="0"/>
        <w:autoSpaceDN w:val="0"/>
        <w:spacing w:line="440" w:lineRule="exact"/>
        <w:ind w:firstLine="864" w:firstLineChars="360"/>
        <w:rPr>
          <w:rFonts w:hint="eastAsia" w:ascii="仿宋" w:hAnsi="仿宋" w:eastAsia="仿宋" w:cs="仿宋"/>
          <w:sz w:val="24"/>
        </w:rPr>
      </w:pPr>
      <w:r>
        <w:rPr>
          <w:rFonts w:hint="eastAsia" w:ascii="仿宋" w:hAnsi="仿宋" w:eastAsia="仿宋" w:cs="仿宋"/>
          <w:sz w:val="24"/>
        </w:rPr>
        <w:t>附表五、技术负责人简历表</w:t>
      </w:r>
    </w:p>
    <w:p w14:paraId="1567F1FF">
      <w:pPr>
        <w:tabs>
          <w:tab w:val="left" w:pos="720"/>
        </w:tabs>
        <w:autoSpaceDE w:val="0"/>
        <w:autoSpaceDN w:val="0"/>
        <w:spacing w:line="440" w:lineRule="exact"/>
        <w:ind w:firstLine="864" w:firstLineChars="360"/>
        <w:rPr>
          <w:rFonts w:hint="eastAsia" w:ascii="仿宋" w:hAnsi="仿宋" w:eastAsia="仿宋" w:cs="仿宋"/>
          <w:sz w:val="24"/>
        </w:rPr>
      </w:pPr>
      <w:r>
        <w:rPr>
          <w:rFonts w:hint="eastAsia" w:ascii="仿宋" w:hAnsi="仿宋" w:eastAsia="仿宋" w:cs="仿宋"/>
          <w:sz w:val="24"/>
        </w:rPr>
        <w:t>附表六：计划开、竣工日期和施工进度网络图</w:t>
      </w:r>
    </w:p>
    <w:p w14:paraId="4FBB93A9">
      <w:pPr>
        <w:tabs>
          <w:tab w:val="left" w:pos="720"/>
        </w:tabs>
        <w:autoSpaceDE w:val="0"/>
        <w:autoSpaceDN w:val="0"/>
        <w:spacing w:line="440" w:lineRule="exact"/>
        <w:jc w:val="left"/>
        <w:rPr>
          <w:rFonts w:eastAsia="仿宋"/>
          <w:sz w:val="22"/>
          <w:szCs w:val="22"/>
        </w:rPr>
      </w:pPr>
      <w:bookmarkStart w:id="116" w:name="_Toc152045797"/>
      <w:bookmarkStart w:id="117" w:name="_Toc144974865"/>
      <w:bookmarkStart w:id="118" w:name="_Toc246392155"/>
      <w:bookmarkStart w:id="119" w:name="_Toc179632817"/>
      <w:bookmarkStart w:id="120" w:name="_Toc152042586"/>
      <w:r>
        <w:rPr>
          <w:rFonts w:eastAsia="仿宋"/>
          <w:b/>
          <w:bCs/>
          <w:sz w:val="22"/>
          <w:szCs w:val="22"/>
        </w:rPr>
        <w:t>附表一：拟投入的主要施工设备表</w:t>
      </w:r>
      <w:bookmarkEnd w:id="116"/>
      <w:bookmarkEnd w:id="117"/>
      <w:bookmarkEnd w:id="118"/>
      <w:bookmarkEnd w:id="119"/>
      <w:bookmarkEnd w:id="120"/>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14:paraId="1CF6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noWrap/>
            <w:vAlign w:val="center"/>
          </w:tcPr>
          <w:p w14:paraId="6A1C93EE">
            <w:pPr>
              <w:autoSpaceDE w:val="0"/>
              <w:autoSpaceDN w:val="0"/>
              <w:spacing w:line="440" w:lineRule="exact"/>
              <w:rPr>
                <w:rFonts w:eastAsia="仿宋"/>
                <w:sz w:val="22"/>
                <w:szCs w:val="22"/>
              </w:rPr>
            </w:pPr>
            <w:r>
              <w:rPr>
                <w:rFonts w:eastAsia="仿宋"/>
                <w:sz w:val="22"/>
                <w:szCs w:val="22"/>
              </w:rPr>
              <w:t>序号</w:t>
            </w:r>
          </w:p>
        </w:tc>
        <w:tc>
          <w:tcPr>
            <w:tcW w:w="1107" w:type="dxa"/>
            <w:noWrap/>
            <w:vAlign w:val="center"/>
          </w:tcPr>
          <w:p w14:paraId="656413FC">
            <w:pPr>
              <w:autoSpaceDE w:val="0"/>
              <w:autoSpaceDN w:val="0"/>
              <w:spacing w:line="440" w:lineRule="exact"/>
              <w:jc w:val="center"/>
              <w:rPr>
                <w:rFonts w:eastAsia="仿宋"/>
                <w:sz w:val="22"/>
                <w:szCs w:val="22"/>
              </w:rPr>
            </w:pPr>
            <w:r>
              <w:rPr>
                <w:rFonts w:eastAsia="仿宋"/>
                <w:sz w:val="22"/>
                <w:szCs w:val="22"/>
              </w:rPr>
              <w:t>设备名称</w:t>
            </w:r>
          </w:p>
        </w:tc>
        <w:tc>
          <w:tcPr>
            <w:tcW w:w="776" w:type="dxa"/>
            <w:noWrap/>
            <w:vAlign w:val="center"/>
          </w:tcPr>
          <w:p w14:paraId="4B5F946C">
            <w:pPr>
              <w:autoSpaceDE w:val="0"/>
              <w:autoSpaceDN w:val="0"/>
              <w:spacing w:line="440" w:lineRule="exact"/>
              <w:jc w:val="center"/>
              <w:rPr>
                <w:rFonts w:eastAsia="仿宋"/>
                <w:sz w:val="22"/>
                <w:szCs w:val="22"/>
              </w:rPr>
            </w:pPr>
            <w:r>
              <w:rPr>
                <w:rFonts w:eastAsia="仿宋"/>
                <w:sz w:val="22"/>
                <w:szCs w:val="22"/>
              </w:rPr>
              <w:t>型号</w:t>
            </w:r>
          </w:p>
          <w:p w14:paraId="2CCDBFF6">
            <w:pPr>
              <w:autoSpaceDE w:val="0"/>
              <w:autoSpaceDN w:val="0"/>
              <w:spacing w:line="440" w:lineRule="exact"/>
              <w:jc w:val="center"/>
              <w:rPr>
                <w:rFonts w:eastAsia="仿宋"/>
                <w:sz w:val="22"/>
                <w:szCs w:val="22"/>
              </w:rPr>
            </w:pPr>
            <w:r>
              <w:rPr>
                <w:rFonts w:eastAsia="仿宋"/>
                <w:sz w:val="22"/>
                <w:szCs w:val="22"/>
              </w:rPr>
              <w:t>规格</w:t>
            </w:r>
          </w:p>
        </w:tc>
        <w:tc>
          <w:tcPr>
            <w:tcW w:w="802" w:type="dxa"/>
            <w:noWrap/>
            <w:vAlign w:val="center"/>
          </w:tcPr>
          <w:p w14:paraId="6C4A1A34">
            <w:pPr>
              <w:autoSpaceDE w:val="0"/>
              <w:autoSpaceDN w:val="0"/>
              <w:spacing w:line="440" w:lineRule="exact"/>
              <w:jc w:val="center"/>
              <w:rPr>
                <w:rFonts w:eastAsia="仿宋"/>
                <w:sz w:val="22"/>
                <w:szCs w:val="22"/>
              </w:rPr>
            </w:pPr>
            <w:r>
              <w:rPr>
                <w:rFonts w:eastAsia="仿宋"/>
                <w:sz w:val="22"/>
                <w:szCs w:val="22"/>
              </w:rPr>
              <w:t>数量</w:t>
            </w:r>
          </w:p>
        </w:tc>
        <w:tc>
          <w:tcPr>
            <w:tcW w:w="684" w:type="dxa"/>
            <w:noWrap/>
            <w:vAlign w:val="center"/>
          </w:tcPr>
          <w:p w14:paraId="71DC34EC">
            <w:pPr>
              <w:autoSpaceDE w:val="0"/>
              <w:autoSpaceDN w:val="0"/>
              <w:spacing w:line="440" w:lineRule="exact"/>
              <w:jc w:val="center"/>
              <w:rPr>
                <w:rFonts w:eastAsia="仿宋"/>
                <w:sz w:val="22"/>
                <w:szCs w:val="22"/>
              </w:rPr>
            </w:pPr>
            <w:r>
              <w:rPr>
                <w:rFonts w:eastAsia="仿宋"/>
                <w:sz w:val="22"/>
                <w:szCs w:val="22"/>
              </w:rPr>
              <w:t>国别</w:t>
            </w:r>
          </w:p>
          <w:p w14:paraId="27E741A4">
            <w:pPr>
              <w:autoSpaceDE w:val="0"/>
              <w:autoSpaceDN w:val="0"/>
              <w:spacing w:line="440" w:lineRule="exact"/>
              <w:jc w:val="center"/>
              <w:rPr>
                <w:rFonts w:eastAsia="仿宋"/>
                <w:sz w:val="22"/>
                <w:szCs w:val="22"/>
              </w:rPr>
            </w:pPr>
            <w:r>
              <w:rPr>
                <w:rFonts w:eastAsia="仿宋"/>
                <w:sz w:val="22"/>
                <w:szCs w:val="22"/>
              </w:rPr>
              <w:t>产地</w:t>
            </w:r>
          </w:p>
        </w:tc>
        <w:tc>
          <w:tcPr>
            <w:tcW w:w="754" w:type="dxa"/>
            <w:noWrap/>
            <w:vAlign w:val="center"/>
          </w:tcPr>
          <w:p w14:paraId="6DCDE673">
            <w:pPr>
              <w:autoSpaceDE w:val="0"/>
              <w:autoSpaceDN w:val="0"/>
              <w:spacing w:line="440" w:lineRule="exact"/>
              <w:jc w:val="center"/>
              <w:rPr>
                <w:rFonts w:eastAsia="仿宋"/>
                <w:sz w:val="22"/>
                <w:szCs w:val="22"/>
              </w:rPr>
            </w:pPr>
            <w:r>
              <w:rPr>
                <w:rFonts w:eastAsia="仿宋"/>
                <w:sz w:val="22"/>
                <w:szCs w:val="22"/>
              </w:rPr>
              <w:t>制造</w:t>
            </w:r>
          </w:p>
          <w:p w14:paraId="0F0EBA9F">
            <w:pPr>
              <w:autoSpaceDE w:val="0"/>
              <w:autoSpaceDN w:val="0"/>
              <w:spacing w:line="440" w:lineRule="exact"/>
              <w:jc w:val="center"/>
              <w:rPr>
                <w:rFonts w:eastAsia="仿宋"/>
                <w:sz w:val="22"/>
                <w:szCs w:val="22"/>
              </w:rPr>
            </w:pPr>
            <w:r>
              <w:rPr>
                <w:rFonts w:eastAsia="仿宋"/>
                <w:sz w:val="22"/>
                <w:szCs w:val="22"/>
              </w:rPr>
              <w:t>年份</w:t>
            </w:r>
          </w:p>
        </w:tc>
        <w:tc>
          <w:tcPr>
            <w:tcW w:w="1098" w:type="dxa"/>
            <w:noWrap/>
            <w:vAlign w:val="center"/>
          </w:tcPr>
          <w:p w14:paraId="431A2E84">
            <w:pPr>
              <w:autoSpaceDE w:val="0"/>
              <w:autoSpaceDN w:val="0"/>
              <w:spacing w:line="440" w:lineRule="exact"/>
              <w:jc w:val="center"/>
              <w:rPr>
                <w:rFonts w:eastAsia="仿宋"/>
                <w:sz w:val="22"/>
                <w:szCs w:val="22"/>
              </w:rPr>
            </w:pPr>
            <w:r>
              <w:rPr>
                <w:rFonts w:eastAsia="仿宋"/>
                <w:sz w:val="22"/>
                <w:szCs w:val="22"/>
              </w:rPr>
              <w:t>额定功率（KW）</w:t>
            </w:r>
          </w:p>
        </w:tc>
        <w:tc>
          <w:tcPr>
            <w:tcW w:w="892" w:type="dxa"/>
            <w:noWrap/>
            <w:vAlign w:val="center"/>
          </w:tcPr>
          <w:p w14:paraId="5E77661A">
            <w:pPr>
              <w:autoSpaceDE w:val="0"/>
              <w:autoSpaceDN w:val="0"/>
              <w:spacing w:line="440" w:lineRule="exact"/>
              <w:jc w:val="center"/>
              <w:rPr>
                <w:rFonts w:eastAsia="仿宋"/>
                <w:sz w:val="22"/>
                <w:szCs w:val="22"/>
              </w:rPr>
            </w:pPr>
            <w:r>
              <w:rPr>
                <w:rFonts w:eastAsia="仿宋"/>
                <w:sz w:val="22"/>
                <w:szCs w:val="22"/>
              </w:rPr>
              <w:t>生产</w:t>
            </w:r>
          </w:p>
          <w:p w14:paraId="2594DFB8">
            <w:pPr>
              <w:autoSpaceDE w:val="0"/>
              <w:autoSpaceDN w:val="0"/>
              <w:spacing w:line="440" w:lineRule="exact"/>
              <w:jc w:val="center"/>
              <w:rPr>
                <w:rFonts w:eastAsia="仿宋"/>
                <w:sz w:val="22"/>
                <w:szCs w:val="22"/>
              </w:rPr>
            </w:pPr>
            <w:r>
              <w:rPr>
                <w:rFonts w:eastAsia="仿宋"/>
                <w:sz w:val="22"/>
                <w:szCs w:val="22"/>
              </w:rPr>
              <w:t>能力</w:t>
            </w:r>
          </w:p>
        </w:tc>
        <w:tc>
          <w:tcPr>
            <w:tcW w:w="1035" w:type="dxa"/>
            <w:noWrap/>
            <w:vAlign w:val="center"/>
          </w:tcPr>
          <w:p w14:paraId="5B575B60">
            <w:pPr>
              <w:autoSpaceDE w:val="0"/>
              <w:autoSpaceDN w:val="0"/>
              <w:spacing w:line="440" w:lineRule="exact"/>
              <w:jc w:val="center"/>
              <w:rPr>
                <w:rFonts w:eastAsia="仿宋"/>
                <w:sz w:val="22"/>
                <w:szCs w:val="22"/>
              </w:rPr>
            </w:pPr>
            <w:r>
              <w:rPr>
                <w:rFonts w:eastAsia="仿宋"/>
                <w:sz w:val="22"/>
                <w:szCs w:val="22"/>
              </w:rPr>
              <w:t>用于施工部位</w:t>
            </w:r>
          </w:p>
        </w:tc>
        <w:tc>
          <w:tcPr>
            <w:tcW w:w="699" w:type="dxa"/>
            <w:noWrap/>
            <w:vAlign w:val="center"/>
          </w:tcPr>
          <w:p w14:paraId="4159614B">
            <w:pPr>
              <w:autoSpaceDE w:val="0"/>
              <w:autoSpaceDN w:val="0"/>
              <w:spacing w:line="440" w:lineRule="exact"/>
              <w:jc w:val="center"/>
              <w:rPr>
                <w:rFonts w:eastAsia="仿宋"/>
                <w:sz w:val="22"/>
                <w:szCs w:val="22"/>
              </w:rPr>
            </w:pPr>
            <w:r>
              <w:rPr>
                <w:rFonts w:eastAsia="仿宋"/>
                <w:sz w:val="22"/>
                <w:szCs w:val="22"/>
              </w:rPr>
              <w:t>备注</w:t>
            </w:r>
          </w:p>
        </w:tc>
      </w:tr>
      <w:tr w14:paraId="4D81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14:paraId="31973B12">
            <w:pPr>
              <w:autoSpaceDE w:val="0"/>
              <w:autoSpaceDN w:val="0"/>
              <w:spacing w:line="440" w:lineRule="exact"/>
              <w:jc w:val="center"/>
              <w:rPr>
                <w:rFonts w:eastAsia="仿宋"/>
                <w:sz w:val="22"/>
                <w:szCs w:val="22"/>
              </w:rPr>
            </w:pPr>
          </w:p>
        </w:tc>
        <w:tc>
          <w:tcPr>
            <w:tcW w:w="1107" w:type="dxa"/>
            <w:noWrap/>
            <w:vAlign w:val="center"/>
          </w:tcPr>
          <w:p w14:paraId="11C1E893">
            <w:pPr>
              <w:autoSpaceDE w:val="0"/>
              <w:autoSpaceDN w:val="0"/>
              <w:spacing w:line="440" w:lineRule="exact"/>
              <w:jc w:val="center"/>
              <w:rPr>
                <w:rFonts w:eastAsia="仿宋"/>
                <w:sz w:val="22"/>
                <w:szCs w:val="22"/>
              </w:rPr>
            </w:pPr>
          </w:p>
        </w:tc>
        <w:tc>
          <w:tcPr>
            <w:tcW w:w="776" w:type="dxa"/>
            <w:noWrap/>
            <w:vAlign w:val="center"/>
          </w:tcPr>
          <w:p w14:paraId="57040A5F">
            <w:pPr>
              <w:autoSpaceDE w:val="0"/>
              <w:autoSpaceDN w:val="0"/>
              <w:spacing w:line="440" w:lineRule="exact"/>
              <w:jc w:val="center"/>
              <w:rPr>
                <w:rFonts w:eastAsia="仿宋"/>
                <w:sz w:val="22"/>
                <w:szCs w:val="22"/>
              </w:rPr>
            </w:pPr>
          </w:p>
        </w:tc>
        <w:tc>
          <w:tcPr>
            <w:tcW w:w="802" w:type="dxa"/>
            <w:noWrap/>
            <w:vAlign w:val="center"/>
          </w:tcPr>
          <w:p w14:paraId="510EB67A">
            <w:pPr>
              <w:autoSpaceDE w:val="0"/>
              <w:autoSpaceDN w:val="0"/>
              <w:spacing w:line="440" w:lineRule="exact"/>
              <w:jc w:val="center"/>
              <w:rPr>
                <w:rFonts w:eastAsia="仿宋"/>
                <w:sz w:val="22"/>
                <w:szCs w:val="22"/>
              </w:rPr>
            </w:pPr>
          </w:p>
        </w:tc>
        <w:tc>
          <w:tcPr>
            <w:tcW w:w="684" w:type="dxa"/>
            <w:noWrap/>
            <w:vAlign w:val="center"/>
          </w:tcPr>
          <w:p w14:paraId="3C7B499A">
            <w:pPr>
              <w:autoSpaceDE w:val="0"/>
              <w:autoSpaceDN w:val="0"/>
              <w:spacing w:line="440" w:lineRule="exact"/>
              <w:jc w:val="center"/>
              <w:rPr>
                <w:rFonts w:eastAsia="仿宋"/>
                <w:sz w:val="22"/>
                <w:szCs w:val="22"/>
              </w:rPr>
            </w:pPr>
          </w:p>
        </w:tc>
        <w:tc>
          <w:tcPr>
            <w:tcW w:w="754" w:type="dxa"/>
            <w:noWrap/>
            <w:vAlign w:val="center"/>
          </w:tcPr>
          <w:p w14:paraId="60C36645">
            <w:pPr>
              <w:autoSpaceDE w:val="0"/>
              <w:autoSpaceDN w:val="0"/>
              <w:spacing w:line="440" w:lineRule="exact"/>
              <w:jc w:val="center"/>
              <w:rPr>
                <w:rFonts w:eastAsia="仿宋"/>
                <w:sz w:val="22"/>
                <w:szCs w:val="22"/>
              </w:rPr>
            </w:pPr>
          </w:p>
        </w:tc>
        <w:tc>
          <w:tcPr>
            <w:tcW w:w="1098" w:type="dxa"/>
            <w:noWrap/>
            <w:vAlign w:val="center"/>
          </w:tcPr>
          <w:p w14:paraId="4337504A">
            <w:pPr>
              <w:autoSpaceDE w:val="0"/>
              <w:autoSpaceDN w:val="0"/>
              <w:spacing w:line="440" w:lineRule="exact"/>
              <w:jc w:val="center"/>
              <w:rPr>
                <w:rFonts w:eastAsia="仿宋"/>
                <w:sz w:val="22"/>
                <w:szCs w:val="22"/>
              </w:rPr>
            </w:pPr>
          </w:p>
        </w:tc>
        <w:tc>
          <w:tcPr>
            <w:tcW w:w="892" w:type="dxa"/>
            <w:noWrap/>
            <w:vAlign w:val="center"/>
          </w:tcPr>
          <w:p w14:paraId="3C0FFDF3">
            <w:pPr>
              <w:autoSpaceDE w:val="0"/>
              <w:autoSpaceDN w:val="0"/>
              <w:spacing w:line="440" w:lineRule="exact"/>
              <w:jc w:val="center"/>
              <w:rPr>
                <w:rFonts w:eastAsia="仿宋"/>
                <w:sz w:val="22"/>
                <w:szCs w:val="22"/>
              </w:rPr>
            </w:pPr>
          </w:p>
        </w:tc>
        <w:tc>
          <w:tcPr>
            <w:tcW w:w="1035" w:type="dxa"/>
            <w:noWrap/>
            <w:vAlign w:val="center"/>
          </w:tcPr>
          <w:p w14:paraId="4C8E2FAA">
            <w:pPr>
              <w:autoSpaceDE w:val="0"/>
              <w:autoSpaceDN w:val="0"/>
              <w:spacing w:line="440" w:lineRule="exact"/>
              <w:jc w:val="center"/>
              <w:rPr>
                <w:rFonts w:eastAsia="仿宋"/>
                <w:sz w:val="22"/>
                <w:szCs w:val="22"/>
              </w:rPr>
            </w:pPr>
          </w:p>
        </w:tc>
        <w:tc>
          <w:tcPr>
            <w:tcW w:w="699" w:type="dxa"/>
            <w:noWrap/>
            <w:vAlign w:val="center"/>
          </w:tcPr>
          <w:p w14:paraId="05C7652D">
            <w:pPr>
              <w:autoSpaceDE w:val="0"/>
              <w:autoSpaceDN w:val="0"/>
              <w:spacing w:line="440" w:lineRule="exact"/>
              <w:jc w:val="center"/>
              <w:rPr>
                <w:rFonts w:eastAsia="仿宋"/>
                <w:sz w:val="22"/>
                <w:szCs w:val="22"/>
              </w:rPr>
            </w:pPr>
          </w:p>
        </w:tc>
      </w:tr>
      <w:tr w14:paraId="7C80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14:paraId="70103414">
            <w:pPr>
              <w:autoSpaceDE w:val="0"/>
              <w:autoSpaceDN w:val="0"/>
              <w:spacing w:line="440" w:lineRule="exact"/>
              <w:jc w:val="center"/>
              <w:rPr>
                <w:rFonts w:eastAsia="仿宋"/>
                <w:sz w:val="22"/>
                <w:szCs w:val="22"/>
              </w:rPr>
            </w:pPr>
          </w:p>
        </w:tc>
        <w:tc>
          <w:tcPr>
            <w:tcW w:w="1107" w:type="dxa"/>
            <w:noWrap/>
            <w:vAlign w:val="center"/>
          </w:tcPr>
          <w:p w14:paraId="38AAD0BD">
            <w:pPr>
              <w:autoSpaceDE w:val="0"/>
              <w:autoSpaceDN w:val="0"/>
              <w:spacing w:line="440" w:lineRule="exact"/>
              <w:jc w:val="center"/>
              <w:rPr>
                <w:rFonts w:eastAsia="仿宋"/>
                <w:sz w:val="22"/>
                <w:szCs w:val="22"/>
              </w:rPr>
            </w:pPr>
          </w:p>
        </w:tc>
        <w:tc>
          <w:tcPr>
            <w:tcW w:w="776" w:type="dxa"/>
            <w:noWrap/>
            <w:vAlign w:val="center"/>
          </w:tcPr>
          <w:p w14:paraId="0C16A4AD">
            <w:pPr>
              <w:autoSpaceDE w:val="0"/>
              <w:autoSpaceDN w:val="0"/>
              <w:spacing w:line="440" w:lineRule="exact"/>
              <w:jc w:val="center"/>
              <w:rPr>
                <w:rFonts w:eastAsia="仿宋"/>
                <w:sz w:val="22"/>
                <w:szCs w:val="22"/>
              </w:rPr>
            </w:pPr>
          </w:p>
        </w:tc>
        <w:tc>
          <w:tcPr>
            <w:tcW w:w="802" w:type="dxa"/>
            <w:noWrap/>
            <w:vAlign w:val="center"/>
          </w:tcPr>
          <w:p w14:paraId="5BB8354C">
            <w:pPr>
              <w:autoSpaceDE w:val="0"/>
              <w:autoSpaceDN w:val="0"/>
              <w:spacing w:line="440" w:lineRule="exact"/>
              <w:jc w:val="center"/>
              <w:rPr>
                <w:rFonts w:eastAsia="仿宋"/>
                <w:sz w:val="22"/>
                <w:szCs w:val="22"/>
              </w:rPr>
            </w:pPr>
          </w:p>
        </w:tc>
        <w:tc>
          <w:tcPr>
            <w:tcW w:w="684" w:type="dxa"/>
            <w:noWrap/>
            <w:vAlign w:val="center"/>
          </w:tcPr>
          <w:p w14:paraId="44E18425">
            <w:pPr>
              <w:autoSpaceDE w:val="0"/>
              <w:autoSpaceDN w:val="0"/>
              <w:spacing w:line="440" w:lineRule="exact"/>
              <w:jc w:val="center"/>
              <w:rPr>
                <w:rFonts w:eastAsia="仿宋"/>
                <w:sz w:val="22"/>
                <w:szCs w:val="22"/>
              </w:rPr>
            </w:pPr>
          </w:p>
        </w:tc>
        <w:tc>
          <w:tcPr>
            <w:tcW w:w="754" w:type="dxa"/>
            <w:noWrap/>
            <w:vAlign w:val="center"/>
          </w:tcPr>
          <w:p w14:paraId="1A97499F">
            <w:pPr>
              <w:autoSpaceDE w:val="0"/>
              <w:autoSpaceDN w:val="0"/>
              <w:spacing w:line="440" w:lineRule="exact"/>
              <w:jc w:val="center"/>
              <w:rPr>
                <w:rFonts w:eastAsia="仿宋"/>
                <w:sz w:val="22"/>
                <w:szCs w:val="22"/>
              </w:rPr>
            </w:pPr>
          </w:p>
        </w:tc>
        <w:tc>
          <w:tcPr>
            <w:tcW w:w="1098" w:type="dxa"/>
            <w:noWrap/>
            <w:vAlign w:val="center"/>
          </w:tcPr>
          <w:p w14:paraId="38F02BDC">
            <w:pPr>
              <w:autoSpaceDE w:val="0"/>
              <w:autoSpaceDN w:val="0"/>
              <w:spacing w:line="440" w:lineRule="exact"/>
              <w:jc w:val="center"/>
              <w:rPr>
                <w:rFonts w:eastAsia="仿宋"/>
                <w:sz w:val="22"/>
                <w:szCs w:val="22"/>
              </w:rPr>
            </w:pPr>
          </w:p>
        </w:tc>
        <w:tc>
          <w:tcPr>
            <w:tcW w:w="892" w:type="dxa"/>
            <w:noWrap/>
            <w:vAlign w:val="center"/>
          </w:tcPr>
          <w:p w14:paraId="70CF5B41">
            <w:pPr>
              <w:autoSpaceDE w:val="0"/>
              <w:autoSpaceDN w:val="0"/>
              <w:spacing w:line="440" w:lineRule="exact"/>
              <w:jc w:val="center"/>
              <w:rPr>
                <w:rFonts w:eastAsia="仿宋"/>
                <w:sz w:val="22"/>
                <w:szCs w:val="22"/>
              </w:rPr>
            </w:pPr>
          </w:p>
        </w:tc>
        <w:tc>
          <w:tcPr>
            <w:tcW w:w="1035" w:type="dxa"/>
            <w:noWrap/>
            <w:vAlign w:val="center"/>
          </w:tcPr>
          <w:p w14:paraId="5DECBFA0">
            <w:pPr>
              <w:autoSpaceDE w:val="0"/>
              <w:autoSpaceDN w:val="0"/>
              <w:spacing w:line="440" w:lineRule="exact"/>
              <w:jc w:val="center"/>
              <w:rPr>
                <w:rFonts w:eastAsia="仿宋"/>
                <w:sz w:val="22"/>
                <w:szCs w:val="22"/>
              </w:rPr>
            </w:pPr>
          </w:p>
        </w:tc>
        <w:tc>
          <w:tcPr>
            <w:tcW w:w="699" w:type="dxa"/>
            <w:noWrap/>
            <w:vAlign w:val="center"/>
          </w:tcPr>
          <w:p w14:paraId="5E80566F">
            <w:pPr>
              <w:autoSpaceDE w:val="0"/>
              <w:autoSpaceDN w:val="0"/>
              <w:spacing w:line="440" w:lineRule="exact"/>
              <w:jc w:val="center"/>
              <w:rPr>
                <w:rFonts w:eastAsia="仿宋"/>
                <w:sz w:val="22"/>
                <w:szCs w:val="22"/>
              </w:rPr>
            </w:pPr>
          </w:p>
        </w:tc>
      </w:tr>
      <w:tr w14:paraId="0F72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noWrap/>
          </w:tcPr>
          <w:p w14:paraId="71E2C9E2">
            <w:pPr>
              <w:autoSpaceDE w:val="0"/>
              <w:autoSpaceDN w:val="0"/>
              <w:spacing w:line="440" w:lineRule="exact"/>
              <w:jc w:val="center"/>
              <w:rPr>
                <w:rFonts w:eastAsia="仿宋"/>
                <w:sz w:val="22"/>
                <w:szCs w:val="22"/>
              </w:rPr>
            </w:pPr>
          </w:p>
        </w:tc>
        <w:tc>
          <w:tcPr>
            <w:tcW w:w="1107" w:type="dxa"/>
            <w:noWrap/>
          </w:tcPr>
          <w:p w14:paraId="2467DBAA">
            <w:pPr>
              <w:autoSpaceDE w:val="0"/>
              <w:autoSpaceDN w:val="0"/>
              <w:spacing w:line="440" w:lineRule="exact"/>
              <w:jc w:val="center"/>
              <w:rPr>
                <w:rFonts w:eastAsia="仿宋"/>
                <w:sz w:val="22"/>
                <w:szCs w:val="22"/>
              </w:rPr>
            </w:pPr>
          </w:p>
        </w:tc>
        <w:tc>
          <w:tcPr>
            <w:tcW w:w="776" w:type="dxa"/>
            <w:noWrap/>
          </w:tcPr>
          <w:p w14:paraId="3F62C646">
            <w:pPr>
              <w:autoSpaceDE w:val="0"/>
              <w:autoSpaceDN w:val="0"/>
              <w:spacing w:line="440" w:lineRule="exact"/>
              <w:jc w:val="center"/>
              <w:rPr>
                <w:rFonts w:eastAsia="仿宋"/>
                <w:sz w:val="22"/>
                <w:szCs w:val="22"/>
              </w:rPr>
            </w:pPr>
          </w:p>
        </w:tc>
        <w:tc>
          <w:tcPr>
            <w:tcW w:w="802" w:type="dxa"/>
            <w:noWrap/>
          </w:tcPr>
          <w:p w14:paraId="4B5D4A24">
            <w:pPr>
              <w:autoSpaceDE w:val="0"/>
              <w:autoSpaceDN w:val="0"/>
              <w:spacing w:line="440" w:lineRule="exact"/>
              <w:jc w:val="center"/>
              <w:rPr>
                <w:rFonts w:eastAsia="仿宋"/>
                <w:sz w:val="22"/>
                <w:szCs w:val="22"/>
              </w:rPr>
            </w:pPr>
          </w:p>
        </w:tc>
        <w:tc>
          <w:tcPr>
            <w:tcW w:w="684" w:type="dxa"/>
            <w:noWrap/>
          </w:tcPr>
          <w:p w14:paraId="54F21155">
            <w:pPr>
              <w:autoSpaceDE w:val="0"/>
              <w:autoSpaceDN w:val="0"/>
              <w:spacing w:line="440" w:lineRule="exact"/>
              <w:jc w:val="center"/>
              <w:rPr>
                <w:rFonts w:eastAsia="仿宋"/>
                <w:sz w:val="22"/>
                <w:szCs w:val="22"/>
              </w:rPr>
            </w:pPr>
          </w:p>
        </w:tc>
        <w:tc>
          <w:tcPr>
            <w:tcW w:w="754" w:type="dxa"/>
            <w:noWrap/>
          </w:tcPr>
          <w:p w14:paraId="658FC3F1">
            <w:pPr>
              <w:autoSpaceDE w:val="0"/>
              <w:autoSpaceDN w:val="0"/>
              <w:spacing w:line="440" w:lineRule="exact"/>
              <w:jc w:val="center"/>
              <w:rPr>
                <w:rFonts w:eastAsia="仿宋"/>
                <w:sz w:val="22"/>
                <w:szCs w:val="22"/>
              </w:rPr>
            </w:pPr>
          </w:p>
        </w:tc>
        <w:tc>
          <w:tcPr>
            <w:tcW w:w="1098" w:type="dxa"/>
            <w:noWrap/>
          </w:tcPr>
          <w:p w14:paraId="575CDB20">
            <w:pPr>
              <w:autoSpaceDE w:val="0"/>
              <w:autoSpaceDN w:val="0"/>
              <w:spacing w:line="440" w:lineRule="exact"/>
              <w:jc w:val="center"/>
              <w:rPr>
                <w:rFonts w:eastAsia="仿宋"/>
                <w:sz w:val="22"/>
                <w:szCs w:val="22"/>
              </w:rPr>
            </w:pPr>
          </w:p>
        </w:tc>
        <w:tc>
          <w:tcPr>
            <w:tcW w:w="892" w:type="dxa"/>
            <w:noWrap/>
          </w:tcPr>
          <w:p w14:paraId="204F4E04">
            <w:pPr>
              <w:autoSpaceDE w:val="0"/>
              <w:autoSpaceDN w:val="0"/>
              <w:spacing w:line="440" w:lineRule="exact"/>
              <w:jc w:val="center"/>
              <w:rPr>
                <w:rFonts w:eastAsia="仿宋"/>
                <w:sz w:val="22"/>
                <w:szCs w:val="22"/>
              </w:rPr>
            </w:pPr>
          </w:p>
        </w:tc>
        <w:tc>
          <w:tcPr>
            <w:tcW w:w="1035" w:type="dxa"/>
            <w:noWrap/>
          </w:tcPr>
          <w:p w14:paraId="1D70BECE">
            <w:pPr>
              <w:autoSpaceDE w:val="0"/>
              <w:autoSpaceDN w:val="0"/>
              <w:spacing w:line="440" w:lineRule="exact"/>
              <w:jc w:val="center"/>
              <w:rPr>
                <w:rFonts w:eastAsia="仿宋"/>
                <w:sz w:val="22"/>
                <w:szCs w:val="22"/>
              </w:rPr>
            </w:pPr>
          </w:p>
        </w:tc>
        <w:tc>
          <w:tcPr>
            <w:tcW w:w="699" w:type="dxa"/>
            <w:noWrap/>
          </w:tcPr>
          <w:p w14:paraId="0954A607">
            <w:pPr>
              <w:autoSpaceDE w:val="0"/>
              <w:autoSpaceDN w:val="0"/>
              <w:spacing w:line="440" w:lineRule="exact"/>
              <w:jc w:val="center"/>
              <w:rPr>
                <w:rFonts w:eastAsia="仿宋"/>
                <w:sz w:val="22"/>
                <w:szCs w:val="22"/>
              </w:rPr>
            </w:pPr>
          </w:p>
        </w:tc>
      </w:tr>
    </w:tbl>
    <w:p w14:paraId="25B8E5AE">
      <w:pPr>
        <w:autoSpaceDE w:val="0"/>
        <w:autoSpaceDN w:val="0"/>
        <w:spacing w:line="440" w:lineRule="exact"/>
        <w:rPr>
          <w:rFonts w:eastAsia="仿宋"/>
          <w:sz w:val="22"/>
          <w:szCs w:val="22"/>
        </w:rPr>
      </w:pPr>
    </w:p>
    <w:p w14:paraId="41500A45">
      <w:pPr>
        <w:tabs>
          <w:tab w:val="left" w:pos="720"/>
        </w:tabs>
        <w:autoSpaceDE w:val="0"/>
        <w:autoSpaceDN w:val="0"/>
        <w:spacing w:line="440" w:lineRule="exact"/>
        <w:jc w:val="left"/>
        <w:rPr>
          <w:rFonts w:eastAsia="仿宋"/>
          <w:b/>
          <w:bCs/>
          <w:sz w:val="22"/>
          <w:szCs w:val="22"/>
        </w:rPr>
      </w:pPr>
      <w:bookmarkStart w:id="121" w:name="_Toc179632818"/>
      <w:bookmarkStart w:id="122" w:name="_Toc152042587"/>
      <w:bookmarkStart w:id="123" w:name="_Toc246392156"/>
      <w:bookmarkStart w:id="124" w:name="_Toc144974866"/>
      <w:bookmarkStart w:id="125" w:name="_Toc152045798"/>
      <w:r>
        <w:rPr>
          <w:rFonts w:eastAsia="仿宋"/>
          <w:b/>
          <w:bCs/>
          <w:sz w:val="22"/>
          <w:szCs w:val="22"/>
        </w:rPr>
        <w:t>附表二：拟配备的试验和检测仪器设备表</w:t>
      </w:r>
      <w:bookmarkEnd w:id="121"/>
      <w:bookmarkEnd w:id="122"/>
      <w:bookmarkEnd w:id="123"/>
      <w:bookmarkEnd w:id="124"/>
      <w:bookmarkEnd w:id="125"/>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14:paraId="14C7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noWrap/>
            <w:vAlign w:val="center"/>
          </w:tcPr>
          <w:p w14:paraId="36A6CC8A">
            <w:pPr>
              <w:autoSpaceDE w:val="0"/>
              <w:autoSpaceDN w:val="0"/>
              <w:spacing w:line="440" w:lineRule="exact"/>
              <w:rPr>
                <w:rFonts w:eastAsia="仿宋"/>
                <w:sz w:val="22"/>
                <w:szCs w:val="22"/>
              </w:rPr>
            </w:pPr>
            <w:r>
              <w:rPr>
                <w:rFonts w:eastAsia="仿宋"/>
                <w:sz w:val="22"/>
                <w:szCs w:val="22"/>
              </w:rPr>
              <w:t>序号</w:t>
            </w:r>
          </w:p>
        </w:tc>
        <w:tc>
          <w:tcPr>
            <w:tcW w:w="1177" w:type="dxa"/>
            <w:noWrap/>
            <w:vAlign w:val="center"/>
          </w:tcPr>
          <w:p w14:paraId="38018AF2">
            <w:pPr>
              <w:autoSpaceDE w:val="0"/>
              <w:autoSpaceDN w:val="0"/>
              <w:spacing w:line="440" w:lineRule="exact"/>
              <w:jc w:val="center"/>
              <w:rPr>
                <w:rFonts w:eastAsia="仿宋"/>
                <w:sz w:val="22"/>
                <w:szCs w:val="22"/>
              </w:rPr>
            </w:pPr>
            <w:r>
              <w:rPr>
                <w:rFonts w:eastAsia="仿宋"/>
                <w:sz w:val="22"/>
                <w:szCs w:val="22"/>
              </w:rPr>
              <w:t>仪器设备名称</w:t>
            </w:r>
          </w:p>
        </w:tc>
        <w:tc>
          <w:tcPr>
            <w:tcW w:w="822" w:type="dxa"/>
            <w:noWrap/>
            <w:vAlign w:val="center"/>
          </w:tcPr>
          <w:p w14:paraId="2E3C4453">
            <w:pPr>
              <w:autoSpaceDE w:val="0"/>
              <w:autoSpaceDN w:val="0"/>
              <w:spacing w:line="440" w:lineRule="exact"/>
              <w:jc w:val="center"/>
              <w:rPr>
                <w:rFonts w:eastAsia="仿宋"/>
                <w:sz w:val="22"/>
                <w:szCs w:val="22"/>
              </w:rPr>
            </w:pPr>
            <w:r>
              <w:rPr>
                <w:rFonts w:eastAsia="仿宋"/>
                <w:sz w:val="22"/>
                <w:szCs w:val="22"/>
              </w:rPr>
              <w:t>型号</w:t>
            </w:r>
          </w:p>
          <w:p w14:paraId="5915F8E5">
            <w:pPr>
              <w:autoSpaceDE w:val="0"/>
              <w:autoSpaceDN w:val="0"/>
              <w:spacing w:line="440" w:lineRule="exact"/>
              <w:jc w:val="center"/>
              <w:rPr>
                <w:rFonts w:eastAsia="仿宋"/>
                <w:sz w:val="22"/>
                <w:szCs w:val="22"/>
              </w:rPr>
            </w:pPr>
            <w:r>
              <w:rPr>
                <w:rFonts w:eastAsia="仿宋"/>
                <w:sz w:val="22"/>
                <w:szCs w:val="22"/>
              </w:rPr>
              <w:t>规格</w:t>
            </w:r>
          </w:p>
        </w:tc>
        <w:tc>
          <w:tcPr>
            <w:tcW w:w="1073" w:type="dxa"/>
            <w:noWrap/>
            <w:vAlign w:val="center"/>
          </w:tcPr>
          <w:p w14:paraId="3AFA53BD">
            <w:pPr>
              <w:autoSpaceDE w:val="0"/>
              <w:autoSpaceDN w:val="0"/>
              <w:spacing w:line="440" w:lineRule="exact"/>
              <w:jc w:val="center"/>
              <w:rPr>
                <w:rFonts w:eastAsia="仿宋"/>
                <w:sz w:val="22"/>
                <w:szCs w:val="22"/>
              </w:rPr>
            </w:pPr>
            <w:r>
              <w:rPr>
                <w:rFonts w:eastAsia="仿宋"/>
                <w:sz w:val="22"/>
                <w:szCs w:val="22"/>
              </w:rPr>
              <w:t>数量</w:t>
            </w:r>
          </w:p>
        </w:tc>
        <w:tc>
          <w:tcPr>
            <w:tcW w:w="727" w:type="dxa"/>
            <w:noWrap/>
            <w:vAlign w:val="center"/>
          </w:tcPr>
          <w:p w14:paraId="306B5EBD">
            <w:pPr>
              <w:autoSpaceDE w:val="0"/>
              <w:autoSpaceDN w:val="0"/>
              <w:spacing w:line="440" w:lineRule="exact"/>
              <w:jc w:val="center"/>
              <w:rPr>
                <w:rFonts w:eastAsia="仿宋"/>
                <w:sz w:val="22"/>
                <w:szCs w:val="22"/>
              </w:rPr>
            </w:pPr>
            <w:r>
              <w:rPr>
                <w:rFonts w:eastAsia="仿宋"/>
                <w:sz w:val="22"/>
                <w:szCs w:val="22"/>
              </w:rPr>
              <w:t>国别</w:t>
            </w:r>
          </w:p>
          <w:p w14:paraId="221E53C6">
            <w:pPr>
              <w:autoSpaceDE w:val="0"/>
              <w:autoSpaceDN w:val="0"/>
              <w:spacing w:line="440" w:lineRule="exact"/>
              <w:jc w:val="center"/>
              <w:rPr>
                <w:rFonts w:eastAsia="仿宋"/>
                <w:sz w:val="22"/>
                <w:szCs w:val="22"/>
              </w:rPr>
            </w:pPr>
            <w:r>
              <w:rPr>
                <w:rFonts w:eastAsia="仿宋"/>
                <w:sz w:val="22"/>
                <w:szCs w:val="22"/>
              </w:rPr>
              <w:t>产地</w:t>
            </w:r>
          </w:p>
        </w:tc>
        <w:tc>
          <w:tcPr>
            <w:tcW w:w="800" w:type="dxa"/>
            <w:noWrap/>
            <w:vAlign w:val="center"/>
          </w:tcPr>
          <w:p w14:paraId="0080A7FA">
            <w:pPr>
              <w:autoSpaceDE w:val="0"/>
              <w:autoSpaceDN w:val="0"/>
              <w:spacing w:line="440" w:lineRule="exact"/>
              <w:jc w:val="center"/>
              <w:rPr>
                <w:rFonts w:eastAsia="仿宋"/>
                <w:sz w:val="22"/>
                <w:szCs w:val="22"/>
              </w:rPr>
            </w:pPr>
            <w:r>
              <w:rPr>
                <w:rFonts w:eastAsia="仿宋"/>
                <w:sz w:val="22"/>
                <w:szCs w:val="22"/>
              </w:rPr>
              <w:t>制造</w:t>
            </w:r>
          </w:p>
          <w:p w14:paraId="62B8DB83">
            <w:pPr>
              <w:autoSpaceDE w:val="0"/>
              <w:autoSpaceDN w:val="0"/>
              <w:spacing w:line="440" w:lineRule="exact"/>
              <w:jc w:val="center"/>
              <w:rPr>
                <w:rFonts w:eastAsia="仿宋"/>
                <w:sz w:val="22"/>
                <w:szCs w:val="22"/>
              </w:rPr>
            </w:pPr>
            <w:r>
              <w:rPr>
                <w:rFonts w:eastAsia="仿宋"/>
                <w:sz w:val="22"/>
                <w:szCs w:val="22"/>
              </w:rPr>
              <w:t>年份</w:t>
            </w:r>
          </w:p>
        </w:tc>
        <w:tc>
          <w:tcPr>
            <w:tcW w:w="1312" w:type="dxa"/>
            <w:noWrap/>
            <w:vAlign w:val="center"/>
          </w:tcPr>
          <w:p w14:paraId="68CA2B8C">
            <w:pPr>
              <w:autoSpaceDE w:val="0"/>
              <w:autoSpaceDN w:val="0"/>
              <w:spacing w:line="440" w:lineRule="exact"/>
              <w:jc w:val="center"/>
              <w:rPr>
                <w:rFonts w:eastAsia="仿宋"/>
                <w:sz w:val="22"/>
                <w:szCs w:val="22"/>
              </w:rPr>
            </w:pPr>
            <w:r>
              <w:rPr>
                <w:rFonts w:eastAsia="仿宋"/>
                <w:sz w:val="22"/>
                <w:szCs w:val="22"/>
              </w:rPr>
              <w:t>已使用台时数</w:t>
            </w:r>
          </w:p>
        </w:tc>
        <w:tc>
          <w:tcPr>
            <w:tcW w:w="1151" w:type="dxa"/>
            <w:noWrap/>
            <w:vAlign w:val="center"/>
          </w:tcPr>
          <w:p w14:paraId="2EF581F0">
            <w:pPr>
              <w:autoSpaceDE w:val="0"/>
              <w:autoSpaceDN w:val="0"/>
              <w:spacing w:line="440" w:lineRule="exact"/>
              <w:jc w:val="center"/>
              <w:rPr>
                <w:rFonts w:eastAsia="仿宋"/>
                <w:sz w:val="22"/>
                <w:szCs w:val="22"/>
              </w:rPr>
            </w:pPr>
            <w:r>
              <w:rPr>
                <w:rFonts w:eastAsia="仿宋"/>
                <w:sz w:val="22"/>
                <w:szCs w:val="22"/>
              </w:rPr>
              <w:t>用途</w:t>
            </w:r>
          </w:p>
        </w:tc>
        <w:tc>
          <w:tcPr>
            <w:tcW w:w="742" w:type="dxa"/>
            <w:noWrap/>
            <w:vAlign w:val="center"/>
          </w:tcPr>
          <w:p w14:paraId="1B869321">
            <w:pPr>
              <w:autoSpaceDE w:val="0"/>
              <w:autoSpaceDN w:val="0"/>
              <w:spacing w:line="440" w:lineRule="exact"/>
              <w:jc w:val="center"/>
              <w:rPr>
                <w:rFonts w:eastAsia="仿宋"/>
                <w:sz w:val="22"/>
                <w:szCs w:val="22"/>
              </w:rPr>
            </w:pPr>
            <w:r>
              <w:rPr>
                <w:rFonts w:eastAsia="仿宋"/>
                <w:sz w:val="22"/>
                <w:szCs w:val="22"/>
              </w:rPr>
              <w:t>备注</w:t>
            </w:r>
          </w:p>
        </w:tc>
      </w:tr>
      <w:tr w14:paraId="1E23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14:paraId="3688DC9F">
            <w:pPr>
              <w:autoSpaceDE w:val="0"/>
              <w:autoSpaceDN w:val="0"/>
              <w:spacing w:line="440" w:lineRule="exact"/>
              <w:jc w:val="center"/>
              <w:rPr>
                <w:rFonts w:eastAsia="仿宋"/>
                <w:sz w:val="22"/>
                <w:szCs w:val="22"/>
              </w:rPr>
            </w:pPr>
          </w:p>
        </w:tc>
        <w:tc>
          <w:tcPr>
            <w:tcW w:w="1177" w:type="dxa"/>
            <w:noWrap/>
            <w:vAlign w:val="center"/>
          </w:tcPr>
          <w:p w14:paraId="3B84A0F2">
            <w:pPr>
              <w:autoSpaceDE w:val="0"/>
              <w:autoSpaceDN w:val="0"/>
              <w:spacing w:line="440" w:lineRule="exact"/>
              <w:jc w:val="center"/>
              <w:rPr>
                <w:rFonts w:eastAsia="仿宋"/>
                <w:sz w:val="22"/>
                <w:szCs w:val="22"/>
              </w:rPr>
            </w:pPr>
          </w:p>
        </w:tc>
        <w:tc>
          <w:tcPr>
            <w:tcW w:w="822" w:type="dxa"/>
            <w:noWrap/>
            <w:vAlign w:val="center"/>
          </w:tcPr>
          <w:p w14:paraId="6A1F2DF1">
            <w:pPr>
              <w:autoSpaceDE w:val="0"/>
              <w:autoSpaceDN w:val="0"/>
              <w:spacing w:line="440" w:lineRule="exact"/>
              <w:jc w:val="center"/>
              <w:rPr>
                <w:rFonts w:eastAsia="仿宋"/>
                <w:sz w:val="22"/>
                <w:szCs w:val="22"/>
              </w:rPr>
            </w:pPr>
          </w:p>
        </w:tc>
        <w:tc>
          <w:tcPr>
            <w:tcW w:w="1073" w:type="dxa"/>
            <w:noWrap/>
            <w:vAlign w:val="center"/>
          </w:tcPr>
          <w:p w14:paraId="49326213">
            <w:pPr>
              <w:autoSpaceDE w:val="0"/>
              <w:autoSpaceDN w:val="0"/>
              <w:spacing w:line="440" w:lineRule="exact"/>
              <w:jc w:val="center"/>
              <w:rPr>
                <w:rFonts w:eastAsia="仿宋"/>
                <w:sz w:val="22"/>
                <w:szCs w:val="22"/>
              </w:rPr>
            </w:pPr>
          </w:p>
        </w:tc>
        <w:tc>
          <w:tcPr>
            <w:tcW w:w="727" w:type="dxa"/>
            <w:noWrap/>
            <w:vAlign w:val="center"/>
          </w:tcPr>
          <w:p w14:paraId="2CE93F7B">
            <w:pPr>
              <w:autoSpaceDE w:val="0"/>
              <w:autoSpaceDN w:val="0"/>
              <w:spacing w:line="440" w:lineRule="exact"/>
              <w:jc w:val="center"/>
              <w:rPr>
                <w:rFonts w:eastAsia="仿宋"/>
                <w:sz w:val="22"/>
                <w:szCs w:val="22"/>
              </w:rPr>
            </w:pPr>
          </w:p>
        </w:tc>
        <w:tc>
          <w:tcPr>
            <w:tcW w:w="800" w:type="dxa"/>
            <w:noWrap/>
            <w:vAlign w:val="center"/>
          </w:tcPr>
          <w:p w14:paraId="0B351D97">
            <w:pPr>
              <w:autoSpaceDE w:val="0"/>
              <w:autoSpaceDN w:val="0"/>
              <w:spacing w:line="440" w:lineRule="exact"/>
              <w:jc w:val="center"/>
              <w:rPr>
                <w:rFonts w:eastAsia="仿宋"/>
                <w:sz w:val="22"/>
                <w:szCs w:val="22"/>
              </w:rPr>
            </w:pPr>
          </w:p>
        </w:tc>
        <w:tc>
          <w:tcPr>
            <w:tcW w:w="1312" w:type="dxa"/>
            <w:noWrap/>
            <w:vAlign w:val="center"/>
          </w:tcPr>
          <w:p w14:paraId="0FBCDD69">
            <w:pPr>
              <w:autoSpaceDE w:val="0"/>
              <w:autoSpaceDN w:val="0"/>
              <w:spacing w:line="440" w:lineRule="exact"/>
              <w:jc w:val="center"/>
              <w:rPr>
                <w:rFonts w:eastAsia="仿宋"/>
                <w:sz w:val="22"/>
                <w:szCs w:val="22"/>
              </w:rPr>
            </w:pPr>
          </w:p>
        </w:tc>
        <w:tc>
          <w:tcPr>
            <w:tcW w:w="1151" w:type="dxa"/>
            <w:noWrap/>
            <w:vAlign w:val="center"/>
          </w:tcPr>
          <w:p w14:paraId="5B86B76C">
            <w:pPr>
              <w:autoSpaceDE w:val="0"/>
              <w:autoSpaceDN w:val="0"/>
              <w:spacing w:line="440" w:lineRule="exact"/>
              <w:jc w:val="center"/>
              <w:rPr>
                <w:rFonts w:eastAsia="仿宋"/>
                <w:sz w:val="22"/>
                <w:szCs w:val="22"/>
              </w:rPr>
            </w:pPr>
          </w:p>
        </w:tc>
        <w:tc>
          <w:tcPr>
            <w:tcW w:w="742" w:type="dxa"/>
            <w:noWrap/>
            <w:vAlign w:val="center"/>
          </w:tcPr>
          <w:p w14:paraId="5A377F80">
            <w:pPr>
              <w:autoSpaceDE w:val="0"/>
              <w:autoSpaceDN w:val="0"/>
              <w:spacing w:line="440" w:lineRule="exact"/>
              <w:jc w:val="center"/>
              <w:rPr>
                <w:rFonts w:eastAsia="仿宋"/>
                <w:sz w:val="22"/>
                <w:szCs w:val="22"/>
              </w:rPr>
            </w:pPr>
          </w:p>
        </w:tc>
      </w:tr>
      <w:tr w14:paraId="5672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14:paraId="4A530B76">
            <w:pPr>
              <w:autoSpaceDE w:val="0"/>
              <w:autoSpaceDN w:val="0"/>
              <w:spacing w:line="440" w:lineRule="exact"/>
              <w:jc w:val="center"/>
              <w:rPr>
                <w:rFonts w:eastAsia="仿宋"/>
                <w:sz w:val="22"/>
                <w:szCs w:val="22"/>
              </w:rPr>
            </w:pPr>
          </w:p>
        </w:tc>
        <w:tc>
          <w:tcPr>
            <w:tcW w:w="1177" w:type="dxa"/>
            <w:noWrap/>
            <w:vAlign w:val="center"/>
          </w:tcPr>
          <w:p w14:paraId="6EEB8B9A">
            <w:pPr>
              <w:autoSpaceDE w:val="0"/>
              <w:autoSpaceDN w:val="0"/>
              <w:spacing w:line="440" w:lineRule="exact"/>
              <w:jc w:val="center"/>
              <w:rPr>
                <w:rFonts w:eastAsia="仿宋"/>
                <w:sz w:val="22"/>
                <w:szCs w:val="22"/>
              </w:rPr>
            </w:pPr>
          </w:p>
        </w:tc>
        <w:tc>
          <w:tcPr>
            <w:tcW w:w="822" w:type="dxa"/>
            <w:noWrap/>
            <w:vAlign w:val="center"/>
          </w:tcPr>
          <w:p w14:paraId="5D5775B3">
            <w:pPr>
              <w:autoSpaceDE w:val="0"/>
              <w:autoSpaceDN w:val="0"/>
              <w:spacing w:line="440" w:lineRule="exact"/>
              <w:jc w:val="center"/>
              <w:rPr>
                <w:rFonts w:eastAsia="仿宋"/>
                <w:sz w:val="22"/>
                <w:szCs w:val="22"/>
              </w:rPr>
            </w:pPr>
          </w:p>
        </w:tc>
        <w:tc>
          <w:tcPr>
            <w:tcW w:w="1073" w:type="dxa"/>
            <w:noWrap/>
            <w:vAlign w:val="center"/>
          </w:tcPr>
          <w:p w14:paraId="7F4B3D73">
            <w:pPr>
              <w:autoSpaceDE w:val="0"/>
              <w:autoSpaceDN w:val="0"/>
              <w:spacing w:line="440" w:lineRule="exact"/>
              <w:jc w:val="center"/>
              <w:rPr>
                <w:rFonts w:eastAsia="仿宋"/>
                <w:sz w:val="22"/>
                <w:szCs w:val="22"/>
              </w:rPr>
            </w:pPr>
          </w:p>
        </w:tc>
        <w:tc>
          <w:tcPr>
            <w:tcW w:w="727" w:type="dxa"/>
            <w:noWrap/>
            <w:vAlign w:val="center"/>
          </w:tcPr>
          <w:p w14:paraId="0481546D">
            <w:pPr>
              <w:autoSpaceDE w:val="0"/>
              <w:autoSpaceDN w:val="0"/>
              <w:spacing w:line="440" w:lineRule="exact"/>
              <w:jc w:val="center"/>
              <w:rPr>
                <w:rFonts w:eastAsia="仿宋"/>
                <w:sz w:val="22"/>
                <w:szCs w:val="22"/>
              </w:rPr>
            </w:pPr>
          </w:p>
        </w:tc>
        <w:tc>
          <w:tcPr>
            <w:tcW w:w="800" w:type="dxa"/>
            <w:noWrap/>
            <w:vAlign w:val="center"/>
          </w:tcPr>
          <w:p w14:paraId="70907F95">
            <w:pPr>
              <w:autoSpaceDE w:val="0"/>
              <w:autoSpaceDN w:val="0"/>
              <w:spacing w:line="440" w:lineRule="exact"/>
              <w:jc w:val="center"/>
              <w:rPr>
                <w:rFonts w:eastAsia="仿宋"/>
                <w:sz w:val="22"/>
                <w:szCs w:val="22"/>
              </w:rPr>
            </w:pPr>
          </w:p>
        </w:tc>
        <w:tc>
          <w:tcPr>
            <w:tcW w:w="1312" w:type="dxa"/>
            <w:noWrap/>
            <w:vAlign w:val="center"/>
          </w:tcPr>
          <w:p w14:paraId="727B7ADA">
            <w:pPr>
              <w:autoSpaceDE w:val="0"/>
              <w:autoSpaceDN w:val="0"/>
              <w:spacing w:line="440" w:lineRule="exact"/>
              <w:jc w:val="center"/>
              <w:rPr>
                <w:rFonts w:eastAsia="仿宋"/>
                <w:sz w:val="22"/>
                <w:szCs w:val="22"/>
              </w:rPr>
            </w:pPr>
          </w:p>
        </w:tc>
        <w:tc>
          <w:tcPr>
            <w:tcW w:w="1151" w:type="dxa"/>
            <w:noWrap/>
            <w:vAlign w:val="center"/>
          </w:tcPr>
          <w:p w14:paraId="0624E3A0">
            <w:pPr>
              <w:autoSpaceDE w:val="0"/>
              <w:autoSpaceDN w:val="0"/>
              <w:spacing w:line="440" w:lineRule="exact"/>
              <w:jc w:val="center"/>
              <w:rPr>
                <w:rFonts w:eastAsia="仿宋"/>
                <w:sz w:val="22"/>
                <w:szCs w:val="22"/>
              </w:rPr>
            </w:pPr>
          </w:p>
        </w:tc>
        <w:tc>
          <w:tcPr>
            <w:tcW w:w="742" w:type="dxa"/>
            <w:noWrap/>
            <w:vAlign w:val="center"/>
          </w:tcPr>
          <w:p w14:paraId="503D304A">
            <w:pPr>
              <w:autoSpaceDE w:val="0"/>
              <w:autoSpaceDN w:val="0"/>
              <w:spacing w:line="440" w:lineRule="exact"/>
              <w:jc w:val="center"/>
              <w:rPr>
                <w:rFonts w:eastAsia="仿宋"/>
                <w:sz w:val="22"/>
                <w:szCs w:val="22"/>
              </w:rPr>
            </w:pPr>
          </w:p>
        </w:tc>
      </w:tr>
      <w:tr w14:paraId="3949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tcPr>
          <w:p w14:paraId="7DAA82BA">
            <w:pPr>
              <w:autoSpaceDE w:val="0"/>
              <w:autoSpaceDN w:val="0"/>
              <w:spacing w:line="440" w:lineRule="exact"/>
              <w:jc w:val="center"/>
              <w:rPr>
                <w:rFonts w:eastAsia="仿宋"/>
                <w:sz w:val="22"/>
                <w:szCs w:val="22"/>
              </w:rPr>
            </w:pPr>
          </w:p>
        </w:tc>
        <w:tc>
          <w:tcPr>
            <w:tcW w:w="1177" w:type="dxa"/>
            <w:noWrap/>
          </w:tcPr>
          <w:p w14:paraId="1166223E">
            <w:pPr>
              <w:autoSpaceDE w:val="0"/>
              <w:autoSpaceDN w:val="0"/>
              <w:spacing w:line="440" w:lineRule="exact"/>
              <w:jc w:val="center"/>
              <w:rPr>
                <w:rFonts w:eastAsia="仿宋"/>
                <w:sz w:val="22"/>
                <w:szCs w:val="22"/>
              </w:rPr>
            </w:pPr>
          </w:p>
        </w:tc>
        <w:tc>
          <w:tcPr>
            <w:tcW w:w="822" w:type="dxa"/>
            <w:noWrap/>
          </w:tcPr>
          <w:p w14:paraId="163C63FE">
            <w:pPr>
              <w:autoSpaceDE w:val="0"/>
              <w:autoSpaceDN w:val="0"/>
              <w:spacing w:line="440" w:lineRule="exact"/>
              <w:jc w:val="center"/>
              <w:rPr>
                <w:rFonts w:eastAsia="仿宋"/>
                <w:sz w:val="22"/>
                <w:szCs w:val="22"/>
              </w:rPr>
            </w:pPr>
          </w:p>
        </w:tc>
        <w:tc>
          <w:tcPr>
            <w:tcW w:w="1073" w:type="dxa"/>
            <w:noWrap/>
          </w:tcPr>
          <w:p w14:paraId="25D4B4FB">
            <w:pPr>
              <w:autoSpaceDE w:val="0"/>
              <w:autoSpaceDN w:val="0"/>
              <w:spacing w:line="440" w:lineRule="exact"/>
              <w:jc w:val="center"/>
              <w:rPr>
                <w:rFonts w:eastAsia="仿宋"/>
                <w:sz w:val="22"/>
                <w:szCs w:val="22"/>
              </w:rPr>
            </w:pPr>
          </w:p>
        </w:tc>
        <w:tc>
          <w:tcPr>
            <w:tcW w:w="727" w:type="dxa"/>
            <w:noWrap/>
          </w:tcPr>
          <w:p w14:paraId="6C2FD361">
            <w:pPr>
              <w:autoSpaceDE w:val="0"/>
              <w:autoSpaceDN w:val="0"/>
              <w:spacing w:line="440" w:lineRule="exact"/>
              <w:jc w:val="center"/>
              <w:rPr>
                <w:rFonts w:eastAsia="仿宋"/>
                <w:sz w:val="22"/>
                <w:szCs w:val="22"/>
              </w:rPr>
            </w:pPr>
          </w:p>
        </w:tc>
        <w:tc>
          <w:tcPr>
            <w:tcW w:w="800" w:type="dxa"/>
            <w:noWrap/>
          </w:tcPr>
          <w:p w14:paraId="01CD140C">
            <w:pPr>
              <w:autoSpaceDE w:val="0"/>
              <w:autoSpaceDN w:val="0"/>
              <w:spacing w:line="440" w:lineRule="exact"/>
              <w:jc w:val="center"/>
              <w:rPr>
                <w:rFonts w:eastAsia="仿宋"/>
                <w:sz w:val="22"/>
                <w:szCs w:val="22"/>
              </w:rPr>
            </w:pPr>
          </w:p>
        </w:tc>
        <w:tc>
          <w:tcPr>
            <w:tcW w:w="1312" w:type="dxa"/>
            <w:noWrap/>
          </w:tcPr>
          <w:p w14:paraId="3386C1BD">
            <w:pPr>
              <w:autoSpaceDE w:val="0"/>
              <w:autoSpaceDN w:val="0"/>
              <w:spacing w:line="440" w:lineRule="exact"/>
              <w:jc w:val="center"/>
              <w:rPr>
                <w:rFonts w:eastAsia="仿宋"/>
                <w:sz w:val="22"/>
                <w:szCs w:val="22"/>
              </w:rPr>
            </w:pPr>
          </w:p>
        </w:tc>
        <w:tc>
          <w:tcPr>
            <w:tcW w:w="1151" w:type="dxa"/>
            <w:noWrap/>
          </w:tcPr>
          <w:p w14:paraId="53C33E09">
            <w:pPr>
              <w:autoSpaceDE w:val="0"/>
              <w:autoSpaceDN w:val="0"/>
              <w:spacing w:line="440" w:lineRule="exact"/>
              <w:jc w:val="center"/>
              <w:rPr>
                <w:rFonts w:eastAsia="仿宋"/>
                <w:sz w:val="22"/>
                <w:szCs w:val="22"/>
              </w:rPr>
            </w:pPr>
          </w:p>
        </w:tc>
        <w:tc>
          <w:tcPr>
            <w:tcW w:w="742" w:type="dxa"/>
            <w:noWrap/>
          </w:tcPr>
          <w:p w14:paraId="042FCFF7">
            <w:pPr>
              <w:autoSpaceDE w:val="0"/>
              <w:autoSpaceDN w:val="0"/>
              <w:spacing w:line="440" w:lineRule="exact"/>
              <w:jc w:val="center"/>
              <w:rPr>
                <w:rFonts w:eastAsia="仿宋"/>
                <w:sz w:val="22"/>
                <w:szCs w:val="22"/>
              </w:rPr>
            </w:pPr>
          </w:p>
        </w:tc>
      </w:tr>
      <w:tr w14:paraId="7D51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noWrap/>
          </w:tcPr>
          <w:p w14:paraId="64BEB882">
            <w:pPr>
              <w:autoSpaceDE w:val="0"/>
              <w:autoSpaceDN w:val="0"/>
              <w:spacing w:line="440" w:lineRule="exact"/>
              <w:jc w:val="center"/>
              <w:rPr>
                <w:rFonts w:eastAsia="仿宋"/>
                <w:sz w:val="22"/>
                <w:szCs w:val="22"/>
              </w:rPr>
            </w:pPr>
          </w:p>
        </w:tc>
        <w:tc>
          <w:tcPr>
            <w:tcW w:w="1177" w:type="dxa"/>
            <w:noWrap/>
          </w:tcPr>
          <w:p w14:paraId="03B946FF">
            <w:pPr>
              <w:autoSpaceDE w:val="0"/>
              <w:autoSpaceDN w:val="0"/>
              <w:spacing w:line="440" w:lineRule="exact"/>
              <w:jc w:val="center"/>
              <w:rPr>
                <w:rFonts w:eastAsia="仿宋"/>
                <w:sz w:val="22"/>
                <w:szCs w:val="22"/>
              </w:rPr>
            </w:pPr>
          </w:p>
        </w:tc>
        <w:tc>
          <w:tcPr>
            <w:tcW w:w="822" w:type="dxa"/>
            <w:noWrap/>
          </w:tcPr>
          <w:p w14:paraId="75E54A19">
            <w:pPr>
              <w:autoSpaceDE w:val="0"/>
              <w:autoSpaceDN w:val="0"/>
              <w:spacing w:line="440" w:lineRule="exact"/>
              <w:jc w:val="center"/>
              <w:rPr>
                <w:rFonts w:eastAsia="仿宋"/>
                <w:sz w:val="22"/>
                <w:szCs w:val="22"/>
              </w:rPr>
            </w:pPr>
          </w:p>
        </w:tc>
        <w:tc>
          <w:tcPr>
            <w:tcW w:w="1073" w:type="dxa"/>
            <w:noWrap/>
          </w:tcPr>
          <w:p w14:paraId="78589A63">
            <w:pPr>
              <w:autoSpaceDE w:val="0"/>
              <w:autoSpaceDN w:val="0"/>
              <w:spacing w:line="440" w:lineRule="exact"/>
              <w:jc w:val="center"/>
              <w:rPr>
                <w:rFonts w:eastAsia="仿宋"/>
                <w:sz w:val="22"/>
                <w:szCs w:val="22"/>
              </w:rPr>
            </w:pPr>
          </w:p>
        </w:tc>
        <w:tc>
          <w:tcPr>
            <w:tcW w:w="727" w:type="dxa"/>
            <w:noWrap/>
          </w:tcPr>
          <w:p w14:paraId="7A27CB29">
            <w:pPr>
              <w:autoSpaceDE w:val="0"/>
              <w:autoSpaceDN w:val="0"/>
              <w:spacing w:line="440" w:lineRule="exact"/>
              <w:jc w:val="center"/>
              <w:rPr>
                <w:rFonts w:eastAsia="仿宋"/>
                <w:sz w:val="22"/>
                <w:szCs w:val="22"/>
              </w:rPr>
            </w:pPr>
          </w:p>
        </w:tc>
        <w:tc>
          <w:tcPr>
            <w:tcW w:w="800" w:type="dxa"/>
            <w:noWrap/>
          </w:tcPr>
          <w:p w14:paraId="63A9E631">
            <w:pPr>
              <w:autoSpaceDE w:val="0"/>
              <w:autoSpaceDN w:val="0"/>
              <w:spacing w:line="440" w:lineRule="exact"/>
              <w:jc w:val="center"/>
              <w:rPr>
                <w:rFonts w:eastAsia="仿宋"/>
                <w:sz w:val="22"/>
                <w:szCs w:val="22"/>
              </w:rPr>
            </w:pPr>
          </w:p>
        </w:tc>
        <w:tc>
          <w:tcPr>
            <w:tcW w:w="1312" w:type="dxa"/>
            <w:noWrap/>
          </w:tcPr>
          <w:p w14:paraId="07F0E136">
            <w:pPr>
              <w:autoSpaceDE w:val="0"/>
              <w:autoSpaceDN w:val="0"/>
              <w:spacing w:line="440" w:lineRule="exact"/>
              <w:jc w:val="center"/>
              <w:rPr>
                <w:rFonts w:eastAsia="仿宋"/>
                <w:sz w:val="22"/>
                <w:szCs w:val="22"/>
              </w:rPr>
            </w:pPr>
          </w:p>
        </w:tc>
        <w:tc>
          <w:tcPr>
            <w:tcW w:w="1151" w:type="dxa"/>
            <w:noWrap/>
          </w:tcPr>
          <w:p w14:paraId="3EFC8E50">
            <w:pPr>
              <w:autoSpaceDE w:val="0"/>
              <w:autoSpaceDN w:val="0"/>
              <w:spacing w:line="440" w:lineRule="exact"/>
              <w:jc w:val="center"/>
              <w:rPr>
                <w:rFonts w:eastAsia="仿宋"/>
                <w:sz w:val="22"/>
                <w:szCs w:val="22"/>
              </w:rPr>
            </w:pPr>
          </w:p>
        </w:tc>
        <w:tc>
          <w:tcPr>
            <w:tcW w:w="742" w:type="dxa"/>
            <w:noWrap/>
          </w:tcPr>
          <w:p w14:paraId="79EC67A7">
            <w:pPr>
              <w:autoSpaceDE w:val="0"/>
              <w:autoSpaceDN w:val="0"/>
              <w:spacing w:line="440" w:lineRule="exact"/>
              <w:jc w:val="center"/>
              <w:rPr>
                <w:rFonts w:eastAsia="仿宋"/>
                <w:sz w:val="22"/>
                <w:szCs w:val="22"/>
              </w:rPr>
            </w:pPr>
          </w:p>
        </w:tc>
      </w:tr>
    </w:tbl>
    <w:p w14:paraId="38F4A4E6">
      <w:pPr>
        <w:autoSpaceDE w:val="0"/>
        <w:autoSpaceDN w:val="0"/>
        <w:spacing w:line="440" w:lineRule="exact"/>
        <w:rPr>
          <w:rFonts w:eastAsia="仿宋"/>
          <w:sz w:val="22"/>
          <w:szCs w:val="22"/>
        </w:rPr>
      </w:pPr>
    </w:p>
    <w:p w14:paraId="1C66E5FF">
      <w:pPr>
        <w:autoSpaceDE w:val="0"/>
        <w:autoSpaceDN w:val="0"/>
        <w:spacing w:line="440" w:lineRule="exact"/>
        <w:rPr>
          <w:rFonts w:eastAsia="仿宋"/>
          <w:b/>
          <w:bCs/>
          <w:sz w:val="22"/>
          <w:szCs w:val="22"/>
        </w:rPr>
      </w:pPr>
      <w:r>
        <w:rPr>
          <w:rFonts w:eastAsia="仿宋"/>
          <w:b/>
          <w:bCs/>
          <w:sz w:val="22"/>
          <w:szCs w:val="22"/>
        </w:rPr>
        <w:br w:type="page"/>
      </w:r>
      <w:r>
        <w:rPr>
          <w:rFonts w:eastAsia="仿宋"/>
          <w:b/>
          <w:bCs/>
          <w:sz w:val="22"/>
          <w:szCs w:val="22"/>
        </w:rPr>
        <w:t>附表三、</w:t>
      </w:r>
      <w:r>
        <w:rPr>
          <w:rFonts w:eastAsia="仿宋"/>
          <w:b/>
          <w:bCs/>
          <w:kern w:val="0"/>
          <w:sz w:val="22"/>
          <w:szCs w:val="22"/>
        </w:rPr>
        <w:t>项目管理班子配备情况表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14:paraId="0E60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14:paraId="32922454">
            <w:pPr>
              <w:autoSpaceDE w:val="0"/>
              <w:autoSpaceDN w:val="0"/>
              <w:jc w:val="center"/>
              <w:rPr>
                <w:rFonts w:eastAsia="仿宋"/>
                <w:kern w:val="0"/>
                <w:sz w:val="22"/>
                <w:szCs w:val="22"/>
              </w:rPr>
            </w:pPr>
            <w:r>
              <w:rPr>
                <w:rFonts w:eastAsia="仿宋"/>
                <w:kern w:val="0"/>
                <w:sz w:val="22"/>
                <w:szCs w:val="22"/>
              </w:rPr>
              <w:t>职务</w:t>
            </w:r>
          </w:p>
        </w:tc>
        <w:tc>
          <w:tcPr>
            <w:tcW w:w="720" w:type="dxa"/>
            <w:vMerge w:val="restart"/>
            <w:noWrap/>
            <w:vAlign w:val="center"/>
          </w:tcPr>
          <w:p w14:paraId="2B88894D">
            <w:pPr>
              <w:autoSpaceDE w:val="0"/>
              <w:autoSpaceDN w:val="0"/>
              <w:jc w:val="center"/>
              <w:rPr>
                <w:rFonts w:eastAsia="仿宋"/>
                <w:kern w:val="0"/>
                <w:sz w:val="22"/>
                <w:szCs w:val="22"/>
              </w:rPr>
            </w:pPr>
            <w:r>
              <w:rPr>
                <w:rFonts w:eastAsia="仿宋"/>
                <w:kern w:val="0"/>
                <w:sz w:val="22"/>
                <w:szCs w:val="22"/>
              </w:rPr>
              <w:t>姓名</w:t>
            </w:r>
          </w:p>
        </w:tc>
        <w:tc>
          <w:tcPr>
            <w:tcW w:w="720" w:type="dxa"/>
            <w:vMerge w:val="restart"/>
            <w:noWrap/>
            <w:vAlign w:val="center"/>
          </w:tcPr>
          <w:p w14:paraId="30082032">
            <w:pPr>
              <w:autoSpaceDE w:val="0"/>
              <w:autoSpaceDN w:val="0"/>
              <w:jc w:val="center"/>
              <w:rPr>
                <w:rFonts w:eastAsia="仿宋"/>
                <w:kern w:val="0"/>
                <w:sz w:val="22"/>
                <w:szCs w:val="22"/>
              </w:rPr>
            </w:pPr>
            <w:r>
              <w:rPr>
                <w:rFonts w:eastAsia="仿宋"/>
                <w:kern w:val="0"/>
                <w:sz w:val="22"/>
                <w:szCs w:val="22"/>
              </w:rPr>
              <w:t>职称</w:t>
            </w:r>
          </w:p>
        </w:tc>
        <w:tc>
          <w:tcPr>
            <w:tcW w:w="5040" w:type="dxa"/>
            <w:gridSpan w:val="5"/>
            <w:noWrap/>
            <w:vAlign w:val="center"/>
          </w:tcPr>
          <w:p w14:paraId="42C7F41B">
            <w:pPr>
              <w:autoSpaceDE w:val="0"/>
              <w:autoSpaceDN w:val="0"/>
              <w:jc w:val="center"/>
              <w:rPr>
                <w:rFonts w:eastAsia="仿宋"/>
                <w:kern w:val="0"/>
                <w:sz w:val="22"/>
                <w:szCs w:val="22"/>
              </w:rPr>
            </w:pPr>
            <w:r>
              <w:rPr>
                <w:rFonts w:eastAsia="仿宋"/>
                <w:kern w:val="0"/>
                <w:sz w:val="22"/>
                <w:szCs w:val="22"/>
              </w:rPr>
              <w:t>上岗资格证明</w:t>
            </w:r>
          </w:p>
        </w:tc>
        <w:tc>
          <w:tcPr>
            <w:tcW w:w="1800" w:type="dxa"/>
            <w:gridSpan w:val="2"/>
            <w:noWrap/>
            <w:vAlign w:val="center"/>
          </w:tcPr>
          <w:p w14:paraId="0BEC96C3">
            <w:pPr>
              <w:autoSpaceDE w:val="0"/>
              <w:autoSpaceDN w:val="0"/>
              <w:jc w:val="center"/>
              <w:rPr>
                <w:rFonts w:eastAsia="仿宋"/>
                <w:kern w:val="0"/>
                <w:sz w:val="22"/>
                <w:szCs w:val="22"/>
              </w:rPr>
            </w:pPr>
            <w:r>
              <w:rPr>
                <w:rFonts w:eastAsia="仿宋"/>
                <w:kern w:val="0"/>
                <w:sz w:val="22"/>
                <w:szCs w:val="22"/>
              </w:rPr>
              <w:t>已承担在建工程情况</w:t>
            </w:r>
          </w:p>
        </w:tc>
      </w:tr>
      <w:tr w14:paraId="663C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tcPr>
          <w:p w14:paraId="27289114">
            <w:pPr>
              <w:autoSpaceDE w:val="0"/>
              <w:autoSpaceDN w:val="0"/>
              <w:spacing w:line="360" w:lineRule="auto"/>
              <w:rPr>
                <w:rFonts w:eastAsia="仿宋"/>
                <w:kern w:val="0"/>
                <w:sz w:val="22"/>
                <w:szCs w:val="22"/>
              </w:rPr>
            </w:pPr>
          </w:p>
        </w:tc>
        <w:tc>
          <w:tcPr>
            <w:tcW w:w="720" w:type="dxa"/>
            <w:vMerge w:val="continue"/>
            <w:noWrap/>
          </w:tcPr>
          <w:p w14:paraId="5A526F53">
            <w:pPr>
              <w:autoSpaceDE w:val="0"/>
              <w:autoSpaceDN w:val="0"/>
              <w:spacing w:line="360" w:lineRule="auto"/>
              <w:rPr>
                <w:rFonts w:eastAsia="仿宋"/>
                <w:kern w:val="0"/>
                <w:sz w:val="22"/>
                <w:szCs w:val="22"/>
              </w:rPr>
            </w:pPr>
          </w:p>
        </w:tc>
        <w:tc>
          <w:tcPr>
            <w:tcW w:w="720" w:type="dxa"/>
            <w:vMerge w:val="continue"/>
            <w:noWrap/>
          </w:tcPr>
          <w:p w14:paraId="2785B2CC">
            <w:pPr>
              <w:autoSpaceDE w:val="0"/>
              <w:autoSpaceDN w:val="0"/>
              <w:spacing w:line="360" w:lineRule="auto"/>
              <w:rPr>
                <w:rFonts w:eastAsia="仿宋"/>
                <w:kern w:val="0"/>
                <w:sz w:val="22"/>
                <w:szCs w:val="22"/>
              </w:rPr>
            </w:pPr>
          </w:p>
        </w:tc>
        <w:tc>
          <w:tcPr>
            <w:tcW w:w="888" w:type="dxa"/>
            <w:noWrap/>
            <w:vAlign w:val="center"/>
          </w:tcPr>
          <w:p w14:paraId="4F290850">
            <w:pPr>
              <w:autoSpaceDE w:val="0"/>
              <w:autoSpaceDN w:val="0"/>
              <w:jc w:val="center"/>
              <w:rPr>
                <w:rFonts w:eastAsia="仿宋"/>
                <w:kern w:val="0"/>
                <w:sz w:val="22"/>
                <w:szCs w:val="22"/>
              </w:rPr>
            </w:pPr>
            <w:r>
              <w:rPr>
                <w:rFonts w:eastAsia="仿宋"/>
                <w:kern w:val="0"/>
                <w:sz w:val="22"/>
                <w:szCs w:val="22"/>
              </w:rPr>
              <w:t>证书</w:t>
            </w:r>
          </w:p>
          <w:p w14:paraId="7430B47C">
            <w:pPr>
              <w:autoSpaceDE w:val="0"/>
              <w:autoSpaceDN w:val="0"/>
              <w:jc w:val="center"/>
              <w:rPr>
                <w:rFonts w:eastAsia="仿宋"/>
                <w:kern w:val="0"/>
                <w:sz w:val="22"/>
                <w:szCs w:val="22"/>
              </w:rPr>
            </w:pPr>
            <w:r>
              <w:rPr>
                <w:rFonts w:eastAsia="仿宋"/>
                <w:kern w:val="0"/>
                <w:sz w:val="22"/>
                <w:szCs w:val="22"/>
              </w:rPr>
              <w:t>名称</w:t>
            </w:r>
          </w:p>
        </w:tc>
        <w:tc>
          <w:tcPr>
            <w:tcW w:w="888" w:type="dxa"/>
            <w:noWrap/>
            <w:vAlign w:val="center"/>
          </w:tcPr>
          <w:p w14:paraId="0B88E792">
            <w:pPr>
              <w:autoSpaceDE w:val="0"/>
              <w:autoSpaceDN w:val="0"/>
              <w:jc w:val="center"/>
              <w:rPr>
                <w:rFonts w:eastAsia="仿宋"/>
                <w:kern w:val="0"/>
                <w:sz w:val="22"/>
                <w:szCs w:val="22"/>
              </w:rPr>
            </w:pPr>
            <w:r>
              <w:rPr>
                <w:rFonts w:eastAsia="仿宋"/>
                <w:kern w:val="0"/>
                <w:sz w:val="22"/>
                <w:szCs w:val="22"/>
              </w:rPr>
              <w:t>级别</w:t>
            </w:r>
          </w:p>
        </w:tc>
        <w:tc>
          <w:tcPr>
            <w:tcW w:w="888" w:type="dxa"/>
            <w:noWrap/>
            <w:vAlign w:val="center"/>
          </w:tcPr>
          <w:p w14:paraId="1E287C85">
            <w:pPr>
              <w:autoSpaceDE w:val="0"/>
              <w:autoSpaceDN w:val="0"/>
              <w:jc w:val="center"/>
              <w:rPr>
                <w:rFonts w:eastAsia="仿宋"/>
                <w:kern w:val="0"/>
                <w:sz w:val="22"/>
                <w:szCs w:val="22"/>
              </w:rPr>
            </w:pPr>
            <w:r>
              <w:rPr>
                <w:rFonts w:eastAsia="仿宋"/>
                <w:kern w:val="0"/>
                <w:sz w:val="22"/>
                <w:szCs w:val="22"/>
              </w:rPr>
              <w:t>证号</w:t>
            </w:r>
          </w:p>
        </w:tc>
        <w:tc>
          <w:tcPr>
            <w:tcW w:w="888" w:type="dxa"/>
            <w:noWrap/>
            <w:vAlign w:val="center"/>
          </w:tcPr>
          <w:p w14:paraId="123DC1CD">
            <w:pPr>
              <w:autoSpaceDE w:val="0"/>
              <w:autoSpaceDN w:val="0"/>
              <w:jc w:val="center"/>
              <w:rPr>
                <w:rFonts w:eastAsia="仿宋"/>
                <w:kern w:val="0"/>
                <w:sz w:val="22"/>
                <w:szCs w:val="22"/>
              </w:rPr>
            </w:pPr>
            <w:r>
              <w:rPr>
                <w:rFonts w:eastAsia="仿宋"/>
                <w:kern w:val="0"/>
                <w:sz w:val="22"/>
                <w:szCs w:val="22"/>
              </w:rPr>
              <w:t>专业</w:t>
            </w:r>
          </w:p>
        </w:tc>
        <w:tc>
          <w:tcPr>
            <w:tcW w:w="1488" w:type="dxa"/>
            <w:noWrap/>
            <w:vAlign w:val="center"/>
          </w:tcPr>
          <w:p w14:paraId="664093E3">
            <w:pPr>
              <w:autoSpaceDE w:val="0"/>
              <w:autoSpaceDN w:val="0"/>
              <w:jc w:val="center"/>
              <w:rPr>
                <w:rFonts w:eastAsia="仿宋"/>
                <w:kern w:val="0"/>
                <w:sz w:val="22"/>
                <w:szCs w:val="22"/>
              </w:rPr>
            </w:pPr>
            <w:r>
              <w:rPr>
                <w:rFonts w:eastAsia="仿宋"/>
                <w:kern w:val="0"/>
                <w:sz w:val="22"/>
                <w:szCs w:val="22"/>
              </w:rPr>
              <w:t>原服务单位</w:t>
            </w:r>
          </w:p>
        </w:tc>
        <w:tc>
          <w:tcPr>
            <w:tcW w:w="889" w:type="dxa"/>
            <w:noWrap/>
            <w:vAlign w:val="center"/>
          </w:tcPr>
          <w:p w14:paraId="56765111">
            <w:pPr>
              <w:autoSpaceDE w:val="0"/>
              <w:autoSpaceDN w:val="0"/>
              <w:jc w:val="center"/>
              <w:rPr>
                <w:rFonts w:eastAsia="仿宋"/>
                <w:kern w:val="0"/>
                <w:sz w:val="22"/>
                <w:szCs w:val="22"/>
              </w:rPr>
            </w:pPr>
            <w:r>
              <w:rPr>
                <w:rFonts w:eastAsia="仿宋"/>
                <w:kern w:val="0"/>
                <w:sz w:val="22"/>
                <w:szCs w:val="22"/>
              </w:rPr>
              <w:t>项目数</w:t>
            </w:r>
          </w:p>
        </w:tc>
        <w:tc>
          <w:tcPr>
            <w:tcW w:w="911" w:type="dxa"/>
            <w:noWrap/>
            <w:vAlign w:val="center"/>
          </w:tcPr>
          <w:p w14:paraId="1410DEB5">
            <w:pPr>
              <w:autoSpaceDE w:val="0"/>
              <w:autoSpaceDN w:val="0"/>
              <w:jc w:val="center"/>
              <w:rPr>
                <w:rFonts w:eastAsia="仿宋"/>
                <w:kern w:val="0"/>
                <w:sz w:val="22"/>
                <w:szCs w:val="22"/>
              </w:rPr>
            </w:pPr>
            <w:r>
              <w:rPr>
                <w:rFonts w:eastAsia="仿宋"/>
                <w:kern w:val="0"/>
                <w:sz w:val="22"/>
                <w:szCs w:val="22"/>
              </w:rPr>
              <w:t>主要项目名称</w:t>
            </w:r>
          </w:p>
        </w:tc>
      </w:tr>
      <w:tr w14:paraId="2CB1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39B8B5F5">
            <w:pPr>
              <w:autoSpaceDE w:val="0"/>
              <w:autoSpaceDN w:val="0"/>
              <w:spacing w:line="360" w:lineRule="auto"/>
              <w:rPr>
                <w:rFonts w:eastAsia="仿宋"/>
                <w:kern w:val="0"/>
                <w:sz w:val="22"/>
                <w:szCs w:val="22"/>
              </w:rPr>
            </w:pPr>
          </w:p>
        </w:tc>
        <w:tc>
          <w:tcPr>
            <w:tcW w:w="720" w:type="dxa"/>
            <w:noWrap/>
          </w:tcPr>
          <w:p w14:paraId="7E295A4E">
            <w:pPr>
              <w:autoSpaceDE w:val="0"/>
              <w:autoSpaceDN w:val="0"/>
              <w:spacing w:line="360" w:lineRule="auto"/>
              <w:rPr>
                <w:rFonts w:eastAsia="仿宋"/>
                <w:kern w:val="0"/>
                <w:sz w:val="22"/>
                <w:szCs w:val="22"/>
              </w:rPr>
            </w:pPr>
          </w:p>
        </w:tc>
        <w:tc>
          <w:tcPr>
            <w:tcW w:w="720" w:type="dxa"/>
            <w:noWrap/>
          </w:tcPr>
          <w:p w14:paraId="137A6E88">
            <w:pPr>
              <w:autoSpaceDE w:val="0"/>
              <w:autoSpaceDN w:val="0"/>
              <w:spacing w:line="360" w:lineRule="auto"/>
              <w:rPr>
                <w:rFonts w:eastAsia="仿宋"/>
                <w:kern w:val="0"/>
                <w:sz w:val="22"/>
                <w:szCs w:val="22"/>
              </w:rPr>
            </w:pPr>
          </w:p>
        </w:tc>
        <w:tc>
          <w:tcPr>
            <w:tcW w:w="888" w:type="dxa"/>
            <w:noWrap/>
          </w:tcPr>
          <w:p w14:paraId="5AEF0530">
            <w:pPr>
              <w:autoSpaceDE w:val="0"/>
              <w:autoSpaceDN w:val="0"/>
              <w:spacing w:line="360" w:lineRule="auto"/>
              <w:rPr>
                <w:rFonts w:eastAsia="仿宋"/>
                <w:kern w:val="0"/>
                <w:sz w:val="22"/>
                <w:szCs w:val="22"/>
              </w:rPr>
            </w:pPr>
          </w:p>
        </w:tc>
        <w:tc>
          <w:tcPr>
            <w:tcW w:w="888" w:type="dxa"/>
            <w:noWrap/>
          </w:tcPr>
          <w:p w14:paraId="1EA6DB9B">
            <w:pPr>
              <w:autoSpaceDE w:val="0"/>
              <w:autoSpaceDN w:val="0"/>
              <w:spacing w:line="360" w:lineRule="auto"/>
              <w:rPr>
                <w:rFonts w:eastAsia="仿宋"/>
                <w:kern w:val="0"/>
                <w:sz w:val="22"/>
                <w:szCs w:val="22"/>
              </w:rPr>
            </w:pPr>
          </w:p>
        </w:tc>
        <w:tc>
          <w:tcPr>
            <w:tcW w:w="888" w:type="dxa"/>
            <w:noWrap/>
          </w:tcPr>
          <w:p w14:paraId="024382A2">
            <w:pPr>
              <w:autoSpaceDE w:val="0"/>
              <w:autoSpaceDN w:val="0"/>
              <w:spacing w:line="360" w:lineRule="auto"/>
              <w:rPr>
                <w:rFonts w:eastAsia="仿宋"/>
                <w:kern w:val="0"/>
                <w:sz w:val="22"/>
                <w:szCs w:val="22"/>
              </w:rPr>
            </w:pPr>
          </w:p>
        </w:tc>
        <w:tc>
          <w:tcPr>
            <w:tcW w:w="888" w:type="dxa"/>
            <w:noWrap/>
          </w:tcPr>
          <w:p w14:paraId="72F7329A">
            <w:pPr>
              <w:autoSpaceDE w:val="0"/>
              <w:autoSpaceDN w:val="0"/>
              <w:spacing w:line="360" w:lineRule="auto"/>
              <w:rPr>
                <w:rFonts w:eastAsia="仿宋"/>
                <w:kern w:val="0"/>
                <w:sz w:val="22"/>
                <w:szCs w:val="22"/>
              </w:rPr>
            </w:pPr>
          </w:p>
        </w:tc>
        <w:tc>
          <w:tcPr>
            <w:tcW w:w="1488" w:type="dxa"/>
            <w:noWrap/>
          </w:tcPr>
          <w:p w14:paraId="105D2F2B">
            <w:pPr>
              <w:autoSpaceDE w:val="0"/>
              <w:autoSpaceDN w:val="0"/>
              <w:spacing w:line="360" w:lineRule="auto"/>
              <w:rPr>
                <w:rFonts w:eastAsia="仿宋"/>
                <w:kern w:val="0"/>
                <w:sz w:val="22"/>
                <w:szCs w:val="22"/>
              </w:rPr>
            </w:pPr>
          </w:p>
        </w:tc>
        <w:tc>
          <w:tcPr>
            <w:tcW w:w="889" w:type="dxa"/>
            <w:noWrap/>
          </w:tcPr>
          <w:p w14:paraId="61E73A58">
            <w:pPr>
              <w:autoSpaceDE w:val="0"/>
              <w:autoSpaceDN w:val="0"/>
              <w:spacing w:line="360" w:lineRule="auto"/>
              <w:rPr>
                <w:rFonts w:eastAsia="仿宋"/>
                <w:kern w:val="0"/>
                <w:sz w:val="22"/>
                <w:szCs w:val="22"/>
              </w:rPr>
            </w:pPr>
          </w:p>
        </w:tc>
        <w:tc>
          <w:tcPr>
            <w:tcW w:w="911" w:type="dxa"/>
            <w:noWrap/>
          </w:tcPr>
          <w:p w14:paraId="7EB624DF">
            <w:pPr>
              <w:autoSpaceDE w:val="0"/>
              <w:autoSpaceDN w:val="0"/>
              <w:spacing w:line="360" w:lineRule="auto"/>
              <w:rPr>
                <w:rFonts w:eastAsia="仿宋"/>
                <w:kern w:val="0"/>
                <w:sz w:val="22"/>
                <w:szCs w:val="22"/>
              </w:rPr>
            </w:pPr>
          </w:p>
        </w:tc>
      </w:tr>
      <w:tr w14:paraId="08EE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2F11423F">
            <w:pPr>
              <w:autoSpaceDE w:val="0"/>
              <w:autoSpaceDN w:val="0"/>
              <w:spacing w:line="360" w:lineRule="auto"/>
              <w:rPr>
                <w:rFonts w:eastAsia="仿宋"/>
                <w:kern w:val="0"/>
                <w:sz w:val="22"/>
                <w:szCs w:val="22"/>
              </w:rPr>
            </w:pPr>
          </w:p>
        </w:tc>
        <w:tc>
          <w:tcPr>
            <w:tcW w:w="720" w:type="dxa"/>
            <w:noWrap/>
          </w:tcPr>
          <w:p w14:paraId="4427470C">
            <w:pPr>
              <w:autoSpaceDE w:val="0"/>
              <w:autoSpaceDN w:val="0"/>
              <w:spacing w:line="360" w:lineRule="auto"/>
              <w:rPr>
                <w:rFonts w:eastAsia="仿宋"/>
                <w:kern w:val="0"/>
                <w:sz w:val="22"/>
                <w:szCs w:val="22"/>
              </w:rPr>
            </w:pPr>
          </w:p>
        </w:tc>
        <w:tc>
          <w:tcPr>
            <w:tcW w:w="720" w:type="dxa"/>
            <w:noWrap/>
          </w:tcPr>
          <w:p w14:paraId="31DD813C">
            <w:pPr>
              <w:autoSpaceDE w:val="0"/>
              <w:autoSpaceDN w:val="0"/>
              <w:spacing w:line="360" w:lineRule="auto"/>
              <w:rPr>
                <w:rFonts w:eastAsia="仿宋"/>
                <w:kern w:val="0"/>
                <w:sz w:val="22"/>
                <w:szCs w:val="22"/>
              </w:rPr>
            </w:pPr>
          </w:p>
        </w:tc>
        <w:tc>
          <w:tcPr>
            <w:tcW w:w="888" w:type="dxa"/>
            <w:noWrap/>
          </w:tcPr>
          <w:p w14:paraId="19B3A787">
            <w:pPr>
              <w:autoSpaceDE w:val="0"/>
              <w:autoSpaceDN w:val="0"/>
              <w:spacing w:line="360" w:lineRule="auto"/>
              <w:rPr>
                <w:rFonts w:eastAsia="仿宋"/>
                <w:kern w:val="0"/>
                <w:sz w:val="22"/>
                <w:szCs w:val="22"/>
              </w:rPr>
            </w:pPr>
          </w:p>
        </w:tc>
        <w:tc>
          <w:tcPr>
            <w:tcW w:w="888" w:type="dxa"/>
            <w:noWrap/>
          </w:tcPr>
          <w:p w14:paraId="1C2E9985">
            <w:pPr>
              <w:autoSpaceDE w:val="0"/>
              <w:autoSpaceDN w:val="0"/>
              <w:spacing w:line="360" w:lineRule="auto"/>
              <w:rPr>
                <w:rFonts w:eastAsia="仿宋"/>
                <w:kern w:val="0"/>
                <w:sz w:val="22"/>
                <w:szCs w:val="22"/>
              </w:rPr>
            </w:pPr>
          </w:p>
        </w:tc>
        <w:tc>
          <w:tcPr>
            <w:tcW w:w="888" w:type="dxa"/>
            <w:noWrap/>
          </w:tcPr>
          <w:p w14:paraId="42C454FD">
            <w:pPr>
              <w:autoSpaceDE w:val="0"/>
              <w:autoSpaceDN w:val="0"/>
              <w:spacing w:line="360" w:lineRule="auto"/>
              <w:rPr>
                <w:rFonts w:eastAsia="仿宋"/>
                <w:kern w:val="0"/>
                <w:sz w:val="22"/>
                <w:szCs w:val="22"/>
              </w:rPr>
            </w:pPr>
          </w:p>
        </w:tc>
        <w:tc>
          <w:tcPr>
            <w:tcW w:w="888" w:type="dxa"/>
            <w:noWrap/>
          </w:tcPr>
          <w:p w14:paraId="00FD474E">
            <w:pPr>
              <w:autoSpaceDE w:val="0"/>
              <w:autoSpaceDN w:val="0"/>
              <w:spacing w:line="360" w:lineRule="auto"/>
              <w:rPr>
                <w:rFonts w:eastAsia="仿宋"/>
                <w:kern w:val="0"/>
                <w:sz w:val="22"/>
                <w:szCs w:val="22"/>
              </w:rPr>
            </w:pPr>
          </w:p>
        </w:tc>
        <w:tc>
          <w:tcPr>
            <w:tcW w:w="1488" w:type="dxa"/>
            <w:noWrap/>
          </w:tcPr>
          <w:p w14:paraId="0FA52333">
            <w:pPr>
              <w:autoSpaceDE w:val="0"/>
              <w:autoSpaceDN w:val="0"/>
              <w:spacing w:line="360" w:lineRule="auto"/>
              <w:rPr>
                <w:rFonts w:eastAsia="仿宋"/>
                <w:kern w:val="0"/>
                <w:sz w:val="22"/>
                <w:szCs w:val="22"/>
              </w:rPr>
            </w:pPr>
          </w:p>
        </w:tc>
        <w:tc>
          <w:tcPr>
            <w:tcW w:w="889" w:type="dxa"/>
            <w:noWrap/>
          </w:tcPr>
          <w:p w14:paraId="4D442748">
            <w:pPr>
              <w:autoSpaceDE w:val="0"/>
              <w:autoSpaceDN w:val="0"/>
              <w:spacing w:line="360" w:lineRule="auto"/>
              <w:rPr>
                <w:rFonts w:eastAsia="仿宋"/>
                <w:kern w:val="0"/>
                <w:sz w:val="22"/>
                <w:szCs w:val="22"/>
              </w:rPr>
            </w:pPr>
          </w:p>
        </w:tc>
        <w:tc>
          <w:tcPr>
            <w:tcW w:w="911" w:type="dxa"/>
            <w:noWrap/>
          </w:tcPr>
          <w:p w14:paraId="4AA3CCA2">
            <w:pPr>
              <w:autoSpaceDE w:val="0"/>
              <w:autoSpaceDN w:val="0"/>
              <w:spacing w:line="360" w:lineRule="auto"/>
              <w:rPr>
                <w:rFonts w:eastAsia="仿宋"/>
                <w:kern w:val="0"/>
                <w:sz w:val="22"/>
                <w:szCs w:val="22"/>
              </w:rPr>
            </w:pPr>
          </w:p>
        </w:tc>
      </w:tr>
      <w:tr w14:paraId="6366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39D9DE99">
            <w:pPr>
              <w:autoSpaceDE w:val="0"/>
              <w:autoSpaceDN w:val="0"/>
              <w:spacing w:line="360" w:lineRule="auto"/>
              <w:rPr>
                <w:rFonts w:eastAsia="仿宋"/>
                <w:kern w:val="0"/>
                <w:sz w:val="22"/>
                <w:szCs w:val="22"/>
              </w:rPr>
            </w:pPr>
          </w:p>
        </w:tc>
        <w:tc>
          <w:tcPr>
            <w:tcW w:w="720" w:type="dxa"/>
            <w:noWrap/>
          </w:tcPr>
          <w:p w14:paraId="763D6B3F">
            <w:pPr>
              <w:autoSpaceDE w:val="0"/>
              <w:autoSpaceDN w:val="0"/>
              <w:spacing w:line="360" w:lineRule="auto"/>
              <w:rPr>
                <w:rFonts w:eastAsia="仿宋"/>
                <w:kern w:val="0"/>
                <w:sz w:val="22"/>
                <w:szCs w:val="22"/>
              </w:rPr>
            </w:pPr>
          </w:p>
        </w:tc>
        <w:tc>
          <w:tcPr>
            <w:tcW w:w="720" w:type="dxa"/>
            <w:noWrap/>
          </w:tcPr>
          <w:p w14:paraId="2D483DA8">
            <w:pPr>
              <w:autoSpaceDE w:val="0"/>
              <w:autoSpaceDN w:val="0"/>
              <w:spacing w:line="360" w:lineRule="auto"/>
              <w:rPr>
                <w:rFonts w:eastAsia="仿宋"/>
                <w:kern w:val="0"/>
                <w:sz w:val="22"/>
                <w:szCs w:val="22"/>
              </w:rPr>
            </w:pPr>
          </w:p>
        </w:tc>
        <w:tc>
          <w:tcPr>
            <w:tcW w:w="888" w:type="dxa"/>
            <w:noWrap/>
          </w:tcPr>
          <w:p w14:paraId="477233EB">
            <w:pPr>
              <w:autoSpaceDE w:val="0"/>
              <w:autoSpaceDN w:val="0"/>
              <w:spacing w:line="360" w:lineRule="auto"/>
              <w:rPr>
                <w:rFonts w:eastAsia="仿宋"/>
                <w:kern w:val="0"/>
                <w:sz w:val="22"/>
                <w:szCs w:val="22"/>
              </w:rPr>
            </w:pPr>
          </w:p>
        </w:tc>
        <w:tc>
          <w:tcPr>
            <w:tcW w:w="888" w:type="dxa"/>
            <w:noWrap/>
          </w:tcPr>
          <w:p w14:paraId="033E88B4">
            <w:pPr>
              <w:autoSpaceDE w:val="0"/>
              <w:autoSpaceDN w:val="0"/>
              <w:spacing w:line="360" w:lineRule="auto"/>
              <w:rPr>
                <w:rFonts w:eastAsia="仿宋"/>
                <w:kern w:val="0"/>
                <w:sz w:val="22"/>
                <w:szCs w:val="22"/>
              </w:rPr>
            </w:pPr>
          </w:p>
        </w:tc>
        <w:tc>
          <w:tcPr>
            <w:tcW w:w="888" w:type="dxa"/>
            <w:noWrap/>
          </w:tcPr>
          <w:p w14:paraId="110F1C10">
            <w:pPr>
              <w:autoSpaceDE w:val="0"/>
              <w:autoSpaceDN w:val="0"/>
              <w:spacing w:line="360" w:lineRule="auto"/>
              <w:rPr>
                <w:rFonts w:eastAsia="仿宋"/>
                <w:kern w:val="0"/>
                <w:sz w:val="22"/>
                <w:szCs w:val="22"/>
              </w:rPr>
            </w:pPr>
          </w:p>
        </w:tc>
        <w:tc>
          <w:tcPr>
            <w:tcW w:w="888" w:type="dxa"/>
            <w:noWrap/>
          </w:tcPr>
          <w:p w14:paraId="0BB44DE9">
            <w:pPr>
              <w:autoSpaceDE w:val="0"/>
              <w:autoSpaceDN w:val="0"/>
              <w:spacing w:line="360" w:lineRule="auto"/>
              <w:rPr>
                <w:rFonts w:eastAsia="仿宋"/>
                <w:kern w:val="0"/>
                <w:sz w:val="22"/>
                <w:szCs w:val="22"/>
              </w:rPr>
            </w:pPr>
          </w:p>
        </w:tc>
        <w:tc>
          <w:tcPr>
            <w:tcW w:w="1488" w:type="dxa"/>
            <w:noWrap/>
          </w:tcPr>
          <w:p w14:paraId="1F1DA1B0">
            <w:pPr>
              <w:autoSpaceDE w:val="0"/>
              <w:autoSpaceDN w:val="0"/>
              <w:spacing w:line="360" w:lineRule="auto"/>
              <w:rPr>
                <w:rFonts w:eastAsia="仿宋"/>
                <w:kern w:val="0"/>
                <w:sz w:val="22"/>
                <w:szCs w:val="22"/>
              </w:rPr>
            </w:pPr>
          </w:p>
        </w:tc>
        <w:tc>
          <w:tcPr>
            <w:tcW w:w="889" w:type="dxa"/>
            <w:noWrap/>
          </w:tcPr>
          <w:p w14:paraId="4ED09FB3">
            <w:pPr>
              <w:autoSpaceDE w:val="0"/>
              <w:autoSpaceDN w:val="0"/>
              <w:spacing w:line="360" w:lineRule="auto"/>
              <w:rPr>
                <w:rFonts w:eastAsia="仿宋"/>
                <w:kern w:val="0"/>
                <w:sz w:val="22"/>
                <w:szCs w:val="22"/>
              </w:rPr>
            </w:pPr>
          </w:p>
        </w:tc>
        <w:tc>
          <w:tcPr>
            <w:tcW w:w="911" w:type="dxa"/>
            <w:noWrap/>
          </w:tcPr>
          <w:p w14:paraId="348B69CC">
            <w:pPr>
              <w:autoSpaceDE w:val="0"/>
              <w:autoSpaceDN w:val="0"/>
              <w:spacing w:line="360" w:lineRule="auto"/>
              <w:rPr>
                <w:rFonts w:eastAsia="仿宋"/>
                <w:kern w:val="0"/>
                <w:sz w:val="22"/>
                <w:szCs w:val="22"/>
              </w:rPr>
            </w:pPr>
          </w:p>
        </w:tc>
      </w:tr>
      <w:tr w14:paraId="1083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14:paraId="7140C708">
            <w:pPr>
              <w:autoSpaceDE w:val="0"/>
              <w:autoSpaceDN w:val="0"/>
              <w:spacing w:line="360" w:lineRule="auto"/>
              <w:rPr>
                <w:rFonts w:eastAsia="仿宋"/>
                <w:kern w:val="0"/>
                <w:sz w:val="22"/>
                <w:szCs w:val="22"/>
              </w:rPr>
            </w:pPr>
          </w:p>
        </w:tc>
        <w:tc>
          <w:tcPr>
            <w:tcW w:w="720" w:type="dxa"/>
            <w:noWrap/>
          </w:tcPr>
          <w:p w14:paraId="5D207A83">
            <w:pPr>
              <w:autoSpaceDE w:val="0"/>
              <w:autoSpaceDN w:val="0"/>
              <w:spacing w:line="360" w:lineRule="auto"/>
              <w:rPr>
                <w:rFonts w:eastAsia="仿宋"/>
                <w:kern w:val="0"/>
                <w:sz w:val="22"/>
                <w:szCs w:val="22"/>
              </w:rPr>
            </w:pPr>
          </w:p>
        </w:tc>
        <w:tc>
          <w:tcPr>
            <w:tcW w:w="720" w:type="dxa"/>
            <w:noWrap/>
          </w:tcPr>
          <w:p w14:paraId="4208D020">
            <w:pPr>
              <w:autoSpaceDE w:val="0"/>
              <w:autoSpaceDN w:val="0"/>
              <w:spacing w:line="360" w:lineRule="auto"/>
              <w:rPr>
                <w:rFonts w:eastAsia="仿宋"/>
                <w:kern w:val="0"/>
                <w:sz w:val="22"/>
                <w:szCs w:val="22"/>
              </w:rPr>
            </w:pPr>
          </w:p>
        </w:tc>
        <w:tc>
          <w:tcPr>
            <w:tcW w:w="888" w:type="dxa"/>
            <w:noWrap/>
          </w:tcPr>
          <w:p w14:paraId="672541FA">
            <w:pPr>
              <w:autoSpaceDE w:val="0"/>
              <w:autoSpaceDN w:val="0"/>
              <w:spacing w:line="360" w:lineRule="auto"/>
              <w:rPr>
                <w:rFonts w:eastAsia="仿宋"/>
                <w:kern w:val="0"/>
                <w:sz w:val="22"/>
                <w:szCs w:val="22"/>
              </w:rPr>
            </w:pPr>
          </w:p>
        </w:tc>
        <w:tc>
          <w:tcPr>
            <w:tcW w:w="888" w:type="dxa"/>
            <w:noWrap/>
          </w:tcPr>
          <w:p w14:paraId="1B60F24F">
            <w:pPr>
              <w:autoSpaceDE w:val="0"/>
              <w:autoSpaceDN w:val="0"/>
              <w:spacing w:line="360" w:lineRule="auto"/>
              <w:rPr>
                <w:rFonts w:eastAsia="仿宋"/>
                <w:kern w:val="0"/>
                <w:sz w:val="22"/>
                <w:szCs w:val="22"/>
              </w:rPr>
            </w:pPr>
          </w:p>
        </w:tc>
        <w:tc>
          <w:tcPr>
            <w:tcW w:w="888" w:type="dxa"/>
            <w:noWrap/>
          </w:tcPr>
          <w:p w14:paraId="713C760C">
            <w:pPr>
              <w:autoSpaceDE w:val="0"/>
              <w:autoSpaceDN w:val="0"/>
              <w:spacing w:line="360" w:lineRule="auto"/>
              <w:rPr>
                <w:rFonts w:eastAsia="仿宋"/>
                <w:kern w:val="0"/>
                <w:sz w:val="22"/>
                <w:szCs w:val="22"/>
              </w:rPr>
            </w:pPr>
          </w:p>
        </w:tc>
        <w:tc>
          <w:tcPr>
            <w:tcW w:w="888" w:type="dxa"/>
            <w:noWrap/>
          </w:tcPr>
          <w:p w14:paraId="378990CA">
            <w:pPr>
              <w:autoSpaceDE w:val="0"/>
              <w:autoSpaceDN w:val="0"/>
              <w:spacing w:line="360" w:lineRule="auto"/>
              <w:rPr>
                <w:rFonts w:eastAsia="仿宋"/>
                <w:kern w:val="0"/>
                <w:sz w:val="22"/>
                <w:szCs w:val="22"/>
              </w:rPr>
            </w:pPr>
          </w:p>
        </w:tc>
        <w:tc>
          <w:tcPr>
            <w:tcW w:w="1488" w:type="dxa"/>
            <w:noWrap/>
          </w:tcPr>
          <w:p w14:paraId="3384548C">
            <w:pPr>
              <w:autoSpaceDE w:val="0"/>
              <w:autoSpaceDN w:val="0"/>
              <w:spacing w:line="360" w:lineRule="auto"/>
              <w:rPr>
                <w:rFonts w:eastAsia="仿宋"/>
                <w:kern w:val="0"/>
                <w:sz w:val="22"/>
                <w:szCs w:val="22"/>
              </w:rPr>
            </w:pPr>
          </w:p>
        </w:tc>
        <w:tc>
          <w:tcPr>
            <w:tcW w:w="889" w:type="dxa"/>
            <w:noWrap/>
          </w:tcPr>
          <w:p w14:paraId="76AC5D6A">
            <w:pPr>
              <w:autoSpaceDE w:val="0"/>
              <w:autoSpaceDN w:val="0"/>
              <w:spacing w:line="360" w:lineRule="auto"/>
              <w:rPr>
                <w:rFonts w:eastAsia="仿宋"/>
                <w:kern w:val="0"/>
                <w:sz w:val="22"/>
                <w:szCs w:val="22"/>
              </w:rPr>
            </w:pPr>
          </w:p>
        </w:tc>
        <w:tc>
          <w:tcPr>
            <w:tcW w:w="911" w:type="dxa"/>
            <w:noWrap/>
          </w:tcPr>
          <w:p w14:paraId="4D88B48D">
            <w:pPr>
              <w:autoSpaceDE w:val="0"/>
              <w:autoSpaceDN w:val="0"/>
              <w:spacing w:line="360" w:lineRule="auto"/>
              <w:rPr>
                <w:rFonts w:eastAsia="仿宋"/>
                <w:kern w:val="0"/>
                <w:sz w:val="22"/>
                <w:szCs w:val="22"/>
              </w:rPr>
            </w:pPr>
          </w:p>
        </w:tc>
      </w:tr>
      <w:tr w14:paraId="227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noWrap/>
          </w:tcPr>
          <w:p w14:paraId="1C2A6BBE">
            <w:pPr>
              <w:autoSpaceDE w:val="0"/>
              <w:autoSpaceDN w:val="0"/>
              <w:spacing w:line="360" w:lineRule="auto"/>
              <w:ind w:firstLine="495" w:firstLineChars="225"/>
              <w:rPr>
                <w:rFonts w:eastAsia="仿宋"/>
                <w:kern w:val="0"/>
                <w:sz w:val="22"/>
                <w:szCs w:val="22"/>
              </w:rPr>
            </w:pPr>
            <w:r>
              <w:rPr>
                <w:rFonts w:eastAsia="仿宋"/>
                <w:kern w:val="0"/>
                <w:sz w:val="22"/>
                <w:szCs w:val="22"/>
              </w:rPr>
              <w:t>本工程一旦我单位</w:t>
            </w:r>
            <w:r>
              <w:rPr>
                <w:rFonts w:hint="eastAsia" w:eastAsia="仿宋"/>
                <w:kern w:val="0"/>
                <w:sz w:val="22"/>
                <w:szCs w:val="22"/>
              </w:rPr>
              <w:t>成交</w:t>
            </w:r>
            <w:r>
              <w:rPr>
                <w:rFonts w:eastAsia="仿宋"/>
                <w:kern w:val="0"/>
                <w:sz w:val="22"/>
                <w:szCs w:val="22"/>
              </w:rPr>
              <w:t>，将实行项目经理负责制，并配备上述项目管理班子。上述填报内容真实，若不真实，愿按有关规定接受处理。项目管理班子机构设置、职责分工等情况另附资料说明。</w:t>
            </w:r>
          </w:p>
        </w:tc>
      </w:tr>
    </w:tbl>
    <w:p w14:paraId="5D2E4E07">
      <w:pPr>
        <w:autoSpaceDE w:val="0"/>
        <w:autoSpaceDN w:val="0"/>
        <w:spacing w:line="440" w:lineRule="exact"/>
        <w:rPr>
          <w:rFonts w:eastAsia="仿宋"/>
          <w:b/>
          <w:bCs/>
          <w:sz w:val="22"/>
          <w:szCs w:val="22"/>
        </w:rPr>
      </w:pPr>
    </w:p>
    <w:p w14:paraId="547442D3">
      <w:pPr>
        <w:autoSpaceDE w:val="0"/>
        <w:autoSpaceDN w:val="0"/>
        <w:spacing w:line="440" w:lineRule="exact"/>
        <w:rPr>
          <w:rFonts w:eastAsia="仿宋"/>
          <w:b/>
          <w:bCs/>
          <w:sz w:val="22"/>
          <w:szCs w:val="22"/>
        </w:rPr>
      </w:pPr>
      <w:r>
        <w:rPr>
          <w:rFonts w:eastAsia="仿宋"/>
          <w:b/>
          <w:bCs/>
          <w:sz w:val="22"/>
          <w:szCs w:val="22"/>
        </w:rPr>
        <w:t>附表四、</w:t>
      </w:r>
      <w:r>
        <w:rPr>
          <w:rFonts w:eastAsia="仿宋"/>
          <w:b/>
          <w:bCs/>
          <w:kern w:val="0"/>
          <w:sz w:val="22"/>
          <w:szCs w:val="22"/>
        </w:rPr>
        <w:t>项目经理简历表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46FD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0B348228">
            <w:pPr>
              <w:autoSpaceDE w:val="0"/>
              <w:autoSpaceDN w:val="0"/>
              <w:spacing w:line="360" w:lineRule="auto"/>
              <w:jc w:val="center"/>
              <w:rPr>
                <w:rFonts w:eastAsia="仿宋"/>
                <w:kern w:val="0"/>
                <w:sz w:val="22"/>
                <w:szCs w:val="22"/>
              </w:rPr>
            </w:pPr>
            <w:r>
              <w:rPr>
                <w:rFonts w:eastAsia="仿宋"/>
                <w:kern w:val="0"/>
                <w:sz w:val="22"/>
                <w:szCs w:val="22"/>
              </w:rPr>
              <w:t>姓名</w:t>
            </w:r>
          </w:p>
        </w:tc>
        <w:tc>
          <w:tcPr>
            <w:tcW w:w="1480" w:type="dxa"/>
            <w:noWrap/>
          </w:tcPr>
          <w:p w14:paraId="7871E26A">
            <w:pPr>
              <w:autoSpaceDE w:val="0"/>
              <w:autoSpaceDN w:val="0"/>
              <w:spacing w:line="360" w:lineRule="auto"/>
              <w:jc w:val="center"/>
              <w:rPr>
                <w:rFonts w:eastAsia="仿宋"/>
                <w:kern w:val="0"/>
                <w:sz w:val="22"/>
                <w:szCs w:val="22"/>
              </w:rPr>
            </w:pPr>
          </w:p>
        </w:tc>
        <w:tc>
          <w:tcPr>
            <w:tcW w:w="1480" w:type="dxa"/>
            <w:noWrap/>
          </w:tcPr>
          <w:p w14:paraId="4407EAF4">
            <w:pPr>
              <w:autoSpaceDE w:val="0"/>
              <w:autoSpaceDN w:val="0"/>
              <w:spacing w:line="360" w:lineRule="auto"/>
              <w:jc w:val="center"/>
              <w:rPr>
                <w:rFonts w:eastAsia="仿宋"/>
                <w:kern w:val="0"/>
                <w:sz w:val="22"/>
                <w:szCs w:val="22"/>
              </w:rPr>
            </w:pPr>
            <w:r>
              <w:rPr>
                <w:rFonts w:eastAsia="仿宋"/>
                <w:kern w:val="0"/>
                <w:sz w:val="22"/>
                <w:szCs w:val="22"/>
              </w:rPr>
              <w:t>性别</w:t>
            </w:r>
          </w:p>
        </w:tc>
        <w:tc>
          <w:tcPr>
            <w:tcW w:w="1608" w:type="dxa"/>
            <w:noWrap/>
          </w:tcPr>
          <w:p w14:paraId="7ECD6296">
            <w:pPr>
              <w:autoSpaceDE w:val="0"/>
              <w:autoSpaceDN w:val="0"/>
              <w:spacing w:line="360" w:lineRule="auto"/>
              <w:jc w:val="center"/>
              <w:rPr>
                <w:rFonts w:eastAsia="仿宋"/>
                <w:kern w:val="0"/>
                <w:sz w:val="22"/>
                <w:szCs w:val="22"/>
              </w:rPr>
            </w:pPr>
          </w:p>
        </w:tc>
        <w:tc>
          <w:tcPr>
            <w:tcW w:w="1481" w:type="dxa"/>
            <w:noWrap/>
          </w:tcPr>
          <w:p w14:paraId="284C0D6E">
            <w:pPr>
              <w:autoSpaceDE w:val="0"/>
              <w:autoSpaceDN w:val="0"/>
              <w:spacing w:line="360" w:lineRule="auto"/>
              <w:jc w:val="center"/>
              <w:rPr>
                <w:rFonts w:eastAsia="仿宋"/>
                <w:kern w:val="0"/>
                <w:sz w:val="22"/>
                <w:szCs w:val="22"/>
              </w:rPr>
            </w:pPr>
            <w:r>
              <w:rPr>
                <w:rFonts w:eastAsia="仿宋"/>
                <w:kern w:val="0"/>
                <w:sz w:val="22"/>
                <w:szCs w:val="22"/>
              </w:rPr>
              <w:t>年龄</w:t>
            </w:r>
          </w:p>
        </w:tc>
        <w:tc>
          <w:tcPr>
            <w:tcW w:w="1481" w:type="dxa"/>
            <w:noWrap/>
          </w:tcPr>
          <w:p w14:paraId="08ABEF09">
            <w:pPr>
              <w:autoSpaceDE w:val="0"/>
              <w:autoSpaceDN w:val="0"/>
              <w:spacing w:line="360" w:lineRule="auto"/>
              <w:jc w:val="center"/>
              <w:rPr>
                <w:rFonts w:eastAsia="仿宋"/>
                <w:kern w:val="0"/>
                <w:sz w:val="22"/>
                <w:szCs w:val="22"/>
              </w:rPr>
            </w:pPr>
          </w:p>
        </w:tc>
      </w:tr>
      <w:tr w14:paraId="09B5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132D2331">
            <w:pPr>
              <w:autoSpaceDE w:val="0"/>
              <w:autoSpaceDN w:val="0"/>
              <w:spacing w:line="360" w:lineRule="auto"/>
              <w:jc w:val="center"/>
              <w:rPr>
                <w:rFonts w:eastAsia="仿宋"/>
                <w:kern w:val="0"/>
                <w:sz w:val="22"/>
                <w:szCs w:val="22"/>
              </w:rPr>
            </w:pPr>
            <w:r>
              <w:rPr>
                <w:rFonts w:eastAsia="仿宋"/>
                <w:kern w:val="0"/>
                <w:sz w:val="22"/>
                <w:szCs w:val="22"/>
              </w:rPr>
              <w:t>职务</w:t>
            </w:r>
          </w:p>
        </w:tc>
        <w:tc>
          <w:tcPr>
            <w:tcW w:w="1480" w:type="dxa"/>
            <w:noWrap/>
          </w:tcPr>
          <w:p w14:paraId="45ABD7A2">
            <w:pPr>
              <w:autoSpaceDE w:val="0"/>
              <w:autoSpaceDN w:val="0"/>
              <w:spacing w:line="360" w:lineRule="auto"/>
              <w:jc w:val="center"/>
              <w:rPr>
                <w:rFonts w:eastAsia="仿宋"/>
                <w:kern w:val="0"/>
                <w:sz w:val="22"/>
                <w:szCs w:val="22"/>
              </w:rPr>
            </w:pPr>
          </w:p>
        </w:tc>
        <w:tc>
          <w:tcPr>
            <w:tcW w:w="1480" w:type="dxa"/>
            <w:noWrap/>
          </w:tcPr>
          <w:p w14:paraId="6C7C2A9B">
            <w:pPr>
              <w:autoSpaceDE w:val="0"/>
              <w:autoSpaceDN w:val="0"/>
              <w:spacing w:line="360" w:lineRule="auto"/>
              <w:jc w:val="center"/>
              <w:rPr>
                <w:rFonts w:eastAsia="仿宋"/>
                <w:kern w:val="0"/>
                <w:sz w:val="22"/>
                <w:szCs w:val="22"/>
              </w:rPr>
            </w:pPr>
            <w:r>
              <w:rPr>
                <w:rFonts w:eastAsia="仿宋"/>
                <w:kern w:val="0"/>
                <w:sz w:val="22"/>
                <w:szCs w:val="22"/>
              </w:rPr>
              <w:t>职称</w:t>
            </w:r>
          </w:p>
        </w:tc>
        <w:tc>
          <w:tcPr>
            <w:tcW w:w="1608" w:type="dxa"/>
            <w:noWrap/>
          </w:tcPr>
          <w:p w14:paraId="727B6475">
            <w:pPr>
              <w:autoSpaceDE w:val="0"/>
              <w:autoSpaceDN w:val="0"/>
              <w:spacing w:line="360" w:lineRule="auto"/>
              <w:jc w:val="center"/>
              <w:rPr>
                <w:rFonts w:eastAsia="仿宋"/>
                <w:kern w:val="0"/>
                <w:sz w:val="22"/>
                <w:szCs w:val="22"/>
              </w:rPr>
            </w:pPr>
          </w:p>
        </w:tc>
        <w:tc>
          <w:tcPr>
            <w:tcW w:w="1481" w:type="dxa"/>
            <w:noWrap/>
          </w:tcPr>
          <w:p w14:paraId="02C9C8EE">
            <w:pPr>
              <w:autoSpaceDE w:val="0"/>
              <w:autoSpaceDN w:val="0"/>
              <w:spacing w:line="360" w:lineRule="auto"/>
              <w:jc w:val="center"/>
              <w:rPr>
                <w:rFonts w:eastAsia="仿宋"/>
                <w:kern w:val="0"/>
                <w:sz w:val="22"/>
                <w:szCs w:val="22"/>
              </w:rPr>
            </w:pPr>
            <w:r>
              <w:rPr>
                <w:rFonts w:eastAsia="仿宋"/>
                <w:kern w:val="0"/>
                <w:sz w:val="22"/>
                <w:szCs w:val="22"/>
              </w:rPr>
              <w:t>学历</w:t>
            </w:r>
          </w:p>
        </w:tc>
        <w:tc>
          <w:tcPr>
            <w:tcW w:w="1481" w:type="dxa"/>
            <w:noWrap/>
          </w:tcPr>
          <w:p w14:paraId="122DFFA5">
            <w:pPr>
              <w:autoSpaceDE w:val="0"/>
              <w:autoSpaceDN w:val="0"/>
              <w:spacing w:line="360" w:lineRule="auto"/>
              <w:jc w:val="center"/>
              <w:rPr>
                <w:rFonts w:eastAsia="仿宋"/>
                <w:kern w:val="0"/>
                <w:sz w:val="22"/>
                <w:szCs w:val="22"/>
              </w:rPr>
            </w:pPr>
          </w:p>
        </w:tc>
      </w:tr>
      <w:tr w14:paraId="3CE7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054EBE81">
            <w:pPr>
              <w:autoSpaceDE w:val="0"/>
              <w:autoSpaceDN w:val="0"/>
              <w:spacing w:line="360" w:lineRule="auto"/>
              <w:jc w:val="center"/>
              <w:rPr>
                <w:rFonts w:eastAsia="仿宋"/>
                <w:kern w:val="0"/>
                <w:sz w:val="22"/>
                <w:szCs w:val="22"/>
              </w:rPr>
            </w:pPr>
            <w:r>
              <w:rPr>
                <w:rFonts w:eastAsia="仿宋"/>
                <w:kern w:val="0"/>
                <w:sz w:val="22"/>
                <w:szCs w:val="22"/>
              </w:rPr>
              <w:t>参加工作时间</w:t>
            </w:r>
          </w:p>
        </w:tc>
        <w:tc>
          <w:tcPr>
            <w:tcW w:w="1480" w:type="dxa"/>
            <w:noWrap/>
          </w:tcPr>
          <w:p w14:paraId="38EF008E">
            <w:pPr>
              <w:autoSpaceDE w:val="0"/>
              <w:autoSpaceDN w:val="0"/>
              <w:spacing w:line="360" w:lineRule="auto"/>
              <w:jc w:val="center"/>
              <w:rPr>
                <w:rFonts w:eastAsia="仿宋"/>
                <w:kern w:val="0"/>
                <w:sz w:val="22"/>
                <w:szCs w:val="22"/>
              </w:rPr>
            </w:pPr>
          </w:p>
        </w:tc>
        <w:tc>
          <w:tcPr>
            <w:tcW w:w="3089" w:type="dxa"/>
            <w:gridSpan w:val="2"/>
            <w:noWrap/>
          </w:tcPr>
          <w:p w14:paraId="43F50913">
            <w:pPr>
              <w:autoSpaceDE w:val="0"/>
              <w:autoSpaceDN w:val="0"/>
              <w:spacing w:line="360" w:lineRule="auto"/>
              <w:jc w:val="center"/>
              <w:rPr>
                <w:rFonts w:eastAsia="仿宋"/>
                <w:kern w:val="0"/>
                <w:sz w:val="22"/>
                <w:szCs w:val="22"/>
              </w:rPr>
            </w:pPr>
            <w:r>
              <w:rPr>
                <w:rFonts w:eastAsia="仿宋"/>
                <w:kern w:val="0"/>
                <w:sz w:val="22"/>
                <w:szCs w:val="22"/>
              </w:rPr>
              <w:t>从事项目经理年限</w:t>
            </w:r>
          </w:p>
        </w:tc>
        <w:tc>
          <w:tcPr>
            <w:tcW w:w="1481" w:type="dxa"/>
            <w:noWrap/>
          </w:tcPr>
          <w:p w14:paraId="2A69EE4D">
            <w:pPr>
              <w:autoSpaceDE w:val="0"/>
              <w:autoSpaceDN w:val="0"/>
              <w:spacing w:line="360" w:lineRule="auto"/>
              <w:jc w:val="center"/>
              <w:rPr>
                <w:rFonts w:eastAsia="仿宋"/>
                <w:kern w:val="0"/>
                <w:sz w:val="22"/>
                <w:szCs w:val="22"/>
              </w:rPr>
            </w:pPr>
          </w:p>
        </w:tc>
      </w:tr>
      <w:tr w14:paraId="471B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250938D5">
            <w:pPr>
              <w:autoSpaceDE w:val="0"/>
              <w:autoSpaceDN w:val="0"/>
              <w:spacing w:line="360" w:lineRule="auto"/>
              <w:jc w:val="center"/>
              <w:rPr>
                <w:rFonts w:eastAsia="仿宋"/>
                <w:kern w:val="0"/>
                <w:sz w:val="22"/>
                <w:szCs w:val="22"/>
              </w:rPr>
            </w:pPr>
            <w:r>
              <w:rPr>
                <w:rFonts w:eastAsia="仿宋"/>
                <w:kern w:val="0"/>
                <w:sz w:val="22"/>
                <w:szCs w:val="22"/>
              </w:rPr>
              <w:t>项目经理资格证书编号</w:t>
            </w:r>
          </w:p>
        </w:tc>
        <w:tc>
          <w:tcPr>
            <w:tcW w:w="6050" w:type="dxa"/>
            <w:gridSpan w:val="4"/>
            <w:noWrap/>
          </w:tcPr>
          <w:p w14:paraId="6DD608C3">
            <w:pPr>
              <w:autoSpaceDE w:val="0"/>
              <w:autoSpaceDN w:val="0"/>
              <w:spacing w:line="360" w:lineRule="auto"/>
              <w:jc w:val="center"/>
              <w:rPr>
                <w:rFonts w:eastAsia="仿宋"/>
                <w:kern w:val="0"/>
                <w:sz w:val="22"/>
                <w:szCs w:val="22"/>
              </w:rPr>
            </w:pPr>
          </w:p>
        </w:tc>
      </w:tr>
      <w:tr w14:paraId="72F8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14:paraId="7234E9C4">
            <w:pPr>
              <w:autoSpaceDE w:val="0"/>
              <w:autoSpaceDN w:val="0"/>
              <w:spacing w:line="360" w:lineRule="auto"/>
              <w:jc w:val="center"/>
              <w:rPr>
                <w:rFonts w:eastAsia="仿宋"/>
                <w:kern w:val="0"/>
                <w:sz w:val="22"/>
                <w:szCs w:val="22"/>
              </w:rPr>
            </w:pPr>
            <w:r>
              <w:rPr>
                <w:rFonts w:eastAsia="仿宋"/>
                <w:kern w:val="0"/>
                <w:sz w:val="22"/>
                <w:szCs w:val="22"/>
              </w:rPr>
              <w:t>在建和已完工程项目情况</w:t>
            </w:r>
          </w:p>
        </w:tc>
      </w:tr>
      <w:tr w14:paraId="09B9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51A46F92">
            <w:pPr>
              <w:autoSpaceDE w:val="0"/>
              <w:autoSpaceDN w:val="0"/>
              <w:spacing w:line="360" w:lineRule="auto"/>
              <w:jc w:val="center"/>
              <w:rPr>
                <w:rFonts w:eastAsia="仿宋"/>
                <w:kern w:val="0"/>
                <w:sz w:val="22"/>
                <w:szCs w:val="22"/>
              </w:rPr>
            </w:pPr>
            <w:r>
              <w:rPr>
                <w:rFonts w:eastAsia="仿宋"/>
                <w:kern w:val="0"/>
                <w:sz w:val="22"/>
                <w:szCs w:val="22"/>
              </w:rPr>
              <w:t>建设单位</w:t>
            </w:r>
          </w:p>
        </w:tc>
        <w:tc>
          <w:tcPr>
            <w:tcW w:w="1480" w:type="dxa"/>
            <w:noWrap/>
          </w:tcPr>
          <w:p w14:paraId="2C5918AB">
            <w:pPr>
              <w:autoSpaceDE w:val="0"/>
              <w:autoSpaceDN w:val="0"/>
              <w:spacing w:line="360" w:lineRule="auto"/>
              <w:jc w:val="center"/>
              <w:rPr>
                <w:rFonts w:eastAsia="仿宋"/>
                <w:kern w:val="0"/>
                <w:sz w:val="22"/>
                <w:szCs w:val="22"/>
              </w:rPr>
            </w:pPr>
            <w:r>
              <w:rPr>
                <w:rFonts w:eastAsia="仿宋"/>
                <w:kern w:val="0"/>
                <w:sz w:val="22"/>
                <w:szCs w:val="22"/>
              </w:rPr>
              <w:t>项目名称</w:t>
            </w:r>
          </w:p>
        </w:tc>
        <w:tc>
          <w:tcPr>
            <w:tcW w:w="1480" w:type="dxa"/>
            <w:noWrap/>
          </w:tcPr>
          <w:p w14:paraId="71142FC9">
            <w:pPr>
              <w:autoSpaceDE w:val="0"/>
              <w:autoSpaceDN w:val="0"/>
              <w:spacing w:line="360" w:lineRule="auto"/>
              <w:jc w:val="center"/>
              <w:rPr>
                <w:rFonts w:eastAsia="仿宋"/>
                <w:kern w:val="0"/>
                <w:sz w:val="22"/>
                <w:szCs w:val="22"/>
              </w:rPr>
            </w:pPr>
            <w:r>
              <w:rPr>
                <w:rFonts w:eastAsia="仿宋"/>
                <w:kern w:val="0"/>
                <w:sz w:val="22"/>
                <w:szCs w:val="22"/>
              </w:rPr>
              <w:t>建设规模</w:t>
            </w:r>
          </w:p>
        </w:tc>
        <w:tc>
          <w:tcPr>
            <w:tcW w:w="1608" w:type="dxa"/>
            <w:noWrap/>
          </w:tcPr>
          <w:p w14:paraId="2E7A1FCA">
            <w:pPr>
              <w:autoSpaceDE w:val="0"/>
              <w:autoSpaceDN w:val="0"/>
              <w:spacing w:line="360" w:lineRule="auto"/>
              <w:jc w:val="center"/>
              <w:rPr>
                <w:rFonts w:eastAsia="仿宋"/>
                <w:kern w:val="0"/>
                <w:sz w:val="22"/>
                <w:szCs w:val="22"/>
              </w:rPr>
            </w:pPr>
            <w:r>
              <w:rPr>
                <w:rFonts w:eastAsia="仿宋"/>
                <w:kern w:val="0"/>
                <w:sz w:val="22"/>
                <w:szCs w:val="22"/>
              </w:rPr>
              <w:t>开、竣工日期</w:t>
            </w:r>
          </w:p>
        </w:tc>
        <w:tc>
          <w:tcPr>
            <w:tcW w:w="1481" w:type="dxa"/>
            <w:noWrap/>
          </w:tcPr>
          <w:p w14:paraId="1E226645">
            <w:pPr>
              <w:autoSpaceDE w:val="0"/>
              <w:autoSpaceDN w:val="0"/>
              <w:spacing w:line="360" w:lineRule="auto"/>
              <w:jc w:val="center"/>
              <w:rPr>
                <w:rFonts w:eastAsia="仿宋"/>
                <w:kern w:val="0"/>
                <w:sz w:val="22"/>
                <w:szCs w:val="22"/>
              </w:rPr>
            </w:pPr>
            <w:r>
              <w:rPr>
                <w:rFonts w:eastAsia="仿宋"/>
                <w:kern w:val="0"/>
                <w:sz w:val="22"/>
                <w:szCs w:val="22"/>
              </w:rPr>
              <w:t>在建或已完</w:t>
            </w:r>
          </w:p>
        </w:tc>
        <w:tc>
          <w:tcPr>
            <w:tcW w:w="1481" w:type="dxa"/>
            <w:noWrap/>
          </w:tcPr>
          <w:p w14:paraId="28BA2F66">
            <w:pPr>
              <w:autoSpaceDE w:val="0"/>
              <w:autoSpaceDN w:val="0"/>
              <w:spacing w:line="360" w:lineRule="auto"/>
              <w:jc w:val="center"/>
              <w:rPr>
                <w:rFonts w:eastAsia="仿宋"/>
                <w:kern w:val="0"/>
                <w:sz w:val="22"/>
                <w:szCs w:val="22"/>
              </w:rPr>
            </w:pPr>
            <w:r>
              <w:rPr>
                <w:rFonts w:eastAsia="仿宋"/>
                <w:kern w:val="0"/>
                <w:sz w:val="22"/>
                <w:szCs w:val="22"/>
              </w:rPr>
              <w:t>工程质量</w:t>
            </w:r>
          </w:p>
        </w:tc>
      </w:tr>
      <w:tr w14:paraId="73D0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1CA999AA">
            <w:pPr>
              <w:autoSpaceDE w:val="0"/>
              <w:autoSpaceDN w:val="0"/>
              <w:spacing w:line="360" w:lineRule="auto"/>
              <w:rPr>
                <w:rFonts w:eastAsia="仿宋"/>
                <w:kern w:val="0"/>
                <w:sz w:val="22"/>
                <w:szCs w:val="22"/>
              </w:rPr>
            </w:pPr>
          </w:p>
        </w:tc>
        <w:tc>
          <w:tcPr>
            <w:tcW w:w="1480" w:type="dxa"/>
            <w:noWrap/>
          </w:tcPr>
          <w:p w14:paraId="3178DC29">
            <w:pPr>
              <w:autoSpaceDE w:val="0"/>
              <w:autoSpaceDN w:val="0"/>
              <w:spacing w:line="360" w:lineRule="auto"/>
              <w:rPr>
                <w:rFonts w:eastAsia="仿宋"/>
                <w:kern w:val="0"/>
                <w:sz w:val="22"/>
                <w:szCs w:val="22"/>
              </w:rPr>
            </w:pPr>
          </w:p>
        </w:tc>
        <w:tc>
          <w:tcPr>
            <w:tcW w:w="1480" w:type="dxa"/>
            <w:noWrap/>
          </w:tcPr>
          <w:p w14:paraId="04A2DCBA">
            <w:pPr>
              <w:autoSpaceDE w:val="0"/>
              <w:autoSpaceDN w:val="0"/>
              <w:spacing w:line="360" w:lineRule="auto"/>
              <w:rPr>
                <w:rFonts w:eastAsia="仿宋"/>
                <w:kern w:val="0"/>
                <w:sz w:val="22"/>
                <w:szCs w:val="22"/>
              </w:rPr>
            </w:pPr>
          </w:p>
        </w:tc>
        <w:tc>
          <w:tcPr>
            <w:tcW w:w="1608" w:type="dxa"/>
            <w:noWrap/>
          </w:tcPr>
          <w:p w14:paraId="76FA7826">
            <w:pPr>
              <w:autoSpaceDE w:val="0"/>
              <w:autoSpaceDN w:val="0"/>
              <w:spacing w:line="360" w:lineRule="auto"/>
              <w:rPr>
                <w:rFonts w:eastAsia="仿宋"/>
                <w:kern w:val="0"/>
                <w:sz w:val="22"/>
                <w:szCs w:val="22"/>
              </w:rPr>
            </w:pPr>
          </w:p>
        </w:tc>
        <w:tc>
          <w:tcPr>
            <w:tcW w:w="1481" w:type="dxa"/>
            <w:noWrap/>
          </w:tcPr>
          <w:p w14:paraId="01E04CEF">
            <w:pPr>
              <w:autoSpaceDE w:val="0"/>
              <w:autoSpaceDN w:val="0"/>
              <w:spacing w:line="360" w:lineRule="auto"/>
              <w:rPr>
                <w:rFonts w:eastAsia="仿宋"/>
                <w:kern w:val="0"/>
                <w:sz w:val="22"/>
                <w:szCs w:val="22"/>
              </w:rPr>
            </w:pPr>
          </w:p>
        </w:tc>
        <w:tc>
          <w:tcPr>
            <w:tcW w:w="1481" w:type="dxa"/>
            <w:noWrap/>
          </w:tcPr>
          <w:p w14:paraId="14F41B82">
            <w:pPr>
              <w:autoSpaceDE w:val="0"/>
              <w:autoSpaceDN w:val="0"/>
              <w:spacing w:line="360" w:lineRule="auto"/>
              <w:rPr>
                <w:rFonts w:eastAsia="仿宋"/>
                <w:kern w:val="0"/>
                <w:sz w:val="22"/>
                <w:szCs w:val="22"/>
              </w:rPr>
            </w:pPr>
          </w:p>
        </w:tc>
      </w:tr>
      <w:tr w14:paraId="1588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0E336056">
            <w:pPr>
              <w:autoSpaceDE w:val="0"/>
              <w:autoSpaceDN w:val="0"/>
              <w:spacing w:line="360" w:lineRule="auto"/>
              <w:rPr>
                <w:rFonts w:eastAsia="仿宋"/>
                <w:kern w:val="0"/>
                <w:sz w:val="22"/>
                <w:szCs w:val="22"/>
              </w:rPr>
            </w:pPr>
          </w:p>
        </w:tc>
        <w:tc>
          <w:tcPr>
            <w:tcW w:w="1480" w:type="dxa"/>
            <w:noWrap/>
          </w:tcPr>
          <w:p w14:paraId="6403706C">
            <w:pPr>
              <w:autoSpaceDE w:val="0"/>
              <w:autoSpaceDN w:val="0"/>
              <w:spacing w:line="360" w:lineRule="auto"/>
              <w:rPr>
                <w:rFonts w:eastAsia="仿宋"/>
                <w:kern w:val="0"/>
                <w:sz w:val="22"/>
                <w:szCs w:val="22"/>
              </w:rPr>
            </w:pPr>
          </w:p>
        </w:tc>
        <w:tc>
          <w:tcPr>
            <w:tcW w:w="1480" w:type="dxa"/>
            <w:noWrap/>
          </w:tcPr>
          <w:p w14:paraId="72FCCD60">
            <w:pPr>
              <w:autoSpaceDE w:val="0"/>
              <w:autoSpaceDN w:val="0"/>
              <w:spacing w:line="360" w:lineRule="auto"/>
              <w:rPr>
                <w:rFonts w:eastAsia="仿宋"/>
                <w:kern w:val="0"/>
                <w:sz w:val="22"/>
                <w:szCs w:val="22"/>
              </w:rPr>
            </w:pPr>
          </w:p>
        </w:tc>
        <w:tc>
          <w:tcPr>
            <w:tcW w:w="1608" w:type="dxa"/>
            <w:noWrap/>
          </w:tcPr>
          <w:p w14:paraId="675FDC86">
            <w:pPr>
              <w:autoSpaceDE w:val="0"/>
              <w:autoSpaceDN w:val="0"/>
              <w:spacing w:line="360" w:lineRule="auto"/>
              <w:rPr>
                <w:rFonts w:eastAsia="仿宋"/>
                <w:kern w:val="0"/>
                <w:sz w:val="22"/>
                <w:szCs w:val="22"/>
              </w:rPr>
            </w:pPr>
          </w:p>
        </w:tc>
        <w:tc>
          <w:tcPr>
            <w:tcW w:w="1481" w:type="dxa"/>
            <w:noWrap/>
          </w:tcPr>
          <w:p w14:paraId="639BFC3C">
            <w:pPr>
              <w:autoSpaceDE w:val="0"/>
              <w:autoSpaceDN w:val="0"/>
              <w:spacing w:line="360" w:lineRule="auto"/>
              <w:rPr>
                <w:rFonts w:eastAsia="仿宋"/>
                <w:kern w:val="0"/>
                <w:sz w:val="22"/>
                <w:szCs w:val="22"/>
              </w:rPr>
            </w:pPr>
          </w:p>
        </w:tc>
        <w:tc>
          <w:tcPr>
            <w:tcW w:w="1481" w:type="dxa"/>
            <w:noWrap/>
          </w:tcPr>
          <w:p w14:paraId="722877CA">
            <w:pPr>
              <w:autoSpaceDE w:val="0"/>
              <w:autoSpaceDN w:val="0"/>
              <w:spacing w:line="360" w:lineRule="auto"/>
              <w:rPr>
                <w:rFonts w:eastAsia="仿宋"/>
                <w:kern w:val="0"/>
                <w:sz w:val="22"/>
                <w:szCs w:val="22"/>
              </w:rPr>
            </w:pPr>
          </w:p>
        </w:tc>
      </w:tr>
      <w:tr w14:paraId="42E0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2EB46385">
            <w:pPr>
              <w:autoSpaceDE w:val="0"/>
              <w:autoSpaceDN w:val="0"/>
              <w:spacing w:line="360" w:lineRule="auto"/>
              <w:rPr>
                <w:rFonts w:eastAsia="仿宋"/>
                <w:kern w:val="0"/>
                <w:sz w:val="22"/>
                <w:szCs w:val="22"/>
              </w:rPr>
            </w:pPr>
          </w:p>
        </w:tc>
        <w:tc>
          <w:tcPr>
            <w:tcW w:w="1480" w:type="dxa"/>
            <w:noWrap/>
          </w:tcPr>
          <w:p w14:paraId="595AAC33">
            <w:pPr>
              <w:autoSpaceDE w:val="0"/>
              <w:autoSpaceDN w:val="0"/>
              <w:spacing w:line="360" w:lineRule="auto"/>
              <w:rPr>
                <w:rFonts w:eastAsia="仿宋"/>
                <w:kern w:val="0"/>
                <w:sz w:val="22"/>
                <w:szCs w:val="22"/>
              </w:rPr>
            </w:pPr>
          </w:p>
        </w:tc>
        <w:tc>
          <w:tcPr>
            <w:tcW w:w="1480" w:type="dxa"/>
            <w:noWrap/>
          </w:tcPr>
          <w:p w14:paraId="068CF3ED">
            <w:pPr>
              <w:autoSpaceDE w:val="0"/>
              <w:autoSpaceDN w:val="0"/>
              <w:spacing w:line="360" w:lineRule="auto"/>
              <w:rPr>
                <w:rFonts w:eastAsia="仿宋"/>
                <w:kern w:val="0"/>
                <w:sz w:val="22"/>
                <w:szCs w:val="22"/>
              </w:rPr>
            </w:pPr>
          </w:p>
        </w:tc>
        <w:tc>
          <w:tcPr>
            <w:tcW w:w="1608" w:type="dxa"/>
            <w:noWrap/>
          </w:tcPr>
          <w:p w14:paraId="687684F1">
            <w:pPr>
              <w:autoSpaceDE w:val="0"/>
              <w:autoSpaceDN w:val="0"/>
              <w:spacing w:line="360" w:lineRule="auto"/>
              <w:rPr>
                <w:rFonts w:eastAsia="仿宋"/>
                <w:kern w:val="0"/>
                <w:sz w:val="22"/>
                <w:szCs w:val="22"/>
              </w:rPr>
            </w:pPr>
          </w:p>
        </w:tc>
        <w:tc>
          <w:tcPr>
            <w:tcW w:w="1481" w:type="dxa"/>
            <w:noWrap/>
          </w:tcPr>
          <w:p w14:paraId="25D6F415">
            <w:pPr>
              <w:autoSpaceDE w:val="0"/>
              <w:autoSpaceDN w:val="0"/>
              <w:spacing w:line="360" w:lineRule="auto"/>
              <w:rPr>
                <w:rFonts w:eastAsia="仿宋"/>
                <w:kern w:val="0"/>
                <w:sz w:val="22"/>
                <w:szCs w:val="22"/>
              </w:rPr>
            </w:pPr>
          </w:p>
        </w:tc>
        <w:tc>
          <w:tcPr>
            <w:tcW w:w="1481" w:type="dxa"/>
            <w:noWrap/>
          </w:tcPr>
          <w:p w14:paraId="425E9E00">
            <w:pPr>
              <w:autoSpaceDE w:val="0"/>
              <w:autoSpaceDN w:val="0"/>
              <w:spacing w:line="360" w:lineRule="auto"/>
              <w:rPr>
                <w:rFonts w:eastAsia="仿宋"/>
                <w:kern w:val="0"/>
                <w:sz w:val="22"/>
                <w:szCs w:val="22"/>
              </w:rPr>
            </w:pPr>
          </w:p>
        </w:tc>
      </w:tr>
    </w:tbl>
    <w:p w14:paraId="2D464C13">
      <w:pPr>
        <w:autoSpaceDE w:val="0"/>
        <w:autoSpaceDN w:val="0"/>
        <w:spacing w:line="360" w:lineRule="auto"/>
        <w:rPr>
          <w:rFonts w:eastAsia="仿宋"/>
          <w:kern w:val="0"/>
          <w:sz w:val="22"/>
          <w:szCs w:val="22"/>
        </w:rPr>
      </w:pPr>
      <w:r>
        <w:rPr>
          <w:rFonts w:eastAsia="仿宋"/>
          <w:kern w:val="0"/>
          <w:sz w:val="22"/>
          <w:szCs w:val="22"/>
        </w:rPr>
        <w:t>备注：后附项目经理注册证书、B证、职称证等</w:t>
      </w:r>
    </w:p>
    <w:p w14:paraId="7CE14E23">
      <w:pPr>
        <w:autoSpaceDE w:val="0"/>
        <w:autoSpaceDN w:val="0"/>
        <w:spacing w:line="360" w:lineRule="auto"/>
        <w:jc w:val="left"/>
        <w:rPr>
          <w:rFonts w:eastAsia="仿宋"/>
          <w:b/>
          <w:bCs/>
          <w:kern w:val="0"/>
          <w:sz w:val="22"/>
          <w:szCs w:val="22"/>
        </w:rPr>
      </w:pPr>
      <w:r>
        <w:rPr>
          <w:rFonts w:eastAsia="仿宋"/>
          <w:sz w:val="22"/>
          <w:szCs w:val="22"/>
        </w:rPr>
        <w:br w:type="page"/>
      </w:r>
      <w:r>
        <w:rPr>
          <w:rFonts w:eastAsia="仿宋"/>
          <w:b/>
          <w:bCs/>
          <w:sz w:val="22"/>
          <w:szCs w:val="22"/>
        </w:rPr>
        <w:t>附表五、</w:t>
      </w:r>
      <w:r>
        <w:rPr>
          <w:rFonts w:eastAsia="仿宋"/>
          <w:b/>
          <w:bCs/>
          <w:kern w:val="0"/>
          <w:sz w:val="22"/>
          <w:szCs w:val="22"/>
        </w:rPr>
        <w:t>技术负责人简历表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14:paraId="272F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6A7FA1BA">
            <w:pPr>
              <w:autoSpaceDE w:val="0"/>
              <w:autoSpaceDN w:val="0"/>
              <w:spacing w:line="360" w:lineRule="auto"/>
              <w:jc w:val="center"/>
              <w:rPr>
                <w:rFonts w:eastAsia="仿宋"/>
                <w:kern w:val="0"/>
                <w:sz w:val="22"/>
                <w:szCs w:val="22"/>
              </w:rPr>
            </w:pPr>
            <w:r>
              <w:rPr>
                <w:rFonts w:eastAsia="仿宋"/>
                <w:kern w:val="0"/>
                <w:sz w:val="22"/>
                <w:szCs w:val="22"/>
              </w:rPr>
              <w:t>姓名</w:t>
            </w:r>
          </w:p>
        </w:tc>
        <w:tc>
          <w:tcPr>
            <w:tcW w:w="1480" w:type="dxa"/>
            <w:noWrap/>
          </w:tcPr>
          <w:p w14:paraId="3D6C5714">
            <w:pPr>
              <w:autoSpaceDE w:val="0"/>
              <w:autoSpaceDN w:val="0"/>
              <w:spacing w:line="360" w:lineRule="auto"/>
              <w:jc w:val="center"/>
              <w:rPr>
                <w:rFonts w:eastAsia="仿宋"/>
                <w:kern w:val="0"/>
                <w:sz w:val="22"/>
                <w:szCs w:val="22"/>
              </w:rPr>
            </w:pPr>
          </w:p>
        </w:tc>
        <w:tc>
          <w:tcPr>
            <w:tcW w:w="1480" w:type="dxa"/>
            <w:noWrap/>
          </w:tcPr>
          <w:p w14:paraId="0055736F">
            <w:pPr>
              <w:autoSpaceDE w:val="0"/>
              <w:autoSpaceDN w:val="0"/>
              <w:spacing w:line="360" w:lineRule="auto"/>
              <w:jc w:val="center"/>
              <w:rPr>
                <w:rFonts w:eastAsia="仿宋"/>
                <w:kern w:val="0"/>
                <w:sz w:val="22"/>
                <w:szCs w:val="22"/>
              </w:rPr>
            </w:pPr>
            <w:r>
              <w:rPr>
                <w:rFonts w:eastAsia="仿宋"/>
                <w:kern w:val="0"/>
                <w:sz w:val="22"/>
                <w:szCs w:val="22"/>
              </w:rPr>
              <w:t>性别</w:t>
            </w:r>
          </w:p>
        </w:tc>
        <w:tc>
          <w:tcPr>
            <w:tcW w:w="1608" w:type="dxa"/>
            <w:noWrap/>
          </w:tcPr>
          <w:p w14:paraId="693A22A4">
            <w:pPr>
              <w:autoSpaceDE w:val="0"/>
              <w:autoSpaceDN w:val="0"/>
              <w:spacing w:line="360" w:lineRule="auto"/>
              <w:jc w:val="center"/>
              <w:rPr>
                <w:rFonts w:eastAsia="仿宋"/>
                <w:kern w:val="0"/>
                <w:sz w:val="22"/>
                <w:szCs w:val="22"/>
              </w:rPr>
            </w:pPr>
          </w:p>
        </w:tc>
        <w:tc>
          <w:tcPr>
            <w:tcW w:w="1481" w:type="dxa"/>
            <w:noWrap/>
          </w:tcPr>
          <w:p w14:paraId="764FEC0E">
            <w:pPr>
              <w:autoSpaceDE w:val="0"/>
              <w:autoSpaceDN w:val="0"/>
              <w:spacing w:line="360" w:lineRule="auto"/>
              <w:jc w:val="center"/>
              <w:rPr>
                <w:rFonts w:eastAsia="仿宋"/>
                <w:kern w:val="0"/>
                <w:sz w:val="22"/>
                <w:szCs w:val="22"/>
              </w:rPr>
            </w:pPr>
            <w:r>
              <w:rPr>
                <w:rFonts w:eastAsia="仿宋"/>
                <w:kern w:val="0"/>
                <w:sz w:val="22"/>
                <w:szCs w:val="22"/>
              </w:rPr>
              <w:t>年龄</w:t>
            </w:r>
          </w:p>
        </w:tc>
        <w:tc>
          <w:tcPr>
            <w:tcW w:w="1481" w:type="dxa"/>
            <w:noWrap/>
          </w:tcPr>
          <w:p w14:paraId="731FD4B0">
            <w:pPr>
              <w:autoSpaceDE w:val="0"/>
              <w:autoSpaceDN w:val="0"/>
              <w:spacing w:line="360" w:lineRule="auto"/>
              <w:jc w:val="center"/>
              <w:rPr>
                <w:rFonts w:eastAsia="仿宋"/>
                <w:kern w:val="0"/>
                <w:sz w:val="22"/>
                <w:szCs w:val="22"/>
              </w:rPr>
            </w:pPr>
          </w:p>
        </w:tc>
      </w:tr>
      <w:tr w14:paraId="50FD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5C5036CB">
            <w:pPr>
              <w:autoSpaceDE w:val="0"/>
              <w:autoSpaceDN w:val="0"/>
              <w:spacing w:line="360" w:lineRule="auto"/>
              <w:jc w:val="center"/>
              <w:rPr>
                <w:rFonts w:eastAsia="仿宋"/>
                <w:kern w:val="0"/>
                <w:sz w:val="22"/>
                <w:szCs w:val="22"/>
              </w:rPr>
            </w:pPr>
            <w:r>
              <w:rPr>
                <w:rFonts w:eastAsia="仿宋"/>
                <w:kern w:val="0"/>
                <w:sz w:val="22"/>
                <w:szCs w:val="22"/>
              </w:rPr>
              <w:t>职务</w:t>
            </w:r>
          </w:p>
        </w:tc>
        <w:tc>
          <w:tcPr>
            <w:tcW w:w="1480" w:type="dxa"/>
            <w:noWrap/>
          </w:tcPr>
          <w:p w14:paraId="0C52FE30">
            <w:pPr>
              <w:autoSpaceDE w:val="0"/>
              <w:autoSpaceDN w:val="0"/>
              <w:spacing w:line="360" w:lineRule="auto"/>
              <w:jc w:val="center"/>
              <w:rPr>
                <w:rFonts w:eastAsia="仿宋"/>
                <w:kern w:val="0"/>
                <w:sz w:val="22"/>
                <w:szCs w:val="22"/>
              </w:rPr>
            </w:pPr>
          </w:p>
        </w:tc>
        <w:tc>
          <w:tcPr>
            <w:tcW w:w="1480" w:type="dxa"/>
            <w:noWrap/>
          </w:tcPr>
          <w:p w14:paraId="66EE3540">
            <w:pPr>
              <w:autoSpaceDE w:val="0"/>
              <w:autoSpaceDN w:val="0"/>
              <w:spacing w:line="360" w:lineRule="auto"/>
              <w:jc w:val="center"/>
              <w:rPr>
                <w:rFonts w:eastAsia="仿宋"/>
                <w:kern w:val="0"/>
                <w:sz w:val="22"/>
                <w:szCs w:val="22"/>
              </w:rPr>
            </w:pPr>
            <w:r>
              <w:rPr>
                <w:rFonts w:eastAsia="仿宋"/>
                <w:kern w:val="0"/>
                <w:sz w:val="22"/>
                <w:szCs w:val="22"/>
              </w:rPr>
              <w:t>职称</w:t>
            </w:r>
          </w:p>
        </w:tc>
        <w:tc>
          <w:tcPr>
            <w:tcW w:w="1608" w:type="dxa"/>
            <w:noWrap/>
          </w:tcPr>
          <w:p w14:paraId="5B7DD2D5">
            <w:pPr>
              <w:autoSpaceDE w:val="0"/>
              <w:autoSpaceDN w:val="0"/>
              <w:spacing w:line="360" w:lineRule="auto"/>
              <w:jc w:val="center"/>
              <w:rPr>
                <w:rFonts w:eastAsia="仿宋"/>
                <w:kern w:val="0"/>
                <w:sz w:val="22"/>
                <w:szCs w:val="22"/>
              </w:rPr>
            </w:pPr>
          </w:p>
        </w:tc>
        <w:tc>
          <w:tcPr>
            <w:tcW w:w="1481" w:type="dxa"/>
            <w:noWrap/>
          </w:tcPr>
          <w:p w14:paraId="050E1584">
            <w:pPr>
              <w:autoSpaceDE w:val="0"/>
              <w:autoSpaceDN w:val="0"/>
              <w:spacing w:line="360" w:lineRule="auto"/>
              <w:jc w:val="center"/>
              <w:rPr>
                <w:rFonts w:eastAsia="仿宋"/>
                <w:kern w:val="0"/>
                <w:sz w:val="22"/>
                <w:szCs w:val="22"/>
              </w:rPr>
            </w:pPr>
            <w:r>
              <w:rPr>
                <w:rFonts w:eastAsia="仿宋"/>
                <w:kern w:val="0"/>
                <w:sz w:val="22"/>
                <w:szCs w:val="22"/>
              </w:rPr>
              <w:t>学历</w:t>
            </w:r>
          </w:p>
        </w:tc>
        <w:tc>
          <w:tcPr>
            <w:tcW w:w="1481" w:type="dxa"/>
            <w:noWrap/>
          </w:tcPr>
          <w:p w14:paraId="085C1E28">
            <w:pPr>
              <w:autoSpaceDE w:val="0"/>
              <w:autoSpaceDN w:val="0"/>
              <w:spacing w:line="360" w:lineRule="auto"/>
              <w:jc w:val="center"/>
              <w:rPr>
                <w:rFonts w:eastAsia="仿宋"/>
                <w:kern w:val="0"/>
                <w:sz w:val="22"/>
                <w:szCs w:val="22"/>
              </w:rPr>
            </w:pPr>
          </w:p>
        </w:tc>
      </w:tr>
      <w:tr w14:paraId="4FEE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2B8998BA">
            <w:pPr>
              <w:autoSpaceDE w:val="0"/>
              <w:autoSpaceDN w:val="0"/>
              <w:spacing w:line="360" w:lineRule="auto"/>
              <w:jc w:val="center"/>
              <w:rPr>
                <w:rFonts w:eastAsia="仿宋"/>
                <w:kern w:val="0"/>
                <w:sz w:val="22"/>
                <w:szCs w:val="22"/>
              </w:rPr>
            </w:pPr>
            <w:r>
              <w:rPr>
                <w:rFonts w:eastAsia="仿宋"/>
                <w:kern w:val="0"/>
                <w:sz w:val="22"/>
                <w:szCs w:val="22"/>
              </w:rPr>
              <w:t>参加工作时间</w:t>
            </w:r>
          </w:p>
        </w:tc>
        <w:tc>
          <w:tcPr>
            <w:tcW w:w="1480" w:type="dxa"/>
            <w:noWrap/>
          </w:tcPr>
          <w:p w14:paraId="58B4EE69">
            <w:pPr>
              <w:autoSpaceDE w:val="0"/>
              <w:autoSpaceDN w:val="0"/>
              <w:spacing w:line="360" w:lineRule="auto"/>
              <w:jc w:val="center"/>
              <w:rPr>
                <w:rFonts w:eastAsia="仿宋"/>
                <w:kern w:val="0"/>
                <w:sz w:val="22"/>
                <w:szCs w:val="22"/>
              </w:rPr>
            </w:pPr>
          </w:p>
        </w:tc>
        <w:tc>
          <w:tcPr>
            <w:tcW w:w="3089" w:type="dxa"/>
            <w:gridSpan w:val="2"/>
            <w:noWrap/>
          </w:tcPr>
          <w:p w14:paraId="302B1FFE">
            <w:pPr>
              <w:autoSpaceDE w:val="0"/>
              <w:autoSpaceDN w:val="0"/>
              <w:spacing w:line="360" w:lineRule="auto"/>
              <w:jc w:val="center"/>
              <w:rPr>
                <w:rFonts w:eastAsia="仿宋"/>
                <w:kern w:val="0"/>
                <w:sz w:val="22"/>
                <w:szCs w:val="22"/>
              </w:rPr>
            </w:pPr>
            <w:r>
              <w:rPr>
                <w:rFonts w:eastAsia="仿宋"/>
                <w:kern w:val="0"/>
                <w:sz w:val="22"/>
                <w:szCs w:val="22"/>
              </w:rPr>
              <w:t>从事技术负责人年限</w:t>
            </w:r>
          </w:p>
        </w:tc>
        <w:tc>
          <w:tcPr>
            <w:tcW w:w="1481" w:type="dxa"/>
            <w:noWrap/>
          </w:tcPr>
          <w:p w14:paraId="017711B1">
            <w:pPr>
              <w:autoSpaceDE w:val="0"/>
              <w:autoSpaceDN w:val="0"/>
              <w:spacing w:line="360" w:lineRule="auto"/>
              <w:jc w:val="center"/>
              <w:rPr>
                <w:rFonts w:eastAsia="仿宋"/>
                <w:kern w:val="0"/>
                <w:sz w:val="22"/>
                <w:szCs w:val="22"/>
              </w:rPr>
            </w:pPr>
          </w:p>
        </w:tc>
      </w:tr>
      <w:tr w14:paraId="37AA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14:paraId="09ACFDAA">
            <w:pPr>
              <w:autoSpaceDE w:val="0"/>
              <w:autoSpaceDN w:val="0"/>
              <w:spacing w:line="360" w:lineRule="auto"/>
              <w:jc w:val="center"/>
              <w:rPr>
                <w:rFonts w:eastAsia="仿宋"/>
                <w:kern w:val="0"/>
                <w:sz w:val="22"/>
                <w:szCs w:val="22"/>
              </w:rPr>
            </w:pPr>
            <w:r>
              <w:rPr>
                <w:rFonts w:eastAsia="仿宋"/>
                <w:kern w:val="0"/>
                <w:sz w:val="22"/>
                <w:szCs w:val="22"/>
              </w:rPr>
              <w:t>资格证书名称及编号</w:t>
            </w:r>
          </w:p>
        </w:tc>
        <w:tc>
          <w:tcPr>
            <w:tcW w:w="6050" w:type="dxa"/>
            <w:gridSpan w:val="4"/>
            <w:noWrap/>
          </w:tcPr>
          <w:p w14:paraId="4C8C266B">
            <w:pPr>
              <w:autoSpaceDE w:val="0"/>
              <w:autoSpaceDN w:val="0"/>
              <w:spacing w:line="360" w:lineRule="auto"/>
              <w:jc w:val="center"/>
              <w:rPr>
                <w:rFonts w:eastAsia="仿宋"/>
                <w:kern w:val="0"/>
                <w:sz w:val="22"/>
                <w:szCs w:val="22"/>
              </w:rPr>
            </w:pPr>
          </w:p>
        </w:tc>
      </w:tr>
      <w:tr w14:paraId="3220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14:paraId="2A69A65E">
            <w:pPr>
              <w:autoSpaceDE w:val="0"/>
              <w:autoSpaceDN w:val="0"/>
              <w:spacing w:line="360" w:lineRule="auto"/>
              <w:jc w:val="center"/>
              <w:rPr>
                <w:rFonts w:eastAsia="仿宋"/>
                <w:kern w:val="0"/>
                <w:sz w:val="22"/>
                <w:szCs w:val="22"/>
              </w:rPr>
            </w:pPr>
            <w:r>
              <w:rPr>
                <w:rFonts w:eastAsia="仿宋"/>
                <w:kern w:val="0"/>
                <w:sz w:val="22"/>
                <w:szCs w:val="22"/>
              </w:rPr>
              <w:t>在建和已完工程项目情况</w:t>
            </w:r>
          </w:p>
        </w:tc>
      </w:tr>
      <w:tr w14:paraId="6629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14:paraId="18DA5163">
            <w:pPr>
              <w:autoSpaceDE w:val="0"/>
              <w:autoSpaceDN w:val="0"/>
              <w:spacing w:line="360" w:lineRule="auto"/>
              <w:jc w:val="center"/>
              <w:rPr>
                <w:rFonts w:eastAsia="仿宋"/>
                <w:kern w:val="0"/>
                <w:sz w:val="22"/>
                <w:szCs w:val="22"/>
              </w:rPr>
            </w:pPr>
            <w:r>
              <w:rPr>
                <w:rFonts w:eastAsia="仿宋"/>
                <w:kern w:val="0"/>
                <w:sz w:val="22"/>
                <w:szCs w:val="22"/>
              </w:rPr>
              <w:t>建设单位</w:t>
            </w:r>
          </w:p>
        </w:tc>
        <w:tc>
          <w:tcPr>
            <w:tcW w:w="1480" w:type="dxa"/>
            <w:noWrap/>
          </w:tcPr>
          <w:p w14:paraId="0A710E59">
            <w:pPr>
              <w:autoSpaceDE w:val="0"/>
              <w:autoSpaceDN w:val="0"/>
              <w:spacing w:line="360" w:lineRule="auto"/>
              <w:jc w:val="center"/>
              <w:rPr>
                <w:rFonts w:eastAsia="仿宋"/>
                <w:kern w:val="0"/>
                <w:sz w:val="22"/>
                <w:szCs w:val="22"/>
              </w:rPr>
            </w:pPr>
            <w:r>
              <w:rPr>
                <w:rFonts w:eastAsia="仿宋"/>
                <w:kern w:val="0"/>
                <w:sz w:val="22"/>
                <w:szCs w:val="22"/>
              </w:rPr>
              <w:t>项目名称</w:t>
            </w:r>
          </w:p>
        </w:tc>
        <w:tc>
          <w:tcPr>
            <w:tcW w:w="1480" w:type="dxa"/>
            <w:noWrap/>
          </w:tcPr>
          <w:p w14:paraId="2E401578">
            <w:pPr>
              <w:autoSpaceDE w:val="0"/>
              <w:autoSpaceDN w:val="0"/>
              <w:spacing w:line="360" w:lineRule="auto"/>
              <w:jc w:val="center"/>
              <w:rPr>
                <w:rFonts w:eastAsia="仿宋"/>
                <w:kern w:val="0"/>
                <w:sz w:val="22"/>
                <w:szCs w:val="22"/>
              </w:rPr>
            </w:pPr>
            <w:r>
              <w:rPr>
                <w:rFonts w:eastAsia="仿宋"/>
                <w:kern w:val="0"/>
                <w:sz w:val="22"/>
                <w:szCs w:val="22"/>
              </w:rPr>
              <w:t>建设规模</w:t>
            </w:r>
          </w:p>
        </w:tc>
        <w:tc>
          <w:tcPr>
            <w:tcW w:w="1608" w:type="dxa"/>
            <w:noWrap/>
          </w:tcPr>
          <w:p w14:paraId="6B846BB7">
            <w:pPr>
              <w:autoSpaceDE w:val="0"/>
              <w:autoSpaceDN w:val="0"/>
              <w:spacing w:line="360" w:lineRule="auto"/>
              <w:jc w:val="center"/>
              <w:rPr>
                <w:rFonts w:eastAsia="仿宋"/>
                <w:kern w:val="0"/>
                <w:sz w:val="22"/>
                <w:szCs w:val="22"/>
              </w:rPr>
            </w:pPr>
            <w:r>
              <w:rPr>
                <w:rFonts w:eastAsia="仿宋"/>
                <w:kern w:val="0"/>
                <w:sz w:val="22"/>
                <w:szCs w:val="22"/>
              </w:rPr>
              <w:t>开、竣工日期</w:t>
            </w:r>
          </w:p>
        </w:tc>
        <w:tc>
          <w:tcPr>
            <w:tcW w:w="1481" w:type="dxa"/>
            <w:noWrap/>
          </w:tcPr>
          <w:p w14:paraId="5225447D">
            <w:pPr>
              <w:autoSpaceDE w:val="0"/>
              <w:autoSpaceDN w:val="0"/>
              <w:spacing w:line="360" w:lineRule="auto"/>
              <w:jc w:val="center"/>
              <w:rPr>
                <w:rFonts w:eastAsia="仿宋"/>
                <w:kern w:val="0"/>
                <w:sz w:val="22"/>
                <w:szCs w:val="22"/>
              </w:rPr>
            </w:pPr>
            <w:r>
              <w:rPr>
                <w:rFonts w:eastAsia="仿宋"/>
                <w:kern w:val="0"/>
                <w:sz w:val="22"/>
                <w:szCs w:val="22"/>
              </w:rPr>
              <w:t>在建或已完</w:t>
            </w:r>
          </w:p>
        </w:tc>
        <w:tc>
          <w:tcPr>
            <w:tcW w:w="1481" w:type="dxa"/>
            <w:noWrap/>
          </w:tcPr>
          <w:p w14:paraId="7AC156BC">
            <w:pPr>
              <w:autoSpaceDE w:val="0"/>
              <w:autoSpaceDN w:val="0"/>
              <w:spacing w:line="360" w:lineRule="auto"/>
              <w:jc w:val="center"/>
              <w:rPr>
                <w:rFonts w:eastAsia="仿宋"/>
                <w:kern w:val="0"/>
                <w:sz w:val="22"/>
                <w:szCs w:val="22"/>
              </w:rPr>
            </w:pPr>
            <w:r>
              <w:rPr>
                <w:rFonts w:eastAsia="仿宋"/>
                <w:kern w:val="0"/>
                <w:sz w:val="22"/>
                <w:szCs w:val="22"/>
              </w:rPr>
              <w:t>工程质量</w:t>
            </w:r>
          </w:p>
        </w:tc>
      </w:tr>
      <w:tr w14:paraId="096F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5AEDC497">
            <w:pPr>
              <w:autoSpaceDE w:val="0"/>
              <w:autoSpaceDN w:val="0"/>
              <w:spacing w:line="360" w:lineRule="auto"/>
              <w:rPr>
                <w:rFonts w:eastAsia="仿宋"/>
                <w:kern w:val="0"/>
                <w:sz w:val="22"/>
                <w:szCs w:val="22"/>
              </w:rPr>
            </w:pPr>
          </w:p>
        </w:tc>
        <w:tc>
          <w:tcPr>
            <w:tcW w:w="1480" w:type="dxa"/>
            <w:noWrap/>
          </w:tcPr>
          <w:p w14:paraId="6E9BCE16">
            <w:pPr>
              <w:autoSpaceDE w:val="0"/>
              <w:autoSpaceDN w:val="0"/>
              <w:spacing w:line="360" w:lineRule="auto"/>
              <w:rPr>
                <w:rFonts w:eastAsia="仿宋"/>
                <w:kern w:val="0"/>
                <w:sz w:val="22"/>
                <w:szCs w:val="22"/>
              </w:rPr>
            </w:pPr>
          </w:p>
        </w:tc>
        <w:tc>
          <w:tcPr>
            <w:tcW w:w="1480" w:type="dxa"/>
            <w:noWrap/>
          </w:tcPr>
          <w:p w14:paraId="6A3E1E25">
            <w:pPr>
              <w:autoSpaceDE w:val="0"/>
              <w:autoSpaceDN w:val="0"/>
              <w:spacing w:line="360" w:lineRule="auto"/>
              <w:rPr>
                <w:rFonts w:eastAsia="仿宋"/>
                <w:kern w:val="0"/>
                <w:sz w:val="22"/>
                <w:szCs w:val="22"/>
              </w:rPr>
            </w:pPr>
          </w:p>
        </w:tc>
        <w:tc>
          <w:tcPr>
            <w:tcW w:w="1608" w:type="dxa"/>
            <w:noWrap/>
          </w:tcPr>
          <w:p w14:paraId="6C1770E4">
            <w:pPr>
              <w:autoSpaceDE w:val="0"/>
              <w:autoSpaceDN w:val="0"/>
              <w:spacing w:line="360" w:lineRule="auto"/>
              <w:rPr>
                <w:rFonts w:eastAsia="仿宋"/>
                <w:kern w:val="0"/>
                <w:sz w:val="22"/>
                <w:szCs w:val="22"/>
              </w:rPr>
            </w:pPr>
          </w:p>
        </w:tc>
        <w:tc>
          <w:tcPr>
            <w:tcW w:w="1481" w:type="dxa"/>
            <w:noWrap/>
          </w:tcPr>
          <w:p w14:paraId="5A52D9E8">
            <w:pPr>
              <w:autoSpaceDE w:val="0"/>
              <w:autoSpaceDN w:val="0"/>
              <w:spacing w:line="360" w:lineRule="auto"/>
              <w:rPr>
                <w:rFonts w:eastAsia="仿宋"/>
                <w:kern w:val="0"/>
                <w:sz w:val="22"/>
                <w:szCs w:val="22"/>
              </w:rPr>
            </w:pPr>
          </w:p>
        </w:tc>
        <w:tc>
          <w:tcPr>
            <w:tcW w:w="1481" w:type="dxa"/>
            <w:noWrap/>
          </w:tcPr>
          <w:p w14:paraId="377E7585">
            <w:pPr>
              <w:autoSpaceDE w:val="0"/>
              <w:autoSpaceDN w:val="0"/>
              <w:spacing w:line="360" w:lineRule="auto"/>
              <w:rPr>
                <w:rFonts w:eastAsia="仿宋"/>
                <w:kern w:val="0"/>
                <w:sz w:val="22"/>
                <w:szCs w:val="22"/>
              </w:rPr>
            </w:pPr>
          </w:p>
        </w:tc>
      </w:tr>
      <w:tr w14:paraId="49A9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0B090FB8">
            <w:pPr>
              <w:autoSpaceDE w:val="0"/>
              <w:autoSpaceDN w:val="0"/>
              <w:spacing w:line="360" w:lineRule="auto"/>
              <w:rPr>
                <w:rFonts w:eastAsia="仿宋"/>
                <w:kern w:val="0"/>
                <w:sz w:val="22"/>
                <w:szCs w:val="22"/>
              </w:rPr>
            </w:pPr>
          </w:p>
        </w:tc>
        <w:tc>
          <w:tcPr>
            <w:tcW w:w="1480" w:type="dxa"/>
            <w:noWrap/>
          </w:tcPr>
          <w:p w14:paraId="75ACB9B1">
            <w:pPr>
              <w:autoSpaceDE w:val="0"/>
              <w:autoSpaceDN w:val="0"/>
              <w:spacing w:line="360" w:lineRule="auto"/>
              <w:rPr>
                <w:rFonts w:eastAsia="仿宋"/>
                <w:kern w:val="0"/>
                <w:sz w:val="22"/>
                <w:szCs w:val="22"/>
              </w:rPr>
            </w:pPr>
          </w:p>
        </w:tc>
        <w:tc>
          <w:tcPr>
            <w:tcW w:w="1480" w:type="dxa"/>
            <w:noWrap/>
          </w:tcPr>
          <w:p w14:paraId="7E5CAFD0">
            <w:pPr>
              <w:autoSpaceDE w:val="0"/>
              <w:autoSpaceDN w:val="0"/>
              <w:spacing w:line="360" w:lineRule="auto"/>
              <w:rPr>
                <w:rFonts w:eastAsia="仿宋"/>
                <w:kern w:val="0"/>
                <w:sz w:val="22"/>
                <w:szCs w:val="22"/>
              </w:rPr>
            </w:pPr>
          </w:p>
        </w:tc>
        <w:tc>
          <w:tcPr>
            <w:tcW w:w="1608" w:type="dxa"/>
            <w:noWrap/>
          </w:tcPr>
          <w:p w14:paraId="44D1A9C9">
            <w:pPr>
              <w:autoSpaceDE w:val="0"/>
              <w:autoSpaceDN w:val="0"/>
              <w:spacing w:line="360" w:lineRule="auto"/>
              <w:rPr>
                <w:rFonts w:eastAsia="仿宋"/>
                <w:kern w:val="0"/>
                <w:sz w:val="22"/>
                <w:szCs w:val="22"/>
              </w:rPr>
            </w:pPr>
          </w:p>
        </w:tc>
        <w:tc>
          <w:tcPr>
            <w:tcW w:w="1481" w:type="dxa"/>
            <w:noWrap/>
          </w:tcPr>
          <w:p w14:paraId="3A6B5B29">
            <w:pPr>
              <w:autoSpaceDE w:val="0"/>
              <w:autoSpaceDN w:val="0"/>
              <w:spacing w:line="360" w:lineRule="auto"/>
              <w:rPr>
                <w:rFonts w:eastAsia="仿宋"/>
                <w:kern w:val="0"/>
                <w:sz w:val="22"/>
                <w:szCs w:val="22"/>
              </w:rPr>
            </w:pPr>
          </w:p>
        </w:tc>
        <w:tc>
          <w:tcPr>
            <w:tcW w:w="1481" w:type="dxa"/>
            <w:noWrap/>
          </w:tcPr>
          <w:p w14:paraId="43951740">
            <w:pPr>
              <w:autoSpaceDE w:val="0"/>
              <w:autoSpaceDN w:val="0"/>
              <w:spacing w:line="360" w:lineRule="auto"/>
              <w:rPr>
                <w:rFonts w:eastAsia="仿宋"/>
                <w:kern w:val="0"/>
                <w:sz w:val="22"/>
                <w:szCs w:val="22"/>
              </w:rPr>
            </w:pPr>
          </w:p>
        </w:tc>
      </w:tr>
      <w:tr w14:paraId="52D1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14:paraId="1132A99A">
            <w:pPr>
              <w:autoSpaceDE w:val="0"/>
              <w:autoSpaceDN w:val="0"/>
              <w:spacing w:line="360" w:lineRule="auto"/>
              <w:rPr>
                <w:rFonts w:eastAsia="仿宋"/>
                <w:kern w:val="0"/>
                <w:sz w:val="22"/>
                <w:szCs w:val="22"/>
              </w:rPr>
            </w:pPr>
          </w:p>
        </w:tc>
        <w:tc>
          <w:tcPr>
            <w:tcW w:w="1480" w:type="dxa"/>
            <w:noWrap/>
          </w:tcPr>
          <w:p w14:paraId="5FA12A06">
            <w:pPr>
              <w:autoSpaceDE w:val="0"/>
              <w:autoSpaceDN w:val="0"/>
              <w:spacing w:line="360" w:lineRule="auto"/>
              <w:rPr>
                <w:rFonts w:eastAsia="仿宋"/>
                <w:kern w:val="0"/>
                <w:sz w:val="22"/>
                <w:szCs w:val="22"/>
              </w:rPr>
            </w:pPr>
          </w:p>
        </w:tc>
        <w:tc>
          <w:tcPr>
            <w:tcW w:w="1480" w:type="dxa"/>
            <w:noWrap/>
          </w:tcPr>
          <w:p w14:paraId="44D6010B">
            <w:pPr>
              <w:autoSpaceDE w:val="0"/>
              <w:autoSpaceDN w:val="0"/>
              <w:spacing w:line="360" w:lineRule="auto"/>
              <w:rPr>
                <w:rFonts w:eastAsia="仿宋"/>
                <w:kern w:val="0"/>
                <w:sz w:val="22"/>
                <w:szCs w:val="22"/>
              </w:rPr>
            </w:pPr>
          </w:p>
        </w:tc>
        <w:tc>
          <w:tcPr>
            <w:tcW w:w="1608" w:type="dxa"/>
            <w:noWrap/>
          </w:tcPr>
          <w:p w14:paraId="60F2ED2B">
            <w:pPr>
              <w:autoSpaceDE w:val="0"/>
              <w:autoSpaceDN w:val="0"/>
              <w:spacing w:line="360" w:lineRule="auto"/>
              <w:rPr>
                <w:rFonts w:eastAsia="仿宋"/>
                <w:kern w:val="0"/>
                <w:sz w:val="22"/>
                <w:szCs w:val="22"/>
              </w:rPr>
            </w:pPr>
          </w:p>
        </w:tc>
        <w:tc>
          <w:tcPr>
            <w:tcW w:w="1481" w:type="dxa"/>
            <w:noWrap/>
          </w:tcPr>
          <w:p w14:paraId="62817338">
            <w:pPr>
              <w:autoSpaceDE w:val="0"/>
              <w:autoSpaceDN w:val="0"/>
              <w:spacing w:line="360" w:lineRule="auto"/>
              <w:rPr>
                <w:rFonts w:eastAsia="仿宋"/>
                <w:kern w:val="0"/>
                <w:sz w:val="22"/>
                <w:szCs w:val="22"/>
              </w:rPr>
            </w:pPr>
          </w:p>
        </w:tc>
        <w:tc>
          <w:tcPr>
            <w:tcW w:w="1481" w:type="dxa"/>
            <w:noWrap/>
          </w:tcPr>
          <w:p w14:paraId="1B2E1B10">
            <w:pPr>
              <w:autoSpaceDE w:val="0"/>
              <w:autoSpaceDN w:val="0"/>
              <w:spacing w:line="360" w:lineRule="auto"/>
              <w:rPr>
                <w:rFonts w:eastAsia="仿宋"/>
                <w:kern w:val="0"/>
                <w:sz w:val="22"/>
                <w:szCs w:val="22"/>
              </w:rPr>
            </w:pPr>
          </w:p>
        </w:tc>
      </w:tr>
    </w:tbl>
    <w:p w14:paraId="382C19DA">
      <w:pPr>
        <w:autoSpaceDE w:val="0"/>
        <w:autoSpaceDN w:val="0"/>
        <w:spacing w:line="360" w:lineRule="auto"/>
        <w:rPr>
          <w:rFonts w:eastAsia="仿宋"/>
          <w:b/>
          <w:bCs/>
          <w:kern w:val="0"/>
          <w:sz w:val="22"/>
          <w:szCs w:val="22"/>
        </w:rPr>
      </w:pPr>
    </w:p>
    <w:p w14:paraId="0EE888BB">
      <w:pPr>
        <w:tabs>
          <w:tab w:val="left" w:pos="720"/>
        </w:tabs>
        <w:autoSpaceDE w:val="0"/>
        <w:autoSpaceDN w:val="0"/>
        <w:spacing w:line="440" w:lineRule="exact"/>
        <w:jc w:val="left"/>
        <w:rPr>
          <w:rFonts w:eastAsia="仿宋"/>
          <w:b/>
          <w:bCs/>
          <w:sz w:val="22"/>
          <w:szCs w:val="22"/>
        </w:rPr>
      </w:pPr>
      <w:bookmarkStart w:id="126" w:name="_Toc152042588"/>
      <w:bookmarkStart w:id="127" w:name="_Toc246392157"/>
      <w:bookmarkStart w:id="128" w:name="_Toc144974867"/>
      <w:bookmarkStart w:id="129" w:name="_Toc179632819"/>
      <w:bookmarkStart w:id="130" w:name="_Toc152045799"/>
      <w:r>
        <w:rPr>
          <w:rFonts w:eastAsia="仿宋"/>
          <w:b/>
          <w:bCs/>
          <w:sz w:val="22"/>
          <w:szCs w:val="22"/>
        </w:rPr>
        <w:t>附表六：劳动力计划表</w:t>
      </w:r>
      <w:bookmarkEnd w:id="126"/>
      <w:bookmarkEnd w:id="127"/>
      <w:bookmarkEnd w:id="128"/>
      <w:bookmarkEnd w:id="129"/>
      <w:bookmarkEnd w:id="130"/>
    </w:p>
    <w:p w14:paraId="09D21AD2">
      <w:pPr>
        <w:autoSpaceDE w:val="0"/>
        <w:autoSpaceDN w:val="0"/>
        <w:spacing w:line="440" w:lineRule="exact"/>
        <w:ind w:right="410"/>
        <w:jc w:val="right"/>
        <w:rPr>
          <w:rFonts w:eastAsia="仿宋"/>
          <w:sz w:val="22"/>
          <w:szCs w:val="22"/>
        </w:rPr>
      </w:pPr>
      <w:r>
        <w:rPr>
          <w:rFonts w:eastAsia="仿宋"/>
          <w:sz w:val="22"/>
          <w:szCs w:val="22"/>
        </w:rPr>
        <w:t>单位：人</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14:paraId="04B1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5C5B9632">
            <w:pPr>
              <w:autoSpaceDE w:val="0"/>
              <w:autoSpaceDN w:val="0"/>
              <w:spacing w:line="440" w:lineRule="exact"/>
              <w:jc w:val="center"/>
              <w:rPr>
                <w:rFonts w:eastAsia="仿宋"/>
                <w:sz w:val="22"/>
                <w:szCs w:val="22"/>
              </w:rPr>
            </w:pPr>
            <w:r>
              <w:rPr>
                <w:rFonts w:eastAsia="仿宋"/>
                <w:sz w:val="22"/>
                <w:szCs w:val="22"/>
              </w:rPr>
              <w:t>工种</w:t>
            </w:r>
          </w:p>
        </w:tc>
        <w:tc>
          <w:tcPr>
            <w:tcW w:w="7622" w:type="dxa"/>
            <w:gridSpan w:val="7"/>
            <w:noWrap/>
            <w:vAlign w:val="center"/>
          </w:tcPr>
          <w:p w14:paraId="409DE6F0">
            <w:pPr>
              <w:autoSpaceDE w:val="0"/>
              <w:autoSpaceDN w:val="0"/>
              <w:spacing w:line="440" w:lineRule="exact"/>
              <w:jc w:val="center"/>
              <w:rPr>
                <w:rFonts w:eastAsia="仿宋"/>
                <w:sz w:val="22"/>
                <w:szCs w:val="22"/>
              </w:rPr>
            </w:pPr>
            <w:r>
              <w:rPr>
                <w:rFonts w:eastAsia="仿宋"/>
                <w:sz w:val="22"/>
                <w:szCs w:val="22"/>
              </w:rPr>
              <w:t>按工程施工阶段投入劳动力情况</w:t>
            </w:r>
          </w:p>
        </w:tc>
      </w:tr>
      <w:tr w14:paraId="126F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22A8CBF3">
            <w:pPr>
              <w:autoSpaceDE w:val="0"/>
              <w:autoSpaceDN w:val="0"/>
              <w:spacing w:line="440" w:lineRule="exact"/>
              <w:jc w:val="center"/>
              <w:rPr>
                <w:rFonts w:eastAsia="仿宋"/>
                <w:sz w:val="22"/>
                <w:szCs w:val="22"/>
              </w:rPr>
            </w:pPr>
          </w:p>
        </w:tc>
        <w:tc>
          <w:tcPr>
            <w:tcW w:w="872" w:type="dxa"/>
            <w:noWrap/>
            <w:vAlign w:val="center"/>
          </w:tcPr>
          <w:p w14:paraId="40A4FF72">
            <w:pPr>
              <w:autoSpaceDE w:val="0"/>
              <w:autoSpaceDN w:val="0"/>
              <w:spacing w:line="440" w:lineRule="exact"/>
              <w:jc w:val="center"/>
              <w:rPr>
                <w:rFonts w:eastAsia="仿宋"/>
                <w:sz w:val="22"/>
                <w:szCs w:val="22"/>
              </w:rPr>
            </w:pPr>
          </w:p>
        </w:tc>
        <w:tc>
          <w:tcPr>
            <w:tcW w:w="1133" w:type="dxa"/>
            <w:noWrap/>
            <w:vAlign w:val="center"/>
          </w:tcPr>
          <w:p w14:paraId="14E88DE9">
            <w:pPr>
              <w:autoSpaceDE w:val="0"/>
              <w:autoSpaceDN w:val="0"/>
              <w:spacing w:line="440" w:lineRule="exact"/>
              <w:jc w:val="center"/>
              <w:rPr>
                <w:rFonts w:eastAsia="仿宋"/>
                <w:sz w:val="22"/>
                <w:szCs w:val="22"/>
              </w:rPr>
            </w:pPr>
          </w:p>
        </w:tc>
        <w:tc>
          <w:tcPr>
            <w:tcW w:w="1133" w:type="dxa"/>
            <w:noWrap/>
            <w:vAlign w:val="center"/>
          </w:tcPr>
          <w:p w14:paraId="3898E0C9">
            <w:pPr>
              <w:autoSpaceDE w:val="0"/>
              <w:autoSpaceDN w:val="0"/>
              <w:spacing w:line="440" w:lineRule="exact"/>
              <w:jc w:val="center"/>
              <w:rPr>
                <w:rFonts w:eastAsia="仿宋"/>
                <w:sz w:val="22"/>
                <w:szCs w:val="22"/>
              </w:rPr>
            </w:pPr>
          </w:p>
        </w:tc>
        <w:tc>
          <w:tcPr>
            <w:tcW w:w="875" w:type="dxa"/>
            <w:noWrap/>
            <w:vAlign w:val="center"/>
          </w:tcPr>
          <w:p w14:paraId="5BF46140">
            <w:pPr>
              <w:autoSpaceDE w:val="0"/>
              <w:autoSpaceDN w:val="0"/>
              <w:spacing w:line="440" w:lineRule="exact"/>
              <w:jc w:val="center"/>
              <w:rPr>
                <w:rFonts w:eastAsia="仿宋"/>
                <w:sz w:val="22"/>
                <w:szCs w:val="22"/>
              </w:rPr>
            </w:pPr>
          </w:p>
        </w:tc>
        <w:tc>
          <w:tcPr>
            <w:tcW w:w="1133" w:type="dxa"/>
            <w:noWrap/>
            <w:vAlign w:val="center"/>
          </w:tcPr>
          <w:p w14:paraId="4943B31C">
            <w:pPr>
              <w:autoSpaceDE w:val="0"/>
              <w:autoSpaceDN w:val="0"/>
              <w:spacing w:line="440" w:lineRule="exact"/>
              <w:jc w:val="center"/>
              <w:rPr>
                <w:rFonts w:eastAsia="仿宋"/>
                <w:sz w:val="22"/>
                <w:szCs w:val="22"/>
              </w:rPr>
            </w:pPr>
          </w:p>
        </w:tc>
        <w:tc>
          <w:tcPr>
            <w:tcW w:w="1133" w:type="dxa"/>
            <w:noWrap/>
            <w:vAlign w:val="center"/>
          </w:tcPr>
          <w:p w14:paraId="453B115D">
            <w:pPr>
              <w:autoSpaceDE w:val="0"/>
              <w:autoSpaceDN w:val="0"/>
              <w:spacing w:line="440" w:lineRule="exact"/>
              <w:jc w:val="center"/>
              <w:rPr>
                <w:rFonts w:eastAsia="仿宋"/>
                <w:sz w:val="22"/>
                <w:szCs w:val="22"/>
              </w:rPr>
            </w:pPr>
          </w:p>
        </w:tc>
        <w:tc>
          <w:tcPr>
            <w:tcW w:w="1343" w:type="dxa"/>
            <w:noWrap/>
            <w:vAlign w:val="center"/>
          </w:tcPr>
          <w:p w14:paraId="0615EE9C">
            <w:pPr>
              <w:autoSpaceDE w:val="0"/>
              <w:autoSpaceDN w:val="0"/>
              <w:spacing w:line="440" w:lineRule="exact"/>
              <w:jc w:val="center"/>
              <w:rPr>
                <w:rFonts w:eastAsia="仿宋"/>
                <w:sz w:val="22"/>
                <w:szCs w:val="22"/>
              </w:rPr>
            </w:pPr>
          </w:p>
        </w:tc>
      </w:tr>
      <w:tr w14:paraId="142B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14:paraId="5E190E32">
            <w:pPr>
              <w:autoSpaceDE w:val="0"/>
              <w:autoSpaceDN w:val="0"/>
              <w:spacing w:line="440" w:lineRule="exact"/>
              <w:jc w:val="center"/>
              <w:rPr>
                <w:rFonts w:eastAsia="仿宋"/>
                <w:sz w:val="22"/>
                <w:szCs w:val="22"/>
              </w:rPr>
            </w:pPr>
          </w:p>
        </w:tc>
        <w:tc>
          <w:tcPr>
            <w:tcW w:w="872" w:type="dxa"/>
            <w:noWrap/>
            <w:vAlign w:val="center"/>
          </w:tcPr>
          <w:p w14:paraId="02428709">
            <w:pPr>
              <w:autoSpaceDE w:val="0"/>
              <w:autoSpaceDN w:val="0"/>
              <w:spacing w:line="440" w:lineRule="exact"/>
              <w:jc w:val="center"/>
              <w:rPr>
                <w:rFonts w:eastAsia="仿宋"/>
                <w:sz w:val="22"/>
                <w:szCs w:val="22"/>
              </w:rPr>
            </w:pPr>
          </w:p>
        </w:tc>
        <w:tc>
          <w:tcPr>
            <w:tcW w:w="1133" w:type="dxa"/>
            <w:noWrap/>
            <w:vAlign w:val="center"/>
          </w:tcPr>
          <w:p w14:paraId="4D4302D7">
            <w:pPr>
              <w:autoSpaceDE w:val="0"/>
              <w:autoSpaceDN w:val="0"/>
              <w:spacing w:line="440" w:lineRule="exact"/>
              <w:jc w:val="center"/>
              <w:rPr>
                <w:rFonts w:eastAsia="仿宋"/>
                <w:sz w:val="22"/>
                <w:szCs w:val="22"/>
              </w:rPr>
            </w:pPr>
          </w:p>
        </w:tc>
        <w:tc>
          <w:tcPr>
            <w:tcW w:w="1133" w:type="dxa"/>
            <w:noWrap/>
            <w:vAlign w:val="center"/>
          </w:tcPr>
          <w:p w14:paraId="1ED0D025">
            <w:pPr>
              <w:autoSpaceDE w:val="0"/>
              <w:autoSpaceDN w:val="0"/>
              <w:spacing w:line="440" w:lineRule="exact"/>
              <w:jc w:val="center"/>
              <w:rPr>
                <w:rFonts w:eastAsia="仿宋"/>
                <w:sz w:val="22"/>
                <w:szCs w:val="22"/>
              </w:rPr>
            </w:pPr>
          </w:p>
        </w:tc>
        <w:tc>
          <w:tcPr>
            <w:tcW w:w="875" w:type="dxa"/>
            <w:noWrap/>
            <w:vAlign w:val="center"/>
          </w:tcPr>
          <w:p w14:paraId="4BCDE459">
            <w:pPr>
              <w:autoSpaceDE w:val="0"/>
              <w:autoSpaceDN w:val="0"/>
              <w:spacing w:line="440" w:lineRule="exact"/>
              <w:jc w:val="center"/>
              <w:rPr>
                <w:rFonts w:eastAsia="仿宋"/>
                <w:sz w:val="22"/>
                <w:szCs w:val="22"/>
              </w:rPr>
            </w:pPr>
          </w:p>
        </w:tc>
        <w:tc>
          <w:tcPr>
            <w:tcW w:w="1133" w:type="dxa"/>
            <w:noWrap/>
            <w:vAlign w:val="center"/>
          </w:tcPr>
          <w:p w14:paraId="34BDFA0F">
            <w:pPr>
              <w:autoSpaceDE w:val="0"/>
              <w:autoSpaceDN w:val="0"/>
              <w:spacing w:line="440" w:lineRule="exact"/>
              <w:jc w:val="center"/>
              <w:rPr>
                <w:rFonts w:eastAsia="仿宋"/>
                <w:sz w:val="22"/>
                <w:szCs w:val="22"/>
              </w:rPr>
            </w:pPr>
          </w:p>
        </w:tc>
        <w:tc>
          <w:tcPr>
            <w:tcW w:w="1133" w:type="dxa"/>
            <w:noWrap/>
            <w:vAlign w:val="center"/>
          </w:tcPr>
          <w:p w14:paraId="772ECF1D">
            <w:pPr>
              <w:autoSpaceDE w:val="0"/>
              <w:autoSpaceDN w:val="0"/>
              <w:spacing w:line="440" w:lineRule="exact"/>
              <w:jc w:val="center"/>
              <w:rPr>
                <w:rFonts w:eastAsia="仿宋"/>
                <w:sz w:val="22"/>
                <w:szCs w:val="22"/>
              </w:rPr>
            </w:pPr>
          </w:p>
        </w:tc>
        <w:tc>
          <w:tcPr>
            <w:tcW w:w="1343" w:type="dxa"/>
            <w:noWrap/>
            <w:vAlign w:val="center"/>
          </w:tcPr>
          <w:p w14:paraId="59CC782E">
            <w:pPr>
              <w:autoSpaceDE w:val="0"/>
              <w:autoSpaceDN w:val="0"/>
              <w:spacing w:line="440" w:lineRule="exact"/>
              <w:jc w:val="center"/>
              <w:rPr>
                <w:rFonts w:eastAsia="仿宋"/>
                <w:sz w:val="22"/>
                <w:szCs w:val="22"/>
              </w:rPr>
            </w:pPr>
          </w:p>
        </w:tc>
      </w:tr>
      <w:tr w14:paraId="32A1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5FD7978C">
            <w:pPr>
              <w:autoSpaceDE w:val="0"/>
              <w:autoSpaceDN w:val="0"/>
              <w:spacing w:line="440" w:lineRule="exact"/>
              <w:jc w:val="center"/>
              <w:rPr>
                <w:rFonts w:eastAsia="仿宋"/>
                <w:sz w:val="22"/>
                <w:szCs w:val="22"/>
              </w:rPr>
            </w:pPr>
          </w:p>
        </w:tc>
        <w:tc>
          <w:tcPr>
            <w:tcW w:w="872" w:type="dxa"/>
            <w:noWrap/>
          </w:tcPr>
          <w:p w14:paraId="6CDDAD26">
            <w:pPr>
              <w:autoSpaceDE w:val="0"/>
              <w:autoSpaceDN w:val="0"/>
              <w:spacing w:line="440" w:lineRule="exact"/>
              <w:jc w:val="center"/>
              <w:rPr>
                <w:rFonts w:eastAsia="仿宋"/>
                <w:sz w:val="22"/>
                <w:szCs w:val="22"/>
              </w:rPr>
            </w:pPr>
          </w:p>
        </w:tc>
        <w:tc>
          <w:tcPr>
            <w:tcW w:w="1133" w:type="dxa"/>
            <w:noWrap/>
          </w:tcPr>
          <w:p w14:paraId="0F487C19">
            <w:pPr>
              <w:autoSpaceDE w:val="0"/>
              <w:autoSpaceDN w:val="0"/>
              <w:spacing w:line="440" w:lineRule="exact"/>
              <w:jc w:val="center"/>
              <w:rPr>
                <w:rFonts w:eastAsia="仿宋"/>
                <w:sz w:val="22"/>
                <w:szCs w:val="22"/>
              </w:rPr>
            </w:pPr>
          </w:p>
        </w:tc>
        <w:tc>
          <w:tcPr>
            <w:tcW w:w="1133" w:type="dxa"/>
            <w:noWrap/>
          </w:tcPr>
          <w:p w14:paraId="6ACD9722">
            <w:pPr>
              <w:autoSpaceDE w:val="0"/>
              <w:autoSpaceDN w:val="0"/>
              <w:spacing w:line="440" w:lineRule="exact"/>
              <w:jc w:val="center"/>
              <w:rPr>
                <w:rFonts w:eastAsia="仿宋"/>
                <w:sz w:val="22"/>
                <w:szCs w:val="22"/>
              </w:rPr>
            </w:pPr>
          </w:p>
        </w:tc>
        <w:tc>
          <w:tcPr>
            <w:tcW w:w="875" w:type="dxa"/>
            <w:noWrap/>
          </w:tcPr>
          <w:p w14:paraId="6C2BDB33">
            <w:pPr>
              <w:autoSpaceDE w:val="0"/>
              <w:autoSpaceDN w:val="0"/>
              <w:spacing w:line="440" w:lineRule="exact"/>
              <w:jc w:val="center"/>
              <w:rPr>
                <w:rFonts w:eastAsia="仿宋"/>
                <w:sz w:val="22"/>
                <w:szCs w:val="22"/>
              </w:rPr>
            </w:pPr>
          </w:p>
        </w:tc>
        <w:tc>
          <w:tcPr>
            <w:tcW w:w="1133" w:type="dxa"/>
            <w:noWrap/>
          </w:tcPr>
          <w:p w14:paraId="69852A70">
            <w:pPr>
              <w:autoSpaceDE w:val="0"/>
              <w:autoSpaceDN w:val="0"/>
              <w:spacing w:line="440" w:lineRule="exact"/>
              <w:jc w:val="center"/>
              <w:rPr>
                <w:rFonts w:eastAsia="仿宋"/>
                <w:sz w:val="22"/>
                <w:szCs w:val="22"/>
              </w:rPr>
            </w:pPr>
          </w:p>
        </w:tc>
        <w:tc>
          <w:tcPr>
            <w:tcW w:w="1133" w:type="dxa"/>
            <w:noWrap/>
          </w:tcPr>
          <w:p w14:paraId="34B9EEB8">
            <w:pPr>
              <w:autoSpaceDE w:val="0"/>
              <w:autoSpaceDN w:val="0"/>
              <w:spacing w:line="440" w:lineRule="exact"/>
              <w:jc w:val="center"/>
              <w:rPr>
                <w:rFonts w:eastAsia="仿宋"/>
                <w:sz w:val="22"/>
                <w:szCs w:val="22"/>
              </w:rPr>
            </w:pPr>
          </w:p>
        </w:tc>
        <w:tc>
          <w:tcPr>
            <w:tcW w:w="1343" w:type="dxa"/>
            <w:noWrap/>
          </w:tcPr>
          <w:p w14:paraId="5C07CF20">
            <w:pPr>
              <w:autoSpaceDE w:val="0"/>
              <w:autoSpaceDN w:val="0"/>
              <w:spacing w:line="440" w:lineRule="exact"/>
              <w:jc w:val="center"/>
              <w:rPr>
                <w:rFonts w:eastAsia="仿宋"/>
                <w:sz w:val="22"/>
                <w:szCs w:val="22"/>
              </w:rPr>
            </w:pPr>
          </w:p>
        </w:tc>
      </w:tr>
      <w:tr w14:paraId="6266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0827C5D1">
            <w:pPr>
              <w:autoSpaceDE w:val="0"/>
              <w:autoSpaceDN w:val="0"/>
              <w:spacing w:line="440" w:lineRule="exact"/>
              <w:jc w:val="center"/>
              <w:rPr>
                <w:rFonts w:eastAsia="仿宋"/>
                <w:sz w:val="22"/>
                <w:szCs w:val="22"/>
              </w:rPr>
            </w:pPr>
          </w:p>
        </w:tc>
        <w:tc>
          <w:tcPr>
            <w:tcW w:w="872" w:type="dxa"/>
            <w:noWrap/>
          </w:tcPr>
          <w:p w14:paraId="78DC9C18">
            <w:pPr>
              <w:autoSpaceDE w:val="0"/>
              <w:autoSpaceDN w:val="0"/>
              <w:spacing w:line="440" w:lineRule="exact"/>
              <w:jc w:val="center"/>
              <w:rPr>
                <w:rFonts w:eastAsia="仿宋"/>
                <w:sz w:val="22"/>
                <w:szCs w:val="22"/>
              </w:rPr>
            </w:pPr>
          </w:p>
        </w:tc>
        <w:tc>
          <w:tcPr>
            <w:tcW w:w="1133" w:type="dxa"/>
            <w:noWrap/>
          </w:tcPr>
          <w:p w14:paraId="425D3543">
            <w:pPr>
              <w:autoSpaceDE w:val="0"/>
              <w:autoSpaceDN w:val="0"/>
              <w:spacing w:line="440" w:lineRule="exact"/>
              <w:jc w:val="center"/>
              <w:rPr>
                <w:rFonts w:eastAsia="仿宋"/>
                <w:sz w:val="22"/>
                <w:szCs w:val="22"/>
              </w:rPr>
            </w:pPr>
          </w:p>
        </w:tc>
        <w:tc>
          <w:tcPr>
            <w:tcW w:w="1133" w:type="dxa"/>
            <w:noWrap/>
          </w:tcPr>
          <w:p w14:paraId="0CD11E97">
            <w:pPr>
              <w:autoSpaceDE w:val="0"/>
              <w:autoSpaceDN w:val="0"/>
              <w:spacing w:line="440" w:lineRule="exact"/>
              <w:jc w:val="center"/>
              <w:rPr>
                <w:rFonts w:eastAsia="仿宋"/>
                <w:sz w:val="22"/>
                <w:szCs w:val="22"/>
              </w:rPr>
            </w:pPr>
          </w:p>
        </w:tc>
        <w:tc>
          <w:tcPr>
            <w:tcW w:w="875" w:type="dxa"/>
            <w:noWrap/>
          </w:tcPr>
          <w:p w14:paraId="4D8F32C3">
            <w:pPr>
              <w:autoSpaceDE w:val="0"/>
              <w:autoSpaceDN w:val="0"/>
              <w:spacing w:line="440" w:lineRule="exact"/>
              <w:jc w:val="center"/>
              <w:rPr>
                <w:rFonts w:eastAsia="仿宋"/>
                <w:sz w:val="22"/>
                <w:szCs w:val="22"/>
              </w:rPr>
            </w:pPr>
          </w:p>
        </w:tc>
        <w:tc>
          <w:tcPr>
            <w:tcW w:w="1133" w:type="dxa"/>
            <w:noWrap/>
          </w:tcPr>
          <w:p w14:paraId="099B4D9E">
            <w:pPr>
              <w:autoSpaceDE w:val="0"/>
              <w:autoSpaceDN w:val="0"/>
              <w:spacing w:line="440" w:lineRule="exact"/>
              <w:jc w:val="center"/>
              <w:rPr>
                <w:rFonts w:eastAsia="仿宋"/>
                <w:sz w:val="22"/>
                <w:szCs w:val="22"/>
              </w:rPr>
            </w:pPr>
          </w:p>
        </w:tc>
        <w:tc>
          <w:tcPr>
            <w:tcW w:w="1133" w:type="dxa"/>
            <w:noWrap/>
          </w:tcPr>
          <w:p w14:paraId="25FD53A8">
            <w:pPr>
              <w:autoSpaceDE w:val="0"/>
              <w:autoSpaceDN w:val="0"/>
              <w:spacing w:line="440" w:lineRule="exact"/>
              <w:jc w:val="center"/>
              <w:rPr>
                <w:rFonts w:eastAsia="仿宋"/>
                <w:sz w:val="22"/>
                <w:szCs w:val="22"/>
              </w:rPr>
            </w:pPr>
          </w:p>
        </w:tc>
        <w:tc>
          <w:tcPr>
            <w:tcW w:w="1343" w:type="dxa"/>
            <w:noWrap/>
          </w:tcPr>
          <w:p w14:paraId="027F22C9">
            <w:pPr>
              <w:autoSpaceDE w:val="0"/>
              <w:autoSpaceDN w:val="0"/>
              <w:spacing w:line="440" w:lineRule="exact"/>
              <w:jc w:val="center"/>
              <w:rPr>
                <w:rFonts w:eastAsia="仿宋"/>
                <w:sz w:val="22"/>
                <w:szCs w:val="22"/>
              </w:rPr>
            </w:pPr>
          </w:p>
        </w:tc>
      </w:tr>
      <w:tr w14:paraId="1ADC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14:paraId="0438FC27">
            <w:pPr>
              <w:autoSpaceDE w:val="0"/>
              <w:autoSpaceDN w:val="0"/>
              <w:spacing w:line="440" w:lineRule="exact"/>
              <w:jc w:val="center"/>
              <w:rPr>
                <w:rFonts w:eastAsia="仿宋"/>
                <w:sz w:val="22"/>
                <w:szCs w:val="22"/>
              </w:rPr>
            </w:pPr>
          </w:p>
        </w:tc>
        <w:tc>
          <w:tcPr>
            <w:tcW w:w="872" w:type="dxa"/>
            <w:noWrap/>
          </w:tcPr>
          <w:p w14:paraId="192E11F4">
            <w:pPr>
              <w:autoSpaceDE w:val="0"/>
              <w:autoSpaceDN w:val="0"/>
              <w:spacing w:line="440" w:lineRule="exact"/>
              <w:jc w:val="center"/>
              <w:rPr>
                <w:rFonts w:eastAsia="仿宋"/>
                <w:sz w:val="22"/>
                <w:szCs w:val="22"/>
              </w:rPr>
            </w:pPr>
          </w:p>
        </w:tc>
        <w:tc>
          <w:tcPr>
            <w:tcW w:w="1133" w:type="dxa"/>
            <w:noWrap/>
          </w:tcPr>
          <w:p w14:paraId="17737072">
            <w:pPr>
              <w:autoSpaceDE w:val="0"/>
              <w:autoSpaceDN w:val="0"/>
              <w:spacing w:line="440" w:lineRule="exact"/>
              <w:jc w:val="center"/>
              <w:rPr>
                <w:rFonts w:eastAsia="仿宋"/>
                <w:sz w:val="22"/>
                <w:szCs w:val="22"/>
              </w:rPr>
            </w:pPr>
          </w:p>
        </w:tc>
        <w:tc>
          <w:tcPr>
            <w:tcW w:w="1133" w:type="dxa"/>
            <w:noWrap/>
          </w:tcPr>
          <w:p w14:paraId="42AD7EBC">
            <w:pPr>
              <w:autoSpaceDE w:val="0"/>
              <w:autoSpaceDN w:val="0"/>
              <w:spacing w:line="440" w:lineRule="exact"/>
              <w:jc w:val="center"/>
              <w:rPr>
                <w:rFonts w:eastAsia="仿宋"/>
                <w:sz w:val="22"/>
                <w:szCs w:val="22"/>
              </w:rPr>
            </w:pPr>
          </w:p>
        </w:tc>
        <w:tc>
          <w:tcPr>
            <w:tcW w:w="875" w:type="dxa"/>
            <w:noWrap/>
          </w:tcPr>
          <w:p w14:paraId="14E3CA6A">
            <w:pPr>
              <w:autoSpaceDE w:val="0"/>
              <w:autoSpaceDN w:val="0"/>
              <w:spacing w:line="440" w:lineRule="exact"/>
              <w:jc w:val="center"/>
              <w:rPr>
                <w:rFonts w:eastAsia="仿宋"/>
                <w:sz w:val="22"/>
                <w:szCs w:val="22"/>
              </w:rPr>
            </w:pPr>
          </w:p>
        </w:tc>
        <w:tc>
          <w:tcPr>
            <w:tcW w:w="1133" w:type="dxa"/>
            <w:noWrap/>
          </w:tcPr>
          <w:p w14:paraId="01D90F5E">
            <w:pPr>
              <w:autoSpaceDE w:val="0"/>
              <w:autoSpaceDN w:val="0"/>
              <w:spacing w:line="440" w:lineRule="exact"/>
              <w:jc w:val="center"/>
              <w:rPr>
                <w:rFonts w:eastAsia="仿宋"/>
                <w:sz w:val="22"/>
                <w:szCs w:val="22"/>
              </w:rPr>
            </w:pPr>
          </w:p>
        </w:tc>
        <w:tc>
          <w:tcPr>
            <w:tcW w:w="1133" w:type="dxa"/>
            <w:noWrap/>
          </w:tcPr>
          <w:p w14:paraId="7F2F27DE">
            <w:pPr>
              <w:autoSpaceDE w:val="0"/>
              <w:autoSpaceDN w:val="0"/>
              <w:spacing w:line="440" w:lineRule="exact"/>
              <w:jc w:val="center"/>
              <w:rPr>
                <w:rFonts w:eastAsia="仿宋"/>
                <w:sz w:val="22"/>
                <w:szCs w:val="22"/>
              </w:rPr>
            </w:pPr>
          </w:p>
        </w:tc>
        <w:tc>
          <w:tcPr>
            <w:tcW w:w="1343" w:type="dxa"/>
            <w:noWrap/>
          </w:tcPr>
          <w:p w14:paraId="4F195B9F">
            <w:pPr>
              <w:autoSpaceDE w:val="0"/>
              <w:autoSpaceDN w:val="0"/>
              <w:spacing w:line="440" w:lineRule="exact"/>
              <w:jc w:val="center"/>
              <w:rPr>
                <w:rFonts w:eastAsia="仿宋"/>
                <w:sz w:val="22"/>
                <w:szCs w:val="22"/>
              </w:rPr>
            </w:pPr>
          </w:p>
        </w:tc>
      </w:tr>
    </w:tbl>
    <w:p w14:paraId="23361ADC">
      <w:pPr>
        <w:topLinePunct/>
        <w:autoSpaceDE w:val="0"/>
        <w:autoSpaceDN w:val="0"/>
        <w:spacing w:line="440" w:lineRule="exact"/>
        <w:jc w:val="center"/>
        <w:rPr>
          <w:rFonts w:eastAsia="仿宋"/>
          <w:sz w:val="22"/>
          <w:szCs w:val="22"/>
        </w:rPr>
      </w:pPr>
    </w:p>
    <w:p w14:paraId="6DB1208B">
      <w:pPr>
        <w:tabs>
          <w:tab w:val="left" w:pos="720"/>
        </w:tabs>
        <w:autoSpaceDE w:val="0"/>
        <w:autoSpaceDN w:val="0"/>
        <w:spacing w:line="440" w:lineRule="exact"/>
        <w:jc w:val="left"/>
        <w:rPr>
          <w:rFonts w:eastAsia="仿宋"/>
          <w:b/>
          <w:bCs/>
          <w:sz w:val="22"/>
          <w:szCs w:val="22"/>
        </w:rPr>
      </w:pPr>
      <w:bookmarkStart w:id="131" w:name="_Toc152045800"/>
      <w:bookmarkStart w:id="132" w:name="_Toc152042589"/>
      <w:bookmarkStart w:id="133" w:name="_Toc144974868"/>
      <w:bookmarkStart w:id="134" w:name="_Toc246392158"/>
      <w:bookmarkStart w:id="135" w:name="_Toc179632820"/>
      <w:r>
        <w:rPr>
          <w:rFonts w:eastAsia="仿宋"/>
          <w:b/>
          <w:bCs/>
          <w:sz w:val="22"/>
          <w:szCs w:val="22"/>
        </w:rPr>
        <w:t>附表</w:t>
      </w:r>
      <w:r>
        <w:rPr>
          <w:rFonts w:hint="eastAsia" w:eastAsia="仿宋"/>
          <w:b/>
          <w:bCs/>
          <w:sz w:val="22"/>
          <w:szCs w:val="22"/>
          <w:lang w:val="en-US" w:eastAsia="zh-CN"/>
        </w:rPr>
        <w:t>七</w:t>
      </w:r>
      <w:r>
        <w:rPr>
          <w:rFonts w:eastAsia="仿宋"/>
          <w:b/>
          <w:bCs/>
          <w:sz w:val="22"/>
          <w:szCs w:val="22"/>
        </w:rPr>
        <w:t>：计划开、竣工日期和施工进度网络图</w:t>
      </w:r>
      <w:bookmarkEnd w:id="131"/>
      <w:bookmarkEnd w:id="132"/>
      <w:bookmarkEnd w:id="133"/>
      <w:bookmarkEnd w:id="134"/>
      <w:bookmarkEnd w:id="135"/>
    </w:p>
    <w:p w14:paraId="3F3A5E4C">
      <w:pPr>
        <w:autoSpaceDE w:val="0"/>
        <w:autoSpaceDN w:val="0"/>
        <w:spacing w:line="440" w:lineRule="exact"/>
        <w:rPr>
          <w:rFonts w:eastAsia="仿宋"/>
          <w:sz w:val="22"/>
          <w:szCs w:val="22"/>
        </w:rPr>
      </w:pPr>
    </w:p>
    <w:p w14:paraId="3D404F5E">
      <w:pPr>
        <w:autoSpaceDE w:val="0"/>
        <w:autoSpaceDN w:val="0"/>
        <w:spacing w:line="440" w:lineRule="exact"/>
        <w:ind w:firstLine="440" w:firstLineChars="200"/>
        <w:rPr>
          <w:rFonts w:eastAsia="仿宋"/>
          <w:sz w:val="22"/>
          <w:szCs w:val="22"/>
        </w:rPr>
      </w:pPr>
      <w:r>
        <w:rPr>
          <w:rFonts w:eastAsia="仿宋"/>
          <w:sz w:val="22"/>
          <w:szCs w:val="22"/>
        </w:rPr>
        <w:t xml:space="preserve">1. </w:t>
      </w:r>
      <w:r>
        <w:rPr>
          <w:rFonts w:hint="eastAsia" w:eastAsia="仿宋"/>
          <w:sz w:val="22"/>
          <w:szCs w:val="22"/>
        </w:rPr>
        <w:t>磋商响应供应商</w:t>
      </w:r>
      <w:r>
        <w:rPr>
          <w:rFonts w:eastAsia="仿宋"/>
          <w:sz w:val="22"/>
          <w:szCs w:val="22"/>
        </w:rPr>
        <w:t>应递交施工进度网络图或施工进度表，说明按</w:t>
      </w:r>
      <w:r>
        <w:rPr>
          <w:rFonts w:hint="eastAsia" w:eastAsia="仿宋"/>
          <w:sz w:val="22"/>
          <w:szCs w:val="22"/>
        </w:rPr>
        <w:t>磋商文件</w:t>
      </w:r>
      <w:r>
        <w:rPr>
          <w:rFonts w:eastAsia="仿宋"/>
          <w:sz w:val="22"/>
          <w:szCs w:val="22"/>
        </w:rPr>
        <w:t>要求的计划工期进行施工的各个关键日期。</w:t>
      </w:r>
    </w:p>
    <w:p w14:paraId="6731A71B">
      <w:pPr>
        <w:autoSpaceDE w:val="0"/>
        <w:autoSpaceDN w:val="0"/>
        <w:spacing w:line="440" w:lineRule="exact"/>
        <w:ind w:firstLine="440" w:firstLineChars="200"/>
        <w:rPr>
          <w:rFonts w:eastAsia="仿宋"/>
          <w:sz w:val="22"/>
          <w:szCs w:val="22"/>
        </w:rPr>
      </w:pPr>
      <w:r>
        <w:rPr>
          <w:rFonts w:eastAsia="仿宋"/>
          <w:sz w:val="22"/>
          <w:szCs w:val="22"/>
        </w:rPr>
        <w:t>2. 施工进度表可采用网络图（或横道图）表示。</w:t>
      </w:r>
    </w:p>
    <w:p w14:paraId="56ABFB11">
      <w:pPr>
        <w:pStyle w:val="4"/>
        <w:spacing w:before="120" w:after="120"/>
        <w:ind w:firstLine="221"/>
        <w:rPr>
          <w:rFonts w:eastAsia="仿宋"/>
          <w:sz w:val="22"/>
          <w:szCs w:val="22"/>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3E060E81">
      <w:pPr>
        <w:pStyle w:val="4"/>
        <w:spacing w:before="120" w:after="120"/>
        <w:ind w:firstLine="240"/>
        <w:jc w:val="both"/>
        <w:rPr>
          <w:rFonts w:hint="eastAsia" w:ascii="华文中宋" w:hAnsi="华文中宋"/>
          <w:bCs/>
          <w:color w:val="000000"/>
          <w:kern w:val="0"/>
          <w:szCs w:val="24"/>
        </w:rPr>
      </w:pPr>
      <w:r>
        <w:rPr>
          <w:rFonts w:hint="eastAsia" w:ascii="华文中宋" w:hAnsi="华文中宋"/>
          <w:bCs/>
          <w:color w:val="000000"/>
          <w:kern w:val="0"/>
          <w:szCs w:val="24"/>
        </w:rPr>
        <w:t>2-</w:t>
      </w:r>
      <w:r>
        <w:rPr>
          <w:rFonts w:hint="eastAsia" w:ascii="华文中宋" w:hAnsi="华文中宋"/>
          <w:bCs/>
          <w:color w:val="000000"/>
          <w:kern w:val="0"/>
          <w:szCs w:val="24"/>
          <w:lang w:val="en-US" w:eastAsia="zh-CN"/>
        </w:rPr>
        <w:t>9</w:t>
      </w:r>
      <w:r>
        <w:rPr>
          <w:rFonts w:hint="eastAsia" w:ascii="华文中宋" w:hAnsi="华文中宋"/>
          <w:bCs/>
          <w:color w:val="000000"/>
          <w:kern w:val="0"/>
          <w:szCs w:val="24"/>
        </w:rPr>
        <w:t xml:space="preserve"> 技术（服务）方案</w:t>
      </w:r>
    </w:p>
    <w:p w14:paraId="09674DB3">
      <w:pPr>
        <w:autoSpaceDE w:val="0"/>
        <w:autoSpaceDN w:val="0"/>
        <w:spacing w:line="360" w:lineRule="auto"/>
        <w:jc w:val="center"/>
        <w:rPr>
          <w:rFonts w:eastAsia="华文中宋"/>
          <w:b/>
          <w:color w:val="000000"/>
          <w:sz w:val="40"/>
        </w:rPr>
      </w:pPr>
      <w:r>
        <w:rPr>
          <w:rFonts w:hint="eastAsia" w:eastAsia="华文中宋"/>
          <w:b/>
          <w:color w:val="000000"/>
          <w:kern w:val="0"/>
          <w:sz w:val="44"/>
          <w:szCs w:val="28"/>
        </w:rPr>
        <w:t>技术（服务）方案</w:t>
      </w:r>
    </w:p>
    <w:p w14:paraId="5B1C6F8B">
      <w:pPr>
        <w:autoSpaceDE w:val="0"/>
        <w:autoSpaceDN w:val="0"/>
        <w:spacing w:line="360" w:lineRule="auto"/>
        <w:rPr>
          <w:rFonts w:hint="eastAsia" w:eastAsia="仿宋"/>
          <w:b/>
          <w:color w:val="000000"/>
          <w:sz w:val="24"/>
          <w:u w:val="single"/>
          <w:lang w:eastAsia="zh-CN"/>
        </w:rPr>
      </w:pPr>
      <w:r>
        <w:rPr>
          <w:rFonts w:eastAsia="仿宋"/>
          <w:b/>
          <w:color w:val="000000"/>
          <w:sz w:val="24"/>
        </w:rPr>
        <w:t>项目名称：</w:t>
      </w:r>
      <w:r>
        <w:rPr>
          <w:rFonts w:hint="eastAsia" w:ascii="仿宋" w:hAnsi="仿宋" w:eastAsia="仿宋" w:cs="Arial"/>
          <w:b/>
          <w:color w:val="000000"/>
          <w:sz w:val="24"/>
          <w:u w:val="single"/>
          <w:lang w:eastAsia="zh-CN"/>
        </w:rPr>
        <w:t>浙江工商大学教工路校区学生宿舍建设工程附属配电房移位改造工程（EPC）</w:t>
      </w:r>
    </w:p>
    <w:p w14:paraId="6CF00514">
      <w:pPr>
        <w:autoSpaceDE w:val="0"/>
        <w:autoSpaceDN w:val="0"/>
        <w:spacing w:line="360" w:lineRule="auto"/>
        <w:rPr>
          <w:rFonts w:hint="eastAsia" w:eastAsia="仿宋"/>
          <w:lang w:eastAsia="zh-CN"/>
        </w:rPr>
      </w:pPr>
      <w:r>
        <w:rPr>
          <w:rFonts w:eastAsia="仿宋"/>
          <w:b/>
          <w:color w:val="000000"/>
          <w:sz w:val="24"/>
        </w:rPr>
        <w:t>项目编号：</w:t>
      </w:r>
      <w:r>
        <w:rPr>
          <w:rFonts w:hint="eastAsia" w:ascii="仿宋" w:hAnsi="仿宋" w:eastAsia="仿宋" w:cs="Arial"/>
          <w:b/>
          <w:color w:val="000000"/>
          <w:sz w:val="24"/>
          <w:u w:val="single"/>
          <w:lang w:eastAsia="zh-CN"/>
        </w:rPr>
        <w:t>CTZB-2025050222</w:t>
      </w:r>
    </w:p>
    <w:tbl>
      <w:tblPr>
        <w:tblStyle w:val="52"/>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462CC5EE">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4EFFCB72">
            <w:pPr>
              <w:autoSpaceDE w:val="0"/>
              <w:autoSpaceDN w:val="0"/>
              <w:spacing w:line="360" w:lineRule="auto"/>
              <w:rPr>
                <w:rFonts w:eastAsia="仿宋"/>
                <w:color w:val="000000"/>
                <w:sz w:val="22"/>
                <w:szCs w:val="21"/>
              </w:rPr>
            </w:pPr>
            <w:r>
              <w:rPr>
                <w:rFonts w:hint="eastAsia" w:ascii="仿宋" w:hAnsi="仿宋" w:eastAsia="仿宋"/>
                <w:b/>
                <w:color w:val="000000"/>
                <w:sz w:val="28"/>
              </w:rPr>
              <w:t>自行对照评审细则，但不仅限于。</w:t>
            </w:r>
          </w:p>
        </w:tc>
      </w:tr>
    </w:tbl>
    <w:p w14:paraId="3EB21C6B">
      <w:pPr>
        <w:autoSpaceDE w:val="0"/>
        <w:autoSpaceDN w:val="0"/>
        <w:snapToGrid w:val="0"/>
        <w:spacing w:line="360" w:lineRule="auto"/>
        <w:rPr>
          <w:rFonts w:hint="eastAsia"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14:paraId="51F9105C">
      <w:pPr>
        <w:autoSpaceDE w:val="0"/>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14:paraId="37829009">
      <w:pPr>
        <w:pStyle w:val="5"/>
        <w:autoSpaceDE w:val="0"/>
        <w:autoSpaceDN w:val="0"/>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1414915F">
      <w:pPr>
        <w:pStyle w:val="4"/>
        <w:spacing w:before="120" w:after="120"/>
        <w:ind w:firstLine="240"/>
        <w:jc w:val="both"/>
        <w:rPr>
          <w:rFonts w:hint="eastAsia" w:ascii="华文中宋" w:hAnsi="华文中宋"/>
          <w:bCs/>
          <w:color w:val="000000"/>
          <w:kern w:val="0"/>
          <w:szCs w:val="24"/>
        </w:rPr>
      </w:pPr>
      <w:r>
        <w:rPr>
          <w:rFonts w:hint="eastAsia" w:ascii="华文中宋" w:hAnsi="华文中宋"/>
          <w:bCs/>
          <w:color w:val="000000"/>
          <w:kern w:val="0"/>
          <w:szCs w:val="24"/>
        </w:rPr>
        <w:t>2-</w:t>
      </w:r>
      <w:r>
        <w:rPr>
          <w:rFonts w:hint="eastAsia" w:ascii="华文中宋" w:hAnsi="华文中宋"/>
          <w:bCs/>
          <w:color w:val="000000"/>
          <w:kern w:val="0"/>
          <w:szCs w:val="24"/>
          <w:lang w:val="en-US" w:eastAsia="zh-CN"/>
        </w:rPr>
        <w:t>10</w:t>
      </w:r>
      <w:r>
        <w:rPr>
          <w:rFonts w:hint="eastAsia" w:ascii="华文中宋" w:hAnsi="华文中宋"/>
          <w:bCs/>
          <w:color w:val="000000"/>
          <w:kern w:val="0"/>
          <w:szCs w:val="24"/>
        </w:rPr>
        <w:t xml:space="preserve"> 节能、环保产品证明材料（如有）</w:t>
      </w:r>
    </w:p>
    <w:p w14:paraId="7419999D">
      <w:pPr>
        <w:autoSpaceDE w:val="0"/>
        <w:autoSpaceDN w:val="0"/>
        <w:spacing w:line="360" w:lineRule="auto"/>
        <w:jc w:val="center"/>
        <w:rPr>
          <w:rFonts w:eastAsia="华文中宋"/>
          <w:b/>
          <w:color w:val="000000"/>
          <w:sz w:val="40"/>
        </w:rPr>
      </w:pPr>
      <w:r>
        <w:rPr>
          <w:rFonts w:hint="eastAsia" w:eastAsia="华文中宋"/>
          <w:b/>
          <w:color w:val="000000"/>
          <w:sz w:val="40"/>
        </w:rPr>
        <w:t>节能、环保产品证明材料</w:t>
      </w:r>
    </w:p>
    <w:p w14:paraId="15270D68">
      <w:pPr>
        <w:autoSpaceDE w:val="0"/>
        <w:autoSpaceDN w:val="0"/>
        <w:spacing w:line="360" w:lineRule="auto"/>
        <w:rPr>
          <w:rFonts w:hint="eastAsia" w:eastAsia="仿宋"/>
          <w:b/>
          <w:color w:val="000000"/>
          <w:sz w:val="24"/>
          <w:u w:val="single"/>
          <w:lang w:eastAsia="zh-CN"/>
        </w:rPr>
      </w:pPr>
      <w:r>
        <w:rPr>
          <w:rFonts w:eastAsia="仿宋"/>
          <w:b/>
          <w:color w:val="000000"/>
          <w:sz w:val="24"/>
        </w:rPr>
        <w:t>项目名称：</w:t>
      </w:r>
      <w:r>
        <w:rPr>
          <w:rFonts w:hint="eastAsia" w:ascii="仿宋" w:hAnsi="仿宋" w:eastAsia="仿宋" w:cs="Arial"/>
          <w:b/>
          <w:color w:val="000000"/>
          <w:sz w:val="24"/>
          <w:u w:val="single"/>
          <w:lang w:eastAsia="zh-CN"/>
        </w:rPr>
        <w:t>浙江工商大学教工路校区学生宿舍建设工程附属配电房移位改造工程（EPC）</w:t>
      </w:r>
    </w:p>
    <w:p w14:paraId="1639FB84">
      <w:pPr>
        <w:autoSpaceDE w:val="0"/>
        <w:autoSpaceDN w:val="0"/>
        <w:spacing w:line="360" w:lineRule="auto"/>
        <w:rPr>
          <w:rFonts w:hint="eastAsia" w:eastAsia="仿宋"/>
          <w:lang w:eastAsia="zh-CN"/>
        </w:rPr>
      </w:pPr>
      <w:r>
        <w:rPr>
          <w:rFonts w:eastAsia="仿宋"/>
          <w:b/>
          <w:color w:val="000000"/>
          <w:sz w:val="24"/>
        </w:rPr>
        <w:t>项目编号：</w:t>
      </w:r>
      <w:r>
        <w:rPr>
          <w:rFonts w:hint="eastAsia" w:ascii="仿宋" w:hAnsi="仿宋" w:eastAsia="仿宋" w:cs="Arial"/>
          <w:b/>
          <w:color w:val="000000"/>
          <w:sz w:val="24"/>
          <w:u w:val="single"/>
          <w:lang w:eastAsia="zh-CN"/>
        </w:rPr>
        <w:t>CTZB-2025050222</w:t>
      </w:r>
    </w:p>
    <w:tbl>
      <w:tblPr>
        <w:tblStyle w:val="52"/>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5187D289">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4972BB4A">
            <w:pPr>
              <w:autoSpaceDE w:val="0"/>
              <w:autoSpaceDN w:val="0"/>
              <w:spacing w:line="360" w:lineRule="auto"/>
              <w:rPr>
                <w:rFonts w:eastAsia="仿宋"/>
                <w:color w:val="000000"/>
                <w:sz w:val="22"/>
                <w:szCs w:val="21"/>
              </w:rPr>
            </w:pPr>
            <w:r>
              <w:rPr>
                <w:rFonts w:hint="eastAsia" w:ascii="仿宋" w:hAnsi="仿宋" w:eastAsia="仿宋"/>
                <w:b/>
                <w:color w:val="000000"/>
                <w:sz w:val="28"/>
              </w:rPr>
              <w:t>在本项目实施过程中使用到的节能、环保产品。</w:t>
            </w:r>
          </w:p>
        </w:tc>
      </w:tr>
    </w:tbl>
    <w:p w14:paraId="62A4A4A3">
      <w:pPr>
        <w:autoSpaceDE w:val="0"/>
        <w:autoSpaceDN w:val="0"/>
        <w:snapToGrid w:val="0"/>
        <w:spacing w:line="360" w:lineRule="auto"/>
        <w:rPr>
          <w:rFonts w:hint="eastAsia"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14:paraId="614CFD5F">
      <w:pPr>
        <w:autoSpaceDE w:val="0"/>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14:paraId="61A0FE86">
      <w:pPr>
        <w:pStyle w:val="4"/>
        <w:spacing w:before="120" w:after="120" w:line="324" w:lineRule="auto"/>
        <w:ind w:firstLine="221"/>
        <w:jc w:val="both"/>
        <w:rPr>
          <w:rFonts w:eastAsia="仿宋"/>
          <w:sz w:val="22"/>
          <w:szCs w:val="22"/>
        </w:rPr>
      </w:pPr>
      <w:r>
        <w:rPr>
          <w:rFonts w:eastAsia="仿宋"/>
          <w:sz w:val="22"/>
          <w:szCs w:val="22"/>
        </w:rPr>
        <w:br w:type="page"/>
      </w:r>
      <w:bookmarkEnd w:id="115"/>
      <w:r>
        <w:rPr>
          <w:rFonts w:hint="eastAsia" w:ascii="华文中宋" w:hAnsi="华文中宋"/>
          <w:bCs/>
          <w:color w:val="000000"/>
          <w:kern w:val="0"/>
          <w:szCs w:val="24"/>
        </w:rPr>
        <w:t>2-1</w:t>
      </w:r>
      <w:r>
        <w:rPr>
          <w:rFonts w:hint="eastAsia" w:ascii="华文中宋" w:hAnsi="华文中宋"/>
          <w:bCs/>
          <w:color w:val="000000"/>
          <w:kern w:val="0"/>
          <w:szCs w:val="24"/>
          <w:lang w:val="en-US" w:eastAsia="zh-CN"/>
        </w:rPr>
        <w:t>1</w:t>
      </w:r>
      <w:r>
        <w:rPr>
          <w:rFonts w:hint="eastAsia" w:ascii="华文中宋" w:hAnsi="华文中宋"/>
          <w:bCs/>
          <w:color w:val="000000"/>
          <w:kern w:val="0"/>
          <w:szCs w:val="24"/>
        </w:rPr>
        <w:t xml:space="preserve"> 主要材料品牌表</w:t>
      </w:r>
    </w:p>
    <w:p w14:paraId="785152C9">
      <w:pPr>
        <w:autoSpaceDE w:val="0"/>
        <w:autoSpaceDN w:val="0"/>
        <w:spacing w:line="360" w:lineRule="auto"/>
        <w:jc w:val="center"/>
        <w:rPr>
          <w:rFonts w:eastAsia="华文中宋"/>
          <w:b/>
          <w:color w:val="000000"/>
          <w:sz w:val="40"/>
          <w:highlight w:val="none"/>
        </w:rPr>
      </w:pPr>
      <w:r>
        <w:rPr>
          <w:rFonts w:hint="eastAsia" w:eastAsia="华文中宋"/>
          <w:b/>
          <w:color w:val="000000"/>
          <w:sz w:val="40"/>
          <w:highlight w:val="none"/>
        </w:rPr>
        <w:t>主要材料品牌表</w:t>
      </w:r>
    </w:p>
    <w:p w14:paraId="62E1EFBD">
      <w:pPr>
        <w:autoSpaceDE w:val="0"/>
        <w:autoSpaceDN w:val="0"/>
        <w:spacing w:line="360" w:lineRule="auto"/>
        <w:rPr>
          <w:rFonts w:hint="eastAsia" w:eastAsia="仿宋"/>
          <w:b/>
          <w:color w:val="000000"/>
          <w:sz w:val="24"/>
          <w:u w:val="single"/>
          <w:lang w:eastAsia="zh-CN"/>
        </w:rPr>
      </w:pPr>
      <w:r>
        <w:rPr>
          <w:rFonts w:eastAsia="仿宋"/>
          <w:b/>
          <w:color w:val="000000"/>
          <w:sz w:val="24"/>
        </w:rPr>
        <w:t>项目名称：</w:t>
      </w:r>
      <w:r>
        <w:rPr>
          <w:rFonts w:hint="eastAsia" w:ascii="仿宋" w:hAnsi="仿宋" w:eastAsia="仿宋" w:cs="Arial"/>
          <w:b/>
          <w:color w:val="000000"/>
          <w:sz w:val="24"/>
          <w:u w:val="single"/>
          <w:lang w:eastAsia="zh-CN"/>
        </w:rPr>
        <w:t>浙江工商大学教工路校区学生宿舍建设工程附属配电房移位改造工程（EPC）</w:t>
      </w:r>
    </w:p>
    <w:p w14:paraId="10B71648">
      <w:pPr>
        <w:autoSpaceDE w:val="0"/>
        <w:autoSpaceDN w:val="0"/>
        <w:spacing w:line="360" w:lineRule="auto"/>
        <w:rPr>
          <w:rFonts w:hint="eastAsia" w:ascii="仿宋" w:hAnsi="仿宋" w:eastAsia="仿宋" w:cs="Arial"/>
          <w:b/>
          <w:color w:val="000000"/>
          <w:sz w:val="24"/>
          <w:u w:val="single"/>
          <w:lang w:eastAsia="zh-CN"/>
        </w:rPr>
      </w:pPr>
      <w:r>
        <w:rPr>
          <w:rFonts w:eastAsia="仿宋"/>
          <w:b/>
          <w:color w:val="000000"/>
          <w:sz w:val="24"/>
        </w:rPr>
        <w:t>项目编号：</w:t>
      </w:r>
      <w:r>
        <w:rPr>
          <w:rFonts w:hint="eastAsia" w:ascii="仿宋" w:hAnsi="仿宋" w:eastAsia="仿宋" w:cs="Arial"/>
          <w:b/>
          <w:color w:val="000000"/>
          <w:sz w:val="24"/>
          <w:u w:val="single"/>
          <w:lang w:eastAsia="zh-CN"/>
        </w:rPr>
        <w:t>CTZB-2025050222</w:t>
      </w:r>
    </w:p>
    <w:tbl>
      <w:tblPr>
        <w:tblStyle w:val="52"/>
        <w:tblW w:w="8789" w:type="dxa"/>
        <w:jc w:val="center"/>
        <w:tblLayout w:type="fixed"/>
        <w:tblCellMar>
          <w:top w:w="0" w:type="dxa"/>
          <w:left w:w="10" w:type="dxa"/>
          <w:bottom w:w="0" w:type="dxa"/>
          <w:right w:w="10" w:type="dxa"/>
        </w:tblCellMar>
      </w:tblPr>
      <w:tblGrid>
        <w:gridCol w:w="846"/>
        <w:gridCol w:w="1984"/>
        <w:gridCol w:w="3124"/>
        <w:gridCol w:w="2835"/>
      </w:tblGrid>
      <w:tr w14:paraId="5CD7F210">
        <w:tblPrEx>
          <w:tblCellMar>
            <w:top w:w="0" w:type="dxa"/>
            <w:left w:w="10" w:type="dxa"/>
            <w:bottom w:w="0" w:type="dxa"/>
            <w:right w:w="10" w:type="dxa"/>
          </w:tblCellMar>
        </w:tblPrEx>
        <w:trPr>
          <w:trHeight w:val="62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7BDB">
            <w:pPr>
              <w:autoSpaceDE w:val="0"/>
              <w:autoSpaceDN w:val="0"/>
              <w:adjustRightInd w:val="0"/>
              <w:snapToGrid w:val="0"/>
              <w:jc w:val="center"/>
              <w:rPr>
                <w:rFonts w:hint="eastAsia" w:ascii="仿宋" w:hAnsi="仿宋" w:eastAsia="仿宋" w:cs="仿宋"/>
                <w:szCs w:val="21"/>
              </w:rPr>
            </w:pPr>
            <w:r>
              <w:rPr>
                <w:rFonts w:hint="eastAsia" w:ascii="仿宋" w:hAnsi="仿宋" w:eastAsia="仿宋" w:cs="仿宋"/>
                <w:szCs w:val="21"/>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426723">
            <w:pPr>
              <w:autoSpaceDE w:val="0"/>
              <w:autoSpaceDN w:val="0"/>
              <w:adjustRightInd w:val="0"/>
              <w:snapToGrid w:val="0"/>
              <w:jc w:val="center"/>
              <w:rPr>
                <w:rFonts w:hint="eastAsia" w:ascii="仿宋" w:hAnsi="仿宋" w:eastAsia="仿宋" w:cs="仿宋"/>
                <w:szCs w:val="21"/>
              </w:rPr>
            </w:pPr>
            <w:r>
              <w:rPr>
                <w:rFonts w:hint="eastAsia" w:ascii="仿宋" w:hAnsi="仿宋" w:eastAsia="仿宋" w:cs="仿宋"/>
                <w:szCs w:val="21"/>
              </w:rPr>
              <w:t>材料名称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27B76BE">
            <w:pPr>
              <w:autoSpaceDE w:val="0"/>
              <w:autoSpaceDN w:val="0"/>
              <w:adjustRightInd w:val="0"/>
              <w:snapToGrid w:val="0"/>
              <w:jc w:val="center"/>
              <w:rPr>
                <w:rFonts w:hint="default" w:ascii="仿宋" w:hAnsi="仿宋" w:eastAsia="仿宋" w:cs="仿宋"/>
                <w:szCs w:val="21"/>
                <w:lang w:val="en-US" w:eastAsia="zh-CN"/>
              </w:rPr>
            </w:pPr>
            <w:r>
              <w:rPr>
                <w:rFonts w:hint="eastAsia" w:ascii="仿宋" w:hAnsi="仿宋" w:eastAsia="仿宋" w:cs="仿宋"/>
                <w:szCs w:val="21"/>
              </w:rPr>
              <w:t>推荐品牌或制造商</w:t>
            </w:r>
            <w:r>
              <w:rPr>
                <w:rFonts w:hint="eastAsia" w:ascii="仿宋" w:hAnsi="仿宋" w:eastAsia="仿宋" w:cs="仿宋"/>
                <w:szCs w:val="21"/>
                <w:lang w:eastAsia="zh-CN"/>
              </w:rPr>
              <w:t>（</w:t>
            </w:r>
            <w:r>
              <w:rPr>
                <w:rFonts w:hint="eastAsia" w:ascii="仿宋" w:hAnsi="仿宋" w:eastAsia="仿宋" w:cs="仿宋"/>
                <w:szCs w:val="21"/>
                <w:lang w:val="en-US" w:eastAsia="zh-CN"/>
              </w:rPr>
              <w:t>或相当于）</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587265F">
            <w:pPr>
              <w:autoSpaceDE w:val="0"/>
              <w:autoSpaceDN w:val="0"/>
              <w:adjustRightInd w:val="0"/>
              <w:snapToGrid w:val="0"/>
              <w:jc w:val="center"/>
              <w:rPr>
                <w:rFonts w:hint="eastAsia" w:ascii="仿宋" w:hAnsi="仿宋" w:eastAsia="仿宋" w:cs="仿宋"/>
                <w:szCs w:val="21"/>
              </w:rPr>
            </w:pPr>
            <w:r>
              <w:rPr>
                <w:rFonts w:hint="eastAsia" w:ascii="仿宋" w:hAnsi="仿宋" w:eastAsia="仿宋" w:cs="仿宋"/>
                <w:szCs w:val="21"/>
              </w:rPr>
              <w:t>所投品牌及型号</w:t>
            </w:r>
          </w:p>
        </w:tc>
      </w:tr>
      <w:tr w14:paraId="0DD5571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E2AD9">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6EBB46">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高压柜</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5235AFC">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浙宝电气、</w:t>
            </w:r>
            <w:r>
              <w:rPr>
                <w:rFonts w:hint="eastAsia" w:ascii="仿宋" w:hAnsi="仿宋" w:eastAsia="仿宋" w:cs="仿宋"/>
                <w:color w:val="auto"/>
                <w:szCs w:val="21"/>
                <w:lang w:eastAsia="zh-CN"/>
              </w:rPr>
              <w:t>杭州圣力</w:t>
            </w:r>
            <w:r>
              <w:rPr>
                <w:rFonts w:hint="eastAsia" w:ascii="仿宋" w:hAnsi="仿宋" w:eastAsia="仿宋" w:cs="仿宋"/>
                <w:color w:val="auto"/>
                <w:szCs w:val="21"/>
              </w:rPr>
              <w:t>、杭开</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73F6F1">
            <w:pPr>
              <w:snapToGrid w:val="0"/>
              <w:jc w:val="center"/>
              <w:rPr>
                <w:rFonts w:hint="eastAsia" w:ascii="仿宋" w:hAnsi="仿宋" w:eastAsia="仿宋" w:cs="仿宋"/>
                <w:kern w:val="2"/>
                <w:sz w:val="21"/>
                <w:szCs w:val="21"/>
                <w:lang w:val="en-US" w:eastAsia="zh-CN" w:bidi="ar-SA"/>
              </w:rPr>
            </w:pPr>
          </w:p>
        </w:tc>
      </w:tr>
      <w:tr w14:paraId="76DAE29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CC06">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44EEFE0">
            <w:pPr>
              <w:autoSpaceDE w:val="0"/>
              <w:autoSpaceDN w:val="0"/>
              <w:snapToGrid w:val="0"/>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rPr>
              <w:t>真空断路器及负荷开关</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84AEEE0">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施耐德、ABB、西门子</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B9756E">
            <w:pPr>
              <w:snapToGrid w:val="0"/>
              <w:jc w:val="center"/>
              <w:rPr>
                <w:rFonts w:hint="eastAsia" w:ascii="仿宋" w:hAnsi="仿宋" w:eastAsia="仿宋" w:cs="仿宋"/>
                <w:kern w:val="2"/>
                <w:sz w:val="21"/>
                <w:szCs w:val="21"/>
                <w:lang w:val="en-US" w:eastAsia="zh-CN" w:bidi="ar-SA"/>
              </w:rPr>
            </w:pPr>
          </w:p>
        </w:tc>
      </w:tr>
      <w:tr w14:paraId="0C9441E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93D7">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D5E7DBE">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综合继电保护</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46B7FA">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施耐德、ABB、西门子</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20CB54F">
            <w:pPr>
              <w:snapToGrid w:val="0"/>
              <w:jc w:val="center"/>
              <w:rPr>
                <w:rFonts w:hint="eastAsia" w:ascii="仿宋" w:hAnsi="仿宋" w:eastAsia="仿宋" w:cs="仿宋"/>
                <w:kern w:val="2"/>
                <w:sz w:val="21"/>
                <w:szCs w:val="21"/>
                <w:lang w:val="en-US" w:eastAsia="zh-CN" w:bidi="ar-SA"/>
              </w:rPr>
            </w:pPr>
          </w:p>
        </w:tc>
      </w:tr>
      <w:tr w14:paraId="2FB6DC7D">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5F0F">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F3B81C4">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智能配电系统</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6FB008B">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施耐德、ABB、西门子</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DE83144">
            <w:pPr>
              <w:snapToGrid w:val="0"/>
              <w:jc w:val="center"/>
              <w:rPr>
                <w:rFonts w:hint="eastAsia" w:ascii="仿宋" w:hAnsi="仿宋" w:eastAsia="仿宋" w:cs="仿宋"/>
                <w:kern w:val="2"/>
                <w:sz w:val="21"/>
                <w:szCs w:val="21"/>
                <w:lang w:val="en-US" w:eastAsia="zh-CN" w:bidi="ar-SA"/>
              </w:rPr>
            </w:pPr>
          </w:p>
        </w:tc>
      </w:tr>
      <w:tr w14:paraId="5E5F8F0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78A3">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F61B4CB">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直流屏及控制柜</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45C984">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博朗耐、英威腾、航天柏克</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5C2D483">
            <w:pPr>
              <w:snapToGrid w:val="0"/>
              <w:jc w:val="center"/>
              <w:rPr>
                <w:rFonts w:hint="eastAsia" w:ascii="仿宋" w:hAnsi="仿宋" w:eastAsia="仿宋" w:cs="仿宋"/>
                <w:kern w:val="2"/>
                <w:sz w:val="21"/>
                <w:szCs w:val="21"/>
                <w:lang w:val="en-US" w:eastAsia="zh-CN" w:bidi="ar-SA"/>
              </w:rPr>
            </w:pPr>
          </w:p>
        </w:tc>
      </w:tr>
      <w:tr w14:paraId="57B1FA4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55BC">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22BD980">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LED灯具</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A987DB">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欧普、三雄极光、飞利浦、雷士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341262">
            <w:pPr>
              <w:snapToGrid w:val="0"/>
              <w:jc w:val="center"/>
              <w:rPr>
                <w:rFonts w:hint="eastAsia" w:ascii="仿宋" w:hAnsi="仿宋" w:eastAsia="仿宋" w:cs="仿宋"/>
                <w:kern w:val="2"/>
                <w:sz w:val="21"/>
                <w:szCs w:val="21"/>
                <w:lang w:val="en-US" w:eastAsia="zh-CN" w:bidi="ar-SA"/>
              </w:rPr>
            </w:pPr>
          </w:p>
        </w:tc>
      </w:tr>
      <w:tr w14:paraId="067B8A63">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D32D">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2E44256">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智慧监测平台</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F39BD7">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海康、大华、宇视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15200E">
            <w:pPr>
              <w:spacing w:line="360" w:lineRule="auto"/>
              <w:jc w:val="center"/>
              <w:rPr>
                <w:rFonts w:hint="eastAsia" w:ascii="仿宋" w:hAnsi="仿宋" w:eastAsia="仿宋" w:cs="仿宋"/>
                <w:kern w:val="2"/>
                <w:sz w:val="21"/>
                <w:szCs w:val="21"/>
                <w:lang w:val="en-US" w:eastAsia="zh-CN" w:bidi="ar-SA"/>
              </w:rPr>
            </w:pPr>
          </w:p>
        </w:tc>
      </w:tr>
      <w:tr w14:paraId="17285FC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AE83">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CCBBA6B">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电线、电缆</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DF8C40">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永通中策、浙江万马、无锡华美、江苏鑫峰</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A353B14">
            <w:pPr>
              <w:spacing w:line="360" w:lineRule="auto"/>
              <w:jc w:val="center"/>
              <w:rPr>
                <w:rFonts w:hint="eastAsia" w:ascii="仿宋" w:hAnsi="仿宋" w:eastAsia="仿宋" w:cs="仿宋"/>
                <w:kern w:val="2"/>
                <w:sz w:val="21"/>
                <w:szCs w:val="21"/>
                <w:lang w:val="en-US" w:eastAsia="zh-CN" w:bidi="ar-SA"/>
              </w:rPr>
            </w:pPr>
          </w:p>
        </w:tc>
      </w:tr>
      <w:tr w14:paraId="4F6D3020">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5C9E">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3C0CE86">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桥架</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44A5F7A">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远大、上海正大、浙江信一、浙江博奥</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1A198BC">
            <w:pPr>
              <w:spacing w:line="360" w:lineRule="auto"/>
              <w:jc w:val="center"/>
              <w:rPr>
                <w:rFonts w:hint="eastAsia" w:ascii="仿宋" w:hAnsi="仿宋" w:eastAsia="仿宋" w:cs="仿宋"/>
                <w:kern w:val="2"/>
                <w:sz w:val="21"/>
                <w:szCs w:val="21"/>
                <w:lang w:val="en-US" w:eastAsia="zh-CN" w:bidi="ar-SA"/>
              </w:rPr>
            </w:pPr>
          </w:p>
        </w:tc>
      </w:tr>
      <w:tr w14:paraId="74012CC7">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C0E92">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727D3CD">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母线</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7D3C8FD">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浙江远大、杭州鸿雁、杭州杭开</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374FE7">
            <w:pPr>
              <w:spacing w:line="360" w:lineRule="auto"/>
              <w:jc w:val="center"/>
              <w:rPr>
                <w:rFonts w:hint="eastAsia" w:ascii="仿宋" w:hAnsi="仿宋" w:eastAsia="仿宋" w:cs="仿宋"/>
                <w:kern w:val="2"/>
                <w:sz w:val="21"/>
                <w:szCs w:val="21"/>
                <w:lang w:val="en-US" w:eastAsia="zh-CN" w:bidi="ar-SA"/>
              </w:rPr>
            </w:pPr>
          </w:p>
        </w:tc>
      </w:tr>
      <w:tr w14:paraId="2EC9A664">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6DA97">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F2E37EC">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管材</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445273E">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公元、中财、伟星</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51E8EB">
            <w:pPr>
              <w:spacing w:line="360" w:lineRule="auto"/>
              <w:jc w:val="center"/>
              <w:rPr>
                <w:rFonts w:hint="eastAsia" w:ascii="仿宋" w:hAnsi="仿宋" w:eastAsia="仿宋" w:cs="仿宋"/>
                <w:kern w:val="2"/>
                <w:sz w:val="21"/>
                <w:szCs w:val="21"/>
                <w:lang w:val="en-US" w:eastAsia="zh-CN" w:bidi="ar-SA"/>
              </w:rPr>
            </w:pPr>
          </w:p>
        </w:tc>
      </w:tr>
      <w:tr w14:paraId="21FEB8AE">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9089">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B22E7BC">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乳胶漆、真石漆</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E49AF2">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lang w:bidi="ar"/>
              </w:rPr>
              <w:t>上海立邦、嘉宝莉、多乐士、华润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0B98CC1">
            <w:pPr>
              <w:spacing w:line="360" w:lineRule="auto"/>
              <w:jc w:val="center"/>
              <w:rPr>
                <w:rFonts w:hint="eastAsia" w:ascii="仿宋" w:hAnsi="仿宋" w:eastAsia="仿宋" w:cs="仿宋"/>
                <w:kern w:val="2"/>
                <w:sz w:val="21"/>
                <w:szCs w:val="21"/>
                <w:lang w:val="en-US" w:eastAsia="zh-CN" w:bidi="ar-SA"/>
              </w:rPr>
            </w:pPr>
          </w:p>
        </w:tc>
      </w:tr>
      <w:tr w14:paraId="0E3B36F9">
        <w:tblPrEx>
          <w:tblCellMar>
            <w:top w:w="0" w:type="dxa"/>
            <w:left w:w="10" w:type="dxa"/>
            <w:bottom w:w="0" w:type="dxa"/>
            <w:right w:w="10" w:type="dxa"/>
          </w:tblCellMar>
        </w:tblPrEx>
        <w:trPr>
          <w:trHeight w:val="567"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DE93">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B5A99CF">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灭火器</w:t>
            </w:r>
          </w:p>
        </w:tc>
        <w:tc>
          <w:tcPr>
            <w:tcW w:w="3124"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481B0A6">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龙成消防、星浙安、神龙消防</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D14703">
            <w:pPr>
              <w:autoSpaceDE w:val="0"/>
              <w:autoSpaceDN w:val="0"/>
              <w:adjustRightInd w:val="0"/>
              <w:snapToGrid w:val="0"/>
              <w:jc w:val="center"/>
              <w:rPr>
                <w:rFonts w:hint="eastAsia" w:ascii="仿宋" w:hAnsi="仿宋" w:eastAsia="仿宋" w:cs="仿宋"/>
                <w:b/>
                <w:bCs/>
                <w:color w:val="auto"/>
                <w:szCs w:val="21"/>
                <w:lang w:val="en-US" w:eastAsia="zh-CN"/>
              </w:rPr>
            </w:pPr>
          </w:p>
        </w:tc>
      </w:tr>
      <w:tr w14:paraId="3AE93C1D">
        <w:tblPrEx>
          <w:tblCellMar>
            <w:top w:w="0" w:type="dxa"/>
            <w:left w:w="10" w:type="dxa"/>
            <w:bottom w:w="0" w:type="dxa"/>
            <w:right w:w="10"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926E6D">
            <w:pPr>
              <w:autoSpaceDE w:val="0"/>
              <w:autoSpaceDN w:val="0"/>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294AFA">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424C8B">
            <w:pPr>
              <w:autoSpaceDE w:val="0"/>
              <w:autoSpaceDN w:val="0"/>
              <w:snapToGrid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格力、美的、海尔</w:t>
            </w:r>
          </w:p>
        </w:tc>
        <w:tc>
          <w:tcPr>
            <w:tcW w:w="2835" w:type="dxa"/>
            <w:tcBorders>
              <w:top w:val="single" w:color="000000" w:sz="4" w:space="0"/>
              <w:left w:val="single" w:color="000000" w:sz="4" w:space="0"/>
              <w:bottom w:val="single" w:color="000000" w:sz="4" w:space="0"/>
              <w:right w:val="single" w:color="000000" w:sz="4" w:space="0"/>
            </w:tcBorders>
          </w:tcPr>
          <w:p w14:paraId="314231FB">
            <w:pPr>
              <w:autoSpaceDE w:val="0"/>
              <w:autoSpaceDN w:val="0"/>
              <w:adjustRightInd w:val="0"/>
              <w:snapToGrid w:val="0"/>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▲该产品为政府强制采购产品，在投标响应文件中提供节能认证证书。</w:t>
            </w:r>
          </w:p>
        </w:tc>
      </w:tr>
    </w:tbl>
    <w:p w14:paraId="46CD20FA">
      <w:pPr>
        <w:pStyle w:val="120"/>
        <w:autoSpaceDE w:val="0"/>
        <w:autoSpaceDN w:val="0"/>
        <w:spacing w:line="324" w:lineRule="auto"/>
        <w:ind w:left="-283" w:leftChars="-135" w:right="-334" w:rightChars="-159" w:firstLine="315" w:firstLineChars="150"/>
        <w:rPr>
          <w:rFonts w:hint="eastAsia" w:ascii="仿宋" w:hAnsi="仿宋" w:eastAsia="仿宋" w:cs="仿宋"/>
          <w:b/>
          <w:sz w:val="22"/>
          <w:szCs w:val="22"/>
        </w:rPr>
      </w:pPr>
      <w:r>
        <w:rPr>
          <w:rFonts w:hint="eastAsia" w:ascii="仿宋" w:hAnsi="仿宋" w:eastAsia="仿宋"/>
          <w:szCs w:val="21"/>
        </w:rPr>
        <w:t>注：①</w:t>
      </w:r>
      <w:r>
        <w:rPr>
          <w:rFonts w:hint="eastAsia" w:ascii="仿宋" w:hAnsi="仿宋" w:eastAsia="仿宋"/>
          <w:b/>
          <w:szCs w:val="21"/>
        </w:rPr>
        <w:t>磋商响应供应商</w:t>
      </w:r>
      <w:r>
        <w:rPr>
          <w:rFonts w:hint="eastAsia" w:ascii="仿宋" w:hAnsi="仿宋" w:eastAsia="仿宋" w:cs="仿宋"/>
          <w:b/>
          <w:kern w:val="0"/>
          <w:sz w:val="22"/>
          <w:szCs w:val="22"/>
        </w:rPr>
        <w:t>需要在“投标品牌”一栏中注明所选品牌</w:t>
      </w:r>
      <w:r>
        <w:rPr>
          <w:rFonts w:hint="eastAsia" w:ascii="仿宋" w:hAnsi="仿宋" w:eastAsia="仿宋" w:cs="仿宋"/>
          <w:b/>
          <w:sz w:val="22"/>
          <w:szCs w:val="22"/>
        </w:rPr>
        <w:t>。</w:t>
      </w:r>
    </w:p>
    <w:p w14:paraId="4676FB00">
      <w:pPr>
        <w:pStyle w:val="120"/>
        <w:autoSpaceDE w:val="0"/>
        <w:autoSpaceDN w:val="0"/>
        <w:spacing w:line="324" w:lineRule="auto"/>
        <w:ind w:left="-283" w:leftChars="-135" w:right="-334" w:rightChars="-159" w:firstLine="330" w:firstLineChars="150"/>
        <w:rPr>
          <w:rFonts w:hint="eastAsia" w:ascii="仿宋" w:hAnsi="仿宋" w:eastAsia="仿宋" w:cs="仿宋"/>
          <w:b/>
          <w:sz w:val="22"/>
          <w:szCs w:val="22"/>
        </w:rPr>
      </w:pPr>
      <w:r>
        <w:rPr>
          <w:rFonts w:hint="eastAsia" w:ascii="仿宋" w:hAnsi="仿宋" w:eastAsia="仿宋" w:cs="仿宋"/>
          <w:sz w:val="22"/>
          <w:szCs w:val="22"/>
        </w:rPr>
        <w:t>②</w:t>
      </w:r>
      <w:r>
        <w:rPr>
          <w:rFonts w:hint="eastAsia" w:ascii="仿宋" w:hAnsi="仿宋" w:eastAsia="仿宋" w:cs="仿宋"/>
          <w:b/>
          <w:sz w:val="22"/>
          <w:szCs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14:paraId="45F05B7A">
      <w:pPr>
        <w:pStyle w:val="5"/>
        <w:tabs>
          <w:tab w:val="left" w:pos="0"/>
        </w:tabs>
        <w:autoSpaceDE w:val="0"/>
        <w:autoSpaceDN w:val="0"/>
        <w:spacing w:line="324" w:lineRule="auto"/>
        <w:ind w:left="-283" w:leftChars="-135" w:right="-334" w:rightChars="-159" w:firstLine="331" w:firstLineChars="150"/>
        <w:rPr>
          <w:rFonts w:hint="eastAsia" w:ascii="仿宋" w:hAnsi="仿宋" w:eastAsia="仿宋" w:cs="仿宋"/>
          <w:kern w:val="0"/>
          <w:sz w:val="22"/>
          <w:szCs w:val="22"/>
        </w:rPr>
      </w:pPr>
      <w:r>
        <w:rPr>
          <w:rFonts w:hint="eastAsia" w:ascii="仿宋" w:hAnsi="仿宋" w:eastAsia="仿宋" w:cs="仿宋"/>
          <w:b/>
          <w:kern w:val="0"/>
          <w:sz w:val="22"/>
          <w:szCs w:val="22"/>
        </w:rPr>
        <w:t>③发包人有权根据实际情况在发包人推荐的供应商（厂家）或品牌范围内进行调整，承包人须接受调整，并不得因此而要求调价</w:t>
      </w:r>
      <w:r>
        <w:rPr>
          <w:rFonts w:hint="eastAsia" w:ascii="仿宋" w:hAnsi="仿宋" w:eastAsia="仿宋" w:cs="仿宋"/>
          <w:kern w:val="0"/>
          <w:sz w:val="22"/>
          <w:szCs w:val="22"/>
        </w:rPr>
        <w:t>。</w:t>
      </w:r>
    </w:p>
    <w:p w14:paraId="30F232E2">
      <w:pPr>
        <w:pStyle w:val="5"/>
        <w:tabs>
          <w:tab w:val="left" w:pos="0"/>
        </w:tabs>
        <w:autoSpaceDE w:val="0"/>
        <w:autoSpaceDN w:val="0"/>
        <w:spacing w:line="324" w:lineRule="auto"/>
        <w:ind w:left="-283" w:leftChars="-135" w:right="-334" w:rightChars="-159" w:firstLine="331" w:firstLineChars="150"/>
        <w:rPr>
          <w:rFonts w:hint="eastAsia" w:ascii="仿宋" w:hAnsi="仿宋" w:eastAsia="仿宋" w:cs="仿宋"/>
          <w:b/>
          <w:sz w:val="22"/>
          <w:szCs w:val="22"/>
        </w:rPr>
      </w:pPr>
      <w:r>
        <w:rPr>
          <w:rFonts w:hint="eastAsia" w:ascii="仿宋" w:hAnsi="仿宋" w:eastAsia="仿宋" w:cs="仿宋"/>
          <w:b/>
          <w:kern w:val="0"/>
          <w:sz w:val="22"/>
          <w:szCs w:val="22"/>
        </w:rPr>
        <w:t>④若磋商响应供应商未明确品牌，采购人将在此表 “推荐品牌或厂家”中指定品牌及型号，磋商报价不予调整。</w:t>
      </w:r>
    </w:p>
    <w:p w14:paraId="377A3C56">
      <w:pPr>
        <w:pStyle w:val="3"/>
        <w:autoSpaceDE w:val="0"/>
        <w:autoSpaceDN w:val="0"/>
        <w:spacing w:before="360"/>
        <w:ind w:firstLine="643"/>
        <w:rPr>
          <w:rFonts w:hint="eastAsia" w:ascii="仿宋" w:hAnsi="仿宋" w:eastAsia="仿宋" w:cs="仿宋"/>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p>
    <w:p w14:paraId="36BAF8B4">
      <w:pPr>
        <w:pStyle w:val="4"/>
        <w:spacing w:before="156" w:after="156" w:line="324" w:lineRule="auto"/>
        <w:ind w:firstLine="240"/>
        <w:jc w:val="both"/>
        <w:rPr>
          <w:rFonts w:hint="eastAsia" w:ascii="华文中宋" w:hAnsi="华文中宋"/>
          <w:bCs/>
          <w:color w:val="000000"/>
          <w:kern w:val="0"/>
          <w:szCs w:val="24"/>
        </w:rPr>
      </w:pPr>
      <w:r>
        <w:rPr>
          <w:rFonts w:hint="eastAsia" w:ascii="华文中宋" w:hAnsi="华文中宋"/>
          <w:bCs/>
          <w:color w:val="000000"/>
          <w:kern w:val="0"/>
          <w:szCs w:val="24"/>
        </w:rPr>
        <w:t>2-12 其他与技术服务有关的资料或说明（如有）</w:t>
      </w:r>
    </w:p>
    <w:p w14:paraId="3DE3ECE1">
      <w:pPr>
        <w:autoSpaceDE w:val="0"/>
        <w:autoSpaceDN w:val="0"/>
        <w:spacing w:line="360" w:lineRule="auto"/>
        <w:jc w:val="center"/>
        <w:rPr>
          <w:rFonts w:eastAsia="华文中宋"/>
          <w:b/>
          <w:color w:val="000000"/>
          <w:sz w:val="40"/>
        </w:rPr>
      </w:pPr>
      <w:r>
        <w:rPr>
          <w:rFonts w:hint="eastAsia" w:eastAsia="华文中宋"/>
          <w:b/>
          <w:color w:val="000000"/>
          <w:sz w:val="40"/>
        </w:rPr>
        <w:t>其他与技术服务有关的资料或说明（如有）</w:t>
      </w:r>
    </w:p>
    <w:p w14:paraId="6C034542">
      <w:pPr>
        <w:autoSpaceDE w:val="0"/>
        <w:autoSpaceDN w:val="0"/>
        <w:spacing w:line="360" w:lineRule="auto"/>
        <w:rPr>
          <w:rFonts w:hint="eastAsia" w:ascii="仿宋" w:hAnsi="仿宋" w:eastAsia="仿宋" w:cs="Arial"/>
          <w:b/>
          <w:color w:val="000000"/>
          <w:sz w:val="24"/>
          <w:u w:val="single"/>
        </w:rPr>
      </w:pPr>
    </w:p>
    <w:p w14:paraId="5484E6CB">
      <w:pPr>
        <w:autoSpaceDE w:val="0"/>
        <w:autoSpaceDN w:val="0"/>
        <w:spacing w:line="360" w:lineRule="auto"/>
        <w:rPr>
          <w:rFonts w:hint="eastAsia" w:ascii="仿宋" w:hAnsi="仿宋" w:eastAsia="仿宋" w:cs="Arial"/>
          <w:b/>
          <w:color w:val="000000"/>
          <w:sz w:val="24"/>
          <w:u w:val="single"/>
          <w:lang w:eastAsia="zh-CN"/>
        </w:rPr>
      </w:pPr>
      <w:r>
        <w:rPr>
          <w:rFonts w:hint="eastAsia" w:ascii="仿宋" w:hAnsi="仿宋" w:eastAsia="仿宋" w:cs="Arial"/>
          <w:b/>
          <w:color w:val="000000"/>
          <w:sz w:val="24"/>
        </w:rPr>
        <w:t>项目名称：</w:t>
      </w:r>
      <w:r>
        <w:rPr>
          <w:rFonts w:hint="eastAsia" w:ascii="仿宋" w:hAnsi="仿宋" w:eastAsia="仿宋" w:cs="Arial"/>
          <w:b/>
          <w:color w:val="000000"/>
          <w:sz w:val="24"/>
          <w:u w:val="single"/>
          <w:lang w:eastAsia="zh-CN"/>
        </w:rPr>
        <w:t>浙江工商大学教工路校区学生宿舍建设工程附属配电房移位改造工程（EPC）</w:t>
      </w:r>
    </w:p>
    <w:p w14:paraId="0996D04B">
      <w:pPr>
        <w:autoSpaceDE w:val="0"/>
        <w:autoSpaceDN w:val="0"/>
        <w:spacing w:line="360" w:lineRule="auto"/>
        <w:rPr>
          <w:rFonts w:hint="eastAsia" w:eastAsia="仿宋"/>
          <w:lang w:eastAsia="zh-CN"/>
        </w:rPr>
      </w:pPr>
      <w:r>
        <w:rPr>
          <w:rFonts w:hint="eastAsia" w:ascii="仿宋" w:hAnsi="仿宋" w:eastAsia="仿宋" w:cs="Arial"/>
          <w:b/>
          <w:color w:val="000000"/>
          <w:sz w:val="24"/>
        </w:rPr>
        <w:t>项目编号：</w:t>
      </w:r>
      <w:r>
        <w:rPr>
          <w:rFonts w:hint="eastAsia" w:ascii="仿宋" w:hAnsi="仿宋" w:eastAsia="仿宋" w:cs="Arial"/>
          <w:b/>
          <w:color w:val="000000"/>
          <w:sz w:val="24"/>
          <w:u w:val="single"/>
          <w:lang w:eastAsia="zh-CN"/>
        </w:rPr>
        <w:t>CTZB-2025050222</w:t>
      </w:r>
    </w:p>
    <w:tbl>
      <w:tblPr>
        <w:tblStyle w:val="52"/>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0E46387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14:paraId="79C178DA">
            <w:pPr>
              <w:autoSpaceDE w:val="0"/>
              <w:autoSpaceDN w:val="0"/>
              <w:spacing w:line="360" w:lineRule="auto"/>
              <w:jc w:val="center"/>
              <w:rPr>
                <w:rFonts w:eastAsia="仿宋"/>
                <w:color w:val="000000"/>
                <w:sz w:val="22"/>
                <w:szCs w:val="21"/>
              </w:rPr>
            </w:pPr>
            <w:r>
              <w:rPr>
                <w:rFonts w:hint="eastAsia" w:ascii="仿宋" w:hAnsi="仿宋" w:eastAsia="仿宋" w:cs="Arial"/>
                <w:i/>
                <w:color w:val="000000"/>
                <w:sz w:val="28"/>
                <w:szCs w:val="21"/>
              </w:rPr>
              <w:t>（加盖公章，否则视为未提供）</w:t>
            </w:r>
          </w:p>
        </w:tc>
      </w:tr>
    </w:tbl>
    <w:p w14:paraId="36F0C4AF">
      <w:pPr>
        <w:autoSpaceDE w:val="0"/>
        <w:autoSpaceDN w:val="0"/>
        <w:snapToGrid w:val="0"/>
        <w:spacing w:line="360" w:lineRule="auto"/>
        <w:rPr>
          <w:rFonts w:hint="eastAsia"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14:paraId="4DB641CB">
      <w:pPr>
        <w:autoSpaceDE w:val="0"/>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14:paraId="3FDFEB84">
      <w:pPr>
        <w:pStyle w:val="69"/>
        <w:sectPr>
          <w:pgSz w:w="11906" w:h="16838"/>
          <w:pgMar w:top="1361" w:right="1191" w:bottom="1361" w:left="1411" w:header="851" w:footer="850" w:gutter="0"/>
          <w:pgBorders>
            <w:top w:val="none" w:sz="0" w:space="0"/>
            <w:left w:val="none" w:sz="0" w:space="0"/>
            <w:bottom w:val="none" w:sz="0" w:space="0"/>
            <w:right w:val="none" w:sz="0" w:space="0"/>
          </w:pgBorders>
          <w:pgNumType w:fmt="decimal"/>
          <w:cols w:space="720" w:num="1"/>
          <w:docGrid w:type="linesAndChars" w:linePitch="312" w:charSpace="0"/>
        </w:sectPr>
      </w:pPr>
    </w:p>
    <w:p w14:paraId="7820DB4C">
      <w:pPr>
        <w:pStyle w:val="5"/>
        <w:autoSpaceDE w:val="0"/>
        <w:autoSpaceDN w:val="0"/>
      </w:pPr>
    </w:p>
    <w:p w14:paraId="1F89F177">
      <w:pPr>
        <w:pStyle w:val="3"/>
        <w:autoSpaceDE w:val="0"/>
        <w:autoSpaceDN w:val="0"/>
        <w:spacing w:before="360"/>
        <w:ind w:firstLine="0" w:firstLineChars="0"/>
        <w:rPr>
          <w:rFonts w:hint="eastAsia" w:ascii="Times New Roman" w:hAnsi="仿宋" w:eastAsia="仿宋"/>
          <w:sz w:val="28"/>
          <w:szCs w:val="28"/>
        </w:rPr>
      </w:pPr>
      <w:bookmarkStart w:id="136" w:name="_Toc422431990"/>
      <w:bookmarkStart w:id="137" w:name="_Toc345575534"/>
      <w:bookmarkStart w:id="138" w:name="_Toc2142"/>
      <w:bookmarkStart w:id="139" w:name="_Toc18006"/>
      <w:r>
        <w:rPr>
          <w:rFonts w:hint="eastAsia" w:ascii="Times New Roman" w:hAnsi="仿宋" w:eastAsia="仿宋"/>
          <w:sz w:val="28"/>
          <w:szCs w:val="28"/>
        </w:rPr>
        <w:t>第三部分“报价文件</w:t>
      </w:r>
      <w:bookmarkEnd w:id="136"/>
      <w:bookmarkEnd w:id="137"/>
      <w:r>
        <w:rPr>
          <w:rFonts w:hint="eastAsia" w:ascii="Times New Roman" w:hAnsi="仿宋" w:eastAsia="仿宋"/>
          <w:sz w:val="28"/>
          <w:szCs w:val="28"/>
        </w:rPr>
        <w:t>”格式</w:t>
      </w:r>
      <w:bookmarkEnd w:id="138"/>
      <w:bookmarkEnd w:id="139"/>
    </w:p>
    <w:p w14:paraId="0A0129A4">
      <w:pPr>
        <w:pStyle w:val="4"/>
        <w:spacing w:before="120" w:after="120" w:line="324" w:lineRule="auto"/>
        <w:ind w:firstLine="280"/>
        <w:jc w:val="both"/>
        <w:rPr>
          <w:rFonts w:hint="eastAsia" w:ascii="华文中宋" w:hAnsi="华文中宋"/>
          <w:bCs/>
          <w:color w:val="000000"/>
          <w:kern w:val="0"/>
          <w:sz w:val="28"/>
          <w:szCs w:val="28"/>
        </w:rPr>
      </w:pPr>
      <w:r>
        <w:rPr>
          <w:rFonts w:hint="eastAsia" w:ascii="华文中宋" w:hAnsi="华文中宋"/>
          <w:bCs/>
          <w:color w:val="000000"/>
          <w:kern w:val="0"/>
          <w:sz w:val="28"/>
          <w:szCs w:val="28"/>
        </w:rPr>
        <w:t>3-1 “报价文件”封面</w:t>
      </w:r>
    </w:p>
    <w:p w14:paraId="69A73006">
      <w:pPr>
        <w:tabs>
          <w:tab w:val="left" w:pos="2580"/>
          <w:tab w:val="left" w:pos="5940"/>
        </w:tabs>
        <w:autoSpaceDE w:val="0"/>
        <w:autoSpaceDN w:val="0"/>
        <w:adjustRightInd w:val="0"/>
        <w:spacing w:line="360" w:lineRule="auto"/>
        <w:ind w:right="-20"/>
        <w:rPr>
          <w:kern w:val="0"/>
          <w:sz w:val="28"/>
        </w:rPr>
      </w:pPr>
    </w:p>
    <w:p w14:paraId="4DEA3FE7">
      <w:pPr>
        <w:autoSpaceDE w:val="0"/>
        <w:autoSpaceDN w:val="0"/>
        <w:spacing w:line="276" w:lineRule="auto"/>
        <w:jc w:val="center"/>
        <w:rPr>
          <w:rFonts w:hint="eastAsia" w:ascii="微软雅黑" w:hAnsi="微软雅黑" w:eastAsia="微软雅黑" w:cs="Arial"/>
          <w:b/>
          <w:color w:val="000000"/>
          <w:sz w:val="90"/>
          <w:szCs w:val="90"/>
        </w:rPr>
      </w:pPr>
      <w:r>
        <w:rPr>
          <w:rFonts w:hint="eastAsia" w:ascii="微软雅黑" w:hAnsi="微软雅黑" w:eastAsia="微软雅黑" w:cs="Arial"/>
          <w:b/>
          <w:color w:val="000000"/>
          <w:kern w:val="0"/>
          <w:sz w:val="52"/>
          <w:szCs w:val="90"/>
        </w:rPr>
        <w:t>浙江省政府采购电子交易项目</w:t>
      </w:r>
    </w:p>
    <w:p w14:paraId="2EA26613">
      <w:pPr>
        <w:autoSpaceDE w:val="0"/>
        <w:autoSpaceDN w:val="0"/>
        <w:spacing w:line="360" w:lineRule="auto"/>
        <w:rPr>
          <w:rFonts w:hint="eastAsia" w:ascii="仿宋" w:hAnsi="仿宋" w:eastAsia="仿宋"/>
          <w:color w:val="000000"/>
          <w:sz w:val="24"/>
        </w:rPr>
      </w:pPr>
    </w:p>
    <w:p w14:paraId="2732A29F">
      <w:pPr>
        <w:autoSpaceDE w:val="0"/>
        <w:autoSpaceDN w:val="0"/>
        <w:spacing w:line="276" w:lineRule="auto"/>
        <w:jc w:val="center"/>
        <w:rPr>
          <w:rFonts w:hint="eastAsia" w:ascii="微软雅黑" w:hAnsi="微软雅黑" w:eastAsia="微软雅黑" w:cs="Arial"/>
          <w:color w:val="000000"/>
          <w:kern w:val="0"/>
          <w:sz w:val="120"/>
          <w:szCs w:val="120"/>
        </w:rPr>
      </w:pPr>
      <w:r>
        <w:rPr>
          <w:rFonts w:hint="eastAsia" w:ascii="微软雅黑" w:hAnsi="微软雅黑" w:eastAsia="微软雅黑" w:cs="Arial"/>
          <w:color w:val="000000"/>
          <w:kern w:val="0"/>
          <w:sz w:val="120"/>
          <w:szCs w:val="120"/>
        </w:rPr>
        <w:t>磋商响应文件</w:t>
      </w:r>
    </w:p>
    <w:p w14:paraId="5C957EAF">
      <w:pPr>
        <w:autoSpaceDE w:val="0"/>
        <w:autoSpaceDN w:val="0"/>
        <w:spacing w:line="360" w:lineRule="auto"/>
        <w:jc w:val="center"/>
        <w:rPr>
          <w:rFonts w:hint="eastAsia" w:ascii="微软雅黑" w:hAnsi="微软雅黑" w:eastAsia="微软雅黑" w:cs="Arial"/>
          <w:b/>
          <w:color w:val="000000"/>
          <w:kern w:val="0"/>
          <w:sz w:val="48"/>
          <w:szCs w:val="84"/>
        </w:rPr>
      </w:pPr>
      <w:r>
        <w:rPr>
          <w:rFonts w:hint="eastAsia" w:ascii="微软雅黑" w:hAnsi="微软雅黑" w:eastAsia="微软雅黑" w:cs="Arial"/>
          <w:b/>
          <w:color w:val="000000"/>
          <w:kern w:val="0"/>
          <w:sz w:val="48"/>
          <w:szCs w:val="84"/>
        </w:rPr>
        <w:t>（三、报价文件）</w:t>
      </w:r>
    </w:p>
    <w:p w14:paraId="6E29E001">
      <w:pPr>
        <w:autoSpaceDE w:val="0"/>
        <w:autoSpaceDN w:val="0"/>
        <w:spacing w:line="360" w:lineRule="auto"/>
        <w:jc w:val="center"/>
        <w:rPr>
          <w:rFonts w:hint="eastAsia" w:ascii="仿宋" w:hAnsi="仿宋" w:eastAsia="仿宋"/>
          <w:color w:val="000000"/>
          <w:sz w:val="24"/>
        </w:rPr>
      </w:pPr>
    </w:p>
    <w:tbl>
      <w:tblPr>
        <w:tblStyle w:val="52"/>
        <w:tblW w:w="0" w:type="auto"/>
        <w:tblInd w:w="108" w:type="dxa"/>
        <w:tblLayout w:type="fixed"/>
        <w:tblCellMar>
          <w:top w:w="0" w:type="dxa"/>
          <w:left w:w="108" w:type="dxa"/>
          <w:bottom w:w="0" w:type="dxa"/>
          <w:right w:w="108" w:type="dxa"/>
        </w:tblCellMar>
      </w:tblPr>
      <w:tblGrid>
        <w:gridCol w:w="8931"/>
      </w:tblGrid>
      <w:tr w14:paraId="6A7DE9A0">
        <w:tblPrEx>
          <w:tblCellMar>
            <w:top w:w="0" w:type="dxa"/>
            <w:left w:w="108" w:type="dxa"/>
            <w:bottom w:w="0" w:type="dxa"/>
            <w:right w:w="108" w:type="dxa"/>
          </w:tblCellMar>
        </w:tblPrEx>
        <w:trPr>
          <w:trHeight w:val="680" w:hRule="atLeast"/>
        </w:trPr>
        <w:tc>
          <w:tcPr>
            <w:tcW w:w="8931" w:type="dxa"/>
            <w:vAlign w:val="center"/>
          </w:tcPr>
          <w:p w14:paraId="57837DCC">
            <w:pPr>
              <w:autoSpaceDE w:val="0"/>
              <w:autoSpaceDN w:val="0"/>
              <w:rPr>
                <w:rFonts w:hint="eastAsia" w:ascii="仿宋" w:hAnsi="仿宋" w:eastAsia="仿宋"/>
                <w:b/>
                <w:color w:val="000000"/>
                <w:sz w:val="28"/>
                <w:szCs w:val="28"/>
                <w:lang w:eastAsia="zh-CN"/>
              </w:rPr>
            </w:pPr>
            <w:r>
              <w:rPr>
                <w:rFonts w:hint="eastAsia" w:ascii="仿宋" w:hAnsi="仿宋" w:eastAsia="仿宋" w:cs="Arial"/>
                <w:b/>
                <w:color w:val="000000"/>
                <w:sz w:val="28"/>
                <w:szCs w:val="28"/>
              </w:rPr>
              <w:t>项目名称：</w:t>
            </w:r>
            <w:r>
              <w:rPr>
                <w:rFonts w:hint="eastAsia" w:ascii="仿宋" w:hAnsi="仿宋" w:eastAsia="仿宋" w:cs="Arial"/>
                <w:b/>
                <w:color w:val="000000"/>
                <w:w w:val="90"/>
                <w:sz w:val="28"/>
                <w:szCs w:val="28"/>
                <w:lang w:eastAsia="zh-CN"/>
              </w:rPr>
              <w:t>浙江工商大学教工路校区学生宿舍建设工程附属配电房移位改造工程（EPC）</w:t>
            </w:r>
          </w:p>
        </w:tc>
      </w:tr>
      <w:tr w14:paraId="5D0F507D">
        <w:tblPrEx>
          <w:tblCellMar>
            <w:top w:w="0" w:type="dxa"/>
            <w:left w:w="108" w:type="dxa"/>
            <w:bottom w:w="0" w:type="dxa"/>
            <w:right w:w="108" w:type="dxa"/>
          </w:tblCellMar>
        </w:tblPrEx>
        <w:trPr>
          <w:trHeight w:val="680" w:hRule="atLeast"/>
        </w:trPr>
        <w:tc>
          <w:tcPr>
            <w:tcW w:w="8931" w:type="dxa"/>
            <w:vAlign w:val="center"/>
          </w:tcPr>
          <w:p w14:paraId="7B789C40">
            <w:pPr>
              <w:autoSpaceDE w:val="0"/>
              <w:autoSpaceDN w:val="0"/>
              <w:rPr>
                <w:rFonts w:hint="eastAsia" w:ascii="仿宋" w:hAnsi="仿宋" w:eastAsia="仿宋"/>
                <w:b/>
                <w:color w:val="000000"/>
                <w:sz w:val="28"/>
                <w:szCs w:val="28"/>
                <w:lang w:eastAsia="zh-CN"/>
              </w:rPr>
            </w:pPr>
            <w:r>
              <w:rPr>
                <w:rFonts w:hint="eastAsia" w:ascii="仿宋" w:hAnsi="仿宋" w:eastAsia="仿宋"/>
                <w:b/>
                <w:color w:val="000000"/>
                <w:sz w:val="28"/>
                <w:szCs w:val="28"/>
              </w:rPr>
              <w:t>项目编号：</w:t>
            </w:r>
            <w:r>
              <w:rPr>
                <w:rFonts w:hint="eastAsia" w:ascii="仿宋" w:hAnsi="仿宋" w:eastAsia="仿宋"/>
                <w:b/>
                <w:color w:val="000000"/>
                <w:sz w:val="28"/>
                <w:szCs w:val="28"/>
                <w:lang w:eastAsia="zh-CN"/>
              </w:rPr>
              <w:t>CTZB-2025050222</w:t>
            </w:r>
          </w:p>
        </w:tc>
      </w:tr>
      <w:tr w14:paraId="3707FFCD">
        <w:tblPrEx>
          <w:tblCellMar>
            <w:top w:w="0" w:type="dxa"/>
            <w:left w:w="108" w:type="dxa"/>
            <w:bottom w:w="0" w:type="dxa"/>
            <w:right w:w="108" w:type="dxa"/>
          </w:tblCellMar>
        </w:tblPrEx>
        <w:trPr>
          <w:trHeight w:val="680" w:hRule="atLeast"/>
        </w:trPr>
        <w:tc>
          <w:tcPr>
            <w:tcW w:w="8931" w:type="dxa"/>
            <w:vAlign w:val="center"/>
          </w:tcPr>
          <w:p w14:paraId="2F8FB463">
            <w:pPr>
              <w:autoSpaceDE w:val="0"/>
              <w:autoSpaceDN w:val="0"/>
              <w:rPr>
                <w:rFonts w:hint="eastAsia" w:ascii="仿宋" w:hAnsi="仿宋" w:eastAsia="仿宋"/>
                <w:color w:val="000000"/>
                <w:sz w:val="28"/>
                <w:szCs w:val="28"/>
              </w:rPr>
            </w:pPr>
            <w:r>
              <w:rPr>
                <w:rFonts w:hint="eastAsia" w:ascii="仿宋" w:hAnsi="仿宋" w:eastAsia="仿宋"/>
                <w:color w:val="000000"/>
                <w:sz w:val="28"/>
                <w:szCs w:val="28"/>
              </w:rPr>
              <w:t>磋商响应供应商名称（盖章）：</w:t>
            </w:r>
            <w:r>
              <w:rPr>
                <w:rFonts w:ascii="仿宋" w:hAnsi="仿宋" w:eastAsia="仿宋" w:cs="Arial"/>
                <w:color w:val="000000"/>
                <w:w w:val="90"/>
                <w:kern w:val="0"/>
                <w:sz w:val="22"/>
                <w:szCs w:val="22"/>
              </w:rPr>
              <w:t>_________________________________________________</w:t>
            </w:r>
          </w:p>
        </w:tc>
      </w:tr>
      <w:tr w14:paraId="4B0CBECF">
        <w:tblPrEx>
          <w:tblCellMar>
            <w:top w:w="0" w:type="dxa"/>
            <w:left w:w="108" w:type="dxa"/>
            <w:bottom w:w="0" w:type="dxa"/>
            <w:right w:w="108" w:type="dxa"/>
          </w:tblCellMar>
        </w:tblPrEx>
        <w:trPr>
          <w:trHeight w:val="680" w:hRule="atLeast"/>
        </w:trPr>
        <w:tc>
          <w:tcPr>
            <w:tcW w:w="8931" w:type="dxa"/>
            <w:vAlign w:val="center"/>
          </w:tcPr>
          <w:p w14:paraId="48ED1A0A">
            <w:pPr>
              <w:autoSpaceDE w:val="0"/>
              <w:autoSpaceDN w:val="0"/>
              <w:rPr>
                <w:rFonts w:hint="eastAsia" w:ascii="仿宋" w:hAnsi="仿宋" w:eastAsia="仿宋"/>
                <w:color w:val="000000"/>
                <w:sz w:val="28"/>
                <w:szCs w:val="28"/>
              </w:rPr>
            </w:pPr>
            <w:r>
              <w:rPr>
                <w:rFonts w:hint="eastAsia" w:ascii="仿宋" w:hAnsi="仿宋" w:eastAsia="仿宋"/>
                <w:color w:val="000000"/>
                <w:sz w:val="28"/>
                <w:szCs w:val="28"/>
              </w:rPr>
              <w:t>磋商响应供应商地址：</w:t>
            </w:r>
            <w:r>
              <w:rPr>
                <w:rFonts w:ascii="仿宋" w:hAnsi="仿宋" w:eastAsia="仿宋" w:cs="Arial"/>
                <w:color w:val="000000"/>
                <w:w w:val="90"/>
                <w:kern w:val="0"/>
                <w:sz w:val="22"/>
                <w:szCs w:val="22"/>
              </w:rPr>
              <w:t>___________________________________________________________</w:t>
            </w:r>
          </w:p>
        </w:tc>
      </w:tr>
      <w:tr w14:paraId="14E3BC5C">
        <w:tblPrEx>
          <w:tblCellMar>
            <w:top w:w="0" w:type="dxa"/>
            <w:left w:w="108" w:type="dxa"/>
            <w:bottom w:w="0" w:type="dxa"/>
            <w:right w:w="108" w:type="dxa"/>
          </w:tblCellMar>
        </w:tblPrEx>
        <w:trPr>
          <w:trHeight w:val="680" w:hRule="atLeast"/>
        </w:trPr>
        <w:tc>
          <w:tcPr>
            <w:tcW w:w="8931" w:type="dxa"/>
            <w:vAlign w:val="center"/>
          </w:tcPr>
          <w:p w14:paraId="4300E87C">
            <w:pPr>
              <w:autoSpaceDE w:val="0"/>
              <w:autoSpaceDN w:val="0"/>
              <w:rPr>
                <w:rFonts w:hint="eastAsia" w:ascii="仿宋" w:hAnsi="仿宋" w:eastAsia="仿宋"/>
                <w:color w:val="000000"/>
                <w:sz w:val="28"/>
                <w:szCs w:val="28"/>
              </w:rPr>
            </w:pPr>
            <w:r>
              <w:rPr>
                <w:rFonts w:hint="eastAsia" w:ascii="仿宋" w:hAnsi="仿宋" w:eastAsia="仿宋"/>
                <w:color w:val="000000"/>
                <w:sz w:val="28"/>
              </w:rPr>
              <w:t>磋商响应供应商联系电话：</w:t>
            </w:r>
            <w:r>
              <w:rPr>
                <w:rFonts w:ascii="仿宋" w:hAnsi="仿宋" w:eastAsia="仿宋" w:cs="Arial"/>
                <w:color w:val="000000"/>
                <w:w w:val="90"/>
                <w:kern w:val="0"/>
                <w:sz w:val="22"/>
                <w:szCs w:val="22"/>
              </w:rPr>
              <w:t>______________________________________________________</w:t>
            </w:r>
          </w:p>
        </w:tc>
      </w:tr>
      <w:tr w14:paraId="2F15EE20">
        <w:tblPrEx>
          <w:tblCellMar>
            <w:top w:w="0" w:type="dxa"/>
            <w:left w:w="108" w:type="dxa"/>
            <w:bottom w:w="0" w:type="dxa"/>
            <w:right w:w="108" w:type="dxa"/>
          </w:tblCellMar>
        </w:tblPrEx>
        <w:trPr>
          <w:trHeight w:val="680" w:hRule="atLeast"/>
        </w:trPr>
        <w:tc>
          <w:tcPr>
            <w:tcW w:w="8931" w:type="dxa"/>
            <w:vAlign w:val="center"/>
          </w:tcPr>
          <w:p w14:paraId="7FBDCAB1">
            <w:pPr>
              <w:autoSpaceDE w:val="0"/>
              <w:autoSpaceDN w:val="0"/>
              <w:rPr>
                <w:rFonts w:hint="eastAsia"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s="Arial"/>
                <w:color w:val="000000"/>
                <w:w w:val="90"/>
                <w:kern w:val="0"/>
                <w:sz w:val="22"/>
                <w:szCs w:val="22"/>
              </w:rPr>
              <w:t>_________________________________________________________________________</w:t>
            </w:r>
          </w:p>
        </w:tc>
      </w:tr>
      <w:tr w14:paraId="46951CB3">
        <w:tblPrEx>
          <w:tblCellMar>
            <w:top w:w="0" w:type="dxa"/>
            <w:left w:w="108" w:type="dxa"/>
            <w:bottom w:w="0" w:type="dxa"/>
            <w:right w:w="108" w:type="dxa"/>
          </w:tblCellMar>
        </w:tblPrEx>
        <w:trPr>
          <w:trHeight w:val="680" w:hRule="atLeast"/>
        </w:trPr>
        <w:tc>
          <w:tcPr>
            <w:tcW w:w="8931" w:type="dxa"/>
            <w:vAlign w:val="center"/>
          </w:tcPr>
          <w:p w14:paraId="775D04FC">
            <w:pPr>
              <w:autoSpaceDE w:val="0"/>
              <w:autoSpaceDN w:val="0"/>
              <w:jc w:val="center"/>
              <w:rPr>
                <w:rFonts w:hint="eastAsia" w:ascii="仿宋" w:hAnsi="仿宋" w:eastAsia="仿宋"/>
                <w:b/>
                <w:color w:val="000000"/>
                <w:sz w:val="28"/>
                <w:szCs w:val="28"/>
              </w:rPr>
            </w:pPr>
            <w:r>
              <w:rPr>
                <w:rFonts w:hint="eastAsia" w:ascii="仿宋" w:hAnsi="仿宋" w:eastAsia="仿宋"/>
                <w:color w:val="000000"/>
                <w:sz w:val="28"/>
              </w:rPr>
              <w:t>投标截止时间前其他单位或个人不得解密、提取</w:t>
            </w:r>
          </w:p>
        </w:tc>
      </w:tr>
    </w:tbl>
    <w:p w14:paraId="03229DE0">
      <w:pPr>
        <w:rPr>
          <w:rFonts w:hint="eastAsia" w:ascii="华文中宋" w:hAnsi="华文中宋"/>
          <w:bCs/>
          <w:color w:val="000000"/>
          <w:kern w:val="0"/>
          <w:sz w:val="28"/>
          <w:szCs w:val="28"/>
        </w:rPr>
      </w:pPr>
      <w:r>
        <w:rPr>
          <w:rFonts w:hint="eastAsia" w:ascii="华文中宋" w:hAnsi="华文中宋"/>
          <w:bCs/>
          <w:color w:val="000000"/>
          <w:kern w:val="0"/>
          <w:sz w:val="28"/>
          <w:szCs w:val="28"/>
        </w:rPr>
        <w:br w:type="page"/>
      </w:r>
    </w:p>
    <w:p w14:paraId="5208B7FB">
      <w:pPr>
        <w:pStyle w:val="4"/>
        <w:widowControl w:val="0"/>
        <w:spacing w:before="120" w:after="120" w:line="324" w:lineRule="auto"/>
        <w:ind w:firstLine="240"/>
        <w:jc w:val="both"/>
        <w:rPr>
          <w:rFonts w:hint="eastAsia" w:ascii="华文中宋" w:hAnsi="华文中宋"/>
          <w:bCs/>
          <w:color w:val="000000"/>
          <w:kern w:val="0"/>
          <w:szCs w:val="24"/>
        </w:rPr>
      </w:pPr>
      <w:r>
        <w:rPr>
          <w:rFonts w:hint="eastAsia" w:ascii="华文中宋" w:hAnsi="华文中宋"/>
          <w:bCs/>
          <w:color w:val="000000"/>
          <w:kern w:val="0"/>
          <w:sz w:val="28"/>
          <w:szCs w:val="28"/>
        </w:rPr>
        <w:t>3-2▲投标函</w:t>
      </w:r>
    </w:p>
    <w:p w14:paraId="3386F086">
      <w:pPr>
        <w:autoSpaceDE w:val="0"/>
        <w:autoSpaceDN w:val="0"/>
        <w:spacing w:line="360" w:lineRule="auto"/>
        <w:jc w:val="center"/>
      </w:pPr>
      <w:r>
        <w:rPr>
          <w:rFonts w:hint="eastAsia" w:eastAsia="华文中宋"/>
          <w:b/>
          <w:color w:val="000000"/>
          <w:sz w:val="40"/>
        </w:rPr>
        <w:t>投标函</w:t>
      </w:r>
    </w:p>
    <w:p w14:paraId="5AC62470">
      <w:pPr>
        <w:autoSpaceDE w:val="0"/>
        <w:autoSpaceDN w:val="0"/>
        <w:spacing w:after="240" w:afterLines="100" w:line="360" w:lineRule="auto"/>
        <w:rPr>
          <w:rFonts w:hint="eastAsia" w:ascii="仿宋" w:hAnsi="仿宋" w:eastAsia="仿宋" w:cs="仿宋"/>
          <w:b/>
          <w:bCs/>
          <w:sz w:val="24"/>
        </w:rPr>
      </w:pPr>
      <w:r>
        <w:rPr>
          <w:rFonts w:hint="eastAsia" w:ascii="仿宋" w:hAnsi="仿宋" w:eastAsia="仿宋" w:cs="仿宋"/>
          <w:b/>
          <w:bCs/>
          <w:sz w:val="24"/>
          <w:u w:val="single"/>
        </w:rPr>
        <w:t>浙江工商大学</w:t>
      </w:r>
      <w:r>
        <w:rPr>
          <w:rFonts w:hint="eastAsia" w:ascii="仿宋" w:hAnsi="仿宋" w:eastAsia="仿宋" w:cs="仿宋"/>
          <w:b/>
          <w:bCs/>
          <w:sz w:val="24"/>
        </w:rPr>
        <w:t>：</w:t>
      </w:r>
    </w:p>
    <w:p w14:paraId="7E70BBC5">
      <w:pPr>
        <w:pStyle w:val="69"/>
        <w:spacing w:line="480" w:lineRule="auto"/>
        <w:ind w:firstLine="480" w:firstLineChars="200"/>
        <w:rPr>
          <w:rFonts w:hint="eastAsia" w:ascii="仿宋" w:hAnsi="仿宋" w:eastAsia="仿宋" w:cs="仿宋"/>
          <w:u w:val="single"/>
        </w:rPr>
      </w:pPr>
      <w:r>
        <w:rPr>
          <w:rFonts w:hint="eastAsia" w:ascii="仿宋" w:hAnsi="仿宋" w:eastAsia="仿宋" w:cs="仿宋"/>
        </w:rPr>
        <w:t>1．我方已仔细研究了</w:t>
      </w:r>
      <w:r>
        <w:rPr>
          <w:rFonts w:hint="eastAsia" w:ascii="仿宋" w:hAnsi="仿宋" w:eastAsia="仿宋" w:cs="仿宋"/>
          <w:u w:val="single"/>
          <w:lang w:eastAsia="zh-CN"/>
        </w:rPr>
        <w:t>浙江工商大学教工路校区学生宿舍建设工程附属配电房移位改造工程（EPC）</w:t>
      </w:r>
      <w:r>
        <w:rPr>
          <w:rFonts w:hint="eastAsia" w:ascii="仿宋" w:hAnsi="仿宋" w:eastAsia="仿宋" w:cs="仿宋"/>
          <w:u w:val="single"/>
        </w:rPr>
        <w:t>（项目编号：</w:t>
      </w:r>
      <w:r>
        <w:rPr>
          <w:rFonts w:hint="eastAsia" w:ascii="仿宋" w:hAnsi="仿宋" w:eastAsia="仿宋" w:cs="仿宋"/>
          <w:u w:val="single"/>
          <w:lang w:eastAsia="zh-CN"/>
        </w:rPr>
        <w:t>CTZB-2025050222</w:t>
      </w:r>
      <w:r>
        <w:rPr>
          <w:rFonts w:hint="eastAsia" w:ascii="仿宋" w:hAnsi="仿宋" w:eastAsia="仿宋" w:cs="仿宋"/>
          <w:u w:val="single"/>
        </w:rPr>
        <w:t>）</w:t>
      </w:r>
      <w:r>
        <w:rPr>
          <w:rFonts w:hint="eastAsia" w:ascii="仿宋" w:hAnsi="仿宋" w:eastAsia="仿宋" w:cs="仿宋"/>
        </w:rPr>
        <w:t>磋商文件的全部内容，愿意以人民币</w:t>
      </w:r>
      <w:r>
        <w:rPr>
          <w:rFonts w:hint="eastAsia" w:ascii="仿宋" w:hAnsi="仿宋" w:eastAsia="仿宋" w:cs="仿宋"/>
          <w:u w:val="single"/>
        </w:rPr>
        <w:t xml:space="preserve"> （大写） </w:t>
      </w:r>
      <w:r>
        <w:rPr>
          <w:rFonts w:hint="eastAsia" w:ascii="仿宋" w:hAnsi="仿宋" w:eastAsia="仿宋" w:cs="仿宋"/>
        </w:rPr>
        <w:t>元（￥</w:t>
      </w:r>
      <w:r>
        <w:rPr>
          <w:rFonts w:hint="eastAsia" w:ascii="Calibri" w:eastAsia="仿宋" w:cs="Calibri"/>
          <w:u w:val="single"/>
        </w:rPr>
        <w:t xml:space="preserve">       </w:t>
      </w:r>
      <w:r>
        <w:rPr>
          <w:rFonts w:hint="eastAsia" w:ascii="仿宋" w:hAnsi="仿宋" w:eastAsia="仿宋" w:cs="仿宋"/>
        </w:rPr>
        <w:t>）的磋商总报价，工期</w:t>
      </w:r>
      <w:r>
        <w:rPr>
          <w:rFonts w:hint="eastAsia" w:ascii="仿宋" w:hAnsi="仿宋" w:eastAsia="仿宋" w:cs="仿宋"/>
          <w:u w:val="single"/>
        </w:rPr>
        <w:t xml:space="preserve">           </w:t>
      </w:r>
      <w:r>
        <w:rPr>
          <w:rFonts w:hint="eastAsia" w:ascii="仿宋" w:hAnsi="仿宋" w:eastAsia="仿宋" w:cs="仿宋"/>
        </w:rPr>
        <w:t>日历天， 项目经理：</w:t>
      </w:r>
      <w:r>
        <w:rPr>
          <w:rFonts w:hint="eastAsia" w:ascii="仿宋" w:hAnsi="仿宋" w:eastAsia="仿宋" w:cs="仿宋"/>
          <w:u w:val="single"/>
        </w:rPr>
        <w:t xml:space="preserve">        （</w:t>
      </w:r>
      <w:r>
        <w:rPr>
          <w:rFonts w:hint="eastAsia" w:ascii="仿宋" w:hAnsi="仿宋" w:eastAsia="仿宋" w:cs="仿宋"/>
        </w:rPr>
        <w:t>身份证号码：</w:t>
      </w:r>
      <w:r>
        <w:rPr>
          <w:rFonts w:hint="eastAsia" w:ascii="仿宋" w:hAnsi="仿宋" w:eastAsia="仿宋" w:cs="仿宋"/>
          <w:u w:val="single"/>
        </w:rPr>
        <w:t xml:space="preserve">                ）</w:t>
      </w:r>
      <w:r>
        <w:rPr>
          <w:rFonts w:hint="eastAsia" w:ascii="仿宋" w:hAnsi="仿宋" w:eastAsia="仿宋" w:cs="仿宋"/>
        </w:rPr>
        <w:t>，按合同约定实施和完成承包工程，修补工程中的任何缺陷，工程质量达到</w:t>
      </w:r>
      <w:r>
        <w:rPr>
          <w:rFonts w:hint="eastAsia" w:ascii="仿宋" w:hAnsi="仿宋" w:eastAsia="仿宋" w:cs="仿宋"/>
          <w:u w:val="single"/>
        </w:rPr>
        <w:t xml:space="preserve">           </w:t>
      </w:r>
      <w:r>
        <w:rPr>
          <w:rFonts w:hint="eastAsia" w:ascii="仿宋" w:hAnsi="仿宋" w:eastAsia="仿宋" w:cs="仿宋"/>
        </w:rPr>
        <w:t>。</w:t>
      </w:r>
    </w:p>
    <w:p w14:paraId="45E061A9">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2．我方承诺在竞争性磋商有效期内不修改、撤销磋商响应文件。</w:t>
      </w:r>
    </w:p>
    <w:p w14:paraId="4C0F7C37">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3．如我方成交：</w:t>
      </w:r>
    </w:p>
    <w:p w14:paraId="091D326F">
      <w:pPr>
        <w:autoSpaceDE w:val="0"/>
        <w:autoSpaceDN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（1）我方承诺在收到成交通知书后，在成交通知书规定的期限内与你方签订合同。</w:t>
      </w:r>
    </w:p>
    <w:p w14:paraId="402487BE">
      <w:pPr>
        <w:autoSpaceDE w:val="0"/>
        <w:autoSpaceDN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（2）我方承诺按照磋商文件规定</w:t>
      </w:r>
      <w:r>
        <w:rPr>
          <w:rFonts w:hint="eastAsia" w:ascii="仿宋" w:hAnsi="仿宋" w:eastAsia="仿宋" w:cs="仿宋"/>
          <w:color w:val="auto"/>
          <w:sz w:val="24"/>
        </w:rPr>
        <w:t>向你方递交预付款担保。</w:t>
      </w:r>
    </w:p>
    <w:p w14:paraId="54785F6F">
      <w:pPr>
        <w:autoSpaceDE w:val="0"/>
        <w:autoSpaceDN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（3）我方承诺在合同约定的期限内完成并移交全部合同工程。</w:t>
      </w:r>
    </w:p>
    <w:p w14:paraId="28F2163E">
      <w:pPr>
        <w:autoSpaceDE w:val="0"/>
        <w:autoSpaceDN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4．我方在此声明，所递交的磋商响应文件及有关资料内容完整、真实和准确。</w:t>
      </w:r>
    </w:p>
    <w:p w14:paraId="6A4C1818">
      <w:pPr>
        <w:autoSpaceDE w:val="0"/>
        <w:autoSpaceDN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p>
    <w:p w14:paraId="4D363946">
      <w:pPr>
        <w:pStyle w:val="45"/>
        <w:autoSpaceDE w:val="0"/>
        <w:autoSpaceDN w:val="0"/>
        <w:adjustRightInd w:val="0"/>
        <w:snapToGrid w:val="0"/>
        <w:spacing w:before="0" w:beforeAutospacing="0" w:after="0" w:afterAutospacing="0" w:line="360" w:lineRule="auto"/>
        <w:ind w:firstLine="482" w:firstLineChars="200"/>
        <w:rPr>
          <w:rFonts w:hint="eastAsia" w:ascii="仿宋" w:hAnsi="仿宋" w:eastAsia="仿宋" w:cs="仿宋"/>
          <w:b/>
          <w:bCs/>
          <w:color w:val="auto"/>
          <w:lang w:val="en-US" w:eastAsia="zh-CN"/>
        </w:rPr>
      </w:pPr>
      <w:r>
        <w:rPr>
          <w:rFonts w:hint="eastAsia" w:ascii="仿宋" w:hAnsi="仿宋" w:eastAsia="仿宋" w:cs="Arial"/>
          <w:b/>
          <w:color w:val="auto"/>
          <w:kern w:val="0"/>
          <w:sz w:val="24"/>
        </w:rPr>
        <w:t>说明：</w:t>
      </w:r>
      <w:r>
        <w:rPr>
          <w:rFonts w:hint="eastAsia" w:ascii="仿宋" w:hAnsi="仿宋" w:eastAsia="仿宋" w:cs="仿宋"/>
          <w:b/>
          <w:bCs/>
          <w:color w:val="auto"/>
          <w:lang w:val="en-US" w:eastAsia="zh-CN"/>
        </w:rPr>
        <w:t>1、本项目最高限价314.070923万元（含暂列金13.50万元），本项目为固定总价合同，成交后超出部分不予调整，均包含在本次报价中；</w:t>
      </w:r>
    </w:p>
    <w:p w14:paraId="0A006CAA">
      <w:pPr>
        <w:pStyle w:val="45"/>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firstLine="482" w:firstLineChars="200"/>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2、工程设计费应结合设计方案等自行报价，设计费最高限价</w:t>
      </w:r>
      <w:r>
        <w:rPr>
          <w:rFonts w:hint="eastAsia" w:ascii="仿宋" w:hAnsi="仿宋" w:eastAsia="仿宋" w:cs="仿宋"/>
          <w:b/>
          <w:bCs/>
          <w:color w:val="auto"/>
          <w:highlight w:val="none"/>
          <w:lang w:val="en-US" w:eastAsia="zh-CN"/>
        </w:rPr>
        <w:t>7.00</w:t>
      </w:r>
      <w:r>
        <w:rPr>
          <w:rFonts w:hint="eastAsia" w:ascii="仿宋" w:hAnsi="仿宋" w:eastAsia="仿宋" w:cs="仿宋"/>
          <w:b/>
          <w:bCs/>
          <w:color w:val="auto"/>
          <w:lang w:val="en-US" w:eastAsia="zh-CN"/>
        </w:rPr>
        <w:t>万元，超过最高限价的响应无效。设计费响应报价一次性包干，成交后不予调整。</w:t>
      </w:r>
    </w:p>
    <w:p w14:paraId="71AE85DF">
      <w:pPr>
        <w:pStyle w:val="45"/>
        <w:keepNext w:val="0"/>
        <w:keepLines w:val="0"/>
        <w:pageBreakBefore w:val="0"/>
        <w:widowControl/>
        <w:numPr>
          <w:ilvl w:val="0"/>
          <w:numId w:val="0"/>
        </w:numPr>
        <w:kinsoku/>
        <w:wordWrap/>
        <w:overflowPunct/>
        <w:topLinePunct w:val="0"/>
        <w:autoSpaceDE w:val="0"/>
        <w:autoSpaceDN w:val="0"/>
        <w:bidi w:val="0"/>
        <w:adjustRightInd w:val="0"/>
        <w:snapToGrid w:val="0"/>
        <w:spacing w:before="0" w:beforeAutospacing="0" w:after="0" w:afterAutospacing="0" w:line="360" w:lineRule="auto"/>
        <w:ind w:firstLine="458" w:firstLineChars="200"/>
        <w:textAlignment w:val="auto"/>
        <w:rPr>
          <w:rFonts w:hint="eastAsia" w:ascii="仿宋" w:hAnsi="仿宋" w:eastAsia="仿宋" w:cs="仿宋"/>
          <w:sz w:val="24"/>
        </w:rPr>
      </w:pPr>
      <w:r>
        <w:rPr>
          <w:rFonts w:hint="eastAsia" w:ascii="仿宋" w:hAnsi="仿宋" w:eastAsia="仿宋" w:cs="仿宋"/>
          <w:b/>
          <w:bCs/>
          <w:color w:val="auto"/>
          <w:spacing w:val="-6"/>
          <w:sz w:val="24"/>
          <w:szCs w:val="24"/>
          <w:highlight w:val="none"/>
          <w:lang w:val="en-US" w:eastAsia="zh-CN"/>
        </w:rPr>
        <w:t>3、磋商响应供应商在“政府采购云平台”进行标书关联时，在政采云系统上填报的投标报价（总价，元）金额与加密的报价文件中所列的投标报价（总价，元）金额不一致时，以加密的报价文件中所列的金额为准进行修正。</w:t>
      </w:r>
    </w:p>
    <w:p w14:paraId="4F52A3A3">
      <w:pPr>
        <w:autoSpaceDE w:val="0"/>
        <w:autoSpaceDN w:val="0"/>
        <w:spacing w:line="360" w:lineRule="auto"/>
        <w:ind w:firstLine="240" w:firstLineChars="100"/>
        <w:rPr>
          <w:rFonts w:hint="eastAsia" w:ascii="仿宋" w:hAnsi="仿宋" w:eastAsia="仿宋" w:cs="仿宋"/>
          <w:sz w:val="24"/>
        </w:rPr>
      </w:pPr>
      <w:r>
        <w:rPr>
          <w:rFonts w:hint="eastAsia" w:ascii="仿宋" w:hAnsi="仿宋" w:eastAsia="仿宋" w:cs="仿宋"/>
          <w:sz w:val="24"/>
        </w:rPr>
        <w:t>磋商响应供应商（盖章）：</w:t>
      </w:r>
    </w:p>
    <w:p w14:paraId="305C8626">
      <w:pPr>
        <w:autoSpaceDE w:val="0"/>
        <w:autoSpaceDN w:val="0"/>
        <w:spacing w:line="360" w:lineRule="auto"/>
        <w:ind w:firstLine="240" w:firstLineChars="100"/>
        <w:rPr>
          <w:rFonts w:hint="eastAsia" w:ascii="仿宋" w:hAnsi="仿宋" w:eastAsia="仿宋" w:cs="仿宋"/>
          <w:sz w:val="24"/>
        </w:rPr>
      </w:pPr>
      <w:r>
        <w:rPr>
          <w:rFonts w:hint="eastAsia" w:ascii="仿宋" w:hAnsi="仿宋" w:eastAsia="仿宋" w:cs="仿宋"/>
          <w:sz w:val="24"/>
        </w:rPr>
        <w:t>地址：</w:t>
      </w:r>
    </w:p>
    <w:p w14:paraId="689322CA">
      <w:pPr>
        <w:autoSpaceDE w:val="0"/>
        <w:autoSpaceDN w:val="0"/>
        <w:spacing w:line="360" w:lineRule="auto"/>
        <w:ind w:firstLine="240" w:firstLineChars="100"/>
        <w:rPr>
          <w:rFonts w:hint="eastAsia" w:ascii="仿宋" w:hAnsi="仿宋" w:eastAsia="仿宋" w:cs="仿宋"/>
          <w:sz w:val="24"/>
        </w:rPr>
      </w:pPr>
      <w:r>
        <w:rPr>
          <w:rFonts w:hint="eastAsia" w:ascii="仿宋" w:hAnsi="仿宋" w:eastAsia="仿宋" w:cs="仿宋"/>
          <w:sz w:val="24"/>
        </w:rPr>
        <w:t>电话：</w:t>
      </w:r>
    </w:p>
    <w:p w14:paraId="6FAA880E">
      <w:pPr>
        <w:autoSpaceDE w:val="0"/>
        <w:autoSpaceDN w:val="0"/>
        <w:spacing w:line="360" w:lineRule="auto"/>
        <w:ind w:firstLine="240" w:firstLineChars="100"/>
        <w:rPr>
          <w:rFonts w:hint="eastAsia" w:ascii="仿宋" w:hAnsi="仿宋" w:eastAsia="仿宋" w:cs="仿宋"/>
          <w:sz w:val="24"/>
        </w:rPr>
        <w:sectPr>
          <w:pgSz w:w="11906" w:h="16838"/>
          <w:pgMar w:top="1440" w:right="1416" w:bottom="1440" w:left="1560"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rPr>
        <w:t>年 月 日</w:t>
      </w:r>
    </w:p>
    <w:p w14:paraId="7C3277C5">
      <w:pPr>
        <w:pStyle w:val="4"/>
        <w:widowControl w:val="0"/>
        <w:spacing w:before="156" w:after="156" w:line="324" w:lineRule="auto"/>
        <w:ind w:firstLine="280"/>
        <w:jc w:val="both"/>
        <w:rPr>
          <w:rFonts w:hint="eastAsia" w:ascii="华文中宋" w:hAnsi="华文中宋"/>
          <w:bCs/>
          <w:color w:val="000000"/>
          <w:kern w:val="0"/>
          <w:sz w:val="28"/>
          <w:szCs w:val="28"/>
        </w:rPr>
      </w:pPr>
      <w:r>
        <w:rPr>
          <w:rFonts w:hint="eastAsia" w:ascii="华文中宋" w:hAnsi="华文中宋"/>
          <w:bCs/>
          <w:color w:val="000000"/>
          <w:kern w:val="0"/>
          <w:sz w:val="28"/>
          <w:szCs w:val="28"/>
        </w:rPr>
        <w:t>3-3▲工程量清单及计价表式</w:t>
      </w:r>
    </w:p>
    <w:tbl>
      <w:tblPr>
        <w:tblStyle w:val="52"/>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14:paraId="68CBFCB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14:paraId="0E7B52DE">
            <w:pPr>
              <w:autoSpaceDE w:val="0"/>
              <w:autoSpaceDN w:val="0"/>
              <w:spacing w:line="360" w:lineRule="auto"/>
              <w:jc w:val="center"/>
              <w:rPr>
                <w:rFonts w:hint="eastAsia" w:ascii="仿宋" w:hAnsi="仿宋" w:eastAsia="仿宋" w:cs="Arial"/>
                <w:i/>
                <w:color w:val="000000"/>
                <w:sz w:val="28"/>
                <w:szCs w:val="21"/>
              </w:rPr>
            </w:pPr>
            <w:r>
              <w:rPr>
                <w:rFonts w:hint="eastAsia" w:ascii="仿宋" w:hAnsi="仿宋" w:eastAsia="仿宋" w:cs="Arial"/>
                <w:i/>
                <w:color w:val="000000"/>
                <w:sz w:val="28"/>
                <w:szCs w:val="21"/>
                <w:lang w:val="en-US" w:eastAsia="zh-CN"/>
              </w:rPr>
              <w:t>本项目按磋商文件要求的清单报价</w:t>
            </w:r>
            <w:r>
              <w:rPr>
                <w:rFonts w:hint="eastAsia" w:ascii="仿宋" w:hAnsi="仿宋" w:eastAsia="仿宋" w:cs="Arial"/>
                <w:i/>
                <w:color w:val="000000"/>
                <w:sz w:val="28"/>
                <w:szCs w:val="21"/>
              </w:rPr>
              <w:t>（具体按清单格式）</w:t>
            </w:r>
          </w:p>
        </w:tc>
      </w:tr>
      <w:bookmarkEnd w:id="100"/>
      <w:bookmarkEnd w:id="101"/>
      <w:bookmarkEnd w:id="102"/>
    </w:tbl>
    <w:p w14:paraId="7722A14A">
      <w:pP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br w:type="page"/>
      </w:r>
    </w:p>
    <w:p w14:paraId="04C9AD57">
      <w:pPr>
        <w:pStyle w:val="4"/>
        <w:spacing w:before="120" w:after="120" w:line="324" w:lineRule="auto"/>
        <w:ind w:firstLine="280"/>
        <w:jc w:val="both"/>
        <w:rPr>
          <w:rFonts w:hint="eastAsia" w:ascii="华文中宋" w:hAnsi="华文中宋"/>
          <w:bCs/>
          <w:color w:val="000000"/>
          <w:kern w:val="0"/>
          <w:sz w:val="28"/>
          <w:szCs w:val="28"/>
        </w:rPr>
      </w:pPr>
      <w:r>
        <w:rPr>
          <w:rFonts w:hint="eastAsia" w:ascii="华文中宋" w:hAnsi="华文中宋"/>
          <w:bCs/>
          <w:color w:val="000000"/>
          <w:kern w:val="0"/>
          <w:sz w:val="28"/>
          <w:szCs w:val="28"/>
        </w:rPr>
        <w:t>3-</w:t>
      </w:r>
      <w:r>
        <w:rPr>
          <w:rFonts w:hint="eastAsia" w:ascii="华文中宋" w:hAnsi="华文中宋"/>
          <w:bCs/>
          <w:color w:val="000000"/>
          <w:kern w:val="0"/>
          <w:sz w:val="28"/>
          <w:szCs w:val="28"/>
          <w:lang w:val="en-US" w:eastAsia="zh-CN"/>
        </w:rPr>
        <w:t>4</w:t>
      </w:r>
      <w:r>
        <w:rPr>
          <w:rFonts w:hint="eastAsia" w:ascii="华文中宋" w:hAnsi="华文中宋"/>
          <w:bCs/>
          <w:color w:val="000000"/>
          <w:kern w:val="0"/>
          <w:sz w:val="28"/>
          <w:szCs w:val="28"/>
        </w:rPr>
        <w:t xml:space="preserve"> 其他与报价有关的资料或说明（如有）</w:t>
      </w:r>
    </w:p>
    <w:p w14:paraId="480B99D4">
      <w:pPr>
        <w:autoSpaceDE w:val="0"/>
        <w:autoSpaceDN w:val="0"/>
        <w:spacing w:before="240" w:line="360" w:lineRule="auto"/>
        <w:jc w:val="center"/>
        <w:rPr>
          <w:rFonts w:hint="eastAsia" w:ascii="华文中宋" w:hAnsi="华文中宋" w:eastAsia="华文中宋"/>
          <w:b/>
          <w:color w:val="000000"/>
          <w:sz w:val="40"/>
        </w:rPr>
      </w:pPr>
      <w:r>
        <w:rPr>
          <w:rFonts w:hint="eastAsia" w:ascii="微软雅黑" w:hAnsi="微软雅黑" w:eastAsia="微软雅黑"/>
          <w:b/>
          <w:color w:val="000000"/>
          <w:sz w:val="40"/>
          <w:szCs w:val="44"/>
        </w:rPr>
        <w:t>其他资料或说明</w:t>
      </w:r>
    </w:p>
    <w:tbl>
      <w:tblPr>
        <w:tblStyle w:val="52"/>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14:paraId="612692E5">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14:paraId="00192ED7">
            <w:pPr>
              <w:autoSpaceDE w:val="0"/>
              <w:autoSpaceDN w:val="0"/>
              <w:spacing w:line="360" w:lineRule="auto"/>
              <w:jc w:val="center"/>
              <w:rPr>
                <w:rFonts w:hint="eastAsia" w:ascii="仿宋" w:hAnsi="仿宋" w:eastAsia="仿宋" w:cs="Arial"/>
                <w:i/>
                <w:color w:val="000000"/>
                <w:sz w:val="28"/>
                <w:szCs w:val="21"/>
              </w:rPr>
            </w:pPr>
            <w:r>
              <w:rPr>
                <w:rFonts w:hint="eastAsia" w:ascii="仿宋" w:hAnsi="仿宋" w:eastAsia="仿宋" w:cs="Arial"/>
                <w:i/>
                <w:color w:val="000000"/>
                <w:sz w:val="28"/>
                <w:szCs w:val="21"/>
              </w:rPr>
              <w:t>（加盖公章，否则视为未提供）</w:t>
            </w:r>
          </w:p>
        </w:tc>
      </w:tr>
    </w:tbl>
    <w:p w14:paraId="23A96918">
      <w:pPr>
        <w:autoSpaceDE w:val="0"/>
        <w:autoSpaceDN w:val="0"/>
        <w:spacing w:after="360" w:afterLines="150"/>
        <w:rPr>
          <w:szCs w:val="21"/>
        </w:rPr>
        <w:sectPr>
          <w:headerReference r:id="rId14" w:type="default"/>
          <w:pgSz w:w="11906" w:h="16838"/>
          <w:pgMar w:top="1440" w:right="1418" w:bottom="1440" w:left="1418" w:header="851" w:footer="850" w:gutter="0"/>
          <w:pgBorders>
            <w:top w:val="none" w:sz="0" w:space="0"/>
            <w:left w:val="none" w:sz="0" w:space="0"/>
            <w:bottom w:val="none" w:sz="0" w:space="0"/>
            <w:right w:val="none" w:sz="0" w:space="0"/>
          </w:pgBorders>
          <w:pgNumType w:fmt="decimal"/>
          <w:cols w:space="720" w:num="1"/>
          <w:docGrid w:linePitch="312" w:charSpace="0"/>
        </w:sectPr>
      </w:pPr>
    </w:p>
    <w:p w14:paraId="2BB666EE">
      <w:pPr>
        <w:pStyle w:val="2"/>
        <w:autoSpaceDE w:val="0"/>
        <w:autoSpaceDN w:val="0"/>
        <w:spacing w:before="240"/>
        <w:rPr>
          <w:rFonts w:eastAsia="华文中宋"/>
          <w:bCs/>
          <w:kern w:val="44"/>
          <w:sz w:val="44"/>
          <w:szCs w:val="44"/>
        </w:rPr>
      </w:pPr>
      <w:bookmarkStart w:id="140" w:name="_Toc21118"/>
      <w:bookmarkStart w:id="141" w:name="_Toc2502"/>
      <w:r>
        <w:rPr>
          <w:rFonts w:hint="eastAsia" w:eastAsia="华文中宋"/>
          <w:bCs/>
          <w:kern w:val="44"/>
          <w:sz w:val="44"/>
          <w:szCs w:val="44"/>
        </w:rPr>
        <w:t>第七章  评审办法</w:t>
      </w:r>
      <w:bookmarkEnd w:id="140"/>
      <w:bookmarkEnd w:id="141"/>
    </w:p>
    <w:p w14:paraId="0F978C3C">
      <w:pPr>
        <w:autoSpaceDE w:val="0"/>
        <w:autoSpaceDN w:val="0"/>
        <w:spacing w:line="360" w:lineRule="auto"/>
        <w:ind w:firstLine="480" w:firstLineChars="200"/>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为公正、公平、科学地选择中标（成交）供应商，根据</w:t>
      </w:r>
      <w:r>
        <w:rPr>
          <w:rFonts w:hint="eastAsia" w:ascii="仿宋" w:hAnsi="仿宋" w:eastAsia="仿宋" w:cs="仿宋"/>
          <w:color w:val="000000"/>
          <w:kern w:val="0"/>
          <w:sz w:val="24"/>
        </w:rPr>
        <w:t>《政府采购竞争性磋商采购方式管理暂行办法》</w:t>
      </w:r>
      <w:r>
        <w:rPr>
          <w:rFonts w:hint="eastAsia" w:ascii="仿宋" w:hAnsi="仿宋" w:eastAsia="仿宋" w:cs="仿宋"/>
          <w:color w:val="000000"/>
          <w:kern w:val="0"/>
          <w:sz w:val="24"/>
          <w:szCs w:val="22"/>
        </w:rPr>
        <w:t>等有关法律法规的规定，并结合本项目的实际，制定本办法。</w:t>
      </w:r>
    </w:p>
    <w:p w14:paraId="43EB901F">
      <w:pPr>
        <w:autoSpaceDE w:val="0"/>
        <w:autoSpaceDN w:val="0"/>
        <w:spacing w:line="360" w:lineRule="auto"/>
        <w:ind w:firstLine="480" w:firstLineChars="200"/>
        <w:rPr>
          <w:rFonts w:hint="eastAsia" w:ascii="仿宋" w:hAnsi="仿宋" w:eastAsia="仿宋" w:cs="仿宋"/>
          <w:color w:val="000000"/>
          <w:kern w:val="0"/>
          <w:sz w:val="22"/>
          <w:szCs w:val="22"/>
        </w:rPr>
      </w:pPr>
      <w:r>
        <w:rPr>
          <w:rFonts w:hint="eastAsia" w:ascii="仿宋" w:hAnsi="仿宋" w:eastAsia="仿宋" w:cs="仿宋"/>
          <w:color w:val="000000"/>
          <w:kern w:val="0"/>
          <w:sz w:val="24"/>
          <w:szCs w:val="22"/>
        </w:rPr>
        <w:t>本办法适用于</w:t>
      </w:r>
      <w:r>
        <w:rPr>
          <w:rFonts w:hint="eastAsia" w:ascii="仿宋" w:hAnsi="仿宋" w:eastAsia="仿宋" w:cs="仿宋"/>
          <w:b/>
          <w:color w:val="000000"/>
          <w:sz w:val="24"/>
          <w:szCs w:val="22"/>
          <w:u w:val="single"/>
          <w:lang w:eastAsia="zh-CN"/>
        </w:rPr>
        <w:t>浙江工商大学教工路校区学生宿舍建设工程附属配电房移位改造工程（EPC）</w:t>
      </w:r>
      <w:r>
        <w:rPr>
          <w:rFonts w:hint="eastAsia" w:ascii="仿宋" w:hAnsi="仿宋" w:eastAsia="仿宋" w:cs="仿宋"/>
          <w:b/>
          <w:color w:val="000000"/>
          <w:sz w:val="24"/>
          <w:szCs w:val="22"/>
          <w:u w:val="single"/>
        </w:rPr>
        <w:t>（项目编号：</w:t>
      </w:r>
      <w:r>
        <w:rPr>
          <w:rFonts w:hint="eastAsia" w:ascii="仿宋" w:hAnsi="仿宋" w:eastAsia="仿宋" w:cs="仿宋"/>
          <w:b/>
          <w:color w:val="000000"/>
          <w:sz w:val="24"/>
          <w:szCs w:val="22"/>
          <w:u w:val="single"/>
          <w:lang w:eastAsia="zh-CN"/>
        </w:rPr>
        <w:t>CTZB-2025050222</w:t>
      </w:r>
      <w:r>
        <w:rPr>
          <w:rFonts w:hint="eastAsia" w:ascii="仿宋" w:hAnsi="仿宋" w:eastAsia="仿宋" w:cs="仿宋"/>
          <w:b/>
          <w:color w:val="000000"/>
          <w:sz w:val="24"/>
          <w:szCs w:val="22"/>
          <w:u w:val="single"/>
        </w:rPr>
        <w:t>）</w:t>
      </w:r>
      <w:r>
        <w:rPr>
          <w:rFonts w:hint="eastAsia" w:ascii="仿宋" w:hAnsi="仿宋" w:eastAsia="仿宋" w:cs="仿宋"/>
          <w:color w:val="000000"/>
          <w:kern w:val="0"/>
          <w:sz w:val="24"/>
          <w:szCs w:val="22"/>
        </w:rPr>
        <w:t>的评审。</w:t>
      </w:r>
    </w:p>
    <w:p w14:paraId="3F04C330">
      <w:pPr>
        <w:pStyle w:val="3"/>
        <w:autoSpaceDE w:val="0"/>
        <w:autoSpaceDN w:val="0"/>
        <w:spacing w:before="360"/>
        <w:ind w:firstLine="0" w:firstLineChars="0"/>
        <w:rPr>
          <w:rFonts w:hint="eastAsia" w:ascii="Times New Roman" w:hAnsi="仿宋" w:eastAsia="仿宋"/>
          <w:sz w:val="28"/>
          <w:szCs w:val="28"/>
        </w:rPr>
      </w:pPr>
      <w:bookmarkStart w:id="142" w:name="_Toc482590097"/>
      <w:bookmarkStart w:id="143" w:name="_Toc520824345"/>
      <w:bookmarkStart w:id="144" w:name="_Toc24171"/>
      <w:bookmarkStart w:id="145" w:name="_Toc10186"/>
      <w:r>
        <w:rPr>
          <w:rFonts w:hint="eastAsia" w:ascii="Times New Roman" w:hAnsi="仿宋" w:eastAsia="仿宋"/>
          <w:sz w:val="28"/>
          <w:szCs w:val="28"/>
        </w:rPr>
        <w:t>一、总则</w:t>
      </w:r>
      <w:bookmarkEnd w:id="142"/>
      <w:bookmarkEnd w:id="143"/>
      <w:bookmarkEnd w:id="144"/>
      <w:bookmarkEnd w:id="145"/>
    </w:p>
    <w:p w14:paraId="34C0DEAE">
      <w:pPr>
        <w:autoSpaceDE w:val="0"/>
        <w:autoSpaceDN w:val="0"/>
        <w:adjustRightInd w:val="0"/>
        <w:spacing w:line="360" w:lineRule="auto"/>
        <w:ind w:firstLine="463" w:firstLineChars="192"/>
        <w:jc w:val="left"/>
        <w:rPr>
          <w:rFonts w:hint="eastAsia" w:ascii="仿宋" w:hAnsi="仿宋" w:eastAsia="仿宋" w:cs="仿宋"/>
          <w:sz w:val="24"/>
        </w:rPr>
      </w:pPr>
      <w:r>
        <w:rPr>
          <w:rFonts w:hint="eastAsia" w:ascii="仿宋" w:hAnsi="仿宋" w:eastAsia="仿宋" w:cs="仿宋"/>
          <w:b/>
          <w:color w:val="000000"/>
          <w:sz w:val="24"/>
          <w:szCs w:val="22"/>
        </w:rPr>
        <w:t>本项目为工程类项目，采用综合评分法，满分100分，</w:t>
      </w:r>
      <w:r>
        <w:rPr>
          <w:rFonts w:hint="eastAsia" w:ascii="仿宋" w:hAnsi="仿宋" w:eastAsia="仿宋" w:cs="仿宋"/>
          <w:b/>
          <w:sz w:val="24"/>
          <w:szCs w:val="22"/>
        </w:rPr>
        <w:t>其中包括“商务技术”</w:t>
      </w:r>
      <w:r>
        <w:rPr>
          <w:rFonts w:hint="eastAsia" w:ascii="仿宋" w:hAnsi="仿宋" w:eastAsia="仿宋" w:cs="仿宋"/>
          <w:b/>
          <w:sz w:val="24"/>
          <w:szCs w:val="22"/>
          <w:lang w:val="en-US" w:eastAsia="zh-CN"/>
        </w:rPr>
        <w:t>7</w:t>
      </w:r>
      <w:r>
        <w:rPr>
          <w:rFonts w:hint="eastAsia" w:ascii="仿宋" w:hAnsi="仿宋" w:eastAsia="仿宋" w:cs="仿宋"/>
          <w:b/>
          <w:sz w:val="24"/>
          <w:szCs w:val="22"/>
        </w:rPr>
        <w:t>0分、“最终报价”</w:t>
      </w:r>
      <w:r>
        <w:rPr>
          <w:rFonts w:hint="eastAsia" w:ascii="仿宋" w:hAnsi="仿宋" w:eastAsia="仿宋" w:cs="仿宋"/>
          <w:b/>
          <w:sz w:val="24"/>
          <w:szCs w:val="22"/>
          <w:lang w:val="en-US" w:eastAsia="zh-CN"/>
        </w:rPr>
        <w:t>3</w:t>
      </w:r>
      <w:r>
        <w:rPr>
          <w:rFonts w:hint="eastAsia" w:ascii="仿宋" w:hAnsi="仿宋" w:eastAsia="仿宋" w:cs="仿宋"/>
          <w:b/>
          <w:sz w:val="24"/>
          <w:szCs w:val="22"/>
        </w:rPr>
        <w:t>0分。</w:t>
      </w:r>
      <w:r>
        <w:rPr>
          <w:rFonts w:hint="eastAsia" w:ascii="仿宋" w:hAnsi="仿宋" w:eastAsia="仿宋" w:cs="仿宋"/>
          <w:sz w:val="24"/>
        </w:rPr>
        <w:t>磋商小组将对经磋商确定最终采购需求和提交最后报价的磋商响应供应商，根据商务技术、最终报价情况由各成员独立记名打分。评分过程中采用四舍五入法，并保留小数2位。</w:t>
      </w:r>
    </w:p>
    <w:p w14:paraId="662B95AC">
      <w:pPr>
        <w:autoSpaceDE w:val="0"/>
        <w:autoSpaceDN w:val="0"/>
        <w:adjustRightInd w:val="0"/>
        <w:spacing w:line="360" w:lineRule="auto"/>
        <w:ind w:firstLine="463" w:firstLineChars="192"/>
        <w:jc w:val="left"/>
        <w:rPr>
          <w:rFonts w:hint="eastAsia" w:ascii="仿宋" w:hAnsi="仿宋" w:eastAsia="仿宋" w:cs="仿宋"/>
          <w:b/>
          <w:color w:val="000000"/>
          <w:sz w:val="24"/>
          <w:szCs w:val="22"/>
        </w:rPr>
      </w:pPr>
      <w:r>
        <w:rPr>
          <w:rFonts w:hint="eastAsia" w:ascii="仿宋" w:hAnsi="仿宋" w:eastAsia="仿宋" w:cs="仿宋"/>
          <w:b/>
          <w:sz w:val="24"/>
        </w:rPr>
        <w:t>磋商响应供应商最终得分=商务技术分+最后报价分</w:t>
      </w:r>
    </w:p>
    <w:p w14:paraId="3119C6DF">
      <w:pPr>
        <w:pStyle w:val="3"/>
        <w:autoSpaceDE w:val="0"/>
        <w:autoSpaceDN w:val="0"/>
        <w:spacing w:before="360"/>
        <w:ind w:firstLine="0" w:firstLineChars="0"/>
        <w:rPr>
          <w:rFonts w:hint="eastAsia" w:ascii="Times New Roman" w:hAnsi="仿宋" w:eastAsia="仿宋"/>
          <w:sz w:val="28"/>
          <w:szCs w:val="28"/>
        </w:rPr>
      </w:pPr>
      <w:bookmarkStart w:id="146" w:name="_Toc520824346"/>
      <w:bookmarkStart w:id="147" w:name="_Toc482590098"/>
      <w:bookmarkStart w:id="148" w:name="_Toc19765"/>
      <w:bookmarkStart w:id="149" w:name="_Toc32620"/>
      <w:r>
        <w:rPr>
          <w:rFonts w:hint="eastAsia" w:ascii="Times New Roman" w:hAnsi="仿宋" w:eastAsia="仿宋"/>
          <w:sz w:val="28"/>
          <w:szCs w:val="28"/>
        </w:rPr>
        <w:t>二、评审程序</w:t>
      </w:r>
      <w:bookmarkEnd w:id="146"/>
      <w:bookmarkEnd w:id="147"/>
      <w:bookmarkEnd w:id="148"/>
      <w:bookmarkEnd w:id="149"/>
    </w:p>
    <w:p w14:paraId="44EF1541">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2.1评审前</w:t>
      </w:r>
    </w:p>
    <w:p w14:paraId="230F39F4">
      <w:pPr>
        <w:autoSpaceDE w:val="0"/>
        <w:autoSpaceDN w:val="0"/>
        <w:spacing w:line="360" w:lineRule="auto"/>
        <w:ind w:firstLine="458" w:firstLineChars="191"/>
        <w:jc w:val="left"/>
        <w:rPr>
          <w:rFonts w:hint="eastAsia" w:ascii="仿宋" w:hAnsi="仿宋" w:eastAsia="仿宋" w:cs="仿宋"/>
          <w:color w:val="000000"/>
          <w:kern w:val="0"/>
          <w:sz w:val="24"/>
          <w:szCs w:val="22"/>
        </w:rPr>
      </w:pPr>
      <w:r>
        <w:rPr>
          <w:rFonts w:hint="eastAsia" w:ascii="仿宋" w:hAnsi="仿宋" w:eastAsia="仿宋" w:cs="仿宋"/>
          <w:color w:val="000000"/>
          <w:kern w:val="0"/>
          <w:sz w:val="24"/>
        </w:rPr>
        <w:t>组织磋商小组签到、核对评委身份，</w:t>
      </w:r>
      <w:r>
        <w:rPr>
          <w:rFonts w:hint="eastAsia" w:ascii="仿宋" w:hAnsi="仿宋" w:eastAsia="仿宋" w:cs="仿宋"/>
          <w:color w:val="000000"/>
          <w:kern w:val="0"/>
          <w:sz w:val="24"/>
          <w:szCs w:val="22"/>
        </w:rPr>
        <w:t>推选磋商小组组长，由组长召集成员阅读磋商文件及相关补充、质疑、答复文件、项目书面说明等材料，了解采购项目基本情况、磋商有关事项等。</w:t>
      </w:r>
    </w:p>
    <w:p w14:paraId="1A2F093B">
      <w:pPr>
        <w:keepNext/>
        <w:keepLines/>
        <w:autoSpaceDE w:val="0"/>
        <w:autoSpaceDN w:val="0"/>
        <w:spacing w:before="72" w:beforeLines="30" w:after="72" w:afterLines="30" w:line="360" w:lineRule="auto"/>
        <w:ind w:firstLine="283" w:firstLineChars="118"/>
        <w:outlineLvl w:val="2"/>
        <w:rPr>
          <w:rFonts w:hint="eastAsia" w:ascii="仿宋" w:hAnsi="仿宋" w:eastAsia="仿宋" w:cs="仿宋"/>
          <w:b/>
          <w:bCs/>
          <w:sz w:val="24"/>
          <w:szCs w:val="32"/>
        </w:rPr>
      </w:pPr>
      <w:r>
        <w:rPr>
          <w:rFonts w:hint="eastAsia" w:ascii="华文中宋" w:hAnsi="华文中宋" w:eastAsia="华文中宋" w:cs="华文中宋"/>
          <w:b/>
          <w:bCs/>
          <w:sz w:val="24"/>
          <w:szCs w:val="32"/>
        </w:rPr>
        <w:t>2.2磋商响应文件的资格、符合性审查</w:t>
      </w:r>
    </w:p>
    <w:p w14:paraId="1981C9C5">
      <w:pPr>
        <w:autoSpaceDE w:val="0"/>
        <w:autoSpaceDN w:val="0"/>
        <w:spacing w:line="360" w:lineRule="auto"/>
        <w:ind w:firstLine="424" w:firstLineChars="177"/>
        <w:rPr>
          <w:rFonts w:hint="eastAsia" w:ascii="仿宋" w:hAnsi="仿宋" w:eastAsia="仿宋" w:cs="仿宋"/>
          <w:color w:val="000000"/>
          <w:sz w:val="24"/>
        </w:rPr>
      </w:pPr>
      <w:r>
        <w:rPr>
          <w:rFonts w:hint="eastAsia" w:ascii="仿宋" w:hAnsi="仿宋" w:eastAsia="仿宋" w:cs="仿宋"/>
          <w:bCs/>
          <w:color w:val="000000"/>
          <w:sz w:val="24"/>
        </w:rPr>
        <w:t>2.2.1</w:t>
      </w:r>
      <w:r>
        <w:rPr>
          <w:rFonts w:hint="eastAsia" w:ascii="仿宋" w:hAnsi="仿宋" w:eastAsia="仿宋" w:cs="仿宋"/>
          <w:bCs/>
          <w:color w:val="000000"/>
          <w:kern w:val="0"/>
          <w:sz w:val="24"/>
          <w:szCs w:val="22"/>
        </w:rPr>
        <w:t>开标（标书信息开启）后，磋商小组首先依法对磋商响应供应商的资格文件进行审查，审查各磋商响应供应商的资格符合情况。</w:t>
      </w:r>
      <w:r>
        <w:rPr>
          <w:rFonts w:hint="eastAsia" w:ascii="仿宋" w:hAnsi="仿宋" w:eastAsia="仿宋" w:cs="仿宋"/>
          <w:color w:val="000000"/>
          <w:sz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14:paraId="232639EC">
      <w:pPr>
        <w:autoSpaceDE w:val="0"/>
        <w:autoSpaceDN w:val="0"/>
        <w:spacing w:line="360" w:lineRule="auto"/>
        <w:ind w:firstLine="426" w:firstLineChars="177"/>
        <w:rPr>
          <w:rFonts w:hint="eastAsia" w:ascii="仿宋" w:hAnsi="仿宋" w:eastAsia="仿宋" w:cs="仿宋"/>
          <w:b/>
          <w:color w:val="000000"/>
          <w:kern w:val="0"/>
          <w:sz w:val="24"/>
        </w:rPr>
      </w:pPr>
      <w:r>
        <w:rPr>
          <w:rFonts w:hint="eastAsia" w:ascii="仿宋" w:hAnsi="仿宋" w:eastAsia="仿宋" w:cs="仿宋"/>
          <w:b/>
          <w:color w:val="000000"/>
          <w:kern w:val="0"/>
          <w:sz w:val="24"/>
        </w:rPr>
        <w:t>（1）</w:t>
      </w:r>
      <w:r>
        <w:rPr>
          <w:rFonts w:hint="eastAsia" w:ascii="仿宋" w:hAnsi="仿宋" w:eastAsia="仿宋" w:cs="仿宋"/>
          <w:b/>
          <w:color w:val="000000"/>
          <w:kern w:val="0"/>
          <w:sz w:val="24"/>
          <w:u w:val="single"/>
        </w:rPr>
        <w:t>磋商响应供应商递交的资格证明材料无法证明其符合竞争性磋商文件规定的“磋商响应供应商资格要求”的，磋商小组将对其作“资格审查不合格”处理（无效投标），并不再进行后续评审。</w:t>
      </w:r>
    </w:p>
    <w:p w14:paraId="0C88E4C9">
      <w:pPr>
        <w:autoSpaceDE w:val="0"/>
        <w:autoSpaceDN w:val="0"/>
        <w:spacing w:line="360" w:lineRule="auto"/>
        <w:ind w:firstLine="426" w:firstLineChars="177"/>
        <w:rPr>
          <w:rFonts w:hint="eastAsia" w:ascii="仿宋" w:hAnsi="仿宋" w:eastAsia="仿宋" w:cs="仿宋"/>
          <w:b/>
          <w:color w:val="000000"/>
          <w:kern w:val="0"/>
          <w:sz w:val="24"/>
          <w:u w:val="single"/>
        </w:rPr>
      </w:pPr>
      <w:r>
        <w:rPr>
          <w:rFonts w:hint="eastAsia" w:ascii="仿宋" w:hAnsi="仿宋" w:eastAsia="仿宋" w:cs="仿宋"/>
          <w:b/>
          <w:color w:val="000000"/>
          <w:kern w:val="0"/>
          <w:sz w:val="24"/>
        </w:rPr>
        <w:t>（2）</w:t>
      </w:r>
      <w:r>
        <w:rPr>
          <w:rFonts w:hint="eastAsia" w:ascii="仿宋" w:hAnsi="仿宋" w:eastAsia="仿宋" w:cs="仿宋"/>
          <w:b/>
          <w:color w:val="000000"/>
          <w:kern w:val="0"/>
          <w:sz w:val="24"/>
          <w:u w:val="single"/>
        </w:rPr>
        <w:t>单位负责人为同一人或者存在直接控股、管理关系的不同供应商参加同一合同项下的政府采购活动的，相关磋商响应供应商均作资格无效处理。</w:t>
      </w:r>
    </w:p>
    <w:p w14:paraId="7ABDA285">
      <w:pPr>
        <w:autoSpaceDE w:val="0"/>
        <w:autoSpaceDN w:val="0"/>
        <w:spacing w:line="360" w:lineRule="auto"/>
        <w:ind w:firstLine="426" w:firstLineChars="177"/>
        <w:rPr>
          <w:rFonts w:hint="eastAsia" w:ascii="仿宋" w:hAnsi="仿宋" w:eastAsia="仿宋" w:cs="仿宋"/>
          <w:b/>
          <w:color w:val="000000"/>
          <w:sz w:val="24"/>
        </w:rPr>
      </w:pPr>
      <w:r>
        <w:rPr>
          <w:rFonts w:hint="eastAsia" w:ascii="仿宋" w:hAnsi="仿宋" w:eastAsia="仿宋" w:cs="仿宋"/>
          <w:b/>
          <w:color w:val="000000"/>
          <w:kern w:val="0"/>
          <w:sz w:val="24"/>
        </w:rPr>
        <w:t>（3）供应商</w:t>
      </w:r>
      <w:r>
        <w:rPr>
          <w:rFonts w:hint="eastAsia" w:ascii="仿宋" w:hAnsi="仿宋" w:eastAsia="仿宋" w:cs="仿宋"/>
          <w:b/>
          <w:color w:val="000000"/>
          <w:sz w:val="24"/>
        </w:rPr>
        <w:t>信用记录查询与使用：</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14:paraId="5810CEA9">
      <w:pPr>
        <w:autoSpaceDE w:val="0"/>
        <w:autoSpaceDN w:val="0"/>
        <w:spacing w:line="360" w:lineRule="auto"/>
        <w:ind w:firstLine="426" w:firstLineChars="177"/>
        <w:rPr>
          <w:rFonts w:hint="eastAsia" w:ascii="仿宋" w:hAnsi="仿宋" w:eastAsia="仿宋" w:cs="仿宋"/>
          <w:b/>
          <w:color w:val="000000"/>
          <w:sz w:val="24"/>
        </w:rPr>
      </w:pPr>
      <w:r>
        <w:rPr>
          <w:rFonts w:hint="eastAsia" w:ascii="仿宋" w:hAnsi="仿宋" w:eastAsia="仿宋" w:cs="仿宋"/>
          <w:b/>
          <w:color w:val="000000"/>
          <w:sz w:val="24"/>
        </w:rPr>
        <w:t>（4）除政府采购法律法规规章规定的属于恶意串通、视为串通投标情形外，在不影响公平竞争的前提下，供应商参与同一个采购包（标段）存在下列情形之一且无法合理解释的，其投标（响应）文件无效，</w:t>
      </w:r>
      <w:r>
        <w:rPr>
          <w:rFonts w:hint="eastAsia" w:ascii="仿宋" w:hAnsi="仿宋" w:eastAsia="仿宋" w:cs="仿宋"/>
          <w:b/>
          <w:color w:val="000000"/>
          <w:kern w:val="0"/>
          <w:sz w:val="24"/>
          <w:u w:val="single"/>
        </w:rPr>
        <w:t>相关磋商响应供应商均作资格无效处理</w:t>
      </w:r>
      <w:r>
        <w:rPr>
          <w:rFonts w:hint="eastAsia" w:ascii="仿宋" w:hAnsi="仿宋" w:eastAsia="仿宋" w:cs="仿宋"/>
          <w:b/>
          <w:color w:val="000000"/>
          <w:sz w:val="24"/>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w:t>
      </w:r>
      <w:r>
        <w:rPr>
          <w:rFonts w:hint="eastAsia" w:ascii="仿宋" w:hAnsi="仿宋" w:eastAsia="仿宋" w:cs="仿宋"/>
          <w:b/>
          <w:color w:val="000000"/>
          <w:sz w:val="24"/>
          <w:lang w:eastAsia="zh"/>
        </w:rPr>
        <w:t>3</w:t>
      </w:r>
      <w:r>
        <w:rPr>
          <w:rFonts w:hint="eastAsia" w:ascii="仿宋" w:hAnsi="仿宋" w:eastAsia="仿宋" w:cs="仿宋"/>
          <w:b/>
          <w:color w:val="000000"/>
          <w:sz w:val="24"/>
        </w:rPr>
        <w:t>处（含）以上错误一致的；4）不同供应商联系人为同一人或不同联系人的联系电话一致的。</w:t>
      </w:r>
    </w:p>
    <w:p w14:paraId="17D51D76">
      <w:pPr>
        <w:autoSpaceDE w:val="0"/>
        <w:autoSpaceDN w:val="0"/>
        <w:spacing w:line="360" w:lineRule="auto"/>
        <w:ind w:firstLine="424" w:firstLineChars="176"/>
        <w:rPr>
          <w:rFonts w:hint="eastAsia" w:ascii="仿宋" w:hAnsi="仿宋" w:eastAsia="仿宋" w:cs="仿宋"/>
          <w:color w:val="000000"/>
        </w:rPr>
      </w:pPr>
      <w:r>
        <w:rPr>
          <w:rFonts w:hint="eastAsia" w:ascii="仿宋" w:hAnsi="仿宋" w:eastAsia="仿宋" w:cs="仿宋"/>
          <w:b/>
          <w:color w:val="000000"/>
          <w:kern w:val="0"/>
          <w:sz w:val="24"/>
        </w:rPr>
        <w:t>（5）资格审查合格的磋商响应供应商不足三家的，项目不再进行评审。</w:t>
      </w:r>
      <w:r>
        <w:rPr>
          <w:rFonts w:hint="eastAsia" w:ascii="仿宋" w:hAnsi="仿宋" w:eastAsia="仿宋" w:cs="仿宋"/>
          <w:b/>
          <w:color w:val="000000"/>
          <w:kern w:val="0"/>
          <w:sz w:val="24"/>
          <w:szCs w:val="22"/>
        </w:rPr>
        <w:t>除采购任务取消情形外，采购人可选择以下方式之一处理：</w:t>
      </w:r>
    </w:p>
    <w:p w14:paraId="65D7F934">
      <w:pPr>
        <w:autoSpaceDE w:val="0"/>
        <w:autoSpaceDN w:val="0"/>
        <w:spacing w:line="360" w:lineRule="auto"/>
        <w:ind w:firstLine="422" w:firstLineChars="176"/>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1）将本标项作废标处理，重新组织采购；</w:t>
      </w:r>
    </w:p>
    <w:p w14:paraId="298028B8">
      <w:pPr>
        <w:autoSpaceDE w:val="0"/>
        <w:autoSpaceDN w:val="0"/>
        <w:spacing w:line="360" w:lineRule="auto"/>
        <w:ind w:firstLine="424" w:firstLineChars="177"/>
        <w:rPr>
          <w:rFonts w:hint="eastAsia" w:ascii="仿宋" w:hAnsi="仿宋" w:eastAsia="仿宋" w:cs="仿宋"/>
          <w:color w:val="auto"/>
          <w:highlight w:val="none"/>
        </w:rPr>
      </w:pPr>
      <w:r>
        <w:rPr>
          <w:rFonts w:hint="eastAsia" w:ascii="仿宋" w:hAnsi="仿宋" w:eastAsia="仿宋" w:cs="仿宋"/>
          <w:color w:val="000000"/>
          <w:kern w:val="0"/>
          <w:sz w:val="24"/>
          <w:szCs w:val="22"/>
        </w:rPr>
        <w:t>2）按同级政府采购监督管理部门的审</w:t>
      </w:r>
      <w:r>
        <w:rPr>
          <w:rFonts w:hint="eastAsia" w:ascii="仿宋" w:hAnsi="仿宋" w:eastAsia="仿宋" w:cs="仿宋"/>
          <w:color w:val="auto"/>
          <w:kern w:val="0"/>
          <w:sz w:val="24"/>
          <w:szCs w:val="22"/>
          <w:highlight w:val="none"/>
        </w:rPr>
        <w:t>批意见采用其他采购方式组织采购。</w:t>
      </w:r>
    </w:p>
    <w:p w14:paraId="34A6D2BE">
      <w:pPr>
        <w:autoSpaceDE w:val="0"/>
        <w:autoSpaceDN w:val="0"/>
        <w:spacing w:line="360" w:lineRule="auto"/>
        <w:ind w:firstLine="426" w:firstLineChars="177"/>
        <w:rPr>
          <w:rFonts w:hint="eastAsia" w:ascii="仿宋" w:hAnsi="仿宋" w:eastAsia="仿宋" w:cs="仿宋"/>
          <w:color w:val="auto"/>
          <w:sz w:val="24"/>
          <w:highlight w:val="none"/>
        </w:rPr>
      </w:pPr>
      <w:r>
        <w:rPr>
          <w:rFonts w:hint="eastAsia" w:ascii="仿宋" w:hAnsi="仿宋" w:eastAsia="仿宋" w:cs="仿宋"/>
          <w:b/>
          <w:color w:val="auto"/>
          <w:sz w:val="24"/>
          <w:highlight w:val="none"/>
        </w:rPr>
        <w:t>2.2.2对符合资格的磋商响应供应商的磋商响应文件进行符合性审查，以确定其是否满足采购文件的实质性要求。</w:t>
      </w:r>
    </w:p>
    <w:p w14:paraId="7EEF89D4">
      <w:pPr>
        <w:autoSpaceDE w:val="0"/>
        <w:autoSpaceDN w:val="0"/>
        <w:spacing w:line="360" w:lineRule="auto"/>
        <w:ind w:firstLine="424" w:firstLineChars="17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2.2.3《商务技术文件》存在下列情形之一的，经磋商小组认定后作无效标处理：</w:t>
      </w:r>
    </w:p>
    <w:p w14:paraId="46877CCE">
      <w:pPr>
        <w:autoSpaceDE w:val="0"/>
        <w:autoSpaceDN w:val="0"/>
        <w:spacing w:line="360" w:lineRule="auto"/>
        <w:ind w:firstLine="424" w:firstLineChars="17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u w:val="single"/>
        </w:rPr>
        <w:t>磋商响应文件没有对本采购文件作出实质性响应的，或不满足（不响应）本磋商文件中标注“▲”的实质性要求条款的</w:t>
      </w:r>
      <w:r>
        <w:rPr>
          <w:rFonts w:hint="eastAsia" w:ascii="仿宋" w:hAnsi="仿宋" w:eastAsia="仿宋" w:cs="仿宋"/>
          <w:b/>
          <w:color w:val="auto"/>
          <w:w w:val="90"/>
          <w:kern w:val="0"/>
          <w:sz w:val="24"/>
          <w:highlight w:val="none"/>
        </w:rPr>
        <w:t>；</w:t>
      </w:r>
    </w:p>
    <w:p w14:paraId="56CBCF2A">
      <w:pPr>
        <w:autoSpaceDE w:val="0"/>
        <w:autoSpaceDN w:val="0"/>
        <w:spacing w:line="360" w:lineRule="auto"/>
        <w:ind w:firstLine="424" w:firstLineChars="17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u w:val="single"/>
        </w:rPr>
        <w:t>磋商响应文件存在一个或一个以上备选（替代）方案的</w:t>
      </w:r>
      <w:r>
        <w:rPr>
          <w:rFonts w:hint="eastAsia" w:ascii="仿宋" w:hAnsi="仿宋" w:eastAsia="仿宋" w:cs="仿宋"/>
          <w:b/>
          <w:color w:val="auto"/>
          <w:kern w:val="0"/>
          <w:sz w:val="24"/>
          <w:highlight w:val="none"/>
        </w:rPr>
        <w:t>；</w:t>
      </w:r>
    </w:p>
    <w:p w14:paraId="63D76069">
      <w:pPr>
        <w:autoSpaceDE w:val="0"/>
        <w:autoSpaceDN w:val="0"/>
        <w:spacing w:line="360" w:lineRule="auto"/>
        <w:ind w:firstLine="424" w:firstLineChars="17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
          <w:color w:val="auto"/>
          <w:sz w:val="24"/>
          <w:highlight w:val="none"/>
          <w:u w:val="single"/>
        </w:rPr>
        <w:t>仅提交“备份磋商响应文件”的</w:t>
      </w:r>
      <w:r>
        <w:rPr>
          <w:rFonts w:hint="eastAsia" w:ascii="仿宋" w:hAnsi="仿宋" w:eastAsia="仿宋" w:cs="仿宋"/>
          <w:b/>
          <w:color w:val="auto"/>
          <w:kern w:val="0"/>
          <w:sz w:val="24"/>
          <w:highlight w:val="none"/>
        </w:rPr>
        <w:t>；</w:t>
      </w:r>
    </w:p>
    <w:p w14:paraId="589A9A66">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u w:val="single"/>
        </w:rPr>
        <w:t>磋商响应文件未按本磋商文件《第三章磋商须知》或《第六章磋</w:t>
      </w:r>
      <w:r>
        <w:rPr>
          <w:rFonts w:hint="eastAsia" w:ascii="仿宋" w:hAnsi="仿宋" w:eastAsia="仿宋" w:cs="仿宋"/>
          <w:b/>
          <w:color w:val="000000"/>
          <w:kern w:val="0"/>
          <w:sz w:val="24"/>
          <w:u w:val="single"/>
        </w:rPr>
        <w:t>商响应文件格式》标注的要求进行盖章或签署的</w:t>
      </w:r>
      <w:r>
        <w:rPr>
          <w:rFonts w:hint="eastAsia" w:ascii="仿宋" w:hAnsi="仿宋" w:eastAsia="仿宋" w:cs="仿宋"/>
          <w:b/>
          <w:color w:val="000000"/>
          <w:kern w:val="0"/>
          <w:sz w:val="24"/>
        </w:rPr>
        <w:t>；</w:t>
      </w:r>
    </w:p>
    <w:p w14:paraId="3E22175E">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000000"/>
          <w:kern w:val="0"/>
          <w:sz w:val="24"/>
        </w:rPr>
        <w:t>（5）</w:t>
      </w:r>
      <w:r>
        <w:rPr>
          <w:rFonts w:hint="eastAsia" w:ascii="仿宋" w:hAnsi="仿宋" w:eastAsia="仿宋" w:cs="仿宋"/>
          <w:b/>
          <w:color w:val="000000"/>
          <w:kern w:val="0"/>
          <w:sz w:val="24"/>
          <w:u w:val="single"/>
        </w:rPr>
        <w:t>磋商响应文件组成内容不齐全，本磋商文件规定必须提供而未提供的（属于资格审查范围的除外）</w:t>
      </w:r>
      <w:r>
        <w:rPr>
          <w:rFonts w:hint="eastAsia" w:ascii="仿宋" w:hAnsi="仿宋" w:eastAsia="仿宋" w:cs="仿宋"/>
          <w:b/>
          <w:color w:val="000000"/>
          <w:kern w:val="0"/>
          <w:sz w:val="24"/>
        </w:rPr>
        <w:t>；</w:t>
      </w:r>
    </w:p>
    <w:p w14:paraId="3CE74299">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000000"/>
          <w:kern w:val="0"/>
          <w:sz w:val="24"/>
        </w:rPr>
        <w:t>（6）</w:t>
      </w:r>
      <w:r>
        <w:rPr>
          <w:rFonts w:hint="eastAsia" w:ascii="仿宋" w:hAnsi="仿宋" w:eastAsia="仿宋" w:cs="仿宋"/>
          <w:b/>
          <w:color w:val="000000"/>
          <w:kern w:val="0"/>
          <w:sz w:val="24"/>
          <w:u w:val="single"/>
        </w:rPr>
        <w:t>磋商响应文件标注的响应或偏离情况与事实不符，或提供了虚假材料的</w:t>
      </w:r>
      <w:r>
        <w:rPr>
          <w:rFonts w:hint="eastAsia" w:ascii="仿宋" w:hAnsi="仿宋" w:eastAsia="仿宋" w:cs="仿宋"/>
          <w:b/>
          <w:color w:val="000000"/>
          <w:kern w:val="0"/>
          <w:sz w:val="24"/>
        </w:rPr>
        <w:t>；</w:t>
      </w:r>
    </w:p>
    <w:p w14:paraId="0EF2AC12">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000000"/>
          <w:kern w:val="0"/>
          <w:sz w:val="24"/>
        </w:rPr>
        <w:t>（7）</w:t>
      </w:r>
      <w:r>
        <w:rPr>
          <w:rFonts w:hint="eastAsia" w:ascii="仿宋" w:hAnsi="仿宋" w:eastAsia="仿宋" w:cs="仿宋"/>
          <w:b/>
          <w:color w:val="000000"/>
          <w:kern w:val="0"/>
          <w:sz w:val="24"/>
          <w:u w:val="single"/>
        </w:rPr>
        <w:t>磋商响应文件有效期不符合本磋商文件要求的</w:t>
      </w:r>
      <w:r>
        <w:rPr>
          <w:rFonts w:hint="eastAsia" w:ascii="仿宋" w:hAnsi="仿宋" w:eastAsia="仿宋" w:cs="仿宋"/>
          <w:b/>
          <w:color w:val="000000"/>
          <w:kern w:val="0"/>
          <w:sz w:val="24"/>
        </w:rPr>
        <w:t>；</w:t>
      </w:r>
    </w:p>
    <w:p w14:paraId="0EBFE2C4">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000000"/>
          <w:kern w:val="0"/>
          <w:sz w:val="24"/>
        </w:rPr>
        <w:t>（8）</w:t>
      </w:r>
      <w:r>
        <w:rPr>
          <w:rFonts w:hint="eastAsia" w:ascii="仿宋" w:hAnsi="仿宋" w:eastAsia="仿宋" w:cs="仿宋"/>
          <w:b/>
          <w:color w:val="000000"/>
          <w:kern w:val="0"/>
          <w:sz w:val="24"/>
          <w:u w:val="single"/>
        </w:rPr>
        <w:t>磋商响应文件含有采购人不能接受的附加条件的</w:t>
      </w:r>
      <w:r>
        <w:rPr>
          <w:rFonts w:hint="eastAsia" w:ascii="仿宋" w:hAnsi="仿宋" w:eastAsia="仿宋" w:cs="仿宋"/>
          <w:b/>
          <w:color w:val="000000"/>
          <w:kern w:val="0"/>
          <w:sz w:val="24"/>
        </w:rPr>
        <w:t>；</w:t>
      </w:r>
    </w:p>
    <w:p w14:paraId="726B43D4">
      <w:pPr>
        <w:autoSpaceDE w:val="0"/>
        <w:autoSpaceDN w:val="0"/>
        <w:spacing w:line="360" w:lineRule="auto"/>
        <w:ind w:firstLine="424" w:firstLineChars="176"/>
        <w:rPr>
          <w:rFonts w:hint="eastAsia" w:ascii="仿宋" w:hAnsi="仿宋" w:eastAsia="仿宋" w:cs="仿宋"/>
          <w:b/>
          <w:color w:val="000000"/>
          <w:kern w:val="0"/>
          <w:sz w:val="24"/>
          <w:u w:val="single"/>
        </w:rPr>
      </w:pPr>
      <w:r>
        <w:rPr>
          <w:rFonts w:hint="eastAsia" w:ascii="仿宋" w:hAnsi="仿宋" w:eastAsia="仿宋" w:cs="仿宋"/>
          <w:b/>
          <w:color w:val="000000"/>
          <w:kern w:val="0"/>
          <w:sz w:val="24"/>
        </w:rPr>
        <w:t>（9）</w:t>
      </w:r>
      <w:r>
        <w:rPr>
          <w:rFonts w:hint="eastAsia" w:ascii="仿宋" w:hAnsi="仿宋" w:eastAsia="仿宋" w:cs="仿宋"/>
          <w:b/>
          <w:color w:val="000000"/>
          <w:kern w:val="0"/>
          <w:sz w:val="24"/>
          <w:u w:val="single"/>
        </w:rPr>
        <w:t>参加同一合同项下政府采购活动的不同供应商之间存在利害关系的；</w:t>
      </w:r>
    </w:p>
    <w:p w14:paraId="181618ED">
      <w:pPr>
        <w:autoSpaceDE w:val="0"/>
        <w:autoSpaceDN w:val="0"/>
        <w:spacing w:line="360" w:lineRule="auto"/>
        <w:ind w:firstLine="424" w:firstLineChars="176"/>
        <w:rPr>
          <w:rFonts w:hint="eastAsia" w:ascii="仿宋" w:hAnsi="仿宋" w:eastAsia="仿宋" w:cs="仿宋"/>
          <w:b/>
          <w:color w:val="000000"/>
          <w:kern w:val="0"/>
          <w:sz w:val="24"/>
          <w:u w:val="single"/>
        </w:rPr>
      </w:pPr>
      <w:r>
        <w:rPr>
          <w:rFonts w:hint="eastAsia" w:ascii="仿宋" w:hAnsi="仿宋" w:eastAsia="仿宋" w:cs="仿宋"/>
          <w:b/>
          <w:color w:val="000000"/>
          <w:kern w:val="0"/>
          <w:sz w:val="24"/>
        </w:rPr>
        <w:t>（10）</w:t>
      </w:r>
      <w:r>
        <w:rPr>
          <w:rFonts w:hint="eastAsia" w:ascii="仿宋" w:hAnsi="仿宋" w:eastAsia="仿宋" w:cs="仿宋"/>
          <w:b/>
          <w:color w:val="000000"/>
          <w:kern w:val="0"/>
          <w:sz w:val="24"/>
          <w:u w:val="single"/>
        </w:rPr>
        <w:t>未提供拟派项目经理具有</w:t>
      </w:r>
      <w:r>
        <w:rPr>
          <w:rFonts w:hint="eastAsia" w:ascii="仿宋" w:hAnsi="仿宋" w:eastAsia="仿宋" w:cs="仿宋"/>
          <w:b/>
          <w:color w:val="000000"/>
          <w:kern w:val="0"/>
          <w:sz w:val="24"/>
          <w:u w:val="single"/>
          <w:lang w:eastAsia="zh-CN"/>
        </w:rPr>
        <w:t>机电工程专业二级</w:t>
      </w:r>
      <w:r>
        <w:rPr>
          <w:rFonts w:hint="eastAsia" w:ascii="仿宋" w:hAnsi="仿宋" w:eastAsia="仿宋" w:cs="仿宋"/>
          <w:b/>
          <w:color w:val="000000"/>
          <w:kern w:val="0"/>
          <w:sz w:val="24"/>
          <w:u w:val="single"/>
        </w:rPr>
        <w:t>及以上注册建造师资格证书扫描件的；</w:t>
      </w:r>
    </w:p>
    <w:p w14:paraId="22C6E7C8">
      <w:pPr>
        <w:autoSpaceDE w:val="0"/>
        <w:autoSpaceDN w:val="0"/>
        <w:spacing w:line="360" w:lineRule="auto"/>
        <w:ind w:firstLine="424" w:firstLineChars="176"/>
        <w:rPr>
          <w:rFonts w:hint="eastAsia" w:ascii="仿宋" w:hAnsi="仿宋" w:eastAsia="仿宋" w:cs="仿宋"/>
          <w:b/>
          <w:color w:val="auto"/>
          <w:kern w:val="0"/>
          <w:sz w:val="24"/>
          <w:highlight w:val="none"/>
          <w:u w:val="single"/>
        </w:rPr>
      </w:pPr>
      <w:r>
        <w:rPr>
          <w:rFonts w:hint="eastAsia" w:ascii="仿宋" w:hAnsi="仿宋" w:eastAsia="仿宋" w:cs="仿宋"/>
          <w:b/>
          <w:color w:val="000000"/>
          <w:kern w:val="0"/>
          <w:sz w:val="24"/>
        </w:rPr>
        <w:t>（11）</w:t>
      </w:r>
      <w:r>
        <w:rPr>
          <w:rFonts w:hint="eastAsia" w:ascii="仿宋" w:hAnsi="仿宋" w:eastAsia="仿宋" w:cs="仿宋"/>
          <w:b/>
          <w:color w:val="000000"/>
          <w:kern w:val="0"/>
          <w:sz w:val="24"/>
          <w:u w:val="single"/>
        </w:rPr>
        <w:t>未提供拟</w:t>
      </w:r>
      <w:r>
        <w:rPr>
          <w:rFonts w:hint="eastAsia" w:ascii="仿宋" w:hAnsi="仿宋" w:eastAsia="仿宋" w:cs="仿宋"/>
          <w:b/>
          <w:color w:val="auto"/>
          <w:kern w:val="0"/>
          <w:sz w:val="24"/>
          <w:highlight w:val="none"/>
          <w:u w:val="single"/>
        </w:rPr>
        <w:t>派项目经理具有“三类人员”B类证书扫描件、拟派现场的安全专职管理员具有施工现场安全生产专职管理人员“三类人员”C类证书扫描件的</w:t>
      </w:r>
      <w:r>
        <w:rPr>
          <w:rFonts w:hint="eastAsia" w:ascii="仿宋" w:hAnsi="仿宋" w:eastAsia="仿宋" w:cs="仿宋"/>
          <w:b/>
          <w:color w:val="auto"/>
          <w:kern w:val="0"/>
          <w:sz w:val="24"/>
          <w:highlight w:val="none"/>
        </w:rPr>
        <w:t>；</w:t>
      </w:r>
    </w:p>
    <w:p w14:paraId="43B6B986">
      <w:pPr>
        <w:autoSpaceDE w:val="0"/>
        <w:autoSpaceDN w:val="0"/>
        <w:spacing w:line="360" w:lineRule="auto"/>
        <w:ind w:firstLine="426" w:firstLineChars="177"/>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rPr>
        <w:t>（12）</w:t>
      </w:r>
      <w:r>
        <w:rPr>
          <w:rFonts w:hint="eastAsia" w:ascii="仿宋" w:hAnsi="仿宋" w:eastAsia="仿宋" w:cs="仿宋"/>
          <w:b/>
          <w:color w:val="auto"/>
          <w:kern w:val="0"/>
          <w:sz w:val="24"/>
          <w:highlight w:val="none"/>
          <w:u w:val="single"/>
        </w:rPr>
        <w:t>存在法律、法规和采购文件规定的其他无效情形的。</w:t>
      </w:r>
    </w:p>
    <w:p w14:paraId="53F829A9">
      <w:pPr>
        <w:autoSpaceDE w:val="0"/>
        <w:autoSpaceDN w:val="0"/>
        <w:spacing w:line="360" w:lineRule="auto"/>
        <w:ind w:firstLine="424" w:firstLineChars="17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2.2.4《报价文件》存在下列情形之一的，经磋商小组认定后作无效标处理：</w:t>
      </w:r>
    </w:p>
    <w:p w14:paraId="6B0F8342">
      <w:pPr>
        <w:autoSpaceDE w:val="0"/>
        <w:autoSpaceDN w:val="0"/>
        <w:spacing w:line="360" w:lineRule="auto"/>
        <w:ind w:firstLine="424" w:firstLineChars="17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u w:val="single"/>
        </w:rPr>
        <w:t>磋商响应文件没有对本采购文件作出实质性响应的，或不满足（不响应）本采购文件中标注“▲”的实质性要求条款的</w:t>
      </w:r>
      <w:r>
        <w:rPr>
          <w:rFonts w:hint="eastAsia" w:ascii="仿宋" w:hAnsi="仿宋" w:eastAsia="仿宋" w:cs="仿宋"/>
          <w:b/>
          <w:color w:val="auto"/>
          <w:w w:val="90"/>
          <w:kern w:val="0"/>
          <w:sz w:val="24"/>
          <w:highlight w:val="none"/>
        </w:rPr>
        <w:t>；</w:t>
      </w:r>
    </w:p>
    <w:p w14:paraId="748CC036">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u w:val="single"/>
        </w:rPr>
        <w:t>磋商响应文件存在一个或一个以上备</w:t>
      </w:r>
      <w:r>
        <w:rPr>
          <w:rFonts w:hint="eastAsia" w:ascii="仿宋" w:hAnsi="仿宋" w:eastAsia="仿宋" w:cs="仿宋"/>
          <w:b/>
          <w:color w:val="000000"/>
          <w:kern w:val="0"/>
          <w:sz w:val="24"/>
          <w:u w:val="single"/>
        </w:rPr>
        <w:t>选（替代）投标方案的</w:t>
      </w:r>
      <w:r>
        <w:rPr>
          <w:rFonts w:hint="eastAsia" w:ascii="仿宋" w:hAnsi="仿宋" w:eastAsia="仿宋" w:cs="仿宋"/>
          <w:b/>
          <w:color w:val="000000"/>
          <w:kern w:val="0"/>
          <w:sz w:val="24"/>
        </w:rPr>
        <w:t>；</w:t>
      </w:r>
    </w:p>
    <w:p w14:paraId="09B7F549">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000000"/>
          <w:kern w:val="0"/>
          <w:sz w:val="24"/>
        </w:rPr>
        <w:t>（3）</w:t>
      </w:r>
      <w:r>
        <w:rPr>
          <w:rFonts w:hint="eastAsia" w:ascii="仿宋" w:hAnsi="仿宋" w:eastAsia="仿宋" w:cs="仿宋"/>
          <w:b/>
          <w:color w:val="000000"/>
          <w:kern w:val="0"/>
          <w:sz w:val="24"/>
          <w:u w:val="single"/>
        </w:rPr>
        <w:t>未按照磋商文件标明的币种报价的，或者磋商报价涵盖的内容不符合磋商文件要求的</w:t>
      </w:r>
      <w:r>
        <w:rPr>
          <w:rFonts w:hint="eastAsia" w:ascii="仿宋" w:hAnsi="仿宋" w:eastAsia="仿宋" w:cs="仿宋"/>
          <w:b/>
          <w:color w:val="000000"/>
          <w:kern w:val="0"/>
          <w:sz w:val="24"/>
        </w:rPr>
        <w:t>；</w:t>
      </w:r>
    </w:p>
    <w:p w14:paraId="3518D6C9">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000000"/>
          <w:kern w:val="0"/>
          <w:sz w:val="24"/>
        </w:rPr>
        <w:t>（4）</w:t>
      </w:r>
      <w:r>
        <w:rPr>
          <w:rFonts w:hint="eastAsia" w:ascii="仿宋" w:hAnsi="仿宋" w:eastAsia="仿宋" w:cs="仿宋"/>
          <w:b/>
          <w:color w:val="000000"/>
          <w:kern w:val="0"/>
          <w:sz w:val="24"/>
          <w:u w:val="single"/>
        </w:rPr>
        <w:t>报价出现前后不一致时拒绝按照磋商文件规定的错误修正原则进行修正的</w:t>
      </w:r>
      <w:r>
        <w:rPr>
          <w:rFonts w:hint="eastAsia" w:ascii="仿宋" w:hAnsi="仿宋" w:eastAsia="仿宋" w:cs="仿宋"/>
          <w:b/>
          <w:color w:val="000000"/>
          <w:kern w:val="0"/>
          <w:sz w:val="24"/>
        </w:rPr>
        <w:t>；</w:t>
      </w:r>
    </w:p>
    <w:p w14:paraId="71DD6740">
      <w:pPr>
        <w:autoSpaceDE w:val="0"/>
        <w:autoSpaceDN w:val="0"/>
        <w:spacing w:line="360"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000000"/>
          <w:kern w:val="0"/>
          <w:sz w:val="24"/>
        </w:rPr>
        <w:t>（5）</w:t>
      </w:r>
      <w:r>
        <w:rPr>
          <w:rFonts w:hint="eastAsia" w:ascii="仿宋" w:hAnsi="仿宋" w:eastAsia="仿宋" w:cs="仿宋"/>
          <w:b/>
          <w:color w:val="000000"/>
          <w:kern w:val="0"/>
          <w:sz w:val="24"/>
          <w:u w:val="single"/>
        </w:rPr>
        <w:t>磋商报价具有选择性的</w:t>
      </w:r>
      <w:r>
        <w:rPr>
          <w:rFonts w:hint="eastAsia" w:ascii="仿宋" w:hAnsi="仿宋" w:eastAsia="仿宋" w:cs="仿宋"/>
          <w:b/>
          <w:color w:val="000000"/>
          <w:kern w:val="0"/>
          <w:sz w:val="24"/>
        </w:rPr>
        <w:t>；</w:t>
      </w:r>
    </w:p>
    <w:p w14:paraId="091C1FD0">
      <w:pPr>
        <w:autoSpaceDE w:val="0"/>
        <w:autoSpaceDN w:val="0"/>
        <w:spacing w:line="360" w:lineRule="auto"/>
        <w:ind w:firstLine="424" w:firstLineChars="176"/>
        <w:rPr>
          <w:rFonts w:hint="eastAsia" w:ascii="仿宋" w:hAnsi="仿宋" w:eastAsia="仿宋" w:cs="仿宋"/>
          <w:b/>
          <w:color w:val="000000"/>
          <w:kern w:val="0"/>
          <w:sz w:val="24"/>
          <w:u w:val="single"/>
        </w:rPr>
      </w:pPr>
      <w:r>
        <w:rPr>
          <w:rFonts w:hint="eastAsia" w:ascii="仿宋" w:hAnsi="仿宋" w:eastAsia="仿宋" w:cs="仿宋"/>
          <w:b/>
          <w:color w:val="000000"/>
          <w:kern w:val="0"/>
          <w:sz w:val="24"/>
        </w:rPr>
        <w:t>（6）</w:t>
      </w:r>
      <w:r>
        <w:rPr>
          <w:rFonts w:hint="eastAsia" w:ascii="仿宋" w:hAnsi="仿宋" w:eastAsia="仿宋" w:cs="仿宋"/>
          <w:b/>
          <w:color w:val="000000"/>
          <w:kern w:val="0"/>
          <w:sz w:val="24"/>
          <w:u w:val="single"/>
        </w:rPr>
        <w:t>报价超过磋商文件中规定的预算金额或者最高限价的</w:t>
      </w:r>
      <w:r>
        <w:rPr>
          <w:rFonts w:hint="eastAsia" w:ascii="仿宋" w:hAnsi="仿宋" w:eastAsia="仿宋" w:cs="仿宋"/>
          <w:b/>
          <w:color w:val="000000"/>
          <w:kern w:val="0"/>
          <w:sz w:val="24"/>
        </w:rPr>
        <w:t>；</w:t>
      </w:r>
    </w:p>
    <w:p w14:paraId="71675D60">
      <w:pPr>
        <w:autoSpaceDE w:val="0"/>
        <w:autoSpaceDN w:val="0"/>
        <w:spacing w:line="358" w:lineRule="auto"/>
        <w:ind w:firstLine="424" w:firstLineChars="176"/>
        <w:rPr>
          <w:rFonts w:hint="eastAsia" w:ascii="仿宋" w:hAnsi="仿宋" w:eastAsia="仿宋" w:cs="Arial"/>
          <w:b/>
          <w:color w:val="000000"/>
          <w:kern w:val="0"/>
          <w:sz w:val="24"/>
        </w:rPr>
      </w:pPr>
      <w:r>
        <w:rPr>
          <w:rFonts w:hint="eastAsia" w:ascii="仿宋" w:hAnsi="仿宋" w:eastAsia="仿宋" w:cs="Arial"/>
          <w:b/>
          <w:color w:val="000000"/>
          <w:kern w:val="0"/>
          <w:sz w:val="24"/>
        </w:rPr>
        <w:t>（7）</w:t>
      </w:r>
      <w:r>
        <w:rPr>
          <w:rFonts w:hint="eastAsia" w:ascii="仿宋" w:hAnsi="仿宋" w:eastAsia="仿宋" w:cs="Arial"/>
          <w:b/>
          <w:color w:val="000000"/>
          <w:kern w:val="0"/>
          <w:sz w:val="24"/>
          <w:u w:val="single"/>
        </w:rPr>
        <w:t>磋商响应文件工程量清单报价中的项目编码、项目名称、项目特征、计量单位和工程量与磋商文件提供的清单不一致的</w:t>
      </w:r>
      <w:r>
        <w:rPr>
          <w:rFonts w:hint="eastAsia" w:ascii="仿宋" w:hAnsi="仿宋" w:eastAsia="仿宋" w:cs="Arial"/>
          <w:b/>
          <w:color w:val="000000"/>
          <w:kern w:val="0"/>
          <w:sz w:val="24"/>
        </w:rPr>
        <w:t>；</w:t>
      </w:r>
      <w:r>
        <w:rPr>
          <w:rFonts w:ascii="仿宋" w:hAnsi="仿宋" w:eastAsia="仿宋" w:cs="Arial"/>
          <w:b/>
          <w:color w:val="000000"/>
          <w:kern w:val="0"/>
          <w:sz w:val="24"/>
        </w:rPr>
        <w:t xml:space="preserve"> </w:t>
      </w:r>
    </w:p>
    <w:p w14:paraId="25763166">
      <w:pPr>
        <w:autoSpaceDE w:val="0"/>
        <w:autoSpaceDN w:val="0"/>
        <w:spacing w:line="358" w:lineRule="auto"/>
        <w:ind w:firstLine="424" w:firstLineChars="176"/>
        <w:rPr>
          <w:rFonts w:hint="eastAsia" w:ascii="仿宋" w:hAnsi="仿宋" w:eastAsia="仿宋" w:cs="Arial"/>
          <w:b/>
          <w:color w:val="000000"/>
          <w:kern w:val="0"/>
          <w:sz w:val="24"/>
        </w:rPr>
      </w:pPr>
      <w:r>
        <w:rPr>
          <w:rFonts w:hint="eastAsia" w:ascii="仿宋" w:hAnsi="仿宋" w:eastAsia="仿宋" w:cs="Arial"/>
          <w:b/>
          <w:color w:val="000000"/>
          <w:kern w:val="0"/>
          <w:sz w:val="24"/>
        </w:rPr>
        <w:t>（8）</w:t>
      </w:r>
      <w:r>
        <w:rPr>
          <w:rFonts w:hint="eastAsia" w:ascii="仿宋" w:hAnsi="仿宋" w:eastAsia="仿宋" w:cs="Arial"/>
          <w:b/>
          <w:color w:val="000000"/>
          <w:kern w:val="0"/>
          <w:sz w:val="24"/>
          <w:u w:val="single"/>
        </w:rPr>
        <w:t>磋商响应文件未按清单要求列明暂列金额的</w:t>
      </w:r>
      <w:r>
        <w:rPr>
          <w:rFonts w:hint="eastAsia" w:ascii="仿宋" w:hAnsi="仿宋" w:eastAsia="仿宋" w:cs="Arial"/>
          <w:b/>
          <w:color w:val="000000"/>
          <w:kern w:val="0"/>
          <w:sz w:val="24"/>
        </w:rPr>
        <w:t>；</w:t>
      </w:r>
    </w:p>
    <w:p w14:paraId="4251E3E8">
      <w:pPr>
        <w:autoSpaceDE w:val="0"/>
        <w:autoSpaceDN w:val="0"/>
        <w:spacing w:line="358" w:lineRule="auto"/>
        <w:ind w:firstLine="424" w:firstLineChars="176"/>
        <w:rPr>
          <w:rFonts w:hint="eastAsia" w:ascii="仿宋" w:hAnsi="仿宋" w:eastAsia="仿宋" w:cs="Arial"/>
          <w:b/>
          <w:color w:val="000000"/>
          <w:kern w:val="0"/>
          <w:sz w:val="24"/>
        </w:rPr>
      </w:pPr>
      <w:r>
        <w:rPr>
          <w:rFonts w:hint="eastAsia" w:ascii="仿宋" w:hAnsi="仿宋" w:eastAsia="仿宋" w:cs="Arial"/>
          <w:b/>
          <w:color w:val="000000"/>
          <w:kern w:val="0"/>
          <w:sz w:val="24"/>
        </w:rPr>
        <w:t>（</w:t>
      </w:r>
      <w:r>
        <w:rPr>
          <w:rFonts w:ascii="仿宋" w:hAnsi="仿宋" w:eastAsia="仿宋" w:cs="Arial"/>
          <w:b/>
          <w:color w:val="000000"/>
          <w:kern w:val="0"/>
          <w:sz w:val="24"/>
        </w:rPr>
        <w:t>9</w:t>
      </w:r>
      <w:r>
        <w:rPr>
          <w:rFonts w:hint="eastAsia" w:ascii="仿宋" w:hAnsi="仿宋" w:eastAsia="仿宋" w:cs="Arial"/>
          <w:b/>
          <w:color w:val="000000"/>
          <w:kern w:val="0"/>
          <w:sz w:val="24"/>
        </w:rPr>
        <w:t>）</w:t>
      </w:r>
      <w:r>
        <w:rPr>
          <w:rFonts w:hint="eastAsia" w:ascii="仿宋" w:hAnsi="仿宋" w:eastAsia="仿宋" w:cs="Arial"/>
          <w:b/>
          <w:color w:val="000000"/>
          <w:kern w:val="0"/>
          <w:sz w:val="24"/>
          <w:u w:val="single"/>
        </w:rPr>
        <w:t>磋商响应文件中的取费低于清单编制说明中的最低取费标准的</w:t>
      </w:r>
      <w:r>
        <w:rPr>
          <w:rFonts w:hint="eastAsia" w:ascii="仿宋" w:hAnsi="仿宋" w:eastAsia="仿宋" w:cs="Arial"/>
          <w:b/>
          <w:color w:val="000000"/>
          <w:kern w:val="0"/>
          <w:sz w:val="24"/>
        </w:rPr>
        <w:t>；</w:t>
      </w:r>
    </w:p>
    <w:p w14:paraId="5AA10A8E">
      <w:pPr>
        <w:autoSpaceDE w:val="0"/>
        <w:autoSpaceDN w:val="0"/>
        <w:spacing w:line="358" w:lineRule="auto"/>
        <w:ind w:firstLine="424" w:firstLineChars="176"/>
        <w:rPr>
          <w:rFonts w:hint="eastAsia" w:ascii="仿宋" w:hAnsi="仿宋" w:eastAsia="仿宋" w:cs="Arial"/>
          <w:b/>
          <w:color w:val="000000"/>
          <w:kern w:val="0"/>
          <w:sz w:val="24"/>
          <w:u w:val="single"/>
        </w:rPr>
      </w:pPr>
      <w:r>
        <w:rPr>
          <w:rFonts w:hint="eastAsia" w:ascii="仿宋" w:hAnsi="仿宋" w:eastAsia="仿宋" w:cs="Arial"/>
          <w:b/>
          <w:color w:val="000000"/>
          <w:kern w:val="0"/>
          <w:sz w:val="24"/>
        </w:rPr>
        <w:t>（10）</w:t>
      </w:r>
      <w:r>
        <w:rPr>
          <w:rFonts w:hint="eastAsia" w:ascii="仿宋" w:hAnsi="仿宋" w:eastAsia="仿宋" w:cs="Arial"/>
          <w:b/>
          <w:color w:val="000000"/>
          <w:kern w:val="0"/>
          <w:sz w:val="24"/>
          <w:u w:val="single"/>
        </w:rPr>
        <w:t>磋商报价中的规费、税金、措施费等国家、省、市强制性要求的费用报价不足或未报价的</w:t>
      </w:r>
      <w:r>
        <w:rPr>
          <w:rFonts w:hint="eastAsia" w:ascii="仿宋" w:hAnsi="仿宋" w:eastAsia="仿宋" w:cs="Arial"/>
          <w:b/>
          <w:color w:val="000000"/>
          <w:kern w:val="0"/>
          <w:sz w:val="24"/>
        </w:rPr>
        <w:t>；</w:t>
      </w:r>
    </w:p>
    <w:p w14:paraId="1C5550B4">
      <w:pPr>
        <w:autoSpaceDE w:val="0"/>
        <w:autoSpaceDN w:val="0"/>
        <w:spacing w:line="358" w:lineRule="auto"/>
        <w:ind w:firstLine="424" w:firstLineChars="176"/>
        <w:rPr>
          <w:rFonts w:hint="eastAsia" w:ascii="仿宋" w:hAnsi="仿宋" w:eastAsia="仿宋" w:cs="Arial"/>
          <w:b/>
          <w:color w:val="000000"/>
          <w:kern w:val="0"/>
          <w:sz w:val="24"/>
          <w:u w:val="single"/>
        </w:rPr>
      </w:pPr>
      <w:r>
        <w:rPr>
          <w:rFonts w:hint="eastAsia" w:ascii="仿宋" w:hAnsi="仿宋" w:eastAsia="仿宋" w:cs="Arial"/>
          <w:b/>
          <w:color w:val="000000"/>
          <w:kern w:val="0"/>
          <w:sz w:val="24"/>
        </w:rPr>
        <w:t>（</w:t>
      </w:r>
      <w:r>
        <w:rPr>
          <w:rFonts w:ascii="仿宋" w:hAnsi="仿宋" w:eastAsia="仿宋" w:cs="Arial"/>
          <w:b/>
          <w:color w:val="000000"/>
          <w:kern w:val="0"/>
          <w:sz w:val="24"/>
        </w:rPr>
        <w:t>1</w:t>
      </w:r>
      <w:r>
        <w:rPr>
          <w:rFonts w:hint="eastAsia" w:ascii="仿宋" w:hAnsi="仿宋" w:eastAsia="仿宋" w:cs="Arial"/>
          <w:b/>
          <w:color w:val="000000"/>
          <w:kern w:val="0"/>
          <w:sz w:val="24"/>
        </w:rPr>
        <w:t>1）</w:t>
      </w:r>
      <w:r>
        <w:rPr>
          <w:rFonts w:hint="eastAsia" w:ascii="仿宋" w:hAnsi="仿宋" w:eastAsia="仿宋" w:cs="Arial"/>
          <w:b/>
          <w:color w:val="000000"/>
          <w:kern w:val="0"/>
          <w:sz w:val="24"/>
          <w:u w:val="single"/>
        </w:rPr>
        <w:t>磋商响应文件未按本磋商文件《第三章磋商须知》或《第六章磋商响应文件格式》标注的要求进行盖章或签署的</w:t>
      </w:r>
      <w:r>
        <w:rPr>
          <w:rFonts w:hint="eastAsia" w:ascii="仿宋" w:hAnsi="仿宋" w:eastAsia="仿宋" w:cs="Arial"/>
          <w:b/>
          <w:color w:val="000000"/>
          <w:kern w:val="0"/>
          <w:sz w:val="24"/>
        </w:rPr>
        <w:t>；</w:t>
      </w:r>
    </w:p>
    <w:p w14:paraId="5F0A43CD">
      <w:pPr>
        <w:autoSpaceDE w:val="0"/>
        <w:autoSpaceDN w:val="0"/>
        <w:spacing w:line="358" w:lineRule="auto"/>
        <w:ind w:firstLine="424" w:firstLineChars="176"/>
        <w:rPr>
          <w:rFonts w:hint="eastAsia" w:ascii="仿宋" w:hAnsi="仿宋" w:eastAsia="仿宋" w:cs="Arial"/>
          <w:b/>
          <w:color w:val="000000"/>
          <w:kern w:val="0"/>
          <w:sz w:val="24"/>
        </w:rPr>
      </w:pPr>
      <w:r>
        <w:rPr>
          <w:rFonts w:ascii="仿宋" w:hAnsi="仿宋" w:eastAsia="仿宋" w:cs="Arial"/>
          <w:b/>
          <w:color w:val="000000"/>
          <w:kern w:val="0"/>
          <w:sz w:val="24"/>
        </w:rPr>
        <w:t>（</w:t>
      </w:r>
      <w:r>
        <w:rPr>
          <w:rFonts w:hint="eastAsia" w:ascii="仿宋" w:hAnsi="仿宋" w:eastAsia="仿宋" w:cs="Arial"/>
          <w:b/>
          <w:color w:val="000000"/>
          <w:kern w:val="0"/>
          <w:sz w:val="24"/>
        </w:rPr>
        <w:t>12</w:t>
      </w:r>
      <w:r>
        <w:rPr>
          <w:rFonts w:ascii="仿宋" w:hAnsi="仿宋" w:eastAsia="仿宋" w:cs="Arial"/>
          <w:b/>
          <w:color w:val="000000"/>
          <w:kern w:val="0"/>
          <w:sz w:val="24"/>
        </w:rPr>
        <w:t>）</w:t>
      </w:r>
      <w:r>
        <w:rPr>
          <w:rFonts w:hint="eastAsia" w:ascii="仿宋" w:hAnsi="仿宋" w:eastAsia="仿宋" w:cs="Arial"/>
          <w:b/>
          <w:color w:val="000000"/>
          <w:kern w:val="0"/>
          <w:sz w:val="24"/>
          <w:u w:val="single"/>
        </w:rPr>
        <w:t>磋商响应文件组成内容不齐全，本磋商文件规定必须提供而未提供的（属于资格审查范围的除外）</w:t>
      </w:r>
      <w:r>
        <w:rPr>
          <w:rFonts w:ascii="仿宋" w:hAnsi="仿宋" w:eastAsia="仿宋" w:cs="Arial"/>
          <w:b/>
          <w:color w:val="000000"/>
          <w:kern w:val="0"/>
          <w:sz w:val="24"/>
        </w:rPr>
        <w:t>；</w:t>
      </w:r>
    </w:p>
    <w:p w14:paraId="1BF5CDED">
      <w:pPr>
        <w:autoSpaceDE w:val="0"/>
        <w:autoSpaceDN w:val="0"/>
        <w:spacing w:line="358" w:lineRule="auto"/>
        <w:ind w:firstLine="424" w:firstLineChars="176"/>
        <w:rPr>
          <w:rFonts w:hint="eastAsia" w:ascii="仿宋" w:hAnsi="仿宋" w:eastAsia="仿宋" w:cs="仿宋"/>
          <w:b/>
          <w:color w:val="000000"/>
          <w:kern w:val="0"/>
          <w:sz w:val="24"/>
        </w:rPr>
      </w:pPr>
      <w:r>
        <w:rPr>
          <w:rFonts w:hint="eastAsia" w:ascii="仿宋" w:hAnsi="仿宋" w:eastAsia="仿宋" w:cs="Arial"/>
          <w:b/>
          <w:color w:val="000000"/>
          <w:sz w:val="24"/>
          <w:szCs w:val="22"/>
        </w:rPr>
        <w:t>（13）</w:t>
      </w:r>
      <w:r>
        <w:rPr>
          <w:rFonts w:hint="eastAsia" w:ascii="仿宋" w:hAnsi="仿宋" w:eastAsia="仿宋" w:cs="Arial"/>
          <w:b/>
          <w:color w:val="000000"/>
          <w:sz w:val="24"/>
          <w:szCs w:val="22"/>
          <w:u w:val="single"/>
        </w:rPr>
        <w:t>磋商小组认为磋商响应供应商的报价明显低于其他通过符合性审查的磋商响应供应商的报价</w:t>
      </w:r>
      <w:bookmarkStart w:id="150" w:name="_Hlk136872381"/>
      <w:r>
        <w:rPr>
          <w:rFonts w:hint="eastAsia" w:ascii="仿宋" w:hAnsi="仿宋" w:eastAsia="仿宋" w:cs="Arial"/>
          <w:b/>
          <w:color w:val="000000"/>
          <w:sz w:val="24"/>
          <w:szCs w:val="22"/>
          <w:u w:val="single"/>
        </w:rPr>
        <w:t>或报价低于最高限价50%的，</w:t>
      </w:r>
      <w:bookmarkEnd w:id="150"/>
      <w:r>
        <w:rPr>
          <w:rFonts w:hint="eastAsia" w:ascii="仿宋" w:hAnsi="仿宋" w:eastAsia="仿宋" w:cs="Arial"/>
          <w:b/>
          <w:color w:val="000000"/>
          <w:sz w:val="24"/>
          <w:szCs w:val="22"/>
          <w:u w:val="single"/>
        </w:rPr>
        <w:t>有可能影响产品质量或者不能诚信履约时，磋商响应供应商</w:t>
      </w:r>
      <w:r>
        <w:rPr>
          <w:rFonts w:ascii="仿宋" w:hAnsi="仿宋" w:eastAsia="仿宋" w:cs="Arial"/>
          <w:b/>
          <w:color w:val="000000"/>
          <w:sz w:val="24"/>
          <w:szCs w:val="22"/>
          <w:u w:val="single"/>
        </w:rPr>
        <w:t>不能</w:t>
      </w:r>
      <w:r>
        <w:rPr>
          <w:rFonts w:hint="eastAsia" w:ascii="仿宋" w:hAnsi="仿宋" w:eastAsia="仿宋" w:cs="Arial"/>
          <w:b/>
          <w:color w:val="000000"/>
          <w:sz w:val="24"/>
          <w:szCs w:val="22"/>
          <w:u w:val="single"/>
        </w:rPr>
        <w:t>在规</w:t>
      </w:r>
      <w:r>
        <w:rPr>
          <w:rFonts w:hint="eastAsia" w:ascii="仿宋" w:hAnsi="仿宋" w:eastAsia="仿宋" w:cs="仿宋"/>
          <w:b/>
          <w:color w:val="000000"/>
          <w:sz w:val="24"/>
          <w:szCs w:val="22"/>
          <w:u w:val="single"/>
        </w:rPr>
        <w:t>定的时间证明其报价合理性的</w:t>
      </w:r>
      <w:r>
        <w:rPr>
          <w:rFonts w:hint="eastAsia" w:ascii="仿宋" w:hAnsi="仿宋" w:eastAsia="仿宋" w:cs="仿宋"/>
          <w:b/>
          <w:color w:val="000000"/>
          <w:sz w:val="24"/>
          <w:szCs w:val="22"/>
        </w:rPr>
        <w:t>；</w:t>
      </w:r>
    </w:p>
    <w:p w14:paraId="7CB3A3A1">
      <w:pPr>
        <w:autoSpaceDE w:val="0"/>
        <w:autoSpaceDN w:val="0"/>
        <w:spacing w:line="358" w:lineRule="auto"/>
        <w:ind w:firstLine="424" w:firstLineChars="176"/>
        <w:rPr>
          <w:rFonts w:hint="eastAsia" w:ascii="仿宋" w:hAnsi="仿宋" w:eastAsia="仿宋" w:cs="仿宋"/>
          <w:b/>
          <w:color w:val="000000"/>
          <w:kern w:val="0"/>
          <w:sz w:val="24"/>
        </w:rPr>
      </w:pPr>
      <w:r>
        <w:rPr>
          <w:rFonts w:hint="eastAsia" w:ascii="仿宋" w:hAnsi="仿宋" w:eastAsia="仿宋" w:cs="仿宋"/>
          <w:b/>
          <w:color w:val="000000"/>
          <w:kern w:val="0"/>
          <w:sz w:val="24"/>
        </w:rPr>
        <w:t>（14）</w:t>
      </w:r>
      <w:r>
        <w:rPr>
          <w:rFonts w:hint="eastAsia" w:ascii="仿宋" w:hAnsi="仿宋" w:eastAsia="仿宋" w:cs="仿宋"/>
          <w:b/>
          <w:color w:val="000000"/>
          <w:kern w:val="0"/>
          <w:sz w:val="24"/>
          <w:u w:val="single"/>
        </w:rPr>
        <w:t>磋商响应文件含有采购人不能接受的附加条件的</w:t>
      </w:r>
      <w:r>
        <w:rPr>
          <w:rFonts w:hint="eastAsia" w:ascii="仿宋" w:hAnsi="仿宋" w:eastAsia="仿宋" w:cs="仿宋"/>
          <w:b/>
          <w:color w:val="000000"/>
          <w:kern w:val="0"/>
          <w:sz w:val="24"/>
        </w:rPr>
        <w:t>；</w:t>
      </w:r>
    </w:p>
    <w:p w14:paraId="6481B84E">
      <w:pPr>
        <w:autoSpaceDE w:val="0"/>
        <w:autoSpaceDN w:val="0"/>
        <w:spacing w:line="358" w:lineRule="auto"/>
        <w:ind w:firstLine="426" w:firstLineChars="177"/>
        <w:rPr>
          <w:rFonts w:hint="eastAsia" w:ascii="仿宋" w:hAnsi="仿宋" w:eastAsia="仿宋" w:cs="仿宋"/>
          <w:color w:val="000000"/>
          <w:w w:val="90"/>
          <w:kern w:val="0"/>
          <w:sz w:val="22"/>
          <w:szCs w:val="22"/>
        </w:rPr>
      </w:pPr>
      <w:r>
        <w:rPr>
          <w:rFonts w:hint="eastAsia" w:ascii="仿宋" w:hAnsi="仿宋" w:eastAsia="仿宋" w:cs="仿宋"/>
          <w:b/>
          <w:color w:val="000000"/>
          <w:kern w:val="0"/>
          <w:sz w:val="24"/>
        </w:rPr>
        <w:t>（15）</w:t>
      </w:r>
      <w:r>
        <w:rPr>
          <w:rFonts w:hint="eastAsia" w:ascii="仿宋" w:hAnsi="仿宋" w:eastAsia="仿宋" w:cs="仿宋"/>
          <w:b/>
          <w:color w:val="000000"/>
          <w:kern w:val="0"/>
          <w:sz w:val="24"/>
          <w:u w:val="single"/>
        </w:rPr>
        <w:t>存在法律、法规和磋商文件规定的其他无效情形的</w:t>
      </w:r>
      <w:r>
        <w:rPr>
          <w:rFonts w:hint="eastAsia" w:ascii="仿宋" w:hAnsi="仿宋" w:eastAsia="仿宋" w:cs="仿宋"/>
          <w:b/>
          <w:color w:val="000000"/>
          <w:kern w:val="0"/>
          <w:sz w:val="24"/>
        </w:rPr>
        <w:t>。</w:t>
      </w:r>
    </w:p>
    <w:p w14:paraId="496A323C">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2.3 磋商响应文件的磋商、澄清、说明或补正</w:t>
      </w:r>
    </w:p>
    <w:p w14:paraId="0A160F94">
      <w:pPr>
        <w:autoSpaceDE w:val="0"/>
        <w:autoSpaceDN w:val="0"/>
        <w:spacing w:line="360" w:lineRule="auto"/>
        <w:ind w:firstLine="424" w:firstLineChars="177"/>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2.3.1对于磋商响应文件中含义不明确、同类问题表述不一致或者有明显文字和计算错误的内容，</w:t>
      </w:r>
      <w:r>
        <w:rPr>
          <w:rFonts w:hint="eastAsia" w:ascii="仿宋" w:hAnsi="仿宋" w:eastAsia="仿宋" w:cs="仿宋"/>
          <w:b/>
          <w:color w:val="000000"/>
          <w:kern w:val="0"/>
          <w:sz w:val="24"/>
          <w:szCs w:val="22"/>
        </w:rPr>
        <w:t>磋商小组将通过“政府采购云平台”在线询标的方式</w:t>
      </w:r>
      <w:r>
        <w:rPr>
          <w:rFonts w:hint="eastAsia" w:ascii="仿宋" w:hAnsi="仿宋" w:eastAsia="仿宋" w:cs="仿宋"/>
          <w:color w:val="000000"/>
          <w:kern w:val="0"/>
          <w:sz w:val="24"/>
          <w:szCs w:val="22"/>
        </w:rPr>
        <w:t>要求磋商响应供应商在规定的时间内作出必要的澄清、说明或者补正，磋商响应供应商澄清、说明或补正时间为30分钟。</w:t>
      </w:r>
    </w:p>
    <w:p w14:paraId="0B6043D6">
      <w:pPr>
        <w:autoSpaceDE w:val="0"/>
        <w:autoSpaceDN w:val="0"/>
        <w:spacing w:line="360" w:lineRule="auto"/>
        <w:ind w:firstLine="424" w:firstLineChars="177"/>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2.3.2磋商响应供应商的澄清、说明或者补正应当通过“政府采购云平台”在线答复的方式提交，并加盖公章，或者其授权的代表签字。磋商响应供应商的澄清、说明或者补正不得超出磋商响应文件的范围或者改变磋商响应文件的实质性内容。</w:t>
      </w:r>
    </w:p>
    <w:p w14:paraId="07171C85">
      <w:pPr>
        <w:autoSpaceDE w:val="0"/>
        <w:autoSpaceDN w:val="0"/>
        <w:spacing w:line="360" w:lineRule="auto"/>
        <w:ind w:firstLine="424" w:firstLineChars="177"/>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其授权的代表签字），磋商响应供应商响应回复时间为30分钟。</w:t>
      </w:r>
    </w:p>
    <w:p w14:paraId="1CADE180">
      <w:pPr>
        <w:autoSpaceDE w:val="0"/>
        <w:autoSpaceDN w:val="0"/>
        <w:spacing w:line="360" w:lineRule="auto"/>
        <w:ind w:firstLine="424" w:firstLineChars="177"/>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2.3.4在磋商过程中，</w:t>
      </w:r>
      <w:r>
        <w:rPr>
          <w:rFonts w:hint="eastAsia" w:ascii="仿宋" w:hAnsi="仿宋" w:eastAsia="仿宋" w:cs="仿宋"/>
          <w:b/>
          <w:bCs/>
          <w:color w:val="000000"/>
          <w:kern w:val="0"/>
          <w:sz w:val="24"/>
          <w:szCs w:val="22"/>
        </w:rPr>
        <w:t>磋商小组可以根据磋商文件和磋商情况实质性变动采购需求中的技术、服务要求以及合同草案条款</w:t>
      </w:r>
      <w:r>
        <w:rPr>
          <w:rFonts w:hint="eastAsia" w:ascii="仿宋" w:hAnsi="仿宋" w:eastAsia="仿宋" w:cs="仿宋"/>
          <w:color w:val="000000"/>
          <w:kern w:val="0"/>
          <w:sz w:val="24"/>
          <w:szCs w:val="22"/>
        </w:rPr>
        <w:t>，但不得变动磋商文件中的其他内容。实质性变动的内容，须经采购人代表确认。</w:t>
      </w:r>
    </w:p>
    <w:p w14:paraId="55B0B467">
      <w:pPr>
        <w:autoSpaceDE w:val="0"/>
        <w:autoSpaceDN w:val="0"/>
        <w:spacing w:line="360" w:lineRule="auto"/>
        <w:ind w:firstLine="424" w:firstLineChars="177"/>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2.3.5对磋商文件作出的实质性变动是磋商文件的有效组成部分，磋商小组通过“政府采购云平台”在线询标的方式同时通知所有参加磋商的供应商。</w:t>
      </w:r>
    </w:p>
    <w:p w14:paraId="7705C980">
      <w:pPr>
        <w:autoSpaceDE w:val="0"/>
        <w:autoSpaceDN w:val="0"/>
        <w:spacing w:line="360" w:lineRule="auto"/>
        <w:ind w:firstLine="424" w:firstLineChars="177"/>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2.3.6按磋商程序规定开始并完成磋商。</w:t>
      </w:r>
    </w:p>
    <w:p w14:paraId="34103DE5">
      <w:pPr>
        <w:autoSpaceDE w:val="0"/>
        <w:autoSpaceDN w:val="0"/>
        <w:spacing w:line="360" w:lineRule="auto"/>
        <w:ind w:firstLine="424" w:firstLineChars="177"/>
        <w:rPr>
          <w:rFonts w:hint="eastAsia" w:ascii="仿宋" w:hAnsi="仿宋" w:eastAsia="仿宋" w:cs="仿宋"/>
          <w:color w:val="000000"/>
          <w:kern w:val="0"/>
          <w:sz w:val="24"/>
          <w:szCs w:val="22"/>
        </w:rPr>
      </w:pPr>
      <w:r>
        <w:rPr>
          <w:rFonts w:hint="eastAsia" w:ascii="仿宋" w:hAnsi="仿宋" w:eastAsia="仿宋" w:cs="仿宋"/>
          <w:color w:val="000000"/>
          <w:kern w:val="0"/>
          <w:sz w:val="24"/>
          <w:szCs w:val="22"/>
        </w:rPr>
        <w:t>2.3.7所有磋商结束后，确定提交最后报价的供应商名单，确定提交最后报价的时间，并告知相关供应商，要求在规定时间内（30分钟内）通过“政府采购云平台”在线上传最后报价（须加盖公章，或者由其授权的代表签字）。</w:t>
      </w:r>
    </w:p>
    <w:p w14:paraId="6E23408C">
      <w:pPr>
        <w:autoSpaceDE w:val="0"/>
        <w:autoSpaceDN w:val="0"/>
        <w:spacing w:line="360" w:lineRule="auto"/>
        <w:ind w:firstLine="426" w:firstLineChars="177"/>
        <w:rPr>
          <w:rFonts w:hint="eastAsia" w:ascii="仿宋" w:hAnsi="仿宋" w:eastAsia="仿宋" w:cs="仿宋"/>
        </w:rPr>
      </w:pPr>
      <w:r>
        <w:rPr>
          <w:rFonts w:hint="eastAsia" w:ascii="仿宋" w:hAnsi="仿宋" w:eastAsia="仿宋" w:cs="仿宋"/>
          <w:b/>
          <w:color w:val="000000"/>
          <w:kern w:val="0"/>
          <w:sz w:val="24"/>
          <w:szCs w:val="22"/>
        </w:rPr>
        <w:t>2.3.7上述询标、澄清、说明和补正工作如因客观原因无法通过“政府采购云平台”在线进行的，将采用书面（含邮件）形式进行。</w:t>
      </w:r>
    </w:p>
    <w:p w14:paraId="59702A34">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2.4 磋商响应文件的错误修正</w:t>
      </w:r>
    </w:p>
    <w:p w14:paraId="3F0FE3BC">
      <w:pPr>
        <w:autoSpaceDE w:val="0"/>
        <w:autoSpaceDN w:val="0"/>
        <w:spacing w:line="360" w:lineRule="auto"/>
        <w:ind w:firstLine="422" w:firstLineChars="175"/>
        <w:rPr>
          <w:rFonts w:hint="eastAsia" w:ascii="仿宋" w:hAnsi="仿宋" w:eastAsia="仿宋" w:cs="仿宋"/>
          <w:b/>
          <w:color w:val="000000"/>
          <w:kern w:val="0"/>
          <w:sz w:val="24"/>
          <w:szCs w:val="22"/>
        </w:rPr>
      </w:pPr>
      <w:r>
        <w:rPr>
          <w:rFonts w:hint="eastAsia" w:ascii="仿宋" w:hAnsi="仿宋" w:eastAsia="仿宋" w:cs="仿宋"/>
          <w:b/>
          <w:color w:val="000000"/>
          <w:kern w:val="0"/>
          <w:sz w:val="24"/>
        </w:rPr>
        <w:t>2.4.1</w:t>
      </w:r>
      <w:r>
        <w:rPr>
          <w:rFonts w:hint="eastAsia" w:ascii="仿宋" w:hAnsi="仿宋" w:eastAsia="仿宋" w:cs="仿宋"/>
          <w:b/>
          <w:color w:val="000000"/>
          <w:kern w:val="0"/>
          <w:sz w:val="24"/>
          <w:u w:val="single"/>
        </w:rPr>
        <w:t>《磋商响应文件》报价出现前后不一致的，按照下列规定修正</w:t>
      </w:r>
      <w:r>
        <w:rPr>
          <w:rFonts w:hint="eastAsia" w:ascii="仿宋" w:hAnsi="仿宋" w:eastAsia="仿宋" w:cs="仿宋"/>
          <w:b/>
          <w:color w:val="000000"/>
          <w:kern w:val="0"/>
          <w:sz w:val="24"/>
        </w:rPr>
        <w:t>：</w:t>
      </w:r>
    </w:p>
    <w:p w14:paraId="5FA06AC7">
      <w:pPr>
        <w:autoSpaceDE w:val="0"/>
        <w:autoSpaceDN w:val="0"/>
        <w:spacing w:line="360" w:lineRule="auto"/>
        <w:ind w:firstLine="422" w:firstLineChars="175"/>
        <w:rPr>
          <w:rFonts w:hint="eastAsia" w:ascii="仿宋" w:hAnsi="仿宋" w:eastAsia="仿宋" w:cs="仿宋"/>
          <w:color w:val="000000"/>
          <w:kern w:val="0"/>
          <w:sz w:val="24"/>
          <w:szCs w:val="22"/>
        </w:rPr>
      </w:pPr>
      <w:r>
        <w:rPr>
          <w:rFonts w:hint="eastAsia" w:ascii="仿宋" w:hAnsi="仿宋" w:eastAsia="仿宋" w:cs="仿宋"/>
          <w:b/>
          <w:color w:val="000000"/>
          <w:kern w:val="0"/>
          <w:sz w:val="24"/>
          <w:szCs w:val="22"/>
        </w:rPr>
        <w:t>（1）《磋商响应文件》中投标函与磋商响应文件中相应内容不一致的，以投标函为准</w:t>
      </w:r>
      <w:r>
        <w:rPr>
          <w:rFonts w:hint="eastAsia" w:ascii="仿宋" w:hAnsi="仿宋" w:eastAsia="仿宋" w:cs="仿宋"/>
          <w:color w:val="000000"/>
          <w:kern w:val="0"/>
          <w:sz w:val="24"/>
          <w:szCs w:val="22"/>
        </w:rPr>
        <w:t>。</w:t>
      </w:r>
    </w:p>
    <w:p w14:paraId="282D3913">
      <w:pPr>
        <w:autoSpaceDE w:val="0"/>
        <w:autoSpaceDN w:val="0"/>
        <w:spacing w:line="360" w:lineRule="auto"/>
        <w:ind w:firstLine="422" w:firstLineChars="175"/>
        <w:rPr>
          <w:rFonts w:hint="eastAsia" w:ascii="仿宋" w:hAnsi="仿宋" w:eastAsia="仿宋" w:cs="仿宋"/>
          <w:b/>
          <w:color w:val="000000"/>
          <w:kern w:val="0"/>
          <w:sz w:val="24"/>
          <w:szCs w:val="22"/>
        </w:rPr>
      </w:pPr>
      <w:r>
        <w:rPr>
          <w:rFonts w:hint="eastAsia" w:ascii="仿宋" w:hAnsi="仿宋" w:eastAsia="仿宋" w:cs="仿宋"/>
          <w:b/>
          <w:color w:val="000000"/>
          <w:kern w:val="0"/>
          <w:sz w:val="24"/>
          <w:szCs w:val="22"/>
        </w:rPr>
        <w:t>（2）大写金额和小写金额不一致的，以大写金额为准；</w:t>
      </w:r>
    </w:p>
    <w:p w14:paraId="69F34D24">
      <w:pPr>
        <w:autoSpaceDE w:val="0"/>
        <w:autoSpaceDN w:val="0"/>
        <w:spacing w:line="360" w:lineRule="auto"/>
        <w:ind w:firstLine="422" w:firstLineChars="175"/>
        <w:rPr>
          <w:rFonts w:hint="eastAsia" w:ascii="仿宋" w:hAnsi="仿宋" w:eastAsia="仿宋" w:cs="仿宋"/>
          <w:b/>
          <w:color w:val="000000"/>
          <w:kern w:val="0"/>
          <w:sz w:val="24"/>
          <w:szCs w:val="22"/>
        </w:rPr>
      </w:pPr>
      <w:r>
        <w:rPr>
          <w:rFonts w:hint="eastAsia" w:ascii="仿宋" w:hAnsi="仿宋" w:eastAsia="仿宋" w:cs="仿宋"/>
          <w:b/>
          <w:color w:val="000000"/>
          <w:kern w:val="0"/>
          <w:sz w:val="24"/>
          <w:szCs w:val="22"/>
        </w:rPr>
        <w:t>（3）单价金额小数点或者百分比有明显错位的，应以开标一览表（报价表）的总价为准，并修改单价；</w:t>
      </w:r>
    </w:p>
    <w:p w14:paraId="35E3439B">
      <w:pPr>
        <w:autoSpaceDE w:val="0"/>
        <w:autoSpaceDN w:val="0"/>
        <w:spacing w:line="360" w:lineRule="auto"/>
        <w:ind w:firstLine="422" w:firstLineChars="175"/>
        <w:rPr>
          <w:rFonts w:hint="eastAsia" w:ascii="仿宋" w:hAnsi="仿宋" w:eastAsia="仿宋" w:cs="仿宋"/>
          <w:color w:val="000000"/>
          <w:kern w:val="0"/>
          <w:sz w:val="24"/>
          <w:szCs w:val="22"/>
        </w:rPr>
      </w:pPr>
      <w:r>
        <w:rPr>
          <w:rFonts w:hint="eastAsia" w:ascii="仿宋" w:hAnsi="仿宋" w:eastAsia="仿宋" w:cs="仿宋"/>
          <w:b/>
          <w:color w:val="000000"/>
          <w:kern w:val="0"/>
          <w:sz w:val="24"/>
          <w:szCs w:val="22"/>
        </w:rPr>
        <w:t>（4）总价金额与按单价汇总金额不一致的，以单价金额计算结果为准。</w:t>
      </w:r>
    </w:p>
    <w:p w14:paraId="6AA56FDE">
      <w:pPr>
        <w:autoSpaceDE w:val="0"/>
        <w:autoSpaceDN w:val="0"/>
        <w:spacing w:line="360" w:lineRule="auto"/>
        <w:ind w:firstLine="422" w:firstLineChars="175"/>
        <w:rPr>
          <w:rFonts w:hint="eastAsia" w:ascii="仿宋" w:hAnsi="仿宋" w:eastAsia="仿宋" w:cs="仿宋"/>
          <w:b/>
          <w:color w:val="000000"/>
          <w:kern w:val="0"/>
          <w:sz w:val="24"/>
          <w:szCs w:val="22"/>
        </w:rPr>
      </w:pPr>
      <w:r>
        <w:rPr>
          <w:rFonts w:hint="eastAsia" w:ascii="仿宋" w:hAnsi="仿宋" w:eastAsia="仿宋" w:cs="仿宋"/>
          <w:b/>
          <w:color w:val="000000"/>
          <w:kern w:val="0"/>
          <w:sz w:val="24"/>
        </w:rPr>
        <w:t>备注：</w:t>
      </w:r>
      <w:r>
        <w:rPr>
          <w:rFonts w:hint="eastAsia" w:ascii="仿宋" w:hAnsi="仿宋" w:eastAsia="仿宋" w:cs="仿宋"/>
          <w:b/>
          <w:color w:val="000000"/>
          <w:kern w:val="0"/>
          <w:sz w:val="24"/>
          <w:u w:val="single"/>
        </w:rPr>
        <w:t>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仿宋"/>
          <w:b/>
          <w:color w:val="000000"/>
          <w:kern w:val="0"/>
          <w:sz w:val="24"/>
        </w:rPr>
        <w:t>。</w:t>
      </w:r>
    </w:p>
    <w:p w14:paraId="67C17A54">
      <w:pPr>
        <w:autoSpaceDE w:val="0"/>
        <w:autoSpaceDN w:val="0"/>
        <w:spacing w:line="360" w:lineRule="auto"/>
        <w:ind w:firstLine="422" w:firstLineChars="175"/>
        <w:rPr>
          <w:rFonts w:hint="eastAsia" w:ascii="仿宋" w:hAnsi="仿宋" w:eastAsia="仿宋" w:cs="仿宋"/>
          <w:b/>
          <w:color w:val="000000"/>
          <w:kern w:val="0"/>
          <w:sz w:val="24"/>
          <w:szCs w:val="22"/>
        </w:rPr>
      </w:pPr>
      <w:r>
        <w:rPr>
          <w:rFonts w:hint="eastAsia" w:ascii="仿宋" w:hAnsi="仿宋" w:eastAsia="仿宋" w:cs="仿宋"/>
          <w:b/>
          <w:color w:val="000000"/>
          <w:kern w:val="0"/>
          <w:sz w:val="24"/>
          <w:szCs w:val="22"/>
        </w:rPr>
        <w:t>2.4.2对不同文字文本《磋商响应文件》的解释发生异议的，以中文文本为准。</w:t>
      </w:r>
    </w:p>
    <w:p w14:paraId="047ECAD3">
      <w:pPr>
        <w:autoSpaceDE w:val="0"/>
        <w:autoSpaceDN w:val="0"/>
        <w:spacing w:line="360" w:lineRule="auto"/>
        <w:ind w:firstLine="422" w:firstLineChars="175"/>
        <w:rPr>
          <w:rFonts w:hint="eastAsia" w:ascii="仿宋" w:hAnsi="仿宋" w:eastAsia="仿宋" w:cs="仿宋"/>
          <w:color w:val="000000"/>
          <w:kern w:val="0"/>
          <w:sz w:val="24"/>
          <w:szCs w:val="22"/>
        </w:rPr>
      </w:pPr>
      <w:r>
        <w:rPr>
          <w:rFonts w:hint="eastAsia" w:ascii="仿宋" w:hAnsi="仿宋" w:eastAsia="仿宋" w:cs="仿宋"/>
          <w:b/>
          <w:color w:val="000000"/>
          <w:kern w:val="0"/>
          <w:sz w:val="24"/>
          <w:szCs w:val="22"/>
        </w:rPr>
        <w:t>2.4.3《磋商响应文件》要求提供正、副本时，正、副本内容不一致的，以正本为准。</w:t>
      </w:r>
    </w:p>
    <w:p w14:paraId="0F37C01F">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2.5 磋商响应文件的评价、评分</w:t>
      </w:r>
    </w:p>
    <w:p w14:paraId="68D212F7">
      <w:pPr>
        <w:autoSpaceDE w:val="0"/>
        <w:autoSpaceDN w:val="0"/>
        <w:spacing w:line="360" w:lineRule="auto"/>
        <w:ind w:firstLine="424" w:firstLineChars="177"/>
        <w:rPr>
          <w:rFonts w:hint="eastAsia" w:ascii="仿宋" w:hAnsi="仿宋" w:eastAsia="仿宋" w:cs="仿宋"/>
          <w:color w:val="000000"/>
          <w:kern w:val="0"/>
          <w:sz w:val="24"/>
        </w:rPr>
      </w:pPr>
      <w:r>
        <w:rPr>
          <w:rFonts w:hint="eastAsia" w:ascii="仿宋" w:hAnsi="仿宋" w:eastAsia="仿宋" w:cs="仿宋"/>
          <w:color w:val="000000"/>
          <w:kern w:val="0"/>
          <w:sz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14:paraId="5E2E864A">
      <w:pPr>
        <w:autoSpaceDE w:val="0"/>
        <w:autoSpaceDN w:val="0"/>
        <w:spacing w:line="360" w:lineRule="auto"/>
        <w:ind w:firstLine="424" w:firstLineChars="177"/>
        <w:rPr>
          <w:rFonts w:hint="eastAsia" w:ascii="仿宋" w:hAnsi="仿宋" w:eastAsia="仿宋" w:cs="仿宋"/>
          <w:color w:val="000000"/>
          <w:kern w:val="0"/>
          <w:sz w:val="24"/>
        </w:rPr>
      </w:pPr>
      <w:r>
        <w:rPr>
          <w:rFonts w:hint="eastAsia" w:ascii="仿宋" w:hAnsi="仿宋" w:eastAsia="仿宋" w:cs="仿宋"/>
          <w:color w:val="000000"/>
          <w:kern w:val="0"/>
          <w:sz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14:paraId="39E2A8B0">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2.6 修改评审结果</w:t>
      </w:r>
    </w:p>
    <w:p w14:paraId="476E3FAE">
      <w:pPr>
        <w:autoSpaceDE w:val="0"/>
        <w:autoSpaceDN w:val="0"/>
        <w:spacing w:line="360" w:lineRule="auto"/>
        <w:ind w:firstLine="424" w:firstLineChars="176"/>
        <w:rPr>
          <w:rFonts w:hint="eastAsia" w:ascii="仿宋" w:hAnsi="仿宋" w:eastAsia="仿宋" w:cs="仿宋"/>
          <w:b/>
          <w:color w:val="000000"/>
          <w:sz w:val="24"/>
          <w:szCs w:val="28"/>
        </w:rPr>
      </w:pPr>
      <w:r>
        <w:rPr>
          <w:rFonts w:hint="eastAsia" w:ascii="仿宋" w:hAnsi="仿宋" w:eastAsia="仿宋" w:cs="仿宋"/>
          <w:b/>
          <w:color w:val="000000"/>
          <w:sz w:val="24"/>
          <w:szCs w:val="28"/>
        </w:rPr>
        <w:t>2.6.1评标结果汇总完成后，除下列情形外，任何人不得修改评标结果：</w:t>
      </w:r>
    </w:p>
    <w:p w14:paraId="6B8DC495">
      <w:pPr>
        <w:autoSpaceDE w:val="0"/>
        <w:autoSpaceDN w:val="0"/>
        <w:spacing w:line="360" w:lineRule="auto"/>
        <w:ind w:firstLine="422" w:firstLineChars="176"/>
        <w:rPr>
          <w:rFonts w:hint="eastAsia" w:ascii="仿宋" w:hAnsi="仿宋" w:eastAsia="仿宋" w:cs="仿宋"/>
          <w:color w:val="000000"/>
          <w:sz w:val="24"/>
          <w:szCs w:val="28"/>
        </w:rPr>
      </w:pPr>
      <w:r>
        <w:rPr>
          <w:rFonts w:hint="eastAsia" w:ascii="仿宋" w:hAnsi="仿宋" w:eastAsia="仿宋" w:cs="仿宋"/>
          <w:color w:val="000000"/>
          <w:sz w:val="24"/>
          <w:szCs w:val="28"/>
        </w:rPr>
        <w:t>（1）分值汇总计算错误的；</w:t>
      </w:r>
    </w:p>
    <w:p w14:paraId="38BB882F">
      <w:pPr>
        <w:autoSpaceDE w:val="0"/>
        <w:autoSpaceDN w:val="0"/>
        <w:spacing w:line="360" w:lineRule="auto"/>
        <w:ind w:firstLine="422" w:firstLineChars="176"/>
        <w:rPr>
          <w:rFonts w:hint="eastAsia" w:ascii="仿宋" w:hAnsi="仿宋" w:eastAsia="仿宋" w:cs="仿宋"/>
          <w:color w:val="000000"/>
          <w:sz w:val="24"/>
          <w:szCs w:val="28"/>
        </w:rPr>
      </w:pPr>
      <w:r>
        <w:rPr>
          <w:rFonts w:hint="eastAsia" w:ascii="仿宋" w:hAnsi="仿宋" w:eastAsia="仿宋" w:cs="仿宋"/>
          <w:color w:val="000000"/>
          <w:sz w:val="24"/>
          <w:szCs w:val="28"/>
        </w:rPr>
        <w:t>（2）分项评分超出评分标准范围的；</w:t>
      </w:r>
    </w:p>
    <w:p w14:paraId="0D6436E3">
      <w:pPr>
        <w:autoSpaceDE w:val="0"/>
        <w:autoSpaceDN w:val="0"/>
        <w:spacing w:line="360" w:lineRule="auto"/>
        <w:ind w:firstLine="422" w:firstLineChars="176"/>
        <w:rPr>
          <w:rFonts w:hint="eastAsia" w:ascii="仿宋" w:hAnsi="仿宋" w:eastAsia="仿宋" w:cs="仿宋"/>
          <w:color w:val="000000"/>
          <w:sz w:val="24"/>
          <w:szCs w:val="28"/>
        </w:rPr>
      </w:pPr>
      <w:r>
        <w:rPr>
          <w:rFonts w:hint="eastAsia" w:ascii="仿宋" w:hAnsi="仿宋" w:eastAsia="仿宋" w:cs="仿宋"/>
          <w:color w:val="000000"/>
          <w:sz w:val="24"/>
          <w:szCs w:val="28"/>
        </w:rPr>
        <w:t>（3）磋商小组成员对客观评审因素评分不一致的；</w:t>
      </w:r>
    </w:p>
    <w:p w14:paraId="589A64B3">
      <w:pPr>
        <w:autoSpaceDE w:val="0"/>
        <w:autoSpaceDN w:val="0"/>
        <w:spacing w:line="360" w:lineRule="auto"/>
        <w:ind w:firstLine="422" w:firstLineChars="176"/>
        <w:rPr>
          <w:rFonts w:hint="eastAsia" w:ascii="仿宋" w:hAnsi="仿宋" w:eastAsia="仿宋" w:cs="仿宋"/>
          <w:color w:val="000000"/>
          <w:sz w:val="24"/>
          <w:szCs w:val="28"/>
        </w:rPr>
      </w:pPr>
      <w:r>
        <w:rPr>
          <w:rFonts w:hint="eastAsia" w:ascii="仿宋" w:hAnsi="仿宋" w:eastAsia="仿宋" w:cs="仿宋"/>
          <w:color w:val="000000"/>
          <w:sz w:val="24"/>
          <w:szCs w:val="28"/>
        </w:rPr>
        <w:t>（4）经磋商小组认定评分畸高、畸低的。</w:t>
      </w:r>
    </w:p>
    <w:p w14:paraId="361616BF">
      <w:pPr>
        <w:autoSpaceDE w:val="0"/>
        <w:autoSpaceDN w:val="0"/>
        <w:spacing w:line="360" w:lineRule="auto"/>
        <w:ind w:firstLine="424" w:firstLineChars="176"/>
        <w:rPr>
          <w:rFonts w:hint="eastAsia" w:ascii="仿宋" w:hAnsi="仿宋" w:eastAsia="仿宋" w:cs="仿宋"/>
          <w:b/>
          <w:color w:val="000000"/>
          <w:sz w:val="28"/>
          <w:szCs w:val="28"/>
        </w:rPr>
      </w:pPr>
      <w:r>
        <w:rPr>
          <w:rFonts w:hint="eastAsia" w:ascii="仿宋" w:hAnsi="仿宋" w:eastAsia="仿宋" w:cs="仿宋"/>
          <w:b/>
          <w:color w:val="000000"/>
          <w:sz w:val="24"/>
          <w:szCs w:val="28"/>
        </w:rPr>
        <w:t>2.6.2评标报告签署前，经复核发现存在以上情形之一的，磋商小组将当场修改评标结果，并在评标报告中记载。</w:t>
      </w:r>
    </w:p>
    <w:p w14:paraId="08737090">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2.7 供应商排序及推荐中标（成交）候选供应商</w:t>
      </w:r>
    </w:p>
    <w:p w14:paraId="4FB1E940">
      <w:pPr>
        <w:autoSpaceDE w:val="0"/>
        <w:autoSpaceDN w:val="0"/>
        <w:spacing w:line="360" w:lineRule="auto"/>
        <w:ind w:firstLine="424" w:firstLineChars="176"/>
        <w:rPr>
          <w:rFonts w:hint="eastAsia" w:ascii="仿宋" w:hAnsi="仿宋" w:eastAsia="仿宋" w:cs="仿宋"/>
          <w:b/>
          <w:color w:val="000000"/>
          <w:sz w:val="24"/>
        </w:rPr>
      </w:pPr>
      <w:r>
        <w:rPr>
          <w:rFonts w:hint="eastAsia" w:ascii="仿宋" w:hAnsi="仿宋" w:eastAsia="仿宋" w:cs="仿宋"/>
          <w:b/>
          <w:color w:val="000000"/>
          <w:sz w:val="24"/>
        </w:rPr>
        <w:t>磋商小组根据以下规定确定供应商排名并推荐中标（成交）候选供应商。</w:t>
      </w:r>
    </w:p>
    <w:p w14:paraId="774E2B24">
      <w:pPr>
        <w:autoSpaceDE w:val="0"/>
        <w:autoSpaceDN w:val="0"/>
        <w:spacing w:line="360" w:lineRule="auto"/>
        <w:ind w:firstLine="424" w:firstLineChars="176"/>
        <w:rPr>
          <w:rFonts w:hint="eastAsia" w:ascii="仿宋" w:hAnsi="仿宋" w:eastAsia="仿宋" w:cs="仿宋"/>
          <w:color w:val="000000"/>
          <w:kern w:val="0"/>
          <w:sz w:val="24"/>
          <w:szCs w:val="22"/>
        </w:rPr>
      </w:pPr>
      <w:r>
        <w:rPr>
          <w:rFonts w:hint="eastAsia" w:ascii="仿宋" w:hAnsi="仿宋" w:eastAsia="仿宋" w:cs="仿宋"/>
          <w:b/>
          <w:color w:val="000000"/>
          <w:sz w:val="24"/>
          <w:szCs w:val="22"/>
        </w:rPr>
        <w:t>2.7.1磋商小组根据各磋商响应供应商的综合得分（商务技术分与最后报价得分之和）从高到低依次进行排名排序。特殊情形按以下原则处理：</w:t>
      </w:r>
    </w:p>
    <w:p w14:paraId="0CD9FDB1">
      <w:pPr>
        <w:autoSpaceDE w:val="0"/>
        <w:autoSpaceDN w:val="0"/>
        <w:spacing w:line="360" w:lineRule="auto"/>
        <w:ind w:firstLine="422" w:firstLineChars="176"/>
        <w:rPr>
          <w:rFonts w:hint="eastAsia" w:ascii="仿宋" w:hAnsi="仿宋" w:eastAsia="仿宋" w:cs="仿宋"/>
          <w:color w:val="000000"/>
          <w:sz w:val="24"/>
          <w:szCs w:val="22"/>
        </w:rPr>
      </w:pPr>
      <w:r>
        <w:rPr>
          <w:rFonts w:hint="eastAsia" w:ascii="仿宋" w:hAnsi="仿宋" w:eastAsia="仿宋" w:cs="仿宋"/>
          <w:color w:val="000000"/>
          <w:sz w:val="24"/>
          <w:szCs w:val="22"/>
        </w:rPr>
        <w:t>（1）综合得分相同的，按最后报价低的优先原则确定排名；</w:t>
      </w:r>
    </w:p>
    <w:p w14:paraId="21E61B49">
      <w:pPr>
        <w:autoSpaceDE w:val="0"/>
        <w:autoSpaceDN w:val="0"/>
        <w:spacing w:line="360" w:lineRule="auto"/>
        <w:ind w:firstLine="422" w:firstLineChars="176"/>
        <w:rPr>
          <w:rFonts w:hint="eastAsia" w:ascii="仿宋" w:hAnsi="仿宋" w:eastAsia="仿宋" w:cs="仿宋"/>
          <w:color w:val="000000"/>
          <w:sz w:val="24"/>
          <w:szCs w:val="22"/>
        </w:rPr>
      </w:pPr>
      <w:r>
        <w:rPr>
          <w:rFonts w:hint="eastAsia" w:ascii="仿宋" w:hAnsi="仿宋" w:eastAsia="仿宋" w:cs="仿宋"/>
          <w:color w:val="000000"/>
          <w:sz w:val="24"/>
          <w:szCs w:val="22"/>
        </w:rPr>
        <w:t>（2）综合得分和最后报价均相同的，按商务技术得分从高到低确定排名；</w:t>
      </w:r>
    </w:p>
    <w:p w14:paraId="13B18AE7">
      <w:pPr>
        <w:autoSpaceDE w:val="0"/>
        <w:autoSpaceDN w:val="0"/>
        <w:spacing w:line="360" w:lineRule="auto"/>
        <w:ind w:firstLine="422" w:firstLineChars="176"/>
        <w:rPr>
          <w:rFonts w:hint="eastAsia" w:ascii="仿宋" w:hAnsi="仿宋" w:eastAsia="仿宋" w:cs="仿宋"/>
          <w:color w:val="000000"/>
          <w:sz w:val="24"/>
          <w:szCs w:val="22"/>
        </w:rPr>
      </w:pPr>
      <w:r>
        <w:rPr>
          <w:rFonts w:hint="eastAsia" w:ascii="仿宋" w:hAnsi="仿宋" w:eastAsia="仿宋" w:cs="仿宋"/>
          <w:color w:val="000000"/>
          <w:sz w:val="24"/>
          <w:szCs w:val="22"/>
        </w:rPr>
        <w:t>（3）综合得分、最后报价和商务技术得分均相同的由磋商小组全体成员记名投票按少数服从多数的原则确定排名。</w:t>
      </w:r>
    </w:p>
    <w:p w14:paraId="1D2A690E">
      <w:pPr>
        <w:autoSpaceDE w:val="0"/>
        <w:autoSpaceDN w:val="0"/>
        <w:spacing w:line="360" w:lineRule="auto"/>
        <w:ind w:firstLine="424" w:firstLineChars="176"/>
        <w:rPr>
          <w:rFonts w:hint="eastAsia" w:ascii="仿宋" w:hAnsi="仿宋" w:eastAsia="仿宋" w:cs="仿宋"/>
        </w:rPr>
      </w:pPr>
      <w:r>
        <w:rPr>
          <w:rFonts w:hint="eastAsia" w:ascii="仿宋" w:hAnsi="仿宋" w:eastAsia="仿宋" w:cs="仿宋"/>
          <w:b/>
          <w:color w:val="000000"/>
          <w:sz w:val="24"/>
          <w:szCs w:val="22"/>
        </w:rPr>
        <w:t>2.7.2根据最终得分排序，通过书面评审报告的形式，向采购人推荐综合得分由高到低顺序推荐3名以上</w:t>
      </w:r>
      <w:r>
        <w:rPr>
          <w:rFonts w:hint="eastAsia" w:ascii="仿宋" w:hAnsi="仿宋" w:eastAsia="仿宋" w:cs="仿宋"/>
          <w:b/>
          <w:color w:val="000000"/>
          <w:kern w:val="0"/>
          <w:sz w:val="24"/>
          <w:szCs w:val="22"/>
        </w:rPr>
        <w:t>中标（成交）候选供应商</w:t>
      </w:r>
      <w:r>
        <w:rPr>
          <w:rFonts w:hint="eastAsia" w:ascii="仿宋" w:hAnsi="仿宋" w:eastAsia="仿宋" w:cs="仿宋"/>
          <w:b/>
          <w:color w:val="000000"/>
          <w:sz w:val="24"/>
          <w:szCs w:val="22"/>
        </w:rPr>
        <w:t>。</w:t>
      </w:r>
    </w:p>
    <w:p w14:paraId="7F0D0D35">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2.8 起草、签署评审报告</w:t>
      </w:r>
    </w:p>
    <w:p w14:paraId="32C0A344">
      <w:pPr>
        <w:autoSpaceDE w:val="0"/>
        <w:autoSpaceDN w:val="0"/>
        <w:spacing w:line="360" w:lineRule="auto"/>
        <w:ind w:firstLine="424" w:firstLineChars="177"/>
        <w:rPr>
          <w:rFonts w:hint="eastAsia" w:ascii="仿宋" w:hAnsi="仿宋" w:eastAsia="仿宋" w:cs="仿宋"/>
          <w:color w:val="000000"/>
          <w:sz w:val="24"/>
        </w:rPr>
      </w:pPr>
      <w:r>
        <w:rPr>
          <w:rFonts w:hint="eastAsia" w:ascii="仿宋" w:hAnsi="仿宋" w:eastAsia="仿宋" w:cs="仿宋"/>
          <w:color w:val="000000"/>
          <w:sz w:val="24"/>
          <w:szCs w:val="22"/>
        </w:rPr>
        <w:t>评审结束后，磋商小组将通过“政府采购云平台”起草评审报告，</w:t>
      </w:r>
      <w:r>
        <w:rPr>
          <w:rFonts w:hint="eastAsia" w:ascii="仿宋" w:hAnsi="仿宋" w:eastAsia="仿宋" w:cs="仿宋"/>
          <w:color w:val="000000"/>
          <w:sz w:val="24"/>
        </w:rPr>
        <w:t>磋商小组成员应当在评审报告上签字（或加注电子签章），对自己的评审意见承担法律责任。对评审报告有异议的，应当在评审报告上签署不同意见，并说明理由，否则视为同意评审报告。</w:t>
      </w:r>
    </w:p>
    <w:p w14:paraId="234428AB">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2.9 重新评审</w:t>
      </w:r>
    </w:p>
    <w:p w14:paraId="08D8EE1C">
      <w:pPr>
        <w:autoSpaceDE w:val="0"/>
        <w:autoSpaceDN w:val="0"/>
        <w:spacing w:line="360" w:lineRule="auto"/>
        <w:ind w:firstLine="426" w:firstLineChars="177"/>
        <w:rPr>
          <w:rFonts w:hint="eastAsia" w:ascii="仿宋" w:hAnsi="仿宋" w:eastAsia="仿宋" w:cs="仿宋"/>
          <w:b/>
          <w:color w:val="000000"/>
          <w:sz w:val="24"/>
        </w:rPr>
      </w:pPr>
      <w:r>
        <w:rPr>
          <w:rFonts w:hint="eastAsia" w:ascii="仿宋" w:hAnsi="仿宋" w:eastAsia="仿宋" w:cs="仿宋"/>
          <w:b/>
          <w:color w:val="000000"/>
          <w:sz w:val="24"/>
        </w:rPr>
        <w:t>评审报告签署后，采购人或者采购代理机构发现存在下列情形之一的，将组织原磋商小组进行重新评审，重新评审改变评标结果的，将书面报告同级财政部门：</w:t>
      </w:r>
    </w:p>
    <w:p w14:paraId="05334E50">
      <w:pPr>
        <w:autoSpaceDE w:val="0"/>
        <w:autoSpaceDN w:val="0"/>
        <w:spacing w:line="360" w:lineRule="auto"/>
        <w:ind w:firstLine="422" w:firstLineChars="176"/>
        <w:rPr>
          <w:rFonts w:hint="eastAsia" w:ascii="仿宋" w:hAnsi="仿宋" w:eastAsia="仿宋" w:cs="仿宋"/>
          <w:color w:val="000000"/>
          <w:sz w:val="24"/>
          <w:szCs w:val="28"/>
        </w:rPr>
      </w:pPr>
      <w:r>
        <w:rPr>
          <w:rFonts w:hint="eastAsia" w:ascii="仿宋" w:hAnsi="仿宋" w:eastAsia="仿宋" w:cs="仿宋"/>
          <w:color w:val="000000"/>
          <w:sz w:val="24"/>
          <w:szCs w:val="28"/>
        </w:rPr>
        <w:t>（1）分值汇总计算错误的；</w:t>
      </w:r>
    </w:p>
    <w:p w14:paraId="1C501800">
      <w:pPr>
        <w:autoSpaceDE w:val="0"/>
        <w:autoSpaceDN w:val="0"/>
        <w:spacing w:line="360" w:lineRule="auto"/>
        <w:ind w:firstLine="422" w:firstLineChars="176"/>
        <w:rPr>
          <w:rFonts w:hint="eastAsia" w:ascii="仿宋" w:hAnsi="仿宋" w:eastAsia="仿宋" w:cs="仿宋"/>
          <w:color w:val="000000"/>
          <w:sz w:val="24"/>
          <w:szCs w:val="28"/>
        </w:rPr>
      </w:pPr>
      <w:r>
        <w:rPr>
          <w:rFonts w:hint="eastAsia" w:ascii="仿宋" w:hAnsi="仿宋" w:eastAsia="仿宋" w:cs="仿宋"/>
          <w:color w:val="000000"/>
          <w:sz w:val="24"/>
          <w:szCs w:val="28"/>
        </w:rPr>
        <w:t>（2）分项评分超出评分标准范围的；</w:t>
      </w:r>
    </w:p>
    <w:p w14:paraId="47B56FAC">
      <w:pPr>
        <w:autoSpaceDE w:val="0"/>
        <w:autoSpaceDN w:val="0"/>
        <w:spacing w:line="360" w:lineRule="auto"/>
        <w:ind w:firstLine="422" w:firstLineChars="176"/>
        <w:rPr>
          <w:rFonts w:hint="eastAsia" w:ascii="仿宋" w:hAnsi="仿宋" w:eastAsia="仿宋" w:cs="仿宋"/>
          <w:color w:val="000000"/>
          <w:sz w:val="24"/>
          <w:szCs w:val="28"/>
        </w:rPr>
      </w:pPr>
      <w:r>
        <w:rPr>
          <w:rFonts w:hint="eastAsia" w:ascii="仿宋" w:hAnsi="仿宋" w:eastAsia="仿宋" w:cs="仿宋"/>
          <w:color w:val="000000"/>
          <w:sz w:val="24"/>
          <w:szCs w:val="28"/>
        </w:rPr>
        <w:t>（3）磋商小组成员对客观评审因素评分不一致的；</w:t>
      </w:r>
    </w:p>
    <w:p w14:paraId="1689F1C1">
      <w:pPr>
        <w:autoSpaceDE w:val="0"/>
        <w:autoSpaceDN w:val="0"/>
        <w:spacing w:line="360" w:lineRule="auto"/>
        <w:ind w:firstLine="424" w:firstLineChars="177"/>
        <w:rPr>
          <w:rFonts w:hint="eastAsia" w:ascii="仿宋" w:hAnsi="仿宋" w:eastAsia="仿宋" w:cs="仿宋"/>
          <w:color w:val="000000"/>
          <w:sz w:val="24"/>
        </w:rPr>
      </w:pPr>
      <w:r>
        <w:rPr>
          <w:rFonts w:hint="eastAsia" w:ascii="仿宋" w:hAnsi="仿宋" w:eastAsia="仿宋" w:cs="仿宋"/>
          <w:color w:val="000000"/>
          <w:sz w:val="24"/>
          <w:szCs w:val="28"/>
        </w:rPr>
        <w:t>（4）经磋商小组认定评分畸高、畸低的。</w:t>
      </w:r>
    </w:p>
    <w:p w14:paraId="450C2B8A">
      <w:pPr>
        <w:pStyle w:val="3"/>
        <w:autoSpaceDE w:val="0"/>
        <w:autoSpaceDN w:val="0"/>
        <w:spacing w:before="360"/>
        <w:ind w:firstLine="0" w:firstLineChars="0"/>
        <w:rPr>
          <w:rFonts w:hint="eastAsia" w:ascii="Times New Roman" w:hAnsi="仿宋" w:eastAsia="仿宋"/>
          <w:sz w:val="28"/>
          <w:szCs w:val="28"/>
        </w:rPr>
      </w:pPr>
      <w:bookmarkStart w:id="151" w:name="_Toc482590099"/>
      <w:bookmarkStart w:id="152" w:name="_Toc30018"/>
      <w:bookmarkStart w:id="153" w:name="_Toc768"/>
      <w:bookmarkStart w:id="154" w:name="_Toc520824347"/>
      <w:r>
        <w:rPr>
          <w:rFonts w:hint="eastAsia" w:ascii="Times New Roman" w:hAnsi="仿宋" w:eastAsia="仿宋"/>
          <w:sz w:val="28"/>
          <w:szCs w:val="28"/>
        </w:rPr>
        <w:t>三、评分标准</w:t>
      </w:r>
      <w:bookmarkEnd w:id="151"/>
      <w:bookmarkEnd w:id="152"/>
      <w:bookmarkEnd w:id="153"/>
      <w:bookmarkEnd w:id="154"/>
    </w:p>
    <w:p w14:paraId="7EEF3056">
      <w:pPr>
        <w:keepNext/>
        <w:keepLines/>
        <w:autoSpaceDE w:val="0"/>
        <w:autoSpaceDN w:val="0"/>
        <w:spacing w:before="72" w:beforeLines="30" w:after="72" w:afterLines="30" w:line="360" w:lineRule="auto"/>
        <w:ind w:firstLine="283" w:firstLineChars="118"/>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3.1 商务技术分（</w:t>
      </w:r>
      <w:r>
        <w:rPr>
          <w:rFonts w:hint="eastAsia" w:ascii="华文中宋" w:hAnsi="华文中宋" w:eastAsia="华文中宋" w:cs="华文中宋"/>
          <w:b/>
          <w:bCs/>
          <w:sz w:val="24"/>
          <w:szCs w:val="32"/>
          <w:lang w:val="en-US" w:eastAsia="zh-CN"/>
        </w:rPr>
        <w:t>7</w:t>
      </w:r>
      <w:r>
        <w:rPr>
          <w:rFonts w:hint="eastAsia" w:ascii="华文中宋" w:hAnsi="华文中宋" w:eastAsia="华文中宋" w:cs="华文中宋"/>
          <w:b/>
          <w:bCs/>
          <w:sz w:val="24"/>
          <w:szCs w:val="32"/>
        </w:rPr>
        <w:t>0分）</w:t>
      </w:r>
    </w:p>
    <w:tbl>
      <w:tblPr>
        <w:tblStyle w:val="29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64"/>
        <w:gridCol w:w="628"/>
        <w:gridCol w:w="930"/>
      </w:tblGrid>
      <w:tr w14:paraId="1B6A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98" w:type="dxa"/>
            <w:vAlign w:val="center"/>
          </w:tcPr>
          <w:p w14:paraId="35FB6915">
            <w:pPr>
              <w:widowControl/>
              <w:autoSpaceDE w:val="0"/>
              <w:autoSpaceDN w:val="0"/>
              <w:adjustRightInd/>
              <w:snapToGrid w:val="0"/>
              <w:jc w:val="center"/>
              <w:textAlignment w:val="bottom"/>
              <w:rPr>
                <w:rFonts w:hint="eastAsia" w:ascii="仿宋" w:hAnsi="仿宋" w:eastAsia="仿宋" w:cs="仿宋"/>
                <w:kern w:val="0"/>
                <w:szCs w:val="21"/>
              </w:rPr>
            </w:pPr>
            <w:r>
              <w:rPr>
                <w:rFonts w:hint="eastAsia" w:ascii="仿宋" w:hAnsi="仿宋" w:eastAsia="仿宋" w:cs="仿宋"/>
                <w:b/>
                <w:bCs/>
                <w:kern w:val="0"/>
                <w:szCs w:val="21"/>
              </w:rPr>
              <w:t>序号</w:t>
            </w:r>
          </w:p>
        </w:tc>
        <w:tc>
          <w:tcPr>
            <w:tcW w:w="6964" w:type="dxa"/>
            <w:vAlign w:val="center"/>
          </w:tcPr>
          <w:p w14:paraId="22A32D93">
            <w:pPr>
              <w:widowControl/>
              <w:autoSpaceDE w:val="0"/>
              <w:autoSpaceDN w:val="0"/>
              <w:adjustRightInd/>
              <w:snapToGrid w:val="0"/>
              <w:jc w:val="center"/>
              <w:textAlignment w:val="bottom"/>
              <w:rPr>
                <w:rFonts w:hint="eastAsia" w:ascii="仿宋" w:hAnsi="仿宋" w:eastAsia="仿宋" w:cs="仿宋"/>
                <w:kern w:val="0"/>
                <w:szCs w:val="21"/>
              </w:rPr>
            </w:pPr>
            <w:r>
              <w:rPr>
                <w:rFonts w:hint="eastAsia" w:ascii="仿宋" w:hAnsi="仿宋" w:eastAsia="仿宋" w:cs="仿宋"/>
                <w:b/>
                <w:bCs/>
                <w:kern w:val="0"/>
                <w:szCs w:val="21"/>
              </w:rPr>
              <w:t>评审细则</w:t>
            </w:r>
          </w:p>
        </w:tc>
        <w:tc>
          <w:tcPr>
            <w:tcW w:w="628" w:type="dxa"/>
            <w:vAlign w:val="center"/>
          </w:tcPr>
          <w:p w14:paraId="7AE45F8A">
            <w:pPr>
              <w:widowControl/>
              <w:autoSpaceDE w:val="0"/>
              <w:autoSpaceDN w:val="0"/>
              <w:adjustRightInd/>
              <w:snapToGrid w:val="0"/>
              <w:jc w:val="center"/>
              <w:textAlignment w:val="bottom"/>
              <w:rPr>
                <w:rFonts w:hint="eastAsia" w:ascii="仿宋" w:hAnsi="仿宋" w:eastAsia="仿宋" w:cs="仿宋"/>
                <w:kern w:val="0"/>
                <w:szCs w:val="21"/>
              </w:rPr>
            </w:pPr>
            <w:r>
              <w:rPr>
                <w:rFonts w:hint="eastAsia" w:ascii="仿宋" w:hAnsi="仿宋" w:eastAsia="仿宋" w:cs="仿宋"/>
                <w:b/>
                <w:bCs/>
                <w:kern w:val="0"/>
                <w:szCs w:val="21"/>
              </w:rPr>
              <w:t>分值</w:t>
            </w:r>
          </w:p>
        </w:tc>
        <w:tc>
          <w:tcPr>
            <w:tcW w:w="930" w:type="dxa"/>
            <w:vAlign w:val="center"/>
          </w:tcPr>
          <w:p w14:paraId="6B5F4292">
            <w:pPr>
              <w:widowControl/>
              <w:autoSpaceDE w:val="0"/>
              <w:autoSpaceDN w:val="0"/>
              <w:adjustRightInd/>
              <w:snapToGrid w:val="0"/>
              <w:jc w:val="center"/>
              <w:textAlignment w:val="bottom"/>
              <w:rPr>
                <w:rFonts w:hint="eastAsia" w:ascii="仿宋" w:hAnsi="仿宋" w:eastAsia="仿宋" w:cs="仿宋"/>
                <w:b/>
                <w:bCs/>
                <w:kern w:val="0"/>
                <w:szCs w:val="21"/>
              </w:rPr>
            </w:pPr>
            <w:r>
              <w:rPr>
                <w:rFonts w:hint="eastAsia" w:ascii="仿宋" w:hAnsi="仿宋" w:eastAsia="仿宋" w:cs="仿宋"/>
                <w:b/>
                <w:bCs/>
                <w:kern w:val="0"/>
                <w:szCs w:val="21"/>
              </w:rPr>
              <w:t>说明</w:t>
            </w:r>
          </w:p>
        </w:tc>
      </w:tr>
      <w:tr w14:paraId="53E4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14:paraId="536C796D">
            <w:pPr>
              <w:widowControl/>
              <w:autoSpaceDE w:val="0"/>
              <w:autoSpaceDN w:val="0"/>
              <w:adjustRightInd/>
              <w:snapToGrid w:val="0"/>
              <w:jc w:val="center"/>
              <w:textAlignment w:val="bottom"/>
              <w:rPr>
                <w:rFonts w:hint="eastAsia" w:ascii="仿宋" w:hAnsi="仿宋" w:eastAsia="仿宋" w:cs="仿宋"/>
                <w:b/>
                <w:bCs/>
                <w:kern w:val="0"/>
                <w:szCs w:val="21"/>
              </w:rPr>
            </w:pPr>
            <w:r>
              <w:rPr>
                <w:rFonts w:hint="eastAsia" w:ascii="仿宋" w:hAnsi="仿宋" w:eastAsia="仿宋" w:cs="仿宋"/>
                <w:b/>
                <w:bCs/>
                <w:kern w:val="0"/>
                <w:szCs w:val="21"/>
              </w:rPr>
              <w:t>1</w:t>
            </w:r>
          </w:p>
        </w:tc>
        <w:tc>
          <w:tcPr>
            <w:tcW w:w="8522" w:type="dxa"/>
            <w:gridSpan w:val="3"/>
            <w:vAlign w:val="center"/>
          </w:tcPr>
          <w:p w14:paraId="57544ADB">
            <w:pPr>
              <w:widowControl/>
              <w:autoSpaceDE w:val="0"/>
              <w:autoSpaceDN w:val="0"/>
              <w:adjustRightInd/>
              <w:snapToGrid w:val="0"/>
              <w:jc w:val="left"/>
              <w:textAlignment w:val="bottom"/>
              <w:rPr>
                <w:rFonts w:hint="eastAsia" w:ascii="仿宋" w:hAnsi="仿宋" w:eastAsia="仿宋" w:cs="仿宋"/>
                <w:b/>
                <w:bCs/>
                <w:kern w:val="0"/>
                <w:szCs w:val="21"/>
              </w:rPr>
            </w:pPr>
            <w:r>
              <w:rPr>
                <w:rFonts w:hint="eastAsia" w:ascii="仿宋" w:hAnsi="仿宋" w:eastAsia="仿宋" w:cs="Arial"/>
                <w:b/>
                <w:bCs/>
                <w:szCs w:val="21"/>
              </w:rPr>
              <w:t>项目业绩情况（以下业绩不重复计分）</w:t>
            </w:r>
          </w:p>
        </w:tc>
      </w:tr>
      <w:tr w14:paraId="7E55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14:paraId="43C5DF6E">
            <w:pPr>
              <w:autoSpaceDE w:val="0"/>
              <w:autoSpaceDN w:val="0"/>
              <w:adjustRightInd/>
              <w:snapToGrid w:val="0"/>
              <w:jc w:val="center"/>
              <w:rPr>
                <w:rFonts w:hint="eastAsia" w:ascii="仿宋" w:hAnsi="仿宋" w:eastAsia="仿宋" w:cs="Arial"/>
                <w:szCs w:val="21"/>
              </w:rPr>
            </w:pPr>
            <w:r>
              <w:rPr>
                <w:rFonts w:hint="eastAsia" w:ascii="仿宋" w:hAnsi="仿宋" w:eastAsia="仿宋" w:cs="Arial"/>
                <w:szCs w:val="21"/>
              </w:rPr>
              <w:t>1.1</w:t>
            </w:r>
          </w:p>
        </w:tc>
        <w:tc>
          <w:tcPr>
            <w:tcW w:w="6964" w:type="dxa"/>
            <w:vAlign w:val="center"/>
          </w:tcPr>
          <w:p w14:paraId="606F047E">
            <w:pPr>
              <w:autoSpaceDE w:val="0"/>
              <w:autoSpaceDN w:val="0"/>
              <w:adjustRightInd w:val="0"/>
              <w:snapToGrid w:val="0"/>
              <w:spacing w:before="60" w:beforeLines="25" w:after="60" w:afterLines="25"/>
              <w:jc w:val="left"/>
              <w:rPr>
                <w:rFonts w:hint="eastAsia" w:ascii="仿宋" w:hAnsi="仿宋" w:eastAsia="仿宋" w:cs="Arial"/>
                <w:szCs w:val="21"/>
              </w:rPr>
            </w:pPr>
            <w:r>
              <w:rPr>
                <w:rFonts w:hint="eastAsia" w:ascii="仿宋" w:hAnsi="仿宋" w:eastAsia="仿宋" w:cs="Arial"/>
                <w:szCs w:val="21"/>
              </w:rPr>
              <w:t>磋商供应商（或联合体成员）自2022年1月1日以来具有类似项目业绩的每个得0.25分，最多得0.5分。（同时提供施工合同及竣工验收报告扫描件，时间以合同签订日期为准，未提供则不给分。）</w:t>
            </w:r>
          </w:p>
        </w:tc>
        <w:tc>
          <w:tcPr>
            <w:tcW w:w="628" w:type="dxa"/>
            <w:vAlign w:val="center"/>
          </w:tcPr>
          <w:p w14:paraId="29F58702">
            <w:pPr>
              <w:autoSpaceDE w:val="0"/>
              <w:autoSpaceDN w:val="0"/>
              <w:adjustRightInd w:val="0"/>
              <w:snapToGrid w:val="0"/>
              <w:spacing w:before="60" w:beforeLines="25" w:after="60" w:afterLines="25"/>
              <w:jc w:val="center"/>
              <w:rPr>
                <w:rFonts w:hint="eastAsia" w:ascii="仿宋" w:hAnsi="仿宋" w:eastAsia="仿宋" w:cs="Arial"/>
                <w:szCs w:val="21"/>
              </w:rPr>
            </w:pPr>
            <w:r>
              <w:rPr>
                <w:rFonts w:hint="eastAsia" w:ascii="仿宋" w:hAnsi="仿宋" w:eastAsia="仿宋" w:cs="Arial"/>
                <w:szCs w:val="21"/>
              </w:rPr>
              <w:t>0.5</w:t>
            </w:r>
          </w:p>
        </w:tc>
        <w:tc>
          <w:tcPr>
            <w:tcW w:w="930" w:type="dxa"/>
            <w:vAlign w:val="center"/>
          </w:tcPr>
          <w:p w14:paraId="36A99A96">
            <w:pPr>
              <w:autoSpaceDE w:val="0"/>
              <w:autoSpaceDN w:val="0"/>
              <w:adjustRightInd w:val="0"/>
              <w:snapToGrid w:val="0"/>
              <w:jc w:val="center"/>
              <w:rPr>
                <w:rFonts w:hint="eastAsia" w:ascii="仿宋" w:hAnsi="仿宋" w:eastAsia="仿宋" w:cs="Arial"/>
                <w:szCs w:val="21"/>
              </w:rPr>
            </w:pPr>
            <w:r>
              <w:rPr>
                <w:rFonts w:hint="eastAsia" w:ascii="仿宋" w:hAnsi="仿宋" w:eastAsia="仿宋" w:cs="Arial"/>
                <w:szCs w:val="21"/>
              </w:rPr>
              <w:t>客观分</w:t>
            </w:r>
          </w:p>
        </w:tc>
      </w:tr>
      <w:tr w14:paraId="3E50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14:paraId="2A36CC20">
            <w:pPr>
              <w:autoSpaceDE w:val="0"/>
              <w:autoSpaceDN w:val="0"/>
              <w:adjustRightInd/>
              <w:snapToGrid w:val="0"/>
              <w:jc w:val="center"/>
              <w:rPr>
                <w:rFonts w:hint="eastAsia" w:ascii="仿宋" w:hAnsi="仿宋" w:eastAsia="仿宋" w:cs="Arial"/>
                <w:szCs w:val="21"/>
              </w:rPr>
            </w:pPr>
            <w:r>
              <w:rPr>
                <w:rFonts w:hint="eastAsia" w:ascii="仿宋" w:hAnsi="仿宋" w:eastAsia="仿宋" w:cs="Arial"/>
                <w:szCs w:val="21"/>
              </w:rPr>
              <w:t>1.2</w:t>
            </w:r>
          </w:p>
        </w:tc>
        <w:tc>
          <w:tcPr>
            <w:tcW w:w="6964" w:type="dxa"/>
            <w:vAlign w:val="center"/>
          </w:tcPr>
          <w:p w14:paraId="61FC379A">
            <w:pPr>
              <w:autoSpaceDE w:val="0"/>
              <w:autoSpaceDN w:val="0"/>
              <w:adjustRightInd w:val="0"/>
              <w:snapToGrid w:val="0"/>
              <w:spacing w:before="60" w:beforeLines="25" w:after="60" w:afterLines="25"/>
              <w:jc w:val="left"/>
              <w:rPr>
                <w:rFonts w:hint="eastAsia" w:ascii="仿宋" w:hAnsi="仿宋" w:eastAsia="仿宋" w:cs="Arial"/>
                <w:szCs w:val="21"/>
              </w:rPr>
            </w:pPr>
            <w:r>
              <w:rPr>
                <w:rFonts w:hint="eastAsia" w:ascii="仿宋" w:hAnsi="仿宋" w:eastAsia="仿宋" w:cs="Arial"/>
                <w:szCs w:val="21"/>
              </w:rPr>
              <w:t>拟派项目经理自2022年1月1日以来以项目经理身份承担过类似项目业绩的，每个得0.5分，最多得</w:t>
            </w:r>
            <w:r>
              <w:rPr>
                <w:rFonts w:hint="eastAsia" w:ascii="仿宋" w:hAnsi="仿宋" w:eastAsia="仿宋" w:cs="Arial"/>
                <w:szCs w:val="21"/>
                <w:lang w:val="en-US" w:eastAsia="zh-CN"/>
              </w:rPr>
              <w:t>1</w:t>
            </w:r>
            <w:r>
              <w:rPr>
                <w:rFonts w:hint="eastAsia" w:ascii="仿宋" w:hAnsi="仿宋" w:eastAsia="仿宋" w:cs="Arial"/>
                <w:szCs w:val="21"/>
              </w:rPr>
              <w:t>分。（同时提供合同及竣工验收报告扫描件，时间以合同签订日期为准，未提供则不给分。）</w:t>
            </w:r>
          </w:p>
        </w:tc>
        <w:tc>
          <w:tcPr>
            <w:tcW w:w="628" w:type="dxa"/>
            <w:vAlign w:val="center"/>
          </w:tcPr>
          <w:p w14:paraId="76ECC011">
            <w:pPr>
              <w:autoSpaceDE w:val="0"/>
              <w:autoSpaceDN w:val="0"/>
              <w:adjustRightInd w:val="0"/>
              <w:snapToGrid w:val="0"/>
              <w:spacing w:before="60" w:beforeLines="25" w:after="60" w:afterLines="25"/>
              <w:jc w:val="center"/>
              <w:rPr>
                <w:rFonts w:hint="default" w:ascii="仿宋" w:hAnsi="仿宋" w:eastAsia="仿宋" w:cs="Arial"/>
                <w:szCs w:val="21"/>
                <w:lang w:val="en-US" w:eastAsia="zh-CN"/>
              </w:rPr>
            </w:pPr>
            <w:r>
              <w:rPr>
                <w:rFonts w:hint="eastAsia" w:ascii="仿宋" w:hAnsi="仿宋" w:eastAsia="仿宋" w:cs="Arial"/>
                <w:szCs w:val="21"/>
                <w:lang w:val="en-US" w:eastAsia="zh-CN"/>
              </w:rPr>
              <w:t>1</w:t>
            </w:r>
          </w:p>
        </w:tc>
        <w:tc>
          <w:tcPr>
            <w:tcW w:w="930" w:type="dxa"/>
            <w:vAlign w:val="center"/>
          </w:tcPr>
          <w:p w14:paraId="6FF4F4BD">
            <w:pPr>
              <w:autoSpaceDE w:val="0"/>
              <w:autoSpaceDN w:val="0"/>
              <w:adjustRightInd w:val="0"/>
              <w:snapToGrid w:val="0"/>
              <w:jc w:val="center"/>
              <w:rPr>
                <w:rFonts w:hint="eastAsia" w:ascii="仿宋" w:hAnsi="仿宋" w:eastAsia="仿宋" w:cs="Arial"/>
                <w:szCs w:val="21"/>
              </w:rPr>
            </w:pPr>
            <w:r>
              <w:rPr>
                <w:rFonts w:hint="eastAsia" w:ascii="仿宋" w:hAnsi="仿宋" w:eastAsia="仿宋" w:cs="Arial"/>
                <w:szCs w:val="21"/>
              </w:rPr>
              <w:t>客观分</w:t>
            </w:r>
          </w:p>
        </w:tc>
      </w:tr>
      <w:tr w14:paraId="39CA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98" w:type="dxa"/>
            <w:vAlign w:val="center"/>
          </w:tcPr>
          <w:p w14:paraId="01ABAA37">
            <w:pPr>
              <w:autoSpaceDE w:val="0"/>
              <w:autoSpaceDN w:val="0"/>
              <w:adjustRightInd/>
              <w:snapToGrid w:val="0"/>
              <w:jc w:val="center"/>
              <w:rPr>
                <w:rFonts w:hint="eastAsia" w:ascii="仿宋" w:hAnsi="仿宋" w:eastAsia="仿宋" w:cs="Arial"/>
                <w:szCs w:val="21"/>
              </w:rPr>
            </w:pPr>
            <w:r>
              <w:rPr>
                <w:rFonts w:hint="eastAsia" w:ascii="仿宋" w:hAnsi="仿宋" w:eastAsia="仿宋" w:cs="Arial"/>
                <w:szCs w:val="21"/>
              </w:rPr>
              <w:t>2</w:t>
            </w:r>
          </w:p>
        </w:tc>
        <w:tc>
          <w:tcPr>
            <w:tcW w:w="6964" w:type="dxa"/>
            <w:vAlign w:val="center"/>
          </w:tcPr>
          <w:p w14:paraId="630D6175">
            <w:pPr>
              <w:autoSpaceDE w:val="0"/>
              <w:autoSpaceDN w:val="0"/>
              <w:adjustRightInd w:val="0"/>
              <w:snapToGrid w:val="0"/>
              <w:spacing w:before="60" w:beforeLines="25" w:after="60" w:afterLines="25"/>
              <w:jc w:val="left"/>
              <w:rPr>
                <w:rFonts w:hint="eastAsia" w:ascii="仿宋" w:hAnsi="仿宋" w:eastAsia="仿宋" w:cs="Arial"/>
                <w:szCs w:val="21"/>
              </w:rPr>
            </w:pPr>
            <w:r>
              <w:rPr>
                <w:rFonts w:hint="eastAsia" w:ascii="仿宋" w:hAnsi="仿宋" w:eastAsia="仿宋" w:cs="Arial"/>
                <w:szCs w:val="21"/>
              </w:rPr>
              <w:t>供应商具有有效期内的质量管理体系认证证书、环境管理体系认证证书、职业健康安全管理体系认证证书的，每项得0.5分，本项最多1.5分，未提供不得分；</w:t>
            </w:r>
          </w:p>
          <w:p w14:paraId="435DDC2D">
            <w:pPr>
              <w:autoSpaceDE w:val="0"/>
              <w:autoSpaceDN w:val="0"/>
              <w:adjustRightInd w:val="0"/>
              <w:snapToGrid w:val="0"/>
              <w:spacing w:before="60" w:beforeLines="25" w:after="60" w:afterLines="25"/>
              <w:jc w:val="left"/>
              <w:rPr>
                <w:rFonts w:hint="default" w:ascii="仿宋" w:hAnsi="仿宋" w:eastAsia="仿宋" w:cs="Arial"/>
                <w:szCs w:val="21"/>
                <w:lang w:val="en-US" w:eastAsia="zh-CN"/>
              </w:rPr>
            </w:pPr>
            <w:r>
              <w:rPr>
                <w:rFonts w:hint="eastAsia" w:ascii="仿宋" w:hAnsi="仿宋" w:eastAsia="仿宋" w:cs="Arial"/>
                <w:szCs w:val="21"/>
              </w:rPr>
              <w:t>注：需提供相关认证证书扫描件及www.cnca.gov.cn“认证结果”查询截图并加盖公章，否则不得分。</w:t>
            </w:r>
            <w:r>
              <w:rPr>
                <w:rFonts w:hint="eastAsia" w:ascii="仿宋" w:hAnsi="仿宋" w:eastAsia="仿宋" w:cs="Arial"/>
                <w:szCs w:val="21"/>
                <w:lang w:val="en-US" w:eastAsia="zh-CN"/>
              </w:rPr>
              <w:t>联合体投标的，联合体各方均需提供。</w:t>
            </w:r>
          </w:p>
        </w:tc>
        <w:tc>
          <w:tcPr>
            <w:tcW w:w="628" w:type="dxa"/>
            <w:vAlign w:val="center"/>
          </w:tcPr>
          <w:p w14:paraId="6F2B1C68">
            <w:pPr>
              <w:autoSpaceDE w:val="0"/>
              <w:autoSpaceDN w:val="0"/>
              <w:adjustRightInd/>
              <w:snapToGrid w:val="0"/>
              <w:spacing w:line="360" w:lineRule="auto"/>
              <w:jc w:val="center"/>
              <w:rPr>
                <w:rFonts w:hint="eastAsia" w:ascii="仿宋" w:hAnsi="仿宋" w:eastAsia="仿宋" w:cs="Arial"/>
                <w:szCs w:val="21"/>
              </w:rPr>
            </w:pPr>
            <w:r>
              <w:rPr>
                <w:rFonts w:hint="eastAsia" w:ascii="仿宋" w:hAnsi="仿宋" w:eastAsia="仿宋" w:cs="Arial"/>
                <w:szCs w:val="21"/>
              </w:rPr>
              <w:t>1.5</w:t>
            </w:r>
          </w:p>
        </w:tc>
        <w:tc>
          <w:tcPr>
            <w:tcW w:w="930" w:type="dxa"/>
            <w:vAlign w:val="center"/>
          </w:tcPr>
          <w:p w14:paraId="7BBFC2B2">
            <w:pPr>
              <w:autoSpaceDE w:val="0"/>
              <w:autoSpaceDN w:val="0"/>
              <w:adjustRightInd/>
              <w:snapToGrid w:val="0"/>
              <w:spacing w:line="360" w:lineRule="auto"/>
              <w:jc w:val="center"/>
              <w:rPr>
                <w:rFonts w:hint="eastAsia" w:ascii="仿宋" w:hAnsi="仿宋" w:eastAsia="仿宋" w:cs="Arial"/>
                <w:szCs w:val="21"/>
              </w:rPr>
            </w:pPr>
            <w:r>
              <w:rPr>
                <w:rFonts w:hint="eastAsia" w:ascii="仿宋" w:hAnsi="仿宋" w:eastAsia="仿宋" w:cs="Arial"/>
                <w:szCs w:val="21"/>
              </w:rPr>
              <w:t>客观分</w:t>
            </w:r>
          </w:p>
        </w:tc>
      </w:tr>
      <w:tr w14:paraId="07E8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8" w:type="dxa"/>
            <w:shd w:val="clear" w:color="auto" w:fill="auto"/>
            <w:vAlign w:val="center"/>
          </w:tcPr>
          <w:p w14:paraId="36A1F0CD">
            <w:pPr>
              <w:autoSpaceDE w:val="0"/>
              <w:autoSpaceDN w:val="0"/>
              <w:adjustRightInd/>
              <w:snapToGrid w:val="0"/>
              <w:jc w:val="center"/>
              <w:rPr>
                <w:rFonts w:hint="default" w:ascii="仿宋" w:hAnsi="仿宋" w:eastAsia="仿宋" w:cs="Arial"/>
                <w:color w:val="auto"/>
                <w:kern w:val="2"/>
                <w:sz w:val="21"/>
                <w:szCs w:val="21"/>
                <w:lang w:val="en-US" w:eastAsia="zh-CN" w:bidi="ar-SA"/>
              </w:rPr>
            </w:pPr>
            <w:r>
              <w:rPr>
                <w:rFonts w:hint="eastAsia" w:ascii="仿宋" w:hAnsi="仿宋" w:eastAsia="仿宋" w:cs="Arial"/>
                <w:color w:val="auto"/>
                <w:kern w:val="2"/>
                <w:sz w:val="21"/>
                <w:szCs w:val="21"/>
                <w:lang w:val="en-US" w:eastAsia="zh-CN" w:bidi="ar-SA"/>
              </w:rPr>
              <w:t>3</w:t>
            </w:r>
          </w:p>
        </w:tc>
        <w:tc>
          <w:tcPr>
            <w:tcW w:w="6964" w:type="dxa"/>
            <w:shd w:val="clear" w:color="auto" w:fill="auto"/>
            <w:vAlign w:val="center"/>
          </w:tcPr>
          <w:p w14:paraId="76B68EB8">
            <w:pPr>
              <w:autoSpaceDE w:val="0"/>
              <w:autoSpaceDN w:val="0"/>
              <w:adjustRightInd w:val="0"/>
              <w:snapToGrid w:val="0"/>
              <w:spacing w:before="60" w:beforeLines="25" w:after="60" w:afterLines="25"/>
              <w:jc w:val="left"/>
              <w:rPr>
                <w:rFonts w:hint="eastAsia" w:ascii="仿宋" w:hAnsi="仿宋" w:eastAsia="仿宋" w:cs="Arial"/>
                <w:color w:val="auto"/>
                <w:szCs w:val="21"/>
              </w:rPr>
            </w:pPr>
            <w:r>
              <w:rPr>
                <w:rFonts w:hint="eastAsia" w:ascii="仿宋" w:hAnsi="仿宋" w:eastAsia="仿宋" w:cs="Arial"/>
                <w:color w:val="auto"/>
                <w:szCs w:val="21"/>
              </w:rPr>
              <w:t>（1）所投主要材料（主要材料品牌表内材料）取得有效的节能产品认证证书的每个得0.5分，最多得1分（列入强制采购节能产品清单目录的产品不计分）；</w:t>
            </w:r>
          </w:p>
          <w:p w14:paraId="67C65C6F">
            <w:pPr>
              <w:autoSpaceDE w:val="0"/>
              <w:autoSpaceDN w:val="0"/>
              <w:adjustRightInd w:val="0"/>
              <w:snapToGrid w:val="0"/>
              <w:spacing w:before="60" w:beforeLines="25" w:after="60" w:afterLines="25"/>
              <w:jc w:val="left"/>
              <w:rPr>
                <w:rFonts w:hint="eastAsia" w:ascii="仿宋" w:hAnsi="仿宋" w:eastAsia="仿宋" w:cs="Arial"/>
                <w:color w:val="auto"/>
                <w:szCs w:val="21"/>
              </w:rPr>
            </w:pPr>
            <w:r>
              <w:rPr>
                <w:rFonts w:hint="eastAsia" w:ascii="仿宋" w:hAnsi="仿宋" w:eastAsia="仿宋" w:cs="Arial"/>
                <w:color w:val="auto"/>
                <w:szCs w:val="21"/>
              </w:rPr>
              <w:t>（2）所投主要材料（主要材料品牌表内材料）取得有效的环境标志产品认证证书的每个得0.5分，最多得1分。</w:t>
            </w:r>
          </w:p>
          <w:p w14:paraId="0CF1DCDC">
            <w:pPr>
              <w:autoSpaceDE w:val="0"/>
              <w:autoSpaceDN w:val="0"/>
              <w:adjustRightInd w:val="0"/>
              <w:snapToGrid w:val="0"/>
              <w:spacing w:before="60" w:beforeLines="25" w:after="60" w:afterLines="25"/>
              <w:jc w:val="left"/>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证明材料：提供国家确定的认证机构出具的、处于有效期之内的认证证书（扫描件、加盖公章）。</w:t>
            </w:r>
          </w:p>
        </w:tc>
        <w:tc>
          <w:tcPr>
            <w:tcW w:w="628" w:type="dxa"/>
            <w:shd w:val="clear" w:color="auto" w:fill="auto"/>
            <w:vAlign w:val="center"/>
          </w:tcPr>
          <w:p w14:paraId="400BA92E">
            <w:pPr>
              <w:autoSpaceDE w:val="0"/>
              <w:autoSpaceDN w:val="0"/>
              <w:adjustRightInd w:val="0"/>
              <w:snapToGrid w:val="0"/>
              <w:spacing w:before="60" w:beforeLines="25" w:after="60" w:afterLines="25"/>
              <w:jc w:val="center"/>
              <w:rPr>
                <w:rFonts w:hint="default" w:ascii="仿宋" w:hAnsi="仿宋" w:eastAsia="仿宋" w:cs="Arial"/>
                <w:color w:val="auto"/>
                <w:kern w:val="2"/>
                <w:sz w:val="21"/>
                <w:szCs w:val="21"/>
                <w:lang w:val="en-US" w:eastAsia="zh-CN" w:bidi="ar-SA"/>
              </w:rPr>
            </w:pPr>
            <w:r>
              <w:rPr>
                <w:rFonts w:hint="eastAsia" w:ascii="仿宋" w:hAnsi="仿宋" w:eastAsia="仿宋" w:cs="Arial"/>
                <w:color w:val="auto"/>
                <w:szCs w:val="21"/>
              </w:rPr>
              <w:t>2</w:t>
            </w:r>
          </w:p>
        </w:tc>
        <w:tc>
          <w:tcPr>
            <w:tcW w:w="930" w:type="dxa"/>
            <w:shd w:val="clear" w:color="auto" w:fill="auto"/>
            <w:vAlign w:val="center"/>
          </w:tcPr>
          <w:p w14:paraId="2766FA73">
            <w:pPr>
              <w:autoSpaceDE w:val="0"/>
              <w:autoSpaceDN w:val="0"/>
              <w:adjustRightInd w:val="0"/>
              <w:snapToGrid w:val="0"/>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客观分</w:t>
            </w:r>
          </w:p>
        </w:tc>
      </w:tr>
      <w:tr w14:paraId="7047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5FAFED30">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4</w:t>
            </w:r>
          </w:p>
        </w:tc>
        <w:tc>
          <w:tcPr>
            <w:tcW w:w="6964" w:type="dxa"/>
            <w:shd w:val="clear" w:color="auto" w:fill="auto"/>
            <w:vAlign w:val="center"/>
          </w:tcPr>
          <w:p w14:paraId="5D00C67C">
            <w:pPr>
              <w:adjustRightInd/>
              <w:jc w:val="left"/>
              <w:rPr>
                <w:rFonts w:hint="eastAsia" w:ascii="仿宋" w:hAnsi="仿宋" w:eastAsia="仿宋" w:cs="Arial"/>
                <w:szCs w:val="21"/>
                <w:lang w:eastAsia="zh-CN"/>
              </w:rPr>
            </w:pPr>
            <w:r>
              <w:rPr>
                <w:rFonts w:hint="eastAsia" w:ascii="仿宋" w:hAnsi="仿宋" w:eastAsia="仿宋" w:cs="Arial"/>
                <w:szCs w:val="21"/>
              </w:rPr>
              <w:t>拟派本项目设计人员</w:t>
            </w:r>
            <w:r>
              <w:rPr>
                <w:rFonts w:hint="eastAsia" w:ascii="仿宋" w:hAnsi="仿宋" w:eastAsia="仿宋" w:cs="Arial"/>
                <w:szCs w:val="21"/>
                <w:lang w:eastAsia="zh-CN"/>
              </w:rPr>
              <w:t>：</w:t>
            </w:r>
          </w:p>
          <w:p w14:paraId="1769D87E">
            <w:pPr>
              <w:adjustRightInd/>
              <w:jc w:val="left"/>
              <w:rPr>
                <w:rFonts w:hint="eastAsia" w:ascii="仿宋" w:hAnsi="仿宋" w:eastAsia="仿宋" w:cs="Arial"/>
                <w:szCs w:val="21"/>
                <w:lang w:val="en-US" w:eastAsia="zh-CN"/>
              </w:rPr>
            </w:pPr>
            <w:r>
              <w:rPr>
                <w:rFonts w:hint="eastAsia" w:ascii="仿宋" w:hAnsi="仿宋" w:eastAsia="仿宋" w:cs="Arial"/>
                <w:szCs w:val="21"/>
                <w:lang w:val="en-US" w:eastAsia="zh-CN"/>
              </w:rPr>
              <w:t>（1）具有</w:t>
            </w:r>
            <w:r>
              <w:rPr>
                <w:rFonts w:hint="eastAsia" w:ascii="仿宋" w:hAnsi="仿宋" w:eastAsia="仿宋" w:cs="Arial"/>
                <w:szCs w:val="21"/>
                <w:lang w:val="zh-CN"/>
              </w:rPr>
              <w:t>注册电气工程师</w:t>
            </w:r>
            <w:r>
              <w:rPr>
                <w:rFonts w:hint="eastAsia" w:ascii="仿宋" w:hAnsi="仿宋" w:eastAsia="仿宋" w:cs="Arial"/>
                <w:szCs w:val="21"/>
              </w:rPr>
              <w:t>（供配电）</w:t>
            </w:r>
            <w:r>
              <w:rPr>
                <w:rFonts w:hint="eastAsia" w:ascii="仿宋" w:hAnsi="仿宋" w:eastAsia="仿宋" w:cs="Arial"/>
                <w:szCs w:val="21"/>
                <w:lang w:val="en-US" w:eastAsia="zh-CN"/>
              </w:rPr>
              <w:t>的得2分；</w:t>
            </w:r>
          </w:p>
          <w:p w14:paraId="3AAE7036">
            <w:pPr>
              <w:adjustRightInd/>
              <w:jc w:val="left"/>
              <w:rPr>
                <w:rFonts w:hint="eastAsia" w:ascii="仿宋" w:hAnsi="仿宋" w:eastAsia="仿宋" w:cs="Arial"/>
                <w:szCs w:val="21"/>
                <w:lang w:val="en-US" w:eastAsia="zh-CN"/>
              </w:rPr>
            </w:pPr>
            <w:r>
              <w:rPr>
                <w:rFonts w:hint="eastAsia" w:ascii="仿宋" w:hAnsi="仿宋" w:eastAsia="仿宋" w:cs="Arial"/>
                <w:szCs w:val="21"/>
                <w:lang w:val="en-US" w:eastAsia="zh-CN"/>
              </w:rPr>
              <w:t>（2）具有</w:t>
            </w:r>
            <w:r>
              <w:rPr>
                <w:rFonts w:hint="eastAsia" w:ascii="仿宋" w:hAnsi="仿宋" w:eastAsia="仿宋" w:cs="Arial"/>
                <w:szCs w:val="21"/>
              </w:rPr>
              <w:t>建筑智能化专业高级工程师及以上</w:t>
            </w:r>
            <w:r>
              <w:rPr>
                <w:rFonts w:hint="eastAsia" w:ascii="仿宋" w:hAnsi="仿宋" w:eastAsia="仿宋" w:cs="Arial"/>
                <w:szCs w:val="21"/>
                <w:lang w:val="en-US" w:eastAsia="zh-CN"/>
              </w:rPr>
              <w:t>证书的得2分。</w:t>
            </w:r>
          </w:p>
          <w:p w14:paraId="744CEE61">
            <w:pPr>
              <w:adjustRightInd/>
              <w:jc w:val="left"/>
              <w:rPr>
                <w:rFonts w:hint="default" w:ascii="仿宋" w:hAnsi="仿宋" w:eastAsia="仿宋" w:cs="Arial"/>
                <w:szCs w:val="21"/>
                <w:lang w:val="en-US" w:eastAsia="zh-CN"/>
              </w:rPr>
            </w:pPr>
            <w:r>
              <w:rPr>
                <w:rFonts w:hint="eastAsia" w:ascii="仿宋" w:hAnsi="仿宋" w:eastAsia="仿宋" w:cs="Arial"/>
                <w:szCs w:val="21"/>
              </w:rPr>
              <w:t>注：需提供证书扫描件及缴纳社保的证明材料（开标前三月任意一月社保缴纳证明）。</w:t>
            </w:r>
          </w:p>
        </w:tc>
        <w:tc>
          <w:tcPr>
            <w:tcW w:w="628" w:type="dxa"/>
            <w:vAlign w:val="center"/>
          </w:tcPr>
          <w:p w14:paraId="5101E6FF">
            <w:pPr>
              <w:autoSpaceDE w:val="0"/>
              <w:autoSpaceDN w:val="0"/>
              <w:adjustRightInd/>
              <w:snapToGrid w:val="0"/>
              <w:spacing w:line="360" w:lineRule="auto"/>
              <w:jc w:val="center"/>
              <w:rPr>
                <w:rFonts w:hint="eastAsia" w:ascii="仿宋" w:hAnsi="仿宋" w:eastAsia="仿宋" w:cs="Arial"/>
                <w:szCs w:val="21"/>
                <w:lang w:val="en-US" w:eastAsia="zh-CN"/>
              </w:rPr>
            </w:pPr>
            <w:r>
              <w:rPr>
                <w:rFonts w:hint="eastAsia" w:ascii="仿宋" w:hAnsi="仿宋" w:eastAsia="仿宋" w:cs="Arial"/>
                <w:szCs w:val="21"/>
                <w:lang w:val="en-US" w:eastAsia="zh-CN"/>
              </w:rPr>
              <w:t>4</w:t>
            </w:r>
          </w:p>
        </w:tc>
        <w:tc>
          <w:tcPr>
            <w:tcW w:w="930" w:type="dxa"/>
            <w:vAlign w:val="center"/>
          </w:tcPr>
          <w:p w14:paraId="1222E084">
            <w:pPr>
              <w:autoSpaceDE w:val="0"/>
              <w:autoSpaceDN w:val="0"/>
              <w:adjustRightInd/>
              <w:snapToGrid w:val="0"/>
              <w:spacing w:line="360" w:lineRule="auto"/>
              <w:jc w:val="center"/>
              <w:rPr>
                <w:rFonts w:hint="eastAsia" w:ascii="仿宋" w:hAnsi="仿宋" w:eastAsia="仿宋" w:cs="Arial"/>
                <w:szCs w:val="21"/>
              </w:rPr>
            </w:pPr>
            <w:r>
              <w:rPr>
                <w:rFonts w:hint="eastAsia" w:ascii="仿宋" w:hAnsi="仿宋" w:eastAsia="仿宋" w:cs="Arial"/>
                <w:szCs w:val="21"/>
              </w:rPr>
              <w:t>客观分</w:t>
            </w:r>
          </w:p>
        </w:tc>
      </w:tr>
      <w:tr w14:paraId="3A70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583D2F9F">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5</w:t>
            </w:r>
          </w:p>
        </w:tc>
        <w:tc>
          <w:tcPr>
            <w:tcW w:w="6964" w:type="dxa"/>
            <w:shd w:val="clear" w:color="auto" w:fill="auto"/>
            <w:vAlign w:val="center"/>
          </w:tcPr>
          <w:p w14:paraId="31873C1B">
            <w:pPr>
              <w:adjustRightInd/>
              <w:jc w:val="left"/>
              <w:rPr>
                <w:rFonts w:hint="eastAsia" w:ascii="仿宋" w:hAnsi="仿宋" w:eastAsia="仿宋" w:cs="Arial"/>
                <w:szCs w:val="21"/>
                <w:lang w:eastAsia="zh-CN"/>
              </w:rPr>
            </w:pPr>
            <w:r>
              <w:rPr>
                <w:rFonts w:hint="eastAsia" w:ascii="仿宋" w:hAnsi="仿宋" w:eastAsia="仿宋" w:cs="Arial"/>
                <w:szCs w:val="21"/>
              </w:rPr>
              <w:t>拟派预算编制人员</w:t>
            </w:r>
            <w:r>
              <w:rPr>
                <w:rFonts w:hint="eastAsia" w:ascii="仿宋" w:hAnsi="仿宋" w:eastAsia="仿宋" w:cs="Arial"/>
                <w:szCs w:val="21"/>
                <w:lang w:eastAsia="zh-CN"/>
              </w:rPr>
              <w:t>：</w:t>
            </w:r>
          </w:p>
          <w:p w14:paraId="2E95D70F">
            <w:pPr>
              <w:adjustRightInd/>
              <w:jc w:val="left"/>
              <w:rPr>
                <w:rFonts w:hint="eastAsia" w:ascii="仿宋" w:hAnsi="仿宋" w:eastAsia="仿宋" w:cs="Arial"/>
                <w:szCs w:val="21"/>
                <w:lang w:val="en-US" w:eastAsia="zh-CN"/>
              </w:rPr>
            </w:pPr>
            <w:r>
              <w:rPr>
                <w:rFonts w:hint="eastAsia" w:ascii="仿宋" w:hAnsi="仿宋" w:eastAsia="仿宋" w:cs="Arial"/>
                <w:szCs w:val="21"/>
                <w:lang w:eastAsia="zh-CN"/>
              </w:rPr>
              <w:t>（</w:t>
            </w:r>
            <w:r>
              <w:rPr>
                <w:rFonts w:hint="eastAsia" w:ascii="仿宋" w:hAnsi="仿宋" w:eastAsia="仿宋" w:cs="Arial"/>
                <w:szCs w:val="21"/>
                <w:lang w:val="en-US" w:eastAsia="zh-CN"/>
              </w:rPr>
              <w:t>1）具有建筑工程专业</w:t>
            </w:r>
            <w:r>
              <w:rPr>
                <w:rFonts w:hint="eastAsia" w:ascii="仿宋" w:hAnsi="仿宋" w:eastAsia="仿宋" w:cs="Arial"/>
                <w:szCs w:val="21"/>
                <w:lang w:val="zh-CN"/>
              </w:rPr>
              <w:t>一级注册造价工程师</w:t>
            </w:r>
            <w:r>
              <w:rPr>
                <w:rFonts w:hint="eastAsia" w:ascii="仿宋" w:hAnsi="仿宋" w:eastAsia="仿宋" w:cs="Arial"/>
                <w:szCs w:val="21"/>
                <w:lang w:val="en-US" w:eastAsia="zh-CN"/>
              </w:rPr>
              <w:t>的得2分；</w:t>
            </w:r>
          </w:p>
          <w:p w14:paraId="545AE025">
            <w:pPr>
              <w:adjustRightInd/>
              <w:jc w:val="left"/>
              <w:rPr>
                <w:rFonts w:hint="eastAsia" w:ascii="仿宋" w:hAnsi="仿宋" w:eastAsia="仿宋" w:cs="Arial"/>
                <w:szCs w:val="21"/>
                <w:lang w:val="en-US" w:eastAsia="zh-CN"/>
              </w:rPr>
            </w:pPr>
            <w:r>
              <w:rPr>
                <w:rFonts w:hint="eastAsia" w:ascii="仿宋" w:hAnsi="仿宋" w:eastAsia="仿宋" w:cs="Arial"/>
                <w:szCs w:val="21"/>
                <w:lang w:val="en-US" w:eastAsia="zh-CN"/>
              </w:rPr>
              <w:t>（2）具有安装专业</w:t>
            </w:r>
            <w:r>
              <w:rPr>
                <w:rFonts w:hint="eastAsia" w:ascii="仿宋" w:hAnsi="仿宋" w:eastAsia="仿宋" w:cs="Arial"/>
                <w:szCs w:val="21"/>
                <w:lang w:val="zh-CN"/>
              </w:rPr>
              <w:t>一级注册造价工程师</w:t>
            </w:r>
            <w:r>
              <w:rPr>
                <w:rFonts w:hint="eastAsia" w:ascii="仿宋" w:hAnsi="仿宋" w:eastAsia="仿宋" w:cs="Arial"/>
                <w:szCs w:val="21"/>
                <w:lang w:val="en-US" w:eastAsia="zh-CN"/>
              </w:rPr>
              <w:t>的得2分。</w:t>
            </w:r>
          </w:p>
          <w:p w14:paraId="2ECB8B9B">
            <w:pPr>
              <w:adjustRightInd/>
              <w:jc w:val="left"/>
              <w:rPr>
                <w:rFonts w:hint="default" w:ascii="仿宋" w:hAnsi="仿宋" w:eastAsia="仿宋" w:cs="Arial"/>
                <w:szCs w:val="21"/>
                <w:lang w:val="en-US" w:eastAsia="zh-CN"/>
              </w:rPr>
            </w:pPr>
            <w:r>
              <w:rPr>
                <w:rFonts w:hint="eastAsia" w:ascii="仿宋" w:hAnsi="仿宋" w:eastAsia="仿宋" w:cs="Arial"/>
                <w:szCs w:val="21"/>
              </w:rPr>
              <w:t>注：需提供证书扫描件及缴纳社保的证明材料（开标前三月任意一月社保缴纳证明）。</w:t>
            </w:r>
          </w:p>
        </w:tc>
        <w:tc>
          <w:tcPr>
            <w:tcW w:w="628" w:type="dxa"/>
            <w:vAlign w:val="center"/>
          </w:tcPr>
          <w:p w14:paraId="0E7DC064">
            <w:pPr>
              <w:autoSpaceDE w:val="0"/>
              <w:autoSpaceDN w:val="0"/>
              <w:adjustRightInd/>
              <w:snapToGrid w:val="0"/>
              <w:spacing w:line="360" w:lineRule="auto"/>
              <w:jc w:val="center"/>
              <w:rPr>
                <w:rFonts w:hint="eastAsia" w:ascii="仿宋" w:hAnsi="仿宋" w:eastAsia="仿宋" w:cs="Arial"/>
                <w:szCs w:val="21"/>
                <w:lang w:val="en-US" w:eastAsia="zh-CN"/>
              </w:rPr>
            </w:pPr>
            <w:r>
              <w:rPr>
                <w:rFonts w:hint="eastAsia" w:ascii="仿宋" w:hAnsi="仿宋" w:eastAsia="仿宋" w:cs="Arial"/>
                <w:szCs w:val="21"/>
                <w:lang w:val="en-US" w:eastAsia="zh-CN"/>
              </w:rPr>
              <w:t>4</w:t>
            </w:r>
          </w:p>
        </w:tc>
        <w:tc>
          <w:tcPr>
            <w:tcW w:w="930" w:type="dxa"/>
            <w:vAlign w:val="center"/>
          </w:tcPr>
          <w:p w14:paraId="6A3DDE2D">
            <w:pPr>
              <w:autoSpaceDE w:val="0"/>
              <w:autoSpaceDN w:val="0"/>
              <w:adjustRightInd/>
              <w:snapToGrid w:val="0"/>
              <w:spacing w:line="360" w:lineRule="auto"/>
              <w:jc w:val="center"/>
              <w:rPr>
                <w:rFonts w:hint="eastAsia" w:ascii="仿宋" w:hAnsi="仿宋" w:eastAsia="仿宋" w:cs="Arial"/>
                <w:szCs w:val="21"/>
              </w:rPr>
            </w:pPr>
            <w:r>
              <w:rPr>
                <w:rFonts w:hint="eastAsia" w:ascii="仿宋" w:hAnsi="仿宋" w:eastAsia="仿宋" w:cs="Arial"/>
                <w:szCs w:val="21"/>
              </w:rPr>
              <w:t>客观分</w:t>
            </w:r>
          </w:p>
        </w:tc>
      </w:tr>
      <w:tr w14:paraId="07D0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28CB7D35">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6</w:t>
            </w:r>
          </w:p>
        </w:tc>
        <w:tc>
          <w:tcPr>
            <w:tcW w:w="6964" w:type="dxa"/>
            <w:vAlign w:val="center"/>
          </w:tcPr>
          <w:p w14:paraId="32F9703D">
            <w:pPr>
              <w:autoSpaceDE w:val="0"/>
              <w:autoSpaceDN w:val="0"/>
              <w:adjustRightInd w:val="0"/>
              <w:snapToGrid w:val="0"/>
              <w:spacing w:before="60" w:beforeLines="25" w:after="60" w:afterLines="25"/>
              <w:jc w:val="left"/>
              <w:rPr>
                <w:rFonts w:hint="eastAsia" w:ascii="仿宋" w:hAnsi="仿宋" w:eastAsia="仿宋" w:cs="Arial"/>
                <w:szCs w:val="21"/>
              </w:rPr>
            </w:pPr>
            <w:r>
              <w:rPr>
                <w:rFonts w:hint="eastAsia" w:ascii="仿宋" w:hAnsi="仿宋" w:eastAsia="仿宋" w:cs="Arial"/>
                <w:szCs w:val="21"/>
              </w:rPr>
              <w:t>拟派驻现场的项目组</w:t>
            </w:r>
            <w:r>
              <w:rPr>
                <w:rFonts w:hint="eastAsia" w:ascii="仿宋" w:hAnsi="仿宋" w:eastAsia="仿宋" w:cs="Arial"/>
                <w:szCs w:val="21"/>
                <w:lang w:val="en-US" w:eastAsia="zh-CN"/>
              </w:rPr>
              <w:t>人员</w:t>
            </w:r>
            <w:r>
              <w:rPr>
                <w:rFonts w:hint="eastAsia" w:ascii="仿宋" w:hAnsi="仿宋" w:eastAsia="仿宋" w:cs="Arial"/>
                <w:szCs w:val="21"/>
              </w:rPr>
              <w:t>专业配置</w:t>
            </w:r>
            <w:r>
              <w:rPr>
                <w:rFonts w:hint="eastAsia" w:ascii="仿宋" w:hAnsi="仿宋" w:eastAsia="仿宋" w:cs="Arial"/>
                <w:szCs w:val="21"/>
                <w:lang w:val="en-US" w:eastAsia="zh-CN"/>
              </w:rPr>
              <w:t>情况的评价（</w:t>
            </w:r>
            <w:r>
              <w:rPr>
                <w:rFonts w:hint="eastAsia" w:ascii="仿宋" w:hAnsi="仿宋" w:eastAsia="仿宋" w:cs="Arial"/>
                <w:szCs w:val="21"/>
              </w:rPr>
              <w:t>（5分、4分、3分、2分、1分、0分）</w:t>
            </w:r>
            <w:r>
              <w:rPr>
                <w:rFonts w:hint="eastAsia" w:ascii="仿宋" w:hAnsi="仿宋" w:eastAsia="仿宋" w:cs="Arial"/>
                <w:szCs w:val="21"/>
                <w:lang w:eastAsia="zh-CN"/>
              </w:rPr>
              <w:t>），</w:t>
            </w:r>
            <w:r>
              <w:rPr>
                <w:rFonts w:hint="eastAsia" w:ascii="仿宋" w:hAnsi="仿宋" w:eastAsia="仿宋" w:cs="Arial"/>
                <w:szCs w:val="21"/>
                <w:lang w:val="en-US" w:eastAsia="zh-CN"/>
              </w:rPr>
              <w:t>包括</w:t>
            </w:r>
            <w:r>
              <w:rPr>
                <w:rFonts w:hint="eastAsia" w:ascii="仿宋" w:hAnsi="仿宋" w:eastAsia="仿宋" w:cs="Arial"/>
                <w:szCs w:val="21"/>
              </w:rPr>
              <w:t>施工员，质量员，安全员，材料员，资料员</w:t>
            </w:r>
            <w:r>
              <w:rPr>
                <w:rFonts w:hint="eastAsia" w:ascii="仿宋" w:hAnsi="仿宋" w:eastAsia="仿宋" w:cs="Arial"/>
                <w:szCs w:val="21"/>
                <w:lang w:val="en-US" w:eastAsia="zh-CN"/>
              </w:rPr>
              <w:t>等</w:t>
            </w:r>
            <w:r>
              <w:rPr>
                <w:rFonts w:hint="eastAsia" w:ascii="仿宋" w:hAnsi="仿宋" w:eastAsia="仿宋" w:cs="Arial"/>
                <w:szCs w:val="21"/>
              </w:rPr>
              <w:t>。</w:t>
            </w:r>
          </w:p>
          <w:p w14:paraId="36A71927">
            <w:pPr>
              <w:autoSpaceDE w:val="0"/>
              <w:autoSpaceDN w:val="0"/>
              <w:adjustRightInd w:val="0"/>
              <w:snapToGrid w:val="0"/>
              <w:spacing w:before="60" w:beforeLines="25" w:after="60" w:afterLines="25"/>
              <w:jc w:val="left"/>
              <w:rPr>
                <w:rFonts w:hint="eastAsia" w:ascii="仿宋" w:hAnsi="仿宋" w:eastAsia="仿宋" w:cs="Arial"/>
                <w:szCs w:val="21"/>
              </w:rPr>
            </w:pPr>
            <w:r>
              <w:rPr>
                <w:rFonts w:hint="eastAsia" w:ascii="仿宋" w:hAnsi="仿宋" w:eastAsia="仿宋" w:cs="Arial"/>
                <w:szCs w:val="21"/>
              </w:rPr>
              <w:t>注：需提供具体人员配置清单和相关证书扫描件及为上述人员缴纳社保的证明材料（开标前三月任意一月社保缴纳证明）。</w:t>
            </w:r>
          </w:p>
        </w:tc>
        <w:tc>
          <w:tcPr>
            <w:tcW w:w="628" w:type="dxa"/>
            <w:vAlign w:val="center"/>
          </w:tcPr>
          <w:p w14:paraId="7D41D012">
            <w:pPr>
              <w:autoSpaceDE w:val="0"/>
              <w:autoSpaceDN w:val="0"/>
              <w:adjustRightInd/>
              <w:snapToGrid w:val="0"/>
              <w:spacing w:line="360" w:lineRule="auto"/>
              <w:jc w:val="center"/>
              <w:rPr>
                <w:rFonts w:hint="eastAsia" w:ascii="仿宋" w:hAnsi="仿宋" w:eastAsia="仿宋" w:cs="Arial"/>
                <w:szCs w:val="21"/>
              </w:rPr>
            </w:pPr>
            <w:r>
              <w:rPr>
                <w:rFonts w:hint="eastAsia" w:ascii="仿宋" w:hAnsi="仿宋" w:eastAsia="仿宋" w:cs="Arial"/>
                <w:szCs w:val="21"/>
              </w:rPr>
              <w:t>5</w:t>
            </w:r>
          </w:p>
        </w:tc>
        <w:tc>
          <w:tcPr>
            <w:tcW w:w="930" w:type="dxa"/>
            <w:vAlign w:val="center"/>
          </w:tcPr>
          <w:p w14:paraId="46B60E11">
            <w:pPr>
              <w:autoSpaceDE w:val="0"/>
              <w:autoSpaceDN w:val="0"/>
              <w:adjustRightInd/>
              <w:snapToGrid w:val="0"/>
              <w:spacing w:line="360" w:lineRule="auto"/>
              <w:jc w:val="center"/>
              <w:rPr>
                <w:rFonts w:hint="eastAsia" w:ascii="仿宋" w:hAnsi="仿宋" w:eastAsia="仿宋" w:cs="Arial"/>
                <w:szCs w:val="21"/>
              </w:rPr>
            </w:pPr>
            <w:r>
              <w:rPr>
                <w:rFonts w:hint="eastAsia" w:ascii="仿宋" w:hAnsi="仿宋" w:eastAsia="仿宋" w:cs="Arial"/>
                <w:szCs w:val="21"/>
              </w:rPr>
              <w:t>主观分</w:t>
            </w:r>
          </w:p>
        </w:tc>
      </w:tr>
      <w:tr w14:paraId="39B9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387D2C17">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7</w:t>
            </w:r>
          </w:p>
        </w:tc>
        <w:tc>
          <w:tcPr>
            <w:tcW w:w="6964" w:type="dxa"/>
            <w:vAlign w:val="center"/>
          </w:tcPr>
          <w:p w14:paraId="65EEFB7F">
            <w:pPr>
              <w:autoSpaceDE w:val="0"/>
              <w:autoSpaceDN w:val="0"/>
              <w:adjustRightInd w:val="0"/>
              <w:snapToGrid w:val="0"/>
              <w:spacing w:before="60" w:beforeLines="25" w:after="60" w:afterLines="25"/>
              <w:jc w:val="left"/>
              <w:rPr>
                <w:rFonts w:hint="default" w:ascii="仿宋" w:hAnsi="仿宋" w:eastAsia="仿宋" w:cs="Arial"/>
                <w:color w:val="auto"/>
                <w:szCs w:val="21"/>
                <w:lang w:val="en-US" w:eastAsia="zh-CN"/>
              </w:rPr>
            </w:pPr>
            <w:r>
              <w:rPr>
                <w:rFonts w:hint="eastAsia" w:ascii="仿宋" w:hAnsi="仿宋" w:eastAsia="仿宋" w:cs="Arial"/>
                <w:color w:val="auto"/>
                <w:szCs w:val="21"/>
                <w:lang w:val="en-US" w:eastAsia="zh-CN"/>
              </w:rPr>
              <w:t>原配电房改造方案的评价</w:t>
            </w:r>
            <w:r>
              <w:rPr>
                <w:rFonts w:hint="eastAsia" w:ascii="仿宋" w:hAnsi="仿宋" w:eastAsia="仿宋" w:cs="Arial"/>
                <w:color w:val="auto"/>
                <w:szCs w:val="21"/>
              </w:rPr>
              <w:t>（5分、4分、3分、2分、1分、0分）</w:t>
            </w:r>
            <w:r>
              <w:rPr>
                <w:rFonts w:hint="eastAsia" w:ascii="仿宋" w:hAnsi="仿宋" w:eastAsia="仿宋" w:cs="Arial"/>
                <w:color w:val="auto"/>
                <w:szCs w:val="21"/>
                <w:lang w:eastAsia="zh-CN"/>
              </w:rPr>
              <w:t>，</w:t>
            </w:r>
            <w:r>
              <w:rPr>
                <w:rFonts w:hint="eastAsia" w:ascii="仿宋" w:hAnsi="仿宋" w:eastAsia="仿宋" w:cs="Arial"/>
                <w:color w:val="auto"/>
                <w:szCs w:val="21"/>
                <w:lang w:val="en-US" w:eastAsia="zh-CN"/>
              </w:rPr>
              <w:t>包括拆除、改建、增容。</w:t>
            </w:r>
          </w:p>
        </w:tc>
        <w:tc>
          <w:tcPr>
            <w:tcW w:w="628" w:type="dxa"/>
            <w:shd w:val="clear" w:color="auto" w:fill="auto"/>
            <w:vAlign w:val="center"/>
          </w:tcPr>
          <w:p w14:paraId="28E796E2">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5</w:t>
            </w:r>
          </w:p>
        </w:tc>
        <w:tc>
          <w:tcPr>
            <w:tcW w:w="930" w:type="dxa"/>
            <w:shd w:val="clear" w:color="auto" w:fill="auto"/>
            <w:vAlign w:val="center"/>
          </w:tcPr>
          <w:p w14:paraId="28929C3C">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主观分</w:t>
            </w:r>
          </w:p>
        </w:tc>
      </w:tr>
      <w:tr w14:paraId="708F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392F2D23">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8</w:t>
            </w:r>
          </w:p>
        </w:tc>
        <w:tc>
          <w:tcPr>
            <w:tcW w:w="6964" w:type="dxa"/>
            <w:vAlign w:val="center"/>
          </w:tcPr>
          <w:p w14:paraId="34DD341A">
            <w:pPr>
              <w:autoSpaceDE w:val="0"/>
              <w:autoSpaceDN w:val="0"/>
              <w:adjustRightInd w:val="0"/>
              <w:snapToGrid w:val="0"/>
              <w:spacing w:before="60" w:beforeLines="25" w:after="60" w:afterLines="25"/>
              <w:jc w:val="left"/>
              <w:rPr>
                <w:rFonts w:hint="eastAsia" w:ascii="仿宋" w:hAnsi="仿宋" w:eastAsia="仿宋" w:cs="Arial"/>
                <w:color w:val="auto"/>
                <w:szCs w:val="21"/>
              </w:rPr>
            </w:pPr>
            <w:r>
              <w:rPr>
                <w:rFonts w:hint="eastAsia" w:ascii="仿宋" w:hAnsi="仿宋" w:eastAsia="仿宋" w:cs="仿宋"/>
                <w:b w:val="0"/>
                <w:bCs w:val="0"/>
                <w:color w:val="auto"/>
                <w:sz w:val="21"/>
                <w:szCs w:val="21"/>
                <w:highlight w:val="none"/>
                <w:lang w:val="en-US" w:eastAsia="zh-CN"/>
              </w:rPr>
              <w:t>新建配电房设计方案的评价</w:t>
            </w:r>
            <w:r>
              <w:rPr>
                <w:rFonts w:hint="eastAsia" w:ascii="仿宋" w:hAnsi="仿宋" w:eastAsia="仿宋" w:cs="Arial"/>
                <w:color w:val="auto"/>
                <w:szCs w:val="21"/>
              </w:rPr>
              <w:t>（5分、4分、3分、2分、1分、0分）</w:t>
            </w:r>
            <w:r>
              <w:rPr>
                <w:rFonts w:hint="eastAsia" w:ascii="仿宋" w:hAnsi="仿宋" w:eastAsia="仿宋" w:cs="仿宋"/>
                <w:b w:val="0"/>
                <w:bCs w:val="0"/>
                <w:color w:val="auto"/>
                <w:sz w:val="21"/>
                <w:szCs w:val="21"/>
                <w:highlight w:val="none"/>
                <w:lang w:val="en-US" w:eastAsia="zh-CN"/>
              </w:rPr>
              <w:t>。</w:t>
            </w:r>
          </w:p>
        </w:tc>
        <w:tc>
          <w:tcPr>
            <w:tcW w:w="628" w:type="dxa"/>
            <w:shd w:val="clear" w:color="auto" w:fill="auto"/>
            <w:vAlign w:val="center"/>
          </w:tcPr>
          <w:p w14:paraId="44EAEBB5">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5</w:t>
            </w:r>
          </w:p>
        </w:tc>
        <w:tc>
          <w:tcPr>
            <w:tcW w:w="930" w:type="dxa"/>
            <w:shd w:val="clear" w:color="auto" w:fill="auto"/>
            <w:vAlign w:val="center"/>
          </w:tcPr>
          <w:p w14:paraId="07ABBB88">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主观分</w:t>
            </w:r>
          </w:p>
        </w:tc>
      </w:tr>
      <w:tr w14:paraId="3DB4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98" w:type="dxa"/>
            <w:shd w:val="clear" w:color="auto" w:fill="auto"/>
            <w:vAlign w:val="center"/>
          </w:tcPr>
          <w:p w14:paraId="766C1965">
            <w:pPr>
              <w:autoSpaceDE w:val="0"/>
              <w:autoSpaceDN w:val="0"/>
              <w:adjustRightInd/>
              <w:snapToGrid w:val="0"/>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kern w:val="2"/>
                <w:sz w:val="21"/>
                <w:szCs w:val="21"/>
                <w:lang w:val="en-US" w:eastAsia="zh-CN" w:bidi="ar-SA"/>
              </w:rPr>
              <w:t>9</w:t>
            </w:r>
          </w:p>
        </w:tc>
        <w:tc>
          <w:tcPr>
            <w:tcW w:w="6964" w:type="dxa"/>
            <w:shd w:val="clear" w:color="auto" w:fill="auto"/>
            <w:vAlign w:val="center"/>
          </w:tcPr>
          <w:p w14:paraId="5DF75F9C">
            <w:pPr>
              <w:autoSpaceDE w:val="0"/>
              <w:autoSpaceDN w:val="0"/>
              <w:adjustRightInd w:val="0"/>
              <w:snapToGrid w:val="0"/>
              <w:spacing w:before="60" w:beforeLines="25" w:after="60" w:afterLines="25"/>
              <w:jc w:val="left"/>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关键节点施工工艺或施工方法、关键节点施工保障措施的评价（5分、4分、3分、2分、1分、0分）。</w:t>
            </w:r>
          </w:p>
        </w:tc>
        <w:tc>
          <w:tcPr>
            <w:tcW w:w="628" w:type="dxa"/>
            <w:shd w:val="clear" w:color="auto" w:fill="auto"/>
            <w:vAlign w:val="center"/>
          </w:tcPr>
          <w:p w14:paraId="69921B8D">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lang w:val="en-US" w:eastAsia="zh-CN"/>
              </w:rPr>
              <w:t>5</w:t>
            </w:r>
          </w:p>
        </w:tc>
        <w:tc>
          <w:tcPr>
            <w:tcW w:w="930" w:type="dxa"/>
            <w:shd w:val="clear" w:color="auto" w:fill="auto"/>
            <w:vAlign w:val="center"/>
          </w:tcPr>
          <w:p w14:paraId="2779D242">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主观分</w:t>
            </w:r>
          </w:p>
        </w:tc>
      </w:tr>
      <w:tr w14:paraId="6B92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1E9EDCE7">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10</w:t>
            </w:r>
          </w:p>
        </w:tc>
        <w:tc>
          <w:tcPr>
            <w:tcW w:w="6964" w:type="dxa"/>
            <w:shd w:val="clear" w:color="auto" w:fill="auto"/>
            <w:vAlign w:val="center"/>
          </w:tcPr>
          <w:p w14:paraId="41085ADB">
            <w:pPr>
              <w:autoSpaceDE w:val="0"/>
              <w:autoSpaceDN w:val="0"/>
              <w:adjustRightInd w:val="0"/>
              <w:snapToGrid w:val="0"/>
              <w:spacing w:before="60" w:beforeLines="25" w:after="60" w:afterLines="25"/>
              <w:jc w:val="left"/>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对确保施工质量的方案、质量控制和检验手段的评价（5分、4分、3分、2分、1分、0分）。</w:t>
            </w:r>
          </w:p>
        </w:tc>
        <w:tc>
          <w:tcPr>
            <w:tcW w:w="628" w:type="dxa"/>
            <w:shd w:val="clear" w:color="auto" w:fill="auto"/>
            <w:vAlign w:val="center"/>
          </w:tcPr>
          <w:p w14:paraId="43AD1CE5">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lang w:val="en-US" w:eastAsia="zh-CN"/>
              </w:rPr>
              <w:t>5</w:t>
            </w:r>
          </w:p>
        </w:tc>
        <w:tc>
          <w:tcPr>
            <w:tcW w:w="930" w:type="dxa"/>
            <w:shd w:val="clear" w:color="auto" w:fill="auto"/>
            <w:vAlign w:val="center"/>
          </w:tcPr>
          <w:p w14:paraId="081F5B99">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主观分</w:t>
            </w:r>
          </w:p>
        </w:tc>
      </w:tr>
      <w:tr w14:paraId="1DD5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00FB2CF4">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11</w:t>
            </w:r>
          </w:p>
        </w:tc>
        <w:tc>
          <w:tcPr>
            <w:tcW w:w="6964" w:type="dxa"/>
            <w:shd w:val="clear" w:color="auto" w:fill="auto"/>
            <w:vAlign w:val="center"/>
          </w:tcPr>
          <w:p w14:paraId="7B3E1A98">
            <w:pPr>
              <w:autoSpaceDE w:val="0"/>
              <w:autoSpaceDN w:val="0"/>
              <w:adjustRightInd w:val="0"/>
              <w:snapToGrid w:val="0"/>
              <w:spacing w:before="60" w:beforeLines="25" w:after="60" w:afterLines="25"/>
              <w:jc w:val="left"/>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对施工机械和检测设备选用情况，成品保护方案的评价（4分、3分、2分、1分、0分）。</w:t>
            </w:r>
          </w:p>
        </w:tc>
        <w:tc>
          <w:tcPr>
            <w:tcW w:w="628" w:type="dxa"/>
            <w:shd w:val="clear" w:color="auto" w:fill="auto"/>
            <w:vAlign w:val="center"/>
          </w:tcPr>
          <w:p w14:paraId="16EF159B">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4</w:t>
            </w:r>
          </w:p>
        </w:tc>
        <w:tc>
          <w:tcPr>
            <w:tcW w:w="930" w:type="dxa"/>
            <w:shd w:val="clear" w:color="auto" w:fill="auto"/>
            <w:vAlign w:val="center"/>
          </w:tcPr>
          <w:p w14:paraId="2666514D">
            <w:pPr>
              <w:autoSpaceDE w:val="0"/>
              <w:autoSpaceDN w:val="0"/>
              <w:adjustRightInd/>
              <w:snapToGrid w:val="0"/>
              <w:spacing w:line="360" w:lineRule="auto"/>
              <w:jc w:val="center"/>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主观分</w:t>
            </w:r>
          </w:p>
        </w:tc>
      </w:tr>
      <w:tr w14:paraId="0D0E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16A41F55">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12</w:t>
            </w:r>
          </w:p>
        </w:tc>
        <w:tc>
          <w:tcPr>
            <w:tcW w:w="6964" w:type="dxa"/>
            <w:shd w:val="clear" w:color="auto" w:fill="auto"/>
            <w:vAlign w:val="top"/>
          </w:tcPr>
          <w:p w14:paraId="759E0FED">
            <w:pPr>
              <w:autoSpaceDE w:val="0"/>
              <w:autoSpaceDN w:val="0"/>
              <w:adjustRightInd w:val="0"/>
              <w:snapToGrid w:val="0"/>
              <w:spacing w:before="60" w:beforeLines="25" w:after="60" w:afterLines="25"/>
              <w:jc w:val="left"/>
              <w:rPr>
                <w:rFonts w:hint="eastAsia" w:ascii="仿宋" w:hAnsi="仿宋" w:eastAsia="仿宋" w:cs="Arial"/>
                <w:kern w:val="2"/>
                <w:sz w:val="21"/>
                <w:szCs w:val="21"/>
                <w:lang w:val="en-US" w:eastAsia="zh-CN" w:bidi="ar-SA"/>
              </w:rPr>
            </w:pPr>
            <w:r>
              <w:rPr>
                <w:rFonts w:hint="eastAsia" w:ascii="仿宋" w:hAnsi="仿宋" w:eastAsia="仿宋" w:cs="Arial"/>
                <w:szCs w:val="21"/>
              </w:rPr>
              <w:t>对本项目施工组织管理制度和施工组织措施的评价（4分、3分、2分、1分、0分）。</w:t>
            </w:r>
          </w:p>
        </w:tc>
        <w:tc>
          <w:tcPr>
            <w:tcW w:w="628" w:type="dxa"/>
            <w:shd w:val="clear" w:color="auto" w:fill="auto"/>
            <w:vAlign w:val="center"/>
          </w:tcPr>
          <w:p w14:paraId="2B848BF8">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4</w:t>
            </w:r>
          </w:p>
        </w:tc>
        <w:tc>
          <w:tcPr>
            <w:tcW w:w="930" w:type="dxa"/>
            <w:shd w:val="clear" w:color="auto" w:fill="auto"/>
            <w:vAlign w:val="center"/>
          </w:tcPr>
          <w:p w14:paraId="7055CFE6">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主观分</w:t>
            </w:r>
          </w:p>
        </w:tc>
      </w:tr>
      <w:tr w14:paraId="70BB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98" w:type="dxa"/>
            <w:shd w:val="clear" w:color="auto" w:fill="auto"/>
            <w:vAlign w:val="center"/>
          </w:tcPr>
          <w:p w14:paraId="0886342B">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13</w:t>
            </w:r>
          </w:p>
        </w:tc>
        <w:tc>
          <w:tcPr>
            <w:tcW w:w="6964" w:type="dxa"/>
            <w:shd w:val="clear" w:color="auto" w:fill="auto"/>
            <w:vAlign w:val="top"/>
          </w:tcPr>
          <w:p w14:paraId="4ABD2E3A">
            <w:pPr>
              <w:autoSpaceDE w:val="0"/>
              <w:autoSpaceDN w:val="0"/>
              <w:adjustRightInd w:val="0"/>
              <w:snapToGrid w:val="0"/>
              <w:spacing w:before="60" w:beforeLines="25" w:after="60" w:afterLines="25"/>
              <w:jc w:val="left"/>
              <w:rPr>
                <w:rFonts w:hint="eastAsia" w:ascii="仿宋" w:hAnsi="仿宋" w:eastAsia="仿宋" w:cs="Arial"/>
                <w:kern w:val="2"/>
                <w:sz w:val="21"/>
                <w:szCs w:val="21"/>
                <w:lang w:val="en-US" w:eastAsia="zh-CN" w:bidi="ar-SA"/>
              </w:rPr>
            </w:pPr>
            <w:r>
              <w:rPr>
                <w:rFonts w:hint="eastAsia" w:ascii="仿宋" w:hAnsi="仿宋" w:eastAsia="仿宋" w:cs="Arial"/>
                <w:szCs w:val="21"/>
              </w:rPr>
              <w:t>对供应商提供的</w:t>
            </w:r>
            <w:r>
              <w:rPr>
                <w:rFonts w:hint="eastAsia" w:ascii="仿宋" w:hAnsi="仿宋" w:eastAsia="仿宋" w:cs="Arial"/>
                <w:szCs w:val="21"/>
                <w:lang w:val="en-US" w:eastAsia="zh-CN"/>
              </w:rPr>
              <w:t>设计、采购、</w:t>
            </w:r>
            <w:r>
              <w:rPr>
                <w:rFonts w:hint="eastAsia" w:ascii="仿宋" w:hAnsi="仿宋" w:eastAsia="仿宋" w:cs="Arial"/>
                <w:szCs w:val="21"/>
              </w:rPr>
              <w:t>施工进度网络计划、关键节点和线路的保证措施的评价（5分、4分、3分、2分、1分、0分）。</w:t>
            </w:r>
          </w:p>
        </w:tc>
        <w:tc>
          <w:tcPr>
            <w:tcW w:w="628" w:type="dxa"/>
            <w:shd w:val="clear" w:color="auto" w:fill="auto"/>
            <w:vAlign w:val="center"/>
          </w:tcPr>
          <w:p w14:paraId="7ED31F9F">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5</w:t>
            </w:r>
          </w:p>
        </w:tc>
        <w:tc>
          <w:tcPr>
            <w:tcW w:w="930" w:type="dxa"/>
            <w:shd w:val="clear" w:color="auto" w:fill="auto"/>
            <w:vAlign w:val="center"/>
          </w:tcPr>
          <w:p w14:paraId="166D8CF8">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主观分</w:t>
            </w:r>
          </w:p>
        </w:tc>
      </w:tr>
      <w:tr w14:paraId="66AC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054A5AF3">
            <w:pPr>
              <w:autoSpaceDE w:val="0"/>
              <w:autoSpaceDN w:val="0"/>
              <w:adjustRightInd/>
              <w:snapToGrid w:val="0"/>
              <w:jc w:val="center"/>
              <w:rPr>
                <w:rFonts w:hint="default" w:ascii="仿宋" w:hAnsi="仿宋" w:eastAsia="仿宋" w:cs="Arial"/>
                <w:kern w:val="2"/>
                <w:sz w:val="21"/>
                <w:szCs w:val="21"/>
                <w:lang w:val="en-US" w:eastAsia="zh-CN" w:bidi="ar-SA"/>
              </w:rPr>
            </w:pPr>
            <w:r>
              <w:rPr>
                <w:rFonts w:hint="eastAsia" w:ascii="仿宋" w:hAnsi="仿宋" w:eastAsia="仿宋" w:cs="Arial"/>
                <w:szCs w:val="21"/>
              </w:rPr>
              <w:t>14</w:t>
            </w:r>
          </w:p>
        </w:tc>
        <w:tc>
          <w:tcPr>
            <w:tcW w:w="6964" w:type="dxa"/>
            <w:shd w:val="clear" w:color="auto" w:fill="auto"/>
            <w:vAlign w:val="top"/>
          </w:tcPr>
          <w:p w14:paraId="2EA3B1A9">
            <w:pPr>
              <w:autoSpaceDE w:val="0"/>
              <w:autoSpaceDN w:val="0"/>
              <w:adjustRightInd w:val="0"/>
              <w:snapToGrid w:val="0"/>
              <w:spacing w:before="60" w:beforeLines="25" w:after="60" w:afterLines="25"/>
              <w:jc w:val="left"/>
              <w:rPr>
                <w:rFonts w:hint="eastAsia" w:ascii="仿宋" w:hAnsi="仿宋" w:eastAsia="仿宋" w:cs="Arial"/>
                <w:kern w:val="2"/>
                <w:sz w:val="21"/>
                <w:szCs w:val="21"/>
                <w:lang w:val="en-US" w:eastAsia="zh-CN" w:bidi="ar-SA"/>
              </w:rPr>
            </w:pPr>
            <w:r>
              <w:rPr>
                <w:rFonts w:hint="eastAsia" w:ascii="仿宋" w:hAnsi="仿宋" w:eastAsia="仿宋" w:cs="Arial"/>
                <w:szCs w:val="21"/>
              </w:rPr>
              <w:t>对供应商在施工过程中采取的降尘、降噪、建筑垃圾处置及保证施工场地周边空气质量</w:t>
            </w:r>
            <w:r>
              <w:rPr>
                <w:rFonts w:hint="eastAsia" w:ascii="仿宋" w:hAnsi="仿宋" w:eastAsia="仿宋" w:cs="Arial"/>
                <w:szCs w:val="21"/>
                <w:lang w:eastAsia="zh-CN"/>
              </w:rPr>
              <w:t>、</w:t>
            </w:r>
            <w:r>
              <w:rPr>
                <w:rFonts w:hint="eastAsia" w:ascii="仿宋" w:hAnsi="仿宋" w:eastAsia="仿宋" w:cs="Arial"/>
                <w:szCs w:val="21"/>
              </w:rPr>
              <w:t>安全文明施工措施</w:t>
            </w:r>
            <w:r>
              <w:rPr>
                <w:rFonts w:hint="eastAsia" w:ascii="仿宋" w:hAnsi="仿宋" w:eastAsia="仿宋" w:cs="Arial"/>
                <w:szCs w:val="21"/>
                <w:lang w:eastAsia="zh-CN"/>
              </w:rPr>
              <w:t>（</w:t>
            </w:r>
            <w:r>
              <w:rPr>
                <w:rFonts w:hint="eastAsia" w:ascii="仿宋" w:hAnsi="仿宋" w:eastAsia="仿宋" w:cs="Arial"/>
                <w:szCs w:val="21"/>
              </w:rPr>
              <w:t>施工现场的材料堆场、施工通道的安排，消防安全</w:t>
            </w:r>
            <w:r>
              <w:rPr>
                <w:rFonts w:hint="eastAsia" w:ascii="仿宋" w:hAnsi="仿宋" w:eastAsia="仿宋" w:cs="Arial"/>
                <w:szCs w:val="21"/>
                <w:lang w:val="en-US" w:eastAsia="zh-CN"/>
              </w:rPr>
              <w:t>等</w:t>
            </w:r>
            <w:r>
              <w:rPr>
                <w:rFonts w:hint="eastAsia" w:ascii="仿宋" w:hAnsi="仿宋" w:eastAsia="仿宋" w:cs="Arial"/>
                <w:szCs w:val="21"/>
                <w:lang w:eastAsia="zh-CN"/>
              </w:rPr>
              <w:t>）</w:t>
            </w:r>
            <w:r>
              <w:rPr>
                <w:rFonts w:hint="eastAsia" w:ascii="仿宋" w:hAnsi="仿宋" w:eastAsia="仿宋" w:cs="Arial"/>
                <w:szCs w:val="21"/>
              </w:rPr>
              <w:t>的评价（</w:t>
            </w:r>
            <w:r>
              <w:rPr>
                <w:rFonts w:hint="eastAsia" w:ascii="仿宋" w:hAnsi="仿宋" w:eastAsia="仿宋" w:cs="Arial"/>
                <w:szCs w:val="21"/>
                <w:lang w:val="en-US" w:eastAsia="zh-CN"/>
              </w:rPr>
              <w:t>5分，</w:t>
            </w:r>
            <w:r>
              <w:rPr>
                <w:rFonts w:hint="eastAsia" w:ascii="仿宋" w:hAnsi="仿宋" w:eastAsia="仿宋" w:cs="Arial"/>
                <w:szCs w:val="21"/>
              </w:rPr>
              <w:t>4分、3分、2分、1分、0分）。</w:t>
            </w:r>
          </w:p>
        </w:tc>
        <w:tc>
          <w:tcPr>
            <w:tcW w:w="628" w:type="dxa"/>
            <w:shd w:val="clear" w:color="auto" w:fill="auto"/>
            <w:vAlign w:val="center"/>
          </w:tcPr>
          <w:p w14:paraId="31D9C95E">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5</w:t>
            </w:r>
          </w:p>
        </w:tc>
        <w:tc>
          <w:tcPr>
            <w:tcW w:w="930" w:type="dxa"/>
            <w:shd w:val="clear" w:color="auto" w:fill="auto"/>
            <w:vAlign w:val="center"/>
          </w:tcPr>
          <w:p w14:paraId="02204CEF">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主观分</w:t>
            </w:r>
          </w:p>
        </w:tc>
      </w:tr>
      <w:tr w14:paraId="2728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8" w:type="dxa"/>
            <w:shd w:val="clear" w:color="auto" w:fill="auto"/>
            <w:vAlign w:val="center"/>
          </w:tcPr>
          <w:p w14:paraId="79C734E3">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kern w:val="2"/>
                <w:sz w:val="21"/>
                <w:szCs w:val="21"/>
                <w:lang w:val="en-US" w:eastAsia="zh-CN" w:bidi="ar-SA"/>
              </w:rPr>
              <w:t>15</w:t>
            </w:r>
          </w:p>
        </w:tc>
        <w:tc>
          <w:tcPr>
            <w:tcW w:w="6964" w:type="dxa"/>
            <w:shd w:val="clear" w:color="auto" w:fill="auto"/>
            <w:vAlign w:val="top"/>
          </w:tcPr>
          <w:p w14:paraId="3D43390B">
            <w:pPr>
              <w:autoSpaceDE w:val="0"/>
              <w:autoSpaceDN w:val="0"/>
              <w:adjustRightInd w:val="0"/>
              <w:snapToGrid w:val="0"/>
              <w:spacing w:before="60" w:beforeLines="25" w:after="60" w:afterLines="25"/>
              <w:jc w:val="left"/>
              <w:rPr>
                <w:rFonts w:hint="eastAsia" w:ascii="仿宋" w:hAnsi="仿宋" w:eastAsia="仿宋" w:cs="Arial"/>
                <w:szCs w:val="21"/>
                <w:lang w:val="en-US" w:eastAsia="zh-CN"/>
              </w:rPr>
            </w:pPr>
            <w:r>
              <w:rPr>
                <w:rFonts w:hint="eastAsia" w:ascii="仿宋" w:hAnsi="仿宋" w:eastAsia="仿宋" w:cs="Arial"/>
                <w:szCs w:val="21"/>
              </w:rPr>
              <w:t>施工</w:t>
            </w:r>
            <w:r>
              <w:rPr>
                <w:rFonts w:hint="eastAsia" w:ascii="仿宋" w:hAnsi="仿宋" w:eastAsia="仿宋" w:cs="Arial"/>
                <w:szCs w:val="21"/>
                <w:lang w:val="en-US" w:eastAsia="zh-CN"/>
              </w:rPr>
              <w:t>主要</w:t>
            </w:r>
            <w:r>
              <w:rPr>
                <w:rFonts w:hint="eastAsia" w:ascii="仿宋" w:hAnsi="仿宋" w:eastAsia="仿宋" w:cs="Arial"/>
                <w:szCs w:val="21"/>
              </w:rPr>
              <w:t>材料选用的品牌及档次</w:t>
            </w:r>
            <w:r>
              <w:rPr>
                <w:rFonts w:hint="eastAsia" w:ascii="仿宋" w:hAnsi="仿宋" w:eastAsia="仿宋" w:cs="Arial"/>
                <w:szCs w:val="21"/>
                <w:lang w:val="en-US" w:eastAsia="zh-CN"/>
              </w:rPr>
              <w:t>的评价</w:t>
            </w:r>
            <w:r>
              <w:rPr>
                <w:rFonts w:hint="eastAsia" w:ascii="仿宋" w:hAnsi="仿宋" w:eastAsia="仿宋" w:cs="Arial"/>
                <w:szCs w:val="21"/>
              </w:rPr>
              <w:t>（</w:t>
            </w:r>
            <w:r>
              <w:rPr>
                <w:rFonts w:hint="eastAsia" w:ascii="仿宋" w:hAnsi="仿宋" w:eastAsia="仿宋" w:cs="Arial"/>
                <w:szCs w:val="21"/>
                <w:lang w:val="en-US" w:eastAsia="zh-CN"/>
              </w:rPr>
              <w:t>5分、4分、</w:t>
            </w:r>
            <w:r>
              <w:rPr>
                <w:rFonts w:hint="eastAsia" w:ascii="仿宋" w:hAnsi="仿宋" w:eastAsia="仿宋" w:cs="Arial"/>
                <w:szCs w:val="21"/>
              </w:rPr>
              <w:t>3分、2分、1分、0分）</w:t>
            </w:r>
            <w:r>
              <w:rPr>
                <w:rFonts w:hint="eastAsia" w:ascii="仿宋" w:hAnsi="仿宋" w:eastAsia="仿宋" w:cs="Arial"/>
                <w:szCs w:val="21"/>
                <w:lang w:eastAsia="zh-CN"/>
              </w:rPr>
              <w:t>。</w:t>
            </w:r>
          </w:p>
        </w:tc>
        <w:tc>
          <w:tcPr>
            <w:tcW w:w="628" w:type="dxa"/>
            <w:shd w:val="clear" w:color="auto" w:fill="auto"/>
            <w:vAlign w:val="center"/>
          </w:tcPr>
          <w:p w14:paraId="31C45609">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5</w:t>
            </w:r>
          </w:p>
        </w:tc>
        <w:tc>
          <w:tcPr>
            <w:tcW w:w="930" w:type="dxa"/>
            <w:shd w:val="clear" w:color="auto" w:fill="auto"/>
            <w:vAlign w:val="center"/>
          </w:tcPr>
          <w:p w14:paraId="50A4425C">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主观分</w:t>
            </w:r>
          </w:p>
        </w:tc>
      </w:tr>
      <w:tr w14:paraId="0392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7B5E358B">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kern w:val="2"/>
                <w:sz w:val="21"/>
                <w:szCs w:val="21"/>
                <w:lang w:val="en-US" w:eastAsia="zh-CN" w:bidi="ar-SA"/>
              </w:rPr>
              <w:t>16</w:t>
            </w:r>
          </w:p>
        </w:tc>
        <w:tc>
          <w:tcPr>
            <w:tcW w:w="6964" w:type="dxa"/>
            <w:shd w:val="clear" w:color="auto" w:fill="auto"/>
            <w:vAlign w:val="top"/>
          </w:tcPr>
          <w:p w14:paraId="661FB36B">
            <w:pPr>
              <w:autoSpaceDE w:val="0"/>
              <w:autoSpaceDN w:val="0"/>
              <w:adjustRightInd w:val="0"/>
              <w:snapToGrid w:val="0"/>
              <w:spacing w:before="60" w:beforeLines="25" w:after="60" w:afterLines="25"/>
              <w:jc w:val="left"/>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lang w:val="en-US" w:eastAsia="zh-CN"/>
              </w:rPr>
              <w:t>保障施工期间不停电的措施和方案</w:t>
            </w:r>
            <w:r>
              <w:rPr>
                <w:rFonts w:hint="eastAsia" w:ascii="仿宋" w:hAnsi="仿宋" w:eastAsia="仿宋" w:cs="Arial"/>
                <w:color w:val="auto"/>
                <w:szCs w:val="21"/>
              </w:rPr>
              <w:t>（5分、4分、3分、2分、1分、0分）。评价因素包括</w:t>
            </w:r>
            <w:r>
              <w:rPr>
                <w:rFonts w:hint="eastAsia" w:ascii="仿宋" w:hAnsi="仿宋" w:eastAsia="仿宋" w:cs="Arial"/>
                <w:color w:val="auto"/>
                <w:szCs w:val="21"/>
                <w:lang w:val="en-US" w:eastAsia="zh-CN"/>
              </w:rPr>
              <w:t>保障</w:t>
            </w:r>
            <w:r>
              <w:rPr>
                <w:rFonts w:hint="eastAsia" w:ascii="仿宋" w:hAnsi="仿宋" w:eastAsia="仿宋" w:cs="Arial"/>
                <w:color w:val="auto"/>
                <w:szCs w:val="21"/>
              </w:rPr>
              <w:t>措施、</w:t>
            </w:r>
            <w:r>
              <w:rPr>
                <w:rFonts w:hint="eastAsia" w:ascii="仿宋" w:hAnsi="仿宋" w:eastAsia="仿宋" w:cs="Arial"/>
                <w:color w:val="auto"/>
                <w:szCs w:val="21"/>
                <w:lang w:val="en-US" w:eastAsia="zh-CN"/>
              </w:rPr>
              <w:t>方案、设备、台班数量、人员</w:t>
            </w:r>
            <w:r>
              <w:rPr>
                <w:rFonts w:hint="eastAsia" w:ascii="仿宋" w:hAnsi="仿宋" w:eastAsia="仿宋" w:cs="Arial"/>
                <w:color w:val="auto"/>
                <w:szCs w:val="21"/>
              </w:rPr>
              <w:t>力量</w:t>
            </w:r>
            <w:r>
              <w:rPr>
                <w:rFonts w:hint="eastAsia" w:ascii="仿宋" w:hAnsi="仿宋" w:eastAsia="仿宋" w:cs="Arial"/>
                <w:color w:val="auto"/>
                <w:szCs w:val="21"/>
                <w:lang w:val="en-US" w:eastAsia="zh-CN"/>
              </w:rPr>
              <w:t>等</w:t>
            </w:r>
            <w:r>
              <w:rPr>
                <w:rFonts w:hint="eastAsia" w:ascii="仿宋" w:hAnsi="仿宋" w:eastAsia="仿宋" w:cs="Arial"/>
                <w:color w:val="auto"/>
                <w:szCs w:val="21"/>
              </w:rPr>
              <w:t>。</w:t>
            </w:r>
          </w:p>
        </w:tc>
        <w:tc>
          <w:tcPr>
            <w:tcW w:w="628" w:type="dxa"/>
            <w:shd w:val="clear" w:color="auto" w:fill="auto"/>
            <w:vAlign w:val="center"/>
          </w:tcPr>
          <w:p w14:paraId="2A5F8C0F">
            <w:pPr>
              <w:autoSpaceDE w:val="0"/>
              <w:autoSpaceDN w:val="0"/>
              <w:adjustRightInd/>
              <w:snapToGrid w:val="0"/>
              <w:spacing w:line="360" w:lineRule="auto"/>
              <w:jc w:val="center"/>
              <w:rPr>
                <w:rFonts w:hint="default" w:ascii="仿宋" w:hAnsi="仿宋" w:eastAsia="仿宋" w:cs="Arial"/>
                <w:kern w:val="2"/>
                <w:sz w:val="21"/>
                <w:szCs w:val="21"/>
                <w:lang w:val="en-US" w:eastAsia="zh-CN" w:bidi="ar-SA"/>
              </w:rPr>
            </w:pPr>
            <w:r>
              <w:rPr>
                <w:rFonts w:hint="eastAsia" w:ascii="仿宋" w:hAnsi="仿宋" w:eastAsia="仿宋" w:cs="Arial"/>
                <w:szCs w:val="21"/>
              </w:rPr>
              <w:t>5</w:t>
            </w:r>
          </w:p>
        </w:tc>
        <w:tc>
          <w:tcPr>
            <w:tcW w:w="930" w:type="dxa"/>
            <w:shd w:val="clear" w:color="auto" w:fill="auto"/>
            <w:vAlign w:val="center"/>
          </w:tcPr>
          <w:p w14:paraId="632F3136">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主观分</w:t>
            </w:r>
          </w:p>
        </w:tc>
      </w:tr>
      <w:tr w14:paraId="1F8A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shd w:val="clear" w:color="auto" w:fill="auto"/>
            <w:vAlign w:val="center"/>
          </w:tcPr>
          <w:p w14:paraId="346FBB91">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17</w:t>
            </w:r>
          </w:p>
        </w:tc>
        <w:tc>
          <w:tcPr>
            <w:tcW w:w="6964" w:type="dxa"/>
            <w:shd w:val="clear" w:color="auto" w:fill="auto"/>
            <w:vAlign w:val="top"/>
          </w:tcPr>
          <w:p w14:paraId="27C8372B">
            <w:pPr>
              <w:autoSpaceDE w:val="0"/>
              <w:autoSpaceDN w:val="0"/>
              <w:adjustRightInd w:val="0"/>
              <w:snapToGrid w:val="0"/>
              <w:spacing w:before="60" w:beforeLines="25" w:after="60" w:afterLines="25"/>
              <w:jc w:val="left"/>
              <w:rPr>
                <w:rFonts w:hint="eastAsia" w:ascii="仿宋" w:hAnsi="仿宋" w:eastAsia="仿宋" w:cs="Arial"/>
                <w:color w:val="auto"/>
                <w:kern w:val="2"/>
                <w:sz w:val="21"/>
                <w:szCs w:val="21"/>
                <w:lang w:val="en-US" w:eastAsia="zh-CN" w:bidi="ar-SA"/>
              </w:rPr>
            </w:pPr>
            <w:r>
              <w:rPr>
                <w:rFonts w:hint="eastAsia" w:ascii="仿宋" w:hAnsi="仿宋" w:eastAsia="仿宋" w:cs="Arial"/>
                <w:color w:val="auto"/>
                <w:szCs w:val="21"/>
              </w:rPr>
              <w:t>对售后服务承诺的范围和完善程度的评价（4分、3分、2分、1分、0分），包括保修范围、保修内容、人员配备、故障响应修复时间方式及保障措施等。</w:t>
            </w:r>
          </w:p>
        </w:tc>
        <w:tc>
          <w:tcPr>
            <w:tcW w:w="628" w:type="dxa"/>
            <w:shd w:val="clear" w:color="auto" w:fill="auto"/>
            <w:vAlign w:val="center"/>
          </w:tcPr>
          <w:p w14:paraId="242C98B8">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4</w:t>
            </w:r>
          </w:p>
        </w:tc>
        <w:tc>
          <w:tcPr>
            <w:tcW w:w="930" w:type="dxa"/>
            <w:shd w:val="clear" w:color="auto" w:fill="auto"/>
            <w:vAlign w:val="center"/>
          </w:tcPr>
          <w:p w14:paraId="7E6FCD4F">
            <w:pPr>
              <w:autoSpaceDE w:val="0"/>
              <w:autoSpaceDN w:val="0"/>
              <w:adjustRightInd/>
              <w:snapToGrid w:val="0"/>
              <w:spacing w:line="360" w:lineRule="auto"/>
              <w:jc w:val="center"/>
              <w:rPr>
                <w:rFonts w:hint="eastAsia" w:ascii="仿宋" w:hAnsi="仿宋" w:eastAsia="仿宋" w:cs="Arial"/>
                <w:kern w:val="2"/>
                <w:sz w:val="21"/>
                <w:szCs w:val="21"/>
                <w:lang w:val="en-US" w:eastAsia="zh-CN" w:bidi="ar-SA"/>
              </w:rPr>
            </w:pPr>
            <w:r>
              <w:rPr>
                <w:rFonts w:hint="eastAsia" w:ascii="仿宋" w:hAnsi="仿宋" w:eastAsia="仿宋" w:cs="Arial"/>
                <w:szCs w:val="21"/>
              </w:rPr>
              <w:t>主观分</w:t>
            </w:r>
          </w:p>
        </w:tc>
      </w:tr>
      <w:tr w14:paraId="4DB3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62" w:type="dxa"/>
            <w:gridSpan w:val="2"/>
            <w:shd w:val="clear" w:color="auto" w:fill="auto"/>
            <w:vAlign w:val="center"/>
          </w:tcPr>
          <w:p w14:paraId="68AE6894">
            <w:pPr>
              <w:autoSpaceDE w:val="0"/>
              <w:autoSpaceDN w:val="0"/>
              <w:adjustRightInd/>
              <w:snapToGrid w:val="0"/>
              <w:jc w:val="center"/>
              <w:rPr>
                <w:rFonts w:hint="eastAsia" w:ascii="仿宋" w:hAnsi="仿宋" w:eastAsia="仿宋" w:cs="Arial"/>
                <w:kern w:val="2"/>
                <w:sz w:val="21"/>
                <w:szCs w:val="21"/>
                <w:lang w:val="en-US" w:eastAsia="zh-CN" w:bidi="ar-SA"/>
              </w:rPr>
            </w:pPr>
            <w:r>
              <w:rPr>
                <w:rFonts w:hint="eastAsia" w:ascii="仿宋" w:hAnsi="仿宋" w:eastAsia="仿宋" w:cs="Arial"/>
                <w:szCs w:val="21"/>
                <w:lang w:val="en-US" w:eastAsia="zh-CN"/>
              </w:rPr>
              <w:t>合计</w:t>
            </w:r>
          </w:p>
        </w:tc>
        <w:tc>
          <w:tcPr>
            <w:tcW w:w="628" w:type="dxa"/>
            <w:vAlign w:val="center"/>
          </w:tcPr>
          <w:p w14:paraId="38E52D6A">
            <w:pPr>
              <w:autoSpaceDE w:val="0"/>
              <w:autoSpaceDN w:val="0"/>
              <w:adjustRightInd w:val="0"/>
              <w:snapToGrid w:val="0"/>
              <w:jc w:val="center"/>
              <w:rPr>
                <w:rFonts w:hint="eastAsia" w:ascii="仿宋" w:hAnsi="仿宋" w:eastAsia="仿宋" w:cs="Arial"/>
                <w:szCs w:val="21"/>
              </w:rPr>
            </w:pPr>
            <w:r>
              <w:rPr>
                <w:rFonts w:hint="eastAsia" w:ascii="仿宋" w:hAnsi="仿宋" w:eastAsia="仿宋" w:cs="Arial"/>
                <w:szCs w:val="21"/>
                <w:lang w:val="en-US" w:eastAsia="zh-CN"/>
              </w:rPr>
              <w:t>7</w:t>
            </w:r>
            <w:r>
              <w:rPr>
                <w:rFonts w:hint="eastAsia" w:ascii="仿宋" w:hAnsi="仿宋" w:eastAsia="仿宋" w:cs="Arial"/>
                <w:szCs w:val="21"/>
              </w:rPr>
              <w:t>0</w:t>
            </w:r>
          </w:p>
        </w:tc>
        <w:tc>
          <w:tcPr>
            <w:tcW w:w="930" w:type="dxa"/>
            <w:vAlign w:val="center"/>
          </w:tcPr>
          <w:p w14:paraId="557B0FAC">
            <w:pPr>
              <w:autoSpaceDE w:val="0"/>
              <w:autoSpaceDN w:val="0"/>
              <w:adjustRightInd w:val="0"/>
              <w:snapToGrid w:val="0"/>
              <w:jc w:val="center"/>
              <w:rPr>
                <w:rFonts w:hint="eastAsia" w:ascii="仿宋" w:hAnsi="仿宋" w:eastAsia="仿宋" w:cs="Arial"/>
                <w:szCs w:val="21"/>
              </w:rPr>
            </w:pPr>
            <w:r>
              <w:rPr>
                <w:rFonts w:hint="eastAsia" w:ascii="仿宋" w:hAnsi="仿宋" w:eastAsia="仿宋" w:cs="Arial"/>
                <w:szCs w:val="21"/>
              </w:rPr>
              <w:t>/</w:t>
            </w:r>
          </w:p>
        </w:tc>
      </w:tr>
    </w:tbl>
    <w:p w14:paraId="17AEBB4C">
      <w:pPr>
        <w:autoSpaceDE w:val="0"/>
        <w:autoSpaceDN w:val="0"/>
      </w:pPr>
      <w:r>
        <w:rPr>
          <w:rFonts w:eastAsia="仿宋"/>
          <w:b/>
          <w:sz w:val="24"/>
        </w:rPr>
        <w:t>备注：</w:t>
      </w:r>
      <w:r>
        <w:rPr>
          <w:rFonts w:hint="eastAsia" w:eastAsia="仿宋"/>
          <w:b/>
          <w:sz w:val="24"/>
        </w:rPr>
        <w:t>商务</w:t>
      </w:r>
      <w:r>
        <w:rPr>
          <w:rFonts w:eastAsia="仿宋"/>
          <w:b/>
          <w:sz w:val="24"/>
        </w:rPr>
        <w:t>技术分=（磋商小组所有成员评分合计数）/（磋商小组人数）</w:t>
      </w:r>
    </w:p>
    <w:p w14:paraId="2554178C">
      <w:pPr>
        <w:keepNext/>
        <w:keepLines/>
        <w:autoSpaceDE w:val="0"/>
        <w:autoSpaceDN w:val="0"/>
        <w:spacing w:before="72" w:beforeLines="30" w:after="72" w:afterLines="30" w:line="360" w:lineRule="auto"/>
        <w:ind w:firstLine="480" w:firstLineChars="200"/>
        <w:outlineLvl w:val="2"/>
        <w:rPr>
          <w:rFonts w:hint="eastAsia" w:ascii="华文中宋" w:hAnsi="华文中宋" w:eastAsia="华文中宋" w:cs="华文中宋"/>
          <w:b/>
          <w:bCs/>
          <w:sz w:val="24"/>
          <w:szCs w:val="32"/>
        </w:rPr>
      </w:pPr>
      <w:r>
        <w:rPr>
          <w:rFonts w:hint="eastAsia" w:ascii="华文中宋" w:hAnsi="华文中宋" w:eastAsia="华文中宋" w:cs="华文中宋"/>
          <w:b/>
          <w:bCs/>
          <w:sz w:val="24"/>
          <w:szCs w:val="32"/>
        </w:rPr>
        <w:t>3.2 报价</w:t>
      </w:r>
      <w:r>
        <w:rPr>
          <w:rFonts w:hint="eastAsia" w:ascii="华文中宋" w:hAnsi="华文中宋" w:eastAsia="华文中宋" w:cs="华文中宋"/>
          <w:b/>
          <w:bCs/>
          <w:sz w:val="24"/>
          <w:szCs w:val="32"/>
          <w:highlight w:val="none"/>
        </w:rPr>
        <w:t>分（</w:t>
      </w:r>
      <w:r>
        <w:rPr>
          <w:rFonts w:hint="eastAsia" w:ascii="华文中宋" w:hAnsi="华文中宋" w:eastAsia="华文中宋" w:cs="华文中宋"/>
          <w:b/>
          <w:bCs/>
          <w:sz w:val="24"/>
          <w:szCs w:val="32"/>
          <w:highlight w:val="none"/>
          <w:lang w:val="en-US" w:eastAsia="zh-CN"/>
        </w:rPr>
        <w:t>3</w:t>
      </w:r>
      <w:r>
        <w:rPr>
          <w:rFonts w:hint="eastAsia" w:ascii="华文中宋" w:hAnsi="华文中宋" w:eastAsia="华文中宋" w:cs="华文中宋"/>
          <w:b/>
          <w:bCs/>
          <w:sz w:val="24"/>
          <w:szCs w:val="32"/>
          <w:highlight w:val="none"/>
        </w:rPr>
        <w:t>0分）</w:t>
      </w:r>
    </w:p>
    <w:p w14:paraId="26180D88">
      <w:pPr>
        <w:autoSpaceDE w:val="0"/>
        <w:autoSpaceDN w:val="0"/>
        <w:spacing w:line="360" w:lineRule="auto"/>
        <w:ind w:firstLine="460" w:firstLineChars="192"/>
        <w:rPr>
          <w:rFonts w:hint="eastAsia" w:ascii="仿宋" w:hAnsi="仿宋" w:eastAsia="仿宋" w:cs="仿宋"/>
          <w:color w:val="000000"/>
          <w:sz w:val="24"/>
          <w:szCs w:val="22"/>
        </w:rPr>
      </w:pPr>
      <w:r>
        <w:rPr>
          <w:rFonts w:hint="eastAsia" w:ascii="仿宋" w:hAnsi="仿宋" w:eastAsia="仿宋" w:cs="仿宋"/>
          <w:color w:val="000000"/>
          <w:sz w:val="24"/>
          <w:szCs w:val="22"/>
        </w:rPr>
        <w:t>3.2.1最后报价的合理性：分析最后报价是否合理，最后报价范围是否完整，有否重大错漏项。</w:t>
      </w:r>
    </w:p>
    <w:p w14:paraId="03CBF2AD">
      <w:pPr>
        <w:autoSpaceDE w:val="0"/>
        <w:autoSpaceDN w:val="0"/>
        <w:spacing w:line="360" w:lineRule="auto"/>
        <w:ind w:firstLine="460" w:firstLineChars="192"/>
        <w:rPr>
          <w:rFonts w:hint="eastAsia" w:ascii="仿宋" w:hAnsi="仿宋" w:eastAsia="仿宋" w:cs="仿宋"/>
          <w:color w:val="000000"/>
          <w:sz w:val="24"/>
          <w:szCs w:val="22"/>
        </w:rPr>
      </w:pPr>
      <w:r>
        <w:rPr>
          <w:rFonts w:hint="eastAsia" w:ascii="仿宋" w:hAnsi="仿宋" w:eastAsia="仿宋" w:cs="仿宋"/>
          <w:color w:val="000000"/>
          <w:sz w:val="24"/>
          <w:szCs w:val="22"/>
        </w:rPr>
        <w:t>3.2.2磋商报价分计算方法：</w:t>
      </w:r>
      <w:r>
        <w:rPr>
          <w:rFonts w:hint="eastAsia" w:ascii="仿宋" w:hAnsi="仿宋" w:eastAsia="仿宋" w:cs="仿宋"/>
          <w:b/>
          <w:color w:val="000000"/>
          <w:sz w:val="24"/>
          <w:szCs w:val="22"/>
        </w:rPr>
        <w:t>满足《磋商文件》要求且最后报价最低的有效供应商的最后报价为磋商基准价，其价格分为</w:t>
      </w:r>
      <w:r>
        <w:rPr>
          <w:rFonts w:hint="eastAsia" w:ascii="仿宋" w:hAnsi="仿宋" w:eastAsia="仿宋" w:cs="仿宋"/>
          <w:b/>
          <w:color w:val="000000"/>
          <w:sz w:val="24"/>
          <w:szCs w:val="22"/>
          <w:lang w:val="en-US" w:eastAsia="zh-CN"/>
        </w:rPr>
        <w:t>3</w:t>
      </w:r>
      <w:r>
        <w:rPr>
          <w:rFonts w:hint="eastAsia" w:ascii="仿宋" w:hAnsi="仿宋" w:eastAsia="仿宋" w:cs="仿宋"/>
          <w:b/>
          <w:color w:val="000000"/>
          <w:sz w:val="24"/>
          <w:szCs w:val="22"/>
        </w:rPr>
        <w:t>0分（即价格权值为</w:t>
      </w:r>
      <w:r>
        <w:rPr>
          <w:rFonts w:hint="eastAsia" w:ascii="仿宋" w:hAnsi="仿宋" w:eastAsia="仿宋" w:cs="仿宋"/>
          <w:b/>
          <w:color w:val="000000"/>
          <w:sz w:val="24"/>
          <w:szCs w:val="22"/>
          <w:lang w:val="en-US" w:eastAsia="zh-CN"/>
        </w:rPr>
        <w:t>3</w:t>
      </w:r>
      <w:r>
        <w:rPr>
          <w:rFonts w:hint="eastAsia" w:ascii="仿宋" w:hAnsi="仿宋" w:eastAsia="仿宋" w:cs="仿宋"/>
          <w:b/>
          <w:color w:val="000000"/>
          <w:sz w:val="24"/>
          <w:szCs w:val="22"/>
        </w:rPr>
        <w:t>0%）。</w:t>
      </w:r>
      <w:r>
        <w:rPr>
          <w:rFonts w:hint="eastAsia" w:ascii="仿宋" w:hAnsi="仿宋" w:eastAsia="仿宋" w:cs="仿宋"/>
          <w:color w:val="000000"/>
          <w:sz w:val="24"/>
          <w:szCs w:val="22"/>
        </w:rPr>
        <w:t>其他磋商响应供应商的价格分统一按照下列公式计算（精确到小数点后二位）：</w:t>
      </w:r>
    </w:p>
    <w:p w14:paraId="42298946">
      <w:pPr>
        <w:autoSpaceDE w:val="0"/>
        <w:autoSpaceDN w:val="0"/>
        <w:spacing w:line="360" w:lineRule="auto"/>
        <w:ind w:firstLine="463" w:firstLineChars="192"/>
        <w:rPr>
          <w:rFonts w:hint="eastAsia" w:ascii="仿宋" w:hAnsi="仿宋" w:eastAsia="仿宋" w:cs="仿宋"/>
          <w:color w:val="000000"/>
          <w:sz w:val="24"/>
          <w:szCs w:val="22"/>
        </w:rPr>
      </w:pPr>
      <w:r>
        <w:rPr>
          <w:rFonts w:hint="eastAsia" w:ascii="仿宋" w:hAnsi="仿宋" w:eastAsia="仿宋" w:cs="仿宋"/>
          <w:b/>
          <w:color w:val="000000"/>
          <w:kern w:val="0"/>
          <w:sz w:val="24"/>
          <w:szCs w:val="22"/>
        </w:rPr>
        <w:t>报价分=（磋商基准价／最后报价）×</w:t>
      </w:r>
      <w:r>
        <w:rPr>
          <w:rFonts w:hint="eastAsia" w:ascii="仿宋" w:hAnsi="仿宋" w:eastAsia="仿宋" w:cs="仿宋"/>
          <w:b/>
          <w:color w:val="000000"/>
          <w:kern w:val="0"/>
          <w:sz w:val="24"/>
          <w:szCs w:val="22"/>
          <w:lang w:val="en-US" w:eastAsia="zh-CN"/>
        </w:rPr>
        <w:t>3</w:t>
      </w:r>
      <w:r>
        <w:rPr>
          <w:rFonts w:hint="eastAsia" w:ascii="仿宋" w:hAnsi="仿宋" w:eastAsia="仿宋" w:cs="仿宋"/>
          <w:b/>
          <w:color w:val="000000"/>
          <w:kern w:val="0"/>
          <w:sz w:val="24"/>
          <w:szCs w:val="22"/>
        </w:rPr>
        <w:t>0%×100</w:t>
      </w:r>
    </w:p>
    <w:p w14:paraId="4E8425A2">
      <w:pPr>
        <w:autoSpaceDE w:val="0"/>
        <w:autoSpaceDN w:val="0"/>
        <w:spacing w:line="360" w:lineRule="auto"/>
        <w:ind w:firstLine="463" w:firstLineChars="192"/>
        <w:rPr>
          <w:rFonts w:hint="eastAsia" w:ascii="仿宋" w:hAnsi="仿宋" w:eastAsia="仿宋" w:cs="仿宋"/>
          <w:b/>
          <w:color w:val="000000"/>
          <w:kern w:val="0"/>
          <w:sz w:val="24"/>
          <w:szCs w:val="22"/>
        </w:rPr>
      </w:pPr>
      <w:r>
        <w:rPr>
          <w:rFonts w:hint="eastAsia" w:ascii="仿宋" w:hAnsi="仿宋" w:eastAsia="仿宋" w:cs="仿宋"/>
          <w:b/>
          <w:color w:val="000000"/>
          <w:sz w:val="24"/>
          <w:szCs w:val="22"/>
        </w:rPr>
        <w:t>3.2.3</w:t>
      </w:r>
      <w:r>
        <w:rPr>
          <w:rFonts w:hint="eastAsia" w:ascii="仿宋" w:hAnsi="仿宋" w:eastAsia="仿宋" w:cs="仿宋"/>
          <w:b/>
          <w:color w:val="000000"/>
          <w:kern w:val="0"/>
          <w:sz w:val="24"/>
          <w:szCs w:val="22"/>
        </w:rPr>
        <w:t>重要提示：</w:t>
      </w:r>
    </w:p>
    <w:p w14:paraId="3EA4A493">
      <w:pPr>
        <w:autoSpaceDN w:val="0"/>
        <w:spacing w:line="360" w:lineRule="auto"/>
        <w:ind w:firstLine="463" w:firstLineChars="192"/>
        <w:rPr>
          <w:rFonts w:hint="eastAsia" w:ascii="仿宋" w:hAnsi="仿宋" w:eastAsia="仿宋" w:cs="仿宋"/>
          <w:b/>
          <w:color w:val="auto"/>
          <w:kern w:val="0"/>
          <w:sz w:val="24"/>
          <w:szCs w:val="22"/>
          <w:u w:val="single"/>
        </w:rPr>
      </w:pPr>
      <w:bookmarkStart w:id="155" w:name="_Toc12319"/>
      <w:r>
        <w:rPr>
          <w:rFonts w:hint="eastAsia" w:ascii="仿宋" w:hAnsi="仿宋" w:eastAsia="仿宋" w:cs="仿宋"/>
          <w:b/>
          <w:color w:val="auto"/>
          <w:kern w:val="0"/>
          <w:sz w:val="24"/>
          <w:szCs w:val="22"/>
          <w:u w:val="single"/>
        </w:rPr>
        <w:t>（1）供应商应诚信响应采购文件。供应商应遵循诚实信用原则在投标（响应）文件中提供真实材料。供应商可事先在公开官网查询、核对相关证书和报告内容，确保投标（响应）文件资料准确无误。</w:t>
      </w:r>
    </w:p>
    <w:p w14:paraId="4D4A6462">
      <w:pPr>
        <w:autoSpaceDN w:val="0"/>
        <w:spacing w:line="360" w:lineRule="auto"/>
        <w:ind w:firstLine="463" w:firstLineChars="192"/>
        <w:rPr>
          <w:rFonts w:hint="eastAsia" w:ascii="仿宋" w:hAnsi="仿宋" w:eastAsia="仿宋" w:cs="仿宋"/>
          <w:b/>
          <w:color w:val="auto"/>
          <w:kern w:val="0"/>
          <w:sz w:val="24"/>
          <w:szCs w:val="22"/>
        </w:rPr>
      </w:pPr>
      <w:r>
        <w:rPr>
          <w:rFonts w:hint="eastAsia" w:ascii="仿宋" w:hAnsi="仿宋" w:eastAsia="仿宋" w:cs="仿宋"/>
          <w:b/>
          <w:color w:val="auto"/>
          <w:kern w:val="0"/>
          <w:sz w:val="24"/>
          <w:szCs w:val="22"/>
          <w:u w:val="single"/>
        </w:rPr>
        <w:t>（2）在评审结束后、合同签订前，采购人、采购代理机构将通过网站查询、原件核对等方式对中标（成交）供应商在投标（响应）文件中涉及客观分评审内容的检测报告、认证证书等资料的真实性进行复核，并将复核情况详细记录，发现供应商提供虚假材料的，将书面报告本级财政部门。</w:t>
      </w:r>
    </w:p>
    <w:p w14:paraId="39F9DA4B">
      <w:pPr>
        <w:autoSpaceDN w:val="0"/>
        <w:spacing w:line="360" w:lineRule="auto"/>
        <w:ind w:firstLine="463" w:firstLineChars="192"/>
        <w:rPr>
          <w:rFonts w:hint="eastAsia" w:ascii="仿宋" w:hAnsi="仿宋" w:eastAsia="仿宋" w:cs="仿宋"/>
          <w:b/>
          <w:color w:val="000000"/>
          <w:kern w:val="0"/>
          <w:sz w:val="24"/>
          <w:szCs w:val="22"/>
        </w:rPr>
      </w:pPr>
      <w:r>
        <w:rPr>
          <w:rFonts w:hint="eastAsia" w:ascii="仿宋" w:hAnsi="仿宋" w:eastAsia="仿宋" w:cs="仿宋"/>
          <w:b/>
          <w:color w:val="000000"/>
          <w:kern w:val="0"/>
          <w:sz w:val="24"/>
          <w:szCs w:val="22"/>
        </w:rPr>
        <w:t>（3）</w:t>
      </w:r>
      <w:r>
        <w:rPr>
          <w:rFonts w:hint="eastAsia" w:ascii="仿宋" w:hAnsi="仿宋" w:eastAsia="仿宋" w:cs="仿宋"/>
          <w:b/>
          <w:color w:val="000000"/>
          <w:kern w:val="0"/>
          <w:sz w:val="24"/>
          <w:szCs w:val="22"/>
          <w:u w:val="single"/>
        </w:rPr>
        <w:t>本项目专门面向中小企业采购，小型、微型、监狱及残疾人福利性企业评审价格不予扣除</w:t>
      </w:r>
      <w:r>
        <w:rPr>
          <w:rFonts w:hint="eastAsia" w:ascii="仿宋" w:hAnsi="仿宋" w:eastAsia="仿宋" w:cs="仿宋"/>
          <w:b/>
          <w:color w:val="000000"/>
          <w:kern w:val="0"/>
          <w:sz w:val="24"/>
          <w:szCs w:val="22"/>
        </w:rPr>
        <w:t>；</w:t>
      </w:r>
    </w:p>
    <w:p w14:paraId="41384F28">
      <w:pPr>
        <w:autoSpaceDN w:val="0"/>
        <w:spacing w:line="360" w:lineRule="auto"/>
        <w:ind w:firstLine="463" w:firstLineChars="192"/>
        <w:rPr>
          <w:rFonts w:hint="eastAsia" w:ascii="仿宋" w:hAnsi="仿宋" w:eastAsia="仿宋" w:cs="仿宋"/>
          <w:b/>
          <w:color w:val="000000"/>
          <w:sz w:val="24"/>
          <w:szCs w:val="22"/>
        </w:rPr>
      </w:pPr>
      <w:r>
        <w:rPr>
          <w:rFonts w:hint="eastAsia" w:ascii="仿宋" w:hAnsi="仿宋" w:eastAsia="仿宋" w:cs="仿宋"/>
          <w:b/>
          <w:color w:val="000000"/>
          <w:kern w:val="0"/>
          <w:sz w:val="24"/>
          <w:szCs w:val="22"/>
        </w:rPr>
        <w:t>（4）</w:t>
      </w:r>
      <w:r>
        <w:rPr>
          <w:rFonts w:hint="eastAsia" w:ascii="仿宋" w:hAnsi="仿宋" w:eastAsia="仿宋" w:cs="仿宋"/>
          <w:b/>
          <w:color w:val="000000"/>
          <w:sz w:val="24"/>
          <w:szCs w:val="22"/>
          <w:u w:val="single"/>
        </w:rPr>
        <w:t>为防止围标串标和低价恶意竞标的行为，评审时如发现磋商响应供应商的报价明显高于市场价格或明显低于其他通过符合性审查的磋商响应供应商的报价或报价低于最高限价50%的，有可能影响产品质量或者不能诚信履约时，磋商响应供应商必须按照磋商小组的要求做出书面说明并提供相关证明材料。如磋商响应供应商不能合理说明原因并提供相关证明材料的，磋商</w:t>
      </w:r>
      <w:r>
        <w:rPr>
          <w:rFonts w:hint="eastAsia" w:ascii="仿宋" w:hAnsi="仿宋" w:eastAsia="仿宋" w:cs="仿宋"/>
          <w:b/>
          <w:color w:val="000000"/>
          <w:kern w:val="0"/>
          <w:sz w:val="24"/>
          <w:szCs w:val="22"/>
          <w:u w:val="single"/>
        </w:rPr>
        <w:t>小组</w:t>
      </w:r>
      <w:r>
        <w:rPr>
          <w:rFonts w:hint="eastAsia" w:ascii="仿宋" w:hAnsi="仿宋" w:eastAsia="仿宋" w:cs="仿宋"/>
          <w:b/>
          <w:color w:val="000000"/>
          <w:sz w:val="24"/>
          <w:szCs w:val="22"/>
          <w:u w:val="single"/>
        </w:rPr>
        <w:t>将对其投标作无效处理，同时由采购组织机构向同级财政部门通报情况，视情将其列入不良供应商名单</w:t>
      </w:r>
      <w:r>
        <w:rPr>
          <w:rFonts w:hint="eastAsia" w:ascii="仿宋" w:hAnsi="仿宋" w:eastAsia="仿宋" w:cs="仿宋"/>
          <w:b/>
          <w:color w:val="000000"/>
          <w:sz w:val="24"/>
          <w:szCs w:val="22"/>
        </w:rPr>
        <w:t>。</w:t>
      </w:r>
    </w:p>
    <w:p w14:paraId="28417831">
      <w:pPr>
        <w:pStyle w:val="3"/>
        <w:autoSpaceDE w:val="0"/>
        <w:autoSpaceDN w:val="0"/>
        <w:spacing w:before="360"/>
        <w:ind w:firstLine="0" w:firstLineChars="0"/>
        <w:rPr>
          <w:rFonts w:hint="eastAsia" w:ascii="Times New Roman" w:hAnsi="仿宋" w:eastAsia="仿宋"/>
          <w:sz w:val="28"/>
          <w:szCs w:val="28"/>
        </w:rPr>
      </w:pPr>
      <w:bookmarkStart w:id="156" w:name="_Toc26031"/>
      <w:r>
        <w:rPr>
          <w:rFonts w:hint="eastAsia" w:ascii="Times New Roman" w:hAnsi="仿宋" w:eastAsia="仿宋"/>
          <w:sz w:val="28"/>
          <w:szCs w:val="28"/>
        </w:rPr>
        <w:t>四、其他评审事项规定</w:t>
      </w:r>
      <w:bookmarkEnd w:id="155"/>
      <w:bookmarkEnd w:id="156"/>
    </w:p>
    <w:p w14:paraId="72ACAE4A">
      <w:pPr>
        <w:autoSpaceDE w:val="0"/>
        <w:autoSpaceDN w:val="0"/>
        <w:spacing w:line="360" w:lineRule="auto"/>
        <w:ind w:firstLine="463" w:firstLineChars="192"/>
        <w:rPr>
          <w:rFonts w:hint="eastAsia" w:ascii="仿宋" w:hAnsi="仿宋" w:eastAsia="仿宋" w:cs="仿宋"/>
          <w:b/>
          <w:color w:val="000000"/>
          <w:sz w:val="24"/>
          <w:szCs w:val="22"/>
        </w:rPr>
      </w:pPr>
      <w:r>
        <w:rPr>
          <w:rFonts w:hint="eastAsia" w:ascii="仿宋" w:hAnsi="仿宋" w:eastAsia="仿宋" w:cs="仿宋"/>
          <w:b/>
          <w:color w:val="000000"/>
          <w:sz w:val="24"/>
          <w:szCs w:val="22"/>
        </w:rPr>
        <w:t>4.1 串通投标的认定</w:t>
      </w:r>
    </w:p>
    <w:p w14:paraId="65A73974">
      <w:pPr>
        <w:autoSpaceDE w:val="0"/>
        <w:autoSpaceDN w:val="0"/>
        <w:spacing w:line="360" w:lineRule="auto"/>
        <w:ind w:firstLine="463" w:firstLineChars="192"/>
        <w:rPr>
          <w:rFonts w:hint="eastAsia" w:ascii="仿宋" w:hAnsi="仿宋" w:eastAsia="仿宋" w:cs="Arial"/>
          <w:b/>
          <w:color w:val="000000"/>
          <w:kern w:val="0"/>
          <w:sz w:val="24"/>
        </w:rPr>
      </w:pPr>
      <w:r>
        <w:rPr>
          <w:rFonts w:hint="eastAsia" w:ascii="仿宋" w:hAnsi="仿宋" w:eastAsia="仿宋" w:cs="Arial"/>
          <w:b/>
          <w:color w:val="000000"/>
          <w:kern w:val="0"/>
          <w:sz w:val="24"/>
        </w:rPr>
        <w:t>4.1.1在评审过程中发现以下情形，被视为串通投标的：</w:t>
      </w:r>
    </w:p>
    <w:p w14:paraId="5B53F89F">
      <w:pPr>
        <w:autoSpaceDE w:val="0"/>
        <w:autoSpaceDN w:val="0"/>
        <w:spacing w:line="360" w:lineRule="auto"/>
        <w:ind w:firstLine="463" w:firstLineChars="192"/>
        <w:rPr>
          <w:rFonts w:hint="eastAsia" w:ascii="仿宋" w:hAnsi="仿宋" w:eastAsia="仿宋" w:cs="Arial"/>
          <w:b/>
          <w:color w:val="000000"/>
          <w:kern w:val="0"/>
          <w:sz w:val="24"/>
        </w:rPr>
      </w:pPr>
      <w:r>
        <w:rPr>
          <w:rFonts w:hint="eastAsia" w:ascii="仿宋" w:hAnsi="仿宋" w:eastAsia="仿宋" w:cs="Arial"/>
          <w:b/>
          <w:color w:val="000000"/>
          <w:kern w:val="0"/>
          <w:sz w:val="24"/>
        </w:rPr>
        <w:t>（1）</w:t>
      </w:r>
      <w:r>
        <w:rPr>
          <w:rFonts w:hint="eastAsia" w:ascii="仿宋" w:hAnsi="仿宋" w:eastAsia="仿宋" w:cs="Arial"/>
          <w:b/>
          <w:color w:val="000000"/>
          <w:kern w:val="0"/>
          <w:sz w:val="24"/>
          <w:u w:val="single"/>
        </w:rPr>
        <w:t>不同磋商响应供应商的磋商响应文件由同一单位或个人编制</w:t>
      </w:r>
      <w:r>
        <w:rPr>
          <w:rFonts w:hint="eastAsia" w:ascii="仿宋" w:hAnsi="仿宋" w:eastAsia="仿宋" w:cs="Arial"/>
          <w:b/>
          <w:color w:val="000000"/>
          <w:kern w:val="0"/>
          <w:sz w:val="24"/>
        </w:rPr>
        <w:t>；</w:t>
      </w:r>
    </w:p>
    <w:p w14:paraId="3F75D1AA">
      <w:pPr>
        <w:autoSpaceDE w:val="0"/>
        <w:autoSpaceDN w:val="0"/>
        <w:spacing w:line="360" w:lineRule="auto"/>
        <w:ind w:firstLine="463" w:firstLineChars="192"/>
        <w:rPr>
          <w:rFonts w:hint="eastAsia" w:ascii="仿宋" w:hAnsi="仿宋" w:eastAsia="仿宋" w:cs="Arial"/>
          <w:b/>
          <w:color w:val="000000"/>
          <w:kern w:val="0"/>
          <w:sz w:val="24"/>
        </w:rPr>
      </w:pPr>
      <w:r>
        <w:rPr>
          <w:rFonts w:hint="eastAsia" w:ascii="仿宋" w:hAnsi="仿宋" w:eastAsia="仿宋" w:cs="Arial"/>
          <w:b/>
          <w:color w:val="000000"/>
          <w:kern w:val="0"/>
          <w:sz w:val="24"/>
        </w:rPr>
        <w:t>（2）</w:t>
      </w:r>
      <w:r>
        <w:rPr>
          <w:rFonts w:hint="eastAsia" w:ascii="仿宋" w:hAnsi="仿宋" w:eastAsia="仿宋" w:cs="Arial"/>
          <w:b/>
          <w:color w:val="000000"/>
          <w:kern w:val="0"/>
          <w:sz w:val="24"/>
          <w:u w:val="single"/>
        </w:rPr>
        <w:t>不同磋商响应供应商委托同一单位或个人办理投标事宜</w:t>
      </w:r>
      <w:r>
        <w:rPr>
          <w:rFonts w:hint="eastAsia" w:ascii="仿宋" w:hAnsi="仿宋" w:eastAsia="仿宋" w:cs="Arial"/>
          <w:b/>
          <w:color w:val="000000"/>
          <w:kern w:val="0"/>
          <w:sz w:val="24"/>
        </w:rPr>
        <w:t>；</w:t>
      </w:r>
    </w:p>
    <w:p w14:paraId="25F941CC">
      <w:pPr>
        <w:autoSpaceDE w:val="0"/>
        <w:autoSpaceDN w:val="0"/>
        <w:spacing w:line="360" w:lineRule="auto"/>
        <w:ind w:firstLine="463" w:firstLineChars="192"/>
        <w:rPr>
          <w:rFonts w:hint="eastAsia" w:ascii="仿宋" w:hAnsi="仿宋" w:eastAsia="仿宋" w:cs="Arial"/>
          <w:b/>
          <w:color w:val="000000"/>
          <w:kern w:val="0"/>
          <w:sz w:val="24"/>
        </w:rPr>
      </w:pPr>
      <w:r>
        <w:rPr>
          <w:rFonts w:hint="eastAsia" w:ascii="仿宋" w:hAnsi="仿宋" w:eastAsia="仿宋" w:cs="Arial"/>
          <w:b/>
          <w:color w:val="000000"/>
          <w:kern w:val="0"/>
          <w:sz w:val="24"/>
        </w:rPr>
        <w:t>（3）</w:t>
      </w:r>
      <w:r>
        <w:rPr>
          <w:rFonts w:hint="eastAsia" w:ascii="仿宋" w:hAnsi="仿宋" w:eastAsia="仿宋" w:cs="Arial"/>
          <w:b/>
          <w:color w:val="000000"/>
          <w:kern w:val="0"/>
          <w:sz w:val="24"/>
          <w:u w:val="single"/>
        </w:rPr>
        <w:t>不同磋商响应供应商的磋商响应文件载明的项目管理成员或联系人员为同一人</w:t>
      </w:r>
      <w:r>
        <w:rPr>
          <w:rFonts w:hint="eastAsia" w:ascii="仿宋" w:hAnsi="仿宋" w:eastAsia="仿宋" w:cs="Arial"/>
          <w:b/>
          <w:color w:val="000000"/>
          <w:kern w:val="0"/>
          <w:sz w:val="24"/>
        </w:rPr>
        <w:t>；</w:t>
      </w:r>
    </w:p>
    <w:p w14:paraId="665DFD2F">
      <w:pPr>
        <w:autoSpaceDE w:val="0"/>
        <w:autoSpaceDN w:val="0"/>
        <w:spacing w:line="360" w:lineRule="auto"/>
        <w:ind w:firstLine="463" w:firstLineChars="192"/>
        <w:rPr>
          <w:rFonts w:hint="eastAsia" w:ascii="仿宋" w:hAnsi="仿宋" w:eastAsia="仿宋" w:cs="Arial"/>
          <w:b/>
          <w:color w:val="000000"/>
          <w:kern w:val="0"/>
          <w:sz w:val="24"/>
        </w:rPr>
      </w:pPr>
      <w:r>
        <w:rPr>
          <w:rFonts w:hint="eastAsia" w:ascii="仿宋" w:hAnsi="仿宋" w:eastAsia="仿宋" w:cs="Arial"/>
          <w:b/>
          <w:color w:val="000000"/>
          <w:kern w:val="0"/>
          <w:sz w:val="24"/>
        </w:rPr>
        <w:t>（4）</w:t>
      </w:r>
      <w:r>
        <w:rPr>
          <w:rFonts w:hint="eastAsia" w:ascii="仿宋" w:hAnsi="仿宋" w:eastAsia="仿宋" w:cs="Arial"/>
          <w:b/>
          <w:color w:val="000000"/>
          <w:kern w:val="0"/>
          <w:sz w:val="24"/>
          <w:u w:val="single"/>
        </w:rPr>
        <w:t>不同磋商响应供应商的磋商响应文件异常一致或者投标报价呈规律性差异</w:t>
      </w:r>
      <w:r>
        <w:rPr>
          <w:rFonts w:hint="eastAsia" w:ascii="仿宋" w:hAnsi="仿宋" w:eastAsia="仿宋" w:cs="Arial"/>
          <w:b/>
          <w:color w:val="000000"/>
          <w:kern w:val="0"/>
          <w:sz w:val="24"/>
        </w:rPr>
        <w:t>；</w:t>
      </w:r>
    </w:p>
    <w:p w14:paraId="3EC6D841">
      <w:pPr>
        <w:autoSpaceDE w:val="0"/>
        <w:autoSpaceDN w:val="0"/>
        <w:spacing w:line="360" w:lineRule="auto"/>
        <w:ind w:firstLine="463" w:firstLineChars="192"/>
        <w:rPr>
          <w:rFonts w:hint="eastAsia" w:ascii="仿宋" w:hAnsi="仿宋" w:eastAsia="仿宋" w:cs="Arial"/>
          <w:b/>
          <w:color w:val="000000"/>
          <w:kern w:val="0"/>
          <w:sz w:val="24"/>
        </w:rPr>
      </w:pPr>
      <w:r>
        <w:rPr>
          <w:rFonts w:hint="eastAsia" w:ascii="仿宋" w:hAnsi="仿宋" w:eastAsia="仿宋" w:cs="Arial"/>
          <w:b/>
          <w:color w:val="000000"/>
          <w:kern w:val="0"/>
          <w:sz w:val="24"/>
        </w:rPr>
        <w:t>（5）</w:t>
      </w:r>
      <w:r>
        <w:rPr>
          <w:rFonts w:hint="eastAsia" w:ascii="仿宋" w:hAnsi="仿宋" w:eastAsia="仿宋" w:cs="Arial"/>
          <w:b/>
          <w:color w:val="000000"/>
          <w:kern w:val="0"/>
          <w:sz w:val="24"/>
          <w:u w:val="single"/>
        </w:rPr>
        <w:t>不同磋商响应供应商的磋商响应文件互相混装</w:t>
      </w:r>
      <w:r>
        <w:rPr>
          <w:rFonts w:hint="eastAsia" w:ascii="仿宋" w:hAnsi="仿宋" w:eastAsia="仿宋" w:cs="Arial"/>
          <w:b/>
          <w:color w:val="000000"/>
          <w:kern w:val="0"/>
          <w:sz w:val="24"/>
        </w:rPr>
        <w:t>。</w:t>
      </w:r>
    </w:p>
    <w:p w14:paraId="6D6309D5">
      <w:pPr>
        <w:autoSpaceDE w:val="0"/>
        <w:autoSpaceDN w:val="0"/>
        <w:spacing w:line="360" w:lineRule="auto"/>
        <w:ind w:firstLine="463" w:firstLineChars="192"/>
        <w:rPr>
          <w:rFonts w:hint="eastAsia" w:ascii="仿宋" w:hAnsi="仿宋" w:eastAsia="仿宋" w:cs="Arial"/>
          <w:b/>
          <w:color w:val="000000"/>
          <w:kern w:val="0"/>
          <w:sz w:val="24"/>
        </w:rPr>
      </w:pPr>
      <w:r>
        <w:rPr>
          <w:rFonts w:hint="eastAsia" w:ascii="仿宋" w:hAnsi="仿宋" w:eastAsia="仿宋" w:cs="Arial"/>
          <w:b/>
          <w:color w:val="000000"/>
          <w:kern w:val="0"/>
          <w:sz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14:paraId="0B7D1084">
      <w:pPr>
        <w:pStyle w:val="4"/>
        <w:spacing w:before="120" w:after="120"/>
        <w:ind w:firstLine="240"/>
        <w:rPr>
          <w:rFonts w:hint="eastAsia" w:ascii="华文中宋" w:hAnsi="华文中宋" w:cs="华文中宋"/>
          <w:bCs/>
          <w:szCs w:val="32"/>
        </w:rPr>
      </w:pPr>
      <w:r>
        <w:rPr>
          <w:rFonts w:hint="eastAsia" w:ascii="华文中宋" w:hAnsi="华文中宋" w:cs="华文中宋"/>
          <w:bCs/>
          <w:szCs w:val="32"/>
        </w:rPr>
        <w:t>4.2 磋商响应供应商违法等重大事项的处理</w:t>
      </w:r>
    </w:p>
    <w:p w14:paraId="57EF4D3A">
      <w:pPr>
        <w:autoSpaceDE w:val="0"/>
        <w:autoSpaceDN w:val="0"/>
        <w:spacing w:line="360" w:lineRule="auto"/>
        <w:ind w:firstLine="424" w:firstLineChars="176"/>
        <w:rPr>
          <w:rFonts w:hint="eastAsia" w:ascii="仿宋" w:hAnsi="仿宋" w:eastAsia="仿宋" w:cs="Arial"/>
          <w:b/>
          <w:color w:val="000000"/>
          <w:kern w:val="0"/>
          <w:sz w:val="24"/>
        </w:rPr>
      </w:pPr>
      <w:r>
        <w:rPr>
          <w:rFonts w:hint="eastAsia" w:ascii="仿宋" w:hAnsi="仿宋" w:eastAsia="仿宋" w:cs="Arial"/>
          <w:b/>
          <w:color w:val="000000"/>
          <w:kern w:val="0"/>
          <w:sz w:val="24"/>
        </w:rPr>
        <w:t>磋商响应供应商</w:t>
      </w:r>
      <w:r>
        <w:rPr>
          <w:rFonts w:ascii="仿宋" w:hAnsi="仿宋" w:eastAsia="仿宋" w:cs="Arial"/>
          <w:b/>
          <w:color w:val="000000"/>
          <w:kern w:val="0"/>
          <w:sz w:val="24"/>
        </w:rPr>
        <w:t>有下列情形之一的，投标无效且将《</w:t>
      </w:r>
      <w:r>
        <w:rPr>
          <w:rFonts w:hint="eastAsia" w:ascii="仿宋" w:hAnsi="仿宋" w:eastAsia="仿宋" w:cs="Arial"/>
          <w:b/>
          <w:color w:val="000000"/>
          <w:kern w:val="0"/>
          <w:sz w:val="24"/>
        </w:rPr>
        <w:t>磋商响应文件</w:t>
      </w:r>
      <w:r>
        <w:rPr>
          <w:rFonts w:ascii="仿宋" w:hAnsi="仿宋" w:eastAsia="仿宋" w:cs="Arial"/>
          <w:b/>
          <w:color w:val="000000"/>
          <w:kern w:val="0"/>
          <w:sz w:val="24"/>
        </w:rPr>
        <w:t>》、《询标记录》等报同级政府采购监管部门或有关职能部门查处：</w:t>
      </w:r>
    </w:p>
    <w:p w14:paraId="12728988">
      <w:pPr>
        <w:autoSpaceDE w:val="0"/>
        <w:autoSpaceDN w:val="0"/>
        <w:spacing w:line="360" w:lineRule="auto"/>
        <w:ind w:firstLine="422" w:firstLineChars="176"/>
        <w:rPr>
          <w:rFonts w:hint="eastAsia" w:ascii="仿宋" w:hAnsi="仿宋" w:eastAsia="仿宋" w:cs="Arial"/>
          <w:color w:val="000000"/>
          <w:kern w:val="0"/>
          <w:sz w:val="24"/>
        </w:rPr>
      </w:pPr>
      <w:r>
        <w:rPr>
          <w:rFonts w:ascii="仿宋" w:hAnsi="仿宋" w:eastAsia="仿宋" w:cs="Arial"/>
          <w:color w:val="000000"/>
          <w:kern w:val="0"/>
          <w:sz w:val="24"/>
        </w:rPr>
        <w:t>（1）未如实提供债权债务、</w:t>
      </w:r>
      <w:r>
        <w:rPr>
          <w:rFonts w:hint="eastAsia" w:ascii="仿宋" w:hAnsi="仿宋" w:eastAsia="仿宋" w:cs="Arial"/>
          <w:color w:val="000000"/>
          <w:kern w:val="0"/>
          <w:sz w:val="24"/>
        </w:rPr>
        <w:t>重大</w:t>
      </w:r>
      <w:r>
        <w:rPr>
          <w:rFonts w:ascii="仿宋" w:hAnsi="仿宋" w:eastAsia="仿宋" w:cs="Arial"/>
          <w:color w:val="000000"/>
          <w:kern w:val="0"/>
          <w:sz w:val="24"/>
        </w:rPr>
        <w:t>违法记录</w:t>
      </w:r>
      <w:r>
        <w:rPr>
          <w:rFonts w:hint="eastAsia" w:ascii="仿宋" w:hAnsi="仿宋" w:eastAsia="仿宋" w:cs="Arial"/>
          <w:color w:val="000000"/>
          <w:kern w:val="0"/>
          <w:sz w:val="24"/>
        </w:rPr>
        <w:t>、利害关系等</w:t>
      </w:r>
      <w:r>
        <w:rPr>
          <w:rFonts w:ascii="仿宋" w:hAnsi="仿宋" w:eastAsia="仿宋" w:cs="Arial"/>
          <w:color w:val="000000"/>
          <w:kern w:val="0"/>
          <w:sz w:val="24"/>
        </w:rPr>
        <w:t>信息，影响或者可能影响</w:t>
      </w:r>
      <w:r>
        <w:rPr>
          <w:rFonts w:hint="eastAsia" w:ascii="仿宋" w:hAnsi="仿宋" w:eastAsia="仿宋" w:cs="Arial"/>
          <w:color w:val="000000"/>
          <w:kern w:val="0"/>
          <w:sz w:val="24"/>
        </w:rPr>
        <w:t>成交</w:t>
      </w:r>
      <w:r>
        <w:rPr>
          <w:rFonts w:ascii="仿宋" w:hAnsi="仿宋" w:eastAsia="仿宋" w:cs="Arial"/>
          <w:color w:val="000000"/>
          <w:kern w:val="0"/>
          <w:sz w:val="24"/>
        </w:rPr>
        <w:t>结果的；</w:t>
      </w:r>
    </w:p>
    <w:p w14:paraId="4F12E99E">
      <w:pPr>
        <w:autoSpaceDE w:val="0"/>
        <w:autoSpaceDN w:val="0"/>
        <w:spacing w:line="360" w:lineRule="auto"/>
        <w:ind w:firstLine="422" w:firstLineChars="176"/>
        <w:rPr>
          <w:rFonts w:hint="eastAsia" w:ascii="仿宋" w:hAnsi="仿宋" w:eastAsia="仿宋" w:cs="Arial"/>
          <w:color w:val="000000"/>
          <w:kern w:val="0"/>
          <w:sz w:val="24"/>
        </w:rPr>
      </w:pPr>
      <w:r>
        <w:rPr>
          <w:rFonts w:ascii="仿宋" w:hAnsi="仿宋" w:eastAsia="仿宋" w:cs="Arial"/>
          <w:color w:val="000000"/>
          <w:kern w:val="0"/>
          <w:sz w:val="24"/>
        </w:rPr>
        <w:t>（2）</w:t>
      </w:r>
      <w:r>
        <w:rPr>
          <w:rFonts w:hint="eastAsia" w:ascii="仿宋" w:hAnsi="仿宋" w:eastAsia="仿宋" w:cs="Arial"/>
          <w:color w:val="000000"/>
          <w:kern w:val="0"/>
          <w:sz w:val="24"/>
        </w:rPr>
        <w:t>不遵循公平竞争原则、恶意串通、妨碍其他磋商响应供应商的竞争、损害采购人或其他磋商响应供应商合法权益的；</w:t>
      </w:r>
    </w:p>
    <w:p w14:paraId="2399299E">
      <w:pPr>
        <w:autoSpaceDE w:val="0"/>
        <w:autoSpaceDN w:val="0"/>
        <w:spacing w:line="360" w:lineRule="auto"/>
        <w:ind w:firstLine="422" w:firstLineChars="176"/>
        <w:rPr>
          <w:rFonts w:hint="eastAsia" w:ascii="仿宋" w:hAnsi="仿宋" w:eastAsia="仿宋" w:cs="Arial"/>
          <w:color w:val="000000"/>
          <w:kern w:val="0"/>
          <w:sz w:val="24"/>
        </w:rPr>
      </w:pPr>
      <w:r>
        <w:rPr>
          <w:rFonts w:hint="eastAsia" w:ascii="仿宋" w:hAnsi="仿宋" w:eastAsia="仿宋" w:cs="Arial"/>
          <w:color w:val="000000"/>
          <w:kern w:val="0"/>
          <w:sz w:val="24"/>
        </w:rPr>
        <w:t>（3）</w:t>
      </w:r>
      <w:r>
        <w:rPr>
          <w:rFonts w:ascii="仿宋" w:hAnsi="仿宋" w:eastAsia="仿宋" w:cs="Arial"/>
          <w:color w:val="000000"/>
          <w:kern w:val="0"/>
          <w:sz w:val="24"/>
        </w:rPr>
        <w:t>政府采购活动中存在违法行为的；</w:t>
      </w:r>
    </w:p>
    <w:p w14:paraId="45DE565C">
      <w:pPr>
        <w:autoSpaceDE w:val="0"/>
        <w:autoSpaceDN w:val="0"/>
        <w:spacing w:line="360" w:lineRule="auto"/>
        <w:ind w:firstLine="422" w:firstLineChars="176"/>
        <w:rPr>
          <w:rFonts w:hint="eastAsia" w:ascii="仿宋" w:hAnsi="仿宋" w:eastAsia="仿宋" w:cs="Arial"/>
          <w:color w:val="000000"/>
          <w:kern w:val="0"/>
          <w:sz w:val="24"/>
        </w:rPr>
      </w:pPr>
      <w:r>
        <w:rPr>
          <w:rFonts w:ascii="仿宋" w:hAnsi="仿宋" w:eastAsia="仿宋" w:cs="Arial"/>
          <w:color w:val="000000"/>
          <w:kern w:val="0"/>
          <w:sz w:val="24"/>
        </w:rPr>
        <w:t>（3）其他严重干扰招投标秩序的行为的。</w:t>
      </w:r>
    </w:p>
    <w:p w14:paraId="7DA3D797">
      <w:pPr>
        <w:pStyle w:val="4"/>
        <w:spacing w:before="120" w:after="120"/>
        <w:ind w:firstLine="240"/>
        <w:rPr>
          <w:rFonts w:hint="eastAsia" w:ascii="华文中宋" w:hAnsi="华文中宋" w:cs="华文中宋"/>
          <w:bCs/>
          <w:szCs w:val="32"/>
        </w:rPr>
      </w:pPr>
      <w:r>
        <w:rPr>
          <w:rFonts w:hint="eastAsia" w:ascii="华文中宋" w:hAnsi="华文中宋" w:cs="华文中宋"/>
          <w:bCs/>
          <w:szCs w:val="32"/>
        </w:rPr>
        <w:t>4.3 评审中合格磋商响应供应商不足法定数量的处理</w:t>
      </w:r>
    </w:p>
    <w:p w14:paraId="1192C9B3">
      <w:pPr>
        <w:autoSpaceDE w:val="0"/>
        <w:autoSpaceDN w:val="0"/>
        <w:spacing w:line="360" w:lineRule="auto"/>
        <w:ind w:firstLine="422" w:firstLineChars="175"/>
        <w:rPr>
          <w:rFonts w:ascii="Arial" w:hAnsi="Arial" w:cs="Arial"/>
          <w:color w:val="000000"/>
        </w:rPr>
      </w:pPr>
      <w:r>
        <w:rPr>
          <w:rFonts w:hint="eastAsia" w:ascii="仿宋" w:hAnsi="仿宋" w:eastAsia="仿宋" w:cs="Arial"/>
          <w:b/>
          <w:color w:val="000000"/>
          <w:kern w:val="0"/>
          <w:sz w:val="24"/>
          <w:szCs w:val="22"/>
        </w:rPr>
        <w:t>公开招标的采购项目，在评审过程中，若某个标项的有效磋商响应供应商不足三家的，</w:t>
      </w:r>
      <w:r>
        <w:rPr>
          <w:rFonts w:ascii="仿宋" w:hAnsi="仿宋" w:eastAsia="仿宋" w:cs="Arial"/>
          <w:b/>
          <w:color w:val="000000"/>
          <w:kern w:val="0"/>
          <w:sz w:val="24"/>
          <w:szCs w:val="22"/>
        </w:rPr>
        <w:t>除采购任务取消情形外，采购人可选择以下方式之一处理：</w:t>
      </w:r>
    </w:p>
    <w:p w14:paraId="475085A9">
      <w:pPr>
        <w:autoSpaceDE w:val="0"/>
        <w:autoSpaceDN w:val="0"/>
        <w:spacing w:line="360" w:lineRule="auto"/>
        <w:ind w:firstLine="420" w:firstLineChars="175"/>
        <w:rPr>
          <w:rFonts w:hint="eastAsia" w:ascii="仿宋" w:hAnsi="仿宋" w:eastAsia="仿宋" w:cs="Arial"/>
          <w:color w:val="000000"/>
          <w:kern w:val="0"/>
          <w:sz w:val="24"/>
          <w:szCs w:val="22"/>
        </w:rPr>
      </w:pPr>
      <w:r>
        <w:rPr>
          <w:rFonts w:hint="eastAsia" w:ascii="仿宋" w:hAnsi="仿宋" w:eastAsia="仿宋" w:cs="Arial"/>
          <w:color w:val="000000"/>
          <w:kern w:val="0"/>
          <w:sz w:val="24"/>
          <w:szCs w:val="22"/>
        </w:rPr>
        <w:t>（1）</w:t>
      </w:r>
      <w:r>
        <w:rPr>
          <w:rFonts w:ascii="仿宋" w:hAnsi="仿宋" w:eastAsia="仿宋" w:cs="Arial"/>
          <w:color w:val="000000"/>
          <w:kern w:val="0"/>
          <w:sz w:val="24"/>
          <w:szCs w:val="22"/>
        </w:rPr>
        <w:t>将本标项作废标处理，重新组织采购；</w:t>
      </w:r>
    </w:p>
    <w:p w14:paraId="77246F9F">
      <w:pPr>
        <w:autoSpaceDE w:val="0"/>
        <w:autoSpaceDN w:val="0"/>
        <w:spacing w:line="360" w:lineRule="auto"/>
        <w:ind w:firstLine="420" w:firstLineChars="175"/>
        <w:rPr>
          <w:rFonts w:hint="eastAsia" w:ascii="仿宋" w:hAnsi="仿宋" w:eastAsia="仿宋"/>
          <w:b/>
          <w:color w:val="000000"/>
          <w:sz w:val="24"/>
        </w:rPr>
      </w:pPr>
      <w:r>
        <w:rPr>
          <w:rFonts w:hint="eastAsia" w:ascii="仿宋" w:hAnsi="仿宋" w:eastAsia="仿宋" w:cs="Arial"/>
          <w:color w:val="000000"/>
          <w:kern w:val="0"/>
          <w:sz w:val="24"/>
          <w:szCs w:val="22"/>
        </w:rPr>
        <w:t>（2）</w:t>
      </w:r>
      <w:r>
        <w:rPr>
          <w:rFonts w:ascii="仿宋" w:hAnsi="仿宋" w:eastAsia="仿宋" w:cs="Arial"/>
          <w:color w:val="000000"/>
          <w:kern w:val="0"/>
          <w:sz w:val="24"/>
          <w:szCs w:val="22"/>
        </w:rPr>
        <w:t>按同级政府采购监督管理部门的审批意见采用其他采购方式组织采购</w:t>
      </w:r>
      <w:r>
        <w:rPr>
          <w:rFonts w:hint="eastAsia" w:ascii="仿宋" w:hAnsi="仿宋" w:eastAsia="仿宋" w:cs="Arial"/>
          <w:color w:val="000000"/>
          <w:kern w:val="0"/>
          <w:sz w:val="24"/>
          <w:szCs w:val="22"/>
        </w:rPr>
        <w:t>。</w:t>
      </w:r>
    </w:p>
    <w:p w14:paraId="4BDB0EB0">
      <w:pPr>
        <w:pStyle w:val="4"/>
        <w:spacing w:before="120" w:after="120"/>
        <w:ind w:firstLine="240"/>
        <w:rPr>
          <w:rFonts w:hint="eastAsia" w:ascii="华文中宋" w:hAnsi="华文中宋" w:cs="华文中宋"/>
          <w:bCs/>
          <w:szCs w:val="32"/>
        </w:rPr>
      </w:pPr>
      <w:r>
        <w:rPr>
          <w:rFonts w:hint="eastAsia" w:ascii="华文中宋" w:hAnsi="华文中宋" w:cs="华文中宋"/>
          <w:bCs/>
          <w:szCs w:val="32"/>
        </w:rPr>
        <w:t>4.4 废标适用情形</w:t>
      </w:r>
    </w:p>
    <w:p w14:paraId="2DCF4D61">
      <w:pPr>
        <w:autoSpaceDE w:val="0"/>
        <w:autoSpaceDN w:val="0"/>
        <w:spacing w:line="360" w:lineRule="auto"/>
        <w:ind w:firstLine="424" w:firstLineChars="176"/>
        <w:rPr>
          <w:rFonts w:hint="eastAsia" w:ascii="仿宋" w:hAnsi="仿宋" w:eastAsia="仿宋" w:cs="Arial"/>
          <w:b/>
          <w:color w:val="000000"/>
          <w:sz w:val="24"/>
        </w:rPr>
      </w:pPr>
      <w:r>
        <w:rPr>
          <w:rFonts w:ascii="仿宋" w:hAnsi="仿宋" w:eastAsia="仿宋" w:cs="Arial"/>
          <w:b/>
          <w:color w:val="000000"/>
          <w:sz w:val="24"/>
        </w:rPr>
        <w:t>在招标采购中，出现下列情形之一的，</w:t>
      </w:r>
      <w:r>
        <w:rPr>
          <w:rFonts w:hint="eastAsia" w:ascii="仿宋" w:hAnsi="仿宋" w:eastAsia="仿宋" w:cs="Arial"/>
          <w:b/>
          <w:color w:val="000000"/>
          <w:sz w:val="24"/>
        </w:rPr>
        <w:t>项目将予以</w:t>
      </w:r>
      <w:r>
        <w:rPr>
          <w:rFonts w:ascii="仿宋" w:hAnsi="仿宋" w:eastAsia="仿宋" w:cs="Arial"/>
          <w:b/>
          <w:color w:val="000000"/>
          <w:sz w:val="24"/>
        </w:rPr>
        <w:t>废标：</w:t>
      </w:r>
    </w:p>
    <w:p w14:paraId="04D85B1B">
      <w:pPr>
        <w:widowControl/>
        <w:autoSpaceDE w:val="0"/>
        <w:autoSpaceDN w:val="0"/>
        <w:spacing w:line="360" w:lineRule="auto"/>
        <w:ind w:firstLine="480" w:firstLineChars="200"/>
        <w:rPr>
          <w:rFonts w:hint="eastAsia"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1</w:t>
      </w:r>
      <w:r>
        <w:rPr>
          <w:rFonts w:ascii="仿宋" w:hAnsi="仿宋" w:eastAsia="仿宋"/>
          <w:color w:val="000000"/>
          <w:kern w:val="0"/>
          <w:sz w:val="24"/>
        </w:rPr>
        <w:t>）符合专业条件的供应商或者对</w:t>
      </w:r>
      <w:r>
        <w:rPr>
          <w:rFonts w:hint="eastAsia" w:ascii="仿宋" w:hAnsi="仿宋" w:eastAsia="仿宋"/>
          <w:color w:val="000000"/>
          <w:kern w:val="0"/>
          <w:sz w:val="24"/>
        </w:rPr>
        <w:t>竞争性磋商文件</w:t>
      </w:r>
      <w:r>
        <w:rPr>
          <w:rFonts w:ascii="仿宋" w:hAnsi="仿宋" w:eastAsia="仿宋"/>
          <w:color w:val="000000"/>
          <w:kern w:val="0"/>
          <w:sz w:val="24"/>
        </w:rPr>
        <w:t>作实质响应的供应商不足三家的；</w:t>
      </w:r>
    </w:p>
    <w:p w14:paraId="7B2BDE9E">
      <w:pPr>
        <w:widowControl/>
        <w:autoSpaceDE w:val="0"/>
        <w:autoSpaceDN w:val="0"/>
        <w:spacing w:line="360" w:lineRule="auto"/>
        <w:ind w:firstLine="480" w:firstLineChars="200"/>
        <w:rPr>
          <w:rFonts w:hint="eastAsia"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2</w:t>
      </w:r>
      <w:r>
        <w:rPr>
          <w:rFonts w:ascii="仿宋" w:hAnsi="仿宋" w:eastAsia="仿宋"/>
          <w:color w:val="000000"/>
          <w:kern w:val="0"/>
          <w:sz w:val="24"/>
        </w:rPr>
        <w:t>）出现影响采购公正的违法、违规行为的；</w:t>
      </w:r>
    </w:p>
    <w:p w14:paraId="5D083BFF">
      <w:pPr>
        <w:widowControl/>
        <w:autoSpaceDE w:val="0"/>
        <w:autoSpaceDN w:val="0"/>
        <w:spacing w:line="360" w:lineRule="auto"/>
        <w:ind w:firstLine="480" w:firstLineChars="200"/>
        <w:rPr>
          <w:rFonts w:hint="eastAsia"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3</w:t>
      </w:r>
      <w:r>
        <w:rPr>
          <w:rFonts w:ascii="仿宋" w:hAnsi="仿宋" w:eastAsia="仿宋"/>
          <w:color w:val="000000"/>
          <w:kern w:val="0"/>
          <w:sz w:val="24"/>
        </w:rPr>
        <w:t>）</w:t>
      </w:r>
      <w:r>
        <w:rPr>
          <w:rFonts w:hint="eastAsia" w:ascii="仿宋" w:hAnsi="仿宋" w:eastAsia="仿宋"/>
          <w:color w:val="000000"/>
          <w:kern w:val="0"/>
          <w:sz w:val="24"/>
        </w:rPr>
        <w:t>磋商响应供应商</w:t>
      </w:r>
      <w:r>
        <w:rPr>
          <w:rFonts w:ascii="仿宋" w:hAnsi="仿宋" w:eastAsia="仿宋"/>
          <w:color w:val="000000"/>
          <w:kern w:val="0"/>
          <w:sz w:val="24"/>
        </w:rPr>
        <w:t>的报价均超过了采购预算，采购人不能支付的；</w:t>
      </w:r>
    </w:p>
    <w:p w14:paraId="1FF2955B">
      <w:pPr>
        <w:widowControl/>
        <w:autoSpaceDE w:val="0"/>
        <w:autoSpaceDN w:val="0"/>
        <w:spacing w:line="360" w:lineRule="auto"/>
        <w:ind w:firstLine="480" w:firstLineChars="200"/>
        <w:rPr>
          <w:rFonts w:hint="eastAsia" w:ascii="仿宋" w:hAnsi="仿宋" w:eastAsia="仿宋"/>
          <w:color w:val="000000"/>
          <w:kern w:val="0"/>
          <w:sz w:val="28"/>
          <w:szCs w:val="28"/>
        </w:rPr>
      </w:pPr>
      <w:r>
        <w:rPr>
          <w:rFonts w:ascii="仿宋" w:hAnsi="仿宋" w:eastAsia="仿宋"/>
          <w:color w:val="000000"/>
          <w:kern w:val="0"/>
          <w:sz w:val="24"/>
        </w:rPr>
        <w:t>（</w:t>
      </w:r>
      <w:r>
        <w:rPr>
          <w:rFonts w:hint="eastAsia" w:ascii="仿宋" w:hAnsi="仿宋" w:eastAsia="仿宋"/>
          <w:color w:val="000000"/>
          <w:kern w:val="0"/>
          <w:sz w:val="24"/>
        </w:rPr>
        <w:t>4</w:t>
      </w:r>
      <w:r>
        <w:rPr>
          <w:rFonts w:ascii="仿宋" w:hAnsi="仿宋" w:eastAsia="仿宋"/>
          <w:color w:val="000000"/>
          <w:kern w:val="0"/>
          <w:sz w:val="24"/>
        </w:rPr>
        <w:t>）因重大变故，采购任务取消的。</w:t>
      </w:r>
    </w:p>
    <w:p w14:paraId="3858973B">
      <w:pPr>
        <w:pStyle w:val="4"/>
        <w:spacing w:before="120" w:after="120"/>
        <w:ind w:firstLine="240"/>
        <w:rPr>
          <w:rFonts w:hint="eastAsia" w:ascii="华文中宋" w:hAnsi="华文中宋" w:cs="华文中宋"/>
          <w:bCs/>
          <w:szCs w:val="32"/>
        </w:rPr>
      </w:pPr>
      <w:r>
        <w:rPr>
          <w:rFonts w:hint="eastAsia" w:ascii="华文中宋" w:hAnsi="华文中宋" w:cs="华文中宋"/>
          <w:bCs/>
          <w:szCs w:val="32"/>
        </w:rPr>
        <w:t>4.5 可中止电子交易活动的情形</w:t>
      </w:r>
    </w:p>
    <w:p w14:paraId="39AE7DBD">
      <w:pPr>
        <w:autoSpaceDE w:val="0"/>
        <w:autoSpaceDN w:val="0"/>
        <w:spacing w:line="360" w:lineRule="auto"/>
        <w:ind w:firstLine="424" w:firstLineChars="176"/>
        <w:rPr>
          <w:rFonts w:hint="eastAsia" w:ascii="仿宋" w:hAnsi="仿宋" w:eastAsia="仿宋"/>
          <w:color w:val="000000"/>
          <w:sz w:val="24"/>
          <w:szCs w:val="28"/>
        </w:rPr>
      </w:pPr>
      <w:r>
        <w:rPr>
          <w:rFonts w:hint="eastAsia" w:ascii="仿宋" w:hAnsi="仿宋" w:eastAsia="仿宋"/>
          <w:b/>
          <w:color w:val="000000"/>
          <w:sz w:val="24"/>
          <w:szCs w:val="28"/>
        </w:rPr>
        <w:t>采购过程中出现以下情形，导致电子交易平台无法正常运行，或者无法保证电子交易的公平、公正和安全时，采购组织机构可中止电子交易活动：</w:t>
      </w:r>
    </w:p>
    <w:p w14:paraId="761A8430">
      <w:pPr>
        <w:autoSpaceDE w:val="0"/>
        <w:autoSpaceDN w:val="0"/>
        <w:spacing w:line="360" w:lineRule="auto"/>
        <w:ind w:firstLine="422" w:firstLineChars="176"/>
        <w:rPr>
          <w:rFonts w:hint="eastAsia" w:ascii="仿宋" w:hAnsi="仿宋" w:eastAsia="仿宋"/>
          <w:color w:val="000000"/>
          <w:sz w:val="24"/>
          <w:szCs w:val="28"/>
        </w:rPr>
      </w:pPr>
      <w:r>
        <w:rPr>
          <w:rFonts w:hint="eastAsia" w:ascii="仿宋" w:hAnsi="仿宋" w:eastAsia="仿宋"/>
          <w:color w:val="000000"/>
          <w:sz w:val="24"/>
          <w:szCs w:val="28"/>
        </w:rPr>
        <w:t>（一）电子交易平台发生故障而无法登录访问的；</w:t>
      </w:r>
    </w:p>
    <w:p w14:paraId="724E1F0B">
      <w:pPr>
        <w:autoSpaceDE w:val="0"/>
        <w:autoSpaceDN w:val="0"/>
        <w:spacing w:line="360" w:lineRule="auto"/>
        <w:ind w:firstLine="422" w:firstLineChars="176"/>
        <w:rPr>
          <w:rFonts w:hint="eastAsia" w:ascii="仿宋" w:hAnsi="仿宋" w:eastAsia="仿宋"/>
          <w:color w:val="000000"/>
          <w:sz w:val="24"/>
          <w:szCs w:val="28"/>
        </w:rPr>
      </w:pPr>
      <w:r>
        <w:rPr>
          <w:rFonts w:hint="eastAsia" w:ascii="仿宋" w:hAnsi="仿宋" w:eastAsia="仿宋"/>
          <w:color w:val="000000"/>
          <w:sz w:val="24"/>
          <w:szCs w:val="28"/>
        </w:rPr>
        <w:t>（二）电子交易平台应用或数据库出现错误，不能进行正常操作的；</w:t>
      </w:r>
    </w:p>
    <w:p w14:paraId="3A09E1B5">
      <w:pPr>
        <w:autoSpaceDE w:val="0"/>
        <w:autoSpaceDN w:val="0"/>
        <w:spacing w:line="360" w:lineRule="auto"/>
        <w:ind w:firstLine="422" w:firstLineChars="176"/>
        <w:rPr>
          <w:rFonts w:hint="eastAsia" w:ascii="仿宋" w:hAnsi="仿宋" w:eastAsia="仿宋"/>
          <w:color w:val="000000"/>
          <w:sz w:val="24"/>
          <w:szCs w:val="28"/>
        </w:rPr>
      </w:pPr>
      <w:r>
        <w:rPr>
          <w:rFonts w:hint="eastAsia" w:ascii="仿宋" w:hAnsi="仿宋" w:eastAsia="仿宋"/>
          <w:color w:val="000000"/>
          <w:sz w:val="24"/>
          <w:szCs w:val="28"/>
        </w:rPr>
        <w:t>（三）电子交易平台发现严重安全漏洞，有潜在泄密危险的；</w:t>
      </w:r>
    </w:p>
    <w:p w14:paraId="2824A835">
      <w:pPr>
        <w:autoSpaceDE w:val="0"/>
        <w:autoSpaceDN w:val="0"/>
        <w:spacing w:line="360" w:lineRule="auto"/>
        <w:ind w:firstLine="422" w:firstLineChars="176"/>
        <w:rPr>
          <w:rFonts w:hint="eastAsia" w:ascii="仿宋" w:hAnsi="仿宋" w:eastAsia="仿宋"/>
          <w:color w:val="000000"/>
          <w:sz w:val="24"/>
          <w:szCs w:val="28"/>
        </w:rPr>
      </w:pPr>
      <w:r>
        <w:rPr>
          <w:rFonts w:hint="eastAsia" w:ascii="仿宋" w:hAnsi="仿宋" w:eastAsia="仿宋"/>
          <w:color w:val="000000"/>
          <w:sz w:val="24"/>
          <w:szCs w:val="28"/>
        </w:rPr>
        <w:t>（四）病毒发作导致不能进行正常操作的；</w:t>
      </w:r>
    </w:p>
    <w:p w14:paraId="2155CFB9">
      <w:pPr>
        <w:autoSpaceDE w:val="0"/>
        <w:autoSpaceDN w:val="0"/>
        <w:spacing w:line="360" w:lineRule="auto"/>
        <w:ind w:firstLine="422" w:firstLineChars="176"/>
        <w:rPr>
          <w:rFonts w:hint="eastAsia" w:ascii="仿宋" w:hAnsi="仿宋" w:eastAsia="仿宋"/>
          <w:color w:val="000000"/>
          <w:sz w:val="24"/>
          <w:szCs w:val="28"/>
        </w:rPr>
      </w:pPr>
      <w:r>
        <w:rPr>
          <w:rFonts w:hint="eastAsia" w:ascii="仿宋" w:hAnsi="仿宋" w:eastAsia="仿宋"/>
          <w:color w:val="000000"/>
          <w:sz w:val="24"/>
          <w:szCs w:val="28"/>
        </w:rPr>
        <w:t>（五）其他无法保证电子交易的公平、公正和安全的情况。</w:t>
      </w:r>
    </w:p>
    <w:p w14:paraId="740EB735">
      <w:pPr>
        <w:autoSpaceDE w:val="0"/>
        <w:autoSpaceDN w:val="0"/>
        <w:spacing w:line="360" w:lineRule="auto"/>
        <w:ind w:firstLine="465" w:firstLineChars="193"/>
        <w:rPr>
          <w:rFonts w:hint="eastAsia" w:ascii="仿宋" w:hAnsi="仿宋" w:eastAsia="仿宋" w:cs="Arial"/>
          <w:b/>
          <w:color w:val="000000"/>
          <w:sz w:val="24"/>
          <w:szCs w:val="22"/>
        </w:rPr>
      </w:pPr>
      <w:r>
        <w:rPr>
          <w:rFonts w:hint="eastAsia" w:ascii="仿宋" w:hAnsi="仿宋" w:eastAsia="仿宋"/>
          <w:b/>
          <w:color w:val="000000"/>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14:paraId="67E89201">
      <w:pPr>
        <w:autoSpaceDE w:val="0"/>
        <w:autoSpaceDN w:val="0"/>
        <w:spacing w:line="360" w:lineRule="auto"/>
        <w:ind w:firstLine="426" w:firstLineChars="193"/>
        <w:rPr>
          <w:rFonts w:eastAsia="新宋体"/>
          <w:b/>
          <w:color w:val="000000"/>
          <w:sz w:val="22"/>
          <w:szCs w:val="22"/>
        </w:rPr>
        <w:sectPr>
          <w:pgSz w:w="11906" w:h="16838"/>
          <w:pgMar w:top="1361" w:right="1418" w:bottom="1361" w:left="1559" w:header="851" w:footer="850" w:gutter="0"/>
          <w:pgBorders>
            <w:top w:val="none" w:sz="0" w:space="0"/>
            <w:left w:val="none" w:sz="0" w:space="0"/>
            <w:bottom w:val="none" w:sz="0" w:space="0"/>
            <w:right w:val="none" w:sz="0" w:space="0"/>
          </w:pgBorders>
          <w:pgNumType w:fmt="decimal"/>
          <w:cols w:space="720" w:num="1"/>
          <w:docGrid w:linePitch="312" w:charSpace="0"/>
        </w:sectPr>
      </w:pPr>
    </w:p>
    <w:p w14:paraId="122301F3">
      <w:pPr>
        <w:pStyle w:val="2"/>
        <w:autoSpaceDE w:val="0"/>
        <w:autoSpaceDN w:val="0"/>
        <w:spacing w:before="240"/>
        <w:rPr>
          <w:rFonts w:ascii="Cambria" w:hAnsi="Cambria" w:eastAsia="华文中宋"/>
          <w:b w:val="0"/>
          <w:bCs/>
          <w:sz w:val="44"/>
          <w:szCs w:val="32"/>
        </w:rPr>
      </w:pPr>
      <w:bookmarkStart w:id="157" w:name="_Toc12969"/>
      <w:bookmarkStart w:id="158" w:name="_Toc522830350"/>
      <w:bookmarkStart w:id="159" w:name="_Toc20940"/>
      <w:bookmarkStart w:id="160" w:name="_Toc7988416"/>
      <w:bookmarkStart w:id="161" w:name="_Toc35391913"/>
      <w:r>
        <w:rPr>
          <w:rFonts w:hint="eastAsia" w:ascii="Cambria" w:hAnsi="Cambria" w:eastAsia="华文中宋"/>
          <w:b w:val="0"/>
          <w:bCs/>
          <w:sz w:val="44"/>
          <w:szCs w:val="32"/>
        </w:rPr>
        <w:t>第八章 附件</w:t>
      </w:r>
      <w:bookmarkEnd w:id="157"/>
      <w:bookmarkEnd w:id="158"/>
      <w:bookmarkEnd w:id="159"/>
      <w:bookmarkEnd w:id="160"/>
      <w:bookmarkEnd w:id="161"/>
    </w:p>
    <w:p w14:paraId="640E71C3">
      <w:pPr>
        <w:autoSpaceDE w:val="0"/>
        <w:autoSpaceDN w:val="0"/>
        <w:spacing w:line="360" w:lineRule="auto"/>
        <w:jc w:val="center"/>
        <w:rPr>
          <w:rFonts w:hint="eastAsia" w:ascii="仿宋" w:hAnsi="仿宋" w:eastAsia="仿宋"/>
          <w:color w:val="000000"/>
        </w:rPr>
      </w:pPr>
      <w:r>
        <w:rPr>
          <w:rFonts w:hint="eastAsia" w:ascii="仿宋" w:hAnsi="仿宋" w:eastAsia="仿宋"/>
          <w:color w:val="000000"/>
          <w:sz w:val="24"/>
        </w:rPr>
        <w:t>（以下相关文件及规定如与最新规定不一致的，以最新发布的为准）</w:t>
      </w:r>
    </w:p>
    <w:p w14:paraId="192F1F4F">
      <w:pPr>
        <w:keepNext/>
        <w:keepLines/>
        <w:autoSpaceDE w:val="0"/>
        <w:autoSpaceDN w:val="0"/>
        <w:spacing w:before="240" w:line="360" w:lineRule="auto"/>
        <w:jc w:val="left"/>
        <w:outlineLvl w:val="2"/>
        <w:rPr>
          <w:rFonts w:hint="eastAsia" w:ascii="华文中宋" w:hAnsi="华文中宋" w:eastAsia="华文中宋"/>
          <w:b/>
          <w:bCs/>
          <w:color w:val="000000"/>
          <w:kern w:val="0"/>
          <w:sz w:val="30"/>
        </w:rPr>
      </w:pPr>
      <w:bookmarkStart w:id="162" w:name="_Toc4294376"/>
      <w:bookmarkStart w:id="163" w:name="_Toc7488755"/>
      <w:bookmarkStart w:id="164" w:name="_Toc8007001"/>
      <w:bookmarkStart w:id="165" w:name="_Toc7993637"/>
      <w:bookmarkStart w:id="166" w:name="_Toc7988471"/>
      <w:bookmarkStart w:id="167" w:name="_Toc17428250"/>
      <w:bookmarkStart w:id="168" w:name="_Toc20358288"/>
      <w:bookmarkStart w:id="169" w:name="_Toc7542912"/>
      <w:bookmarkStart w:id="170" w:name="_Toc7668946"/>
      <w:bookmarkStart w:id="171" w:name="_Toc7492524"/>
      <w:bookmarkStart w:id="172" w:name="_Toc10432454"/>
      <w:bookmarkStart w:id="173" w:name="_Toc24471814"/>
      <w:bookmarkStart w:id="174" w:name="_Toc7988417"/>
      <w:bookmarkStart w:id="175" w:name="_Toc7663593"/>
      <w:bookmarkStart w:id="176" w:name="_Toc17428345"/>
      <w:bookmarkStart w:id="177" w:name="_Toc25765006"/>
      <w:bookmarkStart w:id="178" w:name="_Toc7664193"/>
      <w:bookmarkStart w:id="179" w:name="_Toc7574701"/>
      <w:bookmarkStart w:id="180" w:name="_Toc2002574"/>
      <w:bookmarkStart w:id="181" w:name="_Toc532440701"/>
      <w:bookmarkStart w:id="182" w:name="_Toc4649580"/>
      <w:bookmarkStart w:id="183" w:name="_Toc522417531"/>
      <w:bookmarkStart w:id="184" w:name="_Toc522830351"/>
      <w:r>
        <w:rPr>
          <w:rFonts w:hint="eastAsia" w:ascii="华文中宋" w:hAnsi="华文中宋" w:eastAsia="华文中宋"/>
          <w:b/>
          <w:bCs/>
          <w:color w:val="000000"/>
          <w:kern w:val="0"/>
          <w:sz w:val="30"/>
        </w:rPr>
        <w:t>一、</w:t>
      </w:r>
      <w:bookmarkEnd w:id="162"/>
      <w:r>
        <w:rPr>
          <w:rFonts w:hint="eastAsia" w:ascii="华文中宋" w:hAnsi="华文中宋" w:eastAsia="华文中宋"/>
          <w:b/>
          <w:bCs/>
          <w:color w:val="000000"/>
          <w:kern w:val="0"/>
          <w:sz w:val="30"/>
        </w:rPr>
        <w:t>政府采购支持中小企业信用融资相关事项通知</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bl>
      <w:tblPr>
        <w:tblStyle w:val="52"/>
        <w:tblW w:w="900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005"/>
      </w:tblGrid>
      <w:tr w14:paraId="0E2940BC">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005" w:type="dxa"/>
            <w:noWrap/>
          </w:tcPr>
          <w:p w14:paraId="3FD0C888">
            <w:pPr>
              <w:autoSpaceDE w:val="0"/>
              <w:autoSpaceDN w:val="0"/>
              <w:spacing w:line="336" w:lineRule="auto"/>
              <w:jc w:val="center"/>
              <w:rPr>
                <w:rFonts w:hint="eastAsia" w:ascii="华文中宋" w:hAnsi="华文中宋" w:eastAsia="华文中宋"/>
                <w:color w:val="000000"/>
              </w:rPr>
            </w:pPr>
            <w:r>
              <w:rPr>
                <w:rFonts w:hint="eastAsia" w:ascii="华文中宋" w:hAnsi="华文中宋" w:eastAsia="华文中宋"/>
                <w:b/>
                <w:color w:val="000000"/>
                <w:sz w:val="36"/>
              </w:rPr>
              <w:t>政府采购支持中小企业信用融资相关事项通知</w:t>
            </w:r>
          </w:p>
          <w:p w14:paraId="47A9D10A">
            <w:pPr>
              <w:autoSpaceDE w:val="0"/>
              <w:autoSpaceDN w:val="0"/>
              <w:spacing w:line="336" w:lineRule="auto"/>
              <w:ind w:firstLine="422" w:firstLineChars="175"/>
              <w:rPr>
                <w:rFonts w:hint="eastAsia" w:ascii="仿宋" w:hAnsi="仿宋" w:eastAsia="仿宋"/>
                <w:b/>
                <w:color w:val="000000"/>
                <w:sz w:val="24"/>
              </w:rPr>
            </w:pPr>
            <w:r>
              <w:rPr>
                <w:rFonts w:hint="eastAsia" w:ascii="仿宋" w:hAnsi="仿宋" w:eastAsia="仿宋"/>
                <w:b/>
                <w:color w:val="000000"/>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14:paraId="58C538FC">
            <w:pPr>
              <w:autoSpaceDE w:val="0"/>
              <w:autoSpaceDN w:val="0"/>
              <w:spacing w:line="336" w:lineRule="auto"/>
              <w:ind w:firstLine="422" w:firstLineChars="175"/>
              <w:rPr>
                <w:rFonts w:hint="eastAsia" w:ascii="仿宋" w:hAnsi="仿宋" w:eastAsia="仿宋"/>
                <w:b/>
                <w:color w:val="000000"/>
                <w:sz w:val="24"/>
              </w:rPr>
            </w:pPr>
            <w:r>
              <w:rPr>
                <w:rFonts w:hint="eastAsia" w:ascii="仿宋" w:hAnsi="仿宋" w:eastAsia="仿宋"/>
                <w:b/>
                <w:color w:val="000000"/>
                <w:sz w:val="24"/>
              </w:rPr>
              <w:t>一、适用对象</w:t>
            </w:r>
          </w:p>
          <w:p w14:paraId="2127F8E9">
            <w:pPr>
              <w:autoSpaceDE w:val="0"/>
              <w:autoSpaceDN w:val="0"/>
              <w:spacing w:line="336" w:lineRule="auto"/>
              <w:ind w:firstLine="420" w:firstLineChars="175"/>
              <w:rPr>
                <w:rFonts w:hint="eastAsia" w:ascii="仿宋" w:hAnsi="仿宋" w:eastAsia="仿宋"/>
                <w:color w:val="000000"/>
                <w:sz w:val="24"/>
              </w:rPr>
            </w:pPr>
            <w:r>
              <w:rPr>
                <w:rFonts w:hint="eastAsia" w:ascii="仿宋" w:hAnsi="仿宋" w:eastAsia="仿宋"/>
                <w:color w:val="000000"/>
                <w:sz w:val="24"/>
              </w:rPr>
              <w:t>在杭州市政府采购网上注册入库，并取得杭州市政府采购合同的杭州市内中小企业供应商。</w:t>
            </w:r>
          </w:p>
          <w:p w14:paraId="1584C290">
            <w:pPr>
              <w:autoSpaceDE w:val="0"/>
              <w:autoSpaceDN w:val="0"/>
              <w:spacing w:line="336" w:lineRule="auto"/>
              <w:ind w:firstLine="422" w:firstLineChars="175"/>
              <w:rPr>
                <w:rFonts w:hint="eastAsia" w:ascii="仿宋" w:hAnsi="仿宋" w:eastAsia="仿宋"/>
                <w:b/>
                <w:color w:val="000000"/>
                <w:sz w:val="24"/>
              </w:rPr>
            </w:pPr>
            <w:r>
              <w:rPr>
                <w:rFonts w:hint="eastAsia" w:ascii="仿宋" w:hAnsi="仿宋" w:eastAsia="仿宋"/>
                <w:b/>
                <w:color w:val="000000"/>
                <w:sz w:val="24"/>
              </w:rPr>
              <w:t>二、相关信息获取方式</w:t>
            </w:r>
          </w:p>
          <w:p w14:paraId="2128BF78">
            <w:pPr>
              <w:autoSpaceDE w:val="0"/>
              <w:autoSpaceDN w:val="0"/>
              <w:spacing w:line="336" w:lineRule="auto"/>
              <w:ind w:firstLine="420" w:firstLineChars="175"/>
              <w:rPr>
                <w:rFonts w:hint="eastAsia" w:ascii="仿宋" w:hAnsi="仿宋" w:eastAsia="仿宋"/>
                <w:color w:val="000000"/>
                <w:sz w:val="24"/>
              </w:rPr>
            </w:pPr>
            <w:r>
              <w:rPr>
                <w:rFonts w:hint="eastAsia" w:ascii="仿宋" w:hAnsi="仿宋" w:eastAsia="仿宋"/>
                <w:color w:val="000000"/>
                <w:sz w:val="24"/>
              </w:rPr>
              <w:t>请登陆杭州市政府采购网（http://cg.hzft.gov.cn）“中小企业信用融资”专栏，可查看信用融资政策文件及各相关银行服务方案。</w:t>
            </w:r>
          </w:p>
          <w:p w14:paraId="33461811">
            <w:pPr>
              <w:autoSpaceDE w:val="0"/>
              <w:autoSpaceDN w:val="0"/>
              <w:spacing w:line="336" w:lineRule="auto"/>
              <w:ind w:firstLine="422" w:firstLineChars="175"/>
              <w:rPr>
                <w:rFonts w:hint="eastAsia" w:ascii="仿宋" w:hAnsi="仿宋" w:eastAsia="仿宋"/>
                <w:b/>
                <w:color w:val="000000"/>
                <w:sz w:val="24"/>
              </w:rPr>
            </w:pPr>
            <w:r>
              <w:rPr>
                <w:rFonts w:hint="eastAsia" w:ascii="仿宋" w:hAnsi="仿宋" w:eastAsia="仿宋"/>
                <w:b/>
                <w:color w:val="000000"/>
                <w:sz w:val="24"/>
              </w:rPr>
              <w:t>三、申请方式和步骤</w:t>
            </w:r>
          </w:p>
          <w:p w14:paraId="231603DE">
            <w:pPr>
              <w:autoSpaceDE w:val="0"/>
              <w:autoSpaceDN w:val="0"/>
              <w:spacing w:line="336" w:lineRule="auto"/>
              <w:ind w:firstLine="420" w:firstLineChars="175"/>
              <w:rPr>
                <w:rFonts w:hint="eastAsia" w:ascii="仿宋" w:hAnsi="仿宋" w:eastAsia="仿宋"/>
                <w:color w:val="000000"/>
                <w:sz w:val="24"/>
              </w:rPr>
            </w:pPr>
            <w:r>
              <w:rPr>
                <w:rFonts w:hint="eastAsia" w:ascii="仿宋" w:hAnsi="仿宋" w:eastAsia="仿宋"/>
                <w:color w:val="000000"/>
                <w:sz w:val="24"/>
              </w:rPr>
              <w:t>1、供应商若有融资意向，需先与六家合作银行对接，办理相关融资前期手续；</w:t>
            </w:r>
          </w:p>
          <w:p w14:paraId="1E9F1E43">
            <w:pPr>
              <w:autoSpaceDE w:val="0"/>
              <w:autoSpaceDN w:val="0"/>
              <w:spacing w:line="336" w:lineRule="auto"/>
              <w:ind w:firstLine="420" w:firstLineChars="175"/>
              <w:rPr>
                <w:rFonts w:hint="eastAsia" w:ascii="仿宋" w:hAnsi="仿宋" w:eastAsia="仿宋"/>
                <w:color w:val="000000"/>
                <w:sz w:val="24"/>
              </w:rPr>
            </w:pPr>
            <w:r>
              <w:rPr>
                <w:rFonts w:hint="eastAsia" w:ascii="仿宋" w:hAnsi="仿宋" w:eastAsia="仿宋"/>
                <w:color w:val="000000"/>
                <w:sz w:val="24"/>
              </w:rPr>
              <w:t>2、中标/成交后，供应商应与采购单位或者采购代理机构及时联系，告知融资需求；</w:t>
            </w:r>
          </w:p>
          <w:p w14:paraId="5958B62C">
            <w:pPr>
              <w:autoSpaceDE w:val="0"/>
              <w:autoSpaceDN w:val="0"/>
              <w:spacing w:line="336" w:lineRule="auto"/>
              <w:ind w:firstLine="420" w:firstLineChars="175"/>
              <w:rPr>
                <w:rFonts w:hint="eastAsia" w:ascii="仿宋" w:hAnsi="仿宋" w:eastAsia="仿宋"/>
                <w:color w:val="000000"/>
                <w:sz w:val="24"/>
              </w:rPr>
            </w:pPr>
            <w:r>
              <w:rPr>
                <w:rFonts w:hint="eastAsia" w:ascii="仿宋" w:hAnsi="仿宋" w:eastAsia="仿宋"/>
                <w:color w:val="000000"/>
                <w:sz w:val="24"/>
              </w:rPr>
              <w:t>3、采购单位或者采购代理机构在政府采购信息系统录入中标合同信息时，须在合同备案页“是否为可融资合同”前打勾，并选择相应的信用融资合作银行，录入账号信息；</w:t>
            </w:r>
          </w:p>
          <w:p w14:paraId="3B519AEA">
            <w:pPr>
              <w:autoSpaceDE w:val="0"/>
              <w:autoSpaceDN w:val="0"/>
              <w:spacing w:line="336" w:lineRule="auto"/>
              <w:ind w:firstLine="420" w:firstLineChars="175"/>
              <w:rPr>
                <w:rFonts w:hint="eastAsia" w:ascii="仿宋" w:hAnsi="仿宋" w:eastAsia="仿宋"/>
                <w:color w:val="000000"/>
                <w:sz w:val="24"/>
              </w:rPr>
            </w:pPr>
            <w:r>
              <w:rPr>
                <w:rFonts w:hint="eastAsia" w:ascii="仿宋" w:hAnsi="仿宋" w:eastAsia="仿宋"/>
                <w:color w:val="000000"/>
                <w:sz w:val="24"/>
              </w:rPr>
              <w:t>4、相关信息录入后，相关合作银行将在政府采购信息系统查询到合同备案信息，经审核，与供应商联系并办理相关融资事宜。</w:t>
            </w:r>
          </w:p>
          <w:p w14:paraId="44B0D02F">
            <w:pPr>
              <w:autoSpaceDE w:val="0"/>
              <w:autoSpaceDN w:val="0"/>
              <w:spacing w:line="336" w:lineRule="auto"/>
              <w:ind w:firstLine="422" w:firstLineChars="175"/>
              <w:rPr>
                <w:rFonts w:hint="eastAsia" w:ascii="仿宋" w:hAnsi="仿宋" w:eastAsia="仿宋"/>
                <w:b/>
                <w:color w:val="000000"/>
                <w:sz w:val="24"/>
              </w:rPr>
            </w:pPr>
            <w:r>
              <w:rPr>
                <w:rFonts w:hint="eastAsia" w:ascii="仿宋" w:hAnsi="仿宋" w:eastAsia="仿宋"/>
                <w:b/>
                <w:color w:val="000000"/>
                <w:sz w:val="24"/>
              </w:rPr>
              <w:t>四、注意事项</w:t>
            </w:r>
          </w:p>
          <w:p w14:paraId="4E2F785C">
            <w:pPr>
              <w:autoSpaceDE w:val="0"/>
              <w:autoSpaceDN w:val="0"/>
              <w:spacing w:line="336" w:lineRule="auto"/>
              <w:jc w:val="center"/>
              <w:rPr>
                <w:rFonts w:hint="eastAsia" w:ascii="华文中宋" w:hAnsi="华文中宋" w:eastAsia="华文中宋"/>
                <w:b/>
                <w:color w:val="000000"/>
                <w:sz w:val="36"/>
              </w:rPr>
            </w:pPr>
            <w:r>
              <w:rPr>
                <w:rFonts w:hint="eastAsia" w:ascii="仿宋" w:hAnsi="仿宋" w:eastAsia="仿宋"/>
                <w:color w:val="000000"/>
                <w:sz w:val="24"/>
              </w:rPr>
              <w:t>请各采购单位和采购代理机构积极支持和配合政府采购信用融资工作，在合同备案节务必请仔细核对收款银行、账号信息等内容，一旦录入将无法修改。</w:t>
            </w:r>
          </w:p>
        </w:tc>
      </w:tr>
    </w:tbl>
    <w:p w14:paraId="5FA52192">
      <w:pPr>
        <w:keepNext/>
        <w:keepLines/>
        <w:autoSpaceDE w:val="0"/>
        <w:autoSpaceDN w:val="0"/>
        <w:spacing w:before="240" w:line="360" w:lineRule="auto"/>
        <w:jc w:val="left"/>
        <w:outlineLvl w:val="2"/>
        <w:rPr>
          <w:rFonts w:hint="eastAsia" w:ascii="华文中宋" w:hAnsi="华文中宋" w:eastAsia="华文中宋"/>
          <w:b/>
          <w:bCs/>
          <w:color w:val="000000"/>
          <w:kern w:val="0"/>
          <w:sz w:val="30"/>
        </w:rPr>
      </w:pPr>
      <w:r>
        <w:rPr>
          <w:rFonts w:ascii="华文中宋" w:hAnsi="华文中宋" w:eastAsia="华文中宋"/>
          <w:sz w:val="30"/>
        </w:rPr>
        <w:br w:type="page"/>
      </w:r>
      <w:bookmarkStart w:id="185" w:name="_Toc4294377"/>
      <w:bookmarkStart w:id="186" w:name="_Toc17428346"/>
      <w:bookmarkStart w:id="187" w:name="_Toc25765007"/>
      <w:bookmarkStart w:id="188" w:name="_Toc17428251"/>
      <w:bookmarkStart w:id="189" w:name="_Toc7664194"/>
      <w:bookmarkStart w:id="190" w:name="_Toc7668947"/>
      <w:bookmarkStart w:id="191" w:name="_Toc7988472"/>
      <w:bookmarkStart w:id="192" w:name="_Toc24471815"/>
      <w:bookmarkStart w:id="193" w:name="_Toc7488756"/>
      <w:bookmarkStart w:id="194" w:name="_Toc7993638"/>
      <w:bookmarkStart w:id="195" w:name="_Toc7492525"/>
      <w:bookmarkStart w:id="196" w:name="_Toc8007002"/>
      <w:bookmarkStart w:id="197" w:name="_Toc7574702"/>
      <w:bookmarkStart w:id="198" w:name="_Toc20358289"/>
      <w:bookmarkStart w:id="199" w:name="_Toc7988418"/>
      <w:bookmarkStart w:id="200" w:name="_Toc7663594"/>
      <w:bookmarkStart w:id="201" w:name="_Toc7542913"/>
      <w:bookmarkStart w:id="202" w:name="_Toc10432455"/>
      <w:r>
        <w:rPr>
          <w:rFonts w:hint="eastAsia" w:ascii="华文中宋" w:hAnsi="华文中宋" w:eastAsia="华文中宋"/>
          <w:b/>
          <w:bCs/>
          <w:color w:val="000000"/>
          <w:kern w:val="0"/>
          <w:sz w:val="30"/>
        </w:rPr>
        <w:t>二、</w:t>
      </w:r>
      <w:bookmarkEnd w:id="185"/>
      <w:r>
        <w:rPr>
          <w:rFonts w:hint="eastAsia" w:ascii="华文中宋" w:hAnsi="华文中宋" w:eastAsia="华文中宋"/>
          <w:b/>
          <w:bCs/>
          <w:color w:val="000000"/>
          <w:kern w:val="0"/>
          <w:sz w:val="30"/>
        </w:rPr>
        <w:t>关于调整优化节能产品、环境标志产品政府采购执行机制的通知（财库[2019]9号）</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bl>
      <w:tblPr>
        <w:tblStyle w:val="52"/>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14:paraId="624C7561">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noWrap/>
          </w:tcPr>
          <w:p w14:paraId="5D05BD7F">
            <w:pPr>
              <w:autoSpaceDE w:val="0"/>
              <w:autoSpaceDN w:val="0"/>
              <w:spacing w:line="360" w:lineRule="auto"/>
              <w:jc w:val="center"/>
              <w:rPr>
                <w:rFonts w:hint="eastAsia" w:ascii="仿宋" w:hAnsi="仿宋" w:eastAsia="仿宋"/>
                <w:b/>
                <w:color w:val="000000"/>
                <w:sz w:val="24"/>
              </w:rPr>
            </w:pPr>
            <w:r>
              <w:rPr>
                <w:rFonts w:hint="eastAsia" w:ascii="仿宋" w:hAnsi="仿宋" w:eastAsia="仿宋"/>
                <w:b/>
                <w:color w:val="000000"/>
                <w:sz w:val="24"/>
              </w:rPr>
              <w:t>财政部 发展改革委 生态环境部 市场监管总局</w:t>
            </w:r>
          </w:p>
          <w:p w14:paraId="40439AB6">
            <w:pPr>
              <w:autoSpaceDE w:val="0"/>
              <w:autoSpaceDN w:val="0"/>
              <w:spacing w:line="360" w:lineRule="auto"/>
              <w:jc w:val="center"/>
              <w:rPr>
                <w:rFonts w:hint="eastAsia" w:ascii="仿宋" w:hAnsi="仿宋" w:eastAsia="仿宋"/>
                <w:b/>
                <w:color w:val="000000"/>
                <w:sz w:val="24"/>
              </w:rPr>
            </w:pPr>
            <w:r>
              <w:rPr>
                <w:rFonts w:hint="eastAsia" w:ascii="仿宋" w:hAnsi="仿宋" w:eastAsia="仿宋"/>
                <w:b/>
                <w:color w:val="000000"/>
                <w:sz w:val="24"/>
              </w:rPr>
              <w:t>关于调整优化节能产品、环境标志产品政府采购执行机制的通知</w:t>
            </w:r>
          </w:p>
          <w:p w14:paraId="7C930F55">
            <w:pPr>
              <w:autoSpaceDE w:val="0"/>
              <w:autoSpaceDN w:val="0"/>
              <w:spacing w:line="360" w:lineRule="auto"/>
              <w:jc w:val="center"/>
              <w:rPr>
                <w:rFonts w:hint="eastAsia" w:ascii="仿宋" w:hAnsi="仿宋" w:eastAsia="仿宋"/>
                <w:b/>
                <w:color w:val="000000"/>
                <w:sz w:val="24"/>
              </w:rPr>
            </w:pPr>
            <w:r>
              <w:rPr>
                <w:rFonts w:hint="eastAsia" w:ascii="仿宋" w:hAnsi="仿宋" w:eastAsia="仿宋"/>
                <w:b/>
                <w:color w:val="000000"/>
                <w:sz w:val="24"/>
              </w:rPr>
              <w:t>财库〔2019〕9号</w:t>
            </w:r>
          </w:p>
          <w:p w14:paraId="30C01A34">
            <w:pPr>
              <w:autoSpaceDE w:val="0"/>
              <w:autoSpaceDN w:val="0"/>
              <w:spacing w:line="360" w:lineRule="auto"/>
              <w:jc w:val="center"/>
              <w:rPr>
                <w:rFonts w:hint="eastAsia" w:ascii="仿宋" w:hAnsi="仿宋" w:eastAsia="仿宋"/>
                <w:b/>
                <w:color w:val="000000"/>
                <w:sz w:val="24"/>
              </w:rPr>
            </w:pPr>
          </w:p>
          <w:p w14:paraId="54BA0D23">
            <w:pPr>
              <w:autoSpaceDE w:val="0"/>
              <w:autoSpaceDN w:val="0"/>
              <w:spacing w:line="360" w:lineRule="auto"/>
              <w:ind w:firstLine="487"/>
              <w:rPr>
                <w:rFonts w:hint="eastAsia" w:ascii="仿宋" w:hAnsi="仿宋" w:eastAsia="仿宋"/>
                <w:b/>
                <w:color w:val="000000"/>
                <w:sz w:val="24"/>
              </w:rPr>
            </w:pPr>
            <w:r>
              <w:rPr>
                <w:rFonts w:ascii="仿宋" w:hAnsi="仿宋" w:eastAsia="仿宋"/>
                <w:b/>
                <w:color w:val="000000"/>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14:paraId="0096E62A">
            <w:pPr>
              <w:autoSpaceDE w:val="0"/>
              <w:autoSpaceDN w:val="0"/>
              <w:spacing w:line="360" w:lineRule="auto"/>
              <w:ind w:firstLine="424" w:firstLineChars="177"/>
              <w:rPr>
                <w:rFonts w:hint="eastAsia" w:ascii="仿宋" w:hAnsi="仿宋" w:eastAsia="仿宋"/>
                <w:color w:val="000000"/>
                <w:sz w:val="24"/>
              </w:rPr>
            </w:pPr>
            <w:r>
              <w:rPr>
                <w:rFonts w:ascii="仿宋" w:hAnsi="仿宋" w:eastAsia="仿宋"/>
                <w:color w:val="000000"/>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14:paraId="380882B2">
            <w:pPr>
              <w:autoSpaceDE w:val="0"/>
              <w:autoSpaceDN w:val="0"/>
              <w:spacing w:line="360" w:lineRule="auto"/>
              <w:ind w:firstLine="426" w:firstLineChars="177"/>
              <w:rPr>
                <w:rFonts w:hint="eastAsia" w:ascii="仿宋" w:hAnsi="仿宋" w:eastAsia="仿宋"/>
                <w:color w:val="000000"/>
                <w:sz w:val="24"/>
              </w:rPr>
            </w:pPr>
            <w:r>
              <w:rPr>
                <w:rFonts w:ascii="仿宋" w:hAnsi="仿宋" w:eastAsia="仿宋"/>
                <w:b/>
                <w:color w:val="000000"/>
                <w:sz w:val="24"/>
              </w:rPr>
              <w:t>一、对政府采购节能产品、环境标志产品实施品目清单管理。</w:t>
            </w:r>
            <w:r>
              <w:rPr>
                <w:rFonts w:ascii="仿宋" w:hAnsi="仿宋" w:eastAsia="仿宋"/>
                <w:color w:val="000000"/>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98AAB4D">
            <w:pPr>
              <w:autoSpaceDE w:val="0"/>
              <w:autoSpaceDN w:val="0"/>
              <w:spacing w:line="360" w:lineRule="auto"/>
              <w:ind w:firstLine="426" w:firstLineChars="177"/>
              <w:rPr>
                <w:rFonts w:hint="eastAsia" w:ascii="仿宋" w:hAnsi="仿宋" w:eastAsia="仿宋"/>
                <w:color w:val="000000"/>
                <w:sz w:val="24"/>
              </w:rPr>
            </w:pPr>
            <w:r>
              <w:rPr>
                <w:rFonts w:ascii="仿宋" w:hAnsi="仿宋" w:eastAsia="仿宋"/>
                <w:b/>
                <w:color w:val="000000"/>
                <w:sz w:val="24"/>
              </w:rPr>
              <w:t>二、依据品目清单和认证证书实施政府优先采购和强制采购。</w:t>
            </w:r>
            <w:r>
              <w:rPr>
                <w:rFonts w:ascii="仿宋" w:hAnsi="仿宋" w:eastAsia="仿宋"/>
                <w:color w:val="000000"/>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7DA769A">
            <w:pPr>
              <w:autoSpaceDE w:val="0"/>
              <w:autoSpaceDN w:val="0"/>
              <w:spacing w:line="360" w:lineRule="auto"/>
              <w:ind w:firstLine="426" w:firstLineChars="177"/>
              <w:rPr>
                <w:rFonts w:hint="eastAsia" w:ascii="仿宋" w:hAnsi="仿宋" w:eastAsia="仿宋"/>
                <w:color w:val="000000"/>
                <w:sz w:val="24"/>
              </w:rPr>
            </w:pPr>
            <w:r>
              <w:rPr>
                <w:rFonts w:ascii="仿宋" w:hAnsi="仿宋" w:eastAsia="仿宋"/>
                <w:b/>
                <w:color w:val="000000"/>
                <w:sz w:val="24"/>
              </w:rPr>
              <w:t>三、逐步扩大节能产品、环境标志产品认证机构范围。</w:t>
            </w:r>
            <w:r>
              <w:rPr>
                <w:rFonts w:ascii="仿宋" w:hAnsi="仿宋" w:eastAsia="仿宋"/>
                <w:color w:val="000000"/>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3304AC51">
            <w:pPr>
              <w:autoSpaceDE w:val="0"/>
              <w:autoSpaceDN w:val="0"/>
              <w:spacing w:line="360" w:lineRule="auto"/>
              <w:ind w:firstLine="426" w:firstLineChars="177"/>
              <w:rPr>
                <w:rFonts w:hint="eastAsia" w:ascii="仿宋" w:hAnsi="仿宋" w:eastAsia="仿宋"/>
                <w:color w:val="000000"/>
                <w:sz w:val="24"/>
              </w:rPr>
            </w:pPr>
            <w:r>
              <w:rPr>
                <w:rFonts w:ascii="仿宋" w:hAnsi="仿宋" w:eastAsia="仿宋"/>
                <w:b/>
                <w:color w:val="000000"/>
                <w:sz w:val="24"/>
              </w:rPr>
              <w:t>四、发布认证机构和获证产品信息。</w:t>
            </w:r>
            <w:r>
              <w:rPr>
                <w:rFonts w:ascii="仿宋" w:hAnsi="仿宋" w:eastAsia="仿宋"/>
                <w:color w:val="000000"/>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55536602">
            <w:pPr>
              <w:autoSpaceDE w:val="0"/>
              <w:autoSpaceDN w:val="0"/>
              <w:spacing w:line="360" w:lineRule="auto"/>
              <w:ind w:firstLine="426" w:firstLineChars="177"/>
              <w:rPr>
                <w:rFonts w:hint="eastAsia" w:ascii="仿宋" w:hAnsi="仿宋" w:eastAsia="仿宋"/>
                <w:color w:val="000000"/>
                <w:sz w:val="24"/>
              </w:rPr>
            </w:pPr>
            <w:r>
              <w:rPr>
                <w:rFonts w:ascii="仿宋" w:hAnsi="仿宋" w:eastAsia="仿宋"/>
                <w:b/>
                <w:color w:val="000000"/>
                <w:sz w:val="24"/>
              </w:rPr>
              <w:t>五、加大政府绿色采购力度。</w:t>
            </w:r>
            <w:r>
              <w:rPr>
                <w:rFonts w:ascii="仿宋" w:hAnsi="仿宋" w:eastAsia="仿宋"/>
                <w:color w:val="000000"/>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B7D389C">
            <w:pPr>
              <w:autoSpaceDE w:val="0"/>
              <w:autoSpaceDN w:val="0"/>
              <w:spacing w:line="360" w:lineRule="auto"/>
              <w:ind w:firstLine="426" w:firstLineChars="177"/>
              <w:rPr>
                <w:rFonts w:hint="eastAsia" w:ascii="仿宋" w:hAnsi="仿宋" w:eastAsia="仿宋"/>
                <w:color w:val="000000"/>
                <w:sz w:val="24"/>
              </w:rPr>
            </w:pPr>
            <w:r>
              <w:rPr>
                <w:rFonts w:ascii="仿宋" w:hAnsi="仿宋" w:eastAsia="仿宋"/>
                <w:b/>
                <w:color w:val="000000"/>
                <w:sz w:val="24"/>
              </w:rPr>
              <w:t>六、本通知自2019年4月1日起执行。</w:t>
            </w:r>
            <w:r>
              <w:rPr>
                <w:rFonts w:ascii="仿宋" w:hAnsi="仿宋" w:eastAsia="仿宋"/>
                <w:color w:val="000000"/>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14:paraId="0DF1A95E">
            <w:pPr>
              <w:autoSpaceDE w:val="0"/>
              <w:autoSpaceDN w:val="0"/>
              <w:spacing w:line="360" w:lineRule="auto"/>
              <w:jc w:val="right"/>
              <w:rPr>
                <w:rFonts w:hint="eastAsia" w:ascii="仿宋" w:hAnsi="仿宋" w:eastAsia="仿宋"/>
                <w:color w:val="000000"/>
                <w:sz w:val="24"/>
              </w:rPr>
            </w:pPr>
            <w:r>
              <w:rPr>
                <w:rFonts w:ascii="仿宋" w:hAnsi="仿宋" w:eastAsia="仿宋"/>
                <w:color w:val="000000"/>
                <w:sz w:val="24"/>
              </w:rPr>
              <w:t>财政部 发展改革委 生态环境部 市场监管总局</w:t>
            </w:r>
          </w:p>
          <w:p w14:paraId="0AFB35D2">
            <w:pPr>
              <w:autoSpaceDE w:val="0"/>
              <w:autoSpaceDN w:val="0"/>
              <w:spacing w:line="360" w:lineRule="auto"/>
              <w:jc w:val="right"/>
              <w:rPr>
                <w:rFonts w:hint="eastAsia" w:ascii="华文中宋" w:hAnsi="华文中宋" w:eastAsia="华文中宋"/>
                <w:color w:val="000000"/>
                <w:kern w:val="0"/>
                <w:sz w:val="30"/>
                <w:szCs w:val="30"/>
              </w:rPr>
            </w:pPr>
            <w:r>
              <w:rPr>
                <w:rFonts w:ascii="仿宋" w:hAnsi="仿宋" w:eastAsia="仿宋"/>
                <w:color w:val="000000"/>
                <w:sz w:val="24"/>
              </w:rPr>
              <w:t>2019年2月1日</w:t>
            </w:r>
          </w:p>
        </w:tc>
      </w:tr>
    </w:tbl>
    <w:p w14:paraId="2A3FFE01">
      <w:pPr>
        <w:widowControl/>
        <w:shd w:val="clear" w:color="auto" w:fill="FFFFFF"/>
        <w:autoSpaceDE w:val="0"/>
        <w:autoSpaceDN w:val="0"/>
        <w:spacing w:line="360" w:lineRule="auto"/>
        <w:jc w:val="center"/>
        <w:textAlignment w:val="baseline"/>
        <w:rPr>
          <w:rFonts w:hint="eastAsia" w:ascii="华文中宋" w:hAnsi="华文中宋" w:eastAsia="华文中宋" w:cs="宋体"/>
          <w:color w:val="000000"/>
          <w:kern w:val="0"/>
          <w:sz w:val="30"/>
          <w:szCs w:val="30"/>
        </w:rPr>
      </w:pPr>
    </w:p>
    <w:p w14:paraId="74003830">
      <w:pPr>
        <w:widowControl/>
        <w:autoSpaceDE w:val="0"/>
        <w:autoSpaceDN w:val="0"/>
        <w:spacing w:line="360" w:lineRule="auto"/>
        <w:jc w:val="right"/>
        <w:rPr>
          <w:rFonts w:hint="eastAsia" w:ascii="inherit" w:hAnsi="inherit" w:eastAsia="仿宋" w:cs="宋体"/>
          <w:color w:val="000000"/>
          <w:kern w:val="0"/>
          <w:sz w:val="24"/>
          <w:szCs w:val="28"/>
        </w:rPr>
      </w:pPr>
    </w:p>
    <w:p w14:paraId="477882BF">
      <w:pPr>
        <w:keepNext/>
        <w:keepLines/>
        <w:autoSpaceDE w:val="0"/>
        <w:autoSpaceDN w:val="0"/>
        <w:spacing w:before="240" w:line="360" w:lineRule="auto"/>
        <w:jc w:val="left"/>
        <w:outlineLvl w:val="2"/>
        <w:rPr>
          <w:rFonts w:hint="eastAsia" w:ascii="华文中宋" w:hAnsi="华文中宋" w:eastAsia="华文中宋"/>
          <w:b/>
          <w:bCs/>
          <w:color w:val="000000"/>
          <w:kern w:val="0"/>
          <w:sz w:val="30"/>
          <w:szCs w:val="28"/>
        </w:rPr>
      </w:pPr>
      <w:r>
        <w:rPr>
          <w:rFonts w:hint="eastAsia" w:ascii="inherit" w:hAnsi="inherit" w:eastAsia="仿宋"/>
          <w:b/>
          <w:bCs/>
          <w:color w:val="000000"/>
          <w:kern w:val="0"/>
          <w:sz w:val="30"/>
          <w:szCs w:val="28"/>
        </w:rPr>
        <w:br w:type="page"/>
      </w:r>
      <w:bookmarkStart w:id="203" w:name="_Toc7574703"/>
      <w:bookmarkStart w:id="204" w:name="_Toc17428252"/>
      <w:bookmarkStart w:id="205" w:name="_Toc7542914"/>
      <w:bookmarkStart w:id="206" w:name="_Toc20358290"/>
      <w:bookmarkStart w:id="207" w:name="_Toc17428347"/>
      <w:bookmarkStart w:id="208" w:name="_Toc25765008"/>
      <w:bookmarkStart w:id="209" w:name="_Toc7492526"/>
      <w:bookmarkStart w:id="210" w:name="_Toc7668948"/>
      <w:bookmarkStart w:id="211" w:name="_Toc7664195"/>
      <w:bookmarkStart w:id="212" w:name="_Toc24471816"/>
      <w:bookmarkStart w:id="213" w:name="_Toc7988419"/>
      <w:bookmarkStart w:id="214" w:name="_Toc7993639"/>
      <w:bookmarkStart w:id="215" w:name="_Toc7488757"/>
      <w:bookmarkStart w:id="216" w:name="_Toc7663595"/>
      <w:bookmarkStart w:id="217" w:name="_Toc7988473"/>
      <w:bookmarkStart w:id="218" w:name="_Toc8007003"/>
      <w:bookmarkStart w:id="219" w:name="_Toc10432456"/>
      <w:r>
        <w:rPr>
          <w:rFonts w:hint="eastAsia" w:ascii="华文中宋" w:hAnsi="华文中宋" w:eastAsia="华文中宋"/>
          <w:b/>
          <w:bCs/>
          <w:color w:val="000000"/>
          <w:kern w:val="0"/>
          <w:sz w:val="30"/>
          <w:szCs w:val="28"/>
        </w:rPr>
        <w:t>三、</w:t>
      </w:r>
      <w:r>
        <w:rPr>
          <w:rFonts w:ascii="华文中宋" w:hAnsi="华文中宋" w:eastAsia="华文中宋"/>
          <w:b/>
          <w:bCs/>
          <w:color w:val="000000"/>
          <w:kern w:val="0"/>
          <w:sz w:val="30"/>
        </w:rPr>
        <w:t>关于印发节能产品政府采购品目清单的通知</w:t>
      </w:r>
      <w:r>
        <w:rPr>
          <w:rFonts w:hint="eastAsia" w:ascii="华文中宋" w:hAnsi="华文中宋" w:eastAsia="华文中宋"/>
          <w:b/>
          <w:bCs/>
          <w:color w:val="000000"/>
          <w:kern w:val="0"/>
          <w:sz w:val="30"/>
        </w:rPr>
        <w:t>（</w:t>
      </w:r>
      <w:r>
        <w:rPr>
          <w:rFonts w:ascii="华文中宋" w:hAnsi="华文中宋" w:eastAsia="华文中宋"/>
          <w:b/>
          <w:bCs/>
          <w:color w:val="000000"/>
          <w:kern w:val="0"/>
          <w:sz w:val="30"/>
        </w:rPr>
        <w:t>财库〔2019〕19号</w:t>
      </w:r>
      <w:r>
        <w:rPr>
          <w:rFonts w:hint="eastAsia" w:ascii="华文中宋" w:hAnsi="华文中宋" w:eastAsia="华文中宋"/>
          <w:b/>
          <w:bCs/>
          <w:color w:val="000000"/>
          <w:kern w:val="0"/>
          <w:sz w:val="30"/>
        </w:rPr>
        <w:t>）</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bl>
      <w:tblPr>
        <w:tblStyle w:val="52"/>
        <w:tblW w:w="8969"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69"/>
      </w:tblGrid>
      <w:tr w14:paraId="3FE808AC">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noWrap/>
          </w:tcPr>
          <w:p w14:paraId="753CB638">
            <w:pPr>
              <w:widowControl/>
              <w:autoSpaceDE w:val="0"/>
              <w:autoSpaceDN w:val="0"/>
              <w:spacing w:line="360" w:lineRule="auto"/>
              <w:jc w:val="center"/>
              <w:rPr>
                <w:rFonts w:hint="eastAsia" w:ascii="华文中宋" w:hAnsi="华文中宋" w:eastAsia="华文中宋" w:cs="宋体"/>
                <w:b/>
                <w:color w:val="000000"/>
                <w:kern w:val="0"/>
                <w:sz w:val="32"/>
              </w:rPr>
            </w:pPr>
            <w:r>
              <w:rPr>
                <w:rFonts w:ascii="华文中宋" w:hAnsi="华文中宋" w:eastAsia="华文中宋" w:cs="宋体"/>
                <w:b/>
                <w:color w:val="000000"/>
                <w:kern w:val="0"/>
                <w:sz w:val="32"/>
              </w:rPr>
              <w:t>关于印发节能产品政府采购品目清单的通知</w:t>
            </w:r>
          </w:p>
          <w:p w14:paraId="35278492">
            <w:pPr>
              <w:widowControl/>
              <w:autoSpaceDE w:val="0"/>
              <w:autoSpaceDN w:val="0"/>
              <w:spacing w:line="360" w:lineRule="auto"/>
              <w:jc w:val="center"/>
              <w:rPr>
                <w:rFonts w:hint="eastAsia" w:ascii="仿宋" w:hAnsi="仿宋" w:eastAsia="仿宋" w:cs="宋体"/>
                <w:color w:val="000000"/>
                <w:kern w:val="0"/>
                <w:sz w:val="28"/>
              </w:rPr>
            </w:pPr>
            <w:r>
              <w:rPr>
                <w:rFonts w:ascii="华文中宋" w:hAnsi="华文中宋" w:eastAsia="华文中宋" w:cs="宋体"/>
                <w:b/>
                <w:color w:val="000000"/>
                <w:kern w:val="0"/>
                <w:sz w:val="32"/>
              </w:rPr>
              <w:t>财库〔2019〕19号</w:t>
            </w:r>
          </w:p>
          <w:p w14:paraId="4815A330">
            <w:pPr>
              <w:widowControl/>
              <w:autoSpaceDE w:val="0"/>
              <w:autoSpaceDN w:val="0"/>
              <w:spacing w:line="360" w:lineRule="auto"/>
              <w:jc w:val="center"/>
              <w:rPr>
                <w:rFonts w:hint="eastAsia" w:ascii="仿宋" w:hAnsi="仿宋" w:eastAsia="仿宋" w:cs="宋体"/>
                <w:color w:val="000000"/>
                <w:kern w:val="0"/>
                <w:sz w:val="28"/>
              </w:rPr>
            </w:pPr>
          </w:p>
          <w:p w14:paraId="01225397">
            <w:pPr>
              <w:widowControl/>
              <w:autoSpaceDE w:val="0"/>
              <w:autoSpaceDN w:val="0"/>
              <w:spacing w:line="360" w:lineRule="auto"/>
              <w:jc w:val="left"/>
              <w:rPr>
                <w:rFonts w:hint="eastAsia" w:ascii="仿宋" w:hAnsi="仿宋" w:eastAsia="仿宋" w:cs="宋体"/>
                <w:color w:val="000000"/>
                <w:kern w:val="0"/>
                <w:sz w:val="28"/>
              </w:rPr>
            </w:pPr>
            <w:r>
              <w:rPr>
                <w:rFonts w:ascii="仿宋" w:hAnsi="仿宋" w:eastAsia="仿宋" w:cs="宋体"/>
                <w:color w:val="000000"/>
                <w:kern w:val="0"/>
                <w:sz w:val="28"/>
              </w:rPr>
              <w:t>有关中央预算单位，各省、自治区、直辖市、计划单列市财政厅（局）、发展改革委（经信委、工信委、工信厅、经信局），新疆生产建设兵团财政局、发展改革委：</w:t>
            </w:r>
          </w:p>
          <w:p w14:paraId="1CED7198">
            <w:pPr>
              <w:widowControl/>
              <w:autoSpaceDE w:val="0"/>
              <w:autoSpaceDN w:val="0"/>
              <w:spacing w:line="360" w:lineRule="auto"/>
              <w:jc w:val="left"/>
              <w:rPr>
                <w:rFonts w:hint="eastAsia" w:ascii="仿宋" w:hAnsi="仿宋" w:eastAsia="仿宋" w:cs="宋体"/>
                <w:color w:val="000000"/>
                <w:kern w:val="0"/>
                <w:sz w:val="28"/>
              </w:rPr>
            </w:pPr>
          </w:p>
          <w:p w14:paraId="5C2B8E5D">
            <w:pPr>
              <w:widowControl/>
              <w:autoSpaceDE w:val="0"/>
              <w:autoSpaceDN w:val="0"/>
              <w:spacing w:line="360" w:lineRule="auto"/>
              <w:ind w:firstLine="565" w:firstLineChars="202"/>
              <w:jc w:val="left"/>
              <w:rPr>
                <w:rFonts w:hint="eastAsia" w:ascii="仿宋" w:hAnsi="仿宋" w:eastAsia="仿宋" w:cs="宋体"/>
                <w:color w:val="000000"/>
                <w:kern w:val="0"/>
                <w:sz w:val="28"/>
              </w:rPr>
            </w:pPr>
            <w:r>
              <w:rPr>
                <w:rFonts w:ascii="仿宋" w:hAnsi="仿宋" w:eastAsia="仿宋" w:cs="宋体"/>
                <w:color w:val="000000"/>
                <w:kern w:val="0"/>
                <w:sz w:val="28"/>
              </w:rPr>
              <w:t>根据《财政部发展改革委</w:t>
            </w:r>
            <w:r>
              <w:rPr>
                <w:rFonts w:ascii="宋体" w:hAnsi="宋体" w:eastAsia="仿宋" w:cs="宋体"/>
                <w:color w:val="000000"/>
                <w:kern w:val="0"/>
                <w:sz w:val="28"/>
              </w:rPr>
              <w:t> </w:t>
            </w:r>
            <w:r>
              <w:rPr>
                <w:rFonts w:ascii="仿宋" w:hAnsi="仿宋" w:eastAsia="仿宋" w:cs="宋体"/>
                <w:color w:val="000000"/>
                <w:kern w:val="0"/>
                <w:sz w:val="28"/>
              </w:rPr>
              <w:t>生态环境部</w:t>
            </w:r>
            <w:r>
              <w:rPr>
                <w:rFonts w:ascii="宋体" w:hAnsi="宋体" w:eastAsia="仿宋" w:cs="宋体"/>
                <w:color w:val="000000"/>
                <w:kern w:val="0"/>
                <w:sz w:val="28"/>
              </w:rPr>
              <w:t> </w:t>
            </w:r>
            <w:r>
              <w:rPr>
                <w:rFonts w:ascii="仿宋" w:hAnsi="仿宋" w:eastAsia="仿宋" w:cs="宋体"/>
                <w:color w:val="000000"/>
                <w:kern w:val="0"/>
                <w:sz w:val="28"/>
              </w:rPr>
              <w:t>市场监管总局关于调整优化节能产品</w:t>
            </w:r>
            <w:r>
              <w:rPr>
                <w:rFonts w:ascii="宋体" w:hAnsi="宋体" w:eastAsia="仿宋" w:cs="宋体"/>
                <w:color w:val="000000"/>
                <w:kern w:val="0"/>
                <w:sz w:val="28"/>
              </w:rPr>
              <w:t> </w:t>
            </w:r>
            <w:r>
              <w:rPr>
                <w:rFonts w:ascii="仿宋" w:hAnsi="仿宋" w:eastAsia="仿宋" w:cs="宋体"/>
                <w:color w:val="000000"/>
                <w:kern w:val="0"/>
                <w:sz w:val="28"/>
              </w:rPr>
              <w:t>环境标志产品政府采购执行机制的通知》（财库〔2019〕9号），我们研究制定节能产品政府采购品目清单，现印发给你们，请遵照执行。</w:t>
            </w:r>
          </w:p>
          <w:p w14:paraId="0E016955">
            <w:pPr>
              <w:widowControl/>
              <w:autoSpaceDE w:val="0"/>
              <w:autoSpaceDN w:val="0"/>
              <w:spacing w:line="360" w:lineRule="auto"/>
              <w:jc w:val="left"/>
              <w:rPr>
                <w:rFonts w:hint="eastAsia" w:ascii="仿宋" w:hAnsi="仿宋" w:eastAsia="仿宋" w:cs="宋体"/>
                <w:color w:val="000000"/>
                <w:kern w:val="0"/>
                <w:sz w:val="28"/>
              </w:rPr>
            </w:pPr>
          </w:p>
          <w:p w14:paraId="67328E16">
            <w:pPr>
              <w:widowControl/>
              <w:autoSpaceDE w:val="0"/>
              <w:autoSpaceDN w:val="0"/>
              <w:spacing w:line="360" w:lineRule="auto"/>
              <w:jc w:val="left"/>
              <w:rPr>
                <w:rFonts w:hint="eastAsia" w:ascii="仿宋" w:hAnsi="仿宋" w:eastAsia="仿宋" w:cs="宋体"/>
                <w:color w:val="000000"/>
                <w:kern w:val="0"/>
                <w:sz w:val="28"/>
              </w:rPr>
            </w:pPr>
          </w:p>
          <w:p w14:paraId="1981C247">
            <w:pPr>
              <w:widowControl/>
              <w:autoSpaceDE w:val="0"/>
              <w:autoSpaceDN w:val="0"/>
              <w:spacing w:line="360" w:lineRule="auto"/>
              <w:jc w:val="left"/>
              <w:rPr>
                <w:rFonts w:hint="eastAsia" w:ascii="仿宋" w:hAnsi="仿宋" w:eastAsia="仿宋" w:cs="宋体"/>
                <w:color w:val="000000"/>
                <w:kern w:val="0"/>
                <w:sz w:val="28"/>
              </w:rPr>
            </w:pPr>
          </w:p>
          <w:p w14:paraId="2206E0EE">
            <w:pPr>
              <w:widowControl/>
              <w:autoSpaceDE w:val="0"/>
              <w:autoSpaceDN w:val="0"/>
              <w:spacing w:line="360" w:lineRule="auto"/>
              <w:jc w:val="left"/>
              <w:rPr>
                <w:rFonts w:hint="eastAsia" w:ascii="仿宋" w:hAnsi="仿宋" w:eastAsia="仿宋" w:cs="宋体"/>
                <w:color w:val="000000"/>
                <w:kern w:val="0"/>
                <w:sz w:val="28"/>
              </w:rPr>
            </w:pPr>
          </w:p>
          <w:p w14:paraId="7CEFDAB5">
            <w:pPr>
              <w:widowControl/>
              <w:autoSpaceDE w:val="0"/>
              <w:autoSpaceDN w:val="0"/>
              <w:spacing w:line="360" w:lineRule="auto"/>
              <w:jc w:val="left"/>
              <w:rPr>
                <w:rFonts w:hint="eastAsia" w:ascii="仿宋" w:hAnsi="仿宋" w:eastAsia="仿宋" w:cs="宋体"/>
                <w:color w:val="000000"/>
                <w:kern w:val="0"/>
                <w:sz w:val="28"/>
              </w:rPr>
            </w:pPr>
            <w:r>
              <w:rPr>
                <w:rFonts w:ascii="仿宋" w:hAnsi="仿宋" w:eastAsia="仿宋" w:cs="宋体"/>
                <w:color w:val="000000"/>
                <w:kern w:val="0"/>
                <w:sz w:val="28"/>
              </w:rPr>
              <w:t>附件：节能产品政府采购品目清单</w:t>
            </w:r>
          </w:p>
          <w:p w14:paraId="18A64033">
            <w:pPr>
              <w:widowControl/>
              <w:autoSpaceDE w:val="0"/>
              <w:autoSpaceDN w:val="0"/>
              <w:spacing w:line="360" w:lineRule="auto"/>
              <w:jc w:val="left"/>
              <w:rPr>
                <w:rFonts w:hint="eastAsia" w:ascii="仿宋" w:hAnsi="仿宋" w:eastAsia="仿宋" w:cs="宋体"/>
                <w:color w:val="000000"/>
                <w:kern w:val="0"/>
                <w:sz w:val="28"/>
              </w:rPr>
            </w:pPr>
          </w:p>
          <w:p w14:paraId="3CF9B47A">
            <w:pPr>
              <w:widowControl/>
              <w:autoSpaceDE w:val="0"/>
              <w:autoSpaceDN w:val="0"/>
              <w:spacing w:line="360" w:lineRule="auto"/>
              <w:jc w:val="left"/>
              <w:rPr>
                <w:rFonts w:hint="eastAsia" w:ascii="仿宋" w:hAnsi="仿宋" w:eastAsia="仿宋" w:cs="宋体"/>
                <w:color w:val="000000"/>
                <w:kern w:val="0"/>
                <w:sz w:val="28"/>
              </w:rPr>
            </w:pPr>
          </w:p>
          <w:p w14:paraId="528D7EE4">
            <w:pPr>
              <w:widowControl/>
              <w:autoSpaceDE w:val="0"/>
              <w:autoSpaceDN w:val="0"/>
              <w:spacing w:line="360" w:lineRule="auto"/>
              <w:jc w:val="right"/>
              <w:rPr>
                <w:rFonts w:hint="eastAsia" w:ascii="仿宋" w:hAnsi="仿宋" w:eastAsia="仿宋" w:cs="宋体"/>
                <w:color w:val="000000"/>
                <w:kern w:val="0"/>
                <w:sz w:val="28"/>
              </w:rPr>
            </w:pPr>
            <w:r>
              <w:rPr>
                <w:rFonts w:ascii="仿宋" w:hAnsi="仿宋" w:eastAsia="仿宋" w:cs="宋体"/>
                <w:color w:val="000000"/>
                <w:kern w:val="0"/>
                <w:sz w:val="28"/>
              </w:rPr>
              <w:t>财政部发展改革委</w:t>
            </w:r>
          </w:p>
          <w:p w14:paraId="1949D11D">
            <w:pPr>
              <w:widowControl/>
              <w:autoSpaceDE w:val="0"/>
              <w:autoSpaceDN w:val="0"/>
              <w:spacing w:line="360" w:lineRule="auto"/>
              <w:jc w:val="right"/>
              <w:rPr>
                <w:rFonts w:hint="eastAsia" w:ascii="华文中宋" w:hAnsi="华文中宋" w:eastAsia="华文中宋" w:cs="宋体"/>
                <w:b/>
                <w:color w:val="000000"/>
                <w:kern w:val="0"/>
                <w:sz w:val="32"/>
              </w:rPr>
            </w:pPr>
            <w:r>
              <w:rPr>
                <w:rFonts w:ascii="仿宋" w:hAnsi="仿宋" w:eastAsia="仿宋" w:cs="宋体"/>
                <w:color w:val="000000"/>
                <w:kern w:val="0"/>
                <w:sz w:val="28"/>
              </w:rPr>
              <w:t>2019年4月2日</w:t>
            </w:r>
          </w:p>
        </w:tc>
      </w:tr>
    </w:tbl>
    <w:p w14:paraId="43A17EBC">
      <w:pPr>
        <w:keepNext/>
        <w:keepLines/>
        <w:autoSpaceDE w:val="0"/>
        <w:autoSpaceDN w:val="0"/>
        <w:spacing w:before="240" w:line="360" w:lineRule="auto"/>
        <w:jc w:val="left"/>
        <w:outlineLvl w:val="3"/>
        <w:rPr>
          <w:rFonts w:hint="eastAsia" w:ascii="华文中宋" w:hAnsi="华文中宋" w:eastAsia="华文中宋"/>
          <w:b/>
          <w:bCs/>
          <w:color w:val="000000"/>
          <w:sz w:val="28"/>
          <w:szCs w:val="28"/>
        </w:rPr>
      </w:pPr>
      <w:r>
        <w:rPr>
          <w:rFonts w:hint="eastAsia" w:ascii="inherit" w:hAnsi="inherit" w:eastAsia="华文中宋"/>
          <w:b/>
          <w:bCs/>
          <w:color w:val="000000"/>
          <w:sz w:val="28"/>
          <w:szCs w:val="28"/>
        </w:rPr>
        <w:br w:type="page"/>
      </w:r>
      <w:r>
        <w:rPr>
          <w:rFonts w:hint="eastAsia" w:ascii="华文中宋" w:hAnsi="华文中宋" w:eastAsia="华文中宋"/>
          <w:b/>
          <w:bCs/>
          <w:color w:val="000000"/>
          <w:sz w:val="28"/>
          <w:szCs w:val="28"/>
        </w:rPr>
        <w:t>附：节能产品政府采购品目清单</w:t>
      </w:r>
    </w:p>
    <w:tbl>
      <w:tblPr>
        <w:tblStyle w:val="52"/>
        <w:tblW w:w="9396"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2"/>
        <w:gridCol w:w="1858"/>
        <w:gridCol w:w="2268"/>
        <w:gridCol w:w="1550"/>
        <w:gridCol w:w="3048"/>
      </w:tblGrid>
      <w:tr w14:paraId="008250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shd w:val="clear" w:color="auto" w:fill="DAEEF3"/>
            <w:noWrap/>
            <w:vAlign w:val="center"/>
          </w:tcPr>
          <w:p w14:paraId="2587BA61">
            <w:pPr>
              <w:autoSpaceDE w:val="0"/>
              <w:autoSpaceDN w:val="0"/>
              <w:jc w:val="center"/>
              <w:rPr>
                <w:rFonts w:hint="eastAsia" w:ascii="宋体" w:hAnsi="宋体"/>
                <w:b/>
                <w:color w:val="000000"/>
                <w:w w:val="90"/>
                <w:szCs w:val="21"/>
              </w:rPr>
            </w:pPr>
            <w:r>
              <w:rPr>
                <w:rFonts w:hint="eastAsia" w:ascii="宋体" w:hAnsi="宋体"/>
                <w:b/>
                <w:color w:val="000000"/>
                <w:w w:val="90"/>
                <w:szCs w:val="21"/>
              </w:rPr>
              <w:t>品目序号</w:t>
            </w:r>
          </w:p>
        </w:tc>
        <w:tc>
          <w:tcPr>
            <w:tcW w:w="5676" w:type="dxa"/>
            <w:gridSpan w:val="3"/>
            <w:shd w:val="clear" w:color="auto" w:fill="DAEEF3"/>
            <w:noWrap/>
            <w:vAlign w:val="center"/>
          </w:tcPr>
          <w:p w14:paraId="6305EB09">
            <w:pPr>
              <w:autoSpaceDE w:val="0"/>
              <w:autoSpaceDN w:val="0"/>
              <w:jc w:val="center"/>
              <w:rPr>
                <w:rFonts w:hint="eastAsia" w:ascii="宋体" w:hAnsi="宋体"/>
                <w:b/>
                <w:color w:val="000000"/>
                <w:w w:val="90"/>
                <w:szCs w:val="21"/>
              </w:rPr>
            </w:pPr>
            <w:r>
              <w:rPr>
                <w:rFonts w:hint="eastAsia" w:ascii="宋体" w:hAnsi="宋体"/>
                <w:b/>
                <w:color w:val="000000"/>
                <w:w w:val="90"/>
                <w:szCs w:val="21"/>
              </w:rPr>
              <w:t>名称</w:t>
            </w:r>
          </w:p>
        </w:tc>
        <w:tc>
          <w:tcPr>
            <w:tcW w:w="3048" w:type="dxa"/>
            <w:shd w:val="clear" w:color="auto" w:fill="DAEEF3"/>
            <w:noWrap/>
            <w:vAlign w:val="center"/>
          </w:tcPr>
          <w:p w14:paraId="7516A344">
            <w:pPr>
              <w:autoSpaceDE w:val="0"/>
              <w:autoSpaceDN w:val="0"/>
              <w:jc w:val="center"/>
              <w:rPr>
                <w:rFonts w:hint="eastAsia" w:ascii="宋体" w:hAnsi="宋体"/>
                <w:b/>
                <w:color w:val="000000"/>
                <w:w w:val="90"/>
                <w:szCs w:val="21"/>
              </w:rPr>
            </w:pPr>
            <w:r>
              <w:rPr>
                <w:rFonts w:hint="eastAsia" w:ascii="宋体" w:hAnsi="宋体"/>
                <w:b/>
                <w:color w:val="000000"/>
                <w:w w:val="90"/>
                <w:szCs w:val="21"/>
              </w:rPr>
              <w:t>依据的标准</w:t>
            </w:r>
          </w:p>
        </w:tc>
      </w:tr>
      <w:tr w14:paraId="42F875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224CA9E6">
            <w:pPr>
              <w:autoSpaceDE w:val="0"/>
              <w:autoSpaceDN w:val="0"/>
              <w:jc w:val="center"/>
              <w:rPr>
                <w:rFonts w:hint="eastAsia" w:ascii="宋体" w:hAnsi="宋体"/>
                <w:color w:val="000000"/>
                <w:w w:val="90"/>
                <w:szCs w:val="21"/>
              </w:rPr>
            </w:pPr>
            <w:r>
              <w:rPr>
                <w:rFonts w:ascii="宋体" w:hAnsi="宋体"/>
                <w:color w:val="000000"/>
                <w:w w:val="90"/>
                <w:szCs w:val="21"/>
              </w:rPr>
              <w:t>1</w:t>
            </w:r>
          </w:p>
        </w:tc>
        <w:tc>
          <w:tcPr>
            <w:tcW w:w="1858" w:type="dxa"/>
            <w:vMerge w:val="restart"/>
            <w:noWrap/>
            <w:vAlign w:val="center"/>
          </w:tcPr>
          <w:p w14:paraId="721E9473">
            <w:pPr>
              <w:autoSpaceDE w:val="0"/>
              <w:autoSpaceDN w:val="0"/>
              <w:jc w:val="left"/>
              <w:rPr>
                <w:rFonts w:hint="eastAsia" w:ascii="宋体" w:hAnsi="宋体"/>
                <w:color w:val="000000"/>
                <w:w w:val="90"/>
                <w:szCs w:val="21"/>
              </w:rPr>
            </w:pPr>
            <w:r>
              <w:rPr>
                <w:rFonts w:ascii="宋体" w:hAnsi="宋体"/>
                <w:color w:val="000000"/>
                <w:w w:val="90"/>
                <w:szCs w:val="21"/>
              </w:rPr>
              <w:t>A020101计算机设备</w:t>
            </w:r>
          </w:p>
        </w:tc>
        <w:tc>
          <w:tcPr>
            <w:tcW w:w="2268" w:type="dxa"/>
            <w:noWrap/>
            <w:vAlign w:val="center"/>
          </w:tcPr>
          <w:p w14:paraId="1A31F874">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A02010104</w:t>
            </w:r>
            <w:r>
              <w:rPr>
                <w:rFonts w:ascii="宋体" w:hAnsi="宋体"/>
                <w:b/>
                <w:color w:val="000000"/>
                <w:w w:val="90"/>
                <w:szCs w:val="21"/>
              </w:rPr>
              <w:t>台式计算机</w:t>
            </w:r>
          </w:p>
        </w:tc>
        <w:tc>
          <w:tcPr>
            <w:tcW w:w="1550" w:type="dxa"/>
            <w:noWrap/>
            <w:vAlign w:val="center"/>
          </w:tcPr>
          <w:p w14:paraId="0A152EF8">
            <w:pPr>
              <w:autoSpaceDE w:val="0"/>
              <w:autoSpaceDN w:val="0"/>
              <w:jc w:val="center"/>
              <w:rPr>
                <w:rFonts w:hint="eastAsia" w:ascii="宋体" w:hAnsi="宋体"/>
                <w:color w:val="000000"/>
                <w:w w:val="90"/>
                <w:szCs w:val="21"/>
              </w:rPr>
            </w:pPr>
          </w:p>
        </w:tc>
        <w:tc>
          <w:tcPr>
            <w:tcW w:w="3048" w:type="dxa"/>
            <w:noWrap/>
            <w:vAlign w:val="center"/>
          </w:tcPr>
          <w:p w14:paraId="69B795BD">
            <w:pPr>
              <w:autoSpaceDE w:val="0"/>
              <w:autoSpaceDN w:val="0"/>
              <w:jc w:val="left"/>
              <w:rPr>
                <w:rFonts w:hint="eastAsia" w:ascii="宋体" w:hAnsi="宋体"/>
                <w:color w:val="000000"/>
                <w:w w:val="90"/>
                <w:szCs w:val="21"/>
              </w:rPr>
            </w:pPr>
            <w:r>
              <w:rPr>
                <w:rFonts w:ascii="宋体" w:hAnsi="宋体"/>
                <w:color w:val="000000"/>
                <w:w w:val="90"/>
                <w:szCs w:val="21"/>
              </w:rPr>
              <w:t>《微型计算机能效限定值及能效等级》（GB 28380）</w:t>
            </w:r>
          </w:p>
        </w:tc>
      </w:tr>
      <w:tr w14:paraId="5852CD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0D23356">
            <w:pPr>
              <w:autoSpaceDE w:val="0"/>
              <w:autoSpaceDN w:val="0"/>
              <w:jc w:val="center"/>
              <w:rPr>
                <w:rFonts w:hint="eastAsia" w:ascii="宋体" w:hAnsi="宋体"/>
                <w:color w:val="000000"/>
                <w:w w:val="90"/>
                <w:szCs w:val="21"/>
              </w:rPr>
            </w:pPr>
          </w:p>
        </w:tc>
        <w:tc>
          <w:tcPr>
            <w:tcW w:w="1858" w:type="dxa"/>
            <w:vMerge w:val="continue"/>
            <w:noWrap/>
            <w:vAlign w:val="center"/>
          </w:tcPr>
          <w:p w14:paraId="2B084355">
            <w:pPr>
              <w:autoSpaceDE w:val="0"/>
              <w:autoSpaceDN w:val="0"/>
              <w:jc w:val="left"/>
              <w:rPr>
                <w:rFonts w:hint="eastAsia" w:ascii="宋体" w:hAnsi="宋体"/>
                <w:color w:val="000000"/>
                <w:w w:val="90"/>
                <w:szCs w:val="21"/>
              </w:rPr>
            </w:pPr>
          </w:p>
        </w:tc>
        <w:tc>
          <w:tcPr>
            <w:tcW w:w="2268" w:type="dxa"/>
            <w:noWrap/>
            <w:vAlign w:val="center"/>
          </w:tcPr>
          <w:p w14:paraId="770BEC97">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A02010105</w:t>
            </w:r>
            <w:r>
              <w:rPr>
                <w:rFonts w:ascii="宋体" w:hAnsi="宋体"/>
                <w:b/>
                <w:color w:val="000000"/>
                <w:w w:val="90"/>
                <w:szCs w:val="21"/>
              </w:rPr>
              <w:t>便携式计算</w:t>
            </w:r>
          </w:p>
        </w:tc>
        <w:tc>
          <w:tcPr>
            <w:tcW w:w="1550" w:type="dxa"/>
            <w:noWrap/>
            <w:vAlign w:val="center"/>
          </w:tcPr>
          <w:p w14:paraId="1F805F75">
            <w:pPr>
              <w:autoSpaceDE w:val="0"/>
              <w:autoSpaceDN w:val="0"/>
              <w:jc w:val="center"/>
              <w:rPr>
                <w:rFonts w:hint="eastAsia" w:ascii="宋体" w:hAnsi="宋体"/>
                <w:color w:val="000000"/>
                <w:w w:val="90"/>
                <w:szCs w:val="21"/>
              </w:rPr>
            </w:pPr>
          </w:p>
        </w:tc>
        <w:tc>
          <w:tcPr>
            <w:tcW w:w="3048" w:type="dxa"/>
            <w:noWrap/>
            <w:vAlign w:val="center"/>
          </w:tcPr>
          <w:p w14:paraId="1ADAD60F">
            <w:pPr>
              <w:autoSpaceDE w:val="0"/>
              <w:autoSpaceDN w:val="0"/>
              <w:jc w:val="left"/>
              <w:rPr>
                <w:rFonts w:hint="eastAsia" w:ascii="宋体" w:hAnsi="宋体"/>
                <w:color w:val="000000"/>
                <w:w w:val="90"/>
                <w:szCs w:val="21"/>
              </w:rPr>
            </w:pPr>
            <w:r>
              <w:rPr>
                <w:rFonts w:ascii="宋体" w:hAnsi="宋体"/>
                <w:color w:val="000000"/>
                <w:w w:val="90"/>
                <w:szCs w:val="21"/>
              </w:rPr>
              <w:t>《微型计算机能效限定值及能效等级》（GB 28380）</w:t>
            </w:r>
          </w:p>
        </w:tc>
      </w:tr>
      <w:tr w14:paraId="0E3319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7B903545">
            <w:pPr>
              <w:autoSpaceDE w:val="0"/>
              <w:autoSpaceDN w:val="0"/>
              <w:jc w:val="center"/>
              <w:rPr>
                <w:rFonts w:hint="eastAsia" w:ascii="宋体" w:hAnsi="宋体"/>
                <w:color w:val="000000"/>
                <w:w w:val="90"/>
                <w:szCs w:val="21"/>
              </w:rPr>
            </w:pPr>
          </w:p>
        </w:tc>
        <w:tc>
          <w:tcPr>
            <w:tcW w:w="1858" w:type="dxa"/>
            <w:vMerge w:val="continue"/>
            <w:noWrap/>
            <w:vAlign w:val="center"/>
          </w:tcPr>
          <w:p w14:paraId="66588CF4">
            <w:pPr>
              <w:autoSpaceDE w:val="0"/>
              <w:autoSpaceDN w:val="0"/>
              <w:jc w:val="left"/>
              <w:rPr>
                <w:rFonts w:hint="eastAsia" w:ascii="宋体" w:hAnsi="宋体"/>
                <w:color w:val="000000"/>
                <w:w w:val="90"/>
                <w:szCs w:val="21"/>
              </w:rPr>
            </w:pPr>
          </w:p>
        </w:tc>
        <w:tc>
          <w:tcPr>
            <w:tcW w:w="2268" w:type="dxa"/>
            <w:noWrap/>
            <w:vAlign w:val="center"/>
          </w:tcPr>
          <w:p w14:paraId="6E245444">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A02010107</w:t>
            </w:r>
            <w:r>
              <w:rPr>
                <w:rFonts w:ascii="宋体" w:hAnsi="宋体"/>
                <w:b/>
                <w:color w:val="000000"/>
                <w:w w:val="90"/>
                <w:szCs w:val="21"/>
              </w:rPr>
              <w:t>平板式微型计算机</w:t>
            </w:r>
          </w:p>
        </w:tc>
        <w:tc>
          <w:tcPr>
            <w:tcW w:w="1550" w:type="dxa"/>
            <w:noWrap/>
            <w:vAlign w:val="center"/>
          </w:tcPr>
          <w:p w14:paraId="02C19690">
            <w:pPr>
              <w:autoSpaceDE w:val="0"/>
              <w:autoSpaceDN w:val="0"/>
              <w:jc w:val="center"/>
              <w:rPr>
                <w:rFonts w:hint="eastAsia" w:ascii="宋体" w:hAnsi="宋体"/>
                <w:color w:val="000000"/>
                <w:w w:val="90"/>
                <w:szCs w:val="21"/>
              </w:rPr>
            </w:pPr>
          </w:p>
        </w:tc>
        <w:tc>
          <w:tcPr>
            <w:tcW w:w="3048" w:type="dxa"/>
            <w:noWrap/>
            <w:vAlign w:val="center"/>
          </w:tcPr>
          <w:p w14:paraId="57B9CE7B">
            <w:pPr>
              <w:autoSpaceDE w:val="0"/>
              <w:autoSpaceDN w:val="0"/>
              <w:jc w:val="left"/>
              <w:rPr>
                <w:rFonts w:hint="eastAsia" w:ascii="宋体" w:hAnsi="宋体"/>
                <w:color w:val="000000"/>
                <w:w w:val="90"/>
                <w:szCs w:val="21"/>
              </w:rPr>
            </w:pPr>
            <w:r>
              <w:rPr>
                <w:rFonts w:ascii="宋体" w:hAnsi="宋体"/>
                <w:color w:val="000000"/>
                <w:w w:val="90"/>
                <w:szCs w:val="21"/>
              </w:rPr>
              <w:t>《微型计算机能效限定值及能效等级》（GB 28380）</w:t>
            </w:r>
          </w:p>
        </w:tc>
      </w:tr>
      <w:tr w14:paraId="74F354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59550CCB">
            <w:pPr>
              <w:autoSpaceDE w:val="0"/>
              <w:autoSpaceDN w:val="0"/>
              <w:jc w:val="center"/>
              <w:rPr>
                <w:rFonts w:hint="eastAsia" w:ascii="宋体" w:hAnsi="宋体"/>
                <w:color w:val="000000"/>
                <w:w w:val="90"/>
                <w:szCs w:val="21"/>
              </w:rPr>
            </w:pPr>
            <w:r>
              <w:rPr>
                <w:rFonts w:ascii="宋体" w:hAnsi="宋体"/>
                <w:color w:val="000000"/>
                <w:w w:val="90"/>
                <w:szCs w:val="21"/>
              </w:rPr>
              <w:t>2</w:t>
            </w:r>
          </w:p>
        </w:tc>
        <w:tc>
          <w:tcPr>
            <w:tcW w:w="1858" w:type="dxa"/>
            <w:vMerge w:val="restart"/>
            <w:noWrap/>
            <w:vAlign w:val="center"/>
          </w:tcPr>
          <w:p w14:paraId="2ED8B85D">
            <w:pPr>
              <w:autoSpaceDE w:val="0"/>
              <w:autoSpaceDN w:val="0"/>
              <w:jc w:val="left"/>
              <w:rPr>
                <w:rFonts w:hint="eastAsia" w:ascii="宋体" w:hAnsi="宋体"/>
                <w:color w:val="000000"/>
                <w:w w:val="90"/>
                <w:szCs w:val="21"/>
              </w:rPr>
            </w:pPr>
            <w:r>
              <w:rPr>
                <w:rFonts w:ascii="宋体" w:hAnsi="宋体"/>
                <w:color w:val="000000"/>
                <w:w w:val="90"/>
                <w:szCs w:val="21"/>
              </w:rPr>
              <w:t>A020106输入输出设备</w:t>
            </w:r>
          </w:p>
        </w:tc>
        <w:tc>
          <w:tcPr>
            <w:tcW w:w="2268" w:type="dxa"/>
            <w:vMerge w:val="restart"/>
            <w:noWrap/>
            <w:vAlign w:val="center"/>
          </w:tcPr>
          <w:p w14:paraId="4B25A1D9">
            <w:pPr>
              <w:autoSpaceDE w:val="0"/>
              <w:autoSpaceDN w:val="0"/>
              <w:jc w:val="left"/>
              <w:rPr>
                <w:rFonts w:hint="eastAsia" w:ascii="宋体" w:hAnsi="宋体"/>
                <w:color w:val="000000"/>
                <w:w w:val="90"/>
                <w:szCs w:val="21"/>
              </w:rPr>
            </w:pPr>
            <w:r>
              <w:rPr>
                <w:rFonts w:ascii="宋体" w:hAnsi="宋体"/>
                <w:color w:val="000000"/>
                <w:w w:val="90"/>
                <w:szCs w:val="21"/>
              </w:rPr>
              <w:t>A02010601打印设备</w:t>
            </w:r>
          </w:p>
        </w:tc>
        <w:tc>
          <w:tcPr>
            <w:tcW w:w="1550" w:type="dxa"/>
            <w:noWrap/>
            <w:vAlign w:val="center"/>
          </w:tcPr>
          <w:p w14:paraId="7DBEE868">
            <w:pPr>
              <w:autoSpaceDE w:val="0"/>
              <w:autoSpaceDN w:val="0"/>
              <w:jc w:val="left"/>
              <w:rPr>
                <w:rFonts w:hint="eastAsia" w:ascii="宋体" w:hAnsi="宋体"/>
                <w:color w:val="000000"/>
                <w:w w:val="90"/>
                <w:szCs w:val="21"/>
              </w:rPr>
            </w:pPr>
            <w:r>
              <w:rPr>
                <w:rFonts w:ascii="宋体" w:hAnsi="宋体"/>
                <w:color w:val="000000"/>
                <w:w w:val="90"/>
                <w:szCs w:val="21"/>
              </w:rPr>
              <w:t>A0201060101喷墨打印机</w:t>
            </w:r>
          </w:p>
        </w:tc>
        <w:tc>
          <w:tcPr>
            <w:tcW w:w="3048" w:type="dxa"/>
            <w:noWrap/>
            <w:vAlign w:val="center"/>
          </w:tcPr>
          <w:p w14:paraId="1FE6D12C">
            <w:pPr>
              <w:autoSpaceDE w:val="0"/>
              <w:autoSpaceDN w:val="0"/>
              <w:jc w:val="left"/>
              <w:rPr>
                <w:rFonts w:hint="eastAsia" w:ascii="宋体" w:hAnsi="宋体"/>
                <w:color w:val="000000"/>
                <w:w w:val="90"/>
                <w:szCs w:val="21"/>
              </w:rPr>
            </w:pPr>
            <w:r>
              <w:rPr>
                <w:rFonts w:ascii="宋体" w:hAnsi="宋体"/>
                <w:color w:val="000000"/>
                <w:w w:val="90"/>
                <w:szCs w:val="21"/>
              </w:rPr>
              <w:t>《复印机、打印机和传真机能效限定值及能效等级》（GB 21521）</w:t>
            </w:r>
          </w:p>
        </w:tc>
      </w:tr>
      <w:tr w14:paraId="7A2D33D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5F7286E">
            <w:pPr>
              <w:autoSpaceDE w:val="0"/>
              <w:autoSpaceDN w:val="0"/>
              <w:jc w:val="center"/>
              <w:rPr>
                <w:rFonts w:hint="eastAsia" w:ascii="宋体" w:hAnsi="宋体"/>
                <w:color w:val="000000"/>
                <w:w w:val="90"/>
                <w:szCs w:val="21"/>
              </w:rPr>
            </w:pPr>
          </w:p>
        </w:tc>
        <w:tc>
          <w:tcPr>
            <w:tcW w:w="1858" w:type="dxa"/>
            <w:vMerge w:val="continue"/>
            <w:noWrap/>
            <w:vAlign w:val="center"/>
          </w:tcPr>
          <w:p w14:paraId="65D6DEFF">
            <w:pPr>
              <w:autoSpaceDE w:val="0"/>
              <w:autoSpaceDN w:val="0"/>
              <w:jc w:val="left"/>
              <w:rPr>
                <w:rFonts w:hint="eastAsia" w:ascii="宋体" w:hAnsi="宋体"/>
                <w:color w:val="000000"/>
                <w:w w:val="90"/>
                <w:szCs w:val="21"/>
              </w:rPr>
            </w:pPr>
          </w:p>
        </w:tc>
        <w:tc>
          <w:tcPr>
            <w:tcW w:w="2268" w:type="dxa"/>
            <w:vMerge w:val="continue"/>
            <w:noWrap/>
            <w:vAlign w:val="center"/>
          </w:tcPr>
          <w:p w14:paraId="7F35D112">
            <w:pPr>
              <w:autoSpaceDE w:val="0"/>
              <w:autoSpaceDN w:val="0"/>
              <w:jc w:val="left"/>
              <w:rPr>
                <w:rFonts w:hint="eastAsia" w:ascii="宋体" w:hAnsi="宋体"/>
                <w:color w:val="000000"/>
                <w:w w:val="90"/>
                <w:szCs w:val="21"/>
              </w:rPr>
            </w:pPr>
          </w:p>
        </w:tc>
        <w:tc>
          <w:tcPr>
            <w:tcW w:w="1550" w:type="dxa"/>
            <w:noWrap/>
            <w:vAlign w:val="center"/>
          </w:tcPr>
          <w:p w14:paraId="4EA2AA15">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A0201060102激光打印机</w:t>
            </w:r>
          </w:p>
        </w:tc>
        <w:tc>
          <w:tcPr>
            <w:tcW w:w="3048" w:type="dxa"/>
            <w:noWrap/>
            <w:vAlign w:val="center"/>
          </w:tcPr>
          <w:p w14:paraId="5163BBEC">
            <w:pPr>
              <w:autoSpaceDE w:val="0"/>
              <w:autoSpaceDN w:val="0"/>
              <w:jc w:val="left"/>
              <w:rPr>
                <w:rFonts w:hint="eastAsia" w:ascii="宋体" w:hAnsi="宋体"/>
                <w:color w:val="000000"/>
                <w:w w:val="90"/>
                <w:szCs w:val="21"/>
              </w:rPr>
            </w:pPr>
            <w:r>
              <w:rPr>
                <w:rFonts w:ascii="宋体" w:hAnsi="宋体"/>
                <w:color w:val="000000"/>
                <w:w w:val="90"/>
                <w:szCs w:val="21"/>
              </w:rPr>
              <w:t>《复印机、打印机和传真机能效限定值及能效等级》（GB 21521）</w:t>
            </w:r>
          </w:p>
        </w:tc>
      </w:tr>
      <w:tr w14:paraId="747BA3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32A702F">
            <w:pPr>
              <w:autoSpaceDE w:val="0"/>
              <w:autoSpaceDN w:val="0"/>
              <w:jc w:val="center"/>
              <w:rPr>
                <w:rFonts w:hint="eastAsia" w:ascii="宋体" w:hAnsi="宋体"/>
                <w:color w:val="000000"/>
                <w:w w:val="90"/>
                <w:szCs w:val="21"/>
              </w:rPr>
            </w:pPr>
          </w:p>
        </w:tc>
        <w:tc>
          <w:tcPr>
            <w:tcW w:w="1858" w:type="dxa"/>
            <w:vMerge w:val="continue"/>
            <w:noWrap/>
            <w:vAlign w:val="center"/>
          </w:tcPr>
          <w:p w14:paraId="7E1E9403">
            <w:pPr>
              <w:autoSpaceDE w:val="0"/>
              <w:autoSpaceDN w:val="0"/>
              <w:jc w:val="left"/>
              <w:rPr>
                <w:rFonts w:hint="eastAsia" w:ascii="宋体" w:hAnsi="宋体"/>
                <w:color w:val="000000"/>
                <w:w w:val="90"/>
                <w:szCs w:val="21"/>
              </w:rPr>
            </w:pPr>
          </w:p>
        </w:tc>
        <w:tc>
          <w:tcPr>
            <w:tcW w:w="2268" w:type="dxa"/>
            <w:vMerge w:val="continue"/>
            <w:noWrap/>
            <w:vAlign w:val="center"/>
          </w:tcPr>
          <w:p w14:paraId="7621283B">
            <w:pPr>
              <w:autoSpaceDE w:val="0"/>
              <w:autoSpaceDN w:val="0"/>
              <w:jc w:val="left"/>
              <w:rPr>
                <w:rFonts w:hint="eastAsia" w:ascii="宋体" w:hAnsi="宋体"/>
                <w:color w:val="000000"/>
                <w:w w:val="90"/>
                <w:szCs w:val="21"/>
              </w:rPr>
            </w:pPr>
          </w:p>
        </w:tc>
        <w:tc>
          <w:tcPr>
            <w:tcW w:w="1550" w:type="dxa"/>
            <w:noWrap/>
            <w:vAlign w:val="center"/>
          </w:tcPr>
          <w:p w14:paraId="7111440F">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A0201060104针式打印机</w:t>
            </w:r>
          </w:p>
        </w:tc>
        <w:tc>
          <w:tcPr>
            <w:tcW w:w="3048" w:type="dxa"/>
            <w:noWrap/>
            <w:vAlign w:val="center"/>
          </w:tcPr>
          <w:p w14:paraId="3E6CF18E">
            <w:pPr>
              <w:autoSpaceDE w:val="0"/>
              <w:autoSpaceDN w:val="0"/>
              <w:jc w:val="left"/>
              <w:rPr>
                <w:rFonts w:hint="eastAsia" w:ascii="宋体" w:hAnsi="宋体"/>
                <w:color w:val="000000"/>
                <w:w w:val="90"/>
                <w:szCs w:val="21"/>
              </w:rPr>
            </w:pPr>
            <w:r>
              <w:rPr>
                <w:rFonts w:ascii="宋体" w:hAnsi="宋体"/>
                <w:color w:val="000000"/>
                <w:w w:val="90"/>
                <w:szCs w:val="21"/>
              </w:rPr>
              <w:t>《复印机、打印机和传真机能效限定值及能效等级》（GB 21521）</w:t>
            </w:r>
          </w:p>
        </w:tc>
      </w:tr>
      <w:tr w14:paraId="7D3038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62A70ED">
            <w:pPr>
              <w:autoSpaceDE w:val="0"/>
              <w:autoSpaceDN w:val="0"/>
              <w:jc w:val="center"/>
              <w:rPr>
                <w:rFonts w:hint="eastAsia" w:ascii="宋体" w:hAnsi="宋体"/>
                <w:color w:val="000000"/>
                <w:w w:val="90"/>
                <w:szCs w:val="21"/>
              </w:rPr>
            </w:pPr>
          </w:p>
        </w:tc>
        <w:tc>
          <w:tcPr>
            <w:tcW w:w="1858" w:type="dxa"/>
            <w:vMerge w:val="continue"/>
            <w:noWrap/>
            <w:vAlign w:val="center"/>
          </w:tcPr>
          <w:p w14:paraId="653B1A39">
            <w:pPr>
              <w:autoSpaceDE w:val="0"/>
              <w:autoSpaceDN w:val="0"/>
              <w:jc w:val="left"/>
              <w:rPr>
                <w:rFonts w:hint="eastAsia" w:ascii="宋体" w:hAnsi="宋体"/>
                <w:color w:val="000000"/>
                <w:w w:val="90"/>
                <w:szCs w:val="21"/>
              </w:rPr>
            </w:pPr>
          </w:p>
        </w:tc>
        <w:tc>
          <w:tcPr>
            <w:tcW w:w="2268" w:type="dxa"/>
            <w:noWrap/>
            <w:vAlign w:val="center"/>
          </w:tcPr>
          <w:p w14:paraId="2769ECA7">
            <w:pPr>
              <w:autoSpaceDE w:val="0"/>
              <w:autoSpaceDN w:val="0"/>
              <w:jc w:val="left"/>
              <w:rPr>
                <w:rFonts w:hint="eastAsia" w:ascii="宋体" w:hAnsi="宋体"/>
                <w:color w:val="000000"/>
                <w:w w:val="90"/>
                <w:szCs w:val="21"/>
              </w:rPr>
            </w:pPr>
            <w:r>
              <w:rPr>
                <w:rFonts w:ascii="宋体" w:hAnsi="宋体"/>
                <w:color w:val="000000"/>
                <w:w w:val="90"/>
                <w:szCs w:val="21"/>
              </w:rPr>
              <w:t>A02010604显示设备</w:t>
            </w:r>
          </w:p>
        </w:tc>
        <w:tc>
          <w:tcPr>
            <w:tcW w:w="1550" w:type="dxa"/>
            <w:noWrap/>
            <w:vAlign w:val="center"/>
          </w:tcPr>
          <w:p w14:paraId="25A88462">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A0201060401液晶显示器</w:t>
            </w:r>
          </w:p>
        </w:tc>
        <w:tc>
          <w:tcPr>
            <w:tcW w:w="3048" w:type="dxa"/>
            <w:noWrap/>
            <w:vAlign w:val="center"/>
          </w:tcPr>
          <w:p w14:paraId="4CEB628A">
            <w:pPr>
              <w:autoSpaceDE w:val="0"/>
              <w:autoSpaceDN w:val="0"/>
              <w:jc w:val="left"/>
              <w:rPr>
                <w:rFonts w:hint="eastAsia" w:ascii="宋体" w:hAnsi="宋体"/>
                <w:color w:val="000000"/>
                <w:w w:val="90"/>
                <w:szCs w:val="21"/>
              </w:rPr>
            </w:pPr>
            <w:r>
              <w:rPr>
                <w:rFonts w:ascii="宋体" w:hAnsi="宋体"/>
                <w:color w:val="000000"/>
                <w:w w:val="90"/>
                <w:szCs w:val="21"/>
              </w:rPr>
              <w:t>《计算机显示器能效限定值及能效等级》（GB 21520）</w:t>
            </w:r>
          </w:p>
        </w:tc>
      </w:tr>
      <w:tr w14:paraId="70BD860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DE6F8D9">
            <w:pPr>
              <w:autoSpaceDE w:val="0"/>
              <w:autoSpaceDN w:val="0"/>
              <w:jc w:val="center"/>
              <w:rPr>
                <w:rFonts w:hint="eastAsia" w:ascii="宋体" w:hAnsi="宋体"/>
                <w:color w:val="000000"/>
                <w:w w:val="90"/>
                <w:szCs w:val="21"/>
              </w:rPr>
            </w:pPr>
          </w:p>
        </w:tc>
        <w:tc>
          <w:tcPr>
            <w:tcW w:w="1858" w:type="dxa"/>
            <w:vMerge w:val="continue"/>
            <w:noWrap/>
            <w:vAlign w:val="center"/>
          </w:tcPr>
          <w:p w14:paraId="60E57E2A">
            <w:pPr>
              <w:autoSpaceDE w:val="0"/>
              <w:autoSpaceDN w:val="0"/>
              <w:jc w:val="left"/>
              <w:rPr>
                <w:rFonts w:hint="eastAsia" w:ascii="宋体" w:hAnsi="宋体"/>
                <w:color w:val="000000"/>
                <w:w w:val="90"/>
                <w:szCs w:val="21"/>
              </w:rPr>
            </w:pPr>
          </w:p>
        </w:tc>
        <w:tc>
          <w:tcPr>
            <w:tcW w:w="2268" w:type="dxa"/>
            <w:noWrap/>
            <w:vAlign w:val="center"/>
          </w:tcPr>
          <w:p w14:paraId="5F25E939">
            <w:pPr>
              <w:autoSpaceDE w:val="0"/>
              <w:autoSpaceDN w:val="0"/>
              <w:jc w:val="left"/>
              <w:rPr>
                <w:rFonts w:hint="eastAsia" w:ascii="宋体" w:hAnsi="宋体"/>
                <w:color w:val="000000"/>
                <w:w w:val="90"/>
                <w:szCs w:val="21"/>
              </w:rPr>
            </w:pPr>
            <w:r>
              <w:rPr>
                <w:rFonts w:ascii="宋体" w:hAnsi="宋体"/>
                <w:color w:val="000000"/>
                <w:w w:val="90"/>
                <w:szCs w:val="21"/>
              </w:rPr>
              <w:t>A02010609图形图像输入设备</w:t>
            </w:r>
          </w:p>
        </w:tc>
        <w:tc>
          <w:tcPr>
            <w:tcW w:w="1550" w:type="dxa"/>
            <w:noWrap/>
            <w:vAlign w:val="center"/>
          </w:tcPr>
          <w:p w14:paraId="4C7112FD">
            <w:pPr>
              <w:autoSpaceDE w:val="0"/>
              <w:autoSpaceDN w:val="0"/>
              <w:jc w:val="left"/>
              <w:rPr>
                <w:rFonts w:hint="eastAsia" w:ascii="宋体" w:hAnsi="宋体"/>
                <w:color w:val="000000"/>
                <w:w w:val="90"/>
                <w:szCs w:val="21"/>
              </w:rPr>
            </w:pPr>
            <w:r>
              <w:rPr>
                <w:rFonts w:ascii="宋体" w:hAnsi="宋体"/>
                <w:color w:val="000000"/>
                <w:w w:val="90"/>
                <w:szCs w:val="21"/>
              </w:rPr>
              <w:t>A0201060901扫描仪</w:t>
            </w:r>
          </w:p>
        </w:tc>
        <w:tc>
          <w:tcPr>
            <w:tcW w:w="3048" w:type="dxa"/>
            <w:noWrap/>
            <w:vAlign w:val="center"/>
          </w:tcPr>
          <w:p w14:paraId="28F2413D">
            <w:pPr>
              <w:autoSpaceDE w:val="0"/>
              <w:autoSpaceDN w:val="0"/>
              <w:jc w:val="left"/>
              <w:rPr>
                <w:rFonts w:hint="eastAsia" w:ascii="宋体" w:hAnsi="宋体"/>
                <w:color w:val="000000"/>
                <w:w w:val="90"/>
                <w:szCs w:val="21"/>
              </w:rPr>
            </w:pPr>
            <w:r>
              <w:rPr>
                <w:rFonts w:ascii="宋体" w:hAnsi="宋体"/>
                <w:color w:val="000000"/>
                <w:w w:val="90"/>
                <w:szCs w:val="21"/>
              </w:rPr>
              <w:t>参照《复印机、打印机和传真机能效限定值及能效等级》（GB 21521中打印速度为 15 页/分的针式打印机相关要求</w:t>
            </w:r>
          </w:p>
        </w:tc>
      </w:tr>
      <w:tr w14:paraId="31D6AE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31CB44E2">
            <w:pPr>
              <w:autoSpaceDE w:val="0"/>
              <w:autoSpaceDN w:val="0"/>
              <w:jc w:val="center"/>
              <w:rPr>
                <w:rFonts w:hint="eastAsia" w:ascii="宋体" w:hAnsi="宋体"/>
                <w:color w:val="000000"/>
                <w:w w:val="90"/>
                <w:szCs w:val="21"/>
              </w:rPr>
            </w:pPr>
            <w:r>
              <w:rPr>
                <w:rFonts w:ascii="宋体" w:hAnsi="宋体"/>
                <w:color w:val="000000"/>
                <w:w w:val="90"/>
                <w:szCs w:val="21"/>
              </w:rPr>
              <w:t>3</w:t>
            </w:r>
          </w:p>
        </w:tc>
        <w:tc>
          <w:tcPr>
            <w:tcW w:w="1858" w:type="dxa"/>
            <w:noWrap/>
            <w:vAlign w:val="center"/>
          </w:tcPr>
          <w:p w14:paraId="5E1E6EA3">
            <w:pPr>
              <w:autoSpaceDE w:val="0"/>
              <w:autoSpaceDN w:val="0"/>
              <w:jc w:val="left"/>
              <w:rPr>
                <w:rFonts w:hint="eastAsia" w:ascii="宋体" w:hAnsi="宋体"/>
                <w:color w:val="000000"/>
                <w:w w:val="90"/>
                <w:szCs w:val="21"/>
              </w:rPr>
            </w:pPr>
            <w:r>
              <w:rPr>
                <w:rFonts w:ascii="宋体" w:hAnsi="宋体"/>
                <w:color w:val="000000"/>
                <w:w w:val="90"/>
                <w:szCs w:val="21"/>
              </w:rPr>
              <w:t>A020202投影仪</w:t>
            </w:r>
          </w:p>
        </w:tc>
        <w:tc>
          <w:tcPr>
            <w:tcW w:w="2268" w:type="dxa"/>
            <w:noWrap/>
            <w:vAlign w:val="center"/>
          </w:tcPr>
          <w:p w14:paraId="50874991">
            <w:pPr>
              <w:autoSpaceDE w:val="0"/>
              <w:autoSpaceDN w:val="0"/>
              <w:jc w:val="left"/>
              <w:rPr>
                <w:rFonts w:hint="eastAsia" w:ascii="宋体" w:hAnsi="宋体"/>
                <w:color w:val="000000"/>
                <w:w w:val="90"/>
                <w:szCs w:val="21"/>
              </w:rPr>
            </w:pPr>
          </w:p>
        </w:tc>
        <w:tc>
          <w:tcPr>
            <w:tcW w:w="1550" w:type="dxa"/>
            <w:noWrap/>
            <w:vAlign w:val="center"/>
          </w:tcPr>
          <w:p w14:paraId="711E1E28">
            <w:pPr>
              <w:autoSpaceDE w:val="0"/>
              <w:autoSpaceDN w:val="0"/>
              <w:jc w:val="center"/>
              <w:rPr>
                <w:rFonts w:hint="eastAsia" w:ascii="宋体" w:hAnsi="宋体"/>
                <w:color w:val="000000"/>
                <w:w w:val="90"/>
                <w:szCs w:val="21"/>
              </w:rPr>
            </w:pPr>
          </w:p>
        </w:tc>
        <w:tc>
          <w:tcPr>
            <w:tcW w:w="3048" w:type="dxa"/>
            <w:noWrap/>
            <w:vAlign w:val="center"/>
          </w:tcPr>
          <w:p w14:paraId="2B77E69C">
            <w:pPr>
              <w:autoSpaceDE w:val="0"/>
              <w:autoSpaceDN w:val="0"/>
              <w:jc w:val="left"/>
              <w:rPr>
                <w:rFonts w:hint="eastAsia" w:ascii="宋体" w:hAnsi="宋体"/>
                <w:color w:val="000000"/>
                <w:w w:val="90"/>
                <w:szCs w:val="21"/>
              </w:rPr>
            </w:pPr>
            <w:r>
              <w:rPr>
                <w:rFonts w:ascii="宋体" w:hAnsi="宋体"/>
                <w:color w:val="000000"/>
                <w:w w:val="90"/>
                <w:szCs w:val="21"/>
              </w:rPr>
              <w:t>《投影机能效限定值及能效等级（GB 32028）</w:t>
            </w:r>
          </w:p>
        </w:tc>
      </w:tr>
      <w:tr w14:paraId="38E3D8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3FA47C1">
            <w:pPr>
              <w:autoSpaceDE w:val="0"/>
              <w:autoSpaceDN w:val="0"/>
              <w:jc w:val="center"/>
              <w:rPr>
                <w:rFonts w:hint="eastAsia" w:ascii="宋体" w:hAnsi="宋体"/>
                <w:color w:val="000000"/>
                <w:w w:val="90"/>
                <w:szCs w:val="21"/>
              </w:rPr>
            </w:pPr>
            <w:r>
              <w:rPr>
                <w:rFonts w:ascii="宋体" w:hAnsi="宋体"/>
                <w:color w:val="000000"/>
                <w:w w:val="90"/>
                <w:szCs w:val="21"/>
              </w:rPr>
              <w:t>4</w:t>
            </w:r>
          </w:p>
        </w:tc>
        <w:tc>
          <w:tcPr>
            <w:tcW w:w="1858" w:type="dxa"/>
            <w:noWrap/>
            <w:vAlign w:val="center"/>
          </w:tcPr>
          <w:p w14:paraId="039F6858">
            <w:pPr>
              <w:autoSpaceDE w:val="0"/>
              <w:autoSpaceDN w:val="0"/>
              <w:jc w:val="left"/>
              <w:rPr>
                <w:rFonts w:hint="eastAsia" w:ascii="宋体" w:hAnsi="宋体"/>
                <w:color w:val="000000"/>
                <w:w w:val="90"/>
                <w:szCs w:val="21"/>
              </w:rPr>
            </w:pPr>
            <w:r>
              <w:rPr>
                <w:rFonts w:ascii="宋体" w:hAnsi="宋体"/>
                <w:color w:val="000000"/>
                <w:w w:val="90"/>
                <w:szCs w:val="21"/>
              </w:rPr>
              <w:t>A020204多功能一体机</w:t>
            </w:r>
          </w:p>
        </w:tc>
        <w:tc>
          <w:tcPr>
            <w:tcW w:w="2268" w:type="dxa"/>
            <w:noWrap/>
            <w:vAlign w:val="center"/>
          </w:tcPr>
          <w:p w14:paraId="1572B869">
            <w:pPr>
              <w:autoSpaceDE w:val="0"/>
              <w:autoSpaceDN w:val="0"/>
              <w:jc w:val="left"/>
              <w:rPr>
                <w:rFonts w:hint="eastAsia" w:ascii="宋体" w:hAnsi="宋体"/>
                <w:color w:val="000000"/>
                <w:w w:val="90"/>
                <w:szCs w:val="21"/>
              </w:rPr>
            </w:pPr>
          </w:p>
        </w:tc>
        <w:tc>
          <w:tcPr>
            <w:tcW w:w="1550" w:type="dxa"/>
            <w:noWrap/>
            <w:vAlign w:val="center"/>
          </w:tcPr>
          <w:p w14:paraId="6D194FB6">
            <w:pPr>
              <w:autoSpaceDE w:val="0"/>
              <w:autoSpaceDN w:val="0"/>
              <w:jc w:val="center"/>
              <w:rPr>
                <w:rFonts w:hint="eastAsia" w:ascii="宋体" w:hAnsi="宋体"/>
                <w:color w:val="000000"/>
                <w:w w:val="90"/>
                <w:szCs w:val="21"/>
              </w:rPr>
            </w:pPr>
          </w:p>
        </w:tc>
        <w:tc>
          <w:tcPr>
            <w:tcW w:w="3048" w:type="dxa"/>
            <w:noWrap/>
            <w:vAlign w:val="center"/>
          </w:tcPr>
          <w:p w14:paraId="7F13E276">
            <w:pPr>
              <w:autoSpaceDE w:val="0"/>
              <w:autoSpaceDN w:val="0"/>
              <w:jc w:val="left"/>
              <w:rPr>
                <w:rFonts w:hint="eastAsia" w:ascii="宋体" w:hAnsi="宋体"/>
                <w:color w:val="000000"/>
                <w:w w:val="90"/>
                <w:szCs w:val="21"/>
              </w:rPr>
            </w:pPr>
            <w:r>
              <w:rPr>
                <w:rFonts w:ascii="宋体" w:hAnsi="宋体"/>
                <w:color w:val="000000"/>
                <w:w w:val="90"/>
                <w:szCs w:val="21"/>
              </w:rPr>
              <w:t>《复印机、打印机和传真机能效限定值及能效等级》（GB 21521）</w:t>
            </w:r>
          </w:p>
        </w:tc>
      </w:tr>
      <w:tr w14:paraId="0C66AC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7E46F6C">
            <w:pPr>
              <w:autoSpaceDE w:val="0"/>
              <w:autoSpaceDN w:val="0"/>
              <w:jc w:val="center"/>
              <w:rPr>
                <w:rFonts w:hint="eastAsia" w:ascii="宋体" w:hAnsi="宋体"/>
                <w:color w:val="000000"/>
                <w:w w:val="90"/>
                <w:szCs w:val="21"/>
              </w:rPr>
            </w:pPr>
            <w:r>
              <w:rPr>
                <w:rFonts w:ascii="宋体" w:hAnsi="宋体"/>
                <w:color w:val="000000"/>
                <w:w w:val="90"/>
                <w:szCs w:val="21"/>
              </w:rPr>
              <w:t>5</w:t>
            </w:r>
          </w:p>
        </w:tc>
        <w:tc>
          <w:tcPr>
            <w:tcW w:w="1858" w:type="dxa"/>
            <w:noWrap/>
            <w:vAlign w:val="center"/>
          </w:tcPr>
          <w:p w14:paraId="31935003">
            <w:pPr>
              <w:autoSpaceDE w:val="0"/>
              <w:autoSpaceDN w:val="0"/>
              <w:jc w:val="left"/>
              <w:rPr>
                <w:rFonts w:hint="eastAsia" w:ascii="宋体" w:hAnsi="宋体"/>
                <w:color w:val="000000"/>
                <w:w w:val="90"/>
                <w:szCs w:val="21"/>
              </w:rPr>
            </w:pPr>
            <w:r>
              <w:rPr>
                <w:rFonts w:ascii="宋体" w:hAnsi="宋体"/>
                <w:color w:val="000000"/>
                <w:w w:val="90"/>
                <w:szCs w:val="21"/>
              </w:rPr>
              <w:t>A020519泵</w:t>
            </w:r>
          </w:p>
        </w:tc>
        <w:tc>
          <w:tcPr>
            <w:tcW w:w="2268" w:type="dxa"/>
            <w:noWrap/>
            <w:vAlign w:val="center"/>
          </w:tcPr>
          <w:p w14:paraId="7B714B64">
            <w:pPr>
              <w:autoSpaceDE w:val="0"/>
              <w:autoSpaceDN w:val="0"/>
              <w:jc w:val="left"/>
              <w:rPr>
                <w:rFonts w:hint="eastAsia" w:ascii="宋体" w:hAnsi="宋体"/>
                <w:color w:val="000000"/>
                <w:w w:val="90"/>
                <w:szCs w:val="21"/>
              </w:rPr>
            </w:pPr>
            <w:r>
              <w:rPr>
                <w:rFonts w:ascii="宋体" w:hAnsi="宋体"/>
                <w:color w:val="000000"/>
                <w:w w:val="90"/>
                <w:szCs w:val="21"/>
              </w:rPr>
              <w:t>A02051901离心泵</w:t>
            </w:r>
          </w:p>
        </w:tc>
        <w:tc>
          <w:tcPr>
            <w:tcW w:w="1550" w:type="dxa"/>
            <w:noWrap/>
            <w:vAlign w:val="center"/>
          </w:tcPr>
          <w:p w14:paraId="44664665">
            <w:pPr>
              <w:autoSpaceDE w:val="0"/>
              <w:autoSpaceDN w:val="0"/>
              <w:jc w:val="center"/>
              <w:rPr>
                <w:rFonts w:hint="eastAsia" w:ascii="宋体" w:hAnsi="宋体"/>
                <w:color w:val="000000"/>
                <w:w w:val="90"/>
                <w:szCs w:val="21"/>
              </w:rPr>
            </w:pPr>
          </w:p>
        </w:tc>
        <w:tc>
          <w:tcPr>
            <w:tcW w:w="3048" w:type="dxa"/>
            <w:noWrap/>
            <w:vAlign w:val="center"/>
          </w:tcPr>
          <w:p w14:paraId="22A76F54">
            <w:pPr>
              <w:autoSpaceDE w:val="0"/>
              <w:autoSpaceDN w:val="0"/>
              <w:jc w:val="left"/>
              <w:rPr>
                <w:rFonts w:hint="eastAsia" w:ascii="宋体" w:hAnsi="宋体"/>
                <w:color w:val="000000"/>
                <w:w w:val="90"/>
                <w:szCs w:val="21"/>
              </w:rPr>
            </w:pPr>
            <w:r>
              <w:rPr>
                <w:rFonts w:ascii="宋体" w:hAnsi="宋体"/>
                <w:color w:val="000000"/>
                <w:w w:val="90"/>
                <w:szCs w:val="21"/>
              </w:rPr>
              <w:t>《清水离心泵能效限定值及节能评价值》（GB 19762）</w:t>
            </w:r>
          </w:p>
        </w:tc>
      </w:tr>
      <w:tr w14:paraId="2B771DB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5A0012A8">
            <w:pPr>
              <w:autoSpaceDE w:val="0"/>
              <w:autoSpaceDN w:val="0"/>
              <w:jc w:val="center"/>
              <w:rPr>
                <w:rFonts w:hint="eastAsia" w:ascii="宋体" w:hAnsi="宋体"/>
                <w:color w:val="000000"/>
                <w:w w:val="90"/>
                <w:szCs w:val="21"/>
              </w:rPr>
            </w:pPr>
            <w:r>
              <w:rPr>
                <w:rFonts w:ascii="宋体" w:hAnsi="宋体"/>
                <w:color w:val="000000"/>
                <w:w w:val="90"/>
                <w:szCs w:val="21"/>
              </w:rPr>
              <w:t>6</w:t>
            </w:r>
          </w:p>
        </w:tc>
        <w:tc>
          <w:tcPr>
            <w:tcW w:w="1858" w:type="dxa"/>
            <w:vMerge w:val="restart"/>
            <w:noWrap/>
            <w:vAlign w:val="center"/>
          </w:tcPr>
          <w:p w14:paraId="4FD89D3C">
            <w:pPr>
              <w:autoSpaceDE w:val="0"/>
              <w:autoSpaceDN w:val="0"/>
              <w:jc w:val="left"/>
              <w:rPr>
                <w:rFonts w:hint="eastAsia" w:ascii="宋体" w:hAnsi="宋体"/>
                <w:color w:val="000000"/>
                <w:w w:val="90"/>
                <w:szCs w:val="21"/>
              </w:rPr>
            </w:pPr>
            <w:r>
              <w:rPr>
                <w:rFonts w:ascii="宋体" w:hAnsi="宋体"/>
                <w:color w:val="000000"/>
                <w:w w:val="90"/>
                <w:szCs w:val="21"/>
              </w:rPr>
              <w:t>A020523制冷空调设备</w:t>
            </w:r>
          </w:p>
        </w:tc>
        <w:tc>
          <w:tcPr>
            <w:tcW w:w="2268" w:type="dxa"/>
            <w:vMerge w:val="restart"/>
            <w:noWrap/>
            <w:vAlign w:val="center"/>
          </w:tcPr>
          <w:p w14:paraId="4414D758">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A02052301</w:t>
            </w:r>
            <w:r>
              <w:rPr>
                <w:rFonts w:ascii="宋体" w:hAnsi="宋体"/>
                <w:b/>
                <w:color w:val="000000"/>
                <w:w w:val="90"/>
                <w:szCs w:val="21"/>
              </w:rPr>
              <w:t>制冷压缩机</w:t>
            </w:r>
          </w:p>
        </w:tc>
        <w:tc>
          <w:tcPr>
            <w:tcW w:w="1550" w:type="dxa"/>
            <w:noWrap/>
            <w:vAlign w:val="center"/>
          </w:tcPr>
          <w:p w14:paraId="6E962EEC">
            <w:pPr>
              <w:autoSpaceDE w:val="0"/>
              <w:autoSpaceDN w:val="0"/>
              <w:jc w:val="left"/>
              <w:rPr>
                <w:rFonts w:hint="eastAsia" w:ascii="宋体" w:hAnsi="宋体"/>
                <w:b/>
                <w:color w:val="000000"/>
                <w:w w:val="90"/>
                <w:szCs w:val="21"/>
              </w:rPr>
            </w:pPr>
            <w:r>
              <w:rPr>
                <w:rFonts w:ascii="宋体" w:hAnsi="宋体"/>
                <w:b/>
                <w:color w:val="000000"/>
                <w:w w:val="90"/>
                <w:szCs w:val="21"/>
              </w:rPr>
              <w:t>冷水机组</w:t>
            </w:r>
          </w:p>
        </w:tc>
        <w:tc>
          <w:tcPr>
            <w:tcW w:w="3048" w:type="dxa"/>
            <w:noWrap/>
            <w:vAlign w:val="center"/>
          </w:tcPr>
          <w:p w14:paraId="1292F96A">
            <w:pPr>
              <w:autoSpaceDE w:val="0"/>
              <w:autoSpaceDN w:val="0"/>
              <w:jc w:val="left"/>
              <w:rPr>
                <w:rFonts w:hint="eastAsia" w:ascii="宋体" w:hAnsi="宋体"/>
                <w:color w:val="000000"/>
                <w:w w:val="90"/>
                <w:szCs w:val="21"/>
              </w:rPr>
            </w:pPr>
            <w:r>
              <w:rPr>
                <w:rFonts w:ascii="宋体" w:hAnsi="宋体"/>
                <w:color w:val="000000"/>
                <w:w w:val="90"/>
                <w:szCs w:val="21"/>
              </w:rPr>
              <w:t>《冷水机组能效限定值及能效等级》（GB 19577），《低环境温度空气源热泵（冷水）机组能效限定值及能效等级》（GB 37480）</w:t>
            </w:r>
          </w:p>
        </w:tc>
      </w:tr>
      <w:tr w14:paraId="5A8F81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13BBD6E4">
            <w:pPr>
              <w:autoSpaceDE w:val="0"/>
              <w:autoSpaceDN w:val="0"/>
              <w:jc w:val="center"/>
              <w:rPr>
                <w:rFonts w:hint="eastAsia" w:ascii="宋体" w:hAnsi="宋体"/>
                <w:color w:val="000000"/>
                <w:w w:val="90"/>
                <w:szCs w:val="21"/>
              </w:rPr>
            </w:pPr>
          </w:p>
        </w:tc>
        <w:tc>
          <w:tcPr>
            <w:tcW w:w="1858" w:type="dxa"/>
            <w:vMerge w:val="continue"/>
            <w:noWrap/>
            <w:vAlign w:val="center"/>
          </w:tcPr>
          <w:p w14:paraId="282FA167">
            <w:pPr>
              <w:autoSpaceDE w:val="0"/>
              <w:autoSpaceDN w:val="0"/>
              <w:jc w:val="left"/>
              <w:rPr>
                <w:rFonts w:hint="eastAsia" w:ascii="宋体" w:hAnsi="宋体"/>
                <w:color w:val="000000"/>
                <w:w w:val="90"/>
                <w:szCs w:val="21"/>
              </w:rPr>
            </w:pPr>
          </w:p>
        </w:tc>
        <w:tc>
          <w:tcPr>
            <w:tcW w:w="2268" w:type="dxa"/>
            <w:vMerge w:val="continue"/>
            <w:noWrap/>
            <w:vAlign w:val="center"/>
          </w:tcPr>
          <w:p w14:paraId="464FA537">
            <w:pPr>
              <w:autoSpaceDE w:val="0"/>
              <w:autoSpaceDN w:val="0"/>
              <w:jc w:val="left"/>
              <w:rPr>
                <w:rFonts w:hint="eastAsia" w:ascii="宋体" w:hAnsi="宋体"/>
                <w:b/>
                <w:color w:val="000000"/>
                <w:w w:val="90"/>
                <w:szCs w:val="21"/>
              </w:rPr>
            </w:pPr>
          </w:p>
        </w:tc>
        <w:tc>
          <w:tcPr>
            <w:tcW w:w="1550" w:type="dxa"/>
            <w:noWrap/>
            <w:vAlign w:val="center"/>
          </w:tcPr>
          <w:p w14:paraId="7881FCAE">
            <w:pPr>
              <w:autoSpaceDE w:val="0"/>
              <w:autoSpaceDN w:val="0"/>
              <w:jc w:val="left"/>
              <w:rPr>
                <w:rFonts w:hint="eastAsia" w:ascii="宋体" w:hAnsi="宋体"/>
                <w:b/>
                <w:color w:val="000000"/>
                <w:w w:val="90"/>
                <w:szCs w:val="21"/>
              </w:rPr>
            </w:pPr>
            <w:r>
              <w:rPr>
                <w:rFonts w:ascii="宋体" w:hAnsi="宋体"/>
                <w:b/>
                <w:color w:val="000000"/>
                <w:w w:val="90"/>
                <w:szCs w:val="21"/>
              </w:rPr>
              <w:t>水源热泵机组</w:t>
            </w:r>
          </w:p>
        </w:tc>
        <w:tc>
          <w:tcPr>
            <w:tcW w:w="3048" w:type="dxa"/>
            <w:noWrap/>
            <w:vAlign w:val="center"/>
          </w:tcPr>
          <w:p w14:paraId="2DC786EA">
            <w:pPr>
              <w:autoSpaceDE w:val="0"/>
              <w:autoSpaceDN w:val="0"/>
              <w:jc w:val="left"/>
              <w:rPr>
                <w:rFonts w:hint="eastAsia" w:ascii="宋体" w:hAnsi="宋体"/>
                <w:color w:val="000000"/>
                <w:w w:val="90"/>
                <w:szCs w:val="21"/>
              </w:rPr>
            </w:pPr>
            <w:r>
              <w:rPr>
                <w:rFonts w:ascii="宋体" w:hAnsi="宋体"/>
                <w:color w:val="000000"/>
                <w:w w:val="90"/>
                <w:szCs w:val="21"/>
              </w:rPr>
              <w:t>《水（地）源热泵机组能效限定值及能效等级》（GB 30721）</w:t>
            </w:r>
          </w:p>
        </w:tc>
      </w:tr>
      <w:tr w14:paraId="037EF5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E66B6DA">
            <w:pPr>
              <w:autoSpaceDE w:val="0"/>
              <w:autoSpaceDN w:val="0"/>
              <w:jc w:val="center"/>
              <w:rPr>
                <w:rFonts w:hint="eastAsia" w:ascii="宋体" w:hAnsi="宋体"/>
                <w:color w:val="000000"/>
                <w:w w:val="90"/>
                <w:szCs w:val="21"/>
              </w:rPr>
            </w:pPr>
          </w:p>
        </w:tc>
        <w:tc>
          <w:tcPr>
            <w:tcW w:w="1858" w:type="dxa"/>
            <w:vMerge w:val="continue"/>
            <w:noWrap/>
            <w:vAlign w:val="center"/>
          </w:tcPr>
          <w:p w14:paraId="5581B65D">
            <w:pPr>
              <w:autoSpaceDE w:val="0"/>
              <w:autoSpaceDN w:val="0"/>
              <w:jc w:val="left"/>
              <w:rPr>
                <w:rFonts w:hint="eastAsia" w:ascii="宋体" w:hAnsi="宋体"/>
                <w:color w:val="000000"/>
                <w:w w:val="90"/>
                <w:szCs w:val="21"/>
              </w:rPr>
            </w:pPr>
          </w:p>
        </w:tc>
        <w:tc>
          <w:tcPr>
            <w:tcW w:w="2268" w:type="dxa"/>
            <w:vMerge w:val="continue"/>
            <w:noWrap/>
            <w:vAlign w:val="center"/>
          </w:tcPr>
          <w:p w14:paraId="6C3E0093">
            <w:pPr>
              <w:autoSpaceDE w:val="0"/>
              <w:autoSpaceDN w:val="0"/>
              <w:jc w:val="left"/>
              <w:rPr>
                <w:rFonts w:hint="eastAsia" w:ascii="宋体" w:hAnsi="宋体"/>
                <w:b/>
                <w:color w:val="000000"/>
                <w:w w:val="90"/>
                <w:szCs w:val="21"/>
              </w:rPr>
            </w:pPr>
          </w:p>
        </w:tc>
        <w:tc>
          <w:tcPr>
            <w:tcW w:w="1550" w:type="dxa"/>
            <w:noWrap/>
            <w:vAlign w:val="center"/>
          </w:tcPr>
          <w:p w14:paraId="21A8EBBC">
            <w:pPr>
              <w:autoSpaceDE w:val="0"/>
              <w:autoSpaceDN w:val="0"/>
              <w:jc w:val="left"/>
              <w:rPr>
                <w:rFonts w:hint="eastAsia" w:ascii="宋体" w:hAnsi="宋体"/>
                <w:b/>
                <w:color w:val="000000"/>
                <w:w w:val="90"/>
                <w:szCs w:val="21"/>
              </w:rPr>
            </w:pPr>
            <w:r>
              <w:rPr>
                <w:rFonts w:ascii="宋体" w:hAnsi="宋体"/>
                <w:b/>
                <w:color w:val="000000"/>
                <w:w w:val="90"/>
                <w:szCs w:val="21"/>
              </w:rPr>
              <w:t>溴化锂吸收式冷水机组</w:t>
            </w:r>
          </w:p>
        </w:tc>
        <w:tc>
          <w:tcPr>
            <w:tcW w:w="3048" w:type="dxa"/>
            <w:noWrap/>
            <w:vAlign w:val="center"/>
          </w:tcPr>
          <w:p w14:paraId="6868472A">
            <w:pPr>
              <w:autoSpaceDE w:val="0"/>
              <w:autoSpaceDN w:val="0"/>
              <w:jc w:val="left"/>
              <w:rPr>
                <w:rFonts w:hint="eastAsia" w:ascii="宋体" w:hAnsi="宋体"/>
                <w:color w:val="000000"/>
                <w:w w:val="90"/>
                <w:szCs w:val="21"/>
              </w:rPr>
            </w:pPr>
            <w:r>
              <w:rPr>
                <w:rFonts w:ascii="宋体" w:hAnsi="宋体"/>
                <w:color w:val="000000"/>
                <w:w w:val="90"/>
                <w:szCs w:val="21"/>
              </w:rPr>
              <w:t>《溴化锂吸收式冷水机组能效限定值及能效等级》（GB 29540）</w:t>
            </w:r>
          </w:p>
        </w:tc>
      </w:tr>
      <w:tr w14:paraId="05B8208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388E5817">
            <w:pPr>
              <w:autoSpaceDE w:val="0"/>
              <w:autoSpaceDN w:val="0"/>
              <w:jc w:val="center"/>
              <w:rPr>
                <w:rFonts w:hint="eastAsia" w:ascii="宋体" w:hAnsi="宋体"/>
                <w:color w:val="000000"/>
                <w:w w:val="90"/>
                <w:szCs w:val="21"/>
              </w:rPr>
            </w:pPr>
          </w:p>
        </w:tc>
        <w:tc>
          <w:tcPr>
            <w:tcW w:w="1858" w:type="dxa"/>
            <w:vMerge w:val="continue"/>
            <w:noWrap/>
            <w:vAlign w:val="center"/>
          </w:tcPr>
          <w:p w14:paraId="47D63C2D">
            <w:pPr>
              <w:autoSpaceDE w:val="0"/>
              <w:autoSpaceDN w:val="0"/>
              <w:jc w:val="left"/>
              <w:rPr>
                <w:rFonts w:hint="eastAsia" w:ascii="宋体" w:hAnsi="宋体"/>
                <w:color w:val="000000"/>
                <w:w w:val="90"/>
                <w:szCs w:val="21"/>
              </w:rPr>
            </w:pPr>
          </w:p>
        </w:tc>
        <w:tc>
          <w:tcPr>
            <w:tcW w:w="2268" w:type="dxa"/>
            <w:vMerge w:val="restart"/>
            <w:noWrap/>
            <w:vAlign w:val="center"/>
          </w:tcPr>
          <w:p w14:paraId="00CF71AE">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A02052305</w:t>
            </w:r>
            <w:r>
              <w:rPr>
                <w:rFonts w:ascii="宋体" w:hAnsi="宋体"/>
                <w:b/>
                <w:color w:val="000000"/>
                <w:w w:val="90"/>
                <w:szCs w:val="21"/>
              </w:rPr>
              <w:t xml:space="preserve"> 空调机组</w:t>
            </w:r>
          </w:p>
        </w:tc>
        <w:tc>
          <w:tcPr>
            <w:tcW w:w="1550" w:type="dxa"/>
            <w:noWrap/>
            <w:vAlign w:val="center"/>
          </w:tcPr>
          <w:p w14:paraId="3148BFD5">
            <w:pPr>
              <w:autoSpaceDE w:val="0"/>
              <w:autoSpaceDN w:val="0"/>
              <w:jc w:val="left"/>
              <w:rPr>
                <w:rFonts w:hint="eastAsia" w:ascii="宋体" w:hAnsi="宋体"/>
                <w:b/>
                <w:color w:val="000000"/>
                <w:w w:val="90"/>
                <w:szCs w:val="21"/>
              </w:rPr>
            </w:pPr>
            <w:r>
              <w:rPr>
                <w:rFonts w:ascii="宋体" w:hAnsi="宋体"/>
                <w:b/>
                <w:color w:val="000000"/>
                <w:w w:val="90"/>
                <w:szCs w:val="21"/>
              </w:rPr>
              <w:t>多联式空调（热泵）机组(制冷量&gt;14000W)</w:t>
            </w:r>
          </w:p>
        </w:tc>
        <w:tc>
          <w:tcPr>
            <w:tcW w:w="3048" w:type="dxa"/>
            <w:noWrap/>
            <w:vAlign w:val="center"/>
          </w:tcPr>
          <w:p w14:paraId="4EF41AE2">
            <w:pPr>
              <w:autoSpaceDE w:val="0"/>
              <w:autoSpaceDN w:val="0"/>
              <w:jc w:val="left"/>
              <w:rPr>
                <w:rFonts w:hint="eastAsia" w:ascii="宋体" w:hAnsi="宋体"/>
                <w:color w:val="000000"/>
                <w:w w:val="90"/>
                <w:szCs w:val="21"/>
              </w:rPr>
            </w:pPr>
            <w:r>
              <w:rPr>
                <w:rFonts w:ascii="宋体" w:hAnsi="宋体"/>
                <w:color w:val="000000"/>
                <w:w w:val="90"/>
                <w:szCs w:val="21"/>
              </w:rPr>
              <w:t>《多联式空调（热泵）机组能效限定值及能源效率等级》（GB 21454</w:t>
            </w:r>
          </w:p>
        </w:tc>
      </w:tr>
      <w:tr w14:paraId="38389BF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3C5146B">
            <w:pPr>
              <w:autoSpaceDE w:val="0"/>
              <w:autoSpaceDN w:val="0"/>
              <w:jc w:val="center"/>
              <w:rPr>
                <w:rFonts w:hint="eastAsia" w:ascii="宋体" w:hAnsi="宋体"/>
                <w:color w:val="000000"/>
                <w:w w:val="90"/>
                <w:szCs w:val="21"/>
              </w:rPr>
            </w:pPr>
          </w:p>
        </w:tc>
        <w:tc>
          <w:tcPr>
            <w:tcW w:w="1858" w:type="dxa"/>
            <w:vMerge w:val="continue"/>
            <w:noWrap/>
            <w:vAlign w:val="center"/>
          </w:tcPr>
          <w:p w14:paraId="3AAD0EE2">
            <w:pPr>
              <w:autoSpaceDE w:val="0"/>
              <w:autoSpaceDN w:val="0"/>
              <w:jc w:val="left"/>
              <w:rPr>
                <w:rFonts w:hint="eastAsia" w:ascii="宋体" w:hAnsi="宋体"/>
                <w:color w:val="000000"/>
                <w:w w:val="90"/>
                <w:szCs w:val="21"/>
              </w:rPr>
            </w:pPr>
          </w:p>
        </w:tc>
        <w:tc>
          <w:tcPr>
            <w:tcW w:w="2268" w:type="dxa"/>
            <w:vMerge w:val="continue"/>
            <w:noWrap/>
            <w:vAlign w:val="center"/>
          </w:tcPr>
          <w:p w14:paraId="1C20CEEB">
            <w:pPr>
              <w:autoSpaceDE w:val="0"/>
              <w:autoSpaceDN w:val="0"/>
              <w:jc w:val="left"/>
              <w:rPr>
                <w:rFonts w:hint="eastAsia" w:ascii="宋体" w:hAnsi="宋体"/>
                <w:b/>
                <w:color w:val="000000"/>
                <w:w w:val="90"/>
                <w:szCs w:val="21"/>
              </w:rPr>
            </w:pPr>
          </w:p>
        </w:tc>
        <w:tc>
          <w:tcPr>
            <w:tcW w:w="1550" w:type="dxa"/>
            <w:noWrap/>
            <w:vAlign w:val="center"/>
          </w:tcPr>
          <w:p w14:paraId="31AEC68B">
            <w:pPr>
              <w:autoSpaceDE w:val="0"/>
              <w:autoSpaceDN w:val="0"/>
              <w:jc w:val="left"/>
              <w:rPr>
                <w:rFonts w:hint="eastAsia" w:ascii="宋体" w:hAnsi="宋体"/>
                <w:b/>
                <w:color w:val="000000"/>
                <w:w w:val="90"/>
                <w:szCs w:val="21"/>
              </w:rPr>
            </w:pPr>
            <w:r>
              <w:rPr>
                <w:rFonts w:ascii="宋体" w:hAnsi="宋体"/>
                <w:b/>
                <w:color w:val="000000"/>
                <w:w w:val="90"/>
                <w:szCs w:val="21"/>
              </w:rPr>
              <w:t>单元式空气调节机(制冷量&gt;14000W)</w:t>
            </w:r>
          </w:p>
        </w:tc>
        <w:tc>
          <w:tcPr>
            <w:tcW w:w="3048" w:type="dxa"/>
            <w:noWrap/>
            <w:vAlign w:val="center"/>
          </w:tcPr>
          <w:p w14:paraId="19038CAE">
            <w:pPr>
              <w:autoSpaceDE w:val="0"/>
              <w:autoSpaceDN w:val="0"/>
              <w:jc w:val="left"/>
              <w:rPr>
                <w:rFonts w:hint="eastAsia" w:ascii="宋体" w:hAnsi="宋体"/>
                <w:color w:val="000000"/>
                <w:w w:val="90"/>
                <w:szCs w:val="21"/>
              </w:rPr>
            </w:pPr>
            <w:r>
              <w:rPr>
                <w:rFonts w:ascii="宋体" w:hAnsi="宋体"/>
                <w:color w:val="000000"/>
                <w:w w:val="90"/>
                <w:szCs w:val="21"/>
              </w:rPr>
              <w:t>《单元式空气调节机能效限定值及能效等级》（GB 19576）《风管送风式空调机组能效限定值及能效等级》（GB 37479）</w:t>
            </w:r>
          </w:p>
        </w:tc>
      </w:tr>
      <w:tr w14:paraId="30FAAD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6EC3573F">
            <w:pPr>
              <w:autoSpaceDE w:val="0"/>
              <w:autoSpaceDN w:val="0"/>
              <w:jc w:val="center"/>
              <w:rPr>
                <w:rFonts w:hint="eastAsia" w:ascii="宋体" w:hAnsi="宋体"/>
                <w:color w:val="000000"/>
                <w:w w:val="90"/>
                <w:szCs w:val="21"/>
              </w:rPr>
            </w:pPr>
          </w:p>
        </w:tc>
        <w:tc>
          <w:tcPr>
            <w:tcW w:w="1858" w:type="dxa"/>
            <w:vMerge w:val="continue"/>
            <w:noWrap/>
            <w:vAlign w:val="center"/>
          </w:tcPr>
          <w:p w14:paraId="56F6FEE7">
            <w:pPr>
              <w:autoSpaceDE w:val="0"/>
              <w:autoSpaceDN w:val="0"/>
              <w:jc w:val="left"/>
              <w:rPr>
                <w:rFonts w:hint="eastAsia" w:ascii="宋体" w:hAnsi="宋体"/>
                <w:color w:val="000000"/>
                <w:w w:val="90"/>
                <w:szCs w:val="21"/>
              </w:rPr>
            </w:pPr>
          </w:p>
        </w:tc>
        <w:tc>
          <w:tcPr>
            <w:tcW w:w="2268" w:type="dxa"/>
            <w:noWrap/>
            <w:vAlign w:val="center"/>
          </w:tcPr>
          <w:p w14:paraId="5C9DB6DD">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A02052309</w:t>
            </w:r>
            <w:r>
              <w:rPr>
                <w:rFonts w:ascii="宋体" w:hAnsi="宋体"/>
                <w:b/>
                <w:color w:val="000000"/>
                <w:w w:val="90"/>
                <w:szCs w:val="21"/>
              </w:rPr>
              <w:t xml:space="preserve"> 专用制冷、空调设备</w:t>
            </w:r>
          </w:p>
        </w:tc>
        <w:tc>
          <w:tcPr>
            <w:tcW w:w="1550" w:type="dxa"/>
            <w:noWrap/>
            <w:vAlign w:val="center"/>
          </w:tcPr>
          <w:p w14:paraId="297D190C">
            <w:pPr>
              <w:autoSpaceDE w:val="0"/>
              <w:autoSpaceDN w:val="0"/>
              <w:jc w:val="left"/>
              <w:rPr>
                <w:rFonts w:hint="eastAsia" w:ascii="宋体" w:hAnsi="宋体"/>
                <w:b/>
                <w:color w:val="000000"/>
                <w:w w:val="90"/>
                <w:szCs w:val="21"/>
              </w:rPr>
            </w:pPr>
            <w:r>
              <w:rPr>
                <w:rFonts w:ascii="宋体" w:hAnsi="宋体"/>
                <w:b/>
                <w:color w:val="000000"/>
                <w:w w:val="90"/>
                <w:szCs w:val="21"/>
              </w:rPr>
              <w:t>机房空调</w:t>
            </w:r>
          </w:p>
        </w:tc>
        <w:tc>
          <w:tcPr>
            <w:tcW w:w="3048" w:type="dxa"/>
            <w:noWrap/>
            <w:vAlign w:val="center"/>
          </w:tcPr>
          <w:p w14:paraId="3F36B641">
            <w:pPr>
              <w:autoSpaceDE w:val="0"/>
              <w:autoSpaceDN w:val="0"/>
              <w:jc w:val="left"/>
              <w:rPr>
                <w:rFonts w:hint="eastAsia" w:ascii="宋体" w:hAnsi="宋体"/>
                <w:color w:val="000000"/>
                <w:w w:val="90"/>
                <w:szCs w:val="21"/>
              </w:rPr>
            </w:pPr>
            <w:r>
              <w:rPr>
                <w:rFonts w:ascii="宋体" w:hAnsi="宋体"/>
                <w:color w:val="000000"/>
                <w:w w:val="90"/>
                <w:szCs w:val="21"/>
              </w:rPr>
              <w:t>《单元式空气调节机能效限定值及能效等级》（GB 19576）</w:t>
            </w:r>
          </w:p>
        </w:tc>
      </w:tr>
      <w:tr w14:paraId="573148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1BE7E223">
            <w:pPr>
              <w:autoSpaceDE w:val="0"/>
              <w:autoSpaceDN w:val="0"/>
              <w:jc w:val="center"/>
              <w:rPr>
                <w:rFonts w:hint="eastAsia" w:ascii="宋体" w:hAnsi="宋体"/>
                <w:color w:val="000000"/>
                <w:w w:val="90"/>
                <w:szCs w:val="21"/>
              </w:rPr>
            </w:pPr>
          </w:p>
        </w:tc>
        <w:tc>
          <w:tcPr>
            <w:tcW w:w="1858" w:type="dxa"/>
            <w:vMerge w:val="continue"/>
            <w:noWrap/>
            <w:vAlign w:val="center"/>
          </w:tcPr>
          <w:p w14:paraId="29DB0E37">
            <w:pPr>
              <w:autoSpaceDE w:val="0"/>
              <w:autoSpaceDN w:val="0"/>
              <w:jc w:val="left"/>
              <w:rPr>
                <w:rFonts w:hint="eastAsia" w:ascii="宋体" w:hAnsi="宋体"/>
                <w:color w:val="000000"/>
                <w:w w:val="90"/>
                <w:szCs w:val="21"/>
              </w:rPr>
            </w:pPr>
          </w:p>
        </w:tc>
        <w:tc>
          <w:tcPr>
            <w:tcW w:w="2268" w:type="dxa"/>
            <w:noWrap/>
            <w:vAlign w:val="center"/>
          </w:tcPr>
          <w:p w14:paraId="53BD21FB">
            <w:pPr>
              <w:autoSpaceDE w:val="0"/>
              <w:autoSpaceDN w:val="0"/>
              <w:jc w:val="left"/>
              <w:rPr>
                <w:rFonts w:hint="eastAsia" w:ascii="宋体" w:hAnsi="宋体"/>
                <w:color w:val="000000"/>
                <w:w w:val="90"/>
                <w:szCs w:val="21"/>
              </w:rPr>
            </w:pPr>
            <w:r>
              <w:rPr>
                <w:rFonts w:ascii="宋体" w:hAnsi="宋体"/>
                <w:color w:val="000000"/>
                <w:w w:val="90"/>
                <w:szCs w:val="21"/>
              </w:rPr>
              <w:t>A02052399 其他制冷空调设备</w:t>
            </w:r>
          </w:p>
        </w:tc>
        <w:tc>
          <w:tcPr>
            <w:tcW w:w="1550" w:type="dxa"/>
            <w:noWrap/>
            <w:vAlign w:val="center"/>
          </w:tcPr>
          <w:p w14:paraId="19CD7766">
            <w:pPr>
              <w:autoSpaceDE w:val="0"/>
              <w:autoSpaceDN w:val="0"/>
              <w:jc w:val="left"/>
              <w:rPr>
                <w:rFonts w:hint="eastAsia" w:ascii="宋体" w:hAnsi="宋体"/>
                <w:color w:val="000000"/>
                <w:w w:val="90"/>
                <w:szCs w:val="21"/>
              </w:rPr>
            </w:pPr>
            <w:r>
              <w:rPr>
                <w:rFonts w:ascii="宋体" w:hAnsi="宋体"/>
                <w:color w:val="000000"/>
                <w:w w:val="90"/>
                <w:szCs w:val="21"/>
              </w:rPr>
              <w:t>冷却塔</w:t>
            </w:r>
          </w:p>
        </w:tc>
        <w:tc>
          <w:tcPr>
            <w:tcW w:w="3048" w:type="dxa"/>
            <w:noWrap/>
            <w:vAlign w:val="center"/>
          </w:tcPr>
          <w:p w14:paraId="7A6A3607">
            <w:pPr>
              <w:autoSpaceDE w:val="0"/>
              <w:autoSpaceDN w:val="0"/>
              <w:jc w:val="left"/>
              <w:rPr>
                <w:rFonts w:hint="eastAsia" w:ascii="宋体" w:hAnsi="宋体"/>
                <w:color w:val="000000"/>
                <w:w w:val="90"/>
                <w:szCs w:val="21"/>
              </w:rPr>
            </w:pPr>
            <w:r>
              <w:rPr>
                <w:rFonts w:ascii="宋体" w:hAnsi="宋体"/>
                <w:color w:val="000000"/>
                <w:w w:val="90"/>
                <w:szCs w:val="21"/>
              </w:rPr>
              <w:t>《机械通风冷却塔 第 1 部分：中小型开式冷却塔》（GB /T 7190.1）</w:t>
            </w:r>
          </w:p>
          <w:p w14:paraId="57A7B0AA">
            <w:pPr>
              <w:autoSpaceDE w:val="0"/>
              <w:autoSpaceDN w:val="0"/>
              <w:jc w:val="left"/>
              <w:rPr>
                <w:rFonts w:hint="eastAsia" w:ascii="宋体" w:hAnsi="宋体"/>
                <w:color w:val="000000"/>
                <w:w w:val="90"/>
                <w:szCs w:val="21"/>
              </w:rPr>
            </w:pPr>
            <w:r>
              <w:rPr>
                <w:rFonts w:ascii="宋体" w:hAnsi="宋体"/>
                <w:color w:val="000000"/>
                <w:w w:val="90"/>
                <w:szCs w:val="21"/>
              </w:rPr>
              <w:t>《机械通风冷却塔 第 2 部分：大型开式冷却塔》（GB /T 7190.2</w:t>
            </w:r>
          </w:p>
        </w:tc>
      </w:tr>
      <w:tr w14:paraId="5EE1FD4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8CA0CF2">
            <w:pPr>
              <w:autoSpaceDE w:val="0"/>
              <w:autoSpaceDN w:val="0"/>
              <w:jc w:val="center"/>
              <w:rPr>
                <w:rFonts w:hint="eastAsia" w:ascii="宋体" w:hAnsi="宋体"/>
                <w:color w:val="000000"/>
                <w:w w:val="90"/>
                <w:szCs w:val="21"/>
              </w:rPr>
            </w:pPr>
            <w:r>
              <w:rPr>
                <w:rFonts w:ascii="宋体" w:hAnsi="宋体"/>
                <w:color w:val="000000"/>
                <w:w w:val="90"/>
                <w:szCs w:val="21"/>
              </w:rPr>
              <w:t>7</w:t>
            </w:r>
          </w:p>
        </w:tc>
        <w:tc>
          <w:tcPr>
            <w:tcW w:w="1858" w:type="dxa"/>
            <w:noWrap/>
            <w:vAlign w:val="center"/>
          </w:tcPr>
          <w:p w14:paraId="1A5F5D22">
            <w:pPr>
              <w:autoSpaceDE w:val="0"/>
              <w:autoSpaceDN w:val="0"/>
              <w:jc w:val="left"/>
              <w:rPr>
                <w:rFonts w:hint="eastAsia" w:ascii="宋体" w:hAnsi="宋体"/>
                <w:color w:val="000000"/>
                <w:w w:val="90"/>
                <w:szCs w:val="21"/>
              </w:rPr>
            </w:pPr>
            <w:r>
              <w:rPr>
                <w:rFonts w:ascii="宋体" w:hAnsi="宋体"/>
                <w:color w:val="000000"/>
                <w:w w:val="90"/>
                <w:szCs w:val="21"/>
              </w:rPr>
              <w:t>A020601电机</w:t>
            </w:r>
          </w:p>
        </w:tc>
        <w:tc>
          <w:tcPr>
            <w:tcW w:w="2268" w:type="dxa"/>
            <w:noWrap/>
            <w:vAlign w:val="center"/>
          </w:tcPr>
          <w:p w14:paraId="5784A430">
            <w:pPr>
              <w:autoSpaceDE w:val="0"/>
              <w:autoSpaceDN w:val="0"/>
              <w:jc w:val="left"/>
              <w:rPr>
                <w:rFonts w:hint="eastAsia" w:ascii="宋体" w:hAnsi="宋体"/>
                <w:color w:val="000000"/>
                <w:w w:val="90"/>
                <w:szCs w:val="21"/>
              </w:rPr>
            </w:pPr>
          </w:p>
        </w:tc>
        <w:tc>
          <w:tcPr>
            <w:tcW w:w="1550" w:type="dxa"/>
            <w:noWrap/>
            <w:vAlign w:val="center"/>
          </w:tcPr>
          <w:p w14:paraId="169BA02E">
            <w:pPr>
              <w:autoSpaceDE w:val="0"/>
              <w:autoSpaceDN w:val="0"/>
              <w:jc w:val="center"/>
              <w:rPr>
                <w:rFonts w:hint="eastAsia" w:ascii="宋体" w:hAnsi="宋体"/>
                <w:color w:val="000000"/>
                <w:w w:val="90"/>
                <w:szCs w:val="21"/>
              </w:rPr>
            </w:pPr>
          </w:p>
        </w:tc>
        <w:tc>
          <w:tcPr>
            <w:tcW w:w="3048" w:type="dxa"/>
            <w:noWrap/>
            <w:vAlign w:val="center"/>
          </w:tcPr>
          <w:p w14:paraId="6B5CB6E9">
            <w:pPr>
              <w:autoSpaceDE w:val="0"/>
              <w:autoSpaceDN w:val="0"/>
              <w:jc w:val="left"/>
              <w:rPr>
                <w:rFonts w:hint="eastAsia" w:ascii="宋体" w:hAnsi="宋体"/>
                <w:color w:val="000000"/>
                <w:w w:val="90"/>
                <w:szCs w:val="21"/>
              </w:rPr>
            </w:pPr>
            <w:r>
              <w:rPr>
                <w:rFonts w:ascii="宋体" w:hAnsi="宋体"/>
                <w:color w:val="000000"/>
                <w:w w:val="90"/>
                <w:szCs w:val="21"/>
              </w:rPr>
              <w:t>《中小型三相异步电动机能效限定值及能效等级》（GB 18613）</w:t>
            </w:r>
          </w:p>
        </w:tc>
      </w:tr>
      <w:tr w14:paraId="59BDE0A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EBF927F">
            <w:pPr>
              <w:autoSpaceDE w:val="0"/>
              <w:autoSpaceDN w:val="0"/>
              <w:jc w:val="center"/>
              <w:rPr>
                <w:rFonts w:hint="eastAsia" w:ascii="宋体" w:hAnsi="宋体"/>
                <w:color w:val="000000"/>
                <w:w w:val="90"/>
                <w:szCs w:val="21"/>
              </w:rPr>
            </w:pPr>
            <w:r>
              <w:rPr>
                <w:rFonts w:ascii="宋体" w:hAnsi="宋体"/>
                <w:color w:val="000000"/>
                <w:w w:val="90"/>
                <w:szCs w:val="21"/>
              </w:rPr>
              <w:t>8</w:t>
            </w:r>
          </w:p>
        </w:tc>
        <w:tc>
          <w:tcPr>
            <w:tcW w:w="1858" w:type="dxa"/>
            <w:noWrap/>
            <w:vAlign w:val="center"/>
          </w:tcPr>
          <w:p w14:paraId="3663E0F6">
            <w:pPr>
              <w:autoSpaceDE w:val="0"/>
              <w:autoSpaceDN w:val="0"/>
              <w:jc w:val="left"/>
              <w:rPr>
                <w:rFonts w:hint="eastAsia" w:ascii="宋体" w:hAnsi="宋体"/>
                <w:color w:val="000000"/>
                <w:w w:val="90"/>
                <w:szCs w:val="21"/>
              </w:rPr>
            </w:pPr>
            <w:r>
              <w:rPr>
                <w:rFonts w:ascii="宋体" w:hAnsi="宋体"/>
                <w:color w:val="000000"/>
                <w:w w:val="90"/>
                <w:szCs w:val="21"/>
              </w:rPr>
              <w:t>A020602变压器</w:t>
            </w:r>
          </w:p>
        </w:tc>
        <w:tc>
          <w:tcPr>
            <w:tcW w:w="2268" w:type="dxa"/>
            <w:noWrap/>
            <w:vAlign w:val="center"/>
          </w:tcPr>
          <w:p w14:paraId="30BA1A81">
            <w:pPr>
              <w:autoSpaceDE w:val="0"/>
              <w:autoSpaceDN w:val="0"/>
              <w:jc w:val="left"/>
              <w:rPr>
                <w:rFonts w:hint="eastAsia" w:ascii="宋体" w:hAnsi="宋体"/>
                <w:color w:val="000000"/>
                <w:w w:val="90"/>
                <w:szCs w:val="21"/>
              </w:rPr>
            </w:pPr>
            <w:r>
              <w:rPr>
                <w:rFonts w:ascii="宋体" w:hAnsi="宋体"/>
                <w:color w:val="000000"/>
                <w:w w:val="90"/>
                <w:szCs w:val="21"/>
              </w:rPr>
              <w:t>配电变压器</w:t>
            </w:r>
          </w:p>
        </w:tc>
        <w:tc>
          <w:tcPr>
            <w:tcW w:w="1550" w:type="dxa"/>
            <w:noWrap/>
            <w:vAlign w:val="center"/>
          </w:tcPr>
          <w:p w14:paraId="6E97983C">
            <w:pPr>
              <w:autoSpaceDE w:val="0"/>
              <w:autoSpaceDN w:val="0"/>
              <w:jc w:val="center"/>
              <w:rPr>
                <w:rFonts w:hint="eastAsia" w:ascii="宋体" w:hAnsi="宋体"/>
                <w:color w:val="000000"/>
                <w:w w:val="90"/>
                <w:szCs w:val="21"/>
              </w:rPr>
            </w:pPr>
          </w:p>
        </w:tc>
        <w:tc>
          <w:tcPr>
            <w:tcW w:w="3048" w:type="dxa"/>
            <w:noWrap/>
            <w:vAlign w:val="center"/>
          </w:tcPr>
          <w:p w14:paraId="48B819AD">
            <w:pPr>
              <w:autoSpaceDE w:val="0"/>
              <w:autoSpaceDN w:val="0"/>
              <w:jc w:val="left"/>
              <w:rPr>
                <w:rFonts w:hint="eastAsia" w:ascii="宋体" w:hAnsi="宋体"/>
                <w:color w:val="000000"/>
                <w:w w:val="90"/>
                <w:szCs w:val="21"/>
              </w:rPr>
            </w:pPr>
            <w:r>
              <w:rPr>
                <w:rFonts w:ascii="宋体" w:hAnsi="宋体"/>
                <w:color w:val="000000"/>
                <w:w w:val="90"/>
                <w:szCs w:val="21"/>
              </w:rPr>
              <w:t>《三相配电变压器能效限定值及能效等级》（GB 20052）</w:t>
            </w:r>
          </w:p>
        </w:tc>
      </w:tr>
      <w:tr w14:paraId="4FA606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645F7812">
            <w:pPr>
              <w:autoSpaceDE w:val="0"/>
              <w:autoSpaceDN w:val="0"/>
              <w:jc w:val="center"/>
              <w:rPr>
                <w:rFonts w:hint="eastAsia" w:ascii="宋体" w:hAnsi="宋体"/>
                <w:color w:val="000000"/>
                <w:w w:val="90"/>
                <w:szCs w:val="21"/>
              </w:rPr>
            </w:pPr>
            <w:r>
              <w:rPr>
                <w:rFonts w:ascii="宋体" w:hAnsi="宋体"/>
                <w:color w:val="000000"/>
                <w:w w:val="90"/>
                <w:szCs w:val="21"/>
              </w:rPr>
              <w:t>9</w:t>
            </w:r>
          </w:p>
        </w:tc>
        <w:tc>
          <w:tcPr>
            <w:tcW w:w="1858" w:type="dxa"/>
            <w:noWrap/>
            <w:vAlign w:val="center"/>
          </w:tcPr>
          <w:p w14:paraId="3D8E46D8">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A020609</w:t>
            </w:r>
            <w:r>
              <w:rPr>
                <w:rFonts w:ascii="宋体" w:hAnsi="宋体"/>
                <w:b/>
                <w:color w:val="000000"/>
                <w:w w:val="90"/>
                <w:szCs w:val="21"/>
              </w:rPr>
              <w:t xml:space="preserve"> 镇流器</w:t>
            </w:r>
          </w:p>
        </w:tc>
        <w:tc>
          <w:tcPr>
            <w:tcW w:w="2268" w:type="dxa"/>
            <w:noWrap/>
            <w:vAlign w:val="center"/>
          </w:tcPr>
          <w:p w14:paraId="1640B36C">
            <w:pPr>
              <w:autoSpaceDE w:val="0"/>
              <w:autoSpaceDN w:val="0"/>
              <w:jc w:val="left"/>
              <w:rPr>
                <w:rFonts w:hint="eastAsia" w:ascii="宋体" w:hAnsi="宋体"/>
                <w:b/>
                <w:color w:val="000000"/>
                <w:w w:val="90"/>
                <w:szCs w:val="21"/>
              </w:rPr>
            </w:pPr>
            <w:r>
              <w:rPr>
                <w:rFonts w:ascii="宋体" w:hAnsi="宋体"/>
                <w:b/>
                <w:color w:val="000000"/>
                <w:w w:val="90"/>
                <w:szCs w:val="21"/>
              </w:rPr>
              <w:t>管型荧光灯镇流器</w:t>
            </w:r>
          </w:p>
        </w:tc>
        <w:tc>
          <w:tcPr>
            <w:tcW w:w="1550" w:type="dxa"/>
            <w:noWrap/>
            <w:vAlign w:val="center"/>
          </w:tcPr>
          <w:p w14:paraId="4B2FFFBD">
            <w:pPr>
              <w:autoSpaceDE w:val="0"/>
              <w:autoSpaceDN w:val="0"/>
              <w:jc w:val="center"/>
              <w:rPr>
                <w:rFonts w:hint="eastAsia" w:ascii="宋体" w:hAnsi="宋体"/>
                <w:color w:val="000000"/>
                <w:w w:val="90"/>
                <w:szCs w:val="21"/>
              </w:rPr>
            </w:pPr>
          </w:p>
        </w:tc>
        <w:tc>
          <w:tcPr>
            <w:tcW w:w="3048" w:type="dxa"/>
            <w:noWrap/>
            <w:vAlign w:val="center"/>
          </w:tcPr>
          <w:p w14:paraId="0B72D6C5">
            <w:pPr>
              <w:autoSpaceDE w:val="0"/>
              <w:autoSpaceDN w:val="0"/>
              <w:jc w:val="left"/>
              <w:rPr>
                <w:rFonts w:hint="eastAsia" w:ascii="宋体" w:hAnsi="宋体"/>
                <w:color w:val="000000"/>
                <w:w w:val="90"/>
                <w:szCs w:val="21"/>
              </w:rPr>
            </w:pPr>
            <w:r>
              <w:rPr>
                <w:rFonts w:ascii="宋体" w:hAnsi="宋体"/>
                <w:color w:val="000000"/>
                <w:w w:val="90"/>
                <w:szCs w:val="21"/>
              </w:rPr>
              <w:t>《管形荧光灯镇流器能效限定值及能效等级》（GB 17896）</w:t>
            </w:r>
          </w:p>
        </w:tc>
      </w:tr>
      <w:tr w14:paraId="695438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2F5917C5">
            <w:pPr>
              <w:autoSpaceDE w:val="0"/>
              <w:autoSpaceDN w:val="0"/>
              <w:jc w:val="center"/>
              <w:rPr>
                <w:rFonts w:hint="eastAsia" w:ascii="宋体" w:hAnsi="宋体"/>
                <w:color w:val="000000"/>
                <w:w w:val="90"/>
                <w:szCs w:val="21"/>
              </w:rPr>
            </w:pPr>
            <w:r>
              <w:rPr>
                <w:rFonts w:ascii="宋体" w:hAnsi="宋体"/>
                <w:color w:val="000000"/>
                <w:w w:val="90"/>
                <w:szCs w:val="21"/>
              </w:rPr>
              <w:t>10</w:t>
            </w:r>
          </w:p>
        </w:tc>
        <w:tc>
          <w:tcPr>
            <w:tcW w:w="1858" w:type="dxa"/>
            <w:vMerge w:val="restart"/>
            <w:noWrap/>
            <w:vAlign w:val="center"/>
          </w:tcPr>
          <w:p w14:paraId="07F1ACC6">
            <w:pPr>
              <w:autoSpaceDE w:val="0"/>
              <w:autoSpaceDN w:val="0"/>
              <w:jc w:val="left"/>
              <w:rPr>
                <w:rFonts w:hint="eastAsia" w:ascii="宋体" w:hAnsi="宋体"/>
                <w:color w:val="000000"/>
                <w:w w:val="90"/>
                <w:szCs w:val="21"/>
              </w:rPr>
            </w:pPr>
            <w:r>
              <w:rPr>
                <w:rFonts w:ascii="宋体" w:hAnsi="宋体"/>
                <w:color w:val="000000"/>
                <w:w w:val="90"/>
                <w:szCs w:val="21"/>
              </w:rPr>
              <w:t>A020618 生活用电器</w:t>
            </w:r>
          </w:p>
        </w:tc>
        <w:tc>
          <w:tcPr>
            <w:tcW w:w="2268" w:type="dxa"/>
            <w:noWrap/>
            <w:vAlign w:val="center"/>
          </w:tcPr>
          <w:p w14:paraId="5D7DD0FD">
            <w:pPr>
              <w:autoSpaceDE w:val="0"/>
              <w:autoSpaceDN w:val="0"/>
              <w:jc w:val="left"/>
              <w:rPr>
                <w:rFonts w:hint="eastAsia" w:ascii="宋体" w:hAnsi="宋体"/>
                <w:color w:val="000000"/>
                <w:w w:val="90"/>
                <w:szCs w:val="21"/>
              </w:rPr>
            </w:pPr>
            <w:r>
              <w:rPr>
                <w:rFonts w:ascii="宋体" w:hAnsi="宋体"/>
                <w:color w:val="000000"/>
                <w:w w:val="90"/>
                <w:szCs w:val="21"/>
              </w:rPr>
              <w:t>A0206180101 电冰箱</w:t>
            </w:r>
          </w:p>
        </w:tc>
        <w:tc>
          <w:tcPr>
            <w:tcW w:w="1550" w:type="dxa"/>
            <w:noWrap/>
            <w:vAlign w:val="center"/>
          </w:tcPr>
          <w:p w14:paraId="3EC7686E">
            <w:pPr>
              <w:autoSpaceDE w:val="0"/>
              <w:autoSpaceDN w:val="0"/>
              <w:jc w:val="center"/>
              <w:rPr>
                <w:rFonts w:hint="eastAsia" w:ascii="宋体" w:hAnsi="宋体"/>
                <w:color w:val="000000"/>
                <w:w w:val="90"/>
                <w:szCs w:val="21"/>
              </w:rPr>
            </w:pPr>
          </w:p>
        </w:tc>
        <w:tc>
          <w:tcPr>
            <w:tcW w:w="3048" w:type="dxa"/>
            <w:noWrap/>
            <w:vAlign w:val="center"/>
          </w:tcPr>
          <w:p w14:paraId="02FE1ABB">
            <w:pPr>
              <w:autoSpaceDE w:val="0"/>
              <w:autoSpaceDN w:val="0"/>
              <w:jc w:val="left"/>
              <w:rPr>
                <w:rFonts w:hint="eastAsia" w:ascii="宋体" w:hAnsi="宋体"/>
                <w:color w:val="000000"/>
                <w:w w:val="90"/>
                <w:szCs w:val="21"/>
              </w:rPr>
            </w:pPr>
            <w:r>
              <w:rPr>
                <w:rFonts w:ascii="宋体" w:hAnsi="宋体"/>
                <w:color w:val="000000"/>
                <w:w w:val="90"/>
                <w:szCs w:val="21"/>
              </w:rPr>
              <w:t>《家用电冰箱耗电量限定值及能效等级》（GB</w:t>
            </w:r>
            <w:r>
              <w:rPr>
                <w:rFonts w:ascii="宋体" w:hAnsi="宋体"/>
                <w:color w:val="000000"/>
                <w:w w:val="90"/>
                <w:szCs w:val="21"/>
              </w:rPr>
              <w:tab/>
            </w:r>
            <w:r>
              <w:rPr>
                <w:rFonts w:ascii="宋体" w:hAnsi="宋体"/>
                <w:color w:val="000000"/>
                <w:w w:val="90"/>
                <w:szCs w:val="21"/>
              </w:rPr>
              <w:t>12021.2）</w:t>
            </w:r>
          </w:p>
        </w:tc>
      </w:tr>
      <w:tr w14:paraId="5406E8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F065650">
            <w:pPr>
              <w:autoSpaceDE w:val="0"/>
              <w:autoSpaceDN w:val="0"/>
              <w:jc w:val="center"/>
              <w:rPr>
                <w:rFonts w:hint="eastAsia" w:ascii="宋体" w:hAnsi="宋体"/>
                <w:color w:val="000000"/>
                <w:w w:val="90"/>
                <w:szCs w:val="21"/>
              </w:rPr>
            </w:pPr>
          </w:p>
        </w:tc>
        <w:tc>
          <w:tcPr>
            <w:tcW w:w="1858" w:type="dxa"/>
            <w:vMerge w:val="continue"/>
            <w:noWrap/>
            <w:vAlign w:val="center"/>
          </w:tcPr>
          <w:p w14:paraId="112A374C">
            <w:pPr>
              <w:autoSpaceDE w:val="0"/>
              <w:autoSpaceDN w:val="0"/>
              <w:jc w:val="left"/>
              <w:rPr>
                <w:rFonts w:hint="eastAsia" w:ascii="宋体" w:hAnsi="宋体"/>
                <w:color w:val="000000"/>
                <w:w w:val="90"/>
                <w:szCs w:val="21"/>
              </w:rPr>
            </w:pPr>
          </w:p>
        </w:tc>
        <w:tc>
          <w:tcPr>
            <w:tcW w:w="2268" w:type="dxa"/>
            <w:vMerge w:val="restart"/>
            <w:noWrap/>
            <w:vAlign w:val="center"/>
          </w:tcPr>
          <w:p w14:paraId="1B98183B">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A0206180203</w:t>
            </w:r>
            <w:r>
              <w:rPr>
                <w:rFonts w:ascii="宋体" w:hAnsi="宋体"/>
                <w:b/>
                <w:color w:val="000000"/>
                <w:w w:val="90"/>
                <w:szCs w:val="21"/>
              </w:rPr>
              <w:t xml:space="preserve"> 空调机</w:t>
            </w:r>
          </w:p>
        </w:tc>
        <w:tc>
          <w:tcPr>
            <w:tcW w:w="1550" w:type="dxa"/>
            <w:noWrap/>
            <w:vAlign w:val="center"/>
          </w:tcPr>
          <w:p w14:paraId="34E65D0F">
            <w:pPr>
              <w:autoSpaceDE w:val="0"/>
              <w:autoSpaceDN w:val="0"/>
              <w:jc w:val="left"/>
              <w:rPr>
                <w:rFonts w:hint="eastAsia" w:ascii="宋体" w:hAnsi="宋体"/>
                <w:b/>
                <w:color w:val="000000"/>
                <w:w w:val="90"/>
                <w:szCs w:val="21"/>
              </w:rPr>
            </w:pPr>
            <w:r>
              <w:rPr>
                <w:rFonts w:ascii="宋体" w:hAnsi="宋体"/>
                <w:b/>
                <w:color w:val="000000"/>
                <w:w w:val="90"/>
                <w:szCs w:val="21"/>
              </w:rPr>
              <w:t>房间空气调节器</w:t>
            </w:r>
          </w:p>
        </w:tc>
        <w:tc>
          <w:tcPr>
            <w:tcW w:w="3048" w:type="dxa"/>
            <w:noWrap/>
            <w:vAlign w:val="center"/>
          </w:tcPr>
          <w:p w14:paraId="048CE930">
            <w:pPr>
              <w:autoSpaceDE w:val="0"/>
              <w:autoSpaceDN w:val="0"/>
              <w:jc w:val="left"/>
              <w:rPr>
                <w:rFonts w:hint="eastAsia" w:ascii="宋体" w:hAnsi="宋体"/>
                <w:color w:val="000000"/>
                <w:w w:val="90"/>
                <w:szCs w:val="21"/>
              </w:rPr>
            </w:pPr>
            <w:r>
              <w:rPr>
                <w:rFonts w:ascii="宋体" w:hAnsi="宋体"/>
                <w:color w:val="000000"/>
                <w:w w:val="90"/>
                <w:szCs w:val="21"/>
              </w:rPr>
              <w:t>《转速可控型房间空气调节器能效限定值及能效等级》（GB21455-2013），待 2019 年修订发布后，按《房间空气调节器能效限定值及能效等级》（GB21455-2019</w:t>
            </w:r>
          </w:p>
          <w:p w14:paraId="2CDA76A8">
            <w:pPr>
              <w:autoSpaceDE w:val="0"/>
              <w:autoSpaceDN w:val="0"/>
              <w:jc w:val="left"/>
              <w:rPr>
                <w:rFonts w:hint="eastAsia" w:ascii="宋体" w:hAnsi="宋体"/>
                <w:color w:val="000000"/>
                <w:w w:val="90"/>
                <w:szCs w:val="21"/>
              </w:rPr>
            </w:pPr>
            <w:r>
              <w:rPr>
                <w:rFonts w:ascii="宋体" w:hAnsi="宋体"/>
                <w:color w:val="000000"/>
                <w:w w:val="90"/>
                <w:szCs w:val="21"/>
              </w:rPr>
              <w:t>实施。</w:t>
            </w:r>
          </w:p>
        </w:tc>
      </w:tr>
      <w:tr w14:paraId="0CB01A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282249B4">
            <w:pPr>
              <w:autoSpaceDE w:val="0"/>
              <w:autoSpaceDN w:val="0"/>
              <w:jc w:val="center"/>
              <w:rPr>
                <w:rFonts w:hint="eastAsia" w:ascii="宋体" w:hAnsi="宋体"/>
                <w:color w:val="000000"/>
                <w:w w:val="90"/>
                <w:szCs w:val="21"/>
              </w:rPr>
            </w:pPr>
          </w:p>
        </w:tc>
        <w:tc>
          <w:tcPr>
            <w:tcW w:w="1858" w:type="dxa"/>
            <w:vMerge w:val="continue"/>
            <w:noWrap/>
            <w:vAlign w:val="center"/>
          </w:tcPr>
          <w:p w14:paraId="4672390F">
            <w:pPr>
              <w:autoSpaceDE w:val="0"/>
              <w:autoSpaceDN w:val="0"/>
              <w:jc w:val="left"/>
              <w:rPr>
                <w:rFonts w:hint="eastAsia" w:ascii="宋体" w:hAnsi="宋体"/>
                <w:color w:val="000000"/>
                <w:w w:val="90"/>
                <w:szCs w:val="21"/>
              </w:rPr>
            </w:pPr>
          </w:p>
        </w:tc>
        <w:tc>
          <w:tcPr>
            <w:tcW w:w="2268" w:type="dxa"/>
            <w:vMerge w:val="continue"/>
            <w:noWrap/>
            <w:vAlign w:val="center"/>
          </w:tcPr>
          <w:p w14:paraId="2703D6E8">
            <w:pPr>
              <w:autoSpaceDE w:val="0"/>
              <w:autoSpaceDN w:val="0"/>
              <w:jc w:val="left"/>
              <w:rPr>
                <w:rFonts w:hint="eastAsia" w:ascii="宋体" w:hAnsi="宋体"/>
                <w:b/>
                <w:color w:val="000000"/>
                <w:w w:val="90"/>
                <w:szCs w:val="21"/>
              </w:rPr>
            </w:pPr>
          </w:p>
        </w:tc>
        <w:tc>
          <w:tcPr>
            <w:tcW w:w="1550" w:type="dxa"/>
            <w:noWrap/>
            <w:vAlign w:val="center"/>
          </w:tcPr>
          <w:p w14:paraId="59584FAE">
            <w:pPr>
              <w:autoSpaceDE w:val="0"/>
              <w:autoSpaceDN w:val="0"/>
              <w:jc w:val="left"/>
              <w:rPr>
                <w:rFonts w:hint="eastAsia" w:ascii="宋体" w:hAnsi="宋体"/>
                <w:b/>
                <w:color w:val="000000"/>
                <w:w w:val="90"/>
                <w:szCs w:val="21"/>
              </w:rPr>
            </w:pPr>
            <w:r>
              <w:rPr>
                <w:rFonts w:ascii="宋体" w:hAnsi="宋体"/>
                <w:b/>
                <w:color w:val="000000"/>
                <w:w w:val="90"/>
                <w:szCs w:val="21"/>
              </w:rPr>
              <w:t>多联式空调（热泵）机组（制冷量≤ 14000W）</w:t>
            </w:r>
          </w:p>
        </w:tc>
        <w:tc>
          <w:tcPr>
            <w:tcW w:w="3048" w:type="dxa"/>
            <w:noWrap/>
            <w:vAlign w:val="center"/>
          </w:tcPr>
          <w:p w14:paraId="2BF5B867">
            <w:pPr>
              <w:autoSpaceDE w:val="0"/>
              <w:autoSpaceDN w:val="0"/>
              <w:jc w:val="left"/>
              <w:rPr>
                <w:rFonts w:hint="eastAsia" w:ascii="宋体" w:hAnsi="宋体"/>
                <w:color w:val="000000"/>
                <w:w w:val="90"/>
                <w:szCs w:val="21"/>
              </w:rPr>
            </w:pPr>
            <w:r>
              <w:rPr>
                <w:rFonts w:ascii="宋体" w:hAnsi="宋体"/>
                <w:color w:val="000000"/>
                <w:w w:val="90"/>
                <w:szCs w:val="21"/>
              </w:rPr>
              <w:t>《多联式空调（热泵）机组能效限定值及能源效率等级》（GB 21454</w:t>
            </w:r>
          </w:p>
        </w:tc>
      </w:tr>
      <w:tr w14:paraId="79BECC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AF03E8C">
            <w:pPr>
              <w:autoSpaceDE w:val="0"/>
              <w:autoSpaceDN w:val="0"/>
              <w:jc w:val="center"/>
              <w:rPr>
                <w:rFonts w:hint="eastAsia" w:ascii="宋体" w:hAnsi="宋体"/>
                <w:color w:val="000000"/>
                <w:w w:val="90"/>
                <w:szCs w:val="21"/>
              </w:rPr>
            </w:pPr>
          </w:p>
        </w:tc>
        <w:tc>
          <w:tcPr>
            <w:tcW w:w="1858" w:type="dxa"/>
            <w:vMerge w:val="continue"/>
            <w:noWrap/>
            <w:vAlign w:val="center"/>
          </w:tcPr>
          <w:p w14:paraId="4D9C55C1">
            <w:pPr>
              <w:autoSpaceDE w:val="0"/>
              <w:autoSpaceDN w:val="0"/>
              <w:jc w:val="left"/>
              <w:rPr>
                <w:rFonts w:hint="eastAsia" w:ascii="宋体" w:hAnsi="宋体"/>
                <w:color w:val="000000"/>
                <w:w w:val="90"/>
                <w:szCs w:val="21"/>
              </w:rPr>
            </w:pPr>
          </w:p>
        </w:tc>
        <w:tc>
          <w:tcPr>
            <w:tcW w:w="2268" w:type="dxa"/>
            <w:vMerge w:val="continue"/>
            <w:noWrap/>
            <w:vAlign w:val="center"/>
          </w:tcPr>
          <w:p w14:paraId="01929F3D">
            <w:pPr>
              <w:autoSpaceDE w:val="0"/>
              <w:autoSpaceDN w:val="0"/>
              <w:jc w:val="left"/>
              <w:rPr>
                <w:rFonts w:hint="eastAsia" w:ascii="宋体" w:hAnsi="宋体"/>
                <w:b/>
                <w:color w:val="000000"/>
                <w:w w:val="90"/>
                <w:szCs w:val="21"/>
              </w:rPr>
            </w:pPr>
          </w:p>
        </w:tc>
        <w:tc>
          <w:tcPr>
            <w:tcW w:w="1550" w:type="dxa"/>
            <w:noWrap/>
            <w:vAlign w:val="center"/>
          </w:tcPr>
          <w:p w14:paraId="70F39DA1">
            <w:pPr>
              <w:autoSpaceDE w:val="0"/>
              <w:autoSpaceDN w:val="0"/>
              <w:jc w:val="left"/>
              <w:rPr>
                <w:rFonts w:hint="eastAsia" w:ascii="宋体" w:hAnsi="宋体"/>
                <w:b/>
                <w:color w:val="000000"/>
                <w:w w:val="90"/>
                <w:szCs w:val="21"/>
              </w:rPr>
            </w:pPr>
            <w:r>
              <w:rPr>
                <w:rFonts w:ascii="宋体" w:hAnsi="宋体"/>
                <w:b/>
                <w:color w:val="000000"/>
                <w:w w:val="90"/>
                <w:szCs w:val="21"/>
              </w:rPr>
              <w:t>单元式空气调节机(制冷量≤14000W)</w:t>
            </w:r>
          </w:p>
        </w:tc>
        <w:tc>
          <w:tcPr>
            <w:tcW w:w="3048" w:type="dxa"/>
            <w:noWrap/>
            <w:vAlign w:val="center"/>
          </w:tcPr>
          <w:p w14:paraId="4CF32BB7">
            <w:pPr>
              <w:autoSpaceDE w:val="0"/>
              <w:autoSpaceDN w:val="0"/>
              <w:jc w:val="left"/>
              <w:rPr>
                <w:rFonts w:hint="eastAsia" w:ascii="宋体" w:hAnsi="宋体"/>
                <w:color w:val="000000"/>
                <w:w w:val="90"/>
                <w:szCs w:val="21"/>
              </w:rPr>
            </w:pPr>
            <w:r>
              <w:rPr>
                <w:rFonts w:ascii="宋体" w:hAnsi="宋体"/>
                <w:color w:val="000000"/>
                <w:w w:val="90"/>
                <w:szCs w:val="21"/>
              </w:rPr>
              <w:t>《单元式空气调节机能效限定值及能源效率等级》（GB 19576）《风管送风式空调机组能效限定值及</w:t>
            </w:r>
          </w:p>
          <w:p w14:paraId="27E0E506">
            <w:pPr>
              <w:autoSpaceDE w:val="0"/>
              <w:autoSpaceDN w:val="0"/>
              <w:jc w:val="left"/>
              <w:rPr>
                <w:rFonts w:hint="eastAsia" w:ascii="宋体" w:hAnsi="宋体"/>
                <w:color w:val="000000"/>
                <w:w w:val="90"/>
                <w:szCs w:val="21"/>
              </w:rPr>
            </w:pPr>
            <w:r>
              <w:rPr>
                <w:rFonts w:ascii="宋体" w:hAnsi="宋体"/>
                <w:color w:val="000000"/>
                <w:w w:val="90"/>
                <w:szCs w:val="21"/>
              </w:rPr>
              <w:t>能效等级》（GB 37479）</w:t>
            </w:r>
          </w:p>
        </w:tc>
      </w:tr>
      <w:tr w14:paraId="2B896E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27CA7CB2">
            <w:pPr>
              <w:autoSpaceDE w:val="0"/>
              <w:autoSpaceDN w:val="0"/>
              <w:jc w:val="center"/>
              <w:rPr>
                <w:rFonts w:hint="eastAsia" w:ascii="宋体" w:hAnsi="宋体"/>
                <w:color w:val="000000"/>
                <w:w w:val="90"/>
                <w:szCs w:val="21"/>
              </w:rPr>
            </w:pPr>
          </w:p>
        </w:tc>
        <w:tc>
          <w:tcPr>
            <w:tcW w:w="1858" w:type="dxa"/>
            <w:vMerge w:val="continue"/>
            <w:noWrap/>
            <w:vAlign w:val="center"/>
          </w:tcPr>
          <w:p w14:paraId="1E1E8578">
            <w:pPr>
              <w:autoSpaceDE w:val="0"/>
              <w:autoSpaceDN w:val="0"/>
              <w:jc w:val="left"/>
              <w:rPr>
                <w:rFonts w:hint="eastAsia" w:ascii="宋体" w:hAnsi="宋体"/>
                <w:color w:val="000000"/>
                <w:w w:val="90"/>
                <w:szCs w:val="21"/>
              </w:rPr>
            </w:pPr>
          </w:p>
        </w:tc>
        <w:tc>
          <w:tcPr>
            <w:tcW w:w="2268" w:type="dxa"/>
            <w:noWrap/>
            <w:vAlign w:val="center"/>
          </w:tcPr>
          <w:p w14:paraId="13F3070A">
            <w:pPr>
              <w:autoSpaceDE w:val="0"/>
              <w:autoSpaceDN w:val="0"/>
              <w:jc w:val="left"/>
              <w:rPr>
                <w:rFonts w:hint="eastAsia" w:ascii="宋体" w:hAnsi="宋体"/>
                <w:color w:val="000000"/>
                <w:w w:val="90"/>
                <w:szCs w:val="21"/>
              </w:rPr>
            </w:pPr>
            <w:r>
              <w:rPr>
                <w:rFonts w:ascii="宋体" w:hAnsi="宋体"/>
                <w:color w:val="000000"/>
                <w:w w:val="90"/>
                <w:szCs w:val="21"/>
              </w:rPr>
              <w:t>A0206180301洗衣机</w:t>
            </w:r>
          </w:p>
        </w:tc>
        <w:tc>
          <w:tcPr>
            <w:tcW w:w="1550" w:type="dxa"/>
            <w:noWrap/>
            <w:vAlign w:val="center"/>
          </w:tcPr>
          <w:p w14:paraId="6D61D82E">
            <w:pPr>
              <w:autoSpaceDE w:val="0"/>
              <w:autoSpaceDN w:val="0"/>
              <w:jc w:val="left"/>
              <w:rPr>
                <w:rFonts w:hint="eastAsia" w:ascii="宋体" w:hAnsi="宋体"/>
                <w:color w:val="000000"/>
                <w:w w:val="90"/>
                <w:szCs w:val="21"/>
              </w:rPr>
            </w:pPr>
          </w:p>
        </w:tc>
        <w:tc>
          <w:tcPr>
            <w:tcW w:w="3048" w:type="dxa"/>
            <w:noWrap/>
            <w:vAlign w:val="center"/>
          </w:tcPr>
          <w:p w14:paraId="5DAF5CD6">
            <w:pPr>
              <w:autoSpaceDE w:val="0"/>
              <w:autoSpaceDN w:val="0"/>
              <w:jc w:val="left"/>
              <w:rPr>
                <w:rFonts w:hint="eastAsia" w:ascii="宋体" w:hAnsi="宋体"/>
                <w:color w:val="000000"/>
                <w:w w:val="90"/>
                <w:szCs w:val="21"/>
              </w:rPr>
            </w:pPr>
            <w:r>
              <w:rPr>
                <w:rFonts w:ascii="宋体" w:hAnsi="宋体"/>
                <w:color w:val="000000"/>
                <w:w w:val="90"/>
                <w:szCs w:val="21"/>
              </w:rPr>
              <w:t>《电动洗衣机能效水效限定值及等级》（GB 12021.4）</w:t>
            </w:r>
          </w:p>
        </w:tc>
      </w:tr>
      <w:tr w14:paraId="4118D5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2729873">
            <w:pPr>
              <w:autoSpaceDE w:val="0"/>
              <w:autoSpaceDN w:val="0"/>
              <w:jc w:val="center"/>
              <w:rPr>
                <w:rFonts w:hint="eastAsia" w:ascii="宋体" w:hAnsi="宋体"/>
                <w:color w:val="000000"/>
                <w:w w:val="90"/>
                <w:szCs w:val="21"/>
              </w:rPr>
            </w:pPr>
          </w:p>
        </w:tc>
        <w:tc>
          <w:tcPr>
            <w:tcW w:w="1858" w:type="dxa"/>
            <w:vMerge w:val="continue"/>
            <w:noWrap/>
            <w:vAlign w:val="center"/>
          </w:tcPr>
          <w:p w14:paraId="114F5FC1">
            <w:pPr>
              <w:autoSpaceDE w:val="0"/>
              <w:autoSpaceDN w:val="0"/>
              <w:jc w:val="left"/>
              <w:rPr>
                <w:rFonts w:hint="eastAsia" w:ascii="宋体" w:hAnsi="宋体"/>
                <w:color w:val="000000"/>
                <w:w w:val="90"/>
                <w:szCs w:val="21"/>
              </w:rPr>
            </w:pPr>
          </w:p>
        </w:tc>
        <w:tc>
          <w:tcPr>
            <w:tcW w:w="2268" w:type="dxa"/>
            <w:vMerge w:val="restart"/>
            <w:noWrap/>
            <w:vAlign w:val="center"/>
          </w:tcPr>
          <w:p w14:paraId="2D1918C6">
            <w:pPr>
              <w:autoSpaceDE w:val="0"/>
              <w:autoSpaceDN w:val="0"/>
              <w:jc w:val="left"/>
              <w:rPr>
                <w:rFonts w:hint="eastAsia" w:ascii="宋体" w:hAnsi="宋体"/>
                <w:color w:val="000000"/>
                <w:w w:val="90"/>
                <w:szCs w:val="21"/>
              </w:rPr>
            </w:pPr>
            <w:r>
              <w:rPr>
                <w:rFonts w:ascii="宋体" w:hAnsi="宋体"/>
                <w:color w:val="000000"/>
                <w:w w:val="90"/>
                <w:szCs w:val="21"/>
              </w:rPr>
              <w:t>A02061808 热水器</w:t>
            </w:r>
          </w:p>
        </w:tc>
        <w:tc>
          <w:tcPr>
            <w:tcW w:w="1550" w:type="dxa"/>
            <w:noWrap/>
            <w:vAlign w:val="center"/>
          </w:tcPr>
          <w:p w14:paraId="36D83D78">
            <w:pPr>
              <w:autoSpaceDE w:val="0"/>
              <w:autoSpaceDN w:val="0"/>
              <w:jc w:val="left"/>
              <w:rPr>
                <w:rFonts w:hint="eastAsia" w:ascii="宋体" w:hAnsi="宋体"/>
                <w:color w:val="000000"/>
                <w:w w:val="90"/>
                <w:szCs w:val="21"/>
              </w:rPr>
            </w:pPr>
            <w:r>
              <w:rPr>
                <w:rFonts w:hint="eastAsia" w:ascii="宋体" w:hAnsi="宋体" w:cs="宋体"/>
                <w:color w:val="000000"/>
                <w:w w:val="90"/>
                <w:szCs w:val="21"/>
              </w:rPr>
              <w:t>★</w:t>
            </w:r>
            <w:r>
              <w:rPr>
                <w:rFonts w:ascii="宋体" w:hAnsi="宋体"/>
                <w:b/>
                <w:color w:val="000000"/>
                <w:w w:val="90"/>
                <w:szCs w:val="21"/>
              </w:rPr>
              <w:t>电热水器</w:t>
            </w:r>
          </w:p>
        </w:tc>
        <w:tc>
          <w:tcPr>
            <w:tcW w:w="3048" w:type="dxa"/>
            <w:noWrap/>
            <w:vAlign w:val="center"/>
          </w:tcPr>
          <w:p w14:paraId="20BB00C2">
            <w:pPr>
              <w:autoSpaceDE w:val="0"/>
              <w:autoSpaceDN w:val="0"/>
              <w:jc w:val="left"/>
              <w:rPr>
                <w:rFonts w:hint="eastAsia" w:ascii="宋体" w:hAnsi="宋体"/>
                <w:color w:val="000000"/>
                <w:w w:val="90"/>
                <w:szCs w:val="21"/>
              </w:rPr>
            </w:pPr>
            <w:r>
              <w:rPr>
                <w:rFonts w:ascii="宋体" w:hAnsi="宋体"/>
                <w:color w:val="000000"/>
                <w:w w:val="90"/>
                <w:szCs w:val="21"/>
              </w:rPr>
              <w:t>《储水式电热水器能效限定值及能效等级》（GB</w:t>
            </w:r>
            <w:r>
              <w:rPr>
                <w:rFonts w:ascii="宋体" w:hAnsi="宋体"/>
                <w:color w:val="000000"/>
                <w:w w:val="90"/>
                <w:szCs w:val="21"/>
              </w:rPr>
              <w:tab/>
            </w:r>
            <w:r>
              <w:rPr>
                <w:rFonts w:ascii="宋体" w:hAnsi="宋体"/>
                <w:color w:val="000000"/>
                <w:w w:val="90"/>
                <w:szCs w:val="21"/>
              </w:rPr>
              <w:t>21519）</w:t>
            </w:r>
          </w:p>
        </w:tc>
      </w:tr>
      <w:tr w14:paraId="567D8E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70D617A2">
            <w:pPr>
              <w:autoSpaceDE w:val="0"/>
              <w:autoSpaceDN w:val="0"/>
              <w:jc w:val="center"/>
              <w:rPr>
                <w:rFonts w:hint="eastAsia" w:ascii="宋体" w:hAnsi="宋体"/>
                <w:color w:val="000000"/>
                <w:w w:val="90"/>
                <w:szCs w:val="21"/>
              </w:rPr>
            </w:pPr>
          </w:p>
        </w:tc>
        <w:tc>
          <w:tcPr>
            <w:tcW w:w="1858" w:type="dxa"/>
            <w:vMerge w:val="continue"/>
            <w:noWrap/>
            <w:vAlign w:val="center"/>
          </w:tcPr>
          <w:p w14:paraId="6055A20D">
            <w:pPr>
              <w:autoSpaceDE w:val="0"/>
              <w:autoSpaceDN w:val="0"/>
              <w:jc w:val="left"/>
              <w:rPr>
                <w:rFonts w:hint="eastAsia" w:ascii="宋体" w:hAnsi="宋体"/>
                <w:color w:val="000000"/>
                <w:w w:val="90"/>
                <w:szCs w:val="21"/>
              </w:rPr>
            </w:pPr>
          </w:p>
        </w:tc>
        <w:tc>
          <w:tcPr>
            <w:tcW w:w="2268" w:type="dxa"/>
            <w:vMerge w:val="continue"/>
            <w:noWrap/>
            <w:vAlign w:val="center"/>
          </w:tcPr>
          <w:p w14:paraId="5036C4D5">
            <w:pPr>
              <w:autoSpaceDE w:val="0"/>
              <w:autoSpaceDN w:val="0"/>
              <w:jc w:val="left"/>
              <w:rPr>
                <w:rFonts w:hint="eastAsia" w:ascii="宋体" w:hAnsi="宋体"/>
                <w:color w:val="000000"/>
                <w:w w:val="90"/>
                <w:szCs w:val="21"/>
              </w:rPr>
            </w:pPr>
          </w:p>
        </w:tc>
        <w:tc>
          <w:tcPr>
            <w:tcW w:w="1550" w:type="dxa"/>
            <w:noWrap/>
            <w:vAlign w:val="center"/>
          </w:tcPr>
          <w:p w14:paraId="6029FFBC">
            <w:pPr>
              <w:autoSpaceDE w:val="0"/>
              <w:autoSpaceDN w:val="0"/>
              <w:jc w:val="left"/>
              <w:rPr>
                <w:rFonts w:hint="eastAsia" w:ascii="宋体" w:hAnsi="宋体"/>
                <w:color w:val="000000"/>
                <w:w w:val="90"/>
                <w:szCs w:val="21"/>
              </w:rPr>
            </w:pPr>
            <w:r>
              <w:rPr>
                <w:rFonts w:ascii="宋体" w:hAnsi="宋体"/>
                <w:color w:val="000000"/>
                <w:w w:val="90"/>
                <w:szCs w:val="21"/>
              </w:rPr>
              <w:t>燃气热水器</w:t>
            </w:r>
          </w:p>
        </w:tc>
        <w:tc>
          <w:tcPr>
            <w:tcW w:w="3048" w:type="dxa"/>
            <w:noWrap/>
            <w:vAlign w:val="center"/>
          </w:tcPr>
          <w:p w14:paraId="4644BFC4">
            <w:pPr>
              <w:autoSpaceDE w:val="0"/>
              <w:autoSpaceDN w:val="0"/>
              <w:jc w:val="left"/>
              <w:rPr>
                <w:rFonts w:hint="eastAsia" w:ascii="宋体" w:hAnsi="宋体"/>
                <w:color w:val="000000"/>
                <w:w w:val="90"/>
                <w:szCs w:val="21"/>
              </w:rPr>
            </w:pPr>
            <w:r>
              <w:rPr>
                <w:rFonts w:ascii="宋体" w:hAnsi="宋体"/>
                <w:color w:val="000000"/>
                <w:w w:val="90"/>
                <w:szCs w:val="21"/>
              </w:rPr>
              <w:t>《家用燃气快速热水器和燃气采暖热水炉能效限定值及能效等级（GB 20665）</w:t>
            </w:r>
          </w:p>
        </w:tc>
      </w:tr>
      <w:tr w14:paraId="06C1D9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29CA1B56">
            <w:pPr>
              <w:autoSpaceDE w:val="0"/>
              <w:autoSpaceDN w:val="0"/>
              <w:jc w:val="center"/>
              <w:rPr>
                <w:rFonts w:hint="eastAsia" w:ascii="宋体" w:hAnsi="宋体"/>
                <w:color w:val="000000"/>
                <w:w w:val="90"/>
                <w:szCs w:val="21"/>
              </w:rPr>
            </w:pPr>
          </w:p>
        </w:tc>
        <w:tc>
          <w:tcPr>
            <w:tcW w:w="1858" w:type="dxa"/>
            <w:vMerge w:val="continue"/>
            <w:noWrap/>
            <w:vAlign w:val="center"/>
          </w:tcPr>
          <w:p w14:paraId="49877E85">
            <w:pPr>
              <w:autoSpaceDE w:val="0"/>
              <w:autoSpaceDN w:val="0"/>
              <w:jc w:val="left"/>
              <w:rPr>
                <w:rFonts w:hint="eastAsia" w:ascii="宋体" w:hAnsi="宋体"/>
                <w:color w:val="000000"/>
                <w:w w:val="90"/>
                <w:szCs w:val="21"/>
              </w:rPr>
            </w:pPr>
          </w:p>
        </w:tc>
        <w:tc>
          <w:tcPr>
            <w:tcW w:w="2268" w:type="dxa"/>
            <w:vMerge w:val="continue"/>
            <w:noWrap/>
            <w:vAlign w:val="center"/>
          </w:tcPr>
          <w:p w14:paraId="6E0D8AB5">
            <w:pPr>
              <w:autoSpaceDE w:val="0"/>
              <w:autoSpaceDN w:val="0"/>
              <w:jc w:val="left"/>
              <w:rPr>
                <w:rFonts w:hint="eastAsia" w:ascii="宋体" w:hAnsi="宋体"/>
                <w:color w:val="000000"/>
                <w:w w:val="90"/>
                <w:szCs w:val="21"/>
              </w:rPr>
            </w:pPr>
          </w:p>
        </w:tc>
        <w:tc>
          <w:tcPr>
            <w:tcW w:w="1550" w:type="dxa"/>
            <w:noWrap/>
            <w:vAlign w:val="center"/>
          </w:tcPr>
          <w:p w14:paraId="188F2C28">
            <w:pPr>
              <w:autoSpaceDE w:val="0"/>
              <w:autoSpaceDN w:val="0"/>
              <w:jc w:val="left"/>
              <w:rPr>
                <w:rFonts w:hint="eastAsia" w:ascii="宋体" w:hAnsi="宋体"/>
                <w:color w:val="000000"/>
                <w:w w:val="90"/>
                <w:szCs w:val="21"/>
              </w:rPr>
            </w:pPr>
            <w:r>
              <w:rPr>
                <w:rFonts w:ascii="宋体" w:hAnsi="宋体"/>
                <w:color w:val="000000"/>
                <w:w w:val="90"/>
                <w:szCs w:val="21"/>
              </w:rPr>
              <w:t>热泵热水器</w:t>
            </w:r>
          </w:p>
        </w:tc>
        <w:tc>
          <w:tcPr>
            <w:tcW w:w="3048" w:type="dxa"/>
            <w:noWrap/>
            <w:vAlign w:val="center"/>
          </w:tcPr>
          <w:p w14:paraId="479DAB4F">
            <w:pPr>
              <w:autoSpaceDE w:val="0"/>
              <w:autoSpaceDN w:val="0"/>
              <w:jc w:val="left"/>
              <w:rPr>
                <w:rFonts w:hint="eastAsia" w:ascii="宋体" w:hAnsi="宋体"/>
                <w:color w:val="000000"/>
                <w:w w:val="90"/>
                <w:szCs w:val="21"/>
              </w:rPr>
            </w:pPr>
            <w:r>
              <w:rPr>
                <w:rFonts w:ascii="宋体" w:hAnsi="宋体"/>
                <w:color w:val="000000"/>
                <w:w w:val="90"/>
                <w:szCs w:val="21"/>
              </w:rPr>
              <w:t>《热泵热水机（器）能效限定值及能效等级》（GB 29541）</w:t>
            </w:r>
          </w:p>
        </w:tc>
      </w:tr>
      <w:tr w14:paraId="15A42A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5B0C261">
            <w:pPr>
              <w:autoSpaceDE w:val="0"/>
              <w:autoSpaceDN w:val="0"/>
              <w:jc w:val="center"/>
              <w:rPr>
                <w:rFonts w:hint="eastAsia" w:ascii="宋体" w:hAnsi="宋体"/>
                <w:color w:val="000000"/>
                <w:w w:val="90"/>
                <w:szCs w:val="21"/>
              </w:rPr>
            </w:pPr>
          </w:p>
        </w:tc>
        <w:tc>
          <w:tcPr>
            <w:tcW w:w="1858" w:type="dxa"/>
            <w:vMerge w:val="continue"/>
            <w:noWrap/>
            <w:vAlign w:val="center"/>
          </w:tcPr>
          <w:p w14:paraId="791DEA56">
            <w:pPr>
              <w:autoSpaceDE w:val="0"/>
              <w:autoSpaceDN w:val="0"/>
              <w:jc w:val="left"/>
              <w:rPr>
                <w:rFonts w:hint="eastAsia" w:ascii="宋体" w:hAnsi="宋体"/>
                <w:color w:val="000000"/>
                <w:w w:val="90"/>
                <w:szCs w:val="21"/>
              </w:rPr>
            </w:pPr>
          </w:p>
        </w:tc>
        <w:tc>
          <w:tcPr>
            <w:tcW w:w="2268" w:type="dxa"/>
            <w:vMerge w:val="continue"/>
            <w:noWrap/>
            <w:vAlign w:val="center"/>
          </w:tcPr>
          <w:p w14:paraId="0BB3E30D">
            <w:pPr>
              <w:autoSpaceDE w:val="0"/>
              <w:autoSpaceDN w:val="0"/>
              <w:jc w:val="left"/>
              <w:rPr>
                <w:rFonts w:hint="eastAsia" w:ascii="宋体" w:hAnsi="宋体"/>
                <w:color w:val="000000"/>
                <w:w w:val="90"/>
                <w:szCs w:val="21"/>
              </w:rPr>
            </w:pPr>
          </w:p>
        </w:tc>
        <w:tc>
          <w:tcPr>
            <w:tcW w:w="1550" w:type="dxa"/>
            <w:noWrap/>
            <w:vAlign w:val="center"/>
          </w:tcPr>
          <w:p w14:paraId="0F1A1C4D">
            <w:pPr>
              <w:autoSpaceDE w:val="0"/>
              <w:autoSpaceDN w:val="0"/>
              <w:jc w:val="left"/>
              <w:rPr>
                <w:rFonts w:hint="eastAsia" w:ascii="宋体" w:hAnsi="宋体"/>
                <w:color w:val="000000"/>
                <w:w w:val="90"/>
                <w:szCs w:val="21"/>
              </w:rPr>
            </w:pPr>
            <w:r>
              <w:rPr>
                <w:rFonts w:ascii="宋体" w:hAnsi="宋体"/>
                <w:color w:val="000000"/>
                <w:w w:val="90"/>
                <w:szCs w:val="21"/>
              </w:rPr>
              <w:t>太阳能热水系统</w:t>
            </w:r>
          </w:p>
        </w:tc>
        <w:tc>
          <w:tcPr>
            <w:tcW w:w="3048" w:type="dxa"/>
            <w:noWrap/>
            <w:vAlign w:val="center"/>
          </w:tcPr>
          <w:p w14:paraId="77BC80BF">
            <w:pPr>
              <w:autoSpaceDE w:val="0"/>
              <w:autoSpaceDN w:val="0"/>
              <w:jc w:val="left"/>
              <w:rPr>
                <w:rFonts w:hint="eastAsia" w:ascii="宋体" w:hAnsi="宋体"/>
                <w:color w:val="000000"/>
                <w:w w:val="90"/>
                <w:szCs w:val="21"/>
              </w:rPr>
            </w:pPr>
            <w:r>
              <w:rPr>
                <w:rFonts w:ascii="宋体" w:hAnsi="宋体"/>
                <w:color w:val="000000"/>
                <w:w w:val="90"/>
                <w:szCs w:val="21"/>
              </w:rPr>
              <w:t>《家用太阳能热水系统能效限定值及能效等级》（GB 26969）</w:t>
            </w:r>
          </w:p>
        </w:tc>
      </w:tr>
      <w:tr w14:paraId="6DE0A6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55F4E33D">
            <w:pPr>
              <w:autoSpaceDE w:val="0"/>
              <w:autoSpaceDN w:val="0"/>
              <w:jc w:val="center"/>
              <w:rPr>
                <w:rFonts w:hint="eastAsia" w:ascii="宋体" w:hAnsi="宋体"/>
                <w:color w:val="000000"/>
                <w:w w:val="90"/>
                <w:szCs w:val="21"/>
              </w:rPr>
            </w:pPr>
            <w:r>
              <w:rPr>
                <w:rFonts w:ascii="宋体" w:hAnsi="宋体"/>
                <w:color w:val="000000"/>
                <w:w w:val="90"/>
                <w:szCs w:val="21"/>
              </w:rPr>
              <w:t>11</w:t>
            </w:r>
          </w:p>
        </w:tc>
        <w:tc>
          <w:tcPr>
            <w:tcW w:w="1858" w:type="dxa"/>
            <w:vMerge w:val="restart"/>
            <w:noWrap/>
            <w:vAlign w:val="center"/>
          </w:tcPr>
          <w:p w14:paraId="2EBE71C7">
            <w:pPr>
              <w:autoSpaceDE w:val="0"/>
              <w:autoSpaceDN w:val="0"/>
              <w:jc w:val="left"/>
              <w:rPr>
                <w:rFonts w:hint="eastAsia" w:ascii="宋体" w:hAnsi="宋体"/>
                <w:color w:val="000000"/>
                <w:w w:val="90"/>
                <w:szCs w:val="21"/>
              </w:rPr>
            </w:pPr>
            <w:r>
              <w:rPr>
                <w:rFonts w:ascii="宋体" w:hAnsi="宋体"/>
                <w:color w:val="000000"/>
                <w:w w:val="90"/>
                <w:szCs w:val="21"/>
              </w:rPr>
              <w:t>A020619 照明设备</w:t>
            </w:r>
          </w:p>
        </w:tc>
        <w:tc>
          <w:tcPr>
            <w:tcW w:w="2268" w:type="dxa"/>
            <w:noWrap/>
            <w:vAlign w:val="center"/>
          </w:tcPr>
          <w:p w14:paraId="5B1FB83B">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普通照明用双端荧光灯</w:t>
            </w:r>
          </w:p>
        </w:tc>
        <w:tc>
          <w:tcPr>
            <w:tcW w:w="1550" w:type="dxa"/>
            <w:noWrap/>
            <w:vAlign w:val="center"/>
          </w:tcPr>
          <w:p w14:paraId="6AEBA093">
            <w:pPr>
              <w:autoSpaceDE w:val="0"/>
              <w:autoSpaceDN w:val="0"/>
              <w:jc w:val="center"/>
              <w:rPr>
                <w:rFonts w:hint="eastAsia" w:ascii="宋体" w:hAnsi="宋体"/>
                <w:color w:val="000000"/>
                <w:w w:val="90"/>
                <w:szCs w:val="21"/>
              </w:rPr>
            </w:pPr>
          </w:p>
        </w:tc>
        <w:tc>
          <w:tcPr>
            <w:tcW w:w="3048" w:type="dxa"/>
            <w:noWrap/>
            <w:vAlign w:val="center"/>
          </w:tcPr>
          <w:p w14:paraId="6C7C0BE1">
            <w:pPr>
              <w:autoSpaceDE w:val="0"/>
              <w:autoSpaceDN w:val="0"/>
              <w:jc w:val="left"/>
              <w:rPr>
                <w:rFonts w:hint="eastAsia" w:ascii="宋体" w:hAnsi="宋体"/>
                <w:color w:val="000000"/>
                <w:w w:val="90"/>
                <w:szCs w:val="21"/>
              </w:rPr>
            </w:pPr>
            <w:r>
              <w:rPr>
                <w:rFonts w:ascii="宋体" w:hAnsi="宋体"/>
                <w:color w:val="000000"/>
                <w:w w:val="90"/>
                <w:szCs w:val="21"/>
              </w:rPr>
              <w:t>《普通照明用双端荧光灯能效限定值及能效等级》（GB 19043）</w:t>
            </w:r>
          </w:p>
        </w:tc>
      </w:tr>
      <w:tr w14:paraId="7E4C2F0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E6FE8F9">
            <w:pPr>
              <w:autoSpaceDE w:val="0"/>
              <w:autoSpaceDN w:val="0"/>
              <w:jc w:val="center"/>
              <w:rPr>
                <w:rFonts w:hint="eastAsia" w:ascii="宋体" w:hAnsi="宋体"/>
                <w:color w:val="000000"/>
                <w:w w:val="90"/>
                <w:szCs w:val="21"/>
              </w:rPr>
            </w:pPr>
          </w:p>
        </w:tc>
        <w:tc>
          <w:tcPr>
            <w:tcW w:w="1858" w:type="dxa"/>
            <w:vMerge w:val="continue"/>
            <w:noWrap/>
            <w:vAlign w:val="center"/>
          </w:tcPr>
          <w:p w14:paraId="06497872">
            <w:pPr>
              <w:autoSpaceDE w:val="0"/>
              <w:autoSpaceDN w:val="0"/>
              <w:jc w:val="left"/>
              <w:rPr>
                <w:rFonts w:hint="eastAsia" w:ascii="宋体" w:hAnsi="宋体"/>
                <w:color w:val="000000"/>
                <w:w w:val="90"/>
                <w:szCs w:val="21"/>
              </w:rPr>
            </w:pPr>
          </w:p>
        </w:tc>
        <w:tc>
          <w:tcPr>
            <w:tcW w:w="2268" w:type="dxa"/>
            <w:noWrap/>
            <w:vAlign w:val="center"/>
          </w:tcPr>
          <w:p w14:paraId="4B9E54AD">
            <w:pPr>
              <w:autoSpaceDE w:val="0"/>
              <w:autoSpaceDN w:val="0"/>
              <w:jc w:val="left"/>
              <w:rPr>
                <w:rFonts w:hint="eastAsia" w:ascii="宋体" w:hAnsi="宋体"/>
                <w:color w:val="000000"/>
                <w:w w:val="90"/>
                <w:szCs w:val="21"/>
              </w:rPr>
            </w:pPr>
            <w:r>
              <w:rPr>
                <w:rFonts w:ascii="宋体" w:hAnsi="宋体"/>
                <w:color w:val="000000"/>
                <w:w w:val="90"/>
                <w:szCs w:val="21"/>
              </w:rPr>
              <w:t>LED道路/隧道照明产品</w:t>
            </w:r>
          </w:p>
        </w:tc>
        <w:tc>
          <w:tcPr>
            <w:tcW w:w="1550" w:type="dxa"/>
            <w:noWrap/>
            <w:vAlign w:val="center"/>
          </w:tcPr>
          <w:p w14:paraId="14235195">
            <w:pPr>
              <w:autoSpaceDE w:val="0"/>
              <w:autoSpaceDN w:val="0"/>
              <w:jc w:val="center"/>
              <w:rPr>
                <w:rFonts w:hint="eastAsia" w:ascii="宋体" w:hAnsi="宋体"/>
                <w:color w:val="000000"/>
                <w:w w:val="90"/>
                <w:szCs w:val="21"/>
              </w:rPr>
            </w:pPr>
          </w:p>
        </w:tc>
        <w:tc>
          <w:tcPr>
            <w:tcW w:w="3048" w:type="dxa"/>
            <w:noWrap/>
            <w:vAlign w:val="center"/>
          </w:tcPr>
          <w:p w14:paraId="29FD87B7">
            <w:pPr>
              <w:autoSpaceDE w:val="0"/>
              <w:autoSpaceDN w:val="0"/>
              <w:jc w:val="left"/>
              <w:rPr>
                <w:rFonts w:hint="eastAsia" w:ascii="宋体" w:hAnsi="宋体"/>
                <w:color w:val="000000"/>
                <w:w w:val="90"/>
                <w:szCs w:val="21"/>
              </w:rPr>
            </w:pPr>
            <w:r>
              <w:rPr>
                <w:rFonts w:ascii="宋体" w:hAnsi="宋体"/>
                <w:color w:val="000000"/>
                <w:w w:val="90"/>
                <w:szCs w:val="21"/>
              </w:rPr>
              <w:t>《道路和隧道照明用 LED 灯具能效限定值及能效等级》（GB 37478</w:t>
            </w:r>
          </w:p>
        </w:tc>
      </w:tr>
      <w:tr w14:paraId="67D3D2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BB403B1">
            <w:pPr>
              <w:autoSpaceDE w:val="0"/>
              <w:autoSpaceDN w:val="0"/>
              <w:jc w:val="center"/>
              <w:rPr>
                <w:rFonts w:hint="eastAsia" w:ascii="宋体" w:hAnsi="宋体"/>
                <w:color w:val="000000"/>
                <w:w w:val="90"/>
                <w:szCs w:val="21"/>
              </w:rPr>
            </w:pPr>
          </w:p>
        </w:tc>
        <w:tc>
          <w:tcPr>
            <w:tcW w:w="1858" w:type="dxa"/>
            <w:vMerge w:val="continue"/>
            <w:noWrap/>
            <w:vAlign w:val="center"/>
          </w:tcPr>
          <w:p w14:paraId="53FE7E55">
            <w:pPr>
              <w:autoSpaceDE w:val="0"/>
              <w:autoSpaceDN w:val="0"/>
              <w:jc w:val="left"/>
              <w:rPr>
                <w:rFonts w:hint="eastAsia" w:ascii="宋体" w:hAnsi="宋体"/>
                <w:color w:val="000000"/>
                <w:w w:val="90"/>
                <w:szCs w:val="21"/>
              </w:rPr>
            </w:pPr>
          </w:p>
        </w:tc>
        <w:tc>
          <w:tcPr>
            <w:tcW w:w="2268" w:type="dxa"/>
            <w:noWrap/>
            <w:vAlign w:val="center"/>
          </w:tcPr>
          <w:p w14:paraId="65416555">
            <w:pPr>
              <w:autoSpaceDE w:val="0"/>
              <w:autoSpaceDN w:val="0"/>
              <w:jc w:val="left"/>
              <w:rPr>
                <w:rFonts w:hint="eastAsia" w:ascii="宋体" w:hAnsi="宋体"/>
                <w:color w:val="000000"/>
                <w:w w:val="90"/>
                <w:szCs w:val="21"/>
              </w:rPr>
            </w:pPr>
            <w:r>
              <w:rPr>
                <w:rFonts w:ascii="宋体" w:hAnsi="宋体"/>
                <w:color w:val="000000"/>
                <w:w w:val="90"/>
                <w:szCs w:val="21"/>
              </w:rPr>
              <w:t>LED筒灯</w:t>
            </w:r>
          </w:p>
        </w:tc>
        <w:tc>
          <w:tcPr>
            <w:tcW w:w="1550" w:type="dxa"/>
            <w:noWrap/>
            <w:vAlign w:val="center"/>
          </w:tcPr>
          <w:p w14:paraId="18D961A5">
            <w:pPr>
              <w:autoSpaceDE w:val="0"/>
              <w:autoSpaceDN w:val="0"/>
              <w:jc w:val="center"/>
              <w:rPr>
                <w:rFonts w:hint="eastAsia" w:ascii="宋体" w:hAnsi="宋体"/>
                <w:color w:val="000000"/>
                <w:w w:val="90"/>
                <w:szCs w:val="21"/>
              </w:rPr>
            </w:pPr>
          </w:p>
        </w:tc>
        <w:tc>
          <w:tcPr>
            <w:tcW w:w="3048" w:type="dxa"/>
            <w:noWrap/>
            <w:vAlign w:val="center"/>
          </w:tcPr>
          <w:p w14:paraId="6683C2C4">
            <w:pPr>
              <w:autoSpaceDE w:val="0"/>
              <w:autoSpaceDN w:val="0"/>
              <w:jc w:val="left"/>
              <w:rPr>
                <w:rFonts w:hint="eastAsia" w:ascii="宋体" w:hAnsi="宋体"/>
                <w:color w:val="000000"/>
                <w:w w:val="90"/>
                <w:szCs w:val="21"/>
              </w:rPr>
            </w:pPr>
            <w:r>
              <w:rPr>
                <w:rFonts w:ascii="宋体" w:hAnsi="宋体"/>
                <w:color w:val="000000"/>
                <w:w w:val="90"/>
                <w:szCs w:val="21"/>
              </w:rPr>
              <w:t>《室内照明用LED产品能效限定值及能效等级》（GB 30255）</w:t>
            </w:r>
          </w:p>
        </w:tc>
      </w:tr>
      <w:tr w14:paraId="07BAB53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443FC85A">
            <w:pPr>
              <w:autoSpaceDE w:val="0"/>
              <w:autoSpaceDN w:val="0"/>
              <w:jc w:val="center"/>
              <w:rPr>
                <w:rFonts w:hint="eastAsia" w:ascii="宋体" w:hAnsi="宋体"/>
                <w:color w:val="000000"/>
                <w:w w:val="90"/>
                <w:szCs w:val="21"/>
              </w:rPr>
            </w:pPr>
          </w:p>
        </w:tc>
        <w:tc>
          <w:tcPr>
            <w:tcW w:w="1858" w:type="dxa"/>
            <w:vMerge w:val="continue"/>
            <w:noWrap/>
            <w:vAlign w:val="center"/>
          </w:tcPr>
          <w:p w14:paraId="5DF5F996">
            <w:pPr>
              <w:autoSpaceDE w:val="0"/>
              <w:autoSpaceDN w:val="0"/>
              <w:jc w:val="left"/>
              <w:rPr>
                <w:rFonts w:hint="eastAsia" w:ascii="宋体" w:hAnsi="宋体"/>
                <w:color w:val="000000"/>
                <w:w w:val="90"/>
                <w:szCs w:val="21"/>
              </w:rPr>
            </w:pPr>
          </w:p>
        </w:tc>
        <w:tc>
          <w:tcPr>
            <w:tcW w:w="2268" w:type="dxa"/>
            <w:noWrap/>
            <w:vAlign w:val="center"/>
          </w:tcPr>
          <w:p w14:paraId="4074E7FA">
            <w:pPr>
              <w:autoSpaceDE w:val="0"/>
              <w:autoSpaceDN w:val="0"/>
              <w:jc w:val="left"/>
              <w:rPr>
                <w:rFonts w:hint="eastAsia" w:ascii="宋体" w:hAnsi="宋体"/>
                <w:color w:val="000000"/>
                <w:w w:val="90"/>
                <w:szCs w:val="21"/>
              </w:rPr>
            </w:pPr>
            <w:r>
              <w:rPr>
                <w:rFonts w:ascii="宋体" w:hAnsi="宋体"/>
                <w:color w:val="000000"/>
                <w:w w:val="90"/>
                <w:szCs w:val="21"/>
              </w:rPr>
              <w:t>普通照明用非定向自镇流LED灯</w:t>
            </w:r>
          </w:p>
        </w:tc>
        <w:tc>
          <w:tcPr>
            <w:tcW w:w="1550" w:type="dxa"/>
            <w:noWrap/>
            <w:vAlign w:val="center"/>
          </w:tcPr>
          <w:p w14:paraId="5FF43EA8">
            <w:pPr>
              <w:autoSpaceDE w:val="0"/>
              <w:autoSpaceDN w:val="0"/>
              <w:jc w:val="center"/>
              <w:rPr>
                <w:rFonts w:hint="eastAsia" w:ascii="宋体" w:hAnsi="宋体"/>
                <w:color w:val="000000"/>
                <w:w w:val="90"/>
                <w:szCs w:val="21"/>
              </w:rPr>
            </w:pPr>
          </w:p>
        </w:tc>
        <w:tc>
          <w:tcPr>
            <w:tcW w:w="3048" w:type="dxa"/>
            <w:noWrap/>
            <w:vAlign w:val="center"/>
          </w:tcPr>
          <w:p w14:paraId="38148EE5">
            <w:pPr>
              <w:autoSpaceDE w:val="0"/>
              <w:autoSpaceDN w:val="0"/>
              <w:jc w:val="left"/>
              <w:rPr>
                <w:rFonts w:hint="eastAsia" w:ascii="宋体" w:hAnsi="宋体"/>
                <w:color w:val="000000"/>
                <w:w w:val="90"/>
                <w:szCs w:val="21"/>
              </w:rPr>
            </w:pPr>
            <w:r>
              <w:rPr>
                <w:rFonts w:ascii="宋体" w:hAnsi="宋体"/>
                <w:color w:val="000000"/>
                <w:w w:val="90"/>
                <w:szCs w:val="21"/>
              </w:rPr>
              <w:t>《室内照明用 LED 产品能效限定值及能效等级》（GB 30255）</w:t>
            </w:r>
          </w:p>
        </w:tc>
      </w:tr>
      <w:tr w14:paraId="5C3FC9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20C5F604">
            <w:pPr>
              <w:autoSpaceDE w:val="0"/>
              <w:autoSpaceDN w:val="0"/>
              <w:jc w:val="center"/>
              <w:rPr>
                <w:rFonts w:hint="eastAsia" w:ascii="宋体" w:hAnsi="宋体"/>
                <w:color w:val="000000"/>
                <w:w w:val="90"/>
                <w:szCs w:val="21"/>
              </w:rPr>
            </w:pPr>
            <w:r>
              <w:rPr>
                <w:rFonts w:ascii="宋体" w:hAnsi="宋体"/>
                <w:color w:val="000000"/>
                <w:w w:val="90"/>
                <w:szCs w:val="21"/>
              </w:rPr>
              <w:t>12</w:t>
            </w:r>
          </w:p>
        </w:tc>
        <w:tc>
          <w:tcPr>
            <w:tcW w:w="1858" w:type="dxa"/>
            <w:noWrap/>
            <w:vAlign w:val="center"/>
          </w:tcPr>
          <w:p w14:paraId="657BA96E">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A020910</w:t>
            </w:r>
            <w:r>
              <w:rPr>
                <w:rFonts w:ascii="宋体" w:hAnsi="宋体"/>
                <w:b/>
                <w:color w:val="000000"/>
                <w:w w:val="90"/>
                <w:szCs w:val="21"/>
              </w:rPr>
              <w:t>电视设备</w:t>
            </w:r>
          </w:p>
        </w:tc>
        <w:tc>
          <w:tcPr>
            <w:tcW w:w="2268" w:type="dxa"/>
            <w:noWrap/>
            <w:vAlign w:val="center"/>
          </w:tcPr>
          <w:p w14:paraId="541FC0B8">
            <w:pPr>
              <w:autoSpaceDE w:val="0"/>
              <w:autoSpaceDN w:val="0"/>
              <w:jc w:val="left"/>
              <w:rPr>
                <w:rFonts w:hint="eastAsia" w:ascii="宋体" w:hAnsi="宋体"/>
                <w:b/>
                <w:color w:val="000000"/>
                <w:w w:val="90"/>
                <w:szCs w:val="21"/>
              </w:rPr>
            </w:pPr>
            <w:r>
              <w:rPr>
                <w:rFonts w:ascii="宋体" w:hAnsi="宋体"/>
                <w:b/>
                <w:color w:val="000000"/>
                <w:w w:val="90"/>
                <w:szCs w:val="21"/>
              </w:rPr>
              <w:t>A02091001普通电视设备（电视机）</w:t>
            </w:r>
          </w:p>
        </w:tc>
        <w:tc>
          <w:tcPr>
            <w:tcW w:w="1550" w:type="dxa"/>
            <w:noWrap/>
            <w:vAlign w:val="center"/>
          </w:tcPr>
          <w:p w14:paraId="613131ED">
            <w:pPr>
              <w:autoSpaceDE w:val="0"/>
              <w:autoSpaceDN w:val="0"/>
              <w:jc w:val="center"/>
              <w:rPr>
                <w:rFonts w:hint="eastAsia" w:ascii="宋体" w:hAnsi="宋体"/>
                <w:color w:val="000000"/>
                <w:w w:val="90"/>
                <w:szCs w:val="21"/>
              </w:rPr>
            </w:pPr>
          </w:p>
        </w:tc>
        <w:tc>
          <w:tcPr>
            <w:tcW w:w="3048" w:type="dxa"/>
            <w:noWrap/>
            <w:vAlign w:val="center"/>
          </w:tcPr>
          <w:p w14:paraId="37553E32">
            <w:pPr>
              <w:autoSpaceDE w:val="0"/>
              <w:autoSpaceDN w:val="0"/>
              <w:jc w:val="left"/>
              <w:rPr>
                <w:rFonts w:hint="eastAsia" w:ascii="宋体" w:hAnsi="宋体"/>
                <w:color w:val="000000"/>
                <w:w w:val="90"/>
                <w:szCs w:val="21"/>
              </w:rPr>
            </w:pPr>
            <w:r>
              <w:rPr>
                <w:rFonts w:ascii="宋体" w:hAnsi="宋体"/>
                <w:color w:val="000000"/>
                <w:w w:val="90"/>
                <w:szCs w:val="21"/>
              </w:rPr>
              <w:t>《平板电视能效限定值及能效等级》（GB 24850）</w:t>
            </w:r>
          </w:p>
        </w:tc>
      </w:tr>
      <w:tr w14:paraId="6EE95C7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1626C137">
            <w:pPr>
              <w:autoSpaceDE w:val="0"/>
              <w:autoSpaceDN w:val="0"/>
              <w:jc w:val="center"/>
              <w:rPr>
                <w:rFonts w:hint="eastAsia" w:ascii="宋体" w:hAnsi="宋体"/>
                <w:color w:val="000000"/>
                <w:w w:val="90"/>
                <w:szCs w:val="21"/>
              </w:rPr>
            </w:pPr>
            <w:r>
              <w:rPr>
                <w:rFonts w:ascii="宋体" w:hAnsi="宋体"/>
                <w:color w:val="000000"/>
                <w:w w:val="90"/>
                <w:szCs w:val="21"/>
              </w:rPr>
              <w:t>13</w:t>
            </w:r>
          </w:p>
        </w:tc>
        <w:tc>
          <w:tcPr>
            <w:tcW w:w="1858" w:type="dxa"/>
            <w:noWrap/>
            <w:vAlign w:val="center"/>
          </w:tcPr>
          <w:p w14:paraId="67CF1666">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A020911</w:t>
            </w:r>
            <w:r>
              <w:rPr>
                <w:rFonts w:ascii="宋体" w:hAnsi="宋体"/>
                <w:b/>
                <w:color w:val="000000"/>
                <w:w w:val="90"/>
                <w:szCs w:val="21"/>
              </w:rPr>
              <w:t>视频设备</w:t>
            </w:r>
          </w:p>
        </w:tc>
        <w:tc>
          <w:tcPr>
            <w:tcW w:w="2268" w:type="dxa"/>
            <w:noWrap/>
            <w:vAlign w:val="center"/>
          </w:tcPr>
          <w:p w14:paraId="0E9B2278">
            <w:pPr>
              <w:autoSpaceDE w:val="0"/>
              <w:autoSpaceDN w:val="0"/>
              <w:jc w:val="left"/>
              <w:rPr>
                <w:rFonts w:hint="eastAsia" w:ascii="宋体" w:hAnsi="宋体"/>
                <w:b/>
                <w:color w:val="000000"/>
                <w:w w:val="90"/>
                <w:szCs w:val="21"/>
              </w:rPr>
            </w:pPr>
            <w:r>
              <w:rPr>
                <w:rFonts w:ascii="宋体" w:hAnsi="宋体"/>
                <w:b/>
                <w:color w:val="000000"/>
                <w:w w:val="90"/>
                <w:szCs w:val="21"/>
              </w:rPr>
              <w:t>A02091107 视频监控设备</w:t>
            </w:r>
          </w:p>
        </w:tc>
        <w:tc>
          <w:tcPr>
            <w:tcW w:w="1550" w:type="dxa"/>
            <w:noWrap/>
            <w:vAlign w:val="center"/>
          </w:tcPr>
          <w:p w14:paraId="70862025">
            <w:pPr>
              <w:autoSpaceDE w:val="0"/>
              <w:autoSpaceDN w:val="0"/>
              <w:jc w:val="center"/>
              <w:rPr>
                <w:rFonts w:hint="eastAsia" w:ascii="宋体" w:hAnsi="宋体"/>
                <w:b/>
                <w:color w:val="000000"/>
                <w:w w:val="90"/>
                <w:szCs w:val="21"/>
              </w:rPr>
            </w:pPr>
            <w:r>
              <w:rPr>
                <w:rFonts w:ascii="宋体" w:hAnsi="宋体"/>
                <w:b/>
                <w:color w:val="000000"/>
                <w:w w:val="90"/>
                <w:szCs w:val="21"/>
              </w:rPr>
              <w:t>监视器</w:t>
            </w:r>
          </w:p>
        </w:tc>
        <w:tc>
          <w:tcPr>
            <w:tcW w:w="3048" w:type="dxa"/>
            <w:noWrap/>
            <w:vAlign w:val="center"/>
          </w:tcPr>
          <w:p w14:paraId="648C2160">
            <w:pPr>
              <w:autoSpaceDE w:val="0"/>
              <w:autoSpaceDN w:val="0"/>
              <w:jc w:val="left"/>
              <w:rPr>
                <w:rFonts w:hint="eastAsia" w:ascii="宋体" w:hAnsi="宋体"/>
                <w:color w:val="000000"/>
                <w:w w:val="90"/>
                <w:szCs w:val="21"/>
              </w:rPr>
            </w:pPr>
            <w:r>
              <w:rPr>
                <w:rFonts w:ascii="宋体" w:hAnsi="宋体"/>
                <w:color w:val="000000"/>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726F51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098DB726">
            <w:pPr>
              <w:autoSpaceDE w:val="0"/>
              <w:autoSpaceDN w:val="0"/>
              <w:jc w:val="center"/>
              <w:rPr>
                <w:rFonts w:hint="eastAsia" w:ascii="宋体" w:hAnsi="宋体"/>
                <w:color w:val="000000"/>
                <w:w w:val="90"/>
                <w:szCs w:val="21"/>
              </w:rPr>
            </w:pPr>
            <w:r>
              <w:rPr>
                <w:rFonts w:ascii="宋体" w:hAnsi="宋体"/>
                <w:color w:val="000000"/>
                <w:w w:val="90"/>
                <w:szCs w:val="21"/>
              </w:rPr>
              <w:t>14</w:t>
            </w:r>
          </w:p>
        </w:tc>
        <w:tc>
          <w:tcPr>
            <w:tcW w:w="1858" w:type="dxa"/>
            <w:noWrap/>
            <w:vAlign w:val="center"/>
          </w:tcPr>
          <w:p w14:paraId="1CB7E5FA">
            <w:pPr>
              <w:autoSpaceDE w:val="0"/>
              <w:autoSpaceDN w:val="0"/>
              <w:jc w:val="left"/>
              <w:rPr>
                <w:rFonts w:hint="eastAsia" w:ascii="宋体" w:hAnsi="宋体"/>
                <w:color w:val="000000"/>
                <w:w w:val="90"/>
                <w:szCs w:val="21"/>
              </w:rPr>
            </w:pPr>
            <w:r>
              <w:rPr>
                <w:rFonts w:ascii="宋体" w:hAnsi="宋体"/>
                <w:color w:val="000000"/>
                <w:w w:val="90"/>
                <w:szCs w:val="21"/>
              </w:rPr>
              <w:t>A031210饮食炊事机械</w:t>
            </w:r>
          </w:p>
        </w:tc>
        <w:tc>
          <w:tcPr>
            <w:tcW w:w="2268" w:type="dxa"/>
            <w:noWrap/>
            <w:vAlign w:val="center"/>
          </w:tcPr>
          <w:p w14:paraId="55FE7200">
            <w:pPr>
              <w:autoSpaceDE w:val="0"/>
              <w:autoSpaceDN w:val="0"/>
              <w:jc w:val="left"/>
              <w:rPr>
                <w:rFonts w:hint="eastAsia" w:ascii="宋体" w:hAnsi="宋体"/>
                <w:color w:val="000000"/>
                <w:w w:val="90"/>
                <w:szCs w:val="21"/>
              </w:rPr>
            </w:pPr>
            <w:r>
              <w:rPr>
                <w:rFonts w:ascii="宋体" w:hAnsi="宋体"/>
                <w:color w:val="000000"/>
                <w:w w:val="90"/>
                <w:szCs w:val="21"/>
              </w:rPr>
              <w:t>商用燃气灶具</w:t>
            </w:r>
          </w:p>
        </w:tc>
        <w:tc>
          <w:tcPr>
            <w:tcW w:w="1550" w:type="dxa"/>
            <w:noWrap/>
            <w:vAlign w:val="center"/>
          </w:tcPr>
          <w:p w14:paraId="1D683D19">
            <w:pPr>
              <w:autoSpaceDE w:val="0"/>
              <w:autoSpaceDN w:val="0"/>
              <w:jc w:val="center"/>
              <w:rPr>
                <w:rFonts w:hint="eastAsia" w:ascii="宋体" w:hAnsi="宋体"/>
                <w:color w:val="000000"/>
                <w:w w:val="90"/>
                <w:szCs w:val="21"/>
              </w:rPr>
            </w:pPr>
          </w:p>
        </w:tc>
        <w:tc>
          <w:tcPr>
            <w:tcW w:w="3048" w:type="dxa"/>
            <w:noWrap/>
            <w:vAlign w:val="center"/>
          </w:tcPr>
          <w:p w14:paraId="42FCAC6B">
            <w:pPr>
              <w:autoSpaceDE w:val="0"/>
              <w:autoSpaceDN w:val="0"/>
              <w:jc w:val="left"/>
              <w:rPr>
                <w:rFonts w:hint="eastAsia" w:ascii="宋体" w:hAnsi="宋体"/>
                <w:color w:val="000000"/>
                <w:w w:val="90"/>
                <w:szCs w:val="21"/>
              </w:rPr>
            </w:pPr>
          </w:p>
        </w:tc>
      </w:tr>
      <w:tr w14:paraId="1252BF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14:paraId="3397548D">
            <w:pPr>
              <w:autoSpaceDE w:val="0"/>
              <w:autoSpaceDN w:val="0"/>
              <w:jc w:val="center"/>
              <w:rPr>
                <w:rFonts w:hint="eastAsia" w:ascii="宋体" w:hAnsi="宋体"/>
                <w:color w:val="000000"/>
                <w:w w:val="90"/>
                <w:szCs w:val="21"/>
              </w:rPr>
            </w:pPr>
            <w:r>
              <w:rPr>
                <w:rFonts w:ascii="宋体" w:hAnsi="宋体"/>
                <w:color w:val="000000"/>
                <w:w w:val="90"/>
                <w:szCs w:val="21"/>
              </w:rPr>
              <w:t>15</w:t>
            </w:r>
          </w:p>
        </w:tc>
        <w:tc>
          <w:tcPr>
            <w:tcW w:w="1858" w:type="dxa"/>
            <w:vMerge w:val="restart"/>
            <w:noWrap/>
            <w:vAlign w:val="center"/>
          </w:tcPr>
          <w:p w14:paraId="4F937B2A">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A060805</w:t>
            </w:r>
            <w:r>
              <w:rPr>
                <w:rFonts w:ascii="宋体" w:hAnsi="宋体"/>
                <w:b/>
                <w:color w:val="000000"/>
                <w:w w:val="90"/>
                <w:szCs w:val="21"/>
              </w:rPr>
              <w:t>便器</w:t>
            </w:r>
          </w:p>
        </w:tc>
        <w:tc>
          <w:tcPr>
            <w:tcW w:w="2268" w:type="dxa"/>
            <w:noWrap/>
            <w:vAlign w:val="center"/>
          </w:tcPr>
          <w:p w14:paraId="67E8E135">
            <w:pPr>
              <w:autoSpaceDE w:val="0"/>
              <w:autoSpaceDN w:val="0"/>
              <w:jc w:val="left"/>
              <w:rPr>
                <w:rFonts w:hint="eastAsia" w:ascii="宋体" w:hAnsi="宋体"/>
                <w:b/>
                <w:color w:val="000000"/>
                <w:w w:val="90"/>
                <w:szCs w:val="21"/>
              </w:rPr>
            </w:pPr>
            <w:r>
              <w:rPr>
                <w:rFonts w:ascii="宋体" w:hAnsi="宋体"/>
                <w:b/>
                <w:color w:val="000000"/>
                <w:w w:val="90"/>
                <w:szCs w:val="21"/>
              </w:rPr>
              <w:t>坐便器</w:t>
            </w:r>
          </w:p>
        </w:tc>
        <w:tc>
          <w:tcPr>
            <w:tcW w:w="1550" w:type="dxa"/>
            <w:noWrap/>
            <w:vAlign w:val="center"/>
          </w:tcPr>
          <w:p w14:paraId="6C149E1F">
            <w:pPr>
              <w:autoSpaceDE w:val="0"/>
              <w:autoSpaceDN w:val="0"/>
              <w:jc w:val="center"/>
              <w:rPr>
                <w:rFonts w:hint="eastAsia" w:ascii="宋体" w:hAnsi="宋体"/>
                <w:color w:val="000000"/>
                <w:w w:val="90"/>
                <w:szCs w:val="21"/>
              </w:rPr>
            </w:pPr>
          </w:p>
        </w:tc>
        <w:tc>
          <w:tcPr>
            <w:tcW w:w="3048" w:type="dxa"/>
            <w:noWrap/>
            <w:vAlign w:val="center"/>
          </w:tcPr>
          <w:p w14:paraId="6E02EC5E">
            <w:pPr>
              <w:autoSpaceDE w:val="0"/>
              <w:autoSpaceDN w:val="0"/>
              <w:jc w:val="left"/>
              <w:rPr>
                <w:rFonts w:hint="eastAsia" w:ascii="宋体" w:hAnsi="宋体"/>
                <w:color w:val="000000"/>
                <w:w w:val="90"/>
                <w:szCs w:val="21"/>
              </w:rPr>
            </w:pPr>
            <w:r>
              <w:rPr>
                <w:rFonts w:ascii="宋体" w:hAnsi="宋体"/>
                <w:color w:val="000000"/>
                <w:w w:val="90"/>
                <w:szCs w:val="21"/>
              </w:rPr>
              <w:t>《坐便器水效限定值及水效等级</w:t>
            </w:r>
          </w:p>
          <w:p w14:paraId="0132BB94">
            <w:pPr>
              <w:autoSpaceDE w:val="0"/>
              <w:autoSpaceDN w:val="0"/>
              <w:jc w:val="left"/>
              <w:rPr>
                <w:rFonts w:hint="eastAsia" w:ascii="宋体" w:hAnsi="宋体"/>
                <w:color w:val="000000"/>
                <w:w w:val="90"/>
                <w:szCs w:val="21"/>
              </w:rPr>
            </w:pPr>
            <w:r>
              <w:rPr>
                <w:rFonts w:ascii="宋体" w:hAnsi="宋体"/>
                <w:color w:val="000000"/>
                <w:w w:val="90"/>
                <w:szCs w:val="21"/>
              </w:rPr>
              <w:t>（GB 25502）</w:t>
            </w:r>
          </w:p>
        </w:tc>
      </w:tr>
      <w:tr w14:paraId="0AEDBF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0B9348A7">
            <w:pPr>
              <w:autoSpaceDE w:val="0"/>
              <w:autoSpaceDN w:val="0"/>
              <w:jc w:val="center"/>
              <w:rPr>
                <w:rFonts w:hint="eastAsia" w:ascii="宋体" w:hAnsi="宋体"/>
                <w:color w:val="000000"/>
                <w:w w:val="90"/>
                <w:szCs w:val="21"/>
              </w:rPr>
            </w:pPr>
          </w:p>
        </w:tc>
        <w:tc>
          <w:tcPr>
            <w:tcW w:w="1858" w:type="dxa"/>
            <w:vMerge w:val="continue"/>
            <w:noWrap/>
            <w:vAlign w:val="center"/>
          </w:tcPr>
          <w:p w14:paraId="2C56DF1C">
            <w:pPr>
              <w:autoSpaceDE w:val="0"/>
              <w:autoSpaceDN w:val="0"/>
              <w:jc w:val="left"/>
              <w:rPr>
                <w:rFonts w:hint="eastAsia" w:ascii="宋体" w:hAnsi="宋体"/>
                <w:b/>
                <w:color w:val="000000"/>
                <w:w w:val="90"/>
                <w:szCs w:val="21"/>
              </w:rPr>
            </w:pPr>
          </w:p>
        </w:tc>
        <w:tc>
          <w:tcPr>
            <w:tcW w:w="2268" w:type="dxa"/>
            <w:noWrap/>
            <w:vAlign w:val="center"/>
          </w:tcPr>
          <w:p w14:paraId="1BBA0C5A">
            <w:pPr>
              <w:autoSpaceDE w:val="0"/>
              <w:autoSpaceDN w:val="0"/>
              <w:jc w:val="left"/>
              <w:rPr>
                <w:rFonts w:hint="eastAsia" w:ascii="宋体" w:hAnsi="宋体"/>
                <w:b/>
                <w:color w:val="000000"/>
                <w:w w:val="90"/>
                <w:szCs w:val="21"/>
              </w:rPr>
            </w:pPr>
            <w:r>
              <w:rPr>
                <w:rFonts w:ascii="宋体" w:hAnsi="宋体"/>
                <w:b/>
                <w:color w:val="000000"/>
                <w:w w:val="90"/>
                <w:szCs w:val="21"/>
              </w:rPr>
              <w:t>蹲便器</w:t>
            </w:r>
          </w:p>
        </w:tc>
        <w:tc>
          <w:tcPr>
            <w:tcW w:w="1550" w:type="dxa"/>
            <w:noWrap/>
            <w:vAlign w:val="center"/>
          </w:tcPr>
          <w:p w14:paraId="4B78AC5A">
            <w:pPr>
              <w:autoSpaceDE w:val="0"/>
              <w:autoSpaceDN w:val="0"/>
              <w:jc w:val="center"/>
              <w:rPr>
                <w:rFonts w:hint="eastAsia" w:ascii="宋体" w:hAnsi="宋体"/>
                <w:color w:val="000000"/>
                <w:w w:val="90"/>
                <w:szCs w:val="21"/>
              </w:rPr>
            </w:pPr>
          </w:p>
        </w:tc>
        <w:tc>
          <w:tcPr>
            <w:tcW w:w="3048" w:type="dxa"/>
            <w:noWrap/>
            <w:vAlign w:val="center"/>
          </w:tcPr>
          <w:p w14:paraId="6F78DE1C">
            <w:pPr>
              <w:autoSpaceDE w:val="0"/>
              <w:autoSpaceDN w:val="0"/>
              <w:jc w:val="left"/>
              <w:rPr>
                <w:rFonts w:hint="eastAsia" w:ascii="宋体" w:hAnsi="宋体"/>
                <w:color w:val="000000"/>
                <w:w w:val="90"/>
                <w:szCs w:val="21"/>
              </w:rPr>
            </w:pPr>
            <w:r>
              <w:rPr>
                <w:rFonts w:ascii="宋体" w:hAnsi="宋体"/>
                <w:color w:val="000000"/>
                <w:w w:val="90"/>
                <w:szCs w:val="21"/>
              </w:rPr>
              <w:t>《蹲便器用水效率限定值及用水效率等级》（GB 30717）</w:t>
            </w:r>
          </w:p>
        </w:tc>
      </w:tr>
      <w:tr w14:paraId="5D89BB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14:paraId="5DD577C3">
            <w:pPr>
              <w:autoSpaceDE w:val="0"/>
              <w:autoSpaceDN w:val="0"/>
              <w:jc w:val="center"/>
              <w:rPr>
                <w:rFonts w:hint="eastAsia" w:ascii="宋体" w:hAnsi="宋体"/>
                <w:color w:val="000000"/>
                <w:w w:val="90"/>
                <w:szCs w:val="21"/>
              </w:rPr>
            </w:pPr>
          </w:p>
        </w:tc>
        <w:tc>
          <w:tcPr>
            <w:tcW w:w="1858" w:type="dxa"/>
            <w:vMerge w:val="continue"/>
            <w:noWrap/>
            <w:vAlign w:val="center"/>
          </w:tcPr>
          <w:p w14:paraId="61605266">
            <w:pPr>
              <w:autoSpaceDE w:val="0"/>
              <w:autoSpaceDN w:val="0"/>
              <w:jc w:val="left"/>
              <w:rPr>
                <w:rFonts w:hint="eastAsia" w:ascii="宋体" w:hAnsi="宋体"/>
                <w:b/>
                <w:color w:val="000000"/>
                <w:w w:val="90"/>
                <w:szCs w:val="21"/>
              </w:rPr>
            </w:pPr>
          </w:p>
        </w:tc>
        <w:tc>
          <w:tcPr>
            <w:tcW w:w="2268" w:type="dxa"/>
            <w:noWrap/>
            <w:vAlign w:val="center"/>
          </w:tcPr>
          <w:p w14:paraId="4745F5BC">
            <w:pPr>
              <w:autoSpaceDE w:val="0"/>
              <w:autoSpaceDN w:val="0"/>
              <w:jc w:val="left"/>
              <w:rPr>
                <w:rFonts w:hint="eastAsia" w:ascii="宋体" w:hAnsi="宋体"/>
                <w:b/>
                <w:color w:val="000000"/>
                <w:w w:val="90"/>
                <w:szCs w:val="21"/>
              </w:rPr>
            </w:pPr>
            <w:r>
              <w:rPr>
                <w:rFonts w:ascii="宋体" w:hAnsi="宋体"/>
                <w:b/>
                <w:color w:val="000000"/>
                <w:w w:val="90"/>
                <w:szCs w:val="21"/>
              </w:rPr>
              <w:t>小便器</w:t>
            </w:r>
          </w:p>
        </w:tc>
        <w:tc>
          <w:tcPr>
            <w:tcW w:w="1550" w:type="dxa"/>
            <w:noWrap/>
            <w:vAlign w:val="center"/>
          </w:tcPr>
          <w:p w14:paraId="61F10F9A">
            <w:pPr>
              <w:autoSpaceDE w:val="0"/>
              <w:autoSpaceDN w:val="0"/>
              <w:jc w:val="center"/>
              <w:rPr>
                <w:rFonts w:hint="eastAsia" w:ascii="宋体" w:hAnsi="宋体"/>
                <w:color w:val="000000"/>
                <w:w w:val="90"/>
                <w:szCs w:val="21"/>
              </w:rPr>
            </w:pPr>
          </w:p>
        </w:tc>
        <w:tc>
          <w:tcPr>
            <w:tcW w:w="3048" w:type="dxa"/>
            <w:noWrap/>
            <w:vAlign w:val="center"/>
          </w:tcPr>
          <w:p w14:paraId="77F06CC5">
            <w:pPr>
              <w:autoSpaceDE w:val="0"/>
              <w:autoSpaceDN w:val="0"/>
              <w:jc w:val="left"/>
              <w:rPr>
                <w:rFonts w:hint="eastAsia" w:ascii="宋体" w:hAnsi="宋体"/>
                <w:color w:val="000000"/>
                <w:w w:val="90"/>
                <w:szCs w:val="21"/>
              </w:rPr>
            </w:pPr>
            <w:r>
              <w:rPr>
                <w:rFonts w:ascii="宋体" w:hAnsi="宋体"/>
                <w:color w:val="000000"/>
                <w:w w:val="90"/>
                <w:szCs w:val="21"/>
              </w:rPr>
              <w:t>《小便器用水效率限定值及用水效率等级》（GB 28377）</w:t>
            </w:r>
          </w:p>
        </w:tc>
      </w:tr>
      <w:tr w14:paraId="6E9EBE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07FE1E5A">
            <w:pPr>
              <w:autoSpaceDE w:val="0"/>
              <w:autoSpaceDN w:val="0"/>
              <w:jc w:val="center"/>
              <w:rPr>
                <w:rFonts w:hint="eastAsia" w:ascii="宋体" w:hAnsi="宋体"/>
                <w:color w:val="000000"/>
                <w:w w:val="90"/>
                <w:szCs w:val="21"/>
              </w:rPr>
            </w:pPr>
            <w:r>
              <w:rPr>
                <w:rFonts w:ascii="宋体" w:hAnsi="宋体"/>
                <w:color w:val="000000"/>
                <w:w w:val="90"/>
                <w:szCs w:val="21"/>
              </w:rPr>
              <w:t>16</w:t>
            </w:r>
          </w:p>
        </w:tc>
        <w:tc>
          <w:tcPr>
            <w:tcW w:w="1858" w:type="dxa"/>
            <w:noWrap/>
            <w:vAlign w:val="center"/>
          </w:tcPr>
          <w:p w14:paraId="3ADF07B6">
            <w:pPr>
              <w:autoSpaceDE w:val="0"/>
              <w:autoSpaceDN w:val="0"/>
              <w:jc w:val="left"/>
              <w:rPr>
                <w:rFonts w:hint="eastAsia"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A060806</w:t>
            </w:r>
            <w:r>
              <w:rPr>
                <w:rFonts w:ascii="宋体" w:hAnsi="宋体"/>
                <w:b/>
                <w:color w:val="000000"/>
                <w:w w:val="90"/>
                <w:szCs w:val="21"/>
              </w:rPr>
              <w:t>水嘴</w:t>
            </w:r>
          </w:p>
        </w:tc>
        <w:tc>
          <w:tcPr>
            <w:tcW w:w="2268" w:type="dxa"/>
            <w:noWrap/>
            <w:vAlign w:val="center"/>
          </w:tcPr>
          <w:p w14:paraId="1937A09E">
            <w:pPr>
              <w:autoSpaceDE w:val="0"/>
              <w:autoSpaceDN w:val="0"/>
              <w:jc w:val="left"/>
              <w:rPr>
                <w:rFonts w:hint="eastAsia" w:ascii="宋体" w:hAnsi="宋体"/>
                <w:color w:val="000000"/>
                <w:w w:val="90"/>
                <w:szCs w:val="21"/>
              </w:rPr>
            </w:pPr>
          </w:p>
        </w:tc>
        <w:tc>
          <w:tcPr>
            <w:tcW w:w="1550" w:type="dxa"/>
            <w:noWrap/>
            <w:vAlign w:val="center"/>
          </w:tcPr>
          <w:p w14:paraId="06199C87">
            <w:pPr>
              <w:autoSpaceDE w:val="0"/>
              <w:autoSpaceDN w:val="0"/>
              <w:jc w:val="center"/>
              <w:rPr>
                <w:rFonts w:hint="eastAsia" w:ascii="宋体" w:hAnsi="宋体"/>
                <w:color w:val="000000"/>
                <w:w w:val="90"/>
                <w:szCs w:val="21"/>
              </w:rPr>
            </w:pPr>
          </w:p>
        </w:tc>
        <w:tc>
          <w:tcPr>
            <w:tcW w:w="3048" w:type="dxa"/>
            <w:noWrap/>
            <w:vAlign w:val="center"/>
          </w:tcPr>
          <w:p w14:paraId="1F969354">
            <w:pPr>
              <w:autoSpaceDE w:val="0"/>
              <w:autoSpaceDN w:val="0"/>
              <w:jc w:val="left"/>
              <w:rPr>
                <w:rFonts w:hint="eastAsia" w:ascii="宋体" w:hAnsi="宋体"/>
                <w:color w:val="000000"/>
                <w:w w:val="90"/>
                <w:szCs w:val="21"/>
              </w:rPr>
            </w:pPr>
            <w:r>
              <w:rPr>
                <w:rFonts w:ascii="宋体" w:hAnsi="宋体"/>
                <w:color w:val="000000"/>
                <w:w w:val="90"/>
                <w:szCs w:val="21"/>
              </w:rPr>
              <w:t>《水嘴用水效率限定值及用水效率等级》（GB 25501）</w:t>
            </w:r>
          </w:p>
        </w:tc>
      </w:tr>
      <w:tr w14:paraId="5B39E4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5AFB5ACB">
            <w:pPr>
              <w:autoSpaceDE w:val="0"/>
              <w:autoSpaceDN w:val="0"/>
              <w:jc w:val="center"/>
              <w:rPr>
                <w:rFonts w:hint="eastAsia" w:ascii="宋体" w:hAnsi="宋体"/>
                <w:color w:val="000000"/>
                <w:w w:val="90"/>
                <w:szCs w:val="21"/>
              </w:rPr>
            </w:pPr>
            <w:r>
              <w:rPr>
                <w:rFonts w:ascii="宋体" w:hAnsi="宋体"/>
                <w:color w:val="000000"/>
                <w:w w:val="90"/>
                <w:szCs w:val="21"/>
              </w:rPr>
              <w:t>17</w:t>
            </w:r>
          </w:p>
        </w:tc>
        <w:tc>
          <w:tcPr>
            <w:tcW w:w="1858" w:type="dxa"/>
            <w:noWrap/>
            <w:vAlign w:val="center"/>
          </w:tcPr>
          <w:p w14:paraId="77D714CE">
            <w:pPr>
              <w:autoSpaceDE w:val="0"/>
              <w:autoSpaceDN w:val="0"/>
              <w:jc w:val="left"/>
              <w:rPr>
                <w:rFonts w:hint="eastAsia" w:ascii="宋体" w:hAnsi="宋体"/>
                <w:color w:val="000000"/>
                <w:w w:val="90"/>
                <w:szCs w:val="21"/>
              </w:rPr>
            </w:pPr>
            <w:r>
              <w:rPr>
                <w:rFonts w:ascii="宋体" w:hAnsi="宋体"/>
                <w:color w:val="000000"/>
                <w:w w:val="90"/>
                <w:szCs w:val="21"/>
              </w:rPr>
              <w:t>A060807便器冲洗阀</w:t>
            </w:r>
          </w:p>
        </w:tc>
        <w:tc>
          <w:tcPr>
            <w:tcW w:w="2268" w:type="dxa"/>
            <w:noWrap/>
            <w:vAlign w:val="center"/>
          </w:tcPr>
          <w:p w14:paraId="114614BB">
            <w:pPr>
              <w:autoSpaceDE w:val="0"/>
              <w:autoSpaceDN w:val="0"/>
              <w:jc w:val="left"/>
              <w:rPr>
                <w:rFonts w:hint="eastAsia" w:ascii="宋体" w:hAnsi="宋体"/>
                <w:color w:val="000000"/>
                <w:w w:val="90"/>
                <w:szCs w:val="21"/>
              </w:rPr>
            </w:pPr>
          </w:p>
        </w:tc>
        <w:tc>
          <w:tcPr>
            <w:tcW w:w="1550" w:type="dxa"/>
            <w:noWrap/>
            <w:vAlign w:val="center"/>
          </w:tcPr>
          <w:p w14:paraId="48960101">
            <w:pPr>
              <w:autoSpaceDE w:val="0"/>
              <w:autoSpaceDN w:val="0"/>
              <w:jc w:val="center"/>
              <w:rPr>
                <w:rFonts w:hint="eastAsia" w:ascii="宋体" w:hAnsi="宋体"/>
                <w:color w:val="000000"/>
                <w:w w:val="90"/>
                <w:szCs w:val="21"/>
              </w:rPr>
            </w:pPr>
          </w:p>
        </w:tc>
        <w:tc>
          <w:tcPr>
            <w:tcW w:w="3048" w:type="dxa"/>
            <w:noWrap/>
            <w:vAlign w:val="center"/>
          </w:tcPr>
          <w:p w14:paraId="3DB1709C">
            <w:pPr>
              <w:autoSpaceDE w:val="0"/>
              <w:autoSpaceDN w:val="0"/>
              <w:jc w:val="left"/>
              <w:rPr>
                <w:rFonts w:hint="eastAsia" w:ascii="宋体" w:hAnsi="宋体"/>
                <w:color w:val="000000"/>
                <w:w w:val="90"/>
                <w:szCs w:val="21"/>
              </w:rPr>
            </w:pPr>
            <w:r>
              <w:rPr>
                <w:rFonts w:ascii="宋体" w:hAnsi="宋体"/>
                <w:color w:val="000000"/>
                <w:w w:val="90"/>
                <w:szCs w:val="21"/>
              </w:rPr>
              <w:t>《便器冲洗阀用水效率限定值及用水效率等级》（GB 28379）</w:t>
            </w:r>
          </w:p>
        </w:tc>
      </w:tr>
      <w:tr w14:paraId="041BD1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14:paraId="56EF4062">
            <w:pPr>
              <w:autoSpaceDE w:val="0"/>
              <w:autoSpaceDN w:val="0"/>
              <w:jc w:val="center"/>
              <w:rPr>
                <w:rFonts w:hint="eastAsia" w:ascii="宋体" w:hAnsi="宋体"/>
                <w:color w:val="000000"/>
                <w:w w:val="90"/>
                <w:szCs w:val="21"/>
              </w:rPr>
            </w:pPr>
            <w:r>
              <w:rPr>
                <w:rFonts w:ascii="宋体" w:hAnsi="宋体"/>
                <w:color w:val="000000"/>
                <w:w w:val="90"/>
                <w:szCs w:val="21"/>
              </w:rPr>
              <w:t>18</w:t>
            </w:r>
          </w:p>
        </w:tc>
        <w:tc>
          <w:tcPr>
            <w:tcW w:w="1858" w:type="dxa"/>
            <w:noWrap/>
            <w:vAlign w:val="center"/>
          </w:tcPr>
          <w:p w14:paraId="3385D222">
            <w:pPr>
              <w:autoSpaceDE w:val="0"/>
              <w:autoSpaceDN w:val="0"/>
              <w:jc w:val="left"/>
              <w:rPr>
                <w:rFonts w:hint="eastAsia" w:ascii="宋体" w:hAnsi="宋体"/>
                <w:color w:val="000000"/>
                <w:w w:val="90"/>
                <w:szCs w:val="21"/>
              </w:rPr>
            </w:pPr>
            <w:r>
              <w:rPr>
                <w:rFonts w:ascii="宋体" w:hAnsi="宋体"/>
                <w:color w:val="000000"/>
                <w:w w:val="90"/>
                <w:szCs w:val="21"/>
              </w:rPr>
              <w:t>A060810淋浴器</w:t>
            </w:r>
          </w:p>
        </w:tc>
        <w:tc>
          <w:tcPr>
            <w:tcW w:w="2268" w:type="dxa"/>
            <w:noWrap/>
            <w:vAlign w:val="center"/>
          </w:tcPr>
          <w:p w14:paraId="2FDB36B9">
            <w:pPr>
              <w:autoSpaceDE w:val="0"/>
              <w:autoSpaceDN w:val="0"/>
              <w:jc w:val="left"/>
              <w:rPr>
                <w:rFonts w:hint="eastAsia" w:ascii="宋体" w:hAnsi="宋体"/>
                <w:color w:val="000000"/>
                <w:w w:val="90"/>
                <w:szCs w:val="21"/>
              </w:rPr>
            </w:pPr>
          </w:p>
        </w:tc>
        <w:tc>
          <w:tcPr>
            <w:tcW w:w="1550" w:type="dxa"/>
            <w:noWrap/>
            <w:vAlign w:val="center"/>
          </w:tcPr>
          <w:p w14:paraId="07CF1EEB">
            <w:pPr>
              <w:autoSpaceDE w:val="0"/>
              <w:autoSpaceDN w:val="0"/>
              <w:jc w:val="center"/>
              <w:rPr>
                <w:rFonts w:hint="eastAsia" w:ascii="宋体" w:hAnsi="宋体"/>
                <w:color w:val="000000"/>
                <w:w w:val="90"/>
                <w:szCs w:val="21"/>
              </w:rPr>
            </w:pPr>
          </w:p>
        </w:tc>
        <w:tc>
          <w:tcPr>
            <w:tcW w:w="3048" w:type="dxa"/>
            <w:noWrap/>
            <w:vAlign w:val="center"/>
          </w:tcPr>
          <w:p w14:paraId="2FE1CA54">
            <w:pPr>
              <w:autoSpaceDE w:val="0"/>
              <w:autoSpaceDN w:val="0"/>
              <w:jc w:val="left"/>
              <w:rPr>
                <w:rFonts w:hint="eastAsia" w:ascii="宋体" w:hAnsi="宋体"/>
                <w:color w:val="000000"/>
                <w:w w:val="90"/>
                <w:szCs w:val="21"/>
              </w:rPr>
            </w:pPr>
            <w:r>
              <w:rPr>
                <w:rFonts w:ascii="宋体" w:hAnsi="宋体"/>
                <w:color w:val="000000"/>
                <w:w w:val="90"/>
                <w:szCs w:val="21"/>
              </w:rPr>
              <w:t>《淋浴器用水效率限定值及用水效率等级》（GB 28378）</w:t>
            </w:r>
          </w:p>
        </w:tc>
      </w:tr>
    </w:tbl>
    <w:p w14:paraId="3A4ABFC4">
      <w:pPr>
        <w:autoSpaceDE w:val="0"/>
        <w:autoSpaceDN w:val="0"/>
        <w:spacing w:line="360" w:lineRule="auto"/>
        <w:ind w:left="-850" w:leftChars="-405" w:right="-1050" w:rightChars="-500" w:firstLine="382" w:firstLineChars="201"/>
        <w:rPr>
          <w:rFonts w:hint="eastAsia" w:ascii="宋体" w:hAnsi="宋体"/>
          <w:b/>
          <w:color w:val="000000"/>
          <w:w w:val="90"/>
        </w:rPr>
      </w:pPr>
      <w:r>
        <w:rPr>
          <w:rFonts w:ascii="宋体" w:hAnsi="宋体"/>
          <w:b/>
          <w:color w:val="000000"/>
          <w:w w:val="90"/>
        </w:rPr>
        <w:t>注：</w:t>
      </w:r>
      <w:r>
        <w:rPr>
          <w:rFonts w:hint="eastAsia" w:ascii="宋体" w:hAnsi="宋体"/>
          <w:b/>
          <w:color w:val="000000"/>
          <w:w w:val="90"/>
        </w:rPr>
        <w:t>1、</w:t>
      </w:r>
      <w:r>
        <w:rPr>
          <w:rFonts w:ascii="宋体" w:hAnsi="宋体"/>
          <w:b/>
          <w:color w:val="000000"/>
          <w:w w:val="90"/>
        </w:rPr>
        <w:t>节能产品认证应依据相关国家标准的最新版本，依据国家标准中二级能效（水效）指标。</w:t>
      </w:r>
    </w:p>
    <w:p w14:paraId="60AB9632">
      <w:pPr>
        <w:autoSpaceDE w:val="0"/>
        <w:autoSpaceDN w:val="0"/>
        <w:spacing w:line="360" w:lineRule="auto"/>
        <w:ind w:left="-850" w:leftChars="-405" w:right="-1050" w:rightChars="-500" w:firstLine="382" w:firstLineChars="201"/>
        <w:rPr>
          <w:rFonts w:hint="eastAsia" w:ascii="宋体" w:hAnsi="宋体"/>
          <w:b/>
          <w:color w:val="000000"/>
          <w:w w:val="90"/>
        </w:rPr>
      </w:pPr>
      <w:r>
        <w:rPr>
          <w:rFonts w:hint="eastAsia" w:ascii="宋体" w:hAnsi="宋体"/>
          <w:b/>
          <w:color w:val="000000"/>
          <w:w w:val="90"/>
        </w:rPr>
        <w:t>2、</w:t>
      </w:r>
      <w:r>
        <w:rPr>
          <w:rFonts w:ascii="宋体" w:hAnsi="宋体"/>
          <w:b/>
          <w:color w:val="000000"/>
          <w:w w:val="90"/>
        </w:rPr>
        <w:t>上述产品中认证标准发生变更的，依据原认证标准获得的、仍在有效期内的认证证书可使用至2019年6月1日。</w:t>
      </w:r>
    </w:p>
    <w:p w14:paraId="31ADEDC2">
      <w:pPr>
        <w:autoSpaceDE w:val="0"/>
        <w:autoSpaceDN w:val="0"/>
        <w:spacing w:line="360" w:lineRule="auto"/>
        <w:ind w:left="-850" w:leftChars="-405" w:right="-1050" w:rightChars="-500" w:firstLine="382" w:firstLineChars="201"/>
        <w:rPr>
          <w:color w:val="000000"/>
        </w:rPr>
      </w:pPr>
      <w:r>
        <w:rPr>
          <w:rFonts w:hint="eastAsia" w:ascii="宋体" w:hAnsi="宋体"/>
          <w:b/>
          <w:color w:val="000000"/>
          <w:w w:val="90"/>
        </w:rPr>
        <w:t>3、</w:t>
      </w:r>
      <w:r>
        <w:rPr>
          <w:rFonts w:ascii="宋体" w:hAnsi="宋体"/>
          <w:b/>
          <w:color w:val="000000"/>
          <w:w w:val="90"/>
        </w:rPr>
        <w:t>以“</w:t>
      </w:r>
      <w:r>
        <w:rPr>
          <w:rFonts w:hint="eastAsia" w:ascii="宋体" w:hAnsi="宋体" w:cs="宋体"/>
          <w:b/>
          <w:color w:val="000000"/>
          <w:w w:val="90"/>
        </w:rPr>
        <w:t>★</w:t>
      </w:r>
      <w:r>
        <w:rPr>
          <w:rFonts w:ascii="宋体" w:hAnsi="宋体" w:cs="Calibri"/>
          <w:b/>
          <w:color w:val="000000"/>
          <w:w w:val="90"/>
        </w:rPr>
        <w:t>”</w:t>
      </w:r>
      <w:r>
        <w:rPr>
          <w:rFonts w:ascii="宋体" w:hAnsi="宋体"/>
          <w:b/>
          <w:color w:val="000000"/>
          <w:w w:val="90"/>
        </w:rPr>
        <w:t>标注的为政府强制采购产品。</w:t>
      </w:r>
    </w:p>
    <w:p w14:paraId="7886ED09">
      <w:pPr>
        <w:keepNext/>
        <w:keepLines/>
        <w:autoSpaceDE w:val="0"/>
        <w:autoSpaceDN w:val="0"/>
        <w:spacing w:before="240" w:line="360" w:lineRule="auto"/>
        <w:jc w:val="left"/>
        <w:outlineLvl w:val="2"/>
        <w:rPr>
          <w:rFonts w:hint="eastAsia" w:ascii="华文中宋" w:hAnsi="华文中宋" w:eastAsia="华文中宋"/>
          <w:b/>
          <w:bCs/>
          <w:color w:val="000000"/>
          <w:kern w:val="0"/>
          <w:sz w:val="30"/>
        </w:rPr>
      </w:pPr>
      <w:r>
        <w:rPr>
          <w:rFonts w:hint="eastAsia" w:ascii="inherit" w:hAnsi="inherit" w:eastAsia="仿宋" w:cs="宋体"/>
          <w:b/>
          <w:bCs/>
          <w:color w:val="000000"/>
          <w:kern w:val="0"/>
          <w:sz w:val="24"/>
          <w:szCs w:val="28"/>
        </w:rPr>
        <w:br w:type="page"/>
      </w:r>
      <w:bookmarkStart w:id="220" w:name="_Toc7488758"/>
      <w:bookmarkStart w:id="221" w:name="_Toc7664196"/>
      <w:bookmarkStart w:id="222" w:name="_Toc7574704"/>
      <w:bookmarkStart w:id="223" w:name="_Toc7988474"/>
      <w:bookmarkStart w:id="224" w:name="_Toc7668949"/>
      <w:bookmarkStart w:id="225" w:name="_Toc7492527"/>
      <w:bookmarkStart w:id="226" w:name="_Toc7663596"/>
      <w:bookmarkStart w:id="227" w:name="_Toc17428348"/>
      <w:bookmarkStart w:id="228" w:name="_Toc20358291"/>
      <w:bookmarkStart w:id="229" w:name="_Toc24471817"/>
      <w:bookmarkStart w:id="230" w:name="_Toc17428253"/>
      <w:bookmarkStart w:id="231" w:name="_Toc7993640"/>
      <w:bookmarkStart w:id="232" w:name="_Toc25765009"/>
      <w:bookmarkStart w:id="233" w:name="_Toc10432457"/>
      <w:bookmarkStart w:id="234" w:name="_Toc8007004"/>
      <w:bookmarkStart w:id="235" w:name="_Toc7542915"/>
      <w:bookmarkStart w:id="236" w:name="_Toc7988420"/>
      <w:r>
        <w:rPr>
          <w:rFonts w:hint="eastAsia" w:ascii="华文中宋" w:hAnsi="华文中宋" w:eastAsia="华文中宋"/>
          <w:b/>
          <w:bCs/>
          <w:color w:val="000000"/>
          <w:kern w:val="0"/>
          <w:sz w:val="30"/>
          <w:szCs w:val="28"/>
        </w:rPr>
        <w:t>四、</w:t>
      </w:r>
      <w:r>
        <w:rPr>
          <w:rFonts w:hint="eastAsia" w:ascii="华文中宋" w:hAnsi="华文中宋" w:eastAsia="华文中宋"/>
          <w:b/>
          <w:bCs/>
          <w:color w:val="000000"/>
          <w:kern w:val="0"/>
          <w:sz w:val="30"/>
        </w:rPr>
        <w:t>关于印发环境标志产品政府采购品目清单的通知（财库〔2019〕18号）</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B406FFF">
      <w:pPr>
        <w:autoSpaceDE w:val="0"/>
        <w:autoSpaceDN w:val="0"/>
        <w:jc w:val="center"/>
        <w:rPr>
          <w:rFonts w:hint="eastAsia" w:ascii="inherit" w:hAnsi="inherit" w:eastAsia="仿宋" w:cs="宋体"/>
          <w:color w:val="000000"/>
          <w:kern w:val="0"/>
          <w:sz w:val="24"/>
          <w:szCs w:val="28"/>
        </w:rPr>
      </w:pPr>
    </w:p>
    <w:p w14:paraId="2215820C">
      <w:pPr>
        <w:autoSpaceDE w:val="0"/>
        <w:autoSpaceDN w:val="0"/>
        <w:jc w:val="center"/>
        <w:rPr>
          <w:rFonts w:hint="eastAsia" w:ascii="华文中宋" w:hAnsi="华文中宋" w:eastAsia="华文中宋" w:cs="宋体"/>
          <w:b/>
          <w:color w:val="000000"/>
          <w:kern w:val="0"/>
          <w:sz w:val="32"/>
        </w:rPr>
      </w:pPr>
      <w:r>
        <w:rPr>
          <w:rFonts w:hint="eastAsia" w:ascii="华文中宋" w:hAnsi="华文中宋" w:eastAsia="华文中宋" w:cs="宋体"/>
          <w:b/>
          <w:color w:val="000000"/>
          <w:kern w:val="0"/>
          <w:sz w:val="32"/>
        </w:rPr>
        <w:t>关于印发环境标志产品政府采购品目清单的通知</w:t>
      </w:r>
    </w:p>
    <w:p w14:paraId="2E2ADC4E">
      <w:pPr>
        <w:autoSpaceDE w:val="0"/>
        <w:autoSpaceDN w:val="0"/>
        <w:jc w:val="center"/>
        <w:rPr>
          <w:color w:val="000000"/>
        </w:rPr>
      </w:pPr>
      <w:r>
        <w:rPr>
          <w:rFonts w:hint="eastAsia" w:ascii="华文中宋" w:hAnsi="华文中宋" w:eastAsia="华文中宋" w:cs="宋体"/>
          <w:b/>
          <w:color w:val="000000"/>
          <w:kern w:val="0"/>
          <w:sz w:val="32"/>
        </w:rPr>
        <w:t>财库〔2019〕18号</w:t>
      </w:r>
    </w:p>
    <w:p w14:paraId="3D525CED">
      <w:pPr>
        <w:autoSpaceDE w:val="0"/>
        <w:autoSpaceDN w:val="0"/>
        <w:spacing w:line="360" w:lineRule="auto"/>
        <w:rPr>
          <w:rFonts w:hint="eastAsia" w:ascii="仿宋" w:hAnsi="仿宋" w:eastAsia="仿宋" w:cs="宋体"/>
          <w:color w:val="000000"/>
          <w:kern w:val="0"/>
          <w:sz w:val="28"/>
        </w:rPr>
      </w:pPr>
    </w:p>
    <w:p w14:paraId="1BC3B99B">
      <w:pPr>
        <w:autoSpaceDE w:val="0"/>
        <w:autoSpaceDN w:val="0"/>
        <w:spacing w:line="360" w:lineRule="auto"/>
        <w:rPr>
          <w:rFonts w:hint="eastAsia" w:ascii="仿宋" w:hAnsi="仿宋" w:eastAsia="仿宋" w:cs="宋体"/>
          <w:color w:val="000000"/>
          <w:kern w:val="0"/>
          <w:sz w:val="28"/>
        </w:rPr>
      </w:pPr>
      <w:r>
        <w:rPr>
          <w:rFonts w:hint="eastAsia" w:ascii="仿宋" w:hAnsi="仿宋" w:eastAsia="仿宋" w:cs="宋体"/>
          <w:color w:val="000000"/>
          <w:kern w:val="0"/>
          <w:sz w:val="28"/>
        </w:rPr>
        <w:t>有关中央预算单位，各省、自治区、直辖市、计划单列市财政厅（局）、生态环境厅（局），新疆生产建设兵团财政局、环境保护局：</w:t>
      </w:r>
    </w:p>
    <w:p w14:paraId="3EB42A0E">
      <w:pPr>
        <w:autoSpaceDE w:val="0"/>
        <w:autoSpaceDN w:val="0"/>
        <w:spacing w:line="360" w:lineRule="auto"/>
        <w:rPr>
          <w:rFonts w:hint="eastAsia" w:ascii="仿宋" w:hAnsi="仿宋" w:eastAsia="仿宋" w:cs="宋体"/>
          <w:color w:val="000000"/>
          <w:kern w:val="0"/>
          <w:sz w:val="28"/>
        </w:rPr>
      </w:pPr>
    </w:p>
    <w:p w14:paraId="20BE1E26">
      <w:pPr>
        <w:autoSpaceDE w:val="0"/>
        <w:autoSpaceDN w:val="0"/>
        <w:spacing w:line="360" w:lineRule="auto"/>
        <w:ind w:firstLine="565" w:firstLineChars="202"/>
        <w:rPr>
          <w:rFonts w:hint="eastAsia" w:ascii="仿宋" w:hAnsi="仿宋" w:eastAsia="仿宋" w:cs="宋体"/>
          <w:color w:val="000000"/>
          <w:kern w:val="0"/>
          <w:sz w:val="28"/>
        </w:rPr>
      </w:pPr>
      <w:r>
        <w:rPr>
          <w:rFonts w:hint="eastAsia" w:ascii="仿宋" w:hAnsi="仿宋" w:eastAsia="仿宋" w:cs="宋体"/>
          <w:color w:val="000000"/>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14:paraId="38976116">
      <w:pPr>
        <w:autoSpaceDE w:val="0"/>
        <w:autoSpaceDN w:val="0"/>
        <w:spacing w:line="360" w:lineRule="auto"/>
        <w:ind w:firstLine="565" w:firstLineChars="202"/>
        <w:rPr>
          <w:rFonts w:hint="eastAsia" w:ascii="仿宋" w:hAnsi="仿宋" w:eastAsia="仿宋" w:cs="宋体"/>
          <w:color w:val="000000"/>
          <w:kern w:val="0"/>
          <w:sz w:val="28"/>
        </w:rPr>
      </w:pPr>
    </w:p>
    <w:p w14:paraId="22745532">
      <w:pPr>
        <w:autoSpaceDE w:val="0"/>
        <w:autoSpaceDN w:val="0"/>
        <w:spacing w:line="360" w:lineRule="auto"/>
        <w:ind w:firstLine="3360"/>
        <w:rPr>
          <w:rFonts w:hint="eastAsia" w:ascii="仿宋" w:hAnsi="仿宋" w:eastAsia="仿宋" w:cs="宋体"/>
          <w:color w:val="000000"/>
          <w:kern w:val="0"/>
          <w:sz w:val="28"/>
        </w:rPr>
      </w:pPr>
      <w:r>
        <w:rPr>
          <w:rFonts w:hint="eastAsia" w:ascii="仿宋" w:hAnsi="仿宋" w:eastAsia="仿宋" w:cs="宋体"/>
          <w:color w:val="000000"/>
          <w:kern w:val="0"/>
          <w:sz w:val="28"/>
        </w:rPr>
        <w:t>附件：环境标志产品政府采购品目清单</w:t>
      </w:r>
    </w:p>
    <w:p w14:paraId="63F52E96">
      <w:pPr>
        <w:autoSpaceDE w:val="0"/>
        <w:autoSpaceDN w:val="0"/>
        <w:spacing w:line="360" w:lineRule="auto"/>
        <w:ind w:firstLine="3360"/>
        <w:rPr>
          <w:rFonts w:hint="eastAsia" w:ascii="宋体" w:hAnsi="宋体" w:cs="宋体"/>
          <w:color w:val="000000"/>
          <w:kern w:val="0"/>
          <w:sz w:val="28"/>
        </w:rPr>
      </w:pPr>
    </w:p>
    <w:p w14:paraId="50091F03">
      <w:pPr>
        <w:autoSpaceDE w:val="0"/>
        <w:autoSpaceDN w:val="0"/>
        <w:spacing w:line="360" w:lineRule="auto"/>
        <w:jc w:val="right"/>
        <w:rPr>
          <w:rFonts w:hint="eastAsia" w:ascii="仿宋" w:hAnsi="仿宋" w:eastAsia="仿宋" w:cs="宋体"/>
          <w:color w:val="000000"/>
          <w:kern w:val="0"/>
          <w:sz w:val="28"/>
        </w:rPr>
      </w:pPr>
      <w:r>
        <w:rPr>
          <w:rFonts w:hint="eastAsia" w:ascii="仿宋" w:hAnsi="仿宋" w:eastAsia="仿宋" w:cs="宋体"/>
          <w:color w:val="000000"/>
          <w:kern w:val="0"/>
          <w:sz w:val="28"/>
        </w:rPr>
        <w:t>财政部   生态环境部</w:t>
      </w:r>
    </w:p>
    <w:p w14:paraId="08F78CDC">
      <w:pPr>
        <w:autoSpaceDE w:val="0"/>
        <w:autoSpaceDN w:val="0"/>
        <w:spacing w:line="360" w:lineRule="auto"/>
        <w:jc w:val="right"/>
        <w:rPr>
          <w:rFonts w:hint="eastAsia" w:ascii="仿宋" w:hAnsi="仿宋" w:eastAsia="仿宋" w:cs="宋体"/>
          <w:color w:val="000000"/>
          <w:kern w:val="0"/>
          <w:sz w:val="28"/>
        </w:rPr>
      </w:pPr>
      <w:r>
        <w:rPr>
          <w:rFonts w:hint="eastAsia" w:ascii="仿宋" w:hAnsi="仿宋" w:eastAsia="仿宋" w:cs="宋体"/>
          <w:color w:val="000000"/>
          <w:kern w:val="0"/>
          <w:sz w:val="28"/>
        </w:rPr>
        <w:t>2019年3月29日</w:t>
      </w:r>
    </w:p>
    <w:p w14:paraId="1BE39470">
      <w:pPr>
        <w:keepNext/>
        <w:keepLines/>
        <w:autoSpaceDE w:val="0"/>
        <w:autoSpaceDN w:val="0"/>
        <w:spacing w:before="240" w:line="360" w:lineRule="auto"/>
        <w:jc w:val="left"/>
        <w:outlineLvl w:val="3"/>
        <w:rPr>
          <w:rFonts w:hint="eastAsia" w:ascii="华文中宋" w:hAnsi="华文中宋" w:eastAsia="华文中宋"/>
          <w:b/>
          <w:bCs/>
          <w:color w:val="000000"/>
          <w:sz w:val="28"/>
          <w:szCs w:val="28"/>
        </w:rPr>
      </w:pPr>
      <w:r>
        <w:rPr>
          <w:rFonts w:ascii="华文中宋" w:hAnsi="华文中宋" w:eastAsia="华文中宋"/>
          <w:b/>
          <w:bCs/>
          <w:color w:val="000000"/>
          <w:sz w:val="28"/>
          <w:szCs w:val="28"/>
        </w:rPr>
        <w:br w:type="page"/>
      </w:r>
      <w:r>
        <w:rPr>
          <w:rFonts w:hint="eastAsia" w:ascii="华文中宋" w:hAnsi="华文中宋" w:eastAsia="华文中宋"/>
          <w:b/>
          <w:bCs/>
          <w:color w:val="000000"/>
          <w:sz w:val="28"/>
          <w:szCs w:val="28"/>
        </w:rPr>
        <w:t>附：环境标志产品政府采购品目清单</w:t>
      </w:r>
    </w:p>
    <w:tbl>
      <w:tblPr>
        <w:tblStyle w:val="52"/>
        <w:tblW w:w="9553"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2736"/>
      </w:tblGrid>
      <w:tr w14:paraId="21A245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noWrap/>
            <w:vAlign w:val="center"/>
          </w:tcPr>
          <w:p w14:paraId="04C24F3A">
            <w:pPr>
              <w:autoSpaceDE w:val="0"/>
              <w:autoSpaceDN w:val="0"/>
              <w:jc w:val="center"/>
              <w:rPr>
                <w:rFonts w:hint="eastAsia" w:ascii="宋体" w:hAnsi="宋体"/>
                <w:b/>
                <w:color w:val="000000"/>
                <w:w w:val="90"/>
                <w:szCs w:val="21"/>
              </w:rPr>
            </w:pPr>
            <w:r>
              <w:rPr>
                <w:rFonts w:hint="eastAsia" w:ascii="宋体" w:hAnsi="宋体"/>
                <w:b/>
                <w:color w:val="000000"/>
                <w:w w:val="90"/>
                <w:szCs w:val="21"/>
              </w:rPr>
              <w:t>品目序号</w:t>
            </w:r>
          </w:p>
        </w:tc>
        <w:tc>
          <w:tcPr>
            <w:tcW w:w="6108" w:type="dxa"/>
            <w:gridSpan w:val="3"/>
            <w:shd w:val="clear" w:color="auto" w:fill="DAEEF3"/>
            <w:noWrap/>
            <w:vAlign w:val="center"/>
          </w:tcPr>
          <w:p w14:paraId="2D6622F0">
            <w:pPr>
              <w:autoSpaceDE w:val="0"/>
              <w:autoSpaceDN w:val="0"/>
              <w:jc w:val="center"/>
              <w:rPr>
                <w:rFonts w:hint="eastAsia" w:ascii="宋体" w:hAnsi="宋体"/>
                <w:b/>
                <w:color w:val="000000"/>
                <w:w w:val="90"/>
                <w:szCs w:val="21"/>
              </w:rPr>
            </w:pPr>
            <w:r>
              <w:rPr>
                <w:rFonts w:hint="eastAsia" w:ascii="宋体" w:hAnsi="宋体"/>
                <w:b/>
                <w:color w:val="000000"/>
                <w:w w:val="90"/>
                <w:szCs w:val="21"/>
              </w:rPr>
              <w:t>名称</w:t>
            </w:r>
          </w:p>
        </w:tc>
        <w:tc>
          <w:tcPr>
            <w:tcW w:w="2736" w:type="dxa"/>
            <w:shd w:val="clear" w:color="auto" w:fill="DAEEF3"/>
            <w:noWrap/>
            <w:vAlign w:val="center"/>
          </w:tcPr>
          <w:p w14:paraId="425713E0">
            <w:pPr>
              <w:autoSpaceDE w:val="0"/>
              <w:autoSpaceDN w:val="0"/>
              <w:jc w:val="center"/>
              <w:rPr>
                <w:rFonts w:hint="eastAsia" w:ascii="宋体" w:hAnsi="宋体"/>
                <w:b/>
                <w:color w:val="000000"/>
                <w:w w:val="90"/>
                <w:szCs w:val="21"/>
              </w:rPr>
            </w:pPr>
            <w:r>
              <w:rPr>
                <w:rFonts w:hint="eastAsia" w:ascii="宋体" w:hAnsi="宋体"/>
                <w:b/>
                <w:color w:val="000000"/>
                <w:w w:val="90"/>
                <w:szCs w:val="21"/>
              </w:rPr>
              <w:t>依据的标准</w:t>
            </w:r>
          </w:p>
        </w:tc>
      </w:tr>
      <w:tr w14:paraId="39F224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6944B027">
            <w:pPr>
              <w:autoSpaceDE w:val="0"/>
              <w:autoSpaceDN w:val="0"/>
              <w:jc w:val="center"/>
              <w:rPr>
                <w:rFonts w:hint="eastAsia" w:ascii="宋体" w:hAnsi="宋体"/>
                <w:color w:val="000000"/>
                <w:w w:val="90"/>
                <w:szCs w:val="21"/>
              </w:rPr>
            </w:pPr>
            <w:r>
              <w:rPr>
                <w:rFonts w:ascii="宋体" w:hAnsi="宋体"/>
                <w:color w:val="000000"/>
                <w:w w:val="90"/>
                <w:szCs w:val="21"/>
              </w:rPr>
              <w:t>1</w:t>
            </w:r>
          </w:p>
        </w:tc>
        <w:tc>
          <w:tcPr>
            <w:tcW w:w="1985" w:type="dxa"/>
            <w:vMerge w:val="restart"/>
            <w:noWrap/>
            <w:vAlign w:val="center"/>
          </w:tcPr>
          <w:p w14:paraId="0B26BC16">
            <w:pPr>
              <w:autoSpaceDE w:val="0"/>
              <w:autoSpaceDN w:val="0"/>
              <w:rPr>
                <w:rFonts w:hint="eastAsia" w:ascii="宋体" w:hAnsi="宋体"/>
                <w:color w:val="000000"/>
                <w:w w:val="90"/>
                <w:szCs w:val="21"/>
              </w:rPr>
            </w:pPr>
            <w:r>
              <w:rPr>
                <w:rFonts w:ascii="宋体" w:hAnsi="宋体"/>
                <w:color w:val="000000"/>
                <w:w w:val="90"/>
                <w:szCs w:val="21"/>
              </w:rPr>
              <w:t>A020101计算机设备</w:t>
            </w:r>
          </w:p>
        </w:tc>
        <w:tc>
          <w:tcPr>
            <w:tcW w:w="2268" w:type="dxa"/>
            <w:noWrap/>
            <w:vAlign w:val="center"/>
          </w:tcPr>
          <w:p w14:paraId="680A4B64">
            <w:pPr>
              <w:autoSpaceDE w:val="0"/>
              <w:autoSpaceDN w:val="0"/>
              <w:rPr>
                <w:rFonts w:hint="eastAsia" w:ascii="宋体" w:hAnsi="宋体"/>
                <w:color w:val="000000"/>
                <w:w w:val="90"/>
                <w:szCs w:val="21"/>
              </w:rPr>
            </w:pPr>
            <w:r>
              <w:rPr>
                <w:rFonts w:ascii="宋体" w:hAnsi="宋体"/>
                <w:color w:val="000000"/>
                <w:w w:val="90"/>
                <w:szCs w:val="21"/>
              </w:rPr>
              <w:t>A02010103服务器</w:t>
            </w:r>
          </w:p>
        </w:tc>
        <w:tc>
          <w:tcPr>
            <w:tcW w:w="1855" w:type="dxa"/>
            <w:noWrap/>
            <w:vAlign w:val="center"/>
          </w:tcPr>
          <w:p w14:paraId="6DFB2C64">
            <w:pPr>
              <w:autoSpaceDE w:val="0"/>
              <w:autoSpaceDN w:val="0"/>
              <w:rPr>
                <w:rFonts w:hint="eastAsia" w:ascii="宋体" w:hAnsi="宋体"/>
                <w:color w:val="000000"/>
                <w:w w:val="90"/>
                <w:szCs w:val="21"/>
              </w:rPr>
            </w:pPr>
          </w:p>
        </w:tc>
        <w:tc>
          <w:tcPr>
            <w:tcW w:w="2736" w:type="dxa"/>
            <w:noWrap/>
            <w:vAlign w:val="center"/>
          </w:tcPr>
          <w:p w14:paraId="57E2FC33">
            <w:pPr>
              <w:autoSpaceDE w:val="0"/>
              <w:autoSpaceDN w:val="0"/>
              <w:rPr>
                <w:rFonts w:hint="eastAsia" w:ascii="宋体" w:hAnsi="宋体"/>
                <w:color w:val="000000"/>
                <w:w w:val="90"/>
                <w:szCs w:val="21"/>
              </w:rPr>
            </w:pPr>
            <w:r>
              <w:rPr>
                <w:rFonts w:ascii="宋体" w:hAnsi="宋体"/>
                <w:color w:val="000000"/>
                <w:w w:val="90"/>
                <w:szCs w:val="21"/>
              </w:rPr>
              <w:t>HJ2507网络服务器</w:t>
            </w:r>
          </w:p>
        </w:tc>
      </w:tr>
      <w:tr w14:paraId="0440A1C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9785C4D">
            <w:pPr>
              <w:autoSpaceDE w:val="0"/>
              <w:autoSpaceDN w:val="0"/>
              <w:jc w:val="center"/>
              <w:rPr>
                <w:rFonts w:hint="eastAsia" w:ascii="宋体" w:hAnsi="宋体"/>
                <w:color w:val="000000"/>
                <w:w w:val="90"/>
                <w:szCs w:val="21"/>
              </w:rPr>
            </w:pPr>
          </w:p>
        </w:tc>
        <w:tc>
          <w:tcPr>
            <w:tcW w:w="1985" w:type="dxa"/>
            <w:vMerge w:val="continue"/>
            <w:noWrap/>
            <w:vAlign w:val="center"/>
          </w:tcPr>
          <w:p w14:paraId="3979B031">
            <w:pPr>
              <w:autoSpaceDE w:val="0"/>
              <w:autoSpaceDN w:val="0"/>
              <w:rPr>
                <w:rFonts w:hint="eastAsia" w:ascii="宋体" w:hAnsi="宋体"/>
                <w:color w:val="000000"/>
                <w:w w:val="90"/>
                <w:szCs w:val="21"/>
              </w:rPr>
            </w:pPr>
          </w:p>
        </w:tc>
        <w:tc>
          <w:tcPr>
            <w:tcW w:w="2268" w:type="dxa"/>
            <w:noWrap/>
            <w:vAlign w:val="center"/>
          </w:tcPr>
          <w:p w14:paraId="0C6926D0">
            <w:pPr>
              <w:autoSpaceDE w:val="0"/>
              <w:autoSpaceDN w:val="0"/>
              <w:rPr>
                <w:rFonts w:hint="eastAsia" w:ascii="宋体" w:hAnsi="宋体"/>
                <w:color w:val="000000"/>
                <w:w w:val="90"/>
                <w:szCs w:val="21"/>
              </w:rPr>
            </w:pPr>
            <w:r>
              <w:rPr>
                <w:rFonts w:ascii="宋体" w:hAnsi="宋体"/>
                <w:color w:val="000000"/>
                <w:w w:val="90"/>
                <w:szCs w:val="21"/>
              </w:rPr>
              <w:t>A02010104台式计算机</w:t>
            </w:r>
          </w:p>
        </w:tc>
        <w:tc>
          <w:tcPr>
            <w:tcW w:w="1855" w:type="dxa"/>
            <w:noWrap/>
            <w:vAlign w:val="center"/>
          </w:tcPr>
          <w:p w14:paraId="3902B954">
            <w:pPr>
              <w:autoSpaceDE w:val="0"/>
              <w:autoSpaceDN w:val="0"/>
              <w:rPr>
                <w:rFonts w:hint="eastAsia" w:ascii="宋体" w:hAnsi="宋体"/>
                <w:color w:val="000000"/>
                <w:w w:val="90"/>
                <w:szCs w:val="21"/>
              </w:rPr>
            </w:pPr>
          </w:p>
        </w:tc>
        <w:tc>
          <w:tcPr>
            <w:tcW w:w="2736" w:type="dxa"/>
            <w:noWrap/>
            <w:vAlign w:val="center"/>
          </w:tcPr>
          <w:p w14:paraId="388C9519">
            <w:pPr>
              <w:autoSpaceDE w:val="0"/>
              <w:autoSpaceDN w:val="0"/>
              <w:rPr>
                <w:rFonts w:hint="eastAsia" w:ascii="宋体" w:hAnsi="宋体"/>
                <w:color w:val="000000"/>
                <w:w w:val="90"/>
                <w:szCs w:val="21"/>
              </w:rPr>
            </w:pPr>
            <w:r>
              <w:rPr>
                <w:rFonts w:ascii="宋体" w:hAnsi="宋体"/>
                <w:color w:val="000000"/>
                <w:w w:val="90"/>
                <w:szCs w:val="21"/>
              </w:rPr>
              <w:t>HJ2536微型计算机、显示器</w:t>
            </w:r>
          </w:p>
        </w:tc>
      </w:tr>
      <w:tr w14:paraId="04B73E9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E8BCE0D">
            <w:pPr>
              <w:autoSpaceDE w:val="0"/>
              <w:autoSpaceDN w:val="0"/>
              <w:jc w:val="center"/>
              <w:rPr>
                <w:rFonts w:hint="eastAsia" w:ascii="宋体" w:hAnsi="宋体"/>
                <w:color w:val="000000"/>
                <w:w w:val="90"/>
                <w:szCs w:val="21"/>
              </w:rPr>
            </w:pPr>
          </w:p>
        </w:tc>
        <w:tc>
          <w:tcPr>
            <w:tcW w:w="1985" w:type="dxa"/>
            <w:vMerge w:val="continue"/>
            <w:noWrap/>
            <w:vAlign w:val="center"/>
          </w:tcPr>
          <w:p w14:paraId="146C9261">
            <w:pPr>
              <w:autoSpaceDE w:val="0"/>
              <w:autoSpaceDN w:val="0"/>
              <w:rPr>
                <w:rFonts w:hint="eastAsia" w:ascii="宋体" w:hAnsi="宋体"/>
                <w:color w:val="000000"/>
                <w:w w:val="90"/>
                <w:szCs w:val="21"/>
              </w:rPr>
            </w:pPr>
          </w:p>
        </w:tc>
        <w:tc>
          <w:tcPr>
            <w:tcW w:w="2268" w:type="dxa"/>
            <w:noWrap/>
            <w:vAlign w:val="center"/>
          </w:tcPr>
          <w:p w14:paraId="24385BEC">
            <w:pPr>
              <w:autoSpaceDE w:val="0"/>
              <w:autoSpaceDN w:val="0"/>
              <w:rPr>
                <w:rFonts w:hint="eastAsia" w:ascii="宋体" w:hAnsi="宋体"/>
                <w:color w:val="000000"/>
                <w:w w:val="90"/>
                <w:szCs w:val="21"/>
              </w:rPr>
            </w:pPr>
            <w:r>
              <w:rPr>
                <w:rFonts w:ascii="宋体" w:hAnsi="宋体"/>
                <w:color w:val="000000"/>
                <w:w w:val="90"/>
                <w:szCs w:val="21"/>
              </w:rPr>
              <w:t>A02010105便携式计算机</w:t>
            </w:r>
          </w:p>
        </w:tc>
        <w:tc>
          <w:tcPr>
            <w:tcW w:w="1855" w:type="dxa"/>
            <w:noWrap/>
            <w:vAlign w:val="center"/>
          </w:tcPr>
          <w:p w14:paraId="212B278E">
            <w:pPr>
              <w:autoSpaceDE w:val="0"/>
              <w:autoSpaceDN w:val="0"/>
              <w:rPr>
                <w:rFonts w:hint="eastAsia" w:ascii="宋体" w:hAnsi="宋体"/>
                <w:color w:val="000000"/>
                <w:w w:val="90"/>
                <w:szCs w:val="21"/>
              </w:rPr>
            </w:pPr>
          </w:p>
        </w:tc>
        <w:tc>
          <w:tcPr>
            <w:tcW w:w="2736" w:type="dxa"/>
            <w:noWrap/>
            <w:vAlign w:val="center"/>
          </w:tcPr>
          <w:p w14:paraId="0F993C9E">
            <w:pPr>
              <w:autoSpaceDE w:val="0"/>
              <w:autoSpaceDN w:val="0"/>
              <w:rPr>
                <w:rFonts w:hint="eastAsia" w:ascii="宋体" w:hAnsi="宋体"/>
                <w:color w:val="000000"/>
                <w:w w:val="90"/>
                <w:szCs w:val="21"/>
              </w:rPr>
            </w:pPr>
            <w:r>
              <w:rPr>
                <w:rFonts w:ascii="宋体" w:hAnsi="宋体"/>
                <w:color w:val="000000"/>
                <w:w w:val="90"/>
                <w:szCs w:val="21"/>
              </w:rPr>
              <w:t>HJ2536微型计算机、显示器</w:t>
            </w:r>
          </w:p>
        </w:tc>
      </w:tr>
      <w:tr w14:paraId="3DAD8E9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4E7C088">
            <w:pPr>
              <w:autoSpaceDE w:val="0"/>
              <w:autoSpaceDN w:val="0"/>
              <w:jc w:val="center"/>
              <w:rPr>
                <w:rFonts w:hint="eastAsia" w:ascii="宋体" w:hAnsi="宋体"/>
                <w:color w:val="000000"/>
                <w:w w:val="90"/>
                <w:szCs w:val="21"/>
              </w:rPr>
            </w:pPr>
          </w:p>
        </w:tc>
        <w:tc>
          <w:tcPr>
            <w:tcW w:w="1985" w:type="dxa"/>
            <w:vMerge w:val="continue"/>
            <w:noWrap/>
            <w:vAlign w:val="center"/>
          </w:tcPr>
          <w:p w14:paraId="49D1C6F2">
            <w:pPr>
              <w:autoSpaceDE w:val="0"/>
              <w:autoSpaceDN w:val="0"/>
              <w:rPr>
                <w:rFonts w:hint="eastAsia" w:ascii="宋体" w:hAnsi="宋体"/>
                <w:color w:val="000000"/>
                <w:w w:val="90"/>
                <w:szCs w:val="21"/>
              </w:rPr>
            </w:pPr>
          </w:p>
        </w:tc>
        <w:tc>
          <w:tcPr>
            <w:tcW w:w="2268" w:type="dxa"/>
            <w:noWrap/>
            <w:vAlign w:val="center"/>
          </w:tcPr>
          <w:p w14:paraId="0FCA0BD5">
            <w:pPr>
              <w:autoSpaceDE w:val="0"/>
              <w:autoSpaceDN w:val="0"/>
              <w:rPr>
                <w:rFonts w:hint="eastAsia" w:ascii="宋体" w:hAnsi="宋体"/>
                <w:color w:val="000000"/>
                <w:w w:val="90"/>
                <w:szCs w:val="21"/>
              </w:rPr>
            </w:pPr>
            <w:r>
              <w:rPr>
                <w:rFonts w:ascii="宋体" w:hAnsi="宋体"/>
                <w:color w:val="000000"/>
                <w:w w:val="90"/>
                <w:szCs w:val="21"/>
              </w:rPr>
              <w:t>A02010107平板式微型计算机</w:t>
            </w:r>
          </w:p>
        </w:tc>
        <w:tc>
          <w:tcPr>
            <w:tcW w:w="1855" w:type="dxa"/>
            <w:noWrap/>
            <w:vAlign w:val="center"/>
          </w:tcPr>
          <w:p w14:paraId="55349CA8">
            <w:pPr>
              <w:autoSpaceDE w:val="0"/>
              <w:autoSpaceDN w:val="0"/>
              <w:rPr>
                <w:rFonts w:hint="eastAsia" w:ascii="宋体" w:hAnsi="宋体"/>
                <w:color w:val="000000"/>
                <w:w w:val="90"/>
                <w:szCs w:val="21"/>
              </w:rPr>
            </w:pPr>
          </w:p>
        </w:tc>
        <w:tc>
          <w:tcPr>
            <w:tcW w:w="2736" w:type="dxa"/>
            <w:noWrap/>
            <w:vAlign w:val="center"/>
          </w:tcPr>
          <w:p w14:paraId="5E6AAE4C">
            <w:pPr>
              <w:autoSpaceDE w:val="0"/>
              <w:autoSpaceDN w:val="0"/>
              <w:rPr>
                <w:rFonts w:hint="eastAsia" w:ascii="宋体" w:hAnsi="宋体"/>
                <w:color w:val="000000"/>
                <w:w w:val="90"/>
                <w:szCs w:val="21"/>
              </w:rPr>
            </w:pPr>
            <w:r>
              <w:rPr>
                <w:rFonts w:ascii="宋体" w:hAnsi="宋体"/>
                <w:color w:val="000000"/>
                <w:w w:val="90"/>
                <w:szCs w:val="21"/>
              </w:rPr>
              <w:t>HJ2536微型计算机、显示器</w:t>
            </w:r>
          </w:p>
        </w:tc>
      </w:tr>
      <w:tr w14:paraId="49A776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64365A2">
            <w:pPr>
              <w:autoSpaceDE w:val="0"/>
              <w:autoSpaceDN w:val="0"/>
              <w:jc w:val="center"/>
              <w:rPr>
                <w:rFonts w:hint="eastAsia" w:ascii="宋体" w:hAnsi="宋体"/>
                <w:color w:val="000000"/>
                <w:w w:val="90"/>
                <w:szCs w:val="21"/>
              </w:rPr>
            </w:pPr>
          </w:p>
        </w:tc>
        <w:tc>
          <w:tcPr>
            <w:tcW w:w="1985" w:type="dxa"/>
            <w:vMerge w:val="continue"/>
            <w:noWrap/>
            <w:vAlign w:val="center"/>
          </w:tcPr>
          <w:p w14:paraId="229ED597">
            <w:pPr>
              <w:autoSpaceDE w:val="0"/>
              <w:autoSpaceDN w:val="0"/>
              <w:rPr>
                <w:rFonts w:hint="eastAsia" w:ascii="宋体" w:hAnsi="宋体"/>
                <w:color w:val="000000"/>
                <w:w w:val="90"/>
                <w:szCs w:val="21"/>
              </w:rPr>
            </w:pPr>
          </w:p>
        </w:tc>
        <w:tc>
          <w:tcPr>
            <w:tcW w:w="2268" w:type="dxa"/>
            <w:noWrap/>
            <w:vAlign w:val="center"/>
          </w:tcPr>
          <w:p w14:paraId="4274BE3F">
            <w:pPr>
              <w:autoSpaceDE w:val="0"/>
              <w:autoSpaceDN w:val="0"/>
              <w:rPr>
                <w:rFonts w:hint="eastAsia" w:ascii="宋体" w:hAnsi="宋体"/>
                <w:color w:val="000000"/>
                <w:w w:val="90"/>
                <w:szCs w:val="21"/>
              </w:rPr>
            </w:pPr>
            <w:r>
              <w:rPr>
                <w:rFonts w:ascii="宋体" w:hAnsi="宋体"/>
                <w:color w:val="000000"/>
                <w:w w:val="90"/>
                <w:szCs w:val="21"/>
              </w:rPr>
              <w:t>A02010108网络计算机</w:t>
            </w:r>
          </w:p>
        </w:tc>
        <w:tc>
          <w:tcPr>
            <w:tcW w:w="1855" w:type="dxa"/>
            <w:noWrap/>
            <w:vAlign w:val="center"/>
          </w:tcPr>
          <w:p w14:paraId="13B3602A">
            <w:pPr>
              <w:autoSpaceDE w:val="0"/>
              <w:autoSpaceDN w:val="0"/>
              <w:rPr>
                <w:rFonts w:hint="eastAsia" w:ascii="宋体" w:hAnsi="宋体"/>
                <w:color w:val="000000"/>
                <w:w w:val="90"/>
                <w:szCs w:val="21"/>
              </w:rPr>
            </w:pPr>
          </w:p>
        </w:tc>
        <w:tc>
          <w:tcPr>
            <w:tcW w:w="2736" w:type="dxa"/>
            <w:noWrap/>
            <w:vAlign w:val="center"/>
          </w:tcPr>
          <w:p w14:paraId="637CE699">
            <w:pPr>
              <w:autoSpaceDE w:val="0"/>
              <w:autoSpaceDN w:val="0"/>
              <w:rPr>
                <w:rFonts w:hint="eastAsia" w:ascii="宋体" w:hAnsi="宋体"/>
                <w:color w:val="000000"/>
                <w:w w:val="90"/>
                <w:szCs w:val="21"/>
              </w:rPr>
            </w:pPr>
            <w:r>
              <w:rPr>
                <w:rFonts w:ascii="宋体" w:hAnsi="宋体"/>
                <w:color w:val="000000"/>
                <w:w w:val="90"/>
                <w:szCs w:val="21"/>
              </w:rPr>
              <w:t>HJ2536微型计算机、显示器</w:t>
            </w:r>
          </w:p>
        </w:tc>
      </w:tr>
      <w:tr w14:paraId="4F5863E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875A901">
            <w:pPr>
              <w:autoSpaceDE w:val="0"/>
              <w:autoSpaceDN w:val="0"/>
              <w:jc w:val="center"/>
              <w:rPr>
                <w:rFonts w:hint="eastAsia" w:ascii="宋体" w:hAnsi="宋体"/>
                <w:color w:val="000000"/>
                <w:w w:val="90"/>
                <w:szCs w:val="21"/>
              </w:rPr>
            </w:pPr>
          </w:p>
        </w:tc>
        <w:tc>
          <w:tcPr>
            <w:tcW w:w="1985" w:type="dxa"/>
            <w:vMerge w:val="continue"/>
            <w:noWrap/>
            <w:vAlign w:val="center"/>
          </w:tcPr>
          <w:p w14:paraId="14E15A91">
            <w:pPr>
              <w:autoSpaceDE w:val="0"/>
              <w:autoSpaceDN w:val="0"/>
              <w:rPr>
                <w:rFonts w:hint="eastAsia" w:ascii="宋体" w:hAnsi="宋体"/>
                <w:color w:val="000000"/>
                <w:w w:val="90"/>
                <w:szCs w:val="21"/>
              </w:rPr>
            </w:pPr>
          </w:p>
        </w:tc>
        <w:tc>
          <w:tcPr>
            <w:tcW w:w="2268" w:type="dxa"/>
            <w:noWrap/>
            <w:vAlign w:val="center"/>
          </w:tcPr>
          <w:p w14:paraId="245C1FEE">
            <w:pPr>
              <w:autoSpaceDE w:val="0"/>
              <w:autoSpaceDN w:val="0"/>
              <w:rPr>
                <w:rFonts w:hint="eastAsia" w:ascii="宋体" w:hAnsi="宋体"/>
                <w:color w:val="000000"/>
                <w:w w:val="90"/>
                <w:szCs w:val="21"/>
              </w:rPr>
            </w:pPr>
            <w:r>
              <w:rPr>
                <w:rFonts w:ascii="宋体" w:hAnsi="宋体"/>
                <w:color w:val="000000"/>
                <w:w w:val="90"/>
                <w:szCs w:val="21"/>
              </w:rPr>
              <w:t>A02010109计算机工作站</w:t>
            </w:r>
          </w:p>
        </w:tc>
        <w:tc>
          <w:tcPr>
            <w:tcW w:w="1855" w:type="dxa"/>
            <w:noWrap/>
            <w:vAlign w:val="center"/>
          </w:tcPr>
          <w:p w14:paraId="7D41AA39">
            <w:pPr>
              <w:autoSpaceDE w:val="0"/>
              <w:autoSpaceDN w:val="0"/>
              <w:rPr>
                <w:rFonts w:hint="eastAsia" w:ascii="宋体" w:hAnsi="宋体"/>
                <w:color w:val="000000"/>
                <w:w w:val="90"/>
                <w:szCs w:val="21"/>
              </w:rPr>
            </w:pPr>
          </w:p>
        </w:tc>
        <w:tc>
          <w:tcPr>
            <w:tcW w:w="2736" w:type="dxa"/>
            <w:noWrap/>
            <w:vAlign w:val="center"/>
          </w:tcPr>
          <w:p w14:paraId="5B2C58D2">
            <w:pPr>
              <w:autoSpaceDE w:val="0"/>
              <w:autoSpaceDN w:val="0"/>
              <w:rPr>
                <w:rFonts w:hint="eastAsia" w:ascii="宋体" w:hAnsi="宋体"/>
                <w:color w:val="000000"/>
                <w:w w:val="90"/>
                <w:szCs w:val="21"/>
              </w:rPr>
            </w:pPr>
            <w:r>
              <w:rPr>
                <w:rFonts w:ascii="宋体" w:hAnsi="宋体"/>
                <w:color w:val="000000"/>
                <w:w w:val="90"/>
                <w:szCs w:val="21"/>
              </w:rPr>
              <w:t>HJ2536微型计算机、显示器</w:t>
            </w:r>
          </w:p>
        </w:tc>
      </w:tr>
      <w:tr w14:paraId="5AB72A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CFD792D">
            <w:pPr>
              <w:autoSpaceDE w:val="0"/>
              <w:autoSpaceDN w:val="0"/>
              <w:jc w:val="center"/>
              <w:rPr>
                <w:rFonts w:hint="eastAsia" w:ascii="宋体" w:hAnsi="宋体"/>
                <w:color w:val="000000"/>
                <w:w w:val="90"/>
                <w:szCs w:val="21"/>
              </w:rPr>
            </w:pPr>
          </w:p>
        </w:tc>
        <w:tc>
          <w:tcPr>
            <w:tcW w:w="1985" w:type="dxa"/>
            <w:vMerge w:val="continue"/>
            <w:noWrap/>
            <w:vAlign w:val="center"/>
          </w:tcPr>
          <w:p w14:paraId="731E682B">
            <w:pPr>
              <w:autoSpaceDE w:val="0"/>
              <w:autoSpaceDN w:val="0"/>
              <w:rPr>
                <w:rFonts w:hint="eastAsia" w:ascii="宋体" w:hAnsi="宋体"/>
                <w:color w:val="000000"/>
                <w:w w:val="90"/>
                <w:szCs w:val="21"/>
              </w:rPr>
            </w:pPr>
          </w:p>
        </w:tc>
        <w:tc>
          <w:tcPr>
            <w:tcW w:w="2268" w:type="dxa"/>
            <w:noWrap/>
            <w:vAlign w:val="center"/>
          </w:tcPr>
          <w:p w14:paraId="708F3BFE">
            <w:pPr>
              <w:autoSpaceDE w:val="0"/>
              <w:autoSpaceDN w:val="0"/>
              <w:rPr>
                <w:rFonts w:hint="eastAsia" w:ascii="宋体" w:hAnsi="宋体"/>
                <w:color w:val="000000"/>
                <w:w w:val="90"/>
                <w:szCs w:val="21"/>
              </w:rPr>
            </w:pPr>
            <w:r>
              <w:rPr>
                <w:rFonts w:ascii="宋体" w:hAnsi="宋体"/>
                <w:color w:val="000000"/>
                <w:w w:val="90"/>
                <w:szCs w:val="21"/>
              </w:rPr>
              <w:t>A02010199其他计算机设备</w:t>
            </w:r>
          </w:p>
        </w:tc>
        <w:tc>
          <w:tcPr>
            <w:tcW w:w="1855" w:type="dxa"/>
            <w:noWrap/>
            <w:vAlign w:val="center"/>
          </w:tcPr>
          <w:p w14:paraId="41FD8193">
            <w:pPr>
              <w:autoSpaceDE w:val="0"/>
              <w:autoSpaceDN w:val="0"/>
              <w:rPr>
                <w:rFonts w:hint="eastAsia" w:ascii="宋体" w:hAnsi="宋体"/>
                <w:color w:val="000000"/>
                <w:w w:val="90"/>
                <w:szCs w:val="21"/>
              </w:rPr>
            </w:pPr>
          </w:p>
        </w:tc>
        <w:tc>
          <w:tcPr>
            <w:tcW w:w="2736" w:type="dxa"/>
            <w:noWrap/>
            <w:vAlign w:val="center"/>
          </w:tcPr>
          <w:p w14:paraId="3560B972">
            <w:pPr>
              <w:autoSpaceDE w:val="0"/>
              <w:autoSpaceDN w:val="0"/>
              <w:rPr>
                <w:rFonts w:hint="eastAsia" w:ascii="宋体" w:hAnsi="宋体"/>
                <w:color w:val="000000"/>
                <w:w w:val="90"/>
                <w:szCs w:val="21"/>
              </w:rPr>
            </w:pPr>
            <w:r>
              <w:rPr>
                <w:rFonts w:ascii="宋体" w:hAnsi="宋体"/>
                <w:color w:val="000000"/>
                <w:w w:val="90"/>
                <w:szCs w:val="21"/>
              </w:rPr>
              <w:t>HJ2536微型计算机、显示器</w:t>
            </w:r>
          </w:p>
        </w:tc>
      </w:tr>
      <w:tr w14:paraId="5EA9AF6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FE5388D">
            <w:pPr>
              <w:autoSpaceDE w:val="0"/>
              <w:autoSpaceDN w:val="0"/>
              <w:jc w:val="center"/>
              <w:rPr>
                <w:rFonts w:hint="eastAsia" w:ascii="宋体" w:hAnsi="宋体"/>
                <w:color w:val="000000"/>
                <w:w w:val="90"/>
                <w:szCs w:val="21"/>
              </w:rPr>
            </w:pPr>
            <w:r>
              <w:rPr>
                <w:rFonts w:ascii="宋体" w:hAnsi="宋体"/>
                <w:color w:val="000000"/>
                <w:w w:val="90"/>
                <w:szCs w:val="21"/>
              </w:rPr>
              <w:t>2</w:t>
            </w:r>
          </w:p>
        </w:tc>
        <w:tc>
          <w:tcPr>
            <w:tcW w:w="1985" w:type="dxa"/>
            <w:vMerge w:val="restart"/>
            <w:noWrap/>
            <w:vAlign w:val="center"/>
          </w:tcPr>
          <w:p w14:paraId="57B755D5">
            <w:pPr>
              <w:autoSpaceDE w:val="0"/>
              <w:autoSpaceDN w:val="0"/>
              <w:rPr>
                <w:rFonts w:hint="eastAsia" w:ascii="宋体" w:hAnsi="宋体"/>
                <w:color w:val="000000"/>
                <w:w w:val="90"/>
                <w:szCs w:val="21"/>
              </w:rPr>
            </w:pPr>
            <w:r>
              <w:rPr>
                <w:rFonts w:ascii="宋体" w:hAnsi="宋体"/>
                <w:color w:val="000000"/>
                <w:w w:val="90"/>
                <w:szCs w:val="21"/>
              </w:rPr>
              <w:t>A020106输入输出设备</w:t>
            </w:r>
          </w:p>
        </w:tc>
        <w:tc>
          <w:tcPr>
            <w:tcW w:w="2268" w:type="dxa"/>
            <w:vMerge w:val="restart"/>
            <w:noWrap/>
            <w:vAlign w:val="center"/>
          </w:tcPr>
          <w:p w14:paraId="2F64B9B3">
            <w:pPr>
              <w:autoSpaceDE w:val="0"/>
              <w:autoSpaceDN w:val="0"/>
              <w:rPr>
                <w:rFonts w:hint="eastAsia" w:ascii="宋体" w:hAnsi="宋体"/>
                <w:color w:val="000000"/>
                <w:w w:val="90"/>
                <w:szCs w:val="21"/>
              </w:rPr>
            </w:pPr>
            <w:r>
              <w:rPr>
                <w:rFonts w:ascii="宋体" w:hAnsi="宋体"/>
                <w:color w:val="000000"/>
                <w:w w:val="90"/>
                <w:szCs w:val="21"/>
              </w:rPr>
              <w:t>A02010601打印设备</w:t>
            </w:r>
          </w:p>
        </w:tc>
        <w:tc>
          <w:tcPr>
            <w:tcW w:w="1855" w:type="dxa"/>
            <w:noWrap/>
            <w:vAlign w:val="center"/>
          </w:tcPr>
          <w:p w14:paraId="4634E264">
            <w:pPr>
              <w:autoSpaceDE w:val="0"/>
              <w:autoSpaceDN w:val="0"/>
              <w:rPr>
                <w:rFonts w:hint="eastAsia" w:ascii="宋体" w:hAnsi="宋体"/>
                <w:color w:val="000000"/>
                <w:w w:val="90"/>
                <w:szCs w:val="21"/>
              </w:rPr>
            </w:pPr>
            <w:r>
              <w:rPr>
                <w:rFonts w:ascii="宋体" w:hAnsi="宋体"/>
                <w:color w:val="000000"/>
                <w:w w:val="90"/>
                <w:szCs w:val="21"/>
              </w:rPr>
              <w:t>A0201060101喷墨打印机</w:t>
            </w:r>
          </w:p>
        </w:tc>
        <w:tc>
          <w:tcPr>
            <w:tcW w:w="2736" w:type="dxa"/>
            <w:noWrap/>
            <w:vAlign w:val="center"/>
          </w:tcPr>
          <w:p w14:paraId="75DDF269">
            <w:pPr>
              <w:autoSpaceDE w:val="0"/>
              <w:autoSpaceDN w:val="0"/>
              <w:rPr>
                <w:rFonts w:hint="eastAsia" w:ascii="宋体" w:hAnsi="宋体"/>
                <w:color w:val="000000"/>
                <w:w w:val="90"/>
                <w:szCs w:val="21"/>
              </w:rPr>
            </w:pPr>
            <w:r>
              <w:rPr>
                <w:rFonts w:ascii="宋体" w:hAnsi="宋体"/>
                <w:color w:val="000000"/>
                <w:w w:val="90"/>
                <w:szCs w:val="21"/>
              </w:rPr>
              <w:t>HJ2512打印机、传真机及多功能一体机</w:t>
            </w:r>
          </w:p>
        </w:tc>
      </w:tr>
      <w:tr w14:paraId="469869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EBB465B">
            <w:pPr>
              <w:autoSpaceDE w:val="0"/>
              <w:autoSpaceDN w:val="0"/>
              <w:jc w:val="center"/>
              <w:rPr>
                <w:rFonts w:hint="eastAsia" w:ascii="宋体" w:hAnsi="宋体"/>
                <w:color w:val="000000"/>
                <w:w w:val="90"/>
                <w:szCs w:val="21"/>
              </w:rPr>
            </w:pPr>
          </w:p>
        </w:tc>
        <w:tc>
          <w:tcPr>
            <w:tcW w:w="1985" w:type="dxa"/>
            <w:vMerge w:val="continue"/>
            <w:noWrap/>
            <w:vAlign w:val="center"/>
          </w:tcPr>
          <w:p w14:paraId="6186EA85">
            <w:pPr>
              <w:autoSpaceDE w:val="0"/>
              <w:autoSpaceDN w:val="0"/>
              <w:rPr>
                <w:rFonts w:hint="eastAsia" w:ascii="宋体" w:hAnsi="宋体"/>
                <w:color w:val="000000"/>
                <w:w w:val="90"/>
                <w:szCs w:val="21"/>
              </w:rPr>
            </w:pPr>
          </w:p>
        </w:tc>
        <w:tc>
          <w:tcPr>
            <w:tcW w:w="2268" w:type="dxa"/>
            <w:vMerge w:val="continue"/>
            <w:noWrap/>
            <w:vAlign w:val="center"/>
          </w:tcPr>
          <w:p w14:paraId="0FDFEBE0">
            <w:pPr>
              <w:autoSpaceDE w:val="0"/>
              <w:autoSpaceDN w:val="0"/>
              <w:rPr>
                <w:rFonts w:hint="eastAsia" w:ascii="宋体" w:hAnsi="宋体"/>
                <w:color w:val="000000"/>
                <w:w w:val="90"/>
                <w:szCs w:val="21"/>
              </w:rPr>
            </w:pPr>
          </w:p>
        </w:tc>
        <w:tc>
          <w:tcPr>
            <w:tcW w:w="1855" w:type="dxa"/>
            <w:noWrap/>
            <w:vAlign w:val="center"/>
          </w:tcPr>
          <w:p w14:paraId="1C68B802">
            <w:pPr>
              <w:autoSpaceDE w:val="0"/>
              <w:autoSpaceDN w:val="0"/>
              <w:rPr>
                <w:rFonts w:hint="eastAsia" w:ascii="宋体" w:hAnsi="宋体"/>
                <w:color w:val="000000"/>
                <w:w w:val="90"/>
                <w:szCs w:val="21"/>
              </w:rPr>
            </w:pPr>
            <w:r>
              <w:rPr>
                <w:rFonts w:ascii="宋体" w:hAnsi="宋体"/>
                <w:color w:val="000000"/>
                <w:w w:val="90"/>
                <w:szCs w:val="21"/>
              </w:rPr>
              <w:t>A0201060102激光打印机</w:t>
            </w:r>
          </w:p>
        </w:tc>
        <w:tc>
          <w:tcPr>
            <w:tcW w:w="2736" w:type="dxa"/>
            <w:noWrap/>
            <w:vAlign w:val="center"/>
          </w:tcPr>
          <w:p w14:paraId="7867F113">
            <w:pPr>
              <w:autoSpaceDE w:val="0"/>
              <w:autoSpaceDN w:val="0"/>
              <w:rPr>
                <w:rFonts w:hint="eastAsia" w:ascii="宋体" w:hAnsi="宋体"/>
                <w:color w:val="000000"/>
                <w:w w:val="90"/>
                <w:szCs w:val="21"/>
              </w:rPr>
            </w:pPr>
            <w:r>
              <w:rPr>
                <w:rFonts w:ascii="宋体" w:hAnsi="宋体"/>
                <w:color w:val="000000"/>
                <w:w w:val="90"/>
                <w:szCs w:val="21"/>
              </w:rPr>
              <w:t>HJ2512打印机、传真机及多功能一体机</w:t>
            </w:r>
          </w:p>
        </w:tc>
      </w:tr>
      <w:tr w14:paraId="1D4DBD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019058D">
            <w:pPr>
              <w:autoSpaceDE w:val="0"/>
              <w:autoSpaceDN w:val="0"/>
              <w:jc w:val="center"/>
              <w:rPr>
                <w:rFonts w:hint="eastAsia" w:ascii="宋体" w:hAnsi="宋体"/>
                <w:color w:val="000000"/>
                <w:w w:val="90"/>
                <w:szCs w:val="21"/>
              </w:rPr>
            </w:pPr>
          </w:p>
        </w:tc>
        <w:tc>
          <w:tcPr>
            <w:tcW w:w="1985" w:type="dxa"/>
            <w:vMerge w:val="continue"/>
            <w:noWrap/>
            <w:vAlign w:val="center"/>
          </w:tcPr>
          <w:p w14:paraId="3AF6D7AD">
            <w:pPr>
              <w:autoSpaceDE w:val="0"/>
              <w:autoSpaceDN w:val="0"/>
              <w:rPr>
                <w:rFonts w:hint="eastAsia" w:ascii="宋体" w:hAnsi="宋体"/>
                <w:color w:val="000000"/>
                <w:w w:val="90"/>
                <w:szCs w:val="21"/>
              </w:rPr>
            </w:pPr>
          </w:p>
        </w:tc>
        <w:tc>
          <w:tcPr>
            <w:tcW w:w="2268" w:type="dxa"/>
            <w:vMerge w:val="continue"/>
            <w:noWrap/>
            <w:vAlign w:val="center"/>
          </w:tcPr>
          <w:p w14:paraId="2ABCDF71">
            <w:pPr>
              <w:autoSpaceDE w:val="0"/>
              <w:autoSpaceDN w:val="0"/>
              <w:rPr>
                <w:rFonts w:hint="eastAsia" w:ascii="宋体" w:hAnsi="宋体"/>
                <w:color w:val="000000"/>
                <w:w w:val="90"/>
                <w:szCs w:val="21"/>
              </w:rPr>
            </w:pPr>
          </w:p>
        </w:tc>
        <w:tc>
          <w:tcPr>
            <w:tcW w:w="1855" w:type="dxa"/>
            <w:noWrap/>
            <w:vAlign w:val="center"/>
          </w:tcPr>
          <w:p w14:paraId="2AD4B27E">
            <w:pPr>
              <w:autoSpaceDE w:val="0"/>
              <w:autoSpaceDN w:val="0"/>
              <w:rPr>
                <w:rFonts w:hint="eastAsia" w:ascii="宋体" w:hAnsi="宋体"/>
                <w:color w:val="000000"/>
                <w:w w:val="90"/>
                <w:szCs w:val="21"/>
              </w:rPr>
            </w:pPr>
            <w:r>
              <w:rPr>
                <w:rFonts w:ascii="宋体" w:hAnsi="宋体"/>
                <w:color w:val="000000"/>
                <w:w w:val="90"/>
                <w:szCs w:val="21"/>
              </w:rPr>
              <w:t>A0201060103热式打印机</w:t>
            </w:r>
          </w:p>
        </w:tc>
        <w:tc>
          <w:tcPr>
            <w:tcW w:w="2736" w:type="dxa"/>
            <w:noWrap/>
            <w:vAlign w:val="center"/>
          </w:tcPr>
          <w:p w14:paraId="3CD04758">
            <w:pPr>
              <w:autoSpaceDE w:val="0"/>
              <w:autoSpaceDN w:val="0"/>
              <w:rPr>
                <w:rFonts w:hint="eastAsia" w:ascii="宋体" w:hAnsi="宋体"/>
                <w:color w:val="000000"/>
                <w:w w:val="90"/>
                <w:szCs w:val="21"/>
              </w:rPr>
            </w:pPr>
            <w:r>
              <w:rPr>
                <w:rFonts w:ascii="宋体" w:hAnsi="宋体"/>
                <w:color w:val="000000"/>
                <w:w w:val="90"/>
                <w:szCs w:val="21"/>
              </w:rPr>
              <w:t>HJ2512打印机、传真机及多功能一体机</w:t>
            </w:r>
          </w:p>
        </w:tc>
      </w:tr>
      <w:tr w14:paraId="25271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A7D2251">
            <w:pPr>
              <w:autoSpaceDE w:val="0"/>
              <w:autoSpaceDN w:val="0"/>
              <w:jc w:val="center"/>
              <w:rPr>
                <w:rFonts w:hint="eastAsia" w:ascii="宋体" w:hAnsi="宋体"/>
                <w:color w:val="000000"/>
                <w:w w:val="90"/>
                <w:szCs w:val="21"/>
              </w:rPr>
            </w:pPr>
          </w:p>
        </w:tc>
        <w:tc>
          <w:tcPr>
            <w:tcW w:w="1985" w:type="dxa"/>
            <w:vMerge w:val="continue"/>
            <w:noWrap/>
            <w:vAlign w:val="center"/>
          </w:tcPr>
          <w:p w14:paraId="3D9A4DC0">
            <w:pPr>
              <w:autoSpaceDE w:val="0"/>
              <w:autoSpaceDN w:val="0"/>
              <w:rPr>
                <w:rFonts w:hint="eastAsia" w:ascii="宋体" w:hAnsi="宋体"/>
                <w:color w:val="000000"/>
                <w:w w:val="90"/>
                <w:szCs w:val="21"/>
              </w:rPr>
            </w:pPr>
          </w:p>
        </w:tc>
        <w:tc>
          <w:tcPr>
            <w:tcW w:w="2268" w:type="dxa"/>
            <w:vMerge w:val="continue"/>
            <w:noWrap/>
            <w:vAlign w:val="center"/>
          </w:tcPr>
          <w:p w14:paraId="63A58DCC">
            <w:pPr>
              <w:autoSpaceDE w:val="0"/>
              <w:autoSpaceDN w:val="0"/>
              <w:rPr>
                <w:rFonts w:hint="eastAsia" w:ascii="宋体" w:hAnsi="宋体"/>
                <w:color w:val="000000"/>
                <w:w w:val="90"/>
                <w:szCs w:val="21"/>
              </w:rPr>
            </w:pPr>
          </w:p>
        </w:tc>
        <w:tc>
          <w:tcPr>
            <w:tcW w:w="1855" w:type="dxa"/>
            <w:noWrap/>
            <w:vAlign w:val="center"/>
          </w:tcPr>
          <w:p w14:paraId="613DBD26">
            <w:pPr>
              <w:autoSpaceDE w:val="0"/>
              <w:autoSpaceDN w:val="0"/>
              <w:rPr>
                <w:rFonts w:hint="eastAsia" w:ascii="宋体" w:hAnsi="宋体"/>
                <w:color w:val="000000"/>
                <w:w w:val="90"/>
                <w:szCs w:val="21"/>
              </w:rPr>
            </w:pPr>
            <w:r>
              <w:rPr>
                <w:rFonts w:ascii="宋体" w:hAnsi="宋体"/>
                <w:color w:val="000000"/>
                <w:w w:val="90"/>
                <w:szCs w:val="21"/>
              </w:rPr>
              <w:t>A0201060104针式打印机</w:t>
            </w:r>
          </w:p>
        </w:tc>
        <w:tc>
          <w:tcPr>
            <w:tcW w:w="2736" w:type="dxa"/>
            <w:noWrap/>
            <w:vAlign w:val="center"/>
          </w:tcPr>
          <w:p w14:paraId="188E462E">
            <w:pPr>
              <w:autoSpaceDE w:val="0"/>
              <w:autoSpaceDN w:val="0"/>
              <w:rPr>
                <w:rFonts w:hint="eastAsia" w:ascii="宋体" w:hAnsi="宋体"/>
                <w:color w:val="000000"/>
                <w:w w:val="90"/>
                <w:szCs w:val="21"/>
              </w:rPr>
            </w:pPr>
            <w:r>
              <w:rPr>
                <w:rFonts w:ascii="宋体" w:hAnsi="宋体"/>
                <w:color w:val="000000"/>
                <w:w w:val="90"/>
                <w:szCs w:val="21"/>
              </w:rPr>
              <w:t>HJ2512打印机、传真机及多功能一体机</w:t>
            </w:r>
          </w:p>
        </w:tc>
      </w:tr>
      <w:tr w14:paraId="1BAD79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6D17DD6">
            <w:pPr>
              <w:autoSpaceDE w:val="0"/>
              <w:autoSpaceDN w:val="0"/>
              <w:jc w:val="center"/>
              <w:rPr>
                <w:rFonts w:hint="eastAsia" w:ascii="宋体" w:hAnsi="宋体"/>
                <w:color w:val="000000"/>
                <w:w w:val="90"/>
                <w:szCs w:val="21"/>
              </w:rPr>
            </w:pPr>
          </w:p>
        </w:tc>
        <w:tc>
          <w:tcPr>
            <w:tcW w:w="1985" w:type="dxa"/>
            <w:vMerge w:val="continue"/>
            <w:noWrap/>
            <w:vAlign w:val="center"/>
          </w:tcPr>
          <w:p w14:paraId="0DD57A46">
            <w:pPr>
              <w:autoSpaceDE w:val="0"/>
              <w:autoSpaceDN w:val="0"/>
              <w:rPr>
                <w:rFonts w:hint="eastAsia" w:ascii="宋体" w:hAnsi="宋体"/>
                <w:color w:val="000000"/>
                <w:w w:val="90"/>
                <w:szCs w:val="21"/>
              </w:rPr>
            </w:pPr>
          </w:p>
        </w:tc>
        <w:tc>
          <w:tcPr>
            <w:tcW w:w="2268" w:type="dxa"/>
            <w:vMerge w:val="restart"/>
            <w:noWrap/>
            <w:vAlign w:val="center"/>
          </w:tcPr>
          <w:p w14:paraId="51C088C0">
            <w:pPr>
              <w:autoSpaceDE w:val="0"/>
              <w:autoSpaceDN w:val="0"/>
              <w:rPr>
                <w:rFonts w:hint="eastAsia" w:ascii="宋体" w:hAnsi="宋体"/>
                <w:color w:val="000000"/>
                <w:w w:val="90"/>
                <w:szCs w:val="21"/>
              </w:rPr>
            </w:pPr>
            <w:r>
              <w:rPr>
                <w:rFonts w:ascii="宋体" w:hAnsi="宋体"/>
                <w:color w:val="000000"/>
                <w:w w:val="90"/>
                <w:szCs w:val="21"/>
              </w:rPr>
              <w:t>A02010604显示设备</w:t>
            </w:r>
          </w:p>
        </w:tc>
        <w:tc>
          <w:tcPr>
            <w:tcW w:w="1855" w:type="dxa"/>
            <w:noWrap/>
            <w:vAlign w:val="center"/>
          </w:tcPr>
          <w:p w14:paraId="624B05DD">
            <w:pPr>
              <w:autoSpaceDE w:val="0"/>
              <w:autoSpaceDN w:val="0"/>
              <w:rPr>
                <w:rFonts w:hint="eastAsia" w:ascii="宋体" w:hAnsi="宋体"/>
                <w:color w:val="000000"/>
                <w:w w:val="90"/>
                <w:szCs w:val="21"/>
              </w:rPr>
            </w:pPr>
            <w:r>
              <w:rPr>
                <w:rFonts w:ascii="宋体" w:hAnsi="宋体"/>
                <w:color w:val="000000"/>
                <w:w w:val="90"/>
                <w:szCs w:val="21"/>
              </w:rPr>
              <w:t>A0201060401液晶显示器</w:t>
            </w:r>
          </w:p>
        </w:tc>
        <w:tc>
          <w:tcPr>
            <w:tcW w:w="2736" w:type="dxa"/>
            <w:noWrap/>
            <w:vAlign w:val="center"/>
          </w:tcPr>
          <w:p w14:paraId="732CE080">
            <w:pPr>
              <w:autoSpaceDE w:val="0"/>
              <w:autoSpaceDN w:val="0"/>
              <w:rPr>
                <w:rFonts w:hint="eastAsia" w:ascii="宋体" w:hAnsi="宋体"/>
                <w:color w:val="000000"/>
                <w:w w:val="90"/>
                <w:szCs w:val="21"/>
              </w:rPr>
            </w:pPr>
            <w:r>
              <w:rPr>
                <w:rFonts w:ascii="宋体" w:hAnsi="宋体"/>
                <w:color w:val="000000"/>
                <w:w w:val="90"/>
                <w:szCs w:val="21"/>
              </w:rPr>
              <w:t>HJ2536微型计算机、显示器</w:t>
            </w:r>
          </w:p>
        </w:tc>
      </w:tr>
      <w:tr w14:paraId="5A94D2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92C2509">
            <w:pPr>
              <w:autoSpaceDE w:val="0"/>
              <w:autoSpaceDN w:val="0"/>
              <w:jc w:val="center"/>
              <w:rPr>
                <w:rFonts w:hint="eastAsia" w:ascii="宋体" w:hAnsi="宋体"/>
                <w:color w:val="000000"/>
                <w:w w:val="90"/>
                <w:szCs w:val="21"/>
              </w:rPr>
            </w:pPr>
          </w:p>
        </w:tc>
        <w:tc>
          <w:tcPr>
            <w:tcW w:w="1985" w:type="dxa"/>
            <w:vMerge w:val="continue"/>
            <w:noWrap/>
            <w:vAlign w:val="center"/>
          </w:tcPr>
          <w:p w14:paraId="5D95A83A">
            <w:pPr>
              <w:autoSpaceDE w:val="0"/>
              <w:autoSpaceDN w:val="0"/>
              <w:rPr>
                <w:rFonts w:hint="eastAsia" w:ascii="宋体" w:hAnsi="宋体"/>
                <w:color w:val="000000"/>
                <w:w w:val="90"/>
                <w:szCs w:val="21"/>
              </w:rPr>
            </w:pPr>
          </w:p>
        </w:tc>
        <w:tc>
          <w:tcPr>
            <w:tcW w:w="2268" w:type="dxa"/>
            <w:vMerge w:val="continue"/>
            <w:noWrap/>
            <w:vAlign w:val="center"/>
          </w:tcPr>
          <w:p w14:paraId="5163B0BB">
            <w:pPr>
              <w:autoSpaceDE w:val="0"/>
              <w:autoSpaceDN w:val="0"/>
              <w:rPr>
                <w:rFonts w:hint="eastAsia" w:ascii="宋体" w:hAnsi="宋体"/>
                <w:color w:val="000000"/>
                <w:w w:val="90"/>
                <w:szCs w:val="21"/>
              </w:rPr>
            </w:pPr>
          </w:p>
        </w:tc>
        <w:tc>
          <w:tcPr>
            <w:tcW w:w="1855" w:type="dxa"/>
            <w:noWrap/>
            <w:vAlign w:val="center"/>
          </w:tcPr>
          <w:p w14:paraId="787FD2D7">
            <w:pPr>
              <w:autoSpaceDE w:val="0"/>
              <w:autoSpaceDN w:val="0"/>
              <w:rPr>
                <w:rFonts w:hint="eastAsia" w:ascii="宋体" w:hAnsi="宋体"/>
                <w:color w:val="000000"/>
                <w:w w:val="90"/>
                <w:szCs w:val="21"/>
              </w:rPr>
            </w:pPr>
            <w:r>
              <w:rPr>
                <w:rFonts w:ascii="宋体" w:hAnsi="宋体"/>
                <w:color w:val="000000"/>
                <w:w w:val="90"/>
                <w:szCs w:val="21"/>
              </w:rPr>
              <w:t>A0201060499其他显示器</w:t>
            </w:r>
          </w:p>
        </w:tc>
        <w:tc>
          <w:tcPr>
            <w:tcW w:w="2736" w:type="dxa"/>
            <w:noWrap/>
            <w:vAlign w:val="center"/>
          </w:tcPr>
          <w:p w14:paraId="5AC88B4C">
            <w:pPr>
              <w:autoSpaceDE w:val="0"/>
              <w:autoSpaceDN w:val="0"/>
              <w:rPr>
                <w:rFonts w:hint="eastAsia" w:ascii="宋体" w:hAnsi="宋体"/>
                <w:color w:val="000000"/>
                <w:w w:val="90"/>
                <w:szCs w:val="21"/>
              </w:rPr>
            </w:pPr>
            <w:r>
              <w:rPr>
                <w:rFonts w:ascii="宋体" w:hAnsi="宋体"/>
                <w:color w:val="000000"/>
                <w:w w:val="90"/>
                <w:szCs w:val="21"/>
              </w:rPr>
              <w:t>HJ2536微型计算机、显示器</w:t>
            </w:r>
          </w:p>
        </w:tc>
      </w:tr>
      <w:tr w14:paraId="25870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A6CB2A7">
            <w:pPr>
              <w:autoSpaceDE w:val="0"/>
              <w:autoSpaceDN w:val="0"/>
              <w:jc w:val="center"/>
              <w:rPr>
                <w:rFonts w:hint="eastAsia" w:ascii="宋体" w:hAnsi="宋体"/>
                <w:color w:val="000000"/>
                <w:w w:val="90"/>
                <w:szCs w:val="21"/>
              </w:rPr>
            </w:pPr>
          </w:p>
        </w:tc>
        <w:tc>
          <w:tcPr>
            <w:tcW w:w="1985" w:type="dxa"/>
            <w:vMerge w:val="continue"/>
            <w:noWrap/>
            <w:vAlign w:val="center"/>
          </w:tcPr>
          <w:p w14:paraId="570E815D">
            <w:pPr>
              <w:autoSpaceDE w:val="0"/>
              <w:autoSpaceDN w:val="0"/>
              <w:rPr>
                <w:rFonts w:hint="eastAsia" w:ascii="宋体" w:hAnsi="宋体"/>
                <w:color w:val="000000"/>
                <w:w w:val="90"/>
                <w:szCs w:val="21"/>
              </w:rPr>
            </w:pPr>
          </w:p>
        </w:tc>
        <w:tc>
          <w:tcPr>
            <w:tcW w:w="2268" w:type="dxa"/>
            <w:noWrap/>
            <w:vAlign w:val="center"/>
          </w:tcPr>
          <w:p w14:paraId="6285BEAD">
            <w:pPr>
              <w:autoSpaceDE w:val="0"/>
              <w:autoSpaceDN w:val="0"/>
              <w:rPr>
                <w:rFonts w:hint="eastAsia" w:ascii="宋体" w:hAnsi="宋体"/>
                <w:color w:val="000000"/>
                <w:w w:val="90"/>
                <w:szCs w:val="21"/>
              </w:rPr>
            </w:pPr>
            <w:r>
              <w:rPr>
                <w:rFonts w:ascii="宋体" w:hAnsi="宋体"/>
                <w:color w:val="000000"/>
                <w:w w:val="90"/>
                <w:szCs w:val="21"/>
              </w:rPr>
              <w:t>A02010609图形图像输入设备</w:t>
            </w:r>
          </w:p>
        </w:tc>
        <w:tc>
          <w:tcPr>
            <w:tcW w:w="1855" w:type="dxa"/>
            <w:noWrap/>
            <w:vAlign w:val="center"/>
          </w:tcPr>
          <w:p w14:paraId="3FF0D049">
            <w:pPr>
              <w:autoSpaceDE w:val="0"/>
              <w:autoSpaceDN w:val="0"/>
              <w:rPr>
                <w:rFonts w:hint="eastAsia" w:ascii="宋体" w:hAnsi="宋体"/>
                <w:color w:val="000000"/>
                <w:w w:val="90"/>
                <w:szCs w:val="21"/>
              </w:rPr>
            </w:pPr>
            <w:r>
              <w:rPr>
                <w:rFonts w:ascii="宋体" w:hAnsi="宋体"/>
                <w:color w:val="000000"/>
                <w:w w:val="90"/>
                <w:szCs w:val="21"/>
              </w:rPr>
              <w:t>A0201060901扫描仪</w:t>
            </w:r>
          </w:p>
        </w:tc>
        <w:tc>
          <w:tcPr>
            <w:tcW w:w="2736" w:type="dxa"/>
            <w:noWrap/>
            <w:vAlign w:val="center"/>
          </w:tcPr>
          <w:p w14:paraId="14734768">
            <w:pPr>
              <w:autoSpaceDE w:val="0"/>
              <w:autoSpaceDN w:val="0"/>
              <w:rPr>
                <w:rFonts w:hint="eastAsia" w:ascii="宋体" w:hAnsi="宋体"/>
                <w:color w:val="000000"/>
                <w:w w:val="90"/>
                <w:szCs w:val="21"/>
              </w:rPr>
            </w:pPr>
            <w:r>
              <w:rPr>
                <w:rFonts w:ascii="宋体" w:hAnsi="宋体"/>
                <w:color w:val="000000"/>
                <w:w w:val="90"/>
                <w:szCs w:val="21"/>
              </w:rPr>
              <w:t>HJ2517扫描仪</w:t>
            </w:r>
          </w:p>
        </w:tc>
      </w:tr>
      <w:tr w14:paraId="5BCB15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929C4C5">
            <w:pPr>
              <w:autoSpaceDE w:val="0"/>
              <w:autoSpaceDN w:val="0"/>
              <w:jc w:val="center"/>
              <w:rPr>
                <w:rFonts w:hint="eastAsia" w:ascii="宋体" w:hAnsi="宋体"/>
                <w:color w:val="000000"/>
                <w:w w:val="90"/>
                <w:szCs w:val="21"/>
              </w:rPr>
            </w:pPr>
            <w:r>
              <w:rPr>
                <w:rFonts w:ascii="宋体" w:hAnsi="宋体"/>
                <w:color w:val="000000"/>
                <w:w w:val="90"/>
                <w:szCs w:val="21"/>
              </w:rPr>
              <w:t>3</w:t>
            </w:r>
          </w:p>
        </w:tc>
        <w:tc>
          <w:tcPr>
            <w:tcW w:w="1985" w:type="dxa"/>
            <w:noWrap/>
            <w:vAlign w:val="center"/>
          </w:tcPr>
          <w:p w14:paraId="626E9C18">
            <w:pPr>
              <w:autoSpaceDE w:val="0"/>
              <w:autoSpaceDN w:val="0"/>
              <w:rPr>
                <w:rFonts w:hint="eastAsia" w:ascii="宋体" w:hAnsi="宋体"/>
                <w:color w:val="000000"/>
                <w:w w:val="90"/>
                <w:szCs w:val="21"/>
              </w:rPr>
            </w:pPr>
            <w:r>
              <w:rPr>
                <w:rFonts w:ascii="宋体" w:hAnsi="宋体"/>
                <w:color w:val="000000"/>
                <w:w w:val="90"/>
                <w:szCs w:val="21"/>
              </w:rPr>
              <w:t>A020202投影仪</w:t>
            </w:r>
          </w:p>
        </w:tc>
        <w:tc>
          <w:tcPr>
            <w:tcW w:w="2268" w:type="dxa"/>
            <w:noWrap/>
            <w:vAlign w:val="center"/>
          </w:tcPr>
          <w:p w14:paraId="48673F73">
            <w:pPr>
              <w:autoSpaceDE w:val="0"/>
              <w:autoSpaceDN w:val="0"/>
              <w:rPr>
                <w:rFonts w:hint="eastAsia" w:ascii="宋体" w:hAnsi="宋体"/>
                <w:color w:val="000000"/>
                <w:w w:val="90"/>
                <w:szCs w:val="21"/>
              </w:rPr>
            </w:pPr>
          </w:p>
        </w:tc>
        <w:tc>
          <w:tcPr>
            <w:tcW w:w="1855" w:type="dxa"/>
            <w:noWrap/>
            <w:vAlign w:val="center"/>
          </w:tcPr>
          <w:p w14:paraId="3BFA0CD9">
            <w:pPr>
              <w:autoSpaceDE w:val="0"/>
              <w:autoSpaceDN w:val="0"/>
              <w:rPr>
                <w:rFonts w:hint="eastAsia" w:ascii="宋体" w:hAnsi="宋体"/>
                <w:color w:val="000000"/>
                <w:w w:val="90"/>
                <w:szCs w:val="21"/>
              </w:rPr>
            </w:pPr>
          </w:p>
        </w:tc>
        <w:tc>
          <w:tcPr>
            <w:tcW w:w="2736" w:type="dxa"/>
            <w:noWrap/>
            <w:vAlign w:val="center"/>
          </w:tcPr>
          <w:p w14:paraId="02CBB428">
            <w:pPr>
              <w:autoSpaceDE w:val="0"/>
              <w:autoSpaceDN w:val="0"/>
              <w:rPr>
                <w:rFonts w:hint="eastAsia" w:ascii="宋体" w:hAnsi="宋体"/>
                <w:color w:val="000000"/>
                <w:w w:val="90"/>
                <w:szCs w:val="21"/>
              </w:rPr>
            </w:pPr>
            <w:r>
              <w:rPr>
                <w:rFonts w:ascii="宋体" w:hAnsi="宋体"/>
                <w:color w:val="000000"/>
                <w:w w:val="90"/>
                <w:szCs w:val="21"/>
              </w:rPr>
              <w:t>HJ2516投影仪</w:t>
            </w:r>
          </w:p>
        </w:tc>
      </w:tr>
      <w:tr w14:paraId="45D5D3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9011D70">
            <w:pPr>
              <w:autoSpaceDE w:val="0"/>
              <w:autoSpaceDN w:val="0"/>
              <w:jc w:val="center"/>
              <w:rPr>
                <w:rFonts w:hint="eastAsia" w:ascii="宋体" w:hAnsi="宋体"/>
                <w:color w:val="000000"/>
                <w:w w:val="90"/>
                <w:szCs w:val="21"/>
              </w:rPr>
            </w:pPr>
            <w:r>
              <w:rPr>
                <w:rFonts w:ascii="宋体" w:hAnsi="宋体"/>
                <w:color w:val="000000"/>
                <w:w w:val="90"/>
                <w:szCs w:val="21"/>
              </w:rPr>
              <w:t>4</w:t>
            </w:r>
          </w:p>
        </w:tc>
        <w:tc>
          <w:tcPr>
            <w:tcW w:w="1985" w:type="dxa"/>
            <w:noWrap/>
            <w:vAlign w:val="center"/>
          </w:tcPr>
          <w:p w14:paraId="5AD31652">
            <w:pPr>
              <w:autoSpaceDE w:val="0"/>
              <w:autoSpaceDN w:val="0"/>
              <w:rPr>
                <w:rFonts w:hint="eastAsia" w:ascii="宋体" w:hAnsi="宋体"/>
                <w:color w:val="000000"/>
                <w:w w:val="90"/>
                <w:szCs w:val="21"/>
              </w:rPr>
            </w:pPr>
            <w:r>
              <w:rPr>
                <w:rFonts w:ascii="宋体" w:hAnsi="宋体"/>
                <w:color w:val="000000"/>
                <w:w w:val="90"/>
                <w:szCs w:val="21"/>
              </w:rPr>
              <w:t>A020201复印机</w:t>
            </w:r>
          </w:p>
        </w:tc>
        <w:tc>
          <w:tcPr>
            <w:tcW w:w="2268" w:type="dxa"/>
            <w:noWrap/>
            <w:vAlign w:val="center"/>
          </w:tcPr>
          <w:p w14:paraId="6F0C3050">
            <w:pPr>
              <w:autoSpaceDE w:val="0"/>
              <w:autoSpaceDN w:val="0"/>
              <w:rPr>
                <w:rFonts w:hint="eastAsia" w:ascii="宋体" w:hAnsi="宋体"/>
                <w:color w:val="000000"/>
                <w:w w:val="90"/>
                <w:szCs w:val="21"/>
              </w:rPr>
            </w:pPr>
          </w:p>
        </w:tc>
        <w:tc>
          <w:tcPr>
            <w:tcW w:w="1855" w:type="dxa"/>
            <w:noWrap/>
            <w:vAlign w:val="center"/>
          </w:tcPr>
          <w:p w14:paraId="41A655D0">
            <w:pPr>
              <w:autoSpaceDE w:val="0"/>
              <w:autoSpaceDN w:val="0"/>
              <w:rPr>
                <w:rFonts w:hint="eastAsia" w:ascii="宋体" w:hAnsi="宋体"/>
                <w:color w:val="000000"/>
                <w:w w:val="90"/>
                <w:szCs w:val="21"/>
              </w:rPr>
            </w:pPr>
          </w:p>
        </w:tc>
        <w:tc>
          <w:tcPr>
            <w:tcW w:w="2736" w:type="dxa"/>
            <w:noWrap/>
            <w:vAlign w:val="center"/>
          </w:tcPr>
          <w:p w14:paraId="2536E401">
            <w:pPr>
              <w:autoSpaceDE w:val="0"/>
              <w:autoSpaceDN w:val="0"/>
              <w:rPr>
                <w:rFonts w:hint="eastAsia" w:ascii="宋体" w:hAnsi="宋体"/>
                <w:color w:val="000000"/>
                <w:w w:val="90"/>
                <w:szCs w:val="21"/>
              </w:rPr>
            </w:pPr>
            <w:r>
              <w:rPr>
                <w:rFonts w:ascii="宋体" w:hAnsi="宋体"/>
                <w:color w:val="000000"/>
                <w:w w:val="90"/>
                <w:szCs w:val="21"/>
              </w:rPr>
              <w:t>HJ424数字式复印（包括多功能）设备</w:t>
            </w:r>
          </w:p>
        </w:tc>
      </w:tr>
      <w:tr w14:paraId="291AFF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715423F">
            <w:pPr>
              <w:autoSpaceDE w:val="0"/>
              <w:autoSpaceDN w:val="0"/>
              <w:jc w:val="center"/>
              <w:rPr>
                <w:rFonts w:hint="eastAsia" w:ascii="宋体" w:hAnsi="宋体"/>
                <w:color w:val="000000"/>
                <w:w w:val="90"/>
                <w:szCs w:val="21"/>
              </w:rPr>
            </w:pPr>
            <w:r>
              <w:rPr>
                <w:rFonts w:ascii="宋体" w:hAnsi="宋体"/>
                <w:color w:val="000000"/>
                <w:w w:val="90"/>
                <w:szCs w:val="21"/>
              </w:rPr>
              <w:t>5</w:t>
            </w:r>
          </w:p>
        </w:tc>
        <w:tc>
          <w:tcPr>
            <w:tcW w:w="1985" w:type="dxa"/>
            <w:noWrap/>
            <w:vAlign w:val="center"/>
          </w:tcPr>
          <w:p w14:paraId="459B2D20">
            <w:pPr>
              <w:autoSpaceDE w:val="0"/>
              <w:autoSpaceDN w:val="0"/>
              <w:rPr>
                <w:rFonts w:hint="eastAsia" w:ascii="宋体" w:hAnsi="宋体"/>
                <w:color w:val="000000"/>
                <w:w w:val="90"/>
                <w:szCs w:val="21"/>
              </w:rPr>
            </w:pPr>
            <w:r>
              <w:rPr>
                <w:rFonts w:ascii="宋体" w:hAnsi="宋体"/>
                <w:color w:val="000000"/>
                <w:w w:val="90"/>
                <w:szCs w:val="21"/>
              </w:rPr>
              <w:t>A020204多功能一体机</w:t>
            </w:r>
          </w:p>
        </w:tc>
        <w:tc>
          <w:tcPr>
            <w:tcW w:w="2268" w:type="dxa"/>
            <w:noWrap/>
            <w:vAlign w:val="center"/>
          </w:tcPr>
          <w:p w14:paraId="6D1EEDFA">
            <w:pPr>
              <w:autoSpaceDE w:val="0"/>
              <w:autoSpaceDN w:val="0"/>
              <w:rPr>
                <w:rFonts w:hint="eastAsia" w:ascii="宋体" w:hAnsi="宋体"/>
                <w:color w:val="000000"/>
                <w:w w:val="90"/>
                <w:szCs w:val="21"/>
              </w:rPr>
            </w:pPr>
          </w:p>
        </w:tc>
        <w:tc>
          <w:tcPr>
            <w:tcW w:w="1855" w:type="dxa"/>
            <w:noWrap/>
            <w:vAlign w:val="center"/>
          </w:tcPr>
          <w:p w14:paraId="569C895A">
            <w:pPr>
              <w:autoSpaceDE w:val="0"/>
              <w:autoSpaceDN w:val="0"/>
              <w:rPr>
                <w:rFonts w:hint="eastAsia" w:ascii="宋体" w:hAnsi="宋体"/>
                <w:color w:val="000000"/>
                <w:w w:val="90"/>
                <w:szCs w:val="21"/>
              </w:rPr>
            </w:pPr>
          </w:p>
        </w:tc>
        <w:tc>
          <w:tcPr>
            <w:tcW w:w="2736" w:type="dxa"/>
            <w:noWrap/>
            <w:vAlign w:val="center"/>
          </w:tcPr>
          <w:p w14:paraId="4E4E3383">
            <w:pPr>
              <w:autoSpaceDE w:val="0"/>
              <w:autoSpaceDN w:val="0"/>
              <w:rPr>
                <w:rFonts w:hint="eastAsia" w:ascii="宋体" w:hAnsi="宋体"/>
                <w:color w:val="000000"/>
                <w:w w:val="90"/>
                <w:szCs w:val="21"/>
              </w:rPr>
            </w:pPr>
            <w:r>
              <w:rPr>
                <w:rFonts w:ascii="宋体" w:hAnsi="宋体"/>
                <w:color w:val="000000"/>
                <w:w w:val="90"/>
                <w:szCs w:val="21"/>
              </w:rPr>
              <w:t>HJ424数字式复印（包括多功能）设备</w:t>
            </w:r>
          </w:p>
        </w:tc>
      </w:tr>
      <w:tr w14:paraId="69EFDE0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BB7AD75">
            <w:pPr>
              <w:autoSpaceDE w:val="0"/>
              <w:autoSpaceDN w:val="0"/>
              <w:jc w:val="center"/>
              <w:rPr>
                <w:rFonts w:hint="eastAsia" w:ascii="宋体" w:hAnsi="宋体"/>
                <w:color w:val="000000"/>
                <w:w w:val="90"/>
                <w:szCs w:val="21"/>
              </w:rPr>
            </w:pPr>
            <w:r>
              <w:rPr>
                <w:rFonts w:ascii="宋体" w:hAnsi="宋体"/>
                <w:color w:val="000000"/>
                <w:w w:val="90"/>
                <w:szCs w:val="21"/>
              </w:rPr>
              <w:t>6</w:t>
            </w:r>
          </w:p>
        </w:tc>
        <w:tc>
          <w:tcPr>
            <w:tcW w:w="1985" w:type="dxa"/>
            <w:noWrap/>
            <w:vAlign w:val="center"/>
          </w:tcPr>
          <w:p w14:paraId="20860E2A">
            <w:pPr>
              <w:autoSpaceDE w:val="0"/>
              <w:autoSpaceDN w:val="0"/>
              <w:rPr>
                <w:rFonts w:hint="eastAsia" w:ascii="宋体" w:hAnsi="宋体"/>
                <w:color w:val="000000"/>
                <w:w w:val="90"/>
                <w:szCs w:val="21"/>
              </w:rPr>
            </w:pPr>
            <w:r>
              <w:rPr>
                <w:rFonts w:ascii="宋体" w:hAnsi="宋体"/>
                <w:color w:val="000000"/>
                <w:w w:val="90"/>
                <w:szCs w:val="21"/>
              </w:rPr>
              <w:t>A020210文印设备</w:t>
            </w:r>
          </w:p>
        </w:tc>
        <w:tc>
          <w:tcPr>
            <w:tcW w:w="2268" w:type="dxa"/>
            <w:noWrap/>
            <w:vAlign w:val="center"/>
          </w:tcPr>
          <w:p w14:paraId="51DA1EA0">
            <w:pPr>
              <w:autoSpaceDE w:val="0"/>
              <w:autoSpaceDN w:val="0"/>
              <w:rPr>
                <w:rFonts w:hint="eastAsia" w:ascii="宋体" w:hAnsi="宋体"/>
                <w:color w:val="000000"/>
                <w:w w:val="90"/>
                <w:szCs w:val="21"/>
              </w:rPr>
            </w:pPr>
            <w:r>
              <w:rPr>
                <w:rFonts w:ascii="宋体" w:hAnsi="宋体"/>
                <w:color w:val="000000"/>
                <w:w w:val="90"/>
                <w:szCs w:val="21"/>
              </w:rPr>
              <w:t>A02021001速印机</w:t>
            </w:r>
          </w:p>
        </w:tc>
        <w:tc>
          <w:tcPr>
            <w:tcW w:w="1855" w:type="dxa"/>
            <w:noWrap/>
            <w:vAlign w:val="center"/>
          </w:tcPr>
          <w:p w14:paraId="37D5B0E6">
            <w:pPr>
              <w:autoSpaceDE w:val="0"/>
              <w:autoSpaceDN w:val="0"/>
              <w:rPr>
                <w:rFonts w:hint="eastAsia" w:ascii="宋体" w:hAnsi="宋体"/>
                <w:color w:val="000000"/>
                <w:w w:val="90"/>
                <w:szCs w:val="21"/>
              </w:rPr>
            </w:pPr>
          </w:p>
        </w:tc>
        <w:tc>
          <w:tcPr>
            <w:tcW w:w="2736" w:type="dxa"/>
            <w:noWrap/>
            <w:vAlign w:val="center"/>
          </w:tcPr>
          <w:p w14:paraId="1BF03A0E">
            <w:pPr>
              <w:autoSpaceDE w:val="0"/>
              <w:autoSpaceDN w:val="0"/>
              <w:rPr>
                <w:rFonts w:hint="eastAsia" w:ascii="宋体" w:hAnsi="宋体"/>
                <w:color w:val="000000"/>
                <w:w w:val="90"/>
                <w:szCs w:val="21"/>
              </w:rPr>
            </w:pPr>
            <w:r>
              <w:rPr>
                <w:rFonts w:ascii="宋体" w:hAnsi="宋体"/>
                <w:color w:val="000000"/>
                <w:w w:val="90"/>
                <w:szCs w:val="21"/>
              </w:rPr>
              <w:t>HJ472数字式一体化速印机</w:t>
            </w:r>
          </w:p>
        </w:tc>
      </w:tr>
      <w:tr w14:paraId="5A99ED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225ECE4">
            <w:pPr>
              <w:autoSpaceDE w:val="0"/>
              <w:autoSpaceDN w:val="0"/>
              <w:jc w:val="center"/>
              <w:rPr>
                <w:rFonts w:hint="eastAsia" w:ascii="宋体" w:hAnsi="宋体"/>
                <w:color w:val="000000"/>
                <w:w w:val="90"/>
                <w:szCs w:val="21"/>
              </w:rPr>
            </w:pPr>
            <w:r>
              <w:rPr>
                <w:rFonts w:ascii="宋体" w:hAnsi="宋体"/>
                <w:color w:val="000000"/>
                <w:w w:val="90"/>
                <w:szCs w:val="21"/>
              </w:rPr>
              <w:t>7</w:t>
            </w:r>
          </w:p>
        </w:tc>
        <w:tc>
          <w:tcPr>
            <w:tcW w:w="1985" w:type="dxa"/>
            <w:noWrap/>
            <w:vAlign w:val="center"/>
          </w:tcPr>
          <w:p w14:paraId="73FDB6B3">
            <w:pPr>
              <w:autoSpaceDE w:val="0"/>
              <w:autoSpaceDN w:val="0"/>
              <w:rPr>
                <w:rFonts w:hint="eastAsia" w:ascii="宋体" w:hAnsi="宋体"/>
                <w:color w:val="000000"/>
                <w:w w:val="90"/>
                <w:szCs w:val="21"/>
              </w:rPr>
            </w:pPr>
            <w:r>
              <w:rPr>
                <w:rFonts w:ascii="宋体" w:hAnsi="宋体"/>
                <w:color w:val="000000"/>
                <w:w w:val="90"/>
                <w:szCs w:val="21"/>
              </w:rPr>
              <w:t>A020301载货汽车（含自卸汽车）</w:t>
            </w:r>
          </w:p>
        </w:tc>
        <w:tc>
          <w:tcPr>
            <w:tcW w:w="2268" w:type="dxa"/>
            <w:noWrap/>
            <w:vAlign w:val="center"/>
          </w:tcPr>
          <w:p w14:paraId="6756E2FE">
            <w:pPr>
              <w:autoSpaceDE w:val="0"/>
              <w:autoSpaceDN w:val="0"/>
              <w:rPr>
                <w:rFonts w:hint="eastAsia" w:ascii="宋体" w:hAnsi="宋体"/>
                <w:color w:val="000000"/>
                <w:w w:val="90"/>
                <w:szCs w:val="21"/>
              </w:rPr>
            </w:pPr>
          </w:p>
        </w:tc>
        <w:tc>
          <w:tcPr>
            <w:tcW w:w="1855" w:type="dxa"/>
            <w:noWrap/>
            <w:vAlign w:val="center"/>
          </w:tcPr>
          <w:p w14:paraId="0B4F0EC1">
            <w:pPr>
              <w:autoSpaceDE w:val="0"/>
              <w:autoSpaceDN w:val="0"/>
              <w:rPr>
                <w:rFonts w:hint="eastAsia" w:ascii="宋体" w:hAnsi="宋体"/>
                <w:color w:val="000000"/>
                <w:w w:val="90"/>
                <w:szCs w:val="21"/>
              </w:rPr>
            </w:pPr>
          </w:p>
        </w:tc>
        <w:tc>
          <w:tcPr>
            <w:tcW w:w="2736" w:type="dxa"/>
            <w:noWrap/>
            <w:vAlign w:val="center"/>
          </w:tcPr>
          <w:p w14:paraId="72F5CBD7">
            <w:pPr>
              <w:autoSpaceDE w:val="0"/>
              <w:autoSpaceDN w:val="0"/>
              <w:rPr>
                <w:rFonts w:hint="eastAsia" w:ascii="宋体" w:hAnsi="宋体"/>
                <w:color w:val="000000"/>
                <w:w w:val="90"/>
                <w:szCs w:val="21"/>
              </w:rPr>
            </w:pPr>
            <w:r>
              <w:rPr>
                <w:rFonts w:ascii="宋体" w:hAnsi="宋体"/>
                <w:color w:val="000000"/>
                <w:w w:val="90"/>
                <w:szCs w:val="21"/>
              </w:rPr>
              <w:t>HJ2532轻型汽车</w:t>
            </w:r>
          </w:p>
        </w:tc>
      </w:tr>
      <w:tr w14:paraId="73378C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5E2A7508">
            <w:pPr>
              <w:autoSpaceDE w:val="0"/>
              <w:autoSpaceDN w:val="0"/>
              <w:jc w:val="center"/>
              <w:rPr>
                <w:rFonts w:hint="eastAsia" w:ascii="宋体" w:hAnsi="宋体"/>
                <w:color w:val="000000"/>
                <w:w w:val="90"/>
                <w:szCs w:val="21"/>
              </w:rPr>
            </w:pPr>
            <w:r>
              <w:rPr>
                <w:rFonts w:ascii="宋体" w:hAnsi="宋体"/>
                <w:color w:val="000000"/>
                <w:w w:val="90"/>
                <w:szCs w:val="21"/>
              </w:rPr>
              <w:t>8</w:t>
            </w:r>
          </w:p>
        </w:tc>
        <w:tc>
          <w:tcPr>
            <w:tcW w:w="1985" w:type="dxa"/>
            <w:vMerge w:val="restart"/>
            <w:noWrap/>
            <w:vAlign w:val="center"/>
          </w:tcPr>
          <w:p w14:paraId="1DD8ABA5">
            <w:pPr>
              <w:autoSpaceDE w:val="0"/>
              <w:autoSpaceDN w:val="0"/>
              <w:rPr>
                <w:rFonts w:hint="eastAsia" w:ascii="宋体" w:hAnsi="宋体"/>
                <w:color w:val="000000"/>
                <w:w w:val="90"/>
                <w:szCs w:val="21"/>
              </w:rPr>
            </w:pPr>
            <w:r>
              <w:rPr>
                <w:rFonts w:ascii="宋体" w:hAnsi="宋体"/>
                <w:color w:val="000000"/>
                <w:w w:val="90"/>
                <w:szCs w:val="21"/>
              </w:rPr>
              <w:t>A020305乘用车（轿车）</w:t>
            </w:r>
          </w:p>
        </w:tc>
        <w:tc>
          <w:tcPr>
            <w:tcW w:w="2268" w:type="dxa"/>
            <w:noWrap/>
            <w:vAlign w:val="center"/>
          </w:tcPr>
          <w:p w14:paraId="1C3D9676">
            <w:pPr>
              <w:autoSpaceDE w:val="0"/>
              <w:autoSpaceDN w:val="0"/>
              <w:rPr>
                <w:rFonts w:hint="eastAsia" w:ascii="宋体" w:hAnsi="宋体"/>
                <w:color w:val="000000"/>
                <w:w w:val="90"/>
                <w:szCs w:val="21"/>
              </w:rPr>
            </w:pPr>
            <w:r>
              <w:rPr>
                <w:rFonts w:ascii="宋体" w:hAnsi="宋体"/>
                <w:color w:val="000000"/>
                <w:w w:val="90"/>
                <w:szCs w:val="21"/>
              </w:rPr>
              <w:t>A02030501轿车</w:t>
            </w:r>
          </w:p>
        </w:tc>
        <w:tc>
          <w:tcPr>
            <w:tcW w:w="1855" w:type="dxa"/>
            <w:noWrap/>
            <w:vAlign w:val="center"/>
          </w:tcPr>
          <w:p w14:paraId="01C1E538">
            <w:pPr>
              <w:autoSpaceDE w:val="0"/>
              <w:autoSpaceDN w:val="0"/>
              <w:rPr>
                <w:rFonts w:hint="eastAsia" w:ascii="宋体" w:hAnsi="宋体"/>
                <w:color w:val="000000"/>
                <w:w w:val="90"/>
                <w:szCs w:val="21"/>
              </w:rPr>
            </w:pPr>
          </w:p>
        </w:tc>
        <w:tc>
          <w:tcPr>
            <w:tcW w:w="2736" w:type="dxa"/>
            <w:noWrap/>
            <w:vAlign w:val="center"/>
          </w:tcPr>
          <w:p w14:paraId="0683393D">
            <w:pPr>
              <w:autoSpaceDE w:val="0"/>
              <w:autoSpaceDN w:val="0"/>
              <w:rPr>
                <w:rFonts w:hint="eastAsia" w:ascii="宋体" w:hAnsi="宋体"/>
                <w:color w:val="000000"/>
                <w:w w:val="90"/>
                <w:szCs w:val="21"/>
              </w:rPr>
            </w:pPr>
            <w:r>
              <w:rPr>
                <w:rFonts w:ascii="宋体" w:hAnsi="宋体"/>
                <w:color w:val="000000"/>
                <w:w w:val="90"/>
                <w:szCs w:val="21"/>
              </w:rPr>
              <w:t>HJ2532轻型汽车</w:t>
            </w:r>
          </w:p>
        </w:tc>
      </w:tr>
      <w:tr w14:paraId="08CC468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523D17E">
            <w:pPr>
              <w:autoSpaceDE w:val="0"/>
              <w:autoSpaceDN w:val="0"/>
              <w:jc w:val="center"/>
              <w:rPr>
                <w:rFonts w:hint="eastAsia" w:ascii="宋体" w:hAnsi="宋体"/>
                <w:color w:val="000000"/>
                <w:w w:val="90"/>
                <w:szCs w:val="21"/>
              </w:rPr>
            </w:pPr>
          </w:p>
        </w:tc>
        <w:tc>
          <w:tcPr>
            <w:tcW w:w="1985" w:type="dxa"/>
            <w:vMerge w:val="continue"/>
            <w:noWrap/>
            <w:vAlign w:val="center"/>
          </w:tcPr>
          <w:p w14:paraId="3A28A9F6">
            <w:pPr>
              <w:autoSpaceDE w:val="0"/>
              <w:autoSpaceDN w:val="0"/>
              <w:rPr>
                <w:rFonts w:hint="eastAsia" w:ascii="宋体" w:hAnsi="宋体"/>
                <w:color w:val="000000"/>
                <w:w w:val="90"/>
                <w:szCs w:val="21"/>
              </w:rPr>
            </w:pPr>
          </w:p>
        </w:tc>
        <w:tc>
          <w:tcPr>
            <w:tcW w:w="2268" w:type="dxa"/>
            <w:noWrap/>
            <w:vAlign w:val="center"/>
          </w:tcPr>
          <w:p w14:paraId="450D1E61">
            <w:pPr>
              <w:autoSpaceDE w:val="0"/>
              <w:autoSpaceDN w:val="0"/>
              <w:rPr>
                <w:rFonts w:hint="eastAsia" w:ascii="宋体" w:hAnsi="宋体"/>
                <w:color w:val="000000"/>
                <w:w w:val="90"/>
                <w:szCs w:val="21"/>
              </w:rPr>
            </w:pPr>
            <w:r>
              <w:rPr>
                <w:rFonts w:ascii="宋体" w:hAnsi="宋体"/>
                <w:color w:val="000000"/>
                <w:w w:val="90"/>
                <w:szCs w:val="21"/>
              </w:rPr>
              <w:t>A02030599其他乘用车（轿车）</w:t>
            </w:r>
          </w:p>
        </w:tc>
        <w:tc>
          <w:tcPr>
            <w:tcW w:w="1855" w:type="dxa"/>
            <w:noWrap/>
            <w:vAlign w:val="center"/>
          </w:tcPr>
          <w:p w14:paraId="23534B2D">
            <w:pPr>
              <w:autoSpaceDE w:val="0"/>
              <w:autoSpaceDN w:val="0"/>
              <w:rPr>
                <w:rFonts w:hint="eastAsia" w:ascii="宋体" w:hAnsi="宋体"/>
                <w:color w:val="000000"/>
                <w:w w:val="90"/>
                <w:szCs w:val="21"/>
              </w:rPr>
            </w:pPr>
          </w:p>
        </w:tc>
        <w:tc>
          <w:tcPr>
            <w:tcW w:w="2736" w:type="dxa"/>
            <w:noWrap/>
            <w:vAlign w:val="center"/>
          </w:tcPr>
          <w:p w14:paraId="4D77D251">
            <w:pPr>
              <w:autoSpaceDE w:val="0"/>
              <w:autoSpaceDN w:val="0"/>
              <w:rPr>
                <w:rFonts w:hint="eastAsia" w:ascii="宋体" w:hAnsi="宋体"/>
                <w:color w:val="000000"/>
                <w:w w:val="90"/>
                <w:szCs w:val="21"/>
              </w:rPr>
            </w:pPr>
            <w:r>
              <w:rPr>
                <w:rFonts w:ascii="宋体" w:hAnsi="宋体"/>
                <w:color w:val="000000"/>
                <w:w w:val="90"/>
                <w:szCs w:val="21"/>
              </w:rPr>
              <w:t>HJ2532轻型汽车</w:t>
            </w:r>
          </w:p>
        </w:tc>
      </w:tr>
      <w:tr w14:paraId="6931BC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FBA0EAC">
            <w:pPr>
              <w:autoSpaceDE w:val="0"/>
              <w:autoSpaceDN w:val="0"/>
              <w:jc w:val="center"/>
              <w:rPr>
                <w:rFonts w:hint="eastAsia" w:ascii="宋体" w:hAnsi="宋体"/>
                <w:color w:val="000000"/>
                <w:w w:val="90"/>
                <w:szCs w:val="21"/>
              </w:rPr>
            </w:pPr>
            <w:r>
              <w:rPr>
                <w:rFonts w:ascii="宋体" w:hAnsi="宋体"/>
                <w:color w:val="000000"/>
                <w:w w:val="90"/>
                <w:szCs w:val="21"/>
              </w:rPr>
              <w:t>9</w:t>
            </w:r>
          </w:p>
        </w:tc>
        <w:tc>
          <w:tcPr>
            <w:tcW w:w="1985" w:type="dxa"/>
            <w:noWrap/>
            <w:vAlign w:val="center"/>
          </w:tcPr>
          <w:p w14:paraId="3FD1925C">
            <w:pPr>
              <w:autoSpaceDE w:val="0"/>
              <w:autoSpaceDN w:val="0"/>
              <w:rPr>
                <w:rFonts w:hint="eastAsia" w:ascii="宋体" w:hAnsi="宋体"/>
                <w:color w:val="000000"/>
                <w:w w:val="90"/>
                <w:szCs w:val="21"/>
              </w:rPr>
            </w:pPr>
            <w:r>
              <w:rPr>
                <w:rFonts w:ascii="宋体" w:hAnsi="宋体"/>
                <w:color w:val="000000"/>
                <w:w w:val="90"/>
                <w:szCs w:val="21"/>
              </w:rPr>
              <w:t>A020306客车</w:t>
            </w:r>
          </w:p>
        </w:tc>
        <w:tc>
          <w:tcPr>
            <w:tcW w:w="2268" w:type="dxa"/>
            <w:noWrap/>
            <w:vAlign w:val="center"/>
          </w:tcPr>
          <w:p w14:paraId="65E89DE6">
            <w:pPr>
              <w:autoSpaceDE w:val="0"/>
              <w:autoSpaceDN w:val="0"/>
              <w:rPr>
                <w:rFonts w:hint="eastAsia" w:ascii="宋体" w:hAnsi="宋体"/>
                <w:color w:val="000000"/>
                <w:w w:val="90"/>
                <w:szCs w:val="21"/>
              </w:rPr>
            </w:pPr>
            <w:r>
              <w:rPr>
                <w:rFonts w:ascii="宋体" w:hAnsi="宋体"/>
                <w:color w:val="000000"/>
                <w:w w:val="90"/>
                <w:szCs w:val="21"/>
              </w:rPr>
              <w:t>A02030601小型客车</w:t>
            </w:r>
          </w:p>
        </w:tc>
        <w:tc>
          <w:tcPr>
            <w:tcW w:w="1855" w:type="dxa"/>
            <w:noWrap/>
            <w:vAlign w:val="center"/>
          </w:tcPr>
          <w:p w14:paraId="27FE6F86">
            <w:pPr>
              <w:autoSpaceDE w:val="0"/>
              <w:autoSpaceDN w:val="0"/>
              <w:rPr>
                <w:rFonts w:hint="eastAsia" w:ascii="宋体" w:hAnsi="宋体"/>
                <w:color w:val="000000"/>
                <w:w w:val="90"/>
                <w:szCs w:val="21"/>
              </w:rPr>
            </w:pPr>
          </w:p>
        </w:tc>
        <w:tc>
          <w:tcPr>
            <w:tcW w:w="2736" w:type="dxa"/>
            <w:noWrap/>
            <w:vAlign w:val="center"/>
          </w:tcPr>
          <w:p w14:paraId="670941E4">
            <w:pPr>
              <w:autoSpaceDE w:val="0"/>
              <w:autoSpaceDN w:val="0"/>
              <w:rPr>
                <w:rFonts w:hint="eastAsia" w:ascii="宋体" w:hAnsi="宋体"/>
                <w:color w:val="000000"/>
                <w:w w:val="90"/>
                <w:szCs w:val="21"/>
              </w:rPr>
            </w:pPr>
            <w:r>
              <w:rPr>
                <w:rFonts w:ascii="宋体" w:hAnsi="宋体"/>
                <w:color w:val="000000"/>
                <w:w w:val="90"/>
                <w:szCs w:val="21"/>
              </w:rPr>
              <w:t>HJ2532轻型汽车</w:t>
            </w:r>
          </w:p>
        </w:tc>
      </w:tr>
      <w:tr w14:paraId="2FB8F8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41340C1">
            <w:pPr>
              <w:autoSpaceDE w:val="0"/>
              <w:autoSpaceDN w:val="0"/>
              <w:jc w:val="center"/>
              <w:rPr>
                <w:rFonts w:hint="eastAsia" w:ascii="宋体" w:hAnsi="宋体"/>
                <w:color w:val="000000"/>
                <w:w w:val="90"/>
                <w:szCs w:val="21"/>
              </w:rPr>
            </w:pPr>
            <w:r>
              <w:rPr>
                <w:rFonts w:ascii="宋体" w:hAnsi="宋体"/>
                <w:color w:val="000000"/>
                <w:w w:val="90"/>
                <w:szCs w:val="21"/>
              </w:rPr>
              <w:t>10</w:t>
            </w:r>
          </w:p>
        </w:tc>
        <w:tc>
          <w:tcPr>
            <w:tcW w:w="1985" w:type="dxa"/>
            <w:noWrap/>
            <w:vAlign w:val="center"/>
          </w:tcPr>
          <w:p w14:paraId="61A7FC36">
            <w:pPr>
              <w:autoSpaceDE w:val="0"/>
              <w:autoSpaceDN w:val="0"/>
              <w:rPr>
                <w:rFonts w:hint="eastAsia" w:ascii="宋体" w:hAnsi="宋体"/>
                <w:color w:val="000000"/>
                <w:w w:val="90"/>
                <w:szCs w:val="21"/>
              </w:rPr>
            </w:pPr>
            <w:r>
              <w:rPr>
                <w:rFonts w:ascii="宋体" w:hAnsi="宋体"/>
                <w:color w:val="000000"/>
                <w:w w:val="90"/>
                <w:szCs w:val="21"/>
              </w:rPr>
              <w:t>A020307专用车辆</w:t>
            </w:r>
          </w:p>
        </w:tc>
        <w:tc>
          <w:tcPr>
            <w:tcW w:w="2268" w:type="dxa"/>
            <w:noWrap/>
            <w:vAlign w:val="center"/>
          </w:tcPr>
          <w:p w14:paraId="04838421">
            <w:pPr>
              <w:autoSpaceDE w:val="0"/>
              <w:autoSpaceDN w:val="0"/>
              <w:rPr>
                <w:rFonts w:hint="eastAsia" w:ascii="宋体" w:hAnsi="宋体"/>
                <w:color w:val="000000"/>
                <w:w w:val="90"/>
                <w:szCs w:val="21"/>
              </w:rPr>
            </w:pPr>
            <w:r>
              <w:rPr>
                <w:rFonts w:ascii="宋体" w:hAnsi="宋体"/>
                <w:color w:val="000000"/>
                <w:w w:val="90"/>
                <w:szCs w:val="21"/>
              </w:rPr>
              <w:t>A02030799其他专用汽车</w:t>
            </w:r>
          </w:p>
        </w:tc>
        <w:tc>
          <w:tcPr>
            <w:tcW w:w="1855" w:type="dxa"/>
            <w:noWrap/>
            <w:vAlign w:val="center"/>
          </w:tcPr>
          <w:p w14:paraId="447097AA">
            <w:pPr>
              <w:autoSpaceDE w:val="0"/>
              <w:autoSpaceDN w:val="0"/>
              <w:rPr>
                <w:rFonts w:hint="eastAsia" w:ascii="宋体" w:hAnsi="宋体"/>
                <w:color w:val="000000"/>
                <w:w w:val="90"/>
                <w:szCs w:val="21"/>
              </w:rPr>
            </w:pPr>
          </w:p>
        </w:tc>
        <w:tc>
          <w:tcPr>
            <w:tcW w:w="2736" w:type="dxa"/>
            <w:noWrap/>
            <w:vAlign w:val="center"/>
          </w:tcPr>
          <w:p w14:paraId="2E773F02">
            <w:pPr>
              <w:autoSpaceDE w:val="0"/>
              <w:autoSpaceDN w:val="0"/>
              <w:rPr>
                <w:rFonts w:hint="eastAsia" w:ascii="宋体" w:hAnsi="宋体"/>
                <w:color w:val="000000"/>
                <w:w w:val="90"/>
                <w:szCs w:val="21"/>
              </w:rPr>
            </w:pPr>
            <w:r>
              <w:rPr>
                <w:rFonts w:ascii="宋体" w:hAnsi="宋体"/>
                <w:color w:val="000000"/>
                <w:w w:val="90"/>
                <w:szCs w:val="21"/>
              </w:rPr>
              <w:t>HJ2532轻型汽车</w:t>
            </w:r>
          </w:p>
        </w:tc>
      </w:tr>
      <w:tr w14:paraId="750125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6632AE0E">
            <w:pPr>
              <w:autoSpaceDE w:val="0"/>
              <w:autoSpaceDN w:val="0"/>
              <w:jc w:val="center"/>
              <w:rPr>
                <w:rFonts w:hint="eastAsia" w:ascii="宋体" w:hAnsi="宋体"/>
                <w:color w:val="000000"/>
                <w:w w:val="90"/>
                <w:szCs w:val="21"/>
              </w:rPr>
            </w:pPr>
            <w:r>
              <w:rPr>
                <w:rFonts w:ascii="宋体" w:hAnsi="宋体"/>
                <w:color w:val="000000"/>
                <w:w w:val="90"/>
                <w:szCs w:val="21"/>
              </w:rPr>
              <w:t>11</w:t>
            </w:r>
          </w:p>
        </w:tc>
        <w:tc>
          <w:tcPr>
            <w:tcW w:w="1985" w:type="dxa"/>
            <w:vMerge w:val="restart"/>
            <w:noWrap/>
            <w:vAlign w:val="center"/>
          </w:tcPr>
          <w:p w14:paraId="414C48FF">
            <w:pPr>
              <w:autoSpaceDE w:val="0"/>
              <w:autoSpaceDN w:val="0"/>
              <w:rPr>
                <w:rFonts w:hint="eastAsia" w:ascii="宋体" w:hAnsi="宋体"/>
                <w:color w:val="000000"/>
                <w:w w:val="90"/>
                <w:szCs w:val="21"/>
              </w:rPr>
            </w:pPr>
            <w:r>
              <w:rPr>
                <w:rFonts w:ascii="宋体" w:hAnsi="宋体"/>
                <w:color w:val="000000"/>
                <w:w w:val="90"/>
                <w:szCs w:val="21"/>
              </w:rPr>
              <w:t>A020523制冷空调设备</w:t>
            </w:r>
          </w:p>
        </w:tc>
        <w:tc>
          <w:tcPr>
            <w:tcW w:w="2268" w:type="dxa"/>
            <w:noWrap/>
            <w:vAlign w:val="center"/>
          </w:tcPr>
          <w:p w14:paraId="2699266B">
            <w:pPr>
              <w:autoSpaceDE w:val="0"/>
              <w:autoSpaceDN w:val="0"/>
              <w:rPr>
                <w:rFonts w:hint="eastAsia" w:ascii="宋体" w:hAnsi="宋体"/>
                <w:color w:val="000000"/>
                <w:w w:val="90"/>
                <w:szCs w:val="21"/>
              </w:rPr>
            </w:pPr>
            <w:r>
              <w:rPr>
                <w:rFonts w:ascii="宋体" w:hAnsi="宋体"/>
                <w:color w:val="000000"/>
                <w:w w:val="90"/>
                <w:szCs w:val="21"/>
              </w:rPr>
              <w:t>A02052301制冷压缩机</w:t>
            </w:r>
          </w:p>
        </w:tc>
        <w:tc>
          <w:tcPr>
            <w:tcW w:w="1855" w:type="dxa"/>
            <w:noWrap/>
            <w:vAlign w:val="center"/>
          </w:tcPr>
          <w:p w14:paraId="5C63B129">
            <w:pPr>
              <w:autoSpaceDE w:val="0"/>
              <w:autoSpaceDN w:val="0"/>
              <w:rPr>
                <w:rFonts w:hint="eastAsia" w:ascii="宋体" w:hAnsi="宋体"/>
                <w:color w:val="000000"/>
                <w:w w:val="90"/>
                <w:szCs w:val="21"/>
              </w:rPr>
            </w:pPr>
          </w:p>
        </w:tc>
        <w:tc>
          <w:tcPr>
            <w:tcW w:w="2736" w:type="dxa"/>
            <w:noWrap/>
            <w:vAlign w:val="center"/>
          </w:tcPr>
          <w:p w14:paraId="77904703">
            <w:pPr>
              <w:autoSpaceDE w:val="0"/>
              <w:autoSpaceDN w:val="0"/>
              <w:rPr>
                <w:rFonts w:hint="eastAsia" w:ascii="宋体" w:hAnsi="宋体"/>
                <w:color w:val="000000"/>
                <w:w w:val="90"/>
                <w:szCs w:val="21"/>
              </w:rPr>
            </w:pPr>
            <w:r>
              <w:rPr>
                <w:rFonts w:ascii="宋体" w:hAnsi="宋体"/>
                <w:color w:val="000000"/>
                <w:w w:val="90"/>
                <w:szCs w:val="21"/>
              </w:rPr>
              <w:t>HJ2531工商用制冷设备</w:t>
            </w:r>
          </w:p>
        </w:tc>
      </w:tr>
      <w:tr w14:paraId="0050F3F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7F9C072">
            <w:pPr>
              <w:autoSpaceDE w:val="0"/>
              <w:autoSpaceDN w:val="0"/>
              <w:jc w:val="center"/>
              <w:rPr>
                <w:rFonts w:hint="eastAsia" w:ascii="宋体" w:hAnsi="宋体"/>
                <w:color w:val="000000"/>
                <w:w w:val="90"/>
                <w:szCs w:val="21"/>
              </w:rPr>
            </w:pPr>
          </w:p>
        </w:tc>
        <w:tc>
          <w:tcPr>
            <w:tcW w:w="1985" w:type="dxa"/>
            <w:vMerge w:val="continue"/>
            <w:noWrap/>
            <w:vAlign w:val="center"/>
          </w:tcPr>
          <w:p w14:paraId="5358B971">
            <w:pPr>
              <w:autoSpaceDE w:val="0"/>
              <w:autoSpaceDN w:val="0"/>
              <w:rPr>
                <w:rFonts w:hint="eastAsia" w:ascii="宋体" w:hAnsi="宋体"/>
                <w:color w:val="000000"/>
                <w:w w:val="90"/>
                <w:szCs w:val="21"/>
              </w:rPr>
            </w:pPr>
          </w:p>
        </w:tc>
        <w:tc>
          <w:tcPr>
            <w:tcW w:w="2268" w:type="dxa"/>
            <w:noWrap/>
            <w:vAlign w:val="center"/>
          </w:tcPr>
          <w:p w14:paraId="0DCF10B3">
            <w:pPr>
              <w:autoSpaceDE w:val="0"/>
              <w:autoSpaceDN w:val="0"/>
              <w:rPr>
                <w:rFonts w:hint="eastAsia" w:ascii="宋体" w:hAnsi="宋体"/>
                <w:color w:val="000000"/>
                <w:w w:val="90"/>
                <w:szCs w:val="21"/>
              </w:rPr>
            </w:pPr>
            <w:r>
              <w:rPr>
                <w:rFonts w:ascii="宋体" w:hAnsi="宋体"/>
                <w:color w:val="000000"/>
                <w:w w:val="90"/>
                <w:szCs w:val="21"/>
              </w:rPr>
              <w:t>A02052305空调机组</w:t>
            </w:r>
          </w:p>
        </w:tc>
        <w:tc>
          <w:tcPr>
            <w:tcW w:w="1855" w:type="dxa"/>
            <w:noWrap/>
            <w:vAlign w:val="center"/>
          </w:tcPr>
          <w:p w14:paraId="5BC0650A">
            <w:pPr>
              <w:autoSpaceDE w:val="0"/>
              <w:autoSpaceDN w:val="0"/>
              <w:rPr>
                <w:rFonts w:hint="eastAsia" w:ascii="宋体" w:hAnsi="宋体"/>
                <w:color w:val="000000"/>
                <w:w w:val="90"/>
                <w:szCs w:val="21"/>
              </w:rPr>
            </w:pPr>
          </w:p>
        </w:tc>
        <w:tc>
          <w:tcPr>
            <w:tcW w:w="2736" w:type="dxa"/>
            <w:noWrap/>
            <w:vAlign w:val="center"/>
          </w:tcPr>
          <w:p w14:paraId="7EF10B71">
            <w:pPr>
              <w:autoSpaceDE w:val="0"/>
              <w:autoSpaceDN w:val="0"/>
              <w:rPr>
                <w:rFonts w:hint="eastAsia" w:ascii="宋体" w:hAnsi="宋体"/>
                <w:color w:val="000000"/>
                <w:w w:val="90"/>
                <w:szCs w:val="21"/>
              </w:rPr>
            </w:pPr>
            <w:r>
              <w:rPr>
                <w:rFonts w:ascii="宋体" w:hAnsi="宋体"/>
                <w:color w:val="000000"/>
                <w:w w:val="90"/>
                <w:szCs w:val="21"/>
              </w:rPr>
              <w:t>HJ2531工商用制冷设备</w:t>
            </w:r>
          </w:p>
        </w:tc>
      </w:tr>
      <w:tr w14:paraId="54DF92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CAB7B88">
            <w:pPr>
              <w:autoSpaceDE w:val="0"/>
              <w:autoSpaceDN w:val="0"/>
              <w:jc w:val="center"/>
              <w:rPr>
                <w:rFonts w:hint="eastAsia" w:ascii="宋体" w:hAnsi="宋体"/>
                <w:color w:val="000000"/>
                <w:w w:val="90"/>
                <w:szCs w:val="21"/>
              </w:rPr>
            </w:pPr>
          </w:p>
        </w:tc>
        <w:tc>
          <w:tcPr>
            <w:tcW w:w="1985" w:type="dxa"/>
            <w:vMerge w:val="continue"/>
            <w:noWrap/>
            <w:vAlign w:val="center"/>
          </w:tcPr>
          <w:p w14:paraId="19AEEA79">
            <w:pPr>
              <w:autoSpaceDE w:val="0"/>
              <w:autoSpaceDN w:val="0"/>
              <w:rPr>
                <w:rFonts w:hint="eastAsia" w:ascii="宋体" w:hAnsi="宋体"/>
                <w:color w:val="000000"/>
                <w:w w:val="90"/>
                <w:szCs w:val="21"/>
              </w:rPr>
            </w:pPr>
          </w:p>
        </w:tc>
        <w:tc>
          <w:tcPr>
            <w:tcW w:w="2268" w:type="dxa"/>
            <w:noWrap/>
            <w:vAlign w:val="center"/>
          </w:tcPr>
          <w:p w14:paraId="6665F28E">
            <w:pPr>
              <w:autoSpaceDE w:val="0"/>
              <w:autoSpaceDN w:val="0"/>
              <w:rPr>
                <w:rFonts w:hint="eastAsia" w:ascii="宋体" w:hAnsi="宋体"/>
                <w:color w:val="000000"/>
                <w:w w:val="90"/>
                <w:szCs w:val="21"/>
              </w:rPr>
            </w:pPr>
            <w:r>
              <w:rPr>
                <w:rFonts w:ascii="宋体" w:hAnsi="宋体"/>
                <w:color w:val="000000"/>
                <w:w w:val="90"/>
                <w:szCs w:val="21"/>
              </w:rPr>
              <w:t>A02052309专用制冷、空调设备</w:t>
            </w:r>
          </w:p>
        </w:tc>
        <w:tc>
          <w:tcPr>
            <w:tcW w:w="1855" w:type="dxa"/>
            <w:noWrap/>
            <w:vAlign w:val="center"/>
          </w:tcPr>
          <w:p w14:paraId="7017202D">
            <w:pPr>
              <w:autoSpaceDE w:val="0"/>
              <w:autoSpaceDN w:val="0"/>
              <w:rPr>
                <w:rFonts w:hint="eastAsia" w:ascii="宋体" w:hAnsi="宋体"/>
                <w:color w:val="000000"/>
                <w:w w:val="90"/>
                <w:szCs w:val="21"/>
              </w:rPr>
            </w:pPr>
          </w:p>
        </w:tc>
        <w:tc>
          <w:tcPr>
            <w:tcW w:w="2736" w:type="dxa"/>
            <w:noWrap/>
            <w:vAlign w:val="center"/>
          </w:tcPr>
          <w:p w14:paraId="423A6272">
            <w:pPr>
              <w:autoSpaceDE w:val="0"/>
              <w:autoSpaceDN w:val="0"/>
              <w:rPr>
                <w:rFonts w:hint="eastAsia" w:ascii="宋体" w:hAnsi="宋体"/>
                <w:color w:val="000000"/>
                <w:w w:val="90"/>
                <w:szCs w:val="21"/>
              </w:rPr>
            </w:pPr>
            <w:r>
              <w:rPr>
                <w:rFonts w:ascii="宋体" w:hAnsi="宋体"/>
                <w:color w:val="000000"/>
                <w:w w:val="90"/>
                <w:szCs w:val="21"/>
              </w:rPr>
              <w:t>HJ2531工商用制冷设备</w:t>
            </w:r>
          </w:p>
        </w:tc>
      </w:tr>
      <w:tr w14:paraId="61AB52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1FFA44C5">
            <w:pPr>
              <w:autoSpaceDE w:val="0"/>
              <w:autoSpaceDN w:val="0"/>
              <w:jc w:val="center"/>
              <w:rPr>
                <w:rFonts w:hint="eastAsia" w:ascii="宋体" w:hAnsi="宋体"/>
                <w:color w:val="000000"/>
                <w:w w:val="90"/>
                <w:szCs w:val="21"/>
              </w:rPr>
            </w:pPr>
            <w:r>
              <w:rPr>
                <w:rFonts w:ascii="宋体" w:hAnsi="宋体"/>
                <w:color w:val="000000"/>
                <w:w w:val="90"/>
                <w:szCs w:val="21"/>
              </w:rPr>
              <w:t>12</w:t>
            </w:r>
          </w:p>
        </w:tc>
        <w:tc>
          <w:tcPr>
            <w:tcW w:w="1985" w:type="dxa"/>
            <w:vMerge w:val="restart"/>
            <w:noWrap/>
            <w:vAlign w:val="center"/>
          </w:tcPr>
          <w:p w14:paraId="5F2CF0C9">
            <w:pPr>
              <w:autoSpaceDE w:val="0"/>
              <w:autoSpaceDN w:val="0"/>
              <w:rPr>
                <w:rFonts w:hint="eastAsia" w:ascii="宋体" w:hAnsi="宋体"/>
                <w:color w:val="000000"/>
                <w:w w:val="90"/>
                <w:szCs w:val="21"/>
              </w:rPr>
            </w:pPr>
            <w:r>
              <w:rPr>
                <w:rFonts w:ascii="宋体" w:hAnsi="宋体"/>
                <w:color w:val="000000"/>
                <w:w w:val="90"/>
                <w:szCs w:val="21"/>
              </w:rPr>
              <w:t>A020618生活用电器</w:t>
            </w:r>
          </w:p>
        </w:tc>
        <w:tc>
          <w:tcPr>
            <w:tcW w:w="2268" w:type="dxa"/>
            <w:noWrap/>
            <w:vAlign w:val="center"/>
          </w:tcPr>
          <w:p w14:paraId="5A1E4A33">
            <w:pPr>
              <w:autoSpaceDE w:val="0"/>
              <w:autoSpaceDN w:val="0"/>
              <w:rPr>
                <w:rFonts w:hint="eastAsia" w:ascii="宋体" w:hAnsi="宋体"/>
                <w:color w:val="000000"/>
                <w:w w:val="90"/>
                <w:szCs w:val="21"/>
              </w:rPr>
            </w:pPr>
            <w:r>
              <w:rPr>
                <w:rFonts w:ascii="宋体" w:hAnsi="宋体"/>
                <w:color w:val="000000"/>
                <w:w w:val="90"/>
                <w:szCs w:val="21"/>
              </w:rPr>
              <w:t>A02061802空气调节电器</w:t>
            </w:r>
          </w:p>
        </w:tc>
        <w:tc>
          <w:tcPr>
            <w:tcW w:w="1855" w:type="dxa"/>
            <w:noWrap/>
            <w:vAlign w:val="center"/>
          </w:tcPr>
          <w:p w14:paraId="5711780B">
            <w:pPr>
              <w:autoSpaceDE w:val="0"/>
              <w:autoSpaceDN w:val="0"/>
              <w:rPr>
                <w:rFonts w:hint="eastAsia" w:ascii="宋体" w:hAnsi="宋体"/>
                <w:color w:val="000000"/>
                <w:w w:val="90"/>
                <w:szCs w:val="21"/>
              </w:rPr>
            </w:pPr>
            <w:r>
              <w:rPr>
                <w:rFonts w:ascii="宋体" w:hAnsi="宋体"/>
                <w:color w:val="000000"/>
                <w:w w:val="90"/>
                <w:szCs w:val="21"/>
              </w:rPr>
              <w:t>A0206180203空调机</w:t>
            </w:r>
          </w:p>
        </w:tc>
        <w:tc>
          <w:tcPr>
            <w:tcW w:w="2736" w:type="dxa"/>
            <w:noWrap/>
            <w:vAlign w:val="center"/>
          </w:tcPr>
          <w:p w14:paraId="54371EF4">
            <w:pPr>
              <w:autoSpaceDE w:val="0"/>
              <w:autoSpaceDN w:val="0"/>
              <w:rPr>
                <w:rFonts w:hint="eastAsia" w:ascii="宋体" w:hAnsi="宋体"/>
                <w:color w:val="000000"/>
                <w:w w:val="90"/>
                <w:szCs w:val="21"/>
              </w:rPr>
            </w:pPr>
            <w:r>
              <w:rPr>
                <w:rFonts w:ascii="宋体" w:hAnsi="宋体"/>
                <w:color w:val="000000"/>
                <w:w w:val="90"/>
                <w:szCs w:val="21"/>
              </w:rPr>
              <w:t>HJ2535房间空气调节器</w:t>
            </w:r>
          </w:p>
        </w:tc>
      </w:tr>
      <w:tr w14:paraId="2B310B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47A8D84">
            <w:pPr>
              <w:autoSpaceDE w:val="0"/>
              <w:autoSpaceDN w:val="0"/>
              <w:jc w:val="center"/>
              <w:rPr>
                <w:rFonts w:hint="eastAsia" w:ascii="宋体" w:hAnsi="宋体"/>
                <w:color w:val="000000"/>
                <w:w w:val="90"/>
                <w:szCs w:val="21"/>
              </w:rPr>
            </w:pPr>
          </w:p>
        </w:tc>
        <w:tc>
          <w:tcPr>
            <w:tcW w:w="1985" w:type="dxa"/>
            <w:vMerge w:val="continue"/>
            <w:noWrap/>
            <w:vAlign w:val="center"/>
          </w:tcPr>
          <w:p w14:paraId="6C93A60A">
            <w:pPr>
              <w:autoSpaceDE w:val="0"/>
              <w:autoSpaceDN w:val="0"/>
              <w:rPr>
                <w:rFonts w:hint="eastAsia" w:ascii="宋体" w:hAnsi="宋体"/>
                <w:color w:val="000000"/>
                <w:w w:val="90"/>
                <w:szCs w:val="21"/>
              </w:rPr>
            </w:pPr>
          </w:p>
        </w:tc>
        <w:tc>
          <w:tcPr>
            <w:tcW w:w="2268" w:type="dxa"/>
            <w:noWrap/>
            <w:vAlign w:val="center"/>
          </w:tcPr>
          <w:p w14:paraId="7755CA76">
            <w:pPr>
              <w:autoSpaceDE w:val="0"/>
              <w:autoSpaceDN w:val="0"/>
              <w:rPr>
                <w:rFonts w:hint="eastAsia" w:ascii="宋体" w:hAnsi="宋体"/>
                <w:color w:val="000000"/>
                <w:w w:val="90"/>
                <w:szCs w:val="21"/>
              </w:rPr>
            </w:pPr>
            <w:r>
              <w:rPr>
                <w:rFonts w:ascii="宋体" w:hAnsi="宋体"/>
                <w:color w:val="000000"/>
                <w:w w:val="90"/>
                <w:szCs w:val="21"/>
              </w:rPr>
              <w:t>A02061808热水器</w:t>
            </w:r>
          </w:p>
        </w:tc>
        <w:tc>
          <w:tcPr>
            <w:tcW w:w="1855" w:type="dxa"/>
            <w:noWrap/>
            <w:vAlign w:val="center"/>
          </w:tcPr>
          <w:p w14:paraId="31450263">
            <w:pPr>
              <w:autoSpaceDE w:val="0"/>
              <w:autoSpaceDN w:val="0"/>
              <w:rPr>
                <w:rFonts w:hint="eastAsia" w:ascii="宋体" w:hAnsi="宋体"/>
                <w:color w:val="000000"/>
                <w:w w:val="90"/>
                <w:szCs w:val="21"/>
              </w:rPr>
            </w:pPr>
          </w:p>
        </w:tc>
        <w:tc>
          <w:tcPr>
            <w:tcW w:w="2736" w:type="dxa"/>
            <w:noWrap/>
            <w:vAlign w:val="center"/>
          </w:tcPr>
          <w:p w14:paraId="3F794AA2">
            <w:pPr>
              <w:autoSpaceDE w:val="0"/>
              <w:autoSpaceDN w:val="0"/>
              <w:rPr>
                <w:rFonts w:hint="eastAsia" w:ascii="宋体" w:hAnsi="宋体"/>
                <w:color w:val="000000"/>
                <w:w w:val="90"/>
                <w:szCs w:val="21"/>
              </w:rPr>
            </w:pPr>
            <w:r>
              <w:rPr>
                <w:rFonts w:ascii="宋体" w:hAnsi="宋体"/>
                <w:color w:val="000000"/>
                <w:w w:val="90"/>
                <w:szCs w:val="21"/>
              </w:rPr>
              <w:t>HJ/T362太阳能集热器</w:t>
            </w:r>
          </w:p>
        </w:tc>
      </w:tr>
      <w:tr w14:paraId="605CB7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38BA31A">
            <w:pPr>
              <w:autoSpaceDE w:val="0"/>
              <w:autoSpaceDN w:val="0"/>
              <w:jc w:val="center"/>
              <w:rPr>
                <w:rFonts w:hint="eastAsia" w:ascii="宋体" w:hAnsi="宋体"/>
                <w:color w:val="000000"/>
                <w:w w:val="90"/>
                <w:szCs w:val="21"/>
              </w:rPr>
            </w:pPr>
            <w:r>
              <w:rPr>
                <w:rFonts w:ascii="宋体" w:hAnsi="宋体"/>
                <w:color w:val="000000"/>
                <w:w w:val="90"/>
                <w:szCs w:val="21"/>
              </w:rPr>
              <w:t>13</w:t>
            </w:r>
          </w:p>
        </w:tc>
        <w:tc>
          <w:tcPr>
            <w:tcW w:w="1985" w:type="dxa"/>
            <w:noWrap/>
            <w:vAlign w:val="center"/>
          </w:tcPr>
          <w:p w14:paraId="6EFCE845">
            <w:pPr>
              <w:autoSpaceDE w:val="0"/>
              <w:autoSpaceDN w:val="0"/>
              <w:rPr>
                <w:rFonts w:hint="eastAsia" w:ascii="宋体" w:hAnsi="宋体"/>
                <w:color w:val="000000"/>
                <w:w w:val="90"/>
                <w:szCs w:val="21"/>
              </w:rPr>
            </w:pPr>
            <w:r>
              <w:rPr>
                <w:rFonts w:ascii="宋体" w:hAnsi="宋体"/>
                <w:color w:val="000000"/>
                <w:w w:val="90"/>
                <w:szCs w:val="21"/>
              </w:rPr>
              <w:t>A020619照明设备</w:t>
            </w:r>
          </w:p>
        </w:tc>
        <w:tc>
          <w:tcPr>
            <w:tcW w:w="2268" w:type="dxa"/>
            <w:noWrap/>
            <w:vAlign w:val="center"/>
          </w:tcPr>
          <w:p w14:paraId="7767985F">
            <w:pPr>
              <w:autoSpaceDE w:val="0"/>
              <w:autoSpaceDN w:val="0"/>
              <w:rPr>
                <w:rFonts w:hint="eastAsia" w:ascii="宋体" w:hAnsi="宋体"/>
                <w:color w:val="000000"/>
                <w:w w:val="90"/>
                <w:szCs w:val="21"/>
              </w:rPr>
            </w:pPr>
            <w:r>
              <w:rPr>
                <w:rFonts w:ascii="宋体" w:hAnsi="宋体"/>
                <w:color w:val="000000"/>
                <w:w w:val="90"/>
                <w:szCs w:val="21"/>
              </w:rPr>
              <w:t>A02061908室内照明灯具</w:t>
            </w:r>
          </w:p>
        </w:tc>
        <w:tc>
          <w:tcPr>
            <w:tcW w:w="1855" w:type="dxa"/>
            <w:noWrap/>
            <w:vAlign w:val="center"/>
          </w:tcPr>
          <w:p w14:paraId="5C4D77B6">
            <w:pPr>
              <w:autoSpaceDE w:val="0"/>
              <w:autoSpaceDN w:val="0"/>
              <w:rPr>
                <w:rFonts w:hint="eastAsia" w:ascii="宋体" w:hAnsi="宋体"/>
                <w:color w:val="000000"/>
                <w:w w:val="90"/>
                <w:szCs w:val="21"/>
              </w:rPr>
            </w:pPr>
          </w:p>
        </w:tc>
        <w:tc>
          <w:tcPr>
            <w:tcW w:w="2736" w:type="dxa"/>
            <w:noWrap/>
            <w:vAlign w:val="center"/>
          </w:tcPr>
          <w:p w14:paraId="22F65D0E">
            <w:pPr>
              <w:autoSpaceDE w:val="0"/>
              <w:autoSpaceDN w:val="0"/>
              <w:rPr>
                <w:rFonts w:hint="eastAsia" w:ascii="宋体" w:hAnsi="宋体"/>
                <w:color w:val="000000"/>
                <w:w w:val="90"/>
                <w:szCs w:val="21"/>
              </w:rPr>
            </w:pPr>
            <w:r>
              <w:rPr>
                <w:rFonts w:ascii="宋体" w:hAnsi="宋体"/>
                <w:color w:val="000000"/>
                <w:w w:val="90"/>
                <w:szCs w:val="21"/>
              </w:rPr>
              <w:t>HJ2518照明光源</w:t>
            </w:r>
          </w:p>
        </w:tc>
      </w:tr>
      <w:tr w14:paraId="2B6E28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FE76D2D">
            <w:pPr>
              <w:autoSpaceDE w:val="0"/>
              <w:autoSpaceDN w:val="0"/>
              <w:jc w:val="center"/>
              <w:rPr>
                <w:rFonts w:hint="eastAsia" w:ascii="宋体" w:hAnsi="宋体"/>
                <w:color w:val="000000"/>
                <w:w w:val="90"/>
                <w:szCs w:val="21"/>
              </w:rPr>
            </w:pPr>
            <w:r>
              <w:rPr>
                <w:rFonts w:ascii="宋体" w:hAnsi="宋体"/>
                <w:color w:val="000000"/>
                <w:w w:val="90"/>
                <w:szCs w:val="21"/>
              </w:rPr>
              <w:t>14</w:t>
            </w:r>
          </w:p>
        </w:tc>
        <w:tc>
          <w:tcPr>
            <w:tcW w:w="1985" w:type="dxa"/>
            <w:noWrap/>
            <w:vAlign w:val="center"/>
          </w:tcPr>
          <w:p w14:paraId="4C543010">
            <w:pPr>
              <w:autoSpaceDE w:val="0"/>
              <w:autoSpaceDN w:val="0"/>
              <w:rPr>
                <w:rFonts w:hint="eastAsia" w:ascii="宋体" w:hAnsi="宋体"/>
                <w:color w:val="000000"/>
                <w:w w:val="90"/>
                <w:szCs w:val="21"/>
              </w:rPr>
            </w:pPr>
            <w:r>
              <w:rPr>
                <w:rFonts w:ascii="宋体" w:hAnsi="宋体"/>
                <w:color w:val="000000"/>
                <w:w w:val="90"/>
                <w:szCs w:val="21"/>
              </w:rPr>
              <w:t>A020810传真及数据数字通信设备</w:t>
            </w:r>
          </w:p>
        </w:tc>
        <w:tc>
          <w:tcPr>
            <w:tcW w:w="2268" w:type="dxa"/>
            <w:noWrap/>
            <w:vAlign w:val="center"/>
          </w:tcPr>
          <w:p w14:paraId="54C4B20C">
            <w:pPr>
              <w:autoSpaceDE w:val="0"/>
              <w:autoSpaceDN w:val="0"/>
              <w:rPr>
                <w:rFonts w:hint="eastAsia" w:ascii="宋体" w:hAnsi="宋体"/>
                <w:color w:val="000000"/>
                <w:w w:val="90"/>
                <w:szCs w:val="21"/>
              </w:rPr>
            </w:pPr>
            <w:r>
              <w:rPr>
                <w:rFonts w:ascii="宋体" w:hAnsi="宋体"/>
                <w:color w:val="000000"/>
                <w:w w:val="90"/>
                <w:szCs w:val="21"/>
              </w:rPr>
              <w:t>A02081001传真通信设备</w:t>
            </w:r>
          </w:p>
        </w:tc>
        <w:tc>
          <w:tcPr>
            <w:tcW w:w="1855" w:type="dxa"/>
            <w:noWrap/>
            <w:vAlign w:val="center"/>
          </w:tcPr>
          <w:p w14:paraId="18EF6734">
            <w:pPr>
              <w:autoSpaceDE w:val="0"/>
              <w:autoSpaceDN w:val="0"/>
              <w:rPr>
                <w:rFonts w:hint="eastAsia" w:ascii="宋体" w:hAnsi="宋体"/>
                <w:color w:val="000000"/>
                <w:w w:val="90"/>
                <w:szCs w:val="21"/>
              </w:rPr>
            </w:pPr>
          </w:p>
        </w:tc>
        <w:tc>
          <w:tcPr>
            <w:tcW w:w="2736" w:type="dxa"/>
            <w:noWrap/>
            <w:vAlign w:val="center"/>
          </w:tcPr>
          <w:p w14:paraId="3356FE7F">
            <w:pPr>
              <w:autoSpaceDE w:val="0"/>
              <w:autoSpaceDN w:val="0"/>
              <w:rPr>
                <w:rFonts w:hint="eastAsia" w:ascii="宋体" w:hAnsi="宋体"/>
                <w:color w:val="000000"/>
                <w:w w:val="90"/>
                <w:szCs w:val="21"/>
              </w:rPr>
            </w:pPr>
            <w:r>
              <w:rPr>
                <w:rFonts w:ascii="宋体" w:hAnsi="宋体"/>
                <w:color w:val="000000"/>
                <w:w w:val="90"/>
                <w:szCs w:val="21"/>
              </w:rPr>
              <w:t>HJ2512打印机、传真机及多功能一体机</w:t>
            </w:r>
          </w:p>
        </w:tc>
      </w:tr>
      <w:tr w14:paraId="4E59D08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C0ED2D9">
            <w:pPr>
              <w:autoSpaceDE w:val="0"/>
              <w:autoSpaceDN w:val="0"/>
              <w:jc w:val="center"/>
              <w:rPr>
                <w:rFonts w:hint="eastAsia" w:ascii="宋体" w:hAnsi="宋体"/>
                <w:color w:val="000000"/>
                <w:w w:val="90"/>
                <w:szCs w:val="21"/>
              </w:rPr>
            </w:pPr>
            <w:r>
              <w:rPr>
                <w:rFonts w:ascii="宋体" w:hAnsi="宋体"/>
                <w:color w:val="000000"/>
                <w:w w:val="90"/>
                <w:szCs w:val="21"/>
              </w:rPr>
              <w:t>15</w:t>
            </w:r>
          </w:p>
        </w:tc>
        <w:tc>
          <w:tcPr>
            <w:tcW w:w="1985" w:type="dxa"/>
            <w:vMerge w:val="restart"/>
            <w:noWrap/>
            <w:vAlign w:val="center"/>
          </w:tcPr>
          <w:p w14:paraId="1FBB939E">
            <w:pPr>
              <w:autoSpaceDE w:val="0"/>
              <w:autoSpaceDN w:val="0"/>
              <w:rPr>
                <w:rFonts w:hint="eastAsia" w:ascii="宋体" w:hAnsi="宋体"/>
                <w:color w:val="000000"/>
                <w:w w:val="90"/>
                <w:szCs w:val="21"/>
              </w:rPr>
            </w:pPr>
            <w:r>
              <w:rPr>
                <w:rFonts w:ascii="宋体" w:hAnsi="宋体"/>
                <w:color w:val="000000"/>
                <w:w w:val="90"/>
                <w:szCs w:val="21"/>
              </w:rPr>
              <w:t>A020910 电视设备</w:t>
            </w:r>
          </w:p>
        </w:tc>
        <w:tc>
          <w:tcPr>
            <w:tcW w:w="2268" w:type="dxa"/>
            <w:noWrap/>
            <w:vAlign w:val="center"/>
          </w:tcPr>
          <w:p w14:paraId="7A1AE47E">
            <w:pPr>
              <w:autoSpaceDE w:val="0"/>
              <w:autoSpaceDN w:val="0"/>
              <w:rPr>
                <w:rFonts w:hint="eastAsia" w:ascii="宋体" w:hAnsi="宋体"/>
                <w:color w:val="000000"/>
                <w:w w:val="90"/>
                <w:szCs w:val="21"/>
              </w:rPr>
            </w:pPr>
            <w:r>
              <w:rPr>
                <w:rFonts w:ascii="宋体" w:hAnsi="宋体"/>
                <w:color w:val="000000"/>
                <w:w w:val="90"/>
                <w:szCs w:val="21"/>
              </w:rPr>
              <w:t>A02091001普通电视设备（电视机）</w:t>
            </w:r>
          </w:p>
        </w:tc>
        <w:tc>
          <w:tcPr>
            <w:tcW w:w="1855" w:type="dxa"/>
            <w:noWrap/>
            <w:vAlign w:val="center"/>
          </w:tcPr>
          <w:p w14:paraId="74BCBCA4">
            <w:pPr>
              <w:autoSpaceDE w:val="0"/>
              <w:autoSpaceDN w:val="0"/>
              <w:rPr>
                <w:rFonts w:hint="eastAsia" w:ascii="宋体" w:hAnsi="宋体"/>
                <w:color w:val="000000"/>
                <w:w w:val="90"/>
                <w:szCs w:val="21"/>
              </w:rPr>
            </w:pPr>
          </w:p>
        </w:tc>
        <w:tc>
          <w:tcPr>
            <w:tcW w:w="2736" w:type="dxa"/>
            <w:noWrap/>
            <w:vAlign w:val="center"/>
          </w:tcPr>
          <w:p w14:paraId="079DDDFC">
            <w:pPr>
              <w:autoSpaceDE w:val="0"/>
              <w:autoSpaceDN w:val="0"/>
              <w:rPr>
                <w:rFonts w:hint="eastAsia" w:ascii="宋体" w:hAnsi="宋体"/>
                <w:color w:val="000000"/>
                <w:w w:val="90"/>
                <w:szCs w:val="21"/>
              </w:rPr>
            </w:pPr>
            <w:r>
              <w:rPr>
                <w:rFonts w:ascii="宋体" w:hAnsi="宋体"/>
                <w:color w:val="000000"/>
                <w:w w:val="90"/>
                <w:szCs w:val="21"/>
              </w:rPr>
              <w:t>HJ2506彩色电视广播接收机</w:t>
            </w:r>
          </w:p>
        </w:tc>
      </w:tr>
      <w:tr w14:paraId="0F8EC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6A0DB66">
            <w:pPr>
              <w:autoSpaceDE w:val="0"/>
              <w:autoSpaceDN w:val="0"/>
              <w:jc w:val="center"/>
              <w:rPr>
                <w:rFonts w:hint="eastAsia" w:ascii="宋体" w:hAnsi="宋体"/>
                <w:color w:val="000000"/>
                <w:w w:val="90"/>
                <w:szCs w:val="21"/>
              </w:rPr>
            </w:pPr>
          </w:p>
        </w:tc>
        <w:tc>
          <w:tcPr>
            <w:tcW w:w="1985" w:type="dxa"/>
            <w:vMerge w:val="continue"/>
            <w:noWrap/>
            <w:vAlign w:val="center"/>
          </w:tcPr>
          <w:p w14:paraId="440DBF88">
            <w:pPr>
              <w:autoSpaceDE w:val="0"/>
              <w:autoSpaceDN w:val="0"/>
              <w:rPr>
                <w:rFonts w:hint="eastAsia" w:ascii="宋体" w:hAnsi="宋体"/>
                <w:color w:val="000000"/>
                <w:w w:val="90"/>
                <w:szCs w:val="21"/>
              </w:rPr>
            </w:pPr>
          </w:p>
        </w:tc>
        <w:tc>
          <w:tcPr>
            <w:tcW w:w="2268" w:type="dxa"/>
            <w:noWrap/>
            <w:vAlign w:val="center"/>
          </w:tcPr>
          <w:p w14:paraId="5E799853">
            <w:pPr>
              <w:autoSpaceDE w:val="0"/>
              <w:autoSpaceDN w:val="0"/>
              <w:rPr>
                <w:rFonts w:hint="eastAsia" w:ascii="宋体" w:hAnsi="宋体"/>
                <w:color w:val="000000"/>
                <w:w w:val="90"/>
                <w:szCs w:val="21"/>
              </w:rPr>
            </w:pPr>
            <w:r>
              <w:rPr>
                <w:rFonts w:ascii="宋体" w:hAnsi="宋体"/>
                <w:color w:val="000000"/>
                <w:w w:val="90"/>
                <w:szCs w:val="21"/>
              </w:rPr>
              <w:t>A02091003特殊功能应用电视设备</w:t>
            </w:r>
          </w:p>
        </w:tc>
        <w:tc>
          <w:tcPr>
            <w:tcW w:w="1855" w:type="dxa"/>
            <w:noWrap/>
            <w:vAlign w:val="center"/>
          </w:tcPr>
          <w:p w14:paraId="79D592C6">
            <w:pPr>
              <w:autoSpaceDE w:val="0"/>
              <w:autoSpaceDN w:val="0"/>
              <w:rPr>
                <w:rFonts w:hint="eastAsia" w:ascii="宋体" w:hAnsi="宋体"/>
                <w:color w:val="000000"/>
                <w:w w:val="90"/>
                <w:szCs w:val="21"/>
              </w:rPr>
            </w:pPr>
          </w:p>
        </w:tc>
        <w:tc>
          <w:tcPr>
            <w:tcW w:w="2736" w:type="dxa"/>
            <w:noWrap/>
            <w:vAlign w:val="center"/>
          </w:tcPr>
          <w:p w14:paraId="116CA1FB">
            <w:pPr>
              <w:autoSpaceDE w:val="0"/>
              <w:autoSpaceDN w:val="0"/>
              <w:rPr>
                <w:rFonts w:hint="eastAsia" w:ascii="宋体" w:hAnsi="宋体"/>
                <w:color w:val="000000"/>
                <w:w w:val="90"/>
                <w:szCs w:val="21"/>
              </w:rPr>
            </w:pPr>
            <w:r>
              <w:rPr>
                <w:rFonts w:ascii="宋体" w:hAnsi="宋体"/>
                <w:color w:val="000000"/>
                <w:w w:val="90"/>
                <w:szCs w:val="21"/>
              </w:rPr>
              <w:t>HJ2506彩色电视广播接收机</w:t>
            </w:r>
          </w:p>
        </w:tc>
      </w:tr>
      <w:tr w14:paraId="710CB86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40D22B8">
            <w:pPr>
              <w:autoSpaceDE w:val="0"/>
              <w:autoSpaceDN w:val="0"/>
              <w:jc w:val="center"/>
              <w:rPr>
                <w:rFonts w:hint="eastAsia" w:ascii="宋体" w:hAnsi="宋体"/>
                <w:color w:val="000000"/>
                <w:w w:val="90"/>
                <w:szCs w:val="21"/>
              </w:rPr>
            </w:pPr>
            <w:r>
              <w:rPr>
                <w:rFonts w:ascii="宋体" w:hAnsi="宋体"/>
                <w:color w:val="000000"/>
                <w:w w:val="90"/>
                <w:szCs w:val="21"/>
              </w:rPr>
              <w:t>16</w:t>
            </w:r>
          </w:p>
        </w:tc>
        <w:tc>
          <w:tcPr>
            <w:tcW w:w="1985" w:type="dxa"/>
            <w:vMerge w:val="restart"/>
            <w:noWrap/>
            <w:vAlign w:val="center"/>
          </w:tcPr>
          <w:p w14:paraId="36F9E781">
            <w:pPr>
              <w:autoSpaceDE w:val="0"/>
              <w:autoSpaceDN w:val="0"/>
              <w:rPr>
                <w:rFonts w:hint="eastAsia" w:ascii="宋体" w:hAnsi="宋体"/>
                <w:color w:val="000000"/>
                <w:w w:val="90"/>
                <w:szCs w:val="21"/>
              </w:rPr>
            </w:pPr>
            <w:r>
              <w:rPr>
                <w:rFonts w:ascii="宋体" w:hAnsi="宋体"/>
                <w:color w:val="000000"/>
                <w:w w:val="90"/>
                <w:szCs w:val="21"/>
              </w:rPr>
              <w:t>A0601床类</w:t>
            </w:r>
          </w:p>
        </w:tc>
        <w:tc>
          <w:tcPr>
            <w:tcW w:w="2268" w:type="dxa"/>
            <w:noWrap/>
            <w:vAlign w:val="center"/>
          </w:tcPr>
          <w:p w14:paraId="2C3300AE">
            <w:pPr>
              <w:autoSpaceDE w:val="0"/>
              <w:autoSpaceDN w:val="0"/>
              <w:rPr>
                <w:rFonts w:hint="eastAsia" w:ascii="宋体" w:hAnsi="宋体"/>
                <w:color w:val="000000"/>
                <w:w w:val="90"/>
                <w:szCs w:val="21"/>
              </w:rPr>
            </w:pPr>
            <w:r>
              <w:rPr>
                <w:rFonts w:ascii="宋体" w:hAnsi="宋体"/>
                <w:color w:val="000000"/>
                <w:w w:val="90"/>
                <w:szCs w:val="21"/>
              </w:rPr>
              <w:t>A060101钢木床类</w:t>
            </w:r>
          </w:p>
        </w:tc>
        <w:tc>
          <w:tcPr>
            <w:tcW w:w="1855" w:type="dxa"/>
            <w:noWrap/>
            <w:vAlign w:val="center"/>
          </w:tcPr>
          <w:p w14:paraId="3BADCB42">
            <w:pPr>
              <w:autoSpaceDE w:val="0"/>
              <w:autoSpaceDN w:val="0"/>
              <w:rPr>
                <w:rFonts w:hint="eastAsia" w:ascii="宋体" w:hAnsi="宋体"/>
                <w:color w:val="000000"/>
                <w:w w:val="90"/>
                <w:szCs w:val="21"/>
              </w:rPr>
            </w:pPr>
          </w:p>
        </w:tc>
        <w:tc>
          <w:tcPr>
            <w:tcW w:w="2736" w:type="dxa"/>
            <w:noWrap/>
            <w:vAlign w:val="center"/>
          </w:tcPr>
          <w:p w14:paraId="155B77B9">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4DECD2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00AB969">
            <w:pPr>
              <w:autoSpaceDE w:val="0"/>
              <w:autoSpaceDN w:val="0"/>
              <w:jc w:val="center"/>
              <w:rPr>
                <w:rFonts w:hint="eastAsia" w:ascii="宋体" w:hAnsi="宋体"/>
                <w:color w:val="000000"/>
                <w:w w:val="90"/>
                <w:szCs w:val="21"/>
              </w:rPr>
            </w:pPr>
          </w:p>
        </w:tc>
        <w:tc>
          <w:tcPr>
            <w:tcW w:w="1985" w:type="dxa"/>
            <w:vMerge w:val="continue"/>
            <w:noWrap/>
            <w:vAlign w:val="center"/>
          </w:tcPr>
          <w:p w14:paraId="0677A5F9">
            <w:pPr>
              <w:autoSpaceDE w:val="0"/>
              <w:autoSpaceDN w:val="0"/>
              <w:rPr>
                <w:rFonts w:hint="eastAsia" w:ascii="宋体" w:hAnsi="宋体"/>
                <w:color w:val="000000"/>
                <w:w w:val="90"/>
                <w:szCs w:val="21"/>
              </w:rPr>
            </w:pPr>
          </w:p>
        </w:tc>
        <w:tc>
          <w:tcPr>
            <w:tcW w:w="2268" w:type="dxa"/>
            <w:noWrap/>
            <w:vAlign w:val="center"/>
          </w:tcPr>
          <w:p w14:paraId="3726F71B">
            <w:pPr>
              <w:autoSpaceDE w:val="0"/>
              <w:autoSpaceDN w:val="0"/>
              <w:rPr>
                <w:rFonts w:hint="eastAsia" w:ascii="宋体" w:hAnsi="宋体"/>
                <w:color w:val="000000"/>
                <w:w w:val="90"/>
                <w:szCs w:val="21"/>
              </w:rPr>
            </w:pPr>
            <w:r>
              <w:rPr>
                <w:rFonts w:ascii="宋体" w:hAnsi="宋体"/>
                <w:color w:val="000000"/>
                <w:w w:val="90"/>
                <w:szCs w:val="21"/>
              </w:rPr>
              <w:t>A060104木制床类</w:t>
            </w:r>
          </w:p>
        </w:tc>
        <w:tc>
          <w:tcPr>
            <w:tcW w:w="1855" w:type="dxa"/>
            <w:noWrap/>
            <w:vAlign w:val="center"/>
          </w:tcPr>
          <w:p w14:paraId="6CE2A2BE">
            <w:pPr>
              <w:autoSpaceDE w:val="0"/>
              <w:autoSpaceDN w:val="0"/>
              <w:rPr>
                <w:rFonts w:hint="eastAsia" w:ascii="宋体" w:hAnsi="宋体"/>
                <w:color w:val="000000"/>
                <w:w w:val="90"/>
                <w:szCs w:val="21"/>
              </w:rPr>
            </w:pPr>
          </w:p>
        </w:tc>
        <w:tc>
          <w:tcPr>
            <w:tcW w:w="2736" w:type="dxa"/>
            <w:noWrap/>
            <w:vAlign w:val="center"/>
          </w:tcPr>
          <w:p w14:paraId="4D8A4E5B">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34267F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14C9444">
            <w:pPr>
              <w:autoSpaceDE w:val="0"/>
              <w:autoSpaceDN w:val="0"/>
              <w:jc w:val="center"/>
              <w:rPr>
                <w:rFonts w:hint="eastAsia" w:ascii="宋体" w:hAnsi="宋体"/>
                <w:color w:val="000000"/>
                <w:w w:val="90"/>
                <w:szCs w:val="21"/>
              </w:rPr>
            </w:pPr>
          </w:p>
        </w:tc>
        <w:tc>
          <w:tcPr>
            <w:tcW w:w="1985" w:type="dxa"/>
            <w:vMerge w:val="continue"/>
            <w:noWrap/>
            <w:vAlign w:val="center"/>
          </w:tcPr>
          <w:p w14:paraId="41E0A256">
            <w:pPr>
              <w:autoSpaceDE w:val="0"/>
              <w:autoSpaceDN w:val="0"/>
              <w:rPr>
                <w:rFonts w:hint="eastAsia" w:ascii="宋体" w:hAnsi="宋体"/>
                <w:color w:val="000000"/>
                <w:w w:val="90"/>
                <w:szCs w:val="21"/>
              </w:rPr>
            </w:pPr>
          </w:p>
        </w:tc>
        <w:tc>
          <w:tcPr>
            <w:tcW w:w="2268" w:type="dxa"/>
            <w:noWrap/>
            <w:vAlign w:val="center"/>
          </w:tcPr>
          <w:p w14:paraId="61C08878">
            <w:pPr>
              <w:autoSpaceDE w:val="0"/>
              <w:autoSpaceDN w:val="0"/>
              <w:rPr>
                <w:rFonts w:hint="eastAsia" w:ascii="宋体" w:hAnsi="宋体"/>
                <w:color w:val="000000"/>
                <w:w w:val="90"/>
                <w:szCs w:val="21"/>
              </w:rPr>
            </w:pPr>
            <w:r>
              <w:rPr>
                <w:rFonts w:ascii="宋体" w:hAnsi="宋体"/>
                <w:color w:val="000000"/>
                <w:w w:val="90"/>
                <w:szCs w:val="21"/>
              </w:rPr>
              <w:t>A060199其他床类</w:t>
            </w:r>
          </w:p>
        </w:tc>
        <w:tc>
          <w:tcPr>
            <w:tcW w:w="1855" w:type="dxa"/>
            <w:noWrap/>
            <w:vAlign w:val="center"/>
          </w:tcPr>
          <w:p w14:paraId="32404B85">
            <w:pPr>
              <w:autoSpaceDE w:val="0"/>
              <w:autoSpaceDN w:val="0"/>
              <w:rPr>
                <w:rFonts w:hint="eastAsia" w:ascii="宋体" w:hAnsi="宋体"/>
                <w:color w:val="000000"/>
                <w:w w:val="90"/>
                <w:szCs w:val="21"/>
              </w:rPr>
            </w:pPr>
          </w:p>
        </w:tc>
        <w:tc>
          <w:tcPr>
            <w:tcW w:w="2736" w:type="dxa"/>
            <w:noWrap/>
            <w:vAlign w:val="center"/>
          </w:tcPr>
          <w:p w14:paraId="679E04AE">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6D16D1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43F50CE3">
            <w:pPr>
              <w:autoSpaceDE w:val="0"/>
              <w:autoSpaceDN w:val="0"/>
              <w:jc w:val="center"/>
              <w:rPr>
                <w:rFonts w:hint="eastAsia" w:ascii="宋体" w:hAnsi="宋体"/>
                <w:color w:val="000000"/>
                <w:w w:val="90"/>
                <w:szCs w:val="21"/>
              </w:rPr>
            </w:pPr>
            <w:r>
              <w:rPr>
                <w:rFonts w:ascii="宋体" w:hAnsi="宋体"/>
                <w:color w:val="000000"/>
                <w:w w:val="90"/>
                <w:szCs w:val="21"/>
              </w:rPr>
              <w:t>17</w:t>
            </w:r>
          </w:p>
        </w:tc>
        <w:tc>
          <w:tcPr>
            <w:tcW w:w="1985" w:type="dxa"/>
            <w:vMerge w:val="restart"/>
            <w:noWrap/>
            <w:vAlign w:val="center"/>
          </w:tcPr>
          <w:p w14:paraId="2AFC48B1">
            <w:pPr>
              <w:autoSpaceDE w:val="0"/>
              <w:autoSpaceDN w:val="0"/>
              <w:rPr>
                <w:rFonts w:hint="eastAsia" w:ascii="宋体" w:hAnsi="宋体"/>
                <w:color w:val="000000"/>
                <w:w w:val="90"/>
                <w:szCs w:val="21"/>
              </w:rPr>
            </w:pPr>
            <w:r>
              <w:rPr>
                <w:rFonts w:ascii="宋体" w:hAnsi="宋体"/>
                <w:color w:val="000000"/>
                <w:w w:val="90"/>
                <w:szCs w:val="21"/>
              </w:rPr>
              <w:t>A0602台、桌类</w:t>
            </w:r>
          </w:p>
        </w:tc>
        <w:tc>
          <w:tcPr>
            <w:tcW w:w="2268" w:type="dxa"/>
            <w:noWrap/>
            <w:vAlign w:val="center"/>
          </w:tcPr>
          <w:p w14:paraId="2B7D7B2E">
            <w:pPr>
              <w:autoSpaceDE w:val="0"/>
              <w:autoSpaceDN w:val="0"/>
              <w:rPr>
                <w:rFonts w:hint="eastAsia" w:ascii="宋体" w:hAnsi="宋体"/>
                <w:color w:val="000000"/>
                <w:w w:val="90"/>
                <w:szCs w:val="21"/>
              </w:rPr>
            </w:pPr>
            <w:r>
              <w:rPr>
                <w:rFonts w:ascii="宋体" w:hAnsi="宋体"/>
                <w:color w:val="000000"/>
                <w:w w:val="90"/>
                <w:szCs w:val="21"/>
              </w:rPr>
              <w:t>A060201钢木台、桌类</w:t>
            </w:r>
          </w:p>
        </w:tc>
        <w:tc>
          <w:tcPr>
            <w:tcW w:w="1855" w:type="dxa"/>
            <w:noWrap/>
            <w:vAlign w:val="center"/>
          </w:tcPr>
          <w:p w14:paraId="07EB5521">
            <w:pPr>
              <w:autoSpaceDE w:val="0"/>
              <w:autoSpaceDN w:val="0"/>
              <w:rPr>
                <w:rFonts w:hint="eastAsia" w:ascii="宋体" w:hAnsi="宋体"/>
                <w:color w:val="000000"/>
                <w:w w:val="90"/>
                <w:szCs w:val="21"/>
              </w:rPr>
            </w:pPr>
          </w:p>
        </w:tc>
        <w:tc>
          <w:tcPr>
            <w:tcW w:w="2736" w:type="dxa"/>
            <w:noWrap/>
            <w:vAlign w:val="center"/>
          </w:tcPr>
          <w:p w14:paraId="6A2D760D">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3D83AE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F656541">
            <w:pPr>
              <w:autoSpaceDE w:val="0"/>
              <w:autoSpaceDN w:val="0"/>
              <w:jc w:val="center"/>
              <w:rPr>
                <w:rFonts w:hint="eastAsia" w:ascii="宋体" w:hAnsi="宋体"/>
                <w:color w:val="000000"/>
                <w:w w:val="90"/>
                <w:szCs w:val="21"/>
              </w:rPr>
            </w:pPr>
          </w:p>
        </w:tc>
        <w:tc>
          <w:tcPr>
            <w:tcW w:w="1985" w:type="dxa"/>
            <w:vMerge w:val="continue"/>
            <w:noWrap/>
            <w:vAlign w:val="center"/>
          </w:tcPr>
          <w:p w14:paraId="0FEA37AC">
            <w:pPr>
              <w:autoSpaceDE w:val="0"/>
              <w:autoSpaceDN w:val="0"/>
              <w:rPr>
                <w:rFonts w:hint="eastAsia" w:ascii="宋体" w:hAnsi="宋体"/>
                <w:color w:val="000000"/>
                <w:w w:val="90"/>
                <w:szCs w:val="21"/>
              </w:rPr>
            </w:pPr>
          </w:p>
        </w:tc>
        <w:tc>
          <w:tcPr>
            <w:tcW w:w="2268" w:type="dxa"/>
            <w:noWrap/>
            <w:vAlign w:val="center"/>
          </w:tcPr>
          <w:p w14:paraId="276678C9">
            <w:pPr>
              <w:autoSpaceDE w:val="0"/>
              <w:autoSpaceDN w:val="0"/>
              <w:rPr>
                <w:rFonts w:hint="eastAsia" w:ascii="宋体" w:hAnsi="宋体"/>
                <w:color w:val="000000"/>
                <w:w w:val="90"/>
                <w:szCs w:val="21"/>
              </w:rPr>
            </w:pPr>
            <w:r>
              <w:rPr>
                <w:rFonts w:ascii="宋体" w:hAnsi="宋体"/>
                <w:color w:val="000000"/>
                <w:w w:val="90"/>
                <w:szCs w:val="21"/>
              </w:rPr>
              <w:t>A060205木制台、桌类</w:t>
            </w:r>
          </w:p>
        </w:tc>
        <w:tc>
          <w:tcPr>
            <w:tcW w:w="1855" w:type="dxa"/>
            <w:noWrap/>
            <w:vAlign w:val="center"/>
          </w:tcPr>
          <w:p w14:paraId="21346C72">
            <w:pPr>
              <w:autoSpaceDE w:val="0"/>
              <w:autoSpaceDN w:val="0"/>
              <w:rPr>
                <w:rFonts w:hint="eastAsia" w:ascii="宋体" w:hAnsi="宋体"/>
                <w:color w:val="000000"/>
                <w:w w:val="90"/>
                <w:szCs w:val="21"/>
              </w:rPr>
            </w:pPr>
          </w:p>
        </w:tc>
        <w:tc>
          <w:tcPr>
            <w:tcW w:w="2736" w:type="dxa"/>
            <w:noWrap/>
            <w:vAlign w:val="center"/>
          </w:tcPr>
          <w:p w14:paraId="73311871">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27B8A1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FD3AD6D">
            <w:pPr>
              <w:autoSpaceDE w:val="0"/>
              <w:autoSpaceDN w:val="0"/>
              <w:jc w:val="center"/>
              <w:rPr>
                <w:rFonts w:hint="eastAsia" w:ascii="宋体" w:hAnsi="宋体"/>
                <w:color w:val="000000"/>
                <w:w w:val="90"/>
                <w:szCs w:val="21"/>
              </w:rPr>
            </w:pPr>
          </w:p>
        </w:tc>
        <w:tc>
          <w:tcPr>
            <w:tcW w:w="1985" w:type="dxa"/>
            <w:vMerge w:val="continue"/>
            <w:noWrap/>
            <w:vAlign w:val="center"/>
          </w:tcPr>
          <w:p w14:paraId="76B118D8">
            <w:pPr>
              <w:autoSpaceDE w:val="0"/>
              <w:autoSpaceDN w:val="0"/>
              <w:rPr>
                <w:rFonts w:hint="eastAsia" w:ascii="宋体" w:hAnsi="宋体"/>
                <w:color w:val="000000"/>
                <w:w w:val="90"/>
                <w:szCs w:val="21"/>
              </w:rPr>
            </w:pPr>
          </w:p>
        </w:tc>
        <w:tc>
          <w:tcPr>
            <w:tcW w:w="2268" w:type="dxa"/>
            <w:noWrap/>
            <w:vAlign w:val="center"/>
          </w:tcPr>
          <w:p w14:paraId="03130631">
            <w:pPr>
              <w:autoSpaceDE w:val="0"/>
              <w:autoSpaceDN w:val="0"/>
              <w:rPr>
                <w:rFonts w:hint="eastAsia" w:ascii="宋体" w:hAnsi="宋体"/>
                <w:color w:val="000000"/>
                <w:w w:val="90"/>
                <w:szCs w:val="21"/>
              </w:rPr>
            </w:pPr>
            <w:r>
              <w:rPr>
                <w:rFonts w:ascii="宋体" w:hAnsi="宋体"/>
                <w:color w:val="000000"/>
                <w:w w:val="90"/>
                <w:szCs w:val="21"/>
              </w:rPr>
              <w:t>A060299其他台、桌类</w:t>
            </w:r>
          </w:p>
        </w:tc>
        <w:tc>
          <w:tcPr>
            <w:tcW w:w="1855" w:type="dxa"/>
            <w:noWrap/>
            <w:vAlign w:val="center"/>
          </w:tcPr>
          <w:p w14:paraId="0BE132B0">
            <w:pPr>
              <w:autoSpaceDE w:val="0"/>
              <w:autoSpaceDN w:val="0"/>
              <w:rPr>
                <w:rFonts w:hint="eastAsia" w:ascii="宋体" w:hAnsi="宋体"/>
                <w:color w:val="000000"/>
                <w:w w:val="90"/>
                <w:szCs w:val="21"/>
              </w:rPr>
            </w:pPr>
          </w:p>
        </w:tc>
        <w:tc>
          <w:tcPr>
            <w:tcW w:w="2736" w:type="dxa"/>
            <w:noWrap/>
            <w:vAlign w:val="center"/>
          </w:tcPr>
          <w:p w14:paraId="596235D9">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67B5D2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10E5C6D">
            <w:pPr>
              <w:autoSpaceDE w:val="0"/>
              <w:autoSpaceDN w:val="0"/>
              <w:jc w:val="center"/>
              <w:rPr>
                <w:rFonts w:hint="eastAsia" w:ascii="宋体" w:hAnsi="宋体"/>
                <w:color w:val="000000"/>
                <w:w w:val="90"/>
                <w:szCs w:val="21"/>
              </w:rPr>
            </w:pPr>
            <w:r>
              <w:rPr>
                <w:rFonts w:ascii="宋体" w:hAnsi="宋体"/>
                <w:color w:val="000000"/>
                <w:w w:val="90"/>
                <w:szCs w:val="21"/>
              </w:rPr>
              <w:t>18</w:t>
            </w:r>
          </w:p>
        </w:tc>
        <w:tc>
          <w:tcPr>
            <w:tcW w:w="1985" w:type="dxa"/>
            <w:vMerge w:val="restart"/>
            <w:noWrap/>
            <w:vAlign w:val="center"/>
          </w:tcPr>
          <w:p w14:paraId="4EFCB570">
            <w:pPr>
              <w:autoSpaceDE w:val="0"/>
              <w:autoSpaceDN w:val="0"/>
              <w:rPr>
                <w:rFonts w:hint="eastAsia" w:ascii="宋体" w:hAnsi="宋体"/>
                <w:color w:val="000000"/>
                <w:w w:val="90"/>
                <w:szCs w:val="21"/>
              </w:rPr>
            </w:pPr>
            <w:r>
              <w:rPr>
                <w:rFonts w:ascii="宋体" w:hAnsi="宋体"/>
                <w:color w:val="000000"/>
                <w:w w:val="90"/>
                <w:szCs w:val="21"/>
              </w:rPr>
              <w:t>A0603椅凳类</w:t>
            </w:r>
          </w:p>
        </w:tc>
        <w:tc>
          <w:tcPr>
            <w:tcW w:w="2268" w:type="dxa"/>
            <w:noWrap/>
            <w:vAlign w:val="center"/>
          </w:tcPr>
          <w:p w14:paraId="4FC95CA2">
            <w:pPr>
              <w:autoSpaceDE w:val="0"/>
              <w:autoSpaceDN w:val="0"/>
              <w:rPr>
                <w:rFonts w:hint="eastAsia" w:ascii="宋体" w:hAnsi="宋体"/>
                <w:color w:val="000000"/>
                <w:w w:val="90"/>
                <w:szCs w:val="21"/>
              </w:rPr>
            </w:pPr>
            <w:r>
              <w:rPr>
                <w:rFonts w:ascii="宋体" w:hAnsi="宋体"/>
                <w:color w:val="000000"/>
                <w:w w:val="90"/>
                <w:szCs w:val="21"/>
              </w:rPr>
              <w:t>A060301金属骨架为主的椅凳类</w:t>
            </w:r>
          </w:p>
        </w:tc>
        <w:tc>
          <w:tcPr>
            <w:tcW w:w="1855" w:type="dxa"/>
            <w:noWrap/>
            <w:vAlign w:val="center"/>
          </w:tcPr>
          <w:p w14:paraId="7AF38F9C">
            <w:pPr>
              <w:autoSpaceDE w:val="0"/>
              <w:autoSpaceDN w:val="0"/>
              <w:rPr>
                <w:rFonts w:hint="eastAsia" w:ascii="宋体" w:hAnsi="宋体"/>
                <w:color w:val="000000"/>
                <w:w w:val="90"/>
                <w:szCs w:val="21"/>
              </w:rPr>
            </w:pPr>
          </w:p>
        </w:tc>
        <w:tc>
          <w:tcPr>
            <w:tcW w:w="2736" w:type="dxa"/>
            <w:noWrap/>
            <w:vAlign w:val="center"/>
          </w:tcPr>
          <w:p w14:paraId="6CD94EED">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005D06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55F5AE9">
            <w:pPr>
              <w:autoSpaceDE w:val="0"/>
              <w:autoSpaceDN w:val="0"/>
              <w:jc w:val="center"/>
              <w:rPr>
                <w:rFonts w:hint="eastAsia" w:ascii="宋体" w:hAnsi="宋体"/>
                <w:color w:val="000000"/>
                <w:w w:val="90"/>
                <w:szCs w:val="21"/>
              </w:rPr>
            </w:pPr>
          </w:p>
        </w:tc>
        <w:tc>
          <w:tcPr>
            <w:tcW w:w="1985" w:type="dxa"/>
            <w:vMerge w:val="continue"/>
            <w:noWrap/>
            <w:vAlign w:val="center"/>
          </w:tcPr>
          <w:p w14:paraId="762F7B5A">
            <w:pPr>
              <w:autoSpaceDE w:val="0"/>
              <w:autoSpaceDN w:val="0"/>
              <w:rPr>
                <w:rFonts w:hint="eastAsia" w:ascii="宋体" w:hAnsi="宋体"/>
                <w:color w:val="000000"/>
                <w:w w:val="90"/>
                <w:szCs w:val="21"/>
              </w:rPr>
            </w:pPr>
          </w:p>
        </w:tc>
        <w:tc>
          <w:tcPr>
            <w:tcW w:w="2268" w:type="dxa"/>
            <w:noWrap/>
            <w:vAlign w:val="center"/>
          </w:tcPr>
          <w:p w14:paraId="169C1C51">
            <w:pPr>
              <w:autoSpaceDE w:val="0"/>
              <w:autoSpaceDN w:val="0"/>
              <w:rPr>
                <w:rFonts w:hint="eastAsia" w:ascii="宋体" w:hAnsi="宋体"/>
                <w:color w:val="000000"/>
                <w:w w:val="90"/>
                <w:szCs w:val="21"/>
              </w:rPr>
            </w:pPr>
            <w:r>
              <w:rPr>
                <w:rFonts w:ascii="宋体" w:hAnsi="宋体"/>
                <w:color w:val="000000"/>
                <w:w w:val="90"/>
                <w:szCs w:val="21"/>
              </w:rPr>
              <w:t>A060302木骨架为主的椅凳类</w:t>
            </w:r>
          </w:p>
        </w:tc>
        <w:tc>
          <w:tcPr>
            <w:tcW w:w="1855" w:type="dxa"/>
            <w:noWrap/>
            <w:vAlign w:val="center"/>
          </w:tcPr>
          <w:p w14:paraId="7DF70333">
            <w:pPr>
              <w:autoSpaceDE w:val="0"/>
              <w:autoSpaceDN w:val="0"/>
              <w:rPr>
                <w:rFonts w:hint="eastAsia" w:ascii="宋体" w:hAnsi="宋体"/>
                <w:color w:val="000000"/>
                <w:w w:val="90"/>
                <w:szCs w:val="21"/>
              </w:rPr>
            </w:pPr>
          </w:p>
        </w:tc>
        <w:tc>
          <w:tcPr>
            <w:tcW w:w="2736" w:type="dxa"/>
            <w:noWrap/>
            <w:vAlign w:val="center"/>
          </w:tcPr>
          <w:p w14:paraId="0842A914">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633ACC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BE0C2AB">
            <w:pPr>
              <w:autoSpaceDE w:val="0"/>
              <w:autoSpaceDN w:val="0"/>
              <w:jc w:val="center"/>
              <w:rPr>
                <w:rFonts w:hint="eastAsia" w:ascii="宋体" w:hAnsi="宋体"/>
                <w:color w:val="000000"/>
                <w:w w:val="90"/>
                <w:szCs w:val="21"/>
              </w:rPr>
            </w:pPr>
          </w:p>
        </w:tc>
        <w:tc>
          <w:tcPr>
            <w:tcW w:w="1985" w:type="dxa"/>
            <w:vMerge w:val="continue"/>
            <w:noWrap/>
            <w:vAlign w:val="center"/>
          </w:tcPr>
          <w:p w14:paraId="4898CF8C">
            <w:pPr>
              <w:autoSpaceDE w:val="0"/>
              <w:autoSpaceDN w:val="0"/>
              <w:rPr>
                <w:rFonts w:hint="eastAsia" w:ascii="宋体" w:hAnsi="宋体"/>
                <w:color w:val="000000"/>
                <w:w w:val="90"/>
                <w:szCs w:val="21"/>
              </w:rPr>
            </w:pPr>
          </w:p>
        </w:tc>
        <w:tc>
          <w:tcPr>
            <w:tcW w:w="2268" w:type="dxa"/>
            <w:noWrap/>
            <w:vAlign w:val="center"/>
          </w:tcPr>
          <w:p w14:paraId="295F0345">
            <w:pPr>
              <w:autoSpaceDE w:val="0"/>
              <w:autoSpaceDN w:val="0"/>
              <w:rPr>
                <w:rFonts w:hint="eastAsia" w:ascii="宋体" w:hAnsi="宋体"/>
                <w:color w:val="000000"/>
                <w:w w:val="90"/>
                <w:szCs w:val="21"/>
              </w:rPr>
            </w:pPr>
            <w:r>
              <w:rPr>
                <w:rFonts w:ascii="宋体" w:hAnsi="宋体"/>
                <w:color w:val="000000"/>
                <w:w w:val="90"/>
                <w:szCs w:val="21"/>
              </w:rPr>
              <w:t>A060399其他椅凳类</w:t>
            </w:r>
          </w:p>
        </w:tc>
        <w:tc>
          <w:tcPr>
            <w:tcW w:w="1855" w:type="dxa"/>
            <w:noWrap/>
            <w:vAlign w:val="center"/>
          </w:tcPr>
          <w:p w14:paraId="3D0D3B51">
            <w:pPr>
              <w:autoSpaceDE w:val="0"/>
              <w:autoSpaceDN w:val="0"/>
              <w:rPr>
                <w:rFonts w:hint="eastAsia" w:ascii="宋体" w:hAnsi="宋体"/>
                <w:color w:val="000000"/>
                <w:w w:val="90"/>
                <w:szCs w:val="21"/>
              </w:rPr>
            </w:pPr>
          </w:p>
        </w:tc>
        <w:tc>
          <w:tcPr>
            <w:tcW w:w="2736" w:type="dxa"/>
            <w:noWrap/>
            <w:vAlign w:val="center"/>
          </w:tcPr>
          <w:p w14:paraId="3FA976AE">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22C1EF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1C04111">
            <w:pPr>
              <w:autoSpaceDE w:val="0"/>
              <w:autoSpaceDN w:val="0"/>
              <w:jc w:val="center"/>
              <w:rPr>
                <w:rFonts w:hint="eastAsia" w:ascii="宋体" w:hAnsi="宋体"/>
                <w:color w:val="000000"/>
                <w:w w:val="90"/>
                <w:szCs w:val="21"/>
              </w:rPr>
            </w:pPr>
            <w:r>
              <w:rPr>
                <w:rFonts w:ascii="宋体" w:hAnsi="宋体"/>
                <w:color w:val="000000"/>
                <w:w w:val="90"/>
                <w:szCs w:val="21"/>
              </w:rPr>
              <w:t>19</w:t>
            </w:r>
          </w:p>
        </w:tc>
        <w:tc>
          <w:tcPr>
            <w:tcW w:w="1985" w:type="dxa"/>
            <w:noWrap/>
            <w:vAlign w:val="center"/>
          </w:tcPr>
          <w:p w14:paraId="278D051D">
            <w:pPr>
              <w:autoSpaceDE w:val="0"/>
              <w:autoSpaceDN w:val="0"/>
              <w:rPr>
                <w:rFonts w:hint="eastAsia" w:ascii="宋体" w:hAnsi="宋体"/>
                <w:color w:val="000000"/>
                <w:w w:val="90"/>
                <w:szCs w:val="21"/>
              </w:rPr>
            </w:pPr>
            <w:r>
              <w:rPr>
                <w:rFonts w:ascii="宋体" w:hAnsi="宋体"/>
                <w:color w:val="000000"/>
                <w:w w:val="90"/>
                <w:szCs w:val="21"/>
              </w:rPr>
              <w:t>A0604沙发类</w:t>
            </w:r>
          </w:p>
        </w:tc>
        <w:tc>
          <w:tcPr>
            <w:tcW w:w="2268" w:type="dxa"/>
            <w:noWrap/>
            <w:vAlign w:val="center"/>
          </w:tcPr>
          <w:p w14:paraId="6809FE80">
            <w:pPr>
              <w:autoSpaceDE w:val="0"/>
              <w:autoSpaceDN w:val="0"/>
              <w:rPr>
                <w:rFonts w:hint="eastAsia" w:ascii="宋体" w:hAnsi="宋体"/>
                <w:color w:val="000000"/>
                <w:w w:val="90"/>
                <w:szCs w:val="21"/>
              </w:rPr>
            </w:pPr>
            <w:r>
              <w:rPr>
                <w:rFonts w:ascii="宋体" w:hAnsi="宋体"/>
                <w:color w:val="000000"/>
                <w:w w:val="90"/>
                <w:szCs w:val="21"/>
              </w:rPr>
              <w:t>A060499其他沙发类</w:t>
            </w:r>
          </w:p>
        </w:tc>
        <w:tc>
          <w:tcPr>
            <w:tcW w:w="1855" w:type="dxa"/>
            <w:noWrap/>
            <w:vAlign w:val="center"/>
          </w:tcPr>
          <w:p w14:paraId="627573F4">
            <w:pPr>
              <w:autoSpaceDE w:val="0"/>
              <w:autoSpaceDN w:val="0"/>
              <w:rPr>
                <w:rFonts w:hint="eastAsia" w:ascii="宋体" w:hAnsi="宋体"/>
                <w:color w:val="000000"/>
                <w:w w:val="90"/>
                <w:szCs w:val="21"/>
              </w:rPr>
            </w:pPr>
          </w:p>
        </w:tc>
        <w:tc>
          <w:tcPr>
            <w:tcW w:w="2736" w:type="dxa"/>
            <w:noWrap/>
            <w:vAlign w:val="center"/>
          </w:tcPr>
          <w:p w14:paraId="4EEE305B">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5F56EF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05060118">
            <w:pPr>
              <w:autoSpaceDE w:val="0"/>
              <w:autoSpaceDN w:val="0"/>
              <w:jc w:val="center"/>
              <w:rPr>
                <w:rFonts w:hint="eastAsia" w:ascii="宋体" w:hAnsi="宋体"/>
                <w:color w:val="000000"/>
                <w:w w:val="90"/>
                <w:szCs w:val="21"/>
              </w:rPr>
            </w:pPr>
            <w:r>
              <w:rPr>
                <w:rFonts w:ascii="宋体" w:hAnsi="宋体"/>
                <w:color w:val="000000"/>
                <w:w w:val="90"/>
                <w:szCs w:val="21"/>
              </w:rPr>
              <w:t>20</w:t>
            </w:r>
          </w:p>
        </w:tc>
        <w:tc>
          <w:tcPr>
            <w:tcW w:w="1985" w:type="dxa"/>
            <w:vMerge w:val="restart"/>
            <w:noWrap/>
            <w:vAlign w:val="center"/>
          </w:tcPr>
          <w:p w14:paraId="526497F6">
            <w:pPr>
              <w:autoSpaceDE w:val="0"/>
              <w:autoSpaceDN w:val="0"/>
              <w:rPr>
                <w:rFonts w:hint="eastAsia" w:ascii="宋体" w:hAnsi="宋体"/>
                <w:color w:val="000000"/>
                <w:w w:val="90"/>
                <w:szCs w:val="21"/>
              </w:rPr>
            </w:pPr>
            <w:r>
              <w:rPr>
                <w:rFonts w:ascii="宋体" w:hAnsi="宋体"/>
                <w:color w:val="000000"/>
                <w:w w:val="90"/>
                <w:szCs w:val="21"/>
              </w:rPr>
              <w:t>A0605柜类</w:t>
            </w:r>
          </w:p>
        </w:tc>
        <w:tc>
          <w:tcPr>
            <w:tcW w:w="2268" w:type="dxa"/>
            <w:noWrap/>
            <w:vAlign w:val="center"/>
          </w:tcPr>
          <w:p w14:paraId="78269294">
            <w:pPr>
              <w:autoSpaceDE w:val="0"/>
              <w:autoSpaceDN w:val="0"/>
              <w:rPr>
                <w:rFonts w:hint="eastAsia" w:ascii="宋体" w:hAnsi="宋体"/>
                <w:color w:val="000000"/>
                <w:w w:val="90"/>
                <w:szCs w:val="21"/>
              </w:rPr>
            </w:pPr>
            <w:r>
              <w:rPr>
                <w:rFonts w:ascii="宋体" w:hAnsi="宋体"/>
                <w:color w:val="000000"/>
                <w:w w:val="90"/>
                <w:szCs w:val="21"/>
              </w:rPr>
              <w:t>A060501木质柜类</w:t>
            </w:r>
          </w:p>
        </w:tc>
        <w:tc>
          <w:tcPr>
            <w:tcW w:w="1855" w:type="dxa"/>
            <w:noWrap/>
            <w:vAlign w:val="center"/>
          </w:tcPr>
          <w:p w14:paraId="7AD22C47">
            <w:pPr>
              <w:autoSpaceDE w:val="0"/>
              <w:autoSpaceDN w:val="0"/>
              <w:rPr>
                <w:rFonts w:hint="eastAsia" w:ascii="宋体" w:hAnsi="宋体"/>
                <w:color w:val="000000"/>
                <w:w w:val="90"/>
                <w:szCs w:val="21"/>
              </w:rPr>
            </w:pPr>
          </w:p>
        </w:tc>
        <w:tc>
          <w:tcPr>
            <w:tcW w:w="2736" w:type="dxa"/>
            <w:noWrap/>
            <w:vAlign w:val="center"/>
          </w:tcPr>
          <w:p w14:paraId="6BF98B03">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3E9FDE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5327DA7">
            <w:pPr>
              <w:autoSpaceDE w:val="0"/>
              <w:autoSpaceDN w:val="0"/>
              <w:jc w:val="center"/>
              <w:rPr>
                <w:rFonts w:hint="eastAsia" w:ascii="宋体" w:hAnsi="宋体"/>
                <w:color w:val="000000"/>
                <w:w w:val="90"/>
                <w:szCs w:val="21"/>
              </w:rPr>
            </w:pPr>
          </w:p>
        </w:tc>
        <w:tc>
          <w:tcPr>
            <w:tcW w:w="1985" w:type="dxa"/>
            <w:vMerge w:val="continue"/>
            <w:noWrap/>
            <w:vAlign w:val="center"/>
          </w:tcPr>
          <w:p w14:paraId="1D0B2492">
            <w:pPr>
              <w:autoSpaceDE w:val="0"/>
              <w:autoSpaceDN w:val="0"/>
              <w:rPr>
                <w:rFonts w:hint="eastAsia" w:ascii="宋体" w:hAnsi="宋体"/>
                <w:color w:val="000000"/>
                <w:w w:val="90"/>
                <w:szCs w:val="21"/>
              </w:rPr>
            </w:pPr>
          </w:p>
        </w:tc>
        <w:tc>
          <w:tcPr>
            <w:tcW w:w="2268" w:type="dxa"/>
            <w:noWrap/>
            <w:vAlign w:val="center"/>
          </w:tcPr>
          <w:p w14:paraId="4F86B1A8">
            <w:pPr>
              <w:autoSpaceDE w:val="0"/>
              <w:autoSpaceDN w:val="0"/>
              <w:rPr>
                <w:rFonts w:hint="eastAsia" w:ascii="宋体" w:hAnsi="宋体"/>
                <w:color w:val="000000"/>
                <w:w w:val="90"/>
                <w:szCs w:val="21"/>
              </w:rPr>
            </w:pPr>
            <w:r>
              <w:rPr>
                <w:rFonts w:ascii="宋体" w:hAnsi="宋体"/>
                <w:color w:val="000000"/>
                <w:w w:val="90"/>
                <w:szCs w:val="21"/>
              </w:rPr>
              <w:t>A060503金属质柜类</w:t>
            </w:r>
          </w:p>
        </w:tc>
        <w:tc>
          <w:tcPr>
            <w:tcW w:w="1855" w:type="dxa"/>
            <w:noWrap/>
            <w:vAlign w:val="center"/>
          </w:tcPr>
          <w:p w14:paraId="7D5A51D8">
            <w:pPr>
              <w:autoSpaceDE w:val="0"/>
              <w:autoSpaceDN w:val="0"/>
              <w:rPr>
                <w:rFonts w:hint="eastAsia" w:ascii="宋体" w:hAnsi="宋体"/>
                <w:color w:val="000000"/>
                <w:w w:val="90"/>
                <w:szCs w:val="21"/>
              </w:rPr>
            </w:pPr>
          </w:p>
        </w:tc>
        <w:tc>
          <w:tcPr>
            <w:tcW w:w="2736" w:type="dxa"/>
            <w:noWrap/>
            <w:vAlign w:val="center"/>
          </w:tcPr>
          <w:p w14:paraId="0D02C72E">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0D6D2F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63A815B">
            <w:pPr>
              <w:autoSpaceDE w:val="0"/>
              <w:autoSpaceDN w:val="0"/>
              <w:jc w:val="center"/>
              <w:rPr>
                <w:rFonts w:hint="eastAsia" w:ascii="宋体" w:hAnsi="宋体"/>
                <w:color w:val="000000"/>
                <w:w w:val="90"/>
                <w:szCs w:val="21"/>
              </w:rPr>
            </w:pPr>
          </w:p>
        </w:tc>
        <w:tc>
          <w:tcPr>
            <w:tcW w:w="1985" w:type="dxa"/>
            <w:vMerge w:val="continue"/>
            <w:noWrap/>
            <w:vAlign w:val="center"/>
          </w:tcPr>
          <w:p w14:paraId="5D8133AF">
            <w:pPr>
              <w:autoSpaceDE w:val="0"/>
              <w:autoSpaceDN w:val="0"/>
              <w:rPr>
                <w:rFonts w:hint="eastAsia" w:ascii="宋体" w:hAnsi="宋体"/>
                <w:color w:val="000000"/>
                <w:w w:val="90"/>
                <w:szCs w:val="21"/>
              </w:rPr>
            </w:pPr>
          </w:p>
        </w:tc>
        <w:tc>
          <w:tcPr>
            <w:tcW w:w="2268" w:type="dxa"/>
            <w:noWrap/>
            <w:vAlign w:val="center"/>
          </w:tcPr>
          <w:p w14:paraId="40A8A02F">
            <w:pPr>
              <w:autoSpaceDE w:val="0"/>
              <w:autoSpaceDN w:val="0"/>
              <w:rPr>
                <w:rFonts w:hint="eastAsia" w:ascii="宋体" w:hAnsi="宋体"/>
                <w:color w:val="000000"/>
                <w:w w:val="90"/>
                <w:szCs w:val="21"/>
              </w:rPr>
            </w:pPr>
            <w:r>
              <w:rPr>
                <w:rFonts w:ascii="宋体" w:hAnsi="宋体"/>
                <w:color w:val="000000"/>
                <w:w w:val="90"/>
                <w:szCs w:val="21"/>
              </w:rPr>
              <w:t>A060599其他柜类</w:t>
            </w:r>
          </w:p>
        </w:tc>
        <w:tc>
          <w:tcPr>
            <w:tcW w:w="1855" w:type="dxa"/>
            <w:noWrap/>
            <w:vAlign w:val="center"/>
          </w:tcPr>
          <w:p w14:paraId="2015FC39">
            <w:pPr>
              <w:autoSpaceDE w:val="0"/>
              <w:autoSpaceDN w:val="0"/>
              <w:rPr>
                <w:rFonts w:hint="eastAsia" w:ascii="宋体" w:hAnsi="宋体"/>
                <w:color w:val="000000"/>
                <w:w w:val="90"/>
                <w:szCs w:val="21"/>
              </w:rPr>
            </w:pPr>
          </w:p>
        </w:tc>
        <w:tc>
          <w:tcPr>
            <w:tcW w:w="2736" w:type="dxa"/>
            <w:noWrap/>
            <w:vAlign w:val="center"/>
          </w:tcPr>
          <w:p w14:paraId="0679E5AF">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314B2B0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0BBCCA7">
            <w:pPr>
              <w:autoSpaceDE w:val="0"/>
              <w:autoSpaceDN w:val="0"/>
              <w:jc w:val="center"/>
              <w:rPr>
                <w:rFonts w:hint="eastAsia" w:ascii="宋体" w:hAnsi="宋体"/>
                <w:color w:val="000000"/>
                <w:w w:val="90"/>
                <w:szCs w:val="21"/>
              </w:rPr>
            </w:pPr>
            <w:r>
              <w:rPr>
                <w:rFonts w:ascii="宋体" w:hAnsi="宋体"/>
                <w:color w:val="000000"/>
                <w:w w:val="90"/>
                <w:szCs w:val="21"/>
              </w:rPr>
              <w:t>21</w:t>
            </w:r>
          </w:p>
        </w:tc>
        <w:tc>
          <w:tcPr>
            <w:tcW w:w="1985" w:type="dxa"/>
            <w:vMerge w:val="restart"/>
            <w:noWrap/>
            <w:vAlign w:val="center"/>
          </w:tcPr>
          <w:p w14:paraId="2FA6E0EF">
            <w:pPr>
              <w:autoSpaceDE w:val="0"/>
              <w:autoSpaceDN w:val="0"/>
              <w:rPr>
                <w:rFonts w:hint="eastAsia" w:ascii="宋体" w:hAnsi="宋体"/>
                <w:color w:val="000000"/>
                <w:w w:val="90"/>
                <w:szCs w:val="21"/>
              </w:rPr>
            </w:pPr>
            <w:r>
              <w:rPr>
                <w:rFonts w:ascii="宋体" w:hAnsi="宋体"/>
                <w:color w:val="000000"/>
                <w:w w:val="90"/>
                <w:szCs w:val="21"/>
              </w:rPr>
              <w:t>A0606架类</w:t>
            </w:r>
          </w:p>
        </w:tc>
        <w:tc>
          <w:tcPr>
            <w:tcW w:w="2268" w:type="dxa"/>
            <w:noWrap/>
            <w:vAlign w:val="center"/>
          </w:tcPr>
          <w:p w14:paraId="3010087E">
            <w:pPr>
              <w:autoSpaceDE w:val="0"/>
              <w:autoSpaceDN w:val="0"/>
              <w:rPr>
                <w:rFonts w:hint="eastAsia" w:ascii="宋体" w:hAnsi="宋体"/>
                <w:color w:val="000000"/>
                <w:w w:val="90"/>
                <w:szCs w:val="21"/>
              </w:rPr>
            </w:pPr>
            <w:r>
              <w:rPr>
                <w:rFonts w:ascii="宋体" w:hAnsi="宋体"/>
                <w:color w:val="000000"/>
                <w:w w:val="90"/>
                <w:szCs w:val="21"/>
              </w:rPr>
              <w:t>A060601木质架类</w:t>
            </w:r>
          </w:p>
        </w:tc>
        <w:tc>
          <w:tcPr>
            <w:tcW w:w="1855" w:type="dxa"/>
            <w:noWrap/>
            <w:vAlign w:val="center"/>
          </w:tcPr>
          <w:p w14:paraId="7222912D">
            <w:pPr>
              <w:autoSpaceDE w:val="0"/>
              <w:autoSpaceDN w:val="0"/>
              <w:rPr>
                <w:rFonts w:hint="eastAsia" w:ascii="宋体" w:hAnsi="宋体"/>
                <w:color w:val="000000"/>
                <w:w w:val="90"/>
                <w:szCs w:val="21"/>
              </w:rPr>
            </w:pPr>
          </w:p>
        </w:tc>
        <w:tc>
          <w:tcPr>
            <w:tcW w:w="2736" w:type="dxa"/>
            <w:noWrap/>
            <w:vAlign w:val="center"/>
          </w:tcPr>
          <w:p w14:paraId="33286F86">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6B332F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BBF03CA">
            <w:pPr>
              <w:autoSpaceDE w:val="0"/>
              <w:autoSpaceDN w:val="0"/>
              <w:jc w:val="center"/>
              <w:rPr>
                <w:rFonts w:hint="eastAsia" w:ascii="宋体" w:hAnsi="宋体"/>
                <w:color w:val="000000"/>
                <w:w w:val="90"/>
                <w:szCs w:val="21"/>
              </w:rPr>
            </w:pPr>
          </w:p>
        </w:tc>
        <w:tc>
          <w:tcPr>
            <w:tcW w:w="1985" w:type="dxa"/>
            <w:vMerge w:val="continue"/>
            <w:noWrap/>
            <w:vAlign w:val="center"/>
          </w:tcPr>
          <w:p w14:paraId="5A011819">
            <w:pPr>
              <w:autoSpaceDE w:val="0"/>
              <w:autoSpaceDN w:val="0"/>
              <w:rPr>
                <w:rFonts w:hint="eastAsia" w:ascii="宋体" w:hAnsi="宋体"/>
                <w:color w:val="000000"/>
                <w:w w:val="90"/>
                <w:szCs w:val="21"/>
              </w:rPr>
            </w:pPr>
          </w:p>
        </w:tc>
        <w:tc>
          <w:tcPr>
            <w:tcW w:w="2268" w:type="dxa"/>
            <w:noWrap/>
            <w:vAlign w:val="center"/>
          </w:tcPr>
          <w:p w14:paraId="77066E5D">
            <w:pPr>
              <w:autoSpaceDE w:val="0"/>
              <w:autoSpaceDN w:val="0"/>
              <w:rPr>
                <w:rFonts w:hint="eastAsia" w:ascii="宋体" w:hAnsi="宋体"/>
                <w:color w:val="000000"/>
                <w:w w:val="90"/>
                <w:szCs w:val="21"/>
              </w:rPr>
            </w:pPr>
            <w:r>
              <w:rPr>
                <w:rFonts w:ascii="宋体" w:hAnsi="宋体"/>
                <w:color w:val="000000"/>
                <w:w w:val="90"/>
                <w:szCs w:val="21"/>
              </w:rPr>
              <w:t>A060602金属质架类</w:t>
            </w:r>
          </w:p>
        </w:tc>
        <w:tc>
          <w:tcPr>
            <w:tcW w:w="1855" w:type="dxa"/>
            <w:noWrap/>
            <w:vAlign w:val="center"/>
          </w:tcPr>
          <w:p w14:paraId="4CC4EC95">
            <w:pPr>
              <w:autoSpaceDE w:val="0"/>
              <w:autoSpaceDN w:val="0"/>
              <w:rPr>
                <w:rFonts w:hint="eastAsia" w:ascii="宋体" w:hAnsi="宋体"/>
                <w:color w:val="000000"/>
                <w:w w:val="90"/>
                <w:szCs w:val="21"/>
              </w:rPr>
            </w:pPr>
          </w:p>
        </w:tc>
        <w:tc>
          <w:tcPr>
            <w:tcW w:w="2736" w:type="dxa"/>
            <w:noWrap/>
            <w:vAlign w:val="center"/>
          </w:tcPr>
          <w:p w14:paraId="39B4E147">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21816E8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5BC5D47">
            <w:pPr>
              <w:autoSpaceDE w:val="0"/>
              <w:autoSpaceDN w:val="0"/>
              <w:jc w:val="center"/>
              <w:rPr>
                <w:rFonts w:hint="eastAsia" w:ascii="宋体" w:hAnsi="宋体"/>
                <w:color w:val="000000"/>
                <w:w w:val="90"/>
                <w:szCs w:val="21"/>
              </w:rPr>
            </w:pPr>
            <w:r>
              <w:rPr>
                <w:rFonts w:ascii="宋体" w:hAnsi="宋体"/>
                <w:color w:val="000000"/>
                <w:w w:val="90"/>
                <w:szCs w:val="21"/>
              </w:rPr>
              <w:t>22</w:t>
            </w:r>
          </w:p>
        </w:tc>
        <w:tc>
          <w:tcPr>
            <w:tcW w:w="1985" w:type="dxa"/>
            <w:vMerge w:val="restart"/>
            <w:noWrap/>
            <w:vAlign w:val="center"/>
          </w:tcPr>
          <w:p w14:paraId="465335FF">
            <w:pPr>
              <w:autoSpaceDE w:val="0"/>
              <w:autoSpaceDN w:val="0"/>
              <w:rPr>
                <w:rFonts w:hint="eastAsia" w:ascii="宋体" w:hAnsi="宋体"/>
                <w:color w:val="000000"/>
                <w:w w:val="90"/>
                <w:szCs w:val="21"/>
              </w:rPr>
            </w:pPr>
            <w:r>
              <w:rPr>
                <w:rFonts w:ascii="宋体" w:hAnsi="宋体"/>
                <w:color w:val="000000"/>
                <w:w w:val="90"/>
                <w:szCs w:val="21"/>
              </w:rPr>
              <w:t>A0607屏风类</w:t>
            </w:r>
          </w:p>
        </w:tc>
        <w:tc>
          <w:tcPr>
            <w:tcW w:w="2268" w:type="dxa"/>
            <w:noWrap/>
            <w:vAlign w:val="center"/>
          </w:tcPr>
          <w:p w14:paraId="014B633D">
            <w:pPr>
              <w:autoSpaceDE w:val="0"/>
              <w:autoSpaceDN w:val="0"/>
              <w:rPr>
                <w:rFonts w:hint="eastAsia" w:ascii="宋体" w:hAnsi="宋体"/>
                <w:color w:val="000000"/>
                <w:w w:val="90"/>
                <w:szCs w:val="21"/>
              </w:rPr>
            </w:pPr>
            <w:r>
              <w:rPr>
                <w:rFonts w:ascii="宋体" w:hAnsi="宋体"/>
                <w:color w:val="000000"/>
                <w:w w:val="90"/>
                <w:szCs w:val="21"/>
              </w:rPr>
              <w:t>A060701木质屏风类</w:t>
            </w:r>
          </w:p>
        </w:tc>
        <w:tc>
          <w:tcPr>
            <w:tcW w:w="1855" w:type="dxa"/>
            <w:noWrap/>
            <w:vAlign w:val="center"/>
          </w:tcPr>
          <w:p w14:paraId="442AC858">
            <w:pPr>
              <w:autoSpaceDE w:val="0"/>
              <w:autoSpaceDN w:val="0"/>
              <w:rPr>
                <w:rFonts w:hint="eastAsia" w:ascii="宋体" w:hAnsi="宋体"/>
                <w:color w:val="000000"/>
                <w:w w:val="90"/>
                <w:szCs w:val="21"/>
              </w:rPr>
            </w:pPr>
          </w:p>
        </w:tc>
        <w:tc>
          <w:tcPr>
            <w:tcW w:w="2736" w:type="dxa"/>
            <w:noWrap/>
            <w:vAlign w:val="center"/>
          </w:tcPr>
          <w:p w14:paraId="38549FC1">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0FEC71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D7917F6">
            <w:pPr>
              <w:autoSpaceDE w:val="0"/>
              <w:autoSpaceDN w:val="0"/>
              <w:jc w:val="center"/>
              <w:rPr>
                <w:rFonts w:hint="eastAsia" w:ascii="宋体" w:hAnsi="宋体"/>
                <w:color w:val="000000"/>
                <w:w w:val="90"/>
                <w:szCs w:val="21"/>
              </w:rPr>
            </w:pPr>
          </w:p>
        </w:tc>
        <w:tc>
          <w:tcPr>
            <w:tcW w:w="1985" w:type="dxa"/>
            <w:vMerge w:val="continue"/>
            <w:noWrap/>
            <w:vAlign w:val="center"/>
          </w:tcPr>
          <w:p w14:paraId="2999350D">
            <w:pPr>
              <w:autoSpaceDE w:val="0"/>
              <w:autoSpaceDN w:val="0"/>
              <w:rPr>
                <w:rFonts w:hint="eastAsia" w:ascii="宋体" w:hAnsi="宋体"/>
                <w:color w:val="000000"/>
                <w:w w:val="90"/>
                <w:szCs w:val="21"/>
              </w:rPr>
            </w:pPr>
          </w:p>
        </w:tc>
        <w:tc>
          <w:tcPr>
            <w:tcW w:w="2268" w:type="dxa"/>
            <w:noWrap/>
            <w:vAlign w:val="center"/>
          </w:tcPr>
          <w:p w14:paraId="7594F0C9">
            <w:pPr>
              <w:autoSpaceDE w:val="0"/>
              <w:autoSpaceDN w:val="0"/>
              <w:rPr>
                <w:rFonts w:hint="eastAsia" w:ascii="宋体" w:hAnsi="宋体"/>
                <w:color w:val="000000"/>
                <w:w w:val="90"/>
                <w:szCs w:val="21"/>
              </w:rPr>
            </w:pPr>
            <w:r>
              <w:rPr>
                <w:rFonts w:ascii="宋体" w:hAnsi="宋体"/>
                <w:color w:val="000000"/>
                <w:w w:val="90"/>
                <w:szCs w:val="21"/>
              </w:rPr>
              <w:t>A060702金属质屏风类</w:t>
            </w:r>
          </w:p>
        </w:tc>
        <w:tc>
          <w:tcPr>
            <w:tcW w:w="1855" w:type="dxa"/>
            <w:noWrap/>
            <w:vAlign w:val="center"/>
          </w:tcPr>
          <w:p w14:paraId="6DE650A5">
            <w:pPr>
              <w:autoSpaceDE w:val="0"/>
              <w:autoSpaceDN w:val="0"/>
              <w:rPr>
                <w:rFonts w:hint="eastAsia" w:ascii="宋体" w:hAnsi="宋体"/>
                <w:color w:val="000000"/>
                <w:w w:val="90"/>
                <w:szCs w:val="21"/>
              </w:rPr>
            </w:pPr>
          </w:p>
        </w:tc>
        <w:tc>
          <w:tcPr>
            <w:tcW w:w="2736" w:type="dxa"/>
            <w:noWrap/>
            <w:vAlign w:val="center"/>
          </w:tcPr>
          <w:p w14:paraId="37B0AD13">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33F127A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CC5F737">
            <w:pPr>
              <w:autoSpaceDE w:val="0"/>
              <w:autoSpaceDN w:val="0"/>
              <w:jc w:val="center"/>
              <w:rPr>
                <w:rFonts w:hint="eastAsia" w:ascii="宋体" w:hAnsi="宋体"/>
                <w:color w:val="000000"/>
                <w:w w:val="90"/>
                <w:szCs w:val="21"/>
              </w:rPr>
            </w:pPr>
            <w:r>
              <w:rPr>
                <w:rFonts w:ascii="宋体" w:hAnsi="宋体"/>
                <w:color w:val="000000"/>
                <w:w w:val="90"/>
                <w:szCs w:val="21"/>
              </w:rPr>
              <w:t>23</w:t>
            </w:r>
          </w:p>
        </w:tc>
        <w:tc>
          <w:tcPr>
            <w:tcW w:w="1985" w:type="dxa"/>
            <w:noWrap/>
            <w:vAlign w:val="center"/>
          </w:tcPr>
          <w:p w14:paraId="51A9F18A">
            <w:pPr>
              <w:autoSpaceDE w:val="0"/>
              <w:autoSpaceDN w:val="0"/>
              <w:rPr>
                <w:rFonts w:hint="eastAsia" w:ascii="宋体" w:hAnsi="宋体"/>
                <w:color w:val="000000"/>
                <w:w w:val="90"/>
                <w:szCs w:val="21"/>
              </w:rPr>
            </w:pPr>
            <w:r>
              <w:rPr>
                <w:rFonts w:ascii="宋体" w:hAnsi="宋体"/>
                <w:color w:val="000000"/>
                <w:w w:val="90"/>
                <w:szCs w:val="21"/>
              </w:rPr>
              <w:t>A060804水池</w:t>
            </w:r>
          </w:p>
        </w:tc>
        <w:tc>
          <w:tcPr>
            <w:tcW w:w="2268" w:type="dxa"/>
            <w:noWrap/>
            <w:vAlign w:val="center"/>
          </w:tcPr>
          <w:p w14:paraId="7FA41F02">
            <w:pPr>
              <w:autoSpaceDE w:val="0"/>
              <w:autoSpaceDN w:val="0"/>
              <w:rPr>
                <w:rFonts w:hint="eastAsia" w:ascii="宋体" w:hAnsi="宋体"/>
                <w:color w:val="000000"/>
                <w:w w:val="90"/>
                <w:szCs w:val="21"/>
              </w:rPr>
            </w:pPr>
          </w:p>
        </w:tc>
        <w:tc>
          <w:tcPr>
            <w:tcW w:w="1855" w:type="dxa"/>
            <w:noWrap/>
            <w:vAlign w:val="center"/>
          </w:tcPr>
          <w:p w14:paraId="564694CC">
            <w:pPr>
              <w:autoSpaceDE w:val="0"/>
              <w:autoSpaceDN w:val="0"/>
              <w:rPr>
                <w:rFonts w:hint="eastAsia" w:ascii="宋体" w:hAnsi="宋体"/>
                <w:color w:val="000000"/>
                <w:w w:val="90"/>
                <w:szCs w:val="21"/>
              </w:rPr>
            </w:pPr>
          </w:p>
        </w:tc>
        <w:tc>
          <w:tcPr>
            <w:tcW w:w="2736" w:type="dxa"/>
            <w:noWrap/>
            <w:vAlign w:val="center"/>
          </w:tcPr>
          <w:p w14:paraId="6CC746B9">
            <w:pPr>
              <w:autoSpaceDE w:val="0"/>
              <w:autoSpaceDN w:val="0"/>
              <w:rPr>
                <w:rFonts w:hint="eastAsia" w:ascii="宋体" w:hAnsi="宋体"/>
                <w:color w:val="000000"/>
                <w:w w:val="90"/>
                <w:szCs w:val="21"/>
              </w:rPr>
            </w:pPr>
            <w:r>
              <w:rPr>
                <w:rFonts w:ascii="宋体" w:hAnsi="宋体"/>
                <w:color w:val="000000"/>
                <w:w w:val="90"/>
                <w:szCs w:val="21"/>
              </w:rPr>
              <w:t>HJ/T296卫生陶瓷</w:t>
            </w:r>
          </w:p>
        </w:tc>
      </w:tr>
      <w:tr w14:paraId="55FCF7C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58A5894">
            <w:pPr>
              <w:autoSpaceDE w:val="0"/>
              <w:autoSpaceDN w:val="0"/>
              <w:jc w:val="center"/>
              <w:rPr>
                <w:rFonts w:hint="eastAsia" w:ascii="宋体" w:hAnsi="宋体"/>
                <w:color w:val="000000"/>
                <w:w w:val="90"/>
                <w:szCs w:val="21"/>
              </w:rPr>
            </w:pPr>
            <w:r>
              <w:rPr>
                <w:rFonts w:ascii="宋体" w:hAnsi="宋体"/>
                <w:color w:val="000000"/>
                <w:w w:val="90"/>
                <w:szCs w:val="21"/>
              </w:rPr>
              <w:t>24</w:t>
            </w:r>
          </w:p>
        </w:tc>
        <w:tc>
          <w:tcPr>
            <w:tcW w:w="1985" w:type="dxa"/>
            <w:noWrap/>
            <w:vAlign w:val="center"/>
          </w:tcPr>
          <w:p w14:paraId="677500BA">
            <w:pPr>
              <w:autoSpaceDE w:val="0"/>
              <w:autoSpaceDN w:val="0"/>
              <w:rPr>
                <w:rFonts w:hint="eastAsia" w:ascii="宋体" w:hAnsi="宋体"/>
                <w:color w:val="000000"/>
                <w:w w:val="90"/>
                <w:szCs w:val="21"/>
              </w:rPr>
            </w:pPr>
            <w:r>
              <w:rPr>
                <w:rFonts w:ascii="宋体" w:hAnsi="宋体"/>
                <w:color w:val="000000"/>
                <w:w w:val="90"/>
                <w:szCs w:val="21"/>
              </w:rPr>
              <w:t>A060805便器</w:t>
            </w:r>
          </w:p>
        </w:tc>
        <w:tc>
          <w:tcPr>
            <w:tcW w:w="2268" w:type="dxa"/>
            <w:noWrap/>
            <w:vAlign w:val="center"/>
          </w:tcPr>
          <w:p w14:paraId="0EA9CD0B">
            <w:pPr>
              <w:autoSpaceDE w:val="0"/>
              <w:autoSpaceDN w:val="0"/>
              <w:rPr>
                <w:rFonts w:hint="eastAsia" w:ascii="宋体" w:hAnsi="宋体"/>
                <w:color w:val="000000"/>
                <w:w w:val="90"/>
                <w:szCs w:val="21"/>
              </w:rPr>
            </w:pPr>
          </w:p>
        </w:tc>
        <w:tc>
          <w:tcPr>
            <w:tcW w:w="1855" w:type="dxa"/>
            <w:noWrap/>
            <w:vAlign w:val="center"/>
          </w:tcPr>
          <w:p w14:paraId="232BE0EF">
            <w:pPr>
              <w:autoSpaceDE w:val="0"/>
              <w:autoSpaceDN w:val="0"/>
              <w:rPr>
                <w:rFonts w:hint="eastAsia" w:ascii="宋体" w:hAnsi="宋体"/>
                <w:color w:val="000000"/>
                <w:w w:val="90"/>
                <w:szCs w:val="21"/>
              </w:rPr>
            </w:pPr>
          </w:p>
        </w:tc>
        <w:tc>
          <w:tcPr>
            <w:tcW w:w="2736" w:type="dxa"/>
            <w:noWrap/>
            <w:vAlign w:val="center"/>
          </w:tcPr>
          <w:p w14:paraId="656104AB">
            <w:pPr>
              <w:autoSpaceDE w:val="0"/>
              <w:autoSpaceDN w:val="0"/>
              <w:rPr>
                <w:rFonts w:hint="eastAsia" w:ascii="宋体" w:hAnsi="宋体"/>
                <w:color w:val="000000"/>
                <w:w w:val="90"/>
                <w:szCs w:val="21"/>
              </w:rPr>
            </w:pPr>
            <w:r>
              <w:rPr>
                <w:rFonts w:ascii="宋体" w:hAnsi="宋体"/>
                <w:color w:val="000000"/>
                <w:w w:val="90"/>
                <w:szCs w:val="21"/>
              </w:rPr>
              <w:t>HJ/T296卫生陶瓷</w:t>
            </w:r>
          </w:p>
        </w:tc>
      </w:tr>
      <w:tr w14:paraId="375039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4BA5718">
            <w:pPr>
              <w:autoSpaceDE w:val="0"/>
              <w:autoSpaceDN w:val="0"/>
              <w:jc w:val="center"/>
              <w:rPr>
                <w:rFonts w:hint="eastAsia" w:ascii="宋体" w:hAnsi="宋体"/>
                <w:color w:val="000000"/>
                <w:w w:val="90"/>
                <w:szCs w:val="21"/>
              </w:rPr>
            </w:pPr>
            <w:r>
              <w:rPr>
                <w:rFonts w:ascii="宋体" w:hAnsi="宋体"/>
                <w:color w:val="000000"/>
                <w:w w:val="90"/>
                <w:szCs w:val="21"/>
              </w:rPr>
              <w:t>25</w:t>
            </w:r>
          </w:p>
        </w:tc>
        <w:tc>
          <w:tcPr>
            <w:tcW w:w="1985" w:type="dxa"/>
            <w:noWrap/>
            <w:vAlign w:val="center"/>
          </w:tcPr>
          <w:p w14:paraId="5BAC30B3">
            <w:pPr>
              <w:autoSpaceDE w:val="0"/>
              <w:autoSpaceDN w:val="0"/>
              <w:rPr>
                <w:rFonts w:hint="eastAsia" w:ascii="宋体" w:hAnsi="宋体"/>
                <w:color w:val="000000"/>
                <w:w w:val="90"/>
                <w:szCs w:val="21"/>
              </w:rPr>
            </w:pPr>
            <w:r>
              <w:rPr>
                <w:rFonts w:ascii="宋体" w:hAnsi="宋体"/>
                <w:color w:val="000000"/>
                <w:w w:val="90"/>
                <w:szCs w:val="21"/>
              </w:rPr>
              <w:t>A060806水嘴</w:t>
            </w:r>
          </w:p>
        </w:tc>
        <w:tc>
          <w:tcPr>
            <w:tcW w:w="2268" w:type="dxa"/>
            <w:noWrap/>
            <w:vAlign w:val="center"/>
          </w:tcPr>
          <w:p w14:paraId="77D51BF7">
            <w:pPr>
              <w:autoSpaceDE w:val="0"/>
              <w:autoSpaceDN w:val="0"/>
              <w:rPr>
                <w:rFonts w:hint="eastAsia" w:ascii="宋体" w:hAnsi="宋体"/>
                <w:color w:val="000000"/>
                <w:w w:val="90"/>
                <w:szCs w:val="21"/>
              </w:rPr>
            </w:pPr>
          </w:p>
        </w:tc>
        <w:tc>
          <w:tcPr>
            <w:tcW w:w="1855" w:type="dxa"/>
            <w:noWrap/>
            <w:vAlign w:val="center"/>
          </w:tcPr>
          <w:p w14:paraId="459EC3DF">
            <w:pPr>
              <w:autoSpaceDE w:val="0"/>
              <w:autoSpaceDN w:val="0"/>
              <w:rPr>
                <w:rFonts w:hint="eastAsia" w:ascii="宋体" w:hAnsi="宋体"/>
                <w:color w:val="000000"/>
                <w:w w:val="90"/>
                <w:szCs w:val="21"/>
              </w:rPr>
            </w:pPr>
          </w:p>
        </w:tc>
        <w:tc>
          <w:tcPr>
            <w:tcW w:w="2736" w:type="dxa"/>
            <w:noWrap/>
            <w:vAlign w:val="center"/>
          </w:tcPr>
          <w:p w14:paraId="76CD26A3">
            <w:pPr>
              <w:autoSpaceDE w:val="0"/>
              <w:autoSpaceDN w:val="0"/>
              <w:rPr>
                <w:rFonts w:hint="eastAsia" w:ascii="宋体" w:hAnsi="宋体"/>
                <w:color w:val="000000"/>
                <w:w w:val="90"/>
                <w:szCs w:val="21"/>
              </w:rPr>
            </w:pPr>
            <w:r>
              <w:rPr>
                <w:rFonts w:ascii="宋体" w:hAnsi="宋体"/>
                <w:color w:val="000000"/>
                <w:w w:val="90"/>
                <w:szCs w:val="21"/>
              </w:rPr>
              <w:t>HJ/T411水嘴</w:t>
            </w:r>
          </w:p>
        </w:tc>
      </w:tr>
      <w:tr w14:paraId="733FF0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BB0ED72">
            <w:pPr>
              <w:autoSpaceDE w:val="0"/>
              <w:autoSpaceDN w:val="0"/>
              <w:jc w:val="center"/>
              <w:rPr>
                <w:rFonts w:hint="eastAsia" w:ascii="宋体" w:hAnsi="宋体"/>
                <w:color w:val="000000"/>
                <w:w w:val="90"/>
                <w:szCs w:val="21"/>
              </w:rPr>
            </w:pPr>
            <w:r>
              <w:rPr>
                <w:rFonts w:ascii="宋体" w:hAnsi="宋体"/>
                <w:color w:val="000000"/>
                <w:w w:val="90"/>
                <w:szCs w:val="21"/>
              </w:rPr>
              <w:t>26</w:t>
            </w:r>
          </w:p>
        </w:tc>
        <w:tc>
          <w:tcPr>
            <w:tcW w:w="1985" w:type="dxa"/>
            <w:noWrap/>
            <w:vAlign w:val="center"/>
          </w:tcPr>
          <w:p w14:paraId="6D91F3CC">
            <w:pPr>
              <w:autoSpaceDE w:val="0"/>
              <w:autoSpaceDN w:val="0"/>
              <w:rPr>
                <w:rFonts w:hint="eastAsia" w:ascii="宋体" w:hAnsi="宋体"/>
                <w:color w:val="000000"/>
                <w:w w:val="90"/>
                <w:szCs w:val="21"/>
              </w:rPr>
            </w:pPr>
            <w:r>
              <w:rPr>
                <w:rFonts w:ascii="宋体" w:hAnsi="宋体"/>
                <w:color w:val="000000"/>
                <w:w w:val="90"/>
                <w:szCs w:val="21"/>
              </w:rPr>
              <w:t>A0609组合家具</w:t>
            </w:r>
          </w:p>
        </w:tc>
        <w:tc>
          <w:tcPr>
            <w:tcW w:w="2268" w:type="dxa"/>
            <w:noWrap/>
            <w:vAlign w:val="center"/>
          </w:tcPr>
          <w:p w14:paraId="1342BA98">
            <w:pPr>
              <w:autoSpaceDE w:val="0"/>
              <w:autoSpaceDN w:val="0"/>
              <w:rPr>
                <w:rFonts w:hint="eastAsia" w:ascii="宋体" w:hAnsi="宋体"/>
                <w:color w:val="000000"/>
                <w:w w:val="90"/>
                <w:szCs w:val="21"/>
              </w:rPr>
            </w:pPr>
          </w:p>
        </w:tc>
        <w:tc>
          <w:tcPr>
            <w:tcW w:w="1855" w:type="dxa"/>
            <w:noWrap/>
            <w:vAlign w:val="center"/>
          </w:tcPr>
          <w:p w14:paraId="01FD18D6">
            <w:pPr>
              <w:autoSpaceDE w:val="0"/>
              <w:autoSpaceDN w:val="0"/>
              <w:rPr>
                <w:rFonts w:hint="eastAsia" w:ascii="宋体" w:hAnsi="宋体"/>
                <w:color w:val="000000"/>
                <w:w w:val="90"/>
                <w:szCs w:val="21"/>
              </w:rPr>
            </w:pPr>
          </w:p>
        </w:tc>
        <w:tc>
          <w:tcPr>
            <w:tcW w:w="2736" w:type="dxa"/>
            <w:noWrap/>
            <w:vAlign w:val="center"/>
          </w:tcPr>
          <w:p w14:paraId="65AE8562">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7020BF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70A62ED">
            <w:pPr>
              <w:autoSpaceDE w:val="0"/>
              <w:autoSpaceDN w:val="0"/>
              <w:jc w:val="center"/>
              <w:rPr>
                <w:rFonts w:hint="eastAsia" w:ascii="宋体" w:hAnsi="宋体"/>
                <w:color w:val="000000"/>
                <w:w w:val="90"/>
                <w:szCs w:val="21"/>
              </w:rPr>
            </w:pPr>
            <w:r>
              <w:rPr>
                <w:rFonts w:ascii="宋体" w:hAnsi="宋体"/>
                <w:color w:val="000000"/>
                <w:w w:val="90"/>
                <w:szCs w:val="21"/>
              </w:rPr>
              <w:t>27</w:t>
            </w:r>
          </w:p>
        </w:tc>
        <w:tc>
          <w:tcPr>
            <w:tcW w:w="1985" w:type="dxa"/>
            <w:noWrap/>
            <w:vAlign w:val="center"/>
          </w:tcPr>
          <w:p w14:paraId="64820C2A">
            <w:pPr>
              <w:autoSpaceDE w:val="0"/>
              <w:autoSpaceDN w:val="0"/>
              <w:rPr>
                <w:rFonts w:hint="eastAsia" w:ascii="宋体" w:hAnsi="宋体"/>
                <w:color w:val="000000"/>
                <w:w w:val="90"/>
                <w:szCs w:val="21"/>
              </w:rPr>
            </w:pPr>
            <w:r>
              <w:rPr>
                <w:rFonts w:ascii="宋体" w:hAnsi="宋体"/>
                <w:color w:val="000000"/>
                <w:w w:val="90"/>
                <w:szCs w:val="21"/>
              </w:rPr>
              <w:t>A0610家用家具零配件</w:t>
            </w:r>
          </w:p>
        </w:tc>
        <w:tc>
          <w:tcPr>
            <w:tcW w:w="2268" w:type="dxa"/>
            <w:noWrap/>
            <w:vAlign w:val="center"/>
          </w:tcPr>
          <w:p w14:paraId="6C19A104">
            <w:pPr>
              <w:autoSpaceDE w:val="0"/>
              <w:autoSpaceDN w:val="0"/>
              <w:rPr>
                <w:rFonts w:hint="eastAsia" w:ascii="宋体" w:hAnsi="宋体"/>
                <w:color w:val="000000"/>
                <w:w w:val="90"/>
                <w:szCs w:val="21"/>
              </w:rPr>
            </w:pPr>
          </w:p>
        </w:tc>
        <w:tc>
          <w:tcPr>
            <w:tcW w:w="1855" w:type="dxa"/>
            <w:noWrap/>
            <w:vAlign w:val="center"/>
          </w:tcPr>
          <w:p w14:paraId="2E42F6AA">
            <w:pPr>
              <w:autoSpaceDE w:val="0"/>
              <w:autoSpaceDN w:val="0"/>
              <w:rPr>
                <w:rFonts w:hint="eastAsia" w:ascii="宋体" w:hAnsi="宋体"/>
                <w:color w:val="000000"/>
                <w:w w:val="90"/>
                <w:szCs w:val="21"/>
              </w:rPr>
            </w:pPr>
          </w:p>
        </w:tc>
        <w:tc>
          <w:tcPr>
            <w:tcW w:w="2736" w:type="dxa"/>
            <w:noWrap/>
            <w:vAlign w:val="center"/>
          </w:tcPr>
          <w:p w14:paraId="59FD93ED">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725A18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35E264D">
            <w:pPr>
              <w:autoSpaceDE w:val="0"/>
              <w:autoSpaceDN w:val="0"/>
              <w:jc w:val="center"/>
              <w:rPr>
                <w:rFonts w:hint="eastAsia" w:ascii="宋体" w:hAnsi="宋体"/>
                <w:color w:val="000000"/>
                <w:w w:val="90"/>
                <w:szCs w:val="21"/>
              </w:rPr>
            </w:pPr>
            <w:r>
              <w:rPr>
                <w:rFonts w:ascii="宋体" w:hAnsi="宋体"/>
                <w:color w:val="000000"/>
                <w:w w:val="90"/>
                <w:szCs w:val="21"/>
              </w:rPr>
              <w:t>28</w:t>
            </w:r>
          </w:p>
        </w:tc>
        <w:tc>
          <w:tcPr>
            <w:tcW w:w="1985" w:type="dxa"/>
            <w:noWrap/>
            <w:vAlign w:val="center"/>
          </w:tcPr>
          <w:p w14:paraId="3DF02B5E">
            <w:pPr>
              <w:autoSpaceDE w:val="0"/>
              <w:autoSpaceDN w:val="0"/>
              <w:rPr>
                <w:rFonts w:hint="eastAsia" w:ascii="宋体" w:hAnsi="宋体"/>
                <w:color w:val="000000"/>
                <w:w w:val="90"/>
                <w:szCs w:val="21"/>
              </w:rPr>
            </w:pPr>
            <w:r>
              <w:rPr>
                <w:rFonts w:ascii="宋体" w:hAnsi="宋体"/>
                <w:color w:val="000000"/>
                <w:w w:val="90"/>
                <w:szCs w:val="21"/>
              </w:rPr>
              <w:t>A0699其他家具</w:t>
            </w:r>
          </w:p>
          <w:p w14:paraId="41BC955B">
            <w:pPr>
              <w:autoSpaceDE w:val="0"/>
              <w:autoSpaceDN w:val="0"/>
              <w:rPr>
                <w:rFonts w:hint="eastAsia" w:ascii="宋体" w:hAnsi="宋体"/>
                <w:color w:val="000000"/>
                <w:w w:val="90"/>
                <w:szCs w:val="21"/>
              </w:rPr>
            </w:pPr>
            <w:r>
              <w:rPr>
                <w:rFonts w:ascii="宋体" w:hAnsi="宋体"/>
                <w:color w:val="000000"/>
                <w:w w:val="90"/>
                <w:szCs w:val="21"/>
              </w:rPr>
              <w:t>用具</w:t>
            </w:r>
          </w:p>
        </w:tc>
        <w:tc>
          <w:tcPr>
            <w:tcW w:w="2268" w:type="dxa"/>
            <w:noWrap/>
            <w:vAlign w:val="center"/>
          </w:tcPr>
          <w:p w14:paraId="7ABAA696">
            <w:pPr>
              <w:autoSpaceDE w:val="0"/>
              <w:autoSpaceDN w:val="0"/>
              <w:rPr>
                <w:rFonts w:hint="eastAsia" w:ascii="宋体" w:hAnsi="宋体"/>
                <w:color w:val="000000"/>
                <w:w w:val="90"/>
                <w:szCs w:val="21"/>
              </w:rPr>
            </w:pPr>
          </w:p>
        </w:tc>
        <w:tc>
          <w:tcPr>
            <w:tcW w:w="1855" w:type="dxa"/>
            <w:noWrap/>
            <w:vAlign w:val="center"/>
          </w:tcPr>
          <w:p w14:paraId="6595C339">
            <w:pPr>
              <w:autoSpaceDE w:val="0"/>
              <w:autoSpaceDN w:val="0"/>
              <w:rPr>
                <w:rFonts w:hint="eastAsia" w:ascii="宋体" w:hAnsi="宋体"/>
                <w:color w:val="000000"/>
                <w:w w:val="90"/>
                <w:szCs w:val="21"/>
              </w:rPr>
            </w:pPr>
          </w:p>
        </w:tc>
        <w:tc>
          <w:tcPr>
            <w:tcW w:w="2736" w:type="dxa"/>
            <w:noWrap/>
            <w:vAlign w:val="center"/>
          </w:tcPr>
          <w:p w14:paraId="3D6F4FED">
            <w:pPr>
              <w:autoSpaceDE w:val="0"/>
              <w:autoSpaceDN w:val="0"/>
              <w:rPr>
                <w:rFonts w:hint="eastAsia" w:ascii="宋体" w:hAnsi="宋体"/>
                <w:color w:val="000000"/>
                <w:w w:val="90"/>
                <w:szCs w:val="21"/>
              </w:rPr>
            </w:pPr>
            <w:r>
              <w:rPr>
                <w:rFonts w:ascii="宋体" w:hAnsi="宋体"/>
                <w:color w:val="000000"/>
                <w:w w:val="90"/>
                <w:szCs w:val="21"/>
              </w:rPr>
              <w:t>HJ2547家具/HJ2540 木塑制品</w:t>
            </w:r>
          </w:p>
        </w:tc>
      </w:tr>
      <w:tr w14:paraId="30BBB63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5652C0F">
            <w:pPr>
              <w:autoSpaceDE w:val="0"/>
              <w:autoSpaceDN w:val="0"/>
              <w:jc w:val="center"/>
              <w:rPr>
                <w:rFonts w:hint="eastAsia" w:ascii="宋体" w:hAnsi="宋体"/>
                <w:color w:val="000000"/>
                <w:w w:val="90"/>
                <w:szCs w:val="21"/>
              </w:rPr>
            </w:pPr>
            <w:r>
              <w:rPr>
                <w:rFonts w:ascii="宋体" w:hAnsi="宋体"/>
                <w:color w:val="000000"/>
                <w:w w:val="90"/>
                <w:szCs w:val="21"/>
              </w:rPr>
              <w:t>29</w:t>
            </w:r>
          </w:p>
        </w:tc>
        <w:tc>
          <w:tcPr>
            <w:tcW w:w="1985" w:type="dxa"/>
            <w:noWrap/>
            <w:vAlign w:val="center"/>
          </w:tcPr>
          <w:p w14:paraId="1557FC91">
            <w:pPr>
              <w:autoSpaceDE w:val="0"/>
              <w:autoSpaceDN w:val="0"/>
              <w:rPr>
                <w:rFonts w:hint="eastAsia" w:ascii="宋体" w:hAnsi="宋体"/>
                <w:color w:val="000000"/>
                <w:w w:val="90"/>
                <w:szCs w:val="21"/>
              </w:rPr>
            </w:pPr>
            <w:r>
              <w:rPr>
                <w:rFonts w:ascii="宋体" w:hAnsi="宋体"/>
                <w:color w:val="000000"/>
                <w:w w:val="90"/>
                <w:szCs w:val="21"/>
              </w:rPr>
              <w:t>A070101棉、化纤纺织及印染原料</w:t>
            </w:r>
          </w:p>
        </w:tc>
        <w:tc>
          <w:tcPr>
            <w:tcW w:w="2268" w:type="dxa"/>
            <w:noWrap/>
            <w:vAlign w:val="center"/>
          </w:tcPr>
          <w:p w14:paraId="6B80F43B">
            <w:pPr>
              <w:autoSpaceDE w:val="0"/>
              <w:autoSpaceDN w:val="0"/>
              <w:rPr>
                <w:rFonts w:hint="eastAsia" w:ascii="宋体" w:hAnsi="宋体"/>
                <w:color w:val="000000"/>
                <w:w w:val="90"/>
                <w:szCs w:val="21"/>
              </w:rPr>
            </w:pPr>
          </w:p>
        </w:tc>
        <w:tc>
          <w:tcPr>
            <w:tcW w:w="1855" w:type="dxa"/>
            <w:noWrap/>
            <w:vAlign w:val="center"/>
          </w:tcPr>
          <w:p w14:paraId="4D26660E">
            <w:pPr>
              <w:autoSpaceDE w:val="0"/>
              <w:autoSpaceDN w:val="0"/>
              <w:rPr>
                <w:rFonts w:hint="eastAsia" w:ascii="宋体" w:hAnsi="宋体"/>
                <w:color w:val="000000"/>
                <w:w w:val="90"/>
                <w:szCs w:val="21"/>
              </w:rPr>
            </w:pPr>
          </w:p>
        </w:tc>
        <w:tc>
          <w:tcPr>
            <w:tcW w:w="2736" w:type="dxa"/>
            <w:noWrap/>
            <w:vAlign w:val="center"/>
          </w:tcPr>
          <w:p w14:paraId="55261335">
            <w:pPr>
              <w:autoSpaceDE w:val="0"/>
              <w:autoSpaceDN w:val="0"/>
              <w:rPr>
                <w:rFonts w:hint="eastAsia" w:ascii="宋体" w:hAnsi="宋体"/>
                <w:color w:val="000000"/>
                <w:w w:val="90"/>
                <w:szCs w:val="21"/>
              </w:rPr>
            </w:pPr>
            <w:r>
              <w:rPr>
                <w:rFonts w:ascii="宋体" w:hAnsi="宋体"/>
                <w:color w:val="000000"/>
                <w:w w:val="90"/>
                <w:szCs w:val="21"/>
              </w:rPr>
              <w:t>HJ2546纺织产品</w:t>
            </w:r>
          </w:p>
        </w:tc>
      </w:tr>
      <w:tr w14:paraId="06C8351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2C4A2D47">
            <w:pPr>
              <w:autoSpaceDE w:val="0"/>
              <w:autoSpaceDN w:val="0"/>
              <w:jc w:val="center"/>
              <w:rPr>
                <w:rFonts w:hint="eastAsia" w:ascii="宋体" w:hAnsi="宋体"/>
                <w:color w:val="000000"/>
                <w:w w:val="90"/>
                <w:szCs w:val="21"/>
              </w:rPr>
            </w:pPr>
            <w:r>
              <w:rPr>
                <w:rFonts w:ascii="宋体" w:hAnsi="宋体"/>
                <w:color w:val="000000"/>
                <w:w w:val="90"/>
                <w:szCs w:val="21"/>
              </w:rPr>
              <w:t>30</w:t>
            </w:r>
          </w:p>
        </w:tc>
        <w:tc>
          <w:tcPr>
            <w:tcW w:w="1985" w:type="dxa"/>
            <w:noWrap/>
            <w:vAlign w:val="center"/>
          </w:tcPr>
          <w:p w14:paraId="34B7D9B4">
            <w:pPr>
              <w:autoSpaceDE w:val="0"/>
              <w:autoSpaceDN w:val="0"/>
              <w:rPr>
                <w:rFonts w:hint="eastAsia" w:ascii="宋体" w:hAnsi="宋体"/>
                <w:color w:val="000000"/>
                <w:w w:val="90"/>
                <w:szCs w:val="21"/>
              </w:rPr>
            </w:pPr>
            <w:r>
              <w:rPr>
                <w:rFonts w:ascii="宋体" w:hAnsi="宋体"/>
                <w:color w:val="000000"/>
                <w:w w:val="90"/>
                <w:szCs w:val="21"/>
              </w:rPr>
              <w:t>A090101复印纸（包括再生复印纸）</w:t>
            </w:r>
          </w:p>
        </w:tc>
        <w:tc>
          <w:tcPr>
            <w:tcW w:w="2268" w:type="dxa"/>
            <w:noWrap/>
            <w:vAlign w:val="center"/>
          </w:tcPr>
          <w:p w14:paraId="0C27B139">
            <w:pPr>
              <w:autoSpaceDE w:val="0"/>
              <w:autoSpaceDN w:val="0"/>
              <w:rPr>
                <w:rFonts w:hint="eastAsia" w:ascii="宋体" w:hAnsi="宋体"/>
                <w:color w:val="000000"/>
                <w:w w:val="90"/>
                <w:szCs w:val="21"/>
              </w:rPr>
            </w:pPr>
          </w:p>
        </w:tc>
        <w:tc>
          <w:tcPr>
            <w:tcW w:w="1855" w:type="dxa"/>
            <w:noWrap/>
            <w:vAlign w:val="center"/>
          </w:tcPr>
          <w:p w14:paraId="69C6A196">
            <w:pPr>
              <w:autoSpaceDE w:val="0"/>
              <w:autoSpaceDN w:val="0"/>
              <w:rPr>
                <w:rFonts w:hint="eastAsia" w:ascii="宋体" w:hAnsi="宋体"/>
                <w:color w:val="000000"/>
                <w:w w:val="90"/>
                <w:szCs w:val="21"/>
              </w:rPr>
            </w:pPr>
          </w:p>
        </w:tc>
        <w:tc>
          <w:tcPr>
            <w:tcW w:w="2736" w:type="dxa"/>
            <w:noWrap/>
            <w:vAlign w:val="center"/>
          </w:tcPr>
          <w:p w14:paraId="0431D515">
            <w:pPr>
              <w:autoSpaceDE w:val="0"/>
              <w:autoSpaceDN w:val="0"/>
              <w:rPr>
                <w:rFonts w:hint="eastAsia" w:ascii="宋体" w:hAnsi="宋体"/>
                <w:color w:val="000000"/>
                <w:w w:val="90"/>
                <w:szCs w:val="21"/>
              </w:rPr>
            </w:pPr>
            <w:r>
              <w:rPr>
                <w:rFonts w:ascii="宋体" w:hAnsi="宋体"/>
                <w:color w:val="000000"/>
                <w:w w:val="90"/>
                <w:szCs w:val="21"/>
              </w:rPr>
              <w:t>HJ410文化用纸</w:t>
            </w:r>
          </w:p>
        </w:tc>
      </w:tr>
      <w:tr w14:paraId="03E896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49A95825">
            <w:pPr>
              <w:autoSpaceDE w:val="0"/>
              <w:autoSpaceDN w:val="0"/>
              <w:jc w:val="center"/>
              <w:rPr>
                <w:rFonts w:hint="eastAsia" w:ascii="宋体" w:hAnsi="宋体"/>
                <w:color w:val="000000"/>
                <w:w w:val="90"/>
                <w:szCs w:val="21"/>
              </w:rPr>
            </w:pPr>
            <w:r>
              <w:rPr>
                <w:rFonts w:ascii="宋体" w:hAnsi="宋体"/>
                <w:color w:val="000000"/>
                <w:w w:val="90"/>
                <w:szCs w:val="21"/>
              </w:rPr>
              <w:t>31</w:t>
            </w:r>
          </w:p>
        </w:tc>
        <w:tc>
          <w:tcPr>
            <w:tcW w:w="1985" w:type="dxa"/>
            <w:noWrap/>
            <w:vAlign w:val="center"/>
          </w:tcPr>
          <w:p w14:paraId="00A76467">
            <w:pPr>
              <w:autoSpaceDE w:val="0"/>
              <w:autoSpaceDN w:val="0"/>
              <w:rPr>
                <w:rFonts w:hint="eastAsia" w:ascii="宋体" w:hAnsi="宋体"/>
                <w:color w:val="000000"/>
                <w:w w:val="90"/>
                <w:szCs w:val="21"/>
              </w:rPr>
            </w:pPr>
            <w:r>
              <w:rPr>
                <w:rFonts w:ascii="宋体" w:hAnsi="宋体"/>
                <w:color w:val="000000"/>
                <w:w w:val="90"/>
                <w:szCs w:val="21"/>
              </w:rPr>
              <w:t>A090201鼓粉盒（包括再生鼓粉盒）</w:t>
            </w:r>
          </w:p>
        </w:tc>
        <w:tc>
          <w:tcPr>
            <w:tcW w:w="2268" w:type="dxa"/>
            <w:noWrap/>
            <w:vAlign w:val="center"/>
          </w:tcPr>
          <w:p w14:paraId="30C3788B">
            <w:pPr>
              <w:autoSpaceDE w:val="0"/>
              <w:autoSpaceDN w:val="0"/>
              <w:rPr>
                <w:rFonts w:hint="eastAsia" w:ascii="宋体" w:hAnsi="宋体"/>
                <w:color w:val="000000"/>
                <w:w w:val="90"/>
                <w:szCs w:val="21"/>
              </w:rPr>
            </w:pPr>
          </w:p>
        </w:tc>
        <w:tc>
          <w:tcPr>
            <w:tcW w:w="1855" w:type="dxa"/>
            <w:noWrap/>
            <w:vAlign w:val="center"/>
          </w:tcPr>
          <w:p w14:paraId="55F43E05">
            <w:pPr>
              <w:autoSpaceDE w:val="0"/>
              <w:autoSpaceDN w:val="0"/>
              <w:rPr>
                <w:rFonts w:hint="eastAsia" w:ascii="宋体" w:hAnsi="宋体"/>
                <w:color w:val="000000"/>
                <w:w w:val="90"/>
                <w:szCs w:val="21"/>
              </w:rPr>
            </w:pPr>
          </w:p>
        </w:tc>
        <w:tc>
          <w:tcPr>
            <w:tcW w:w="2736" w:type="dxa"/>
            <w:noWrap/>
            <w:vAlign w:val="center"/>
          </w:tcPr>
          <w:p w14:paraId="15FC1CC6">
            <w:pPr>
              <w:autoSpaceDE w:val="0"/>
              <w:autoSpaceDN w:val="0"/>
              <w:rPr>
                <w:rFonts w:hint="eastAsia" w:ascii="宋体" w:hAnsi="宋体"/>
                <w:color w:val="000000"/>
                <w:w w:val="90"/>
                <w:szCs w:val="21"/>
              </w:rPr>
            </w:pPr>
          </w:p>
        </w:tc>
      </w:tr>
      <w:tr w14:paraId="65127C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0CEAF2EE">
            <w:pPr>
              <w:autoSpaceDE w:val="0"/>
              <w:autoSpaceDN w:val="0"/>
              <w:jc w:val="center"/>
              <w:rPr>
                <w:rFonts w:hint="eastAsia" w:ascii="宋体" w:hAnsi="宋体"/>
                <w:b/>
                <w:color w:val="000000"/>
                <w:w w:val="90"/>
                <w:szCs w:val="21"/>
              </w:rPr>
            </w:pPr>
            <w:r>
              <w:rPr>
                <w:rFonts w:ascii="宋体" w:hAnsi="宋体"/>
                <w:b/>
                <w:color w:val="000000"/>
                <w:w w:val="90"/>
                <w:szCs w:val="21"/>
              </w:rPr>
              <w:t>32</w:t>
            </w:r>
          </w:p>
        </w:tc>
        <w:tc>
          <w:tcPr>
            <w:tcW w:w="1985" w:type="dxa"/>
            <w:vMerge w:val="restart"/>
            <w:noWrap/>
            <w:vAlign w:val="center"/>
          </w:tcPr>
          <w:p w14:paraId="2C763F06">
            <w:pPr>
              <w:autoSpaceDE w:val="0"/>
              <w:autoSpaceDN w:val="0"/>
              <w:rPr>
                <w:rFonts w:hint="eastAsia" w:ascii="宋体" w:hAnsi="宋体"/>
                <w:b/>
                <w:color w:val="000000"/>
                <w:w w:val="90"/>
                <w:szCs w:val="21"/>
              </w:rPr>
            </w:pPr>
            <w:r>
              <w:rPr>
                <w:rFonts w:ascii="宋体" w:hAnsi="宋体"/>
                <w:b/>
                <w:color w:val="000000"/>
                <w:w w:val="90"/>
                <w:szCs w:val="21"/>
              </w:rPr>
              <w:t>A100203人造板</w:t>
            </w:r>
          </w:p>
        </w:tc>
        <w:tc>
          <w:tcPr>
            <w:tcW w:w="2268" w:type="dxa"/>
            <w:noWrap/>
            <w:vAlign w:val="center"/>
          </w:tcPr>
          <w:p w14:paraId="4F5C8340">
            <w:pPr>
              <w:autoSpaceDE w:val="0"/>
              <w:autoSpaceDN w:val="0"/>
              <w:rPr>
                <w:rFonts w:hint="eastAsia" w:ascii="宋体" w:hAnsi="宋体"/>
                <w:b/>
                <w:color w:val="000000"/>
                <w:w w:val="90"/>
                <w:szCs w:val="21"/>
              </w:rPr>
            </w:pPr>
            <w:r>
              <w:rPr>
                <w:rFonts w:ascii="宋体" w:hAnsi="宋体"/>
                <w:b/>
                <w:color w:val="000000"/>
                <w:w w:val="90"/>
                <w:szCs w:val="21"/>
              </w:rPr>
              <w:t>A10020301胶合板</w:t>
            </w:r>
          </w:p>
        </w:tc>
        <w:tc>
          <w:tcPr>
            <w:tcW w:w="1855" w:type="dxa"/>
            <w:noWrap/>
            <w:vAlign w:val="center"/>
          </w:tcPr>
          <w:p w14:paraId="2B23FF53">
            <w:pPr>
              <w:autoSpaceDE w:val="0"/>
              <w:autoSpaceDN w:val="0"/>
              <w:rPr>
                <w:rFonts w:hint="eastAsia" w:ascii="宋体" w:hAnsi="宋体"/>
                <w:b/>
                <w:color w:val="000000"/>
                <w:w w:val="90"/>
                <w:szCs w:val="21"/>
              </w:rPr>
            </w:pPr>
          </w:p>
        </w:tc>
        <w:tc>
          <w:tcPr>
            <w:tcW w:w="2736" w:type="dxa"/>
            <w:noWrap/>
            <w:vAlign w:val="center"/>
          </w:tcPr>
          <w:p w14:paraId="1F06DB29">
            <w:pPr>
              <w:autoSpaceDE w:val="0"/>
              <w:autoSpaceDN w:val="0"/>
              <w:rPr>
                <w:rFonts w:hint="eastAsia" w:ascii="宋体" w:hAnsi="宋体"/>
                <w:b/>
                <w:color w:val="000000"/>
                <w:w w:val="90"/>
                <w:szCs w:val="21"/>
              </w:rPr>
            </w:pPr>
            <w:r>
              <w:rPr>
                <w:rFonts w:ascii="宋体" w:hAnsi="宋体"/>
                <w:b/>
                <w:color w:val="000000"/>
                <w:w w:val="90"/>
                <w:szCs w:val="21"/>
              </w:rPr>
              <w:t>HJ571人造板及其制品</w:t>
            </w:r>
          </w:p>
        </w:tc>
      </w:tr>
      <w:tr w14:paraId="6D113C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147B454">
            <w:pPr>
              <w:autoSpaceDE w:val="0"/>
              <w:autoSpaceDN w:val="0"/>
              <w:jc w:val="center"/>
              <w:rPr>
                <w:rFonts w:hint="eastAsia" w:ascii="宋体" w:hAnsi="宋体"/>
                <w:b/>
                <w:color w:val="000000"/>
                <w:w w:val="90"/>
                <w:szCs w:val="21"/>
              </w:rPr>
            </w:pPr>
          </w:p>
        </w:tc>
        <w:tc>
          <w:tcPr>
            <w:tcW w:w="1985" w:type="dxa"/>
            <w:vMerge w:val="continue"/>
            <w:noWrap/>
            <w:vAlign w:val="center"/>
          </w:tcPr>
          <w:p w14:paraId="06DDBC4E">
            <w:pPr>
              <w:autoSpaceDE w:val="0"/>
              <w:autoSpaceDN w:val="0"/>
              <w:rPr>
                <w:rFonts w:hint="eastAsia" w:ascii="宋体" w:hAnsi="宋体"/>
                <w:b/>
                <w:color w:val="000000"/>
                <w:w w:val="90"/>
                <w:szCs w:val="21"/>
              </w:rPr>
            </w:pPr>
          </w:p>
        </w:tc>
        <w:tc>
          <w:tcPr>
            <w:tcW w:w="2268" w:type="dxa"/>
            <w:noWrap/>
            <w:vAlign w:val="center"/>
          </w:tcPr>
          <w:p w14:paraId="038DC240">
            <w:pPr>
              <w:autoSpaceDE w:val="0"/>
              <w:autoSpaceDN w:val="0"/>
              <w:rPr>
                <w:rFonts w:hint="eastAsia" w:ascii="宋体" w:hAnsi="宋体"/>
                <w:b/>
                <w:color w:val="000000"/>
                <w:w w:val="90"/>
                <w:szCs w:val="21"/>
              </w:rPr>
            </w:pPr>
            <w:r>
              <w:rPr>
                <w:rFonts w:ascii="宋体" w:hAnsi="宋体"/>
                <w:b/>
                <w:color w:val="000000"/>
                <w:w w:val="90"/>
                <w:szCs w:val="21"/>
              </w:rPr>
              <w:t>A10020302纤维板</w:t>
            </w:r>
          </w:p>
        </w:tc>
        <w:tc>
          <w:tcPr>
            <w:tcW w:w="1855" w:type="dxa"/>
            <w:noWrap/>
            <w:vAlign w:val="center"/>
          </w:tcPr>
          <w:p w14:paraId="7061B06B">
            <w:pPr>
              <w:autoSpaceDE w:val="0"/>
              <w:autoSpaceDN w:val="0"/>
              <w:rPr>
                <w:rFonts w:hint="eastAsia" w:ascii="宋体" w:hAnsi="宋体"/>
                <w:b/>
                <w:color w:val="000000"/>
                <w:w w:val="90"/>
                <w:szCs w:val="21"/>
              </w:rPr>
            </w:pPr>
          </w:p>
        </w:tc>
        <w:tc>
          <w:tcPr>
            <w:tcW w:w="2736" w:type="dxa"/>
            <w:noWrap/>
            <w:vAlign w:val="center"/>
          </w:tcPr>
          <w:p w14:paraId="6EB9E849">
            <w:pPr>
              <w:autoSpaceDE w:val="0"/>
              <w:autoSpaceDN w:val="0"/>
              <w:rPr>
                <w:rFonts w:hint="eastAsia" w:ascii="宋体" w:hAnsi="宋体"/>
                <w:b/>
                <w:color w:val="000000"/>
                <w:w w:val="90"/>
                <w:szCs w:val="21"/>
              </w:rPr>
            </w:pPr>
            <w:r>
              <w:rPr>
                <w:rFonts w:ascii="宋体" w:hAnsi="宋体"/>
                <w:b/>
                <w:color w:val="000000"/>
                <w:w w:val="90"/>
                <w:szCs w:val="21"/>
              </w:rPr>
              <w:t>HJ571人造板及其制品</w:t>
            </w:r>
          </w:p>
        </w:tc>
      </w:tr>
      <w:tr w14:paraId="03F5E4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94F5C3B">
            <w:pPr>
              <w:autoSpaceDE w:val="0"/>
              <w:autoSpaceDN w:val="0"/>
              <w:jc w:val="center"/>
              <w:rPr>
                <w:rFonts w:hint="eastAsia" w:ascii="宋体" w:hAnsi="宋体"/>
                <w:b/>
                <w:color w:val="000000"/>
                <w:w w:val="90"/>
                <w:szCs w:val="21"/>
              </w:rPr>
            </w:pPr>
          </w:p>
        </w:tc>
        <w:tc>
          <w:tcPr>
            <w:tcW w:w="1985" w:type="dxa"/>
            <w:vMerge w:val="continue"/>
            <w:noWrap/>
            <w:vAlign w:val="center"/>
          </w:tcPr>
          <w:p w14:paraId="04920D64">
            <w:pPr>
              <w:autoSpaceDE w:val="0"/>
              <w:autoSpaceDN w:val="0"/>
              <w:rPr>
                <w:rFonts w:hint="eastAsia" w:ascii="宋体" w:hAnsi="宋体"/>
                <w:b/>
                <w:color w:val="000000"/>
                <w:w w:val="90"/>
                <w:szCs w:val="21"/>
              </w:rPr>
            </w:pPr>
          </w:p>
        </w:tc>
        <w:tc>
          <w:tcPr>
            <w:tcW w:w="2268" w:type="dxa"/>
            <w:noWrap/>
            <w:vAlign w:val="center"/>
          </w:tcPr>
          <w:p w14:paraId="72187384">
            <w:pPr>
              <w:autoSpaceDE w:val="0"/>
              <w:autoSpaceDN w:val="0"/>
              <w:rPr>
                <w:rFonts w:hint="eastAsia" w:ascii="宋体" w:hAnsi="宋体"/>
                <w:b/>
                <w:color w:val="000000"/>
                <w:w w:val="90"/>
                <w:szCs w:val="21"/>
              </w:rPr>
            </w:pPr>
            <w:r>
              <w:rPr>
                <w:rFonts w:ascii="宋体" w:hAnsi="宋体"/>
                <w:b/>
                <w:color w:val="000000"/>
                <w:w w:val="90"/>
                <w:szCs w:val="21"/>
              </w:rPr>
              <w:t>A10020303刨花板</w:t>
            </w:r>
          </w:p>
        </w:tc>
        <w:tc>
          <w:tcPr>
            <w:tcW w:w="1855" w:type="dxa"/>
            <w:noWrap/>
            <w:vAlign w:val="center"/>
          </w:tcPr>
          <w:p w14:paraId="2F148604">
            <w:pPr>
              <w:autoSpaceDE w:val="0"/>
              <w:autoSpaceDN w:val="0"/>
              <w:rPr>
                <w:rFonts w:hint="eastAsia" w:ascii="宋体" w:hAnsi="宋体"/>
                <w:b/>
                <w:color w:val="000000"/>
                <w:w w:val="90"/>
                <w:szCs w:val="21"/>
              </w:rPr>
            </w:pPr>
          </w:p>
        </w:tc>
        <w:tc>
          <w:tcPr>
            <w:tcW w:w="2736" w:type="dxa"/>
            <w:noWrap/>
            <w:vAlign w:val="center"/>
          </w:tcPr>
          <w:p w14:paraId="4166130E">
            <w:pPr>
              <w:autoSpaceDE w:val="0"/>
              <w:autoSpaceDN w:val="0"/>
              <w:rPr>
                <w:rFonts w:hint="eastAsia" w:ascii="宋体" w:hAnsi="宋体"/>
                <w:b/>
                <w:color w:val="000000"/>
                <w:w w:val="90"/>
                <w:szCs w:val="21"/>
              </w:rPr>
            </w:pPr>
            <w:r>
              <w:rPr>
                <w:rFonts w:ascii="宋体" w:hAnsi="宋体"/>
                <w:b/>
                <w:color w:val="000000"/>
                <w:w w:val="90"/>
                <w:szCs w:val="21"/>
              </w:rPr>
              <w:t>HJ571人造板及其制品</w:t>
            </w:r>
          </w:p>
        </w:tc>
      </w:tr>
      <w:tr w14:paraId="2E74B6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0B4B788A">
            <w:pPr>
              <w:autoSpaceDE w:val="0"/>
              <w:autoSpaceDN w:val="0"/>
              <w:jc w:val="center"/>
              <w:rPr>
                <w:rFonts w:hint="eastAsia" w:ascii="宋体" w:hAnsi="宋体"/>
                <w:b/>
                <w:color w:val="000000"/>
                <w:w w:val="90"/>
                <w:szCs w:val="21"/>
              </w:rPr>
            </w:pPr>
          </w:p>
        </w:tc>
        <w:tc>
          <w:tcPr>
            <w:tcW w:w="1985" w:type="dxa"/>
            <w:vMerge w:val="continue"/>
            <w:noWrap/>
            <w:vAlign w:val="center"/>
          </w:tcPr>
          <w:p w14:paraId="695BF38A">
            <w:pPr>
              <w:autoSpaceDE w:val="0"/>
              <w:autoSpaceDN w:val="0"/>
              <w:rPr>
                <w:rFonts w:hint="eastAsia" w:ascii="宋体" w:hAnsi="宋体"/>
                <w:b/>
                <w:color w:val="000000"/>
                <w:w w:val="90"/>
                <w:szCs w:val="21"/>
              </w:rPr>
            </w:pPr>
          </w:p>
        </w:tc>
        <w:tc>
          <w:tcPr>
            <w:tcW w:w="2268" w:type="dxa"/>
            <w:noWrap/>
            <w:vAlign w:val="center"/>
          </w:tcPr>
          <w:p w14:paraId="079AD1D3">
            <w:pPr>
              <w:autoSpaceDE w:val="0"/>
              <w:autoSpaceDN w:val="0"/>
              <w:rPr>
                <w:rFonts w:hint="eastAsia" w:ascii="宋体" w:hAnsi="宋体"/>
                <w:b/>
                <w:color w:val="000000"/>
                <w:w w:val="90"/>
                <w:szCs w:val="21"/>
              </w:rPr>
            </w:pPr>
            <w:r>
              <w:rPr>
                <w:rFonts w:ascii="宋体" w:hAnsi="宋体"/>
                <w:b/>
                <w:color w:val="000000"/>
                <w:w w:val="90"/>
                <w:szCs w:val="21"/>
              </w:rPr>
              <w:t>A10020304细木工板</w:t>
            </w:r>
          </w:p>
        </w:tc>
        <w:tc>
          <w:tcPr>
            <w:tcW w:w="1855" w:type="dxa"/>
            <w:noWrap/>
            <w:vAlign w:val="center"/>
          </w:tcPr>
          <w:p w14:paraId="59703337">
            <w:pPr>
              <w:autoSpaceDE w:val="0"/>
              <w:autoSpaceDN w:val="0"/>
              <w:rPr>
                <w:rFonts w:hint="eastAsia" w:ascii="宋体" w:hAnsi="宋体"/>
                <w:b/>
                <w:color w:val="000000"/>
                <w:w w:val="90"/>
                <w:szCs w:val="21"/>
              </w:rPr>
            </w:pPr>
          </w:p>
        </w:tc>
        <w:tc>
          <w:tcPr>
            <w:tcW w:w="2736" w:type="dxa"/>
            <w:noWrap/>
            <w:vAlign w:val="center"/>
          </w:tcPr>
          <w:p w14:paraId="40699B39">
            <w:pPr>
              <w:autoSpaceDE w:val="0"/>
              <w:autoSpaceDN w:val="0"/>
              <w:rPr>
                <w:rFonts w:hint="eastAsia" w:ascii="宋体" w:hAnsi="宋体"/>
                <w:b/>
                <w:color w:val="000000"/>
                <w:w w:val="90"/>
                <w:szCs w:val="21"/>
              </w:rPr>
            </w:pPr>
            <w:r>
              <w:rPr>
                <w:rFonts w:ascii="宋体" w:hAnsi="宋体"/>
                <w:b/>
                <w:color w:val="000000"/>
                <w:w w:val="90"/>
                <w:szCs w:val="21"/>
              </w:rPr>
              <w:t>HJ571人造板及其制品</w:t>
            </w:r>
          </w:p>
        </w:tc>
      </w:tr>
      <w:tr w14:paraId="32AC96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E7D6F01">
            <w:pPr>
              <w:autoSpaceDE w:val="0"/>
              <w:autoSpaceDN w:val="0"/>
              <w:jc w:val="center"/>
              <w:rPr>
                <w:rFonts w:hint="eastAsia" w:ascii="宋体" w:hAnsi="宋体"/>
                <w:b/>
                <w:color w:val="000000"/>
                <w:w w:val="90"/>
                <w:szCs w:val="21"/>
              </w:rPr>
            </w:pPr>
          </w:p>
        </w:tc>
        <w:tc>
          <w:tcPr>
            <w:tcW w:w="1985" w:type="dxa"/>
            <w:vMerge w:val="continue"/>
            <w:noWrap/>
            <w:vAlign w:val="center"/>
          </w:tcPr>
          <w:p w14:paraId="3D185BF8">
            <w:pPr>
              <w:autoSpaceDE w:val="0"/>
              <w:autoSpaceDN w:val="0"/>
              <w:rPr>
                <w:rFonts w:hint="eastAsia" w:ascii="宋体" w:hAnsi="宋体"/>
                <w:b/>
                <w:color w:val="000000"/>
                <w:w w:val="90"/>
                <w:szCs w:val="21"/>
              </w:rPr>
            </w:pPr>
          </w:p>
        </w:tc>
        <w:tc>
          <w:tcPr>
            <w:tcW w:w="2268" w:type="dxa"/>
            <w:noWrap/>
            <w:vAlign w:val="center"/>
          </w:tcPr>
          <w:p w14:paraId="6A8D146E">
            <w:pPr>
              <w:autoSpaceDE w:val="0"/>
              <w:autoSpaceDN w:val="0"/>
              <w:rPr>
                <w:rFonts w:hint="eastAsia" w:ascii="宋体" w:hAnsi="宋体"/>
                <w:b/>
                <w:color w:val="000000"/>
                <w:w w:val="90"/>
                <w:szCs w:val="21"/>
              </w:rPr>
            </w:pPr>
            <w:r>
              <w:rPr>
                <w:rFonts w:ascii="宋体" w:hAnsi="宋体"/>
                <w:b/>
                <w:color w:val="000000"/>
                <w:w w:val="90"/>
                <w:szCs w:val="21"/>
              </w:rPr>
              <w:t>A10020399其他人造板</w:t>
            </w:r>
          </w:p>
        </w:tc>
        <w:tc>
          <w:tcPr>
            <w:tcW w:w="1855" w:type="dxa"/>
            <w:noWrap/>
            <w:vAlign w:val="center"/>
          </w:tcPr>
          <w:p w14:paraId="4155A9E9">
            <w:pPr>
              <w:autoSpaceDE w:val="0"/>
              <w:autoSpaceDN w:val="0"/>
              <w:rPr>
                <w:rFonts w:hint="eastAsia" w:ascii="宋体" w:hAnsi="宋体"/>
                <w:b/>
                <w:color w:val="000000"/>
                <w:w w:val="90"/>
                <w:szCs w:val="21"/>
              </w:rPr>
            </w:pPr>
          </w:p>
        </w:tc>
        <w:tc>
          <w:tcPr>
            <w:tcW w:w="2736" w:type="dxa"/>
            <w:noWrap/>
            <w:vAlign w:val="center"/>
          </w:tcPr>
          <w:p w14:paraId="0E642358">
            <w:pPr>
              <w:autoSpaceDE w:val="0"/>
              <w:autoSpaceDN w:val="0"/>
              <w:rPr>
                <w:rFonts w:hint="eastAsia" w:ascii="宋体" w:hAnsi="宋体"/>
                <w:b/>
                <w:color w:val="000000"/>
                <w:w w:val="90"/>
                <w:szCs w:val="21"/>
              </w:rPr>
            </w:pPr>
            <w:r>
              <w:rPr>
                <w:rFonts w:ascii="宋体" w:hAnsi="宋体"/>
                <w:b/>
                <w:color w:val="000000"/>
                <w:w w:val="90"/>
                <w:szCs w:val="21"/>
              </w:rPr>
              <w:t>HJ571人造板及其制品</w:t>
            </w:r>
          </w:p>
        </w:tc>
      </w:tr>
      <w:tr w14:paraId="7FEF74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220FC033">
            <w:pPr>
              <w:autoSpaceDE w:val="0"/>
              <w:autoSpaceDN w:val="0"/>
              <w:jc w:val="center"/>
              <w:rPr>
                <w:rFonts w:hint="eastAsia" w:ascii="宋体" w:hAnsi="宋体"/>
                <w:b/>
                <w:color w:val="000000"/>
                <w:w w:val="90"/>
                <w:szCs w:val="21"/>
              </w:rPr>
            </w:pPr>
            <w:r>
              <w:rPr>
                <w:rFonts w:ascii="宋体" w:hAnsi="宋体"/>
                <w:b/>
                <w:color w:val="000000"/>
                <w:w w:val="90"/>
                <w:szCs w:val="21"/>
              </w:rPr>
              <w:t>33</w:t>
            </w:r>
          </w:p>
        </w:tc>
        <w:tc>
          <w:tcPr>
            <w:tcW w:w="1985" w:type="dxa"/>
            <w:vMerge w:val="restart"/>
            <w:noWrap/>
            <w:vAlign w:val="center"/>
          </w:tcPr>
          <w:p w14:paraId="514D3A65">
            <w:pPr>
              <w:autoSpaceDE w:val="0"/>
              <w:autoSpaceDN w:val="0"/>
              <w:rPr>
                <w:rFonts w:hint="eastAsia" w:ascii="宋体" w:hAnsi="宋体"/>
                <w:b/>
                <w:color w:val="000000"/>
                <w:w w:val="90"/>
                <w:szCs w:val="21"/>
              </w:rPr>
            </w:pPr>
            <w:r>
              <w:rPr>
                <w:rFonts w:ascii="宋体" w:hAnsi="宋体"/>
                <w:b/>
                <w:color w:val="000000"/>
                <w:w w:val="90"/>
                <w:szCs w:val="21"/>
              </w:rPr>
              <w:t>A100204二次加工材,相关板材</w:t>
            </w:r>
          </w:p>
        </w:tc>
        <w:tc>
          <w:tcPr>
            <w:tcW w:w="2268" w:type="dxa"/>
            <w:noWrap/>
            <w:vAlign w:val="center"/>
          </w:tcPr>
          <w:p w14:paraId="1AC614AD">
            <w:pPr>
              <w:autoSpaceDE w:val="0"/>
              <w:autoSpaceDN w:val="0"/>
              <w:rPr>
                <w:rFonts w:hint="eastAsia" w:ascii="宋体" w:hAnsi="宋体"/>
                <w:b/>
                <w:color w:val="000000"/>
                <w:w w:val="90"/>
                <w:szCs w:val="21"/>
              </w:rPr>
            </w:pPr>
            <w:r>
              <w:rPr>
                <w:rFonts w:ascii="宋体" w:hAnsi="宋体"/>
                <w:b/>
                <w:color w:val="000000"/>
                <w:w w:val="90"/>
                <w:szCs w:val="21"/>
              </w:rPr>
              <w:t>A10020404人造板表面装饰板</w:t>
            </w:r>
          </w:p>
        </w:tc>
        <w:tc>
          <w:tcPr>
            <w:tcW w:w="1855" w:type="dxa"/>
            <w:noWrap/>
            <w:vAlign w:val="center"/>
          </w:tcPr>
          <w:p w14:paraId="3C13FE79">
            <w:pPr>
              <w:autoSpaceDE w:val="0"/>
              <w:autoSpaceDN w:val="0"/>
              <w:rPr>
                <w:rFonts w:hint="eastAsia" w:ascii="宋体" w:hAnsi="宋体"/>
                <w:b/>
                <w:color w:val="000000"/>
                <w:w w:val="90"/>
                <w:szCs w:val="21"/>
              </w:rPr>
            </w:pPr>
          </w:p>
        </w:tc>
        <w:tc>
          <w:tcPr>
            <w:tcW w:w="2736" w:type="dxa"/>
            <w:noWrap/>
            <w:vAlign w:val="center"/>
          </w:tcPr>
          <w:p w14:paraId="661648B0">
            <w:pPr>
              <w:autoSpaceDE w:val="0"/>
              <w:autoSpaceDN w:val="0"/>
              <w:rPr>
                <w:rFonts w:hint="eastAsia" w:ascii="宋体" w:hAnsi="宋体"/>
                <w:b/>
                <w:color w:val="000000"/>
                <w:w w:val="90"/>
                <w:szCs w:val="21"/>
              </w:rPr>
            </w:pPr>
            <w:r>
              <w:rPr>
                <w:rFonts w:ascii="宋体" w:hAnsi="宋体"/>
                <w:b/>
                <w:color w:val="000000"/>
                <w:w w:val="90"/>
                <w:szCs w:val="21"/>
              </w:rPr>
              <w:t>HJ571人造板及其制品/HJ2540 木塑制品</w:t>
            </w:r>
          </w:p>
        </w:tc>
      </w:tr>
      <w:tr w14:paraId="2A5483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063DFFD">
            <w:pPr>
              <w:autoSpaceDE w:val="0"/>
              <w:autoSpaceDN w:val="0"/>
              <w:jc w:val="center"/>
              <w:rPr>
                <w:rFonts w:hint="eastAsia" w:ascii="宋体" w:hAnsi="宋体"/>
                <w:b/>
                <w:color w:val="000000"/>
                <w:w w:val="90"/>
                <w:szCs w:val="21"/>
              </w:rPr>
            </w:pPr>
          </w:p>
        </w:tc>
        <w:tc>
          <w:tcPr>
            <w:tcW w:w="1985" w:type="dxa"/>
            <w:vMerge w:val="continue"/>
            <w:noWrap/>
            <w:vAlign w:val="center"/>
          </w:tcPr>
          <w:p w14:paraId="3294B751">
            <w:pPr>
              <w:autoSpaceDE w:val="0"/>
              <w:autoSpaceDN w:val="0"/>
              <w:rPr>
                <w:rFonts w:hint="eastAsia" w:ascii="宋体" w:hAnsi="宋体"/>
                <w:b/>
                <w:color w:val="000000"/>
                <w:w w:val="90"/>
                <w:szCs w:val="21"/>
              </w:rPr>
            </w:pPr>
          </w:p>
        </w:tc>
        <w:tc>
          <w:tcPr>
            <w:tcW w:w="2268" w:type="dxa"/>
            <w:noWrap/>
            <w:vAlign w:val="center"/>
          </w:tcPr>
          <w:p w14:paraId="0E496011">
            <w:pPr>
              <w:autoSpaceDE w:val="0"/>
              <w:autoSpaceDN w:val="0"/>
              <w:rPr>
                <w:rFonts w:hint="eastAsia" w:ascii="宋体" w:hAnsi="宋体"/>
                <w:b/>
                <w:color w:val="000000"/>
                <w:w w:val="90"/>
                <w:szCs w:val="21"/>
              </w:rPr>
            </w:pPr>
            <w:r>
              <w:rPr>
                <w:rFonts w:ascii="宋体" w:hAnsi="宋体"/>
                <w:b/>
                <w:color w:val="000000"/>
                <w:w w:val="90"/>
                <w:szCs w:val="21"/>
              </w:rPr>
              <w:t>A10020404人造板表面装饰板（地板）</w:t>
            </w:r>
          </w:p>
        </w:tc>
        <w:tc>
          <w:tcPr>
            <w:tcW w:w="1855" w:type="dxa"/>
            <w:noWrap/>
            <w:vAlign w:val="center"/>
          </w:tcPr>
          <w:p w14:paraId="2FF72426">
            <w:pPr>
              <w:autoSpaceDE w:val="0"/>
              <w:autoSpaceDN w:val="0"/>
              <w:rPr>
                <w:rFonts w:hint="eastAsia" w:ascii="宋体" w:hAnsi="宋体"/>
                <w:b/>
                <w:color w:val="000000"/>
                <w:w w:val="90"/>
                <w:szCs w:val="21"/>
              </w:rPr>
            </w:pPr>
          </w:p>
        </w:tc>
        <w:tc>
          <w:tcPr>
            <w:tcW w:w="2736" w:type="dxa"/>
            <w:noWrap/>
            <w:vAlign w:val="center"/>
          </w:tcPr>
          <w:p w14:paraId="37329395">
            <w:pPr>
              <w:autoSpaceDE w:val="0"/>
              <w:autoSpaceDN w:val="0"/>
              <w:rPr>
                <w:rFonts w:hint="eastAsia" w:ascii="宋体" w:hAnsi="宋体"/>
                <w:b/>
                <w:color w:val="000000"/>
                <w:w w:val="90"/>
                <w:szCs w:val="21"/>
              </w:rPr>
            </w:pPr>
            <w:r>
              <w:rPr>
                <w:rFonts w:ascii="宋体" w:hAnsi="宋体"/>
                <w:b/>
                <w:color w:val="000000"/>
                <w:w w:val="90"/>
                <w:szCs w:val="21"/>
              </w:rPr>
              <w:t>HJ571人造板及其制品/HJ2540 木塑制品</w:t>
            </w:r>
          </w:p>
        </w:tc>
      </w:tr>
      <w:tr w14:paraId="0AFF7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7431E08">
            <w:pPr>
              <w:autoSpaceDE w:val="0"/>
              <w:autoSpaceDN w:val="0"/>
              <w:jc w:val="center"/>
              <w:rPr>
                <w:rFonts w:hint="eastAsia" w:ascii="宋体" w:hAnsi="宋体"/>
                <w:b/>
                <w:color w:val="000000"/>
                <w:w w:val="90"/>
                <w:szCs w:val="21"/>
              </w:rPr>
            </w:pPr>
            <w:r>
              <w:rPr>
                <w:rFonts w:ascii="宋体" w:hAnsi="宋体"/>
                <w:b/>
                <w:color w:val="000000"/>
                <w:w w:val="90"/>
                <w:szCs w:val="21"/>
              </w:rPr>
              <w:t>34</w:t>
            </w:r>
          </w:p>
        </w:tc>
        <w:tc>
          <w:tcPr>
            <w:tcW w:w="1985" w:type="dxa"/>
            <w:noWrap/>
            <w:vAlign w:val="center"/>
          </w:tcPr>
          <w:p w14:paraId="34E3D12E">
            <w:pPr>
              <w:autoSpaceDE w:val="0"/>
              <w:autoSpaceDN w:val="0"/>
              <w:rPr>
                <w:rFonts w:hint="eastAsia" w:ascii="宋体" w:hAnsi="宋体"/>
                <w:b/>
                <w:color w:val="000000"/>
                <w:w w:val="90"/>
                <w:szCs w:val="21"/>
              </w:rPr>
            </w:pPr>
            <w:r>
              <w:rPr>
                <w:rFonts w:ascii="宋体" w:hAnsi="宋体"/>
                <w:b/>
                <w:color w:val="000000"/>
                <w:w w:val="90"/>
                <w:szCs w:val="21"/>
              </w:rPr>
              <w:t>A100301水泥熟料及水泥</w:t>
            </w:r>
          </w:p>
        </w:tc>
        <w:tc>
          <w:tcPr>
            <w:tcW w:w="2268" w:type="dxa"/>
            <w:noWrap/>
            <w:vAlign w:val="center"/>
          </w:tcPr>
          <w:p w14:paraId="22DC9500">
            <w:pPr>
              <w:autoSpaceDE w:val="0"/>
              <w:autoSpaceDN w:val="0"/>
              <w:rPr>
                <w:rFonts w:hint="eastAsia" w:ascii="宋体" w:hAnsi="宋体"/>
                <w:b/>
                <w:color w:val="000000"/>
                <w:w w:val="90"/>
                <w:szCs w:val="21"/>
              </w:rPr>
            </w:pPr>
            <w:r>
              <w:rPr>
                <w:rFonts w:ascii="宋体" w:hAnsi="宋体"/>
                <w:b/>
                <w:color w:val="000000"/>
                <w:w w:val="90"/>
                <w:szCs w:val="21"/>
              </w:rPr>
              <w:t>A10030102水泥</w:t>
            </w:r>
          </w:p>
        </w:tc>
        <w:tc>
          <w:tcPr>
            <w:tcW w:w="1855" w:type="dxa"/>
            <w:noWrap/>
            <w:vAlign w:val="center"/>
          </w:tcPr>
          <w:p w14:paraId="034CD8D3">
            <w:pPr>
              <w:autoSpaceDE w:val="0"/>
              <w:autoSpaceDN w:val="0"/>
              <w:rPr>
                <w:rFonts w:hint="eastAsia" w:ascii="宋体" w:hAnsi="宋体"/>
                <w:b/>
                <w:color w:val="000000"/>
                <w:w w:val="90"/>
                <w:szCs w:val="21"/>
              </w:rPr>
            </w:pPr>
          </w:p>
        </w:tc>
        <w:tc>
          <w:tcPr>
            <w:tcW w:w="2736" w:type="dxa"/>
            <w:noWrap/>
            <w:vAlign w:val="center"/>
          </w:tcPr>
          <w:p w14:paraId="3626D67E">
            <w:pPr>
              <w:autoSpaceDE w:val="0"/>
              <w:autoSpaceDN w:val="0"/>
              <w:rPr>
                <w:rFonts w:hint="eastAsia" w:ascii="宋体" w:hAnsi="宋体"/>
                <w:b/>
                <w:color w:val="000000"/>
                <w:w w:val="90"/>
                <w:szCs w:val="21"/>
              </w:rPr>
            </w:pPr>
            <w:r>
              <w:rPr>
                <w:rFonts w:ascii="宋体" w:hAnsi="宋体"/>
                <w:b/>
                <w:color w:val="000000"/>
                <w:w w:val="90"/>
                <w:szCs w:val="21"/>
              </w:rPr>
              <w:t>HJ2519水泥</w:t>
            </w:r>
          </w:p>
        </w:tc>
      </w:tr>
      <w:tr w14:paraId="3F020B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484F4C0">
            <w:pPr>
              <w:autoSpaceDE w:val="0"/>
              <w:autoSpaceDN w:val="0"/>
              <w:jc w:val="center"/>
              <w:rPr>
                <w:rFonts w:hint="eastAsia" w:ascii="宋体" w:hAnsi="宋体"/>
                <w:b/>
                <w:color w:val="000000"/>
                <w:w w:val="90"/>
                <w:szCs w:val="21"/>
              </w:rPr>
            </w:pPr>
            <w:r>
              <w:rPr>
                <w:rFonts w:ascii="宋体" w:hAnsi="宋体"/>
                <w:b/>
                <w:color w:val="000000"/>
                <w:w w:val="90"/>
                <w:szCs w:val="21"/>
              </w:rPr>
              <w:t>35</w:t>
            </w:r>
          </w:p>
        </w:tc>
        <w:tc>
          <w:tcPr>
            <w:tcW w:w="1985" w:type="dxa"/>
            <w:noWrap/>
            <w:vAlign w:val="center"/>
          </w:tcPr>
          <w:p w14:paraId="7BAE1FFF">
            <w:pPr>
              <w:autoSpaceDE w:val="0"/>
              <w:autoSpaceDN w:val="0"/>
              <w:rPr>
                <w:rFonts w:hint="eastAsia" w:ascii="宋体" w:hAnsi="宋体"/>
                <w:b/>
                <w:color w:val="000000"/>
                <w:w w:val="90"/>
                <w:szCs w:val="21"/>
              </w:rPr>
            </w:pPr>
            <w:r>
              <w:rPr>
                <w:rFonts w:ascii="宋体" w:hAnsi="宋体"/>
                <w:b/>
                <w:color w:val="000000"/>
                <w:w w:val="90"/>
                <w:szCs w:val="21"/>
              </w:rPr>
              <w:t>A100303水泥混凝土制品</w:t>
            </w:r>
          </w:p>
        </w:tc>
        <w:tc>
          <w:tcPr>
            <w:tcW w:w="2268" w:type="dxa"/>
            <w:noWrap/>
            <w:vAlign w:val="center"/>
          </w:tcPr>
          <w:p w14:paraId="620E66F5">
            <w:pPr>
              <w:autoSpaceDE w:val="0"/>
              <w:autoSpaceDN w:val="0"/>
              <w:rPr>
                <w:rFonts w:hint="eastAsia" w:ascii="宋体" w:hAnsi="宋体"/>
                <w:b/>
                <w:color w:val="000000"/>
                <w:w w:val="90"/>
                <w:szCs w:val="21"/>
              </w:rPr>
            </w:pPr>
            <w:r>
              <w:rPr>
                <w:rFonts w:ascii="宋体" w:hAnsi="宋体"/>
                <w:b/>
                <w:color w:val="000000"/>
                <w:w w:val="90"/>
                <w:szCs w:val="21"/>
              </w:rPr>
              <w:t>A10030301商品混凝土</w:t>
            </w:r>
          </w:p>
        </w:tc>
        <w:tc>
          <w:tcPr>
            <w:tcW w:w="1855" w:type="dxa"/>
            <w:noWrap/>
            <w:vAlign w:val="center"/>
          </w:tcPr>
          <w:p w14:paraId="5D909F71">
            <w:pPr>
              <w:autoSpaceDE w:val="0"/>
              <w:autoSpaceDN w:val="0"/>
              <w:rPr>
                <w:rFonts w:hint="eastAsia" w:ascii="宋体" w:hAnsi="宋体"/>
                <w:b/>
                <w:color w:val="000000"/>
                <w:w w:val="90"/>
                <w:szCs w:val="21"/>
              </w:rPr>
            </w:pPr>
          </w:p>
        </w:tc>
        <w:tc>
          <w:tcPr>
            <w:tcW w:w="2736" w:type="dxa"/>
            <w:noWrap/>
            <w:vAlign w:val="center"/>
          </w:tcPr>
          <w:p w14:paraId="1041951C">
            <w:pPr>
              <w:autoSpaceDE w:val="0"/>
              <w:autoSpaceDN w:val="0"/>
              <w:rPr>
                <w:rFonts w:hint="eastAsia" w:ascii="宋体" w:hAnsi="宋体"/>
                <w:b/>
                <w:color w:val="000000"/>
                <w:w w:val="90"/>
                <w:szCs w:val="21"/>
              </w:rPr>
            </w:pPr>
            <w:r>
              <w:rPr>
                <w:rFonts w:ascii="宋体" w:hAnsi="宋体"/>
                <w:b/>
                <w:color w:val="000000"/>
                <w:w w:val="90"/>
                <w:szCs w:val="21"/>
              </w:rPr>
              <w:t>HJ/T412预拌混凝土</w:t>
            </w:r>
          </w:p>
        </w:tc>
      </w:tr>
      <w:tr w14:paraId="4C90EC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4C839771">
            <w:pPr>
              <w:autoSpaceDE w:val="0"/>
              <w:autoSpaceDN w:val="0"/>
              <w:jc w:val="center"/>
              <w:rPr>
                <w:rFonts w:hint="eastAsia" w:ascii="宋体" w:hAnsi="宋体"/>
                <w:b/>
                <w:color w:val="000000"/>
                <w:w w:val="90"/>
                <w:szCs w:val="21"/>
              </w:rPr>
            </w:pPr>
            <w:r>
              <w:rPr>
                <w:rFonts w:ascii="宋体" w:hAnsi="宋体"/>
                <w:b/>
                <w:color w:val="000000"/>
                <w:w w:val="90"/>
                <w:szCs w:val="21"/>
              </w:rPr>
              <w:t>36</w:t>
            </w:r>
          </w:p>
        </w:tc>
        <w:tc>
          <w:tcPr>
            <w:tcW w:w="1985" w:type="dxa"/>
            <w:vMerge w:val="restart"/>
            <w:noWrap/>
            <w:vAlign w:val="center"/>
          </w:tcPr>
          <w:p w14:paraId="6F559FFE">
            <w:pPr>
              <w:autoSpaceDE w:val="0"/>
              <w:autoSpaceDN w:val="0"/>
              <w:rPr>
                <w:rFonts w:hint="eastAsia" w:ascii="宋体" w:hAnsi="宋体"/>
                <w:b/>
                <w:color w:val="000000"/>
                <w:w w:val="90"/>
                <w:szCs w:val="21"/>
              </w:rPr>
            </w:pPr>
            <w:r>
              <w:rPr>
                <w:rFonts w:ascii="宋体" w:hAnsi="宋体"/>
                <w:b/>
                <w:color w:val="000000"/>
                <w:w w:val="90"/>
                <w:szCs w:val="21"/>
              </w:rPr>
              <w:t>A100304纤维增强水泥制品</w:t>
            </w:r>
          </w:p>
        </w:tc>
        <w:tc>
          <w:tcPr>
            <w:tcW w:w="2268" w:type="dxa"/>
            <w:noWrap/>
            <w:vAlign w:val="center"/>
          </w:tcPr>
          <w:p w14:paraId="42E7BA3A">
            <w:pPr>
              <w:autoSpaceDE w:val="0"/>
              <w:autoSpaceDN w:val="0"/>
              <w:rPr>
                <w:rFonts w:hint="eastAsia" w:ascii="宋体" w:hAnsi="宋体"/>
                <w:b/>
                <w:color w:val="000000"/>
                <w:w w:val="90"/>
                <w:szCs w:val="21"/>
              </w:rPr>
            </w:pPr>
            <w:r>
              <w:rPr>
                <w:rFonts w:ascii="宋体" w:hAnsi="宋体"/>
                <w:b/>
                <w:color w:val="000000"/>
                <w:w w:val="90"/>
                <w:szCs w:val="21"/>
              </w:rPr>
              <w:t>A10030402纤维增强硅酸钙板</w:t>
            </w:r>
          </w:p>
        </w:tc>
        <w:tc>
          <w:tcPr>
            <w:tcW w:w="1855" w:type="dxa"/>
            <w:noWrap/>
            <w:vAlign w:val="center"/>
          </w:tcPr>
          <w:p w14:paraId="4EE00CB9">
            <w:pPr>
              <w:autoSpaceDE w:val="0"/>
              <w:autoSpaceDN w:val="0"/>
              <w:rPr>
                <w:rFonts w:hint="eastAsia" w:ascii="宋体" w:hAnsi="宋体"/>
                <w:b/>
                <w:color w:val="000000"/>
                <w:w w:val="90"/>
                <w:szCs w:val="21"/>
              </w:rPr>
            </w:pPr>
          </w:p>
        </w:tc>
        <w:tc>
          <w:tcPr>
            <w:tcW w:w="2736" w:type="dxa"/>
            <w:noWrap/>
            <w:vAlign w:val="center"/>
          </w:tcPr>
          <w:p w14:paraId="04550441">
            <w:pPr>
              <w:autoSpaceDE w:val="0"/>
              <w:autoSpaceDN w:val="0"/>
              <w:rPr>
                <w:rFonts w:hint="eastAsia" w:ascii="宋体" w:hAnsi="宋体"/>
                <w:b/>
                <w:color w:val="000000"/>
                <w:w w:val="90"/>
                <w:szCs w:val="21"/>
              </w:rPr>
            </w:pPr>
            <w:r>
              <w:rPr>
                <w:rFonts w:ascii="宋体" w:hAnsi="宋体"/>
                <w:b/>
                <w:color w:val="000000"/>
                <w:w w:val="90"/>
                <w:szCs w:val="21"/>
              </w:rPr>
              <w:t>HJ/T223轻质墙体板材</w:t>
            </w:r>
          </w:p>
        </w:tc>
      </w:tr>
      <w:tr w14:paraId="5DBF6F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ECB285A">
            <w:pPr>
              <w:autoSpaceDE w:val="0"/>
              <w:autoSpaceDN w:val="0"/>
              <w:jc w:val="center"/>
              <w:rPr>
                <w:rFonts w:hint="eastAsia" w:ascii="宋体" w:hAnsi="宋体"/>
                <w:b/>
                <w:color w:val="000000"/>
                <w:w w:val="90"/>
                <w:szCs w:val="21"/>
              </w:rPr>
            </w:pPr>
          </w:p>
        </w:tc>
        <w:tc>
          <w:tcPr>
            <w:tcW w:w="1985" w:type="dxa"/>
            <w:vMerge w:val="continue"/>
            <w:noWrap/>
            <w:vAlign w:val="center"/>
          </w:tcPr>
          <w:p w14:paraId="02D7F039">
            <w:pPr>
              <w:autoSpaceDE w:val="0"/>
              <w:autoSpaceDN w:val="0"/>
              <w:rPr>
                <w:rFonts w:hint="eastAsia" w:ascii="宋体" w:hAnsi="宋体"/>
                <w:b/>
                <w:color w:val="000000"/>
                <w:w w:val="90"/>
                <w:szCs w:val="21"/>
              </w:rPr>
            </w:pPr>
          </w:p>
        </w:tc>
        <w:tc>
          <w:tcPr>
            <w:tcW w:w="2268" w:type="dxa"/>
            <w:noWrap/>
            <w:vAlign w:val="center"/>
          </w:tcPr>
          <w:p w14:paraId="312760FF">
            <w:pPr>
              <w:autoSpaceDE w:val="0"/>
              <w:autoSpaceDN w:val="0"/>
              <w:rPr>
                <w:rFonts w:hint="eastAsia" w:ascii="宋体" w:hAnsi="宋体"/>
                <w:b/>
                <w:color w:val="000000"/>
                <w:w w:val="90"/>
                <w:szCs w:val="21"/>
              </w:rPr>
            </w:pPr>
            <w:r>
              <w:rPr>
                <w:rFonts w:ascii="宋体" w:hAnsi="宋体"/>
                <w:b/>
                <w:color w:val="000000"/>
                <w:w w:val="90"/>
                <w:szCs w:val="21"/>
              </w:rPr>
              <w:t>A10030403无石棉纤维水泥制品</w:t>
            </w:r>
          </w:p>
        </w:tc>
        <w:tc>
          <w:tcPr>
            <w:tcW w:w="1855" w:type="dxa"/>
            <w:noWrap/>
            <w:vAlign w:val="center"/>
          </w:tcPr>
          <w:p w14:paraId="4EC0E982">
            <w:pPr>
              <w:autoSpaceDE w:val="0"/>
              <w:autoSpaceDN w:val="0"/>
              <w:rPr>
                <w:rFonts w:hint="eastAsia" w:ascii="宋体" w:hAnsi="宋体"/>
                <w:b/>
                <w:color w:val="000000"/>
                <w:w w:val="90"/>
                <w:szCs w:val="21"/>
              </w:rPr>
            </w:pPr>
          </w:p>
        </w:tc>
        <w:tc>
          <w:tcPr>
            <w:tcW w:w="2736" w:type="dxa"/>
            <w:noWrap/>
            <w:vAlign w:val="center"/>
          </w:tcPr>
          <w:p w14:paraId="59CB0D05">
            <w:pPr>
              <w:autoSpaceDE w:val="0"/>
              <w:autoSpaceDN w:val="0"/>
              <w:rPr>
                <w:rFonts w:hint="eastAsia" w:ascii="宋体" w:hAnsi="宋体"/>
                <w:b/>
                <w:color w:val="000000"/>
                <w:w w:val="90"/>
                <w:szCs w:val="21"/>
              </w:rPr>
            </w:pPr>
            <w:r>
              <w:rPr>
                <w:rFonts w:ascii="宋体" w:hAnsi="宋体"/>
                <w:b/>
                <w:color w:val="000000"/>
                <w:w w:val="90"/>
                <w:szCs w:val="21"/>
              </w:rPr>
              <w:t>HJ/T223轻质墙体板材</w:t>
            </w:r>
          </w:p>
        </w:tc>
      </w:tr>
      <w:tr w14:paraId="4ABFD55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14171790">
            <w:pPr>
              <w:autoSpaceDE w:val="0"/>
              <w:autoSpaceDN w:val="0"/>
              <w:jc w:val="center"/>
              <w:rPr>
                <w:rFonts w:hint="eastAsia" w:ascii="宋体" w:hAnsi="宋体"/>
                <w:b/>
                <w:color w:val="000000"/>
                <w:w w:val="90"/>
                <w:szCs w:val="21"/>
              </w:rPr>
            </w:pPr>
            <w:r>
              <w:rPr>
                <w:rFonts w:ascii="宋体" w:hAnsi="宋体"/>
                <w:b/>
                <w:color w:val="000000"/>
                <w:w w:val="90"/>
                <w:szCs w:val="21"/>
              </w:rPr>
              <w:t>37</w:t>
            </w:r>
          </w:p>
        </w:tc>
        <w:tc>
          <w:tcPr>
            <w:tcW w:w="1985" w:type="dxa"/>
            <w:vMerge w:val="restart"/>
            <w:noWrap/>
            <w:vAlign w:val="center"/>
          </w:tcPr>
          <w:p w14:paraId="54EFA93B">
            <w:pPr>
              <w:autoSpaceDE w:val="0"/>
              <w:autoSpaceDN w:val="0"/>
              <w:rPr>
                <w:rFonts w:hint="eastAsia" w:ascii="宋体" w:hAnsi="宋体"/>
                <w:b/>
                <w:color w:val="000000"/>
                <w:w w:val="90"/>
                <w:szCs w:val="21"/>
              </w:rPr>
            </w:pPr>
            <w:r>
              <w:rPr>
                <w:rFonts w:ascii="宋体" w:hAnsi="宋体"/>
                <w:b/>
                <w:color w:val="000000"/>
                <w:w w:val="90"/>
                <w:szCs w:val="21"/>
              </w:rPr>
              <w:t>A100305轻质建筑材料及制品</w:t>
            </w:r>
          </w:p>
        </w:tc>
        <w:tc>
          <w:tcPr>
            <w:tcW w:w="2268" w:type="dxa"/>
            <w:noWrap/>
            <w:vAlign w:val="center"/>
          </w:tcPr>
          <w:p w14:paraId="093C25F0">
            <w:pPr>
              <w:autoSpaceDE w:val="0"/>
              <w:autoSpaceDN w:val="0"/>
              <w:rPr>
                <w:rFonts w:hint="eastAsia" w:ascii="宋体" w:hAnsi="宋体"/>
                <w:b/>
                <w:color w:val="000000"/>
                <w:w w:val="90"/>
                <w:szCs w:val="21"/>
              </w:rPr>
            </w:pPr>
            <w:r>
              <w:rPr>
                <w:rFonts w:ascii="宋体" w:hAnsi="宋体"/>
                <w:b/>
                <w:color w:val="000000"/>
                <w:w w:val="90"/>
                <w:szCs w:val="21"/>
              </w:rPr>
              <w:t>A10030501石膏板</w:t>
            </w:r>
          </w:p>
        </w:tc>
        <w:tc>
          <w:tcPr>
            <w:tcW w:w="1855" w:type="dxa"/>
            <w:noWrap/>
            <w:vAlign w:val="center"/>
          </w:tcPr>
          <w:p w14:paraId="63881212">
            <w:pPr>
              <w:autoSpaceDE w:val="0"/>
              <w:autoSpaceDN w:val="0"/>
              <w:rPr>
                <w:rFonts w:hint="eastAsia" w:ascii="宋体" w:hAnsi="宋体"/>
                <w:b/>
                <w:color w:val="000000"/>
                <w:w w:val="90"/>
                <w:szCs w:val="21"/>
              </w:rPr>
            </w:pPr>
          </w:p>
        </w:tc>
        <w:tc>
          <w:tcPr>
            <w:tcW w:w="2736" w:type="dxa"/>
            <w:noWrap/>
            <w:vAlign w:val="center"/>
          </w:tcPr>
          <w:p w14:paraId="762A2AFB">
            <w:pPr>
              <w:autoSpaceDE w:val="0"/>
              <w:autoSpaceDN w:val="0"/>
              <w:rPr>
                <w:rFonts w:hint="eastAsia" w:ascii="宋体" w:hAnsi="宋体"/>
                <w:b/>
                <w:color w:val="000000"/>
                <w:w w:val="90"/>
                <w:szCs w:val="21"/>
              </w:rPr>
            </w:pPr>
            <w:r>
              <w:rPr>
                <w:rFonts w:ascii="宋体" w:hAnsi="宋体"/>
                <w:b/>
                <w:color w:val="000000"/>
                <w:w w:val="90"/>
                <w:szCs w:val="21"/>
              </w:rPr>
              <w:t>HJ/T223轻质墙体板材</w:t>
            </w:r>
          </w:p>
        </w:tc>
      </w:tr>
      <w:tr w14:paraId="2C08F7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3C687C0B">
            <w:pPr>
              <w:autoSpaceDE w:val="0"/>
              <w:autoSpaceDN w:val="0"/>
              <w:jc w:val="center"/>
              <w:rPr>
                <w:rFonts w:hint="eastAsia" w:ascii="宋体" w:hAnsi="宋体"/>
                <w:b/>
                <w:color w:val="000000"/>
                <w:w w:val="90"/>
                <w:szCs w:val="21"/>
              </w:rPr>
            </w:pPr>
          </w:p>
        </w:tc>
        <w:tc>
          <w:tcPr>
            <w:tcW w:w="1985" w:type="dxa"/>
            <w:vMerge w:val="continue"/>
            <w:noWrap/>
            <w:vAlign w:val="center"/>
          </w:tcPr>
          <w:p w14:paraId="0F6B7B21">
            <w:pPr>
              <w:autoSpaceDE w:val="0"/>
              <w:autoSpaceDN w:val="0"/>
              <w:rPr>
                <w:rFonts w:hint="eastAsia" w:ascii="宋体" w:hAnsi="宋体"/>
                <w:b/>
                <w:color w:val="000000"/>
                <w:w w:val="90"/>
                <w:szCs w:val="21"/>
              </w:rPr>
            </w:pPr>
          </w:p>
        </w:tc>
        <w:tc>
          <w:tcPr>
            <w:tcW w:w="2268" w:type="dxa"/>
            <w:noWrap/>
            <w:vAlign w:val="center"/>
          </w:tcPr>
          <w:p w14:paraId="295F5F41">
            <w:pPr>
              <w:autoSpaceDE w:val="0"/>
              <w:autoSpaceDN w:val="0"/>
              <w:rPr>
                <w:rFonts w:hint="eastAsia" w:ascii="宋体" w:hAnsi="宋体"/>
                <w:b/>
                <w:color w:val="000000"/>
                <w:w w:val="90"/>
                <w:szCs w:val="21"/>
              </w:rPr>
            </w:pPr>
            <w:r>
              <w:rPr>
                <w:rFonts w:ascii="宋体" w:hAnsi="宋体"/>
                <w:b/>
                <w:color w:val="000000"/>
                <w:w w:val="90"/>
                <w:szCs w:val="21"/>
              </w:rPr>
              <w:t>A10030503轻质隔墙条板</w:t>
            </w:r>
          </w:p>
        </w:tc>
        <w:tc>
          <w:tcPr>
            <w:tcW w:w="1855" w:type="dxa"/>
            <w:noWrap/>
            <w:vAlign w:val="center"/>
          </w:tcPr>
          <w:p w14:paraId="4AD61847">
            <w:pPr>
              <w:autoSpaceDE w:val="0"/>
              <w:autoSpaceDN w:val="0"/>
              <w:rPr>
                <w:rFonts w:hint="eastAsia" w:ascii="宋体" w:hAnsi="宋体"/>
                <w:b/>
                <w:color w:val="000000"/>
                <w:w w:val="90"/>
                <w:szCs w:val="21"/>
              </w:rPr>
            </w:pPr>
          </w:p>
        </w:tc>
        <w:tc>
          <w:tcPr>
            <w:tcW w:w="2736" w:type="dxa"/>
            <w:noWrap/>
            <w:vAlign w:val="center"/>
          </w:tcPr>
          <w:p w14:paraId="126E4991">
            <w:pPr>
              <w:autoSpaceDE w:val="0"/>
              <w:autoSpaceDN w:val="0"/>
              <w:rPr>
                <w:rFonts w:hint="eastAsia" w:ascii="宋体" w:hAnsi="宋体"/>
                <w:b/>
                <w:color w:val="000000"/>
                <w:w w:val="90"/>
                <w:szCs w:val="21"/>
              </w:rPr>
            </w:pPr>
            <w:r>
              <w:rPr>
                <w:rFonts w:ascii="宋体" w:hAnsi="宋体"/>
                <w:b/>
                <w:color w:val="000000"/>
                <w:w w:val="90"/>
                <w:szCs w:val="21"/>
              </w:rPr>
              <w:t>HJ/T223轻质墙体板材</w:t>
            </w:r>
          </w:p>
        </w:tc>
      </w:tr>
      <w:tr w14:paraId="2769DF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6EFD49FC">
            <w:pPr>
              <w:autoSpaceDE w:val="0"/>
              <w:autoSpaceDN w:val="0"/>
              <w:jc w:val="center"/>
              <w:rPr>
                <w:rFonts w:hint="eastAsia" w:ascii="宋体" w:hAnsi="宋体"/>
                <w:b/>
                <w:color w:val="000000"/>
                <w:w w:val="90"/>
                <w:szCs w:val="21"/>
              </w:rPr>
            </w:pPr>
            <w:r>
              <w:rPr>
                <w:rFonts w:ascii="宋体" w:hAnsi="宋体"/>
                <w:b/>
                <w:color w:val="000000"/>
                <w:w w:val="90"/>
                <w:szCs w:val="21"/>
              </w:rPr>
              <w:t>38</w:t>
            </w:r>
          </w:p>
        </w:tc>
        <w:tc>
          <w:tcPr>
            <w:tcW w:w="1985" w:type="dxa"/>
            <w:vMerge w:val="restart"/>
            <w:noWrap/>
            <w:vAlign w:val="center"/>
          </w:tcPr>
          <w:p w14:paraId="060C2DB4">
            <w:pPr>
              <w:autoSpaceDE w:val="0"/>
              <w:autoSpaceDN w:val="0"/>
              <w:rPr>
                <w:rFonts w:hint="eastAsia" w:ascii="宋体" w:hAnsi="宋体"/>
                <w:b/>
                <w:color w:val="000000"/>
                <w:w w:val="90"/>
                <w:szCs w:val="21"/>
              </w:rPr>
            </w:pPr>
            <w:r>
              <w:rPr>
                <w:rFonts w:ascii="宋体" w:hAnsi="宋体"/>
                <w:b/>
                <w:color w:val="000000"/>
                <w:w w:val="90"/>
                <w:szCs w:val="21"/>
              </w:rPr>
              <w:t>A100307建筑陶瓷制品</w:t>
            </w:r>
          </w:p>
        </w:tc>
        <w:tc>
          <w:tcPr>
            <w:tcW w:w="2268" w:type="dxa"/>
            <w:noWrap/>
            <w:vAlign w:val="center"/>
          </w:tcPr>
          <w:p w14:paraId="1C420E43">
            <w:pPr>
              <w:autoSpaceDE w:val="0"/>
              <w:autoSpaceDN w:val="0"/>
              <w:rPr>
                <w:rFonts w:hint="eastAsia" w:ascii="宋体" w:hAnsi="宋体"/>
                <w:b/>
                <w:color w:val="000000"/>
                <w:w w:val="90"/>
                <w:szCs w:val="21"/>
              </w:rPr>
            </w:pPr>
            <w:r>
              <w:rPr>
                <w:rFonts w:ascii="宋体" w:hAnsi="宋体"/>
                <w:b/>
                <w:color w:val="000000"/>
                <w:w w:val="90"/>
                <w:szCs w:val="21"/>
              </w:rPr>
              <w:t>A10030701瓷质砖</w:t>
            </w:r>
          </w:p>
        </w:tc>
        <w:tc>
          <w:tcPr>
            <w:tcW w:w="1855" w:type="dxa"/>
            <w:noWrap/>
            <w:vAlign w:val="center"/>
          </w:tcPr>
          <w:p w14:paraId="2D29D8D6">
            <w:pPr>
              <w:autoSpaceDE w:val="0"/>
              <w:autoSpaceDN w:val="0"/>
              <w:rPr>
                <w:rFonts w:hint="eastAsia" w:ascii="宋体" w:hAnsi="宋体"/>
                <w:b/>
                <w:color w:val="000000"/>
                <w:w w:val="90"/>
                <w:szCs w:val="21"/>
              </w:rPr>
            </w:pPr>
          </w:p>
        </w:tc>
        <w:tc>
          <w:tcPr>
            <w:tcW w:w="2736" w:type="dxa"/>
            <w:noWrap/>
            <w:vAlign w:val="center"/>
          </w:tcPr>
          <w:p w14:paraId="397061EF">
            <w:pPr>
              <w:autoSpaceDE w:val="0"/>
              <w:autoSpaceDN w:val="0"/>
              <w:rPr>
                <w:rFonts w:hint="eastAsia" w:ascii="宋体" w:hAnsi="宋体"/>
                <w:b/>
                <w:color w:val="000000"/>
                <w:w w:val="90"/>
                <w:szCs w:val="21"/>
              </w:rPr>
            </w:pPr>
            <w:r>
              <w:rPr>
                <w:rFonts w:ascii="宋体" w:hAnsi="宋体"/>
                <w:b/>
                <w:color w:val="000000"/>
                <w:w w:val="90"/>
                <w:szCs w:val="21"/>
              </w:rPr>
              <w:t>HJ/T297陶瓷砖</w:t>
            </w:r>
          </w:p>
        </w:tc>
      </w:tr>
      <w:tr w14:paraId="730A77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3B5A445">
            <w:pPr>
              <w:autoSpaceDE w:val="0"/>
              <w:autoSpaceDN w:val="0"/>
              <w:jc w:val="center"/>
              <w:rPr>
                <w:rFonts w:hint="eastAsia" w:ascii="宋体" w:hAnsi="宋体"/>
                <w:b/>
                <w:color w:val="000000"/>
                <w:w w:val="90"/>
                <w:szCs w:val="21"/>
              </w:rPr>
            </w:pPr>
          </w:p>
        </w:tc>
        <w:tc>
          <w:tcPr>
            <w:tcW w:w="1985" w:type="dxa"/>
            <w:vMerge w:val="continue"/>
            <w:noWrap/>
            <w:vAlign w:val="center"/>
          </w:tcPr>
          <w:p w14:paraId="0A6BB10E">
            <w:pPr>
              <w:autoSpaceDE w:val="0"/>
              <w:autoSpaceDN w:val="0"/>
              <w:rPr>
                <w:rFonts w:hint="eastAsia" w:ascii="宋体" w:hAnsi="宋体"/>
                <w:b/>
                <w:color w:val="000000"/>
                <w:w w:val="90"/>
                <w:szCs w:val="21"/>
              </w:rPr>
            </w:pPr>
          </w:p>
        </w:tc>
        <w:tc>
          <w:tcPr>
            <w:tcW w:w="2268" w:type="dxa"/>
            <w:noWrap/>
            <w:vAlign w:val="center"/>
          </w:tcPr>
          <w:p w14:paraId="60740C39">
            <w:pPr>
              <w:autoSpaceDE w:val="0"/>
              <w:autoSpaceDN w:val="0"/>
              <w:rPr>
                <w:rFonts w:hint="eastAsia" w:ascii="宋体" w:hAnsi="宋体"/>
                <w:b/>
                <w:color w:val="000000"/>
                <w:w w:val="90"/>
                <w:szCs w:val="21"/>
              </w:rPr>
            </w:pPr>
            <w:r>
              <w:rPr>
                <w:rFonts w:ascii="宋体" w:hAnsi="宋体"/>
                <w:b/>
                <w:color w:val="000000"/>
                <w:w w:val="90"/>
                <w:szCs w:val="21"/>
              </w:rPr>
              <w:t>A10030704炻质砖</w:t>
            </w:r>
          </w:p>
        </w:tc>
        <w:tc>
          <w:tcPr>
            <w:tcW w:w="1855" w:type="dxa"/>
            <w:noWrap/>
            <w:vAlign w:val="center"/>
          </w:tcPr>
          <w:p w14:paraId="5F05D201">
            <w:pPr>
              <w:autoSpaceDE w:val="0"/>
              <w:autoSpaceDN w:val="0"/>
              <w:rPr>
                <w:rFonts w:hint="eastAsia" w:ascii="宋体" w:hAnsi="宋体"/>
                <w:b/>
                <w:color w:val="000000"/>
                <w:w w:val="90"/>
                <w:szCs w:val="21"/>
              </w:rPr>
            </w:pPr>
          </w:p>
        </w:tc>
        <w:tc>
          <w:tcPr>
            <w:tcW w:w="2736" w:type="dxa"/>
            <w:noWrap/>
            <w:vAlign w:val="center"/>
          </w:tcPr>
          <w:p w14:paraId="7D564E65">
            <w:pPr>
              <w:autoSpaceDE w:val="0"/>
              <w:autoSpaceDN w:val="0"/>
              <w:rPr>
                <w:rFonts w:hint="eastAsia" w:ascii="宋体" w:hAnsi="宋体"/>
                <w:b/>
                <w:color w:val="000000"/>
                <w:w w:val="90"/>
                <w:szCs w:val="21"/>
              </w:rPr>
            </w:pPr>
            <w:r>
              <w:rPr>
                <w:rFonts w:ascii="宋体" w:hAnsi="宋体"/>
                <w:b/>
                <w:color w:val="000000"/>
                <w:w w:val="90"/>
                <w:szCs w:val="21"/>
              </w:rPr>
              <w:t>HJ/T297陶瓷砖</w:t>
            </w:r>
          </w:p>
        </w:tc>
      </w:tr>
      <w:tr w14:paraId="3711D0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73905DBA">
            <w:pPr>
              <w:autoSpaceDE w:val="0"/>
              <w:autoSpaceDN w:val="0"/>
              <w:jc w:val="center"/>
              <w:rPr>
                <w:rFonts w:hint="eastAsia" w:ascii="宋体" w:hAnsi="宋体"/>
                <w:b/>
                <w:color w:val="000000"/>
                <w:w w:val="90"/>
                <w:szCs w:val="21"/>
              </w:rPr>
            </w:pPr>
          </w:p>
        </w:tc>
        <w:tc>
          <w:tcPr>
            <w:tcW w:w="1985" w:type="dxa"/>
            <w:vMerge w:val="continue"/>
            <w:noWrap/>
            <w:vAlign w:val="center"/>
          </w:tcPr>
          <w:p w14:paraId="046899CA">
            <w:pPr>
              <w:autoSpaceDE w:val="0"/>
              <w:autoSpaceDN w:val="0"/>
              <w:rPr>
                <w:rFonts w:hint="eastAsia" w:ascii="宋体" w:hAnsi="宋体"/>
                <w:b/>
                <w:color w:val="000000"/>
                <w:w w:val="90"/>
                <w:szCs w:val="21"/>
              </w:rPr>
            </w:pPr>
          </w:p>
        </w:tc>
        <w:tc>
          <w:tcPr>
            <w:tcW w:w="2268" w:type="dxa"/>
            <w:noWrap/>
            <w:vAlign w:val="center"/>
          </w:tcPr>
          <w:p w14:paraId="3BE09F8B">
            <w:pPr>
              <w:autoSpaceDE w:val="0"/>
              <w:autoSpaceDN w:val="0"/>
              <w:rPr>
                <w:rFonts w:hint="eastAsia" w:ascii="宋体" w:hAnsi="宋体"/>
                <w:b/>
                <w:color w:val="000000"/>
                <w:w w:val="90"/>
                <w:szCs w:val="21"/>
              </w:rPr>
            </w:pPr>
            <w:r>
              <w:rPr>
                <w:rFonts w:ascii="宋体" w:hAnsi="宋体"/>
                <w:b/>
                <w:color w:val="000000"/>
                <w:w w:val="90"/>
                <w:szCs w:val="21"/>
              </w:rPr>
              <w:t>A10030705陶质砖</w:t>
            </w:r>
          </w:p>
        </w:tc>
        <w:tc>
          <w:tcPr>
            <w:tcW w:w="1855" w:type="dxa"/>
            <w:noWrap/>
            <w:vAlign w:val="center"/>
          </w:tcPr>
          <w:p w14:paraId="33556413">
            <w:pPr>
              <w:autoSpaceDE w:val="0"/>
              <w:autoSpaceDN w:val="0"/>
              <w:rPr>
                <w:rFonts w:hint="eastAsia" w:ascii="宋体" w:hAnsi="宋体"/>
                <w:b/>
                <w:color w:val="000000"/>
                <w:w w:val="90"/>
                <w:szCs w:val="21"/>
              </w:rPr>
            </w:pPr>
          </w:p>
        </w:tc>
        <w:tc>
          <w:tcPr>
            <w:tcW w:w="2736" w:type="dxa"/>
            <w:noWrap/>
            <w:vAlign w:val="center"/>
          </w:tcPr>
          <w:p w14:paraId="6DECF8CD">
            <w:pPr>
              <w:autoSpaceDE w:val="0"/>
              <w:autoSpaceDN w:val="0"/>
              <w:rPr>
                <w:rFonts w:hint="eastAsia" w:ascii="宋体" w:hAnsi="宋体"/>
                <w:b/>
                <w:color w:val="000000"/>
                <w:w w:val="90"/>
                <w:szCs w:val="21"/>
              </w:rPr>
            </w:pPr>
            <w:r>
              <w:rPr>
                <w:rFonts w:ascii="宋体" w:hAnsi="宋体"/>
                <w:b/>
                <w:color w:val="000000"/>
                <w:w w:val="90"/>
                <w:szCs w:val="21"/>
              </w:rPr>
              <w:t>HJ/T297陶瓷砖</w:t>
            </w:r>
          </w:p>
        </w:tc>
      </w:tr>
      <w:tr w14:paraId="4712B95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41822E64">
            <w:pPr>
              <w:autoSpaceDE w:val="0"/>
              <w:autoSpaceDN w:val="0"/>
              <w:jc w:val="center"/>
              <w:rPr>
                <w:rFonts w:hint="eastAsia" w:ascii="宋体" w:hAnsi="宋体"/>
                <w:b/>
                <w:color w:val="000000"/>
                <w:w w:val="90"/>
                <w:szCs w:val="21"/>
              </w:rPr>
            </w:pPr>
          </w:p>
        </w:tc>
        <w:tc>
          <w:tcPr>
            <w:tcW w:w="1985" w:type="dxa"/>
            <w:vMerge w:val="continue"/>
            <w:noWrap/>
            <w:vAlign w:val="center"/>
          </w:tcPr>
          <w:p w14:paraId="3A3A8799">
            <w:pPr>
              <w:autoSpaceDE w:val="0"/>
              <w:autoSpaceDN w:val="0"/>
              <w:rPr>
                <w:rFonts w:hint="eastAsia" w:ascii="宋体" w:hAnsi="宋体"/>
                <w:b/>
                <w:color w:val="000000"/>
                <w:w w:val="90"/>
                <w:szCs w:val="21"/>
              </w:rPr>
            </w:pPr>
          </w:p>
        </w:tc>
        <w:tc>
          <w:tcPr>
            <w:tcW w:w="2268" w:type="dxa"/>
            <w:noWrap/>
            <w:vAlign w:val="center"/>
          </w:tcPr>
          <w:p w14:paraId="7270C72E">
            <w:pPr>
              <w:autoSpaceDE w:val="0"/>
              <w:autoSpaceDN w:val="0"/>
              <w:rPr>
                <w:rFonts w:hint="eastAsia" w:ascii="宋体" w:hAnsi="宋体"/>
                <w:b/>
                <w:color w:val="000000"/>
                <w:w w:val="90"/>
                <w:szCs w:val="21"/>
              </w:rPr>
            </w:pPr>
            <w:r>
              <w:rPr>
                <w:rFonts w:ascii="宋体" w:hAnsi="宋体"/>
                <w:b/>
                <w:color w:val="000000"/>
                <w:w w:val="90"/>
                <w:szCs w:val="21"/>
              </w:rPr>
              <w:t>A10030799其他建筑陶瓷制品</w:t>
            </w:r>
          </w:p>
        </w:tc>
        <w:tc>
          <w:tcPr>
            <w:tcW w:w="1855" w:type="dxa"/>
            <w:noWrap/>
            <w:vAlign w:val="center"/>
          </w:tcPr>
          <w:p w14:paraId="6B961E4E">
            <w:pPr>
              <w:autoSpaceDE w:val="0"/>
              <w:autoSpaceDN w:val="0"/>
              <w:rPr>
                <w:rFonts w:hint="eastAsia" w:ascii="宋体" w:hAnsi="宋体"/>
                <w:b/>
                <w:color w:val="000000"/>
                <w:w w:val="90"/>
                <w:szCs w:val="21"/>
              </w:rPr>
            </w:pPr>
          </w:p>
        </w:tc>
        <w:tc>
          <w:tcPr>
            <w:tcW w:w="2736" w:type="dxa"/>
            <w:noWrap/>
            <w:vAlign w:val="center"/>
          </w:tcPr>
          <w:p w14:paraId="79157411">
            <w:pPr>
              <w:autoSpaceDE w:val="0"/>
              <w:autoSpaceDN w:val="0"/>
              <w:rPr>
                <w:rFonts w:hint="eastAsia" w:ascii="宋体" w:hAnsi="宋体"/>
                <w:b/>
                <w:color w:val="000000"/>
                <w:w w:val="90"/>
                <w:szCs w:val="21"/>
              </w:rPr>
            </w:pPr>
            <w:r>
              <w:rPr>
                <w:rFonts w:ascii="宋体" w:hAnsi="宋体"/>
                <w:b/>
                <w:color w:val="000000"/>
                <w:w w:val="90"/>
                <w:szCs w:val="21"/>
              </w:rPr>
              <w:t>HJ/T297陶瓷砖</w:t>
            </w:r>
          </w:p>
        </w:tc>
      </w:tr>
      <w:tr w14:paraId="347A67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345E3B78">
            <w:pPr>
              <w:autoSpaceDE w:val="0"/>
              <w:autoSpaceDN w:val="0"/>
              <w:jc w:val="center"/>
              <w:rPr>
                <w:rFonts w:hint="eastAsia" w:ascii="宋体" w:hAnsi="宋体"/>
                <w:b/>
                <w:color w:val="000000"/>
                <w:w w:val="90"/>
                <w:szCs w:val="21"/>
              </w:rPr>
            </w:pPr>
            <w:r>
              <w:rPr>
                <w:rFonts w:ascii="宋体" w:hAnsi="宋体"/>
                <w:b/>
                <w:color w:val="000000"/>
                <w:w w:val="90"/>
                <w:szCs w:val="21"/>
              </w:rPr>
              <w:t>39</w:t>
            </w:r>
          </w:p>
        </w:tc>
        <w:tc>
          <w:tcPr>
            <w:tcW w:w="1985" w:type="dxa"/>
            <w:vMerge w:val="restart"/>
            <w:noWrap/>
            <w:vAlign w:val="center"/>
          </w:tcPr>
          <w:p w14:paraId="1E1C28C9">
            <w:pPr>
              <w:autoSpaceDE w:val="0"/>
              <w:autoSpaceDN w:val="0"/>
              <w:rPr>
                <w:rFonts w:hint="eastAsia" w:ascii="宋体" w:hAnsi="宋体"/>
                <w:b/>
                <w:color w:val="000000"/>
                <w:w w:val="90"/>
                <w:szCs w:val="21"/>
              </w:rPr>
            </w:pPr>
            <w:r>
              <w:rPr>
                <w:rFonts w:ascii="宋体" w:hAnsi="宋体"/>
                <w:b/>
                <w:color w:val="000000"/>
                <w:w w:val="90"/>
                <w:szCs w:val="21"/>
              </w:rPr>
              <w:t>A100309建筑防水卷材及制品</w:t>
            </w:r>
          </w:p>
        </w:tc>
        <w:tc>
          <w:tcPr>
            <w:tcW w:w="2268" w:type="dxa"/>
            <w:noWrap/>
            <w:vAlign w:val="center"/>
          </w:tcPr>
          <w:p w14:paraId="395577B8">
            <w:pPr>
              <w:autoSpaceDE w:val="0"/>
              <w:autoSpaceDN w:val="0"/>
              <w:rPr>
                <w:rFonts w:hint="eastAsia" w:ascii="宋体" w:hAnsi="宋体"/>
                <w:b/>
                <w:color w:val="000000"/>
                <w:w w:val="90"/>
                <w:szCs w:val="21"/>
              </w:rPr>
            </w:pPr>
            <w:r>
              <w:rPr>
                <w:rFonts w:ascii="宋体" w:hAnsi="宋体"/>
                <w:b/>
                <w:color w:val="000000"/>
                <w:w w:val="90"/>
                <w:szCs w:val="21"/>
              </w:rPr>
              <w:t>A10030901沥青和改性沥青防水卷材</w:t>
            </w:r>
          </w:p>
        </w:tc>
        <w:tc>
          <w:tcPr>
            <w:tcW w:w="1855" w:type="dxa"/>
            <w:noWrap/>
            <w:vAlign w:val="center"/>
          </w:tcPr>
          <w:p w14:paraId="1EDE9960">
            <w:pPr>
              <w:autoSpaceDE w:val="0"/>
              <w:autoSpaceDN w:val="0"/>
              <w:rPr>
                <w:rFonts w:hint="eastAsia" w:ascii="宋体" w:hAnsi="宋体"/>
                <w:b/>
                <w:color w:val="000000"/>
                <w:w w:val="90"/>
                <w:szCs w:val="21"/>
              </w:rPr>
            </w:pPr>
          </w:p>
        </w:tc>
        <w:tc>
          <w:tcPr>
            <w:tcW w:w="2736" w:type="dxa"/>
            <w:noWrap/>
            <w:vAlign w:val="center"/>
          </w:tcPr>
          <w:p w14:paraId="5CAEAEF2">
            <w:pPr>
              <w:autoSpaceDE w:val="0"/>
              <w:autoSpaceDN w:val="0"/>
              <w:rPr>
                <w:rFonts w:hint="eastAsia" w:ascii="宋体" w:hAnsi="宋体"/>
                <w:b/>
                <w:color w:val="000000"/>
                <w:w w:val="90"/>
                <w:szCs w:val="21"/>
              </w:rPr>
            </w:pPr>
            <w:r>
              <w:rPr>
                <w:rFonts w:ascii="宋体" w:hAnsi="宋体"/>
                <w:b/>
                <w:color w:val="000000"/>
                <w:w w:val="90"/>
                <w:szCs w:val="21"/>
              </w:rPr>
              <w:t>HJ455防水卷材</w:t>
            </w:r>
          </w:p>
        </w:tc>
      </w:tr>
      <w:tr w14:paraId="05156E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56D4634A">
            <w:pPr>
              <w:autoSpaceDE w:val="0"/>
              <w:autoSpaceDN w:val="0"/>
              <w:jc w:val="center"/>
              <w:rPr>
                <w:rFonts w:hint="eastAsia" w:ascii="宋体" w:hAnsi="宋体"/>
                <w:b/>
                <w:color w:val="000000"/>
                <w:w w:val="90"/>
                <w:szCs w:val="21"/>
              </w:rPr>
            </w:pPr>
          </w:p>
        </w:tc>
        <w:tc>
          <w:tcPr>
            <w:tcW w:w="1985" w:type="dxa"/>
            <w:vMerge w:val="continue"/>
            <w:noWrap/>
            <w:vAlign w:val="center"/>
          </w:tcPr>
          <w:p w14:paraId="2CF1EE18">
            <w:pPr>
              <w:autoSpaceDE w:val="0"/>
              <w:autoSpaceDN w:val="0"/>
              <w:rPr>
                <w:rFonts w:hint="eastAsia" w:ascii="宋体" w:hAnsi="宋体"/>
                <w:b/>
                <w:color w:val="000000"/>
                <w:w w:val="90"/>
                <w:szCs w:val="21"/>
              </w:rPr>
            </w:pPr>
          </w:p>
        </w:tc>
        <w:tc>
          <w:tcPr>
            <w:tcW w:w="2268" w:type="dxa"/>
            <w:noWrap/>
            <w:vAlign w:val="center"/>
          </w:tcPr>
          <w:p w14:paraId="5847CAE3">
            <w:pPr>
              <w:autoSpaceDE w:val="0"/>
              <w:autoSpaceDN w:val="0"/>
              <w:rPr>
                <w:rFonts w:hint="eastAsia" w:ascii="宋体" w:hAnsi="宋体"/>
                <w:b/>
                <w:color w:val="000000"/>
                <w:w w:val="90"/>
                <w:szCs w:val="21"/>
              </w:rPr>
            </w:pPr>
            <w:r>
              <w:rPr>
                <w:rFonts w:ascii="宋体" w:hAnsi="宋体"/>
                <w:b/>
                <w:color w:val="000000"/>
                <w:w w:val="90"/>
                <w:szCs w:val="21"/>
              </w:rPr>
              <w:t>A10030903自粘防水卷材</w:t>
            </w:r>
          </w:p>
        </w:tc>
        <w:tc>
          <w:tcPr>
            <w:tcW w:w="1855" w:type="dxa"/>
            <w:noWrap/>
            <w:vAlign w:val="center"/>
          </w:tcPr>
          <w:p w14:paraId="553F3AD5">
            <w:pPr>
              <w:autoSpaceDE w:val="0"/>
              <w:autoSpaceDN w:val="0"/>
              <w:rPr>
                <w:rFonts w:hint="eastAsia" w:ascii="宋体" w:hAnsi="宋体"/>
                <w:b/>
                <w:color w:val="000000"/>
                <w:w w:val="90"/>
                <w:szCs w:val="21"/>
              </w:rPr>
            </w:pPr>
          </w:p>
        </w:tc>
        <w:tc>
          <w:tcPr>
            <w:tcW w:w="2736" w:type="dxa"/>
            <w:noWrap/>
            <w:vAlign w:val="center"/>
          </w:tcPr>
          <w:p w14:paraId="75C0EB72">
            <w:pPr>
              <w:autoSpaceDE w:val="0"/>
              <w:autoSpaceDN w:val="0"/>
              <w:rPr>
                <w:rFonts w:hint="eastAsia" w:ascii="宋体" w:hAnsi="宋体"/>
                <w:b/>
                <w:color w:val="000000"/>
                <w:w w:val="90"/>
                <w:szCs w:val="21"/>
              </w:rPr>
            </w:pPr>
            <w:r>
              <w:rPr>
                <w:rFonts w:ascii="宋体" w:hAnsi="宋体"/>
                <w:b/>
                <w:color w:val="000000"/>
                <w:w w:val="90"/>
                <w:szCs w:val="21"/>
              </w:rPr>
              <w:t>HJ455防水卷材</w:t>
            </w:r>
          </w:p>
        </w:tc>
      </w:tr>
      <w:tr w14:paraId="43B47E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222D8E53">
            <w:pPr>
              <w:autoSpaceDE w:val="0"/>
              <w:autoSpaceDN w:val="0"/>
              <w:jc w:val="center"/>
              <w:rPr>
                <w:rFonts w:hint="eastAsia" w:ascii="宋体" w:hAnsi="宋体"/>
                <w:b/>
                <w:color w:val="000000"/>
                <w:w w:val="90"/>
                <w:szCs w:val="21"/>
              </w:rPr>
            </w:pPr>
          </w:p>
        </w:tc>
        <w:tc>
          <w:tcPr>
            <w:tcW w:w="1985" w:type="dxa"/>
            <w:vMerge w:val="continue"/>
            <w:noWrap/>
            <w:vAlign w:val="center"/>
          </w:tcPr>
          <w:p w14:paraId="48B9C671">
            <w:pPr>
              <w:autoSpaceDE w:val="0"/>
              <w:autoSpaceDN w:val="0"/>
              <w:rPr>
                <w:rFonts w:hint="eastAsia" w:ascii="宋体" w:hAnsi="宋体"/>
                <w:b/>
                <w:color w:val="000000"/>
                <w:w w:val="90"/>
                <w:szCs w:val="21"/>
              </w:rPr>
            </w:pPr>
          </w:p>
        </w:tc>
        <w:tc>
          <w:tcPr>
            <w:tcW w:w="2268" w:type="dxa"/>
            <w:noWrap/>
            <w:vAlign w:val="center"/>
          </w:tcPr>
          <w:p w14:paraId="19FEB10C">
            <w:pPr>
              <w:autoSpaceDE w:val="0"/>
              <w:autoSpaceDN w:val="0"/>
              <w:rPr>
                <w:rFonts w:hint="eastAsia" w:ascii="宋体" w:hAnsi="宋体"/>
                <w:b/>
                <w:color w:val="000000"/>
                <w:w w:val="90"/>
                <w:szCs w:val="21"/>
              </w:rPr>
            </w:pPr>
            <w:r>
              <w:rPr>
                <w:rFonts w:ascii="宋体" w:hAnsi="宋体"/>
                <w:b/>
                <w:color w:val="000000"/>
                <w:w w:val="90"/>
                <w:szCs w:val="21"/>
              </w:rPr>
              <w:t>A10030906 高分子防水卷（片）材</w:t>
            </w:r>
          </w:p>
        </w:tc>
        <w:tc>
          <w:tcPr>
            <w:tcW w:w="1855" w:type="dxa"/>
            <w:noWrap/>
            <w:vAlign w:val="center"/>
          </w:tcPr>
          <w:p w14:paraId="5ADAE496">
            <w:pPr>
              <w:autoSpaceDE w:val="0"/>
              <w:autoSpaceDN w:val="0"/>
              <w:rPr>
                <w:rFonts w:hint="eastAsia" w:ascii="宋体" w:hAnsi="宋体"/>
                <w:b/>
                <w:color w:val="000000"/>
                <w:w w:val="90"/>
                <w:szCs w:val="21"/>
              </w:rPr>
            </w:pPr>
          </w:p>
        </w:tc>
        <w:tc>
          <w:tcPr>
            <w:tcW w:w="2736" w:type="dxa"/>
            <w:noWrap/>
            <w:vAlign w:val="center"/>
          </w:tcPr>
          <w:p w14:paraId="1A80366C">
            <w:pPr>
              <w:autoSpaceDE w:val="0"/>
              <w:autoSpaceDN w:val="0"/>
              <w:rPr>
                <w:rFonts w:hint="eastAsia" w:ascii="宋体" w:hAnsi="宋体"/>
                <w:b/>
                <w:color w:val="000000"/>
                <w:w w:val="90"/>
                <w:szCs w:val="21"/>
              </w:rPr>
            </w:pPr>
            <w:r>
              <w:rPr>
                <w:rFonts w:ascii="宋体" w:hAnsi="宋体"/>
                <w:b/>
                <w:color w:val="000000"/>
                <w:w w:val="90"/>
                <w:szCs w:val="21"/>
              </w:rPr>
              <w:t>HJ455防水卷材</w:t>
            </w:r>
          </w:p>
        </w:tc>
      </w:tr>
      <w:tr w14:paraId="79E8B4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7E5BBC0E">
            <w:pPr>
              <w:autoSpaceDE w:val="0"/>
              <w:autoSpaceDN w:val="0"/>
              <w:jc w:val="center"/>
              <w:rPr>
                <w:rFonts w:hint="eastAsia" w:ascii="宋体" w:hAnsi="宋体"/>
                <w:b/>
                <w:color w:val="000000"/>
                <w:w w:val="90"/>
                <w:szCs w:val="21"/>
              </w:rPr>
            </w:pPr>
            <w:r>
              <w:rPr>
                <w:rFonts w:ascii="宋体" w:hAnsi="宋体"/>
                <w:b/>
                <w:color w:val="000000"/>
                <w:w w:val="90"/>
                <w:szCs w:val="21"/>
              </w:rPr>
              <w:t>40</w:t>
            </w:r>
          </w:p>
        </w:tc>
        <w:tc>
          <w:tcPr>
            <w:tcW w:w="1985" w:type="dxa"/>
            <w:vMerge w:val="restart"/>
            <w:noWrap/>
            <w:vAlign w:val="center"/>
          </w:tcPr>
          <w:p w14:paraId="204A5362">
            <w:pPr>
              <w:autoSpaceDE w:val="0"/>
              <w:autoSpaceDN w:val="0"/>
              <w:rPr>
                <w:rFonts w:hint="eastAsia" w:ascii="宋体" w:hAnsi="宋体"/>
                <w:b/>
                <w:color w:val="000000"/>
                <w:w w:val="90"/>
                <w:szCs w:val="21"/>
              </w:rPr>
            </w:pPr>
            <w:r>
              <w:rPr>
                <w:rFonts w:ascii="宋体" w:hAnsi="宋体"/>
                <w:b/>
                <w:color w:val="000000"/>
                <w:w w:val="90"/>
                <w:szCs w:val="21"/>
              </w:rPr>
              <w:t>A100310隔热、隔音人造矿物材料及其制品</w:t>
            </w:r>
          </w:p>
        </w:tc>
        <w:tc>
          <w:tcPr>
            <w:tcW w:w="2268" w:type="dxa"/>
            <w:noWrap/>
            <w:vAlign w:val="center"/>
          </w:tcPr>
          <w:p w14:paraId="5E6D9876">
            <w:pPr>
              <w:autoSpaceDE w:val="0"/>
              <w:autoSpaceDN w:val="0"/>
              <w:rPr>
                <w:rFonts w:hint="eastAsia" w:ascii="宋体" w:hAnsi="宋体"/>
                <w:b/>
                <w:color w:val="000000"/>
                <w:w w:val="90"/>
                <w:szCs w:val="21"/>
              </w:rPr>
            </w:pPr>
            <w:r>
              <w:rPr>
                <w:rFonts w:ascii="宋体" w:hAnsi="宋体"/>
                <w:b/>
                <w:color w:val="000000"/>
                <w:w w:val="90"/>
                <w:szCs w:val="21"/>
              </w:rPr>
              <w:t>A10031001矿物绝热和吸声材料</w:t>
            </w:r>
          </w:p>
        </w:tc>
        <w:tc>
          <w:tcPr>
            <w:tcW w:w="1855" w:type="dxa"/>
            <w:noWrap/>
            <w:vAlign w:val="center"/>
          </w:tcPr>
          <w:p w14:paraId="2D7EDA1C">
            <w:pPr>
              <w:autoSpaceDE w:val="0"/>
              <w:autoSpaceDN w:val="0"/>
              <w:rPr>
                <w:rFonts w:hint="eastAsia" w:ascii="宋体" w:hAnsi="宋体"/>
                <w:b/>
                <w:color w:val="000000"/>
                <w:w w:val="90"/>
                <w:szCs w:val="21"/>
              </w:rPr>
            </w:pPr>
          </w:p>
        </w:tc>
        <w:tc>
          <w:tcPr>
            <w:tcW w:w="2736" w:type="dxa"/>
            <w:noWrap/>
            <w:vAlign w:val="center"/>
          </w:tcPr>
          <w:p w14:paraId="76822595">
            <w:pPr>
              <w:autoSpaceDE w:val="0"/>
              <w:autoSpaceDN w:val="0"/>
              <w:rPr>
                <w:rFonts w:hint="eastAsia" w:ascii="宋体" w:hAnsi="宋体"/>
                <w:b/>
                <w:color w:val="000000"/>
                <w:w w:val="90"/>
                <w:szCs w:val="21"/>
              </w:rPr>
            </w:pPr>
            <w:r>
              <w:rPr>
                <w:rFonts w:ascii="宋体" w:hAnsi="宋体"/>
                <w:b/>
                <w:color w:val="000000"/>
                <w:w w:val="90"/>
                <w:szCs w:val="21"/>
              </w:rPr>
              <w:t>HJ/T223轻质墙体板材</w:t>
            </w:r>
          </w:p>
        </w:tc>
      </w:tr>
      <w:tr w14:paraId="227F8D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6F719BDF">
            <w:pPr>
              <w:autoSpaceDE w:val="0"/>
              <w:autoSpaceDN w:val="0"/>
              <w:jc w:val="center"/>
              <w:rPr>
                <w:rFonts w:hint="eastAsia" w:ascii="宋体" w:hAnsi="宋体"/>
                <w:b/>
                <w:color w:val="000000"/>
                <w:w w:val="90"/>
                <w:szCs w:val="21"/>
              </w:rPr>
            </w:pPr>
          </w:p>
        </w:tc>
        <w:tc>
          <w:tcPr>
            <w:tcW w:w="1985" w:type="dxa"/>
            <w:vMerge w:val="continue"/>
            <w:noWrap/>
            <w:vAlign w:val="center"/>
          </w:tcPr>
          <w:p w14:paraId="7475A7A1">
            <w:pPr>
              <w:autoSpaceDE w:val="0"/>
              <w:autoSpaceDN w:val="0"/>
              <w:rPr>
                <w:rFonts w:hint="eastAsia" w:ascii="宋体" w:hAnsi="宋体"/>
                <w:b/>
                <w:color w:val="000000"/>
                <w:w w:val="90"/>
                <w:szCs w:val="21"/>
              </w:rPr>
            </w:pPr>
          </w:p>
        </w:tc>
        <w:tc>
          <w:tcPr>
            <w:tcW w:w="2268" w:type="dxa"/>
            <w:noWrap/>
            <w:vAlign w:val="center"/>
          </w:tcPr>
          <w:p w14:paraId="60ACC1CC">
            <w:pPr>
              <w:autoSpaceDE w:val="0"/>
              <w:autoSpaceDN w:val="0"/>
              <w:rPr>
                <w:rFonts w:hint="eastAsia" w:ascii="宋体" w:hAnsi="宋体"/>
                <w:b/>
                <w:color w:val="000000"/>
                <w:w w:val="90"/>
                <w:szCs w:val="21"/>
              </w:rPr>
            </w:pPr>
            <w:r>
              <w:rPr>
                <w:rFonts w:ascii="宋体" w:hAnsi="宋体"/>
                <w:b/>
                <w:color w:val="000000"/>
                <w:w w:val="90"/>
                <w:szCs w:val="21"/>
              </w:rPr>
              <w:t>A10031002矿物材料制品</w:t>
            </w:r>
          </w:p>
        </w:tc>
        <w:tc>
          <w:tcPr>
            <w:tcW w:w="1855" w:type="dxa"/>
            <w:noWrap/>
            <w:vAlign w:val="center"/>
          </w:tcPr>
          <w:p w14:paraId="5E93A81E">
            <w:pPr>
              <w:autoSpaceDE w:val="0"/>
              <w:autoSpaceDN w:val="0"/>
              <w:rPr>
                <w:rFonts w:hint="eastAsia" w:ascii="宋体" w:hAnsi="宋体"/>
                <w:b/>
                <w:color w:val="000000"/>
                <w:w w:val="90"/>
                <w:szCs w:val="21"/>
              </w:rPr>
            </w:pPr>
          </w:p>
        </w:tc>
        <w:tc>
          <w:tcPr>
            <w:tcW w:w="2736" w:type="dxa"/>
            <w:noWrap/>
            <w:vAlign w:val="center"/>
          </w:tcPr>
          <w:p w14:paraId="61A56E26">
            <w:pPr>
              <w:autoSpaceDE w:val="0"/>
              <w:autoSpaceDN w:val="0"/>
              <w:rPr>
                <w:rFonts w:hint="eastAsia" w:ascii="宋体" w:hAnsi="宋体"/>
                <w:b/>
                <w:color w:val="000000"/>
                <w:w w:val="90"/>
                <w:szCs w:val="21"/>
              </w:rPr>
            </w:pPr>
            <w:r>
              <w:rPr>
                <w:rFonts w:ascii="宋体" w:hAnsi="宋体"/>
                <w:b/>
                <w:color w:val="000000"/>
                <w:w w:val="90"/>
                <w:szCs w:val="21"/>
              </w:rPr>
              <w:t>HJ/T223轻质墙体板材</w:t>
            </w:r>
          </w:p>
        </w:tc>
      </w:tr>
      <w:tr w14:paraId="04D159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25814B3">
            <w:pPr>
              <w:autoSpaceDE w:val="0"/>
              <w:autoSpaceDN w:val="0"/>
              <w:jc w:val="center"/>
              <w:rPr>
                <w:rFonts w:hint="eastAsia" w:ascii="宋体" w:hAnsi="宋体"/>
                <w:b/>
                <w:color w:val="000000"/>
                <w:w w:val="90"/>
                <w:szCs w:val="21"/>
              </w:rPr>
            </w:pPr>
            <w:r>
              <w:rPr>
                <w:rFonts w:ascii="宋体" w:hAnsi="宋体"/>
                <w:b/>
                <w:color w:val="000000"/>
                <w:w w:val="90"/>
                <w:szCs w:val="21"/>
              </w:rPr>
              <w:t>41</w:t>
            </w:r>
          </w:p>
        </w:tc>
        <w:tc>
          <w:tcPr>
            <w:tcW w:w="1985" w:type="dxa"/>
            <w:noWrap/>
            <w:vAlign w:val="center"/>
          </w:tcPr>
          <w:p w14:paraId="581EDB96">
            <w:pPr>
              <w:autoSpaceDE w:val="0"/>
              <w:autoSpaceDN w:val="0"/>
              <w:rPr>
                <w:rFonts w:hint="eastAsia" w:ascii="宋体" w:hAnsi="宋体"/>
                <w:b/>
                <w:color w:val="000000"/>
                <w:w w:val="90"/>
                <w:szCs w:val="21"/>
              </w:rPr>
            </w:pPr>
            <w:r>
              <w:rPr>
                <w:rFonts w:ascii="宋体" w:hAnsi="宋体"/>
                <w:b/>
                <w:color w:val="000000"/>
                <w:w w:val="90"/>
                <w:szCs w:val="21"/>
              </w:rPr>
              <w:t>A100601功能性建筑涂料</w:t>
            </w:r>
          </w:p>
        </w:tc>
        <w:tc>
          <w:tcPr>
            <w:tcW w:w="2268" w:type="dxa"/>
            <w:noWrap/>
            <w:vAlign w:val="center"/>
          </w:tcPr>
          <w:p w14:paraId="32DAEB0D">
            <w:pPr>
              <w:autoSpaceDE w:val="0"/>
              <w:autoSpaceDN w:val="0"/>
              <w:rPr>
                <w:rFonts w:hint="eastAsia" w:ascii="宋体" w:hAnsi="宋体"/>
                <w:b/>
                <w:color w:val="000000"/>
                <w:w w:val="90"/>
                <w:szCs w:val="21"/>
              </w:rPr>
            </w:pPr>
          </w:p>
        </w:tc>
        <w:tc>
          <w:tcPr>
            <w:tcW w:w="1855" w:type="dxa"/>
            <w:noWrap/>
            <w:vAlign w:val="center"/>
          </w:tcPr>
          <w:p w14:paraId="1378183C">
            <w:pPr>
              <w:autoSpaceDE w:val="0"/>
              <w:autoSpaceDN w:val="0"/>
              <w:rPr>
                <w:rFonts w:hint="eastAsia" w:ascii="宋体" w:hAnsi="宋体"/>
                <w:b/>
                <w:color w:val="000000"/>
                <w:w w:val="90"/>
                <w:szCs w:val="21"/>
              </w:rPr>
            </w:pPr>
          </w:p>
        </w:tc>
        <w:tc>
          <w:tcPr>
            <w:tcW w:w="2736" w:type="dxa"/>
            <w:noWrap/>
            <w:vAlign w:val="center"/>
          </w:tcPr>
          <w:p w14:paraId="0146665B">
            <w:pPr>
              <w:autoSpaceDE w:val="0"/>
              <w:autoSpaceDN w:val="0"/>
              <w:rPr>
                <w:rFonts w:hint="eastAsia" w:ascii="宋体" w:hAnsi="宋体"/>
                <w:b/>
                <w:color w:val="000000"/>
                <w:w w:val="90"/>
                <w:szCs w:val="21"/>
              </w:rPr>
            </w:pPr>
            <w:r>
              <w:rPr>
                <w:rFonts w:ascii="宋体" w:hAnsi="宋体"/>
                <w:b/>
                <w:color w:val="000000"/>
                <w:w w:val="90"/>
                <w:szCs w:val="21"/>
              </w:rPr>
              <w:t>HJ2537水性涂料</w:t>
            </w:r>
          </w:p>
        </w:tc>
      </w:tr>
      <w:tr w14:paraId="5C71BA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E55C119">
            <w:pPr>
              <w:autoSpaceDE w:val="0"/>
              <w:autoSpaceDN w:val="0"/>
              <w:jc w:val="center"/>
              <w:rPr>
                <w:rFonts w:hint="eastAsia" w:ascii="宋体" w:hAnsi="宋体"/>
                <w:b/>
                <w:color w:val="000000"/>
                <w:w w:val="90"/>
                <w:szCs w:val="21"/>
              </w:rPr>
            </w:pPr>
            <w:r>
              <w:rPr>
                <w:rFonts w:ascii="宋体" w:hAnsi="宋体"/>
                <w:b/>
                <w:color w:val="000000"/>
                <w:w w:val="90"/>
                <w:szCs w:val="21"/>
              </w:rPr>
              <w:t>42</w:t>
            </w:r>
          </w:p>
        </w:tc>
        <w:tc>
          <w:tcPr>
            <w:tcW w:w="1985" w:type="dxa"/>
            <w:noWrap/>
            <w:vAlign w:val="center"/>
          </w:tcPr>
          <w:p w14:paraId="6ADDCD8E">
            <w:pPr>
              <w:autoSpaceDE w:val="0"/>
              <w:autoSpaceDN w:val="0"/>
              <w:rPr>
                <w:rFonts w:hint="eastAsia" w:ascii="宋体" w:hAnsi="宋体"/>
                <w:b/>
                <w:color w:val="000000"/>
                <w:w w:val="90"/>
                <w:szCs w:val="21"/>
              </w:rPr>
            </w:pPr>
            <w:r>
              <w:rPr>
                <w:rFonts w:ascii="宋体" w:hAnsi="宋体"/>
                <w:b/>
                <w:color w:val="000000"/>
                <w:w w:val="90"/>
                <w:szCs w:val="21"/>
              </w:rPr>
              <w:t>A100399 其他非金属矿物制品</w:t>
            </w:r>
          </w:p>
        </w:tc>
        <w:tc>
          <w:tcPr>
            <w:tcW w:w="2268" w:type="dxa"/>
            <w:noWrap/>
            <w:vAlign w:val="center"/>
          </w:tcPr>
          <w:p w14:paraId="5A23A9B6">
            <w:pPr>
              <w:autoSpaceDE w:val="0"/>
              <w:autoSpaceDN w:val="0"/>
              <w:rPr>
                <w:rFonts w:hint="eastAsia" w:ascii="宋体" w:hAnsi="宋体"/>
                <w:b/>
                <w:color w:val="000000"/>
                <w:w w:val="90"/>
                <w:szCs w:val="21"/>
              </w:rPr>
            </w:pPr>
            <w:r>
              <w:rPr>
                <w:rFonts w:ascii="宋体" w:hAnsi="宋体"/>
                <w:b/>
                <w:color w:val="000000"/>
                <w:w w:val="90"/>
                <w:szCs w:val="21"/>
              </w:rPr>
              <w:t>A10039901其他非金属建筑材料</w:t>
            </w:r>
          </w:p>
        </w:tc>
        <w:tc>
          <w:tcPr>
            <w:tcW w:w="1855" w:type="dxa"/>
            <w:noWrap/>
            <w:vAlign w:val="center"/>
          </w:tcPr>
          <w:p w14:paraId="25327EF7">
            <w:pPr>
              <w:autoSpaceDE w:val="0"/>
              <w:autoSpaceDN w:val="0"/>
              <w:rPr>
                <w:rFonts w:hint="eastAsia" w:ascii="宋体" w:hAnsi="宋体"/>
                <w:b/>
                <w:color w:val="000000"/>
                <w:w w:val="90"/>
                <w:szCs w:val="21"/>
              </w:rPr>
            </w:pPr>
          </w:p>
        </w:tc>
        <w:tc>
          <w:tcPr>
            <w:tcW w:w="2736" w:type="dxa"/>
            <w:noWrap/>
            <w:vAlign w:val="center"/>
          </w:tcPr>
          <w:p w14:paraId="1D3D8706">
            <w:pPr>
              <w:autoSpaceDE w:val="0"/>
              <w:autoSpaceDN w:val="0"/>
              <w:rPr>
                <w:rFonts w:hint="eastAsia" w:ascii="宋体" w:hAnsi="宋体"/>
                <w:b/>
                <w:color w:val="000000"/>
                <w:w w:val="90"/>
                <w:szCs w:val="21"/>
              </w:rPr>
            </w:pPr>
            <w:r>
              <w:rPr>
                <w:rFonts w:ascii="宋体" w:hAnsi="宋体"/>
                <w:b/>
                <w:color w:val="000000"/>
                <w:w w:val="90"/>
                <w:szCs w:val="21"/>
              </w:rPr>
              <w:t>HJ456刚性防水材料</w:t>
            </w:r>
          </w:p>
        </w:tc>
      </w:tr>
      <w:tr w14:paraId="3A244A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14:paraId="121F2C2B">
            <w:pPr>
              <w:autoSpaceDE w:val="0"/>
              <w:autoSpaceDN w:val="0"/>
              <w:jc w:val="center"/>
              <w:rPr>
                <w:rFonts w:hint="eastAsia" w:ascii="宋体" w:hAnsi="宋体"/>
                <w:b/>
                <w:color w:val="000000"/>
                <w:w w:val="90"/>
                <w:szCs w:val="21"/>
              </w:rPr>
            </w:pPr>
            <w:r>
              <w:rPr>
                <w:rFonts w:ascii="宋体" w:hAnsi="宋体"/>
                <w:b/>
                <w:color w:val="000000"/>
                <w:w w:val="90"/>
                <w:szCs w:val="21"/>
              </w:rPr>
              <w:t>43</w:t>
            </w:r>
          </w:p>
        </w:tc>
        <w:tc>
          <w:tcPr>
            <w:tcW w:w="1985" w:type="dxa"/>
            <w:vMerge w:val="restart"/>
            <w:noWrap/>
            <w:vAlign w:val="center"/>
          </w:tcPr>
          <w:p w14:paraId="50EE2032">
            <w:pPr>
              <w:autoSpaceDE w:val="0"/>
              <w:autoSpaceDN w:val="0"/>
              <w:rPr>
                <w:rFonts w:hint="eastAsia" w:ascii="宋体" w:hAnsi="宋体"/>
                <w:b/>
                <w:color w:val="000000"/>
                <w:w w:val="90"/>
                <w:szCs w:val="21"/>
              </w:rPr>
            </w:pPr>
            <w:r>
              <w:rPr>
                <w:rFonts w:ascii="宋体" w:hAnsi="宋体"/>
                <w:b/>
                <w:color w:val="000000"/>
                <w:w w:val="90"/>
                <w:szCs w:val="21"/>
              </w:rPr>
              <w:t>A100602墙面涂料</w:t>
            </w:r>
          </w:p>
        </w:tc>
        <w:tc>
          <w:tcPr>
            <w:tcW w:w="2268" w:type="dxa"/>
            <w:noWrap/>
            <w:vAlign w:val="center"/>
          </w:tcPr>
          <w:p w14:paraId="5A560F4E">
            <w:pPr>
              <w:autoSpaceDE w:val="0"/>
              <w:autoSpaceDN w:val="0"/>
              <w:rPr>
                <w:rFonts w:hint="eastAsia" w:ascii="宋体" w:hAnsi="宋体"/>
                <w:b/>
                <w:color w:val="000000"/>
                <w:w w:val="90"/>
                <w:szCs w:val="21"/>
              </w:rPr>
            </w:pPr>
            <w:r>
              <w:rPr>
                <w:rFonts w:ascii="宋体" w:hAnsi="宋体"/>
                <w:b/>
                <w:color w:val="000000"/>
                <w:w w:val="90"/>
                <w:szCs w:val="21"/>
              </w:rPr>
              <w:t>A10060202合成树脂乳液内墙涂料</w:t>
            </w:r>
          </w:p>
        </w:tc>
        <w:tc>
          <w:tcPr>
            <w:tcW w:w="1855" w:type="dxa"/>
            <w:noWrap/>
            <w:vAlign w:val="center"/>
          </w:tcPr>
          <w:p w14:paraId="329607D1">
            <w:pPr>
              <w:autoSpaceDE w:val="0"/>
              <w:autoSpaceDN w:val="0"/>
              <w:rPr>
                <w:rFonts w:hint="eastAsia" w:ascii="宋体" w:hAnsi="宋体"/>
                <w:b/>
                <w:color w:val="000000"/>
                <w:w w:val="90"/>
                <w:szCs w:val="21"/>
              </w:rPr>
            </w:pPr>
          </w:p>
        </w:tc>
        <w:tc>
          <w:tcPr>
            <w:tcW w:w="2736" w:type="dxa"/>
            <w:noWrap/>
            <w:vAlign w:val="center"/>
          </w:tcPr>
          <w:p w14:paraId="40B6A6A8">
            <w:pPr>
              <w:autoSpaceDE w:val="0"/>
              <w:autoSpaceDN w:val="0"/>
              <w:rPr>
                <w:rFonts w:hint="eastAsia" w:ascii="宋体" w:hAnsi="宋体"/>
                <w:b/>
                <w:color w:val="000000"/>
                <w:w w:val="90"/>
                <w:szCs w:val="21"/>
              </w:rPr>
            </w:pPr>
            <w:r>
              <w:rPr>
                <w:rFonts w:ascii="宋体" w:hAnsi="宋体"/>
                <w:b/>
                <w:color w:val="000000"/>
                <w:w w:val="90"/>
                <w:szCs w:val="21"/>
              </w:rPr>
              <w:t>HJ2537水性涂料</w:t>
            </w:r>
          </w:p>
        </w:tc>
      </w:tr>
      <w:tr w14:paraId="472984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D51D246">
            <w:pPr>
              <w:autoSpaceDE w:val="0"/>
              <w:autoSpaceDN w:val="0"/>
              <w:jc w:val="center"/>
              <w:rPr>
                <w:rFonts w:hint="eastAsia" w:ascii="宋体" w:hAnsi="宋体"/>
                <w:b/>
                <w:color w:val="000000"/>
                <w:w w:val="90"/>
                <w:szCs w:val="21"/>
              </w:rPr>
            </w:pPr>
          </w:p>
        </w:tc>
        <w:tc>
          <w:tcPr>
            <w:tcW w:w="1985" w:type="dxa"/>
            <w:vMerge w:val="continue"/>
            <w:noWrap/>
            <w:vAlign w:val="center"/>
          </w:tcPr>
          <w:p w14:paraId="66FC91D5">
            <w:pPr>
              <w:autoSpaceDE w:val="0"/>
              <w:autoSpaceDN w:val="0"/>
              <w:rPr>
                <w:rFonts w:hint="eastAsia" w:ascii="宋体" w:hAnsi="宋体"/>
                <w:b/>
                <w:color w:val="000000"/>
                <w:w w:val="90"/>
                <w:szCs w:val="21"/>
              </w:rPr>
            </w:pPr>
          </w:p>
        </w:tc>
        <w:tc>
          <w:tcPr>
            <w:tcW w:w="2268" w:type="dxa"/>
            <w:noWrap/>
            <w:vAlign w:val="center"/>
          </w:tcPr>
          <w:p w14:paraId="02738062">
            <w:pPr>
              <w:autoSpaceDE w:val="0"/>
              <w:autoSpaceDN w:val="0"/>
              <w:rPr>
                <w:rFonts w:hint="eastAsia" w:ascii="宋体" w:hAnsi="宋体"/>
                <w:b/>
                <w:color w:val="000000"/>
                <w:w w:val="90"/>
                <w:szCs w:val="21"/>
              </w:rPr>
            </w:pPr>
            <w:r>
              <w:rPr>
                <w:rFonts w:ascii="宋体" w:hAnsi="宋体"/>
                <w:b/>
                <w:color w:val="000000"/>
                <w:w w:val="90"/>
                <w:szCs w:val="21"/>
              </w:rPr>
              <w:t>A10060203合成树脂乳液外墙涂料</w:t>
            </w:r>
          </w:p>
        </w:tc>
        <w:tc>
          <w:tcPr>
            <w:tcW w:w="1855" w:type="dxa"/>
            <w:noWrap/>
            <w:vAlign w:val="center"/>
          </w:tcPr>
          <w:p w14:paraId="2410E793">
            <w:pPr>
              <w:autoSpaceDE w:val="0"/>
              <w:autoSpaceDN w:val="0"/>
              <w:rPr>
                <w:rFonts w:hint="eastAsia" w:ascii="宋体" w:hAnsi="宋体"/>
                <w:b/>
                <w:color w:val="000000"/>
                <w:w w:val="90"/>
                <w:szCs w:val="21"/>
              </w:rPr>
            </w:pPr>
          </w:p>
        </w:tc>
        <w:tc>
          <w:tcPr>
            <w:tcW w:w="2736" w:type="dxa"/>
            <w:noWrap/>
            <w:vAlign w:val="center"/>
          </w:tcPr>
          <w:p w14:paraId="3790C02E">
            <w:pPr>
              <w:autoSpaceDE w:val="0"/>
              <w:autoSpaceDN w:val="0"/>
              <w:rPr>
                <w:rFonts w:hint="eastAsia" w:ascii="宋体" w:hAnsi="宋体"/>
                <w:b/>
                <w:color w:val="000000"/>
                <w:w w:val="90"/>
                <w:szCs w:val="21"/>
              </w:rPr>
            </w:pPr>
            <w:r>
              <w:rPr>
                <w:rFonts w:ascii="宋体" w:hAnsi="宋体"/>
                <w:b/>
                <w:color w:val="000000"/>
                <w:w w:val="90"/>
                <w:szCs w:val="21"/>
              </w:rPr>
              <w:t>HJ2537水性涂料</w:t>
            </w:r>
          </w:p>
        </w:tc>
      </w:tr>
      <w:tr w14:paraId="7828090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14:paraId="1EBA8F75">
            <w:pPr>
              <w:autoSpaceDE w:val="0"/>
              <w:autoSpaceDN w:val="0"/>
              <w:jc w:val="center"/>
              <w:rPr>
                <w:rFonts w:hint="eastAsia" w:ascii="宋体" w:hAnsi="宋体"/>
                <w:b/>
                <w:color w:val="000000"/>
                <w:w w:val="90"/>
                <w:szCs w:val="21"/>
              </w:rPr>
            </w:pPr>
          </w:p>
        </w:tc>
        <w:tc>
          <w:tcPr>
            <w:tcW w:w="1985" w:type="dxa"/>
            <w:vMerge w:val="continue"/>
            <w:noWrap/>
            <w:vAlign w:val="center"/>
          </w:tcPr>
          <w:p w14:paraId="761E3499">
            <w:pPr>
              <w:autoSpaceDE w:val="0"/>
              <w:autoSpaceDN w:val="0"/>
              <w:rPr>
                <w:rFonts w:hint="eastAsia" w:ascii="宋体" w:hAnsi="宋体"/>
                <w:b/>
                <w:color w:val="000000"/>
                <w:w w:val="90"/>
                <w:szCs w:val="21"/>
              </w:rPr>
            </w:pPr>
          </w:p>
        </w:tc>
        <w:tc>
          <w:tcPr>
            <w:tcW w:w="2268" w:type="dxa"/>
            <w:noWrap/>
            <w:vAlign w:val="center"/>
          </w:tcPr>
          <w:p w14:paraId="7FD4BB27">
            <w:pPr>
              <w:autoSpaceDE w:val="0"/>
              <w:autoSpaceDN w:val="0"/>
              <w:rPr>
                <w:rFonts w:hint="eastAsia" w:ascii="宋体" w:hAnsi="宋体"/>
                <w:b/>
                <w:color w:val="000000"/>
                <w:w w:val="90"/>
                <w:szCs w:val="21"/>
              </w:rPr>
            </w:pPr>
            <w:r>
              <w:rPr>
                <w:rFonts w:ascii="宋体" w:hAnsi="宋体"/>
                <w:b/>
                <w:color w:val="000000"/>
                <w:w w:val="90"/>
                <w:szCs w:val="21"/>
              </w:rPr>
              <w:t>A10060299其他墙面涂料</w:t>
            </w:r>
          </w:p>
        </w:tc>
        <w:tc>
          <w:tcPr>
            <w:tcW w:w="1855" w:type="dxa"/>
            <w:noWrap/>
            <w:vAlign w:val="center"/>
          </w:tcPr>
          <w:p w14:paraId="1F1CC4D3">
            <w:pPr>
              <w:autoSpaceDE w:val="0"/>
              <w:autoSpaceDN w:val="0"/>
              <w:rPr>
                <w:rFonts w:hint="eastAsia" w:ascii="宋体" w:hAnsi="宋体"/>
                <w:b/>
                <w:color w:val="000000"/>
                <w:w w:val="90"/>
                <w:szCs w:val="21"/>
              </w:rPr>
            </w:pPr>
          </w:p>
        </w:tc>
        <w:tc>
          <w:tcPr>
            <w:tcW w:w="2736" w:type="dxa"/>
            <w:noWrap/>
            <w:vAlign w:val="center"/>
          </w:tcPr>
          <w:p w14:paraId="2DB79DA8">
            <w:pPr>
              <w:autoSpaceDE w:val="0"/>
              <w:autoSpaceDN w:val="0"/>
              <w:rPr>
                <w:rFonts w:hint="eastAsia" w:ascii="宋体" w:hAnsi="宋体"/>
                <w:b/>
                <w:color w:val="000000"/>
                <w:w w:val="90"/>
                <w:szCs w:val="21"/>
              </w:rPr>
            </w:pPr>
            <w:r>
              <w:rPr>
                <w:rFonts w:ascii="宋体" w:hAnsi="宋体"/>
                <w:b/>
                <w:color w:val="000000"/>
                <w:w w:val="90"/>
                <w:szCs w:val="21"/>
              </w:rPr>
              <w:t>HJ2537水性涂料</w:t>
            </w:r>
          </w:p>
        </w:tc>
      </w:tr>
      <w:tr w14:paraId="2DBD4E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2F01B74">
            <w:pPr>
              <w:autoSpaceDE w:val="0"/>
              <w:autoSpaceDN w:val="0"/>
              <w:jc w:val="center"/>
              <w:rPr>
                <w:rFonts w:hint="eastAsia" w:ascii="宋体" w:hAnsi="宋体"/>
                <w:b/>
                <w:color w:val="000000"/>
                <w:w w:val="90"/>
                <w:szCs w:val="21"/>
              </w:rPr>
            </w:pPr>
            <w:r>
              <w:rPr>
                <w:rFonts w:ascii="宋体" w:hAnsi="宋体"/>
                <w:b/>
                <w:color w:val="000000"/>
                <w:w w:val="90"/>
                <w:szCs w:val="21"/>
              </w:rPr>
              <w:t>44</w:t>
            </w:r>
          </w:p>
        </w:tc>
        <w:tc>
          <w:tcPr>
            <w:tcW w:w="1985" w:type="dxa"/>
            <w:noWrap/>
            <w:vAlign w:val="center"/>
          </w:tcPr>
          <w:p w14:paraId="405A01FD">
            <w:pPr>
              <w:autoSpaceDE w:val="0"/>
              <w:autoSpaceDN w:val="0"/>
              <w:rPr>
                <w:rFonts w:hint="eastAsia" w:ascii="宋体" w:hAnsi="宋体"/>
                <w:b/>
                <w:color w:val="000000"/>
                <w:w w:val="90"/>
                <w:szCs w:val="21"/>
              </w:rPr>
            </w:pPr>
            <w:r>
              <w:rPr>
                <w:rFonts w:ascii="宋体" w:hAnsi="宋体"/>
                <w:b/>
                <w:color w:val="000000"/>
                <w:w w:val="90"/>
                <w:szCs w:val="21"/>
              </w:rPr>
              <w:t>A100604防水涂料</w:t>
            </w:r>
          </w:p>
        </w:tc>
        <w:tc>
          <w:tcPr>
            <w:tcW w:w="2268" w:type="dxa"/>
            <w:noWrap/>
            <w:vAlign w:val="center"/>
          </w:tcPr>
          <w:p w14:paraId="580B2060">
            <w:pPr>
              <w:autoSpaceDE w:val="0"/>
              <w:autoSpaceDN w:val="0"/>
              <w:rPr>
                <w:rFonts w:hint="eastAsia" w:ascii="宋体" w:hAnsi="宋体"/>
                <w:b/>
                <w:color w:val="000000"/>
                <w:w w:val="90"/>
                <w:szCs w:val="21"/>
              </w:rPr>
            </w:pPr>
            <w:r>
              <w:rPr>
                <w:rFonts w:ascii="宋体" w:hAnsi="宋体"/>
                <w:b/>
                <w:color w:val="000000"/>
                <w:w w:val="90"/>
                <w:szCs w:val="21"/>
              </w:rPr>
              <w:t>A10060499其他防水涂料</w:t>
            </w:r>
          </w:p>
        </w:tc>
        <w:tc>
          <w:tcPr>
            <w:tcW w:w="1855" w:type="dxa"/>
            <w:noWrap/>
            <w:vAlign w:val="center"/>
          </w:tcPr>
          <w:p w14:paraId="3DE5D812">
            <w:pPr>
              <w:autoSpaceDE w:val="0"/>
              <w:autoSpaceDN w:val="0"/>
              <w:rPr>
                <w:rFonts w:hint="eastAsia" w:ascii="宋体" w:hAnsi="宋体"/>
                <w:b/>
                <w:color w:val="000000"/>
                <w:w w:val="90"/>
                <w:szCs w:val="21"/>
              </w:rPr>
            </w:pPr>
          </w:p>
        </w:tc>
        <w:tc>
          <w:tcPr>
            <w:tcW w:w="2736" w:type="dxa"/>
            <w:noWrap/>
            <w:vAlign w:val="center"/>
          </w:tcPr>
          <w:p w14:paraId="359EF22C">
            <w:pPr>
              <w:autoSpaceDE w:val="0"/>
              <w:autoSpaceDN w:val="0"/>
              <w:rPr>
                <w:rFonts w:hint="eastAsia" w:ascii="宋体" w:hAnsi="宋体"/>
                <w:b/>
                <w:color w:val="000000"/>
                <w:w w:val="90"/>
                <w:szCs w:val="21"/>
              </w:rPr>
            </w:pPr>
            <w:r>
              <w:rPr>
                <w:rFonts w:ascii="宋体" w:hAnsi="宋体"/>
                <w:b/>
                <w:color w:val="000000"/>
                <w:w w:val="90"/>
                <w:szCs w:val="21"/>
              </w:rPr>
              <w:t>HJ2537水性涂料</w:t>
            </w:r>
          </w:p>
        </w:tc>
      </w:tr>
      <w:tr w14:paraId="4BF733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5273169A">
            <w:pPr>
              <w:autoSpaceDE w:val="0"/>
              <w:autoSpaceDN w:val="0"/>
              <w:jc w:val="center"/>
              <w:rPr>
                <w:rFonts w:hint="eastAsia" w:ascii="宋体" w:hAnsi="宋体"/>
                <w:b/>
                <w:color w:val="000000"/>
                <w:w w:val="90"/>
                <w:szCs w:val="21"/>
              </w:rPr>
            </w:pPr>
            <w:r>
              <w:rPr>
                <w:rFonts w:ascii="宋体" w:hAnsi="宋体"/>
                <w:b/>
                <w:color w:val="000000"/>
                <w:w w:val="90"/>
                <w:szCs w:val="21"/>
              </w:rPr>
              <w:t>45</w:t>
            </w:r>
          </w:p>
        </w:tc>
        <w:tc>
          <w:tcPr>
            <w:tcW w:w="1985" w:type="dxa"/>
            <w:noWrap/>
            <w:vAlign w:val="center"/>
          </w:tcPr>
          <w:p w14:paraId="2436F839">
            <w:pPr>
              <w:autoSpaceDE w:val="0"/>
              <w:autoSpaceDN w:val="0"/>
              <w:rPr>
                <w:rFonts w:hint="eastAsia" w:ascii="宋体" w:hAnsi="宋体"/>
                <w:b/>
                <w:color w:val="000000"/>
                <w:w w:val="90"/>
                <w:szCs w:val="21"/>
              </w:rPr>
            </w:pPr>
            <w:r>
              <w:rPr>
                <w:rFonts w:ascii="宋体" w:hAnsi="宋体"/>
                <w:b/>
                <w:color w:val="000000"/>
                <w:w w:val="90"/>
                <w:szCs w:val="21"/>
              </w:rPr>
              <w:t>A100699其他建筑涂料</w:t>
            </w:r>
          </w:p>
        </w:tc>
        <w:tc>
          <w:tcPr>
            <w:tcW w:w="2268" w:type="dxa"/>
            <w:noWrap/>
            <w:vAlign w:val="center"/>
          </w:tcPr>
          <w:p w14:paraId="6BDD7A39">
            <w:pPr>
              <w:autoSpaceDE w:val="0"/>
              <w:autoSpaceDN w:val="0"/>
              <w:rPr>
                <w:rFonts w:hint="eastAsia" w:ascii="宋体" w:hAnsi="宋体"/>
                <w:b/>
                <w:color w:val="000000"/>
                <w:w w:val="90"/>
                <w:szCs w:val="21"/>
              </w:rPr>
            </w:pPr>
          </w:p>
        </w:tc>
        <w:tc>
          <w:tcPr>
            <w:tcW w:w="1855" w:type="dxa"/>
            <w:noWrap/>
            <w:vAlign w:val="center"/>
          </w:tcPr>
          <w:p w14:paraId="2AA6BC8B">
            <w:pPr>
              <w:autoSpaceDE w:val="0"/>
              <w:autoSpaceDN w:val="0"/>
              <w:rPr>
                <w:rFonts w:hint="eastAsia" w:ascii="宋体" w:hAnsi="宋体"/>
                <w:b/>
                <w:color w:val="000000"/>
                <w:w w:val="90"/>
                <w:szCs w:val="21"/>
              </w:rPr>
            </w:pPr>
          </w:p>
        </w:tc>
        <w:tc>
          <w:tcPr>
            <w:tcW w:w="2736" w:type="dxa"/>
            <w:noWrap/>
            <w:vAlign w:val="center"/>
          </w:tcPr>
          <w:p w14:paraId="599BE042">
            <w:pPr>
              <w:autoSpaceDE w:val="0"/>
              <w:autoSpaceDN w:val="0"/>
              <w:rPr>
                <w:rFonts w:hint="eastAsia" w:ascii="宋体" w:hAnsi="宋体"/>
                <w:b/>
                <w:color w:val="000000"/>
                <w:w w:val="90"/>
                <w:szCs w:val="21"/>
              </w:rPr>
            </w:pPr>
            <w:r>
              <w:rPr>
                <w:rFonts w:ascii="宋体" w:hAnsi="宋体"/>
                <w:b/>
                <w:color w:val="000000"/>
                <w:w w:val="90"/>
                <w:szCs w:val="21"/>
              </w:rPr>
              <w:t>HJ2537水性涂料</w:t>
            </w:r>
          </w:p>
        </w:tc>
      </w:tr>
      <w:tr w14:paraId="3DAD2F4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658FA672">
            <w:pPr>
              <w:autoSpaceDE w:val="0"/>
              <w:autoSpaceDN w:val="0"/>
              <w:jc w:val="center"/>
              <w:rPr>
                <w:rFonts w:hint="eastAsia" w:ascii="宋体" w:hAnsi="宋体"/>
                <w:b/>
                <w:color w:val="000000"/>
                <w:w w:val="90"/>
                <w:szCs w:val="21"/>
              </w:rPr>
            </w:pPr>
            <w:r>
              <w:rPr>
                <w:rFonts w:ascii="宋体" w:hAnsi="宋体"/>
                <w:b/>
                <w:color w:val="000000"/>
                <w:w w:val="90"/>
                <w:szCs w:val="21"/>
              </w:rPr>
              <w:t>46</w:t>
            </w:r>
          </w:p>
        </w:tc>
        <w:tc>
          <w:tcPr>
            <w:tcW w:w="1985" w:type="dxa"/>
            <w:noWrap/>
            <w:vAlign w:val="center"/>
          </w:tcPr>
          <w:p w14:paraId="52F148B7">
            <w:pPr>
              <w:autoSpaceDE w:val="0"/>
              <w:autoSpaceDN w:val="0"/>
              <w:rPr>
                <w:rFonts w:hint="eastAsia" w:ascii="宋体" w:hAnsi="宋体"/>
                <w:b/>
                <w:color w:val="000000"/>
                <w:w w:val="90"/>
                <w:szCs w:val="21"/>
              </w:rPr>
            </w:pPr>
            <w:r>
              <w:rPr>
                <w:rFonts w:ascii="宋体" w:hAnsi="宋体"/>
                <w:b/>
                <w:color w:val="000000"/>
                <w:w w:val="90"/>
                <w:szCs w:val="21"/>
              </w:rPr>
              <w:t>A100701门、门槛</w:t>
            </w:r>
          </w:p>
        </w:tc>
        <w:tc>
          <w:tcPr>
            <w:tcW w:w="2268" w:type="dxa"/>
            <w:noWrap/>
            <w:vAlign w:val="center"/>
          </w:tcPr>
          <w:p w14:paraId="0D7F8480">
            <w:pPr>
              <w:autoSpaceDE w:val="0"/>
              <w:autoSpaceDN w:val="0"/>
              <w:rPr>
                <w:rFonts w:hint="eastAsia" w:ascii="宋体" w:hAnsi="宋体"/>
                <w:b/>
                <w:color w:val="000000"/>
                <w:w w:val="90"/>
                <w:szCs w:val="21"/>
              </w:rPr>
            </w:pPr>
          </w:p>
        </w:tc>
        <w:tc>
          <w:tcPr>
            <w:tcW w:w="1855" w:type="dxa"/>
            <w:noWrap/>
            <w:vAlign w:val="center"/>
          </w:tcPr>
          <w:p w14:paraId="700AEB2E">
            <w:pPr>
              <w:autoSpaceDE w:val="0"/>
              <w:autoSpaceDN w:val="0"/>
              <w:rPr>
                <w:rFonts w:hint="eastAsia" w:ascii="宋体" w:hAnsi="宋体"/>
                <w:b/>
                <w:color w:val="000000"/>
                <w:w w:val="90"/>
                <w:szCs w:val="21"/>
              </w:rPr>
            </w:pPr>
          </w:p>
        </w:tc>
        <w:tc>
          <w:tcPr>
            <w:tcW w:w="2736" w:type="dxa"/>
            <w:noWrap/>
            <w:vAlign w:val="center"/>
          </w:tcPr>
          <w:p w14:paraId="6DED24E4">
            <w:pPr>
              <w:autoSpaceDE w:val="0"/>
              <w:autoSpaceDN w:val="0"/>
              <w:rPr>
                <w:rFonts w:hint="eastAsia" w:ascii="宋体" w:hAnsi="宋体"/>
                <w:b/>
                <w:color w:val="000000"/>
                <w:w w:val="90"/>
                <w:szCs w:val="21"/>
              </w:rPr>
            </w:pPr>
            <w:r>
              <w:rPr>
                <w:rFonts w:ascii="宋体" w:hAnsi="宋体"/>
                <w:b/>
                <w:color w:val="000000"/>
                <w:w w:val="90"/>
                <w:szCs w:val="21"/>
              </w:rPr>
              <w:t>HJ/T 237塑料门窗/HJ459 木质门和钢质门</w:t>
            </w:r>
          </w:p>
        </w:tc>
      </w:tr>
      <w:tr w14:paraId="6583123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37FC42D0">
            <w:pPr>
              <w:autoSpaceDE w:val="0"/>
              <w:autoSpaceDN w:val="0"/>
              <w:jc w:val="center"/>
              <w:rPr>
                <w:rFonts w:hint="eastAsia" w:ascii="宋体" w:hAnsi="宋体"/>
                <w:b/>
                <w:color w:val="000000"/>
                <w:w w:val="90"/>
                <w:szCs w:val="21"/>
              </w:rPr>
            </w:pPr>
            <w:r>
              <w:rPr>
                <w:rFonts w:ascii="宋体" w:hAnsi="宋体"/>
                <w:b/>
                <w:color w:val="000000"/>
                <w:w w:val="90"/>
                <w:szCs w:val="21"/>
              </w:rPr>
              <w:t>47</w:t>
            </w:r>
          </w:p>
        </w:tc>
        <w:tc>
          <w:tcPr>
            <w:tcW w:w="1985" w:type="dxa"/>
            <w:noWrap/>
            <w:vAlign w:val="center"/>
          </w:tcPr>
          <w:p w14:paraId="639BF4FC">
            <w:pPr>
              <w:autoSpaceDE w:val="0"/>
              <w:autoSpaceDN w:val="0"/>
              <w:rPr>
                <w:rFonts w:hint="eastAsia" w:ascii="宋体" w:hAnsi="宋体"/>
                <w:b/>
                <w:color w:val="000000"/>
                <w:w w:val="90"/>
                <w:szCs w:val="21"/>
              </w:rPr>
            </w:pPr>
            <w:r>
              <w:rPr>
                <w:rFonts w:ascii="宋体" w:hAnsi="宋体"/>
                <w:b/>
                <w:color w:val="000000"/>
                <w:w w:val="90"/>
                <w:szCs w:val="21"/>
              </w:rPr>
              <w:t>A100702窗</w:t>
            </w:r>
          </w:p>
        </w:tc>
        <w:tc>
          <w:tcPr>
            <w:tcW w:w="2268" w:type="dxa"/>
            <w:noWrap/>
            <w:vAlign w:val="center"/>
          </w:tcPr>
          <w:p w14:paraId="71125610">
            <w:pPr>
              <w:autoSpaceDE w:val="0"/>
              <w:autoSpaceDN w:val="0"/>
              <w:rPr>
                <w:rFonts w:hint="eastAsia" w:ascii="宋体" w:hAnsi="宋体"/>
                <w:b/>
                <w:color w:val="000000"/>
                <w:w w:val="90"/>
                <w:szCs w:val="21"/>
              </w:rPr>
            </w:pPr>
          </w:p>
        </w:tc>
        <w:tc>
          <w:tcPr>
            <w:tcW w:w="1855" w:type="dxa"/>
            <w:noWrap/>
            <w:vAlign w:val="center"/>
          </w:tcPr>
          <w:p w14:paraId="677CA0F1">
            <w:pPr>
              <w:autoSpaceDE w:val="0"/>
              <w:autoSpaceDN w:val="0"/>
              <w:rPr>
                <w:rFonts w:hint="eastAsia" w:ascii="宋体" w:hAnsi="宋体"/>
                <w:b/>
                <w:color w:val="000000"/>
                <w:w w:val="90"/>
                <w:szCs w:val="21"/>
              </w:rPr>
            </w:pPr>
          </w:p>
        </w:tc>
        <w:tc>
          <w:tcPr>
            <w:tcW w:w="2736" w:type="dxa"/>
            <w:noWrap/>
            <w:vAlign w:val="center"/>
          </w:tcPr>
          <w:p w14:paraId="33372494">
            <w:pPr>
              <w:autoSpaceDE w:val="0"/>
              <w:autoSpaceDN w:val="0"/>
              <w:rPr>
                <w:rFonts w:hint="eastAsia" w:ascii="宋体" w:hAnsi="宋体"/>
                <w:b/>
                <w:color w:val="000000"/>
                <w:w w:val="90"/>
                <w:szCs w:val="21"/>
              </w:rPr>
            </w:pPr>
            <w:r>
              <w:rPr>
                <w:rFonts w:ascii="宋体" w:hAnsi="宋体"/>
                <w:b/>
                <w:color w:val="000000"/>
                <w:w w:val="90"/>
                <w:szCs w:val="21"/>
              </w:rPr>
              <w:t>HJ/T237塑料门窗</w:t>
            </w:r>
          </w:p>
        </w:tc>
      </w:tr>
      <w:tr w14:paraId="5E73D7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705F8B25">
            <w:pPr>
              <w:autoSpaceDE w:val="0"/>
              <w:autoSpaceDN w:val="0"/>
              <w:jc w:val="center"/>
              <w:rPr>
                <w:rFonts w:hint="eastAsia" w:ascii="宋体" w:hAnsi="宋体"/>
                <w:b/>
                <w:color w:val="000000"/>
                <w:w w:val="90"/>
                <w:szCs w:val="21"/>
              </w:rPr>
            </w:pPr>
            <w:r>
              <w:rPr>
                <w:rFonts w:ascii="宋体" w:hAnsi="宋体"/>
                <w:b/>
                <w:color w:val="000000"/>
                <w:w w:val="90"/>
                <w:szCs w:val="21"/>
              </w:rPr>
              <w:t>48</w:t>
            </w:r>
          </w:p>
        </w:tc>
        <w:tc>
          <w:tcPr>
            <w:tcW w:w="1985" w:type="dxa"/>
            <w:noWrap/>
            <w:vAlign w:val="center"/>
          </w:tcPr>
          <w:p w14:paraId="1C69F43E">
            <w:pPr>
              <w:autoSpaceDE w:val="0"/>
              <w:autoSpaceDN w:val="0"/>
              <w:rPr>
                <w:rFonts w:hint="eastAsia" w:ascii="宋体" w:hAnsi="宋体"/>
                <w:b/>
                <w:color w:val="000000"/>
                <w:w w:val="90"/>
                <w:szCs w:val="21"/>
              </w:rPr>
            </w:pPr>
            <w:r>
              <w:rPr>
                <w:rFonts w:ascii="宋体" w:hAnsi="宋体"/>
                <w:b/>
                <w:color w:val="000000"/>
                <w:w w:val="90"/>
                <w:szCs w:val="21"/>
              </w:rPr>
              <w:t>A170108涂料（建筑涂料除外）</w:t>
            </w:r>
          </w:p>
        </w:tc>
        <w:tc>
          <w:tcPr>
            <w:tcW w:w="2268" w:type="dxa"/>
            <w:noWrap/>
            <w:vAlign w:val="center"/>
          </w:tcPr>
          <w:p w14:paraId="27CBB449">
            <w:pPr>
              <w:autoSpaceDE w:val="0"/>
              <w:autoSpaceDN w:val="0"/>
              <w:rPr>
                <w:rFonts w:hint="eastAsia" w:ascii="宋体" w:hAnsi="宋体"/>
                <w:b/>
                <w:color w:val="000000"/>
                <w:w w:val="90"/>
                <w:szCs w:val="21"/>
              </w:rPr>
            </w:pPr>
          </w:p>
        </w:tc>
        <w:tc>
          <w:tcPr>
            <w:tcW w:w="1855" w:type="dxa"/>
            <w:noWrap/>
            <w:vAlign w:val="center"/>
          </w:tcPr>
          <w:p w14:paraId="4CD00C1E">
            <w:pPr>
              <w:autoSpaceDE w:val="0"/>
              <w:autoSpaceDN w:val="0"/>
              <w:rPr>
                <w:rFonts w:hint="eastAsia" w:ascii="宋体" w:hAnsi="宋体"/>
                <w:b/>
                <w:color w:val="000000"/>
                <w:w w:val="90"/>
                <w:szCs w:val="21"/>
              </w:rPr>
            </w:pPr>
          </w:p>
        </w:tc>
        <w:tc>
          <w:tcPr>
            <w:tcW w:w="2736" w:type="dxa"/>
            <w:noWrap/>
            <w:vAlign w:val="center"/>
          </w:tcPr>
          <w:p w14:paraId="646DAC32">
            <w:pPr>
              <w:autoSpaceDE w:val="0"/>
              <w:autoSpaceDN w:val="0"/>
              <w:rPr>
                <w:rFonts w:hint="eastAsia" w:ascii="宋体" w:hAnsi="宋体"/>
                <w:b/>
                <w:color w:val="000000"/>
                <w:w w:val="90"/>
                <w:szCs w:val="21"/>
              </w:rPr>
            </w:pPr>
            <w:r>
              <w:rPr>
                <w:rFonts w:ascii="宋体" w:hAnsi="宋体"/>
                <w:b/>
                <w:color w:val="000000"/>
                <w:w w:val="90"/>
                <w:szCs w:val="21"/>
              </w:rPr>
              <w:t>HJ2537水性涂料</w:t>
            </w:r>
          </w:p>
        </w:tc>
      </w:tr>
      <w:tr w14:paraId="283B52C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1D0ED6BC">
            <w:pPr>
              <w:autoSpaceDE w:val="0"/>
              <w:autoSpaceDN w:val="0"/>
              <w:jc w:val="center"/>
              <w:rPr>
                <w:rFonts w:hint="eastAsia" w:ascii="宋体" w:hAnsi="宋体"/>
                <w:b/>
                <w:color w:val="000000"/>
                <w:w w:val="90"/>
                <w:szCs w:val="21"/>
              </w:rPr>
            </w:pPr>
            <w:r>
              <w:rPr>
                <w:rFonts w:ascii="宋体" w:hAnsi="宋体"/>
                <w:b/>
                <w:color w:val="000000"/>
                <w:w w:val="90"/>
                <w:szCs w:val="21"/>
              </w:rPr>
              <w:t>49</w:t>
            </w:r>
          </w:p>
        </w:tc>
        <w:tc>
          <w:tcPr>
            <w:tcW w:w="1985" w:type="dxa"/>
            <w:noWrap/>
            <w:vAlign w:val="center"/>
          </w:tcPr>
          <w:p w14:paraId="5D50B42D">
            <w:pPr>
              <w:autoSpaceDE w:val="0"/>
              <w:autoSpaceDN w:val="0"/>
              <w:rPr>
                <w:rFonts w:hint="eastAsia" w:ascii="宋体" w:hAnsi="宋体"/>
                <w:b/>
                <w:color w:val="000000"/>
                <w:w w:val="90"/>
                <w:szCs w:val="21"/>
              </w:rPr>
            </w:pPr>
            <w:r>
              <w:rPr>
                <w:rFonts w:ascii="宋体" w:hAnsi="宋体"/>
                <w:b/>
                <w:color w:val="000000"/>
                <w:w w:val="90"/>
                <w:szCs w:val="21"/>
              </w:rPr>
              <w:t>A170112密封用填料及类似品</w:t>
            </w:r>
          </w:p>
        </w:tc>
        <w:tc>
          <w:tcPr>
            <w:tcW w:w="2268" w:type="dxa"/>
            <w:noWrap/>
            <w:vAlign w:val="center"/>
          </w:tcPr>
          <w:p w14:paraId="7C1CFFEE">
            <w:pPr>
              <w:autoSpaceDE w:val="0"/>
              <w:autoSpaceDN w:val="0"/>
              <w:rPr>
                <w:rFonts w:hint="eastAsia" w:ascii="宋体" w:hAnsi="宋体"/>
                <w:b/>
                <w:color w:val="000000"/>
                <w:w w:val="90"/>
                <w:szCs w:val="21"/>
              </w:rPr>
            </w:pPr>
          </w:p>
        </w:tc>
        <w:tc>
          <w:tcPr>
            <w:tcW w:w="1855" w:type="dxa"/>
            <w:noWrap/>
            <w:vAlign w:val="center"/>
          </w:tcPr>
          <w:p w14:paraId="7F9348A4">
            <w:pPr>
              <w:autoSpaceDE w:val="0"/>
              <w:autoSpaceDN w:val="0"/>
              <w:rPr>
                <w:rFonts w:hint="eastAsia" w:ascii="宋体" w:hAnsi="宋体"/>
                <w:b/>
                <w:color w:val="000000"/>
                <w:w w:val="90"/>
                <w:szCs w:val="21"/>
              </w:rPr>
            </w:pPr>
          </w:p>
        </w:tc>
        <w:tc>
          <w:tcPr>
            <w:tcW w:w="2736" w:type="dxa"/>
            <w:noWrap/>
            <w:vAlign w:val="center"/>
          </w:tcPr>
          <w:p w14:paraId="5056AD18">
            <w:pPr>
              <w:autoSpaceDE w:val="0"/>
              <w:autoSpaceDN w:val="0"/>
              <w:rPr>
                <w:rFonts w:hint="eastAsia" w:ascii="宋体" w:hAnsi="宋体"/>
                <w:b/>
                <w:color w:val="000000"/>
                <w:w w:val="90"/>
                <w:szCs w:val="21"/>
              </w:rPr>
            </w:pPr>
            <w:r>
              <w:rPr>
                <w:rFonts w:ascii="宋体" w:hAnsi="宋体"/>
                <w:b/>
                <w:color w:val="000000"/>
                <w:w w:val="90"/>
                <w:szCs w:val="21"/>
              </w:rPr>
              <w:t>HJ2541胶粘剂</w:t>
            </w:r>
          </w:p>
        </w:tc>
      </w:tr>
      <w:tr w14:paraId="2414A8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14:paraId="06E27236">
            <w:pPr>
              <w:autoSpaceDE w:val="0"/>
              <w:autoSpaceDN w:val="0"/>
              <w:jc w:val="center"/>
              <w:rPr>
                <w:rFonts w:hint="eastAsia" w:ascii="宋体" w:hAnsi="宋体"/>
                <w:b/>
                <w:color w:val="000000"/>
                <w:w w:val="90"/>
                <w:szCs w:val="21"/>
              </w:rPr>
            </w:pPr>
            <w:r>
              <w:rPr>
                <w:rFonts w:ascii="宋体" w:hAnsi="宋体"/>
                <w:b/>
                <w:color w:val="000000"/>
                <w:w w:val="90"/>
                <w:szCs w:val="21"/>
              </w:rPr>
              <w:t>50</w:t>
            </w:r>
          </w:p>
        </w:tc>
        <w:tc>
          <w:tcPr>
            <w:tcW w:w="1985" w:type="dxa"/>
            <w:noWrap/>
            <w:vAlign w:val="center"/>
          </w:tcPr>
          <w:p w14:paraId="384428A8">
            <w:pPr>
              <w:autoSpaceDE w:val="0"/>
              <w:autoSpaceDN w:val="0"/>
              <w:rPr>
                <w:rFonts w:hint="eastAsia" w:ascii="宋体" w:hAnsi="宋体"/>
                <w:b/>
                <w:color w:val="000000"/>
                <w:w w:val="90"/>
                <w:szCs w:val="21"/>
              </w:rPr>
            </w:pPr>
            <w:r>
              <w:rPr>
                <w:rFonts w:ascii="宋体" w:hAnsi="宋体"/>
                <w:b/>
                <w:color w:val="000000"/>
                <w:w w:val="90"/>
                <w:szCs w:val="21"/>
              </w:rPr>
              <w:t>A180201塑料制品</w:t>
            </w:r>
          </w:p>
        </w:tc>
        <w:tc>
          <w:tcPr>
            <w:tcW w:w="2268" w:type="dxa"/>
            <w:noWrap/>
            <w:vAlign w:val="center"/>
          </w:tcPr>
          <w:p w14:paraId="29D880DC">
            <w:pPr>
              <w:autoSpaceDE w:val="0"/>
              <w:autoSpaceDN w:val="0"/>
              <w:rPr>
                <w:rFonts w:hint="eastAsia" w:ascii="宋体" w:hAnsi="宋体"/>
                <w:b/>
                <w:color w:val="000000"/>
                <w:w w:val="90"/>
                <w:szCs w:val="21"/>
              </w:rPr>
            </w:pPr>
          </w:p>
        </w:tc>
        <w:tc>
          <w:tcPr>
            <w:tcW w:w="1855" w:type="dxa"/>
            <w:noWrap/>
            <w:vAlign w:val="center"/>
          </w:tcPr>
          <w:p w14:paraId="71D44ADD">
            <w:pPr>
              <w:autoSpaceDE w:val="0"/>
              <w:autoSpaceDN w:val="0"/>
              <w:rPr>
                <w:rFonts w:hint="eastAsia" w:ascii="宋体" w:hAnsi="宋体"/>
                <w:b/>
                <w:color w:val="000000"/>
                <w:w w:val="90"/>
                <w:szCs w:val="21"/>
              </w:rPr>
            </w:pPr>
          </w:p>
        </w:tc>
        <w:tc>
          <w:tcPr>
            <w:tcW w:w="2736" w:type="dxa"/>
            <w:noWrap/>
            <w:vAlign w:val="center"/>
          </w:tcPr>
          <w:p w14:paraId="78490368">
            <w:pPr>
              <w:autoSpaceDE w:val="0"/>
              <w:autoSpaceDN w:val="0"/>
              <w:rPr>
                <w:rFonts w:hint="eastAsia" w:ascii="宋体" w:hAnsi="宋体"/>
                <w:b/>
                <w:color w:val="000000"/>
                <w:w w:val="90"/>
                <w:szCs w:val="21"/>
              </w:rPr>
            </w:pPr>
            <w:r>
              <w:rPr>
                <w:rFonts w:ascii="宋体" w:hAnsi="宋体"/>
                <w:b/>
                <w:color w:val="000000"/>
                <w:w w:val="90"/>
                <w:szCs w:val="21"/>
              </w:rPr>
              <w:t>HJ/T226建筑用塑料管材/HJ/T231 再生塑料制品</w:t>
            </w:r>
          </w:p>
        </w:tc>
      </w:tr>
    </w:tbl>
    <w:p w14:paraId="47851992">
      <w:pPr>
        <w:autoSpaceDE w:val="0"/>
        <w:autoSpaceDN w:val="0"/>
        <w:spacing w:line="360" w:lineRule="auto"/>
        <w:ind w:left="-850" w:leftChars="-405" w:right="-1050" w:rightChars="-500" w:firstLine="382" w:firstLineChars="201"/>
        <w:rPr>
          <w:rFonts w:hint="eastAsia" w:ascii="宋体" w:hAnsi="宋体" w:cs="宋体"/>
          <w:color w:val="000000"/>
          <w:kern w:val="0"/>
          <w:sz w:val="28"/>
        </w:rPr>
      </w:pPr>
      <w:r>
        <w:rPr>
          <w:rFonts w:ascii="宋体" w:hAnsi="宋体"/>
          <w:b/>
          <w:color w:val="000000"/>
          <w:w w:val="90"/>
        </w:rPr>
        <w:t>注：环境标志产品认证应依据相关标准的最新版本</w:t>
      </w:r>
      <w:r>
        <w:rPr>
          <w:rFonts w:hint="eastAsia" w:ascii="宋体" w:hAnsi="宋体"/>
          <w:b/>
          <w:color w:val="000000"/>
          <w:w w:val="90"/>
        </w:rPr>
        <w:t>。</w:t>
      </w:r>
    </w:p>
    <w:p w14:paraId="5832D19A">
      <w:pPr>
        <w:keepNext/>
        <w:keepLines/>
        <w:autoSpaceDE w:val="0"/>
        <w:autoSpaceDN w:val="0"/>
        <w:spacing w:before="240" w:line="360" w:lineRule="auto"/>
        <w:jc w:val="left"/>
        <w:outlineLvl w:val="2"/>
        <w:rPr>
          <w:rFonts w:hint="eastAsia" w:ascii="华文中宋" w:hAnsi="华文中宋" w:eastAsia="华文中宋"/>
          <w:b/>
          <w:bCs/>
          <w:color w:val="000000"/>
          <w:kern w:val="0"/>
          <w:sz w:val="30"/>
        </w:rPr>
      </w:pPr>
      <w:r>
        <w:rPr>
          <w:rFonts w:ascii="华文中宋" w:hAnsi="华文中宋" w:eastAsia="华文中宋"/>
          <w:b/>
          <w:bCs/>
          <w:color w:val="000000"/>
          <w:kern w:val="0"/>
          <w:sz w:val="30"/>
        </w:rPr>
        <w:br w:type="page"/>
      </w:r>
      <w:bookmarkStart w:id="237" w:name="_Toc7574705"/>
      <w:bookmarkStart w:id="238" w:name="_Toc7492528"/>
      <w:bookmarkStart w:id="239" w:name="_Toc7668950"/>
      <w:bookmarkStart w:id="240" w:name="_Toc7663597"/>
      <w:bookmarkStart w:id="241" w:name="_Toc7664197"/>
      <w:bookmarkStart w:id="242" w:name="_Toc8007005"/>
      <w:bookmarkStart w:id="243" w:name="_Toc17428254"/>
      <w:bookmarkStart w:id="244" w:name="_Toc7488759"/>
      <w:bookmarkStart w:id="245" w:name="_Toc7988421"/>
      <w:bookmarkStart w:id="246" w:name="_Toc7993641"/>
      <w:bookmarkStart w:id="247" w:name="_Toc24471818"/>
      <w:bookmarkStart w:id="248" w:name="_Toc7542916"/>
      <w:bookmarkStart w:id="249" w:name="_Toc25765010"/>
      <w:bookmarkStart w:id="250" w:name="_Toc7988475"/>
      <w:bookmarkStart w:id="251" w:name="_Toc20358292"/>
      <w:bookmarkStart w:id="252" w:name="_Toc17428349"/>
      <w:bookmarkStart w:id="253" w:name="_Toc10432458"/>
      <w:r>
        <w:rPr>
          <w:rFonts w:hint="eastAsia" w:ascii="华文中宋" w:hAnsi="华文中宋" w:eastAsia="华文中宋"/>
          <w:b/>
          <w:bCs/>
          <w:color w:val="000000"/>
          <w:kern w:val="0"/>
          <w:sz w:val="30"/>
        </w:rPr>
        <w:t>五、市场监管总局关于发布参与实施政府采购节能产品、环境标志产品认证机构名录的公告（2019年第16号）</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309FD970">
      <w:pPr>
        <w:widowControl/>
        <w:shd w:val="clear" w:color="auto" w:fill="FFFFFF"/>
        <w:autoSpaceDE w:val="0"/>
        <w:autoSpaceDN w:val="0"/>
        <w:spacing w:before="68" w:after="299" w:line="360" w:lineRule="auto"/>
        <w:jc w:val="center"/>
        <w:textAlignment w:val="baseline"/>
        <w:rPr>
          <w:rFonts w:hint="eastAsia" w:ascii="华文中宋" w:hAnsi="华文中宋" w:eastAsia="华文中宋" w:cs="宋体"/>
          <w:b/>
          <w:color w:val="000000"/>
          <w:kern w:val="0"/>
          <w:sz w:val="28"/>
        </w:rPr>
      </w:pPr>
    </w:p>
    <w:p w14:paraId="7F656504">
      <w:pPr>
        <w:widowControl/>
        <w:shd w:val="clear" w:color="auto" w:fill="FFFFFF"/>
        <w:autoSpaceDE w:val="0"/>
        <w:autoSpaceDN w:val="0"/>
        <w:spacing w:before="68" w:after="299" w:line="360" w:lineRule="auto"/>
        <w:jc w:val="center"/>
        <w:textAlignment w:val="baseline"/>
        <w:rPr>
          <w:rFonts w:hint="eastAsia" w:ascii="华文中宋" w:hAnsi="华文中宋" w:eastAsia="华文中宋" w:cs="宋体"/>
          <w:b/>
          <w:color w:val="000000"/>
          <w:kern w:val="0"/>
          <w:sz w:val="36"/>
        </w:rPr>
      </w:pPr>
      <w:r>
        <w:rPr>
          <w:rFonts w:hint="eastAsia" w:ascii="华文中宋" w:hAnsi="华文中宋" w:eastAsia="华文中宋" w:cs="宋体"/>
          <w:b/>
          <w:color w:val="000000"/>
          <w:kern w:val="0"/>
          <w:sz w:val="36"/>
        </w:rPr>
        <w:t>市场监管总局关于发布参与实施政府采购节能产品、环境</w:t>
      </w:r>
    </w:p>
    <w:p w14:paraId="6FE147A8">
      <w:pPr>
        <w:widowControl/>
        <w:shd w:val="clear" w:color="auto" w:fill="FFFFFF"/>
        <w:autoSpaceDE w:val="0"/>
        <w:autoSpaceDN w:val="0"/>
        <w:spacing w:before="68" w:after="299" w:line="360" w:lineRule="auto"/>
        <w:jc w:val="center"/>
        <w:textAlignment w:val="baseline"/>
        <w:rPr>
          <w:rFonts w:hint="eastAsia" w:ascii="华文中宋" w:hAnsi="华文中宋" w:eastAsia="华文中宋" w:cs="宋体"/>
          <w:b/>
          <w:color w:val="000000"/>
          <w:kern w:val="0"/>
          <w:sz w:val="24"/>
        </w:rPr>
      </w:pPr>
      <w:r>
        <w:rPr>
          <w:rFonts w:hint="eastAsia" w:ascii="华文中宋" w:hAnsi="华文中宋" w:eastAsia="华文中宋" w:cs="宋体"/>
          <w:b/>
          <w:color w:val="000000"/>
          <w:kern w:val="0"/>
          <w:sz w:val="36"/>
        </w:rPr>
        <w:t>标志产品认证机构名录的公告</w:t>
      </w:r>
    </w:p>
    <w:p w14:paraId="3086E5F4">
      <w:pPr>
        <w:widowControl/>
        <w:shd w:val="clear" w:color="auto" w:fill="FFFFFF"/>
        <w:autoSpaceDE w:val="0"/>
        <w:autoSpaceDN w:val="0"/>
        <w:spacing w:before="68" w:after="299" w:line="360" w:lineRule="auto"/>
        <w:jc w:val="center"/>
        <w:textAlignment w:val="baseline"/>
        <w:rPr>
          <w:rFonts w:hint="eastAsia" w:ascii="仿宋" w:hAnsi="仿宋" w:eastAsia="仿宋" w:cs="宋体"/>
          <w:color w:val="000000"/>
          <w:kern w:val="0"/>
          <w:sz w:val="24"/>
        </w:rPr>
      </w:pPr>
      <w:r>
        <w:rPr>
          <w:rFonts w:hint="eastAsia" w:ascii="仿宋" w:hAnsi="仿宋" w:eastAsia="仿宋" w:cs="宋体"/>
          <w:color w:val="000000"/>
          <w:kern w:val="0"/>
          <w:sz w:val="24"/>
        </w:rPr>
        <w:t>2019年第16号</w:t>
      </w:r>
    </w:p>
    <w:p w14:paraId="42308719">
      <w:pPr>
        <w:widowControl/>
        <w:shd w:val="clear" w:color="auto" w:fill="FFFFFF"/>
        <w:autoSpaceDE w:val="0"/>
        <w:autoSpaceDN w:val="0"/>
        <w:spacing w:before="68" w:after="299" w:line="360" w:lineRule="auto"/>
        <w:ind w:firstLine="424" w:firstLineChars="177"/>
        <w:jc w:val="left"/>
        <w:textAlignment w:val="baseline"/>
        <w:rPr>
          <w:rFonts w:hint="eastAsia" w:ascii="仿宋" w:hAnsi="仿宋" w:eastAsia="仿宋" w:cs="宋体"/>
          <w:color w:val="000000"/>
          <w:kern w:val="0"/>
          <w:sz w:val="24"/>
        </w:rPr>
      </w:pPr>
      <w:r>
        <w:rPr>
          <w:rFonts w:hint="eastAsia" w:ascii="仿宋" w:hAnsi="仿宋" w:eastAsia="仿宋" w:cs="宋体"/>
          <w:color w:val="000000"/>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5ABBB288">
      <w:pPr>
        <w:widowControl/>
        <w:shd w:val="clear" w:color="auto" w:fill="FFFFFF"/>
        <w:autoSpaceDE w:val="0"/>
        <w:autoSpaceDN w:val="0"/>
        <w:spacing w:before="68" w:after="299" w:line="360" w:lineRule="auto"/>
        <w:ind w:firstLine="424" w:firstLineChars="177"/>
        <w:jc w:val="left"/>
        <w:textAlignment w:val="baseline"/>
        <w:rPr>
          <w:rFonts w:hint="eastAsia" w:ascii="仿宋" w:hAnsi="仿宋" w:eastAsia="仿宋" w:cs="宋体"/>
          <w:color w:val="000000"/>
          <w:kern w:val="0"/>
          <w:sz w:val="24"/>
        </w:rPr>
      </w:pPr>
      <w:r>
        <w:rPr>
          <w:rFonts w:hint="eastAsia" w:ascii="仿宋" w:hAnsi="仿宋" w:eastAsia="仿宋" w:cs="宋体"/>
          <w:color w:val="000000"/>
          <w:kern w:val="0"/>
          <w:sz w:val="24"/>
        </w:rPr>
        <w:t>自本公告发布后，新增认证机构应尽快完成政府采购认证信息系统对接，对接完成后方可开展相关认证工作。</w:t>
      </w:r>
    </w:p>
    <w:p w14:paraId="6DBCED2F">
      <w:pPr>
        <w:widowControl/>
        <w:shd w:val="clear" w:color="auto" w:fill="FFFFFF"/>
        <w:autoSpaceDE w:val="0"/>
        <w:autoSpaceDN w:val="0"/>
        <w:spacing w:before="68" w:after="299" w:line="360" w:lineRule="auto"/>
        <w:jc w:val="right"/>
        <w:textAlignment w:val="baseline"/>
        <w:rPr>
          <w:rFonts w:hint="eastAsia" w:ascii="仿宋" w:hAnsi="仿宋" w:eastAsia="仿宋" w:cs="宋体"/>
          <w:color w:val="000000"/>
          <w:kern w:val="0"/>
          <w:sz w:val="24"/>
        </w:rPr>
      </w:pPr>
      <w:r>
        <w:rPr>
          <w:rFonts w:hint="eastAsia" w:ascii="仿宋" w:hAnsi="仿宋" w:eastAsia="仿宋" w:cs="宋体"/>
          <w:color w:val="000000"/>
          <w:kern w:val="0"/>
          <w:sz w:val="24"/>
        </w:rPr>
        <w:t>市场监管总局</w:t>
      </w:r>
    </w:p>
    <w:p w14:paraId="03E425DB">
      <w:pPr>
        <w:widowControl/>
        <w:shd w:val="clear" w:color="auto" w:fill="FFFFFF"/>
        <w:autoSpaceDE w:val="0"/>
        <w:autoSpaceDN w:val="0"/>
        <w:spacing w:before="68" w:after="299" w:line="360" w:lineRule="auto"/>
        <w:jc w:val="right"/>
        <w:textAlignment w:val="baseline"/>
        <w:rPr>
          <w:rFonts w:hint="eastAsia" w:ascii="仿宋" w:hAnsi="仿宋" w:eastAsia="仿宋" w:cs="宋体"/>
          <w:color w:val="000000"/>
          <w:kern w:val="0"/>
          <w:sz w:val="24"/>
        </w:rPr>
      </w:pPr>
      <w:r>
        <w:rPr>
          <w:rFonts w:hint="eastAsia" w:ascii="仿宋" w:hAnsi="仿宋" w:eastAsia="仿宋" w:cs="宋体"/>
          <w:color w:val="000000"/>
          <w:kern w:val="0"/>
          <w:sz w:val="24"/>
        </w:rPr>
        <w:t>2019年4月3日</w:t>
      </w:r>
    </w:p>
    <w:p w14:paraId="628CE6BF">
      <w:pPr>
        <w:keepNext/>
        <w:keepLines/>
        <w:autoSpaceDE w:val="0"/>
        <w:autoSpaceDN w:val="0"/>
        <w:spacing w:before="240" w:line="360" w:lineRule="auto"/>
        <w:jc w:val="left"/>
        <w:outlineLvl w:val="3"/>
        <w:rPr>
          <w:rFonts w:hint="eastAsia" w:ascii="华文中宋" w:hAnsi="华文中宋" w:eastAsia="华文中宋"/>
          <w:b/>
          <w:bCs/>
          <w:color w:val="000000"/>
          <w:sz w:val="28"/>
          <w:szCs w:val="28"/>
        </w:rPr>
      </w:pPr>
      <w:r>
        <w:rPr>
          <w:rFonts w:ascii="华文中宋" w:hAnsi="华文中宋" w:eastAsia="华文中宋"/>
          <w:b/>
          <w:bCs/>
          <w:color w:val="000000"/>
          <w:sz w:val="28"/>
          <w:szCs w:val="28"/>
        </w:rPr>
        <w:br w:type="page"/>
      </w:r>
      <w:r>
        <w:rPr>
          <w:rFonts w:hint="eastAsia" w:ascii="华文中宋" w:hAnsi="华文中宋" w:eastAsia="华文中宋"/>
          <w:b/>
          <w:bCs/>
          <w:color w:val="000000"/>
          <w:sz w:val="28"/>
          <w:szCs w:val="28"/>
        </w:rPr>
        <w:t>附1：参与实施政府采购节能产品认证机构名录</w:t>
      </w:r>
    </w:p>
    <w:tbl>
      <w:tblPr>
        <w:tblStyle w:val="52"/>
        <w:tblW w:w="908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308"/>
        <w:gridCol w:w="1596"/>
        <w:gridCol w:w="3132"/>
      </w:tblGrid>
      <w:tr w14:paraId="702B06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shd w:val="clear" w:color="auto" w:fill="DAEEF3"/>
            <w:noWrap/>
            <w:tcMar>
              <w:top w:w="0" w:type="dxa"/>
              <w:left w:w="108" w:type="dxa"/>
              <w:bottom w:w="0" w:type="dxa"/>
              <w:right w:w="108" w:type="dxa"/>
            </w:tcMar>
            <w:vAlign w:val="center"/>
          </w:tcPr>
          <w:p w14:paraId="527D2353">
            <w:pPr>
              <w:widowControl/>
              <w:autoSpaceDE w:val="0"/>
              <w:autoSpaceDN w:val="0"/>
              <w:spacing w:line="276" w:lineRule="auto"/>
              <w:jc w:val="center"/>
              <w:textAlignment w:val="baseline"/>
              <w:rPr>
                <w:rFonts w:hint="eastAsia"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序号</w:t>
            </w:r>
          </w:p>
        </w:tc>
        <w:tc>
          <w:tcPr>
            <w:tcW w:w="2481" w:type="dxa"/>
            <w:gridSpan w:val="2"/>
            <w:shd w:val="clear" w:color="auto" w:fill="DAEEF3"/>
            <w:noWrap/>
            <w:tcMar>
              <w:top w:w="0" w:type="dxa"/>
              <w:left w:w="108" w:type="dxa"/>
              <w:bottom w:w="0" w:type="dxa"/>
              <w:right w:w="108" w:type="dxa"/>
            </w:tcMar>
            <w:vAlign w:val="center"/>
          </w:tcPr>
          <w:p w14:paraId="25C0FD3F">
            <w:pPr>
              <w:widowControl/>
              <w:autoSpaceDE w:val="0"/>
              <w:autoSpaceDN w:val="0"/>
              <w:spacing w:line="276" w:lineRule="auto"/>
              <w:jc w:val="center"/>
              <w:textAlignment w:val="baseline"/>
              <w:rPr>
                <w:rFonts w:hint="eastAsia"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一级目录</w:t>
            </w:r>
          </w:p>
        </w:tc>
        <w:tc>
          <w:tcPr>
            <w:tcW w:w="2904" w:type="dxa"/>
            <w:gridSpan w:val="2"/>
            <w:shd w:val="clear" w:color="auto" w:fill="DAEEF3"/>
            <w:noWrap/>
            <w:tcMar>
              <w:top w:w="0" w:type="dxa"/>
              <w:left w:w="108" w:type="dxa"/>
              <w:bottom w:w="0" w:type="dxa"/>
              <w:right w:w="108" w:type="dxa"/>
            </w:tcMar>
            <w:vAlign w:val="center"/>
          </w:tcPr>
          <w:p w14:paraId="77C02869">
            <w:pPr>
              <w:widowControl/>
              <w:autoSpaceDE w:val="0"/>
              <w:autoSpaceDN w:val="0"/>
              <w:spacing w:line="276" w:lineRule="auto"/>
              <w:jc w:val="center"/>
              <w:textAlignment w:val="baseline"/>
              <w:rPr>
                <w:rFonts w:hint="eastAsia"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二级目录</w:t>
            </w:r>
          </w:p>
        </w:tc>
        <w:tc>
          <w:tcPr>
            <w:tcW w:w="3132" w:type="dxa"/>
            <w:vMerge w:val="restart"/>
            <w:shd w:val="clear" w:color="auto" w:fill="DAEEF3"/>
            <w:noWrap/>
            <w:tcMar>
              <w:top w:w="0" w:type="dxa"/>
              <w:left w:w="108" w:type="dxa"/>
              <w:bottom w:w="0" w:type="dxa"/>
              <w:right w:w="108" w:type="dxa"/>
            </w:tcMar>
            <w:vAlign w:val="center"/>
          </w:tcPr>
          <w:p w14:paraId="21DB2BC6">
            <w:pPr>
              <w:widowControl/>
              <w:autoSpaceDE w:val="0"/>
              <w:autoSpaceDN w:val="0"/>
              <w:spacing w:line="276" w:lineRule="auto"/>
              <w:jc w:val="center"/>
              <w:textAlignment w:val="baseline"/>
              <w:rPr>
                <w:rFonts w:hint="eastAsia"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认证机构名录</w:t>
            </w:r>
          </w:p>
        </w:tc>
      </w:tr>
      <w:tr w14:paraId="27D399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shd w:val="clear" w:color="auto" w:fill="DAEEF3"/>
            <w:noWrap/>
            <w:tcMar>
              <w:top w:w="0" w:type="dxa"/>
              <w:left w:w="0" w:type="dxa"/>
              <w:bottom w:w="0" w:type="dxa"/>
              <w:right w:w="0" w:type="dxa"/>
            </w:tcMar>
            <w:vAlign w:val="center"/>
          </w:tcPr>
          <w:p w14:paraId="3DA51F7D">
            <w:pPr>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134" w:type="dxa"/>
            <w:shd w:val="clear" w:color="auto" w:fill="DAEEF3"/>
            <w:noWrap/>
            <w:tcMar>
              <w:top w:w="0" w:type="dxa"/>
              <w:left w:w="108" w:type="dxa"/>
              <w:bottom w:w="0" w:type="dxa"/>
              <w:right w:w="108" w:type="dxa"/>
            </w:tcMar>
            <w:vAlign w:val="center"/>
          </w:tcPr>
          <w:p w14:paraId="02B5C0E0">
            <w:pPr>
              <w:widowControl/>
              <w:autoSpaceDE w:val="0"/>
              <w:autoSpaceDN w:val="0"/>
              <w:spacing w:line="276" w:lineRule="auto"/>
              <w:jc w:val="center"/>
              <w:textAlignment w:val="baseline"/>
              <w:rPr>
                <w:rFonts w:hint="eastAsia"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产品代码</w:t>
            </w:r>
          </w:p>
        </w:tc>
        <w:tc>
          <w:tcPr>
            <w:tcW w:w="1347" w:type="dxa"/>
            <w:shd w:val="clear" w:color="auto" w:fill="DAEEF3"/>
            <w:noWrap/>
            <w:tcMar>
              <w:top w:w="0" w:type="dxa"/>
              <w:left w:w="0" w:type="dxa"/>
              <w:bottom w:w="0" w:type="dxa"/>
              <w:right w:w="0" w:type="dxa"/>
            </w:tcMar>
            <w:vAlign w:val="center"/>
          </w:tcPr>
          <w:p w14:paraId="11B50946">
            <w:pPr>
              <w:widowControl/>
              <w:autoSpaceDE w:val="0"/>
              <w:autoSpaceDN w:val="0"/>
              <w:spacing w:line="276" w:lineRule="auto"/>
              <w:jc w:val="center"/>
              <w:textAlignment w:val="baseline"/>
              <w:rPr>
                <w:rFonts w:hint="eastAsia"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产品名称</w:t>
            </w:r>
          </w:p>
        </w:tc>
        <w:tc>
          <w:tcPr>
            <w:tcW w:w="1308" w:type="dxa"/>
            <w:shd w:val="clear" w:color="auto" w:fill="DAEEF3"/>
            <w:noWrap/>
            <w:tcMar>
              <w:top w:w="0" w:type="dxa"/>
              <w:left w:w="0" w:type="dxa"/>
              <w:bottom w:w="0" w:type="dxa"/>
              <w:right w:w="0" w:type="dxa"/>
            </w:tcMar>
            <w:vAlign w:val="center"/>
          </w:tcPr>
          <w:p w14:paraId="6931893D">
            <w:pPr>
              <w:widowControl/>
              <w:autoSpaceDE w:val="0"/>
              <w:autoSpaceDN w:val="0"/>
              <w:spacing w:line="276" w:lineRule="auto"/>
              <w:jc w:val="center"/>
              <w:textAlignment w:val="baseline"/>
              <w:rPr>
                <w:rFonts w:hint="eastAsia"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产品代码</w:t>
            </w:r>
          </w:p>
        </w:tc>
        <w:tc>
          <w:tcPr>
            <w:tcW w:w="1596" w:type="dxa"/>
            <w:shd w:val="clear" w:color="auto" w:fill="DAEEF3"/>
            <w:noWrap/>
            <w:tcMar>
              <w:top w:w="0" w:type="dxa"/>
              <w:left w:w="0" w:type="dxa"/>
              <w:bottom w:w="0" w:type="dxa"/>
              <w:right w:w="0" w:type="dxa"/>
            </w:tcMar>
            <w:vAlign w:val="center"/>
          </w:tcPr>
          <w:p w14:paraId="2C6ACC97">
            <w:pPr>
              <w:widowControl/>
              <w:autoSpaceDE w:val="0"/>
              <w:autoSpaceDN w:val="0"/>
              <w:spacing w:line="276" w:lineRule="auto"/>
              <w:jc w:val="center"/>
              <w:textAlignment w:val="baseline"/>
              <w:rPr>
                <w:rFonts w:hint="eastAsia"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产品名称</w:t>
            </w:r>
          </w:p>
        </w:tc>
        <w:tc>
          <w:tcPr>
            <w:tcW w:w="3132" w:type="dxa"/>
            <w:vMerge w:val="continue"/>
            <w:shd w:val="clear" w:color="auto" w:fill="DAEEF3"/>
            <w:noWrap/>
            <w:tcMar>
              <w:top w:w="0" w:type="dxa"/>
              <w:left w:w="0" w:type="dxa"/>
              <w:bottom w:w="0" w:type="dxa"/>
              <w:right w:w="0" w:type="dxa"/>
            </w:tcMar>
            <w:vAlign w:val="center"/>
          </w:tcPr>
          <w:p w14:paraId="1837981F">
            <w:pPr>
              <w:autoSpaceDE w:val="0"/>
              <w:autoSpaceDN w:val="0"/>
              <w:spacing w:line="276" w:lineRule="auto"/>
              <w:jc w:val="left"/>
              <w:textAlignment w:val="baseline"/>
              <w:rPr>
                <w:rFonts w:hint="eastAsia" w:ascii="仿宋" w:hAnsi="仿宋" w:eastAsia="仿宋" w:cs="宋体"/>
                <w:color w:val="000000"/>
                <w:w w:val="90"/>
                <w:kern w:val="0"/>
                <w:sz w:val="22"/>
                <w:szCs w:val="22"/>
              </w:rPr>
            </w:pPr>
          </w:p>
        </w:tc>
      </w:tr>
      <w:tr w14:paraId="77D390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7BC3248D">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w:t>
            </w:r>
          </w:p>
        </w:tc>
        <w:tc>
          <w:tcPr>
            <w:tcW w:w="1134" w:type="dxa"/>
            <w:vMerge w:val="restart"/>
            <w:shd w:val="clear" w:color="auto" w:fill="FFFFFF"/>
            <w:noWrap/>
            <w:tcMar>
              <w:top w:w="0" w:type="dxa"/>
              <w:left w:w="108" w:type="dxa"/>
              <w:bottom w:w="0" w:type="dxa"/>
              <w:right w:w="108" w:type="dxa"/>
            </w:tcMar>
            <w:vAlign w:val="center"/>
          </w:tcPr>
          <w:p w14:paraId="085E30E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w:t>
            </w:r>
          </w:p>
        </w:tc>
        <w:tc>
          <w:tcPr>
            <w:tcW w:w="1347" w:type="dxa"/>
            <w:vMerge w:val="restart"/>
            <w:shd w:val="clear" w:color="auto" w:fill="FFFFFF"/>
            <w:noWrap/>
            <w:tcMar>
              <w:top w:w="0" w:type="dxa"/>
              <w:left w:w="108" w:type="dxa"/>
              <w:bottom w:w="0" w:type="dxa"/>
              <w:right w:w="108" w:type="dxa"/>
            </w:tcMar>
            <w:vAlign w:val="center"/>
          </w:tcPr>
          <w:p w14:paraId="2087F01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计算机设备</w:t>
            </w:r>
          </w:p>
        </w:tc>
        <w:tc>
          <w:tcPr>
            <w:tcW w:w="1308" w:type="dxa"/>
            <w:shd w:val="clear" w:color="auto" w:fill="FFFFFF"/>
            <w:noWrap/>
            <w:tcMar>
              <w:top w:w="0" w:type="dxa"/>
              <w:left w:w="108" w:type="dxa"/>
              <w:bottom w:w="0" w:type="dxa"/>
              <w:right w:w="108" w:type="dxa"/>
            </w:tcMar>
            <w:vAlign w:val="center"/>
          </w:tcPr>
          <w:p w14:paraId="1A1306E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A02010104</w:t>
            </w:r>
          </w:p>
        </w:tc>
        <w:tc>
          <w:tcPr>
            <w:tcW w:w="1596" w:type="dxa"/>
            <w:shd w:val="clear" w:color="auto" w:fill="FFFFFF"/>
            <w:noWrap/>
            <w:tcMar>
              <w:top w:w="0" w:type="dxa"/>
              <w:left w:w="108" w:type="dxa"/>
              <w:bottom w:w="0" w:type="dxa"/>
              <w:right w:w="108" w:type="dxa"/>
            </w:tcMar>
            <w:vAlign w:val="center"/>
          </w:tcPr>
          <w:p w14:paraId="66FC0C7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台式计算机</w:t>
            </w:r>
          </w:p>
        </w:tc>
        <w:tc>
          <w:tcPr>
            <w:tcW w:w="3132" w:type="dxa"/>
            <w:vMerge w:val="restart"/>
            <w:shd w:val="clear" w:color="auto" w:fill="FFFFFF"/>
            <w:noWrap/>
            <w:tcMar>
              <w:top w:w="0" w:type="dxa"/>
              <w:left w:w="108" w:type="dxa"/>
              <w:bottom w:w="0" w:type="dxa"/>
              <w:right w:w="108" w:type="dxa"/>
            </w:tcMar>
            <w:vAlign w:val="center"/>
          </w:tcPr>
          <w:p w14:paraId="6E769DB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578E9FE5">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北京赛西认证有限责任公司</w:t>
            </w:r>
          </w:p>
          <w:p w14:paraId="1599099B">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中国网络安全审查技术与认证中心</w:t>
            </w:r>
          </w:p>
          <w:p w14:paraId="2B124AFD">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广州赛宝认证中心服务有限公司</w:t>
            </w:r>
          </w:p>
        </w:tc>
      </w:tr>
      <w:tr w14:paraId="1B6D490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0A6B6C61">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56297305">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0F2E5FFC">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0124FFD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A02010105</w:t>
            </w:r>
          </w:p>
        </w:tc>
        <w:tc>
          <w:tcPr>
            <w:tcW w:w="1596" w:type="dxa"/>
            <w:shd w:val="clear" w:color="auto" w:fill="FFFFFF"/>
            <w:noWrap/>
            <w:tcMar>
              <w:top w:w="0" w:type="dxa"/>
              <w:left w:w="0" w:type="dxa"/>
              <w:bottom w:w="0" w:type="dxa"/>
              <w:right w:w="0" w:type="dxa"/>
            </w:tcMar>
            <w:vAlign w:val="center"/>
          </w:tcPr>
          <w:p w14:paraId="0378BFC5">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便携式计算机</w:t>
            </w:r>
          </w:p>
        </w:tc>
        <w:tc>
          <w:tcPr>
            <w:tcW w:w="3132" w:type="dxa"/>
            <w:vMerge w:val="continue"/>
            <w:shd w:val="clear" w:color="auto" w:fill="FFFFFF"/>
            <w:noWrap/>
            <w:tcMar>
              <w:top w:w="0" w:type="dxa"/>
              <w:left w:w="0" w:type="dxa"/>
              <w:bottom w:w="0" w:type="dxa"/>
              <w:right w:w="0" w:type="dxa"/>
            </w:tcMar>
            <w:vAlign w:val="center"/>
          </w:tcPr>
          <w:p w14:paraId="4A618D0F">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690258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4A97848F">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31C534D2">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75883214">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04F628A6">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A02010107</w:t>
            </w:r>
          </w:p>
        </w:tc>
        <w:tc>
          <w:tcPr>
            <w:tcW w:w="1596" w:type="dxa"/>
            <w:shd w:val="clear" w:color="auto" w:fill="FFFFFF"/>
            <w:noWrap/>
            <w:tcMar>
              <w:top w:w="0" w:type="dxa"/>
              <w:left w:w="0" w:type="dxa"/>
              <w:bottom w:w="0" w:type="dxa"/>
              <w:right w:w="0" w:type="dxa"/>
            </w:tcMar>
            <w:vAlign w:val="center"/>
          </w:tcPr>
          <w:p w14:paraId="728213A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平板式微型计算机</w:t>
            </w:r>
          </w:p>
        </w:tc>
        <w:tc>
          <w:tcPr>
            <w:tcW w:w="3132" w:type="dxa"/>
            <w:vMerge w:val="continue"/>
            <w:shd w:val="clear" w:color="auto" w:fill="FFFFFF"/>
            <w:noWrap/>
            <w:tcMar>
              <w:top w:w="0" w:type="dxa"/>
              <w:left w:w="0" w:type="dxa"/>
              <w:bottom w:w="0" w:type="dxa"/>
              <w:right w:w="0" w:type="dxa"/>
            </w:tcMar>
            <w:vAlign w:val="center"/>
          </w:tcPr>
          <w:p w14:paraId="033A274D">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2FC3F8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1A17F05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2</w:t>
            </w:r>
          </w:p>
        </w:tc>
        <w:tc>
          <w:tcPr>
            <w:tcW w:w="1134" w:type="dxa"/>
            <w:vMerge w:val="restart"/>
            <w:shd w:val="clear" w:color="auto" w:fill="FFFFFF"/>
            <w:noWrap/>
            <w:tcMar>
              <w:top w:w="0" w:type="dxa"/>
              <w:left w:w="108" w:type="dxa"/>
              <w:bottom w:w="0" w:type="dxa"/>
              <w:right w:w="108" w:type="dxa"/>
            </w:tcMar>
            <w:vAlign w:val="center"/>
          </w:tcPr>
          <w:p w14:paraId="236C83EA">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w:t>
            </w:r>
          </w:p>
        </w:tc>
        <w:tc>
          <w:tcPr>
            <w:tcW w:w="1347" w:type="dxa"/>
            <w:vMerge w:val="restart"/>
            <w:shd w:val="clear" w:color="auto" w:fill="FFFFFF"/>
            <w:noWrap/>
            <w:tcMar>
              <w:top w:w="0" w:type="dxa"/>
              <w:left w:w="108" w:type="dxa"/>
              <w:bottom w:w="0" w:type="dxa"/>
              <w:right w:w="108" w:type="dxa"/>
            </w:tcMar>
            <w:vAlign w:val="center"/>
          </w:tcPr>
          <w:p w14:paraId="150D6BF9">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输入输出设备</w:t>
            </w:r>
          </w:p>
        </w:tc>
        <w:tc>
          <w:tcPr>
            <w:tcW w:w="1308" w:type="dxa"/>
            <w:shd w:val="clear" w:color="auto" w:fill="FFFFFF"/>
            <w:noWrap/>
            <w:tcMar>
              <w:top w:w="0" w:type="dxa"/>
              <w:left w:w="108" w:type="dxa"/>
              <w:bottom w:w="0" w:type="dxa"/>
              <w:right w:w="108" w:type="dxa"/>
            </w:tcMar>
            <w:vAlign w:val="center"/>
          </w:tcPr>
          <w:p w14:paraId="3EF3D94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A02010601</w:t>
            </w:r>
          </w:p>
        </w:tc>
        <w:tc>
          <w:tcPr>
            <w:tcW w:w="1596" w:type="dxa"/>
            <w:shd w:val="clear" w:color="auto" w:fill="FFFFFF"/>
            <w:noWrap/>
            <w:tcMar>
              <w:top w:w="0" w:type="dxa"/>
              <w:left w:w="108" w:type="dxa"/>
              <w:bottom w:w="0" w:type="dxa"/>
              <w:right w:w="108" w:type="dxa"/>
            </w:tcMar>
            <w:vAlign w:val="center"/>
          </w:tcPr>
          <w:p w14:paraId="2BE2ED2E">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打印设备</w:t>
            </w:r>
          </w:p>
        </w:tc>
        <w:tc>
          <w:tcPr>
            <w:tcW w:w="3132" w:type="dxa"/>
            <w:vMerge w:val="continue"/>
            <w:shd w:val="clear" w:color="auto" w:fill="FFFFFF"/>
            <w:noWrap/>
            <w:tcMar>
              <w:top w:w="0" w:type="dxa"/>
              <w:left w:w="0" w:type="dxa"/>
              <w:bottom w:w="0" w:type="dxa"/>
              <w:right w:w="0" w:type="dxa"/>
            </w:tcMar>
            <w:vAlign w:val="center"/>
          </w:tcPr>
          <w:p w14:paraId="3BB1D1A2">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051C621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0C123639">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31B6D956">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4EBC8DA9">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329368E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A02010604</w:t>
            </w:r>
          </w:p>
        </w:tc>
        <w:tc>
          <w:tcPr>
            <w:tcW w:w="1596" w:type="dxa"/>
            <w:shd w:val="clear" w:color="auto" w:fill="FFFFFF"/>
            <w:noWrap/>
            <w:tcMar>
              <w:top w:w="0" w:type="dxa"/>
              <w:left w:w="0" w:type="dxa"/>
              <w:bottom w:w="0" w:type="dxa"/>
              <w:right w:w="0" w:type="dxa"/>
            </w:tcMar>
            <w:vAlign w:val="center"/>
          </w:tcPr>
          <w:p w14:paraId="5C2D58D0">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显示设备</w:t>
            </w:r>
          </w:p>
        </w:tc>
        <w:tc>
          <w:tcPr>
            <w:tcW w:w="3132" w:type="dxa"/>
            <w:vMerge w:val="continue"/>
            <w:shd w:val="clear" w:color="auto" w:fill="FFFFFF"/>
            <w:noWrap/>
            <w:tcMar>
              <w:top w:w="0" w:type="dxa"/>
              <w:left w:w="0" w:type="dxa"/>
              <w:bottom w:w="0" w:type="dxa"/>
              <w:right w:w="0" w:type="dxa"/>
            </w:tcMar>
            <w:vAlign w:val="center"/>
          </w:tcPr>
          <w:p w14:paraId="52B5020C">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1FFBB1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2CEB32F8">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560F132F">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1B5FC9AB">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44C8658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A02010609</w:t>
            </w:r>
          </w:p>
        </w:tc>
        <w:tc>
          <w:tcPr>
            <w:tcW w:w="1596" w:type="dxa"/>
            <w:shd w:val="clear" w:color="auto" w:fill="FFFFFF"/>
            <w:noWrap/>
            <w:tcMar>
              <w:top w:w="0" w:type="dxa"/>
              <w:left w:w="0" w:type="dxa"/>
              <w:bottom w:w="0" w:type="dxa"/>
              <w:right w:w="0" w:type="dxa"/>
            </w:tcMar>
            <w:vAlign w:val="center"/>
          </w:tcPr>
          <w:p w14:paraId="56ED00E1">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图形图像输入设备</w:t>
            </w:r>
          </w:p>
        </w:tc>
        <w:tc>
          <w:tcPr>
            <w:tcW w:w="3132" w:type="dxa"/>
            <w:vMerge w:val="continue"/>
            <w:shd w:val="clear" w:color="auto" w:fill="FFFFFF"/>
            <w:noWrap/>
            <w:tcMar>
              <w:top w:w="0" w:type="dxa"/>
              <w:left w:w="0" w:type="dxa"/>
              <w:bottom w:w="0" w:type="dxa"/>
              <w:right w:w="0" w:type="dxa"/>
            </w:tcMar>
            <w:vAlign w:val="center"/>
          </w:tcPr>
          <w:p w14:paraId="5D47A116">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367402A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5DBBD72">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3</w:t>
            </w:r>
          </w:p>
        </w:tc>
        <w:tc>
          <w:tcPr>
            <w:tcW w:w="1134" w:type="dxa"/>
            <w:shd w:val="clear" w:color="auto" w:fill="FFFFFF"/>
            <w:noWrap/>
            <w:tcMar>
              <w:top w:w="0" w:type="dxa"/>
              <w:left w:w="108" w:type="dxa"/>
              <w:bottom w:w="0" w:type="dxa"/>
              <w:right w:w="108" w:type="dxa"/>
            </w:tcMar>
            <w:vAlign w:val="center"/>
          </w:tcPr>
          <w:p w14:paraId="29FF8D77">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A020202</w:t>
            </w:r>
          </w:p>
        </w:tc>
        <w:tc>
          <w:tcPr>
            <w:tcW w:w="1347" w:type="dxa"/>
            <w:shd w:val="clear" w:color="auto" w:fill="FFFFFF"/>
            <w:noWrap/>
            <w:tcMar>
              <w:top w:w="0" w:type="dxa"/>
              <w:left w:w="108" w:type="dxa"/>
              <w:bottom w:w="0" w:type="dxa"/>
              <w:right w:w="108" w:type="dxa"/>
            </w:tcMar>
            <w:vAlign w:val="center"/>
          </w:tcPr>
          <w:p w14:paraId="4BE2D9E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投影仪</w:t>
            </w:r>
          </w:p>
        </w:tc>
        <w:tc>
          <w:tcPr>
            <w:tcW w:w="1308" w:type="dxa"/>
            <w:shd w:val="clear" w:color="auto" w:fill="FFFFFF"/>
            <w:noWrap/>
            <w:tcMar>
              <w:top w:w="0" w:type="dxa"/>
              <w:left w:w="108" w:type="dxa"/>
              <w:bottom w:w="0" w:type="dxa"/>
              <w:right w:w="108" w:type="dxa"/>
            </w:tcMar>
            <w:vAlign w:val="center"/>
          </w:tcPr>
          <w:p w14:paraId="58CE84A7">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05C3DFAD">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14:paraId="46689DA1">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1C405A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B96A05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4</w:t>
            </w:r>
          </w:p>
        </w:tc>
        <w:tc>
          <w:tcPr>
            <w:tcW w:w="1134" w:type="dxa"/>
            <w:shd w:val="clear" w:color="auto" w:fill="FFFFFF"/>
            <w:noWrap/>
            <w:tcMar>
              <w:top w:w="0" w:type="dxa"/>
              <w:left w:w="108" w:type="dxa"/>
              <w:bottom w:w="0" w:type="dxa"/>
              <w:right w:w="108" w:type="dxa"/>
            </w:tcMar>
            <w:vAlign w:val="center"/>
          </w:tcPr>
          <w:p w14:paraId="7C9274C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A020204</w:t>
            </w:r>
          </w:p>
        </w:tc>
        <w:tc>
          <w:tcPr>
            <w:tcW w:w="1347" w:type="dxa"/>
            <w:shd w:val="clear" w:color="auto" w:fill="FFFFFF"/>
            <w:noWrap/>
            <w:tcMar>
              <w:top w:w="0" w:type="dxa"/>
              <w:left w:w="108" w:type="dxa"/>
              <w:bottom w:w="0" w:type="dxa"/>
              <w:right w:w="108" w:type="dxa"/>
            </w:tcMar>
            <w:vAlign w:val="center"/>
          </w:tcPr>
          <w:p w14:paraId="19981A6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多功能一体机</w:t>
            </w:r>
          </w:p>
        </w:tc>
        <w:tc>
          <w:tcPr>
            <w:tcW w:w="1308" w:type="dxa"/>
            <w:shd w:val="clear" w:color="auto" w:fill="FFFFFF"/>
            <w:noWrap/>
            <w:tcMar>
              <w:top w:w="0" w:type="dxa"/>
              <w:left w:w="108" w:type="dxa"/>
              <w:bottom w:w="0" w:type="dxa"/>
              <w:right w:w="108" w:type="dxa"/>
            </w:tcMar>
            <w:vAlign w:val="center"/>
          </w:tcPr>
          <w:p w14:paraId="7B3A4007">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04B73F7D">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14:paraId="050B441A">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71240F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6BED533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5</w:t>
            </w:r>
          </w:p>
        </w:tc>
        <w:tc>
          <w:tcPr>
            <w:tcW w:w="1134" w:type="dxa"/>
            <w:shd w:val="clear" w:color="auto" w:fill="FFFFFF"/>
            <w:noWrap/>
            <w:tcMar>
              <w:top w:w="0" w:type="dxa"/>
              <w:left w:w="108" w:type="dxa"/>
              <w:bottom w:w="0" w:type="dxa"/>
              <w:right w:w="108" w:type="dxa"/>
            </w:tcMar>
            <w:vAlign w:val="center"/>
          </w:tcPr>
          <w:p w14:paraId="0A9E87BA">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A020519</w:t>
            </w:r>
          </w:p>
        </w:tc>
        <w:tc>
          <w:tcPr>
            <w:tcW w:w="1347" w:type="dxa"/>
            <w:shd w:val="clear" w:color="auto" w:fill="FFFFFF"/>
            <w:noWrap/>
            <w:tcMar>
              <w:top w:w="0" w:type="dxa"/>
              <w:left w:w="108" w:type="dxa"/>
              <w:bottom w:w="0" w:type="dxa"/>
              <w:right w:w="108" w:type="dxa"/>
            </w:tcMar>
            <w:vAlign w:val="center"/>
          </w:tcPr>
          <w:p w14:paraId="7EC9B220">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泵</w:t>
            </w:r>
          </w:p>
        </w:tc>
        <w:tc>
          <w:tcPr>
            <w:tcW w:w="1308" w:type="dxa"/>
            <w:shd w:val="clear" w:color="auto" w:fill="FFFFFF"/>
            <w:noWrap/>
            <w:tcMar>
              <w:top w:w="0" w:type="dxa"/>
              <w:left w:w="108" w:type="dxa"/>
              <w:bottom w:w="0" w:type="dxa"/>
              <w:right w:w="108" w:type="dxa"/>
            </w:tcMar>
            <w:vAlign w:val="center"/>
          </w:tcPr>
          <w:p w14:paraId="1AC36160">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A02051901</w:t>
            </w:r>
          </w:p>
        </w:tc>
        <w:tc>
          <w:tcPr>
            <w:tcW w:w="1596" w:type="dxa"/>
            <w:shd w:val="clear" w:color="auto" w:fill="FFFFFF"/>
            <w:noWrap/>
            <w:tcMar>
              <w:top w:w="0" w:type="dxa"/>
              <w:left w:w="108" w:type="dxa"/>
              <w:bottom w:w="0" w:type="dxa"/>
              <w:right w:w="108" w:type="dxa"/>
            </w:tcMar>
            <w:vAlign w:val="center"/>
          </w:tcPr>
          <w:p w14:paraId="547B5B2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离心泵</w:t>
            </w:r>
          </w:p>
        </w:tc>
        <w:tc>
          <w:tcPr>
            <w:tcW w:w="3132" w:type="dxa"/>
            <w:shd w:val="clear" w:color="auto" w:fill="FFFFFF"/>
            <w:noWrap/>
            <w:tcMar>
              <w:top w:w="0" w:type="dxa"/>
              <w:left w:w="108" w:type="dxa"/>
              <w:bottom w:w="0" w:type="dxa"/>
              <w:right w:w="108" w:type="dxa"/>
            </w:tcMar>
            <w:vAlign w:val="center"/>
          </w:tcPr>
          <w:p w14:paraId="1B6467EB">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75F3752A">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14:paraId="17E2C173">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14:paraId="6F995F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0F756599">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6</w:t>
            </w:r>
          </w:p>
        </w:tc>
        <w:tc>
          <w:tcPr>
            <w:tcW w:w="1134" w:type="dxa"/>
            <w:vMerge w:val="restart"/>
            <w:shd w:val="clear" w:color="auto" w:fill="FFFFFF"/>
            <w:noWrap/>
            <w:tcMar>
              <w:top w:w="0" w:type="dxa"/>
              <w:left w:w="108" w:type="dxa"/>
              <w:bottom w:w="0" w:type="dxa"/>
              <w:right w:w="108" w:type="dxa"/>
            </w:tcMar>
            <w:vAlign w:val="center"/>
          </w:tcPr>
          <w:p w14:paraId="25C75C40">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w:t>
            </w:r>
          </w:p>
        </w:tc>
        <w:tc>
          <w:tcPr>
            <w:tcW w:w="1347" w:type="dxa"/>
            <w:vMerge w:val="restart"/>
            <w:shd w:val="clear" w:color="auto" w:fill="FFFFFF"/>
            <w:noWrap/>
            <w:tcMar>
              <w:top w:w="0" w:type="dxa"/>
              <w:left w:w="108" w:type="dxa"/>
              <w:bottom w:w="0" w:type="dxa"/>
              <w:right w:w="108" w:type="dxa"/>
            </w:tcMar>
            <w:vAlign w:val="center"/>
          </w:tcPr>
          <w:p w14:paraId="6C2AC98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制冷空调设备</w:t>
            </w:r>
          </w:p>
        </w:tc>
        <w:tc>
          <w:tcPr>
            <w:tcW w:w="1308" w:type="dxa"/>
            <w:shd w:val="clear" w:color="auto" w:fill="FFFFFF"/>
            <w:noWrap/>
            <w:tcMar>
              <w:top w:w="0" w:type="dxa"/>
              <w:left w:w="108" w:type="dxa"/>
              <w:bottom w:w="0" w:type="dxa"/>
              <w:right w:w="108" w:type="dxa"/>
            </w:tcMar>
            <w:vAlign w:val="center"/>
          </w:tcPr>
          <w:p w14:paraId="40824EC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A02052301</w:t>
            </w:r>
          </w:p>
        </w:tc>
        <w:tc>
          <w:tcPr>
            <w:tcW w:w="1596" w:type="dxa"/>
            <w:shd w:val="clear" w:color="auto" w:fill="FFFFFF"/>
            <w:noWrap/>
            <w:tcMar>
              <w:top w:w="0" w:type="dxa"/>
              <w:left w:w="108" w:type="dxa"/>
              <w:bottom w:w="0" w:type="dxa"/>
              <w:right w:w="108" w:type="dxa"/>
            </w:tcMar>
            <w:vAlign w:val="center"/>
          </w:tcPr>
          <w:p w14:paraId="6215298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制冷压缩机</w:t>
            </w:r>
          </w:p>
        </w:tc>
        <w:tc>
          <w:tcPr>
            <w:tcW w:w="3132" w:type="dxa"/>
            <w:vMerge w:val="restart"/>
            <w:shd w:val="clear" w:color="auto" w:fill="FFFFFF"/>
            <w:noWrap/>
            <w:tcMar>
              <w:top w:w="0" w:type="dxa"/>
              <w:left w:w="108" w:type="dxa"/>
              <w:bottom w:w="0" w:type="dxa"/>
              <w:right w:w="108" w:type="dxa"/>
            </w:tcMar>
            <w:vAlign w:val="center"/>
          </w:tcPr>
          <w:p w14:paraId="60E79FF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30F1E60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14:paraId="4B13A0EB">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p>
          <w:p w14:paraId="4B113E8C">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北京中冷通质量认证中心有限公司</w:t>
            </w:r>
          </w:p>
        </w:tc>
      </w:tr>
      <w:tr w14:paraId="042452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69E8AECF">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1E8725D3">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41C2D556">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6A7F1B3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A02052305</w:t>
            </w:r>
          </w:p>
        </w:tc>
        <w:tc>
          <w:tcPr>
            <w:tcW w:w="1596" w:type="dxa"/>
            <w:shd w:val="clear" w:color="auto" w:fill="FFFFFF"/>
            <w:noWrap/>
            <w:tcMar>
              <w:top w:w="0" w:type="dxa"/>
              <w:left w:w="0" w:type="dxa"/>
              <w:bottom w:w="0" w:type="dxa"/>
              <w:right w:w="0" w:type="dxa"/>
            </w:tcMar>
            <w:vAlign w:val="center"/>
          </w:tcPr>
          <w:p w14:paraId="2944A23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空调机组</w:t>
            </w:r>
          </w:p>
        </w:tc>
        <w:tc>
          <w:tcPr>
            <w:tcW w:w="3132" w:type="dxa"/>
            <w:vMerge w:val="continue"/>
            <w:shd w:val="clear" w:color="auto" w:fill="FFFFFF"/>
            <w:noWrap/>
            <w:tcMar>
              <w:top w:w="0" w:type="dxa"/>
              <w:left w:w="0" w:type="dxa"/>
              <w:bottom w:w="0" w:type="dxa"/>
              <w:right w:w="0" w:type="dxa"/>
            </w:tcMar>
            <w:vAlign w:val="center"/>
          </w:tcPr>
          <w:p w14:paraId="490FF484">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290FB32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007658D3">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573A4C00">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7282826D">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13D28085">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A02052309</w:t>
            </w:r>
          </w:p>
        </w:tc>
        <w:tc>
          <w:tcPr>
            <w:tcW w:w="1596" w:type="dxa"/>
            <w:shd w:val="clear" w:color="auto" w:fill="FFFFFF"/>
            <w:noWrap/>
            <w:tcMar>
              <w:top w:w="0" w:type="dxa"/>
              <w:left w:w="0" w:type="dxa"/>
              <w:bottom w:w="0" w:type="dxa"/>
              <w:right w:w="0" w:type="dxa"/>
            </w:tcMar>
            <w:vAlign w:val="center"/>
          </w:tcPr>
          <w:p w14:paraId="0D99179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专用制冷、空调设备</w:t>
            </w:r>
          </w:p>
        </w:tc>
        <w:tc>
          <w:tcPr>
            <w:tcW w:w="3132" w:type="dxa"/>
            <w:vMerge w:val="continue"/>
            <w:shd w:val="clear" w:color="auto" w:fill="FFFFFF"/>
            <w:noWrap/>
            <w:tcMar>
              <w:top w:w="0" w:type="dxa"/>
              <w:left w:w="0" w:type="dxa"/>
              <w:bottom w:w="0" w:type="dxa"/>
              <w:right w:w="0" w:type="dxa"/>
            </w:tcMar>
            <w:vAlign w:val="center"/>
          </w:tcPr>
          <w:p w14:paraId="452B4C02">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2507C67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5A57E0FD">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785F283E">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7597C6A9">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5AAD3036">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A02052399</w:t>
            </w:r>
          </w:p>
        </w:tc>
        <w:tc>
          <w:tcPr>
            <w:tcW w:w="1596" w:type="dxa"/>
            <w:shd w:val="clear" w:color="auto" w:fill="FFFFFF"/>
            <w:noWrap/>
            <w:tcMar>
              <w:top w:w="0" w:type="dxa"/>
              <w:left w:w="0" w:type="dxa"/>
              <w:bottom w:w="0" w:type="dxa"/>
              <w:right w:w="0" w:type="dxa"/>
            </w:tcMar>
            <w:vAlign w:val="center"/>
          </w:tcPr>
          <w:p w14:paraId="411F7A55">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其他制冷空调设备</w:t>
            </w:r>
          </w:p>
        </w:tc>
        <w:tc>
          <w:tcPr>
            <w:tcW w:w="3132" w:type="dxa"/>
            <w:vMerge w:val="continue"/>
            <w:shd w:val="clear" w:color="auto" w:fill="FFFFFF"/>
            <w:noWrap/>
            <w:tcMar>
              <w:top w:w="0" w:type="dxa"/>
              <w:left w:w="0" w:type="dxa"/>
              <w:bottom w:w="0" w:type="dxa"/>
              <w:right w:w="0" w:type="dxa"/>
            </w:tcMar>
            <w:vAlign w:val="center"/>
          </w:tcPr>
          <w:p w14:paraId="6FA4EC3D">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72509E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36548E4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7</w:t>
            </w:r>
          </w:p>
        </w:tc>
        <w:tc>
          <w:tcPr>
            <w:tcW w:w="1134" w:type="dxa"/>
            <w:shd w:val="clear" w:color="auto" w:fill="FFFFFF"/>
            <w:noWrap/>
            <w:tcMar>
              <w:top w:w="0" w:type="dxa"/>
              <w:left w:w="108" w:type="dxa"/>
              <w:bottom w:w="0" w:type="dxa"/>
              <w:right w:w="108" w:type="dxa"/>
            </w:tcMar>
            <w:vAlign w:val="center"/>
          </w:tcPr>
          <w:p w14:paraId="64E3209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A020601</w:t>
            </w:r>
          </w:p>
        </w:tc>
        <w:tc>
          <w:tcPr>
            <w:tcW w:w="1347" w:type="dxa"/>
            <w:shd w:val="clear" w:color="auto" w:fill="FFFFFF"/>
            <w:noWrap/>
            <w:tcMar>
              <w:top w:w="0" w:type="dxa"/>
              <w:left w:w="108" w:type="dxa"/>
              <w:bottom w:w="0" w:type="dxa"/>
              <w:right w:w="108" w:type="dxa"/>
            </w:tcMar>
            <w:vAlign w:val="center"/>
          </w:tcPr>
          <w:p w14:paraId="78664926">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电机</w:t>
            </w:r>
          </w:p>
        </w:tc>
        <w:tc>
          <w:tcPr>
            <w:tcW w:w="1308" w:type="dxa"/>
            <w:shd w:val="clear" w:color="auto" w:fill="FFFFFF"/>
            <w:noWrap/>
            <w:tcMar>
              <w:top w:w="0" w:type="dxa"/>
              <w:left w:w="108" w:type="dxa"/>
              <w:bottom w:w="0" w:type="dxa"/>
              <w:right w:w="108" w:type="dxa"/>
            </w:tcMar>
            <w:vAlign w:val="center"/>
          </w:tcPr>
          <w:p w14:paraId="0711202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370B60FE">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14:paraId="4A94CE88">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49C42494">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14:paraId="04BC0E32">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14:paraId="3D795221">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中国船级社质量认证公司</w:t>
            </w:r>
          </w:p>
        </w:tc>
      </w:tr>
      <w:tr w14:paraId="212FFC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9CFC956">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8</w:t>
            </w:r>
          </w:p>
        </w:tc>
        <w:tc>
          <w:tcPr>
            <w:tcW w:w="1134" w:type="dxa"/>
            <w:shd w:val="clear" w:color="auto" w:fill="FFFFFF"/>
            <w:noWrap/>
            <w:tcMar>
              <w:top w:w="0" w:type="dxa"/>
              <w:left w:w="108" w:type="dxa"/>
              <w:bottom w:w="0" w:type="dxa"/>
              <w:right w:w="108" w:type="dxa"/>
            </w:tcMar>
            <w:vAlign w:val="center"/>
          </w:tcPr>
          <w:p w14:paraId="536B9E4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A020602</w:t>
            </w:r>
          </w:p>
        </w:tc>
        <w:tc>
          <w:tcPr>
            <w:tcW w:w="1347" w:type="dxa"/>
            <w:shd w:val="clear" w:color="auto" w:fill="FFFFFF"/>
            <w:noWrap/>
            <w:tcMar>
              <w:top w:w="0" w:type="dxa"/>
              <w:left w:w="108" w:type="dxa"/>
              <w:bottom w:w="0" w:type="dxa"/>
              <w:right w:w="108" w:type="dxa"/>
            </w:tcMar>
            <w:vAlign w:val="center"/>
          </w:tcPr>
          <w:p w14:paraId="62A36F1E">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变压器</w:t>
            </w:r>
          </w:p>
        </w:tc>
        <w:tc>
          <w:tcPr>
            <w:tcW w:w="1308" w:type="dxa"/>
            <w:shd w:val="clear" w:color="auto" w:fill="FFFFFF"/>
            <w:noWrap/>
            <w:tcMar>
              <w:top w:w="0" w:type="dxa"/>
              <w:left w:w="108" w:type="dxa"/>
              <w:bottom w:w="0" w:type="dxa"/>
              <w:right w:w="108" w:type="dxa"/>
            </w:tcMar>
            <w:vAlign w:val="center"/>
          </w:tcPr>
          <w:p w14:paraId="32EAB8A0">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71B9AD16">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14:paraId="7B321276">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4AFB213E">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14:paraId="1F37226A">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14:paraId="713E6F4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48FC325D">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9</w:t>
            </w:r>
          </w:p>
        </w:tc>
        <w:tc>
          <w:tcPr>
            <w:tcW w:w="1134" w:type="dxa"/>
            <w:shd w:val="clear" w:color="auto" w:fill="FFFFFF"/>
            <w:noWrap/>
            <w:tcMar>
              <w:top w:w="0" w:type="dxa"/>
              <w:left w:w="108" w:type="dxa"/>
              <w:bottom w:w="0" w:type="dxa"/>
              <w:right w:w="108" w:type="dxa"/>
            </w:tcMar>
            <w:vAlign w:val="center"/>
          </w:tcPr>
          <w:p w14:paraId="0E24ED42">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A020609</w:t>
            </w:r>
          </w:p>
        </w:tc>
        <w:tc>
          <w:tcPr>
            <w:tcW w:w="1347" w:type="dxa"/>
            <w:shd w:val="clear" w:color="auto" w:fill="FFFFFF"/>
            <w:noWrap/>
            <w:tcMar>
              <w:top w:w="0" w:type="dxa"/>
              <w:left w:w="108" w:type="dxa"/>
              <w:bottom w:w="0" w:type="dxa"/>
              <w:right w:w="108" w:type="dxa"/>
            </w:tcMar>
            <w:vAlign w:val="center"/>
          </w:tcPr>
          <w:p w14:paraId="39AEBDCA">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镇流器</w:t>
            </w:r>
          </w:p>
        </w:tc>
        <w:tc>
          <w:tcPr>
            <w:tcW w:w="1308" w:type="dxa"/>
            <w:shd w:val="clear" w:color="auto" w:fill="FFFFFF"/>
            <w:noWrap/>
            <w:tcMar>
              <w:top w:w="0" w:type="dxa"/>
              <w:left w:w="108" w:type="dxa"/>
              <w:bottom w:w="0" w:type="dxa"/>
              <w:right w:w="108" w:type="dxa"/>
            </w:tcMar>
            <w:vAlign w:val="center"/>
          </w:tcPr>
          <w:p w14:paraId="7FB3CCCA">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2FC45C7E">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14:paraId="1B1D1209">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4549A8F4">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深圳市计量质量检测研究院</w:t>
            </w:r>
          </w:p>
          <w:p w14:paraId="35E36FA2">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中标合信（北京）认证有限公司</w:t>
            </w:r>
          </w:p>
        </w:tc>
      </w:tr>
      <w:tr w14:paraId="3B6A19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14:paraId="033F869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10</w:t>
            </w:r>
          </w:p>
        </w:tc>
        <w:tc>
          <w:tcPr>
            <w:tcW w:w="1134" w:type="dxa"/>
            <w:vMerge w:val="restart"/>
            <w:shd w:val="clear" w:color="auto" w:fill="FFFFFF"/>
            <w:noWrap/>
            <w:tcMar>
              <w:top w:w="0" w:type="dxa"/>
              <w:left w:w="108" w:type="dxa"/>
              <w:bottom w:w="0" w:type="dxa"/>
              <w:right w:w="108" w:type="dxa"/>
            </w:tcMar>
            <w:vAlign w:val="center"/>
          </w:tcPr>
          <w:p w14:paraId="371BA860">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w:t>
            </w:r>
          </w:p>
        </w:tc>
        <w:tc>
          <w:tcPr>
            <w:tcW w:w="1347" w:type="dxa"/>
            <w:vMerge w:val="restart"/>
            <w:shd w:val="clear" w:color="auto" w:fill="FFFFFF"/>
            <w:noWrap/>
            <w:tcMar>
              <w:top w:w="0" w:type="dxa"/>
              <w:left w:w="108" w:type="dxa"/>
              <w:bottom w:w="0" w:type="dxa"/>
              <w:right w:w="108" w:type="dxa"/>
            </w:tcMar>
            <w:vAlign w:val="center"/>
          </w:tcPr>
          <w:p w14:paraId="3B1729F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生活用电器</w:t>
            </w:r>
          </w:p>
        </w:tc>
        <w:tc>
          <w:tcPr>
            <w:tcW w:w="1308" w:type="dxa"/>
            <w:shd w:val="clear" w:color="auto" w:fill="FFFFFF"/>
            <w:noWrap/>
            <w:tcMar>
              <w:top w:w="0" w:type="dxa"/>
              <w:left w:w="108" w:type="dxa"/>
              <w:bottom w:w="0" w:type="dxa"/>
              <w:right w:w="108" w:type="dxa"/>
            </w:tcMar>
            <w:vAlign w:val="center"/>
          </w:tcPr>
          <w:p w14:paraId="02B1D75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A0206180101</w:t>
            </w:r>
          </w:p>
        </w:tc>
        <w:tc>
          <w:tcPr>
            <w:tcW w:w="1596" w:type="dxa"/>
            <w:shd w:val="clear" w:color="auto" w:fill="FFFFFF"/>
            <w:noWrap/>
            <w:tcMar>
              <w:top w:w="0" w:type="dxa"/>
              <w:left w:w="108" w:type="dxa"/>
              <w:bottom w:w="0" w:type="dxa"/>
              <w:right w:w="108" w:type="dxa"/>
            </w:tcMar>
            <w:vAlign w:val="center"/>
          </w:tcPr>
          <w:p w14:paraId="7B9E68E2">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电冰箱</w:t>
            </w:r>
          </w:p>
        </w:tc>
        <w:tc>
          <w:tcPr>
            <w:tcW w:w="3132" w:type="dxa"/>
            <w:shd w:val="clear" w:color="auto" w:fill="FFFFFF"/>
            <w:noWrap/>
            <w:tcMar>
              <w:top w:w="0" w:type="dxa"/>
              <w:left w:w="108" w:type="dxa"/>
              <w:bottom w:w="0" w:type="dxa"/>
              <w:right w:w="108" w:type="dxa"/>
            </w:tcMar>
            <w:vAlign w:val="center"/>
          </w:tcPr>
          <w:p w14:paraId="072AAF3A">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0B90F7B3">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14:paraId="537B4746">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tc>
      </w:tr>
      <w:tr w14:paraId="2D7630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706411BD">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4A096ABB">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66507780">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38055519">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A0206180203</w:t>
            </w:r>
          </w:p>
        </w:tc>
        <w:tc>
          <w:tcPr>
            <w:tcW w:w="1596" w:type="dxa"/>
            <w:shd w:val="clear" w:color="auto" w:fill="FFFFFF"/>
            <w:noWrap/>
            <w:tcMar>
              <w:top w:w="0" w:type="dxa"/>
              <w:left w:w="0" w:type="dxa"/>
              <w:bottom w:w="0" w:type="dxa"/>
              <w:right w:w="0" w:type="dxa"/>
            </w:tcMar>
            <w:vAlign w:val="center"/>
          </w:tcPr>
          <w:p w14:paraId="3F9E73A1">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空调机</w:t>
            </w:r>
          </w:p>
        </w:tc>
        <w:tc>
          <w:tcPr>
            <w:tcW w:w="3132" w:type="dxa"/>
            <w:shd w:val="clear" w:color="auto" w:fill="FFFFFF"/>
            <w:noWrap/>
            <w:tcMar>
              <w:top w:w="0" w:type="dxa"/>
              <w:left w:w="0" w:type="dxa"/>
              <w:bottom w:w="0" w:type="dxa"/>
              <w:right w:w="0" w:type="dxa"/>
            </w:tcMar>
            <w:vAlign w:val="center"/>
          </w:tcPr>
          <w:p w14:paraId="3CC6AF45">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2D3EC45B">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14:paraId="5BFFAC2D">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p w14:paraId="7A7D215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p>
        </w:tc>
      </w:tr>
      <w:tr w14:paraId="44A3FF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2A29A378">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1A7103F8">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7CB1FE9B">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53818561">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A0206180301</w:t>
            </w:r>
          </w:p>
        </w:tc>
        <w:tc>
          <w:tcPr>
            <w:tcW w:w="1596" w:type="dxa"/>
            <w:shd w:val="clear" w:color="auto" w:fill="FFFFFF"/>
            <w:noWrap/>
            <w:tcMar>
              <w:top w:w="0" w:type="dxa"/>
              <w:left w:w="0" w:type="dxa"/>
              <w:bottom w:w="0" w:type="dxa"/>
              <w:right w:w="0" w:type="dxa"/>
            </w:tcMar>
            <w:vAlign w:val="center"/>
          </w:tcPr>
          <w:p w14:paraId="2AE6CAD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洗衣机</w:t>
            </w:r>
          </w:p>
        </w:tc>
        <w:tc>
          <w:tcPr>
            <w:tcW w:w="3132" w:type="dxa"/>
            <w:shd w:val="clear" w:color="auto" w:fill="FFFFFF"/>
            <w:noWrap/>
            <w:tcMar>
              <w:top w:w="0" w:type="dxa"/>
              <w:left w:w="0" w:type="dxa"/>
              <w:bottom w:w="0" w:type="dxa"/>
              <w:right w:w="0" w:type="dxa"/>
            </w:tcMar>
            <w:vAlign w:val="center"/>
          </w:tcPr>
          <w:p w14:paraId="73010D9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0A747358">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14:paraId="30799DB5">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tc>
      </w:tr>
      <w:tr w14:paraId="63F2B8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14:paraId="627D38F8">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14:paraId="78FF5D5A">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14:paraId="77AD4F09">
            <w:pPr>
              <w:widowControl/>
              <w:autoSpaceDE w:val="0"/>
              <w:autoSpaceDN w:val="0"/>
              <w:spacing w:line="276" w:lineRule="auto"/>
              <w:jc w:val="center"/>
              <w:rPr>
                <w:rFonts w:hint="eastAsia"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14:paraId="4EBE0A86">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A02061808</w:t>
            </w:r>
          </w:p>
        </w:tc>
        <w:tc>
          <w:tcPr>
            <w:tcW w:w="1596" w:type="dxa"/>
            <w:shd w:val="clear" w:color="auto" w:fill="FFFFFF"/>
            <w:noWrap/>
            <w:tcMar>
              <w:top w:w="0" w:type="dxa"/>
              <w:left w:w="0" w:type="dxa"/>
              <w:bottom w:w="0" w:type="dxa"/>
              <w:right w:w="0" w:type="dxa"/>
            </w:tcMar>
            <w:vAlign w:val="center"/>
          </w:tcPr>
          <w:p w14:paraId="6BA69310">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热水器</w:t>
            </w:r>
          </w:p>
        </w:tc>
        <w:tc>
          <w:tcPr>
            <w:tcW w:w="3132" w:type="dxa"/>
            <w:shd w:val="clear" w:color="auto" w:fill="FFFFFF"/>
            <w:noWrap/>
            <w:tcMar>
              <w:top w:w="0" w:type="dxa"/>
              <w:left w:w="0" w:type="dxa"/>
              <w:bottom w:w="0" w:type="dxa"/>
              <w:right w:w="0" w:type="dxa"/>
            </w:tcMar>
            <w:vAlign w:val="center"/>
          </w:tcPr>
          <w:p w14:paraId="7064CB97">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65E34695">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14:paraId="5B179D2A">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p w14:paraId="33F548B3">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r>
              <w:rPr>
                <w:rFonts w:ascii="仿宋" w:hAnsi="仿宋" w:eastAsia="仿宋" w:cs="宋体"/>
                <w:color w:val="000000"/>
                <w:w w:val="90"/>
                <w:kern w:val="0"/>
                <w:sz w:val="22"/>
                <w:szCs w:val="22"/>
              </w:rPr>
              <w:t>(</w:t>
            </w:r>
            <w:r>
              <w:rPr>
                <w:rFonts w:hint="eastAsia" w:ascii="仿宋" w:hAnsi="仿宋" w:eastAsia="仿宋" w:cs="宋体"/>
                <w:color w:val="000000"/>
                <w:w w:val="90"/>
                <w:kern w:val="0"/>
                <w:sz w:val="22"/>
                <w:szCs w:val="22"/>
              </w:rPr>
              <w:t>范围仅限于“热泵热水器”</w:t>
            </w:r>
            <w:r>
              <w:rPr>
                <w:rFonts w:ascii="仿宋" w:hAnsi="仿宋" w:eastAsia="仿宋" w:cs="宋体"/>
                <w:color w:val="000000"/>
                <w:w w:val="90"/>
                <w:kern w:val="0"/>
                <w:sz w:val="22"/>
                <w:szCs w:val="22"/>
              </w:rPr>
              <w:t>)</w:t>
            </w:r>
          </w:p>
        </w:tc>
      </w:tr>
      <w:tr w14:paraId="7C18FB4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1AA0AA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11</w:t>
            </w:r>
          </w:p>
        </w:tc>
        <w:tc>
          <w:tcPr>
            <w:tcW w:w="1134" w:type="dxa"/>
            <w:shd w:val="clear" w:color="auto" w:fill="FFFFFF"/>
            <w:noWrap/>
            <w:tcMar>
              <w:top w:w="0" w:type="dxa"/>
              <w:left w:w="108" w:type="dxa"/>
              <w:bottom w:w="0" w:type="dxa"/>
              <w:right w:w="108" w:type="dxa"/>
            </w:tcMar>
            <w:vAlign w:val="center"/>
          </w:tcPr>
          <w:p w14:paraId="2368E213">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A020619</w:t>
            </w:r>
          </w:p>
        </w:tc>
        <w:tc>
          <w:tcPr>
            <w:tcW w:w="1347" w:type="dxa"/>
            <w:shd w:val="clear" w:color="auto" w:fill="FFFFFF"/>
            <w:noWrap/>
            <w:tcMar>
              <w:top w:w="0" w:type="dxa"/>
              <w:left w:w="108" w:type="dxa"/>
              <w:bottom w:w="0" w:type="dxa"/>
              <w:right w:w="108" w:type="dxa"/>
            </w:tcMar>
            <w:vAlign w:val="center"/>
          </w:tcPr>
          <w:p w14:paraId="09B5A82E">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照明设备</w:t>
            </w:r>
          </w:p>
        </w:tc>
        <w:tc>
          <w:tcPr>
            <w:tcW w:w="1308" w:type="dxa"/>
            <w:shd w:val="clear" w:color="auto" w:fill="FFFFFF"/>
            <w:noWrap/>
            <w:tcMar>
              <w:top w:w="0" w:type="dxa"/>
              <w:left w:w="108" w:type="dxa"/>
              <w:bottom w:w="0" w:type="dxa"/>
              <w:right w:w="108" w:type="dxa"/>
            </w:tcMar>
            <w:vAlign w:val="center"/>
          </w:tcPr>
          <w:p w14:paraId="1901A5C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6F42B96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14:paraId="6DCFC85C">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57465BBE">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深圳市计量质量检测研究院</w:t>
            </w:r>
          </w:p>
          <w:p w14:paraId="413A7EA3">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中标合信（北京）认证有限公司</w:t>
            </w:r>
          </w:p>
        </w:tc>
      </w:tr>
      <w:tr w14:paraId="36C764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656D626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12</w:t>
            </w:r>
          </w:p>
        </w:tc>
        <w:tc>
          <w:tcPr>
            <w:tcW w:w="1134" w:type="dxa"/>
            <w:shd w:val="clear" w:color="auto" w:fill="FFFFFF"/>
            <w:noWrap/>
            <w:tcMar>
              <w:top w:w="0" w:type="dxa"/>
              <w:left w:w="108" w:type="dxa"/>
              <w:bottom w:w="0" w:type="dxa"/>
              <w:right w:w="108" w:type="dxa"/>
            </w:tcMar>
            <w:vAlign w:val="center"/>
          </w:tcPr>
          <w:p w14:paraId="30651ADB">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A020910</w:t>
            </w:r>
          </w:p>
        </w:tc>
        <w:tc>
          <w:tcPr>
            <w:tcW w:w="1347" w:type="dxa"/>
            <w:shd w:val="clear" w:color="auto" w:fill="FFFFFF"/>
            <w:noWrap/>
            <w:tcMar>
              <w:top w:w="0" w:type="dxa"/>
              <w:left w:w="108" w:type="dxa"/>
              <w:bottom w:w="0" w:type="dxa"/>
              <w:right w:w="108" w:type="dxa"/>
            </w:tcMar>
            <w:vAlign w:val="center"/>
          </w:tcPr>
          <w:p w14:paraId="31C40CB1">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电视设备</w:t>
            </w:r>
          </w:p>
        </w:tc>
        <w:tc>
          <w:tcPr>
            <w:tcW w:w="1308" w:type="dxa"/>
            <w:shd w:val="clear" w:color="auto" w:fill="FFFFFF"/>
            <w:noWrap/>
            <w:tcMar>
              <w:top w:w="0" w:type="dxa"/>
              <w:left w:w="108" w:type="dxa"/>
              <w:bottom w:w="0" w:type="dxa"/>
              <w:right w:w="108" w:type="dxa"/>
            </w:tcMar>
            <w:vAlign w:val="center"/>
          </w:tcPr>
          <w:p w14:paraId="4927A091">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A02091001</w:t>
            </w:r>
          </w:p>
        </w:tc>
        <w:tc>
          <w:tcPr>
            <w:tcW w:w="1596" w:type="dxa"/>
            <w:shd w:val="clear" w:color="auto" w:fill="FFFFFF"/>
            <w:noWrap/>
            <w:tcMar>
              <w:top w:w="0" w:type="dxa"/>
              <w:left w:w="108" w:type="dxa"/>
              <w:bottom w:w="0" w:type="dxa"/>
              <w:right w:w="108" w:type="dxa"/>
            </w:tcMar>
            <w:vAlign w:val="center"/>
          </w:tcPr>
          <w:p w14:paraId="1047B25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普通电视设备（电视机）</w:t>
            </w:r>
          </w:p>
        </w:tc>
        <w:tc>
          <w:tcPr>
            <w:tcW w:w="3132" w:type="dxa"/>
            <w:vMerge w:val="restart"/>
            <w:shd w:val="clear" w:color="auto" w:fill="FFFFFF"/>
            <w:noWrap/>
            <w:tcMar>
              <w:top w:w="0" w:type="dxa"/>
              <w:left w:w="108" w:type="dxa"/>
              <w:bottom w:w="0" w:type="dxa"/>
              <w:right w:w="108" w:type="dxa"/>
            </w:tcMar>
            <w:vAlign w:val="center"/>
          </w:tcPr>
          <w:p w14:paraId="2991A161">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52E8BDA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北京泰瑞特认证有限责任公司</w:t>
            </w:r>
          </w:p>
          <w:p w14:paraId="45C1CC4C">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广州赛宝认证中心服务有限公司</w:t>
            </w:r>
          </w:p>
        </w:tc>
      </w:tr>
      <w:tr w14:paraId="47A4003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A716EEC">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13</w:t>
            </w:r>
          </w:p>
        </w:tc>
        <w:tc>
          <w:tcPr>
            <w:tcW w:w="1134" w:type="dxa"/>
            <w:shd w:val="clear" w:color="auto" w:fill="FFFFFF"/>
            <w:noWrap/>
            <w:tcMar>
              <w:top w:w="0" w:type="dxa"/>
              <w:left w:w="108" w:type="dxa"/>
              <w:bottom w:w="0" w:type="dxa"/>
              <w:right w:w="108" w:type="dxa"/>
            </w:tcMar>
            <w:vAlign w:val="center"/>
          </w:tcPr>
          <w:p w14:paraId="0CB924A9">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A020911</w:t>
            </w:r>
          </w:p>
        </w:tc>
        <w:tc>
          <w:tcPr>
            <w:tcW w:w="1347" w:type="dxa"/>
            <w:shd w:val="clear" w:color="auto" w:fill="FFFFFF"/>
            <w:noWrap/>
            <w:tcMar>
              <w:top w:w="0" w:type="dxa"/>
              <w:left w:w="108" w:type="dxa"/>
              <w:bottom w:w="0" w:type="dxa"/>
              <w:right w:w="108" w:type="dxa"/>
            </w:tcMar>
            <w:vAlign w:val="center"/>
          </w:tcPr>
          <w:p w14:paraId="35C02177">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视频设备</w:t>
            </w:r>
          </w:p>
        </w:tc>
        <w:tc>
          <w:tcPr>
            <w:tcW w:w="1308" w:type="dxa"/>
            <w:shd w:val="clear" w:color="auto" w:fill="FFFFFF"/>
            <w:noWrap/>
            <w:tcMar>
              <w:top w:w="0" w:type="dxa"/>
              <w:left w:w="108" w:type="dxa"/>
              <w:bottom w:w="0" w:type="dxa"/>
              <w:right w:w="108" w:type="dxa"/>
            </w:tcMar>
            <w:vAlign w:val="center"/>
          </w:tcPr>
          <w:p w14:paraId="26D0A34E">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A02091107</w:t>
            </w:r>
          </w:p>
        </w:tc>
        <w:tc>
          <w:tcPr>
            <w:tcW w:w="1596" w:type="dxa"/>
            <w:shd w:val="clear" w:color="auto" w:fill="FFFFFF"/>
            <w:noWrap/>
            <w:tcMar>
              <w:top w:w="0" w:type="dxa"/>
              <w:left w:w="108" w:type="dxa"/>
              <w:bottom w:w="0" w:type="dxa"/>
              <w:right w:w="108" w:type="dxa"/>
            </w:tcMar>
            <w:vAlign w:val="center"/>
          </w:tcPr>
          <w:p w14:paraId="2D15AF5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视频监控设备</w:t>
            </w:r>
          </w:p>
        </w:tc>
        <w:tc>
          <w:tcPr>
            <w:tcW w:w="3132" w:type="dxa"/>
            <w:vMerge w:val="continue"/>
            <w:shd w:val="clear" w:color="auto" w:fill="FFFFFF"/>
            <w:noWrap/>
            <w:tcMar>
              <w:top w:w="0" w:type="dxa"/>
              <w:left w:w="0" w:type="dxa"/>
              <w:bottom w:w="0" w:type="dxa"/>
              <w:right w:w="0" w:type="dxa"/>
            </w:tcMar>
            <w:vAlign w:val="center"/>
          </w:tcPr>
          <w:p w14:paraId="33F48BCD">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784C06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79A9993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14</w:t>
            </w:r>
          </w:p>
        </w:tc>
        <w:tc>
          <w:tcPr>
            <w:tcW w:w="1134" w:type="dxa"/>
            <w:shd w:val="clear" w:color="auto" w:fill="FFFFFF"/>
            <w:noWrap/>
            <w:tcMar>
              <w:top w:w="0" w:type="dxa"/>
              <w:left w:w="108" w:type="dxa"/>
              <w:bottom w:w="0" w:type="dxa"/>
              <w:right w:w="108" w:type="dxa"/>
            </w:tcMar>
            <w:vAlign w:val="center"/>
          </w:tcPr>
          <w:p w14:paraId="7A67E59D">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A031210</w:t>
            </w:r>
          </w:p>
        </w:tc>
        <w:tc>
          <w:tcPr>
            <w:tcW w:w="1347" w:type="dxa"/>
            <w:shd w:val="clear" w:color="auto" w:fill="FFFFFF"/>
            <w:noWrap/>
            <w:tcMar>
              <w:top w:w="0" w:type="dxa"/>
              <w:left w:w="108" w:type="dxa"/>
              <w:bottom w:w="0" w:type="dxa"/>
              <w:right w:w="108" w:type="dxa"/>
            </w:tcMar>
            <w:vAlign w:val="center"/>
          </w:tcPr>
          <w:p w14:paraId="7EE0A401">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饮食炊事机械</w:t>
            </w:r>
          </w:p>
        </w:tc>
        <w:tc>
          <w:tcPr>
            <w:tcW w:w="1308" w:type="dxa"/>
            <w:shd w:val="clear" w:color="auto" w:fill="FFFFFF"/>
            <w:noWrap/>
            <w:tcMar>
              <w:top w:w="0" w:type="dxa"/>
              <w:left w:w="108" w:type="dxa"/>
              <w:bottom w:w="0" w:type="dxa"/>
              <w:right w:w="108" w:type="dxa"/>
            </w:tcMar>
            <w:vAlign w:val="center"/>
          </w:tcPr>
          <w:p w14:paraId="0B00B0D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348C6F3C">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14:paraId="0A942FC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71FAD7F6">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北京鉴衡认证中心</w:t>
            </w:r>
          </w:p>
          <w:p w14:paraId="3F3BE84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中国市政工程华北设计研究总院有限公司</w:t>
            </w:r>
          </w:p>
        </w:tc>
      </w:tr>
      <w:tr w14:paraId="0FA051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7B27EFA">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15</w:t>
            </w:r>
          </w:p>
        </w:tc>
        <w:tc>
          <w:tcPr>
            <w:tcW w:w="1134" w:type="dxa"/>
            <w:shd w:val="clear" w:color="auto" w:fill="FFFFFF"/>
            <w:noWrap/>
            <w:tcMar>
              <w:top w:w="0" w:type="dxa"/>
              <w:left w:w="108" w:type="dxa"/>
              <w:bottom w:w="0" w:type="dxa"/>
              <w:right w:w="108" w:type="dxa"/>
            </w:tcMar>
            <w:vAlign w:val="center"/>
          </w:tcPr>
          <w:p w14:paraId="35BDFE62">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A060805</w:t>
            </w:r>
          </w:p>
        </w:tc>
        <w:tc>
          <w:tcPr>
            <w:tcW w:w="1347" w:type="dxa"/>
            <w:shd w:val="clear" w:color="auto" w:fill="FFFFFF"/>
            <w:noWrap/>
            <w:tcMar>
              <w:top w:w="0" w:type="dxa"/>
              <w:left w:w="108" w:type="dxa"/>
              <w:bottom w:w="0" w:type="dxa"/>
              <w:right w:w="108" w:type="dxa"/>
            </w:tcMar>
            <w:vAlign w:val="center"/>
          </w:tcPr>
          <w:p w14:paraId="54D4CCF8">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便器</w:t>
            </w:r>
          </w:p>
        </w:tc>
        <w:tc>
          <w:tcPr>
            <w:tcW w:w="1308" w:type="dxa"/>
            <w:shd w:val="clear" w:color="auto" w:fill="FFFFFF"/>
            <w:noWrap/>
            <w:tcMar>
              <w:top w:w="0" w:type="dxa"/>
              <w:left w:w="108" w:type="dxa"/>
              <w:bottom w:w="0" w:type="dxa"/>
              <w:right w:w="108" w:type="dxa"/>
            </w:tcMar>
            <w:vAlign w:val="center"/>
          </w:tcPr>
          <w:p w14:paraId="02C817F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514D333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vMerge w:val="restart"/>
            <w:shd w:val="clear" w:color="auto" w:fill="FFFFFF"/>
            <w:noWrap/>
            <w:tcMar>
              <w:top w:w="0" w:type="dxa"/>
              <w:left w:w="108" w:type="dxa"/>
              <w:bottom w:w="0" w:type="dxa"/>
              <w:right w:w="108" w:type="dxa"/>
            </w:tcMar>
            <w:vAlign w:val="center"/>
          </w:tcPr>
          <w:p w14:paraId="19B23A1F">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14:paraId="656C74C7">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北京新华节水产品认证有限公司</w:t>
            </w:r>
          </w:p>
          <w:p w14:paraId="0CC8D501">
            <w:pPr>
              <w:widowControl/>
              <w:autoSpaceDE w:val="0"/>
              <w:autoSpaceDN w:val="0"/>
              <w:spacing w:line="276" w:lineRule="auto"/>
              <w:jc w:val="left"/>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14:paraId="115AB2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1467F477">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16</w:t>
            </w:r>
          </w:p>
        </w:tc>
        <w:tc>
          <w:tcPr>
            <w:tcW w:w="1134" w:type="dxa"/>
            <w:shd w:val="clear" w:color="auto" w:fill="FFFFFF"/>
            <w:noWrap/>
            <w:tcMar>
              <w:top w:w="0" w:type="dxa"/>
              <w:left w:w="108" w:type="dxa"/>
              <w:bottom w:w="0" w:type="dxa"/>
              <w:right w:w="108" w:type="dxa"/>
            </w:tcMar>
            <w:vAlign w:val="center"/>
          </w:tcPr>
          <w:p w14:paraId="731A3971">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A060806</w:t>
            </w:r>
          </w:p>
        </w:tc>
        <w:tc>
          <w:tcPr>
            <w:tcW w:w="1347" w:type="dxa"/>
            <w:shd w:val="clear" w:color="auto" w:fill="FFFFFF"/>
            <w:noWrap/>
            <w:tcMar>
              <w:top w:w="0" w:type="dxa"/>
              <w:left w:w="108" w:type="dxa"/>
              <w:bottom w:w="0" w:type="dxa"/>
              <w:right w:w="108" w:type="dxa"/>
            </w:tcMar>
            <w:vAlign w:val="center"/>
          </w:tcPr>
          <w:p w14:paraId="501A9771">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水嘴</w:t>
            </w:r>
          </w:p>
        </w:tc>
        <w:tc>
          <w:tcPr>
            <w:tcW w:w="1308" w:type="dxa"/>
            <w:shd w:val="clear" w:color="auto" w:fill="FFFFFF"/>
            <w:noWrap/>
            <w:tcMar>
              <w:top w:w="0" w:type="dxa"/>
              <w:left w:w="108" w:type="dxa"/>
              <w:bottom w:w="0" w:type="dxa"/>
              <w:right w:w="108" w:type="dxa"/>
            </w:tcMar>
            <w:vAlign w:val="center"/>
          </w:tcPr>
          <w:p w14:paraId="27309967">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0E79C59C">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14:paraId="709EA632">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767622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5F85102D">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17</w:t>
            </w:r>
          </w:p>
        </w:tc>
        <w:tc>
          <w:tcPr>
            <w:tcW w:w="1134" w:type="dxa"/>
            <w:shd w:val="clear" w:color="auto" w:fill="FFFFFF"/>
            <w:noWrap/>
            <w:tcMar>
              <w:top w:w="0" w:type="dxa"/>
              <w:left w:w="108" w:type="dxa"/>
              <w:bottom w:w="0" w:type="dxa"/>
              <w:right w:w="108" w:type="dxa"/>
            </w:tcMar>
            <w:vAlign w:val="center"/>
          </w:tcPr>
          <w:p w14:paraId="0ECA882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A060807</w:t>
            </w:r>
          </w:p>
        </w:tc>
        <w:tc>
          <w:tcPr>
            <w:tcW w:w="1347" w:type="dxa"/>
            <w:shd w:val="clear" w:color="auto" w:fill="FFFFFF"/>
            <w:noWrap/>
            <w:tcMar>
              <w:top w:w="0" w:type="dxa"/>
              <w:left w:w="108" w:type="dxa"/>
              <w:bottom w:w="0" w:type="dxa"/>
              <w:right w:w="108" w:type="dxa"/>
            </w:tcMar>
            <w:vAlign w:val="center"/>
          </w:tcPr>
          <w:p w14:paraId="0AD733E4">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便器冲洗阀</w:t>
            </w:r>
          </w:p>
        </w:tc>
        <w:tc>
          <w:tcPr>
            <w:tcW w:w="1308" w:type="dxa"/>
            <w:shd w:val="clear" w:color="auto" w:fill="FFFFFF"/>
            <w:noWrap/>
            <w:tcMar>
              <w:top w:w="0" w:type="dxa"/>
              <w:left w:w="108" w:type="dxa"/>
              <w:bottom w:w="0" w:type="dxa"/>
              <w:right w:w="108" w:type="dxa"/>
            </w:tcMar>
            <w:vAlign w:val="center"/>
          </w:tcPr>
          <w:p w14:paraId="7CEE69DF">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61608B1E">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14:paraId="4FC5E885">
            <w:pPr>
              <w:widowControl/>
              <w:autoSpaceDE w:val="0"/>
              <w:autoSpaceDN w:val="0"/>
              <w:spacing w:line="276" w:lineRule="auto"/>
              <w:jc w:val="left"/>
              <w:rPr>
                <w:rFonts w:hint="eastAsia" w:ascii="仿宋" w:hAnsi="仿宋" w:eastAsia="仿宋" w:cs="宋体"/>
                <w:color w:val="000000"/>
                <w:w w:val="90"/>
                <w:kern w:val="0"/>
                <w:sz w:val="22"/>
                <w:szCs w:val="22"/>
              </w:rPr>
            </w:pPr>
          </w:p>
        </w:tc>
      </w:tr>
      <w:tr w14:paraId="04E33FE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14:paraId="2D1120C7">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18</w:t>
            </w:r>
          </w:p>
        </w:tc>
        <w:tc>
          <w:tcPr>
            <w:tcW w:w="1134" w:type="dxa"/>
            <w:shd w:val="clear" w:color="auto" w:fill="FFFFFF"/>
            <w:noWrap/>
            <w:tcMar>
              <w:top w:w="0" w:type="dxa"/>
              <w:left w:w="108" w:type="dxa"/>
              <w:bottom w:w="0" w:type="dxa"/>
              <w:right w:w="108" w:type="dxa"/>
            </w:tcMar>
            <w:vAlign w:val="center"/>
          </w:tcPr>
          <w:p w14:paraId="052347CA">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A060810</w:t>
            </w:r>
          </w:p>
        </w:tc>
        <w:tc>
          <w:tcPr>
            <w:tcW w:w="1347" w:type="dxa"/>
            <w:shd w:val="clear" w:color="auto" w:fill="FFFFFF"/>
            <w:noWrap/>
            <w:tcMar>
              <w:top w:w="0" w:type="dxa"/>
              <w:left w:w="108" w:type="dxa"/>
              <w:bottom w:w="0" w:type="dxa"/>
              <w:right w:w="108" w:type="dxa"/>
            </w:tcMar>
            <w:vAlign w:val="center"/>
          </w:tcPr>
          <w:p w14:paraId="3585CD86">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淋浴器</w:t>
            </w:r>
          </w:p>
        </w:tc>
        <w:tc>
          <w:tcPr>
            <w:tcW w:w="1308" w:type="dxa"/>
            <w:shd w:val="clear" w:color="auto" w:fill="FFFFFF"/>
            <w:noWrap/>
            <w:tcMar>
              <w:top w:w="0" w:type="dxa"/>
              <w:left w:w="108" w:type="dxa"/>
              <w:bottom w:w="0" w:type="dxa"/>
              <w:right w:w="108" w:type="dxa"/>
            </w:tcMar>
            <w:vAlign w:val="center"/>
          </w:tcPr>
          <w:p w14:paraId="692A6FE9">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14:paraId="1C141C82">
            <w:pPr>
              <w:widowControl/>
              <w:autoSpaceDE w:val="0"/>
              <w:autoSpaceDN w:val="0"/>
              <w:spacing w:line="276" w:lineRule="auto"/>
              <w:jc w:val="center"/>
              <w:textAlignment w:val="baseline"/>
              <w:rPr>
                <w:rFonts w:hint="eastAsia"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14:paraId="4A96590E">
            <w:pPr>
              <w:widowControl/>
              <w:autoSpaceDE w:val="0"/>
              <w:autoSpaceDN w:val="0"/>
              <w:spacing w:line="276" w:lineRule="auto"/>
              <w:jc w:val="left"/>
              <w:rPr>
                <w:rFonts w:hint="eastAsia" w:ascii="仿宋" w:hAnsi="仿宋" w:eastAsia="仿宋" w:cs="宋体"/>
                <w:color w:val="000000"/>
                <w:w w:val="90"/>
                <w:kern w:val="0"/>
                <w:sz w:val="22"/>
                <w:szCs w:val="22"/>
              </w:rPr>
            </w:pPr>
          </w:p>
        </w:tc>
      </w:tr>
    </w:tbl>
    <w:p w14:paraId="1D178E9C">
      <w:pPr>
        <w:keepNext/>
        <w:keepLines/>
        <w:autoSpaceDE w:val="0"/>
        <w:autoSpaceDN w:val="0"/>
        <w:spacing w:before="240" w:line="360" w:lineRule="auto"/>
        <w:jc w:val="left"/>
        <w:outlineLvl w:val="3"/>
        <w:rPr>
          <w:rFonts w:hint="eastAsia" w:ascii="华文中宋" w:hAnsi="华文中宋" w:eastAsia="华文中宋"/>
          <w:b/>
          <w:bCs/>
          <w:color w:val="000000"/>
          <w:sz w:val="28"/>
          <w:szCs w:val="28"/>
        </w:rPr>
      </w:pPr>
      <w:r>
        <w:rPr>
          <w:rFonts w:hint="eastAsia" w:ascii="华文中宋" w:hAnsi="华文中宋" w:eastAsia="华文中宋"/>
          <w:b/>
          <w:bCs/>
          <w:color w:val="000000"/>
          <w:sz w:val="28"/>
          <w:szCs w:val="28"/>
        </w:rPr>
        <w:t>附2：参与实施政府采购环境标志产品认证机构名录</w:t>
      </w:r>
    </w:p>
    <w:tbl>
      <w:tblPr>
        <w:tblStyle w:val="52"/>
        <w:tblW w:w="9109"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5970"/>
      </w:tblGrid>
      <w:tr w14:paraId="19EFA0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shd w:val="clear" w:color="auto" w:fill="FDE9D9"/>
            <w:noWrap/>
            <w:tcMar>
              <w:top w:w="0" w:type="dxa"/>
              <w:left w:w="108" w:type="dxa"/>
              <w:bottom w:w="0" w:type="dxa"/>
              <w:right w:w="108" w:type="dxa"/>
            </w:tcMar>
            <w:vAlign w:val="center"/>
          </w:tcPr>
          <w:p w14:paraId="2BC6BCA8">
            <w:pPr>
              <w:widowControl/>
              <w:autoSpaceDE w:val="0"/>
              <w:autoSpaceDN w:val="0"/>
              <w:spacing w:line="276" w:lineRule="auto"/>
              <w:jc w:val="center"/>
              <w:textAlignment w:val="baseline"/>
              <w:rPr>
                <w:rFonts w:hint="eastAsia" w:ascii="仿宋" w:hAnsi="仿宋" w:eastAsia="仿宋" w:cs="宋体"/>
                <w:b/>
                <w:color w:val="000000"/>
                <w:kern w:val="0"/>
                <w:sz w:val="22"/>
                <w:szCs w:val="22"/>
              </w:rPr>
            </w:pPr>
            <w:r>
              <w:rPr>
                <w:rFonts w:hint="eastAsia" w:ascii="仿宋" w:hAnsi="仿宋" w:eastAsia="仿宋" w:cs="宋体"/>
                <w:b/>
                <w:color w:val="000000"/>
                <w:kern w:val="0"/>
                <w:sz w:val="22"/>
                <w:szCs w:val="22"/>
              </w:rPr>
              <w:t>序号</w:t>
            </w:r>
          </w:p>
        </w:tc>
        <w:tc>
          <w:tcPr>
            <w:tcW w:w="2288" w:type="dxa"/>
            <w:shd w:val="clear" w:color="auto" w:fill="FDE9D9"/>
            <w:noWrap/>
            <w:tcMar>
              <w:top w:w="0" w:type="dxa"/>
              <w:left w:w="108" w:type="dxa"/>
              <w:bottom w:w="0" w:type="dxa"/>
              <w:right w:w="108" w:type="dxa"/>
            </w:tcMar>
            <w:vAlign w:val="center"/>
          </w:tcPr>
          <w:p w14:paraId="0240458A">
            <w:pPr>
              <w:widowControl/>
              <w:autoSpaceDE w:val="0"/>
              <w:autoSpaceDN w:val="0"/>
              <w:spacing w:line="276" w:lineRule="auto"/>
              <w:jc w:val="center"/>
              <w:textAlignment w:val="baseline"/>
              <w:rPr>
                <w:rFonts w:hint="eastAsia" w:ascii="仿宋" w:hAnsi="仿宋" w:eastAsia="仿宋" w:cs="宋体"/>
                <w:b/>
                <w:color w:val="000000"/>
                <w:kern w:val="0"/>
                <w:sz w:val="22"/>
                <w:szCs w:val="22"/>
              </w:rPr>
            </w:pPr>
            <w:r>
              <w:rPr>
                <w:rFonts w:hint="eastAsia" w:ascii="仿宋" w:hAnsi="仿宋" w:eastAsia="仿宋" w:cs="宋体"/>
                <w:b/>
                <w:color w:val="000000"/>
                <w:kern w:val="0"/>
                <w:sz w:val="22"/>
                <w:szCs w:val="22"/>
              </w:rPr>
              <w:t>目录</w:t>
            </w:r>
          </w:p>
        </w:tc>
        <w:tc>
          <w:tcPr>
            <w:tcW w:w="5970" w:type="dxa"/>
            <w:shd w:val="clear" w:color="auto" w:fill="FDE9D9"/>
            <w:noWrap/>
            <w:tcMar>
              <w:top w:w="0" w:type="dxa"/>
              <w:left w:w="108" w:type="dxa"/>
              <w:bottom w:w="0" w:type="dxa"/>
              <w:right w:w="108" w:type="dxa"/>
            </w:tcMar>
            <w:vAlign w:val="center"/>
          </w:tcPr>
          <w:p w14:paraId="76B85DB3">
            <w:pPr>
              <w:widowControl/>
              <w:autoSpaceDE w:val="0"/>
              <w:autoSpaceDN w:val="0"/>
              <w:spacing w:line="276" w:lineRule="auto"/>
              <w:jc w:val="center"/>
              <w:textAlignment w:val="baseline"/>
              <w:rPr>
                <w:rFonts w:hint="eastAsia" w:ascii="仿宋" w:hAnsi="仿宋" w:eastAsia="仿宋" w:cs="宋体"/>
                <w:b/>
                <w:color w:val="000000"/>
                <w:kern w:val="0"/>
                <w:sz w:val="22"/>
                <w:szCs w:val="22"/>
              </w:rPr>
            </w:pPr>
            <w:r>
              <w:rPr>
                <w:rFonts w:hint="eastAsia" w:ascii="仿宋" w:hAnsi="仿宋" w:eastAsia="仿宋" w:cs="宋体"/>
                <w:b/>
                <w:color w:val="000000"/>
                <w:kern w:val="0"/>
                <w:sz w:val="22"/>
                <w:szCs w:val="22"/>
              </w:rPr>
              <w:t>认证机构名录</w:t>
            </w:r>
          </w:p>
        </w:tc>
      </w:tr>
      <w:tr w14:paraId="04EAC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851" w:type="dxa"/>
            <w:shd w:val="clear" w:color="auto" w:fill="FFFFFF"/>
            <w:noWrap/>
            <w:tcMar>
              <w:top w:w="0" w:type="dxa"/>
              <w:left w:w="108" w:type="dxa"/>
              <w:bottom w:w="0" w:type="dxa"/>
              <w:right w:w="108" w:type="dxa"/>
            </w:tcMar>
            <w:vAlign w:val="center"/>
          </w:tcPr>
          <w:p w14:paraId="18EA64DE">
            <w:pPr>
              <w:widowControl/>
              <w:autoSpaceDE w:val="0"/>
              <w:autoSpaceDN w:val="0"/>
              <w:spacing w:line="276" w:lineRule="auto"/>
              <w:jc w:val="center"/>
              <w:textAlignment w:val="baseline"/>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288" w:type="dxa"/>
            <w:shd w:val="clear" w:color="auto" w:fill="FFFFFF"/>
            <w:noWrap/>
            <w:tcMar>
              <w:top w:w="0" w:type="dxa"/>
              <w:left w:w="108" w:type="dxa"/>
              <w:bottom w:w="0" w:type="dxa"/>
              <w:right w:w="108" w:type="dxa"/>
            </w:tcMar>
            <w:vAlign w:val="center"/>
          </w:tcPr>
          <w:p w14:paraId="732C685F">
            <w:pPr>
              <w:widowControl/>
              <w:autoSpaceDE w:val="0"/>
              <w:autoSpaceDN w:val="0"/>
              <w:spacing w:line="276" w:lineRule="auto"/>
              <w:jc w:val="center"/>
              <w:textAlignment w:val="baseline"/>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环境标志产品</w:t>
            </w:r>
          </w:p>
        </w:tc>
        <w:tc>
          <w:tcPr>
            <w:tcW w:w="5970" w:type="dxa"/>
            <w:shd w:val="clear" w:color="auto" w:fill="FFFFFF"/>
            <w:noWrap/>
            <w:tcMar>
              <w:top w:w="0" w:type="dxa"/>
              <w:left w:w="108" w:type="dxa"/>
              <w:bottom w:w="0" w:type="dxa"/>
              <w:right w:w="108" w:type="dxa"/>
            </w:tcMar>
            <w:vAlign w:val="center"/>
          </w:tcPr>
          <w:p w14:paraId="09ACE88B">
            <w:pPr>
              <w:widowControl/>
              <w:autoSpaceDE w:val="0"/>
              <w:autoSpaceDN w:val="0"/>
              <w:spacing w:line="276" w:lineRule="auto"/>
              <w:jc w:val="left"/>
              <w:textAlignment w:val="baseline"/>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中环联合（北京）认证中心有限公司</w:t>
            </w:r>
          </w:p>
          <w:p w14:paraId="4961E2DA">
            <w:pPr>
              <w:widowControl/>
              <w:autoSpaceDE w:val="0"/>
              <w:autoSpaceDN w:val="0"/>
              <w:spacing w:line="276" w:lineRule="auto"/>
              <w:jc w:val="left"/>
              <w:textAlignment w:val="baseline"/>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中标合信（北京）认证有限公司</w:t>
            </w:r>
          </w:p>
          <w:p w14:paraId="4B48B48A">
            <w:pPr>
              <w:widowControl/>
              <w:autoSpaceDE w:val="0"/>
              <w:autoSpaceDN w:val="0"/>
              <w:spacing w:line="276" w:lineRule="auto"/>
              <w:jc w:val="left"/>
              <w:textAlignment w:val="baseline"/>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中环协（北京）认证有限公司</w:t>
            </w:r>
          </w:p>
          <w:p w14:paraId="3F42E8D3">
            <w:pPr>
              <w:widowControl/>
              <w:autoSpaceDE w:val="0"/>
              <w:autoSpaceDN w:val="0"/>
              <w:spacing w:line="276" w:lineRule="auto"/>
              <w:jc w:val="left"/>
              <w:textAlignment w:val="baseline"/>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天津华诚认证有限公司</w:t>
            </w:r>
          </w:p>
        </w:tc>
      </w:tr>
      <w:bookmarkEnd w:id="180"/>
      <w:bookmarkEnd w:id="181"/>
      <w:bookmarkEnd w:id="182"/>
      <w:bookmarkEnd w:id="183"/>
      <w:bookmarkEnd w:id="184"/>
    </w:tbl>
    <w:p w14:paraId="3DD048F8">
      <w:pPr>
        <w:autoSpaceDE w:val="0"/>
        <w:autoSpaceDN w:val="0"/>
        <w:jc w:val="center"/>
        <w:rPr>
          <w:rFonts w:hint="eastAsia" w:ascii="华文中宋" w:hAnsi="华文中宋" w:eastAsia="华文中宋"/>
          <w:b/>
          <w:bCs/>
          <w:color w:val="000000"/>
          <w:sz w:val="28"/>
          <w:szCs w:val="28"/>
        </w:rPr>
      </w:pPr>
    </w:p>
    <w:sectPr>
      <w:headerReference r:id="rId16" w:type="first"/>
      <w:footerReference r:id="rId18" w:type="first"/>
      <w:headerReference r:id="rId15" w:type="even"/>
      <w:footerReference r:id="rId17" w:type="even"/>
      <w:pgSz w:w="11906" w:h="16838"/>
      <w:pgMar w:top="1440" w:right="1509" w:bottom="1440" w:left="1797" w:header="850" w:footer="850" w:gutter="0"/>
      <w:pgBorders>
        <w:top w:val="none" w:sz="0" w:space="0"/>
        <w:left w:val="none" w:sz="0" w:space="0"/>
        <w:bottom w:val="none" w:sz="0" w:space="0"/>
        <w:right w:val="none" w:sz="0" w:space="0"/>
      </w:pgBorders>
      <w:pgNumType w:fmt="decimal"/>
      <w:cols w:space="720" w:num="1"/>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宋体">
    <w:panose1 w:val="02010600030101010101"/>
    <w:charset w:val="86"/>
    <w:family w:val="auto"/>
    <w:pitch w:val="default"/>
    <w:sig w:usb0="000002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inheri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0388D">
    <w:pPr>
      <w:pStyle w:val="31"/>
      <w:framePr w:wrap="around" w:vAnchor="text" w:hAnchor="margin" w:xAlign="center" w:y="1"/>
      <w:rPr>
        <w:rStyle w:val="56"/>
      </w:rPr>
    </w:pPr>
    <w:r>
      <w:fldChar w:fldCharType="begin"/>
    </w:r>
    <w:r>
      <w:rPr>
        <w:rStyle w:val="56"/>
      </w:rPr>
      <w:instrText xml:space="preserve">PAGE  </w:instrText>
    </w:r>
    <w:r>
      <w:fldChar w:fldCharType="end"/>
    </w:r>
  </w:p>
  <w:p w14:paraId="05864B7F">
    <w:pPr>
      <w:pStyle w:val="3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B3EB7">
    <w:pPr>
      <w:pStyle w:val="31"/>
      <w:jc w:val="center"/>
    </w:pPr>
    <w:r>
      <w:rPr>
        <w:lang w:val="zh-CN"/>
      </w:rPr>
      <w:fldChar w:fldCharType="begin"/>
    </w:r>
    <w:r>
      <w:rPr>
        <w:lang w:val="zh-CN"/>
      </w:rPr>
      <w:instrText xml:space="preserve">PAGE</w:instrText>
    </w:r>
    <w:r>
      <w:rPr>
        <w:lang w:val="zh-CN"/>
      </w:rPr>
      <w:fldChar w:fldCharType="separate"/>
    </w:r>
    <w:r>
      <w:rPr>
        <w:lang w:val="zh-CN"/>
      </w:rPr>
      <w:t>139</w:t>
    </w:r>
    <w:r>
      <w:rPr>
        <w:lang w:val="zh-CN"/>
      </w:rPr>
      <w:fldChar w:fldCharType="end"/>
    </w:r>
    <w:r>
      <w:rPr>
        <w:lang w:val="zh-CN"/>
      </w:rPr>
      <w:t xml:space="preserve"> / </w:t>
    </w:r>
    <w:r>
      <w:rPr>
        <w:rFonts w:hint="eastAsia"/>
        <w:lang w:val="zh-CN"/>
      </w:rPr>
      <w:t>153</w:t>
    </w:r>
  </w:p>
  <w:p w14:paraId="18E1D8E9">
    <w:pPr>
      <w:pStyle w:val="31"/>
      <w:tabs>
        <w:tab w:val="left" w:pos="3930"/>
        <w:tab w:val="clear" w:pos="4153"/>
        <w:tab w:val="clear" w:pos="8306"/>
      </w:tabs>
    </w:pPr>
  </w:p>
  <w:p w14:paraId="2B4B21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E3545">
    <w:pPr>
      <w:pStyle w:val="31"/>
      <w:framePr w:wrap="around" w:vAnchor="text" w:hAnchor="margin" w:xAlign="center" w:y="1"/>
      <w:rPr>
        <w:rStyle w:val="56"/>
      </w:rPr>
    </w:pPr>
  </w:p>
  <w:p w14:paraId="318E5549">
    <w:pPr>
      <w:pStyle w:val="31"/>
      <w:framePr w:wrap="around" w:vAnchor="text" w:hAnchor="page" w:x="6439" w:y="332"/>
      <w:jc w:val="center"/>
      <w:rPr>
        <w:rStyle w:val="56"/>
      </w:rPr>
    </w:pPr>
  </w:p>
  <w:p w14:paraId="3C6A945B">
    <w:pPr>
      <w:pStyle w:val="31"/>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141605</wp:posOffset>
              </wp:positionV>
              <wp:extent cx="6067425" cy="0"/>
              <wp:effectExtent l="0" t="0" r="9525" b="19050"/>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588pt;margin-top:11.15pt;height:0pt;width:477.75pt;z-index:251659264;mso-width-relative:page;mso-height-relative:page;" filled="f" stroked="t" coordsize="21600,21600" o:gfxdata="UEsDBAoAAAAAAIdO4kAAAAAAAAAAAAAAAAAEAAAAZHJzL1BLAwQUAAAACACHTuJA2Mbu0NkAAAAM&#10;AQAADwAAAGRycy9kb3ducmV2LnhtbE2PzU7DMBCE70i8g7VIXKrUjitaFOL0AOTGhQLqdRsvSUS8&#10;TmP3B54eIw5wnJ3R7Dfl+uwGcaQp9J4N5HMFgrjxtufWwOtLnd2CCBHZ4uCZDHxSgHV1eVFiYf2J&#10;n+m4ia1IJRwKNNDFOBZShqYjh2HuR+LkvfvJYUxyaqWd8JTK3SC1UkvpsOf0ocOR7jtqPjYHZyDU&#10;b7Svv2bNTG0XrSe9f3h6RGOur3J1ByLSOf6F4Qc/oUOVmHb+wDaIwUCW56tlWhMNaL0AkSKZ1uoG&#10;xO73IqtS/h9RfQNQSwMEFAAAAAgAh07iQKGLAXLnAQAAuAMAAA4AAABkcnMvZTJvRG9jLnhtbK1T&#10;sY4TMRDtkfgHyz3ZJHDhWGVzRaKjOSDSHR8w8XqzFrbHsp1s8hP8ABIdVJT0/M0dn8HYyQYIzRVs&#10;YXk8M2/mvZmdXu2MZlvpg0Jb8dFgyJm0Amtl1xV/f3f97JKzEMHWoNHKiu9l4Fezp0+mnSvlGFvU&#10;tfSMQGwoO1fxNkZXFkUQrTQQBuikJWeD3kAk06+L2kNH6EYX4+FwUnToa+dRyBDodXFw8iOifwwg&#10;No0ScoFiY6SNB1QvNUSiFFrlAp/lbptGiviuaYKMTFecmMZ8UhG6r9JZzKZQrj24VoljC/CYFs44&#10;GVCWip6gFhCBbbz6B8oo4TFgEwcCTXEgkhUhFqPhmTa3LTiZuZDUwZ1ED/8PVrzdLj1TdcWfc2bB&#10;0MAfPn2///jl54/PdD58+8rGSaTOhZJi53bpE02xs7fuBsWHwCzOW7BrmZu92ztCGKWM4q+UZARH&#10;pVbdG6wpBjYRs2K7xpsESVqwXR7M/jQYuYtM0ONkOHn5YnzBmeh9BZR9ovMhvpZoWLpUXCubNIMS&#10;tjchpkag7EPSs8VrpXWeu7asq/irC0JOnoBa1cmZDb9ezbVnW0ibk7/M6izM48bWhyLapjyZl+5Y&#10;uWd90G+F9X7pe2looLm34/KljfnTzgL+/uF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xu7Q&#10;2QAAAAwBAAAPAAAAAAAAAAEAIAAAACIAAABkcnMvZG93bnJldi54bWxQSwECFAAUAAAACACHTuJA&#10;oYsBcucBAAC4AwAADgAAAAAAAAABACAAAAAoAQAAZHJzL2Uyb0RvYy54bWxQSwUGAAAAAAYABgBZ&#10;AQAAgQUAAAAA&#10;">
              <v:fill on="f" focussize="0,0"/>
              <v:stroke color="#000000" joinstyle="round"/>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1C60">
    <w:pPr>
      <w:pStyle w:val="31"/>
    </w:pPr>
  </w:p>
  <w:p w14:paraId="55474C0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DFE1">
    <w:pPr>
      <w:pStyle w:val="31"/>
      <w:ind w:firstLine="480"/>
      <w:jc w:val="center"/>
    </w:pPr>
    <w:sdt>
      <w:sdtPr>
        <w:id w:val="147478628"/>
      </w:sdtPr>
      <w:sdtContent>
        <w:sdt>
          <w:sdtPr>
            <w:id w:val="147470856"/>
            <w:showingPlcHdr/>
          </w:sdtPr>
          <w:sdtContent>
            <w:r>
              <w:t xml:space="preserve">     </w:t>
            </w:r>
          </w:sdtContent>
        </w:sdt>
      </w:sdtContent>
    </w:sdt>
  </w:p>
  <w:p w14:paraId="441337A9">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314B">
    <w:pPr>
      <w:pStyle w:val="3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30965">
                          <w:pPr>
                            <w:pStyle w:val="31"/>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139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730965">
                    <w:pPr>
                      <w:pStyle w:val="31"/>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139</w:t>
                    </w:r>
                    <w:r>
                      <w:t xml:space="preserve"> 页</w:t>
                    </w:r>
                  </w:p>
                </w:txbxContent>
              </v:textbox>
            </v:shape>
          </w:pict>
        </mc:Fallback>
      </mc:AlternateContent>
    </w:r>
  </w:p>
  <w:p w14:paraId="1DCFCFC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8579">
    <w:pPr>
      <w:pStyle w:val="31"/>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E4399">
                          <w:pPr>
                            <w:pStyle w:val="3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CE4399">
                    <w:pPr>
                      <w:pStyle w:val="3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139</w:t>
                    </w:r>
                    <w:r>
                      <w:t xml:space="preserve"> 页</w:t>
                    </w:r>
                  </w:p>
                </w:txbxContent>
              </v:textbox>
            </v:shape>
          </w:pict>
        </mc:Fallback>
      </mc:AlternateContent>
    </w:r>
    <w:sdt>
      <w:sdtPr>
        <w:id w:val="147475973"/>
      </w:sdtPr>
      <w:sdtContent>
        <w:sdt>
          <w:sdtPr>
            <w:id w:val="147453969"/>
            <w:showingPlcHdr/>
          </w:sdtPr>
          <w:sdtContent>
            <w:r>
              <w:t xml:space="preserve">     </w:t>
            </w:r>
          </w:sdtContent>
        </w:sdt>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5437">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174FF">
                          <w:pPr>
                            <w:pStyle w:val="31"/>
                          </w:pPr>
                          <w:r>
                            <w:t xml:space="preserve">第 </w:t>
                          </w:r>
                          <w:r>
                            <w:fldChar w:fldCharType="begin"/>
                          </w:r>
                          <w:r>
                            <w:instrText xml:space="preserve"> PAGE  \* MERGEFORMAT </w:instrText>
                          </w:r>
                          <w:r>
                            <w:fldChar w:fldCharType="separate"/>
                          </w:r>
                          <w:r>
                            <w:t>38</w:t>
                          </w:r>
                          <w:r>
                            <w:fldChar w:fldCharType="end"/>
                          </w:r>
                          <w:r>
                            <w:t xml:space="preserve"> 页 共</w:t>
                          </w:r>
                          <w:r>
                            <w:rPr>
                              <w:rFonts w:hint="eastAsia"/>
                              <w:lang w:val="en-US" w:eastAsia="zh-CN"/>
                            </w:rPr>
                            <w:t>139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3174FF">
                    <w:pPr>
                      <w:pStyle w:val="31"/>
                    </w:pPr>
                    <w:r>
                      <w:t xml:space="preserve">第 </w:t>
                    </w:r>
                    <w:r>
                      <w:fldChar w:fldCharType="begin"/>
                    </w:r>
                    <w:r>
                      <w:instrText xml:space="preserve"> PAGE  \* MERGEFORMAT </w:instrText>
                    </w:r>
                    <w:r>
                      <w:fldChar w:fldCharType="separate"/>
                    </w:r>
                    <w:r>
                      <w:t>38</w:t>
                    </w:r>
                    <w:r>
                      <w:fldChar w:fldCharType="end"/>
                    </w:r>
                    <w:r>
                      <w:t xml:space="preserve"> 页 共</w:t>
                    </w:r>
                    <w:r>
                      <w:rPr>
                        <w:rFonts w:hint="eastAsia"/>
                        <w:lang w:val="en-US" w:eastAsia="zh-CN"/>
                      </w:rPr>
                      <w:t>139</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227264"/>
    </w:sdtPr>
    <w:sdtContent>
      <w:sdt>
        <w:sdtPr>
          <w:id w:val="-854037306"/>
          <w:showingPlcHdr/>
        </w:sdtPr>
        <w:sdtContent>
          <w:p w14:paraId="305784EC">
            <w:pPr>
              <w:pStyle w:val="31"/>
              <w:ind w:firstLine="480"/>
              <w:jc w:val="center"/>
            </w:pPr>
            <w:r>
              <w:t xml:space="preserve">     </w:t>
            </w:r>
          </w:p>
        </w:sdtContent>
      </w:sdt>
    </w:sdtContent>
  </w:sdt>
  <w:p w14:paraId="28932DD3">
    <w:pPr>
      <w:pStyle w:val="3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128C">
    <w:pPr>
      <w:pStyle w:val="31"/>
    </w:pPr>
  </w:p>
  <w:p w14:paraId="60BE3B2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EC788">
    <w:pPr>
      <w:pStyle w:val="32"/>
      <w:ind w:firstLine="5310" w:firstLineChars="2950"/>
      <w:jc w:val="both"/>
    </w:pPr>
    <w:r>
      <w:t xml:space="preserve">  </w:t>
    </w:r>
    <w:r>
      <w:rPr>
        <w:rFonts w:hint="eastAsia"/>
      </w:rPr>
      <w:t xml:space="preserve">    </w:t>
    </w:r>
  </w:p>
  <w:p w14:paraId="3A7977B6">
    <w:pPr>
      <w:pStyle w:val="32"/>
      <w:jc w:val="right"/>
      <w:rPr>
        <w:rFonts w:hint="eastAsia" w:eastAsia="宋体"/>
        <w:lang w:eastAsia="zh-CN"/>
      </w:rPr>
    </w:pPr>
    <w:r>
      <w:rPr>
        <w:rFonts w:hint="eastAsia"/>
      </w:rPr>
      <w:t>项目编号：</w:t>
    </w:r>
    <w:r>
      <w:rPr>
        <w:rFonts w:hint="eastAsia"/>
        <w:lang w:eastAsia="zh-CN"/>
      </w:rPr>
      <w:t>CTZB-2025050222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CD7B">
    <w:pPr>
      <w:pStyle w:val="32"/>
      <w:pBdr>
        <w:bottom w:val="single" w:color="auto" w:sz="4" w:space="0"/>
      </w:pBdr>
      <w:jc w:val="right"/>
    </w:pPr>
  </w:p>
  <w:p w14:paraId="4BC5B66F">
    <w:pPr>
      <w:pStyle w:val="32"/>
      <w:pBdr>
        <w:bottom w:val="single" w:color="auto" w:sz="4" w:space="0"/>
      </w:pBdr>
      <w:jc w:val="right"/>
    </w:pPr>
    <w:r>
      <w:rPr>
        <w:rFonts w:hint="eastAsia"/>
      </w:rPr>
      <w:t>项目编号：</w:t>
    </w:r>
    <w:r>
      <w:rPr>
        <w:rFonts w:hint="eastAsia"/>
        <w:lang w:eastAsia="zh-CN"/>
      </w:rPr>
      <w:t>CTZB-2025050222</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DBBD">
    <w:pPr>
      <w:pStyle w:val="32"/>
      <w:pBdr>
        <w:bottom w:val="single" w:color="auto" w:sz="4" w:space="0"/>
      </w:pBdr>
      <w:jc w:val="right"/>
    </w:pPr>
  </w:p>
  <w:p w14:paraId="5B9D07C1">
    <w:pPr>
      <w:pStyle w:val="32"/>
      <w:pBdr>
        <w:bottom w:val="single" w:color="auto" w:sz="4" w:space="0"/>
      </w:pBdr>
      <w:jc w:val="right"/>
    </w:pPr>
    <w:r>
      <w:rPr>
        <w:rFonts w:hint="eastAsia"/>
      </w:rPr>
      <w:t>项目编号：</w:t>
    </w:r>
    <w:r>
      <w:rPr>
        <w:rFonts w:hint="eastAsia"/>
        <w:lang w:eastAsia="zh-CN"/>
      </w:rPr>
      <w:t>CTZB-2025050222</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1E03">
    <w:pPr>
      <w:pStyle w:val="32"/>
      <w:ind w:firstLine="5310" w:firstLineChars="2950"/>
      <w:jc w:val="both"/>
    </w:pPr>
    <w:r>
      <w:rPr>
        <w:rFonts w:hint="eastAsia"/>
      </w:rPr>
      <w:t xml:space="preserve">             </w:t>
    </w:r>
  </w:p>
  <w:p w14:paraId="64E12058">
    <w:pPr>
      <w:pStyle w:val="32"/>
      <w:ind w:firstLine="6120" w:firstLineChars="3400"/>
      <w:jc w:val="both"/>
      <w:rPr>
        <w:rFonts w:hint="eastAsia" w:eastAsia="宋体"/>
        <w:lang w:eastAsia="zh-CN"/>
      </w:rPr>
    </w:pPr>
    <w:r>
      <w:rPr>
        <w:rFonts w:hint="eastAsia"/>
      </w:rPr>
      <w:t>项目编号：</w:t>
    </w:r>
    <w:r>
      <w:rPr>
        <w:rFonts w:hint="eastAsia"/>
        <w:lang w:eastAsia="zh-CN"/>
      </w:rPr>
      <w:t>CTZB-2025050222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AAADC">
    <w:pPr>
      <w:pStyle w:val="32"/>
    </w:pPr>
  </w:p>
  <w:p w14:paraId="2E9977F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3FE3E">
    <w:pPr>
      <w:pStyle w:val="32"/>
      <w:pBdr>
        <w:bottom w:val="none" w:color="auto" w:sz="0" w:space="0"/>
      </w:pBdr>
      <w:jc w:val="both"/>
    </w:pPr>
  </w:p>
  <w:p w14:paraId="4A1D6D0F">
    <w:pPr>
      <w:pStyle w:val="32"/>
      <w:pBdr>
        <w:bottom w:val="none" w:color="auto" w:sz="0" w:space="0"/>
      </w:pBdr>
    </w:pPr>
    <w:r>
      <w:rPr>
        <w:rFonts w:hint="eastAsia"/>
      </w:rPr>
      <w:t xml:space="preserve">                                                              项目编号：CGZX（CS）-2020-0</w:t>
    </w:r>
    <w:r>
      <w:t>011</w:t>
    </w:r>
  </w:p>
  <w:p w14:paraId="65EDBE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lvl>
  </w:abstractNum>
  <w:abstractNum w:abstractNumId="1">
    <w:nsid w:val="0000001F"/>
    <w:multiLevelType w:val="multilevel"/>
    <w:tmpl w:val="0000001F"/>
    <w:lvl w:ilvl="0" w:tentative="0">
      <w:start w:val="1"/>
      <w:numFmt w:val="decimal"/>
      <w:pStyle w:val="128"/>
      <w:lvlText w:val="%1） "/>
      <w:lvlJc w:val="left"/>
      <w:pPr>
        <w:tabs>
          <w:tab w:val="left" w:pos="460"/>
        </w:tabs>
        <w:ind w:left="6"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formatting="1" w:enforcement="0"/>
  <w:defaultTabStop w:val="420"/>
  <w:drawingGridHorizontalSpacing w:val="19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ZDZmN2JiMTI0YjliZDcyNmU0NTFjYzcyODc4MDEifQ=="/>
  </w:docVars>
  <w:rsids>
    <w:rsidRoot w:val="00172A27"/>
    <w:rsid w:val="00000644"/>
    <w:rsid w:val="00000D90"/>
    <w:rsid w:val="00001215"/>
    <w:rsid w:val="00007905"/>
    <w:rsid w:val="0001060C"/>
    <w:rsid w:val="000111B3"/>
    <w:rsid w:val="0001151E"/>
    <w:rsid w:val="000115A1"/>
    <w:rsid w:val="00012C50"/>
    <w:rsid w:val="00014127"/>
    <w:rsid w:val="00016BFC"/>
    <w:rsid w:val="00017DDF"/>
    <w:rsid w:val="000200AF"/>
    <w:rsid w:val="0002089E"/>
    <w:rsid w:val="00021512"/>
    <w:rsid w:val="000236C8"/>
    <w:rsid w:val="0002395B"/>
    <w:rsid w:val="00025399"/>
    <w:rsid w:val="00025444"/>
    <w:rsid w:val="00026E8F"/>
    <w:rsid w:val="00030488"/>
    <w:rsid w:val="00031484"/>
    <w:rsid w:val="00034B91"/>
    <w:rsid w:val="00036A42"/>
    <w:rsid w:val="00036C09"/>
    <w:rsid w:val="000403BD"/>
    <w:rsid w:val="00040537"/>
    <w:rsid w:val="000411E6"/>
    <w:rsid w:val="00042A77"/>
    <w:rsid w:val="00042D50"/>
    <w:rsid w:val="00044097"/>
    <w:rsid w:val="000440BB"/>
    <w:rsid w:val="000440F0"/>
    <w:rsid w:val="0004736F"/>
    <w:rsid w:val="00047D9F"/>
    <w:rsid w:val="00055397"/>
    <w:rsid w:val="00056099"/>
    <w:rsid w:val="00056892"/>
    <w:rsid w:val="00061C34"/>
    <w:rsid w:val="00063762"/>
    <w:rsid w:val="00064E9B"/>
    <w:rsid w:val="00065476"/>
    <w:rsid w:val="000656A6"/>
    <w:rsid w:val="00066FC2"/>
    <w:rsid w:val="00070A3F"/>
    <w:rsid w:val="00071F3F"/>
    <w:rsid w:val="00072F91"/>
    <w:rsid w:val="000733E6"/>
    <w:rsid w:val="0007342A"/>
    <w:rsid w:val="00073EA9"/>
    <w:rsid w:val="00074B46"/>
    <w:rsid w:val="00075404"/>
    <w:rsid w:val="0007543C"/>
    <w:rsid w:val="000765E8"/>
    <w:rsid w:val="00080999"/>
    <w:rsid w:val="000815A6"/>
    <w:rsid w:val="00082AFF"/>
    <w:rsid w:val="00082F00"/>
    <w:rsid w:val="000836C3"/>
    <w:rsid w:val="00085055"/>
    <w:rsid w:val="000850C1"/>
    <w:rsid w:val="00090218"/>
    <w:rsid w:val="00091E40"/>
    <w:rsid w:val="00092481"/>
    <w:rsid w:val="000931C4"/>
    <w:rsid w:val="0009453C"/>
    <w:rsid w:val="000A0F09"/>
    <w:rsid w:val="000A1D23"/>
    <w:rsid w:val="000A4B17"/>
    <w:rsid w:val="000A4D8B"/>
    <w:rsid w:val="000A4DC5"/>
    <w:rsid w:val="000A7444"/>
    <w:rsid w:val="000A7527"/>
    <w:rsid w:val="000B11F7"/>
    <w:rsid w:val="000B3554"/>
    <w:rsid w:val="000B3814"/>
    <w:rsid w:val="000B6077"/>
    <w:rsid w:val="000B6493"/>
    <w:rsid w:val="000C14FD"/>
    <w:rsid w:val="000C1DB4"/>
    <w:rsid w:val="000C3609"/>
    <w:rsid w:val="000C36AD"/>
    <w:rsid w:val="000C624C"/>
    <w:rsid w:val="000C6818"/>
    <w:rsid w:val="000C709C"/>
    <w:rsid w:val="000D302D"/>
    <w:rsid w:val="000D4568"/>
    <w:rsid w:val="000D5407"/>
    <w:rsid w:val="000D586B"/>
    <w:rsid w:val="000D595F"/>
    <w:rsid w:val="000D7E1C"/>
    <w:rsid w:val="000E0400"/>
    <w:rsid w:val="000E0577"/>
    <w:rsid w:val="000E2524"/>
    <w:rsid w:val="000E3F15"/>
    <w:rsid w:val="000E4DD5"/>
    <w:rsid w:val="000E53EA"/>
    <w:rsid w:val="000E58F8"/>
    <w:rsid w:val="000E5B54"/>
    <w:rsid w:val="000E604D"/>
    <w:rsid w:val="000E6460"/>
    <w:rsid w:val="000E7099"/>
    <w:rsid w:val="000F0EAD"/>
    <w:rsid w:val="000F22E0"/>
    <w:rsid w:val="000F2821"/>
    <w:rsid w:val="000F4675"/>
    <w:rsid w:val="000F490D"/>
    <w:rsid w:val="000F76A5"/>
    <w:rsid w:val="000F7CA7"/>
    <w:rsid w:val="00101B31"/>
    <w:rsid w:val="001024B1"/>
    <w:rsid w:val="00102E62"/>
    <w:rsid w:val="00103177"/>
    <w:rsid w:val="00103ABE"/>
    <w:rsid w:val="00104004"/>
    <w:rsid w:val="0010405B"/>
    <w:rsid w:val="001043F4"/>
    <w:rsid w:val="00104469"/>
    <w:rsid w:val="00104946"/>
    <w:rsid w:val="0010715C"/>
    <w:rsid w:val="00107725"/>
    <w:rsid w:val="00107ECC"/>
    <w:rsid w:val="001126B3"/>
    <w:rsid w:val="001131A0"/>
    <w:rsid w:val="00113E31"/>
    <w:rsid w:val="00114E4D"/>
    <w:rsid w:val="001153F7"/>
    <w:rsid w:val="00116138"/>
    <w:rsid w:val="00116B11"/>
    <w:rsid w:val="00116CB1"/>
    <w:rsid w:val="00120621"/>
    <w:rsid w:val="001207AE"/>
    <w:rsid w:val="00121B30"/>
    <w:rsid w:val="001221E4"/>
    <w:rsid w:val="00122311"/>
    <w:rsid w:val="00122BC8"/>
    <w:rsid w:val="00122C70"/>
    <w:rsid w:val="00125D54"/>
    <w:rsid w:val="00125E42"/>
    <w:rsid w:val="00126D60"/>
    <w:rsid w:val="00127C7D"/>
    <w:rsid w:val="00130D9C"/>
    <w:rsid w:val="00130ED5"/>
    <w:rsid w:val="00133E23"/>
    <w:rsid w:val="00134F9F"/>
    <w:rsid w:val="00135B7E"/>
    <w:rsid w:val="0013680E"/>
    <w:rsid w:val="00137D7E"/>
    <w:rsid w:val="00140802"/>
    <w:rsid w:val="00141C28"/>
    <w:rsid w:val="00145015"/>
    <w:rsid w:val="00145508"/>
    <w:rsid w:val="001500B7"/>
    <w:rsid w:val="00151E23"/>
    <w:rsid w:val="00151FDE"/>
    <w:rsid w:val="00153C33"/>
    <w:rsid w:val="001567A5"/>
    <w:rsid w:val="001573A7"/>
    <w:rsid w:val="00157A6E"/>
    <w:rsid w:val="00160058"/>
    <w:rsid w:val="00163D7E"/>
    <w:rsid w:val="001653E3"/>
    <w:rsid w:val="00165FAE"/>
    <w:rsid w:val="001662A7"/>
    <w:rsid w:val="001729CF"/>
    <w:rsid w:val="00172A27"/>
    <w:rsid w:val="001734E0"/>
    <w:rsid w:val="00174754"/>
    <w:rsid w:val="00176562"/>
    <w:rsid w:val="0017696B"/>
    <w:rsid w:val="00176F7B"/>
    <w:rsid w:val="00177EE4"/>
    <w:rsid w:val="001812B6"/>
    <w:rsid w:val="0018792F"/>
    <w:rsid w:val="00187C46"/>
    <w:rsid w:val="0019432A"/>
    <w:rsid w:val="001975B8"/>
    <w:rsid w:val="0019792F"/>
    <w:rsid w:val="00197AB8"/>
    <w:rsid w:val="001A1FE8"/>
    <w:rsid w:val="001A5099"/>
    <w:rsid w:val="001A638A"/>
    <w:rsid w:val="001A777B"/>
    <w:rsid w:val="001B0B52"/>
    <w:rsid w:val="001B3945"/>
    <w:rsid w:val="001B3EEA"/>
    <w:rsid w:val="001B5AF8"/>
    <w:rsid w:val="001B7914"/>
    <w:rsid w:val="001C0424"/>
    <w:rsid w:val="001C1355"/>
    <w:rsid w:val="001C1D8A"/>
    <w:rsid w:val="001C3082"/>
    <w:rsid w:val="001C5104"/>
    <w:rsid w:val="001C633B"/>
    <w:rsid w:val="001D0EE7"/>
    <w:rsid w:val="001D10AC"/>
    <w:rsid w:val="001D233C"/>
    <w:rsid w:val="001D2C8B"/>
    <w:rsid w:val="001D3EB8"/>
    <w:rsid w:val="001D5B23"/>
    <w:rsid w:val="001D73D2"/>
    <w:rsid w:val="001E07B6"/>
    <w:rsid w:val="001E1923"/>
    <w:rsid w:val="001E207D"/>
    <w:rsid w:val="001E2F88"/>
    <w:rsid w:val="001E442B"/>
    <w:rsid w:val="001E491B"/>
    <w:rsid w:val="001E522B"/>
    <w:rsid w:val="001E652C"/>
    <w:rsid w:val="001E6D52"/>
    <w:rsid w:val="001E75BC"/>
    <w:rsid w:val="001E7978"/>
    <w:rsid w:val="001E7D99"/>
    <w:rsid w:val="001F053D"/>
    <w:rsid w:val="001F1947"/>
    <w:rsid w:val="001F1E34"/>
    <w:rsid w:val="001F522F"/>
    <w:rsid w:val="001F54F9"/>
    <w:rsid w:val="001F7192"/>
    <w:rsid w:val="002010E4"/>
    <w:rsid w:val="002048D8"/>
    <w:rsid w:val="002055AB"/>
    <w:rsid w:val="00205855"/>
    <w:rsid w:val="00205993"/>
    <w:rsid w:val="00206476"/>
    <w:rsid w:val="002069E7"/>
    <w:rsid w:val="002069FD"/>
    <w:rsid w:val="0021001B"/>
    <w:rsid w:val="00210DF2"/>
    <w:rsid w:val="00214E73"/>
    <w:rsid w:val="0021523D"/>
    <w:rsid w:val="0022015E"/>
    <w:rsid w:val="00220D0B"/>
    <w:rsid w:val="00223CB8"/>
    <w:rsid w:val="002252CD"/>
    <w:rsid w:val="00226D63"/>
    <w:rsid w:val="00227559"/>
    <w:rsid w:val="002317EE"/>
    <w:rsid w:val="00232392"/>
    <w:rsid w:val="00234208"/>
    <w:rsid w:val="00234222"/>
    <w:rsid w:val="00234CAA"/>
    <w:rsid w:val="00236E3F"/>
    <w:rsid w:val="002403C6"/>
    <w:rsid w:val="00240A3C"/>
    <w:rsid w:val="00242507"/>
    <w:rsid w:val="002453A7"/>
    <w:rsid w:val="00246A88"/>
    <w:rsid w:val="00246D24"/>
    <w:rsid w:val="00246D88"/>
    <w:rsid w:val="00250F0F"/>
    <w:rsid w:val="00252E18"/>
    <w:rsid w:val="00254592"/>
    <w:rsid w:val="00254B7B"/>
    <w:rsid w:val="00254CA1"/>
    <w:rsid w:val="0025635D"/>
    <w:rsid w:val="00257126"/>
    <w:rsid w:val="0025719B"/>
    <w:rsid w:val="002573F4"/>
    <w:rsid w:val="002579F4"/>
    <w:rsid w:val="00257C98"/>
    <w:rsid w:val="002612F5"/>
    <w:rsid w:val="0026212B"/>
    <w:rsid w:val="002659C6"/>
    <w:rsid w:val="0027357C"/>
    <w:rsid w:val="00274788"/>
    <w:rsid w:val="002749DC"/>
    <w:rsid w:val="00275C22"/>
    <w:rsid w:val="00282A14"/>
    <w:rsid w:val="002846E3"/>
    <w:rsid w:val="00287754"/>
    <w:rsid w:val="0029275B"/>
    <w:rsid w:val="00293BB4"/>
    <w:rsid w:val="00296405"/>
    <w:rsid w:val="002965B1"/>
    <w:rsid w:val="00297F29"/>
    <w:rsid w:val="002A0890"/>
    <w:rsid w:val="002A3669"/>
    <w:rsid w:val="002A506F"/>
    <w:rsid w:val="002A7B78"/>
    <w:rsid w:val="002B093D"/>
    <w:rsid w:val="002B205B"/>
    <w:rsid w:val="002B231E"/>
    <w:rsid w:val="002B26B6"/>
    <w:rsid w:val="002B3826"/>
    <w:rsid w:val="002B45AC"/>
    <w:rsid w:val="002B47B6"/>
    <w:rsid w:val="002B5844"/>
    <w:rsid w:val="002B6F1C"/>
    <w:rsid w:val="002C1966"/>
    <w:rsid w:val="002C3E92"/>
    <w:rsid w:val="002C3F1C"/>
    <w:rsid w:val="002C45D3"/>
    <w:rsid w:val="002C665D"/>
    <w:rsid w:val="002C6F5C"/>
    <w:rsid w:val="002C74B1"/>
    <w:rsid w:val="002C7915"/>
    <w:rsid w:val="002D35A5"/>
    <w:rsid w:val="002D64F3"/>
    <w:rsid w:val="002D6AC7"/>
    <w:rsid w:val="002D735F"/>
    <w:rsid w:val="002D762A"/>
    <w:rsid w:val="002E0344"/>
    <w:rsid w:val="002E2FB0"/>
    <w:rsid w:val="002E53E6"/>
    <w:rsid w:val="002E61F6"/>
    <w:rsid w:val="002E77B4"/>
    <w:rsid w:val="002E7924"/>
    <w:rsid w:val="002F3235"/>
    <w:rsid w:val="002F4558"/>
    <w:rsid w:val="002F524E"/>
    <w:rsid w:val="002F5C05"/>
    <w:rsid w:val="00301980"/>
    <w:rsid w:val="00302562"/>
    <w:rsid w:val="003034FA"/>
    <w:rsid w:val="00303B7B"/>
    <w:rsid w:val="00307532"/>
    <w:rsid w:val="003122A3"/>
    <w:rsid w:val="0031281C"/>
    <w:rsid w:val="00313AE3"/>
    <w:rsid w:val="00313B75"/>
    <w:rsid w:val="00313D00"/>
    <w:rsid w:val="003159F5"/>
    <w:rsid w:val="00316255"/>
    <w:rsid w:val="003162FD"/>
    <w:rsid w:val="003165B7"/>
    <w:rsid w:val="00320868"/>
    <w:rsid w:val="003213CD"/>
    <w:rsid w:val="003222A1"/>
    <w:rsid w:val="003246BC"/>
    <w:rsid w:val="003260A3"/>
    <w:rsid w:val="003312D6"/>
    <w:rsid w:val="00332F19"/>
    <w:rsid w:val="00333CBD"/>
    <w:rsid w:val="00333F73"/>
    <w:rsid w:val="00336CF2"/>
    <w:rsid w:val="0033790B"/>
    <w:rsid w:val="00337E8D"/>
    <w:rsid w:val="00340D9C"/>
    <w:rsid w:val="00342962"/>
    <w:rsid w:val="00345BB7"/>
    <w:rsid w:val="00346154"/>
    <w:rsid w:val="00346DA5"/>
    <w:rsid w:val="00347177"/>
    <w:rsid w:val="00347C1C"/>
    <w:rsid w:val="00351006"/>
    <w:rsid w:val="0035250F"/>
    <w:rsid w:val="00352814"/>
    <w:rsid w:val="00352FE3"/>
    <w:rsid w:val="003530E4"/>
    <w:rsid w:val="0035476A"/>
    <w:rsid w:val="00355878"/>
    <w:rsid w:val="00363821"/>
    <w:rsid w:val="00363E66"/>
    <w:rsid w:val="003641A9"/>
    <w:rsid w:val="00365EA7"/>
    <w:rsid w:val="00371224"/>
    <w:rsid w:val="00371A85"/>
    <w:rsid w:val="00372712"/>
    <w:rsid w:val="0037274A"/>
    <w:rsid w:val="00373296"/>
    <w:rsid w:val="00377188"/>
    <w:rsid w:val="00380DAC"/>
    <w:rsid w:val="00381488"/>
    <w:rsid w:val="0038223A"/>
    <w:rsid w:val="00382DE4"/>
    <w:rsid w:val="00383769"/>
    <w:rsid w:val="00384645"/>
    <w:rsid w:val="0038502E"/>
    <w:rsid w:val="0039009D"/>
    <w:rsid w:val="0039082B"/>
    <w:rsid w:val="00390E0A"/>
    <w:rsid w:val="003959BF"/>
    <w:rsid w:val="003959ED"/>
    <w:rsid w:val="003965A9"/>
    <w:rsid w:val="003969FE"/>
    <w:rsid w:val="003A19E7"/>
    <w:rsid w:val="003A2580"/>
    <w:rsid w:val="003A3891"/>
    <w:rsid w:val="003A4750"/>
    <w:rsid w:val="003A5958"/>
    <w:rsid w:val="003A5EC2"/>
    <w:rsid w:val="003A712A"/>
    <w:rsid w:val="003A7F26"/>
    <w:rsid w:val="003B02F2"/>
    <w:rsid w:val="003B28A1"/>
    <w:rsid w:val="003B3F0A"/>
    <w:rsid w:val="003B4F0B"/>
    <w:rsid w:val="003B6D6D"/>
    <w:rsid w:val="003B6FBA"/>
    <w:rsid w:val="003B7F89"/>
    <w:rsid w:val="003C23A5"/>
    <w:rsid w:val="003C2B75"/>
    <w:rsid w:val="003C3F3D"/>
    <w:rsid w:val="003C4CFE"/>
    <w:rsid w:val="003C536C"/>
    <w:rsid w:val="003C5C7C"/>
    <w:rsid w:val="003C602F"/>
    <w:rsid w:val="003D2A01"/>
    <w:rsid w:val="003D5D44"/>
    <w:rsid w:val="003D6EF7"/>
    <w:rsid w:val="003D7E71"/>
    <w:rsid w:val="003E14DF"/>
    <w:rsid w:val="003E31FE"/>
    <w:rsid w:val="003E3DCB"/>
    <w:rsid w:val="003E5111"/>
    <w:rsid w:val="003E62D9"/>
    <w:rsid w:val="003E6308"/>
    <w:rsid w:val="003E69C8"/>
    <w:rsid w:val="003F3D4D"/>
    <w:rsid w:val="003F61C3"/>
    <w:rsid w:val="003F71D0"/>
    <w:rsid w:val="003F7DF8"/>
    <w:rsid w:val="004017BC"/>
    <w:rsid w:val="004025D9"/>
    <w:rsid w:val="00402C38"/>
    <w:rsid w:val="00403D66"/>
    <w:rsid w:val="00405322"/>
    <w:rsid w:val="004056D0"/>
    <w:rsid w:val="00407298"/>
    <w:rsid w:val="0040757D"/>
    <w:rsid w:val="00407E60"/>
    <w:rsid w:val="0041027E"/>
    <w:rsid w:val="00411906"/>
    <w:rsid w:val="00412654"/>
    <w:rsid w:val="00414E2D"/>
    <w:rsid w:val="004150D4"/>
    <w:rsid w:val="00416A8D"/>
    <w:rsid w:val="004223E9"/>
    <w:rsid w:val="004240B0"/>
    <w:rsid w:val="00424120"/>
    <w:rsid w:val="0042454F"/>
    <w:rsid w:val="00424997"/>
    <w:rsid w:val="00426A68"/>
    <w:rsid w:val="00427C44"/>
    <w:rsid w:val="004314B3"/>
    <w:rsid w:val="00431BCF"/>
    <w:rsid w:val="004330A6"/>
    <w:rsid w:val="004360DF"/>
    <w:rsid w:val="00436C67"/>
    <w:rsid w:val="004372BA"/>
    <w:rsid w:val="0043743D"/>
    <w:rsid w:val="004418D0"/>
    <w:rsid w:val="004420DE"/>
    <w:rsid w:val="00443C54"/>
    <w:rsid w:val="004440C4"/>
    <w:rsid w:val="00445094"/>
    <w:rsid w:val="00447734"/>
    <w:rsid w:val="00447E5A"/>
    <w:rsid w:val="00450FC2"/>
    <w:rsid w:val="00451FFD"/>
    <w:rsid w:val="00454016"/>
    <w:rsid w:val="004543F2"/>
    <w:rsid w:val="00454880"/>
    <w:rsid w:val="004556BE"/>
    <w:rsid w:val="004572A8"/>
    <w:rsid w:val="00457928"/>
    <w:rsid w:val="00457BA3"/>
    <w:rsid w:val="00460703"/>
    <w:rsid w:val="004628D0"/>
    <w:rsid w:val="00462BE8"/>
    <w:rsid w:val="00463802"/>
    <w:rsid w:val="0046635B"/>
    <w:rsid w:val="004678EC"/>
    <w:rsid w:val="00467AEB"/>
    <w:rsid w:val="00467BA8"/>
    <w:rsid w:val="00473618"/>
    <w:rsid w:val="004738CE"/>
    <w:rsid w:val="00474851"/>
    <w:rsid w:val="00474ABC"/>
    <w:rsid w:val="00474FD8"/>
    <w:rsid w:val="004752A8"/>
    <w:rsid w:val="0047576D"/>
    <w:rsid w:val="004757C8"/>
    <w:rsid w:val="004772F9"/>
    <w:rsid w:val="004776BF"/>
    <w:rsid w:val="0048063F"/>
    <w:rsid w:val="00480F48"/>
    <w:rsid w:val="004840BD"/>
    <w:rsid w:val="00484E53"/>
    <w:rsid w:val="00484EED"/>
    <w:rsid w:val="00486768"/>
    <w:rsid w:val="00487238"/>
    <w:rsid w:val="004922D6"/>
    <w:rsid w:val="00493256"/>
    <w:rsid w:val="00494148"/>
    <w:rsid w:val="00495282"/>
    <w:rsid w:val="004962B7"/>
    <w:rsid w:val="004962CA"/>
    <w:rsid w:val="0049786F"/>
    <w:rsid w:val="00497E79"/>
    <w:rsid w:val="004A00E2"/>
    <w:rsid w:val="004A0D49"/>
    <w:rsid w:val="004A1054"/>
    <w:rsid w:val="004A12C5"/>
    <w:rsid w:val="004A1EA3"/>
    <w:rsid w:val="004A64BD"/>
    <w:rsid w:val="004A699D"/>
    <w:rsid w:val="004A6C2E"/>
    <w:rsid w:val="004A774E"/>
    <w:rsid w:val="004A79F5"/>
    <w:rsid w:val="004B0FE6"/>
    <w:rsid w:val="004B1229"/>
    <w:rsid w:val="004B3528"/>
    <w:rsid w:val="004B3B90"/>
    <w:rsid w:val="004B47C9"/>
    <w:rsid w:val="004B5B56"/>
    <w:rsid w:val="004B6665"/>
    <w:rsid w:val="004B6E28"/>
    <w:rsid w:val="004B7A87"/>
    <w:rsid w:val="004C009F"/>
    <w:rsid w:val="004C2CD2"/>
    <w:rsid w:val="004C3A03"/>
    <w:rsid w:val="004C4EF0"/>
    <w:rsid w:val="004D06E1"/>
    <w:rsid w:val="004D0F11"/>
    <w:rsid w:val="004D198E"/>
    <w:rsid w:val="004D2AD5"/>
    <w:rsid w:val="004D2B1F"/>
    <w:rsid w:val="004D3D03"/>
    <w:rsid w:val="004D6E6A"/>
    <w:rsid w:val="004D7449"/>
    <w:rsid w:val="004E07A7"/>
    <w:rsid w:val="004E1608"/>
    <w:rsid w:val="004E1AF3"/>
    <w:rsid w:val="004E1D50"/>
    <w:rsid w:val="004E26BC"/>
    <w:rsid w:val="004E2A39"/>
    <w:rsid w:val="004E4B04"/>
    <w:rsid w:val="004E5435"/>
    <w:rsid w:val="004E5EE7"/>
    <w:rsid w:val="004E6D3B"/>
    <w:rsid w:val="004E7AE5"/>
    <w:rsid w:val="004E7D38"/>
    <w:rsid w:val="004F00AE"/>
    <w:rsid w:val="004F2E3C"/>
    <w:rsid w:val="004F4965"/>
    <w:rsid w:val="00500C64"/>
    <w:rsid w:val="00503648"/>
    <w:rsid w:val="00503B99"/>
    <w:rsid w:val="00505139"/>
    <w:rsid w:val="0050625E"/>
    <w:rsid w:val="00507175"/>
    <w:rsid w:val="00512FA4"/>
    <w:rsid w:val="0051399E"/>
    <w:rsid w:val="00515D9E"/>
    <w:rsid w:val="005172B2"/>
    <w:rsid w:val="005176AF"/>
    <w:rsid w:val="00517861"/>
    <w:rsid w:val="00520C0C"/>
    <w:rsid w:val="00520E78"/>
    <w:rsid w:val="00522800"/>
    <w:rsid w:val="005243BE"/>
    <w:rsid w:val="00524409"/>
    <w:rsid w:val="00525E0D"/>
    <w:rsid w:val="00526DC3"/>
    <w:rsid w:val="005270E9"/>
    <w:rsid w:val="005310A6"/>
    <w:rsid w:val="00532419"/>
    <w:rsid w:val="00532485"/>
    <w:rsid w:val="00533A36"/>
    <w:rsid w:val="00535326"/>
    <w:rsid w:val="005415CF"/>
    <w:rsid w:val="00541870"/>
    <w:rsid w:val="00542390"/>
    <w:rsid w:val="0054482E"/>
    <w:rsid w:val="0055006B"/>
    <w:rsid w:val="0055189E"/>
    <w:rsid w:val="00553158"/>
    <w:rsid w:val="005533D3"/>
    <w:rsid w:val="00553753"/>
    <w:rsid w:val="00554D8A"/>
    <w:rsid w:val="00555627"/>
    <w:rsid w:val="005557D6"/>
    <w:rsid w:val="00555DE2"/>
    <w:rsid w:val="005568E3"/>
    <w:rsid w:val="005574A1"/>
    <w:rsid w:val="00560061"/>
    <w:rsid w:val="00561478"/>
    <w:rsid w:val="00564E8D"/>
    <w:rsid w:val="00566D57"/>
    <w:rsid w:val="00570D05"/>
    <w:rsid w:val="00573703"/>
    <w:rsid w:val="00573D48"/>
    <w:rsid w:val="00573F22"/>
    <w:rsid w:val="00574060"/>
    <w:rsid w:val="005741BA"/>
    <w:rsid w:val="00576C0B"/>
    <w:rsid w:val="0057779E"/>
    <w:rsid w:val="00577D40"/>
    <w:rsid w:val="00580BF9"/>
    <w:rsid w:val="00581B49"/>
    <w:rsid w:val="00582800"/>
    <w:rsid w:val="00583531"/>
    <w:rsid w:val="00585100"/>
    <w:rsid w:val="0058510C"/>
    <w:rsid w:val="00585331"/>
    <w:rsid w:val="00585998"/>
    <w:rsid w:val="00585C06"/>
    <w:rsid w:val="00587B89"/>
    <w:rsid w:val="005947E4"/>
    <w:rsid w:val="00594DF5"/>
    <w:rsid w:val="00595FF3"/>
    <w:rsid w:val="0059788F"/>
    <w:rsid w:val="005A214C"/>
    <w:rsid w:val="005A5722"/>
    <w:rsid w:val="005A6589"/>
    <w:rsid w:val="005A669E"/>
    <w:rsid w:val="005A74BA"/>
    <w:rsid w:val="005B07CB"/>
    <w:rsid w:val="005B0EB7"/>
    <w:rsid w:val="005B3948"/>
    <w:rsid w:val="005B5703"/>
    <w:rsid w:val="005B5E34"/>
    <w:rsid w:val="005B672F"/>
    <w:rsid w:val="005B6D93"/>
    <w:rsid w:val="005B6FCA"/>
    <w:rsid w:val="005C00C3"/>
    <w:rsid w:val="005C088E"/>
    <w:rsid w:val="005C09E2"/>
    <w:rsid w:val="005C1259"/>
    <w:rsid w:val="005C17DE"/>
    <w:rsid w:val="005C33BC"/>
    <w:rsid w:val="005C46D0"/>
    <w:rsid w:val="005C5812"/>
    <w:rsid w:val="005C61EC"/>
    <w:rsid w:val="005C7900"/>
    <w:rsid w:val="005D0A26"/>
    <w:rsid w:val="005D189D"/>
    <w:rsid w:val="005D5CAA"/>
    <w:rsid w:val="005E22AD"/>
    <w:rsid w:val="005E2E0C"/>
    <w:rsid w:val="005E400C"/>
    <w:rsid w:val="005F07D9"/>
    <w:rsid w:val="005F0D14"/>
    <w:rsid w:val="005F3B04"/>
    <w:rsid w:val="005F6AF2"/>
    <w:rsid w:val="006024C8"/>
    <w:rsid w:val="00603F40"/>
    <w:rsid w:val="006042D1"/>
    <w:rsid w:val="00605B8C"/>
    <w:rsid w:val="00607616"/>
    <w:rsid w:val="0061056E"/>
    <w:rsid w:val="00611EA1"/>
    <w:rsid w:val="006138D5"/>
    <w:rsid w:val="006140CB"/>
    <w:rsid w:val="006146B0"/>
    <w:rsid w:val="00615C0B"/>
    <w:rsid w:val="00616BC7"/>
    <w:rsid w:val="00616E14"/>
    <w:rsid w:val="0061714E"/>
    <w:rsid w:val="00617D9D"/>
    <w:rsid w:val="006205F5"/>
    <w:rsid w:val="00621E07"/>
    <w:rsid w:val="00624B54"/>
    <w:rsid w:val="00625370"/>
    <w:rsid w:val="00626ADC"/>
    <w:rsid w:val="00626C51"/>
    <w:rsid w:val="006271FA"/>
    <w:rsid w:val="00627358"/>
    <w:rsid w:val="00630160"/>
    <w:rsid w:val="006304CD"/>
    <w:rsid w:val="0063199B"/>
    <w:rsid w:val="00634C5B"/>
    <w:rsid w:val="006400CC"/>
    <w:rsid w:val="00641D53"/>
    <w:rsid w:val="00641EDC"/>
    <w:rsid w:val="00642915"/>
    <w:rsid w:val="00647598"/>
    <w:rsid w:val="00650B7A"/>
    <w:rsid w:val="00650F10"/>
    <w:rsid w:val="00652B66"/>
    <w:rsid w:val="00653294"/>
    <w:rsid w:val="00653DD5"/>
    <w:rsid w:val="0065628A"/>
    <w:rsid w:val="00660BEA"/>
    <w:rsid w:val="00660FC1"/>
    <w:rsid w:val="006611FC"/>
    <w:rsid w:val="00664977"/>
    <w:rsid w:val="00664A66"/>
    <w:rsid w:val="00665156"/>
    <w:rsid w:val="006651E5"/>
    <w:rsid w:val="00665B1C"/>
    <w:rsid w:val="00666601"/>
    <w:rsid w:val="00666D4C"/>
    <w:rsid w:val="00667793"/>
    <w:rsid w:val="00667E2D"/>
    <w:rsid w:val="00670EA8"/>
    <w:rsid w:val="00671106"/>
    <w:rsid w:val="00672BCC"/>
    <w:rsid w:val="00674E8E"/>
    <w:rsid w:val="00675F05"/>
    <w:rsid w:val="0067603E"/>
    <w:rsid w:val="0068027E"/>
    <w:rsid w:val="00680575"/>
    <w:rsid w:val="00680B26"/>
    <w:rsid w:val="00682034"/>
    <w:rsid w:val="006826E2"/>
    <w:rsid w:val="0068431C"/>
    <w:rsid w:val="00685C8D"/>
    <w:rsid w:val="0068683A"/>
    <w:rsid w:val="00687375"/>
    <w:rsid w:val="00687604"/>
    <w:rsid w:val="00694B80"/>
    <w:rsid w:val="00694BB2"/>
    <w:rsid w:val="00697597"/>
    <w:rsid w:val="006A0F0B"/>
    <w:rsid w:val="006A16CD"/>
    <w:rsid w:val="006A36A1"/>
    <w:rsid w:val="006A444F"/>
    <w:rsid w:val="006A76AE"/>
    <w:rsid w:val="006A78FE"/>
    <w:rsid w:val="006B0364"/>
    <w:rsid w:val="006B0559"/>
    <w:rsid w:val="006B1A58"/>
    <w:rsid w:val="006B1D8F"/>
    <w:rsid w:val="006B2442"/>
    <w:rsid w:val="006B50F5"/>
    <w:rsid w:val="006B5305"/>
    <w:rsid w:val="006B55CC"/>
    <w:rsid w:val="006B7476"/>
    <w:rsid w:val="006C200C"/>
    <w:rsid w:val="006C2B1A"/>
    <w:rsid w:val="006C4619"/>
    <w:rsid w:val="006C4AF1"/>
    <w:rsid w:val="006C56ED"/>
    <w:rsid w:val="006C6F6C"/>
    <w:rsid w:val="006C7D16"/>
    <w:rsid w:val="006C7EA8"/>
    <w:rsid w:val="006D24B6"/>
    <w:rsid w:val="006D2803"/>
    <w:rsid w:val="006D3E2B"/>
    <w:rsid w:val="006D53D9"/>
    <w:rsid w:val="006D62AA"/>
    <w:rsid w:val="006D7622"/>
    <w:rsid w:val="006E11FD"/>
    <w:rsid w:val="006E2FEA"/>
    <w:rsid w:val="006E3B88"/>
    <w:rsid w:val="006E5217"/>
    <w:rsid w:val="006E7736"/>
    <w:rsid w:val="006F4D6E"/>
    <w:rsid w:val="006F5BC4"/>
    <w:rsid w:val="006F6DC7"/>
    <w:rsid w:val="006F7444"/>
    <w:rsid w:val="00701CF8"/>
    <w:rsid w:val="0070342F"/>
    <w:rsid w:val="0070353F"/>
    <w:rsid w:val="007035FC"/>
    <w:rsid w:val="00704701"/>
    <w:rsid w:val="00707EBC"/>
    <w:rsid w:val="0071049B"/>
    <w:rsid w:val="00714748"/>
    <w:rsid w:val="0071509F"/>
    <w:rsid w:val="00715EC7"/>
    <w:rsid w:val="00722B23"/>
    <w:rsid w:val="007230C2"/>
    <w:rsid w:val="00723F6D"/>
    <w:rsid w:val="00724E5C"/>
    <w:rsid w:val="00724EEE"/>
    <w:rsid w:val="0072504B"/>
    <w:rsid w:val="00726A8E"/>
    <w:rsid w:val="00730005"/>
    <w:rsid w:val="007335BF"/>
    <w:rsid w:val="0073541F"/>
    <w:rsid w:val="00737D9D"/>
    <w:rsid w:val="00737ECD"/>
    <w:rsid w:val="007409D4"/>
    <w:rsid w:val="0074371E"/>
    <w:rsid w:val="00743C6C"/>
    <w:rsid w:val="00747842"/>
    <w:rsid w:val="00747E3E"/>
    <w:rsid w:val="00750CCE"/>
    <w:rsid w:val="00751994"/>
    <w:rsid w:val="00751D3E"/>
    <w:rsid w:val="00751D69"/>
    <w:rsid w:val="00753457"/>
    <w:rsid w:val="0075484F"/>
    <w:rsid w:val="00756627"/>
    <w:rsid w:val="00757D7D"/>
    <w:rsid w:val="00761DB9"/>
    <w:rsid w:val="00762E2A"/>
    <w:rsid w:val="00764E86"/>
    <w:rsid w:val="00772957"/>
    <w:rsid w:val="0077525F"/>
    <w:rsid w:val="00775A27"/>
    <w:rsid w:val="00775B3B"/>
    <w:rsid w:val="0077617A"/>
    <w:rsid w:val="007772D9"/>
    <w:rsid w:val="007773B2"/>
    <w:rsid w:val="00780EAB"/>
    <w:rsid w:val="00782B95"/>
    <w:rsid w:val="00784691"/>
    <w:rsid w:val="00784E06"/>
    <w:rsid w:val="00784EDD"/>
    <w:rsid w:val="00785867"/>
    <w:rsid w:val="00785DB3"/>
    <w:rsid w:val="00787130"/>
    <w:rsid w:val="00787B93"/>
    <w:rsid w:val="00790B1A"/>
    <w:rsid w:val="00791C5A"/>
    <w:rsid w:val="007923E6"/>
    <w:rsid w:val="00792619"/>
    <w:rsid w:val="00793486"/>
    <w:rsid w:val="00794BCE"/>
    <w:rsid w:val="00796906"/>
    <w:rsid w:val="0079728A"/>
    <w:rsid w:val="007A0B31"/>
    <w:rsid w:val="007A0F7F"/>
    <w:rsid w:val="007A2B80"/>
    <w:rsid w:val="007A348A"/>
    <w:rsid w:val="007A652A"/>
    <w:rsid w:val="007B3CA6"/>
    <w:rsid w:val="007B666B"/>
    <w:rsid w:val="007B7492"/>
    <w:rsid w:val="007B79F2"/>
    <w:rsid w:val="007B7F77"/>
    <w:rsid w:val="007C0514"/>
    <w:rsid w:val="007C204B"/>
    <w:rsid w:val="007C5638"/>
    <w:rsid w:val="007C5F3D"/>
    <w:rsid w:val="007C66C8"/>
    <w:rsid w:val="007C6EE1"/>
    <w:rsid w:val="007D0429"/>
    <w:rsid w:val="007D37FF"/>
    <w:rsid w:val="007D46A9"/>
    <w:rsid w:val="007D4C33"/>
    <w:rsid w:val="007D7169"/>
    <w:rsid w:val="007E01DA"/>
    <w:rsid w:val="007E2069"/>
    <w:rsid w:val="007E46F2"/>
    <w:rsid w:val="007E560B"/>
    <w:rsid w:val="007E63D6"/>
    <w:rsid w:val="007F094C"/>
    <w:rsid w:val="007F098C"/>
    <w:rsid w:val="007F1AD9"/>
    <w:rsid w:val="007F2348"/>
    <w:rsid w:val="007F27D5"/>
    <w:rsid w:val="007F2F2D"/>
    <w:rsid w:val="007F34BE"/>
    <w:rsid w:val="007F5C52"/>
    <w:rsid w:val="007F6733"/>
    <w:rsid w:val="008031B8"/>
    <w:rsid w:val="00804257"/>
    <w:rsid w:val="00804A98"/>
    <w:rsid w:val="00804ECD"/>
    <w:rsid w:val="008050A8"/>
    <w:rsid w:val="00806477"/>
    <w:rsid w:val="00807FE2"/>
    <w:rsid w:val="008107D5"/>
    <w:rsid w:val="00811470"/>
    <w:rsid w:val="008158B5"/>
    <w:rsid w:val="00817481"/>
    <w:rsid w:val="00817549"/>
    <w:rsid w:val="00817ABA"/>
    <w:rsid w:val="00820947"/>
    <w:rsid w:val="0082173F"/>
    <w:rsid w:val="008255F2"/>
    <w:rsid w:val="008263F0"/>
    <w:rsid w:val="00830111"/>
    <w:rsid w:val="00830C16"/>
    <w:rsid w:val="008313C6"/>
    <w:rsid w:val="00831BE7"/>
    <w:rsid w:val="00831F79"/>
    <w:rsid w:val="00832324"/>
    <w:rsid w:val="0083606F"/>
    <w:rsid w:val="00840B0C"/>
    <w:rsid w:val="00841A7A"/>
    <w:rsid w:val="00841DD2"/>
    <w:rsid w:val="0084340D"/>
    <w:rsid w:val="0084511C"/>
    <w:rsid w:val="00847972"/>
    <w:rsid w:val="00850645"/>
    <w:rsid w:val="00851CB1"/>
    <w:rsid w:val="008548EA"/>
    <w:rsid w:val="008560C2"/>
    <w:rsid w:val="00857115"/>
    <w:rsid w:val="008605B1"/>
    <w:rsid w:val="008647DB"/>
    <w:rsid w:val="00864E76"/>
    <w:rsid w:val="0086506E"/>
    <w:rsid w:val="00866205"/>
    <w:rsid w:val="0086791E"/>
    <w:rsid w:val="00870D52"/>
    <w:rsid w:val="0087121C"/>
    <w:rsid w:val="00873AC9"/>
    <w:rsid w:val="008746E7"/>
    <w:rsid w:val="00875F93"/>
    <w:rsid w:val="0087763F"/>
    <w:rsid w:val="0088087F"/>
    <w:rsid w:val="008841CC"/>
    <w:rsid w:val="008844E4"/>
    <w:rsid w:val="00885B0A"/>
    <w:rsid w:val="00886EC5"/>
    <w:rsid w:val="00891DE4"/>
    <w:rsid w:val="0089546C"/>
    <w:rsid w:val="00895556"/>
    <w:rsid w:val="008A0594"/>
    <w:rsid w:val="008A0932"/>
    <w:rsid w:val="008A4B33"/>
    <w:rsid w:val="008A4EB3"/>
    <w:rsid w:val="008A5915"/>
    <w:rsid w:val="008A7F7A"/>
    <w:rsid w:val="008B02A6"/>
    <w:rsid w:val="008B0C49"/>
    <w:rsid w:val="008B1E68"/>
    <w:rsid w:val="008B3788"/>
    <w:rsid w:val="008B48CB"/>
    <w:rsid w:val="008B4A03"/>
    <w:rsid w:val="008C1DE2"/>
    <w:rsid w:val="008C23E5"/>
    <w:rsid w:val="008C47E5"/>
    <w:rsid w:val="008C5DC6"/>
    <w:rsid w:val="008D0DCA"/>
    <w:rsid w:val="008D297D"/>
    <w:rsid w:val="008D30EB"/>
    <w:rsid w:val="008D5AC3"/>
    <w:rsid w:val="008D6DA4"/>
    <w:rsid w:val="008E193C"/>
    <w:rsid w:val="008E29E0"/>
    <w:rsid w:val="008E2A50"/>
    <w:rsid w:val="008E4645"/>
    <w:rsid w:val="008E4BD7"/>
    <w:rsid w:val="008E4D44"/>
    <w:rsid w:val="008E5EBD"/>
    <w:rsid w:val="008E64F6"/>
    <w:rsid w:val="008E7A21"/>
    <w:rsid w:val="008F2EE4"/>
    <w:rsid w:val="008F32E1"/>
    <w:rsid w:val="008F3CA8"/>
    <w:rsid w:val="008F4928"/>
    <w:rsid w:val="008F505E"/>
    <w:rsid w:val="008F5C64"/>
    <w:rsid w:val="008F656E"/>
    <w:rsid w:val="008F6A2C"/>
    <w:rsid w:val="008F7C1E"/>
    <w:rsid w:val="00901750"/>
    <w:rsid w:val="009029A0"/>
    <w:rsid w:val="00904600"/>
    <w:rsid w:val="00904E65"/>
    <w:rsid w:val="009058C2"/>
    <w:rsid w:val="00906796"/>
    <w:rsid w:val="00910BB4"/>
    <w:rsid w:val="0091272E"/>
    <w:rsid w:val="00912C73"/>
    <w:rsid w:val="00914C3E"/>
    <w:rsid w:val="00915202"/>
    <w:rsid w:val="00915FC5"/>
    <w:rsid w:val="009174E1"/>
    <w:rsid w:val="00920EAB"/>
    <w:rsid w:val="00921C76"/>
    <w:rsid w:val="009228AD"/>
    <w:rsid w:val="009242D6"/>
    <w:rsid w:val="00931957"/>
    <w:rsid w:val="00932838"/>
    <w:rsid w:val="009354ED"/>
    <w:rsid w:val="00935561"/>
    <w:rsid w:val="00940C1E"/>
    <w:rsid w:val="00943CCD"/>
    <w:rsid w:val="00944A2E"/>
    <w:rsid w:val="00946169"/>
    <w:rsid w:val="0095263D"/>
    <w:rsid w:val="00952B23"/>
    <w:rsid w:val="00953F78"/>
    <w:rsid w:val="00954EA7"/>
    <w:rsid w:val="00955334"/>
    <w:rsid w:val="00957754"/>
    <w:rsid w:val="00960161"/>
    <w:rsid w:val="009609EA"/>
    <w:rsid w:val="0096142B"/>
    <w:rsid w:val="009631E3"/>
    <w:rsid w:val="009648A4"/>
    <w:rsid w:val="00964B57"/>
    <w:rsid w:val="00967823"/>
    <w:rsid w:val="0097408F"/>
    <w:rsid w:val="00975168"/>
    <w:rsid w:val="00975535"/>
    <w:rsid w:val="009769BB"/>
    <w:rsid w:val="009800BA"/>
    <w:rsid w:val="00980B61"/>
    <w:rsid w:val="00980E24"/>
    <w:rsid w:val="00981251"/>
    <w:rsid w:val="0098172E"/>
    <w:rsid w:val="009832F2"/>
    <w:rsid w:val="00985C03"/>
    <w:rsid w:val="00986EF0"/>
    <w:rsid w:val="00987453"/>
    <w:rsid w:val="009900BC"/>
    <w:rsid w:val="009900D8"/>
    <w:rsid w:val="00990354"/>
    <w:rsid w:val="00990A88"/>
    <w:rsid w:val="00994A08"/>
    <w:rsid w:val="00995696"/>
    <w:rsid w:val="009965DB"/>
    <w:rsid w:val="009966F6"/>
    <w:rsid w:val="009979E1"/>
    <w:rsid w:val="00997BFC"/>
    <w:rsid w:val="009A10FA"/>
    <w:rsid w:val="009A3FE7"/>
    <w:rsid w:val="009A624A"/>
    <w:rsid w:val="009A74DC"/>
    <w:rsid w:val="009A7637"/>
    <w:rsid w:val="009B00AD"/>
    <w:rsid w:val="009B0A05"/>
    <w:rsid w:val="009B0C38"/>
    <w:rsid w:val="009B16F4"/>
    <w:rsid w:val="009B19B0"/>
    <w:rsid w:val="009B2542"/>
    <w:rsid w:val="009B30B2"/>
    <w:rsid w:val="009B3E34"/>
    <w:rsid w:val="009B4681"/>
    <w:rsid w:val="009B48A9"/>
    <w:rsid w:val="009C02BE"/>
    <w:rsid w:val="009C0B8D"/>
    <w:rsid w:val="009C0CC1"/>
    <w:rsid w:val="009C168B"/>
    <w:rsid w:val="009C1A45"/>
    <w:rsid w:val="009C29AD"/>
    <w:rsid w:val="009C5D6C"/>
    <w:rsid w:val="009C6642"/>
    <w:rsid w:val="009C67EF"/>
    <w:rsid w:val="009C6E62"/>
    <w:rsid w:val="009D02C9"/>
    <w:rsid w:val="009D08B2"/>
    <w:rsid w:val="009D0D0D"/>
    <w:rsid w:val="009D2F37"/>
    <w:rsid w:val="009D302A"/>
    <w:rsid w:val="009D4532"/>
    <w:rsid w:val="009D47DA"/>
    <w:rsid w:val="009D49CB"/>
    <w:rsid w:val="009D66ED"/>
    <w:rsid w:val="009D7FB8"/>
    <w:rsid w:val="009E0175"/>
    <w:rsid w:val="009E04F4"/>
    <w:rsid w:val="009E1DED"/>
    <w:rsid w:val="009E35F6"/>
    <w:rsid w:val="009E3D4B"/>
    <w:rsid w:val="009E463E"/>
    <w:rsid w:val="009E48EA"/>
    <w:rsid w:val="009E4E3E"/>
    <w:rsid w:val="009E6E5E"/>
    <w:rsid w:val="009E7697"/>
    <w:rsid w:val="009F0F79"/>
    <w:rsid w:val="009F23D3"/>
    <w:rsid w:val="00A00799"/>
    <w:rsid w:val="00A01799"/>
    <w:rsid w:val="00A0221E"/>
    <w:rsid w:val="00A03373"/>
    <w:rsid w:val="00A04677"/>
    <w:rsid w:val="00A05A97"/>
    <w:rsid w:val="00A1139C"/>
    <w:rsid w:val="00A11C18"/>
    <w:rsid w:val="00A134ED"/>
    <w:rsid w:val="00A160FD"/>
    <w:rsid w:val="00A211B8"/>
    <w:rsid w:val="00A22501"/>
    <w:rsid w:val="00A22E50"/>
    <w:rsid w:val="00A23712"/>
    <w:rsid w:val="00A2383D"/>
    <w:rsid w:val="00A26983"/>
    <w:rsid w:val="00A26B22"/>
    <w:rsid w:val="00A27E72"/>
    <w:rsid w:val="00A27FFC"/>
    <w:rsid w:val="00A32D81"/>
    <w:rsid w:val="00A3394D"/>
    <w:rsid w:val="00A340AD"/>
    <w:rsid w:val="00A350C9"/>
    <w:rsid w:val="00A37FD0"/>
    <w:rsid w:val="00A40BDD"/>
    <w:rsid w:val="00A42C72"/>
    <w:rsid w:val="00A436B8"/>
    <w:rsid w:val="00A468C5"/>
    <w:rsid w:val="00A471A1"/>
    <w:rsid w:val="00A47E50"/>
    <w:rsid w:val="00A518B6"/>
    <w:rsid w:val="00A520B2"/>
    <w:rsid w:val="00A52D21"/>
    <w:rsid w:val="00A52E72"/>
    <w:rsid w:val="00A53136"/>
    <w:rsid w:val="00A5468D"/>
    <w:rsid w:val="00A5498A"/>
    <w:rsid w:val="00A54A68"/>
    <w:rsid w:val="00A54A8C"/>
    <w:rsid w:val="00A55918"/>
    <w:rsid w:val="00A56956"/>
    <w:rsid w:val="00A60F50"/>
    <w:rsid w:val="00A61B3E"/>
    <w:rsid w:val="00A630F5"/>
    <w:rsid w:val="00A63845"/>
    <w:rsid w:val="00A653EB"/>
    <w:rsid w:val="00A65481"/>
    <w:rsid w:val="00A666A6"/>
    <w:rsid w:val="00A67D1E"/>
    <w:rsid w:val="00A67F2C"/>
    <w:rsid w:val="00A7098C"/>
    <w:rsid w:val="00A70B64"/>
    <w:rsid w:val="00A7132C"/>
    <w:rsid w:val="00A72361"/>
    <w:rsid w:val="00A725A6"/>
    <w:rsid w:val="00A72DDE"/>
    <w:rsid w:val="00A80DEA"/>
    <w:rsid w:val="00A81BC0"/>
    <w:rsid w:val="00A81FCF"/>
    <w:rsid w:val="00A8516E"/>
    <w:rsid w:val="00A90F9F"/>
    <w:rsid w:val="00A910A2"/>
    <w:rsid w:val="00A9139F"/>
    <w:rsid w:val="00A91536"/>
    <w:rsid w:val="00A93F2A"/>
    <w:rsid w:val="00A94260"/>
    <w:rsid w:val="00A9442B"/>
    <w:rsid w:val="00A95FE3"/>
    <w:rsid w:val="00A9660A"/>
    <w:rsid w:val="00A96DF5"/>
    <w:rsid w:val="00AA1416"/>
    <w:rsid w:val="00AA15E4"/>
    <w:rsid w:val="00AA19E6"/>
    <w:rsid w:val="00AA74E6"/>
    <w:rsid w:val="00AA7773"/>
    <w:rsid w:val="00AB0F5A"/>
    <w:rsid w:val="00AB4BF9"/>
    <w:rsid w:val="00AB4F3E"/>
    <w:rsid w:val="00AB51DE"/>
    <w:rsid w:val="00AB553E"/>
    <w:rsid w:val="00AC0759"/>
    <w:rsid w:val="00AC0CE3"/>
    <w:rsid w:val="00AC0E13"/>
    <w:rsid w:val="00AC1263"/>
    <w:rsid w:val="00AC2D6B"/>
    <w:rsid w:val="00AC3435"/>
    <w:rsid w:val="00AC431C"/>
    <w:rsid w:val="00AC5465"/>
    <w:rsid w:val="00AC5DCE"/>
    <w:rsid w:val="00AC62B5"/>
    <w:rsid w:val="00AC662B"/>
    <w:rsid w:val="00AC6D28"/>
    <w:rsid w:val="00AD05DF"/>
    <w:rsid w:val="00AD06CB"/>
    <w:rsid w:val="00AD349F"/>
    <w:rsid w:val="00AD3517"/>
    <w:rsid w:val="00AD3742"/>
    <w:rsid w:val="00AD56FB"/>
    <w:rsid w:val="00AE16A2"/>
    <w:rsid w:val="00AE37BD"/>
    <w:rsid w:val="00AE41FE"/>
    <w:rsid w:val="00AE573E"/>
    <w:rsid w:val="00AE7AEC"/>
    <w:rsid w:val="00AF1258"/>
    <w:rsid w:val="00AF24E8"/>
    <w:rsid w:val="00AF2635"/>
    <w:rsid w:val="00AF6399"/>
    <w:rsid w:val="00AF7BDE"/>
    <w:rsid w:val="00B0049C"/>
    <w:rsid w:val="00B014D1"/>
    <w:rsid w:val="00B032C4"/>
    <w:rsid w:val="00B05874"/>
    <w:rsid w:val="00B13427"/>
    <w:rsid w:val="00B141CF"/>
    <w:rsid w:val="00B15FF3"/>
    <w:rsid w:val="00B178C9"/>
    <w:rsid w:val="00B17FC7"/>
    <w:rsid w:val="00B2036C"/>
    <w:rsid w:val="00B20947"/>
    <w:rsid w:val="00B22272"/>
    <w:rsid w:val="00B23B5F"/>
    <w:rsid w:val="00B24B5F"/>
    <w:rsid w:val="00B24E2A"/>
    <w:rsid w:val="00B25928"/>
    <w:rsid w:val="00B26A8B"/>
    <w:rsid w:val="00B27C9C"/>
    <w:rsid w:val="00B3082A"/>
    <w:rsid w:val="00B308AC"/>
    <w:rsid w:val="00B31B1F"/>
    <w:rsid w:val="00B373BB"/>
    <w:rsid w:val="00B3767E"/>
    <w:rsid w:val="00B407DD"/>
    <w:rsid w:val="00B40A88"/>
    <w:rsid w:val="00B466E8"/>
    <w:rsid w:val="00B544BD"/>
    <w:rsid w:val="00B54793"/>
    <w:rsid w:val="00B55FA8"/>
    <w:rsid w:val="00B56601"/>
    <w:rsid w:val="00B60D06"/>
    <w:rsid w:val="00B62ABA"/>
    <w:rsid w:val="00B63668"/>
    <w:rsid w:val="00B65B5C"/>
    <w:rsid w:val="00B666A2"/>
    <w:rsid w:val="00B67A7C"/>
    <w:rsid w:val="00B71D7E"/>
    <w:rsid w:val="00B7258F"/>
    <w:rsid w:val="00B7377F"/>
    <w:rsid w:val="00B75BDD"/>
    <w:rsid w:val="00B7638C"/>
    <w:rsid w:val="00B7643B"/>
    <w:rsid w:val="00B77D45"/>
    <w:rsid w:val="00B806AC"/>
    <w:rsid w:val="00B81B2A"/>
    <w:rsid w:val="00B83E3A"/>
    <w:rsid w:val="00B84D81"/>
    <w:rsid w:val="00B856FB"/>
    <w:rsid w:val="00B860AD"/>
    <w:rsid w:val="00B86502"/>
    <w:rsid w:val="00B87492"/>
    <w:rsid w:val="00B90570"/>
    <w:rsid w:val="00B908DF"/>
    <w:rsid w:val="00B90B26"/>
    <w:rsid w:val="00B92250"/>
    <w:rsid w:val="00B9351D"/>
    <w:rsid w:val="00B9637A"/>
    <w:rsid w:val="00B965AB"/>
    <w:rsid w:val="00BA0CF8"/>
    <w:rsid w:val="00BA115F"/>
    <w:rsid w:val="00BA41B0"/>
    <w:rsid w:val="00BA4BA3"/>
    <w:rsid w:val="00BA52BB"/>
    <w:rsid w:val="00BA6A6D"/>
    <w:rsid w:val="00BA6EA3"/>
    <w:rsid w:val="00BB0D46"/>
    <w:rsid w:val="00BB28A3"/>
    <w:rsid w:val="00BB3ABA"/>
    <w:rsid w:val="00BB400F"/>
    <w:rsid w:val="00BB552E"/>
    <w:rsid w:val="00BB6CE5"/>
    <w:rsid w:val="00BC16D0"/>
    <w:rsid w:val="00BC2C23"/>
    <w:rsid w:val="00BC4A17"/>
    <w:rsid w:val="00BC4AF0"/>
    <w:rsid w:val="00BD2238"/>
    <w:rsid w:val="00BD2B6A"/>
    <w:rsid w:val="00BD3EE8"/>
    <w:rsid w:val="00BD5650"/>
    <w:rsid w:val="00BD67D5"/>
    <w:rsid w:val="00BD6A5B"/>
    <w:rsid w:val="00BE3DE9"/>
    <w:rsid w:val="00BE5EF9"/>
    <w:rsid w:val="00BE6728"/>
    <w:rsid w:val="00BF0A4D"/>
    <w:rsid w:val="00BF5B3B"/>
    <w:rsid w:val="00BF5F03"/>
    <w:rsid w:val="00C0200A"/>
    <w:rsid w:val="00C02043"/>
    <w:rsid w:val="00C05110"/>
    <w:rsid w:val="00C05AB1"/>
    <w:rsid w:val="00C061DA"/>
    <w:rsid w:val="00C07E48"/>
    <w:rsid w:val="00C10637"/>
    <w:rsid w:val="00C13A55"/>
    <w:rsid w:val="00C150AB"/>
    <w:rsid w:val="00C15558"/>
    <w:rsid w:val="00C15841"/>
    <w:rsid w:val="00C175E0"/>
    <w:rsid w:val="00C26B35"/>
    <w:rsid w:val="00C2730B"/>
    <w:rsid w:val="00C3235D"/>
    <w:rsid w:val="00C32887"/>
    <w:rsid w:val="00C352E5"/>
    <w:rsid w:val="00C35D78"/>
    <w:rsid w:val="00C400C1"/>
    <w:rsid w:val="00C40476"/>
    <w:rsid w:val="00C40743"/>
    <w:rsid w:val="00C40B30"/>
    <w:rsid w:val="00C41CF9"/>
    <w:rsid w:val="00C432CE"/>
    <w:rsid w:val="00C43EB1"/>
    <w:rsid w:val="00C46413"/>
    <w:rsid w:val="00C46A84"/>
    <w:rsid w:val="00C50179"/>
    <w:rsid w:val="00C50E0D"/>
    <w:rsid w:val="00C5157E"/>
    <w:rsid w:val="00C52B10"/>
    <w:rsid w:val="00C5429A"/>
    <w:rsid w:val="00C54C9E"/>
    <w:rsid w:val="00C567D4"/>
    <w:rsid w:val="00C56841"/>
    <w:rsid w:val="00C6358A"/>
    <w:rsid w:val="00C64C57"/>
    <w:rsid w:val="00C65586"/>
    <w:rsid w:val="00C66705"/>
    <w:rsid w:val="00C6755D"/>
    <w:rsid w:val="00C67B72"/>
    <w:rsid w:val="00C67E2F"/>
    <w:rsid w:val="00C703F5"/>
    <w:rsid w:val="00C70D75"/>
    <w:rsid w:val="00C729A0"/>
    <w:rsid w:val="00C73F07"/>
    <w:rsid w:val="00C753B7"/>
    <w:rsid w:val="00C76195"/>
    <w:rsid w:val="00C76E19"/>
    <w:rsid w:val="00C77075"/>
    <w:rsid w:val="00C8229C"/>
    <w:rsid w:val="00C84662"/>
    <w:rsid w:val="00C91950"/>
    <w:rsid w:val="00C91E6D"/>
    <w:rsid w:val="00C937C0"/>
    <w:rsid w:val="00C94104"/>
    <w:rsid w:val="00C95E5B"/>
    <w:rsid w:val="00C95E92"/>
    <w:rsid w:val="00C96337"/>
    <w:rsid w:val="00CA08F9"/>
    <w:rsid w:val="00CA0A97"/>
    <w:rsid w:val="00CA3712"/>
    <w:rsid w:val="00CA45CE"/>
    <w:rsid w:val="00CA5B44"/>
    <w:rsid w:val="00CA60C8"/>
    <w:rsid w:val="00CA613E"/>
    <w:rsid w:val="00CA6DDA"/>
    <w:rsid w:val="00CA7F29"/>
    <w:rsid w:val="00CB0CAA"/>
    <w:rsid w:val="00CB1495"/>
    <w:rsid w:val="00CB1A97"/>
    <w:rsid w:val="00CB3EC3"/>
    <w:rsid w:val="00CB57DC"/>
    <w:rsid w:val="00CB6403"/>
    <w:rsid w:val="00CC1471"/>
    <w:rsid w:val="00CC4225"/>
    <w:rsid w:val="00CC4CA0"/>
    <w:rsid w:val="00CC53B2"/>
    <w:rsid w:val="00CC5B87"/>
    <w:rsid w:val="00CC7777"/>
    <w:rsid w:val="00CC7AF4"/>
    <w:rsid w:val="00CC7F80"/>
    <w:rsid w:val="00CD2733"/>
    <w:rsid w:val="00CD29E7"/>
    <w:rsid w:val="00CD2B0C"/>
    <w:rsid w:val="00CD3F9F"/>
    <w:rsid w:val="00CD59D7"/>
    <w:rsid w:val="00CD7148"/>
    <w:rsid w:val="00CE11CB"/>
    <w:rsid w:val="00CE33EA"/>
    <w:rsid w:val="00CE5F80"/>
    <w:rsid w:val="00CE67E9"/>
    <w:rsid w:val="00CE6CFE"/>
    <w:rsid w:val="00CE79F5"/>
    <w:rsid w:val="00CF20B6"/>
    <w:rsid w:val="00CF27E4"/>
    <w:rsid w:val="00CF4616"/>
    <w:rsid w:val="00CF4FEE"/>
    <w:rsid w:val="00CF517A"/>
    <w:rsid w:val="00CF73F2"/>
    <w:rsid w:val="00D0264A"/>
    <w:rsid w:val="00D037F5"/>
    <w:rsid w:val="00D03F47"/>
    <w:rsid w:val="00D05226"/>
    <w:rsid w:val="00D069DC"/>
    <w:rsid w:val="00D1132B"/>
    <w:rsid w:val="00D11595"/>
    <w:rsid w:val="00D11E84"/>
    <w:rsid w:val="00D13758"/>
    <w:rsid w:val="00D15392"/>
    <w:rsid w:val="00D16B32"/>
    <w:rsid w:val="00D16CFB"/>
    <w:rsid w:val="00D178F3"/>
    <w:rsid w:val="00D2005C"/>
    <w:rsid w:val="00D20BE6"/>
    <w:rsid w:val="00D21532"/>
    <w:rsid w:val="00D21653"/>
    <w:rsid w:val="00D22865"/>
    <w:rsid w:val="00D2373E"/>
    <w:rsid w:val="00D241A6"/>
    <w:rsid w:val="00D25120"/>
    <w:rsid w:val="00D261E6"/>
    <w:rsid w:val="00D26E0F"/>
    <w:rsid w:val="00D275FC"/>
    <w:rsid w:val="00D27AE8"/>
    <w:rsid w:val="00D30135"/>
    <w:rsid w:val="00D303E4"/>
    <w:rsid w:val="00D314DB"/>
    <w:rsid w:val="00D31751"/>
    <w:rsid w:val="00D320D6"/>
    <w:rsid w:val="00D333A4"/>
    <w:rsid w:val="00D34F1E"/>
    <w:rsid w:val="00D36796"/>
    <w:rsid w:val="00D37368"/>
    <w:rsid w:val="00D3740C"/>
    <w:rsid w:val="00D41C02"/>
    <w:rsid w:val="00D4221D"/>
    <w:rsid w:val="00D435BB"/>
    <w:rsid w:val="00D460B7"/>
    <w:rsid w:val="00D50335"/>
    <w:rsid w:val="00D527C5"/>
    <w:rsid w:val="00D5596F"/>
    <w:rsid w:val="00D5661A"/>
    <w:rsid w:val="00D56CFB"/>
    <w:rsid w:val="00D616FD"/>
    <w:rsid w:val="00D625C8"/>
    <w:rsid w:val="00D700AF"/>
    <w:rsid w:val="00D706AB"/>
    <w:rsid w:val="00D71214"/>
    <w:rsid w:val="00D722D6"/>
    <w:rsid w:val="00D74334"/>
    <w:rsid w:val="00D74C25"/>
    <w:rsid w:val="00D76633"/>
    <w:rsid w:val="00D774EB"/>
    <w:rsid w:val="00D80952"/>
    <w:rsid w:val="00D8315F"/>
    <w:rsid w:val="00D86017"/>
    <w:rsid w:val="00D863AD"/>
    <w:rsid w:val="00D91E48"/>
    <w:rsid w:val="00D92900"/>
    <w:rsid w:val="00D938E4"/>
    <w:rsid w:val="00D94AD4"/>
    <w:rsid w:val="00D97AE3"/>
    <w:rsid w:val="00DA2391"/>
    <w:rsid w:val="00DA2C07"/>
    <w:rsid w:val="00DA2CFA"/>
    <w:rsid w:val="00DA3ACC"/>
    <w:rsid w:val="00DA3E0C"/>
    <w:rsid w:val="00DA4051"/>
    <w:rsid w:val="00DA448B"/>
    <w:rsid w:val="00DB0018"/>
    <w:rsid w:val="00DB02FD"/>
    <w:rsid w:val="00DB21C3"/>
    <w:rsid w:val="00DB2480"/>
    <w:rsid w:val="00DB3633"/>
    <w:rsid w:val="00DB7C53"/>
    <w:rsid w:val="00DC1818"/>
    <w:rsid w:val="00DC263B"/>
    <w:rsid w:val="00DC44BB"/>
    <w:rsid w:val="00DC46AC"/>
    <w:rsid w:val="00DC66B1"/>
    <w:rsid w:val="00DC70C6"/>
    <w:rsid w:val="00DD191D"/>
    <w:rsid w:val="00DD1B27"/>
    <w:rsid w:val="00DD4FCE"/>
    <w:rsid w:val="00DE01A0"/>
    <w:rsid w:val="00DE1236"/>
    <w:rsid w:val="00DE246D"/>
    <w:rsid w:val="00DE2E35"/>
    <w:rsid w:val="00DE328A"/>
    <w:rsid w:val="00DF226B"/>
    <w:rsid w:val="00DF2812"/>
    <w:rsid w:val="00DF4222"/>
    <w:rsid w:val="00DF4284"/>
    <w:rsid w:val="00DF5DF0"/>
    <w:rsid w:val="00DF7A0E"/>
    <w:rsid w:val="00DF7A39"/>
    <w:rsid w:val="00DF7AC1"/>
    <w:rsid w:val="00E01A39"/>
    <w:rsid w:val="00E024F4"/>
    <w:rsid w:val="00E02995"/>
    <w:rsid w:val="00E02E32"/>
    <w:rsid w:val="00E055CE"/>
    <w:rsid w:val="00E068B2"/>
    <w:rsid w:val="00E101C4"/>
    <w:rsid w:val="00E10B90"/>
    <w:rsid w:val="00E10FF5"/>
    <w:rsid w:val="00E1421F"/>
    <w:rsid w:val="00E17C14"/>
    <w:rsid w:val="00E23700"/>
    <w:rsid w:val="00E24C1F"/>
    <w:rsid w:val="00E25971"/>
    <w:rsid w:val="00E26135"/>
    <w:rsid w:val="00E26F15"/>
    <w:rsid w:val="00E309AC"/>
    <w:rsid w:val="00E337B6"/>
    <w:rsid w:val="00E34B72"/>
    <w:rsid w:val="00E3688F"/>
    <w:rsid w:val="00E42376"/>
    <w:rsid w:val="00E44CEE"/>
    <w:rsid w:val="00E50DCF"/>
    <w:rsid w:val="00E53043"/>
    <w:rsid w:val="00E53E65"/>
    <w:rsid w:val="00E5495F"/>
    <w:rsid w:val="00E54CDE"/>
    <w:rsid w:val="00E55FDC"/>
    <w:rsid w:val="00E56A67"/>
    <w:rsid w:val="00E618EB"/>
    <w:rsid w:val="00E64261"/>
    <w:rsid w:val="00E64F99"/>
    <w:rsid w:val="00E65734"/>
    <w:rsid w:val="00E65F80"/>
    <w:rsid w:val="00E66EF0"/>
    <w:rsid w:val="00E70872"/>
    <w:rsid w:val="00E7160D"/>
    <w:rsid w:val="00E71D21"/>
    <w:rsid w:val="00E72A10"/>
    <w:rsid w:val="00E75C4D"/>
    <w:rsid w:val="00E773C2"/>
    <w:rsid w:val="00E806BE"/>
    <w:rsid w:val="00E832BE"/>
    <w:rsid w:val="00E83429"/>
    <w:rsid w:val="00E836EA"/>
    <w:rsid w:val="00E86E08"/>
    <w:rsid w:val="00E909D5"/>
    <w:rsid w:val="00E9337E"/>
    <w:rsid w:val="00EA0596"/>
    <w:rsid w:val="00EA0CAF"/>
    <w:rsid w:val="00EA122A"/>
    <w:rsid w:val="00EA1508"/>
    <w:rsid w:val="00EA171C"/>
    <w:rsid w:val="00EA376C"/>
    <w:rsid w:val="00EA52F6"/>
    <w:rsid w:val="00EA53AB"/>
    <w:rsid w:val="00EA59B4"/>
    <w:rsid w:val="00EA6996"/>
    <w:rsid w:val="00EA6D95"/>
    <w:rsid w:val="00EA6DB3"/>
    <w:rsid w:val="00EA6E53"/>
    <w:rsid w:val="00EB0EA1"/>
    <w:rsid w:val="00EB207D"/>
    <w:rsid w:val="00EB3B2C"/>
    <w:rsid w:val="00EC1B87"/>
    <w:rsid w:val="00EC3ADC"/>
    <w:rsid w:val="00EC4A15"/>
    <w:rsid w:val="00EC6801"/>
    <w:rsid w:val="00EC68F1"/>
    <w:rsid w:val="00EC74F1"/>
    <w:rsid w:val="00EC7E3B"/>
    <w:rsid w:val="00ED087D"/>
    <w:rsid w:val="00ED2047"/>
    <w:rsid w:val="00ED458F"/>
    <w:rsid w:val="00ED4A34"/>
    <w:rsid w:val="00ED52EE"/>
    <w:rsid w:val="00ED62AF"/>
    <w:rsid w:val="00ED64A4"/>
    <w:rsid w:val="00EE09A5"/>
    <w:rsid w:val="00EE1A7C"/>
    <w:rsid w:val="00EE1E42"/>
    <w:rsid w:val="00EE407C"/>
    <w:rsid w:val="00EE6ABD"/>
    <w:rsid w:val="00EE7D20"/>
    <w:rsid w:val="00EF1137"/>
    <w:rsid w:val="00EF2812"/>
    <w:rsid w:val="00EF2F41"/>
    <w:rsid w:val="00EF37E6"/>
    <w:rsid w:val="00EF5EA2"/>
    <w:rsid w:val="00EF7DC1"/>
    <w:rsid w:val="00F00C66"/>
    <w:rsid w:val="00F0109E"/>
    <w:rsid w:val="00F024ED"/>
    <w:rsid w:val="00F10AAA"/>
    <w:rsid w:val="00F1128B"/>
    <w:rsid w:val="00F1238B"/>
    <w:rsid w:val="00F13E5E"/>
    <w:rsid w:val="00F15C13"/>
    <w:rsid w:val="00F249EB"/>
    <w:rsid w:val="00F25311"/>
    <w:rsid w:val="00F30406"/>
    <w:rsid w:val="00F30777"/>
    <w:rsid w:val="00F33BEC"/>
    <w:rsid w:val="00F40516"/>
    <w:rsid w:val="00F41755"/>
    <w:rsid w:val="00F43FF6"/>
    <w:rsid w:val="00F45030"/>
    <w:rsid w:val="00F5067B"/>
    <w:rsid w:val="00F52428"/>
    <w:rsid w:val="00F525B9"/>
    <w:rsid w:val="00F5321C"/>
    <w:rsid w:val="00F53DB8"/>
    <w:rsid w:val="00F5535D"/>
    <w:rsid w:val="00F56B76"/>
    <w:rsid w:val="00F57208"/>
    <w:rsid w:val="00F575BE"/>
    <w:rsid w:val="00F61641"/>
    <w:rsid w:val="00F64546"/>
    <w:rsid w:val="00F65B81"/>
    <w:rsid w:val="00F67865"/>
    <w:rsid w:val="00F67BFA"/>
    <w:rsid w:val="00F67DDE"/>
    <w:rsid w:val="00F67F14"/>
    <w:rsid w:val="00F7032B"/>
    <w:rsid w:val="00F72A0E"/>
    <w:rsid w:val="00F72F95"/>
    <w:rsid w:val="00F73037"/>
    <w:rsid w:val="00F7421B"/>
    <w:rsid w:val="00F75961"/>
    <w:rsid w:val="00F80B39"/>
    <w:rsid w:val="00F822AD"/>
    <w:rsid w:val="00F82939"/>
    <w:rsid w:val="00F833B1"/>
    <w:rsid w:val="00F847A5"/>
    <w:rsid w:val="00F85FA3"/>
    <w:rsid w:val="00F869FA"/>
    <w:rsid w:val="00F90E1F"/>
    <w:rsid w:val="00F936EA"/>
    <w:rsid w:val="00F937CC"/>
    <w:rsid w:val="00F93A1A"/>
    <w:rsid w:val="00F94750"/>
    <w:rsid w:val="00F94CD6"/>
    <w:rsid w:val="00F95250"/>
    <w:rsid w:val="00FA0F57"/>
    <w:rsid w:val="00FA433A"/>
    <w:rsid w:val="00FA632A"/>
    <w:rsid w:val="00FA6D16"/>
    <w:rsid w:val="00FA76BA"/>
    <w:rsid w:val="00FB0099"/>
    <w:rsid w:val="00FB1621"/>
    <w:rsid w:val="00FB2410"/>
    <w:rsid w:val="00FB40EC"/>
    <w:rsid w:val="00FB584E"/>
    <w:rsid w:val="00FB7100"/>
    <w:rsid w:val="00FC0AD0"/>
    <w:rsid w:val="00FC409D"/>
    <w:rsid w:val="00FC4EE7"/>
    <w:rsid w:val="00FC70D8"/>
    <w:rsid w:val="00FC75CE"/>
    <w:rsid w:val="00FC7F96"/>
    <w:rsid w:val="00FD0545"/>
    <w:rsid w:val="00FD2BAC"/>
    <w:rsid w:val="00FD7153"/>
    <w:rsid w:val="00FE092B"/>
    <w:rsid w:val="00FE25AA"/>
    <w:rsid w:val="00FE330E"/>
    <w:rsid w:val="00FE354A"/>
    <w:rsid w:val="00FE5230"/>
    <w:rsid w:val="00FE5418"/>
    <w:rsid w:val="00FF260F"/>
    <w:rsid w:val="00FF3D9E"/>
    <w:rsid w:val="011A4D50"/>
    <w:rsid w:val="012D447F"/>
    <w:rsid w:val="0159361D"/>
    <w:rsid w:val="01E26DFA"/>
    <w:rsid w:val="01FC28A8"/>
    <w:rsid w:val="023E55D8"/>
    <w:rsid w:val="029019DF"/>
    <w:rsid w:val="029F4BF3"/>
    <w:rsid w:val="02F60143"/>
    <w:rsid w:val="037D15B0"/>
    <w:rsid w:val="038453FB"/>
    <w:rsid w:val="04C80329"/>
    <w:rsid w:val="050250E9"/>
    <w:rsid w:val="05D21586"/>
    <w:rsid w:val="05D616F1"/>
    <w:rsid w:val="05F40538"/>
    <w:rsid w:val="06967DC1"/>
    <w:rsid w:val="06DD0069"/>
    <w:rsid w:val="06E76528"/>
    <w:rsid w:val="06F41E2F"/>
    <w:rsid w:val="070B76D7"/>
    <w:rsid w:val="071E0145"/>
    <w:rsid w:val="077C01F6"/>
    <w:rsid w:val="078A44E8"/>
    <w:rsid w:val="078D6DB3"/>
    <w:rsid w:val="07AD3998"/>
    <w:rsid w:val="07CA5A19"/>
    <w:rsid w:val="08186661"/>
    <w:rsid w:val="08B5134F"/>
    <w:rsid w:val="08D174F5"/>
    <w:rsid w:val="08D22CFD"/>
    <w:rsid w:val="09DD72ED"/>
    <w:rsid w:val="09E96654"/>
    <w:rsid w:val="09FC48C3"/>
    <w:rsid w:val="0A28627C"/>
    <w:rsid w:val="0A7E3DA7"/>
    <w:rsid w:val="0AE9634F"/>
    <w:rsid w:val="0B3E53E0"/>
    <w:rsid w:val="0B9B1DEB"/>
    <w:rsid w:val="0B9F4022"/>
    <w:rsid w:val="0BA31A63"/>
    <w:rsid w:val="0C277711"/>
    <w:rsid w:val="0C8532F0"/>
    <w:rsid w:val="0C916A68"/>
    <w:rsid w:val="0C976717"/>
    <w:rsid w:val="0CD07045"/>
    <w:rsid w:val="0D492645"/>
    <w:rsid w:val="0D5D281A"/>
    <w:rsid w:val="0D637CC1"/>
    <w:rsid w:val="0D996629"/>
    <w:rsid w:val="0DB95336"/>
    <w:rsid w:val="0DEE0FF5"/>
    <w:rsid w:val="0E341558"/>
    <w:rsid w:val="0E3D67A1"/>
    <w:rsid w:val="0E5527BE"/>
    <w:rsid w:val="0E7F1E89"/>
    <w:rsid w:val="0F5B1EAA"/>
    <w:rsid w:val="0F82485D"/>
    <w:rsid w:val="10A8676A"/>
    <w:rsid w:val="10BC18CC"/>
    <w:rsid w:val="10BE3CB5"/>
    <w:rsid w:val="10C17AA6"/>
    <w:rsid w:val="111853D5"/>
    <w:rsid w:val="11333F84"/>
    <w:rsid w:val="11563245"/>
    <w:rsid w:val="119949D6"/>
    <w:rsid w:val="1260665B"/>
    <w:rsid w:val="12657360"/>
    <w:rsid w:val="128E1307"/>
    <w:rsid w:val="12EF3F7A"/>
    <w:rsid w:val="136A27D6"/>
    <w:rsid w:val="13C85DF9"/>
    <w:rsid w:val="13D406A9"/>
    <w:rsid w:val="13DD6143"/>
    <w:rsid w:val="140A45F3"/>
    <w:rsid w:val="141E4583"/>
    <w:rsid w:val="14276B56"/>
    <w:rsid w:val="14574501"/>
    <w:rsid w:val="14691040"/>
    <w:rsid w:val="14962C0F"/>
    <w:rsid w:val="14C827AF"/>
    <w:rsid w:val="15A00E81"/>
    <w:rsid w:val="16066BCA"/>
    <w:rsid w:val="1658298F"/>
    <w:rsid w:val="16BC1E56"/>
    <w:rsid w:val="171C19AB"/>
    <w:rsid w:val="17F64E75"/>
    <w:rsid w:val="17FB13B0"/>
    <w:rsid w:val="187305C1"/>
    <w:rsid w:val="18AB1B6A"/>
    <w:rsid w:val="18BB662C"/>
    <w:rsid w:val="18BD20A7"/>
    <w:rsid w:val="18C56547"/>
    <w:rsid w:val="19175A9A"/>
    <w:rsid w:val="19A05834"/>
    <w:rsid w:val="19F15089"/>
    <w:rsid w:val="1A9F4B9A"/>
    <w:rsid w:val="1AB959D2"/>
    <w:rsid w:val="1B1C0DDE"/>
    <w:rsid w:val="1B4D69C4"/>
    <w:rsid w:val="1BF20DF6"/>
    <w:rsid w:val="1C2E0EC4"/>
    <w:rsid w:val="1CBD13B0"/>
    <w:rsid w:val="1CD53A47"/>
    <w:rsid w:val="1D2D491C"/>
    <w:rsid w:val="1DF4614E"/>
    <w:rsid w:val="1E293303"/>
    <w:rsid w:val="1E2C7BD4"/>
    <w:rsid w:val="1E5D4FF0"/>
    <w:rsid w:val="1E5F2A12"/>
    <w:rsid w:val="1EE961E6"/>
    <w:rsid w:val="1F7C215B"/>
    <w:rsid w:val="1FF40422"/>
    <w:rsid w:val="202074AA"/>
    <w:rsid w:val="2041059E"/>
    <w:rsid w:val="20E550E9"/>
    <w:rsid w:val="212E1977"/>
    <w:rsid w:val="21456CFD"/>
    <w:rsid w:val="21AD0923"/>
    <w:rsid w:val="21D63B5E"/>
    <w:rsid w:val="223401F6"/>
    <w:rsid w:val="22662D0C"/>
    <w:rsid w:val="22753890"/>
    <w:rsid w:val="2278603B"/>
    <w:rsid w:val="22E51D58"/>
    <w:rsid w:val="23160915"/>
    <w:rsid w:val="23246109"/>
    <w:rsid w:val="234A3FB0"/>
    <w:rsid w:val="237E26EB"/>
    <w:rsid w:val="2434357B"/>
    <w:rsid w:val="249A5749"/>
    <w:rsid w:val="249C1B64"/>
    <w:rsid w:val="2526720B"/>
    <w:rsid w:val="25D9546E"/>
    <w:rsid w:val="25EF535C"/>
    <w:rsid w:val="25F9267A"/>
    <w:rsid w:val="26176C81"/>
    <w:rsid w:val="261B60FF"/>
    <w:rsid w:val="262F1AF6"/>
    <w:rsid w:val="265752A3"/>
    <w:rsid w:val="26890110"/>
    <w:rsid w:val="269637DD"/>
    <w:rsid w:val="2715068F"/>
    <w:rsid w:val="2718703F"/>
    <w:rsid w:val="27327279"/>
    <w:rsid w:val="2752777D"/>
    <w:rsid w:val="27BD1FDA"/>
    <w:rsid w:val="27EB5BFA"/>
    <w:rsid w:val="27F50712"/>
    <w:rsid w:val="28350B4B"/>
    <w:rsid w:val="28573D7A"/>
    <w:rsid w:val="29801012"/>
    <w:rsid w:val="298D1E6F"/>
    <w:rsid w:val="29D344B0"/>
    <w:rsid w:val="2A405F61"/>
    <w:rsid w:val="2A4C0BE6"/>
    <w:rsid w:val="2AA65624"/>
    <w:rsid w:val="2AD66B72"/>
    <w:rsid w:val="2B2E3762"/>
    <w:rsid w:val="2BEF6BA6"/>
    <w:rsid w:val="2C2B2F0F"/>
    <w:rsid w:val="2C311EE7"/>
    <w:rsid w:val="2C61146F"/>
    <w:rsid w:val="2C703C27"/>
    <w:rsid w:val="2C932B3F"/>
    <w:rsid w:val="2CA52E7C"/>
    <w:rsid w:val="2CCF74AD"/>
    <w:rsid w:val="2CFB5354"/>
    <w:rsid w:val="2DE314E0"/>
    <w:rsid w:val="2DEE751F"/>
    <w:rsid w:val="2DF91D84"/>
    <w:rsid w:val="2E1516B8"/>
    <w:rsid w:val="2EE8755D"/>
    <w:rsid w:val="2F241155"/>
    <w:rsid w:val="2F3B3132"/>
    <w:rsid w:val="2FD974D9"/>
    <w:rsid w:val="2FEC07F3"/>
    <w:rsid w:val="300264A9"/>
    <w:rsid w:val="30DF1D1D"/>
    <w:rsid w:val="311E2EA2"/>
    <w:rsid w:val="318F0EE0"/>
    <w:rsid w:val="321B4DD0"/>
    <w:rsid w:val="321C0E2D"/>
    <w:rsid w:val="32C11F7D"/>
    <w:rsid w:val="32F111FE"/>
    <w:rsid w:val="330F170B"/>
    <w:rsid w:val="33253E72"/>
    <w:rsid w:val="340E22A5"/>
    <w:rsid w:val="34131FBB"/>
    <w:rsid w:val="34197F51"/>
    <w:rsid w:val="3437486D"/>
    <w:rsid w:val="344A5D18"/>
    <w:rsid w:val="346C7148"/>
    <w:rsid w:val="3471175F"/>
    <w:rsid w:val="34B41752"/>
    <w:rsid w:val="352D65CC"/>
    <w:rsid w:val="35377A62"/>
    <w:rsid w:val="35501C0F"/>
    <w:rsid w:val="355A28E3"/>
    <w:rsid w:val="35787300"/>
    <w:rsid w:val="35C05394"/>
    <w:rsid w:val="35D408E8"/>
    <w:rsid w:val="360F1B66"/>
    <w:rsid w:val="361776DE"/>
    <w:rsid w:val="369547DF"/>
    <w:rsid w:val="3698474B"/>
    <w:rsid w:val="36A81C93"/>
    <w:rsid w:val="36BA3288"/>
    <w:rsid w:val="37063A81"/>
    <w:rsid w:val="373B0A80"/>
    <w:rsid w:val="380B4369"/>
    <w:rsid w:val="380D5505"/>
    <w:rsid w:val="38137784"/>
    <w:rsid w:val="383C1107"/>
    <w:rsid w:val="383C7C77"/>
    <w:rsid w:val="384C77CD"/>
    <w:rsid w:val="38763D7D"/>
    <w:rsid w:val="38D77B37"/>
    <w:rsid w:val="38DA3CB6"/>
    <w:rsid w:val="38F33F03"/>
    <w:rsid w:val="392C0EF2"/>
    <w:rsid w:val="39CC18B7"/>
    <w:rsid w:val="39CF7616"/>
    <w:rsid w:val="39DB7C38"/>
    <w:rsid w:val="3A0D5425"/>
    <w:rsid w:val="3A113349"/>
    <w:rsid w:val="3A30070B"/>
    <w:rsid w:val="3A6F5726"/>
    <w:rsid w:val="3A830CD9"/>
    <w:rsid w:val="3AA11560"/>
    <w:rsid w:val="3AFA1999"/>
    <w:rsid w:val="3B181D63"/>
    <w:rsid w:val="3B22616C"/>
    <w:rsid w:val="3B5A0471"/>
    <w:rsid w:val="3BAA1394"/>
    <w:rsid w:val="3BE8014D"/>
    <w:rsid w:val="3C2A3875"/>
    <w:rsid w:val="3C6F088B"/>
    <w:rsid w:val="3CEA6C43"/>
    <w:rsid w:val="3CF6479C"/>
    <w:rsid w:val="3D2D4172"/>
    <w:rsid w:val="3D346A94"/>
    <w:rsid w:val="3D434194"/>
    <w:rsid w:val="3D4A3D37"/>
    <w:rsid w:val="3D9477BC"/>
    <w:rsid w:val="3DF104A1"/>
    <w:rsid w:val="3E6071CF"/>
    <w:rsid w:val="3E717725"/>
    <w:rsid w:val="3EC874E1"/>
    <w:rsid w:val="3EDF30B8"/>
    <w:rsid w:val="3EDF3C57"/>
    <w:rsid w:val="3EEF17EC"/>
    <w:rsid w:val="3EF137C2"/>
    <w:rsid w:val="402266F3"/>
    <w:rsid w:val="40300441"/>
    <w:rsid w:val="403A31AE"/>
    <w:rsid w:val="41687815"/>
    <w:rsid w:val="416A5958"/>
    <w:rsid w:val="41745765"/>
    <w:rsid w:val="418B3F42"/>
    <w:rsid w:val="418B513C"/>
    <w:rsid w:val="4210491C"/>
    <w:rsid w:val="42140BC7"/>
    <w:rsid w:val="42310CD2"/>
    <w:rsid w:val="4268449E"/>
    <w:rsid w:val="42814FEC"/>
    <w:rsid w:val="429173A7"/>
    <w:rsid w:val="42DA4D8C"/>
    <w:rsid w:val="42EB242E"/>
    <w:rsid w:val="43B25628"/>
    <w:rsid w:val="43D752D2"/>
    <w:rsid w:val="447F73ED"/>
    <w:rsid w:val="44A6150A"/>
    <w:rsid w:val="44D47A31"/>
    <w:rsid w:val="450667B9"/>
    <w:rsid w:val="451B2EFA"/>
    <w:rsid w:val="451C7304"/>
    <w:rsid w:val="452C07E2"/>
    <w:rsid w:val="45910A92"/>
    <w:rsid w:val="45D61170"/>
    <w:rsid w:val="46362EF9"/>
    <w:rsid w:val="463C51AD"/>
    <w:rsid w:val="46472CD8"/>
    <w:rsid w:val="464F1E93"/>
    <w:rsid w:val="468B7A70"/>
    <w:rsid w:val="46B6469B"/>
    <w:rsid w:val="46C14660"/>
    <w:rsid w:val="46E24A8C"/>
    <w:rsid w:val="46EB0B5D"/>
    <w:rsid w:val="471F59EC"/>
    <w:rsid w:val="47204879"/>
    <w:rsid w:val="47451045"/>
    <w:rsid w:val="480F6562"/>
    <w:rsid w:val="481E72A3"/>
    <w:rsid w:val="482B0C76"/>
    <w:rsid w:val="49103B27"/>
    <w:rsid w:val="49324A2C"/>
    <w:rsid w:val="495961F1"/>
    <w:rsid w:val="49AA0D34"/>
    <w:rsid w:val="49E20DE8"/>
    <w:rsid w:val="4A0D0411"/>
    <w:rsid w:val="4A25055E"/>
    <w:rsid w:val="4A790B94"/>
    <w:rsid w:val="4A897C10"/>
    <w:rsid w:val="4A8A6120"/>
    <w:rsid w:val="4B27181D"/>
    <w:rsid w:val="4B533C05"/>
    <w:rsid w:val="4B545957"/>
    <w:rsid w:val="4B582A18"/>
    <w:rsid w:val="4BCD7EE1"/>
    <w:rsid w:val="4BE16996"/>
    <w:rsid w:val="4BFB3F8B"/>
    <w:rsid w:val="4C796557"/>
    <w:rsid w:val="4CAB4F2A"/>
    <w:rsid w:val="4D106026"/>
    <w:rsid w:val="4D3C7971"/>
    <w:rsid w:val="4D7132CE"/>
    <w:rsid w:val="4D996326"/>
    <w:rsid w:val="4DCB5F30"/>
    <w:rsid w:val="4E5F138D"/>
    <w:rsid w:val="4EAD6A7C"/>
    <w:rsid w:val="4EEF7418"/>
    <w:rsid w:val="4EF32854"/>
    <w:rsid w:val="4F55510D"/>
    <w:rsid w:val="4FAC49CB"/>
    <w:rsid w:val="4FB60E8E"/>
    <w:rsid w:val="500D3CA2"/>
    <w:rsid w:val="504E4592"/>
    <w:rsid w:val="506B2C69"/>
    <w:rsid w:val="50DE764A"/>
    <w:rsid w:val="51065302"/>
    <w:rsid w:val="5133319D"/>
    <w:rsid w:val="51DD7A6A"/>
    <w:rsid w:val="5270413F"/>
    <w:rsid w:val="5292398E"/>
    <w:rsid w:val="52D04A1C"/>
    <w:rsid w:val="535118AE"/>
    <w:rsid w:val="53982DA2"/>
    <w:rsid w:val="54164A93"/>
    <w:rsid w:val="544720B9"/>
    <w:rsid w:val="54492C9E"/>
    <w:rsid w:val="54563BC5"/>
    <w:rsid w:val="547D6D31"/>
    <w:rsid w:val="54A25495"/>
    <w:rsid w:val="54B51A99"/>
    <w:rsid w:val="54CD2C7A"/>
    <w:rsid w:val="55124BC7"/>
    <w:rsid w:val="558E6A62"/>
    <w:rsid w:val="559E3B34"/>
    <w:rsid w:val="561E50D6"/>
    <w:rsid w:val="561F2A1C"/>
    <w:rsid w:val="563B7036"/>
    <w:rsid w:val="56EE60F0"/>
    <w:rsid w:val="57AE0B41"/>
    <w:rsid w:val="57C66C40"/>
    <w:rsid w:val="57F35B2F"/>
    <w:rsid w:val="5873337F"/>
    <w:rsid w:val="587C1CD1"/>
    <w:rsid w:val="588071A2"/>
    <w:rsid w:val="58B47930"/>
    <w:rsid w:val="58BB41C8"/>
    <w:rsid w:val="58BC05BB"/>
    <w:rsid w:val="594D7C5C"/>
    <w:rsid w:val="595859D8"/>
    <w:rsid w:val="597712CC"/>
    <w:rsid w:val="597E6792"/>
    <w:rsid w:val="59845168"/>
    <w:rsid w:val="59F342BF"/>
    <w:rsid w:val="5A0657A7"/>
    <w:rsid w:val="5A1977CE"/>
    <w:rsid w:val="5A2163E0"/>
    <w:rsid w:val="5A2361C9"/>
    <w:rsid w:val="5A636DCD"/>
    <w:rsid w:val="5A8D3ACE"/>
    <w:rsid w:val="5AA72A03"/>
    <w:rsid w:val="5AC4018B"/>
    <w:rsid w:val="5ACC22A9"/>
    <w:rsid w:val="5B006F19"/>
    <w:rsid w:val="5B2A57AD"/>
    <w:rsid w:val="5B6D1B67"/>
    <w:rsid w:val="5C055A36"/>
    <w:rsid w:val="5C7D5292"/>
    <w:rsid w:val="5D1B36D1"/>
    <w:rsid w:val="5D216D35"/>
    <w:rsid w:val="5D38283A"/>
    <w:rsid w:val="5D4B72C9"/>
    <w:rsid w:val="5DD13E22"/>
    <w:rsid w:val="5E01397A"/>
    <w:rsid w:val="5E257C02"/>
    <w:rsid w:val="5E4E2167"/>
    <w:rsid w:val="5E56792A"/>
    <w:rsid w:val="5E6C2265"/>
    <w:rsid w:val="5E7A05EF"/>
    <w:rsid w:val="5E8101C4"/>
    <w:rsid w:val="5EC53F64"/>
    <w:rsid w:val="5F3758C0"/>
    <w:rsid w:val="5F473629"/>
    <w:rsid w:val="5F5236A5"/>
    <w:rsid w:val="5F5257CC"/>
    <w:rsid w:val="5F6B11B9"/>
    <w:rsid w:val="5F8F5A59"/>
    <w:rsid w:val="5F9F6501"/>
    <w:rsid w:val="5FC352B7"/>
    <w:rsid w:val="60463CE2"/>
    <w:rsid w:val="60D06F75"/>
    <w:rsid w:val="618B3D19"/>
    <w:rsid w:val="61A0313A"/>
    <w:rsid w:val="61C061E3"/>
    <w:rsid w:val="61CC46CA"/>
    <w:rsid w:val="62190038"/>
    <w:rsid w:val="627D36CD"/>
    <w:rsid w:val="62CE2274"/>
    <w:rsid w:val="631D7723"/>
    <w:rsid w:val="63923BCB"/>
    <w:rsid w:val="63A872F9"/>
    <w:rsid w:val="64340620"/>
    <w:rsid w:val="64796FFA"/>
    <w:rsid w:val="651A5290"/>
    <w:rsid w:val="65531993"/>
    <w:rsid w:val="657D7852"/>
    <w:rsid w:val="658574E9"/>
    <w:rsid w:val="66294623"/>
    <w:rsid w:val="66383902"/>
    <w:rsid w:val="664D0F6C"/>
    <w:rsid w:val="665B31EB"/>
    <w:rsid w:val="665C7739"/>
    <w:rsid w:val="666D434F"/>
    <w:rsid w:val="66B44B5B"/>
    <w:rsid w:val="66B65847"/>
    <w:rsid w:val="66E37BFE"/>
    <w:rsid w:val="67715716"/>
    <w:rsid w:val="67787895"/>
    <w:rsid w:val="67AB12EF"/>
    <w:rsid w:val="67CE1B92"/>
    <w:rsid w:val="68200826"/>
    <w:rsid w:val="6828583C"/>
    <w:rsid w:val="68DA01D3"/>
    <w:rsid w:val="69027324"/>
    <w:rsid w:val="692F10C0"/>
    <w:rsid w:val="699F491D"/>
    <w:rsid w:val="6A173B64"/>
    <w:rsid w:val="6A2145F6"/>
    <w:rsid w:val="6A232D25"/>
    <w:rsid w:val="6A62505D"/>
    <w:rsid w:val="6A655A3E"/>
    <w:rsid w:val="6A95666B"/>
    <w:rsid w:val="6AB76BCF"/>
    <w:rsid w:val="6B405308"/>
    <w:rsid w:val="6B6666A4"/>
    <w:rsid w:val="6C22537B"/>
    <w:rsid w:val="6C7010EB"/>
    <w:rsid w:val="6C7167B5"/>
    <w:rsid w:val="6C8E503B"/>
    <w:rsid w:val="6C9F7083"/>
    <w:rsid w:val="6CD67B14"/>
    <w:rsid w:val="6DBD113A"/>
    <w:rsid w:val="6DEF0479"/>
    <w:rsid w:val="6E72713A"/>
    <w:rsid w:val="6F3071C9"/>
    <w:rsid w:val="6F481308"/>
    <w:rsid w:val="6F54436C"/>
    <w:rsid w:val="6F5D37BA"/>
    <w:rsid w:val="6F6B7A45"/>
    <w:rsid w:val="6FA3631B"/>
    <w:rsid w:val="715A2572"/>
    <w:rsid w:val="71740A72"/>
    <w:rsid w:val="71C457D0"/>
    <w:rsid w:val="71D73EE7"/>
    <w:rsid w:val="71E9437C"/>
    <w:rsid w:val="72056E07"/>
    <w:rsid w:val="721C7885"/>
    <w:rsid w:val="72D75EB6"/>
    <w:rsid w:val="72E008F5"/>
    <w:rsid w:val="731E0B8D"/>
    <w:rsid w:val="746673B0"/>
    <w:rsid w:val="748D3036"/>
    <w:rsid w:val="75034D9F"/>
    <w:rsid w:val="753311A4"/>
    <w:rsid w:val="756678E2"/>
    <w:rsid w:val="761A27A2"/>
    <w:rsid w:val="76206CF4"/>
    <w:rsid w:val="76925CFD"/>
    <w:rsid w:val="76FB17CD"/>
    <w:rsid w:val="772E266D"/>
    <w:rsid w:val="77DD72FA"/>
    <w:rsid w:val="77E93FCE"/>
    <w:rsid w:val="77EC734F"/>
    <w:rsid w:val="77FA3C06"/>
    <w:rsid w:val="786F7890"/>
    <w:rsid w:val="787B5541"/>
    <w:rsid w:val="78AB7EA1"/>
    <w:rsid w:val="78BE373A"/>
    <w:rsid w:val="78CD6BEA"/>
    <w:rsid w:val="78E80352"/>
    <w:rsid w:val="794A1E3F"/>
    <w:rsid w:val="79611E45"/>
    <w:rsid w:val="79EC4AA2"/>
    <w:rsid w:val="7A56530E"/>
    <w:rsid w:val="7A9C2623"/>
    <w:rsid w:val="7B302FF9"/>
    <w:rsid w:val="7B857FA7"/>
    <w:rsid w:val="7B88632D"/>
    <w:rsid w:val="7BA06C86"/>
    <w:rsid w:val="7C4B2B74"/>
    <w:rsid w:val="7C516DA3"/>
    <w:rsid w:val="7C77423D"/>
    <w:rsid w:val="7C88017A"/>
    <w:rsid w:val="7CEC771B"/>
    <w:rsid w:val="7D1A3FC5"/>
    <w:rsid w:val="7D321A8F"/>
    <w:rsid w:val="7D5D3A62"/>
    <w:rsid w:val="7DCC327D"/>
    <w:rsid w:val="7DFF610B"/>
    <w:rsid w:val="7E1720F3"/>
    <w:rsid w:val="7E1E74E3"/>
    <w:rsid w:val="7E6B612A"/>
    <w:rsid w:val="7E6C6619"/>
    <w:rsid w:val="7E965965"/>
    <w:rsid w:val="7F071A01"/>
    <w:rsid w:val="7F0E3C96"/>
    <w:rsid w:val="7F7D60D7"/>
    <w:rsid w:val="7F8A18FB"/>
    <w:rsid w:val="7FB5676E"/>
    <w:rsid w:val="F5BE7211"/>
    <w:rsid w:val="FDD91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autoRedefine/>
    <w:qFormat/>
    <w:uiPriority w:val="0"/>
    <w:pPr>
      <w:keepNext/>
      <w:spacing w:beforeLines="100" w:line="360" w:lineRule="auto"/>
      <w:jc w:val="center"/>
      <w:outlineLvl w:val="0"/>
    </w:pPr>
    <w:rPr>
      <w:rFonts w:ascii="Calibri" w:hAnsi="Calibri"/>
      <w:b/>
      <w:color w:val="000000"/>
      <w:sz w:val="32"/>
    </w:rPr>
  </w:style>
  <w:style w:type="paragraph" w:styleId="3">
    <w:name w:val="heading 2"/>
    <w:basedOn w:val="1"/>
    <w:next w:val="1"/>
    <w:link w:val="66"/>
    <w:autoRedefine/>
    <w:qFormat/>
    <w:uiPriority w:val="0"/>
    <w:pPr>
      <w:keepNext/>
      <w:keepLines/>
      <w:spacing w:beforeLines="150" w:line="360" w:lineRule="auto"/>
      <w:ind w:firstLine="200" w:firstLineChars="200"/>
      <w:outlineLvl w:val="1"/>
    </w:pPr>
    <w:rPr>
      <w:rFonts w:ascii="Arial" w:hAnsi="Arial" w:eastAsia="华文中宋"/>
      <w:b/>
      <w:bCs/>
      <w:sz w:val="32"/>
      <w:szCs w:val="32"/>
    </w:rPr>
  </w:style>
  <w:style w:type="paragraph" w:styleId="4">
    <w:name w:val="heading 3"/>
    <w:basedOn w:val="1"/>
    <w:next w:val="5"/>
    <w:link w:val="64"/>
    <w:autoRedefine/>
    <w:qFormat/>
    <w:uiPriority w:val="0"/>
    <w:pPr>
      <w:widowControl/>
      <w:autoSpaceDE w:val="0"/>
      <w:autoSpaceDN w:val="0"/>
      <w:spacing w:beforeLines="50" w:afterLines="50" w:line="300" w:lineRule="auto"/>
      <w:ind w:firstLine="604" w:firstLineChars="100"/>
      <w:jc w:val="left"/>
      <w:outlineLvl w:val="2"/>
    </w:pPr>
    <w:rPr>
      <w:rFonts w:eastAsia="华文中宋"/>
      <w:b/>
      <w:sz w:val="24"/>
      <w:szCs w:val="20"/>
    </w:rPr>
  </w:style>
  <w:style w:type="paragraph" w:styleId="6">
    <w:name w:val="heading 4"/>
    <w:basedOn w:val="1"/>
    <w:next w:val="5"/>
    <w:link w:val="67"/>
    <w:autoRedefine/>
    <w:qFormat/>
    <w:uiPriority w:val="0"/>
    <w:pPr>
      <w:keepNext/>
      <w:keepLines/>
      <w:spacing w:line="360" w:lineRule="auto"/>
      <w:ind w:firstLine="950" w:firstLineChars="200"/>
      <w:jc w:val="center"/>
      <w:outlineLvl w:val="3"/>
    </w:pPr>
    <w:rPr>
      <w:rFonts w:ascii="Cambria" w:hAnsi="Cambria" w:eastAsia="华文中宋"/>
      <w:b/>
      <w:bCs/>
      <w:sz w:val="28"/>
      <w:szCs w:val="28"/>
    </w:rPr>
  </w:style>
  <w:style w:type="paragraph" w:styleId="7">
    <w:name w:val="heading 5"/>
    <w:basedOn w:val="1"/>
    <w:next w:val="5"/>
    <w:link w:val="63"/>
    <w:autoRedefine/>
    <w:qFormat/>
    <w:uiPriority w:val="0"/>
    <w:pPr>
      <w:keepNext/>
      <w:keepLines/>
      <w:spacing w:line="377" w:lineRule="auto"/>
      <w:ind w:firstLine="950" w:firstLineChars="200"/>
      <w:outlineLvl w:val="4"/>
    </w:pPr>
    <w:rPr>
      <w:rFonts w:eastAsia="华文中宋"/>
      <w:b/>
      <w:bCs/>
      <w:sz w:val="24"/>
      <w:szCs w:val="28"/>
    </w:rPr>
  </w:style>
  <w:style w:type="paragraph" w:styleId="8">
    <w:name w:val="heading 6"/>
    <w:basedOn w:val="1"/>
    <w:next w:val="1"/>
    <w:link w:val="290"/>
    <w:autoRedefine/>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279"/>
    <w:autoRedefine/>
    <w:qFormat/>
    <w:uiPriority w:val="0"/>
    <w:pPr>
      <w:keepNext/>
      <w:keepLines/>
      <w:spacing w:before="240" w:after="64" w:line="317" w:lineRule="auto"/>
      <w:outlineLvl w:val="6"/>
    </w:pPr>
    <w:rPr>
      <w:rFonts w:ascii="宋体" w:hAnsi="Calibri"/>
      <w:b/>
      <w:bCs/>
      <w:sz w:val="28"/>
      <w:szCs w:val="28"/>
    </w:rPr>
  </w:style>
  <w:style w:type="paragraph" w:styleId="10">
    <w:name w:val="heading 8"/>
    <w:basedOn w:val="1"/>
    <w:next w:val="1"/>
    <w:link w:val="254"/>
    <w:autoRedefine/>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205"/>
    <w:autoRedefine/>
    <w:qFormat/>
    <w:uiPriority w:val="0"/>
    <w:pPr>
      <w:keepNext/>
      <w:keepLines/>
      <w:spacing w:before="240" w:after="64" w:line="317" w:lineRule="auto"/>
      <w:outlineLvl w:val="8"/>
    </w:pPr>
    <w:rPr>
      <w:rFonts w:ascii="Cambria" w:hAnsi="Cambria"/>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68"/>
    <w:autoRedefine/>
    <w:qFormat/>
    <w:uiPriority w:val="0"/>
    <w:rPr>
      <w:rFonts w:ascii="宋体" w:hAnsi="Courier New"/>
      <w:szCs w:val="20"/>
    </w:rPr>
  </w:style>
  <w:style w:type="paragraph" w:styleId="12">
    <w:name w:val="List 3"/>
    <w:basedOn w:val="1"/>
    <w:autoRedefine/>
    <w:qFormat/>
    <w:uiPriority w:val="0"/>
    <w:pPr>
      <w:ind w:left="100" w:leftChars="400" w:hanging="200" w:hangingChars="200"/>
    </w:pPr>
    <w:rPr>
      <w:szCs w:val="20"/>
    </w:rPr>
  </w:style>
  <w:style w:type="paragraph" w:styleId="13">
    <w:name w:val="toc 7"/>
    <w:basedOn w:val="1"/>
    <w:next w:val="1"/>
    <w:autoRedefine/>
    <w:qFormat/>
    <w:uiPriority w:val="0"/>
    <w:pPr>
      <w:ind w:left="1260"/>
      <w:jc w:val="left"/>
    </w:pPr>
    <w:rPr>
      <w:sz w:val="18"/>
      <w:szCs w:val="18"/>
    </w:rPr>
  </w:style>
  <w:style w:type="paragraph" w:styleId="14">
    <w:name w:val="Normal Indent"/>
    <w:basedOn w:val="1"/>
    <w:link w:val="214"/>
    <w:autoRedefine/>
    <w:qFormat/>
    <w:uiPriority w:val="0"/>
    <w:pPr>
      <w:ind w:firstLine="420" w:firstLineChars="200"/>
    </w:pPr>
    <w:rPr>
      <w:rFonts w:ascii="Calibri" w:hAnsi="Calibri"/>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250"/>
    <w:autoRedefine/>
    <w:qFormat/>
    <w:uiPriority w:val="0"/>
    <w:pPr>
      <w:shd w:val="clear" w:color="auto" w:fill="000080"/>
    </w:pPr>
    <w:rPr>
      <w:rFonts w:ascii="Calibri" w:hAnsi="Calibri"/>
    </w:rPr>
  </w:style>
  <w:style w:type="paragraph" w:styleId="17">
    <w:name w:val="toa heading"/>
    <w:basedOn w:val="1"/>
    <w:next w:val="1"/>
    <w:autoRedefine/>
    <w:qFormat/>
    <w:uiPriority w:val="0"/>
    <w:pPr>
      <w:spacing w:before="120"/>
    </w:pPr>
    <w:rPr>
      <w:rFonts w:ascii="Arial" w:hAnsi="Arial" w:cs="Arial"/>
      <w:sz w:val="24"/>
    </w:rPr>
  </w:style>
  <w:style w:type="paragraph" w:styleId="18">
    <w:name w:val="annotation text"/>
    <w:basedOn w:val="1"/>
    <w:link w:val="287"/>
    <w:autoRedefine/>
    <w:qFormat/>
    <w:uiPriority w:val="0"/>
    <w:pPr>
      <w:jc w:val="left"/>
    </w:pPr>
    <w:rPr>
      <w:rFonts w:ascii="Calibri" w:hAnsi="Calibri"/>
      <w:szCs w:val="20"/>
    </w:rPr>
  </w:style>
  <w:style w:type="paragraph" w:styleId="19">
    <w:name w:val="Body Text 3"/>
    <w:basedOn w:val="1"/>
    <w:link w:val="220"/>
    <w:autoRedefine/>
    <w:qFormat/>
    <w:uiPriority w:val="0"/>
    <w:pPr>
      <w:spacing w:line="440" w:lineRule="atLeast"/>
      <w:jc w:val="center"/>
    </w:pPr>
    <w:rPr>
      <w:rFonts w:ascii="楷体_GB2312" w:hAnsi="Calibri" w:eastAsia="楷体_GB2312"/>
      <w:b/>
      <w:color w:val="000000"/>
      <w:sz w:val="30"/>
    </w:rPr>
  </w:style>
  <w:style w:type="paragraph" w:styleId="20">
    <w:name w:val="Body Text"/>
    <w:basedOn w:val="1"/>
    <w:link w:val="256"/>
    <w:autoRedefine/>
    <w:qFormat/>
    <w:uiPriority w:val="0"/>
    <w:pPr>
      <w:spacing w:after="120"/>
    </w:pPr>
    <w:rPr>
      <w:rFonts w:ascii="Calibri" w:hAnsi="Calibri"/>
    </w:rPr>
  </w:style>
  <w:style w:type="paragraph" w:styleId="21">
    <w:name w:val="Body Text Indent"/>
    <w:basedOn w:val="1"/>
    <w:next w:val="1"/>
    <w:link w:val="193"/>
    <w:autoRedefine/>
    <w:qFormat/>
    <w:uiPriority w:val="0"/>
    <w:pPr>
      <w:widowControl/>
      <w:autoSpaceDE w:val="0"/>
      <w:autoSpaceDN w:val="0"/>
      <w:snapToGrid w:val="0"/>
      <w:spacing w:before="120" w:line="400" w:lineRule="atLeast"/>
      <w:ind w:firstLine="570"/>
      <w:textAlignment w:val="bottom"/>
    </w:pPr>
    <w:rPr>
      <w:rFonts w:ascii="宋体" w:hAnsi="Calibri"/>
      <w:kern w:val="0"/>
      <w:sz w:val="24"/>
      <w:szCs w:val="20"/>
    </w:rPr>
  </w:style>
  <w:style w:type="paragraph" w:styleId="22">
    <w:name w:val="List 2"/>
    <w:basedOn w:val="1"/>
    <w:autoRedefine/>
    <w:qFormat/>
    <w:uiPriority w:val="0"/>
    <w:pPr>
      <w:ind w:left="100" w:leftChars="200" w:hanging="200" w:hangingChars="200"/>
    </w:pPr>
  </w:style>
  <w:style w:type="paragraph" w:styleId="23">
    <w:name w:val="index 4"/>
    <w:basedOn w:val="1"/>
    <w:next w:val="1"/>
    <w:autoRedefine/>
    <w:qFormat/>
    <w:uiPriority w:val="0"/>
    <w:pPr>
      <w:ind w:left="600" w:leftChars="600"/>
    </w:pPr>
  </w:style>
  <w:style w:type="paragraph" w:styleId="24">
    <w:name w:val="toc 5"/>
    <w:basedOn w:val="1"/>
    <w:next w:val="1"/>
    <w:autoRedefine/>
    <w:qFormat/>
    <w:uiPriority w:val="0"/>
    <w:pPr>
      <w:ind w:left="840"/>
      <w:jc w:val="left"/>
    </w:pPr>
    <w:rPr>
      <w:sz w:val="18"/>
      <w:szCs w:val="18"/>
    </w:rPr>
  </w:style>
  <w:style w:type="paragraph" w:styleId="25">
    <w:name w:val="toc 3"/>
    <w:basedOn w:val="1"/>
    <w:next w:val="1"/>
    <w:autoRedefine/>
    <w:qFormat/>
    <w:uiPriority w:val="39"/>
    <w:pPr>
      <w:ind w:left="420"/>
      <w:jc w:val="left"/>
    </w:pPr>
    <w:rPr>
      <w:i/>
      <w:iCs/>
      <w:sz w:val="20"/>
      <w:szCs w:val="20"/>
    </w:rPr>
  </w:style>
  <w:style w:type="paragraph" w:styleId="26">
    <w:name w:val="toc 8"/>
    <w:basedOn w:val="1"/>
    <w:next w:val="1"/>
    <w:autoRedefine/>
    <w:qFormat/>
    <w:uiPriority w:val="0"/>
    <w:pPr>
      <w:ind w:left="1470"/>
      <w:jc w:val="left"/>
    </w:pPr>
    <w:rPr>
      <w:sz w:val="18"/>
      <w:szCs w:val="18"/>
    </w:rPr>
  </w:style>
  <w:style w:type="paragraph" w:styleId="27">
    <w:name w:val="index 3"/>
    <w:basedOn w:val="1"/>
    <w:next w:val="1"/>
    <w:autoRedefine/>
    <w:qFormat/>
    <w:uiPriority w:val="0"/>
    <w:pPr>
      <w:ind w:left="400" w:leftChars="400"/>
    </w:pPr>
    <w:rPr>
      <w:rFonts w:ascii="宋体"/>
      <w:sz w:val="24"/>
      <w:szCs w:val="20"/>
    </w:rPr>
  </w:style>
  <w:style w:type="paragraph" w:styleId="28">
    <w:name w:val="Date"/>
    <w:basedOn w:val="1"/>
    <w:next w:val="1"/>
    <w:link w:val="216"/>
    <w:autoRedefine/>
    <w:qFormat/>
    <w:uiPriority w:val="0"/>
    <w:pPr>
      <w:ind w:left="100" w:leftChars="2500"/>
    </w:pPr>
    <w:rPr>
      <w:rFonts w:ascii="Calibri" w:hAnsi="Calibri"/>
      <w:color w:val="000000"/>
      <w:sz w:val="24"/>
    </w:rPr>
  </w:style>
  <w:style w:type="paragraph" w:styleId="29">
    <w:name w:val="Body Text Indent 2"/>
    <w:basedOn w:val="1"/>
    <w:link w:val="274"/>
    <w:autoRedefine/>
    <w:qFormat/>
    <w:uiPriority w:val="0"/>
    <w:pPr>
      <w:widowControl/>
      <w:spacing w:line="480" w:lineRule="atLeast"/>
      <w:ind w:firstLine="480"/>
    </w:pPr>
    <w:rPr>
      <w:rFonts w:ascii="宋体" w:hAnsi="Calibri"/>
      <w:kern w:val="0"/>
      <w:sz w:val="24"/>
      <w:szCs w:val="20"/>
    </w:rPr>
  </w:style>
  <w:style w:type="paragraph" w:styleId="30">
    <w:name w:val="Balloon Text"/>
    <w:basedOn w:val="1"/>
    <w:link w:val="195"/>
    <w:autoRedefine/>
    <w:qFormat/>
    <w:uiPriority w:val="0"/>
    <w:rPr>
      <w:rFonts w:ascii="Calibri" w:hAnsi="Calibri"/>
      <w:sz w:val="18"/>
      <w:szCs w:val="18"/>
    </w:rPr>
  </w:style>
  <w:style w:type="paragraph" w:styleId="31">
    <w:name w:val="footer"/>
    <w:basedOn w:val="1"/>
    <w:link w:val="200"/>
    <w:autoRedefine/>
    <w:qFormat/>
    <w:uiPriority w:val="99"/>
    <w:pPr>
      <w:tabs>
        <w:tab w:val="center" w:pos="4153"/>
        <w:tab w:val="right" w:pos="8306"/>
      </w:tabs>
      <w:snapToGrid w:val="0"/>
      <w:jc w:val="left"/>
    </w:pPr>
    <w:rPr>
      <w:rFonts w:ascii="Calibri" w:hAnsi="Calibri"/>
      <w:sz w:val="18"/>
      <w:szCs w:val="18"/>
    </w:rPr>
  </w:style>
  <w:style w:type="paragraph" w:styleId="32">
    <w:name w:val="header"/>
    <w:basedOn w:val="1"/>
    <w:link w:val="232"/>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autoRedefine/>
    <w:qFormat/>
    <w:uiPriority w:val="39"/>
    <w:pPr>
      <w:tabs>
        <w:tab w:val="right" w:leader="dot" w:pos="9403"/>
      </w:tabs>
      <w:snapToGrid w:val="0"/>
      <w:spacing w:line="360" w:lineRule="auto"/>
    </w:pPr>
    <w:rPr>
      <w:b/>
      <w:bCs/>
      <w:caps/>
    </w:rPr>
  </w:style>
  <w:style w:type="paragraph" w:styleId="34">
    <w:name w:val="toc 4"/>
    <w:basedOn w:val="1"/>
    <w:next w:val="1"/>
    <w:autoRedefine/>
    <w:qFormat/>
    <w:uiPriority w:val="0"/>
    <w:pPr>
      <w:ind w:left="630"/>
      <w:jc w:val="left"/>
    </w:pPr>
    <w:rPr>
      <w:sz w:val="18"/>
      <w:szCs w:val="18"/>
    </w:rPr>
  </w:style>
  <w:style w:type="paragraph" w:styleId="35">
    <w:name w:val="Subtitle"/>
    <w:basedOn w:val="1"/>
    <w:next w:val="1"/>
    <w:link w:val="292"/>
    <w:autoRedefine/>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autoRedefine/>
    <w:qFormat/>
    <w:uiPriority w:val="0"/>
    <w:pPr>
      <w:ind w:left="200" w:hanging="200" w:hangingChars="200"/>
    </w:pPr>
  </w:style>
  <w:style w:type="paragraph" w:styleId="37">
    <w:name w:val="toc 6"/>
    <w:basedOn w:val="1"/>
    <w:next w:val="1"/>
    <w:autoRedefine/>
    <w:qFormat/>
    <w:uiPriority w:val="0"/>
    <w:pPr>
      <w:ind w:left="1050"/>
      <w:jc w:val="left"/>
    </w:pPr>
    <w:rPr>
      <w:sz w:val="18"/>
      <w:szCs w:val="18"/>
    </w:rPr>
  </w:style>
  <w:style w:type="paragraph" w:styleId="38">
    <w:name w:val="List 5"/>
    <w:basedOn w:val="1"/>
    <w:autoRedefine/>
    <w:qFormat/>
    <w:uiPriority w:val="0"/>
    <w:pPr>
      <w:ind w:left="100" w:leftChars="800" w:hanging="200" w:hangingChars="200"/>
    </w:pPr>
    <w:rPr>
      <w:szCs w:val="20"/>
    </w:rPr>
  </w:style>
  <w:style w:type="paragraph" w:styleId="39">
    <w:name w:val="Body Text Indent 3"/>
    <w:basedOn w:val="1"/>
    <w:link w:val="273"/>
    <w:autoRedefine/>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40">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41">
    <w:name w:val="toc 9"/>
    <w:basedOn w:val="1"/>
    <w:next w:val="1"/>
    <w:autoRedefine/>
    <w:qFormat/>
    <w:uiPriority w:val="0"/>
    <w:pPr>
      <w:ind w:left="1680"/>
      <w:jc w:val="left"/>
    </w:pPr>
    <w:rPr>
      <w:sz w:val="18"/>
      <w:szCs w:val="18"/>
    </w:rPr>
  </w:style>
  <w:style w:type="paragraph" w:styleId="42">
    <w:name w:val="Body Text 2"/>
    <w:basedOn w:val="1"/>
    <w:link w:val="190"/>
    <w:autoRedefine/>
    <w:qFormat/>
    <w:uiPriority w:val="0"/>
    <w:rPr>
      <w:rFonts w:ascii="Calibri" w:hAnsi="Calibri"/>
      <w:b/>
      <w:bCs/>
      <w:color w:val="000000"/>
      <w:sz w:val="28"/>
    </w:rPr>
  </w:style>
  <w:style w:type="paragraph" w:styleId="43">
    <w:name w:val="List 4"/>
    <w:basedOn w:val="1"/>
    <w:autoRedefine/>
    <w:qFormat/>
    <w:uiPriority w:val="0"/>
    <w:pPr>
      <w:ind w:left="100" w:leftChars="600" w:hanging="200" w:hangingChars="200"/>
    </w:pPr>
    <w:rPr>
      <w:szCs w:val="20"/>
    </w:rPr>
  </w:style>
  <w:style w:type="paragraph" w:styleId="44">
    <w:name w:val="HTML Preformatted"/>
    <w:basedOn w:val="1"/>
    <w:link w:val="2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autoRedefine/>
    <w:qFormat/>
    <w:uiPriority w:val="0"/>
    <w:pPr>
      <w:widowControl/>
      <w:spacing w:line="360" w:lineRule="auto"/>
      <w:jc w:val="center"/>
    </w:pPr>
    <w:rPr>
      <w:rFonts w:ascii="Arial" w:hAnsi="Arial" w:cs="Arial"/>
      <w:kern w:val="0"/>
      <w:sz w:val="24"/>
    </w:rPr>
  </w:style>
  <w:style w:type="paragraph" w:styleId="47">
    <w:name w:val="index 2"/>
    <w:basedOn w:val="1"/>
    <w:next w:val="1"/>
    <w:autoRedefine/>
    <w:qFormat/>
    <w:uiPriority w:val="0"/>
    <w:pPr>
      <w:ind w:left="200" w:leftChars="200"/>
    </w:pPr>
    <w:rPr>
      <w:rFonts w:ascii="宋体"/>
      <w:sz w:val="24"/>
      <w:szCs w:val="20"/>
    </w:rPr>
  </w:style>
  <w:style w:type="paragraph" w:styleId="48">
    <w:name w:val="Title"/>
    <w:basedOn w:val="1"/>
    <w:next w:val="5"/>
    <w:link w:val="65"/>
    <w:autoRedefine/>
    <w:qFormat/>
    <w:uiPriority w:val="0"/>
    <w:pPr>
      <w:jc w:val="center"/>
    </w:pPr>
    <w:rPr>
      <w:rFonts w:ascii="Calibri" w:hAnsi="Calibri"/>
      <w:sz w:val="30"/>
    </w:rPr>
  </w:style>
  <w:style w:type="paragraph" w:styleId="49">
    <w:name w:val="annotation subject"/>
    <w:basedOn w:val="18"/>
    <w:next w:val="18"/>
    <w:link w:val="261"/>
    <w:autoRedefine/>
    <w:qFormat/>
    <w:uiPriority w:val="0"/>
    <w:rPr>
      <w:b/>
      <w:bCs/>
    </w:rPr>
  </w:style>
  <w:style w:type="paragraph" w:styleId="50">
    <w:name w:val="Body Text First Indent"/>
    <w:basedOn w:val="20"/>
    <w:link w:val="291"/>
    <w:autoRedefine/>
    <w:qFormat/>
    <w:uiPriority w:val="0"/>
    <w:pPr>
      <w:ind w:firstLine="420" w:firstLineChars="100"/>
    </w:pPr>
  </w:style>
  <w:style w:type="paragraph" w:styleId="51">
    <w:name w:val="Body Text First Indent 2"/>
    <w:basedOn w:val="21"/>
    <w:next w:val="1"/>
    <w:qFormat/>
    <w:uiPriority w:val="0"/>
    <w:pPr>
      <w:spacing w:before="0" w:line="240" w:lineRule="auto"/>
      <w:ind w:firstLine="420" w:firstLineChars="200"/>
    </w:pPr>
    <w:rPr>
      <w:rFonts w:ascii="Calibri"/>
      <w:sz w:val="21"/>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22"/>
    <w:rPr>
      <w:b/>
    </w:rPr>
  </w:style>
  <w:style w:type="character" w:styleId="56">
    <w:name w:val="page number"/>
    <w:autoRedefine/>
    <w:qFormat/>
    <w:uiPriority w:val="0"/>
    <w:rPr>
      <w:rFonts w:eastAsia="Arial"/>
    </w:rPr>
  </w:style>
  <w:style w:type="character" w:styleId="57">
    <w:name w:val="FollowedHyperlink"/>
    <w:autoRedefine/>
    <w:qFormat/>
    <w:uiPriority w:val="0"/>
    <w:rPr>
      <w:color w:val="800080"/>
      <w:u w:val="single"/>
    </w:rPr>
  </w:style>
  <w:style w:type="character" w:styleId="58">
    <w:name w:val="Emphasis"/>
    <w:autoRedefine/>
    <w:qFormat/>
    <w:uiPriority w:val="20"/>
    <w:rPr>
      <w:color w:val="CC0033"/>
    </w:rPr>
  </w:style>
  <w:style w:type="character" w:styleId="59">
    <w:name w:val="Hyperlink"/>
    <w:autoRedefine/>
    <w:qFormat/>
    <w:uiPriority w:val="99"/>
    <w:rPr>
      <w:color w:val="0000FF"/>
      <w:u w:val="single"/>
    </w:rPr>
  </w:style>
  <w:style w:type="character" w:styleId="60">
    <w:name w:val="annotation reference"/>
    <w:autoRedefine/>
    <w:qFormat/>
    <w:uiPriority w:val="0"/>
    <w:rPr>
      <w:sz w:val="21"/>
      <w:szCs w:val="21"/>
    </w:rPr>
  </w:style>
  <w:style w:type="character" w:styleId="61">
    <w:name w:val="HTML Sample"/>
    <w:basedOn w:val="54"/>
    <w:autoRedefine/>
    <w:semiHidden/>
    <w:unhideWhenUsed/>
    <w:qFormat/>
    <w:uiPriority w:val="0"/>
    <w:rPr>
      <w:rFonts w:ascii="Courier New" w:hAnsi="Courier New"/>
    </w:rPr>
  </w:style>
  <w:style w:type="character" w:customStyle="1" w:styleId="62">
    <w:name w:val="标题 1 字符"/>
    <w:link w:val="2"/>
    <w:autoRedefine/>
    <w:qFormat/>
    <w:uiPriority w:val="0"/>
    <w:rPr>
      <w:rFonts w:eastAsia="宋体"/>
      <w:b/>
      <w:color w:val="000000"/>
      <w:kern w:val="2"/>
      <w:sz w:val="32"/>
      <w:szCs w:val="24"/>
    </w:rPr>
  </w:style>
  <w:style w:type="character" w:customStyle="1" w:styleId="63">
    <w:name w:val="标题 5 字符"/>
    <w:link w:val="7"/>
    <w:autoRedefine/>
    <w:qFormat/>
    <w:uiPriority w:val="0"/>
    <w:rPr>
      <w:rFonts w:ascii="Times New Roman" w:hAnsi="Times New Roman" w:eastAsia="华文中宋"/>
      <w:b/>
      <w:bCs/>
      <w:kern w:val="2"/>
      <w:sz w:val="24"/>
      <w:szCs w:val="28"/>
    </w:rPr>
  </w:style>
  <w:style w:type="character" w:customStyle="1" w:styleId="64">
    <w:name w:val="标题 3 字符"/>
    <w:link w:val="4"/>
    <w:autoRedefine/>
    <w:qFormat/>
    <w:uiPriority w:val="0"/>
    <w:rPr>
      <w:rFonts w:ascii="Times New Roman" w:hAnsi="Times New Roman" w:eastAsia="华文中宋"/>
      <w:b/>
      <w:kern w:val="2"/>
      <w:sz w:val="24"/>
    </w:rPr>
  </w:style>
  <w:style w:type="character" w:customStyle="1" w:styleId="65">
    <w:name w:val="标题 字符"/>
    <w:link w:val="48"/>
    <w:autoRedefine/>
    <w:qFormat/>
    <w:uiPriority w:val="0"/>
    <w:rPr>
      <w:kern w:val="2"/>
      <w:sz w:val="30"/>
      <w:szCs w:val="24"/>
    </w:rPr>
  </w:style>
  <w:style w:type="character" w:customStyle="1" w:styleId="66">
    <w:name w:val="标题 2 字符"/>
    <w:link w:val="3"/>
    <w:autoRedefine/>
    <w:qFormat/>
    <w:uiPriority w:val="0"/>
    <w:rPr>
      <w:rFonts w:ascii="Arial" w:hAnsi="Arial" w:eastAsia="华文中宋"/>
      <w:b/>
      <w:bCs/>
      <w:kern w:val="2"/>
      <w:sz w:val="32"/>
      <w:szCs w:val="32"/>
    </w:rPr>
  </w:style>
  <w:style w:type="character" w:customStyle="1" w:styleId="67">
    <w:name w:val="标题 4 字符"/>
    <w:link w:val="6"/>
    <w:autoRedefine/>
    <w:qFormat/>
    <w:uiPriority w:val="0"/>
    <w:rPr>
      <w:rFonts w:ascii="Cambria" w:hAnsi="Cambria" w:eastAsia="华文中宋"/>
      <w:b/>
      <w:bCs/>
      <w:kern w:val="2"/>
      <w:sz w:val="28"/>
      <w:szCs w:val="28"/>
    </w:rPr>
  </w:style>
  <w:style w:type="paragraph" w:customStyle="1" w:styleId="68">
    <w:name w:val="首行缩进"/>
    <w:basedOn w:val="1"/>
    <w:autoRedefine/>
    <w:qFormat/>
    <w:uiPriority w:val="0"/>
    <w:rPr>
      <w:lang w:val="zh-CN"/>
    </w:rPr>
  </w:style>
  <w:style w:type="paragraph" w:customStyle="1" w:styleId="69">
    <w:name w:val="Default"/>
    <w:next w:val="1"/>
    <w:link w:val="253"/>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7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
    <w:name w:val="xl7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2">
    <w:name w:val="表格"/>
    <w:basedOn w:val="1"/>
    <w:autoRedefine/>
    <w:qFormat/>
    <w:uiPriority w:val="0"/>
    <w:pPr>
      <w:jc w:val="center"/>
      <w:textAlignment w:val="center"/>
    </w:pPr>
    <w:rPr>
      <w:rFonts w:ascii="华文细黑" w:hAnsi="华文细黑"/>
      <w:kern w:val="0"/>
      <w:szCs w:val="20"/>
    </w:rPr>
  </w:style>
  <w:style w:type="paragraph" w:customStyle="1" w:styleId="73">
    <w:name w:val="xl84"/>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4">
    <w:name w:val="标题5"/>
    <w:basedOn w:val="4"/>
    <w:link w:val="242"/>
    <w:autoRedefine/>
    <w:qFormat/>
    <w:uiPriority w:val="0"/>
    <w:pPr>
      <w:keepNext/>
      <w:keepLines/>
      <w:widowControl w:val="0"/>
      <w:autoSpaceDE/>
      <w:autoSpaceDN/>
      <w:spacing w:before="260" w:after="260" w:line="413" w:lineRule="auto"/>
    </w:pPr>
    <w:rPr>
      <w:rFonts w:ascii="Arial" w:hAnsi="Arial" w:eastAsia="宋体"/>
      <w:bCs/>
      <w:kern w:val="0"/>
      <w:szCs w:val="32"/>
    </w:rPr>
  </w:style>
  <w:style w:type="paragraph" w:customStyle="1" w:styleId="7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6">
    <w:name w:val="xl63"/>
    <w:basedOn w:val="1"/>
    <w:autoRedefine/>
    <w:qFormat/>
    <w:uiPriority w:val="0"/>
    <w:pPr>
      <w:widowControl/>
      <w:shd w:val="clear" w:color="000000"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77">
    <w:name w:val="列出段落1"/>
    <w:basedOn w:val="1"/>
    <w:link w:val="266"/>
    <w:autoRedefine/>
    <w:qFormat/>
    <w:uiPriority w:val="0"/>
    <w:pPr>
      <w:ind w:firstLine="420" w:firstLineChars="200"/>
    </w:pPr>
    <w:rPr>
      <w:rFonts w:ascii="Calibri" w:hAnsi="Calibri"/>
      <w:szCs w:val="22"/>
    </w:rPr>
  </w:style>
  <w:style w:type="paragraph" w:customStyle="1" w:styleId="78">
    <w:name w:val="引用1"/>
    <w:basedOn w:val="1"/>
    <w:next w:val="1"/>
    <w:link w:val="283"/>
    <w:autoRedefine/>
    <w:qFormat/>
    <w:uiPriority w:val="0"/>
    <w:rPr>
      <w:rFonts w:ascii="Calibri" w:hAnsi="Calibri"/>
      <w:i/>
      <w:iCs/>
      <w:color w:val="000000"/>
      <w:szCs w:val="22"/>
    </w:rPr>
  </w:style>
  <w:style w:type="paragraph" w:customStyle="1" w:styleId="79">
    <w:name w:val="xl25"/>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80">
    <w:name w:val="正文2"/>
    <w:basedOn w:val="1"/>
    <w:link w:val="191"/>
    <w:autoRedefine/>
    <w:qFormat/>
    <w:uiPriority w:val="0"/>
    <w:pPr>
      <w:spacing w:before="156" w:line="360" w:lineRule="auto"/>
      <w:ind w:firstLine="510" w:firstLineChars="200"/>
    </w:pPr>
    <w:rPr>
      <w:rFonts w:ascii="Calibri" w:hAnsi="Calibri"/>
      <w:sz w:val="24"/>
      <w:szCs w:val="20"/>
    </w:rPr>
  </w:style>
  <w:style w:type="paragraph" w:customStyle="1" w:styleId="81">
    <w:name w:val="Char1"/>
    <w:basedOn w:val="1"/>
    <w:autoRedefine/>
    <w:qFormat/>
    <w:uiPriority w:val="0"/>
    <w:pPr>
      <w:spacing w:line="360" w:lineRule="auto"/>
      <w:ind w:firstLine="480" w:firstLineChars="200"/>
    </w:pPr>
    <w:rPr>
      <w:rFonts w:ascii="宋体" w:hAnsi="宋体"/>
      <w:color w:val="000000"/>
      <w:sz w:val="24"/>
    </w:rPr>
  </w:style>
  <w:style w:type="paragraph" w:customStyle="1" w:styleId="82">
    <w:name w:val="xl71"/>
    <w:basedOn w:val="1"/>
    <w:autoRedefine/>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83">
    <w:name w:val="Char4"/>
    <w:basedOn w:val="14"/>
    <w:autoRedefine/>
    <w:qFormat/>
    <w:uiPriority w:val="0"/>
    <w:pPr>
      <w:widowControl/>
      <w:spacing w:afterLines="50" w:line="360" w:lineRule="auto"/>
      <w:ind w:firstLine="480"/>
      <w:jc w:val="left"/>
    </w:pPr>
  </w:style>
  <w:style w:type="paragraph" w:customStyle="1" w:styleId="8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Char1 Char Char Char"/>
    <w:basedOn w:val="1"/>
    <w:autoRedefine/>
    <w:qFormat/>
    <w:uiPriority w:val="0"/>
    <w:rPr>
      <w:szCs w:val="20"/>
    </w:rPr>
  </w:style>
  <w:style w:type="paragraph" w:customStyle="1" w:styleId="86">
    <w:name w:val="Char Char Char Char Char Char Char"/>
    <w:basedOn w:val="1"/>
    <w:autoRedefine/>
    <w:qFormat/>
    <w:uiPriority w:val="0"/>
    <w:pPr>
      <w:tabs>
        <w:tab w:val="left" w:pos="432"/>
      </w:tabs>
      <w:ind w:left="432" w:hanging="432"/>
    </w:pPr>
    <w:rPr>
      <w:szCs w:val="20"/>
    </w:rPr>
  </w:style>
  <w:style w:type="paragraph" w:customStyle="1" w:styleId="87">
    <w:name w:val="xl7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8">
    <w:name w:val="Char"/>
    <w:basedOn w:val="32"/>
    <w:next w:val="32"/>
    <w:link w:val="203"/>
    <w:autoRedefine/>
    <w:qFormat/>
    <w:uiPriority w:val="0"/>
    <w:pPr>
      <w:snapToGrid/>
      <w:jc w:val="right"/>
    </w:pPr>
    <w:rPr>
      <w:rFonts w:ascii="宋体" w:hAnsi="宋体"/>
      <w:b/>
      <w:sz w:val="21"/>
      <w:szCs w:val="21"/>
    </w:rPr>
  </w:style>
  <w:style w:type="paragraph" w:customStyle="1" w:styleId="89">
    <w:name w:val="样式 样式 标题 3 + Calibri 加粗 左侧:  0 厘米 + 黑色 首行缩进:  2 字符"/>
    <w:basedOn w:val="90"/>
    <w:autoRedefine/>
    <w:qFormat/>
    <w:uiPriority w:val="0"/>
    <w:pPr>
      <w:spacing w:beforeLines="100"/>
    </w:pPr>
    <w:rPr>
      <w:color w:val="000000"/>
    </w:rPr>
  </w:style>
  <w:style w:type="paragraph" w:customStyle="1" w:styleId="90">
    <w:name w:val="样式 标题 3 + Calibri 加粗 左侧:  0 厘米"/>
    <w:basedOn w:val="4"/>
    <w:autoRedefine/>
    <w:qFormat/>
    <w:uiPriority w:val="0"/>
    <w:pPr>
      <w:widowControl w:val="0"/>
      <w:autoSpaceDE/>
      <w:autoSpaceDN/>
      <w:spacing w:line="360" w:lineRule="auto"/>
      <w:ind w:firstLine="200" w:firstLineChars="200"/>
    </w:pPr>
    <w:rPr>
      <w:rFonts w:ascii="Calibri" w:hAnsi="Calibri" w:cs="宋体"/>
      <w:bCs/>
    </w:rPr>
  </w:style>
  <w:style w:type="paragraph" w:customStyle="1" w:styleId="91">
    <w:name w:val="Char Char4 Char Char Char Char"/>
    <w:basedOn w:val="1"/>
    <w:autoRedefine/>
    <w:qFormat/>
    <w:uiPriority w:val="0"/>
    <w:rPr>
      <w:rFonts w:eastAsia="仿宋_GB2312"/>
      <w:sz w:val="28"/>
    </w:rPr>
  </w:style>
  <w:style w:type="paragraph" w:customStyle="1" w:styleId="92">
    <w:name w:val="Char Char Char Char Char Char Char Char Char Char Char Char Char Char Char Char Char Char Char Char Char Char Char Char Char"/>
    <w:basedOn w:val="1"/>
    <w:autoRedefine/>
    <w:qFormat/>
    <w:uiPriority w:val="0"/>
    <w:rPr>
      <w:rFonts w:ascii="Tahoma" w:hAnsi="Tahoma"/>
      <w:sz w:val="24"/>
      <w:szCs w:val="20"/>
    </w:rPr>
  </w:style>
  <w:style w:type="paragraph" w:customStyle="1" w:styleId="93">
    <w:name w:val="样式 纯文本普通文字 Char纯文本 Char Char普通文字纯文本 Char Char Char Char Char..."/>
    <w:basedOn w:val="2"/>
    <w:next w:val="2"/>
    <w:autoRedefine/>
    <w:qFormat/>
    <w:uiPriority w:val="0"/>
    <w:pPr>
      <w:keepLines/>
      <w:jc w:val="both"/>
    </w:pPr>
    <w:rPr>
      <w:rFonts w:ascii="宋体"/>
      <w:bCs/>
      <w:kern w:val="44"/>
      <w:sz w:val="36"/>
      <w:szCs w:val="44"/>
    </w:rPr>
  </w:style>
  <w:style w:type="paragraph" w:customStyle="1" w:styleId="94">
    <w:name w:val="正文宋体"/>
    <w:basedOn w:val="1"/>
    <w:autoRedefine/>
    <w:qFormat/>
    <w:uiPriority w:val="0"/>
    <w:pPr>
      <w:spacing w:line="360" w:lineRule="auto"/>
    </w:pPr>
    <w:rPr>
      <w:rFonts w:ascii="宋体" w:hAnsi="宋体"/>
      <w:sz w:val="24"/>
    </w:rPr>
  </w:style>
  <w:style w:type="paragraph" w:customStyle="1" w:styleId="95">
    <w:name w:val="样式 标题 3 + 小三"/>
    <w:basedOn w:val="4"/>
    <w:autoRedefine/>
    <w:qFormat/>
    <w:uiPriority w:val="0"/>
    <w:pPr>
      <w:keepNext/>
      <w:keepLines/>
      <w:widowControl w:val="0"/>
      <w:tabs>
        <w:tab w:val="left" w:pos="420"/>
      </w:tabs>
      <w:autoSpaceDE/>
      <w:autoSpaceDN/>
      <w:adjustRightInd w:val="0"/>
      <w:snapToGrid w:val="0"/>
      <w:spacing w:beforeLines="200" w:line="408" w:lineRule="auto"/>
    </w:pPr>
    <w:rPr>
      <w:rFonts w:ascii="宋体"/>
      <w:sz w:val="30"/>
    </w:rPr>
  </w:style>
  <w:style w:type="paragraph" w:customStyle="1" w:styleId="96">
    <w:name w:val="xl67"/>
    <w:basedOn w:val="1"/>
    <w:autoRedefine/>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97">
    <w:name w:val="明显引用1"/>
    <w:basedOn w:val="1"/>
    <w:next w:val="1"/>
    <w:link w:val="246"/>
    <w:autoRedefine/>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xl69"/>
    <w:basedOn w:val="1"/>
    <w:autoRedefine/>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99">
    <w:name w:val="Char1 Char Char Char1"/>
    <w:basedOn w:val="1"/>
    <w:autoRedefine/>
    <w:qFormat/>
    <w:uiPriority w:val="0"/>
    <w:rPr>
      <w:szCs w:val="20"/>
    </w:rPr>
  </w:style>
  <w:style w:type="paragraph" w:customStyle="1" w:styleId="100">
    <w:name w:val="Char41"/>
    <w:basedOn w:val="14"/>
    <w:autoRedefine/>
    <w:qFormat/>
    <w:uiPriority w:val="0"/>
    <w:pPr>
      <w:widowControl/>
      <w:spacing w:afterLines="50" w:line="360" w:lineRule="auto"/>
      <w:ind w:firstLine="480"/>
      <w:jc w:val="left"/>
    </w:pPr>
  </w:style>
  <w:style w:type="paragraph" w:customStyle="1" w:styleId="101">
    <w:name w:val="样式 标题 2 + 小四"/>
    <w:basedOn w:val="3"/>
    <w:link w:val="208"/>
    <w:autoRedefine/>
    <w:qFormat/>
    <w:uiPriority w:val="0"/>
    <w:pPr>
      <w:tabs>
        <w:tab w:val="left" w:pos="420"/>
      </w:tabs>
      <w:spacing w:before="260" w:after="260" w:line="408" w:lineRule="auto"/>
      <w:ind w:firstLine="0" w:firstLineChars="0"/>
      <w:jc w:val="center"/>
    </w:pPr>
    <w:rPr>
      <w:rFonts w:ascii="宋体" w:hAnsi="宋体" w:eastAsia="宋体"/>
      <w:bCs w:val="0"/>
      <w:sz w:val="36"/>
      <w:szCs w:val="20"/>
    </w:rPr>
  </w:style>
  <w:style w:type="paragraph" w:customStyle="1" w:styleId="102">
    <w:name w:val="xl68"/>
    <w:basedOn w:val="1"/>
    <w:autoRedefine/>
    <w:qFormat/>
    <w:uiPriority w:val="0"/>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103">
    <w:name w:val="xl7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04">
    <w:name w:val="内文"/>
    <w:link w:val="245"/>
    <w:autoRedefine/>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105">
    <w:name w:val="样式 纯文本普通文字 Char纯文本 Char Char普通文字纯文本 Char Char Char Char Char...2"/>
    <w:basedOn w:val="4"/>
    <w:next w:val="4"/>
    <w:autoRedefine/>
    <w:qFormat/>
    <w:uiPriority w:val="0"/>
    <w:pPr>
      <w:widowControl w:val="0"/>
      <w:tabs>
        <w:tab w:val="left" w:pos="360"/>
      </w:tabs>
      <w:autoSpaceDE/>
      <w:autoSpaceDN/>
      <w:spacing w:line="240" w:lineRule="auto"/>
      <w:ind w:left="2223" w:firstLine="225" w:firstLineChars="225"/>
    </w:pPr>
    <w:rPr>
      <w:rFonts w:cs="宋体"/>
      <w:bCs/>
      <w:color w:val="000000"/>
    </w:rPr>
  </w:style>
  <w:style w:type="paragraph" w:customStyle="1" w:styleId="106">
    <w:name w:val="No Spacing1"/>
    <w:autoRedefine/>
    <w:qFormat/>
    <w:uiPriority w:val="0"/>
    <w:rPr>
      <w:rFonts w:ascii="Calibri" w:hAnsi="Calibri" w:eastAsia="宋体" w:cs="Times New Roman"/>
      <w:sz w:val="22"/>
      <w:szCs w:val="22"/>
      <w:lang w:val="en-US" w:eastAsia="en-US" w:bidi="ar-SA"/>
    </w:rPr>
  </w:style>
  <w:style w:type="paragraph" w:customStyle="1" w:styleId="107">
    <w:name w:val="样式 标题 3 + (中文) 黑体 小四 非加粗 段前: 7.8 磅 段后: 0 磅 行距: 固定值 20 磅"/>
    <w:basedOn w:val="4"/>
    <w:autoRedefine/>
    <w:qFormat/>
    <w:uiPriority w:val="0"/>
    <w:pPr>
      <w:keepNext/>
      <w:keepLines/>
      <w:widowControl w:val="0"/>
      <w:autoSpaceDE/>
      <w:autoSpaceDN/>
      <w:spacing w:line="400" w:lineRule="exact"/>
    </w:pPr>
    <w:rPr>
      <w:rFonts w:eastAsia="黑体" w:cs="宋体"/>
    </w:rPr>
  </w:style>
  <w:style w:type="paragraph" w:customStyle="1" w:styleId="108">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9">
    <w:name w:val="样式4"/>
    <w:basedOn w:val="31"/>
    <w:autoRedefine/>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1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11">
    <w:name w:val="普通(网站)1"/>
    <w:basedOn w:val="1"/>
    <w:autoRedefine/>
    <w:qFormat/>
    <w:uiPriority w:val="0"/>
    <w:pPr>
      <w:widowControl/>
      <w:jc w:val="left"/>
    </w:pPr>
    <w:rPr>
      <w:rFonts w:ascii="ˎ̥" w:hAnsi="ˎ̥" w:cs="宋体"/>
      <w:color w:val="000000"/>
      <w:kern w:val="0"/>
      <w:sz w:val="13"/>
      <w:szCs w:val="13"/>
    </w:rPr>
  </w:style>
  <w:style w:type="paragraph" w:customStyle="1" w:styleId="112">
    <w:name w:val="无间隔1"/>
    <w:link w:val="22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Char2"/>
    <w:basedOn w:val="1"/>
    <w:autoRedefine/>
    <w:qFormat/>
    <w:uiPriority w:val="0"/>
    <w:rPr>
      <w:rFonts w:ascii="仿宋_GB2312" w:eastAsia="仿宋_GB2312"/>
      <w:b/>
      <w:sz w:val="32"/>
      <w:szCs w:val="32"/>
    </w:rPr>
  </w:style>
  <w:style w:type="paragraph" w:customStyle="1" w:styleId="114">
    <w:name w:val="样式 正文文本"/>
    <w:basedOn w:val="1"/>
    <w:link w:val="255"/>
    <w:autoRedefine/>
    <w:qFormat/>
    <w:uiPriority w:val="0"/>
    <w:pPr>
      <w:adjustRightInd w:val="0"/>
      <w:snapToGrid w:val="0"/>
      <w:spacing w:line="400" w:lineRule="exact"/>
      <w:ind w:firstLine="200" w:firstLineChars="200"/>
    </w:pPr>
    <w:rPr>
      <w:rFonts w:ascii="Arial" w:hAnsi="Arial"/>
      <w:color w:val="000000"/>
      <w:szCs w:val="20"/>
    </w:rPr>
  </w:style>
  <w:style w:type="paragraph" w:customStyle="1" w:styleId="115">
    <w:name w:val="xl7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6">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17">
    <w:name w:val="样式3"/>
    <w:basedOn w:val="1"/>
    <w:autoRedefine/>
    <w:qFormat/>
    <w:uiPriority w:val="0"/>
    <w:pPr>
      <w:spacing w:line="440" w:lineRule="exact"/>
      <w:ind w:firstLine="416" w:firstLineChars="198"/>
    </w:pPr>
    <w:rPr>
      <w:rFonts w:ascii="宋体" w:hAnsi="宋体"/>
      <w:bCs/>
      <w:szCs w:val="21"/>
    </w:rPr>
  </w:style>
  <w:style w:type="paragraph" w:customStyle="1" w:styleId="118">
    <w:name w:val="Char Char Char Char Char Char Char Char Char Char Char"/>
    <w:basedOn w:val="1"/>
    <w:autoRedefine/>
    <w:qFormat/>
    <w:uiPriority w:val="0"/>
    <w:rPr>
      <w:rFonts w:ascii="Tahoma" w:hAnsi="Tahoma"/>
      <w:sz w:val="24"/>
      <w:szCs w:val="20"/>
    </w:rPr>
  </w:style>
  <w:style w:type="paragraph" w:customStyle="1" w:styleId="119">
    <w:name w:val="xl65"/>
    <w:basedOn w:val="1"/>
    <w:autoRedefine/>
    <w:qFormat/>
    <w:uiPriority w:val="0"/>
    <w:pPr>
      <w:widowControl/>
      <w:shd w:val="clear" w:color="000000" w:fill="FFFFFF"/>
      <w:spacing w:before="100" w:beforeAutospacing="1" w:after="100" w:afterAutospacing="1"/>
      <w:jc w:val="right"/>
    </w:pPr>
    <w:rPr>
      <w:rFonts w:ascii="宋体" w:hAnsi="宋体" w:cs="宋体"/>
      <w:color w:val="000000"/>
      <w:kern w:val="0"/>
      <w:sz w:val="24"/>
    </w:rPr>
  </w:style>
  <w:style w:type="paragraph" w:customStyle="1" w:styleId="120">
    <w:name w:val="样式 样式1 + 首行缩进:  2 字符"/>
    <w:basedOn w:val="1"/>
    <w:autoRedefine/>
    <w:qFormat/>
    <w:uiPriority w:val="0"/>
    <w:pPr>
      <w:spacing w:line="360" w:lineRule="exact"/>
      <w:ind w:firstLine="420" w:firstLineChars="200"/>
    </w:pPr>
    <w:rPr>
      <w:rFonts w:ascii="Arial" w:hAnsi="Arial"/>
      <w:szCs w:val="20"/>
    </w:rPr>
  </w:style>
  <w:style w:type="paragraph" w:customStyle="1" w:styleId="121">
    <w:name w:val="Char31"/>
    <w:basedOn w:val="1"/>
    <w:autoRedefine/>
    <w:qFormat/>
    <w:uiPriority w:val="0"/>
    <w:rPr>
      <w:szCs w:val="20"/>
    </w:rPr>
  </w:style>
  <w:style w:type="paragraph" w:customStyle="1" w:styleId="122">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3">
    <w:name w:val="样式 纯文本普通文字 Char纯文本 Char Char普通文字纯文本 Char Char Char Char Char...1"/>
    <w:basedOn w:val="3"/>
    <w:next w:val="3"/>
    <w:autoRedefine/>
    <w:qFormat/>
    <w:uiPriority w:val="0"/>
    <w:pPr>
      <w:ind w:firstLine="0" w:firstLineChars="0"/>
    </w:pPr>
    <w:rPr>
      <w:rFonts w:eastAsia="黑体"/>
      <w:color w:val="000000"/>
      <w:sz w:val="30"/>
    </w:rPr>
  </w:style>
  <w:style w:type="paragraph" w:customStyle="1" w:styleId="124">
    <w:name w:val="彩色列表 - 强调文字颜色 11"/>
    <w:basedOn w:val="1"/>
    <w:link w:val="236"/>
    <w:autoRedefine/>
    <w:qFormat/>
    <w:uiPriority w:val="0"/>
    <w:pPr>
      <w:ind w:firstLine="420" w:firstLineChars="200"/>
    </w:pPr>
    <w:rPr>
      <w:rFonts w:ascii="Calibri" w:hAnsi="Calibri"/>
    </w:rPr>
  </w:style>
  <w:style w:type="paragraph" w:customStyle="1" w:styleId="125">
    <w:name w:val="样式 正文文本 + 首行缩进:  2 字符1"/>
    <w:basedOn w:val="20"/>
    <w:autoRedefine/>
    <w:qFormat/>
    <w:uiPriority w:val="0"/>
    <w:pPr>
      <w:adjustRightInd w:val="0"/>
      <w:snapToGrid w:val="0"/>
      <w:spacing w:after="0" w:line="400" w:lineRule="exact"/>
      <w:ind w:firstLine="200" w:firstLineChars="200"/>
    </w:pPr>
    <w:rPr>
      <w:rFonts w:ascii="Arial" w:hAnsi="Arial" w:cs="宋体"/>
      <w:szCs w:val="20"/>
    </w:rPr>
  </w:style>
  <w:style w:type="paragraph" w:customStyle="1" w:styleId="126">
    <w:name w:val="FA正文"/>
    <w:basedOn w:val="1"/>
    <w:autoRedefine/>
    <w:qFormat/>
    <w:uiPriority w:val="0"/>
    <w:pPr>
      <w:spacing w:line="360" w:lineRule="auto"/>
      <w:ind w:right="210" w:rightChars="100" w:firstLine="360"/>
    </w:pPr>
    <w:rPr>
      <w:rFonts w:ascii="Verdana" w:hAnsi="Verdana" w:eastAsia="仿宋_GB2312"/>
      <w:sz w:val="22"/>
      <w:szCs w:val="22"/>
      <w:lang w:val="sv-SE"/>
    </w:rPr>
  </w:style>
  <w:style w:type="paragraph" w:customStyle="1" w:styleId="127">
    <w:name w:val="样式 标题 3 + 段前: 7.8 磅"/>
    <w:basedOn w:val="4"/>
    <w:autoRedefine/>
    <w:qFormat/>
    <w:uiPriority w:val="0"/>
    <w:pPr>
      <w:widowControl w:val="0"/>
      <w:tabs>
        <w:tab w:val="left" w:pos="1280"/>
      </w:tabs>
      <w:autoSpaceDE/>
      <w:autoSpaceDN/>
      <w:spacing w:before="156" w:line="360" w:lineRule="auto"/>
      <w:ind w:left="1280" w:hanging="720"/>
    </w:pPr>
    <w:rPr>
      <w:rFonts w:cs="宋体"/>
    </w:rPr>
  </w:style>
  <w:style w:type="paragraph" w:customStyle="1" w:styleId="128">
    <w:name w:val="默认段落字体 Para Char"/>
    <w:basedOn w:val="1"/>
    <w:autoRedefine/>
    <w:qFormat/>
    <w:uiPriority w:val="0"/>
    <w:pPr>
      <w:numPr>
        <w:ilvl w:val="0"/>
        <w:numId w:val="1"/>
      </w:numPr>
      <w:tabs>
        <w:tab w:val="left" w:pos="454"/>
        <w:tab w:val="clear" w:pos="460"/>
      </w:tabs>
    </w:pPr>
  </w:style>
  <w:style w:type="paragraph" w:customStyle="1" w:styleId="129">
    <w:name w:val="CM2"/>
    <w:basedOn w:val="1"/>
    <w:next w:val="1"/>
    <w:autoRedefine/>
    <w:qFormat/>
    <w:uiPriority w:val="0"/>
    <w:pPr>
      <w:autoSpaceDE w:val="0"/>
      <w:autoSpaceDN w:val="0"/>
      <w:adjustRightInd w:val="0"/>
      <w:spacing w:line="500" w:lineRule="atLeast"/>
      <w:jc w:val="left"/>
    </w:pPr>
    <w:rPr>
      <w:rFonts w:ascii="宋体"/>
      <w:kern w:val="0"/>
      <w:sz w:val="24"/>
    </w:rPr>
  </w:style>
  <w:style w:type="paragraph" w:customStyle="1" w:styleId="130">
    <w:name w:val="xl7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31">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33">
    <w:name w:val="多级符号2"/>
    <w:basedOn w:val="1"/>
    <w:autoRedefine/>
    <w:qFormat/>
    <w:uiPriority w:val="0"/>
    <w:pPr>
      <w:tabs>
        <w:tab w:val="left" w:pos="454"/>
      </w:tabs>
      <w:spacing w:line="360" w:lineRule="auto"/>
      <w:ind w:firstLine="420"/>
      <w:jc w:val="left"/>
    </w:pPr>
    <w:rPr>
      <w:rFonts w:eastAsia="仿宋_GB2312"/>
      <w:sz w:val="24"/>
    </w:rPr>
  </w:style>
  <w:style w:type="paragraph" w:customStyle="1" w:styleId="134">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35">
    <w:name w:val="样式1"/>
    <w:basedOn w:val="1"/>
    <w:link w:val="230"/>
    <w:autoRedefine/>
    <w:qFormat/>
    <w:uiPriority w:val="0"/>
    <w:pPr>
      <w:spacing w:line="360" w:lineRule="exact"/>
      <w:ind w:firstLine="200" w:firstLineChars="200"/>
    </w:pPr>
    <w:rPr>
      <w:rFonts w:ascii="Arial" w:hAnsi="Arial"/>
    </w:rPr>
  </w:style>
  <w:style w:type="paragraph" w:customStyle="1" w:styleId="136">
    <w:name w:val="样式 纯文本普通文字 Char纯文本 Char Char普通文字纯文本 Char Char Char Char Char...5"/>
    <w:basedOn w:val="4"/>
    <w:autoRedefine/>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7">
    <w:name w:val="样式 纯文本普通文字 Char纯文本 Char Char普通文字纯文本 Char Char Char Char Char...4"/>
    <w:basedOn w:val="4"/>
    <w:autoRedefine/>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8">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3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blockquot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41">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42">
    <w:name w:val="xl70"/>
    <w:basedOn w:val="1"/>
    <w:autoRedefine/>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43">
    <w:name w:val="title1"/>
    <w:basedOn w:val="1"/>
    <w:autoRedefine/>
    <w:qFormat/>
    <w:uiPriority w:val="0"/>
    <w:pPr>
      <w:widowControl/>
      <w:spacing w:before="150" w:line="480" w:lineRule="atLeast"/>
      <w:jc w:val="left"/>
    </w:pPr>
    <w:rPr>
      <w:rFonts w:ascii="宋体" w:hAnsi="宋体" w:cs="宋体"/>
      <w:b/>
      <w:bCs/>
      <w:kern w:val="0"/>
      <w:sz w:val="24"/>
    </w:rPr>
  </w:style>
  <w:style w:type="paragraph" w:customStyle="1" w:styleId="14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5">
    <w:name w:val="Char1 Char Char Char Char Char Char"/>
    <w:basedOn w:val="1"/>
    <w:autoRedefine/>
    <w:qFormat/>
    <w:uiPriority w:val="0"/>
    <w:rPr>
      <w:rFonts w:ascii="仿宋_GB2312" w:eastAsia="仿宋_GB2312"/>
      <w:b/>
      <w:sz w:val="32"/>
      <w:szCs w:val="32"/>
    </w:rPr>
  </w:style>
  <w:style w:type="paragraph" w:customStyle="1" w:styleId="146">
    <w:name w:val="xl8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47">
    <w:name w:val="_Style 137"/>
    <w:basedOn w:val="2"/>
    <w:next w:val="1"/>
    <w:autoRedefine/>
    <w:qFormat/>
    <w:uiPriority w:val="0"/>
    <w:pPr>
      <w:keepLines/>
      <w:spacing w:before="340" w:after="330" w:line="576" w:lineRule="auto"/>
      <w:jc w:val="both"/>
      <w:outlineLvl w:val="9"/>
    </w:pPr>
    <w:rPr>
      <w:rFonts w:ascii="宋体"/>
      <w:bCs/>
      <w:color w:val="auto"/>
      <w:kern w:val="44"/>
      <w:sz w:val="44"/>
      <w:szCs w:val="44"/>
    </w:rPr>
  </w:style>
  <w:style w:type="paragraph" w:customStyle="1" w:styleId="148">
    <w:name w:val="Char Char3 Char"/>
    <w:basedOn w:val="1"/>
    <w:autoRedefine/>
    <w:qFormat/>
    <w:uiPriority w:val="0"/>
    <w:rPr>
      <w:rFonts w:ascii="仿宋_GB2312" w:eastAsia="仿宋_GB2312"/>
      <w:b/>
      <w:sz w:val="32"/>
      <w:szCs w:val="32"/>
    </w:rPr>
  </w:style>
  <w:style w:type="paragraph" w:customStyle="1" w:styleId="149">
    <w:name w:val="p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0">
    <w:name w:val="Char Char Char Char1 Char Char Char Char Char Char"/>
    <w:basedOn w:val="1"/>
    <w:autoRedefine/>
    <w:qFormat/>
    <w:uiPriority w:val="0"/>
  </w:style>
  <w:style w:type="paragraph" w:customStyle="1" w:styleId="151">
    <w:name w:val="Blockquote"/>
    <w:basedOn w:val="1"/>
    <w:link w:val="234"/>
    <w:autoRedefine/>
    <w:qFormat/>
    <w:uiPriority w:val="0"/>
    <w:pPr>
      <w:autoSpaceDE w:val="0"/>
      <w:autoSpaceDN w:val="0"/>
      <w:adjustRightInd w:val="0"/>
      <w:spacing w:before="100" w:after="100"/>
      <w:ind w:left="360" w:right="360"/>
      <w:jc w:val="left"/>
    </w:pPr>
    <w:rPr>
      <w:rFonts w:ascii="Calibri" w:hAnsi="Calibri"/>
      <w:sz w:val="24"/>
    </w:rPr>
  </w:style>
  <w:style w:type="paragraph" w:customStyle="1" w:styleId="152">
    <w:name w:val="样式 标题 2 + Times New Roman 四号 非加粗 段前: 5 磅 段后: 0 磅 行距: 固定值 20..."/>
    <w:basedOn w:val="3"/>
    <w:autoRedefine/>
    <w:qFormat/>
    <w:uiPriority w:val="0"/>
    <w:pPr>
      <w:spacing w:before="100" w:line="400" w:lineRule="exact"/>
      <w:ind w:firstLine="0" w:firstLineChars="0"/>
    </w:pPr>
    <w:rPr>
      <w:rFonts w:ascii="Times New Roman" w:hAnsi="Times New Roman" w:eastAsia="黑体" w:cs="宋体"/>
      <w:b w:val="0"/>
      <w:bCs w:val="0"/>
      <w:kern w:val="0"/>
      <w:sz w:val="28"/>
      <w:szCs w:val="20"/>
    </w:rPr>
  </w:style>
  <w:style w:type="paragraph" w:customStyle="1" w:styleId="153">
    <w:name w:val="样式 样式 纯文本普通文字 Char纯文本 Char Char普通文字纯文本 Char Char Char Char Char...."/>
    <w:basedOn w:val="123"/>
    <w:autoRedefine/>
    <w:qFormat/>
    <w:uiPriority w:val="0"/>
    <w:pPr>
      <w:jc w:val="center"/>
    </w:pPr>
    <w:rPr>
      <w:rFonts w:ascii="宋体" w:hAnsi="宋体" w:eastAsia="宋体" w:cs="宋体"/>
      <w:bCs w:val="0"/>
      <w:szCs w:val="20"/>
    </w:rPr>
  </w:style>
  <w:style w:type="paragraph" w:customStyle="1" w:styleId="154">
    <w:name w:val="样式 样式 样式1 + 首行缩进:  2 字符 + 左侧:  0.74 厘米"/>
    <w:basedOn w:val="1"/>
    <w:autoRedefine/>
    <w:qFormat/>
    <w:uiPriority w:val="0"/>
    <w:pPr>
      <w:spacing w:line="360" w:lineRule="exact"/>
      <w:ind w:firstLine="200" w:firstLineChars="200"/>
    </w:pPr>
    <w:rPr>
      <w:rFonts w:ascii="Arial" w:hAnsi="Arial" w:cs="宋体"/>
      <w:szCs w:val="20"/>
    </w:rPr>
  </w:style>
  <w:style w:type="paragraph" w:customStyle="1" w:styleId="155">
    <w:name w:val="xl81"/>
    <w:basedOn w:val="1"/>
    <w:autoRedefine/>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6">
    <w:name w:val="p0"/>
    <w:basedOn w:val="1"/>
    <w:autoRedefine/>
    <w:qFormat/>
    <w:uiPriority w:val="0"/>
    <w:pPr>
      <w:widowControl/>
    </w:pPr>
    <w:rPr>
      <w:kern w:val="0"/>
      <w:szCs w:val="21"/>
    </w:rPr>
  </w:style>
  <w:style w:type="paragraph" w:customStyle="1" w:styleId="157">
    <w:name w:val="xl82"/>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8">
    <w:name w:val="xl64"/>
    <w:basedOn w:val="1"/>
    <w:autoRedefine/>
    <w:qFormat/>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59">
    <w:name w:val="表格文字"/>
    <w:basedOn w:val="1"/>
    <w:autoRedefine/>
    <w:qFormat/>
    <w:uiPriority w:val="0"/>
    <w:pPr>
      <w:adjustRightInd w:val="0"/>
      <w:spacing w:line="420" w:lineRule="atLeast"/>
      <w:jc w:val="left"/>
      <w:textAlignment w:val="baseline"/>
    </w:pPr>
    <w:rPr>
      <w:kern w:val="0"/>
      <w:szCs w:val="20"/>
    </w:rPr>
  </w:style>
  <w:style w:type="paragraph" w:customStyle="1" w:styleId="160">
    <w:name w:val="彩色列表 - 强调文字颜色 12"/>
    <w:basedOn w:val="1"/>
    <w:autoRedefine/>
    <w:qFormat/>
    <w:uiPriority w:val="34"/>
    <w:pPr>
      <w:ind w:firstLine="420" w:firstLineChars="200"/>
    </w:pPr>
  </w:style>
  <w:style w:type="paragraph" w:customStyle="1" w:styleId="161">
    <w:name w:val="xl83"/>
    <w:basedOn w:val="1"/>
    <w:autoRedefine/>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2">
    <w:name w:val="Char3"/>
    <w:basedOn w:val="1"/>
    <w:autoRedefine/>
    <w:qFormat/>
    <w:uiPriority w:val="0"/>
    <w:rPr>
      <w:rFonts w:ascii="仿宋_GB2312" w:eastAsia="仿宋_GB2312"/>
      <w:b/>
      <w:sz w:val="32"/>
      <w:szCs w:val="32"/>
    </w:rPr>
  </w:style>
  <w:style w:type="paragraph" w:customStyle="1" w:styleId="163">
    <w:name w:val="正文－恩普"/>
    <w:basedOn w:val="14"/>
    <w:autoRedefine/>
    <w:qFormat/>
    <w:uiPriority w:val="0"/>
    <w:pPr>
      <w:widowControl/>
      <w:spacing w:afterLines="50" w:line="360" w:lineRule="auto"/>
      <w:ind w:firstLine="480"/>
      <w:jc w:val="left"/>
    </w:pPr>
    <w:rPr>
      <w:kern w:val="0"/>
      <w:sz w:val="24"/>
      <w:szCs w:val="20"/>
    </w:rPr>
  </w:style>
  <w:style w:type="paragraph" w:customStyle="1" w:styleId="164">
    <w:name w:val="样式 标题 1 + 黑体 三号 非加粗 居中 段前: 6 磅 段后: 6 磅 行距: 固定值 20 磅"/>
    <w:basedOn w:val="2"/>
    <w:autoRedefine/>
    <w:qFormat/>
    <w:uiPriority w:val="0"/>
    <w:pPr>
      <w:keepLines/>
      <w:spacing w:before="120" w:after="120" w:line="400" w:lineRule="exact"/>
    </w:pPr>
    <w:rPr>
      <w:rFonts w:ascii="黑体" w:hAnsi="黑体" w:eastAsia="黑体" w:cs="宋体"/>
      <w:b w:val="0"/>
      <w:color w:val="auto"/>
      <w:kern w:val="44"/>
      <w:szCs w:val="20"/>
    </w:rPr>
  </w:style>
  <w:style w:type="paragraph" w:customStyle="1" w:styleId="165">
    <w:name w:val="1"/>
    <w:basedOn w:val="1"/>
    <w:next w:val="39"/>
    <w:autoRedefine/>
    <w:qFormat/>
    <w:uiPriority w:val="0"/>
    <w:pPr>
      <w:widowControl/>
      <w:snapToGrid w:val="0"/>
      <w:spacing w:line="440" w:lineRule="atLeast"/>
      <w:ind w:firstLine="480"/>
    </w:pPr>
    <w:rPr>
      <w:kern w:val="0"/>
      <w:sz w:val="24"/>
      <w:szCs w:val="20"/>
    </w:rPr>
  </w:style>
  <w:style w:type="paragraph" w:customStyle="1" w:styleId="166">
    <w:name w:val="_Style 63"/>
    <w:basedOn w:val="1"/>
    <w:autoRedefine/>
    <w:qFormat/>
    <w:uiPriority w:val="0"/>
    <w:rPr>
      <w:rFonts w:ascii="Tahoma" w:hAnsi="Tahoma"/>
      <w:sz w:val="24"/>
      <w:szCs w:val="20"/>
    </w:rPr>
  </w:style>
  <w:style w:type="paragraph" w:customStyle="1" w:styleId="167">
    <w:name w:val="默认段落字体 Para Char Char Char Char Char Char Char"/>
    <w:basedOn w:val="1"/>
    <w:autoRedefine/>
    <w:qFormat/>
    <w:uiPriority w:val="0"/>
    <w:rPr>
      <w:rFonts w:eastAsia="仿宋_GB2312"/>
      <w:sz w:val="28"/>
    </w:rPr>
  </w:style>
  <w:style w:type="paragraph" w:customStyle="1" w:styleId="168">
    <w:name w:val="样式 纯文本普通文字 Char纯文本 Char Char普通文字纯文本 Char Char Char Char Char...3"/>
    <w:basedOn w:val="4"/>
    <w:next w:val="4"/>
    <w:autoRedefine/>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69">
    <w:name w:val="Char Char Char Char1"/>
    <w:basedOn w:val="1"/>
    <w:autoRedefine/>
    <w:qFormat/>
    <w:uiPriority w:val="0"/>
  </w:style>
  <w:style w:type="paragraph" w:customStyle="1" w:styleId="170">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171">
    <w:name w:val="xl72"/>
    <w:basedOn w:val="1"/>
    <w:autoRedefine/>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72">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173">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4">
    <w:name w:val="样式 标题 3 + Arial"/>
    <w:basedOn w:val="4"/>
    <w:autoRedefine/>
    <w:qFormat/>
    <w:uiPriority w:val="0"/>
    <w:pPr>
      <w:keepNext/>
      <w:keepLines/>
      <w:widowControl w:val="0"/>
      <w:autoSpaceDE/>
      <w:autoSpaceDN/>
      <w:spacing w:beforeLines="100" w:line="360" w:lineRule="auto"/>
    </w:pPr>
    <w:rPr>
      <w:rFonts w:ascii="宋体" w:hAnsi="宋体"/>
    </w:rPr>
  </w:style>
  <w:style w:type="paragraph" w:customStyle="1" w:styleId="175">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6">
    <w:name w:val="纯文本1"/>
    <w:basedOn w:val="1"/>
    <w:autoRedefine/>
    <w:qFormat/>
    <w:uiPriority w:val="0"/>
    <w:pPr>
      <w:adjustRightInd w:val="0"/>
      <w:textAlignment w:val="baseline"/>
    </w:pPr>
    <w:rPr>
      <w:rFonts w:ascii="宋体" w:hAnsi="Courier New"/>
      <w:szCs w:val="20"/>
    </w:rPr>
  </w:style>
  <w:style w:type="paragraph" w:customStyle="1" w:styleId="177">
    <w:name w:val="[Normal]"/>
    <w:autoRedefine/>
    <w:qFormat/>
    <w:uiPriority w:val="0"/>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178">
    <w:name w:val="样式 纯文本普通文字 Char纯文本 Char Char普通文字纯文本 Char Char Char Char Char...7"/>
    <w:basedOn w:val="4"/>
    <w:next w:val="4"/>
    <w:autoRedefine/>
    <w:qFormat/>
    <w:uiPriority w:val="0"/>
    <w:pPr>
      <w:widowControl w:val="0"/>
      <w:tabs>
        <w:tab w:val="left" w:pos="360"/>
      </w:tabs>
      <w:autoSpaceDE/>
      <w:autoSpaceDN/>
      <w:spacing w:line="600" w:lineRule="exact"/>
      <w:ind w:left="360" w:firstLine="540" w:firstLineChars="225"/>
    </w:pPr>
    <w:rPr>
      <w:rFonts w:cs="宋体"/>
      <w:bCs/>
      <w:color w:val="000000"/>
    </w:rPr>
  </w:style>
  <w:style w:type="paragraph" w:customStyle="1" w:styleId="179">
    <w:name w:val="xl85"/>
    <w:basedOn w:val="1"/>
    <w:autoRedefine/>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80">
    <w:name w:val="xl66"/>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81">
    <w:name w:val="样式 纯文本普通文字 Char纯文本 Char Char普通文字纯文本 Char Char Char Char Char...6"/>
    <w:basedOn w:val="4"/>
    <w:link w:val="213"/>
    <w:autoRedefine/>
    <w:qFormat/>
    <w:uiPriority w:val="0"/>
    <w:pPr>
      <w:widowControl w:val="0"/>
      <w:tabs>
        <w:tab w:val="left" w:pos="360"/>
      </w:tabs>
      <w:autoSpaceDE/>
      <w:autoSpaceDN/>
      <w:spacing w:line="600" w:lineRule="exact"/>
      <w:ind w:left="360" w:firstLine="540" w:firstLineChars="225"/>
    </w:pPr>
    <w:rPr>
      <w:rFonts w:ascii="Calibri" w:hAnsi="Calibri" w:eastAsia="宋体"/>
      <w:bCs/>
      <w:color w:val="000000"/>
    </w:rPr>
  </w:style>
  <w:style w:type="paragraph" w:customStyle="1" w:styleId="182">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183">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Char Char Char Char Char Char Char Char Char Char Char1"/>
    <w:basedOn w:val="1"/>
    <w:autoRedefine/>
    <w:qFormat/>
    <w:uiPriority w:val="0"/>
    <w:rPr>
      <w:rFonts w:ascii="Tahoma" w:hAnsi="Tahoma"/>
      <w:sz w:val="24"/>
      <w:szCs w:val="20"/>
    </w:rPr>
  </w:style>
  <w:style w:type="paragraph" w:customStyle="1" w:styleId="185">
    <w:name w:val="_Style 175"/>
    <w:autoRedefine/>
    <w:qFormat/>
    <w:uiPriority w:val="0"/>
    <w:rPr>
      <w:rFonts w:ascii="Times New Roman" w:hAnsi="Times New Roman" w:eastAsia="宋体" w:cs="Times New Roman"/>
      <w:kern w:val="2"/>
      <w:sz w:val="21"/>
      <w:szCs w:val="24"/>
      <w:lang w:val="en-US" w:eastAsia="zh-CN" w:bidi="ar-SA"/>
    </w:rPr>
  </w:style>
  <w:style w:type="paragraph" w:customStyle="1" w:styleId="186">
    <w:name w:val="内文正文"/>
    <w:basedOn w:val="5"/>
    <w:link w:val="189"/>
    <w:autoRedefine/>
    <w:qFormat/>
    <w:uiPriority w:val="0"/>
    <w:pPr>
      <w:adjustRightInd w:val="0"/>
      <w:snapToGrid w:val="0"/>
      <w:spacing w:line="400" w:lineRule="exact"/>
      <w:ind w:firstLine="200" w:firstLineChars="200"/>
    </w:pPr>
    <w:rPr>
      <w:rFonts w:ascii="Arial" w:hAnsi="Arial"/>
      <w:color w:val="000000"/>
      <w:szCs w:val="21"/>
    </w:rPr>
  </w:style>
  <w:style w:type="character" w:customStyle="1" w:styleId="187">
    <w:name w:val="个人撰写风格"/>
    <w:autoRedefine/>
    <w:qFormat/>
    <w:uiPriority w:val="0"/>
    <w:rPr>
      <w:rFonts w:ascii="Arial" w:hAnsi="Arial" w:eastAsia="宋体" w:cs="Arial"/>
      <w:color w:val="auto"/>
      <w:sz w:val="20"/>
    </w:rPr>
  </w:style>
  <w:style w:type="character" w:customStyle="1" w:styleId="188">
    <w:name w:val="Char Char3"/>
    <w:autoRedefine/>
    <w:qFormat/>
    <w:uiPriority w:val="0"/>
    <w:rPr>
      <w:rFonts w:ascii="宋体" w:eastAsia="宋体"/>
      <w:kern w:val="2"/>
      <w:sz w:val="18"/>
      <w:szCs w:val="18"/>
      <w:lang w:val="en-US" w:eastAsia="zh-CN" w:bidi="ar-SA"/>
    </w:rPr>
  </w:style>
  <w:style w:type="character" w:customStyle="1" w:styleId="189">
    <w:name w:val="内文正文 Char"/>
    <w:link w:val="186"/>
    <w:autoRedefine/>
    <w:qFormat/>
    <w:uiPriority w:val="0"/>
    <w:rPr>
      <w:rFonts w:ascii="Arial" w:hAnsi="Arial" w:cs="Courier New"/>
      <w:color w:val="000000"/>
      <w:kern w:val="2"/>
      <w:sz w:val="21"/>
      <w:szCs w:val="21"/>
    </w:rPr>
  </w:style>
  <w:style w:type="character" w:customStyle="1" w:styleId="190">
    <w:name w:val="正文文本 2 字符"/>
    <w:link w:val="42"/>
    <w:autoRedefine/>
    <w:qFormat/>
    <w:uiPriority w:val="0"/>
    <w:rPr>
      <w:b/>
      <w:bCs/>
      <w:color w:val="000000"/>
      <w:kern w:val="2"/>
      <w:sz w:val="28"/>
      <w:szCs w:val="24"/>
    </w:rPr>
  </w:style>
  <w:style w:type="character" w:customStyle="1" w:styleId="191">
    <w:name w:val="正文2 Char Char"/>
    <w:link w:val="80"/>
    <w:autoRedefine/>
    <w:qFormat/>
    <w:locked/>
    <w:uiPriority w:val="0"/>
    <w:rPr>
      <w:kern w:val="2"/>
      <w:sz w:val="24"/>
    </w:rPr>
  </w:style>
  <w:style w:type="character" w:customStyle="1" w:styleId="192">
    <w:name w:val="明显引用 Char2"/>
    <w:autoRedefine/>
    <w:qFormat/>
    <w:uiPriority w:val="0"/>
    <w:rPr>
      <w:rFonts w:ascii="宋体"/>
      <w:b/>
      <w:bCs/>
      <w:i/>
      <w:iCs/>
      <w:color w:val="4F81BD"/>
      <w:kern w:val="2"/>
      <w:sz w:val="28"/>
    </w:rPr>
  </w:style>
  <w:style w:type="character" w:customStyle="1" w:styleId="193">
    <w:name w:val="正文文本缩进 字符"/>
    <w:link w:val="21"/>
    <w:autoRedefine/>
    <w:qFormat/>
    <w:uiPriority w:val="0"/>
    <w:rPr>
      <w:rFonts w:ascii="宋体"/>
      <w:sz w:val="24"/>
    </w:rPr>
  </w:style>
  <w:style w:type="character" w:customStyle="1" w:styleId="194">
    <w:name w:val="Char Char5"/>
    <w:autoRedefine/>
    <w:qFormat/>
    <w:uiPriority w:val="0"/>
    <w:rPr>
      <w:rFonts w:ascii="宋体" w:hAnsi="宋体"/>
      <w:sz w:val="28"/>
      <w:szCs w:val="28"/>
      <w:lang w:bidi="ar-SA"/>
    </w:rPr>
  </w:style>
  <w:style w:type="character" w:customStyle="1" w:styleId="195">
    <w:name w:val="批注框文本 字符"/>
    <w:link w:val="30"/>
    <w:autoRedefine/>
    <w:qFormat/>
    <w:uiPriority w:val="0"/>
    <w:rPr>
      <w:kern w:val="2"/>
      <w:sz w:val="18"/>
      <w:szCs w:val="18"/>
    </w:rPr>
  </w:style>
  <w:style w:type="character" w:customStyle="1" w:styleId="196">
    <w:name w:val="Char Char22"/>
    <w:autoRedefine/>
    <w:qFormat/>
    <w:uiPriority w:val="0"/>
    <w:rPr>
      <w:rFonts w:ascii="宋体"/>
      <w:b/>
      <w:bCs/>
      <w:kern w:val="44"/>
      <w:sz w:val="44"/>
      <w:szCs w:val="44"/>
    </w:rPr>
  </w:style>
  <w:style w:type="character" w:customStyle="1" w:styleId="197">
    <w:name w:val="批注文字 Char Char"/>
    <w:autoRedefine/>
    <w:qFormat/>
    <w:uiPriority w:val="0"/>
    <w:rPr>
      <w:rFonts w:ascii="宋体" w:hAnsi="Times New Roman" w:eastAsia="宋体" w:cs="Times New Roman"/>
      <w:sz w:val="28"/>
      <w:szCs w:val="20"/>
    </w:rPr>
  </w:style>
  <w:style w:type="character" w:customStyle="1" w:styleId="198">
    <w:name w:val="内文正文 Char Char"/>
    <w:autoRedefine/>
    <w:qFormat/>
    <w:uiPriority w:val="0"/>
    <w:rPr>
      <w:rFonts w:ascii="宋体" w:hAnsi="???|CS?o｡ﾀ?"/>
      <w:sz w:val="21"/>
      <w:szCs w:val="28"/>
      <w:lang w:val="en-US" w:eastAsia="zh-CN" w:bidi="ar-SA"/>
    </w:rPr>
  </w:style>
  <w:style w:type="character" w:customStyle="1" w:styleId="199">
    <w:name w:val="日期 Char1"/>
    <w:autoRedefine/>
    <w:qFormat/>
    <w:uiPriority w:val="0"/>
    <w:rPr>
      <w:kern w:val="2"/>
      <w:sz w:val="21"/>
      <w:szCs w:val="22"/>
    </w:rPr>
  </w:style>
  <w:style w:type="character" w:customStyle="1" w:styleId="200">
    <w:name w:val="页脚 字符"/>
    <w:link w:val="31"/>
    <w:autoRedefine/>
    <w:qFormat/>
    <w:uiPriority w:val="99"/>
    <w:rPr>
      <w:kern w:val="2"/>
      <w:sz w:val="18"/>
      <w:szCs w:val="18"/>
    </w:rPr>
  </w:style>
  <w:style w:type="character" w:customStyle="1" w:styleId="201">
    <w:name w:val="Char Char18"/>
    <w:autoRedefine/>
    <w:qFormat/>
    <w:uiPriority w:val="0"/>
    <w:rPr>
      <w:rFonts w:ascii="Calibri" w:hAnsi="Calibri"/>
      <w:b/>
      <w:bCs/>
      <w:kern w:val="2"/>
      <w:sz w:val="28"/>
      <w:szCs w:val="28"/>
    </w:rPr>
  </w:style>
  <w:style w:type="character" w:customStyle="1" w:styleId="202">
    <w:name w:val="Char Char8"/>
    <w:autoRedefine/>
    <w:qFormat/>
    <w:uiPriority w:val="0"/>
    <w:rPr>
      <w:rFonts w:ascii="宋体" w:eastAsia="宋体"/>
      <w:kern w:val="2"/>
      <w:sz w:val="18"/>
      <w:szCs w:val="18"/>
      <w:lang w:val="en-US" w:eastAsia="zh-CN" w:bidi="ar-SA"/>
    </w:rPr>
  </w:style>
  <w:style w:type="character" w:customStyle="1" w:styleId="203">
    <w:name w:val="Char Char Char"/>
    <w:link w:val="88"/>
    <w:autoRedefine/>
    <w:qFormat/>
    <w:uiPriority w:val="0"/>
    <w:rPr>
      <w:rFonts w:ascii="宋体" w:hAnsi="宋体"/>
      <w:b/>
      <w:kern w:val="2"/>
      <w:sz w:val="21"/>
      <w:szCs w:val="21"/>
    </w:rPr>
  </w:style>
  <w:style w:type="character" w:customStyle="1" w:styleId="204">
    <w:name w:val="_Style 196"/>
    <w:autoRedefine/>
    <w:qFormat/>
    <w:uiPriority w:val="0"/>
    <w:rPr>
      <w:b/>
      <w:bCs/>
      <w:smallCaps/>
      <w:color w:val="C0504D"/>
      <w:spacing w:val="5"/>
      <w:u w:val="single"/>
    </w:rPr>
  </w:style>
  <w:style w:type="character" w:customStyle="1" w:styleId="205">
    <w:name w:val="标题 9 字符"/>
    <w:link w:val="11"/>
    <w:autoRedefine/>
    <w:qFormat/>
    <w:uiPriority w:val="0"/>
    <w:rPr>
      <w:rFonts w:ascii="Cambria" w:hAnsi="Cambria"/>
      <w:kern w:val="2"/>
      <w:sz w:val="21"/>
      <w:szCs w:val="21"/>
    </w:rPr>
  </w:style>
  <w:style w:type="character" w:customStyle="1" w:styleId="206">
    <w:name w:val="Char Char10"/>
    <w:autoRedefine/>
    <w:qFormat/>
    <w:uiPriority w:val="0"/>
    <w:rPr>
      <w:rFonts w:ascii="Arial" w:hAnsi="Arial" w:eastAsia="黑体"/>
      <w:b/>
      <w:bCs/>
      <w:kern w:val="2"/>
      <w:sz w:val="28"/>
      <w:szCs w:val="28"/>
    </w:rPr>
  </w:style>
  <w:style w:type="character" w:customStyle="1" w:styleId="207">
    <w:name w:val="Char Char19"/>
    <w:autoRedefine/>
    <w:qFormat/>
    <w:uiPriority w:val="0"/>
    <w:rPr>
      <w:rFonts w:ascii="Cambria" w:hAnsi="Cambria"/>
      <w:b/>
      <w:bCs/>
      <w:kern w:val="2"/>
      <w:sz w:val="28"/>
      <w:szCs w:val="28"/>
    </w:rPr>
  </w:style>
  <w:style w:type="character" w:customStyle="1" w:styleId="208">
    <w:name w:val="样式 标题 2 + 小四 Char Char"/>
    <w:link w:val="101"/>
    <w:autoRedefine/>
    <w:qFormat/>
    <w:uiPriority w:val="0"/>
    <w:rPr>
      <w:rFonts w:ascii="宋体" w:hAnsi="宋体"/>
      <w:b/>
      <w:kern w:val="2"/>
      <w:sz w:val="36"/>
    </w:rPr>
  </w:style>
  <w:style w:type="character" w:customStyle="1" w:styleId="209">
    <w:name w:val="_Style 201"/>
    <w:autoRedefine/>
    <w:qFormat/>
    <w:uiPriority w:val="0"/>
    <w:rPr>
      <w:b/>
      <w:bCs/>
      <w:smallCaps/>
      <w:spacing w:val="5"/>
    </w:rPr>
  </w:style>
  <w:style w:type="character" w:customStyle="1" w:styleId="210">
    <w:name w:val="unnamed51"/>
    <w:autoRedefine/>
    <w:qFormat/>
    <w:uiPriority w:val="0"/>
    <w:rPr>
      <w:sz w:val="22"/>
      <w:szCs w:val="22"/>
    </w:rPr>
  </w:style>
  <w:style w:type="character" w:customStyle="1" w:styleId="211">
    <w:name w:val="Char Char101"/>
    <w:autoRedefine/>
    <w:qFormat/>
    <w:uiPriority w:val="0"/>
    <w:rPr>
      <w:rFonts w:ascii="Arial" w:hAnsi="Arial" w:eastAsia="黑体"/>
      <w:b/>
      <w:bCs/>
      <w:kern w:val="2"/>
      <w:sz w:val="28"/>
      <w:szCs w:val="28"/>
    </w:rPr>
  </w:style>
  <w:style w:type="character" w:customStyle="1" w:styleId="212">
    <w:name w:val="标题 Char1"/>
    <w:autoRedefine/>
    <w:qFormat/>
    <w:uiPriority w:val="0"/>
    <w:rPr>
      <w:rFonts w:ascii="Cambria" w:hAnsi="Cambria" w:cs="Times New Roman"/>
      <w:b/>
      <w:bCs/>
      <w:kern w:val="2"/>
      <w:sz w:val="32"/>
      <w:szCs w:val="32"/>
    </w:rPr>
  </w:style>
  <w:style w:type="character" w:customStyle="1" w:styleId="213">
    <w:name w:val="样式 纯文本普通文字 Char纯文本 Char Char普通文字纯文本 Char Char Char Char Char...6 Char"/>
    <w:link w:val="181"/>
    <w:autoRedefine/>
    <w:qFormat/>
    <w:uiPriority w:val="0"/>
    <w:rPr>
      <w:bCs/>
      <w:color w:val="000000"/>
      <w:kern w:val="2"/>
      <w:sz w:val="24"/>
    </w:rPr>
  </w:style>
  <w:style w:type="character" w:customStyle="1" w:styleId="214">
    <w:name w:val="正文缩进 字符"/>
    <w:link w:val="14"/>
    <w:autoRedefine/>
    <w:qFormat/>
    <w:uiPriority w:val="0"/>
    <w:rPr>
      <w:kern w:val="2"/>
      <w:sz w:val="21"/>
      <w:szCs w:val="24"/>
    </w:rPr>
  </w:style>
  <w:style w:type="character" w:customStyle="1" w:styleId="215">
    <w:name w:val="样式 正文文本 Char Char"/>
    <w:autoRedefine/>
    <w:qFormat/>
    <w:uiPriority w:val="0"/>
    <w:rPr>
      <w:rFonts w:ascii="Arial" w:hAnsi="Arial" w:eastAsia="宋体" w:cs="宋体"/>
      <w:color w:val="000000"/>
      <w:kern w:val="2"/>
      <w:sz w:val="21"/>
      <w:lang w:val="en-US" w:eastAsia="zh-CN" w:bidi="ar-SA"/>
    </w:rPr>
  </w:style>
  <w:style w:type="character" w:customStyle="1" w:styleId="216">
    <w:name w:val="日期 字符"/>
    <w:link w:val="28"/>
    <w:autoRedefine/>
    <w:qFormat/>
    <w:uiPriority w:val="0"/>
    <w:rPr>
      <w:color w:val="000000"/>
      <w:kern w:val="2"/>
      <w:sz w:val="24"/>
      <w:szCs w:val="24"/>
    </w:rPr>
  </w:style>
  <w:style w:type="character" w:customStyle="1" w:styleId="217">
    <w:name w:val="普通文字 Char Char2"/>
    <w:autoRedefine/>
    <w:qFormat/>
    <w:uiPriority w:val="0"/>
    <w:rPr>
      <w:rFonts w:ascii="宋体" w:hAnsi="Courier New" w:eastAsia="宋体"/>
      <w:kern w:val="2"/>
      <w:sz w:val="21"/>
      <w:lang w:val="en-US" w:eastAsia="zh-CN" w:bidi="ar-SA"/>
    </w:rPr>
  </w:style>
  <w:style w:type="character" w:customStyle="1" w:styleId="218">
    <w:name w:val="批注主题 Char2"/>
    <w:autoRedefine/>
    <w:qFormat/>
    <w:uiPriority w:val="0"/>
    <w:rPr>
      <w:rFonts w:ascii="宋体" w:hAnsi="宋体" w:eastAsia="宋体"/>
      <w:b/>
      <w:bCs/>
      <w:kern w:val="2"/>
      <w:sz w:val="28"/>
      <w:szCs w:val="24"/>
      <w:lang w:val="en-US" w:eastAsia="zh-CN" w:bidi="ar-SA"/>
    </w:rPr>
  </w:style>
  <w:style w:type="character" w:customStyle="1" w:styleId="219">
    <w:name w:val="正文文本 Char1"/>
    <w:autoRedefine/>
    <w:qFormat/>
    <w:uiPriority w:val="0"/>
    <w:rPr>
      <w:kern w:val="2"/>
      <w:sz w:val="21"/>
      <w:szCs w:val="22"/>
    </w:rPr>
  </w:style>
  <w:style w:type="character" w:customStyle="1" w:styleId="220">
    <w:name w:val="正文文本 3 字符"/>
    <w:link w:val="19"/>
    <w:autoRedefine/>
    <w:qFormat/>
    <w:uiPriority w:val="0"/>
    <w:rPr>
      <w:rFonts w:ascii="楷体_GB2312" w:eastAsia="楷体_GB2312"/>
      <w:b/>
      <w:color w:val="000000"/>
      <w:kern w:val="2"/>
      <w:sz w:val="30"/>
      <w:szCs w:val="24"/>
    </w:rPr>
  </w:style>
  <w:style w:type="character" w:customStyle="1" w:styleId="221">
    <w:name w:val="dz1"/>
    <w:basedOn w:val="54"/>
    <w:autoRedefine/>
    <w:qFormat/>
    <w:uiPriority w:val="0"/>
  </w:style>
  <w:style w:type="character" w:customStyle="1" w:styleId="222">
    <w:name w:val="zbggmain style9"/>
    <w:basedOn w:val="54"/>
    <w:autoRedefine/>
    <w:qFormat/>
    <w:uiPriority w:val="0"/>
  </w:style>
  <w:style w:type="character" w:customStyle="1" w:styleId="223">
    <w:name w:val="无间隔 字符"/>
    <w:link w:val="112"/>
    <w:autoRedefine/>
    <w:qFormat/>
    <w:uiPriority w:val="0"/>
    <w:rPr>
      <w:kern w:val="2"/>
      <w:sz w:val="21"/>
      <w:szCs w:val="22"/>
      <w:lang w:val="en-US" w:eastAsia="zh-CN" w:bidi="ar-SA"/>
    </w:rPr>
  </w:style>
  <w:style w:type="character" w:customStyle="1" w:styleId="224">
    <w:name w:val="样式1 Char"/>
    <w:autoRedefine/>
    <w:qFormat/>
    <w:uiPriority w:val="0"/>
    <w:rPr>
      <w:rFonts w:ascii="Arial" w:hAnsi="Arial" w:eastAsia="宋体"/>
      <w:kern w:val="2"/>
      <w:sz w:val="21"/>
      <w:szCs w:val="24"/>
      <w:lang w:val="en-US" w:eastAsia="zh-CN" w:bidi="ar-SA"/>
    </w:rPr>
  </w:style>
  <w:style w:type="character" w:customStyle="1" w:styleId="225">
    <w:name w:val="批注框文本 Char1"/>
    <w:autoRedefine/>
    <w:qFormat/>
    <w:uiPriority w:val="0"/>
    <w:rPr>
      <w:kern w:val="2"/>
      <w:sz w:val="18"/>
      <w:szCs w:val="18"/>
    </w:rPr>
  </w:style>
  <w:style w:type="character" w:customStyle="1" w:styleId="226">
    <w:name w:val="font141"/>
    <w:autoRedefine/>
    <w:qFormat/>
    <w:uiPriority w:val="0"/>
    <w:rPr>
      <w:rFonts w:hint="default" w:ascii="Tahoma" w:hAnsi="Tahoma" w:eastAsia="Tahoma" w:cs="Tahoma"/>
      <w:color w:val="000000"/>
      <w:sz w:val="24"/>
      <w:szCs w:val="24"/>
      <w:u w:val="none"/>
    </w:rPr>
  </w:style>
  <w:style w:type="character" w:customStyle="1" w:styleId="227">
    <w:name w:val="文档结构图 Char1"/>
    <w:autoRedefine/>
    <w:qFormat/>
    <w:uiPriority w:val="0"/>
    <w:rPr>
      <w:rFonts w:ascii="宋体"/>
      <w:kern w:val="2"/>
      <w:sz w:val="18"/>
      <w:szCs w:val="18"/>
    </w:rPr>
  </w:style>
  <w:style w:type="character" w:customStyle="1" w:styleId="228">
    <w:name w:val="font112"/>
    <w:autoRedefine/>
    <w:qFormat/>
    <w:uiPriority w:val="0"/>
    <w:rPr>
      <w:rFonts w:hint="default" w:ascii="Times New Roman" w:hAnsi="Times New Roman" w:cs="Times New Roman"/>
      <w:color w:val="000000"/>
      <w:sz w:val="24"/>
      <w:szCs w:val="24"/>
      <w:u w:val="none"/>
    </w:rPr>
  </w:style>
  <w:style w:type="character" w:customStyle="1" w:styleId="229">
    <w:name w:val="Char Char7"/>
    <w:autoRedefine/>
    <w:qFormat/>
    <w:uiPriority w:val="0"/>
    <w:rPr>
      <w:rFonts w:eastAsia="宋体"/>
      <w:kern w:val="2"/>
      <w:sz w:val="21"/>
      <w:szCs w:val="24"/>
      <w:lang w:val="en-US" w:eastAsia="zh-CN" w:bidi="ar-SA"/>
    </w:rPr>
  </w:style>
  <w:style w:type="character" w:customStyle="1" w:styleId="230">
    <w:name w:val="样式1 Char Char"/>
    <w:link w:val="135"/>
    <w:autoRedefine/>
    <w:qFormat/>
    <w:uiPriority w:val="0"/>
    <w:rPr>
      <w:rFonts w:ascii="Arial" w:hAnsi="Arial"/>
      <w:kern w:val="2"/>
      <w:sz w:val="21"/>
      <w:szCs w:val="24"/>
    </w:rPr>
  </w:style>
  <w:style w:type="character" w:customStyle="1" w:styleId="231">
    <w:name w:val="正文文本 Char3"/>
    <w:autoRedefine/>
    <w:qFormat/>
    <w:uiPriority w:val="0"/>
    <w:rPr>
      <w:rFonts w:ascii="宋体"/>
      <w:kern w:val="2"/>
      <w:sz w:val="28"/>
    </w:rPr>
  </w:style>
  <w:style w:type="character" w:customStyle="1" w:styleId="232">
    <w:name w:val="页眉 字符"/>
    <w:link w:val="32"/>
    <w:autoRedefine/>
    <w:qFormat/>
    <w:uiPriority w:val="0"/>
    <w:rPr>
      <w:kern w:val="2"/>
      <w:sz w:val="18"/>
      <w:szCs w:val="18"/>
    </w:rPr>
  </w:style>
  <w:style w:type="character" w:customStyle="1" w:styleId="233">
    <w:name w:val="_Style 225"/>
    <w:autoRedefine/>
    <w:qFormat/>
    <w:uiPriority w:val="0"/>
    <w:rPr>
      <w:b/>
      <w:bCs/>
      <w:i/>
      <w:iCs/>
      <w:color w:val="4F81BD"/>
    </w:rPr>
  </w:style>
  <w:style w:type="character" w:customStyle="1" w:styleId="234">
    <w:name w:val="Blockquote Char"/>
    <w:link w:val="151"/>
    <w:autoRedefine/>
    <w:qFormat/>
    <w:uiPriority w:val="0"/>
    <w:rPr>
      <w:kern w:val="2"/>
      <w:sz w:val="24"/>
      <w:szCs w:val="24"/>
    </w:rPr>
  </w:style>
  <w:style w:type="character" w:customStyle="1" w:styleId="235">
    <w:name w:val="apple-converted-space"/>
    <w:basedOn w:val="54"/>
    <w:autoRedefine/>
    <w:qFormat/>
    <w:uiPriority w:val="0"/>
  </w:style>
  <w:style w:type="character" w:customStyle="1" w:styleId="236">
    <w:name w:val="彩色列表 - 强调文字颜色 1 Char"/>
    <w:link w:val="124"/>
    <w:autoRedefine/>
    <w:qFormat/>
    <w:uiPriority w:val="0"/>
    <w:rPr>
      <w:kern w:val="2"/>
      <w:sz w:val="21"/>
      <w:szCs w:val="24"/>
    </w:rPr>
  </w:style>
  <w:style w:type="character" w:customStyle="1" w:styleId="237">
    <w:name w:val="个人答复风格"/>
    <w:autoRedefine/>
    <w:qFormat/>
    <w:uiPriority w:val="0"/>
    <w:rPr>
      <w:rFonts w:ascii="Arial" w:hAnsi="Arial" w:eastAsia="宋体" w:cs="Arial"/>
      <w:color w:val="auto"/>
      <w:sz w:val="20"/>
    </w:rPr>
  </w:style>
  <w:style w:type="character" w:customStyle="1" w:styleId="238">
    <w:name w:val="font161"/>
    <w:autoRedefine/>
    <w:qFormat/>
    <w:uiPriority w:val="0"/>
    <w:rPr>
      <w:b/>
      <w:bCs/>
      <w:sz w:val="32"/>
      <w:szCs w:val="32"/>
    </w:rPr>
  </w:style>
  <w:style w:type="character" w:customStyle="1" w:styleId="239">
    <w:name w:val="Char Char20"/>
    <w:autoRedefine/>
    <w:qFormat/>
    <w:uiPriority w:val="0"/>
    <w:rPr>
      <w:bCs/>
      <w:kern w:val="2"/>
      <w:sz w:val="24"/>
      <w:szCs w:val="21"/>
    </w:rPr>
  </w:style>
  <w:style w:type="character" w:customStyle="1" w:styleId="240">
    <w:name w:val="Char Char81"/>
    <w:autoRedefine/>
    <w:qFormat/>
    <w:uiPriority w:val="0"/>
    <w:rPr>
      <w:rFonts w:ascii="宋体" w:eastAsia="宋体"/>
      <w:kern w:val="2"/>
      <w:sz w:val="18"/>
      <w:szCs w:val="18"/>
      <w:lang w:val="en-US" w:eastAsia="zh-CN" w:bidi="ar-SA"/>
    </w:rPr>
  </w:style>
  <w:style w:type="character" w:customStyle="1" w:styleId="241">
    <w:name w:val="font131"/>
    <w:autoRedefine/>
    <w:qFormat/>
    <w:uiPriority w:val="0"/>
    <w:rPr>
      <w:rFonts w:ascii="Calibri" w:hAnsi="Calibri" w:cs="Calibri"/>
      <w:color w:val="000000"/>
      <w:sz w:val="24"/>
      <w:szCs w:val="24"/>
      <w:u w:val="none"/>
    </w:rPr>
  </w:style>
  <w:style w:type="character" w:customStyle="1" w:styleId="242">
    <w:name w:val="标题5 Char Char"/>
    <w:link w:val="74"/>
    <w:autoRedefine/>
    <w:qFormat/>
    <w:uiPriority w:val="0"/>
    <w:rPr>
      <w:rFonts w:ascii="Arial" w:hAnsi="Arial"/>
      <w:b/>
      <w:bCs/>
      <w:sz w:val="24"/>
      <w:szCs w:val="32"/>
    </w:rPr>
  </w:style>
  <w:style w:type="character" w:customStyle="1" w:styleId="243">
    <w:name w:val="font121"/>
    <w:autoRedefine/>
    <w:qFormat/>
    <w:uiPriority w:val="0"/>
    <w:rPr>
      <w:rFonts w:hint="default" w:ascii="Times New Roman" w:hAnsi="Times New Roman" w:cs="Times New Roman"/>
      <w:color w:val="000000"/>
      <w:sz w:val="24"/>
      <w:szCs w:val="24"/>
      <w:u w:val="none"/>
    </w:rPr>
  </w:style>
  <w:style w:type="character" w:customStyle="1" w:styleId="244">
    <w:name w:val="font01"/>
    <w:autoRedefine/>
    <w:qFormat/>
    <w:uiPriority w:val="0"/>
    <w:rPr>
      <w:rFonts w:ascii="宋体" w:hAnsi="宋体" w:eastAsia="宋体" w:cs="宋体"/>
      <w:color w:val="000000"/>
      <w:sz w:val="24"/>
      <w:szCs w:val="24"/>
      <w:u w:val="none"/>
    </w:rPr>
  </w:style>
  <w:style w:type="character" w:customStyle="1" w:styleId="245">
    <w:name w:val="内文 Char"/>
    <w:link w:val="104"/>
    <w:autoRedefine/>
    <w:qFormat/>
    <w:uiPriority w:val="0"/>
    <w:rPr>
      <w:rFonts w:ascii="Arial" w:hAnsi="Arial" w:eastAsia="Times New Roman"/>
      <w:kern w:val="2"/>
      <w:sz w:val="21"/>
      <w:szCs w:val="24"/>
      <w:lang w:val="en-US" w:eastAsia="zh-CN" w:bidi="ar-SA"/>
    </w:rPr>
  </w:style>
  <w:style w:type="character" w:customStyle="1" w:styleId="246">
    <w:name w:val="明显引用 字符"/>
    <w:link w:val="97"/>
    <w:autoRedefine/>
    <w:qFormat/>
    <w:uiPriority w:val="0"/>
    <w:rPr>
      <w:b/>
      <w:bCs/>
      <w:i/>
      <w:iCs/>
      <w:color w:val="4F81BD"/>
      <w:kern w:val="2"/>
      <w:sz w:val="21"/>
      <w:szCs w:val="22"/>
    </w:rPr>
  </w:style>
  <w:style w:type="character" w:customStyle="1" w:styleId="247">
    <w:name w:val="textcontents"/>
    <w:autoRedefine/>
    <w:qFormat/>
    <w:uiPriority w:val="0"/>
    <w:rPr>
      <w:rFonts w:cs="Times New Roman"/>
    </w:rPr>
  </w:style>
  <w:style w:type="character" w:customStyle="1" w:styleId="248">
    <w:name w:val="EmailStyle161"/>
    <w:autoRedefine/>
    <w:qFormat/>
    <w:uiPriority w:val="0"/>
    <w:rPr>
      <w:rFonts w:ascii="Arial" w:hAnsi="Arial" w:eastAsia="宋体" w:cs="Arial"/>
      <w:color w:val="auto"/>
      <w:sz w:val="20"/>
    </w:rPr>
  </w:style>
  <w:style w:type="character" w:customStyle="1" w:styleId="249">
    <w:name w:val="日期 Char Char"/>
    <w:autoRedefine/>
    <w:qFormat/>
    <w:uiPriority w:val="0"/>
    <w:rPr>
      <w:kern w:val="2"/>
      <w:sz w:val="21"/>
      <w:szCs w:val="24"/>
      <w:lang w:bidi="ar-SA"/>
    </w:rPr>
  </w:style>
  <w:style w:type="character" w:customStyle="1" w:styleId="250">
    <w:name w:val="文档结构图 字符"/>
    <w:link w:val="16"/>
    <w:autoRedefine/>
    <w:qFormat/>
    <w:uiPriority w:val="0"/>
    <w:rPr>
      <w:kern w:val="2"/>
      <w:sz w:val="21"/>
      <w:szCs w:val="24"/>
      <w:shd w:val="clear" w:color="auto" w:fill="000080"/>
    </w:rPr>
  </w:style>
  <w:style w:type="character" w:customStyle="1" w:styleId="251">
    <w:name w:val="普通文字 Char1"/>
    <w:autoRedefine/>
    <w:qFormat/>
    <w:uiPriority w:val="0"/>
    <w:rPr>
      <w:rFonts w:ascii="宋体" w:hAnsi="Courier New" w:eastAsia="宋体"/>
      <w:kern w:val="2"/>
      <w:sz w:val="21"/>
      <w:lang w:val="en-US" w:eastAsia="zh-CN"/>
    </w:rPr>
  </w:style>
  <w:style w:type="character" w:customStyle="1" w:styleId="252">
    <w:name w:val="Char Char"/>
    <w:autoRedefine/>
    <w:qFormat/>
    <w:uiPriority w:val="0"/>
    <w:rPr>
      <w:rFonts w:ascii="宋体"/>
      <w:kern w:val="2"/>
      <w:sz w:val="18"/>
      <w:szCs w:val="18"/>
    </w:rPr>
  </w:style>
  <w:style w:type="character" w:customStyle="1" w:styleId="253">
    <w:name w:val="Default Char"/>
    <w:link w:val="69"/>
    <w:autoRedefine/>
    <w:qFormat/>
    <w:uiPriority w:val="0"/>
    <w:rPr>
      <w:rFonts w:ascii="宋体"/>
      <w:color w:val="000000"/>
      <w:sz w:val="24"/>
      <w:szCs w:val="24"/>
      <w:lang w:val="en-US" w:eastAsia="zh-CN" w:bidi="ar-SA"/>
    </w:rPr>
  </w:style>
  <w:style w:type="character" w:customStyle="1" w:styleId="254">
    <w:name w:val="标题 8 字符"/>
    <w:link w:val="10"/>
    <w:autoRedefine/>
    <w:qFormat/>
    <w:uiPriority w:val="0"/>
    <w:rPr>
      <w:rFonts w:ascii="Cambria" w:hAnsi="Cambria"/>
      <w:kern w:val="2"/>
      <w:sz w:val="24"/>
      <w:szCs w:val="24"/>
    </w:rPr>
  </w:style>
  <w:style w:type="character" w:customStyle="1" w:styleId="255">
    <w:name w:val="样式 正文文本 Char"/>
    <w:link w:val="114"/>
    <w:autoRedefine/>
    <w:qFormat/>
    <w:uiPriority w:val="0"/>
    <w:rPr>
      <w:rFonts w:ascii="Arial" w:hAnsi="Arial" w:cs="宋体"/>
      <w:color w:val="000000"/>
      <w:kern w:val="2"/>
      <w:sz w:val="21"/>
    </w:rPr>
  </w:style>
  <w:style w:type="character" w:customStyle="1" w:styleId="256">
    <w:name w:val="正文文本 字符"/>
    <w:link w:val="20"/>
    <w:autoRedefine/>
    <w:qFormat/>
    <w:uiPriority w:val="0"/>
    <w:rPr>
      <w:kern w:val="2"/>
      <w:sz w:val="21"/>
      <w:szCs w:val="24"/>
    </w:rPr>
  </w:style>
  <w:style w:type="character" w:customStyle="1" w:styleId="257">
    <w:name w:val="Char Char31"/>
    <w:autoRedefine/>
    <w:qFormat/>
    <w:uiPriority w:val="0"/>
    <w:rPr>
      <w:rFonts w:ascii="Arial" w:hAnsi="Arial" w:eastAsia="宋体"/>
      <w:b/>
      <w:bCs/>
      <w:kern w:val="2"/>
      <w:sz w:val="21"/>
      <w:szCs w:val="32"/>
      <w:lang w:val="en-US" w:eastAsia="zh-CN" w:bidi="ar-SA"/>
    </w:rPr>
  </w:style>
  <w:style w:type="character" w:customStyle="1" w:styleId="258">
    <w:name w:val="样式1 Char Char Char"/>
    <w:autoRedefine/>
    <w:qFormat/>
    <w:uiPriority w:val="0"/>
    <w:rPr>
      <w:rFonts w:ascii="Arial" w:hAnsi="Arial" w:eastAsia="宋体"/>
      <w:kern w:val="2"/>
      <w:sz w:val="21"/>
      <w:szCs w:val="24"/>
      <w:lang w:val="en-US" w:eastAsia="zh-CN" w:bidi="ar-SA"/>
    </w:rPr>
  </w:style>
  <w:style w:type="character" w:customStyle="1" w:styleId="259">
    <w:name w:val="apple-style-span"/>
    <w:basedOn w:val="54"/>
    <w:autoRedefine/>
    <w:qFormat/>
    <w:uiPriority w:val="0"/>
  </w:style>
  <w:style w:type="character" w:customStyle="1" w:styleId="260">
    <w:name w:val="批注主题 Char1"/>
    <w:autoRedefine/>
    <w:qFormat/>
    <w:uiPriority w:val="0"/>
    <w:rPr>
      <w:b/>
      <w:bCs/>
      <w:kern w:val="2"/>
      <w:sz w:val="21"/>
      <w:szCs w:val="22"/>
    </w:rPr>
  </w:style>
  <w:style w:type="character" w:customStyle="1" w:styleId="261">
    <w:name w:val="批注主题 字符"/>
    <w:link w:val="49"/>
    <w:autoRedefine/>
    <w:qFormat/>
    <w:uiPriority w:val="0"/>
    <w:rPr>
      <w:b/>
      <w:bCs/>
      <w:kern w:val="2"/>
      <w:sz w:val="21"/>
    </w:rPr>
  </w:style>
  <w:style w:type="character" w:customStyle="1" w:styleId="262">
    <w:name w:val="标题 Char2"/>
    <w:autoRedefine/>
    <w:qFormat/>
    <w:uiPriority w:val="0"/>
    <w:rPr>
      <w:rFonts w:ascii="Cambria" w:hAnsi="Cambria" w:cs="Times New Roman"/>
      <w:b/>
      <w:bCs/>
      <w:kern w:val="2"/>
      <w:sz w:val="32"/>
      <w:szCs w:val="32"/>
    </w:rPr>
  </w:style>
  <w:style w:type="character" w:customStyle="1" w:styleId="263">
    <w:name w:val="正文缩进 Char1"/>
    <w:autoRedefine/>
    <w:qFormat/>
    <w:uiPriority w:val="0"/>
    <w:rPr>
      <w:kern w:val="2"/>
      <w:sz w:val="21"/>
    </w:rPr>
  </w:style>
  <w:style w:type="character" w:customStyle="1" w:styleId="264">
    <w:name w:val="正文文本 Char2"/>
    <w:autoRedefine/>
    <w:qFormat/>
    <w:uiPriority w:val="0"/>
    <w:rPr>
      <w:rFonts w:ascii="宋体"/>
      <w:kern w:val="2"/>
      <w:sz w:val="28"/>
    </w:rPr>
  </w:style>
  <w:style w:type="character" w:customStyle="1" w:styleId="265">
    <w:name w:val="明显引用 Char1"/>
    <w:autoRedefine/>
    <w:qFormat/>
    <w:uiPriority w:val="0"/>
    <w:rPr>
      <w:b/>
      <w:bCs/>
      <w:i/>
      <w:iCs/>
      <w:color w:val="4F81BD"/>
      <w:kern w:val="2"/>
      <w:sz w:val="21"/>
      <w:szCs w:val="24"/>
    </w:rPr>
  </w:style>
  <w:style w:type="character" w:customStyle="1" w:styleId="266">
    <w:name w:val="列出段落 字符"/>
    <w:link w:val="77"/>
    <w:autoRedefine/>
    <w:qFormat/>
    <w:uiPriority w:val="0"/>
    <w:rPr>
      <w:rFonts w:ascii="Calibri" w:hAnsi="Calibri"/>
      <w:kern w:val="2"/>
      <w:sz w:val="21"/>
      <w:szCs w:val="22"/>
    </w:rPr>
  </w:style>
  <w:style w:type="character" w:customStyle="1" w:styleId="267">
    <w:name w:val="EmailStyle151"/>
    <w:autoRedefine/>
    <w:qFormat/>
    <w:uiPriority w:val="0"/>
    <w:rPr>
      <w:rFonts w:ascii="Arial" w:hAnsi="Arial" w:eastAsia="宋体" w:cs="Arial"/>
      <w:color w:val="auto"/>
      <w:sz w:val="20"/>
    </w:rPr>
  </w:style>
  <w:style w:type="character" w:customStyle="1" w:styleId="268">
    <w:name w:val="纯文本 字符"/>
    <w:link w:val="5"/>
    <w:autoRedefine/>
    <w:qFormat/>
    <w:uiPriority w:val="0"/>
    <w:rPr>
      <w:rFonts w:ascii="宋体" w:hAnsi="Courier New"/>
      <w:kern w:val="2"/>
      <w:sz w:val="21"/>
    </w:rPr>
  </w:style>
  <w:style w:type="character" w:customStyle="1" w:styleId="269">
    <w:name w:val="Char Char11"/>
    <w:autoRedefine/>
    <w:qFormat/>
    <w:uiPriority w:val="0"/>
    <w:rPr>
      <w:bCs/>
      <w:kern w:val="2"/>
      <w:sz w:val="24"/>
      <w:szCs w:val="21"/>
    </w:rPr>
  </w:style>
  <w:style w:type="character" w:customStyle="1" w:styleId="270">
    <w:name w:val="Char Char13"/>
    <w:autoRedefine/>
    <w:qFormat/>
    <w:uiPriority w:val="0"/>
    <w:rPr>
      <w:rFonts w:ascii="宋体"/>
      <w:kern w:val="2"/>
      <w:sz w:val="18"/>
      <w:szCs w:val="18"/>
    </w:rPr>
  </w:style>
  <w:style w:type="character" w:customStyle="1" w:styleId="271">
    <w:name w:val="Char Char21"/>
    <w:autoRedefine/>
    <w:qFormat/>
    <w:uiPriority w:val="0"/>
    <w:rPr>
      <w:rFonts w:ascii="Arial" w:hAnsi="Arial" w:eastAsia="黑体"/>
      <w:b/>
      <w:kern w:val="2"/>
      <w:sz w:val="32"/>
    </w:rPr>
  </w:style>
  <w:style w:type="character" w:customStyle="1" w:styleId="272">
    <w:name w:val="_Style 267"/>
    <w:autoRedefine/>
    <w:qFormat/>
    <w:uiPriority w:val="0"/>
    <w:rPr>
      <w:i/>
      <w:iCs/>
      <w:color w:val="808080"/>
    </w:rPr>
  </w:style>
  <w:style w:type="character" w:customStyle="1" w:styleId="273">
    <w:name w:val="正文文本缩进 3 字符"/>
    <w:link w:val="39"/>
    <w:autoRedefine/>
    <w:qFormat/>
    <w:uiPriority w:val="0"/>
    <w:rPr>
      <w:rFonts w:eastAsia="黑体"/>
      <w:color w:val="000000"/>
      <w:kern w:val="2"/>
      <w:sz w:val="24"/>
      <w:szCs w:val="24"/>
    </w:rPr>
  </w:style>
  <w:style w:type="character" w:customStyle="1" w:styleId="274">
    <w:name w:val="正文文本缩进 2 字符"/>
    <w:link w:val="29"/>
    <w:autoRedefine/>
    <w:qFormat/>
    <w:uiPriority w:val="0"/>
    <w:rPr>
      <w:rFonts w:ascii="宋体"/>
      <w:sz w:val="24"/>
    </w:rPr>
  </w:style>
  <w:style w:type="character" w:customStyle="1" w:styleId="275">
    <w:name w:val="纯文本 Char1"/>
    <w:autoRedefine/>
    <w:qFormat/>
    <w:uiPriority w:val="0"/>
    <w:rPr>
      <w:rFonts w:ascii="宋体" w:hAnsi="Courier New" w:cs="Courier New"/>
      <w:kern w:val="2"/>
      <w:sz w:val="21"/>
      <w:szCs w:val="21"/>
    </w:rPr>
  </w:style>
  <w:style w:type="character" w:customStyle="1" w:styleId="276">
    <w:name w:val="文档结构图 Char2"/>
    <w:autoRedefine/>
    <w:qFormat/>
    <w:uiPriority w:val="0"/>
    <w:rPr>
      <w:rFonts w:ascii="宋体"/>
      <w:kern w:val="2"/>
      <w:sz w:val="18"/>
      <w:szCs w:val="18"/>
    </w:rPr>
  </w:style>
  <w:style w:type="character" w:customStyle="1" w:styleId="277">
    <w:name w:val="Char Char71"/>
    <w:autoRedefine/>
    <w:qFormat/>
    <w:uiPriority w:val="0"/>
    <w:rPr>
      <w:rFonts w:ascii="宋体" w:hAnsi="宋体" w:eastAsia="宋体"/>
      <w:sz w:val="24"/>
      <w:szCs w:val="28"/>
      <w:lang w:val="en-US" w:eastAsia="zh-CN" w:bidi="ar-SA"/>
    </w:rPr>
  </w:style>
  <w:style w:type="character" w:customStyle="1" w:styleId="278">
    <w:name w:val="纯文本 Char"/>
    <w:autoRedefine/>
    <w:qFormat/>
    <w:uiPriority w:val="0"/>
    <w:rPr>
      <w:rFonts w:ascii="宋体" w:hAnsi="Courier New" w:eastAsia="宋体"/>
      <w:kern w:val="2"/>
      <w:sz w:val="21"/>
      <w:lang w:val="en-US" w:eastAsia="zh-CN" w:bidi="ar-SA"/>
    </w:rPr>
  </w:style>
  <w:style w:type="character" w:customStyle="1" w:styleId="279">
    <w:name w:val="标题 7 字符"/>
    <w:link w:val="9"/>
    <w:autoRedefine/>
    <w:qFormat/>
    <w:uiPriority w:val="0"/>
    <w:rPr>
      <w:rFonts w:ascii="宋体"/>
      <w:b/>
      <w:bCs/>
      <w:kern w:val="2"/>
      <w:sz w:val="28"/>
      <w:szCs w:val="28"/>
    </w:rPr>
  </w:style>
  <w:style w:type="character" w:customStyle="1" w:styleId="280">
    <w:name w:val="font41"/>
    <w:autoRedefine/>
    <w:qFormat/>
    <w:uiPriority w:val="0"/>
    <w:rPr>
      <w:rFonts w:hint="eastAsia" w:ascii="宋体" w:hAnsi="宋体" w:eastAsia="宋体" w:cs="宋体"/>
      <w:color w:val="000000"/>
      <w:sz w:val="24"/>
      <w:szCs w:val="24"/>
      <w:u w:val="none"/>
    </w:rPr>
  </w:style>
  <w:style w:type="character" w:customStyle="1" w:styleId="281">
    <w:name w:val="Char Char16"/>
    <w:autoRedefine/>
    <w:qFormat/>
    <w:uiPriority w:val="0"/>
    <w:rPr>
      <w:rFonts w:ascii="宋体" w:eastAsia="宋体"/>
      <w:b/>
      <w:bCs/>
      <w:kern w:val="2"/>
      <w:sz w:val="28"/>
      <w:szCs w:val="28"/>
      <w:lang w:val="en-US" w:eastAsia="zh-CN" w:bidi="ar-SA"/>
    </w:rPr>
  </w:style>
  <w:style w:type="character" w:customStyle="1" w:styleId="282">
    <w:name w:val="引用 Char1"/>
    <w:autoRedefine/>
    <w:qFormat/>
    <w:uiPriority w:val="0"/>
    <w:rPr>
      <w:i/>
      <w:iCs/>
      <w:color w:val="000000"/>
      <w:kern w:val="2"/>
      <w:sz w:val="21"/>
      <w:szCs w:val="24"/>
    </w:rPr>
  </w:style>
  <w:style w:type="character" w:customStyle="1" w:styleId="283">
    <w:name w:val="引用 字符"/>
    <w:link w:val="78"/>
    <w:autoRedefine/>
    <w:qFormat/>
    <w:uiPriority w:val="0"/>
    <w:rPr>
      <w:i/>
      <w:iCs/>
      <w:color w:val="000000"/>
      <w:kern w:val="2"/>
      <w:sz w:val="21"/>
      <w:szCs w:val="22"/>
    </w:rPr>
  </w:style>
  <w:style w:type="character" w:customStyle="1" w:styleId="284">
    <w:name w:val="日期 Char2"/>
    <w:autoRedefine/>
    <w:qFormat/>
    <w:uiPriority w:val="0"/>
    <w:rPr>
      <w:rFonts w:ascii="宋体"/>
      <w:kern w:val="2"/>
      <w:sz w:val="28"/>
    </w:rPr>
  </w:style>
  <w:style w:type="character" w:customStyle="1" w:styleId="285">
    <w:name w:val="未处理的提及1"/>
    <w:autoRedefine/>
    <w:unhideWhenUsed/>
    <w:qFormat/>
    <w:uiPriority w:val="99"/>
    <w:rPr>
      <w:color w:val="605E5C"/>
      <w:shd w:val="clear" w:color="auto" w:fill="E1DFDD"/>
    </w:rPr>
  </w:style>
  <w:style w:type="character" w:customStyle="1" w:styleId="286">
    <w:name w:val="_Style 282"/>
    <w:autoRedefine/>
    <w:qFormat/>
    <w:uiPriority w:val="0"/>
    <w:rPr>
      <w:smallCaps/>
      <w:color w:val="C0504D"/>
      <w:u w:val="single"/>
    </w:rPr>
  </w:style>
  <w:style w:type="character" w:customStyle="1" w:styleId="287">
    <w:name w:val="批注文字 字符"/>
    <w:link w:val="18"/>
    <w:autoRedefine/>
    <w:qFormat/>
    <w:uiPriority w:val="0"/>
    <w:rPr>
      <w:kern w:val="2"/>
      <w:sz w:val="21"/>
    </w:rPr>
  </w:style>
  <w:style w:type="character" w:customStyle="1" w:styleId="288">
    <w:name w:val="Char Char111"/>
    <w:autoRedefine/>
    <w:qFormat/>
    <w:uiPriority w:val="0"/>
    <w:rPr>
      <w:bCs/>
      <w:kern w:val="2"/>
      <w:sz w:val="24"/>
      <w:szCs w:val="21"/>
    </w:rPr>
  </w:style>
  <w:style w:type="character" w:customStyle="1" w:styleId="289">
    <w:name w:val="font11"/>
    <w:autoRedefine/>
    <w:qFormat/>
    <w:uiPriority w:val="0"/>
    <w:rPr>
      <w:rFonts w:hint="eastAsia" w:ascii="宋体" w:hAnsi="宋体" w:eastAsia="宋体" w:cs="宋体"/>
      <w:color w:val="000000"/>
      <w:sz w:val="24"/>
      <w:szCs w:val="24"/>
      <w:u w:val="none"/>
    </w:rPr>
  </w:style>
  <w:style w:type="character" w:customStyle="1" w:styleId="290">
    <w:name w:val="标题 6 字符"/>
    <w:link w:val="8"/>
    <w:autoRedefine/>
    <w:qFormat/>
    <w:uiPriority w:val="0"/>
    <w:rPr>
      <w:rFonts w:ascii="Cambria" w:hAnsi="Cambria"/>
      <w:b/>
      <w:bCs/>
      <w:kern w:val="2"/>
      <w:sz w:val="24"/>
      <w:szCs w:val="24"/>
    </w:rPr>
  </w:style>
  <w:style w:type="character" w:customStyle="1" w:styleId="291">
    <w:name w:val="正文文本首行缩进 字符"/>
    <w:link w:val="50"/>
    <w:autoRedefine/>
    <w:qFormat/>
    <w:uiPriority w:val="0"/>
    <w:rPr>
      <w:kern w:val="2"/>
      <w:sz w:val="21"/>
      <w:szCs w:val="24"/>
    </w:rPr>
  </w:style>
  <w:style w:type="character" w:customStyle="1" w:styleId="292">
    <w:name w:val="副标题 字符"/>
    <w:link w:val="35"/>
    <w:autoRedefine/>
    <w:qFormat/>
    <w:uiPriority w:val="0"/>
    <w:rPr>
      <w:rFonts w:ascii="Cambria" w:hAnsi="Cambria"/>
      <w:b/>
      <w:bCs/>
      <w:kern w:val="28"/>
      <w:sz w:val="32"/>
      <w:szCs w:val="32"/>
    </w:rPr>
  </w:style>
  <w:style w:type="character" w:customStyle="1" w:styleId="293">
    <w:name w:val="副标题 Char1"/>
    <w:autoRedefine/>
    <w:qFormat/>
    <w:uiPriority w:val="0"/>
    <w:rPr>
      <w:rFonts w:ascii="Cambria" w:hAnsi="Cambria" w:cs="Times New Roman"/>
      <w:b/>
      <w:bCs/>
      <w:kern w:val="28"/>
      <w:sz w:val="32"/>
      <w:szCs w:val="32"/>
    </w:rPr>
  </w:style>
  <w:style w:type="character" w:customStyle="1" w:styleId="294">
    <w:name w:val="htd01"/>
    <w:basedOn w:val="54"/>
    <w:autoRedefine/>
    <w:qFormat/>
    <w:uiPriority w:val="0"/>
  </w:style>
  <w:style w:type="character" w:customStyle="1" w:styleId="295">
    <w:name w:val="HTML 预设格式 字符"/>
    <w:link w:val="44"/>
    <w:autoRedefine/>
    <w:qFormat/>
    <w:uiPriority w:val="0"/>
    <w:rPr>
      <w:rFonts w:ascii="宋体" w:hAnsi="宋体" w:cs="宋体"/>
      <w:sz w:val="24"/>
      <w:szCs w:val="24"/>
    </w:rPr>
  </w:style>
  <w:style w:type="paragraph" w:styleId="296">
    <w:name w:val="List Paragraph"/>
    <w:basedOn w:val="1"/>
    <w:autoRedefine/>
    <w:qFormat/>
    <w:uiPriority w:val="99"/>
    <w:pPr>
      <w:ind w:firstLine="420" w:firstLineChars="200"/>
    </w:pPr>
  </w:style>
  <w:style w:type="character" w:customStyle="1" w:styleId="297">
    <w:name w:val="未处理的提及2"/>
    <w:basedOn w:val="54"/>
    <w:autoRedefine/>
    <w:semiHidden/>
    <w:unhideWhenUsed/>
    <w:qFormat/>
    <w:uiPriority w:val="99"/>
    <w:rPr>
      <w:color w:val="605E5C"/>
      <w:shd w:val="clear" w:color="auto" w:fill="E1DFDD"/>
    </w:rPr>
  </w:style>
  <w:style w:type="character" w:customStyle="1" w:styleId="298">
    <w:name w:val="未处理的提及3"/>
    <w:basedOn w:val="54"/>
    <w:autoRedefine/>
    <w:semiHidden/>
    <w:unhideWhenUsed/>
    <w:qFormat/>
    <w:uiPriority w:val="99"/>
    <w:rPr>
      <w:color w:val="605E5C"/>
      <w:shd w:val="clear" w:color="auto" w:fill="E1DFDD"/>
    </w:rPr>
  </w:style>
  <w:style w:type="table" w:customStyle="1" w:styleId="299">
    <w:name w:val="网格型1"/>
    <w:basedOn w:val="5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0">
    <w:name w:val="样式 首行缩进:  2 字符"/>
    <w:basedOn w:val="1"/>
    <w:qFormat/>
    <w:uiPriority w:val="0"/>
    <w:pPr>
      <w:ind w:firstLine="560"/>
    </w:pPr>
    <w:rPr>
      <w:rFonts w:eastAsia="仿宋_GB2312" w:cs="宋体"/>
      <w:sz w:val="24"/>
    </w:rPr>
  </w:style>
  <w:style w:type="paragraph" w:customStyle="1" w:styleId="301">
    <w:name w:val="正文文本缩进 21"/>
    <w:basedOn w:val="1"/>
    <w:unhideWhenUsed/>
    <w:qFormat/>
    <w:uiPriority w:val="99"/>
    <w:pPr>
      <w:spacing w:line="520" w:lineRule="exact"/>
      <w:ind w:firstLine="510"/>
    </w:pPr>
    <w:rPr>
      <w:rFonts w:ascii="华文仿宋" w:eastAsia="华文仿宋"/>
      <w:sz w:val="28"/>
      <w:szCs w:val="20"/>
    </w:rPr>
  </w:style>
  <w:style w:type="character" w:customStyle="1" w:styleId="302">
    <w:name w:val="bulletintext"/>
    <w:basedOn w:val="5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DE599-9894-452A-BFDB-C788164FC1A3}">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142</Pages>
  <Words>1514</Words>
  <Characters>1667</Characters>
  <Lines>720</Lines>
  <Paragraphs>202</Paragraphs>
  <TotalTime>2</TotalTime>
  <ScaleCrop>false</ScaleCrop>
  <LinksUpToDate>false</LinksUpToDate>
  <CharactersWithSpaces>1713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2024-04-17T09:57:00Z</dcterms:created>
  <dc:creator>leovov</dc:creator>
  <cp:lastModifiedBy>WPS_1546066216</cp:lastModifiedBy>
  <cp:lastPrinted>2020-09-02T08:54:00Z</cp:lastPrinted>
  <dcterms:modified xsi:type="dcterms:W3CDTF">2025-07-05T15:32:10Z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6D02E1EACA3E4FB99BDBD8CB4A637AD4</vt:lpwstr>
  </property>
  <property fmtid="{D5CDD505-2E9C-101B-9397-08002B2CF9AE}" pid="4" name="KSOTemplateDocerSaveRecord">
    <vt:lpwstr>eyJoZGlkIjoiOTg5N2EyMDEyZjk1OTMyMGZlNDllYjFhNWEwMTAyZjUiLCJ1c2VySWQiOiI0NTEzNzI0MzkifQ==</vt:lpwstr>
  </property>
</Properties>
</file>