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_GB2312" w:hAnsi="仿宋" w:eastAsia="仿宋_GB2312" w:cs="仿宋_GB2312"/>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杭州市临安区数据资源管理局信息化项目审计服务</w:t>
      </w:r>
    </w:p>
    <w:p>
      <w:pPr>
        <w:adjustRightInd/>
        <w:spacing w:line="360" w:lineRule="auto"/>
        <w:jc w:val="center"/>
        <w:rPr>
          <w:rFonts w:ascii="宋体" w:hAnsi="宋体" w:cs="宋体"/>
          <w:b/>
          <w:sz w:val="44"/>
          <w:szCs w:val="44"/>
        </w:rPr>
      </w:pPr>
      <w:r>
        <w:rPr>
          <w:rFonts w:hint="eastAsia" w:ascii="宋体" w:hAnsi="宋体" w:cs="宋体"/>
          <w:sz w:val="48"/>
          <w:szCs w:val="48"/>
        </w:rPr>
        <w:t>招标文件</w:t>
      </w:r>
      <w:r>
        <w:rPr>
          <w:rFonts w:hint="eastAsia" w:ascii="宋体" w:hAnsi="宋体" w:cs="宋体"/>
          <w:b/>
          <w:sz w:val="44"/>
          <w:szCs w:val="44"/>
        </w:rPr>
        <w:t>（电子招投标）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编号:ZJJA-2022003号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采购单位：杭州市临安区数据资源管理局</w:t>
      </w:r>
    </w:p>
    <w:p>
      <w:pPr>
        <w:snapToGrid w:val="0"/>
        <w:spacing w:line="360" w:lineRule="auto"/>
        <w:jc w:val="center"/>
        <w:rPr>
          <w:rFonts w:ascii="宋体" w:hAnsi="宋体" w:cs="宋体"/>
          <w:bCs/>
          <w:sz w:val="32"/>
          <w:szCs w:val="32"/>
        </w:rPr>
      </w:pPr>
      <w:r>
        <w:rPr>
          <w:rFonts w:hint="eastAsia" w:ascii="宋体" w:hAnsi="宋体" w:cs="宋体"/>
          <w:bCs/>
          <w:sz w:val="32"/>
          <w:szCs w:val="32"/>
        </w:rPr>
        <w:t>代理机构：浙江建安工程管理有限公司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二〇二二年六月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杭州市临安区数据资源管理局信息化项目审计服务</w:t>
      </w:r>
      <w:r>
        <w:rPr>
          <w:rFonts w:hint="eastAsia" w:ascii="宋体" w:hAnsi="宋体" w:cs="宋体"/>
          <w:sz w:val="24"/>
        </w:rPr>
        <w:t>招标项目的潜在投标人应在政采云</w:t>
      </w:r>
      <w:r>
        <w:rPr>
          <w:rFonts w:hint="eastAsia" w:ascii="宋体" w:hAnsi="宋体" w:cs="宋体"/>
          <w:sz w:val="24"/>
          <w:u w:val="single"/>
          <w:rPrChange w:id="0" w:author="蒋斌" w:date="2022-06-16T14:03:06Z">
            <w:rPr>
              <w:rFonts w:hint="eastAsia" w:ascii="宋体" w:hAnsi="宋体" w:cs="宋体"/>
              <w:sz w:val="24"/>
            </w:rPr>
          </w:rPrChange>
        </w:rPr>
        <w:t>平</w:t>
      </w:r>
      <w:r>
        <w:rPr>
          <w:rFonts w:hint="eastAsia" w:ascii="宋体" w:hAnsi="宋体" w:cs="宋体"/>
          <w:sz w:val="24"/>
          <w:u w:val="single"/>
          <w:rPrChange w:id="1" w:author="蒋斌" w:date="2022-06-16T14:03:01Z">
            <w:rPr>
              <w:rFonts w:hint="eastAsia" w:ascii="宋体" w:hAnsi="宋体" w:cs="宋体"/>
              <w:sz w:val="24"/>
            </w:rPr>
          </w:rPrChange>
        </w:rPr>
        <w:t>台（</w:t>
      </w:r>
      <w:r>
        <w:rPr>
          <w:rFonts w:hint="eastAsia" w:ascii="宋体" w:hAnsi="宋体" w:cs="宋体"/>
          <w:sz w:val="24"/>
          <w:u w:val="single"/>
          <w:rPrChange w:id="2" w:author="蒋斌" w:date="2022-06-16T14:03:01Z">
            <w:rPr/>
          </w:rPrChange>
        </w:rPr>
        <w:fldChar w:fldCharType="begin"/>
      </w:r>
      <w:r>
        <w:rPr>
          <w:rFonts w:hint="eastAsia" w:ascii="宋体" w:hAnsi="宋体" w:cs="宋体"/>
          <w:sz w:val="24"/>
          <w:u w:val="single"/>
          <w:rPrChange w:id="3" w:author="蒋斌" w:date="2022-06-16T14:03:01Z">
            <w:rPr/>
          </w:rPrChange>
        </w:rPr>
        <w:instrText xml:space="preserve"> HYPERLINK "https://www.zcygov.cn/）获取（下载）招标文件，并于2021年" </w:instrText>
      </w:r>
      <w:r>
        <w:rPr>
          <w:rFonts w:hint="eastAsia" w:ascii="宋体" w:hAnsi="宋体" w:cs="宋体"/>
          <w:sz w:val="24"/>
          <w:u w:val="single"/>
          <w:rPrChange w:id="4" w:author="蒋斌" w:date="2022-06-16T14:03:01Z">
            <w:rPr/>
          </w:rPrChange>
        </w:rPr>
        <w:fldChar w:fldCharType="separate"/>
      </w:r>
      <w:r>
        <w:rPr>
          <w:rStyle w:val="70"/>
          <w:rFonts w:hint="eastAsia" w:ascii="宋体" w:hAnsi="宋体" w:eastAsia="宋体" w:cs="宋体"/>
          <w:snapToGrid/>
          <w:color w:val="auto"/>
          <w:kern w:val="2"/>
          <w:sz w:val="24"/>
          <w:szCs w:val="24"/>
          <w:highlight w:val="yellow"/>
          <w:u w:val="single"/>
          <w:rPrChange w:id="5" w:author="蒋斌" w:date="2022-06-16T14:03:06Z">
            <w:rPr>
              <w:rStyle w:val="77"/>
              <w:rFonts w:hint="eastAsia" w:ascii="宋体" w:hAnsi="宋体" w:eastAsia="宋体" w:cs="宋体"/>
              <w:snapToGrid/>
              <w:color w:val="auto"/>
              <w:kern w:val="2"/>
              <w:sz w:val="24"/>
              <w:szCs w:val="24"/>
              <w:highlight w:val="yellow"/>
            </w:rPr>
          </w:rPrChange>
        </w:rPr>
        <w:t>https://www.zcygov.cn/）获取（下载）招标文件，并于</w:t>
      </w:r>
      <w:r>
        <w:rPr>
          <w:rFonts w:hint="eastAsia" w:ascii="宋体" w:hAnsi="宋体" w:cs="宋体"/>
          <w:sz w:val="24"/>
          <w:highlight w:val="none"/>
          <w:u w:val="single"/>
          <w:lang w:eastAsia="zh-CN"/>
        </w:rPr>
        <w:t>2022年7月12</w:t>
      </w:r>
      <w:r>
        <w:rPr>
          <w:rFonts w:hint="eastAsia" w:ascii="宋体" w:hAnsi="宋体" w:cs="宋体"/>
          <w:sz w:val="24"/>
          <w:highlight w:val="none"/>
          <w:u w:val="single"/>
          <w:lang w:val="en-US" w:eastAsia="zh-CN"/>
        </w:rPr>
        <w:t>日</w:t>
      </w:r>
      <w:r>
        <w:rPr>
          <w:rFonts w:hint="eastAsia" w:ascii="宋体" w:hAnsi="宋体" w:cs="宋体"/>
          <w:sz w:val="24"/>
          <w:highlight w:val="none"/>
          <w:u w:val="single"/>
          <w:rPrChange w:id="6" w:author="蒋斌" w:date="2022-06-16T14:03:01Z">
            <w:rPr>
              <w:rFonts w:hint="eastAsia" w:ascii="宋体" w:hAnsi="宋体" w:cs="宋体"/>
              <w:sz w:val="24"/>
              <w:highlight w:val="yellow"/>
              <w:u w:val="single"/>
            </w:rPr>
          </w:rPrChange>
        </w:rPr>
        <w:t>14点</w:t>
      </w:r>
      <w:r>
        <w:rPr>
          <w:rFonts w:hint="eastAsia" w:ascii="宋体" w:hAnsi="宋体" w:cs="宋体"/>
          <w:sz w:val="24"/>
          <w:highlight w:val="none"/>
          <w:u w:val="single"/>
          <w:rPrChange w:id="7" w:author="蒋斌" w:date="2022-06-16T14:03:01Z">
            <w:rPr>
              <w:rFonts w:hint="eastAsia" w:ascii="宋体" w:hAnsi="宋体" w:cs="宋体"/>
              <w:sz w:val="24"/>
              <w:highlight w:val="yellow"/>
              <w:u w:val="single"/>
            </w:rPr>
          </w:rPrChange>
        </w:rPr>
        <w:fldChar w:fldCharType="end"/>
      </w:r>
      <w:r>
        <w:rPr>
          <w:rFonts w:hint="eastAsia" w:ascii="宋体" w:hAnsi="宋体" w:cs="宋体"/>
          <w:bCs w:val="0"/>
          <w:sz w:val="24"/>
          <w:highlight w:val="none"/>
          <w:u w:val="single"/>
          <w:rPrChange w:id="8" w:author="蒋斌" w:date="2022-06-16T14:03:01Z">
            <w:rPr>
              <w:rFonts w:hint="eastAsia" w:ascii="宋体" w:hAnsi="宋体" w:cs="宋体"/>
              <w:bCs/>
              <w:sz w:val="24"/>
              <w:highlight w:val="yellow"/>
            </w:rPr>
          </w:rPrChange>
        </w:rPr>
        <w:t>（</w:t>
      </w:r>
      <w:r>
        <w:rPr>
          <w:rFonts w:hint="eastAsia" w:ascii="宋体" w:hAnsi="宋体" w:cs="宋体"/>
          <w:bCs w:val="0"/>
          <w:sz w:val="24"/>
          <w:u w:val="single"/>
          <w:rPrChange w:id="9" w:author="蒋斌" w:date="2022-06-16T14:03:01Z">
            <w:rPr>
              <w:rFonts w:hint="eastAsia" w:ascii="宋体" w:hAnsi="宋体" w:cs="宋体"/>
              <w:bCs/>
              <w:sz w:val="24"/>
            </w:rPr>
          </w:rPrChange>
        </w:rPr>
        <w:t>北京时</w:t>
      </w:r>
      <w:r>
        <w:rPr>
          <w:rFonts w:hint="eastAsia" w:ascii="宋体" w:hAnsi="宋体" w:cs="宋体"/>
          <w:bCs w:val="0"/>
          <w:sz w:val="24"/>
          <w:u w:val="single"/>
          <w:rPrChange w:id="10" w:author="蒋斌" w:date="2022-06-16T14:03:06Z">
            <w:rPr>
              <w:rFonts w:hint="eastAsia" w:ascii="宋体" w:hAnsi="宋体" w:cs="宋体"/>
              <w:bCs/>
              <w:sz w:val="24"/>
            </w:rPr>
          </w:rPrChange>
        </w:rPr>
        <w:t>间</w:t>
      </w:r>
      <w:r>
        <w:rPr>
          <w:rFonts w:hint="eastAsia" w:ascii="宋体" w:hAnsi="宋体" w:cs="宋体"/>
          <w:bCs/>
          <w:sz w:val="24"/>
        </w:rPr>
        <w:t>）前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sz w:val="24"/>
        </w:rPr>
      </w:pPr>
      <w:r>
        <w:rPr>
          <w:rFonts w:hint="eastAsia" w:ascii="宋体" w:hAnsi="宋体" w:cs="宋体"/>
          <w:b/>
          <w:sz w:val="24"/>
        </w:rPr>
        <w:t>项目编号：</w:t>
      </w:r>
      <w:r>
        <w:rPr>
          <w:rFonts w:hint="eastAsia" w:ascii="宋体" w:hAnsi="宋体" w:cs="宋体"/>
          <w:sz w:val="24"/>
        </w:rPr>
        <w:t>ZJJA-2022003号</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杭州市临安区数据资源管理局信息化项目审计服务</w:t>
      </w:r>
    </w:p>
    <w:p>
      <w:pPr>
        <w:spacing w:line="360" w:lineRule="auto"/>
        <w:ind w:firstLine="480"/>
        <w:rPr>
          <w:rFonts w:ascii="宋体" w:hAnsi="宋体" w:cs="宋体"/>
          <w:sz w:val="24"/>
        </w:rPr>
      </w:pPr>
      <w:r>
        <w:rPr>
          <w:rFonts w:hint="eastAsia" w:ascii="宋体" w:hAnsi="宋体" w:cs="宋体"/>
          <w:b/>
          <w:sz w:val="24"/>
        </w:rPr>
        <w:t>预算金额（元）：</w:t>
      </w:r>
      <w:r>
        <w:rPr>
          <w:rFonts w:hint="eastAsia" w:ascii="宋体" w:hAnsi="宋体" w:cs="宋体"/>
          <w:sz w:val="24"/>
        </w:rPr>
        <w:t>500000</w:t>
      </w:r>
    </w:p>
    <w:p>
      <w:pPr>
        <w:pStyle w:val="6"/>
        <w:spacing w:line="360" w:lineRule="auto"/>
        <w:ind w:firstLine="480"/>
        <w:rPr>
          <w:rFonts w:hAnsi="宋体" w:cs="宋体"/>
          <w:sz w:val="24"/>
        </w:rPr>
      </w:pPr>
      <w:r>
        <w:rPr>
          <w:rFonts w:hint="eastAsia" w:hAnsi="宋体" w:cs="宋体"/>
          <w:b/>
          <w:sz w:val="24"/>
        </w:rPr>
        <w:t>最高限价（元）：</w:t>
      </w:r>
      <w:r>
        <w:rPr>
          <w:rFonts w:hint="eastAsia" w:hAnsi="宋体" w:cs="宋体"/>
          <w:sz w:val="24"/>
        </w:rPr>
        <w:t>500000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杭州市临安区数据资源管理局信息化项目审计服务主要内容详见招标文件第三部分采购需求。</w:t>
      </w:r>
    </w:p>
    <w:p>
      <w:pPr>
        <w:pStyle w:val="129"/>
        <w:ind w:firstLine="482"/>
        <w:outlineLvl w:val="2"/>
        <w:rPr>
          <w:rFonts w:hint="eastAsia" w:ascii="宋体" w:hAnsi="宋体" w:cs="宋体"/>
          <w:bCs/>
          <w:color w:val="000000" w:themeColor="text1"/>
          <w:szCs w:val="24"/>
          <w:highlight w:val="none"/>
          <w:rPrChange w:id="11" w:author="蒋斌" w:date="2022-06-16T14:03:30Z">
            <w:rPr>
              <w:rFonts w:ascii="宋体" w:hAnsi="宋体" w:cs="宋体"/>
              <w:highlight w:val="yellow"/>
            </w:rPr>
          </w:rPrChange>
          <w14:textFill>
            <w14:solidFill>
              <w14:schemeClr w14:val="tx1"/>
            </w14:solidFill>
          </w14:textFill>
        </w:rPr>
      </w:pPr>
      <w:r>
        <w:rPr>
          <w:rFonts w:hint="eastAsia" w:ascii="宋体" w:hAnsi="宋体" w:cs="宋体"/>
          <w:b w:val="0"/>
          <w:bCs/>
          <w:color w:val="000000" w:themeColor="text1"/>
          <w:szCs w:val="24"/>
          <w:highlight w:val="none"/>
          <w:rPrChange w:id="12" w:author="蒋斌" w:date="2022-06-16T14:03:30Z">
            <w:rPr>
              <w:rFonts w:hint="eastAsia" w:ascii="宋体" w:hAnsi="宋体" w:cs="宋体"/>
              <w:b/>
              <w:highlight w:val="yellow"/>
            </w:rPr>
          </w:rPrChange>
          <w14:textFill>
            <w14:solidFill>
              <w14:schemeClr w14:val="tx1"/>
            </w14:solidFill>
          </w14:textFill>
        </w:rPr>
        <w:t>合同履约期限：自合同签订之日起一年</w:t>
      </w:r>
    </w:p>
    <w:p>
      <w:pPr>
        <w:pStyle w:val="6"/>
        <w:spacing w:line="360" w:lineRule="auto"/>
        <w:ind w:firstLine="48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lang w:eastAsia="zh-CN"/>
        </w:rPr>
        <w:t>2022年7月12</w:t>
      </w:r>
      <w:r>
        <w:rPr>
          <w:rFonts w:hint="eastAsia" w:ascii="宋体" w:hAnsi="宋体" w:cs="宋体"/>
          <w:sz w:val="24"/>
          <w:highlight w:val="none"/>
          <w:u w:val="single"/>
          <w:lang w:val="en-US" w:eastAsia="zh-CN"/>
        </w:rPr>
        <w:t>日</w:t>
      </w:r>
      <w:r>
        <w:rPr>
          <w:rFonts w:hint="eastAsia" w:ascii="宋体" w:hAnsi="宋体" w:cs="宋体"/>
          <w:sz w:val="24"/>
          <w:highlight w:val="none"/>
          <w:u w:val="single"/>
          <w:rPrChange w:id="13" w:author="蒋斌" w:date="2022-06-16T14:03:01Z">
            <w:rPr>
              <w:rFonts w:hint="eastAsia" w:ascii="宋体" w:hAnsi="宋体" w:cs="宋体"/>
              <w:sz w:val="24"/>
              <w:highlight w:val="yellow"/>
              <w:u w:val="single"/>
            </w:rPr>
          </w:rPrChange>
        </w:rPr>
        <w:t>14点</w:t>
      </w:r>
      <w:r>
        <w:rPr>
          <w:rFonts w:hint="eastAsia" w:ascii="宋体" w:hAnsi="宋体" w:cs="宋体"/>
          <w:sz w:val="24"/>
          <w:highlight w:val="yellow"/>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highlight w:val="yellow"/>
          <w:u w:val="single"/>
        </w:rPr>
        <w:t xml:space="preserve"> </w:t>
      </w:r>
      <w:r>
        <w:rPr>
          <w:rFonts w:hint="eastAsia" w:ascii="宋体" w:hAnsi="宋体" w:cs="宋体"/>
          <w:sz w:val="24"/>
          <w:highlight w:val="none"/>
          <w:u w:val="single"/>
          <w:lang w:eastAsia="zh-CN"/>
        </w:rPr>
        <w:t>2022年7月12</w:t>
      </w:r>
      <w:r>
        <w:rPr>
          <w:rFonts w:hint="eastAsia" w:ascii="宋体" w:hAnsi="宋体" w:cs="宋体"/>
          <w:sz w:val="24"/>
          <w:highlight w:val="none"/>
          <w:u w:val="single"/>
          <w:lang w:val="en-US" w:eastAsia="zh-CN"/>
        </w:rPr>
        <w:t>日</w:t>
      </w:r>
      <w:r>
        <w:rPr>
          <w:rFonts w:hint="eastAsia" w:ascii="宋体" w:hAnsi="宋体" w:cs="宋体"/>
          <w:sz w:val="24"/>
          <w:highlight w:val="none"/>
          <w:u w:val="single"/>
          <w:rPrChange w:id="14" w:author="蒋斌" w:date="2022-06-16T14:03:01Z">
            <w:rPr>
              <w:rFonts w:hint="eastAsia" w:ascii="宋体" w:hAnsi="宋体" w:cs="宋体"/>
              <w:sz w:val="24"/>
              <w:highlight w:val="yellow"/>
              <w:u w:val="single"/>
            </w:rPr>
          </w:rPrChange>
        </w:rPr>
        <w:t>14点</w:t>
      </w:r>
      <w:r>
        <w:rPr>
          <w:rFonts w:hint="eastAsia" w:ascii="宋体" w:hAnsi="宋体" w:cs="宋体"/>
          <w:bCs/>
          <w:sz w:val="24"/>
          <w:highlight w:val="yellow"/>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u w:val="single"/>
        </w:rPr>
      </w:pPr>
      <w:r>
        <w:rPr>
          <w:rFonts w:hint="eastAsia" w:ascii="宋体" w:hAnsi="宋体" w:cs="宋体"/>
          <w:b/>
          <w:sz w:val="24"/>
        </w:rPr>
        <w:t>开标时间：</w:t>
      </w:r>
      <w:r>
        <w:rPr>
          <w:rFonts w:hint="eastAsia" w:ascii="宋体" w:hAnsi="宋体" w:cs="宋体"/>
          <w:sz w:val="24"/>
          <w:highlight w:val="none"/>
          <w:u w:val="single"/>
          <w:lang w:eastAsia="zh-CN"/>
        </w:rPr>
        <w:t>2022年7月12</w:t>
      </w:r>
      <w:r>
        <w:rPr>
          <w:rFonts w:hint="eastAsia" w:ascii="宋体" w:hAnsi="宋体" w:cs="宋体"/>
          <w:sz w:val="24"/>
          <w:highlight w:val="none"/>
          <w:u w:val="single"/>
          <w:lang w:val="en-US" w:eastAsia="zh-CN"/>
        </w:rPr>
        <w:t>日</w:t>
      </w:r>
      <w:r>
        <w:rPr>
          <w:rFonts w:hint="eastAsia" w:ascii="宋体" w:hAnsi="宋体" w:cs="宋体"/>
          <w:sz w:val="24"/>
          <w:highlight w:val="none"/>
          <w:u w:val="single"/>
          <w:rPrChange w:id="15" w:author="蒋斌" w:date="2022-06-16T14:03:01Z">
            <w:rPr>
              <w:rFonts w:hint="eastAsia" w:ascii="宋体" w:hAnsi="宋体" w:cs="宋体"/>
              <w:sz w:val="24"/>
              <w:highlight w:val="yellow"/>
              <w:u w:val="single"/>
            </w:rPr>
          </w:rPrChange>
        </w:rPr>
        <w:t>14点</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bookmarkStart w:id="553" w:name="_GoBack"/>
      <w:bookmarkEnd w:id="553"/>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称：杭州市临安区数据资源管理局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val="en-US" w:eastAsia="zh-CN"/>
          <w14:textFill>
            <w14:solidFill>
              <w14:schemeClr w14:val="tx1"/>
            </w14:solidFill>
          </w14:textFill>
        </w:rPr>
        <w:t>杭州市临安区市民中心2号楼</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蒋斌</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56958001</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方忠平</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63700016</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rPr>
          <w:rFonts w:ascii="宋体" w:hAnsi="宋体" w:cs="宋体"/>
          <w:sz w:val="24"/>
        </w:rPr>
      </w:pPr>
      <w:r>
        <w:rPr>
          <w:rFonts w:hint="eastAsia" w:ascii="宋体" w:hAnsi="宋体" w:cs="宋体"/>
          <w:sz w:val="24"/>
        </w:rPr>
        <w:t>名    称：浙江建安工程管理有限公司</w:t>
      </w:r>
    </w:p>
    <w:p>
      <w:pPr>
        <w:spacing w:line="360" w:lineRule="auto"/>
        <w:rPr>
          <w:rFonts w:ascii="宋体" w:hAnsi="宋体" w:cs="宋体"/>
          <w:sz w:val="24"/>
        </w:rPr>
      </w:pPr>
      <w:r>
        <w:rPr>
          <w:rFonts w:hint="eastAsia" w:ascii="宋体" w:hAnsi="宋体" w:cs="宋体"/>
          <w:sz w:val="24"/>
        </w:rPr>
        <w:t>地    址：杭州市临安区锦南街道锦天路卦畈小区7幢2单元2楼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项目联系人（询问）：潘水红</w:t>
      </w:r>
    </w:p>
    <w:p>
      <w:pPr>
        <w:spacing w:line="360" w:lineRule="auto"/>
        <w:rPr>
          <w:rFonts w:ascii="宋体" w:hAnsi="宋体" w:cs="宋体"/>
          <w:sz w:val="24"/>
        </w:rPr>
      </w:pPr>
      <w:r>
        <w:rPr>
          <w:rFonts w:hint="eastAsia" w:ascii="宋体" w:hAnsi="宋体" w:cs="宋体"/>
          <w:sz w:val="24"/>
        </w:rPr>
        <w:t>项目联系方式（询问）：13777447901</w:t>
      </w:r>
    </w:p>
    <w:p>
      <w:pPr>
        <w:spacing w:line="360" w:lineRule="auto"/>
        <w:rPr>
          <w:rFonts w:ascii="宋体" w:hAnsi="宋体" w:cs="宋体"/>
          <w:sz w:val="24"/>
        </w:rPr>
      </w:pPr>
      <w:r>
        <w:rPr>
          <w:rFonts w:hint="eastAsia" w:ascii="宋体" w:hAnsi="宋体" w:cs="宋体"/>
          <w:sz w:val="24"/>
        </w:rPr>
        <w:t xml:space="preserve">    质疑联系人： 王程晨</w:t>
      </w:r>
    </w:p>
    <w:p>
      <w:pPr>
        <w:spacing w:line="360" w:lineRule="auto"/>
        <w:rPr>
          <w:rFonts w:ascii="宋体" w:hAnsi="宋体" w:cs="宋体"/>
          <w:sz w:val="24"/>
        </w:rPr>
      </w:pPr>
      <w:r>
        <w:rPr>
          <w:rFonts w:hint="eastAsia" w:ascii="宋体" w:hAnsi="宋体" w:cs="宋体"/>
          <w:sz w:val="24"/>
        </w:rPr>
        <w:t>质疑联系方式：15867136270</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名    称：杭州市临安区财政局政府采购监督管理科            </w:t>
      </w:r>
    </w:p>
    <w:p>
      <w:pPr>
        <w:spacing w:line="360" w:lineRule="auto"/>
        <w:rPr>
          <w:rFonts w:ascii="宋体" w:hAnsi="宋体" w:cs="宋体"/>
          <w:sz w:val="24"/>
        </w:rPr>
      </w:pPr>
      <w:r>
        <w:rPr>
          <w:rFonts w:hint="eastAsia" w:ascii="宋体" w:hAnsi="宋体" w:cs="宋体"/>
          <w:sz w:val="24"/>
        </w:rPr>
        <w:t xml:space="preserve">地    址：杭州市临安区临天路1950号            </w:t>
      </w:r>
    </w:p>
    <w:p>
      <w:pPr>
        <w:spacing w:line="360" w:lineRule="auto"/>
        <w:rPr>
          <w:rFonts w:ascii="宋体" w:hAnsi="宋体" w:cs="宋体"/>
          <w:sz w:val="24"/>
        </w:rPr>
      </w:pPr>
      <w:r>
        <w:rPr>
          <w:rFonts w:hint="eastAsia" w:ascii="宋体" w:hAnsi="宋体" w:cs="宋体"/>
          <w:sz w:val="24"/>
        </w:rPr>
        <w:t xml:space="preserve">传    真：0571-63722886            </w:t>
      </w:r>
    </w:p>
    <w:p>
      <w:pPr>
        <w:spacing w:line="360" w:lineRule="auto"/>
        <w:rPr>
          <w:rFonts w:ascii="宋体" w:hAnsi="宋体" w:cs="宋体"/>
          <w:sz w:val="24"/>
        </w:rPr>
      </w:pPr>
      <w:r>
        <w:rPr>
          <w:rFonts w:hint="eastAsia" w:ascii="宋体" w:hAnsi="宋体" w:cs="宋体"/>
          <w:sz w:val="24"/>
        </w:rPr>
        <w:t xml:space="preserve">联系人 ：喻工             </w:t>
      </w:r>
    </w:p>
    <w:p>
      <w:pPr>
        <w:spacing w:line="360" w:lineRule="auto"/>
        <w:rPr>
          <w:rFonts w:ascii="宋体" w:hAnsi="宋体" w:cs="宋体"/>
          <w:sz w:val="24"/>
        </w:rPr>
      </w:pPr>
      <w:r>
        <w:rPr>
          <w:rFonts w:hint="eastAsia" w:ascii="宋体" w:hAnsi="宋体" w:cs="宋体"/>
          <w:sz w:val="24"/>
        </w:rPr>
        <w:t xml:space="preserve">监督投诉电话：0571-61073953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ind w:firstLine="480" w:firstLineChars="200"/>
        <w:rPr>
          <w:rFonts w:hAnsi="宋体" w:cs="宋体"/>
          <w:sz w:val="24"/>
          <w:szCs w:val="24"/>
        </w:rPr>
      </w:pPr>
      <w:r>
        <w:rPr>
          <w:rFonts w:hint="eastAsia" w:hAnsi="宋体" w:cs="宋体"/>
          <w:sz w:val="24"/>
        </w:rPr>
        <w:t xml:space="preserve">                              </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sdt>
              <w:sdtPr>
                <w:rPr>
                  <w:rFonts w:hint="eastAsia" w:ascii="宋体" w:hAnsi="宋体" w:cs="宋体"/>
                  <w:kern w:val="0"/>
                  <w:sz w:val="24"/>
                </w:rPr>
                <w:id w:val="4748855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rPr>
            </w:pPr>
            <w:r>
              <w:rPr>
                <w:rFonts w:hint="eastAsia" w:ascii="宋体" w:hAnsi="宋体" w:cs="宋体"/>
                <w:kern w:val="0"/>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kern w:val="0"/>
                <w:sz w:val="24"/>
                <w:lang w:val="en-US"/>
              </w:rPr>
            </w:pPr>
            <w:r>
              <w:rPr>
                <w:rFonts w:hint="eastAsia" w:ascii="宋体" w:hAnsi="宋体" w:cs="宋体"/>
                <w:kern w:val="0"/>
                <w:sz w:val="24"/>
              </w:rPr>
              <w:t>（1）标的：杭州市临安区数据资源管理局信息化项目审计服务 ，属于</w:t>
            </w:r>
            <w:r>
              <w:rPr>
                <w:rFonts w:hint="eastAsia" w:ascii="宋体" w:hAnsi="宋体" w:cs="宋体"/>
                <w:kern w:val="0"/>
                <w:sz w:val="24"/>
                <w:lang w:val="en-US" w:eastAsia="zh-CN"/>
              </w:rPr>
              <w:t>审计</w:t>
            </w:r>
            <w:r>
              <w:rPr>
                <w:rFonts w:hint="eastAsia" w:ascii="宋体" w:hAnsi="宋体" w:cs="宋体"/>
                <w:kern w:val="0"/>
                <w:sz w:val="24"/>
              </w:rPr>
              <w:t>服务行业；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备份投标文件送达地点：临安区锦天路866号浙江建安工程管理有限公司二楼；备份投标文件签收人员联系电话：</w:t>
            </w:r>
            <w:r>
              <w:rPr>
                <w:rFonts w:hint="eastAsia" w:hAnsi="宋体" w:cs="宋体"/>
                <w:sz w:val="24"/>
                <w:u w:val="single"/>
              </w:rPr>
              <w:t xml:space="preserve"> 15867136270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无</w:t>
            </w:r>
            <w:r>
              <w:rPr>
                <w:rFonts w:hint="eastAsia" w:ascii="宋体" w:hAnsi="宋体" w:cs="宋体"/>
                <w:b/>
                <w:kern w:val="0"/>
                <w:sz w:val="24"/>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7"/>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highlight w:val="yellow"/>
        </w:rPr>
      </w:pPr>
      <w:r>
        <w:rPr>
          <w:rFonts w:hint="eastAsia" w:ascii="宋体" w:hAnsi="宋体" w:cs="宋体"/>
          <w:sz w:val="24"/>
          <w:highlight w:val="yellow"/>
        </w:rPr>
        <w:t>11.1.2落实政府采购政策需满足的资格要求</w:t>
      </w:r>
      <w:r>
        <w:rPr>
          <w:rFonts w:hint="eastAsia" w:ascii="宋体" w:hAnsi="宋体" w:cs="宋体"/>
          <w:sz w:val="24"/>
          <w:highlight w:val="yellow"/>
          <w:lang w:eastAsia="zh-CN"/>
        </w:rPr>
        <w:t>，</w:t>
      </w:r>
      <w:r>
        <w:rPr>
          <w:rFonts w:hint="eastAsia" w:ascii="宋体" w:hAnsi="宋体" w:cs="宋体"/>
          <w:sz w:val="24"/>
          <w:highlight w:val="yellow"/>
          <w:lang w:val="en-US" w:eastAsia="zh-CN"/>
        </w:rPr>
        <w:t>并</w:t>
      </w:r>
      <w:r>
        <w:rPr>
          <w:rFonts w:hint="eastAsia" w:ascii="宋体" w:hAnsi="宋体" w:cs="宋体"/>
          <w:sz w:val="24"/>
          <w:highlight w:val="yellow"/>
          <w:lang w:eastAsia="zh-CN"/>
        </w:rPr>
        <w:t>提供相关证明材料</w:t>
      </w:r>
      <w:r>
        <w:rPr>
          <w:rFonts w:hint="eastAsia" w:ascii="宋体" w:hAnsi="宋体" w:cs="宋体"/>
          <w:sz w:val="24"/>
          <w:highlight w:val="yellow"/>
        </w:rPr>
        <w:t>；</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403820"/>
      <w:bookmarkEnd w:id="15"/>
      <w:bookmarkStart w:id="16" w:name="_Hlt75236101"/>
      <w:bookmarkEnd w:id="16"/>
      <w:bookmarkStart w:id="17" w:name="_Hlt68072990"/>
      <w:bookmarkEnd w:id="17"/>
      <w:bookmarkStart w:id="18" w:name="_Hlt75236011"/>
      <w:bookmarkEnd w:id="18"/>
      <w:bookmarkStart w:id="19" w:name="_Hlt68072998"/>
      <w:bookmarkEnd w:id="19"/>
      <w:bookmarkStart w:id="20" w:name="_Hlt68057669"/>
      <w:bookmarkEnd w:id="20"/>
      <w:bookmarkStart w:id="21" w:name="_Hlt74714665"/>
      <w:bookmarkEnd w:id="21"/>
      <w:bookmarkStart w:id="22" w:name="_Hlt68073093"/>
      <w:bookmarkEnd w:id="22"/>
      <w:bookmarkStart w:id="23" w:name="_Hlt74730295"/>
      <w:bookmarkEnd w:id="23"/>
      <w:bookmarkStart w:id="24" w:name="_Hlt75236290"/>
      <w:bookmarkEnd w:id="24"/>
      <w:bookmarkStart w:id="25" w:name="_Hlt74729768"/>
      <w:bookmarkEnd w:id="25"/>
    </w:p>
    <w:bookmarkEnd w:id="11"/>
    <w:bookmarkEnd w:id="12"/>
    <w:p>
      <w:pPr>
        <w:spacing w:line="360" w:lineRule="auto"/>
        <w:jc w:val="center"/>
        <w:outlineLvl w:val="0"/>
        <w:rPr>
          <w:rFonts w:ascii="宋体" w:hAnsi="宋体" w:cs="宋体"/>
          <w:snapToGrid w:val="0"/>
          <w:kern w:val="0"/>
          <w:sz w:val="24"/>
        </w:rPr>
      </w:pPr>
      <w:bookmarkStart w:id="26" w:name="第四部分"/>
      <w:r>
        <w:rPr>
          <w:rFonts w:hint="eastAsia" w:ascii="宋体" w:hAnsi="宋体" w:cs="宋体"/>
          <w:b/>
          <w:sz w:val="36"/>
          <w:szCs w:val="36"/>
        </w:rPr>
        <w:t>第三部分   采购需求</w:t>
      </w:r>
    </w:p>
    <w:p>
      <w:pPr>
        <w:pStyle w:val="58"/>
        <w:widowControl w:val="0"/>
        <w:numPr>
          <w:ilvl w:val="0"/>
          <w:numId w:val="1"/>
        </w:numPr>
        <w:spacing w:before="120" w:beforeAutospacing="0" w:after="120" w:afterAutospacing="0" w:line="500" w:lineRule="exact"/>
        <w:ind w:firstLine="482" w:firstLineChars="200"/>
        <w:jc w:val="both"/>
        <w:outlineLvl w:val="0"/>
        <w:rPr>
          <w:rFonts w:cs="宋体"/>
          <w:b/>
          <w:bCs/>
        </w:rPr>
      </w:pPr>
      <w:r>
        <w:rPr>
          <w:rFonts w:hint="eastAsia" w:cs="宋体"/>
          <w:b/>
          <w:bCs/>
        </w:rPr>
        <w:t>项目概况</w:t>
      </w:r>
    </w:p>
    <w:p>
      <w:pPr>
        <w:spacing w:line="560" w:lineRule="exact"/>
        <w:ind w:firstLine="480" w:firstLineChars="200"/>
        <w:rPr>
          <w:rFonts w:ascii="宋体" w:hAnsi="宋体" w:cs="宋体"/>
          <w:kern w:val="0"/>
          <w:sz w:val="24"/>
        </w:rPr>
      </w:pPr>
      <w:r>
        <w:rPr>
          <w:rFonts w:hint="eastAsia" w:ascii="宋体" w:hAnsi="宋体" w:cs="宋体"/>
          <w:kern w:val="0"/>
          <w:sz w:val="24"/>
        </w:rPr>
        <w:t>（一）项目名称</w:t>
      </w:r>
      <w:r>
        <w:rPr>
          <w:rFonts w:hint="eastAsia" w:ascii="宋体" w:hAnsi="宋体" w:cs="宋体"/>
          <w:kern w:val="0"/>
          <w:sz w:val="24"/>
          <w:lang w:eastAsia="zh-CN"/>
        </w:rPr>
        <w:t>：</w:t>
      </w:r>
      <w:r>
        <w:rPr>
          <w:rFonts w:hint="eastAsia" w:ascii="宋体" w:hAnsi="宋体" w:cs="宋体"/>
          <w:kern w:val="0"/>
          <w:sz w:val="24"/>
        </w:rPr>
        <w:t>杭州市临安区数据资源管理局信息化项目审计服务。</w:t>
      </w:r>
    </w:p>
    <w:p>
      <w:pPr>
        <w:spacing w:line="560" w:lineRule="exact"/>
        <w:ind w:firstLine="480" w:firstLineChars="200"/>
        <w:rPr>
          <w:rFonts w:ascii="宋体" w:hAnsi="宋体" w:cs="宋体"/>
          <w:kern w:val="0"/>
          <w:sz w:val="24"/>
        </w:rPr>
      </w:pPr>
      <w:r>
        <w:rPr>
          <w:rFonts w:hint="eastAsia" w:ascii="宋体" w:hAnsi="宋体" w:cs="宋体"/>
          <w:kern w:val="0"/>
          <w:sz w:val="24"/>
        </w:rPr>
        <w:t>（二）需求概述</w:t>
      </w:r>
      <w:r>
        <w:rPr>
          <w:rFonts w:hint="eastAsia" w:ascii="宋体" w:hAnsi="宋体" w:cs="宋体"/>
          <w:kern w:val="0"/>
          <w:sz w:val="24"/>
          <w:lang w:eastAsia="zh-CN"/>
        </w:rPr>
        <w:t>：</w:t>
      </w:r>
      <w:r>
        <w:rPr>
          <w:rFonts w:hint="eastAsia" w:ascii="宋体" w:hAnsi="宋体" w:cs="宋体"/>
          <w:kern w:val="0"/>
          <w:sz w:val="24"/>
        </w:rPr>
        <w:t>本项目采购内容为杭州市临安区数据资源管理局</w:t>
      </w:r>
      <w:r>
        <w:rPr>
          <w:rFonts w:ascii="宋体" w:hAnsi="宋体" w:cs="宋体"/>
          <w:kern w:val="0"/>
          <w:sz w:val="24"/>
        </w:rPr>
        <w:t>2019</w:t>
      </w:r>
      <w:r>
        <w:rPr>
          <w:rFonts w:hint="eastAsia" w:ascii="宋体" w:hAnsi="宋体" w:cs="宋体"/>
          <w:kern w:val="0"/>
          <w:sz w:val="24"/>
        </w:rPr>
        <w:t>年、</w:t>
      </w:r>
      <w:r>
        <w:rPr>
          <w:rFonts w:ascii="宋体" w:hAnsi="宋体" w:cs="宋体"/>
          <w:kern w:val="0"/>
          <w:sz w:val="24"/>
        </w:rPr>
        <w:t>2020</w:t>
      </w:r>
      <w:r>
        <w:rPr>
          <w:rFonts w:hint="eastAsia" w:ascii="宋体" w:hAnsi="宋体" w:cs="宋体"/>
          <w:kern w:val="0"/>
          <w:sz w:val="24"/>
        </w:rPr>
        <w:t>年、</w:t>
      </w:r>
      <w:r>
        <w:rPr>
          <w:rFonts w:ascii="宋体" w:hAnsi="宋体" w:cs="宋体"/>
          <w:kern w:val="0"/>
          <w:sz w:val="24"/>
        </w:rPr>
        <w:t>2021</w:t>
      </w:r>
      <w:r>
        <w:rPr>
          <w:rFonts w:hint="eastAsia" w:ascii="宋体" w:hAnsi="宋体" w:cs="宋体"/>
          <w:kern w:val="0"/>
          <w:sz w:val="24"/>
        </w:rPr>
        <w:t>年已验收信息化项目（共计</w:t>
      </w:r>
      <w:r>
        <w:rPr>
          <w:rFonts w:ascii="宋体" w:hAnsi="宋体" w:cs="宋体"/>
          <w:kern w:val="0"/>
          <w:sz w:val="24"/>
        </w:rPr>
        <w:t>87</w:t>
      </w:r>
      <w:r>
        <w:rPr>
          <w:rFonts w:hint="eastAsia" w:ascii="宋体" w:hAnsi="宋体" w:cs="宋体"/>
          <w:kern w:val="0"/>
          <w:sz w:val="24"/>
        </w:rPr>
        <w:t>个）审计服务，具体内容包含项目前期工作审计、建设过程审计、项目系统运行情况审计、资金管理审计及其他相关工作，项目预算（最高限价）</w:t>
      </w:r>
      <w:r>
        <w:rPr>
          <w:rFonts w:ascii="宋体" w:hAnsi="宋体" w:cs="宋体"/>
          <w:kern w:val="0"/>
          <w:sz w:val="24"/>
        </w:rPr>
        <w:t>50</w:t>
      </w:r>
      <w:r>
        <w:rPr>
          <w:rFonts w:hint="eastAsia" w:ascii="宋体" w:hAnsi="宋体" w:cs="宋体"/>
          <w:kern w:val="0"/>
          <w:sz w:val="24"/>
        </w:rPr>
        <w:t>万元。</w:t>
      </w:r>
    </w:p>
    <w:p>
      <w:pPr>
        <w:pStyle w:val="58"/>
        <w:widowControl w:val="0"/>
        <w:numPr>
          <w:ilvl w:val="0"/>
          <w:numId w:val="1"/>
        </w:numPr>
        <w:spacing w:before="120" w:beforeAutospacing="0" w:after="120" w:afterAutospacing="0" w:line="500" w:lineRule="exact"/>
        <w:ind w:firstLine="482" w:firstLineChars="200"/>
        <w:jc w:val="both"/>
        <w:outlineLvl w:val="0"/>
        <w:rPr>
          <w:rFonts w:cs="宋体"/>
          <w:b/>
          <w:bCs/>
        </w:rPr>
      </w:pPr>
      <w:r>
        <w:rPr>
          <w:rFonts w:hint="eastAsia" w:cs="宋体"/>
          <w:b/>
          <w:bCs/>
        </w:rPr>
        <w:t>审计服务范围及内容</w:t>
      </w:r>
    </w:p>
    <w:p>
      <w:pPr>
        <w:pStyle w:val="58"/>
        <w:widowControl w:val="0"/>
        <w:numPr>
          <w:ilvl w:val="0"/>
          <w:numId w:val="2"/>
        </w:numPr>
        <w:spacing w:before="0" w:beforeAutospacing="0" w:after="0" w:afterAutospacing="0" w:line="560" w:lineRule="exact"/>
        <w:ind w:firstLine="480" w:firstLineChars="200"/>
        <w:jc w:val="both"/>
        <w:rPr>
          <w:rFonts w:cs="宋体"/>
        </w:rPr>
      </w:pPr>
      <w:r>
        <w:rPr>
          <w:rFonts w:hint="eastAsia" w:cs="宋体"/>
        </w:rPr>
        <w:t>审计服务范围</w:t>
      </w:r>
    </w:p>
    <w:p>
      <w:pPr>
        <w:pStyle w:val="58"/>
        <w:widowControl w:val="0"/>
        <w:spacing w:before="0" w:beforeAutospacing="0" w:after="0" w:afterAutospacing="0" w:line="560" w:lineRule="exact"/>
        <w:ind w:firstLine="480" w:firstLineChars="200"/>
        <w:jc w:val="both"/>
        <w:rPr>
          <w:rFonts w:cs="宋体"/>
        </w:rPr>
      </w:pPr>
      <w:r>
        <w:rPr>
          <w:rFonts w:hint="eastAsia" w:cs="宋体"/>
        </w:rPr>
        <w:t>杭州市临安区数据资源管理局</w:t>
      </w:r>
      <w:r>
        <w:rPr>
          <w:rFonts w:cs="宋体"/>
        </w:rPr>
        <w:t>2019</w:t>
      </w:r>
      <w:r>
        <w:rPr>
          <w:rFonts w:hint="eastAsia" w:cs="宋体"/>
        </w:rPr>
        <w:t>年、</w:t>
      </w:r>
      <w:r>
        <w:rPr>
          <w:rFonts w:cs="宋体"/>
        </w:rPr>
        <w:t>2020</w:t>
      </w:r>
      <w:r>
        <w:rPr>
          <w:rFonts w:hint="eastAsia" w:cs="宋体"/>
        </w:rPr>
        <w:t>年、</w:t>
      </w:r>
      <w:r>
        <w:rPr>
          <w:rFonts w:cs="宋体"/>
        </w:rPr>
        <w:t>2021</w:t>
      </w:r>
      <w:r>
        <w:rPr>
          <w:rFonts w:hint="eastAsia" w:cs="宋体"/>
        </w:rPr>
        <w:t>年已验收的</w:t>
      </w:r>
      <w:r>
        <w:rPr>
          <w:rFonts w:cs="宋体"/>
        </w:rPr>
        <w:t>87</w:t>
      </w:r>
      <w:r>
        <w:rPr>
          <w:rFonts w:hint="eastAsia" w:cs="宋体"/>
        </w:rPr>
        <w:t>个信息化项目进行审计，并出具专项审计报告。</w:t>
      </w:r>
    </w:p>
    <w:p>
      <w:pPr>
        <w:pStyle w:val="58"/>
        <w:widowControl w:val="0"/>
        <w:numPr>
          <w:ilvl w:val="0"/>
          <w:numId w:val="2"/>
        </w:numPr>
        <w:spacing w:before="0" w:beforeAutospacing="0" w:after="0" w:afterAutospacing="0" w:line="560" w:lineRule="exact"/>
        <w:ind w:firstLine="480" w:firstLineChars="200"/>
        <w:jc w:val="both"/>
        <w:rPr>
          <w:rFonts w:cs="宋体"/>
        </w:rPr>
      </w:pPr>
      <w:r>
        <w:rPr>
          <w:rFonts w:hint="eastAsia" w:cs="宋体"/>
        </w:rPr>
        <w:t>审计服务内容</w:t>
      </w:r>
    </w:p>
    <w:p>
      <w:pPr>
        <w:pStyle w:val="58"/>
        <w:widowControl w:val="0"/>
        <w:spacing w:before="0" w:beforeAutospacing="0" w:after="0" w:afterAutospacing="0" w:line="560" w:lineRule="exact"/>
        <w:ind w:firstLine="480" w:firstLineChars="200"/>
        <w:jc w:val="both"/>
        <w:rPr>
          <w:rFonts w:cs="宋体"/>
        </w:rPr>
      </w:pPr>
      <w:r>
        <w:rPr>
          <w:rFonts w:hint="eastAsia" w:cs="宋体"/>
        </w:rPr>
        <w:t>围绕信息化项目采购、建设、应用、协同、安全保障等，通过对项目采购情况、合同管理和执行情况、建设管理情况、变更情况、索赔情况（若有）、进度款支付情况、项目完工验收情况、数据管理情况、系统运维情况等进行审计工作，在上述审计工作基础上明确存在的问题，提出整改清单，有针对性地提出项目管理、流程优化和财务管理等方面的建议。</w:t>
      </w:r>
    </w:p>
    <w:p>
      <w:pPr>
        <w:pStyle w:val="58"/>
        <w:widowControl w:val="0"/>
        <w:numPr>
          <w:ilvl w:val="0"/>
          <w:numId w:val="2"/>
        </w:numPr>
        <w:spacing w:before="0" w:beforeAutospacing="0" w:after="0" w:afterAutospacing="0" w:line="560" w:lineRule="exact"/>
        <w:ind w:firstLine="480" w:firstLineChars="200"/>
        <w:jc w:val="both"/>
        <w:rPr>
          <w:rFonts w:cs="宋体"/>
        </w:rPr>
      </w:pPr>
      <w:r>
        <w:rPr>
          <w:rFonts w:hint="eastAsia" w:cs="宋体"/>
        </w:rPr>
        <w:t>审计成果</w:t>
      </w:r>
    </w:p>
    <w:p>
      <w:pPr>
        <w:pStyle w:val="58"/>
        <w:widowControl w:val="0"/>
        <w:spacing w:before="0" w:beforeAutospacing="0" w:after="0" w:afterAutospacing="0" w:line="560" w:lineRule="exact"/>
        <w:ind w:firstLine="480" w:firstLineChars="200"/>
        <w:jc w:val="both"/>
        <w:rPr>
          <w:rFonts w:cs="宋体"/>
        </w:rPr>
      </w:pPr>
      <w:r>
        <w:rPr>
          <w:rFonts w:hint="eastAsia" w:cs="宋体"/>
        </w:rPr>
        <w:t>审计工作完成后提交《信息化项目专项审计报告》《审计整改清单》。</w:t>
      </w:r>
    </w:p>
    <w:p>
      <w:pPr>
        <w:pStyle w:val="58"/>
        <w:widowControl w:val="0"/>
        <w:numPr>
          <w:ilvl w:val="0"/>
          <w:numId w:val="1"/>
        </w:numPr>
        <w:spacing w:before="120" w:beforeAutospacing="0" w:after="120" w:afterAutospacing="0" w:line="500" w:lineRule="exact"/>
        <w:ind w:firstLine="482" w:firstLineChars="200"/>
        <w:jc w:val="both"/>
        <w:outlineLvl w:val="0"/>
        <w:rPr>
          <w:rFonts w:cs="宋体"/>
          <w:b/>
          <w:bCs/>
        </w:rPr>
      </w:pPr>
      <w:r>
        <w:rPr>
          <w:rFonts w:hint="eastAsia" w:cs="宋体"/>
          <w:b/>
          <w:bCs/>
        </w:rPr>
        <w:t>审计服务要求</w:t>
      </w:r>
    </w:p>
    <w:p>
      <w:pPr>
        <w:spacing w:line="560" w:lineRule="exact"/>
        <w:ind w:firstLine="480" w:firstLineChars="200"/>
        <w:rPr>
          <w:rFonts w:ascii="宋体" w:hAnsi="宋体" w:cs="宋体"/>
          <w:kern w:val="0"/>
          <w:sz w:val="24"/>
        </w:rPr>
      </w:pPr>
      <w:r>
        <w:rPr>
          <w:rFonts w:hint="eastAsia" w:ascii="宋体" w:hAnsi="宋体" w:cs="宋体"/>
          <w:kern w:val="0"/>
          <w:sz w:val="24"/>
        </w:rPr>
        <w:t>（一）服务要求</w:t>
      </w:r>
    </w:p>
    <w:p>
      <w:pPr>
        <w:spacing w:line="56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按要求进行审计，出具审计报告，保证审计意见的真实性、合法性；</w:t>
      </w:r>
    </w:p>
    <w:p>
      <w:pPr>
        <w:spacing w:line="56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保证送审资料的安全完整，保证领用数和归还数一致；</w:t>
      </w:r>
    </w:p>
    <w:p>
      <w:pPr>
        <w:spacing w:line="560" w:lineRule="exact"/>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客观公正依法审计，遵守审计纪律和职业道德；</w:t>
      </w:r>
    </w:p>
    <w:p>
      <w:pPr>
        <w:spacing w:line="560" w:lineRule="exact"/>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项目档案应全部交还采购人，成交供应商不得留存；</w:t>
      </w:r>
    </w:p>
    <w:p>
      <w:pPr>
        <w:spacing w:line="560" w:lineRule="exact"/>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成交供应商在执行审计业务时，严格执行审计“八不准”工作纪律，对于违反“八不准”工作纪律者，视情节轻重作出处理；对负有领导责任的，予以追究，采购人有权要求更换审计人员或更换全体审计项目班子。</w:t>
      </w:r>
    </w:p>
    <w:p>
      <w:pPr>
        <w:spacing w:line="560" w:lineRule="exact"/>
        <w:ind w:firstLine="480" w:firstLineChars="200"/>
        <w:rPr>
          <w:rFonts w:ascii="宋体" w:hAnsi="宋体" w:cs="宋体"/>
          <w:kern w:val="0"/>
          <w:sz w:val="24"/>
        </w:rPr>
      </w:pPr>
      <w:r>
        <w:rPr>
          <w:rFonts w:ascii="宋体" w:hAnsi="宋体" w:cs="宋体"/>
          <w:kern w:val="0"/>
          <w:sz w:val="24"/>
        </w:rPr>
        <w:t>6.</w:t>
      </w:r>
      <w:r>
        <w:rPr>
          <w:rFonts w:hint="eastAsia" w:ascii="宋体" w:hAnsi="宋体" w:cs="宋体"/>
          <w:kern w:val="0"/>
          <w:sz w:val="24"/>
        </w:rPr>
        <w:t>成交供应商应当具备与其从事的审计工作相适应的专业知识和业务能力；</w:t>
      </w:r>
    </w:p>
    <w:p>
      <w:pPr>
        <w:spacing w:line="560" w:lineRule="exact"/>
        <w:ind w:firstLine="480" w:firstLineChars="200"/>
        <w:rPr>
          <w:rFonts w:ascii="宋体" w:hAnsi="宋体" w:cs="宋体"/>
          <w:kern w:val="0"/>
          <w:sz w:val="24"/>
        </w:rPr>
      </w:pPr>
      <w:r>
        <w:rPr>
          <w:rFonts w:ascii="宋体" w:hAnsi="宋体" w:cs="宋体"/>
          <w:kern w:val="0"/>
          <w:sz w:val="24"/>
        </w:rPr>
        <w:t>7.</w:t>
      </w:r>
      <w:r>
        <w:rPr>
          <w:rFonts w:hint="eastAsia" w:ascii="宋体" w:hAnsi="宋体" w:cs="宋体"/>
          <w:kern w:val="0"/>
          <w:sz w:val="24"/>
        </w:rPr>
        <w:t>成交供应商必须与采购人签订保密协议，并在实际服务过程中，对采购人、建设单位、施工单位提供的所有信息承担保密责任，投标人对其拟派本项目审计人员的泄密行为承担连带法律责任。</w:t>
      </w:r>
    </w:p>
    <w:p>
      <w:pPr>
        <w:spacing w:line="560" w:lineRule="exact"/>
        <w:ind w:firstLine="480" w:firstLineChars="200"/>
        <w:rPr>
          <w:rFonts w:ascii="宋体" w:hAnsi="宋体" w:cs="宋体"/>
          <w:kern w:val="0"/>
          <w:sz w:val="24"/>
        </w:rPr>
      </w:pPr>
      <w:r>
        <w:rPr>
          <w:rFonts w:hint="eastAsia" w:ascii="宋体" w:hAnsi="宋体" w:cs="宋体"/>
          <w:kern w:val="0"/>
          <w:sz w:val="24"/>
        </w:rPr>
        <w:t>（二）程序要求</w:t>
      </w:r>
    </w:p>
    <w:p>
      <w:pPr>
        <w:pStyle w:val="58"/>
        <w:widowControl w:val="0"/>
        <w:autoSpaceDE w:val="0"/>
        <w:spacing w:before="0" w:beforeAutospacing="0" w:after="0" w:afterAutospacing="0" w:line="560" w:lineRule="exact"/>
        <w:ind w:firstLine="480" w:firstLineChars="200"/>
        <w:jc w:val="both"/>
        <w:rPr>
          <w:rFonts w:cs="宋体"/>
        </w:rPr>
      </w:pPr>
      <w:r>
        <w:rPr>
          <w:rFonts w:cs="宋体"/>
        </w:rPr>
        <w:t>1</w:t>
      </w:r>
      <w:r>
        <w:rPr>
          <w:rFonts w:hint="eastAsia" w:cs="宋体"/>
        </w:rPr>
        <w:t>、开展审计工作前，审计单位应根据项目的具体情况，向采购人提交项目审计工作方案，经采购人审核同意后实施。</w:t>
      </w:r>
    </w:p>
    <w:p>
      <w:pPr>
        <w:pStyle w:val="58"/>
        <w:widowControl w:val="0"/>
        <w:autoSpaceDE w:val="0"/>
        <w:spacing w:before="0" w:beforeAutospacing="0" w:after="0" w:afterAutospacing="0" w:line="560" w:lineRule="exact"/>
        <w:ind w:firstLine="480" w:firstLineChars="200"/>
        <w:jc w:val="both"/>
        <w:rPr>
          <w:rFonts w:cs="宋体"/>
        </w:rPr>
      </w:pPr>
      <w:r>
        <w:rPr>
          <w:rFonts w:cs="宋体"/>
        </w:rPr>
        <w:t>2</w:t>
      </w:r>
      <w:r>
        <w:rPr>
          <w:rFonts w:hint="eastAsia" w:cs="宋体"/>
        </w:rPr>
        <w:t>、开展审计过程中，应依照规定组织开展审计工作：</w:t>
      </w:r>
    </w:p>
    <w:p>
      <w:pPr>
        <w:pStyle w:val="58"/>
        <w:widowControl w:val="0"/>
        <w:spacing w:before="0" w:beforeAutospacing="0" w:after="0" w:afterAutospacing="0" w:line="560" w:lineRule="exact"/>
        <w:ind w:firstLine="480" w:firstLineChars="200"/>
        <w:jc w:val="both"/>
        <w:rPr>
          <w:rFonts w:cs="宋体"/>
        </w:rPr>
      </w:pPr>
      <w:r>
        <w:rPr>
          <w:rFonts w:hint="eastAsia" w:cs="宋体"/>
        </w:rPr>
        <w:t>（</w:t>
      </w:r>
      <w:r>
        <w:rPr>
          <w:rFonts w:cs="宋体"/>
        </w:rPr>
        <w:t>1</w:t>
      </w:r>
      <w:r>
        <w:rPr>
          <w:rFonts w:hint="eastAsia" w:cs="宋体"/>
        </w:rPr>
        <w:t>）审计单位应及时向采购人汇报审计进度及阶段性汇总情况，遇到重大问题应及时向采购人报告。</w:t>
      </w:r>
    </w:p>
    <w:p>
      <w:pPr>
        <w:pStyle w:val="58"/>
        <w:widowControl w:val="0"/>
        <w:spacing w:before="0" w:beforeAutospacing="0" w:after="0" w:afterAutospacing="0" w:line="560" w:lineRule="exact"/>
        <w:ind w:firstLine="480" w:firstLineChars="200"/>
        <w:jc w:val="both"/>
        <w:rPr>
          <w:rFonts w:cs="宋体"/>
        </w:rPr>
      </w:pPr>
      <w:r>
        <w:rPr>
          <w:rFonts w:hint="eastAsia" w:cs="宋体"/>
        </w:rPr>
        <w:t>（</w:t>
      </w:r>
      <w:r>
        <w:rPr>
          <w:rFonts w:cs="宋体"/>
        </w:rPr>
        <w:t>2</w:t>
      </w:r>
      <w:r>
        <w:rPr>
          <w:rFonts w:hint="eastAsia" w:cs="宋体"/>
        </w:rPr>
        <w:t>）在审计实施过程中，审计单位应按采购人要求与项目建设单位、施工单位做好审计资料的交接和签收工作，需要核对的事项，应按采购人要求与项目建设单位、施工单位进行核对并做好相应的核对记录和工作底稿。</w:t>
      </w:r>
    </w:p>
    <w:p>
      <w:pPr>
        <w:pStyle w:val="58"/>
        <w:widowControl w:val="0"/>
        <w:spacing w:before="0" w:beforeAutospacing="0" w:after="0" w:afterAutospacing="0" w:line="560" w:lineRule="exact"/>
        <w:ind w:firstLine="480" w:firstLineChars="200"/>
        <w:jc w:val="both"/>
        <w:rPr>
          <w:rFonts w:cs="宋体"/>
        </w:rPr>
      </w:pPr>
      <w:r>
        <w:rPr>
          <w:rFonts w:hint="eastAsia" w:cs="宋体"/>
        </w:rPr>
        <w:t>（</w:t>
      </w:r>
      <w:r>
        <w:rPr>
          <w:rFonts w:cs="宋体"/>
        </w:rPr>
        <w:t>3</w:t>
      </w:r>
      <w:r>
        <w:rPr>
          <w:rFonts w:hint="eastAsia" w:cs="宋体"/>
        </w:rPr>
        <w:t>）审计成果文件提交时间：按照采购人要求执行。</w:t>
      </w:r>
    </w:p>
    <w:p>
      <w:pPr>
        <w:pStyle w:val="58"/>
        <w:widowControl w:val="0"/>
        <w:spacing w:before="0" w:beforeAutospacing="0" w:after="0" w:afterAutospacing="0" w:line="560" w:lineRule="exact"/>
        <w:ind w:firstLine="480" w:firstLineChars="200"/>
        <w:jc w:val="both"/>
        <w:rPr>
          <w:rFonts w:cs="宋体"/>
        </w:rPr>
      </w:pPr>
      <w:r>
        <w:rPr>
          <w:rFonts w:hint="eastAsia" w:cs="宋体"/>
        </w:rPr>
        <w:t>（</w:t>
      </w:r>
      <w:r>
        <w:rPr>
          <w:rFonts w:cs="宋体"/>
        </w:rPr>
        <w:t>4</w:t>
      </w:r>
      <w:r>
        <w:rPr>
          <w:rFonts w:hint="eastAsia" w:cs="宋体"/>
        </w:rPr>
        <w:t>）考虑到项目涉密要求，审计单位在审计服务全部结束后，应提交审计成果文件纸质文本，并附相应电子文档。同时将审计工作底稿等全部工作记录和文件资料，交采购人存档，不得随意保留或外泄。</w:t>
      </w:r>
    </w:p>
    <w:p>
      <w:pPr>
        <w:spacing w:line="560" w:lineRule="exact"/>
        <w:ind w:firstLine="480" w:firstLineChars="200"/>
        <w:rPr>
          <w:rFonts w:ascii="宋体" w:hAnsi="宋体" w:cs="宋体"/>
          <w:kern w:val="0"/>
          <w:sz w:val="24"/>
        </w:rPr>
      </w:pPr>
      <w:r>
        <w:rPr>
          <w:rFonts w:hint="eastAsia" w:ascii="宋体" w:hAnsi="宋体" w:cs="宋体"/>
          <w:kern w:val="0"/>
          <w:sz w:val="24"/>
        </w:rPr>
        <w:t>（三）审计成效要求</w:t>
      </w:r>
    </w:p>
    <w:p>
      <w:pPr>
        <w:pStyle w:val="58"/>
        <w:widowControl w:val="0"/>
        <w:spacing w:before="0" w:after="120" w:afterAutospacing="0"/>
        <w:ind w:firstLine="640"/>
        <w:jc w:val="both"/>
        <w:rPr>
          <w:rFonts w:cs="宋体"/>
        </w:rPr>
      </w:pPr>
      <w:r>
        <w:rPr>
          <w:rFonts w:cs="宋体"/>
        </w:rPr>
        <w:t>1.</w:t>
      </w:r>
      <w:r>
        <w:rPr>
          <w:rFonts w:hint="eastAsia" w:cs="宋体"/>
        </w:rPr>
        <w:t>审计规范性要求：审计过程中，应保证审计方案、取证单、审计工作底稿、审计报告、审计档案等内容的规范性；</w:t>
      </w:r>
    </w:p>
    <w:p>
      <w:pPr>
        <w:pStyle w:val="58"/>
        <w:widowControl w:val="0"/>
        <w:spacing w:before="0" w:after="120" w:afterAutospacing="0"/>
        <w:ind w:firstLine="640"/>
        <w:jc w:val="both"/>
        <w:rPr>
          <w:rFonts w:cs="宋体"/>
        </w:rPr>
      </w:pPr>
      <w:r>
        <w:rPr>
          <w:rFonts w:cs="宋体"/>
        </w:rPr>
        <w:t>2.</w:t>
      </w:r>
      <w:r>
        <w:rPr>
          <w:rFonts w:hint="eastAsia" w:cs="宋体"/>
        </w:rPr>
        <w:t>审计成效性要求：审计完成后，应提交审计结果、问题线索、审计整改清单、审计创新成果等方面的成效文件。</w:t>
      </w:r>
    </w:p>
    <w:p>
      <w:pPr>
        <w:pStyle w:val="58"/>
        <w:widowControl w:val="0"/>
        <w:spacing w:before="0" w:after="120" w:afterAutospacing="0"/>
        <w:ind w:firstLine="640"/>
        <w:jc w:val="both"/>
        <w:rPr>
          <w:rFonts w:cs="宋体"/>
        </w:rPr>
      </w:pPr>
      <w:r>
        <w:rPr>
          <w:rFonts w:cs="宋体"/>
        </w:rPr>
        <w:t>3.</w:t>
      </w:r>
      <w:r>
        <w:rPr>
          <w:rFonts w:hint="eastAsia" w:cs="宋体"/>
        </w:rPr>
        <w:t>审计单位应积极协助采购人完成各项目审计整改清单的整改检查工作。</w:t>
      </w:r>
    </w:p>
    <w:p>
      <w:pPr>
        <w:pStyle w:val="58"/>
        <w:widowControl w:val="0"/>
        <w:spacing w:before="0" w:after="120" w:afterAutospacing="0"/>
        <w:ind w:firstLine="640"/>
        <w:jc w:val="both"/>
        <w:rPr>
          <w:rFonts w:cs="宋体"/>
        </w:rPr>
      </w:pPr>
      <w:r>
        <w:rPr>
          <w:rFonts w:cs="宋体"/>
        </w:rPr>
        <w:t>4.</w:t>
      </w:r>
      <w:r>
        <w:rPr>
          <w:rFonts w:hint="eastAsia" w:cs="宋体"/>
        </w:rPr>
        <w:t>审计单位应协助采购人完成审计项目案例整理工作。</w:t>
      </w:r>
    </w:p>
    <w:p>
      <w:pPr>
        <w:spacing w:line="560" w:lineRule="exact"/>
        <w:ind w:firstLine="480" w:firstLineChars="200"/>
        <w:rPr>
          <w:rFonts w:ascii="宋体" w:hAnsi="宋体" w:cs="宋体"/>
          <w:kern w:val="0"/>
          <w:sz w:val="24"/>
        </w:rPr>
      </w:pPr>
      <w:r>
        <w:rPr>
          <w:rFonts w:hint="eastAsia" w:ascii="宋体" w:hAnsi="宋体" w:cs="宋体"/>
          <w:kern w:val="0"/>
          <w:sz w:val="24"/>
        </w:rPr>
        <w:t>（四）工期要求</w:t>
      </w:r>
    </w:p>
    <w:p>
      <w:pPr>
        <w:pStyle w:val="58"/>
        <w:widowControl w:val="0"/>
        <w:spacing w:before="0" w:beforeAutospacing="0" w:after="0" w:afterAutospacing="0" w:line="560" w:lineRule="exact"/>
        <w:ind w:firstLine="480" w:firstLineChars="200"/>
        <w:jc w:val="both"/>
        <w:rPr>
          <w:rFonts w:cs="宋体"/>
        </w:rPr>
      </w:pPr>
      <w:r>
        <w:rPr>
          <w:rFonts w:hint="eastAsia" w:cs="宋体"/>
        </w:rPr>
        <w:t>服务期：本项目服务期为审计工作开展至合同约定所有审计任务完成并交付审计报告为止。</w:t>
      </w:r>
    </w:p>
    <w:p>
      <w:pPr>
        <w:pStyle w:val="58"/>
        <w:widowControl w:val="0"/>
        <w:numPr>
          <w:ilvl w:val="0"/>
          <w:numId w:val="1"/>
        </w:numPr>
        <w:spacing w:before="120" w:beforeAutospacing="0" w:after="120" w:afterAutospacing="0" w:line="500" w:lineRule="exact"/>
        <w:ind w:firstLine="482" w:firstLineChars="200"/>
        <w:jc w:val="both"/>
        <w:outlineLvl w:val="0"/>
        <w:rPr>
          <w:rFonts w:cs="宋体"/>
          <w:b/>
          <w:bCs/>
        </w:rPr>
      </w:pPr>
      <w:r>
        <w:rPr>
          <w:rFonts w:hint="eastAsia" w:cs="宋体"/>
          <w:b/>
          <w:bCs/>
        </w:rPr>
        <w:t>付款条件</w:t>
      </w:r>
    </w:p>
    <w:p>
      <w:pPr>
        <w:pStyle w:val="58"/>
        <w:widowControl w:val="0"/>
        <w:spacing w:before="0" w:beforeAutospacing="0" w:after="0" w:afterAutospacing="0" w:line="560" w:lineRule="exact"/>
        <w:ind w:firstLine="480" w:firstLineChars="200"/>
        <w:jc w:val="both"/>
        <w:rPr>
          <w:rFonts w:cs="宋体"/>
        </w:rPr>
      </w:pPr>
      <w:r>
        <w:rPr>
          <w:rFonts w:hint="eastAsia" w:cs="宋体"/>
        </w:rPr>
        <w:t>合同签订后支付</w:t>
      </w:r>
      <w:r>
        <w:rPr>
          <w:rFonts w:cs="宋体"/>
        </w:rPr>
        <w:t>40%</w:t>
      </w:r>
      <w:r>
        <w:rPr>
          <w:rFonts w:hint="eastAsia" w:cs="宋体"/>
        </w:rPr>
        <w:t>的项目合同款，出具报告</w:t>
      </w:r>
      <w:r>
        <w:rPr>
          <w:rFonts w:hint="eastAsia" w:cs="宋体"/>
          <w:lang w:val="en-US" w:eastAsia="zh-CN"/>
        </w:rPr>
        <w:t>验收合格</w:t>
      </w:r>
      <w:r>
        <w:rPr>
          <w:rFonts w:hint="eastAsia" w:cs="宋体"/>
        </w:rPr>
        <w:t>后支付</w:t>
      </w:r>
      <w:r>
        <w:rPr>
          <w:rFonts w:cs="宋体"/>
        </w:rPr>
        <w:t>60%</w:t>
      </w:r>
      <w:r>
        <w:rPr>
          <w:rFonts w:hint="eastAsia" w:cs="宋体"/>
        </w:rPr>
        <w:t>的项目合同款。</w:t>
      </w:r>
    </w:p>
    <w:p>
      <w:pPr>
        <w:snapToGrid w:val="0"/>
        <w:spacing w:line="360" w:lineRule="auto"/>
        <w:jc w:val="center"/>
        <w:rPr>
          <w:rFonts w:ascii="宋体" w:hAnsi="宋体" w:cs="宋体"/>
          <w:b/>
          <w:sz w:val="36"/>
          <w:szCs w:val="36"/>
        </w:rPr>
      </w:pPr>
      <w:r>
        <w:rPr>
          <w:rFonts w:hint="eastAsia" w:ascii="宋体" w:hAnsi="宋体" w:cs="宋体"/>
          <w:kern w:val="0"/>
          <w:sz w:val="24"/>
        </w:rPr>
        <w:br w:type="page"/>
      </w:r>
      <w:r>
        <w:rPr>
          <w:rFonts w:hint="eastAsia" w:ascii="宋体" w:hAnsi="宋体" w:cs="宋体"/>
          <w:b/>
          <w:sz w:val="36"/>
          <w:szCs w:val="36"/>
        </w:rPr>
        <w:t xml:space="preserve">第四部分   </w:t>
      </w:r>
      <w:bookmarkStart w:id="27" w:name="_Toc184314455"/>
      <w:bookmarkEnd w:id="27"/>
      <w:bookmarkStart w:id="28" w:name="_Toc184312115"/>
      <w:bookmarkEnd w:id="28"/>
      <w:bookmarkStart w:id="29" w:name="_Toc184313303"/>
      <w:bookmarkEnd w:id="29"/>
      <w:bookmarkStart w:id="30" w:name="_Toc184310293"/>
      <w:bookmarkEnd w:id="30"/>
      <w:bookmarkStart w:id="31" w:name="_Toc184312074"/>
      <w:bookmarkEnd w:id="31"/>
      <w:bookmarkStart w:id="32" w:name="_Toc184313306"/>
      <w:bookmarkEnd w:id="32"/>
      <w:bookmarkStart w:id="33" w:name="_Toc184314413"/>
      <w:bookmarkEnd w:id="33"/>
      <w:bookmarkStart w:id="34" w:name="_Toc184314458"/>
      <w:bookmarkEnd w:id="34"/>
      <w:bookmarkStart w:id="35" w:name="_Toc184313307"/>
      <w:bookmarkEnd w:id="35"/>
      <w:bookmarkStart w:id="36" w:name="_Toc184312068"/>
      <w:bookmarkEnd w:id="36"/>
      <w:bookmarkStart w:id="37" w:name="_Toc184314446"/>
      <w:bookmarkEnd w:id="37"/>
      <w:bookmarkStart w:id="38" w:name="_Toc184314429"/>
      <w:bookmarkEnd w:id="38"/>
      <w:bookmarkStart w:id="39" w:name="_Toc184308081"/>
      <w:bookmarkEnd w:id="39"/>
      <w:bookmarkStart w:id="40" w:name="_Toc184314431"/>
      <w:bookmarkEnd w:id="40"/>
      <w:bookmarkStart w:id="41" w:name="_Toc184313251"/>
      <w:bookmarkEnd w:id="41"/>
      <w:bookmarkStart w:id="42" w:name="_Toc184310292"/>
      <w:bookmarkEnd w:id="42"/>
      <w:bookmarkStart w:id="43" w:name="_Toc184312095"/>
      <w:bookmarkEnd w:id="43"/>
      <w:bookmarkStart w:id="44" w:name="_Toc184310310"/>
      <w:bookmarkEnd w:id="44"/>
      <w:bookmarkStart w:id="45" w:name="_Toc184313263"/>
      <w:bookmarkEnd w:id="45"/>
      <w:bookmarkStart w:id="46" w:name="_Toc184313283"/>
      <w:bookmarkEnd w:id="46"/>
      <w:bookmarkStart w:id="47" w:name="_Toc184310322"/>
      <w:bookmarkEnd w:id="47"/>
      <w:bookmarkStart w:id="48" w:name="_Toc184310317"/>
      <w:bookmarkEnd w:id="48"/>
      <w:bookmarkStart w:id="49" w:name="_Toc184312069"/>
      <w:bookmarkEnd w:id="49"/>
      <w:bookmarkStart w:id="50" w:name="_Toc184310281"/>
      <w:bookmarkEnd w:id="50"/>
      <w:bookmarkStart w:id="51" w:name="_Toc184312112"/>
      <w:bookmarkEnd w:id="51"/>
      <w:bookmarkStart w:id="52" w:name="_Toc184314459"/>
      <w:bookmarkEnd w:id="52"/>
      <w:bookmarkStart w:id="53" w:name="_Toc184314443"/>
      <w:bookmarkEnd w:id="53"/>
      <w:bookmarkStart w:id="54" w:name="_Toc184314430"/>
      <w:bookmarkEnd w:id="54"/>
      <w:bookmarkStart w:id="55" w:name="_Toc184308055"/>
      <w:bookmarkEnd w:id="55"/>
      <w:bookmarkStart w:id="56" w:name="_Toc184308054"/>
      <w:bookmarkEnd w:id="56"/>
      <w:bookmarkStart w:id="57" w:name="_Toc184312117"/>
      <w:bookmarkEnd w:id="57"/>
      <w:bookmarkStart w:id="58" w:name="_Toc184308053"/>
      <w:bookmarkEnd w:id="58"/>
      <w:bookmarkStart w:id="59" w:name="_Toc184314478"/>
      <w:bookmarkEnd w:id="59"/>
      <w:bookmarkStart w:id="60" w:name="_Toc184313267"/>
      <w:bookmarkEnd w:id="60"/>
      <w:bookmarkStart w:id="61" w:name="_Toc184308056"/>
      <w:bookmarkEnd w:id="61"/>
      <w:bookmarkStart w:id="62" w:name="_Toc184314428"/>
      <w:bookmarkEnd w:id="62"/>
      <w:bookmarkStart w:id="63" w:name="_Toc184310275"/>
      <w:bookmarkEnd w:id="63"/>
      <w:bookmarkStart w:id="64" w:name="_Toc184310298"/>
      <w:bookmarkEnd w:id="64"/>
      <w:bookmarkStart w:id="65" w:name="_Toc184313273"/>
      <w:bookmarkEnd w:id="65"/>
      <w:bookmarkStart w:id="66" w:name="_Toc184314434"/>
      <w:bookmarkEnd w:id="66"/>
      <w:bookmarkStart w:id="67" w:name="_Toc184308067"/>
      <w:bookmarkEnd w:id="67"/>
      <w:bookmarkStart w:id="68" w:name="_Toc184314454"/>
      <w:bookmarkEnd w:id="68"/>
      <w:bookmarkStart w:id="69" w:name="_Toc184313280"/>
      <w:bookmarkEnd w:id="69"/>
      <w:bookmarkStart w:id="70" w:name="_Toc184312084"/>
      <w:bookmarkEnd w:id="70"/>
      <w:bookmarkStart w:id="71" w:name="_Toc184313256"/>
      <w:bookmarkEnd w:id="71"/>
      <w:bookmarkStart w:id="72" w:name="_Toc184308061"/>
      <w:bookmarkEnd w:id="72"/>
      <w:bookmarkStart w:id="73" w:name="_Toc184310296"/>
      <w:bookmarkEnd w:id="73"/>
      <w:bookmarkStart w:id="74" w:name="_Toc184312076"/>
      <w:bookmarkEnd w:id="74"/>
      <w:bookmarkStart w:id="75" w:name="_Toc184308069"/>
      <w:bookmarkEnd w:id="75"/>
      <w:bookmarkStart w:id="76" w:name="_Toc184314438"/>
      <w:bookmarkEnd w:id="76"/>
      <w:bookmarkStart w:id="77" w:name="_Toc184313292"/>
      <w:bookmarkEnd w:id="77"/>
      <w:bookmarkStart w:id="78" w:name="_Toc184312086"/>
      <w:bookmarkEnd w:id="78"/>
      <w:bookmarkStart w:id="79" w:name="_Toc184313277"/>
      <w:bookmarkEnd w:id="79"/>
      <w:bookmarkStart w:id="80" w:name="_Toc184310273"/>
      <w:bookmarkEnd w:id="80"/>
      <w:bookmarkStart w:id="81" w:name="_Toc184308101"/>
      <w:bookmarkEnd w:id="81"/>
      <w:bookmarkStart w:id="82" w:name="_Toc184310339"/>
      <w:bookmarkEnd w:id="82"/>
      <w:bookmarkStart w:id="83" w:name="_Toc184310289"/>
      <w:bookmarkEnd w:id="83"/>
      <w:bookmarkStart w:id="84" w:name="_Toc184314450"/>
      <w:bookmarkEnd w:id="84"/>
      <w:bookmarkStart w:id="85" w:name="_Toc184308064"/>
      <w:bookmarkEnd w:id="85"/>
      <w:bookmarkStart w:id="86" w:name="_Toc184314473"/>
      <w:bookmarkEnd w:id="86"/>
      <w:bookmarkStart w:id="87" w:name="_Toc184308074"/>
      <w:bookmarkEnd w:id="87"/>
      <w:bookmarkStart w:id="88" w:name="_Toc184308045"/>
      <w:bookmarkEnd w:id="88"/>
      <w:bookmarkStart w:id="89" w:name="_Toc184308049"/>
      <w:bookmarkEnd w:id="89"/>
      <w:bookmarkStart w:id="90" w:name="_Toc184312085"/>
      <w:bookmarkEnd w:id="90"/>
      <w:bookmarkStart w:id="91" w:name="_Toc184313259"/>
      <w:bookmarkEnd w:id="91"/>
      <w:bookmarkStart w:id="92" w:name="_Toc184312070"/>
      <w:bookmarkEnd w:id="92"/>
      <w:bookmarkStart w:id="93" w:name="_Toc184308057"/>
      <w:bookmarkEnd w:id="93"/>
      <w:bookmarkStart w:id="94" w:name="_Toc184312087"/>
      <w:bookmarkEnd w:id="94"/>
      <w:bookmarkStart w:id="95" w:name="_Toc184310341"/>
      <w:bookmarkEnd w:id="95"/>
      <w:bookmarkStart w:id="96" w:name="_Toc184313253"/>
      <w:bookmarkEnd w:id="96"/>
      <w:bookmarkStart w:id="97" w:name="_Toc184313287"/>
      <w:bookmarkEnd w:id="97"/>
      <w:bookmarkStart w:id="98" w:name="_Toc184312097"/>
      <w:bookmarkEnd w:id="98"/>
      <w:bookmarkStart w:id="99" w:name="_Toc184312077"/>
      <w:bookmarkEnd w:id="99"/>
      <w:bookmarkStart w:id="100" w:name="_Toc184314449"/>
      <w:bookmarkEnd w:id="100"/>
      <w:bookmarkStart w:id="101" w:name="_Toc184308040"/>
      <w:bookmarkEnd w:id="101"/>
      <w:bookmarkStart w:id="102" w:name="_Toc184310279"/>
      <w:bookmarkEnd w:id="102"/>
      <w:bookmarkStart w:id="103" w:name="_Toc184308066"/>
      <w:bookmarkEnd w:id="103"/>
      <w:bookmarkStart w:id="104" w:name="_Toc184310312"/>
      <w:bookmarkEnd w:id="104"/>
      <w:bookmarkStart w:id="105" w:name="_Toc184313265"/>
      <w:bookmarkEnd w:id="105"/>
      <w:bookmarkStart w:id="106" w:name="_Toc184308104"/>
      <w:bookmarkEnd w:id="106"/>
      <w:bookmarkStart w:id="107" w:name="_Toc184310335"/>
      <w:bookmarkEnd w:id="107"/>
      <w:bookmarkStart w:id="108" w:name="_Toc184310316"/>
      <w:bookmarkEnd w:id="108"/>
      <w:bookmarkStart w:id="109" w:name="_Toc184314432"/>
      <w:bookmarkEnd w:id="109"/>
      <w:bookmarkStart w:id="110" w:name="_Toc184308065"/>
      <w:bookmarkEnd w:id="110"/>
      <w:bookmarkStart w:id="111" w:name="_Toc184308039"/>
      <w:bookmarkEnd w:id="111"/>
      <w:bookmarkStart w:id="112" w:name="_Toc184313262"/>
      <w:bookmarkEnd w:id="112"/>
      <w:bookmarkStart w:id="113" w:name="_Toc184314415"/>
      <w:bookmarkEnd w:id="113"/>
      <w:bookmarkStart w:id="114" w:name="_Toc184310297"/>
      <w:bookmarkEnd w:id="114"/>
      <w:bookmarkStart w:id="115" w:name="_Toc184308042"/>
      <w:bookmarkEnd w:id="115"/>
      <w:bookmarkStart w:id="116" w:name="_Toc184310280"/>
      <w:bookmarkEnd w:id="116"/>
      <w:bookmarkStart w:id="117" w:name="_Toc184310290"/>
      <w:bookmarkEnd w:id="117"/>
      <w:bookmarkStart w:id="118" w:name="_Toc184312075"/>
      <w:bookmarkEnd w:id="118"/>
      <w:bookmarkStart w:id="119" w:name="_Toc184308090"/>
      <w:bookmarkEnd w:id="119"/>
      <w:bookmarkStart w:id="120" w:name="_Toc184310336"/>
      <w:bookmarkEnd w:id="120"/>
      <w:bookmarkStart w:id="121" w:name="_Toc184312116"/>
      <w:bookmarkEnd w:id="121"/>
      <w:bookmarkStart w:id="122" w:name="_Toc184310277"/>
      <w:bookmarkEnd w:id="122"/>
      <w:bookmarkStart w:id="123" w:name="_Toc184310299"/>
      <w:bookmarkEnd w:id="123"/>
      <w:bookmarkStart w:id="124" w:name="_Toc184314475"/>
      <w:bookmarkEnd w:id="124"/>
      <w:bookmarkStart w:id="125" w:name="_Toc184314474"/>
      <w:bookmarkEnd w:id="125"/>
      <w:bookmarkStart w:id="126" w:name="_Toc184312135"/>
      <w:bookmarkEnd w:id="126"/>
      <w:bookmarkStart w:id="127" w:name="_Toc184310288"/>
      <w:bookmarkEnd w:id="127"/>
      <w:bookmarkStart w:id="128" w:name="_Toc184313266"/>
      <w:bookmarkEnd w:id="128"/>
      <w:bookmarkStart w:id="129" w:name="_Toc184312067"/>
      <w:bookmarkEnd w:id="129"/>
      <w:bookmarkStart w:id="130" w:name="_Toc184313246"/>
      <w:bookmarkEnd w:id="130"/>
      <w:bookmarkStart w:id="131" w:name="_Toc184312094"/>
      <w:bookmarkEnd w:id="131"/>
      <w:bookmarkStart w:id="132" w:name="_Toc184313275"/>
      <w:bookmarkEnd w:id="132"/>
      <w:bookmarkStart w:id="133" w:name="_Toc184308060"/>
      <w:bookmarkEnd w:id="133"/>
      <w:bookmarkStart w:id="134" w:name="_Toc184313245"/>
      <w:bookmarkEnd w:id="134"/>
      <w:bookmarkStart w:id="135" w:name="_Toc184314418"/>
      <w:bookmarkEnd w:id="135"/>
      <w:bookmarkStart w:id="136" w:name="_Toc184312089"/>
      <w:bookmarkEnd w:id="136"/>
      <w:bookmarkStart w:id="137" w:name="_Toc184312110"/>
      <w:bookmarkEnd w:id="137"/>
      <w:bookmarkStart w:id="138" w:name="_Toc184314472"/>
      <w:bookmarkEnd w:id="138"/>
      <w:bookmarkStart w:id="139" w:name="_Toc184308105"/>
      <w:bookmarkEnd w:id="139"/>
      <w:bookmarkStart w:id="140" w:name="_Toc184314414"/>
      <w:bookmarkEnd w:id="140"/>
      <w:bookmarkStart w:id="141" w:name="_Toc184310295"/>
      <w:bookmarkEnd w:id="141"/>
      <w:bookmarkStart w:id="142" w:name="_Toc184308041"/>
      <w:bookmarkEnd w:id="142"/>
      <w:bookmarkStart w:id="143" w:name="_Toc184310272"/>
      <w:bookmarkEnd w:id="143"/>
      <w:bookmarkStart w:id="144" w:name="_Toc184314417"/>
      <w:bookmarkEnd w:id="144"/>
      <w:bookmarkStart w:id="145" w:name="_Toc184310315"/>
      <w:bookmarkEnd w:id="145"/>
      <w:bookmarkStart w:id="146" w:name="_Toc184313282"/>
      <w:bookmarkEnd w:id="146"/>
      <w:bookmarkStart w:id="147" w:name="_Toc184310314"/>
      <w:bookmarkEnd w:id="147"/>
      <w:bookmarkStart w:id="148" w:name="_Toc184314468"/>
      <w:bookmarkEnd w:id="148"/>
      <w:bookmarkStart w:id="149" w:name="_Toc184308043"/>
      <w:bookmarkEnd w:id="149"/>
      <w:bookmarkStart w:id="150" w:name="_Toc184313261"/>
      <w:bookmarkEnd w:id="150"/>
      <w:bookmarkStart w:id="151" w:name="_Toc184312129"/>
      <w:bookmarkEnd w:id="151"/>
      <w:bookmarkStart w:id="152" w:name="_Toc184312072"/>
      <w:bookmarkEnd w:id="152"/>
      <w:bookmarkStart w:id="153" w:name="_Toc184314416"/>
      <w:bookmarkEnd w:id="153"/>
      <w:bookmarkStart w:id="154" w:name="_Toc184314447"/>
      <w:bookmarkEnd w:id="154"/>
      <w:bookmarkStart w:id="155" w:name="_Toc184314457"/>
      <w:bookmarkEnd w:id="155"/>
      <w:bookmarkStart w:id="156" w:name="_Toc184312083"/>
      <w:bookmarkEnd w:id="156"/>
      <w:bookmarkStart w:id="157" w:name="_Toc184308038"/>
      <w:bookmarkEnd w:id="157"/>
      <w:bookmarkStart w:id="158" w:name="_Toc184312073"/>
      <w:bookmarkEnd w:id="158"/>
      <w:bookmarkStart w:id="159" w:name="_Toc184310318"/>
      <w:bookmarkEnd w:id="159"/>
      <w:bookmarkStart w:id="160" w:name="_Toc184312088"/>
      <w:bookmarkEnd w:id="160"/>
      <w:bookmarkStart w:id="161" w:name="_Toc184308044"/>
      <w:bookmarkEnd w:id="161"/>
      <w:bookmarkStart w:id="162" w:name="_Toc184308046"/>
      <w:bookmarkEnd w:id="162"/>
      <w:bookmarkStart w:id="163" w:name="_Toc184313260"/>
      <w:bookmarkEnd w:id="163"/>
      <w:bookmarkStart w:id="164" w:name="_Toc184312111"/>
      <w:bookmarkEnd w:id="164"/>
      <w:bookmarkStart w:id="165" w:name="_Toc184314411"/>
      <w:bookmarkEnd w:id="165"/>
      <w:bookmarkStart w:id="166" w:name="_Toc184310332"/>
      <w:bookmarkEnd w:id="166"/>
      <w:bookmarkStart w:id="167" w:name="_Toc184313309"/>
      <w:bookmarkEnd w:id="167"/>
      <w:bookmarkStart w:id="168" w:name="_Toc184312130"/>
      <w:bookmarkEnd w:id="168"/>
      <w:bookmarkStart w:id="169" w:name="_Toc184310278"/>
      <w:bookmarkEnd w:id="169"/>
      <w:bookmarkStart w:id="170" w:name="_Toc184314427"/>
      <w:bookmarkEnd w:id="170"/>
      <w:bookmarkStart w:id="171" w:name="_Toc184314477"/>
      <w:bookmarkEnd w:id="171"/>
      <w:bookmarkStart w:id="172" w:name="_Toc184313276"/>
      <w:bookmarkEnd w:id="172"/>
      <w:bookmarkStart w:id="173" w:name="_Toc184310304"/>
      <w:bookmarkEnd w:id="173"/>
      <w:bookmarkStart w:id="174" w:name="_Toc184308068"/>
      <w:bookmarkEnd w:id="174"/>
      <w:bookmarkStart w:id="175" w:name="_Toc184308075"/>
      <w:bookmarkEnd w:id="175"/>
      <w:bookmarkStart w:id="176" w:name="_Toc184313244"/>
      <w:bookmarkEnd w:id="176"/>
      <w:bookmarkStart w:id="177" w:name="_Toc184312106"/>
      <w:bookmarkEnd w:id="177"/>
      <w:bookmarkStart w:id="178" w:name="_Toc184310342"/>
      <w:bookmarkEnd w:id="178"/>
      <w:bookmarkStart w:id="179" w:name="_Toc184312091"/>
      <w:bookmarkEnd w:id="179"/>
      <w:bookmarkStart w:id="180" w:name="_Toc184310276"/>
      <w:bookmarkEnd w:id="180"/>
      <w:bookmarkStart w:id="181" w:name="_Toc184313284"/>
      <w:bookmarkEnd w:id="181"/>
      <w:bookmarkStart w:id="182" w:name="_Toc184310294"/>
      <w:bookmarkEnd w:id="182"/>
      <w:bookmarkStart w:id="183" w:name="_Toc184313290"/>
      <w:bookmarkEnd w:id="183"/>
      <w:bookmarkStart w:id="184" w:name="_Toc184314437"/>
      <w:bookmarkEnd w:id="184"/>
      <w:bookmarkStart w:id="185" w:name="_Toc184310291"/>
      <w:bookmarkEnd w:id="185"/>
      <w:bookmarkStart w:id="186" w:name="_Toc184308098"/>
      <w:bookmarkEnd w:id="186"/>
      <w:bookmarkStart w:id="187" w:name="_Toc184314448"/>
      <w:bookmarkEnd w:id="187"/>
      <w:bookmarkStart w:id="188" w:name="_Toc184312098"/>
      <w:bookmarkEnd w:id="188"/>
      <w:bookmarkStart w:id="189" w:name="_Toc184314481"/>
      <w:bookmarkEnd w:id="189"/>
      <w:bookmarkStart w:id="190" w:name="_Toc184308106"/>
      <w:bookmarkEnd w:id="190"/>
      <w:bookmarkStart w:id="191" w:name="_Toc184314469"/>
      <w:bookmarkEnd w:id="191"/>
      <w:bookmarkStart w:id="192" w:name="_Toc184308050"/>
      <w:bookmarkEnd w:id="192"/>
      <w:bookmarkStart w:id="193" w:name="_Toc184308058"/>
      <w:bookmarkEnd w:id="193"/>
      <w:bookmarkStart w:id="194" w:name="_Toc184314470"/>
      <w:bookmarkEnd w:id="194"/>
      <w:bookmarkStart w:id="195" w:name="_Toc184314433"/>
      <w:bookmarkEnd w:id="195"/>
      <w:bookmarkStart w:id="196" w:name="_Toc184312128"/>
      <w:bookmarkEnd w:id="196"/>
      <w:bookmarkStart w:id="197" w:name="_Toc184312092"/>
      <w:bookmarkEnd w:id="197"/>
      <w:bookmarkStart w:id="198" w:name="_Toc184313242"/>
      <w:bookmarkEnd w:id="198"/>
      <w:bookmarkStart w:id="199" w:name="_Toc184312132"/>
      <w:bookmarkEnd w:id="199"/>
      <w:bookmarkStart w:id="200" w:name="_Toc184308097"/>
      <w:bookmarkEnd w:id="200"/>
      <w:bookmarkStart w:id="201" w:name="_Toc184313300"/>
      <w:bookmarkEnd w:id="201"/>
      <w:bookmarkStart w:id="202" w:name="_Toc184314425"/>
      <w:bookmarkEnd w:id="202"/>
      <w:bookmarkStart w:id="203" w:name="_Toc184312125"/>
      <w:bookmarkEnd w:id="203"/>
      <w:bookmarkStart w:id="204" w:name="_Toc184310329"/>
      <w:bookmarkEnd w:id="204"/>
      <w:bookmarkStart w:id="205" w:name="_Toc184308059"/>
      <w:bookmarkEnd w:id="205"/>
      <w:bookmarkStart w:id="206" w:name="_Toc184308080"/>
      <w:bookmarkEnd w:id="206"/>
      <w:bookmarkStart w:id="207" w:name="_Toc184314412"/>
      <w:bookmarkEnd w:id="207"/>
      <w:bookmarkStart w:id="208" w:name="_Toc184312090"/>
      <w:bookmarkEnd w:id="208"/>
      <w:bookmarkStart w:id="209" w:name="_Toc184314435"/>
      <w:bookmarkEnd w:id="209"/>
      <w:bookmarkStart w:id="210" w:name="_Toc184312122"/>
      <w:bookmarkEnd w:id="210"/>
      <w:bookmarkStart w:id="211" w:name="_Toc184308037"/>
      <w:bookmarkEnd w:id="211"/>
      <w:bookmarkStart w:id="212" w:name="_Toc184312082"/>
      <w:bookmarkEnd w:id="212"/>
      <w:bookmarkStart w:id="213" w:name="_Toc184314471"/>
      <w:bookmarkEnd w:id="213"/>
      <w:bookmarkStart w:id="214" w:name="_Toc184308088"/>
      <w:bookmarkEnd w:id="214"/>
      <w:bookmarkStart w:id="215" w:name="_Toc184313278"/>
      <w:bookmarkEnd w:id="215"/>
      <w:bookmarkStart w:id="216" w:name="_Toc184313286"/>
      <w:bookmarkEnd w:id="216"/>
      <w:bookmarkStart w:id="217" w:name="_Toc184308095"/>
      <w:bookmarkEnd w:id="217"/>
      <w:bookmarkStart w:id="218" w:name="_Toc184310338"/>
      <w:bookmarkEnd w:id="218"/>
      <w:bookmarkStart w:id="219" w:name="_Toc184313285"/>
      <w:bookmarkEnd w:id="219"/>
      <w:bookmarkStart w:id="220" w:name="_Toc184310344"/>
      <w:bookmarkEnd w:id="220"/>
      <w:bookmarkStart w:id="221" w:name="_Toc184313254"/>
      <w:bookmarkEnd w:id="221"/>
      <w:bookmarkStart w:id="222" w:name="_Toc184314463"/>
      <w:bookmarkEnd w:id="222"/>
      <w:bookmarkStart w:id="223" w:name="_Toc184313243"/>
      <w:bookmarkEnd w:id="223"/>
      <w:bookmarkStart w:id="224" w:name="_Toc184310313"/>
      <w:bookmarkEnd w:id="224"/>
      <w:bookmarkStart w:id="225" w:name="_Toc184314480"/>
      <w:bookmarkEnd w:id="225"/>
      <w:bookmarkStart w:id="226" w:name="_Toc184308062"/>
      <w:bookmarkEnd w:id="226"/>
      <w:bookmarkStart w:id="227" w:name="_Toc184310331"/>
      <w:bookmarkEnd w:id="227"/>
      <w:bookmarkStart w:id="228" w:name="_Toc184313304"/>
      <w:bookmarkEnd w:id="228"/>
      <w:bookmarkStart w:id="229" w:name="_Toc184310274"/>
      <w:bookmarkEnd w:id="229"/>
      <w:bookmarkStart w:id="230" w:name="_Toc184308077"/>
      <w:bookmarkEnd w:id="230"/>
      <w:bookmarkStart w:id="231" w:name="_Toc184313299"/>
      <w:bookmarkEnd w:id="231"/>
      <w:bookmarkStart w:id="232" w:name="_Toc184314442"/>
      <w:bookmarkEnd w:id="232"/>
      <w:bookmarkStart w:id="233" w:name="_Toc184312123"/>
      <w:bookmarkEnd w:id="233"/>
      <w:bookmarkStart w:id="234" w:name="_Toc184314467"/>
      <w:bookmarkEnd w:id="234"/>
      <w:bookmarkStart w:id="235" w:name="_Toc184310287"/>
      <w:bookmarkEnd w:id="235"/>
      <w:bookmarkStart w:id="236" w:name="_Toc184314452"/>
      <w:bookmarkEnd w:id="236"/>
      <w:bookmarkStart w:id="237" w:name="_Toc184312134"/>
      <w:bookmarkEnd w:id="237"/>
      <w:bookmarkStart w:id="238" w:name="_Toc184312109"/>
      <w:bookmarkEnd w:id="238"/>
      <w:bookmarkStart w:id="239" w:name="_Toc184310326"/>
      <w:bookmarkEnd w:id="239"/>
      <w:bookmarkStart w:id="240" w:name="_Toc184312118"/>
      <w:bookmarkEnd w:id="240"/>
      <w:bookmarkStart w:id="241" w:name="_Toc184314464"/>
      <w:bookmarkEnd w:id="241"/>
      <w:bookmarkStart w:id="242" w:name="_Toc184310309"/>
      <w:bookmarkEnd w:id="242"/>
      <w:bookmarkStart w:id="243" w:name="_Toc184308036"/>
      <w:bookmarkEnd w:id="243"/>
      <w:bookmarkStart w:id="244" w:name="_Toc184308092"/>
      <w:bookmarkEnd w:id="244"/>
      <w:bookmarkStart w:id="245" w:name="_Toc184308103"/>
      <w:bookmarkEnd w:id="245"/>
      <w:bookmarkStart w:id="246" w:name="_Toc184308094"/>
      <w:bookmarkEnd w:id="246"/>
      <w:bookmarkStart w:id="247" w:name="_Toc184308076"/>
      <w:bookmarkEnd w:id="247"/>
      <w:bookmarkStart w:id="248" w:name="_Toc184310286"/>
      <w:bookmarkEnd w:id="248"/>
      <w:bookmarkStart w:id="249" w:name="_Toc184313298"/>
      <w:bookmarkEnd w:id="249"/>
      <w:bookmarkStart w:id="250" w:name="_Toc184310321"/>
      <w:bookmarkEnd w:id="250"/>
      <w:bookmarkStart w:id="251" w:name="_Toc184313248"/>
      <w:bookmarkEnd w:id="251"/>
      <w:bookmarkStart w:id="252" w:name="_Toc184313305"/>
      <w:bookmarkEnd w:id="252"/>
      <w:bookmarkStart w:id="253" w:name="_Toc184310320"/>
      <w:bookmarkEnd w:id="253"/>
      <w:bookmarkStart w:id="254" w:name="_Toc184314456"/>
      <w:bookmarkEnd w:id="254"/>
      <w:bookmarkStart w:id="255" w:name="_Toc184312105"/>
      <w:bookmarkEnd w:id="255"/>
      <w:bookmarkStart w:id="256" w:name="_Toc184313250"/>
      <w:bookmarkEnd w:id="256"/>
      <w:bookmarkStart w:id="257" w:name="_Toc184310330"/>
      <w:bookmarkEnd w:id="257"/>
      <w:bookmarkStart w:id="258" w:name="_Toc184313296"/>
      <w:bookmarkEnd w:id="258"/>
      <w:bookmarkStart w:id="259" w:name="_Toc184314422"/>
      <w:bookmarkEnd w:id="259"/>
      <w:bookmarkStart w:id="260" w:name="_Toc184310340"/>
      <w:bookmarkEnd w:id="260"/>
      <w:bookmarkStart w:id="261" w:name="_Toc184308096"/>
      <w:bookmarkEnd w:id="261"/>
      <w:bookmarkStart w:id="262" w:name="_Toc184314424"/>
      <w:bookmarkEnd w:id="262"/>
      <w:bookmarkStart w:id="263" w:name="_Toc184314466"/>
      <w:bookmarkEnd w:id="263"/>
      <w:bookmarkStart w:id="264" w:name="_Toc184314419"/>
      <w:bookmarkEnd w:id="264"/>
      <w:bookmarkStart w:id="265" w:name="_Toc184310325"/>
      <w:bookmarkEnd w:id="265"/>
      <w:bookmarkStart w:id="266" w:name="_Toc184313241"/>
      <w:bookmarkEnd w:id="266"/>
      <w:bookmarkStart w:id="267" w:name="_Toc184312120"/>
      <w:bookmarkEnd w:id="267"/>
      <w:bookmarkStart w:id="268" w:name="_Toc184312121"/>
      <w:bookmarkEnd w:id="268"/>
      <w:bookmarkStart w:id="269" w:name="_Toc184308073"/>
      <w:bookmarkEnd w:id="269"/>
      <w:bookmarkStart w:id="270" w:name="_Toc184308108"/>
      <w:bookmarkEnd w:id="270"/>
      <w:bookmarkStart w:id="271" w:name="_Toc184313252"/>
      <w:bookmarkEnd w:id="271"/>
      <w:bookmarkStart w:id="272" w:name="_Toc184308093"/>
      <w:bookmarkEnd w:id="272"/>
      <w:bookmarkStart w:id="273" w:name="_Toc184310334"/>
      <w:bookmarkEnd w:id="273"/>
      <w:bookmarkStart w:id="274" w:name="_Toc184312113"/>
      <w:bookmarkEnd w:id="274"/>
      <w:bookmarkStart w:id="275" w:name="_Toc184310324"/>
      <w:bookmarkEnd w:id="275"/>
      <w:bookmarkStart w:id="276" w:name="_Toc184308089"/>
      <w:bookmarkEnd w:id="276"/>
      <w:bookmarkStart w:id="277" w:name="_Toc184310327"/>
      <w:bookmarkEnd w:id="277"/>
      <w:bookmarkStart w:id="278" w:name="_Toc184313293"/>
      <w:bookmarkEnd w:id="278"/>
      <w:bookmarkStart w:id="279" w:name="_Toc184313301"/>
      <w:bookmarkEnd w:id="279"/>
      <w:bookmarkStart w:id="280" w:name="_Toc184314461"/>
      <w:bookmarkEnd w:id="280"/>
      <w:bookmarkStart w:id="281" w:name="_Toc184312099"/>
      <w:bookmarkEnd w:id="281"/>
      <w:bookmarkStart w:id="282" w:name="_Toc184308107"/>
      <w:bookmarkEnd w:id="282"/>
      <w:bookmarkStart w:id="283" w:name="_Toc184312133"/>
      <w:bookmarkEnd w:id="283"/>
      <w:bookmarkStart w:id="284" w:name="_Toc184313302"/>
      <w:bookmarkEnd w:id="284"/>
      <w:bookmarkStart w:id="285" w:name="_Toc184310283"/>
      <w:bookmarkEnd w:id="285"/>
      <w:bookmarkStart w:id="286" w:name="_Toc184308085"/>
      <w:bookmarkEnd w:id="286"/>
      <w:bookmarkStart w:id="287" w:name="_Toc184314423"/>
      <w:bookmarkEnd w:id="287"/>
      <w:bookmarkStart w:id="288" w:name="_Toc184314445"/>
      <w:bookmarkEnd w:id="288"/>
      <w:bookmarkStart w:id="289" w:name="_Toc184313297"/>
      <w:bookmarkEnd w:id="289"/>
      <w:bookmarkStart w:id="290" w:name="_Toc184312093"/>
      <w:bookmarkEnd w:id="290"/>
      <w:bookmarkStart w:id="291" w:name="_Toc184312126"/>
      <w:bookmarkEnd w:id="291"/>
      <w:bookmarkStart w:id="292" w:name="_Toc184312137"/>
      <w:bookmarkEnd w:id="292"/>
      <w:bookmarkStart w:id="293" w:name="_Toc184313238"/>
      <w:bookmarkEnd w:id="293"/>
      <w:bookmarkStart w:id="294" w:name="_Toc184308087"/>
      <w:bookmarkEnd w:id="294"/>
      <w:bookmarkStart w:id="295" w:name="_Toc184310319"/>
      <w:bookmarkEnd w:id="295"/>
      <w:bookmarkStart w:id="296" w:name="_Toc184312078"/>
      <w:bookmarkEnd w:id="296"/>
      <w:bookmarkStart w:id="297" w:name="_Toc184313279"/>
      <w:bookmarkEnd w:id="297"/>
      <w:bookmarkStart w:id="298" w:name="_Toc184314462"/>
      <w:bookmarkEnd w:id="298"/>
      <w:bookmarkStart w:id="299" w:name="_Toc184310307"/>
      <w:bookmarkEnd w:id="299"/>
      <w:bookmarkStart w:id="300" w:name="_Toc184308099"/>
      <w:bookmarkEnd w:id="300"/>
      <w:bookmarkStart w:id="301" w:name="_Toc184313289"/>
      <w:bookmarkEnd w:id="301"/>
      <w:bookmarkStart w:id="302" w:name="_Toc184314460"/>
      <w:bookmarkEnd w:id="302"/>
      <w:bookmarkStart w:id="303" w:name="_Toc184312102"/>
      <w:bookmarkEnd w:id="303"/>
      <w:bookmarkStart w:id="304" w:name="_Toc184312127"/>
      <w:bookmarkEnd w:id="304"/>
      <w:bookmarkStart w:id="305" w:name="_Toc184314410"/>
      <w:bookmarkEnd w:id="305"/>
      <w:bookmarkStart w:id="306" w:name="_Toc184308070"/>
      <w:bookmarkEnd w:id="306"/>
      <w:bookmarkStart w:id="307" w:name="_Toc184312138"/>
      <w:bookmarkEnd w:id="307"/>
      <w:bookmarkStart w:id="308" w:name="_Toc184312079"/>
      <w:bookmarkEnd w:id="308"/>
      <w:bookmarkStart w:id="309" w:name="_Toc184313291"/>
      <w:bookmarkEnd w:id="309"/>
      <w:bookmarkStart w:id="310" w:name="_Toc184312136"/>
      <w:bookmarkEnd w:id="310"/>
      <w:bookmarkStart w:id="311" w:name="_Toc184308091"/>
      <w:bookmarkEnd w:id="311"/>
      <w:bookmarkStart w:id="312" w:name="_Toc184310323"/>
      <w:bookmarkEnd w:id="312"/>
      <w:bookmarkStart w:id="313" w:name="_Toc184310337"/>
      <w:bookmarkEnd w:id="313"/>
      <w:bookmarkStart w:id="314" w:name="_Toc184312107"/>
      <w:bookmarkEnd w:id="314"/>
      <w:bookmarkStart w:id="315" w:name="_Toc184313271"/>
      <w:bookmarkEnd w:id="315"/>
      <w:bookmarkStart w:id="316" w:name="_Toc184314465"/>
      <w:bookmarkEnd w:id="316"/>
      <w:bookmarkStart w:id="317" w:name="_Toc184312080"/>
      <w:bookmarkEnd w:id="317"/>
      <w:bookmarkStart w:id="318" w:name="_Toc184314476"/>
      <w:bookmarkEnd w:id="318"/>
      <w:bookmarkStart w:id="319" w:name="_Toc184313294"/>
      <w:bookmarkEnd w:id="319"/>
      <w:bookmarkStart w:id="320" w:name="_Toc184314451"/>
      <w:bookmarkEnd w:id="320"/>
      <w:bookmarkStart w:id="321" w:name="_Toc184308051"/>
      <w:bookmarkEnd w:id="321"/>
      <w:bookmarkStart w:id="322" w:name="_Toc184314441"/>
      <w:bookmarkEnd w:id="322"/>
      <w:bookmarkStart w:id="323" w:name="_Toc184313288"/>
      <w:bookmarkEnd w:id="323"/>
      <w:bookmarkStart w:id="324" w:name="_Toc184312124"/>
      <w:bookmarkEnd w:id="324"/>
      <w:bookmarkStart w:id="325" w:name="_Toc184314479"/>
      <w:bookmarkEnd w:id="325"/>
      <w:bookmarkStart w:id="326" w:name="_Toc184314440"/>
      <w:bookmarkEnd w:id="326"/>
      <w:bookmarkStart w:id="327" w:name="_Toc184314421"/>
      <w:bookmarkEnd w:id="327"/>
      <w:bookmarkStart w:id="328" w:name="_Toc184313264"/>
      <w:bookmarkEnd w:id="328"/>
      <w:bookmarkStart w:id="329" w:name="_Toc184310284"/>
      <w:bookmarkEnd w:id="329"/>
      <w:bookmarkStart w:id="330" w:name="_Toc184310328"/>
      <w:bookmarkEnd w:id="330"/>
      <w:bookmarkStart w:id="331" w:name="_Toc184312081"/>
      <w:bookmarkEnd w:id="331"/>
      <w:bookmarkStart w:id="332" w:name="_Toc184313249"/>
      <w:bookmarkEnd w:id="332"/>
      <w:bookmarkStart w:id="333" w:name="_Toc184310306"/>
      <w:bookmarkEnd w:id="333"/>
      <w:bookmarkStart w:id="334" w:name="_Toc184313310"/>
      <w:bookmarkEnd w:id="334"/>
      <w:bookmarkStart w:id="335" w:name="_Toc184312096"/>
      <w:bookmarkEnd w:id="335"/>
      <w:bookmarkStart w:id="336" w:name="_Toc184313240"/>
      <w:bookmarkEnd w:id="336"/>
      <w:bookmarkStart w:id="337" w:name="_Toc184312131"/>
      <w:bookmarkEnd w:id="337"/>
      <w:bookmarkStart w:id="338" w:name="_Toc184313274"/>
      <w:bookmarkEnd w:id="338"/>
      <w:bookmarkStart w:id="339" w:name="_Toc184312108"/>
      <w:bookmarkEnd w:id="339"/>
      <w:bookmarkStart w:id="340" w:name="_Toc184308083"/>
      <w:bookmarkEnd w:id="340"/>
      <w:bookmarkStart w:id="341" w:name="_Toc184312104"/>
      <w:bookmarkEnd w:id="341"/>
      <w:bookmarkStart w:id="342" w:name="_Toc184312114"/>
      <w:bookmarkEnd w:id="342"/>
      <w:bookmarkStart w:id="343" w:name="_Toc184310285"/>
      <w:bookmarkEnd w:id="343"/>
      <w:bookmarkStart w:id="344" w:name="_Toc184308079"/>
      <w:bookmarkEnd w:id="344"/>
      <w:bookmarkStart w:id="345" w:name="_Toc184314453"/>
      <w:bookmarkEnd w:id="345"/>
      <w:bookmarkStart w:id="346" w:name="_Toc184310303"/>
      <w:bookmarkEnd w:id="346"/>
      <w:bookmarkStart w:id="347" w:name="_Toc184308102"/>
      <w:bookmarkEnd w:id="347"/>
      <w:bookmarkStart w:id="348" w:name="_Toc184313255"/>
      <w:bookmarkEnd w:id="348"/>
      <w:bookmarkStart w:id="349" w:name="_Toc184310333"/>
      <w:bookmarkEnd w:id="349"/>
      <w:bookmarkStart w:id="350" w:name="_Toc184314482"/>
      <w:bookmarkEnd w:id="350"/>
      <w:bookmarkStart w:id="351" w:name="_Toc184313308"/>
      <w:bookmarkEnd w:id="351"/>
      <w:bookmarkStart w:id="352" w:name="_Toc184310343"/>
      <w:bookmarkEnd w:id="352"/>
      <w:bookmarkStart w:id="353" w:name="_Toc184310305"/>
      <w:bookmarkEnd w:id="353"/>
      <w:bookmarkStart w:id="354" w:name="_Toc184313239"/>
      <w:bookmarkEnd w:id="354"/>
      <w:bookmarkStart w:id="355" w:name="_Toc184308072"/>
      <w:bookmarkEnd w:id="355"/>
      <w:bookmarkStart w:id="356" w:name="_Toc184310282"/>
      <w:bookmarkEnd w:id="356"/>
      <w:bookmarkStart w:id="357" w:name="_Toc184313295"/>
      <w:bookmarkEnd w:id="357"/>
      <w:bookmarkStart w:id="358" w:name="_Toc184312119"/>
      <w:bookmarkEnd w:id="358"/>
      <w:bookmarkStart w:id="359" w:name="_Toc184312103"/>
      <w:bookmarkEnd w:id="359"/>
      <w:bookmarkStart w:id="360" w:name="_Toc184308047"/>
      <w:bookmarkEnd w:id="360"/>
      <w:bookmarkStart w:id="361" w:name="_Toc184314444"/>
      <w:bookmarkEnd w:id="361"/>
      <w:bookmarkStart w:id="362" w:name="_Toc184310300"/>
      <w:bookmarkEnd w:id="362"/>
      <w:bookmarkStart w:id="363" w:name="_Toc184313258"/>
      <w:bookmarkEnd w:id="363"/>
      <w:bookmarkStart w:id="364" w:name="_Toc184314420"/>
      <w:bookmarkEnd w:id="364"/>
      <w:bookmarkStart w:id="365" w:name="_Toc184310311"/>
      <w:bookmarkEnd w:id="365"/>
      <w:bookmarkStart w:id="366" w:name="_Toc184308063"/>
      <w:bookmarkEnd w:id="366"/>
      <w:bookmarkStart w:id="367" w:name="_Toc184313247"/>
      <w:bookmarkEnd w:id="367"/>
      <w:bookmarkStart w:id="368" w:name="_Toc184308078"/>
      <w:bookmarkEnd w:id="368"/>
      <w:bookmarkStart w:id="369" w:name="_Toc184313281"/>
      <w:bookmarkEnd w:id="369"/>
      <w:bookmarkStart w:id="370" w:name="_Toc184314436"/>
      <w:bookmarkEnd w:id="370"/>
      <w:bookmarkStart w:id="371" w:name="_Toc184312139"/>
      <w:bookmarkEnd w:id="371"/>
      <w:bookmarkStart w:id="372" w:name="_Toc184313268"/>
      <w:bookmarkEnd w:id="372"/>
      <w:bookmarkStart w:id="373" w:name="_Toc184313270"/>
      <w:bookmarkEnd w:id="373"/>
      <w:bookmarkStart w:id="374" w:name="_Toc184308086"/>
      <w:bookmarkEnd w:id="374"/>
      <w:bookmarkStart w:id="375" w:name="_Toc184313269"/>
      <w:bookmarkEnd w:id="375"/>
      <w:bookmarkStart w:id="376" w:name="_Toc184310302"/>
      <w:bookmarkEnd w:id="376"/>
      <w:bookmarkStart w:id="377" w:name="_Toc184308082"/>
      <w:bookmarkEnd w:id="377"/>
      <w:bookmarkStart w:id="378" w:name="_Toc184313257"/>
      <w:bookmarkEnd w:id="378"/>
      <w:bookmarkStart w:id="379" w:name="_Toc184308052"/>
      <w:bookmarkEnd w:id="379"/>
      <w:bookmarkStart w:id="380" w:name="_Toc184308048"/>
      <w:bookmarkEnd w:id="380"/>
      <w:bookmarkStart w:id="381" w:name="_Toc184313272"/>
      <w:bookmarkEnd w:id="381"/>
      <w:bookmarkStart w:id="382" w:name="_Toc184308100"/>
      <w:bookmarkEnd w:id="382"/>
      <w:bookmarkStart w:id="383" w:name="_Toc184308084"/>
      <w:bookmarkEnd w:id="383"/>
      <w:bookmarkStart w:id="384" w:name="_Toc184312071"/>
      <w:bookmarkEnd w:id="384"/>
      <w:bookmarkStart w:id="385" w:name="_Toc184312101"/>
      <w:bookmarkEnd w:id="385"/>
      <w:bookmarkStart w:id="386" w:name="_Toc184312100"/>
      <w:bookmarkEnd w:id="386"/>
      <w:bookmarkStart w:id="387" w:name="_Toc184308071"/>
      <w:bookmarkEnd w:id="387"/>
      <w:bookmarkStart w:id="388" w:name="_Toc184314426"/>
      <w:bookmarkEnd w:id="388"/>
      <w:bookmarkStart w:id="389" w:name="_Toc184314439"/>
      <w:bookmarkEnd w:id="389"/>
      <w:bookmarkStart w:id="390" w:name="_Toc184310308"/>
      <w:bookmarkEnd w:id="390"/>
      <w:bookmarkStart w:id="391" w:name="_Toc184310301"/>
      <w:bookmarkEnd w:id="391"/>
      <w:r>
        <w:rPr>
          <w:rFonts w:hint="eastAsia" w:ascii="宋体" w:hAnsi="宋体" w:cs="宋体"/>
          <w:b/>
          <w:sz w:val="36"/>
          <w:szCs w:val="36"/>
        </w:rPr>
        <w:t>评标办法</w:t>
      </w:r>
    </w:p>
    <w:tbl>
      <w:tblPr>
        <w:tblStyle w:val="63"/>
        <w:tblpPr w:leftFromText="180" w:rightFromText="180" w:vertAnchor="text" w:horzAnchor="page" w:tblpX="822" w:tblpY="503"/>
        <w:tblOverlap w:val="never"/>
        <w:tblW w:w="9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680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709" w:type="dxa"/>
            <w:shd w:val="clear" w:color="auto" w:fill="FDE9D9"/>
            <w:vAlign w:val="center"/>
          </w:tcPr>
          <w:p>
            <w:pPr>
              <w:spacing w:line="276" w:lineRule="auto"/>
              <w:jc w:val="center"/>
              <w:rPr>
                <w:rFonts w:ascii="宋体" w:hAnsi="宋体" w:cs="宋体"/>
                <w:b/>
                <w:color w:val="000000"/>
                <w:sz w:val="24"/>
              </w:rPr>
            </w:pPr>
            <w:r>
              <w:rPr>
                <w:rFonts w:hint="eastAsia" w:ascii="宋体" w:hAnsi="宋体" w:cs="宋体"/>
                <w:b/>
                <w:color w:val="000000"/>
                <w:sz w:val="24"/>
              </w:rPr>
              <w:t>序号</w:t>
            </w:r>
          </w:p>
        </w:tc>
        <w:tc>
          <w:tcPr>
            <w:tcW w:w="1701" w:type="dxa"/>
            <w:shd w:val="clear" w:color="auto" w:fill="FDE9D9"/>
            <w:vAlign w:val="center"/>
          </w:tcPr>
          <w:p>
            <w:pPr>
              <w:spacing w:line="276" w:lineRule="auto"/>
              <w:jc w:val="left"/>
              <w:rPr>
                <w:rFonts w:hint="eastAsia"/>
                <w:sz w:val="24"/>
              </w:rPr>
            </w:pPr>
            <w:r>
              <w:rPr>
                <w:rFonts w:hint="eastAsia"/>
                <w:sz w:val="24"/>
              </w:rPr>
              <w:t>评分内容</w:t>
            </w:r>
          </w:p>
        </w:tc>
        <w:tc>
          <w:tcPr>
            <w:tcW w:w="6804" w:type="dxa"/>
            <w:shd w:val="clear" w:color="auto" w:fill="FDE9D9"/>
            <w:vAlign w:val="center"/>
          </w:tcPr>
          <w:p>
            <w:pPr>
              <w:spacing w:line="276" w:lineRule="auto"/>
              <w:jc w:val="left"/>
              <w:rPr>
                <w:rFonts w:hint="eastAsia"/>
                <w:sz w:val="24"/>
              </w:rPr>
            </w:pPr>
            <w:r>
              <w:rPr>
                <w:rFonts w:hint="eastAsia"/>
                <w:sz w:val="24"/>
              </w:rPr>
              <w:t>评审细则</w:t>
            </w:r>
          </w:p>
        </w:tc>
        <w:tc>
          <w:tcPr>
            <w:tcW w:w="775" w:type="dxa"/>
            <w:shd w:val="clear" w:color="auto" w:fill="FDE9D9"/>
            <w:vAlign w:val="center"/>
          </w:tcPr>
          <w:p>
            <w:pPr>
              <w:spacing w:line="276" w:lineRule="auto"/>
              <w:jc w:val="center"/>
              <w:rPr>
                <w:rFonts w:ascii="宋体" w:hAnsi="宋体" w:cs="宋体"/>
                <w:b/>
                <w:color w:val="000000"/>
                <w:sz w:val="24"/>
              </w:rPr>
            </w:pPr>
            <w:r>
              <w:rPr>
                <w:rFonts w:hint="eastAsia" w:ascii="宋体" w:hAnsi="宋体"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ascii="宋体" w:hAnsi="宋体" w:cs="宋体"/>
                <w:color w:val="000000"/>
                <w:sz w:val="24"/>
              </w:rPr>
            </w:pPr>
            <w:r>
              <w:rPr>
                <w:rFonts w:hint="eastAsia" w:ascii="宋体" w:hAnsi="宋体" w:cs="宋体"/>
                <w:color w:val="000000"/>
                <w:sz w:val="24"/>
              </w:rPr>
              <w:t>1</w:t>
            </w:r>
          </w:p>
        </w:tc>
        <w:tc>
          <w:tcPr>
            <w:tcW w:w="1701" w:type="dxa"/>
            <w:vMerge w:val="restart"/>
            <w:vAlign w:val="center"/>
          </w:tcPr>
          <w:p>
            <w:pPr>
              <w:spacing w:line="276" w:lineRule="auto"/>
              <w:jc w:val="left"/>
              <w:rPr>
                <w:rFonts w:hint="eastAsia"/>
                <w:sz w:val="24"/>
              </w:rPr>
            </w:pPr>
            <w:r>
              <w:rPr>
                <w:rFonts w:hint="eastAsia"/>
                <w:sz w:val="24"/>
              </w:rPr>
              <w:t>供应商履约能力评价</w:t>
            </w:r>
          </w:p>
        </w:tc>
        <w:tc>
          <w:tcPr>
            <w:tcW w:w="6804" w:type="dxa"/>
            <w:vAlign w:val="center"/>
          </w:tcPr>
          <w:p>
            <w:pPr>
              <w:spacing w:line="276" w:lineRule="auto"/>
              <w:jc w:val="left"/>
              <w:rPr>
                <w:rFonts w:hint="eastAsia"/>
                <w:sz w:val="24"/>
              </w:rPr>
            </w:pPr>
            <w:r>
              <w:rPr>
                <w:rFonts w:hint="eastAsia"/>
                <w:sz w:val="24"/>
              </w:rPr>
              <w:t>供应商具有有效的ISO 9001质量管理体系认证证书得1分；具有ISO27001信息安全管理体系得1分；ISO20000 信息技术服务管理体系得1分。证明材料：证书复印件，加盖响应供应商公章。</w:t>
            </w:r>
          </w:p>
        </w:tc>
        <w:tc>
          <w:tcPr>
            <w:tcW w:w="775" w:type="dxa"/>
            <w:vAlign w:val="center"/>
          </w:tcPr>
          <w:p>
            <w:pPr>
              <w:spacing w:line="276" w:lineRule="auto"/>
              <w:jc w:val="center"/>
              <w:rPr>
                <w:rFonts w:ascii="宋体" w:hAnsi="宋体" w:cs="宋体"/>
                <w:b/>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09" w:type="dxa"/>
            <w:vMerge w:val="continue"/>
            <w:vAlign w:val="center"/>
          </w:tcPr>
          <w:p>
            <w:pPr>
              <w:spacing w:line="276" w:lineRule="auto"/>
              <w:jc w:val="center"/>
              <w:rPr>
                <w:rFonts w:ascii="宋体" w:hAnsi="宋体" w:cs="宋体"/>
                <w:color w:val="000000"/>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投标人具有工程咨询、审计、信息系统监理、软件企业等单位资质，每个资质得1分，最高得4分；</w:t>
            </w:r>
          </w:p>
        </w:tc>
        <w:tc>
          <w:tcPr>
            <w:tcW w:w="775" w:type="dxa"/>
            <w:vAlign w:val="center"/>
          </w:tcPr>
          <w:p>
            <w:pPr>
              <w:spacing w:line="276" w:lineRule="auto"/>
              <w:jc w:val="center"/>
              <w:rPr>
                <w:rFonts w:ascii="宋体" w:hAnsi="宋体" w:cs="宋体"/>
                <w:color w:val="000000"/>
                <w:sz w:val="24"/>
              </w:rPr>
            </w:pP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宋体" w:hAnsi="宋体" w:cs="宋体"/>
                <w:color w:val="000000"/>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1.3供应商自2021年1月1日以来协助省级审计单位提供计算机协审工作业绩的，每个业</w:t>
            </w:r>
            <w:r>
              <w:rPr>
                <w:rFonts w:hint="eastAsia"/>
                <w:sz w:val="24"/>
                <w:highlight w:val="yellow"/>
              </w:rPr>
              <w:t>绩得0.</w:t>
            </w:r>
            <w:r>
              <w:rPr>
                <w:rFonts w:hint="eastAsia"/>
                <w:sz w:val="24"/>
                <w:highlight w:val="yellow"/>
                <w:lang w:val="en-US" w:eastAsia="zh-CN"/>
              </w:rPr>
              <w:t>2</w:t>
            </w:r>
            <w:r>
              <w:rPr>
                <w:rFonts w:hint="eastAsia"/>
                <w:sz w:val="24"/>
                <w:highlight w:val="yellow"/>
              </w:rPr>
              <w:t>5分</w:t>
            </w:r>
            <w:r>
              <w:rPr>
                <w:rFonts w:hint="eastAsia"/>
                <w:sz w:val="24"/>
              </w:rPr>
              <w:t>，最多得0.5分，协助市级审计单位提供计算机协审工作业绩的，每个业绩得0.25分，最多得0.5分。本项最高得1分；</w:t>
            </w:r>
          </w:p>
          <w:p>
            <w:pPr>
              <w:spacing w:line="276" w:lineRule="auto"/>
              <w:jc w:val="left"/>
              <w:rPr>
                <w:rFonts w:hint="eastAsia"/>
                <w:sz w:val="24"/>
              </w:rPr>
            </w:pPr>
            <w:r>
              <w:rPr>
                <w:rFonts w:hint="eastAsia"/>
                <w:sz w:val="24"/>
              </w:rPr>
              <w:t>1.4供应商自2021年1月1日以来具有信息化项目的造价咨询评估业绩的，每个业绩得0.25分，最多得0.5分。</w:t>
            </w:r>
          </w:p>
          <w:p>
            <w:pPr>
              <w:spacing w:line="276" w:lineRule="auto"/>
              <w:jc w:val="left"/>
              <w:rPr>
                <w:rFonts w:hint="eastAsia"/>
                <w:sz w:val="24"/>
              </w:rPr>
            </w:pPr>
            <w:r>
              <w:rPr>
                <w:rFonts w:hint="eastAsia"/>
                <w:sz w:val="24"/>
              </w:rPr>
              <w:t>1.5 供应商自2021年1月1日至今参与审计数据采集分析业务的，每案例得0.25分，最高得0.5分。</w:t>
            </w:r>
          </w:p>
          <w:p>
            <w:pPr>
              <w:spacing w:line="276" w:lineRule="auto"/>
              <w:jc w:val="left"/>
              <w:rPr>
                <w:rFonts w:hint="eastAsia"/>
                <w:sz w:val="24"/>
              </w:rPr>
            </w:pPr>
            <w:r>
              <w:rPr>
                <w:rFonts w:hint="eastAsia"/>
                <w:sz w:val="24"/>
              </w:rPr>
              <w:t>证明材料：合同（复印件加盖响应供应商公章），时间以合同签订时间为准。</w:t>
            </w:r>
          </w:p>
        </w:tc>
        <w:tc>
          <w:tcPr>
            <w:tcW w:w="775" w:type="dxa"/>
            <w:vAlign w:val="center"/>
          </w:tcPr>
          <w:p>
            <w:pPr>
              <w:spacing w:line="276" w:lineRule="auto"/>
              <w:jc w:val="center"/>
              <w:rPr>
                <w:rFonts w:ascii="宋体" w:hAnsi="宋体" w:cs="宋体"/>
                <w:color w:val="000000"/>
                <w:sz w:val="24"/>
              </w:rPr>
            </w:pPr>
            <w:r>
              <w:rPr>
                <w:rFonts w:hint="eastAsia" w:ascii="宋体" w:hAns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pPr>
              <w:spacing w:line="276" w:lineRule="auto"/>
              <w:jc w:val="center"/>
              <w:rPr>
                <w:rFonts w:ascii="宋体" w:hAnsi="宋体" w:cs="宋体"/>
                <w:color w:val="000000"/>
                <w:sz w:val="24"/>
                <w:szCs w:val="21"/>
              </w:rPr>
            </w:pPr>
            <w:r>
              <w:rPr>
                <w:rFonts w:hint="eastAsia" w:ascii="宋体" w:hAnsi="宋体" w:cs="宋体"/>
                <w:color w:val="000000"/>
                <w:sz w:val="24"/>
                <w:szCs w:val="21"/>
              </w:rPr>
              <w:t>2</w:t>
            </w:r>
          </w:p>
        </w:tc>
        <w:tc>
          <w:tcPr>
            <w:tcW w:w="1701" w:type="dxa"/>
            <w:vMerge w:val="restart"/>
            <w:vAlign w:val="center"/>
          </w:tcPr>
          <w:p>
            <w:pPr>
              <w:spacing w:line="276" w:lineRule="auto"/>
              <w:jc w:val="left"/>
              <w:rPr>
                <w:rFonts w:hint="eastAsia"/>
                <w:sz w:val="24"/>
              </w:rPr>
            </w:pPr>
            <w:r>
              <w:rPr>
                <w:rFonts w:hint="eastAsia"/>
                <w:sz w:val="24"/>
              </w:rPr>
              <w:t>拟派服务团队情况评价</w:t>
            </w:r>
          </w:p>
        </w:tc>
        <w:tc>
          <w:tcPr>
            <w:tcW w:w="6804" w:type="dxa"/>
            <w:vAlign w:val="center"/>
          </w:tcPr>
          <w:p>
            <w:pPr>
              <w:spacing w:line="276" w:lineRule="auto"/>
              <w:jc w:val="left"/>
              <w:rPr>
                <w:rFonts w:hint="eastAsia"/>
                <w:sz w:val="24"/>
              </w:rPr>
            </w:pPr>
            <w:r>
              <w:rPr>
                <w:rFonts w:hint="eastAsia"/>
                <w:sz w:val="24"/>
              </w:rPr>
              <w:t>拟派项目负责人情况评价：拟派项目负责人具有政府投资信息化项目审计服务经验且具备人力资源和社会保障部、工业和信息化部共同颁发的计算机技术与软件专业技术资格（水平）考试高级资格证书或注册会计师证书的得4分，同时具备咨询工程师证书（投资）（专业：电子、信息工程）的加1分，信息系统审计师（CISA）的加1分，具有人力资源和社会保障部、工业和信息化部共同颁发的计算机技术与软件专业技术资格（水平）考试中级以上资格证书的加1分，本项最高得7分。</w:t>
            </w:r>
          </w:p>
          <w:p>
            <w:pPr>
              <w:spacing w:line="276" w:lineRule="auto"/>
              <w:jc w:val="left"/>
              <w:rPr>
                <w:rFonts w:hint="eastAsia"/>
                <w:sz w:val="24"/>
              </w:rPr>
            </w:pPr>
            <w:r>
              <w:rPr>
                <w:rFonts w:hint="eastAsia"/>
                <w:sz w:val="24"/>
              </w:rPr>
              <w:t>证明材料：审计服务经验证明材料及相关证书（复印件加盖公章）</w:t>
            </w:r>
          </w:p>
        </w:tc>
        <w:tc>
          <w:tcPr>
            <w:tcW w:w="775" w:type="dxa"/>
            <w:vAlign w:val="center"/>
          </w:tcPr>
          <w:p>
            <w:pPr>
              <w:spacing w:line="276" w:lineRule="auto"/>
              <w:jc w:val="center"/>
              <w:rPr>
                <w:rFonts w:ascii="宋体" w:hAnsi="宋体" w:cs="宋体"/>
                <w:color w:val="000000"/>
                <w:sz w:val="24"/>
              </w:rPr>
            </w:pPr>
            <w:r>
              <w:rPr>
                <w:rFonts w:hint="eastAsia" w:ascii="宋体" w:hAnsi="宋体" w:cs="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center"/>
              <w:rPr>
                <w:rFonts w:ascii="宋体" w:hAnsi="宋体" w:cs="宋体"/>
                <w:color w:val="000000"/>
                <w:sz w:val="24"/>
                <w:szCs w:val="21"/>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拟派服务团队其他成员情况评价：</w:t>
            </w:r>
          </w:p>
          <w:p>
            <w:pPr>
              <w:spacing w:line="276" w:lineRule="auto"/>
              <w:jc w:val="left"/>
              <w:rPr>
                <w:rFonts w:hint="eastAsia"/>
                <w:sz w:val="24"/>
              </w:rPr>
            </w:pPr>
            <w:r>
              <w:rPr>
                <w:rFonts w:hint="eastAsia"/>
                <w:sz w:val="24"/>
              </w:rPr>
              <w:t>（1）具有人力资源和社会保障部、工业和信息化部共同颁发的计算机技术与软件专业技术资格（水平）考试中级以上资格证书或咨询工程师证书（投资）（专业：电子、信息工程）证书，每人得1分，最多得3分。证明材料：相关证书（复印件加盖公章）。</w:t>
            </w:r>
          </w:p>
          <w:p>
            <w:pPr>
              <w:spacing w:line="276" w:lineRule="auto"/>
              <w:jc w:val="left"/>
              <w:rPr>
                <w:rFonts w:hint="eastAsia"/>
                <w:sz w:val="24"/>
              </w:rPr>
            </w:pPr>
            <w:r>
              <w:rPr>
                <w:rFonts w:hint="eastAsia"/>
                <w:sz w:val="24"/>
              </w:rPr>
              <w:t>（2）具有信息系统审计师（CISA）资格证书或一级造价工程师证书或软件工程造价师证书的，每人得1分，最多得2分。证明材料：相关证书（复印件加盖公章）。</w:t>
            </w:r>
          </w:p>
          <w:p>
            <w:pPr>
              <w:spacing w:line="276" w:lineRule="auto"/>
              <w:jc w:val="left"/>
              <w:rPr>
                <w:rFonts w:hint="eastAsia"/>
                <w:sz w:val="24"/>
              </w:rPr>
            </w:pPr>
            <w:r>
              <w:rPr>
                <w:rFonts w:hint="eastAsia"/>
                <w:sz w:val="24"/>
              </w:rPr>
              <w:t>备注：服务团队人员须为供应商的正式员工，提供距离开标时间当月的社保证明（复印件加盖公章）；本项两项同一人不得重复得分。</w:t>
            </w:r>
          </w:p>
        </w:tc>
        <w:tc>
          <w:tcPr>
            <w:tcW w:w="775" w:type="dxa"/>
            <w:vAlign w:val="center"/>
          </w:tcPr>
          <w:p>
            <w:pPr>
              <w:spacing w:line="276" w:lineRule="auto"/>
              <w:jc w:val="center"/>
              <w:rPr>
                <w:rFonts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left"/>
              <w:rPr>
                <w:rFonts w:hint="eastAsia"/>
                <w:sz w:val="24"/>
              </w:rPr>
            </w:pPr>
          </w:p>
        </w:tc>
        <w:tc>
          <w:tcPr>
            <w:tcW w:w="1701" w:type="dxa"/>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拟派服务团队审计经验评价</w:t>
            </w:r>
          </w:p>
          <w:p>
            <w:pPr>
              <w:spacing w:line="276" w:lineRule="auto"/>
              <w:jc w:val="left"/>
              <w:rPr>
                <w:rFonts w:hint="eastAsia"/>
                <w:sz w:val="24"/>
              </w:rPr>
            </w:pPr>
            <w:r>
              <w:rPr>
                <w:rFonts w:hint="eastAsia"/>
                <w:sz w:val="24"/>
              </w:rPr>
              <w:t>1）拟派服务团队人员中2019年至今参与编写的计算机审计案例获得省级审计单位单位优秀（含入围、表彰类）计算机案例的，每篇得1分，最多得4分。</w:t>
            </w:r>
          </w:p>
          <w:p>
            <w:pPr>
              <w:spacing w:line="276" w:lineRule="auto"/>
              <w:jc w:val="left"/>
              <w:rPr>
                <w:rFonts w:hint="eastAsia"/>
                <w:sz w:val="24"/>
              </w:rPr>
            </w:pPr>
            <w:r>
              <w:rPr>
                <w:rFonts w:hint="eastAsia"/>
                <w:sz w:val="24"/>
              </w:rPr>
              <w:t>（2）拟派服务团队人员中的计算机审计工作受到国家审计署表扬每次得1分，最多得1分，获得省级审计单位表扬，每次得1分，最多得2分，获得市级审计单位表演，每次得0.5分，最多得1分。本项最高得4分。</w:t>
            </w:r>
          </w:p>
          <w:p>
            <w:pPr>
              <w:spacing w:line="276" w:lineRule="auto"/>
              <w:jc w:val="left"/>
              <w:rPr>
                <w:rFonts w:hint="eastAsia"/>
                <w:sz w:val="24"/>
              </w:rPr>
            </w:pPr>
            <w:r>
              <w:rPr>
                <w:rFonts w:hint="eastAsia"/>
                <w:sz w:val="24"/>
              </w:rPr>
              <w:t>（3）拟派服务团队人员中2019年至今参与政府投资信息化项目审计服务，信息化项目审计次数≥20次得8分，15≤n＜20得6分，8≤n＜15得4分，4≤n＜8得2分，1≤n＜4得1分。</w:t>
            </w:r>
          </w:p>
          <w:p>
            <w:pPr>
              <w:spacing w:line="276" w:lineRule="auto"/>
              <w:jc w:val="left"/>
              <w:rPr>
                <w:rFonts w:hint="eastAsia"/>
                <w:sz w:val="24"/>
              </w:rPr>
            </w:pPr>
            <w:r>
              <w:rPr>
                <w:rFonts w:hint="eastAsia"/>
                <w:sz w:val="24"/>
              </w:rPr>
              <w:t>提供审计单位出具证明资料或合同等文件。</w:t>
            </w:r>
          </w:p>
        </w:tc>
        <w:tc>
          <w:tcPr>
            <w:tcW w:w="775" w:type="dxa"/>
            <w:vAlign w:val="center"/>
          </w:tcPr>
          <w:p>
            <w:pPr>
              <w:spacing w:line="276" w:lineRule="auto"/>
              <w:jc w:val="left"/>
              <w:rPr>
                <w:rFonts w:hint="eastAsia"/>
                <w:sz w:val="24"/>
              </w:rPr>
            </w:pPr>
            <w:r>
              <w:rPr>
                <w:rFonts w:hint="eastAsia"/>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left"/>
              <w:rPr>
                <w:rFonts w:hint="eastAsia"/>
                <w:sz w:val="24"/>
              </w:rPr>
            </w:pPr>
            <w:r>
              <w:rPr>
                <w:rFonts w:hint="eastAsia"/>
                <w:sz w:val="24"/>
              </w:rPr>
              <w:t>3</w:t>
            </w:r>
          </w:p>
        </w:tc>
        <w:tc>
          <w:tcPr>
            <w:tcW w:w="1701" w:type="dxa"/>
            <w:vAlign w:val="center"/>
          </w:tcPr>
          <w:p>
            <w:pPr>
              <w:spacing w:line="276" w:lineRule="auto"/>
              <w:jc w:val="left"/>
              <w:rPr>
                <w:rFonts w:hint="eastAsia"/>
                <w:sz w:val="24"/>
              </w:rPr>
            </w:pPr>
            <w:r>
              <w:rPr>
                <w:rFonts w:hint="eastAsia"/>
                <w:sz w:val="24"/>
              </w:rPr>
              <w:t>响应与采购需求的符合性评价</w:t>
            </w:r>
          </w:p>
        </w:tc>
        <w:tc>
          <w:tcPr>
            <w:tcW w:w="6804" w:type="dxa"/>
            <w:vAlign w:val="center"/>
          </w:tcPr>
          <w:p>
            <w:pPr>
              <w:spacing w:line="276" w:lineRule="auto"/>
              <w:jc w:val="left"/>
              <w:rPr>
                <w:rFonts w:hint="eastAsia"/>
                <w:sz w:val="24"/>
              </w:rPr>
            </w:pPr>
            <w:r>
              <w:rPr>
                <w:rFonts w:hint="eastAsia"/>
                <w:sz w:val="24"/>
              </w:rPr>
              <w:t>技术（服务）、商务响应与采购需求的符合性评价：</w:t>
            </w:r>
          </w:p>
          <w:p>
            <w:pPr>
              <w:spacing w:line="276" w:lineRule="auto"/>
              <w:jc w:val="left"/>
              <w:rPr>
                <w:rFonts w:hint="eastAsia"/>
                <w:sz w:val="24"/>
              </w:rPr>
            </w:pPr>
            <w:r>
              <w:rPr>
                <w:rFonts w:hint="eastAsia"/>
                <w:sz w:val="24"/>
              </w:rPr>
              <w:t>（1）完全符合采购要求的此项得满分；</w:t>
            </w:r>
          </w:p>
          <w:p>
            <w:pPr>
              <w:spacing w:line="276" w:lineRule="auto"/>
              <w:jc w:val="left"/>
              <w:rPr>
                <w:rFonts w:hint="eastAsia"/>
                <w:sz w:val="24"/>
              </w:rPr>
            </w:pPr>
            <w:r>
              <w:rPr>
                <w:rFonts w:hint="eastAsia"/>
                <w:sz w:val="24"/>
              </w:rPr>
              <w:t>（2）非实质性的一般技术（服务）、商务要求存在负偏离的，每条扣1分,最低得0分。</w:t>
            </w:r>
          </w:p>
        </w:tc>
        <w:tc>
          <w:tcPr>
            <w:tcW w:w="775" w:type="dxa"/>
            <w:vAlign w:val="center"/>
          </w:tcPr>
          <w:p>
            <w:pPr>
              <w:spacing w:line="276" w:lineRule="auto"/>
              <w:jc w:val="left"/>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09" w:type="dxa"/>
            <w:vMerge w:val="restart"/>
            <w:vAlign w:val="center"/>
          </w:tcPr>
          <w:p>
            <w:pPr>
              <w:spacing w:line="276" w:lineRule="auto"/>
              <w:jc w:val="left"/>
              <w:rPr>
                <w:rFonts w:hint="eastAsia"/>
                <w:sz w:val="24"/>
              </w:rPr>
            </w:pPr>
            <w:r>
              <w:rPr>
                <w:rFonts w:hint="eastAsia"/>
                <w:sz w:val="24"/>
              </w:rPr>
              <w:t>4</w:t>
            </w:r>
          </w:p>
        </w:tc>
        <w:tc>
          <w:tcPr>
            <w:tcW w:w="1701" w:type="dxa"/>
            <w:vMerge w:val="restart"/>
            <w:vAlign w:val="center"/>
          </w:tcPr>
          <w:p>
            <w:pPr>
              <w:spacing w:line="276" w:lineRule="auto"/>
              <w:jc w:val="left"/>
              <w:rPr>
                <w:rFonts w:hint="eastAsia"/>
                <w:sz w:val="24"/>
              </w:rPr>
            </w:pPr>
            <w:r>
              <w:rPr>
                <w:rFonts w:hint="eastAsia"/>
                <w:sz w:val="24"/>
              </w:rPr>
              <w:t>技术服务方案评价</w:t>
            </w:r>
          </w:p>
        </w:tc>
        <w:tc>
          <w:tcPr>
            <w:tcW w:w="6804" w:type="dxa"/>
            <w:vAlign w:val="center"/>
          </w:tcPr>
          <w:p>
            <w:pPr>
              <w:spacing w:line="276" w:lineRule="auto"/>
              <w:jc w:val="left"/>
              <w:rPr>
                <w:rFonts w:hint="eastAsia"/>
                <w:sz w:val="24"/>
              </w:rPr>
            </w:pPr>
            <w:r>
              <w:rPr>
                <w:rFonts w:hint="eastAsia"/>
                <w:sz w:val="24"/>
              </w:rPr>
              <w:t>根据投标人对采购需求理解与分析的全面性、合理性评价。供应商应根据采购人提出的采购需求，结合自身行业经验，对本项目的需求进行理解和分析，评委根据理解与分析的全面性、合理性进行评价给分。优得4.1-5.0分，良得2.1-4.0分，一般得1.0-3.0分。最高得5分。</w:t>
            </w:r>
          </w:p>
        </w:tc>
        <w:tc>
          <w:tcPr>
            <w:tcW w:w="775" w:type="dxa"/>
            <w:vAlign w:val="center"/>
          </w:tcPr>
          <w:p>
            <w:pPr>
              <w:spacing w:line="276" w:lineRule="auto"/>
              <w:jc w:val="left"/>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根据投标人针对本项目情况找准关键点，并提出切实可行的特殊控制措施的科学性、合理性、可行性酌情打分。</w:t>
            </w:r>
          </w:p>
          <w:p>
            <w:pPr>
              <w:spacing w:line="276" w:lineRule="auto"/>
              <w:jc w:val="left"/>
              <w:rPr>
                <w:rFonts w:hint="eastAsia"/>
                <w:sz w:val="24"/>
              </w:rPr>
            </w:pPr>
            <w:r>
              <w:rPr>
                <w:rFonts w:hint="eastAsia"/>
                <w:sz w:val="24"/>
              </w:rPr>
              <w:t>优得4.1-5.0分，良得2.1-4.0分，一般得1.0-3.0分。最高得5分。</w:t>
            </w:r>
          </w:p>
        </w:tc>
        <w:tc>
          <w:tcPr>
            <w:tcW w:w="775" w:type="dxa"/>
            <w:vAlign w:val="center"/>
          </w:tcPr>
          <w:p>
            <w:pPr>
              <w:spacing w:line="276" w:lineRule="auto"/>
              <w:jc w:val="left"/>
              <w:rPr>
                <w:rFonts w:hint="eastAsia"/>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根据投标人针对本项目的理解，结合自身专业优势，提出的合理化建议（包含政务信息化项目监管和审计监督方式方法的建议等），评委结合本项目的实际需求进行详细评审比较进行打分。</w:t>
            </w:r>
          </w:p>
          <w:p>
            <w:pPr>
              <w:spacing w:line="276" w:lineRule="auto"/>
              <w:jc w:val="left"/>
              <w:rPr>
                <w:rFonts w:hint="eastAsia"/>
                <w:sz w:val="24"/>
              </w:rPr>
            </w:pPr>
            <w:r>
              <w:rPr>
                <w:rFonts w:hint="eastAsia"/>
                <w:sz w:val="24"/>
              </w:rPr>
              <w:t>优得2.1-3.0分，良得1.1-2.0分，一般得0.1-1.0分。最高得3分。</w:t>
            </w:r>
          </w:p>
        </w:tc>
        <w:tc>
          <w:tcPr>
            <w:tcW w:w="775" w:type="dxa"/>
            <w:vAlign w:val="center"/>
          </w:tcPr>
          <w:p>
            <w:pPr>
              <w:spacing w:line="276" w:lineRule="auto"/>
              <w:jc w:val="left"/>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根据本项目不同审计内容审核程序的完整性、合理性进行评价，酌情打分。</w:t>
            </w:r>
          </w:p>
          <w:p>
            <w:pPr>
              <w:spacing w:line="276" w:lineRule="auto"/>
              <w:jc w:val="left"/>
              <w:rPr>
                <w:rFonts w:hint="eastAsia"/>
                <w:sz w:val="24"/>
              </w:rPr>
            </w:pPr>
            <w:r>
              <w:rPr>
                <w:rFonts w:hint="eastAsia"/>
                <w:sz w:val="24"/>
              </w:rPr>
              <w:t>优得2.1-3.0分，良得1.1-2.0分，一般得0.1-1.0分。最高得3分。</w:t>
            </w:r>
          </w:p>
        </w:tc>
        <w:tc>
          <w:tcPr>
            <w:tcW w:w="775" w:type="dxa"/>
            <w:vAlign w:val="center"/>
          </w:tcPr>
          <w:p>
            <w:pPr>
              <w:spacing w:line="276" w:lineRule="auto"/>
              <w:jc w:val="left"/>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根据风险控制实施方案的合理性、有效性进行评价，酌情打分。</w:t>
            </w:r>
          </w:p>
          <w:p>
            <w:pPr>
              <w:spacing w:line="276" w:lineRule="auto"/>
              <w:jc w:val="left"/>
              <w:rPr>
                <w:rFonts w:hint="eastAsia"/>
                <w:sz w:val="24"/>
              </w:rPr>
            </w:pPr>
            <w:r>
              <w:rPr>
                <w:rFonts w:hint="eastAsia"/>
                <w:sz w:val="24"/>
              </w:rPr>
              <w:t>优得2.1-3.0分，良得1.1-2.0分，一般得0.1-1.0分。最高得3分。</w:t>
            </w:r>
          </w:p>
        </w:tc>
        <w:tc>
          <w:tcPr>
            <w:tcW w:w="775" w:type="dxa"/>
            <w:vAlign w:val="center"/>
          </w:tcPr>
          <w:p>
            <w:pPr>
              <w:spacing w:line="276" w:lineRule="auto"/>
              <w:jc w:val="left"/>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根据审计资料管理方案的合理性、有效性进行评价，酌情打分。</w:t>
            </w:r>
          </w:p>
          <w:p>
            <w:pPr>
              <w:spacing w:line="276" w:lineRule="auto"/>
              <w:jc w:val="left"/>
              <w:rPr>
                <w:rFonts w:hint="eastAsia"/>
                <w:sz w:val="24"/>
              </w:rPr>
            </w:pPr>
            <w:r>
              <w:rPr>
                <w:rFonts w:hint="eastAsia"/>
                <w:sz w:val="24"/>
              </w:rPr>
              <w:t>。</w:t>
            </w:r>
          </w:p>
          <w:p>
            <w:pPr>
              <w:spacing w:line="276" w:lineRule="auto"/>
              <w:jc w:val="left"/>
              <w:rPr>
                <w:rFonts w:hint="eastAsia"/>
                <w:sz w:val="24"/>
              </w:rPr>
            </w:pPr>
            <w:r>
              <w:rPr>
                <w:rFonts w:hint="eastAsia"/>
                <w:sz w:val="24"/>
              </w:rPr>
              <w:t>优得1.5-2.0分，良得0.8-1.4分，一般得0.1-0.7分。最高得2分。</w:t>
            </w:r>
          </w:p>
        </w:tc>
        <w:tc>
          <w:tcPr>
            <w:tcW w:w="775" w:type="dxa"/>
            <w:vAlign w:val="center"/>
          </w:tcPr>
          <w:p>
            <w:pPr>
              <w:spacing w:line="276" w:lineRule="auto"/>
              <w:jc w:val="left"/>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根据质量保证措施方案的合理性、有效性进行评价，酌情打分。</w:t>
            </w:r>
          </w:p>
          <w:p>
            <w:pPr>
              <w:spacing w:line="276" w:lineRule="auto"/>
              <w:jc w:val="left"/>
              <w:rPr>
                <w:rFonts w:hint="eastAsia"/>
                <w:sz w:val="24"/>
              </w:rPr>
            </w:pPr>
            <w:r>
              <w:rPr>
                <w:rFonts w:hint="eastAsia"/>
                <w:sz w:val="24"/>
              </w:rPr>
              <w:t>质量目标、管控科学合理；具有针对性，质量目标达到优良的，得3分；</w:t>
            </w:r>
          </w:p>
          <w:p>
            <w:pPr>
              <w:spacing w:line="276" w:lineRule="auto"/>
              <w:jc w:val="left"/>
              <w:rPr>
                <w:rFonts w:hint="eastAsia"/>
                <w:sz w:val="24"/>
              </w:rPr>
            </w:pPr>
            <w:r>
              <w:rPr>
                <w:rFonts w:hint="eastAsia"/>
                <w:sz w:val="24"/>
              </w:rPr>
              <w:t>质量目标、管控科学合理；具有针对性，质量目标一般的，得2分；</w:t>
            </w:r>
          </w:p>
          <w:p>
            <w:pPr>
              <w:spacing w:line="276" w:lineRule="auto"/>
              <w:jc w:val="left"/>
              <w:rPr>
                <w:rFonts w:hint="eastAsia"/>
                <w:sz w:val="24"/>
              </w:rPr>
            </w:pPr>
            <w:r>
              <w:rPr>
                <w:rFonts w:hint="eastAsia"/>
                <w:sz w:val="24"/>
              </w:rPr>
              <w:t>质量目标、管控科学不合理；不具有针对性，质量目标不达标的，得1分。最高得3分。</w:t>
            </w:r>
          </w:p>
        </w:tc>
        <w:tc>
          <w:tcPr>
            <w:tcW w:w="775" w:type="dxa"/>
            <w:vAlign w:val="center"/>
          </w:tcPr>
          <w:p>
            <w:pPr>
              <w:spacing w:line="276" w:lineRule="auto"/>
              <w:jc w:val="left"/>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根据保密措施、廉政措施方案的合理性、有效性进行评价，酌情打分。</w:t>
            </w:r>
          </w:p>
          <w:p>
            <w:pPr>
              <w:spacing w:line="276" w:lineRule="auto"/>
              <w:jc w:val="left"/>
              <w:rPr>
                <w:rFonts w:hint="eastAsia"/>
                <w:sz w:val="24"/>
              </w:rPr>
            </w:pPr>
            <w:r>
              <w:rPr>
                <w:rFonts w:hint="eastAsia"/>
                <w:sz w:val="24"/>
              </w:rPr>
              <w:t>优得2.1-3.0分，良得1.1-2.0分，一般得0.1-1.0分。最高得3分。</w:t>
            </w:r>
          </w:p>
        </w:tc>
        <w:tc>
          <w:tcPr>
            <w:tcW w:w="775" w:type="dxa"/>
            <w:vAlign w:val="center"/>
          </w:tcPr>
          <w:p>
            <w:pPr>
              <w:spacing w:line="276" w:lineRule="auto"/>
              <w:jc w:val="left"/>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根据进度控制措施方案的合理性、有效性进行评价，酌情打分。</w:t>
            </w:r>
          </w:p>
          <w:p>
            <w:pPr>
              <w:spacing w:line="276" w:lineRule="auto"/>
              <w:jc w:val="left"/>
              <w:rPr>
                <w:rFonts w:hint="eastAsia"/>
                <w:sz w:val="24"/>
              </w:rPr>
            </w:pPr>
            <w:r>
              <w:rPr>
                <w:rFonts w:hint="eastAsia"/>
                <w:sz w:val="24"/>
              </w:rPr>
              <w:t>优得2.1-3.0分，良得1.1-2.0分，一般得0.1-1.0分。最高得3分。</w:t>
            </w:r>
          </w:p>
        </w:tc>
        <w:tc>
          <w:tcPr>
            <w:tcW w:w="775" w:type="dxa"/>
            <w:vAlign w:val="center"/>
          </w:tcPr>
          <w:p>
            <w:pPr>
              <w:spacing w:line="276" w:lineRule="auto"/>
              <w:jc w:val="left"/>
              <w:rPr>
                <w:rFonts w:hint="eastAsia"/>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76" w:lineRule="auto"/>
              <w:jc w:val="left"/>
              <w:rPr>
                <w:rFonts w:hint="eastAsia"/>
                <w:sz w:val="24"/>
              </w:rPr>
            </w:pPr>
          </w:p>
        </w:tc>
        <w:tc>
          <w:tcPr>
            <w:tcW w:w="1701" w:type="dxa"/>
            <w:vMerge w:val="continue"/>
            <w:vAlign w:val="center"/>
          </w:tcPr>
          <w:p>
            <w:pPr>
              <w:spacing w:line="276" w:lineRule="auto"/>
              <w:jc w:val="left"/>
              <w:rPr>
                <w:rFonts w:hint="eastAsia"/>
                <w:sz w:val="24"/>
              </w:rPr>
            </w:pPr>
          </w:p>
        </w:tc>
        <w:tc>
          <w:tcPr>
            <w:tcW w:w="6804" w:type="dxa"/>
            <w:vAlign w:val="center"/>
          </w:tcPr>
          <w:p>
            <w:pPr>
              <w:spacing w:line="276" w:lineRule="auto"/>
              <w:jc w:val="left"/>
              <w:rPr>
                <w:rFonts w:hint="eastAsia"/>
                <w:sz w:val="24"/>
              </w:rPr>
            </w:pPr>
            <w:r>
              <w:rPr>
                <w:rFonts w:hint="eastAsia"/>
                <w:sz w:val="24"/>
              </w:rPr>
              <w:t>根据培训方案的合理性、有效性进行评价，酌情打分。。</w:t>
            </w:r>
          </w:p>
          <w:p>
            <w:pPr>
              <w:spacing w:line="276" w:lineRule="auto"/>
              <w:jc w:val="left"/>
              <w:rPr>
                <w:rFonts w:hint="eastAsia"/>
                <w:sz w:val="24"/>
              </w:rPr>
            </w:pPr>
            <w:r>
              <w:rPr>
                <w:rFonts w:hint="eastAsia"/>
                <w:sz w:val="24"/>
              </w:rPr>
              <w:t>优得1.5-2.0分，良得0.8-1.4分，一般得0.1-0.7分。最高得2分。</w:t>
            </w:r>
          </w:p>
        </w:tc>
        <w:tc>
          <w:tcPr>
            <w:tcW w:w="775" w:type="dxa"/>
            <w:vAlign w:val="center"/>
          </w:tcPr>
          <w:p>
            <w:pPr>
              <w:spacing w:line="276" w:lineRule="auto"/>
              <w:jc w:val="left"/>
              <w:rPr>
                <w:rFonts w:hint="eastAsia"/>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left"/>
              <w:rPr>
                <w:rFonts w:hint="eastAsia"/>
                <w:sz w:val="24"/>
              </w:rPr>
            </w:pPr>
          </w:p>
        </w:tc>
        <w:tc>
          <w:tcPr>
            <w:tcW w:w="1701" w:type="dxa"/>
            <w:vAlign w:val="center"/>
          </w:tcPr>
          <w:p>
            <w:pPr>
              <w:spacing w:line="276" w:lineRule="auto"/>
              <w:jc w:val="left"/>
              <w:rPr>
                <w:rFonts w:hint="eastAsia"/>
                <w:sz w:val="24"/>
              </w:rPr>
            </w:pPr>
            <w:r>
              <w:rPr>
                <w:rFonts w:hint="eastAsia"/>
                <w:sz w:val="24"/>
              </w:rPr>
              <w:t>审计经验演示</w:t>
            </w:r>
          </w:p>
        </w:tc>
        <w:tc>
          <w:tcPr>
            <w:tcW w:w="6804" w:type="dxa"/>
            <w:vAlign w:val="center"/>
          </w:tcPr>
          <w:p>
            <w:pPr>
              <w:spacing w:line="276" w:lineRule="auto"/>
              <w:jc w:val="left"/>
              <w:rPr>
                <w:rFonts w:hint="eastAsia"/>
                <w:sz w:val="24"/>
              </w:rPr>
            </w:pPr>
            <w:r>
              <w:rPr>
                <w:rFonts w:hint="eastAsia"/>
                <w:sz w:val="24"/>
              </w:rPr>
              <w:t>对2021年1月1日至今所完成的计算机审计服务或计算机相关工作业绩典型案例制作成电子演示文件录制成视频，并配有解说。每家单位介绍时间不得超过5分钟，评标委员会根据投标人的发现问题，审计技术方法、查找问题思路等方面的典型案例，基于演示情况及熟练程度打分。（视频演示内容文件请拷贝U盘并单独密封包装）。未提供不得分。</w:t>
            </w:r>
          </w:p>
        </w:tc>
        <w:tc>
          <w:tcPr>
            <w:tcW w:w="775" w:type="dxa"/>
            <w:vAlign w:val="center"/>
          </w:tcPr>
          <w:p>
            <w:pPr>
              <w:spacing w:line="276" w:lineRule="auto"/>
              <w:jc w:val="left"/>
              <w:rPr>
                <w:rFonts w:hint="eastAsia"/>
                <w:sz w:val="24"/>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14" w:type="dxa"/>
            <w:gridSpan w:val="3"/>
            <w:vAlign w:val="center"/>
          </w:tcPr>
          <w:p>
            <w:pPr>
              <w:spacing w:line="276" w:lineRule="auto"/>
              <w:jc w:val="left"/>
              <w:rPr>
                <w:rFonts w:hint="eastAsia"/>
                <w:sz w:val="24"/>
              </w:rPr>
            </w:pPr>
            <w:r>
              <w:rPr>
                <w:rFonts w:hint="eastAsia"/>
                <w:sz w:val="24"/>
              </w:rPr>
              <w:t>合计</w:t>
            </w:r>
          </w:p>
        </w:tc>
        <w:tc>
          <w:tcPr>
            <w:tcW w:w="775" w:type="dxa"/>
            <w:vAlign w:val="center"/>
          </w:tcPr>
          <w:p>
            <w:pPr>
              <w:spacing w:line="276" w:lineRule="auto"/>
              <w:jc w:val="left"/>
              <w:rPr>
                <w:rFonts w:hint="eastAsia"/>
                <w:sz w:val="24"/>
              </w:rPr>
            </w:pPr>
            <w:r>
              <w:rPr>
                <w:rFonts w:hint="eastAsia"/>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14" w:type="dxa"/>
            <w:gridSpan w:val="3"/>
            <w:vAlign w:val="center"/>
          </w:tcPr>
          <w:p>
            <w:pPr>
              <w:spacing w:line="276" w:lineRule="auto"/>
              <w:jc w:val="left"/>
              <w:rPr>
                <w:rFonts w:hint="eastAsia"/>
                <w:sz w:val="24"/>
              </w:rPr>
            </w:pPr>
            <w:r>
              <w:rPr>
                <w:rFonts w:hint="eastAsia"/>
                <w:sz w:val="24"/>
              </w:rPr>
              <w:t>有效投标报价的最低价作为评标基准价，其最低报价为满分；按［投标报价得分=（评标基准价/投标报价）*20］的计算公式计算。</w:t>
            </w:r>
          </w:p>
          <w:p>
            <w:pPr>
              <w:spacing w:line="276" w:lineRule="auto"/>
              <w:jc w:val="left"/>
              <w:rPr>
                <w:rFonts w:hint="eastAsia"/>
                <w:sz w:val="24"/>
              </w:rPr>
            </w:pPr>
            <w:r>
              <w:rPr>
                <w:rFonts w:hint="eastAsia"/>
                <w:sz w:val="24"/>
              </w:rPr>
              <w:t>评标过程中，不得去掉报价中的最高报价和最低报价。</w:t>
            </w:r>
          </w:p>
          <w:p>
            <w:pPr>
              <w:spacing w:line="276" w:lineRule="auto"/>
              <w:jc w:val="left"/>
              <w:rPr>
                <w:rFonts w:hint="eastAsia"/>
                <w:sz w:val="24"/>
              </w:rPr>
            </w:pPr>
            <w:r>
              <w:rPr>
                <w:rFonts w:hint="eastAsia"/>
                <w:sz w:val="24"/>
              </w:rPr>
              <w:t>因落实政府采购政策需要进行价格调整的，以调整后的价格计算评标基准价和投标报价。</w:t>
            </w:r>
          </w:p>
        </w:tc>
        <w:tc>
          <w:tcPr>
            <w:tcW w:w="775" w:type="dxa"/>
            <w:vAlign w:val="center"/>
          </w:tcPr>
          <w:p>
            <w:pPr>
              <w:spacing w:line="276" w:lineRule="auto"/>
              <w:jc w:val="left"/>
              <w:rPr>
                <w:rFonts w:hint="eastAsia"/>
                <w:sz w:val="24"/>
              </w:rPr>
            </w:pPr>
            <w:r>
              <w:rPr>
                <w:rFonts w:hint="eastAsia"/>
                <w:sz w:val="24"/>
              </w:rPr>
              <w:t>20</w:t>
            </w:r>
          </w:p>
        </w:tc>
      </w:tr>
    </w:tbl>
    <w:p>
      <w:pPr>
        <w:spacing w:line="276" w:lineRule="auto"/>
        <w:jc w:val="left"/>
        <w:rPr>
          <w:rFonts w:hint="eastAsia"/>
          <w:sz w:val="24"/>
        </w:rPr>
      </w:pPr>
      <w:r>
        <w:rPr>
          <w:rFonts w:hint="eastAsia"/>
          <w:sz w:val="24"/>
        </w:rPr>
        <w:t>评标办法前附表</w:t>
      </w:r>
    </w:p>
    <w:p>
      <w:pPr>
        <w:spacing w:line="276" w:lineRule="auto"/>
        <w:jc w:val="left"/>
        <w:rPr>
          <w:rFonts w:hint="eastAsia"/>
          <w:sz w:val="24"/>
        </w:rPr>
      </w:pPr>
    </w:p>
    <w:p>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cs="宋体"/>
          <w:b/>
          <w:bCs/>
          <w:sz w:val="32"/>
          <w:szCs w:val="32"/>
        </w:rPr>
      </w:pPr>
      <w:r>
        <w:rPr>
          <w:rFonts w:hint="eastAsia" w:ascii="宋体" w:hAnsi="宋体" w:cs="宋体"/>
          <w:b/>
          <w:bCs/>
          <w:sz w:val="32"/>
          <w:szCs w:val="32"/>
        </w:rPr>
        <w:t>一、评标方法</w:t>
      </w:r>
    </w:p>
    <w:p>
      <w:pPr>
        <w:snapToGrid w:val="0"/>
        <w:spacing w:line="360" w:lineRule="auto"/>
        <w:rPr>
          <w:rFonts w:hint="eastAsia" w:ascii="宋体" w:hAnsi="宋体" w:cs="宋体"/>
          <w:sz w:val="24"/>
        </w:rPr>
      </w:pPr>
      <w:r>
        <w:rPr>
          <w:rFonts w:hint="eastAsia" w:ascii="宋体" w:hAnsi="宋体" w:cs="宋体"/>
          <w:sz w:val="24"/>
        </w:rPr>
        <w:t>1.本项目采用综合评分法。综合评分法，是指投标文件满足招标文件全部实质性要求，且按照评审因素的量化指标评审得分最高的投标人为中标候选人的评标方法。</w:t>
      </w:r>
    </w:p>
    <w:p>
      <w:pPr>
        <w:snapToGrid w:val="0"/>
        <w:spacing w:line="360" w:lineRule="auto"/>
        <w:rPr>
          <w:rFonts w:hint="eastAsia" w:ascii="宋体" w:hAnsi="宋体" w:cs="宋体"/>
          <w:b/>
          <w:bCs/>
          <w:sz w:val="32"/>
          <w:szCs w:val="32"/>
        </w:rPr>
      </w:pPr>
      <w:r>
        <w:rPr>
          <w:rFonts w:hint="eastAsia" w:ascii="宋体" w:hAnsi="宋体" w:cs="宋体"/>
          <w:b/>
          <w:bCs/>
          <w:sz w:val="32"/>
          <w:szCs w:val="32"/>
        </w:rPr>
        <w:t>二、评标标准</w:t>
      </w:r>
    </w:p>
    <w:p>
      <w:pPr>
        <w:snapToGrid w:val="0"/>
        <w:spacing w:line="360" w:lineRule="auto"/>
        <w:rPr>
          <w:rFonts w:hint="eastAsia" w:ascii="宋体" w:hAnsi="宋体" w:cs="宋体"/>
          <w:sz w:val="24"/>
        </w:rPr>
      </w:pPr>
      <w:r>
        <w:rPr>
          <w:rFonts w:hint="eastAsia" w:ascii="宋体" w:hAnsi="宋体" w:cs="宋体"/>
          <w:sz w:val="24"/>
        </w:rPr>
        <w:t>2. 评标标准：见评标办法前附表。</w:t>
      </w:r>
    </w:p>
    <w:p>
      <w:pPr>
        <w:snapToGrid w:val="0"/>
        <w:spacing w:line="360" w:lineRule="auto"/>
        <w:rPr>
          <w:rFonts w:hint="eastAsia" w:ascii="宋体" w:hAnsi="宋体" w:cs="宋体"/>
          <w:b/>
          <w:bCs/>
          <w:sz w:val="32"/>
          <w:szCs w:val="32"/>
        </w:rPr>
      </w:pPr>
      <w:r>
        <w:rPr>
          <w:rFonts w:hint="eastAsia" w:ascii="宋体" w:hAnsi="宋体" w:cs="宋体"/>
          <w:b/>
          <w:bCs/>
          <w:sz w:val="32"/>
          <w:szCs w:val="32"/>
        </w:rPr>
        <w:t>三、评标程序</w:t>
      </w:r>
    </w:p>
    <w:p>
      <w:pPr>
        <w:snapToGrid w:val="0"/>
        <w:spacing w:line="360" w:lineRule="auto"/>
        <w:rPr>
          <w:rFonts w:hint="eastAsia" w:ascii="宋体" w:hAnsi="宋体" w:cs="宋体"/>
          <w:sz w:val="24"/>
        </w:rPr>
      </w:pPr>
      <w:r>
        <w:rPr>
          <w:rFonts w:hint="eastAsia" w:ascii="宋体" w:hAnsi="宋体" w:cs="宋体"/>
          <w:sz w:val="24"/>
        </w:rPr>
        <w:t>3.1符合性审查。评标委员会应当对符合资格的投标人的投标文件进行符合性审查，以确定其是否满足招标文件的实质性要求。不满足招标文件的实质性要求的，投标无效。</w:t>
      </w:r>
    </w:p>
    <w:p>
      <w:pPr>
        <w:snapToGrid w:val="0"/>
        <w:spacing w:line="360" w:lineRule="auto"/>
        <w:rPr>
          <w:rFonts w:hint="eastAsia" w:ascii="宋体" w:hAnsi="宋体" w:cs="宋体"/>
          <w:sz w:val="24"/>
        </w:rPr>
      </w:pPr>
      <w:r>
        <w:rPr>
          <w:rFonts w:hint="eastAsia" w:ascii="宋体" w:hAnsi="宋体" w:cs="宋体"/>
          <w:sz w:val="24"/>
        </w:rPr>
        <w:t>3.2 比较与评价。评标委员会应当按照招标文件中规定的评标方法和标准，对符合性审查合格的投标文件进行商务和技术评估，综合比较与评价。</w:t>
      </w:r>
    </w:p>
    <w:p>
      <w:pPr>
        <w:snapToGrid w:val="0"/>
        <w:spacing w:line="360" w:lineRule="auto"/>
        <w:rPr>
          <w:rFonts w:hint="eastAsia" w:ascii="宋体" w:hAnsi="宋体" w:cs="宋体"/>
          <w:sz w:val="24"/>
        </w:rPr>
      </w:pPr>
      <w:r>
        <w:rPr>
          <w:rFonts w:hint="eastAsia" w:ascii="宋体" w:hAnsi="宋体" w:cs="宋体"/>
          <w:sz w:val="24"/>
        </w:rPr>
        <w:t>3.3汇总商务技术得分。评标委员会各成员应当独立对每个投标人的商务和技术文件进行评价，并汇总商务技术得分情况。</w:t>
      </w:r>
    </w:p>
    <w:p>
      <w:pPr>
        <w:snapToGrid w:val="0"/>
        <w:spacing w:line="360" w:lineRule="auto"/>
        <w:rPr>
          <w:rFonts w:hint="eastAsia" w:ascii="宋体" w:hAnsi="宋体" w:cs="宋体"/>
          <w:sz w:val="24"/>
        </w:rPr>
      </w:pPr>
      <w:r>
        <w:rPr>
          <w:rFonts w:hint="eastAsia" w:ascii="宋体" w:hAnsi="宋体" w:cs="宋体"/>
          <w:sz w:val="24"/>
        </w:rPr>
        <w:t>3.4报价评审。</w:t>
      </w:r>
    </w:p>
    <w:p>
      <w:pPr>
        <w:snapToGrid w:val="0"/>
        <w:spacing w:line="360" w:lineRule="auto"/>
        <w:rPr>
          <w:rFonts w:hint="eastAsia" w:ascii="宋体" w:hAnsi="宋体" w:cs="宋体"/>
          <w:sz w:val="24"/>
        </w:rPr>
      </w:pPr>
      <w:r>
        <w:rPr>
          <w:rFonts w:hint="eastAsia" w:ascii="宋体" w:hAnsi="宋体" w:cs="宋体"/>
          <w:sz w:val="24"/>
        </w:rPr>
        <w:t>3.4.1投标文件报价出现前后不一致的，按照下列规定修正：</w:t>
      </w:r>
    </w:p>
    <w:p>
      <w:pPr>
        <w:snapToGrid w:val="0"/>
        <w:spacing w:line="360" w:lineRule="auto"/>
        <w:rPr>
          <w:rFonts w:hint="eastAsia" w:ascii="宋体" w:hAnsi="宋体" w:cs="宋体"/>
          <w:sz w:val="24"/>
        </w:rPr>
      </w:pPr>
      <w:r>
        <w:rPr>
          <w:rFonts w:hint="eastAsia" w:ascii="宋体" w:hAnsi="宋体" w:cs="宋体"/>
          <w:sz w:val="24"/>
        </w:rPr>
        <w:t>3.4.1.1投标文件中开标一览表(报价表)内容与投标文件中相应内容不一致的，以开标一览表(报价表)为准;</w:t>
      </w:r>
    </w:p>
    <w:p>
      <w:pPr>
        <w:snapToGrid w:val="0"/>
        <w:spacing w:line="360" w:lineRule="auto"/>
        <w:rPr>
          <w:rFonts w:hint="eastAsia" w:ascii="宋体" w:hAnsi="宋体" w:cs="宋体"/>
          <w:sz w:val="24"/>
        </w:rPr>
      </w:pPr>
      <w:r>
        <w:rPr>
          <w:rFonts w:hint="eastAsia" w:ascii="宋体" w:hAnsi="宋体" w:cs="宋体"/>
          <w:sz w:val="24"/>
        </w:rPr>
        <w:t>3.4.1.2大写金额和小写金额不一致的，以大写金额为准;</w:t>
      </w:r>
    </w:p>
    <w:p>
      <w:pPr>
        <w:snapToGrid w:val="0"/>
        <w:spacing w:line="360" w:lineRule="auto"/>
        <w:rPr>
          <w:rFonts w:hint="eastAsia" w:ascii="宋体" w:hAnsi="宋体" w:cs="宋体"/>
          <w:sz w:val="24"/>
        </w:rPr>
      </w:pPr>
      <w:r>
        <w:rPr>
          <w:rFonts w:hint="eastAsia" w:ascii="宋体" w:hAnsi="宋体" w:cs="宋体"/>
          <w:sz w:val="24"/>
        </w:rPr>
        <w:t>3.4.1.3单价金额小数点或者百分比有明显错位的，以开标一览表的总价为准，并修改单价;</w:t>
      </w:r>
    </w:p>
    <w:p>
      <w:pPr>
        <w:snapToGrid w:val="0"/>
        <w:spacing w:line="360" w:lineRule="auto"/>
        <w:rPr>
          <w:rFonts w:hint="eastAsia" w:ascii="宋体" w:hAnsi="宋体" w:cs="宋体"/>
          <w:sz w:val="24"/>
        </w:rPr>
      </w:pPr>
      <w:r>
        <w:rPr>
          <w:rFonts w:hint="eastAsia" w:ascii="宋体" w:hAnsi="宋体" w:cs="宋体"/>
          <w:sz w:val="24"/>
        </w:rPr>
        <w:t>3.4.1.4总价金额与按单价汇总金额不一致的，以单价金额计算结果为准。</w:t>
      </w:r>
    </w:p>
    <w:p>
      <w:pPr>
        <w:snapToGrid w:val="0"/>
        <w:spacing w:line="360" w:lineRule="auto"/>
        <w:rPr>
          <w:rFonts w:ascii="宋体" w:hAnsi="宋体" w:cs="宋体"/>
          <w:kern w:val="0"/>
          <w:szCs w:val="24"/>
        </w:rPr>
      </w:pPr>
      <w:r>
        <w:rPr>
          <w:rFonts w:hint="eastAsia" w:ascii="宋体" w:hAnsi="宋体" w:cs="宋体"/>
          <w:sz w:val="24"/>
        </w:rPr>
        <w:t>3.4.1.5同时出现两种以上不一致的，按照3.4.1规定的顺序修正。修正后的报价按照财政部第87号令 《政府采购货物和服务招标投标管理办法》第五十一条第二款的规定经投标人确认后产</w:t>
      </w:r>
      <w:r>
        <w:rPr>
          <w:rFonts w:hint="eastAsia" w:ascii="宋体" w:hAnsi="宋体" w:cs="宋体"/>
          <w:kern w:val="0"/>
          <w:szCs w:val="24"/>
        </w:rPr>
        <w:t>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0" w:firstLineChars="196"/>
        <w:rPr>
          <w:rFonts w:hint="eastAsia" w:ascii="宋体" w:hAnsi="宋体" w:cs="宋体"/>
          <w:b/>
          <w:bCs/>
          <w:kern w:val="0"/>
          <w:sz w:val="32"/>
          <w:szCs w:val="32"/>
        </w:rPr>
      </w:pPr>
      <w:r>
        <w:rPr>
          <w:rFonts w:hint="eastAsia" w:ascii="宋体" w:hAnsi="宋体" w:cs="宋体"/>
          <w:b/>
          <w:bCs/>
          <w:kern w:val="0"/>
          <w:sz w:val="32"/>
          <w:szCs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5"/>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pStyle w:val="25"/>
        <w:snapToGrid w:val="0"/>
        <w:spacing w:line="360" w:lineRule="auto"/>
        <w:ind w:firstLine="0" w:firstLineChars="0"/>
        <w:rPr>
          <w:rFonts w:cs="宋体"/>
        </w:rPr>
      </w:pPr>
    </w:p>
    <w:bookmarkEnd w:id="26"/>
    <w:p>
      <w:pPr>
        <w:spacing w:line="360" w:lineRule="auto"/>
        <w:ind w:left="720" w:leftChars="343" w:firstLine="1084" w:firstLineChars="300"/>
        <w:outlineLvl w:val="0"/>
        <w:rPr>
          <w:rFonts w:ascii="宋体" w:hAnsi="宋体" w:cs="宋体"/>
          <w:b/>
          <w:sz w:val="36"/>
          <w:szCs w:val="36"/>
        </w:rPr>
      </w:pPr>
      <w:bookmarkStart w:id="392" w:name="第五部分"/>
      <w:bookmarkStart w:id="393"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w:t>
      </w:r>
      <w:del w:id="16" w:author="金 律师" w:date="2022-06-14T14:12:00Z">
        <w:r>
          <w:rPr>
            <w:rFonts w:hint="eastAsia" w:ascii="宋体" w:hAnsi="宋体" w:cs="宋体"/>
            <w:b/>
            <w:sz w:val="36"/>
            <w:szCs w:val="36"/>
          </w:rPr>
          <w:delText>货物</w:delText>
        </w:r>
      </w:del>
      <w:ins w:id="17" w:author="金 律师" w:date="2022-06-14T14:12:00Z">
        <w:r>
          <w:rPr>
            <w:rFonts w:hint="eastAsia" w:ascii="宋体" w:hAnsi="宋体" w:cs="宋体"/>
            <w:b/>
            <w:sz w:val="36"/>
            <w:szCs w:val="36"/>
          </w:rPr>
          <w:t>服务</w:t>
        </w:r>
      </w:ins>
      <w:r>
        <w:rPr>
          <w:rFonts w:hint="eastAsia" w:ascii="宋体" w:hAnsi="宋体" w:cs="宋体"/>
          <w:b/>
          <w:sz w:val="36"/>
          <w:szCs w:val="36"/>
        </w:rPr>
        <w:t>类）</w:t>
      </w:r>
    </w:p>
    <w:p>
      <w:pPr>
        <w:pStyle w:val="700"/>
        <w:rPr>
          <w:rFonts w:ascii="宋体" w:hAnsi="宋体" w:cs="宋体"/>
          <w:szCs w:val="24"/>
        </w:rPr>
      </w:pPr>
    </w:p>
    <w:p>
      <w:pPr>
        <w:pStyle w:val="70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w:t>
      </w:r>
      <w:ins w:id="18" w:author="金 律师" w:date="2022-06-14T14:15:00Z">
        <w:r>
          <w:rPr>
            <w:rFonts w:hint="eastAsia" w:ascii="宋体" w:hAnsi="宋体" w:cs="宋体"/>
            <w:sz w:val="24"/>
            <w:lang w:val="zh-CN"/>
          </w:rPr>
          <w:t>环保</w:t>
        </w:r>
      </w:ins>
      <w:r>
        <w:rPr>
          <w:rFonts w:hint="eastAsia" w:ascii="宋体" w:hAnsi="宋体" w:cs="宋体"/>
          <w:sz w:val="24"/>
          <w:lang w:val="zh-CN"/>
        </w:rPr>
        <w:t>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4" w:name="_Toc24059"/>
      <w:bookmarkStart w:id="395" w:name="_Toc2232"/>
      <w:bookmarkStart w:id="396" w:name="_Toc3029"/>
      <w:r>
        <w:rPr>
          <w:rFonts w:hint="eastAsia" w:ascii="宋体" w:hAnsi="宋体" w:cs="宋体"/>
          <w:b/>
          <w:sz w:val="24"/>
        </w:rPr>
        <w:t>1.1 合同组成部分</w:t>
      </w:r>
      <w:bookmarkEnd w:id="394"/>
      <w:bookmarkEnd w:id="395"/>
      <w:bookmarkEnd w:id="396"/>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7" w:name="_Toc27126"/>
      <w:bookmarkStart w:id="398" w:name="_Toc21295"/>
      <w:bookmarkStart w:id="399" w:name="_Toc24300"/>
      <w:r>
        <w:rPr>
          <w:rFonts w:hint="eastAsia" w:ascii="宋体" w:hAnsi="宋体" w:cs="宋体"/>
          <w:b/>
          <w:sz w:val="24"/>
        </w:rPr>
        <w:t xml:space="preserve">1.2 </w:t>
      </w:r>
      <w:del w:id="19" w:author="金 律师" w:date="2022-06-14T14:15:00Z">
        <w:r>
          <w:rPr>
            <w:rFonts w:hint="eastAsia" w:ascii="宋体" w:hAnsi="宋体" w:cs="宋体"/>
            <w:b/>
            <w:sz w:val="24"/>
          </w:rPr>
          <w:delText>货物</w:delText>
        </w:r>
        <w:bookmarkEnd w:id="397"/>
        <w:bookmarkEnd w:id="398"/>
        <w:bookmarkEnd w:id="399"/>
      </w:del>
      <w:ins w:id="20" w:author="金 律师" w:date="2022-06-14T14:15:00Z">
        <w:r>
          <w:rPr>
            <w:rFonts w:hint="eastAsia" w:ascii="宋体" w:hAnsi="宋体" w:cs="宋体"/>
            <w:b/>
            <w:sz w:val="24"/>
          </w:rPr>
          <w:t>服务</w:t>
        </w:r>
      </w:ins>
    </w:p>
    <w:p>
      <w:pPr>
        <w:spacing w:line="560" w:lineRule="exact"/>
        <w:ind w:firstLine="480" w:firstLineChars="200"/>
        <w:rPr>
          <w:rFonts w:ascii="宋体" w:hAnsi="宋体" w:cs="宋体"/>
          <w:sz w:val="24"/>
          <w:u w:val="single"/>
        </w:rPr>
      </w:pPr>
      <w:r>
        <w:rPr>
          <w:rFonts w:hint="eastAsia" w:ascii="宋体" w:hAnsi="宋体" w:cs="宋体"/>
          <w:sz w:val="24"/>
        </w:rPr>
        <w:t xml:space="preserve">1.2.1 </w:t>
      </w:r>
      <w:del w:id="21" w:author="金 律师" w:date="2022-06-14T14:16:00Z">
        <w:r>
          <w:rPr>
            <w:rFonts w:hint="eastAsia" w:ascii="宋体" w:hAnsi="宋体" w:cs="宋体"/>
            <w:sz w:val="24"/>
          </w:rPr>
          <w:delText>货物</w:delText>
        </w:r>
      </w:del>
      <w:ins w:id="22" w:author="金 律师" w:date="2022-06-14T14:16:00Z">
        <w:r>
          <w:rPr>
            <w:rFonts w:hint="eastAsia" w:ascii="宋体" w:hAnsi="宋体" w:cs="宋体"/>
            <w:sz w:val="24"/>
          </w:rPr>
          <w:t>服务</w:t>
        </w:r>
      </w:ins>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 xml:space="preserve">1.2.2 </w:t>
      </w:r>
      <w:del w:id="23" w:author="金 律师" w:date="2022-06-14T14:16:00Z">
        <w:r>
          <w:rPr>
            <w:rFonts w:hint="eastAsia" w:ascii="宋体" w:hAnsi="宋体" w:cs="宋体"/>
            <w:sz w:val="24"/>
          </w:rPr>
          <w:delText>货物</w:delText>
        </w:r>
      </w:del>
      <w:ins w:id="24" w:author="金 律师" w:date="2022-06-14T14:16:00Z">
        <w:r>
          <w:rPr>
            <w:rFonts w:hint="eastAsia" w:ascii="宋体" w:hAnsi="宋体" w:cs="宋体"/>
            <w:sz w:val="24"/>
          </w:rPr>
          <w:t>服务</w:t>
        </w:r>
      </w:ins>
      <w:r>
        <w:rPr>
          <w:rFonts w:hint="eastAsia" w:ascii="宋体" w:hAnsi="宋体" w:cs="宋体"/>
          <w:sz w:val="24"/>
        </w:rPr>
        <w:t>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 xml:space="preserve">1.2.3 </w:t>
      </w:r>
      <w:del w:id="25" w:author="金 律师" w:date="2022-06-14T14:16:00Z">
        <w:r>
          <w:rPr>
            <w:rFonts w:hint="eastAsia" w:ascii="宋体" w:hAnsi="宋体" w:cs="宋体"/>
            <w:sz w:val="24"/>
          </w:rPr>
          <w:delText>货物</w:delText>
        </w:r>
      </w:del>
      <w:ins w:id="26" w:author="金 律师" w:date="2022-06-14T14:16:00Z">
        <w:r>
          <w:rPr>
            <w:rFonts w:hint="eastAsia" w:ascii="宋体" w:hAnsi="宋体" w:cs="宋体"/>
            <w:sz w:val="24"/>
          </w:rPr>
          <w:t>服务</w:t>
        </w:r>
      </w:ins>
      <w:r>
        <w:rPr>
          <w:rFonts w:hint="eastAsia" w:ascii="宋体" w:hAnsi="宋体" w:cs="宋体"/>
          <w:sz w:val="24"/>
        </w:rPr>
        <w:t>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0" w:name="_Toc21551"/>
      <w:bookmarkStart w:id="401" w:name="_Toc23292"/>
      <w:bookmarkStart w:id="402" w:name="_Toc21631"/>
      <w:r>
        <w:rPr>
          <w:rFonts w:hint="eastAsia" w:ascii="宋体" w:hAnsi="宋体" w:cs="宋体"/>
          <w:b/>
          <w:sz w:val="24"/>
        </w:rPr>
        <w:t>1.3 价款</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本合同</w:t>
      </w:r>
      <w:ins w:id="27" w:author="金 律师" w:date="2022-06-14T14:16:00Z">
        <w:r>
          <w:rPr>
            <w:rFonts w:hint="eastAsia" w:ascii="宋体" w:hAnsi="宋体" w:cs="宋体"/>
            <w:sz w:val="24"/>
          </w:rPr>
          <w:t>含税</w:t>
        </w:r>
      </w:ins>
      <w:r>
        <w:rPr>
          <w:rFonts w:hint="eastAsia" w:ascii="宋体" w:hAnsi="宋体" w:cs="宋体"/>
          <w:sz w:val="24"/>
        </w:rPr>
        <w:t>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3" w:name="_Toc1814"/>
      <w:bookmarkStart w:id="404" w:name="_Toc10340"/>
      <w:bookmarkStart w:id="405" w:name="_Toc22618"/>
      <w:r>
        <w:rPr>
          <w:rFonts w:hint="eastAsia" w:ascii="宋体" w:hAnsi="宋体" w:cs="宋体"/>
          <w:b/>
          <w:sz w:val="24"/>
        </w:rPr>
        <w:t>1.4 付款</w:t>
      </w:r>
      <w:bookmarkEnd w:id="403"/>
      <w:bookmarkEnd w:id="404"/>
      <w:bookmarkEnd w:id="405"/>
      <w:r>
        <w:rPr>
          <w:rFonts w:hint="eastAsia" w:ascii="宋体" w:hAnsi="宋体" w:cs="宋体"/>
          <w:b/>
          <w:sz w:val="24"/>
        </w:rPr>
        <w:t>方式、时间和条件</w:t>
      </w:r>
    </w:p>
    <w:p>
      <w:pPr>
        <w:pStyle w:val="958"/>
        <w:spacing w:before="0" w:beforeAutospacing="0" w:after="0" w:afterAutospacing="0" w:line="360" w:lineRule="auto"/>
        <w:ind w:firstLine="480"/>
        <w:rPr>
          <w:del w:id="28" w:author="金 律师" w:date="2022-06-14T14:19:00Z"/>
        </w:rPr>
      </w:pPr>
      <w:del w:id="29" w:author="金 律师" w:date="2022-06-14T14:19:00Z">
        <w:r>
          <w:rPr>
            <w:rFonts w:hint="eastAsia"/>
          </w:rPr>
          <w:delTex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delText>
        </w:r>
      </w:del>
    </w:p>
    <w:p>
      <w:pPr>
        <w:spacing w:line="560" w:lineRule="exact"/>
        <w:ind w:firstLine="480" w:firstLineChars="200"/>
        <w:rPr>
          <w:del w:id="30" w:author="金 律师" w:date="2022-06-14T14:19:00Z"/>
          <w:rFonts w:ascii="宋体" w:hAnsi="宋体" w:cs="宋体"/>
          <w:sz w:val="24"/>
        </w:rPr>
      </w:pPr>
      <w:del w:id="31" w:author="金 律师" w:date="2022-06-14T14:19:00Z">
        <w:r>
          <w:rPr>
            <w:rFonts w:hint="eastAsia" w:ascii="宋体" w:hAnsi="宋体" w:cs="宋体"/>
            <w:sz w:val="24"/>
          </w:rPr>
          <w:delText>1.4.2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delText>
        </w:r>
      </w:del>
    </w:p>
    <w:p>
      <w:pPr>
        <w:spacing w:line="560" w:lineRule="exact"/>
        <w:ind w:firstLine="480" w:firstLineChars="200"/>
        <w:rPr>
          <w:rFonts w:ascii="宋体" w:hAnsi="宋体" w:cs="宋体"/>
          <w:sz w:val="24"/>
        </w:rPr>
      </w:pPr>
      <w:del w:id="32" w:author="金 律师" w:date="2022-06-14T14:19:00Z">
        <w:r>
          <w:rPr>
            <w:rFonts w:hint="eastAsia" w:ascii="宋体" w:hAnsi="宋体" w:cs="宋体"/>
            <w:sz w:val="24"/>
          </w:rPr>
          <w:delText>1.4.3甲方迟延支付乙方款项的，向乙方支付逾期利息。双方可以在合同专用条款中约定逾期利率，约定利率不得低于合同订立时1年期贷款市场报价利率；未作约定的，按照每日利率万分之五支付逾期利息。</w:delText>
        </w:r>
      </w:del>
    </w:p>
    <w:p>
      <w:pPr>
        <w:spacing w:line="560" w:lineRule="exact"/>
        <w:ind w:firstLine="480" w:firstLineChars="200"/>
        <w:outlineLvl w:val="0"/>
        <w:rPr>
          <w:rFonts w:ascii="宋体" w:hAnsi="宋体" w:cs="宋体"/>
          <w:sz w:val="24"/>
        </w:rPr>
      </w:pPr>
      <w:r>
        <w:rPr>
          <w:rFonts w:hint="eastAsia" w:ascii="宋体" w:hAnsi="宋体" w:cs="宋体"/>
          <w:sz w:val="24"/>
        </w:rPr>
        <w:t>1.4.</w:t>
      </w:r>
      <w:del w:id="33" w:author="金 律师" w:date="2022-06-14T14:19:00Z">
        <w:r>
          <w:rPr>
            <w:rFonts w:hint="eastAsia" w:ascii="宋体" w:hAnsi="宋体" w:cs="宋体"/>
            <w:sz w:val="24"/>
          </w:rPr>
          <w:delText>4</w:delText>
        </w:r>
      </w:del>
      <w:ins w:id="34" w:author="金 律师" w:date="2022-06-14T14:20:00Z">
        <w:r>
          <w:rPr>
            <w:rFonts w:ascii="宋体" w:hAnsi="宋体" w:cs="宋体"/>
            <w:sz w:val="24"/>
          </w:rPr>
          <w:t>1</w:t>
        </w:r>
      </w:ins>
      <w:del w:id="35" w:author="金 律师" w:date="2022-06-14T14:19:00Z">
        <w:r>
          <w:rPr>
            <w:rFonts w:hint="eastAsia" w:ascii="宋体" w:hAnsi="宋体" w:cs="宋体"/>
            <w:sz w:val="24"/>
          </w:rPr>
          <w:delText>资金</w:delText>
        </w:r>
      </w:del>
      <w:ins w:id="36" w:author="金 律师" w:date="2022-06-14T14:20:00Z">
        <w:r>
          <w:rPr>
            <w:rFonts w:hint="eastAsia" w:ascii="宋体" w:hAnsi="宋体" w:cs="宋体"/>
            <w:sz w:val="24"/>
          </w:rPr>
          <w:t>本合同中关于合同款</w:t>
        </w:r>
      </w:ins>
      <w:r>
        <w:rPr>
          <w:rFonts w:hint="eastAsia" w:ascii="宋体" w:hAnsi="宋体" w:cs="宋体"/>
          <w:sz w:val="24"/>
        </w:rPr>
        <w:t>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06" w:name="_Toc2846"/>
      <w:bookmarkStart w:id="407" w:name="_Toc32071"/>
      <w:bookmarkStart w:id="408" w:name="_Toc19304"/>
      <w:r>
        <w:rPr>
          <w:rFonts w:hint="eastAsia" w:ascii="宋体" w:hAnsi="宋体" w:cs="宋体"/>
          <w:b/>
          <w:sz w:val="24"/>
        </w:rPr>
        <w:t xml:space="preserve">1.5 </w:t>
      </w:r>
      <w:del w:id="37" w:author="金 律师" w:date="2022-06-14T14:21:00Z">
        <w:r>
          <w:rPr>
            <w:rFonts w:hint="eastAsia" w:ascii="宋体" w:hAnsi="宋体" w:cs="宋体"/>
            <w:b/>
            <w:sz w:val="24"/>
          </w:rPr>
          <w:delText>货物</w:delText>
        </w:r>
      </w:del>
      <w:ins w:id="38" w:author="金 律师" w:date="2022-06-14T14:21:00Z">
        <w:r>
          <w:rPr>
            <w:rFonts w:hint="eastAsia" w:ascii="宋体" w:hAnsi="宋体" w:cs="宋体"/>
            <w:b/>
            <w:sz w:val="24"/>
          </w:rPr>
          <w:t>服务</w:t>
        </w:r>
      </w:ins>
      <w:r>
        <w:rPr>
          <w:rFonts w:hint="eastAsia" w:ascii="宋体" w:hAnsi="宋体" w:cs="宋体"/>
          <w:b/>
          <w:sz w:val="24"/>
        </w:rPr>
        <w:t>交付期限、地点和方式</w:t>
      </w:r>
      <w:bookmarkEnd w:id="406"/>
      <w:bookmarkEnd w:id="407"/>
      <w:bookmarkEnd w:id="408"/>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9" w:name="_Toc21423"/>
      <w:bookmarkStart w:id="410" w:name="_Toc19554"/>
      <w:bookmarkStart w:id="411" w:name="_Toc27250"/>
      <w:r>
        <w:rPr>
          <w:rFonts w:hint="eastAsia" w:ascii="宋体" w:hAnsi="宋体" w:cs="宋体"/>
          <w:b/>
          <w:sz w:val="24"/>
        </w:rPr>
        <w:t>1.6 违约责任</w:t>
      </w:r>
      <w:bookmarkEnd w:id="409"/>
      <w:bookmarkEnd w:id="410"/>
      <w:bookmarkEnd w:id="411"/>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w:t>
      </w:r>
      <w:del w:id="39" w:author="金 律师" w:date="2022-06-14T14:21:00Z">
        <w:r>
          <w:rPr>
            <w:rFonts w:hint="eastAsia" w:ascii="宋体" w:hAnsi="宋体" w:cs="宋体"/>
            <w:sz w:val="24"/>
          </w:rPr>
          <w:delText>货物</w:delText>
        </w:r>
      </w:del>
      <w:ins w:id="40" w:author="金 律师" w:date="2022-06-14T14:21:00Z">
        <w:r>
          <w:rPr>
            <w:rFonts w:hint="eastAsia" w:ascii="宋体" w:hAnsi="宋体" w:cs="宋体"/>
            <w:sz w:val="24"/>
          </w:rPr>
          <w:t>服务</w:t>
        </w:r>
      </w:ins>
      <w:r>
        <w:rPr>
          <w:rFonts w:hint="eastAsia" w:ascii="宋体" w:hAnsi="宋体" w:cs="宋体"/>
          <w:sz w:val="24"/>
        </w:rPr>
        <w:t>，那么甲方可要求乙方支付违约金，违约金按每迟延交付</w:t>
      </w:r>
      <w:del w:id="41" w:author="金 律师" w:date="2022-06-14T14:21:00Z">
        <w:r>
          <w:rPr>
            <w:rFonts w:hint="eastAsia" w:ascii="宋体" w:hAnsi="宋体" w:cs="宋体"/>
            <w:sz w:val="24"/>
          </w:rPr>
          <w:delText>货物</w:delText>
        </w:r>
      </w:del>
      <w:ins w:id="42" w:author="金 律师" w:date="2022-06-14T14:21:00Z">
        <w:r>
          <w:rPr>
            <w:rFonts w:hint="eastAsia" w:ascii="宋体" w:hAnsi="宋体" w:cs="宋体"/>
            <w:sz w:val="24"/>
          </w:rPr>
          <w:t>服务</w:t>
        </w:r>
      </w:ins>
      <w:r>
        <w:rPr>
          <w:rFonts w:hint="eastAsia" w:ascii="宋体" w:hAnsi="宋体" w:cs="宋体"/>
          <w:sz w:val="24"/>
        </w:rPr>
        <w:t>一日的应交付而未交付</w:t>
      </w:r>
      <w:del w:id="43" w:author="金 律师" w:date="2022-06-14T14:22:00Z">
        <w:r>
          <w:rPr>
            <w:rFonts w:hint="eastAsia" w:ascii="宋体" w:hAnsi="宋体" w:cs="宋体"/>
            <w:sz w:val="24"/>
          </w:rPr>
          <w:delText>货物</w:delText>
        </w:r>
      </w:del>
      <w:ins w:id="44" w:author="金 律师" w:date="2022-06-14T14:22:00Z">
        <w:r>
          <w:rPr>
            <w:rFonts w:hint="eastAsia" w:ascii="宋体" w:hAnsi="宋体" w:cs="宋体"/>
            <w:sz w:val="24"/>
          </w:rPr>
          <w:t>服务的合同总金额</w:t>
        </w:r>
      </w:ins>
      <w:del w:id="45" w:author="金 律师" w:date="2022-06-14T14:22:00Z">
        <w:r>
          <w:rPr>
            <w:rFonts w:hint="eastAsia" w:ascii="宋体" w:hAnsi="宋体" w:cs="宋体"/>
            <w:sz w:val="24"/>
          </w:rPr>
          <w:delText>价格</w:delText>
        </w:r>
      </w:del>
      <w:r>
        <w:rPr>
          <w:rFonts w:hint="eastAsia" w:ascii="宋体" w:hAnsi="宋体" w:cs="宋体"/>
          <w:sz w:val="24"/>
        </w:rPr>
        <w:t>的</w:t>
      </w:r>
      <w:r>
        <w:rPr>
          <w:rFonts w:hint="eastAsia" w:ascii="宋体" w:hAnsi="宋体" w:cs="宋体"/>
          <w:sz w:val="24"/>
          <w:u w:val="single"/>
        </w:rPr>
        <w:t xml:space="preserve">  0.05  </w:t>
      </w:r>
      <w:r>
        <w:rPr>
          <w:rFonts w:hint="eastAsia" w:ascii="宋体" w:hAnsi="宋体" w:cs="宋体"/>
          <w:sz w:val="24"/>
        </w:rPr>
        <w:t>%计算，</w:t>
      </w:r>
      <w:ins w:id="46" w:author="金 律师" w:date="2022-06-14T14:22:00Z">
        <w:r>
          <w:rPr>
            <w:rFonts w:hint="eastAsia" w:ascii="宋体" w:hAnsi="宋体" w:cs="宋体"/>
            <w:sz w:val="24"/>
          </w:rPr>
          <w:t>违约金</w:t>
        </w:r>
      </w:ins>
      <w:r>
        <w:rPr>
          <w:rFonts w:hint="eastAsia" w:ascii="宋体" w:hAnsi="宋体" w:cs="宋体"/>
          <w:sz w:val="24"/>
        </w:rPr>
        <w:t>最高限额为本合同总价的</w:t>
      </w:r>
      <w:r>
        <w:rPr>
          <w:rFonts w:hint="eastAsia" w:ascii="宋体" w:hAnsi="宋体" w:cs="宋体"/>
          <w:sz w:val="24"/>
          <w:u w:val="single"/>
        </w:rPr>
        <w:t xml:space="preserve"> 20  </w:t>
      </w:r>
      <w:r>
        <w:rPr>
          <w:rFonts w:hint="eastAsia" w:ascii="宋体" w:hAnsi="宋体" w:cs="宋体"/>
          <w:sz w:val="24"/>
        </w:rPr>
        <w:t>%；迟延交付</w:t>
      </w:r>
      <w:del w:id="47" w:author="金 律师" w:date="2022-06-14T14:23:00Z">
        <w:r>
          <w:rPr>
            <w:rFonts w:hint="eastAsia" w:ascii="宋体" w:hAnsi="宋体" w:cs="宋体"/>
            <w:sz w:val="24"/>
          </w:rPr>
          <w:delText>货物</w:delText>
        </w:r>
      </w:del>
      <w:ins w:id="48" w:author="金 律师" w:date="2022-06-14T14:23:00Z">
        <w:r>
          <w:rPr>
            <w:rFonts w:hint="eastAsia" w:ascii="宋体" w:hAnsi="宋体" w:cs="宋体"/>
            <w:sz w:val="24"/>
          </w:rPr>
          <w:t>服务</w:t>
        </w:r>
      </w:ins>
      <w:r>
        <w:rPr>
          <w:rFonts w:hint="eastAsia" w:ascii="宋体" w:hAnsi="宋体" w:cs="宋体"/>
          <w:sz w:val="24"/>
        </w:rPr>
        <w:t>的违约金计算数额达到前述最高限额之日起，甲方有权在要求乙方支付违约金的同时，书面通知乙方解除本合同</w:t>
      </w:r>
      <w:ins w:id="49" w:author="金 律师" w:date="2022-06-14T14:23:00Z">
        <w:r>
          <w:rPr>
            <w:rFonts w:hint="eastAsia" w:ascii="宋体" w:hAnsi="宋体" w:cs="宋体"/>
            <w:sz w:val="24"/>
          </w:rPr>
          <w:t>，由此产生的不利后果由乙方自行承担</w:t>
        </w:r>
      </w:ins>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ins w:id="50" w:author="金 律师" w:date="2022-06-14T14:24:00Z">
        <w:r>
          <w:rPr>
            <w:rFonts w:hint="eastAsia" w:ascii="宋体" w:hAnsi="宋体" w:cs="宋体"/>
            <w:sz w:val="24"/>
          </w:rPr>
          <w:t>，由此产生的不利后果由甲方自行承担</w:t>
        </w:r>
      </w:ins>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ins w:id="51" w:author="金 律师" w:date="2022-06-14T14:24:00Z">
        <w:r>
          <w:rPr>
            <w:rFonts w:hint="eastAsia" w:ascii="宋体" w:hAnsi="宋体" w:cs="宋体"/>
            <w:sz w:val="24"/>
          </w:rPr>
          <w:t>，</w:t>
        </w:r>
      </w:ins>
      <w:ins w:id="52" w:author="金 律师" w:date="2022-06-14T14:25:00Z">
        <w:r>
          <w:rPr>
            <w:rFonts w:hint="eastAsia" w:ascii="宋体" w:hAnsi="宋体" w:cs="宋体"/>
            <w:sz w:val="24"/>
          </w:rPr>
          <w:t>因合同解除而产生的不利后果由违约方承担</w:t>
        </w:r>
      </w:ins>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w:t>
      </w:r>
      <w:ins w:id="53" w:author="金 律师" w:date="2022-06-14T14:25:00Z">
        <w:r>
          <w:rPr>
            <w:rFonts w:hint="eastAsia" w:ascii="宋体" w:hAnsi="宋体" w:cs="宋体"/>
            <w:sz w:val="24"/>
          </w:rPr>
          <w:t>或者</w:t>
        </w:r>
      </w:ins>
      <w:ins w:id="54" w:author="金 律师" w:date="2022-06-14T14:26:00Z">
        <w:r>
          <w:rPr>
            <w:rFonts w:hint="eastAsia" w:ascii="宋体" w:hAnsi="宋体" w:cs="宋体"/>
            <w:sz w:val="24"/>
          </w:rPr>
          <w:t>解除</w:t>
        </w:r>
      </w:ins>
      <w:r>
        <w:rPr>
          <w:rFonts w:hint="eastAsia" w:ascii="宋体" w:hAnsi="宋体" w:cs="宋体"/>
          <w:sz w:val="24"/>
        </w:rPr>
        <w:t>履行合同的情形，均不视为甲方违约</w:t>
      </w:r>
      <w:ins w:id="55" w:author="金 律师" w:date="2022-06-14T14:26:00Z">
        <w:r>
          <w:rPr>
            <w:rFonts w:hint="eastAsia" w:ascii="宋体" w:hAnsi="宋体" w:cs="宋体"/>
            <w:sz w:val="24"/>
          </w:rPr>
          <w:t>，甲方无需向乙方承担违约责任</w:t>
        </w:r>
      </w:ins>
      <w:r>
        <w:rPr>
          <w:rFonts w:hint="eastAsia" w:ascii="宋体" w:hAnsi="宋体" w:cs="宋体"/>
          <w:sz w:val="24"/>
        </w:rPr>
        <w:t>。</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2" w:name="_Toc16021"/>
      <w:bookmarkStart w:id="413" w:name="_Toc28375"/>
      <w:bookmarkStart w:id="414" w:name="_Toc15583"/>
      <w:r>
        <w:rPr>
          <w:rFonts w:hint="eastAsia" w:ascii="宋体" w:hAnsi="宋体" w:cs="宋体"/>
          <w:b/>
          <w:sz w:val="24"/>
        </w:rPr>
        <w:t>1.7 合同争议的解决</w:t>
      </w:r>
      <w:bookmarkEnd w:id="412"/>
      <w:bookmarkEnd w:id="413"/>
      <w:bookmarkEnd w:id="41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5" w:name="_Toc11173"/>
      <w:bookmarkStart w:id="416" w:name="_Toc15322"/>
      <w:bookmarkStart w:id="417" w:name="_Toc7245"/>
      <w:r>
        <w:rPr>
          <w:rFonts w:hint="eastAsia" w:ascii="宋体" w:hAnsi="宋体" w:cs="宋体"/>
          <w:b/>
          <w:sz w:val="24"/>
        </w:rPr>
        <w:t>1.8 合同生效</w:t>
      </w:r>
      <w:bookmarkEnd w:id="415"/>
      <w:bookmarkEnd w:id="416"/>
      <w:bookmarkEnd w:id="417"/>
    </w:p>
    <w:p>
      <w:pPr>
        <w:spacing w:line="560" w:lineRule="exact"/>
        <w:ind w:firstLine="480" w:firstLineChars="200"/>
        <w:rPr>
          <w:rFonts w:ascii="宋体" w:hAnsi="宋体" w:cs="宋体"/>
          <w:b/>
          <w:sz w:val="24"/>
        </w:rPr>
      </w:pPr>
      <w:r>
        <w:rPr>
          <w:rFonts w:hint="eastAsia" w:ascii="宋体" w:hAnsi="宋体" w:cs="宋体"/>
          <w:sz w:val="24"/>
        </w:rPr>
        <w:t>本合同自双方</w:t>
      </w:r>
      <w:del w:id="56" w:author="金 律师" w:date="2022-06-14T14:26:00Z">
        <w:r>
          <w:rPr>
            <w:rFonts w:hint="eastAsia" w:ascii="宋体" w:hAnsi="宋体" w:cs="宋体"/>
            <w:sz w:val="24"/>
          </w:rPr>
          <w:delText>当事人盖章或者签字</w:delText>
        </w:r>
      </w:del>
      <w:ins w:id="57" w:author="金 律师" w:date="2022-06-14T14:26:00Z">
        <w:r>
          <w:rPr>
            <w:rFonts w:hint="eastAsia" w:ascii="宋体" w:hAnsi="宋体" w:cs="宋体"/>
            <w:sz w:val="24"/>
          </w:rPr>
          <w:t>甲乙双方代表签字并盖章</w:t>
        </w:r>
      </w:ins>
      <w:r>
        <w:rPr>
          <w:rFonts w:hint="eastAsia" w:ascii="宋体" w:hAnsi="宋体" w:cs="宋体"/>
          <w:sz w:val="24"/>
        </w:rPr>
        <w:t>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18" w:name="_Toc331685783"/>
    </w:p>
    <w:p>
      <w:pPr>
        <w:pStyle w:val="2"/>
        <w:rPr>
          <w:rFonts w:ascii="宋体" w:hAnsi="宋体" w:cs="宋体"/>
          <w:b/>
          <w:sz w:val="24"/>
        </w:rPr>
      </w:pPr>
    </w:p>
    <w:p>
      <w:pPr>
        <w:pStyle w:val="2"/>
        <w:rPr>
          <w:rFonts w:ascii="宋体" w:hAnsi="宋体" w:cs="宋体"/>
          <w:b/>
          <w:sz w:val="24"/>
        </w:rPr>
      </w:pPr>
    </w:p>
    <w:p>
      <w:pPr>
        <w:pStyle w:val="2"/>
        <w:rPr>
          <w:rFonts w:ascii="宋体" w:hAnsi="宋体" w:cs="宋体"/>
          <w:b/>
          <w:sz w:val="24"/>
        </w:rPr>
      </w:pP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8"/>
    </w:p>
    <w:p>
      <w:pPr>
        <w:spacing w:line="560" w:lineRule="exact"/>
        <w:ind w:firstLine="482" w:firstLineChars="200"/>
        <w:outlineLvl w:val="0"/>
        <w:rPr>
          <w:rFonts w:ascii="宋体" w:hAnsi="宋体" w:cs="宋体"/>
          <w:b/>
          <w:sz w:val="24"/>
        </w:rPr>
      </w:pPr>
      <w:bookmarkStart w:id="419" w:name="_Ref467378499"/>
      <w:bookmarkStart w:id="420" w:name="_Toc28763"/>
      <w:bookmarkStart w:id="421" w:name="_Ref467379195"/>
      <w:bookmarkStart w:id="422" w:name="_Ref467379109"/>
      <w:bookmarkStart w:id="423" w:name="_Ref467379101"/>
      <w:bookmarkStart w:id="424" w:name="_Toc279701240"/>
      <w:bookmarkStart w:id="425" w:name="_Toc19614"/>
      <w:bookmarkStart w:id="426" w:name="_Ref467378463"/>
      <w:bookmarkStart w:id="427" w:name="_Ref467378404"/>
      <w:bookmarkStart w:id="428" w:name="_Toc487900349"/>
      <w:bookmarkStart w:id="429" w:name="_Ref467379205"/>
      <w:bookmarkStart w:id="430" w:name="_Ref467379214"/>
      <w:bookmarkStart w:id="431" w:name="_Ref467379225"/>
      <w:bookmarkStart w:id="432" w:name="_Toc259093669"/>
      <w:bookmarkStart w:id="433" w:name="_Ref467379094"/>
      <w:bookmarkStart w:id="434" w:name="_Toc16917"/>
      <w:r>
        <w:rPr>
          <w:rFonts w:hint="eastAsia" w:ascii="宋体" w:hAnsi="宋体"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cs="宋体"/>
          <w:sz w:val="24"/>
          <w:highlight w:val="yellow"/>
          <w:lang w:val="en-US" w:eastAsia="zh-CN"/>
        </w:rPr>
      </w:pPr>
      <w:r>
        <w:rPr>
          <w:rFonts w:hint="eastAsia" w:ascii="宋体" w:hAnsi="宋体" w:cs="宋体"/>
          <w:sz w:val="24"/>
          <w:highlight w:val="yellow"/>
        </w:rPr>
        <w:t>2.1.3 “</w:t>
      </w:r>
      <w:r>
        <w:rPr>
          <w:rFonts w:hint="eastAsia" w:ascii="宋体" w:hAnsi="宋体" w:cs="宋体"/>
          <w:sz w:val="24"/>
          <w:highlight w:val="yellow"/>
          <w:lang w:val="en-US" w:eastAsia="zh-CN"/>
        </w:rPr>
        <w:t>服务</w:t>
      </w:r>
      <w:r>
        <w:rPr>
          <w:rFonts w:hint="eastAsia" w:ascii="宋体" w:hAnsi="宋体" w:cs="宋体"/>
          <w:sz w:val="24"/>
          <w:highlight w:val="yellow"/>
        </w:rPr>
        <w:t>”系指中标供应商根据合同约定应向采购人</w:t>
      </w:r>
      <w:bookmarkStart w:id="435" w:name="_Ref467378840"/>
      <w:r>
        <w:rPr>
          <w:rFonts w:hint="eastAsia" w:ascii="宋体" w:hAnsi="宋体" w:cs="宋体"/>
          <w:sz w:val="24"/>
          <w:highlight w:val="yellow"/>
          <w:lang w:val="en-US" w:eastAsia="zh-CN"/>
        </w:rPr>
        <w:t>提供的服务，并提供纸质报告；</w:t>
      </w:r>
    </w:p>
    <w:p>
      <w:pPr>
        <w:spacing w:line="560" w:lineRule="exact"/>
        <w:ind w:firstLine="480" w:firstLineChars="200"/>
        <w:rPr>
          <w:rFonts w:ascii="宋体" w:hAnsi="宋体" w:cs="宋体"/>
          <w:sz w:val="24"/>
        </w:rPr>
      </w:pPr>
      <w:r>
        <w:rPr>
          <w:rFonts w:hint="eastAsia" w:ascii="宋体" w:hAnsi="宋体" w:cs="宋体"/>
          <w:sz w:val="24"/>
        </w:rPr>
        <w:t>2.1.4 “甲方”系指与中标供应商签署合同的采购人</w:t>
      </w:r>
      <w:bookmarkEnd w:id="43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6" w:name="_Ref467379400"/>
      <w:r>
        <w:rPr>
          <w:rFonts w:hint="eastAsia" w:ascii="宋体" w:hAnsi="宋体" w:cs="宋体"/>
          <w:sz w:val="24"/>
        </w:rPr>
        <w:t>2.1.5 “乙方”系指根据合同约定交付货物的中标供应商</w:t>
      </w:r>
      <w:bookmarkEnd w:id="43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7" w:name="_Ref467379436"/>
      <w:r>
        <w:rPr>
          <w:rFonts w:hint="eastAsia" w:ascii="宋体" w:hAnsi="宋体" w:cs="宋体"/>
          <w:sz w:val="24"/>
        </w:rPr>
        <w:t>2.1.6 “现场”系指合同约定货物将要运至或者安装的地点。</w:t>
      </w:r>
      <w:bookmarkEnd w:id="437"/>
    </w:p>
    <w:p>
      <w:pPr>
        <w:spacing w:line="560" w:lineRule="exact"/>
        <w:ind w:firstLine="482" w:firstLineChars="200"/>
        <w:outlineLvl w:val="0"/>
        <w:rPr>
          <w:rFonts w:ascii="宋体" w:hAnsi="宋体" w:cs="宋体"/>
          <w:b/>
          <w:sz w:val="24"/>
        </w:rPr>
      </w:pPr>
      <w:bookmarkStart w:id="438" w:name="_Toc32504"/>
      <w:bookmarkStart w:id="439" w:name="_Toc27635"/>
      <w:bookmarkStart w:id="440" w:name="_Toc259093670"/>
      <w:bookmarkStart w:id="441" w:name="_Toc487900350"/>
      <w:bookmarkStart w:id="442" w:name="_Toc279701241"/>
      <w:bookmarkStart w:id="443" w:name="_Toc13336"/>
      <w:r>
        <w:rPr>
          <w:rFonts w:hint="eastAsia" w:ascii="宋体" w:hAnsi="宋体" w:cs="宋体"/>
          <w:b/>
          <w:sz w:val="24"/>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lang w:val="en-US" w:eastAsia="zh-CN"/>
        </w:rPr>
        <w:t>服务</w:t>
      </w:r>
      <w:r>
        <w:rPr>
          <w:rFonts w:hint="eastAsia" w:ascii="宋体" w:hAnsi="宋体" w:cs="宋体"/>
          <w:sz w:val="24"/>
        </w:rPr>
        <w:t>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4" w:name="_Toc259093671"/>
      <w:bookmarkStart w:id="445" w:name="_Toc27853"/>
      <w:bookmarkStart w:id="446" w:name="_Toc9829"/>
      <w:bookmarkStart w:id="447" w:name="_Toc279701242"/>
      <w:bookmarkStart w:id="448" w:name="_Toc31634"/>
      <w:bookmarkStart w:id="449" w:name="_Toc487900351"/>
      <w:r>
        <w:rPr>
          <w:rFonts w:hint="eastAsia" w:ascii="宋体" w:hAnsi="宋体" w:cs="宋体"/>
          <w:b/>
          <w:sz w:val="24"/>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sz w:val="24"/>
        </w:rPr>
      </w:pPr>
      <w:r>
        <w:rPr>
          <w:rFonts w:hint="eastAsia" w:ascii="宋体" w:hAnsi="宋体" w:cs="宋体"/>
          <w:sz w:val="24"/>
        </w:rPr>
        <w:t>2.3.1 乙方应保证甲方在使用该</w:t>
      </w:r>
      <w:r>
        <w:rPr>
          <w:rFonts w:hint="eastAsia" w:ascii="宋体" w:hAnsi="宋体" w:cs="宋体"/>
          <w:sz w:val="24"/>
          <w:lang w:val="en-US" w:eastAsia="zh-CN"/>
        </w:rPr>
        <w:t>服务</w:t>
      </w:r>
      <w:r>
        <w:rPr>
          <w:rFonts w:hint="eastAsia" w:ascii="宋体" w:hAnsi="宋体" w:cs="宋体"/>
          <w:sz w:val="24"/>
        </w:rPr>
        <w:t>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0" w:name="_Toc11932"/>
      <w:bookmarkStart w:id="451" w:name="_Toc4194"/>
      <w:bookmarkStart w:id="452" w:name="_Toc29149"/>
      <w:r>
        <w:rPr>
          <w:rFonts w:hint="eastAsia" w:ascii="宋体" w:hAnsi="宋体" w:cs="宋体"/>
          <w:b/>
          <w:sz w:val="24"/>
        </w:rPr>
        <w:t>2.4 包装和装运</w:t>
      </w:r>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3" w:name="_Ref467379536"/>
      <w:bookmarkStart w:id="454" w:name="_Ref467379527"/>
      <w:bookmarkStart w:id="455" w:name="_Toc487900354"/>
      <w:bookmarkStart w:id="456" w:name="_Toc279701245"/>
      <w:bookmarkStart w:id="457" w:name="_Toc259093674"/>
      <w:bookmarkStart w:id="458" w:name="_Ref467378541"/>
      <w:bookmarkStart w:id="459" w:name="_Ref467379542"/>
      <w:bookmarkStart w:id="460" w:name="_Ref467378591"/>
      <w:bookmarkStart w:id="461" w:name="_Toc30272"/>
      <w:bookmarkStart w:id="462" w:name="_Toc19074"/>
      <w:bookmarkStart w:id="463" w:name="_Toc26182"/>
      <w:r>
        <w:rPr>
          <w:rFonts w:hint="eastAsia" w:ascii="宋体" w:hAnsi="宋体" w:cs="宋体"/>
          <w:b/>
          <w:sz w:val="24"/>
        </w:rPr>
        <w:t>2.</w:t>
      </w:r>
      <w:bookmarkEnd w:id="453"/>
      <w:bookmarkEnd w:id="454"/>
      <w:bookmarkEnd w:id="455"/>
      <w:bookmarkEnd w:id="456"/>
      <w:bookmarkEnd w:id="457"/>
      <w:bookmarkEnd w:id="458"/>
      <w:bookmarkEnd w:id="459"/>
      <w:bookmarkEnd w:id="460"/>
      <w:r>
        <w:rPr>
          <w:rFonts w:hint="eastAsia" w:ascii="宋体" w:hAnsi="宋体" w:cs="宋体"/>
          <w:b/>
          <w:sz w:val="24"/>
        </w:rPr>
        <w:t>5 履约检查和问题反馈</w:t>
      </w:r>
      <w:bookmarkEnd w:id="461"/>
      <w:bookmarkEnd w:id="462"/>
      <w:bookmarkEnd w:id="463"/>
    </w:p>
    <w:p>
      <w:pPr>
        <w:spacing w:line="560" w:lineRule="exact"/>
        <w:ind w:firstLine="480" w:firstLineChars="200"/>
        <w:rPr>
          <w:rFonts w:ascii="宋体" w:hAnsi="宋体" w:cs="宋体"/>
          <w:sz w:val="24"/>
        </w:rPr>
      </w:pPr>
      <w:bookmarkStart w:id="464" w:name="_Ref467379657"/>
      <w:r>
        <w:rPr>
          <w:rFonts w:hint="eastAsia" w:ascii="宋体" w:hAnsi="宋体" w:cs="宋体"/>
          <w:sz w:val="24"/>
        </w:rPr>
        <w:t>2.5.1</w:t>
      </w:r>
      <w:bookmarkEnd w:id="464"/>
      <w:bookmarkStart w:id="465" w:name="_Toc186431854"/>
      <w:bookmarkStart w:id="466" w:name="_Toc279701247"/>
      <w:bookmarkStart w:id="467" w:name="_Toc259093676"/>
      <w:bookmarkStart w:id="468" w:name="_Ref467379793"/>
      <w:bookmarkStart w:id="469" w:name="_Toc487900357"/>
      <w:bookmarkStart w:id="470"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sz w:val="24"/>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sz w:val="24"/>
        </w:rPr>
      </w:pPr>
      <w:bookmarkStart w:id="472" w:name="_Ref467379923"/>
      <w:bookmarkStart w:id="473" w:name="_Toc259093677"/>
      <w:bookmarkStart w:id="474" w:name="_Toc487900358"/>
      <w:bookmarkStart w:id="475" w:name="_Ref467379852"/>
      <w:bookmarkStart w:id="476" w:name="_Ref467379863"/>
      <w:bookmarkStart w:id="477" w:name="_Toc279701248"/>
      <w:bookmarkStart w:id="478" w:name="_Toc774"/>
      <w:bookmarkStart w:id="479" w:name="_Toc3225"/>
      <w:bookmarkStart w:id="480" w:name="_Toc16110"/>
      <w:r>
        <w:rPr>
          <w:rFonts w:hint="eastAsia" w:ascii="宋体" w:hAnsi="宋体" w:cs="宋体"/>
          <w:b/>
          <w:sz w:val="24"/>
        </w:rPr>
        <w:t>2.6 技术资料</w:t>
      </w:r>
      <w:bookmarkEnd w:id="472"/>
      <w:bookmarkEnd w:id="473"/>
      <w:bookmarkEnd w:id="474"/>
      <w:bookmarkEnd w:id="475"/>
      <w:bookmarkEnd w:id="476"/>
      <w:bookmarkEnd w:id="477"/>
      <w:r>
        <w:rPr>
          <w:rFonts w:hint="eastAsia" w:ascii="宋体" w:hAnsi="宋体" w:cs="宋体"/>
          <w:b/>
          <w:sz w:val="24"/>
        </w:rPr>
        <w:t>和保密义务</w:t>
      </w:r>
      <w:bookmarkEnd w:id="478"/>
      <w:bookmarkEnd w:id="479"/>
      <w:bookmarkEnd w:id="48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1" w:name="_Toc7860"/>
      <w:r>
        <w:rPr>
          <w:rFonts w:hint="eastAsia" w:ascii="宋体" w:hAnsi="宋体" w:cs="宋体"/>
          <w:b/>
          <w:sz w:val="24"/>
        </w:rPr>
        <w:t>2.7 质量保证</w:t>
      </w:r>
      <w:bookmarkEnd w:id="48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2" w:name="_Toc17244"/>
      <w:bookmarkStart w:id="483" w:name="_Toc279701252"/>
      <w:bookmarkStart w:id="484" w:name="_Toc259093681"/>
      <w:bookmarkStart w:id="485" w:name="_Toc487900362"/>
      <w:r>
        <w:rPr>
          <w:rFonts w:hint="eastAsia" w:ascii="宋体" w:hAnsi="宋体" w:cs="宋体"/>
          <w:b/>
          <w:sz w:val="24"/>
        </w:rPr>
        <w:t>2.8 货物的风险负担</w:t>
      </w:r>
      <w:bookmarkEnd w:id="48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6" w:name="_Toc14055"/>
      <w:r>
        <w:rPr>
          <w:rFonts w:hint="eastAsia" w:ascii="宋体" w:hAnsi="宋体" w:cs="宋体"/>
          <w:b/>
          <w:sz w:val="24"/>
        </w:rPr>
        <w:t>2.9 延迟交货</w:t>
      </w:r>
      <w:bookmarkEnd w:id="483"/>
      <w:bookmarkEnd w:id="484"/>
      <w:bookmarkEnd w:id="485"/>
      <w:bookmarkEnd w:id="486"/>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7" w:name="_Toc7502"/>
      <w:bookmarkStart w:id="488" w:name="_Toc279701254"/>
      <w:bookmarkStart w:id="489" w:name="_Toc259093683"/>
      <w:bookmarkStart w:id="490" w:name="_Toc487900364"/>
      <w:bookmarkStart w:id="491" w:name="_Ref467378121"/>
      <w:r>
        <w:rPr>
          <w:rFonts w:hint="eastAsia" w:ascii="宋体" w:hAnsi="宋体" w:cs="宋体"/>
          <w:b/>
          <w:sz w:val="24"/>
        </w:rPr>
        <w:t>2.10 合同变更</w:t>
      </w:r>
      <w:bookmarkEnd w:id="48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pPr>
        <w:spacing w:line="560" w:lineRule="exact"/>
        <w:ind w:firstLine="482" w:firstLineChars="200"/>
        <w:outlineLvl w:val="0"/>
        <w:rPr>
          <w:rFonts w:ascii="宋体" w:hAnsi="宋体" w:cs="宋体"/>
          <w:b/>
          <w:sz w:val="24"/>
        </w:rPr>
      </w:pPr>
      <w:bookmarkStart w:id="495" w:name="_Toc10366"/>
      <w:bookmarkStart w:id="496" w:name="_Toc22955"/>
      <w:bookmarkStart w:id="497" w:name="_Toc15237"/>
      <w:r>
        <w:rPr>
          <w:rFonts w:hint="eastAsia" w:ascii="宋体" w:hAnsi="宋体" w:cs="宋体"/>
          <w:b/>
          <w:sz w:val="24"/>
        </w:rPr>
        <w:t>2.11 合同转让</w:t>
      </w:r>
      <w:bookmarkEnd w:id="492"/>
      <w:bookmarkEnd w:id="493"/>
      <w:bookmarkEnd w:id="494"/>
      <w:r>
        <w:rPr>
          <w:rFonts w:hint="eastAsia" w:ascii="宋体" w:hAnsi="宋体" w:cs="宋体"/>
          <w:b/>
          <w:sz w:val="24"/>
        </w:rPr>
        <w:t>和分包</w:t>
      </w:r>
      <w:bookmarkEnd w:id="495"/>
      <w:bookmarkEnd w:id="496"/>
      <w:bookmarkEnd w:id="49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8" w:name="_Toc16508"/>
      <w:bookmarkStart w:id="499" w:name="_Toc14066"/>
      <w:bookmarkStart w:id="500" w:name="_Toc13566"/>
      <w:r>
        <w:rPr>
          <w:rFonts w:hint="eastAsia" w:ascii="宋体" w:hAnsi="宋体" w:cs="宋体"/>
          <w:b/>
          <w:sz w:val="24"/>
        </w:rPr>
        <w:t>2.12 不可抗力</w:t>
      </w:r>
      <w:bookmarkEnd w:id="498"/>
      <w:bookmarkEnd w:id="499"/>
      <w:bookmarkEnd w:id="50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1" w:name="_Toc279701255"/>
      <w:bookmarkStart w:id="502" w:name="_Toc689"/>
      <w:bookmarkStart w:id="503" w:name="_Toc30676"/>
      <w:bookmarkStart w:id="504" w:name="_Toc487900365"/>
      <w:bookmarkStart w:id="505" w:name="_Toc259093684"/>
      <w:bookmarkStart w:id="506" w:name="_Toc6969"/>
      <w:r>
        <w:rPr>
          <w:rFonts w:hint="eastAsia" w:ascii="宋体" w:hAnsi="宋体" w:cs="宋体"/>
          <w:b/>
          <w:sz w:val="24"/>
        </w:rPr>
        <w:t>2.13 税费</w:t>
      </w:r>
      <w:bookmarkEnd w:id="501"/>
      <w:bookmarkEnd w:id="502"/>
      <w:bookmarkEnd w:id="503"/>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7" w:name="_Toc16959"/>
      <w:bookmarkStart w:id="508" w:name="_Toc487900368"/>
      <w:bookmarkStart w:id="509" w:name="_Toc7102"/>
      <w:bookmarkStart w:id="510" w:name="_Toc279701258"/>
      <w:bookmarkStart w:id="511" w:name="_Toc259093687"/>
      <w:bookmarkStart w:id="512" w:name="_Toc8298"/>
      <w:r>
        <w:rPr>
          <w:rFonts w:hint="eastAsia" w:ascii="宋体" w:hAnsi="宋体" w:cs="宋体"/>
          <w:b/>
          <w:sz w:val="24"/>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3" w:name="_Toc29333"/>
      <w:bookmarkStart w:id="514" w:name="_Toc6134"/>
      <w:bookmarkStart w:id="515" w:name="_Toc15387"/>
      <w:r>
        <w:rPr>
          <w:rFonts w:hint="eastAsia" w:ascii="宋体" w:hAnsi="宋体" w:cs="宋体"/>
          <w:b/>
          <w:sz w:val="24"/>
        </w:rPr>
        <w:t>2.15 合同中止、终止</w:t>
      </w:r>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6" w:name="_Toc1125"/>
      <w:bookmarkStart w:id="517" w:name="_Toc14563"/>
      <w:bookmarkStart w:id="518" w:name="_Toc6596"/>
      <w:r>
        <w:rPr>
          <w:rFonts w:hint="eastAsia" w:ascii="宋体" w:hAnsi="宋体" w:cs="宋体"/>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8"/>
    <w:bookmarkEnd w:id="489"/>
    <w:bookmarkEnd w:id="490"/>
    <w:bookmarkEnd w:id="491"/>
    <w:p>
      <w:pPr>
        <w:spacing w:line="560" w:lineRule="exact"/>
        <w:ind w:firstLine="482" w:firstLineChars="200"/>
        <w:outlineLvl w:val="0"/>
        <w:rPr>
          <w:rFonts w:ascii="宋体" w:hAnsi="宋体" w:cs="宋体"/>
          <w:b/>
          <w:sz w:val="24"/>
        </w:rPr>
      </w:pPr>
      <w:bookmarkStart w:id="519" w:name="_Toc279701261"/>
      <w:bookmarkStart w:id="520" w:name="_Toc259093690"/>
      <w:bookmarkStart w:id="521" w:name="_Toc487900371"/>
      <w:bookmarkStart w:id="522" w:name="_Toc19604"/>
      <w:bookmarkStart w:id="523" w:name="_Toc11284"/>
      <w:bookmarkStart w:id="524" w:name="_Toc25182"/>
      <w:r>
        <w:rPr>
          <w:rFonts w:hint="eastAsia" w:ascii="宋体" w:hAnsi="宋体" w:cs="宋体"/>
          <w:b/>
          <w:sz w:val="24"/>
        </w:rPr>
        <w:t>2.17 通知</w:t>
      </w:r>
      <w:bookmarkEnd w:id="519"/>
      <w:bookmarkEnd w:id="520"/>
      <w:bookmarkEnd w:id="521"/>
      <w:r>
        <w:rPr>
          <w:rFonts w:hint="eastAsia" w:ascii="宋体" w:hAnsi="宋体" w:cs="宋体"/>
          <w:b/>
          <w:sz w:val="24"/>
        </w:rPr>
        <w:t>和送达</w:t>
      </w:r>
      <w:bookmarkEnd w:id="522"/>
      <w:bookmarkEnd w:id="523"/>
      <w:bookmarkEnd w:id="524"/>
    </w:p>
    <w:p>
      <w:pPr>
        <w:spacing w:line="560" w:lineRule="exact"/>
        <w:ind w:firstLine="480" w:firstLineChars="200"/>
        <w:rPr>
          <w:rFonts w:ascii="宋体" w:hAnsi="宋体" w:cs="宋体"/>
          <w:sz w:val="24"/>
        </w:rPr>
      </w:pPr>
      <w:bookmarkStart w:id="525" w:name="_Toc3135"/>
      <w:bookmarkStart w:id="526" w:name="_Toc6698"/>
      <w:bookmarkStart w:id="527" w:name="_Toc259093691"/>
      <w:bookmarkStart w:id="528" w:name="_Toc279701262"/>
      <w:bookmarkStart w:id="529"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sz w:val="24"/>
        </w:rPr>
      </w:pPr>
      <w:bookmarkStart w:id="530" w:name="_Toc23128"/>
      <w:bookmarkStart w:id="53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sz w:val="24"/>
        </w:rPr>
      </w:pPr>
      <w:bookmarkStart w:id="532" w:name="_Toc30599"/>
      <w:bookmarkStart w:id="533" w:name="_Toc18540"/>
      <w:bookmarkStart w:id="534" w:name="_Toc4355"/>
      <w:r>
        <w:rPr>
          <w:rFonts w:hint="eastAsia" w:ascii="宋体" w:hAnsi="宋体" w:cs="宋体"/>
          <w:b/>
          <w:sz w:val="24"/>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5" w:name="_Toc18567"/>
      <w:bookmarkStart w:id="536" w:name="_Toc279701263"/>
      <w:bookmarkStart w:id="537" w:name="_Toc487900373"/>
      <w:bookmarkStart w:id="538" w:name="_Toc10330"/>
      <w:bookmarkStart w:id="539" w:name="_Toc12773"/>
      <w:bookmarkStart w:id="540" w:name="_Toc259093692"/>
      <w:r>
        <w:rPr>
          <w:rFonts w:hint="eastAsia" w:ascii="宋体" w:hAnsi="宋体" w:cs="宋体"/>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rPr>
          <w:rFonts w:ascii="宋体" w:hAnsi="宋体" w:cs="宋体"/>
          <w:b/>
          <w:bCs/>
          <w:sz w:val="24"/>
        </w:rPr>
      </w:pPr>
      <w:bookmarkStart w:id="541" w:name="_Toc487900374"/>
      <w:r>
        <w:rPr>
          <w:rFonts w:hint="eastAsia" w:ascii="宋体" w:hAnsi="宋体" w:cs="宋体"/>
          <w:b/>
          <w:bCs/>
          <w:sz w:val="24"/>
        </w:rPr>
        <w:t>2.2</w:t>
      </w:r>
      <w:r>
        <w:rPr>
          <w:rFonts w:hint="eastAsia" w:ascii="宋体" w:hAnsi="宋体" w:cs="宋体"/>
          <w:b/>
          <w:bCs/>
          <w:sz w:val="24"/>
          <w:lang w:val="en-US" w:eastAsia="zh-CN"/>
        </w:rPr>
        <w:t>0</w:t>
      </w:r>
      <w:r>
        <w:rPr>
          <w:rFonts w:hint="eastAsia" w:ascii="宋体" w:hAnsi="宋体" w:cs="宋体"/>
          <w:b/>
          <w:bCs/>
          <w:sz w:val="24"/>
        </w:rPr>
        <w:t>对于因甲方原因导致变更、中止或者终止政府采购合同的，甲方应当依照合同约定对供应商受到的损失予以赔偿或者补偿。</w:t>
      </w:r>
    </w:p>
    <w:bookmarkEnd w:id="541"/>
    <w:p>
      <w:pPr>
        <w:spacing w:line="560" w:lineRule="exact"/>
        <w:ind w:firstLine="482" w:firstLineChars="200"/>
        <w:outlineLvl w:val="0"/>
        <w:rPr>
          <w:rFonts w:ascii="宋体" w:hAnsi="宋体" w:cs="宋体"/>
          <w:b/>
          <w:sz w:val="24"/>
        </w:rPr>
      </w:pPr>
      <w:bookmarkStart w:id="542" w:name="_Toc6885"/>
      <w:bookmarkStart w:id="543" w:name="_Toc14001"/>
      <w:bookmarkStart w:id="544" w:name="_Toc19890"/>
      <w:r>
        <w:rPr>
          <w:rFonts w:hint="eastAsia" w:ascii="宋体" w:hAnsi="宋体" w:cs="宋体"/>
          <w:b/>
          <w:sz w:val="24"/>
        </w:rPr>
        <w:t>2.2</w:t>
      </w:r>
      <w:r>
        <w:rPr>
          <w:rFonts w:hint="eastAsia" w:ascii="宋体" w:hAnsi="宋体" w:cs="宋体"/>
          <w:b/>
          <w:sz w:val="24"/>
          <w:lang w:val="en-US" w:eastAsia="zh-CN"/>
        </w:rPr>
        <w:t>1</w:t>
      </w:r>
      <w:r>
        <w:rPr>
          <w:rFonts w:hint="eastAsia" w:ascii="宋体" w:hAnsi="宋体" w:cs="宋体"/>
          <w:b/>
          <w:sz w:val="24"/>
        </w:rPr>
        <w:t>合同份数</w:t>
      </w:r>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700"/>
        <w:spacing w:line="560" w:lineRule="exact"/>
        <w:jc w:val="center"/>
        <w:rPr>
          <w:rFonts w:ascii="宋体" w:hAnsi="宋体" w:cs="宋体"/>
          <w:b/>
          <w:szCs w:val="24"/>
        </w:rPr>
      </w:pPr>
      <w:r>
        <w:rPr>
          <w:rFonts w:hint="eastAsia" w:ascii="宋体" w:hAnsi="宋体" w:cs="宋体"/>
          <w:kern w:val="0"/>
          <w:szCs w:val="24"/>
        </w:rPr>
        <w:br w:type="page"/>
      </w:r>
      <w:bookmarkStart w:id="545" w:name="_Toc331685784"/>
      <w:r>
        <w:rPr>
          <w:rFonts w:hint="eastAsia" w:ascii="宋体" w:hAnsi="宋体" w:cs="宋体"/>
          <w:b/>
          <w:szCs w:val="24"/>
        </w:rPr>
        <w:t xml:space="preserve"> </w:t>
      </w:r>
      <w:bookmarkEnd w:id="545"/>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3"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58" w:author="金 律师" w:date="2022-06-14T14:31:00Z">
              <w:r>
                <w:rPr>
                  <w:rFonts w:hint="eastAsia" w:ascii="宋体" w:hAnsi="宋体" w:cs="宋体"/>
                  <w:sz w:val="24"/>
                </w:rPr>
                <w:delText>1.4.4</w:delText>
              </w:r>
            </w:del>
            <w:ins w:id="59" w:author="金 律师" w:date="2022-06-14T14:38:00Z">
              <w:r>
                <w:rPr>
                  <w:rFonts w:ascii="宋体" w:hAnsi="宋体" w:cs="宋体"/>
                  <w:sz w:val="24"/>
                </w:rPr>
                <w:t>3</w:t>
              </w:r>
            </w:ins>
            <w:ins w:id="60" w:author="金 律师" w:date="2022-06-14T14:31:00Z">
              <w:r>
                <w:rPr>
                  <w:rFonts w:ascii="宋体" w:hAnsi="宋体" w:cs="宋体"/>
                  <w:sz w:val="24"/>
                </w:rPr>
                <w:t>.1</w:t>
              </w:r>
            </w:ins>
          </w:p>
        </w:tc>
        <w:tc>
          <w:tcPr>
            <w:tcW w:w="4533" w:type="pct"/>
            <w:vAlign w:val="center"/>
          </w:tcPr>
          <w:p>
            <w:pPr>
              <w:spacing w:line="360" w:lineRule="auto"/>
              <w:rPr>
                <w:rFonts w:ascii="宋体" w:hAnsi="宋体" w:cs="宋体"/>
                <w:sz w:val="24"/>
              </w:rPr>
            </w:pPr>
            <w:ins w:id="61" w:author="金 律师" w:date="2022-06-14T14:32:00Z">
              <w:r>
                <w:rPr>
                  <w:rFonts w:hint="eastAsia" w:ascii="宋体" w:hAnsi="宋体" w:cs="宋体"/>
                  <w:sz w:val="24"/>
                </w:rPr>
                <w:t>本合同按照项目</w:t>
              </w:r>
            </w:ins>
            <w:ins w:id="62" w:author="金 律师" w:date="2022-06-14T14:33:00Z">
              <w:r>
                <w:rPr>
                  <w:rFonts w:hint="eastAsia" w:ascii="宋体" w:hAnsi="宋体" w:cs="宋体"/>
                  <w:sz w:val="24"/>
                </w:rPr>
                <w:t>进程进行付款：本合同项目开始后，甲方向乙方支付项目合同款的</w:t>
              </w:r>
            </w:ins>
            <w:ins w:id="63" w:author="金 律师" w:date="2022-06-14T14:34:00Z">
              <w:r>
                <w:rPr>
                  <w:rFonts w:hint="eastAsia" w:ascii="宋体" w:hAnsi="宋体" w:cs="宋体"/>
                  <w:sz w:val="24"/>
                </w:rPr>
                <w:t>4</w:t>
              </w:r>
            </w:ins>
            <w:ins w:id="64" w:author="金 律师" w:date="2022-06-14T14:34:00Z">
              <w:r>
                <w:rPr>
                  <w:rFonts w:ascii="宋体" w:hAnsi="宋体" w:cs="宋体"/>
                  <w:sz w:val="24"/>
                </w:rPr>
                <w:t>0</w:t>
              </w:r>
            </w:ins>
            <w:ins w:id="65" w:author="金 律师" w:date="2022-06-14T14:34:00Z">
              <w:r>
                <w:rPr>
                  <w:rFonts w:hint="eastAsia" w:ascii="宋体" w:hAnsi="宋体" w:cs="宋体"/>
                  <w:sz w:val="24"/>
                </w:rPr>
                <w:t>%；乙方向甲方出具报告并经甲方验收无误后，甲方向乙方支付项目合同款的6</w:t>
              </w:r>
            </w:ins>
            <w:ins w:id="66" w:author="金 律师" w:date="2022-06-14T14:34:00Z">
              <w:r>
                <w:rPr>
                  <w:rFonts w:ascii="宋体" w:hAnsi="宋体" w:cs="宋体"/>
                  <w:sz w:val="24"/>
                </w:rPr>
                <w:t>0</w:t>
              </w:r>
            </w:ins>
            <w:ins w:id="67" w:author="金 律师" w:date="2022-06-14T14:34:00Z">
              <w:r>
                <w:rPr>
                  <w:rFonts w:hint="eastAsia" w:ascii="宋体" w:hAnsi="宋体" w:cs="宋体"/>
                  <w:sz w:val="24"/>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68" w:author="金 律师" w:date="2022-06-14T14:34:00Z">
              <w:r>
                <w:rPr>
                  <w:rFonts w:hint="eastAsia" w:ascii="宋体" w:hAnsi="宋体" w:cs="宋体"/>
                  <w:sz w:val="24"/>
                </w:rPr>
                <w:delText>1.5.1</w:delText>
              </w:r>
            </w:del>
            <w:ins w:id="69" w:author="金 律师" w:date="2022-06-14T14:38:00Z">
              <w:r>
                <w:rPr>
                  <w:rFonts w:ascii="宋体" w:hAnsi="宋体" w:cs="宋体"/>
                  <w:sz w:val="24"/>
                </w:rPr>
                <w:t>3</w:t>
              </w:r>
            </w:ins>
            <w:ins w:id="70" w:author="金 律师" w:date="2022-06-14T14:34:00Z">
              <w:r>
                <w:rPr>
                  <w:rFonts w:ascii="宋体" w:hAnsi="宋体" w:cs="宋体"/>
                  <w:sz w:val="24"/>
                </w:rPr>
                <w:t>.2</w:t>
              </w:r>
            </w:ins>
            <w:r>
              <w:rPr>
                <w:rFonts w:hint="eastAsia" w:ascii="宋体" w:hAnsi="宋体" w:cs="宋体"/>
                <w:sz w:val="24"/>
              </w:rPr>
              <w:t xml:space="preserve"> </w:t>
            </w:r>
          </w:p>
        </w:tc>
        <w:tc>
          <w:tcPr>
            <w:tcW w:w="4533" w:type="pct"/>
            <w:vAlign w:val="center"/>
          </w:tcPr>
          <w:p>
            <w:pPr>
              <w:spacing w:line="360" w:lineRule="auto"/>
              <w:rPr>
                <w:rFonts w:ascii="宋体" w:hAnsi="宋体" w:cs="宋体"/>
                <w:sz w:val="24"/>
              </w:rPr>
            </w:pPr>
            <w:ins w:id="71" w:author="金 律师" w:date="2022-06-14T14:35:00Z">
              <w:r>
                <w:rPr>
                  <w:rFonts w:hint="eastAsia" w:ascii="宋体" w:hAnsi="宋体" w:cs="宋体"/>
                  <w:sz w:val="24"/>
                </w:rPr>
                <w:t>甲方每次付款前，乙方应</w:t>
              </w:r>
            </w:ins>
            <w:ins w:id="72" w:author="金 律师" w:date="2022-06-14T14:36:00Z">
              <w:r>
                <w:rPr>
                  <w:rFonts w:hint="eastAsia" w:ascii="宋体" w:hAnsi="宋体" w:cs="宋体"/>
                  <w:sz w:val="24"/>
                </w:rPr>
                <w:t>先向甲方提供符合国家规定的且开票金额与收款金额相一致的发票。乙方未向甲方提供发票或者提供的发票不合规或者发票内容不正确的，甲方均有权拒绝付款，且</w:t>
              </w:r>
            </w:ins>
            <w:ins w:id="73" w:author="金 律师" w:date="2022-06-14T14:37:00Z">
              <w:r>
                <w:rPr>
                  <w:rFonts w:hint="eastAsia" w:ascii="宋体" w:hAnsi="宋体" w:cs="宋体"/>
                  <w:sz w:val="24"/>
                </w:rPr>
                <w:t>无需承担逾期付款的违约责任。</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74" w:author="金 律师" w:date="2022-06-14T14:37:00Z">
              <w:r>
                <w:rPr>
                  <w:rFonts w:hint="eastAsia" w:ascii="宋体" w:hAnsi="宋体" w:cs="宋体"/>
                  <w:sz w:val="24"/>
                </w:rPr>
                <w:delText>1.5.2</w:delText>
              </w:r>
            </w:del>
            <w:ins w:id="75" w:author="金 律师" w:date="2022-06-14T14:38:00Z">
              <w:r>
                <w:rPr>
                  <w:rFonts w:ascii="宋体" w:hAnsi="宋体" w:cs="宋体"/>
                  <w:sz w:val="24"/>
                </w:rPr>
                <w:t>3</w:t>
              </w:r>
            </w:ins>
            <w:ins w:id="76" w:author="金 律师" w:date="2022-06-14T14:37:00Z">
              <w:r>
                <w:rPr>
                  <w:rFonts w:ascii="宋体" w:hAnsi="宋体" w:cs="宋体"/>
                  <w:sz w:val="24"/>
                </w:rPr>
                <w:t>.3</w:t>
              </w:r>
            </w:ins>
          </w:p>
        </w:tc>
        <w:tc>
          <w:tcPr>
            <w:tcW w:w="4533" w:type="pct"/>
            <w:vAlign w:val="center"/>
          </w:tcPr>
          <w:p>
            <w:pPr>
              <w:spacing w:line="360" w:lineRule="auto"/>
              <w:rPr>
                <w:rFonts w:ascii="宋体" w:hAnsi="宋体" w:cs="宋体"/>
                <w:sz w:val="24"/>
              </w:rPr>
            </w:pPr>
            <w:ins w:id="77" w:author="金 律师" w:date="2022-06-14T14:40:00Z">
              <w:r>
                <w:rPr>
                  <w:rFonts w:hint="eastAsia" w:ascii="宋体" w:hAnsi="宋体" w:cs="宋体"/>
                  <w:sz w:val="24"/>
                </w:rPr>
                <w:t>甲方在验收时所涉及的费用由乙方自行承担，甲方无需再另行支付给甲方。</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78" w:author="金 律师" w:date="2022-06-14T14:37:00Z">
              <w:r>
                <w:rPr>
                  <w:rFonts w:hint="eastAsia" w:ascii="宋体" w:hAnsi="宋体" w:cs="宋体"/>
                  <w:sz w:val="24"/>
                </w:rPr>
                <w:delText xml:space="preserve">1.5.3 </w:delText>
              </w:r>
            </w:del>
            <w:ins w:id="79" w:author="金 律师" w:date="2022-06-14T14:38:00Z">
              <w:r>
                <w:rPr>
                  <w:rFonts w:ascii="宋体" w:hAnsi="宋体" w:cs="宋体"/>
                  <w:sz w:val="24"/>
                </w:rPr>
                <w:t>3</w:t>
              </w:r>
            </w:ins>
            <w:ins w:id="80" w:author="金 律师" w:date="2022-06-14T14:37:00Z">
              <w:r>
                <w:rPr>
                  <w:rFonts w:ascii="宋体" w:hAnsi="宋体" w:cs="宋体"/>
                  <w:sz w:val="24"/>
                </w:rPr>
                <w:t>.4</w:t>
              </w:r>
            </w:ins>
          </w:p>
        </w:tc>
        <w:tc>
          <w:tcPr>
            <w:tcW w:w="4533" w:type="pct"/>
            <w:vAlign w:val="center"/>
          </w:tcPr>
          <w:p>
            <w:pPr>
              <w:spacing w:line="360" w:lineRule="auto"/>
              <w:rPr>
                <w:rFonts w:ascii="宋体" w:hAnsi="宋体" w:cs="宋体"/>
                <w:sz w:val="24"/>
              </w:rPr>
            </w:pPr>
            <w:ins w:id="81" w:author="金 律师" w:date="2022-06-14T14:48:00Z">
              <w:r>
                <w:rPr>
                  <w:rFonts w:hint="eastAsia" w:ascii="宋体" w:hAnsi="宋体" w:cs="宋体"/>
                  <w:sz w:val="24"/>
                </w:rPr>
                <w:t>本合同所涉项目不涉及履约保证金，乙方无需向甲方缴纳履约保证金。</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82" w:author="金 律师" w:date="2022-06-14T14:37:00Z">
              <w:r>
                <w:rPr>
                  <w:rFonts w:hint="eastAsia" w:ascii="宋体" w:hAnsi="宋体" w:cs="宋体"/>
                  <w:sz w:val="24"/>
                </w:rPr>
                <w:delText>1.6.7</w:delText>
              </w:r>
            </w:del>
            <w:ins w:id="83" w:author="金 律师" w:date="2022-06-14T14:38:00Z">
              <w:r>
                <w:rPr>
                  <w:rFonts w:ascii="宋体" w:hAnsi="宋体" w:cs="宋体"/>
                  <w:sz w:val="24"/>
                </w:rPr>
                <w:t>3</w:t>
              </w:r>
            </w:ins>
            <w:ins w:id="84" w:author="金 律师" w:date="2022-06-14T14:37:00Z">
              <w:r>
                <w:rPr>
                  <w:rFonts w:ascii="宋体" w:hAnsi="宋体" w:cs="宋体"/>
                  <w:sz w:val="24"/>
                </w:rPr>
                <w:t>.5</w:t>
              </w:r>
            </w:ins>
          </w:p>
        </w:tc>
        <w:tc>
          <w:tcPr>
            <w:tcW w:w="4533" w:type="pct"/>
            <w:vAlign w:val="center"/>
          </w:tcPr>
          <w:p>
            <w:pPr>
              <w:spacing w:line="360" w:lineRule="auto"/>
              <w:rPr>
                <w:rFonts w:ascii="宋体" w:hAnsi="宋体" w:cs="宋体"/>
                <w:sz w:val="24"/>
              </w:rPr>
            </w:pPr>
            <w:ins w:id="85" w:author="金 律师" w:date="2022-06-14T14:48:00Z">
              <w:r>
                <w:rPr>
                  <w:rFonts w:hint="eastAsia" w:ascii="宋体" w:hAnsi="宋体" w:cs="宋体"/>
                  <w:sz w:val="24"/>
                </w:rPr>
                <w:t>合同所涉项目不允许</w:t>
              </w:r>
            </w:ins>
            <w:ins w:id="86" w:author="金 律师" w:date="2022-06-14T14:49:00Z">
              <w:r>
                <w:rPr>
                  <w:rFonts w:hint="eastAsia" w:ascii="宋体" w:hAnsi="宋体" w:cs="宋体"/>
                  <w:sz w:val="24"/>
                </w:rPr>
                <w:t>转包</w:t>
              </w:r>
            </w:ins>
            <w:ins w:id="87" w:author="金 律师" w:date="2022-06-14T14:48:00Z">
              <w:r>
                <w:rPr>
                  <w:rFonts w:hint="eastAsia" w:ascii="宋体" w:hAnsi="宋体" w:cs="宋体"/>
                  <w:sz w:val="24"/>
                </w:rPr>
                <w:t>或者</w:t>
              </w:r>
            </w:ins>
            <w:ins w:id="88" w:author="金 律师" w:date="2022-06-14T14:49:00Z">
              <w:r>
                <w:rPr>
                  <w:rFonts w:hint="eastAsia" w:ascii="宋体" w:hAnsi="宋体" w:cs="宋体"/>
                  <w:sz w:val="24"/>
                </w:rPr>
                <w:t>未经甲方同意的分包</w:t>
              </w:r>
            </w:ins>
            <w:ins w:id="89" w:author="金 律师" w:date="2022-06-14T14:48:00Z">
              <w:r>
                <w:rPr>
                  <w:rFonts w:hint="eastAsia" w:ascii="宋体" w:hAnsi="宋体" w:cs="宋体"/>
                  <w:sz w:val="24"/>
                </w:rPr>
                <w:t>，否则，一旦查实，甲方有权解除本合同，乙方应退还甲方已付款项，并且按本合同总金额的20%向甲方支付违约金。</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90" w:author="金 律师" w:date="2022-06-14T14:37:00Z">
              <w:r>
                <w:rPr>
                  <w:rFonts w:hint="eastAsia" w:ascii="宋体" w:hAnsi="宋体" w:cs="宋体"/>
                  <w:sz w:val="24"/>
                </w:rPr>
                <w:delText>1.7</w:delText>
              </w:r>
            </w:del>
            <w:ins w:id="91" w:author="金 律师" w:date="2022-06-14T14:38:00Z">
              <w:r>
                <w:rPr>
                  <w:rFonts w:ascii="宋体" w:hAnsi="宋体" w:cs="宋体"/>
                  <w:sz w:val="24"/>
                </w:rPr>
                <w:t>3</w:t>
              </w:r>
            </w:ins>
            <w:ins w:id="92" w:author="金 律师" w:date="2022-06-14T14:37:00Z">
              <w:r>
                <w:rPr>
                  <w:rFonts w:ascii="宋体" w:hAnsi="宋体" w:cs="宋体"/>
                  <w:sz w:val="24"/>
                </w:rPr>
                <w:t>.6</w:t>
              </w:r>
            </w:ins>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93" w:author="金 律师" w:date="2022-06-14T14:38:00Z">
              <w:r>
                <w:rPr>
                  <w:rFonts w:hint="eastAsia" w:ascii="宋体" w:hAnsi="宋体" w:cs="宋体"/>
                  <w:sz w:val="24"/>
                </w:rPr>
                <w:delText>1</w:delText>
              </w:r>
            </w:del>
            <w:ins w:id="94" w:author="金 律师" w:date="2022-06-14T14:38:00Z">
              <w:r>
                <w:rPr>
                  <w:rFonts w:ascii="宋体" w:hAnsi="宋体" w:cs="宋体"/>
                  <w:sz w:val="24"/>
                </w:rPr>
                <w:t>3</w:t>
              </w:r>
            </w:ins>
            <w:r>
              <w:rPr>
                <w:rFonts w:hint="eastAsia" w:ascii="宋体" w:hAnsi="宋体" w:cs="宋体"/>
                <w:sz w:val="24"/>
              </w:rPr>
              <w:t>.7</w:t>
            </w:r>
            <w:del w:id="95" w:author="金 律师" w:date="2022-06-14T14:37:00Z">
              <w:r>
                <w:rPr>
                  <w:rFonts w:hint="eastAsia" w:ascii="宋体" w:hAnsi="宋体" w:cs="宋体"/>
                  <w:sz w:val="24"/>
                </w:rPr>
                <w:delText>.1</w:delText>
              </w:r>
            </w:del>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96" w:author="金 律师" w:date="2022-06-14T14:37:00Z">
              <w:r>
                <w:rPr>
                  <w:rFonts w:hint="eastAsia" w:ascii="宋体" w:hAnsi="宋体" w:cs="宋体"/>
                  <w:sz w:val="24"/>
                </w:rPr>
                <w:delText>1.7.2</w:delText>
              </w:r>
            </w:del>
            <w:ins w:id="97" w:author="金 律师" w:date="2022-06-14T14:38:00Z">
              <w:r>
                <w:rPr>
                  <w:rFonts w:ascii="宋体" w:hAnsi="宋体" w:cs="宋体"/>
                  <w:sz w:val="24"/>
                </w:rPr>
                <w:t>3</w:t>
              </w:r>
            </w:ins>
            <w:ins w:id="98" w:author="金 律师" w:date="2022-06-14T14:37:00Z">
              <w:r>
                <w:rPr>
                  <w:rFonts w:ascii="宋体" w:hAnsi="宋体" w:cs="宋体"/>
                  <w:sz w:val="24"/>
                </w:rPr>
                <w:t>.8</w:t>
              </w:r>
            </w:ins>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99" w:author="金 律师" w:date="2022-06-14T14:37:00Z">
              <w:r>
                <w:rPr>
                  <w:rFonts w:hint="eastAsia" w:ascii="宋体" w:hAnsi="宋体" w:cs="宋体"/>
                  <w:sz w:val="24"/>
                </w:rPr>
                <w:delText>2.3.2</w:delText>
              </w:r>
            </w:del>
            <w:ins w:id="100" w:author="金 律师" w:date="2022-06-14T14:38:00Z">
              <w:r>
                <w:rPr>
                  <w:rFonts w:ascii="宋体" w:hAnsi="宋体" w:cs="宋体"/>
                  <w:sz w:val="24"/>
                </w:rPr>
                <w:t>3</w:t>
              </w:r>
            </w:ins>
            <w:ins w:id="101" w:author="金 律师" w:date="2022-06-14T14:37:00Z">
              <w:r>
                <w:rPr>
                  <w:rFonts w:ascii="宋体" w:hAnsi="宋体" w:cs="宋体"/>
                  <w:sz w:val="24"/>
                </w:rPr>
                <w:t>.9</w:t>
              </w:r>
            </w:ins>
          </w:p>
        </w:tc>
        <w:tc>
          <w:tcPr>
            <w:tcW w:w="4533"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102" w:author="金 律师" w:date="2022-06-14T14:37:00Z">
              <w:r>
                <w:rPr>
                  <w:rFonts w:hint="eastAsia" w:ascii="宋体" w:hAnsi="宋体" w:cs="宋体"/>
                  <w:sz w:val="24"/>
                </w:rPr>
                <w:delText>2.4.1</w:delText>
              </w:r>
            </w:del>
            <w:ins w:id="103" w:author="金 律师" w:date="2022-06-14T14:38:00Z">
              <w:r>
                <w:rPr>
                  <w:rFonts w:ascii="宋体" w:hAnsi="宋体" w:cs="宋体"/>
                  <w:sz w:val="24"/>
                </w:rPr>
                <w:t>3</w:t>
              </w:r>
            </w:ins>
            <w:ins w:id="104" w:author="金 律师" w:date="2022-06-14T14:37:00Z">
              <w:r>
                <w:rPr>
                  <w:rFonts w:ascii="宋体" w:hAnsi="宋体" w:cs="宋体"/>
                  <w:sz w:val="24"/>
                </w:rPr>
                <w:t>.10</w:t>
              </w:r>
            </w:ins>
          </w:p>
        </w:tc>
        <w:tc>
          <w:tcPr>
            <w:tcW w:w="4533"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105" w:author="金 律师" w:date="2022-06-14T14:37:00Z">
              <w:r>
                <w:rPr>
                  <w:rFonts w:hint="eastAsia" w:ascii="宋体" w:hAnsi="宋体" w:cs="宋体"/>
                  <w:sz w:val="24"/>
                </w:rPr>
                <w:delText>2.4.2</w:delText>
              </w:r>
            </w:del>
            <w:ins w:id="106" w:author="金 律师" w:date="2022-06-14T14:38:00Z">
              <w:r>
                <w:rPr>
                  <w:rFonts w:ascii="宋体" w:hAnsi="宋体" w:cs="宋体"/>
                  <w:sz w:val="24"/>
                </w:rPr>
                <w:t>3</w:t>
              </w:r>
            </w:ins>
            <w:ins w:id="107" w:author="金 律师" w:date="2022-06-14T14:37:00Z">
              <w:r>
                <w:rPr>
                  <w:rFonts w:ascii="宋体" w:hAnsi="宋体" w:cs="宋体"/>
                  <w:sz w:val="24"/>
                </w:rPr>
                <w:t>.11</w:t>
              </w:r>
            </w:ins>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del w:id="108" w:author="金 律师" w:date="2022-06-14T14:37:00Z">
              <w:r>
                <w:rPr>
                  <w:rFonts w:hint="eastAsia" w:ascii="宋体" w:hAnsi="宋体" w:cs="宋体"/>
                  <w:sz w:val="24"/>
                </w:rPr>
                <w:delText>2.8</w:delText>
              </w:r>
            </w:del>
            <w:ins w:id="109" w:author="金 律师" w:date="2022-06-14T14:38:00Z">
              <w:r>
                <w:rPr>
                  <w:rFonts w:ascii="宋体" w:hAnsi="宋体" w:cs="宋体"/>
                  <w:sz w:val="24"/>
                </w:rPr>
                <w:t>3</w:t>
              </w:r>
            </w:ins>
            <w:ins w:id="110" w:author="金 律师" w:date="2022-06-14T14:37:00Z">
              <w:r>
                <w:rPr>
                  <w:rFonts w:ascii="宋体" w:hAnsi="宋体" w:cs="宋体"/>
                  <w:sz w:val="24"/>
                </w:rPr>
                <w:t>.12</w:t>
              </w:r>
            </w:ins>
            <w:r>
              <w:rPr>
                <w:rFonts w:hint="eastAsia" w:ascii="宋体" w:hAnsi="宋体" w:cs="宋体"/>
                <w:sz w:val="24"/>
              </w:rPr>
              <w:t xml:space="preserve"> </w:t>
            </w:r>
          </w:p>
        </w:tc>
        <w:tc>
          <w:tcPr>
            <w:tcW w:w="4533"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111" w:author="金 律师" w:date="2022-06-14T14:37:00Z">
              <w:r>
                <w:rPr>
                  <w:rFonts w:hint="eastAsia" w:ascii="宋体" w:hAnsi="宋体" w:cs="宋体"/>
                  <w:sz w:val="24"/>
                </w:rPr>
                <w:delText>2.12.3</w:delText>
              </w:r>
            </w:del>
            <w:ins w:id="112" w:author="金 律师" w:date="2022-06-14T14:38:00Z">
              <w:r>
                <w:rPr>
                  <w:rFonts w:ascii="宋体" w:hAnsi="宋体" w:cs="宋体"/>
                  <w:sz w:val="24"/>
                </w:rPr>
                <w:t>3</w:t>
              </w:r>
            </w:ins>
            <w:ins w:id="113" w:author="金 律师" w:date="2022-06-14T14:37:00Z">
              <w:r>
                <w:rPr>
                  <w:rFonts w:ascii="宋体" w:hAnsi="宋体" w:cs="宋体"/>
                  <w:sz w:val="24"/>
                </w:rPr>
                <w:t>.13</w:t>
              </w:r>
            </w:ins>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114" w:author="金 律师" w:date="2022-06-14T14:37:00Z">
              <w:r>
                <w:rPr>
                  <w:rFonts w:hint="eastAsia" w:ascii="宋体" w:hAnsi="宋体" w:cs="宋体"/>
                  <w:sz w:val="24"/>
                </w:rPr>
                <w:delText>2.12.4</w:delText>
              </w:r>
            </w:del>
            <w:ins w:id="115" w:author="金 律师" w:date="2022-06-14T14:38:00Z">
              <w:r>
                <w:rPr>
                  <w:rFonts w:ascii="宋体" w:hAnsi="宋体" w:cs="宋体"/>
                  <w:sz w:val="24"/>
                </w:rPr>
                <w:t>3</w:t>
              </w:r>
            </w:ins>
            <w:ins w:id="116" w:author="金 律师" w:date="2022-06-14T14:37:00Z">
              <w:r>
                <w:rPr>
                  <w:rFonts w:ascii="宋体" w:hAnsi="宋体" w:cs="宋体"/>
                  <w:sz w:val="24"/>
                </w:rPr>
                <w:t>.14</w:t>
              </w:r>
            </w:ins>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del w:id="117" w:author="金 律师" w:date="2022-06-14T14:38:00Z">
              <w:r>
                <w:rPr>
                  <w:rFonts w:hint="eastAsia" w:ascii="宋体" w:hAnsi="宋体" w:cs="宋体"/>
                  <w:sz w:val="24"/>
                </w:rPr>
                <w:delText>2.16.1</w:delText>
              </w:r>
            </w:del>
            <w:ins w:id="118" w:author="金 律师" w:date="2022-06-14T14:38:00Z">
              <w:r>
                <w:rPr>
                  <w:rFonts w:ascii="宋体" w:hAnsi="宋体" w:cs="宋体"/>
                  <w:sz w:val="24"/>
                </w:rPr>
                <w:t>3.15</w:t>
              </w:r>
            </w:ins>
          </w:p>
        </w:tc>
        <w:tc>
          <w:tcPr>
            <w:tcW w:w="4533"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del w:id="119" w:author="金 律师" w:date="2022-06-14T14:38:00Z">
              <w:r>
                <w:rPr>
                  <w:rFonts w:hint="eastAsia" w:ascii="宋体" w:hAnsi="宋体" w:cs="宋体"/>
                  <w:sz w:val="24"/>
                </w:rPr>
                <w:delText>2.16.3</w:delText>
              </w:r>
            </w:del>
            <w:ins w:id="120" w:author="金 律师" w:date="2022-06-14T14:38:00Z">
              <w:r>
                <w:rPr>
                  <w:rFonts w:ascii="宋体" w:hAnsi="宋体" w:cs="宋体"/>
                  <w:sz w:val="24"/>
                </w:rPr>
                <w:t>3.16</w:t>
              </w:r>
            </w:ins>
          </w:p>
        </w:tc>
        <w:tc>
          <w:tcPr>
            <w:tcW w:w="4533" w:type="pct"/>
            <w:vAlign w:val="center"/>
          </w:tcPr>
          <w:p>
            <w:pPr>
              <w:spacing w:line="360" w:lineRule="auto"/>
              <w:rPr>
                <w:rFonts w:ascii="宋体" w:hAnsi="宋体" w:cs="宋体"/>
                <w:sz w:val="24"/>
              </w:rPr>
            </w:pPr>
          </w:p>
        </w:tc>
      </w:tr>
    </w:tbl>
    <w:p>
      <w:pPr>
        <w:spacing w:line="360" w:lineRule="auto"/>
        <w:ind w:right="-420" w:rightChars="-200"/>
        <w:jc w:val="both"/>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pacing w:val="-20"/>
          <w:sz w:val="24"/>
        </w:rPr>
      </w:pPr>
      <w:r>
        <w:rPr>
          <w:rFonts w:hint="eastAsia" w:ascii="宋体" w:hAnsi="宋体" w:cs="宋体"/>
          <w:spacing w:val="-20"/>
          <w:sz w:val="24"/>
        </w:rPr>
        <w:t>（2）落实政府采购政策需满足的资格要求</w:t>
      </w:r>
      <w:r>
        <w:rPr>
          <w:rFonts w:hint="eastAsia" w:ascii="宋体" w:hAnsi="宋体" w:cs="宋体"/>
          <w:spacing w:val="-20"/>
          <w:sz w:val="24"/>
          <w:lang w:eastAsia="zh-CN"/>
        </w:rPr>
        <w:t>，</w:t>
      </w:r>
      <w:r>
        <w:rPr>
          <w:rFonts w:hint="eastAsia" w:ascii="宋体" w:hAnsi="宋体" w:cs="宋体"/>
          <w:spacing w:val="-20"/>
          <w:sz w:val="24"/>
          <w:lang w:val="en-US" w:eastAsia="zh-CN"/>
        </w:rPr>
        <w:t>并</w:t>
      </w:r>
      <w:r>
        <w:rPr>
          <w:rFonts w:hint="eastAsia" w:ascii="宋体" w:hAnsi="宋体" w:cs="宋体"/>
          <w:spacing w:val="-20"/>
          <w:sz w:val="24"/>
          <w:lang w:eastAsia="zh-CN"/>
        </w:rPr>
        <w:t>提供相关证明材料</w:t>
      </w:r>
      <w:r>
        <w:rPr>
          <w:rFonts w:hint="eastAsia" w:ascii="宋体" w:hAnsi="宋体" w:cs="宋体"/>
          <w:spacing w:val="-20"/>
          <w:sz w:val="24"/>
        </w:rPr>
        <w:t>……………………</w:t>
      </w:r>
      <w:r>
        <w:rPr>
          <w:rFonts w:hint="eastAsia" w:ascii="宋体" w:hAnsi="宋体" w:cs="宋体"/>
          <w:spacing w:val="-20"/>
          <w:sz w:val="24"/>
          <w:lang w:val="en-US" w:eastAsia="zh-CN"/>
        </w:rPr>
        <w:t xml:space="preserve"> </w:t>
      </w:r>
      <w:r>
        <w:rPr>
          <w:rFonts w:hint="eastAsia" w:ascii="宋体" w:hAnsi="宋体" w:cs="宋体"/>
          <w:spacing w:val="-20"/>
          <w:sz w:val="24"/>
        </w:rPr>
        <w:t>（页码）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pStyle w:val="2"/>
        <w:rPr>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highlight w:val="yellow"/>
        </w:rPr>
      </w:pPr>
      <w:r>
        <w:rPr>
          <w:rFonts w:hint="eastAsia" w:ascii="宋体" w:hAnsi="宋体" w:cs="宋体"/>
          <w:b/>
          <w:kern w:val="0"/>
          <w:sz w:val="32"/>
          <w:szCs w:val="32"/>
          <w:highlight w:val="yellow"/>
        </w:rPr>
        <w:t>五、符合性审查资料</w:t>
      </w:r>
    </w:p>
    <w:p>
      <w:pPr>
        <w:jc w:val="center"/>
        <w:rPr>
          <w:rFonts w:ascii="宋体" w:hAnsi="宋体" w:cs="宋体"/>
          <w:b/>
          <w:kern w:val="0"/>
          <w:sz w:val="32"/>
          <w:szCs w:val="32"/>
          <w:highlight w:val="yellow"/>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yellow"/>
              </w:rPr>
            </w:pPr>
            <w:r>
              <w:rPr>
                <w:rFonts w:hint="eastAsia" w:ascii="宋体" w:hAnsi="宋体" w:cs="宋体"/>
                <w:b/>
                <w:sz w:val="24"/>
                <w:highlight w:val="yellow"/>
              </w:rPr>
              <w:t>序号</w:t>
            </w:r>
          </w:p>
        </w:tc>
        <w:tc>
          <w:tcPr>
            <w:tcW w:w="4991" w:type="dxa"/>
            <w:vAlign w:val="center"/>
          </w:tcPr>
          <w:p>
            <w:pPr>
              <w:snapToGrid w:val="0"/>
              <w:spacing w:line="240" w:lineRule="atLeast"/>
              <w:jc w:val="center"/>
              <w:rPr>
                <w:rFonts w:ascii="宋体" w:hAnsi="宋体" w:cs="宋体"/>
                <w:b/>
                <w:sz w:val="24"/>
                <w:highlight w:val="yellow"/>
              </w:rPr>
            </w:pPr>
            <w:r>
              <w:rPr>
                <w:rFonts w:hint="eastAsia" w:ascii="宋体" w:hAnsi="宋体" w:cs="宋体"/>
                <w:b/>
                <w:sz w:val="24"/>
                <w:highlight w:val="yellow"/>
              </w:rPr>
              <w:t>实质性要求</w:t>
            </w:r>
          </w:p>
        </w:tc>
        <w:tc>
          <w:tcPr>
            <w:tcW w:w="2551" w:type="dxa"/>
            <w:vAlign w:val="center"/>
          </w:tcPr>
          <w:p>
            <w:pPr>
              <w:snapToGrid w:val="0"/>
              <w:spacing w:line="240" w:lineRule="atLeast"/>
              <w:jc w:val="center"/>
              <w:rPr>
                <w:rFonts w:ascii="宋体" w:hAnsi="宋体" w:cs="宋体"/>
                <w:b/>
                <w:sz w:val="24"/>
                <w:highlight w:val="yellow"/>
              </w:rPr>
            </w:pPr>
            <w:r>
              <w:rPr>
                <w:rFonts w:hint="eastAsia" w:ascii="宋体" w:hAnsi="宋体" w:cs="宋体"/>
                <w:b/>
                <w:sz w:val="24"/>
                <w:highlight w:val="yellow"/>
              </w:rPr>
              <w:t>需要提供的符合性审查资料</w:t>
            </w:r>
          </w:p>
        </w:tc>
        <w:tc>
          <w:tcPr>
            <w:tcW w:w="1418" w:type="dxa"/>
            <w:vAlign w:val="center"/>
          </w:tcPr>
          <w:p>
            <w:pPr>
              <w:snapToGrid w:val="0"/>
              <w:spacing w:line="240" w:lineRule="atLeast"/>
              <w:jc w:val="center"/>
              <w:rPr>
                <w:rFonts w:ascii="宋体" w:hAnsi="宋体" w:cs="宋体"/>
                <w:b/>
                <w:sz w:val="24"/>
                <w:highlight w:val="yellow"/>
              </w:rPr>
            </w:pPr>
            <w:r>
              <w:rPr>
                <w:rFonts w:hint="eastAsia" w:ascii="宋体" w:hAnsi="宋体" w:cs="宋体"/>
                <w:b/>
                <w:sz w:val="24"/>
                <w:highlight w:val="yellow"/>
              </w:rPr>
              <w:t>投标文件中的</w:t>
            </w:r>
          </w:p>
          <w:p>
            <w:pPr>
              <w:snapToGrid w:val="0"/>
              <w:spacing w:line="240" w:lineRule="atLeast"/>
              <w:jc w:val="center"/>
              <w:rPr>
                <w:rFonts w:ascii="宋体" w:hAnsi="宋体" w:cs="宋体"/>
                <w:b/>
                <w:sz w:val="24"/>
                <w:highlight w:val="yellow"/>
              </w:rPr>
            </w:pPr>
            <w:r>
              <w:rPr>
                <w:rFonts w:hint="eastAsia" w:ascii="宋体" w:hAnsi="宋体" w:cs="宋体"/>
                <w:b/>
                <w:sz w:val="24"/>
                <w:highlight w:val="yellow"/>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yellow"/>
              </w:rPr>
            </w:pPr>
            <w:r>
              <w:rPr>
                <w:rFonts w:hint="eastAsia" w:ascii="宋体" w:hAnsi="宋体" w:cs="宋体"/>
                <w:sz w:val="24"/>
                <w:highlight w:val="yellow"/>
              </w:rPr>
              <w:t>1</w:t>
            </w:r>
          </w:p>
        </w:tc>
        <w:tc>
          <w:tcPr>
            <w:tcW w:w="4991" w:type="dxa"/>
          </w:tcPr>
          <w:p>
            <w:pPr>
              <w:spacing w:line="360" w:lineRule="auto"/>
              <w:rPr>
                <w:rFonts w:ascii="宋体" w:hAnsi="宋体" w:cs="宋体"/>
                <w:sz w:val="24"/>
                <w:highlight w:val="yellow"/>
              </w:rPr>
            </w:pPr>
            <w:r>
              <w:rPr>
                <w:rFonts w:hint="eastAsia" w:ascii="宋体" w:hAnsi="宋体" w:cs="宋体"/>
                <w:sz w:val="24"/>
                <w:highlight w:val="yellow"/>
              </w:rPr>
              <w:t>投标文件按照招标文件要求签署、盖章。</w:t>
            </w:r>
          </w:p>
        </w:tc>
        <w:tc>
          <w:tcPr>
            <w:tcW w:w="2551" w:type="dxa"/>
            <w:vAlign w:val="center"/>
          </w:tcPr>
          <w:p>
            <w:pPr>
              <w:rPr>
                <w:rFonts w:ascii="宋体" w:hAnsi="宋体" w:cs="宋体"/>
                <w:sz w:val="24"/>
                <w:highlight w:val="yellow"/>
              </w:rPr>
            </w:pPr>
            <w:r>
              <w:rPr>
                <w:rFonts w:hint="eastAsia" w:ascii="宋体" w:hAnsi="宋体" w:cs="宋体"/>
                <w:sz w:val="24"/>
                <w:highlight w:val="yellow"/>
              </w:rPr>
              <w:t>需要使用电子签名或者签字盖章的投标文件的组成部分</w:t>
            </w:r>
          </w:p>
        </w:tc>
        <w:tc>
          <w:tcPr>
            <w:tcW w:w="1418" w:type="dxa"/>
          </w:tcPr>
          <w:p>
            <w:pPr>
              <w:rPr>
                <w:rFonts w:ascii="宋体" w:hAnsi="宋体" w:cs="宋体"/>
                <w:sz w:val="24"/>
                <w:highlight w:val="yellow"/>
              </w:rPr>
            </w:pPr>
          </w:p>
          <w:p>
            <w:pPr>
              <w:rPr>
                <w:rFonts w:ascii="宋体" w:hAnsi="宋体" w:cs="宋体"/>
                <w:sz w:val="24"/>
                <w:highlight w:val="yellow"/>
              </w:rPr>
            </w:pPr>
            <w:r>
              <w:rPr>
                <w:rFonts w:hint="eastAsia" w:ascii="宋体" w:hAnsi="宋体" w:cs="宋体"/>
                <w:sz w:val="24"/>
                <w:highlight w:val="yellow"/>
              </w:rPr>
              <w:t>见投标文件</w:t>
            </w:r>
          </w:p>
          <w:p>
            <w:pPr>
              <w:rPr>
                <w:rFonts w:ascii="宋体" w:hAnsi="宋体" w:cs="宋体"/>
                <w:highlight w:val="yellow"/>
              </w:rPr>
            </w:pPr>
            <w:r>
              <w:rPr>
                <w:rFonts w:hint="eastAsia" w:ascii="宋体" w:hAnsi="宋体" w:cs="宋体"/>
                <w:sz w:val="24"/>
                <w:highlight w:val="yellow"/>
              </w:rPr>
              <w:t>第</w:t>
            </w:r>
            <w:r>
              <w:rPr>
                <w:rFonts w:hint="eastAsia" w:ascii="宋体" w:hAnsi="宋体" w:cs="宋体"/>
                <w:sz w:val="24"/>
                <w:highlight w:val="yellow"/>
                <w:u w:val="single"/>
              </w:rPr>
              <w:t xml:space="preserve">  </w:t>
            </w:r>
            <w:r>
              <w:rPr>
                <w:rFonts w:hint="eastAsia" w:ascii="宋体" w:hAnsi="宋体" w:cs="宋体"/>
                <w:sz w:val="24"/>
                <w:highlight w:val="yellow"/>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yellow"/>
              </w:rPr>
            </w:pPr>
            <w:r>
              <w:rPr>
                <w:rFonts w:hint="eastAsia" w:ascii="宋体" w:hAnsi="宋体" w:cs="宋体"/>
                <w:sz w:val="24"/>
                <w:highlight w:val="yellow"/>
              </w:rPr>
              <w:t>2</w:t>
            </w:r>
          </w:p>
        </w:tc>
        <w:tc>
          <w:tcPr>
            <w:tcW w:w="4991" w:type="dxa"/>
          </w:tcPr>
          <w:p>
            <w:pPr>
              <w:spacing w:line="360" w:lineRule="auto"/>
              <w:rPr>
                <w:rFonts w:ascii="宋体" w:hAnsi="宋体" w:cs="宋体"/>
                <w:sz w:val="24"/>
                <w:highlight w:val="yellow"/>
              </w:rPr>
            </w:pPr>
            <w:r>
              <w:rPr>
                <w:rFonts w:hint="eastAsia" w:ascii="宋体" w:hAnsi="宋体" w:cs="宋体"/>
                <w:sz w:val="24"/>
                <w:highlight w:val="yellow"/>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highlight w:val="yellow"/>
              </w:rPr>
            </w:pPr>
            <w:r>
              <w:rPr>
                <w:rFonts w:hint="eastAsia" w:ascii="宋体" w:hAnsi="宋体" w:cs="宋体"/>
                <w:sz w:val="24"/>
                <w:highlight w:val="yellow"/>
              </w:rPr>
              <w:t>节能产品认证证书（本项目拟采购的产品不属于政府强制采购的节能产品品目清单范围的，无需提供）</w:t>
            </w:r>
          </w:p>
        </w:tc>
        <w:tc>
          <w:tcPr>
            <w:tcW w:w="1418" w:type="dxa"/>
          </w:tcPr>
          <w:p>
            <w:pPr>
              <w:rPr>
                <w:rFonts w:ascii="宋体" w:hAnsi="宋体" w:cs="宋体"/>
                <w:sz w:val="24"/>
                <w:highlight w:val="yellow"/>
              </w:rPr>
            </w:pPr>
          </w:p>
          <w:p>
            <w:pPr>
              <w:rPr>
                <w:rFonts w:ascii="宋体" w:hAnsi="宋体" w:cs="宋体"/>
                <w:sz w:val="24"/>
                <w:highlight w:val="yellow"/>
              </w:rPr>
            </w:pPr>
          </w:p>
          <w:p>
            <w:pPr>
              <w:rPr>
                <w:rFonts w:ascii="宋体" w:hAnsi="宋体" w:cs="宋体"/>
                <w:sz w:val="24"/>
                <w:highlight w:val="yellow"/>
              </w:rPr>
            </w:pPr>
            <w:r>
              <w:rPr>
                <w:rFonts w:hint="eastAsia" w:ascii="宋体" w:hAnsi="宋体" w:cs="宋体"/>
                <w:sz w:val="24"/>
                <w:highlight w:val="yellow"/>
              </w:rPr>
              <w:t>见投标文件</w:t>
            </w:r>
          </w:p>
          <w:p>
            <w:pPr>
              <w:pStyle w:val="4"/>
              <w:rPr>
                <w:rFonts w:ascii="宋体" w:hAnsi="宋体" w:eastAsia="宋体" w:cs="宋体"/>
                <w:highlight w:val="yellow"/>
                <w:lang w:val="en-US"/>
              </w:rPr>
            </w:pPr>
            <w:r>
              <w:rPr>
                <w:rFonts w:hint="eastAsia" w:ascii="宋体" w:hAnsi="宋体" w:eastAsia="宋体" w:cs="宋体"/>
                <w:b w:val="0"/>
                <w:bCs w:val="0"/>
                <w:sz w:val="24"/>
                <w:szCs w:val="24"/>
                <w:highlight w:val="yellow"/>
                <w:lang w:val="en-US"/>
              </w:rPr>
              <w:t>第</w:t>
            </w:r>
            <w:r>
              <w:rPr>
                <w:rFonts w:hint="eastAsia" w:ascii="宋体" w:hAnsi="宋体" w:eastAsia="宋体" w:cs="宋体"/>
                <w:b w:val="0"/>
                <w:bCs w:val="0"/>
                <w:sz w:val="24"/>
                <w:szCs w:val="24"/>
                <w:highlight w:val="yellow"/>
                <w:u w:val="single"/>
                <w:lang w:val="en-US"/>
              </w:rPr>
              <w:t xml:space="preserve">  </w:t>
            </w:r>
            <w:r>
              <w:rPr>
                <w:rFonts w:hint="eastAsia" w:ascii="宋体" w:hAnsi="宋体" w:eastAsia="宋体" w:cs="宋体"/>
                <w:b w:val="0"/>
                <w:bCs w:val="0"/>
                <w:sz w:val="24"/>
                <w:szCs w:val="24"/>
                <w:highlight w:val="yellow"/>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yellow"/>
              </w:rPr>
            </w:pPr>
            <w:r>
              <w:rPr>
                <w:rFonts w:hint="eastAsia" w:ascii="宋体" w:hAnsi="宋体" w:cs="宋体"/>
                <w:sz w:val="24"/>
                <w:highlight w:val="yellow"/>
              </w:rPr>
              <w:t>3</w:t>
            </w:r>
          </w:p>
        </w:tc>
        <w:tc>
          <w:tcPr>
            <w:tcW w:w="4991" w:type="dxa"/>
          </w:tcPr>
          <w:p>
            <w:pPr>
              <w:spacing w:line="360" w:lineRule="auto"/>
              <w:rPr>
                <w:rFonts w:ascii="宋体" w:hAnsi="宋体" w:cs="宋体"/>
                <w:sz w:val="24"/>
                <w:highlight w:val="yellow"/>
              </w:rPr>
            </w:pPr>
            <w:r>
              <w:rPr>
                <w:rFonts w:hint="eastAsia" w:ascii="宋体" w:hAnsi="宋体" w:cs="宋体"/>
                <w:sz w:val="24"/>
                <w:highlight w:val="yellow"/>
              </w:rPr>
              <w:t>投标文件中承诺的投标有效期不少于招标文件中载明的投标有效期。</w:t>
            </w:r>
          </w:p>
        </w:tc>
        <w:tc>
          <w:tcPr>
            <w:tcW w:w="2551" w:type="dxa"/>
            <w:vAlign w:val="center"/>
          </w:tcPr>
          <w:p>
            <w:pPr>
              <w:rPr>
                <w:rFonts w:ascii="宋体" w:hAnsi="宋体" w:cs="宋体"/>
                <w:sz w:val="24"/>
                <w:highlight w:val="yellow"/>
              </w:rPr>
            </w:pPr>
            <w:r>
              <w:rPr>
                <w:rFonts w:hint="eastAsia" w:ascii="宋体" w:hAnsi="宋体" w:cs="宋体"/>
                <w:sz w:val="24"/>
                <w:highlight w:val="yellow"/>
              </w:rPr>
              <w:t>投标函</w:t>
            </w:r>
          </w:p>
        </w:tc>
        <w:tc>
          <w:tcPr>
            <w:tcW w:w="1418" w:type="dxa"/>
          </w:tcPr>
          <w:p>
            <w:pPr>
              <w:rPr>
                <w:rFonts w:ascii="宋体" w:hAnsi="宋体" w:cs="宋体"/>
                <w:highlight w:val="yellow"/>
              </w:rPr>
            </w:pPr>
            <w:r>
              <w:rPr>
                <w:rFonts w:hint="eastAsia" w:ascii="宋体" w:hAnsi="宋体" w:cs="宋体"/>
                <w:sz w:val="24"/>
                <w:highlight w:val="yellow"/>
              </w:rPr>
              <w:t>见投标文件第</w:t>
            </w:r>
            <w:r>
              <w:rPr>
                <w:rFonts w:hint="eastAsia" w:ascii="宋体" w:hAnsi="宋体" w:cs="宋体"/>
                <w:sz w:val="24"/>
                <w:highlight w:val="yellow"/>
                <w:u w:val="single"/>
              </w:rPr>
              <w:t xml:space="preserve">  </w:t>
            </w:r>
            <w:r>
              <w:rPr>
                <w:rFonts w:hint="eastAsia" w:ascii="宋体" w:hAnsi="宋体" w:cs="宋体"/>
                <w:sz w:val="24"/>
                <w:highlight w:val="yellow"/>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yellow"/>
              </w:rPr>
            </w:pPr>
            <w:r>
              <w:rPr>
                <w:rFonts w:hint="eastAsia" w:ascii="宋体" w:hAnsi="宋体" w:cs="宋体"/>
                <w:sz w:val="24"/>
                <w:highlight w:val="yellow"/>
              </w:rPr>
              <w:t>4</w:t>
            </w:r>
          </w:p>
        </w:tc>
        <w:tc>
          <w:tcPr>
            <w:tcW w:w="4991" w:type="dxa"/>
          </w:tcPr>
          <w:p>
            <w:pPr>
              <w:spacing w:line="360" w:lineRule="auto"/>
              <w:rPr>
                <w:rFonts w:ascii="宋体" w:hAnsi="宋体" w:cs="宋体"/>
                <w:sz w:val="24"/>
                <w:highlight w:val="yellow"/>
              </w:rPr>
            </w:pPr>
            <w:r>
              <w:rPr>
                <w:rFonts w:hint="eastAsia" w:ascii="宋体" w:hAnsi="宋体" w:cs="宋体"/>
                <w:sz w:val="24"/>
                <w:highlight w:val="yellow"/>
              </w:rPr>
              <w:t>投标文件满足招标文件的其它实质性要求。</w:t>
            </w:r>
          </w:p>
        </w:tc>
        <w:tc>
          <w:tcPr>
            <w:tcW w:w="2551" w:type="dxa"/>
            <w:vAlign w:val="center"/>
          </w:tcPr>
          <w:p>
            <w:pPr>
              <w:rPr>
                <w:rFonts w:ascii="宋体" w:hAnsi="宋体" w:cs="宋体"/>
                <w:sz w:val="24"/>
                <w:highlight w:val="yellow"/>
              </w:rPr>
            </w:pPr>
            <w:r>
              <w:rPr>
                <w:rFonts w:hint="eastAsia" w:ascii="宋体" w:hAnsi="宋体" w:cs="宋体"/>
                <w:kern w:val="0"/>
                <w:sz w:val="24"/>
                <w:highlight w:val="yellow"/>
              </w:rPr>
              <w:t>招标文件其它实质性要求相应的材料（“▲” 系指实质性要求条款，招标文件无其它实质性要求的，无需提供）</w:t>
            </w:r>
          </w:p>
        </w:tc>
        <w:tc>
          <w:tcPr>
            <w:tcW w:w="1418" w:type="dxa"/>
          </w:tcPr>
          <w:p>
            <w:pPr>
              <w:rPr>
                <w:rFonts w:ascii="宋体" w:hAnsi="宋体" w:cs="宋体"/>
                <w:highlight w:val="yellow"/>
              </w:rPr>
            </w:pPr>
            <w:r>
              <w:rPr>
                <w:rFonts w:hint="eastAsia" w:ascii="宋体" w:hAnsi="宋体" w:cs="宋体"/>
                <w:sz w:val="24"/>
                <w:highlight w:val="yellow"/>
              </w:rPr>
              <w:t>见投标文件第</w:t>
            </w:r>
            <w:r>
              <w:rPr>
                <w:rFonts w:hint="eastAsia" w:ascii="宋体" w:hAnsi="宋体" w:cs="宋体"/>
                <w:sz w:val="24"/>
                <w:highlight w:val="yellow"/>
                <w:u w:val="single"/>
              </w:rPr>
              <w:t xml:space="preserve">  </w:t>
            </w:r>
            <w:r>
              <w:rPr>
                <w:rFonts w:hint="eastAsia" w:ascii="宋体" w:hAnsi="宋体" w:cs="宋体"/>
                <w:sz w:val="24"/>
                <w:highlight w:val="yellow"/>
              </w:rPr>
              <w:t>页</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6" w:name="_Toc465665161"/>
      <w:r>
        <w:rPr>
          <w:rFonts w:hint="eastAsia" w:ascii="宋体" w:hAnsi="宋体" w:cs="宋体"/>
        </w:rPr>
        <w:t>附件</w:t>
      </w:r>
      <w:bookmarkEnd w:id="54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7" w:name="OLE_LINK14"/>
      <w:bookmarkStart w:id="548" w:name="OLE_LINK13"/>
      <w:r>
        <w:rPr>
          <w:rFonts w:hint="eastAsia" w:ascii="宋体" w:hAnsi="宋体" w:cs="宋体"/>
          <w:b/>
          <w:spacing w:val="6"/>
          <w:sz w:val="32"/>
          <w:szCs w:val="32"/>
        </w:rPr>
        <w:t>残疾人福利性单位声明函</w:t>
      </w:r>
    </w:p>
    <w:bookmarkEnd w:id="547"/>
    <w:bookmarkEnd w:id="54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49" w:name="_Toc164085800"/>
    <w:bookmarkStart w:id="550" w:name="_Toc91899912"/>
    <w:bookmarkStart w:id="551" w:name="_Toc36110187"/>
    <w:bookmarkStart w:id="552" w:name="_Toc131845147"/>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A1CDB"/>
    <w:multiLevelType w:val="multilevel"/>
    <w:tmpl w:val="3E5A1CDB"/>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3922D30"/>
    <w:multiLevelType w:val="multilevel"/>
    <w:tmpl w:val="43922D30"/>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斌">
    <w15:presenceInfo w15:providerId="WPS Office" w15:userId="350004487"/>
  </w15:person>
  <w15:person w15:author="金 律师">
    <w15:presenceInfo w15:providerId="Windows Live" w15:userId="b11522d0049eb8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YTE0ZjEzNmNkZTlmZTRlZTJlNmFiOGRjMTE0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6D50"/>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9C0"/>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BC"/>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09"/>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4F"/>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A2"/>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87F"/>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E4E"/>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F1D"/>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1CC"/>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0CB"/>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5559A"/>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BE32FC"/>
    <w:rsid w:val="0EF94D4B"/>
    <w:rsid w:val="0F2E16D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5A75A0"/>
    <w:rsid w:val="16A8729C"/>
    <w:rsid w:val="16B33777"/>
    <w:rsid w:val="16BC70A7"/>
    <w:rsid w:val="16C6339E"/>
    <w:rsid w:val="172F2D79"/>
    <w:rsid w:val="17557BEF"/>
    <w:rsid w:val="17D349C1"/>
    <w:rsid w:val="1830729E"/>
    <w:rsid w:val="1870062C"/>
    <w:rsid w:val="18817102"/>
    <w:rsid w:val="18830A15"/>
    <w:rsid w:val="18852B28"/>
    <w:rsid w:val="188B5321"/>
    <w:rsid w:val="192D537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6033B9"/>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A95ACA"/>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80A5F"/>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90F9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25ED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9C5F6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4D101C"/>
    <w:rsid w:val="6C552F0B"/>
    <w:rsid w:val="6C8C67B7"/>
    <w:rsid w:val="6C9D744C"/>
    <w:rsid w:val="6CB4334D"/>
    <w:rsid w:val="6D167928"/>
    <w:rsid w:val="6D26299B"/>
    <w:rsid w:val="6D4772EC"/>
    <w:rsid w:val="6D9078AF"/>
    <w:rsid w:val="6DAA3FEF"/>
    <w:rsid w:val="6DC0172B"/>
    <w:rsid w:val="6DCB690C"/>
    <w:rsid w:val="6DD41A5B"/>
    <w:rsid w:val="6DF43C2E"/>
    <w:rsid w:val="6DF51CA3"/>
    <w:rsid w:val="6E8335BD"/>
    <w:rsid w:val="6E8E12EF"/>
    <w:rsid w:val="6E972936"/>
    <w:rsid w:val="6EC2070A"/>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4586B"/>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AC034F"/>
    <w:rsid w:val="79E27E8B"/>
    <w:rsid w:val="79F850CE"/>
    <w:rsid w:val="79FD443C"/>
    <w:rsid w:val="7A1D1975"/>
    <w:rsid w:val="7A3E5150"/>
    <w:rsid w:val="7A4670D6"/>
    <w:rsid w:val="7A534B63"/>
    <w:rsid w:val="7A615382"/>
    <w:rsid w:val="7A67303B"/>
    <w:rsid w:val="7AAB1D04"/>
    <w:rsid w:val="7ABA4368"/>
    <w:rsid w:val="7AD05746"/>
    <w:rsid w:val="7ADA1D25"/>
    <w:rsid w:val="7B257FFD"/>
    <w:rsid w:val="7B343476"/>
    <w:rsid w:val="7B5A2978"/>
    <w:rsid w:val="7B5A7E4C"/>
    <w:rsid w:val="7B667AF9"/>
    <w:rsid w:val="7B7468F8"/>
    <w:rsid w:val="7B962FB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84405"/>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34397</Words>
  <Characters>36462</Characters>
  <Lines>320</Lines>
  <Paragraphs>90</Paragraphs>
  <TotalTime>1</TotalTime>
  <ScaleCrop>false</ScaleCrop>
  <LinksUpToDate>false</LinksUpToDate>
  <CharactersWithSpaces>42342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2022-06-14T06:41:00Z</dcterms:created>
  <dc:creator>玥</dc:creator>
  <cp:lastModifiedBy>kuleng</cp:lastModifiedBy>
  <cp:lastPrinted>2021-12-27T03:06:00Z</cp:lastPrinted>
  <dcterms:modified xsi:type="dcterms:W3CDTF">2022-06-22T03:19:48Z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FA664ACA2EF24D61A0C95383142F02D6</vt:lpwstr>
  </property>
</Properties>
</file>