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r>
        <w:rPr>
          <w:rFonts w:hint="eastAsia" w:ascii="宋体" w:hAnsi="宋体" w:cs="宋体"/>
          <w:b/>
          <w:bCs/>
          <w:color w:val="auto"/>
          <w:sz w:val="30"/>
          <w:szCs w:val="72"/>
        </w:rPr>
        <w:drawing>
          <wp:anchor distT="0" distB="0" distL="114300" distR="114300" simplePos="0" relativeHeight="251659264" behindDoc="0" locked="0" layoutInCell="1" allowOverlap="1">
            <wp:simplePos x="0" y="0"/>
            <wp:positionH relativeFrom="column">
              <wp:posOffset>-704850</wp:posOffset>
            </wp:positionH>
            <wp:positionV relativeFrom="paragraph">
              <wp:posOffset>-714375</wp:posOffset>
            </wp:positionV>
            <wp:extent cx="7585075" cy="10728325"/>
            <wp:effectExtent l="0" t="0" r="15875" b="15875"/>
            <wp:wrapNone/>
            <wp:docPr id="6" name="图片 6" descr="封面盖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封面盖章页"/>
                    <pic:cNvPicPr>
                      <a:picLocks noChangeAspect="1"/>
                    </pic:cNvPicPr>
                  </pic:nvPicPr>
                  <pic:blipFill>
                    <a:blip r:embed="rId18"/>
                    <a:stretch>
                      <a:fillRect/>
                    </a:stretch>
                  </pic:blipFill>
                  <pic:spPr>
                    <a:xfrm>
                      <a:off x="0" y="0"/>
                      <a:ext cx="7585075" cy="10728325"/>
                    </a:xfrm>
                    <a:prstGeom prst="rect">
                      <a:avLst/>
                    </a:prstGeom>
                  </pic:spPr>
                </pic:pic>
              </a:graphicData>
            </a:graphic>
          </wp:anchor>
        </w:drawing>
      </w:r>
    </w:p>
    <w:p>
      <w:pPr>
        <w:spacing w:beforeLines="50" w:line="360" w:lineRule="auto"/>
        <w:jc w:val="center"/>
        <w:rPr>
          <w:rFonts w:ascii="宋体" w:hAnsi="宋体" w:cs="宋体"/>
          <w:b/>
          <w:color w:val="auto"/>
          <w:sz w:val="48"/>
          <w:szCs w:val="48"/>
        </w:rPr>
      </w:pPr>
      <w:r>
        <w:rPr>
          <w:rFonts w:hint="eastAsia" w:ascii="宋体" w:hAnsi="宋体"/>
          <w:b/>
          <w:color w:val="auto"/>
          <w:sz w:val="48"/>
          <w:szCs w:val="48"/>
        </w:rPr>
        <w:t>中资国际工程咨询集团有限责任公司</w:t>
      </w:r>
    </w:p>
    <w:p>
      <w:pPr>
        <w:spacing w:beforeLines="50" w:line="360" w:lineRule="auto"/>
        <w:jc w:val="center"/>
        <w:rPr>
          <w:rFonts w:ascii="宋体" w:hAnsi="宋体" w:cs="宋体"/>
          <w:b/>
          <w:color w:val="auto"/>
          <w:sz w:val="48"/>
          <w:szCs w:val="48"/>
        </w:rPr>
      </w:pPr>
    </w:p>
    <w:p>
      <w:pPr>
        <w:snapToGrid w:val="0"/>
        <w:spacing w:beforeLines="50" w:line="360" w:lineRule="auto"/>
        <w:jc w:val="center"/>
        <w:rPr>
          <w:rFonts w:ascii="宋体" w:hAnsi="宋体" w:cs="宋体"/>
          <w:b/>
          <w:bCs/>
          <w:color w:val="auto"/>
          <w:sz w:val="72"/>
          <w:szCs w:val="72"/>
        </w:rPr>
      </w:pPr>
    </w:p>
    <w:p>
      <w:pPr>
        <w:snapToGrid w:val="0"/>
        <w:spacing w:beforeLines="50" w:line="360" w:lineRule="auto"/>
        <w:jc w:val="center"/>
        <w:rPr>
          <w:rFonts w:ascii="宋体" w:hAnsi="宋体" w:cs="宋体"/>
          <w:b/>
          <w:bCs/>
          <w:color w:val="auto"/>
          <w:sz w:val="72"/>
          <w:szCs w:val="72"/>
        </w:rPr>
      </w:pPr>
      <w:r>
        <w:rPr>
          <w:rFonts w:hint="eastAsia" w:ascii="宋体" w:hAnsi="宋体" w:cs="宋体"/>
          <w:b/>
          <w:bCs/>
          <w:color w:val="auto"/>
          <w:sz w:val="72"/>
          <w:szCs w:val="72"/>
        </w:rPr>
        <w:t>公 开 招 标 文 件</w:t>
      </w:r>
    </w:p>
    <w:p>
      <w:pPr>
        <w:snapToGrid w:val="0"/>
        <w:spacing w:beforeLines="50" w:line="360" w:lineRule="auto"/>
        <w:rPr>
          <w:rFonts w:ascii="宋体" w:hAnsi="宋体" w:cs="宋体"/>
          <w:b/>
          <w:bCs/>
          <w:color w:val="auto"/>
          <w:sz w:val="30"/>
          <w:szCs w:val="72"/>
        </w:rPr>
      </w:pPr>
    </w:p>
    <w:p>
      <w:pPr>
        <w:snapToGrid w:val="0"/>
        <w:spacing w:beforeLines="50" w:line="360" w:lineRule="auto"/>
        <w:rPr>
          <w:rFonts w:ascii="宋体" w:hAnsi="宋体" w:cs="宋体"/>
          <w:b/>
          <w:bCs/>
          <w:color w:val="auto"/>
          <w:sz w:val="30"/>
          <w:szCs w:val="72"/>
        </w:rPr>
      </w:pPr>
    </w:p>
    <w:p>
      <w:pPr>
        <w:snapToGrid w:val="0"/>
        <w:spacing w:beforeLines="50" w:line="360" w:lineRule="auto"/>
        <w:ind w:firstLine="904" w:firstLineChars="300"/>
        <w:rPr>
          <w:rFonts w:ascii="宋体" w:hAnsi="宋体" w:cs="宋体"/>
          <w:b/>
          <w:bCs/>
          <w:color w:val="auto"/>
          <w:sz w:val="30"/>
          <w:szCs w:val="72"/>
        </w:rPr>
      </w:pPr>
      <w:r>
        <w:rPr>
          <w:rFonts w:hint="eastAsia" w:ascii="宋体" w:hAnsi="宋体" w:cs="宋体"/>
          <w:b/>
          <w:bCs/>
          <w:color w:val="auto"/>
          <w:sz w:val="30"/>
          <w:szCs w:val="72"/>
        </w:rPr>
        <w:t>项目名称：党的二十大安全播出保障项目设备采购</w:t>
      </w:r>
    </w:p>
    <w:p>
      <w:pPr>
        <w:snapToGrid w:val="0"/>
        <w:spacing w:beforeLines="50" w:line="360" w:lineRule="auto"/>
        <w:ind w:firstLine="904" w:firstLineChars="300"/>
        <w:rPr>
          <w:rFonts w:hint="eastAsia" w:ascii="宋体" w:hAnsi="宋体" w:eastAsia="宋体" w:cs="宋体"/>
          <w:b/>
          <w:bCs/>
          <w:color w:val="auto"/>
          <w:sz w:val="30"/>
          <w:szCs w:val="72"/>
          <w:lang w:eastAsia="zh-CN"/>
        </w:rPr>
      </w:pPr>
      <w:r>
        <w:rPr>
          <w:rFonts w:hint="eastAsia" w:ascii="宋体" w:hAnsi="宋体" w:cs="宋体"/>
          <w:b/>
          <w:bCs/>
          <w:color w:val="auto"/>
          <w:sz w:val="30"/>
          <w:szCs w:val="72"/>
        </w:rPr>
        <w:t>项目编号：</w:t>
      </w:r>
      <w:r>
        <w:rPr>
          <w:rFonts w:hint="eastAsia" w:ascii="宋体" w:hAnsi="宋体" w:cs="宋体"/>
          <w:b/>
          <w:bCs/>
          <w:color w:val="auto"/>
          <w:sz w:val="30"/>
          <w:szCs w:val="72"/>
          <w:lang w:eastAsia="zh-CN"/>
        </w:rPr>
        <w:t>GXZC2022-G1-003501-ZZGJ</w:t>
      </w:r>
    </w:p>
    <w:p>
      <w:pPr>
        <w:snapToGrid w:val="0"/>
        <w:spacing w:beforeLines="50" w:line="360" w:lineRule="auto"/>
        <w:ind w:firstLine="904" w:firstLineChars="300"/>
        <w:rPr>
          <w:rFonts w:ascii="宋体" w:hAnsi="宋体" w:cs="宋体"/>
          <w:b/>
          <w:bCs/>
          <w:color w:val="auto"/>
          <w:sz w:val="30"/>
          <w:szCs w:val="72"/>
        </w:rPr>
      </w:pPr>
      <w:r>
        <w:rPr>
          <w:rFonts w:hint="eastAsia" w:ascii="宋体" w:hAnsi="宋体" w:cs="宋体"/>
          <w:b/>
          <w:bCs/>
          <w:color w:val="auto"/>
          <w:sz w:val="30"/>
          <w:szCs w:val="72"/>
        </w:rPr>
        <w:t>采 购 人：</w:t>
      </w:r>
      <w:r>
        <w:rPr>
          <w:rFonts w:hint="eastAsia" w:ascii="宋体" w:hAnsi="宋体" w:cs="宋体"/>
          <w:b/>
          <w:bCs/>
          <w:color w:val="auto"/>
          <w:kern w:val="0"/>
          <w:sz w:val="30"/>
          <w:szCs w:val="30"/>
        </w:rPr>
        <w:t>广西广播电视台</w:t>
      </w:r>
      <w:r>
        <w:rPr>
          <w:rFonts w:hint="eastAsia" w:ascii="宋体" w:hAnsi="宋体" w:cs="宋体"/>
          <w:b/>
          <w:bCs/>
          <w:color w:val="auto"/>
          <w:sz w:val="30"/>
          <w:szCs w:val="72"/>
        </w:rPr>
        <w:t xml:space="preserve"> </w:t>
      </w:r>
    </w:p>
    <w:p>
      <w:pPr>
        <w:snapToGrid w:val="0"/>
        <w:spacing w:beforeLines="50" w:line="360" w:lineRule="auto"/>
        <w:ind w:firstLine="904" w:firstLineChars="300"/>
        <w:rPr>
          <w:rFonts w:ascii="宋体" w:hAnsi="宋体" w:cs="宋体"/>
          <w:b/>
          <w:bCs/>
          <w:color w:val="auto"/>
          <w:sz w:val="30"/>
          <w:szCs w:val="72"/>
        </w:rPr>
      </w:pPr>
      <w:r>
        <w:rPr>
          <w:rFonts w:hint="eastAsia" w:ascii="宋体" w:hAnsi="宋体" w:cs="宋体"/>
          <w:b/>
          <w:bCs/>
          <w:color w:val="auto"/>
          <w:sz w:val="30"/>
          <w:szCs w:val="72"/>
        </w:rPr>
        <w:t>采购代理机构：中资国际工程咨询集团有限责任公司</w:t>
      </w:r>
    </w:p>
    <w:p>
      <w:pPr>
        <w:snapToGrid w:val="0"/>
        <w:spacing w:beforeLines="50" w:line="360" w:lineRule="auto"/>
        <w:ind w:firstLine="1205" w:firstLineChars="400"/>
        <w:jc w:val="center"/>
        <w:rPr>
          <w:rFonts w:ascii="宋体" w:hAnsi="宋体" w:cs="宋体"/>
          <w:b/>
          <w:bCs/>
          <w:color w:val="auto"/>
          <w:sz w:val="30"/>
          <w:szCs w:val="72"/>
        </w:rPr>
      </w:pPr>
    </w:p>
    <w:p>
      <w:pPr>
        <w:pStyle w:val="18"/>
        <w:spacing w:before="120" w:after="120" w:line="360" w:lineRule="auto"/>
        <w:jc w:val="center"/>
        <w:rPr>
          <w:rFonts w:hAnsi="宋体" w:cs="宋体"/>
          <w:b/>
          <w:bCs/>
          <w:color w:val="auto"/>
          <w:sz w:val="30"/>
          <w:szCs w:val="72"/>
        </w:rPr>
      </w:pPr>
    </w:p>
    <w:p>
      <w:pPr>
        <w:pStyle w:val="18"/>
        <w:spacing w:before="120" w:after="120" w:line="360" w:lineRule="auto"/>
        <w:jc w:val="center"/>
        <w:rPr>
          <w:rFonts w:hAnsi="宋体" w:cs="宋体"/>
          <w:b/>
          <w:bCs/>
          <w:color w:val="auto"/>
          <w:sz w:val="30"/>
          <w:szCs w:val="72"/>
        </w:rPr>
      </w:pPr>
    </w:p>
    <w:p>
      <w:pPr>
        <w:pStyle w:val="18"/>
        <w:spacing w:before="120" w:after="120" w:line="360" w:lineRule="auto"/>
        <w:jc w:val="center"/>
        <w:rPr>
          <w:rFonts w:ascii="仿宋_GB2312" w:hAnsi="宋体" w:eastAsia="仿宋_GB2312"/>
          <w:color w:val="auto"/>
        </w:rPr>
      </w:pPr>
      <w:r>
        <w:rPr>
          <w:rFonts w:hint="eastAsia" w:hAnsi="宋体" w:cs="宋体"/>
          <w:color w:val="auto"/>
          <w:sz w:val="30"/>
          <w:szCs w:val="72"/>
        </w:rPr>
        <w:t>2022年10月</w:t>
      </w:r>
      <w:r>
        <w:rPr>
          <w:rFonts w:hint="eastAsia" w:hAnsi="宋体" w:cs="宋体"/>
          <w:color w:val="auto"/>
          <w:sz w:val="30"/>
          <w:szCs w:val="72"/>
          <w:lang w:val="en-US" w:eastAsia="zh-CN"/>
        </w:rPr>
        <w:t>26</w:t>
      </w:r>
      <w:r>
        <w:rPr>
          <w:rFonts w:hint="eastAsia" w:hAnsi="宋体" w:cs="宋体"/>
          <w:color w:val="auto"/>
          <w:sz w:val="30"/>
          <w:szCs w:val="72"/>
        </w:rPr>
        <w:t>日</w:t>
      </w:r>
    </w:p>
    <w:p>
      <w:pPr>
        <w:pStyle w:val="18"/>
        <w:spacing w:before="120" w:after="120" w:line="360" w:lineRule="auto"/>
        <w:jc w:val="center"/>
        <w:rPr>
          <w:rFonts w:ascii="仿宋_GB2312" w:hAnsi="宋体" w:eastAsia="仿宋_GB2312"/>
          <w:b/>
          <w:bCs/>
          <w:color w:val="auto"/>
          <w:sz w:val="40"/>
          <w:szCs w:val="40"/>
        </w:rPr>
        <w:sectPr>
          <w:headerReference r:id="rId3" w:type="default"/>
          <w:pgSz w:w="11906" w:h="16838"/>
          <w:pgMar w:top="1134" w:right="1134" w:bottom="1134" w:left="1134" w:header="720" w:footer="720" w:gutter="0"/>
          <w:cols w:space="720" w:num="1"/>
          <w:docGrid w:type="lines" w:linePitch="331" w:charSpace="0"/>
        </w:sectPr>
      </w:pPr>
    </w:p>
    <w:p>
      <w:pPr>
        <w:pStyle w:val="5"/>
        <w:rPr>
          <w:color w:val="auto"/>
        </w:rPr>
      </w:pPr>
    </w:p>
    <w:p>
      <w:pPr>
        <w:pStyle w:val="18"/>
        <w:spacing w:before="120" w:after="120" w:line="360" w:lineRule="auto"/>
        <w:jc w:val="center"/>
        <w:rPr>
          <w:rFonts w:ascii="仿宋_GB2312" w:hAnsi="宋体" w:eastAsia="仿宋_GB2312"/>
          <w:b/>
          <w:bCs/>
          <w:color w:val="auto"/>
          <w:sz w:val="32"/>
          <w:szCs w:val="32"/>
        </w:rPr>
      </w:pPr>
      <w:r>
        <w:rPr>
          <w:rFonts w:hint="eastAsia" w:ascii="仿宋_GB2312" w:hAnsi="宋体" w:eastAsia="仿宋_GB2312"/>
          <w:b/>
          <w:bCs/>
          <w:color w:val="auto"/>
          <w:sz w:val="40"/>
          <w:szCs w:val="40"/>
        </w:rPr>
        <w:t>目    录</w:t>
      </w:r>
    </w:p>
    <w:p>
      <w:pPr>
        <w:pStyle w:val="18"/>
        <w:spacing w:before="120" w:after="120" w:line="360" w:lineRule="auto"/>
        <w:jc w:val="center"/>
        <w:rPr>
          <w:rFonts w:ascii="仿宋_GB2312" w:hAnsi="宋体" w:eastAsia="仿宋_GB2312"/>
          <w:color w:val="auto"/>
          <w:sz w:val="32"/>
          <w:szCs w:val="32"/>
        </w:rPr>
      </w:pPr>
    </w:p>
    <w:p>
      <w:pPr>
        <w:pStyle w:val="29"/>
        <w:tabs>
          <w:tab w:val="right" w:leader="dot" w:pos="9402"/>
        </w:tabs>
        <w:spacing w:line="480" w:lineRule="auto"/>
        <w:rPr>
          <w:b/>
          <w:bCs/>
          <w:color w:val="auto"/>
          <w:sz w:val="28"/>
          <w:szCs w:val="28"/>
        </w:rPr>
      </w:pPr>
      <w:r>
        <w:rPr>
          <w:rFonts w:ascii="仿宋_GB2312" w:hAnsi="宋体" w:eastAsia="仿宋_GB2312"/>
          <w:b w:val="0"/>
          <w:bCs w:val="0"/>
          <w:color w:val="auto"/>
          <w:sz w:val="24"/>
        </w:rPr>
        <w:fldChar w:fldCharType="begin"/>
      </w:r>
      <w:r>
        <w:rPr>
          <w:rFonts w:ascii="仿宋_GB2312" w:hAnsi="宋体" w:eastAsia="仿宋_GB2312"/>
          <w:b w:val="0"/>
          <w:bCs w:val="0"/>
          <w:color w:val="auto"/>
          <w:sz w:val="24"/>
        </w:rPr>
        <w:instrText xml:space="preserve"> </w:instrText>
      </w:r>
      <w:r>
        <w:rPr>
          <w:rFonts w:hint="eastAsia" w:ascii="仿宋_GB2312" w:hAnsi="宋体" w:eastAsia="仿宋_GB2312"/>
          <w:b w:val="0"/>
          <w:bCs w:val="0"/>
          <w:color w:val="auto"/>
          <w:sz w:val="24"/>
        </w:rPr>
        <w:instrText xml:space="preserve">TOC \o "1-2" \h \z \u</w:instrText>
      </w:r>
      <w:r>
        <w:rPr>
          <w:rFonts w:ascii="仿宋_GB2312" w:hAnsi="宋体" w:eastAsia="仿宋_GB2312"/>
          <w:b w:val="0"/>
          <w:bCs w:val="0"/>
          <w:color w:val="auto"/>
          <w:sz w:val="24"/>
        </w:rPr>
        <w:instrText xml:space="preserve"> </w:instrText>
      </w:r>
      <w:r>
        <w:rPr>
          <w:rFonts w:ascii="仿宋_GB2312" w:hAnsi="宋体" w:eastAsia="仿宋_GB2312"/>
          <w:b w:val="0"/>
          <w:bCs w:val="0"/>
          <w:color w:val="auto"/>
          <w:sz w:val="24"/>
        </w:rPr>
        <w:fldChar w:fldCharType="separate"/>
      </w:r>
      <w:r>
        <w:rPr>
          <w:b/>
          <w:bCs/>
          <w:color w:val="auto"/>
        </w:rPr>
        <w:fldChar w:fldCharType="begin"/>
      </w:r>
      <w:r>
        <w:rPr>
          <w:b/>
          <w:bCs/>
          <w:color w:val="auto"/>
        </w:rPr>
        <w:instrText xml:space="preserve"> HYPERLINK \l "_Toc19686829" </w:instrText>
      </w:r>
      <w:r>
        <w:rPr>
          <w:b/>
          <w:bCs/>
          <w:color w:val="auto"/>
        </w:rPr>
        <w:fldChar w:fldCharType="separate"/>
      </w:r>
      <w:r>
        <w:rPr>
          <w:rStyle w:val="40"/>
          <w:rFonts w:hint="eastAsia"/>
          <w:b/>
          <w:bCs/>
          <w:color w:val="auto"/>
          <w:sz w:val="28"/>
          <w:szCs w:val="28"/>
        </w:rPr>
        <w:t>第一章</w:t>
      </w:r>
      <w:r>
        <w:rPr>
          <w:rStyle w:val="40"/>
          <w:b/>
          <w:bCs/>
          <w:color w:val="auto"/>
          <w:sz w:val="28"/>
          <w:szCs w:val="28"/>
        </w:rPr>
        <w:t xml:space="preserve">  </w:t>
      </w:r>
      <w:r>
        <w:rPr>
          <w:rStyle w:val="40"/>
          <w:rFonts w:hint="eastAsia"/>
          <w:b/>
          <w:bCs/>
          <w:color w:val="auto"/>
          <w:sz w:val="28"/>
          <w:szCs w:val="28"/>
        </w:rPr>
        <w:t>招标公告</w:t>
      </w:r>
      <w:r>
        <w:rPr>
          <w:b/>
          <w:bCs/>
          <w:color w:val="auto"/>
          <w:sz w:val="28"/>
          <w:szCs w:val="28"/>
        </w:rPr>
        <w:tab/>
      </w:r>
      <w:r>
        <w:rPr>
          <w:b/>
          <w:bCs/>
          <w:color w:val="auto"/>
          <w:sz w:val="28"/>
          <w:szCs w:val="28"/>
        </w:rPr>
        <w:fldChar w:fldCharType="begin"/>
      </w:r>
      <w:r>
        <w:rPr>
          <w:b/>
          <w:bCs/>
          <w:color w:val="auto"/>
          <w:sz w:val="28"/>
          <w:szCs w:val="28"/>
        </w:rPr>
        <w:instrText xml:space="preserve"> PAGEREF _Toc19686829 \h </w:instrText>
      </w:r>
      <w:r>
        <w:rPr>
          <w:b/>
          <w:bCs/>
          <w:color w:val="auto"/>
          <w:sz w:val="28"/>
          <w:szCs w:val="28"/>
        </w:rPr>
        <w:fldChar w:fldCharType="separate"/>
      </w:r>
      <w:r>
        <w:rPr>
          <w:b/>
          <w:bCs/>
          <w:color w:val="auto"/>
          <w:sz w:val="28"/>
          <w:szCs w:val="28"/>
        </w:rPr>
        <w:t>2</w:t>
      </w:r>
      <w:r>
        <w:rPr>
          <w:b/>
          <w:bCs/>
          <w:color w:val="auto"/>
          <w:sz w:val="28"/>
          <w:szCs w:val="28"/>
        </w:rPr>
        <w:fldChar w:fldCharType="end"/>
      </w:r>
      <w:r>
        <w:rPr>
          <w:b/>
          <w:bCs/>
          <w:color w:val="auto"/>
          <w:sz w:val="28"/>
          <w:szCs w:val="28"/>
        </w:rPr>
        <w:fldChar w:fldCharType="end"/>
      </w:r>
    </w:p>
    <w:p>
      <w:pPr>
        <w:pStyle w:val="29"/>
        <w:tabs>
          <w:tab w:val="right" w:leader="dot" w:pos="9402"/>
        </w:tabs>
        <w:spacing w:line="480" w:lineRule="auto"/>
        <w:rPr>
          <w:b/>
          <w:bCs/>
          <w:color w:val="auto"/>
          <w:sz w:val="28"/>
          <w:szCs w:val="28"/>
        </w:rPr>
      </w:pPr>
      <w:r>
        <w:rPr>
          <w:b/>
          <w:bCs/>
          <w:color w:val="auto"/>
        </w:rPr>
        <w:fldChar w:fldCharType="begin"/>
      </w:r>
      <w:r>
        <w:rPr>
          <w:b/>
          <w:bCs/>
          <w:color w:val="auto"/>
        </w:rPr>
        <w:instrText xml:space="preserve"> HYPERLINK \l "_Toc19686830" </w:instrText>
      </w:r>
      <w:r>
        <w:rPr>
          <w:b/>
          <w:bCs/>
          <w:color w:val="auto"/>
        </w:rPr>
        <w:fldChar w:fldCharType="separate"/>
      </w:r>
      <w:r>
        <w:rPr>
          <w:rStyle w:val="40"/>
          <w:rFonts w:hint="eastAsia"/>
          <w:b/>
          <w:bCs/>
          <w:color w:val="auto"/>
          <w:sz w:val="28"/>
          <w:szCs w:val="28"/>
        </w:rPr>
        <w:t>第二章</w:t>
      </w:r>
      <w:r>
        <w:rPr>
          <w:rStyle w:val="40"/>
          <w:b/>
          <w:bCs/>
          <w:color w:val="auto"/>
          <w:sz w:val="28"/>
          <w:szCs w:val="28"/>
        </w:rPr>
        <w:t xml:space="preserve">  </w:t>
      </w:r>
      <w:r>
        <w:rPr>
          <w:rStyle w:val="40"/>
          <w:rFonts w:hint="eastAsia"/>
          <w:b/>
          <w:bCs/>
          <w:color w:val="auto"/>
          <w:sz w:val="28"/>
          <w:szCs w:val="28"/>
        </w:rPr>
        <w:t>采购</w:t>
      </w:r>
      <w:bookmarkStart w:id="0" w:name="_Hlt54940052"/>
      <w:bookmarkStart w:id="1" w:name="_Hlt54940053"/>
      <w:r>
        <w:rPr>
          <w:rStyle w:val="40"/>
          <w:rFonts w:hint="eastAsia"/>
          <w:b/>
          <w:bCs/>
          <w:color w:val="auto"/>
          <w:sz w:val="28"/>
          <w:szCs w:val="28"/>
        </w:rPr>
        <w:t>需</w:t>
      </w:r>
      <w:bookmarkEnd w:id="0"/>
      <w:bookmarkEnd w:id="1"/>
      <w:r>
        <w:rPr>
          <w:rStyle w:val="40"/>
          <w:rFonts w:hint="eastAsia"/>
          <w:b/>
          <w:bCs/>
          <w:color w:val="auto"/>
          <w:sz w:val="28"/>
          <w:szCs w:val="28"/>
        </w:rPr>
        <w:t>求</w:t>
      </w:r>
      <w:r>
        <w:rPr>
          <w:b/>
          <w:bCs/>
          <w:color w:val="auto"/>
          <w:sz w:val="28"/>
          <w:szCs w:val="28"/>
        </w:rPr>
        <w:tab/>
      </w:r>
      <w:r>
        <w:rPr>
          <w:b/>
          <w:bCs/>
          <w:color w:val="auto"/>
          <w:sz w:val="28"/>
          <w:szCs w:val="28"/>
        </w:rPr>
        <w:fldChar w:fldCharType="begin"/>
      </w:r>
      <w:r>
        <w:rPr>
          <w:b/>
          <w:bCs/>
          <w:color w:val="auto"/>
          <w:sz w:val="28"/>
          <w:szCs w:val="28"/>
        </w:rPr>
        <w:instrText xml:space="preserve"> PAGEREF _Toc19686830 \h </w:instrText>
      </w:r>
      <w:r>
        <w:rPr>
          <w:b/>
          <w:bCs/>
          <w:color w:val="auto"/>
          <w:sz w:val="28"/>
          <w:szCs w:val="28"/>
        </w:rPr>
        <w:fldChar w:fldCharType="separate"/>
      </w:r>
      <w:r>
        <w:rPr>
          <w:b/>
          <w:bCs/>
          <w:color w:val="auto"/>
          <w:sz w:val="28"/>
          <w:szCs w:val="28"/>
        </w:rPr>
        <w:t>7</w:t>
      </w:r>
      <w:r>
        <w:rPr>
          <w:b/>
          <w:bCs/>
          <w:color w:val="auto"/>
          <w:sz w:val="28"/>
          <w:szCs w:val="28"/>
        </w:rPr>
        <w:fldChar w:fldCharType="end"/>
      </w:r>
      <w:r>
        <w:rPr>
          <w:b/>
          <w:bCs/>
          <w:color w:val="auto"/>
          <w:sz w:val="28"/>
          <w:szCs w:val="28"/>
        </w:rPr>
        <w:fldChar w:fldCharType="end"/>
      </w:r>
    </w:p>
    <w:p>
      <w:pPr>
        <w:pStyle w:val="29"/>
        <w:tabs>
          <w:tab w:val="right" w:leader="dot" w:pos="9402"/>
        </w:tabs>
        <w:spacing w:line="480" w:lineRule="auto"/>
        <w:rPr>
          <w:b/>
          <w:bCs/>
          <w:color w:val="auto"/>
          <w:sz w:val="28"/>
          <w:szCs w:val="28"/>
        </w:rPr>
      </w:pPr>
      <w:r>
        <w:rPr>
          <w:b/>
          <w:bCs/>
          <w:color w:val="auto"/>
        </w:rPr>
        <w:fldChar w:fldCharType="begin"/>
      </w:r>
      <w:r>
        <w:rPr>
          <w:b/>
          <w:bCs/>
          <w:color w:val="auto"/>
        </w:rPr>
        <w:instrText xml:space="preserve"> HYPERLINK \l "_Toc19686831" </w:instrText>
      </w:r>
      <w:r>
        <w:rPr>
          <w:b/>
          <w:bCs/>
          <w:color w:val="auto"/>
        </w:rPr>
        <w:fldChar w:fldCharType="separate"/>
      </w:r>
      <w:r>
        <w:rPr>
          <w:rStyle w:val="40"/>
          <w:rFonts w:hint="eastAsia"/>
          <w:b/>
          <w:bCs/>
          <w:color w:val="auto"/>
          <w:sz w:val="28"/>
          <w:szCs w:val="28"/>
        </w:rPr>
        <w:t>第三章</w:t>
      </w:r>
      <w:r>
        <w:rPr>
          <w:rStyle w:val="40"/>
          <w:b/>
          <w:bCs/>
          <w:color w:val="auto"/>
          <w:sz w:val="28"/>
          <w:szCs w:val="28"/>
        </w:rPr>
        <w:t xml:space="preserve">  </w:t>
      </w:r>
      <w:r>
        <w:rPr>
          <w:rStyle w:val="40"/>
          <w:rFonts w:hint="eastAsia"/>
          <w:b/>
          <w:bCs/>
          <w:color w:val="auto"/>
          <w:sz w:val="28"/>
          <w:szCs w:val="28"/>
        </w:rPr>
        <w:t>投标</w:t>
      </w:r>
      <w:bookmarkStart w:id="2" w:name="_Hlt30431883"/>
      <w:r>
        <w:rPr>
          <w:rStyle w:val="40"/>
          <w:rFonts w:hint="eastAsia"/>
          <w:b/>
          <w:bCs/>
          <w:color w:val="auto"/>
          <w:sz w:val="28"/>
          <w:szCs w:val="28"/>
        </w:rPr>
        <w:t>人</w:t>
      </w:r>
      <w:bookmarkEnd w:id="2"/>
      <w:bookmarkStart w:id="3" w:name="_Hlt43803607"/>
      <w:bookmarkStart w:id="4" w:name="_Hlt43803608"/>
      <w:r>
        <w:rPr>
          <w:rStyle w:val="40"/>
          <w:rFonts w:hint="eastAsia"/>
          <w:b/>
          <w:bCs/>
          <w:color w:val="auto"/>
          <w:sz w:val="28"/>
          <w:szCs w:val="28"/>
        </w:rPr>
        <w:t>须</w:t>
      </w:r>
      <w:bookmarkEnd w:id="3"/>
      <w:bookmarkEnd w:id="4"/>
      <w:r>
        <w:rPr>
          <w:rStyle w:val="40"/>
          <w:rFonts w:hint="eastAsia"/>
          <w:b/>
          <w:bCs/>
          <w:color w:val="auto"/>
          <w:sz w:val="28"/>
          <w:szCs w:val="28"/>
        </w:rPr>
        <w:t>知</w:t>
      </w:r>
      <w:bookmarkStart w:id="5" w:name="_Hlt43479155"/>
      <w:bookmarkStart w:id="6" w:name="_Hlt43479156"/>
      <w:r>
        <w:rPr>
          <w:b/>
          <w:bCs/>
          <w:color w:val="auto"/>
          <w:sz w:val="28"/>
          <w:szCs w:val="28"/>
        </w:rPr>
        <w:tab/>
      </w:r>
      <w:bookmarkEnd w:id="5"/>
      <w:bookmarkEnd w:id="6"/>
      <w:r>
        <w:rPr>
          <w:rFonts w:hint="eastAsia"/>
          <w:b/>
          <w:bCs/>
          <w:color w:val="auto"/>
          <w:sz w:val="28"/>
          <w:szCs w:val="28"/>
        </w:rPr>
        <w:t>3</w:t>
      </w:r>
      <w:r>
        <w:rPr>
          <w:rFonts w:hint="eastAsia"/>
          <w:b/>
          <w:bCs/>
          <w:color w:val="auto"/>
          <w:sz w:val="28"/>
          <w:szCs w:val="28"/>
        </w:rPr>
        <w:fldChar w:fldCharType="end"/>
      </w:r>
      <w:r>
        <w:rPr>
          <w:rFonts w:hint="eastAsia"/>
          <w:b/>
          <w:bCs/>
          <w:color w:val="auto"/>
          <w:sz w:val="28"/>
          <w:szCs w:val="28"/>
        </w:rPr>
        <w:t>7</w:t>
      </w:r>
    </w:p>
    <w:p>
      <w:pPr>
        <w:pStyle w:val="29"/>
        <w:tabs>
          <w:tab w:val="right" w:leader="dot" w:pos="9402"/>
        </w:tabs>
        <w:spacing w:line="480" w:lineRule="auto"/>
        <w:rPr>
          <w:b/>
          <w:bCs/>
          <w:color w:val="auto"/>
          <w:sz w:val="28"/>
          <w:szCs w:val="28"/>
        </w:rPr>
      </w:pPr>
      <w:r>
        <w:rPr>
          <w:b/>
          <w:bCs/>
          <w:color w:val="auto"/>
        </w:rPr>
        <w:fldChar w:fldCharType="begin"/>
      </w:r>
      <w:r>
        <w:rPr>
          <w:b/>
          <w:bCs/>
          <w:color w:val="auto"/>
        </w:rPr>
        <w:instrText xml:space="preserve"> HYPERLINK \l "_Toc19686832" </w:instrText>
      </w:r>
      <w:r>
        <w:rPr>
          <w:b/>
          <w:bCs/>
          <w:color w:val="auto"/>
        </w:rPr>
        <w:fldChar w:fldCharType="separate"/>
      </w:r>
      <w:r>
        <w:rPr>
          <w:rStyle w:val="40"/>
          <w:rFonts w:hint="eastAsia"/>
          <w:b/>
          <w:bCs/>
          <w:color w:val="auto"/>
          <w:sz w:val="28"/>
          <w:szCs w:val="28"/>
        </w:rPr>
        <w:t>第四章</w:t>
      </w:r>
      <w:r>
        <w:rPr>
          <w:rStyle w:val="40"/>
          <w:b/>
          <w:bCs/>
          <w:color w:val="auto"/>
          <w:sz w:val="28"/>
          <w:szCs w:val="28"/>
        </w:rPr>
        <w:t xml:space="preserve">  </w:t>
      </w:r>
      <w:r>
        <w:rPr>
          <w:rStyle w:val="40"/>
          <w:rFonts w:hint="eastAsia"/>
          <w:b/>
          <w:bCs/>
          <w:color w:val="auto"/>
          <w:sz w:val="28"/>
          <w:szCs w:val="28"/>
        </w:rPr>
        <w:t>评标方</w:t>
      </w:r>
      <w:bookmarkStart w:id="7" w:name="_Hlt43881606"/>
      <w:r>
        <w:rPr>
          <w:rStyle w:val="40"/>
          <w:rFonts w:hint="eastAsia"/>
          <w:b/>
          <w:bCs/>
          <w:color w:val="auto"/>
          <w:sz w:val="28"/>
          <w:szCs w:val="28"/>
        </w:rPr>
        <w:t>法</w:t>
      </w:r>
      <w:bookmarkEnd w:id="7"/>
      <w:r>
        <w:rPr>
          <w:rStyle w:val="40"/>
          <w:rFonts w:hint="eastAsia"/>
          <w:b/>
          <w:bCs/>
          <w:color w:val="auto"/>
          <w:sz w:val="28"/>
          <w:szCs w:val="28"/>
        </w:rPr>
        <w:t>及评标标准</w:t>
      </w:r>
      <w:r>
        <w:rPr>
          <w:b/>
          <w:bCs/>
          <w:color w:val="auto"/>
          <w:sz w:val="28"/>
          <w:szCs w:val="28"/>
        </w:rPr>
        <w:tab/>
      </w:r>
      <w:r>
        <w:rPr>
          <w:rFonts w:hint="eastAsia"/>
          <w:b/>
          <w:bCs/>
          <w:color w:val="auto"/>
          <w:sz w:val="28"/>
          <w:szCs w:val="28"/>
        </w:rPr>
        <w:t>5</w:t>
      </w:r>
      <w:r>
        <w:rPr>
          <w:rFonts w:hint="eastAsia"/>
          <w:b/>
          <w:bCs/>
          <w:color w:val="auto"/>
          <w:sz w:val="28"/>
          <w:szCs w:val="28"/>
        </w:rPr>
        <w:fldChar w:fldCharType="end"/>
      </w:r>
      <w:r>
        <w:rPr>
          <w:rFonts w:hint="eastAsia"/>
          <w:b/>
          <w:bCs/>
          <w:color w:val="auto"/>
          <w:sz w:val="28"/>
          <w:szCs w:val="28"/>
        </w:rPr>
        <w:t>7</w:t>
      </w:r>
    </w:p>
    <w:p>
      <w:pPr>
        <w:pStyle w:val="29"/>
        <w:tabs>
          <w:tab w:val="right" w:leader="dot" w:pos="9402"/>
        </w:tabs>
        <w:spacing w:line="480" w:lineRule="auto"/>
        <w:rPr>
          <w:b/>
          <w:bCs/>
          <w:color w:val="auto"/>
          <w:sz w:val="28"/>
          <w:szCs w:val="28"/>
        </w:rPr>
      </w:pPr>
      <w:r>
        <w:rPr>
          <w:b/>
          <w:bCs/>
          <w:color w:val="auto"/>
        </w:rPr>
        <w:fldChar w:fldCharType="begin"/>
      </w:r>
      <w:r>
        <w:rPr>
          <w:b/>
          <w:bCs/>
          <w:color w:val="auto"/>
        </w:rPr>
        <w:instrText xml:space="preserve"> HYPERLINK \l "_Toc19686833" </w:instrText>
      </w:r>
      <w:r>
        <w:rPr>
          <w:b/>
          <w:bCs/>
          <w:color w:val="auto"/>
        </w:rPr>
        <w:fldChar w:fldCharType="separate"/>
      </w:r>
      <w:r>
        <w:rPr>
          <w:rStyle w:val="40"/>
          <w:rFonts w:hint="eastAsia"/>
          <w:b/>
          <w:bCs/>
          <w:color w:val="auto"/>
          <w:sz w:val="28"/>
          <w:szCs w:val="28"/>
        </w:rPr>
        <w:t>第五章</w:t>
      </w:r>
      <w:r>
        <w:rPr>
          <w:rStyle w:val="40"/>
          <w:b/>
          <w:bCs/>
          <w:color w:val="auto"/>
          <w:sz w:val="28"/>
          <w:szCs w:val="28"/>
        </w:rPr>
        <w:t xml:space="preserve">  </w:t>
      </w:r>
      <w:r>
        <w:rPr>
          <w:rStyle w:val="40"/>
          <w:rFonts w:hint="eastAsia"/>
          <w:b/>
          <w:bCs/>
          <w:color w:val="auto"/>
          <w:sz w:val="28"/>
          <w:szCs w:val="28"/>
        </w:rPr>
        <w:t>拟签订的合同文本</w:t>
      </w:r>
      <w:r>
        <w:rPr>
          <w:b/>
          <w:bCs/>
          <w:color w:val="auto"/>
          <w:sz w:val="28"/>
          <w:szCs w:val="28"/>
        </w:rPr>
        <w:tab/>
      </w:r>
      <w:r>
        <w:rPr>
          <w:rFonts w:hint="eastAsia"/>
          <w:b/>
          <w:bCs/>
          <w:color w:val="auto"/>
          <w:sz w:val="28"/>
          <w:szCs w:val="28"/>
        </w:rPr>
        <w:t>6</w:t>
      </w:r>
      <w:r>
        <w:rPr>
          <w:rFonts w:hint="eastAsia"/>
          <w:b/>
          <w:bCs/>
          <w:color w:val="auto"/>
          <w:sz w:val="28"/>
          <w:szCs w:val="28"/>
        </w:rPr>
        <w:fldChar w:fldCharType="end"/>
      </w:r>
      <w:r>
        <w:rPr>
          <w:rFonts w:hint="eastAsia"/>
          <w:b/>
          <w:bCs/>
          <w:color w:val="auto"/>
          <w:sz w:val="28"/>
          <w:szCs w:val="28"/>
        </w:rPr>
        <w:t>4</w:t>
      </w:r>
    </w:p>
    <w:p>
      <w:pPr>
        <w:pStyle w:val="29"/>
        <w:tabs>
          <w:tab w:val="right" w:leader="dot" w:pos="9402"/>
        </w:tabs>
        <w:spacing w:line="480" w:lineRule="auto"/>
        <w:rPr>
          <w:b/>
          <w:bCs/>
          <w:color w:val="auto"/>
        </w:rPr>
      </w:pPr>
      <w:r>
        <w:rPr>
          <w:b/>
          <w:bCs/>
          <w:color w:val="auto"/>
        </w:rPr>
        <w:fldChar w:fldCharType="begin"/>
      </w:r>
      <w:r>
        <w:rPr>
          <w:b/>
          <w:bCs/>
          <w:color w:val="auto"/>
        </w:rPr>
        <w:instrText xml:space="preserve"> HYPERLINK \l "_Toc19686834" </w:instrText>
      </w:r>
      <w:r>
        <w:rPr>
          <w:b/>
          <w:bCs/>
          <w:color w:val="auto"/>
        </w:rPr>
        <w:fldChar w:fldCharType="separate"/>
      </w:r>
      <w:r>
        <w:rPr>
          <w:rStyle w:val="40"/>
          <w:rFonts w:hint="eastAsia"/>
          <w:b/>
          <w:bCs/>
          <w:color w:val="auto"/>
          <w:sz w:val="28"/>
          <w:szCs w:val="28"/>
        </w:rPr>
        <w:t>第六章</w:t>
      </w:r>
      <w:r>
        <w:rPr>
          <w:rStyle w:val="40"/>
          <w:rFonts w:hint="eastAsia"/>
          <w:b/>
          <w:bCs/>
          <w:color w:val="auto"/>
          <w:sz w:val="28"/>
          <w:szCs w:val="28"/>
          <w:lang w:val="en-US" w:eastAsia="zh-CN"/>
        </w:rPr>
        <w:t xml:space="preserve">  </w:t>
      </w:r>
      <w:r>
        <w:rPr>
          <w:rStyle w:val="40"/>
          <w:rFonts w:hint="eastAsia"/>
          <w:b/>
          <w:bCs/>
          <w:color w:val="auto"/>
          <w:sz w:val="28"/>
          <w:szCs w:val="28"/>
        </w:rPr>
        <w:t>投标文件格式</w:t>
      </w:r>
      <w:r>
        <w:rPr>
          <w:b/>
          <w:bCs/>
          <w:color w:val="auto"/>
          <w:sz w:val="28"/>
          <w:szCs w:val="28"/>
        </w:rPr>
        <w:tab/>
      </w:r>
      <w:r>
        <w:rPr>
          <w:rFonts w:hint="eastAsia"/>
          <w:b/>
          <w:bCs/>
          <w:color w:val="auto"/>
          <w:sz w:val="28"/>
          <w:szCs w:val="28"/>
        </w:rPr>
        <w:t>7</w:t>
      </w:r>
      <w:r>
        <w:rPr>
          <w:rFonts w:hint="eastAsia"/>
          <w:b/>
          <w:bCs/>
          <w:color w:val="auto"/>
          <w:sz w:val="28"/>
          <w:szCs w:val="28"/>
        </w:rPr>
        <w:fldChar w:fldCharType="end"/>
      </w:r>
      <w:r>
        <w:rPr>
          <w:rFonts w:hint="eastAsia"/>
          <w:b/>
          <w:bCs/>
          <w:color w:val="auto"/>
          <w:sz w:val="28"/>
          <w:szCs w:val="28"/>
        </w:rPr>
        <w:t>1</w:t>
      </w:r>
    </w:p>
    <w:p>
      <w:pPr>
        <w:pStyle w:val="29"/>
        <w:tabs>
          <w:tab w:val="right" w:leader="dot" w:pos="9402"/>
        </w:tabs>
        <w:rPr>
          <w:b w:val="0"/>
          <w:bCs w:val="0"/>
          <w:color w:val="auto"/>
        </w:rPr>
      </w:pPr>
    </w:p>
    <w:p>
      <w:pPr>
        <w:spacing w:beforeLines="50" w:line="480" w:lineRule="exact"/>
        <w:rPr>
          <w:rFonts w:ascii="仿宋_GB2312" w:hAnsi="宋体" w:eastAsia="仿宋_GB2312"/>
          <w:color w:val="auto"/>
          <w:sz w:val="24"/>
        </w:rPr>
      </w:pPr>
      <w:r>
        <w:rPr>
          <w:rFonts w:ascii="仿宋_GB2312" w:hAnsi="宋体" w:eastAsia="仿宋_GB2312"/>
          <w:color w:val="auto"/>
          <w:sz w:val="24"/>
        </w:rPr>
        <w:fldChar w:fldCharType="end"/>
      </w:r>
    </w:p>
    <w:p>
      <w:pPr>
        <w:pStyle w:val="12"/>
        <w:rPr>
          <w:rFonts w:ascii="宋体" w:hAnsi="宋体" w:cs="宋体"/>
          <w:b/>
          <w:bCs/>
          <w:color w:val="auto"/>
        </w:rPr>
      </w:pPr>
      <w:bookmarkStart w:id="8" w:name="_Toc254970489"/>
      <w:bookmarkStart w:id="9" w:name="_Toc254970630"/>
      <w:bookmarkStart w:id="168" w:name="_GoBack"/>
      <w:bookmarkEnd w:id="168"/>
    </w:p>
    <w:p>
      <w:pPr>
        <w:pStyle w:val="3"/>
        <w:keepNext w:val="0"/>
        <w:keepLines w:val="0"/>
        <w:tabs>
          <w:tab w:val="left" w:pos="0"/>
          <w:tab w:val="left" w:pos="3165"/>
          <w:tab w:val="center" w:pos="4153"/>
        </w:tabs>
        <w:autoSpaceDE w:val="0"/>
        <w:autoSpaceDN w:val="0"/>
        <w:adjustRightInd w:val="0"/>
        <w:spacing w:before="0" w:after="0" w:line="480" w:lineRule="auto"/>
        <w:jc w:val="center"/>
        <w:rPr>
          <w:color w:val="auto"/>
        </w:rPr>
      </w:pPr>
      <w:r>
        <w:rPr>
          <w:rFonts w:ascii="宋体" w:hAnsi="宋体" w:cs="宋体"/>
          <w:b w:val="0"/>
          <w:bCs w:val="0"/>
          <w:color w:val="auto"/>
        </w:rPr>
        <w:br w:type="page"/>
      </w:r>
      <w:bookmarkStart w:id="10" w:name="_Toc19686829"/>
      <w:r>
        <w:rPr>
          <w:rFonts w:hint="eastAsia"/>
          <w:color w:val="auto"/>
        </w:rPr>
        <w:t>第一章</w:t>
      </w:r>
      <w:bookmarkEnd w:id="8"/>
      <w:bookmarkEnd w:id="9"/>
      <w:bookmarkEnd w:id="10"/>
      <w:bookmarkStart w:id="11" w:name="_Toc35393789"/>
      <w:bookmarkStart w:id="12" w:name="_Toc28359001"/>
      <w:r>
        <w:rPr>
          <w:rFonts w:hint="eastAsia"/>
          <w:color w:val="auto"/>
        </w:rPr>
        <w:t xml:space="preserve"> 招标公告</w:t>
      </w:r>
      <w:bookmarkEnd w:id="11"/>
      <w:bookmarkEnd w:id="12"/>
    </w:p>
    <w:p>
      <w:pPr>
        <w:spacing w:line="360" w:lineRule="auto"/>
        <w:jc w:val="center"/>
        <w:rPr>
          <w:rFonts w:ascii="宋体" w:hAnsi="宋体" w:cs="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rPr>
      </w:pPr>
      <w:r>
        <w:rPr>
          <w:rFonts w:hint="eastAsia" w:ascii="宋体" w:hAnsi="宋体" w:cs="宋体"/>
          <w:b/>
          <w:bCs/>
          <w:color w:val="auto"/>
          <w:sz w:val="32"/>
          <w:szCs w:val="32"/>
        </w:rPr>
        <w:t>中资国际工程咨询集团有限责任公司关于党的二十大安全播出保障项目设备采购（项目编号：</w:t>
      </w:r>
      <w:r>
        <w:rPr>
          <w:rFonts w:hint="eastAsia" w:ascii="宋体" w:hAnsi="宋体" w:cs="宋体"/>
          <w:b/>
          <w:bCs/>
          <w:color w:val="auto"/>
          <w:sz w:val="32"/>
          <w:szCs w:val="32"/>
          <w:lang w:eastAsia="zh-CN"/>
        </w:rPr>
        <w:t>GXZC2022-G1-003501-ZZGJ</w:t>
      </w:r>
      <w:r>
        <w:rPr>
          <w:rFonts w:hint="eastAsia" w:ascii="宋体" w:hAnsi="宋体" w:cs="宋体"/>
          <w:b/>
          <w:bCs/>
          <w:color w:val="auto"/>
          <w:sz w:val="32"/>
          <w:szCs w:val="32"/>
        </w:rPr>
        <w:t>）公开招标公告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u w:val="single"/>
        </w:rPr>
        <w:t xml:space="preserve"> 党的二十大安全播出保障项目设备采购</w:t>
      </w:r>
      <w:r>
        <w:rPr>
          <w:rFonts w:hint="eastAsia" w:ascii="宋体" w:hAnsi="宋体"/>
          <w:color w:val="auto"/>
          <w:szCs w:val="21"/>
        </w:rPr>
        <w:t xml:space="preserve"> 招标项目的潜在投标人应在</w:t>
      </w:r>
      <w:r>
        <w:rPr>
          <w:rFonts w:hint="eastAsia" w:ascii="宋体" w:hAnsi="宋体"/>
          <w:color w:val="auto"/>
          <w:szCs w:val="21"/>
          <w:u w:val="single"/>
        </w:rPr>
        <w:t>政采云平台（https://www.zcygov.cn/）获取（下载）</w:t>
      </w:r>
      <w:r>
        <w:rPr>
          <w:rFonts w:hint="eastAsia" w:ascii="宋体" w:hAnsi="宋体"/>
          <w:color w:val="auto"/>
          <w:szCs w:val="21"/>
        </w:rPr>
        <w:t>获取招标文件，并于</w:t>
      </w:r>
      <w:r>
        <w:rPr>
          <w:rFonts w:hint="eastAsia" w:ascii="宋体" w:hAnsi="宋体"/>
          <w:color w:val="auto"/>
          <w:szCs w:val="21"/>
          <w:u w:val="single"/>
        </w:rPr>
        <w:t>2022</w:t>
      </w:r>
      <w:r>
        <w:rPr>
          <w:rFonts w:hint="eastAsia" w:ascii="宋体" w:hAnsi="宋体"/>
          <w:bCs/>
          <w:color w:val="auto"/>
          <w:szCs w:val="21"/>
          <w:u w:val="single"/>
        </w:rPr>
        <w:t>年1</w:t>
      </w:r>
      <w:r>
        <w:rPr>
          <w:rFonts w:hint="eastAsia" w:ascii="宋体" w:hAnsi="宋体"/>
          <w:bCs/>
          <w:color w:val="auto"/>
          <w:szCs w:val="21"/>
          <w:u w:val="single"/>
          <w:lang w:val="en-US" w:eastAsia="zh-CN"/>
        </w:rPr>
        <w:t>1</w:t>
      </w:r>
      <w:r>
        <w:rPr>
          <w:rFonts w:hint="eastAsia" w:ascii="宋体" w:hAnsi="宋体"/>
          <w:bCs/>
          <w:color w:val="auto"/>
          <w:szCs w:val="21"/>
          <w:u w:val="single"/>
        </w:rPr>
        <w:t>月</w:t>
      </w:r>
      <w:r>
        <w:rPr>
          <w:rFonts w:hint="eastAsia" w:ascii="宋体" w:hAnsi="宋体"/>
          <w:bCs/>
          <w:color w:val="auto"/>
          <w:szCs w:val="21"/>
          <w:u w:val="single"/>
          <w:lang w:val="en-US" w:eastAsia="zh-CN"/>
        </w:rPr>
        <w:t>17</w:t>
      </w:r>
      <w:r>
        <w:rPr>
          <w:rFonts w:hint="eastAsia" w:ascii="宋体" w:hAnsi="宋体"/>
          <w:bCs/>
          <w:color w:val="auto"/>
          <w:szCs w:val="21"/>
          <w:u w:val="single"/>
        </w:rPr>
        <w:t>日9 时30分（</w:t>
      </w:r>
      <w:r>
        <w:rPr>
          <w:rFonts w:hint="eastAsia" w:ascii="宋体" w:hAnsi="宋体"/>
          <w:bCs/>
          <w:color w:val="auto"/>
          <w:szCs w:val="21"/>
        </w:rPr>
        <w:t>北京时间）前递交投标</w:t>
      </w:r>
      <w:r>
        <w:rPr>
          <w:rFonts w:ascii="宋体" w:hAnsi="宋体"/>
          <w:bCs/>
          <w:color w:val="auto"/>
          <w:szCs w:val="21"/>
        </w:rPr>
        <w:t>文件</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olor w:val="auto"/>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b/>
          <w:bCs/>
          <w:color w:val="auto"/>
          <w:szCs w:val="21"/>
        </w:rPr>
      </w:pPr>
      <w:bookmarkStart w:id="13" w:name="_Toc35393790"/>
      <w:bookmarkStart w:id="14" w:name="_Toc28359079"/>
      <w:bookmarkStart w:id="15" w:name="_Toc28359002"/>
      <w:bookmarkStart w:id="16" w:name="_Toc35393621"/>
      <w:bookmarkStart w:id="17" w:name="_Hlk24379207"/>
      <w:r>
        <w:rPr>
          <w:rFonts w:hint="eastAsia" w:ascii="宋体" w:hAnsi="宋体" w:cs="宋体"/>
          <w:b/>
          <w:bCs/>
          <w:color w:val="auto"/>
          <w:szCs w:val="21"/>
        </w:rPr>
        <w:t>一、项目基本情况</w:t>
      </w:r>
      <w:bookmarkEnd w:id="13"/>
      <w:bookmarkEnd w:id="14"/>
      <w:bookmarkEnd w:id="15"/>
      <w:bookmarkEnd w:id="16"/>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GXZC2022-G1-003501-ZZGJ</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项目名称：党的二十大安全播出保障项目设备采购</w:t>
      </w:r>
    </w:p>
    <w:bookmarkEnd w:id="17"/>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ascii="宋体" w:hAnsi="宋体" w:cs="宋体"/>
          <w:color w:val="auto"/>
          <w:szCs w:val="21"/>
        </w:rPr>
      </w:pPr>
      <w:r>
        <w:rPr>
          <w:rFonts w:hint="eastAsia" w:ascii="宋体" w:hAnsi="宋体" w:cs="宋体"/>
          <w:b/>
          <w:bCs/>
          <w:color w:val="auto"/>
          <w:szCs w:val="21"/>
        </w:rPr>
        <w:t>预算金额：人民币（大写）贰仟万元整（¥20,000,000.00元）</w:t>
      </w:r>
      <w:r>
        <w:rPr>
          <w:rFonts w:hint="eastAsia" w:ascii="宋体" w:hAnsi="宋体" w:cs="宋体"/>
          <w:color w:val="auto"/>
          <w:szCs w:val="21"/>
        </w:rPr>
        <w:t>（其中分标1预算金额为人民币（大写）壹仟叁佰万元整（¥13,000,000.00元）；分标2预算金额为人民币（大写）柒佰万元整（¥7,000,000.00元））。</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ascii="宋体" w:hAnsi="宋体" w:cs="宋体"/>
          <w:color w:val="auto"/>
          <w:szCs w:val="21"/>
        </w:rPr>
      </w:pPr>
      <w:r>
        <w:rPr>
          <w:rFonts w:hint="eastAsia" w:ascii="宋体" w:hAnsi="宋体" w:cs="宋体"/>
          <w:b/>
          <w:bCs/>
          <w:color w:val="auto"/>
          <w:szCs w:val="21"/>
        </w:rPr>
        <w:t>最高限价：人民币（大写）贰仟万元整（¥20,000,000.00元）</w:t>
      </w:r>
      <w:r>
        <w:rPr>
          <w:rFonts w:hint="eastAsia" w:ascii="宋体" w:hAnsi="宋体" w:cs="宋体"/>
          <w:color w:val="auto"/>
          <w:szCs w:val="21"/>
        </w:rPr>
        <w:t>（其中分标1最高限价为人民币（大写）壹仟叁佰万元整（¥13,000,000.00元）；分标2最高限价为人民币（大写）柒佰万元整（¥7,000,000.00元））。</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采购需求：</w:t>
      </w:r>
    </w:p>
    <w:p>
      <w:pPr>
        <w:pStyle w:val="14"/>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分标1：播出视频服务器系统</w:t>
      </w: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6"/>
        <w:gridCol w:w="1632"/>
        <w:gridCol w:w="966"/>
        <w:gridCol w:w="1484"/>
        <w:gridCol w:w="1500"/>
        <w:gridCol w:w="2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序号</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标的的名称</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数量及单位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预算金额合计（万元）</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最高限价合计（万元）</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简要服务要求或者技术需求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01</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视音频采集/播放器</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17件</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776.9000</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776.9000</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02</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olor w:val="auto"/>
                <w:szCs w:val="21"/>
              </w:rPr>
              <w:t>超高清视音频采集器</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2套</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126.6000</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126.6000</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03</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w:t>
            </w:r>
          </w:p>
        </w:tc>
        <w:tc>
          <w:tcPr>
            <w:tcW w:w="1484"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w:t>
            </w:r>
          </w:p>
        </w:tc>
        <w:tc>
          <w:tcPr>
            <w:tcW w:w="1500"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w:t>
            </w:r>
          </w:p>
        </w:tc>
        <w:tc>
          <w:tcPr>
            <w:tcW w:w="2653"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w:t>
            </w:r>
          </w:p>
        </w:tc>
      </w:tr>
    </w:tbl>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合同履行期限：合同签订后90天内交货</w:t>
      </w:r>
      <w:r>
        <w:rPr>
          <w:rFonts w:hint="eastAsia"/>
          <w:color w:val="auto"/>
          <w:highlight w:val="none"/>
        </w:rPr>
        <w:t>。安装调试，工程投入试运行后进行最终验收。</w:t>
      </w:r>
    </w:p>
    <w:p>
      <w:pPr>
        <w:pStyle w:val="14"/>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分标2：编码传输系统</w:t>
      </w: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6"/>
        <w:gridCol w:w="1632"/>
        <w:gridCol w:w="966"/>
        <w:gridCol w:w="1484"/>
        <w:gridCol w:w="1500"/>
        <w:gridCol w:w="2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标的的名称</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数量及单位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预算金额合计（万元）</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最高限价合计（万元）</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简要服务要求或者技术需求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01</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高标清编码器</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143.6000</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143.6000</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02</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标清AVS+编码器</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54.1552</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54.1552</w:t>
            </w:r>
          </w:p>
        </w:tc>
        <w:tc>
          <w:tcPr>
            <w:tcW w:w="265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03</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1484"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1500"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653" w:type="dxa"/>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w:t>
            </w:r>
          </w:p>
        </w:tc>
      </w:tr>
    </w:tbl>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合同履行期限：合同签订后90天内交货</w:t>
      </w:r>
      <w:r>
        <w:rPr>
          <w:rFonts w:hint="eastAsia"/>
          <w:color w:val="auto"/>
          <w:highlight w:val="none"/>
        </w:rPr>
        <w:t>。安装调试，工程投入试运行后进行最终验收。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highlight w:val="yellow"/>
        </w:rPr>
      </w:pPr>
      <w:r>
        <w:rPr>
          <w:rFonts w:hint="eastAsia" w:ascii="宋体" w:hAnsi="宋体" w:cs="宋体"/>
          <w:color w:val="auto"/>
          <w:szCs w:val="21"/>
          <w:highlight w:val="none"/>
        </w:rPr>
        <w:t>本项目分标1、分标2不接受联合体投</w:t>
      </w:r>
      <w:r>
        <w:rPr>
          <w:rFonts w:hint="eastAsia" w:ascii="宋体" w:hAnsi="宋体" w:cs="宋体"/>
          <w:color w:val="auto"/>
          <w:szCs w:val="21"/>
        </w:rPr>
        <w:t>标。</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备注：</w:t>
      </w:r>
      <w:r>
        <w:rPr>
          <w:rStyle w:val="79"/>
          <w:rFonts w:hint="eastAsia" w:ascii="宋体" w:hAnsi="宋体" w:cs="宋体"/>
          <w:color w:val="auto"/>
          <w:szCs w:val="21"/>
        </w:rPr>
        <w:t>本项目为线上电子招标项目，有意向参与本项目的供应商应当做好参与全流程电子招投标交易的充分准备。</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18" w:name="_Toc28359080"/>
      <w:bookmarkStart w:id="19" w:name="_Toc35393622"/>
      <w:bookmarkStart w:id="20" w:name="_Toc35393791"/>
      <w:bookmarkStart w:id="21" w:name="_Toc28359003"/>
      <w:r>
        <w:rPr>
          <w:rFonts w:hint="eastAsia" w:ascii="黑体" w:hAnsi="黑体" w:eastAsia="黑体"/>
          <w:b/>
          <w:bCs/>
          <w:color w:val="auto"/>
          <w:sz w:val="24"/>
        </w:rPr>
        <w:t>二、投标人的资格要求：</w:t>
      </w:r>
      <w:bookmarkEnd w:id="18"/>
      <w:bookmarkEnd w:id="19"/>
      <w:bookmarkEnd w:id="20"/>
      <w:bookmarkEnd w:id="21"/>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bookmarkStart w:id="22" w:name="_Hlk51746371"/>
      <w:r>
        <w:rPr>
          <w:rFonts w:hint="eastAsia" w:ascii="宋体" w:hAnsi="宋体"/>
          <w:color w:val="auto"/>
          <w:szCs w:val="21"/>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bookmarkStart w:id="23" w:name="_Toc28359081"/>
      <w:bookmarkStart w:id="24" w:name="_Toc28359004"/>
      <w:r>
        <w:rPr>
          <w:rFonts w:ascii="宋体" w:hAnsi="宋体"/>
          <w:color w:val="auto"/>
          <w:szCs w:val="21"/>
        </w:rPr>
        <w:t>2</w:t>
      </w:r>
      <w:r>
        <w:rPr>
          <w:rFonts w:hint="eastAsia" w:ascii="宋体" w:hAnsi="宋体"/>
          <w:color w:val="auto"/>
          <w:szCs w:val="21"/>
        </w:rPr>
        <w:t>.落实政府采购政策需满足的资格要求：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□专门面向中小企业采购的项目（供应商应为中小微企业、监狱企业、残疾人福利性单位)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s="宋体"/>
          <w:color w:val="auto"/>
          <w:szCs w:val="21"/>
        </w:rPr>
        <w:t>☑非专门面向中小企业采购的项目。</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3.本项目的特定资格要求：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分标1：无；</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分标2：无。</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ascii="宋体" w:hAnsi="宋体"/>
          <w:color w:val="auto"/>
          <w:szCs w:val="21"/>
        </w:rPr>
        <w:t>4.</w:t>
      </w:r>
      <w:r>
        <w:rPr>
          <w:rFonts w:hint="eastAsia" w:ascii="宋体" w:hAnsi="宋体"/>
          <w:color w:val="auto"/>
          <w:szCs w:val="21"/>
        </w:rPr>
        <w:t>本项目的特定条件：无；</w:t>
      </w:r>
    </w:p>
    <w:bookmarkEnd w:id="22"/>
    <w:p>
      <w:pPr>
        <w:keepNext w:val="0"/>
        <w:keepLines w:val="0"/>
        <w:pageBreakBefore w:val="0"/>
        <w:kinsoku/>
        <w:wordWrap/>
        <w:overflowPunct/>
        <w:topLinePunct w:val="0"/>
        <w:autoSpaceDE/>
        <w:autoSpaceDN/>
        <w:bidi w:val="0"/>
        <w:adjustRightInd/>
        <w:snapToGrid/>
        <w:spacing w:line="440" w:lineRule="exact"/>
        <w:ind w:firstLine="420"/>
        <w:jc w:val="left"/>
        <w:textAlignment w:val="auto"/>
        <w:rPr>
          <w:rFonts w:ascii="宋体" w:hAnsi="宋体"/>
          <w:color w:val="auto"/>
          <w:szCs w:val="21"/>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25" w:name="_Toc35393623"/>
      <w:bookmarkStart w:id="26" w:name="_Toc35393792"/>
      <w:r>
        <w:rPr>
          <w:rFonts w:hint="eastAsia" w:ascii="黑体" w:hAnsi="黑体" w:eastAsia="黑体"/>
          <w:b/>
          <w:bCs/>
          <w:color w:val="auto"/>
          <w:sz w:val="24"/>
        </w:rPr>
        <w:t>三、获取招标文件</w:t>
      </w:r>
      <w:bookmarkEnd w:id="23"/>
      <w:bookmarkEnd w:id="24"/>
      <w:bookmarkEnd w:id="25"/>
      <w:bookmarkEnd w:id="26"/>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宋体" w:hAnsi="宋体" w:cs="宋体"/>
          <w:bCs/>
          <w:color w:val="auto"/>
          <w:kern w:val="0"/>
          <w:szCs w:val="21"/>
        </w:rPr>
      </w:pPr>
      <w:r>
        <w:rPr>
          <w:rFonts w:hint="eastAsia" w:ascii="宋体" w:hAnsi="宋体" w:cs="宋体"/>
          <w:bCs/>
          <w:color w:val="auto"/>
          <w:kern w:val="0"/>
          <w:szCs w:val="21"/>
        </w:rPr>
        <w:t>时间：</w:t>
      </w:r>
      <w:r>
        <w:rPr>
          <w:rFonts w:ascii="宋体" w:hAnsi="宋体" w:cs="宋体"/>
          <w:bCs/>
          <w:color w:val="auto"/>
          <w:kern w:val="0"/>
          <w:szCs w:val="21"/>
        </w:rPr>
        <w:t xml:space="preserve"> </w:t>
      </w:r>
      <w:r>
        <w:rPr>
          <w:rFonts w:hint="eastAsia" w:ascii="宋体" w:hAnsi="宋体" w:cs="宋体"/>
          <w:bCs/>
          <w:color w:val="auto"/>
          <w:kern w:val="0"/>
          <w:szCs w:val="21"/>
          <w:u w:val="single"/>
        </w:rPr>
        <w:t>2022年10月</w:t>
      </w:r>
      <w:r>
        <w:rPr>
          <w:rFonts w:hint="eastAsia" w:ascii="宋体" w:hAnsi="宋体" w:cs="宋体"/>
          <w:bCs/>
          <w:color w:val="auto"/>
          <w:kern w:val="0"/>
          <w:szCs w:val="21"/>
          <w:u w:val="single"/>
          <w:lang w:val="en-US" w:eastAsia="zh-CN"/>
        </w:rPr>
        <w:t>26</w:t>
      </w:r>
      <w:r>
        <w:rPr>
          <w:rFonts w:hint="eastAsia" w:ascii="宋体" w:hAnsi="宋体" w:cs="宋体"/>
          <w:bCs/>
          <w:color w:val="auto"/>
          <w:kern w:val="0"/>
          <w:szCs w:val="21"/>
          <w:u w:val="single"/>
        </w:rPr>
        <w:t>日</w:t>
      </w:r>
      <w:r>
        <w:rPr>
          <w:rFonts w:hint="eastAsia" w:ascii="宋体" w:hAnsi="宋体" w:cs="宋体"/>
          <w:bCs/>
          <w:color w:val="auto"/>
          <w:kern w:val="0"/>
          <w:szCs w:val="21"/>
        </w:rPr>
        <w:t>至</w:t>
      </w:r>
      <w:r>
        <w:rPr>
          <w:rFonts w:hint="eastAsia" w:ascii="宋体" w:hAnsi="宋体" w:cs="宋体"/>
          <w:bCs/>
          <w:color w:val="auto"/>
          <w:kern w:val="0"/>
          <w:szCs w:val="21"/>
          <w:u w:val="single"/>
        </w:rPr>
        <w:t xml:space="preserve"> 2022年</w:t>
      </w:r>
      <w:r>
        <w:rPr>
          <w:rFonts w:hint="eastAsia" w:ascii="宋体" w:hAnsi="宋体" w:cs="宋体"/>
          <w:bCs/>
          <w:color w:val="auto"/>
          <w:kern w:val="0"/>
          <w:szCs w:val="21"/>
          <w:u w:val="single"/>
          <w:lang w:val="en-US" w:eastAsia="zh-CN"/>
        </w:rPr>
        <w:t>11</w:t>
      </w:r>
      <w:r>
        <w:rPr>
          <w:rFonts w:hint="eastAsia" w:ascii="宋体" w:hAnsi="宋体" w:cs="宋体"/>
          <w:bCs/>
          <w:color w:val="auto"/>
          <w:kern w:val="0"/>
          <w:szCs w:val="21"/>
          <w:u w:val="single"/>
        </w:rPr>
        <w:t>月</w:t>
      </w:r>
      <w:r>
        <w:rPr>
          <w:rFonts w:hint="eastAsia" w:ascii="宋体" w:hAnsi="宋体" w:cs="宋体"/>
          <w:bCs/>
          <w:color w:val="auto"/>
          <w:kern w:val="0"/>
          <w:szCs w:val="21"/>
          <w:u w:val="single"/>
          <w:lang w:val="en-US" w:eastAsia="zh-CN"/>
        </w:rPr>
        <w:t>2</w:t>
      </w:r>
      <w:r>
        <w:rPr>
          <w:rFonts w:hint="eastAsia" w:ascii="宋体" w:hAnsi="宋体" w:cs="宋体"/>
          <w:bCs/>
          <w:color w:val="auto"/>
          <w:kern w:val="0"/>
          <w:szCs w:val="21"/>
          <w:u w:val="single"/>
        </w:rPr>
        <w:t>日</w:t>
      </w:r>
      <w:r>
        <w:rPr>
          <w:rFonts w:hint="eastAsia" w:ascii="宋体" w:hAnsi="宋体" w:cs="宋体"/>
          <w:bCs/>
          <w:color w:val="auto"/>
          <w:kern w:val="0"/>
          <w:szCs w:val="21"/>
        </w:rPr>
        <w:t>（提供期限自本公告发布之日起不得少于5个工作日），每天上午</w:t>
      </w:r>
      <w:r>
        <w:rPr>
          <w:rFonts w:hint="eastAsia" w:ascii="宋体" w:hAnsi="宋体" w:cs="宋体"/>
          <w:bCs/>
          <w:color w:val="auto"/>
          <w:kern w:val="0"/>
          <w:szCs w:val="21"/>
          <w:u w:val="single"/>
        </w:rPr>
        <w:t>08：30至12:00</w:t>
      </w:r>
      <w:r>
        <w:rPr>
          <w:rFonts w:hint="eastAsia" w:ascii="宋体" w:hAnsi="宋体" w:cs="宋体"/>
          <w:bCs/>
          <w:color w:val="auto"/>
          <w:kern w:val="0"/>
          <w:szCs w:val="21"/>
        </w:rPr>
        <w:t>，</w:t>
      </w:r>
      <w:r>
        <w:rPr>
          <w:rFonts w:hint="eastAsia" w:ascii="宋体" w:hAnsi="宋体" w:cs="宋体"/>
          <w:bCs/>
          <w:color w:val="auto"/>
          <w:kern w:val="0"/>
          <w:szCs w:val="21"/>
          <w:u w:val="single"/>
        </w:rPr>
        <w:t>下午15:00至18:00</w:t>
      </w:r>
      <w:r>
        <w:rPr>
          <w:rFonts w:hint="eastAsia" w:ascii="宋体" w:hAnsi="宋体" w:cs="宋体"/>
          <w:bCs/>
          <w:color w:val="auto"/>
          <w:kern w:val="0"/>
          <w:szCs w:val="21"/>
        </w:rPr>
        <w:t>（北京时间，</w:t>
      </w:r>
      <w:r>
        <w:rPr>
          <w:rFonts w:ascii="宋体" w:hAnsi="宋体" w:cs="宋体"/>
          <w:bCs/>
          <w:color w:val="auto"/>
          <w:kern w:val="0"/>
          <w:szCs w:val="21"/>
        </w:rPr>
        <w:t>法定节假日</w:t>
      </w:r>
      <w:r>
        <w:rPr>
          <w:rFonts w:hint="eastAsia" w:ascii="宋体" w:hAnsi="宋体" w:cs="宋体"/>
          <w:bCs/>
          <w:color w:val="auto"/>
          <w:kern w:val="0"/>
          <w:szCs w:val="21"/>
        </w:rPr>
        <w:t>除外）</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宋体" w:hAnsi="宋体" w:cs="宋体"/>
          <w:bCs/>
          <w:color w:val="auto"/>
          <w:kern w:val="0"/>
          <w:szCs w:val="21"/>
        </w:rPr>
      </w:pPr>
      <w:r>
        <w:rPr>
          <w:rFonts w:hint="eastAsia" w:ascii="宋体" w:hAnsi="宋体" w:cs="宋体"/>
          <w:bCs/>
          <w:color w:val="auto"/>
          <w:kern w:val="0"/>
          <w:szCs w:val="21"/>
        </w:rPr>
        <w:t>地点：</w:t>
      </w:r>
      <w:r>
        <w:rPr>
          <w:rFonts w:hint="eastAsia" w:ascii="宋体" w:hAnsi="宋体"/>
          <w:color w:val="auto"/>
          <w:szCs w:val="21"/>
          <w:u w:val="single"/>
        </w:rPr>
        <w:t>政采云平台（https://www.zcygov.cn/）获取（下载）</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宋体" w:hAnsi="宋体" w:cs="宋体"/>
          <w:bCs/>
          <w:color w:val="auto"/>
          <w:kern w:val="0"/>
          <w:szCs w:val="21"/>
        </w:rPr>
      </w:pPr>
      <w:r>
        <w:rPr>
          <w:rFonts w:hint="eastAsia" w:ascii="宋体" w:hAnsi="宋体" w:cs="宋体"/>
          <w:bCs/>
          <w:color w:val="auto"/>
          <w:kern w:val="0"/>
          <w:szCs w:val="21"/>
        </w:rPr>
        <w:t>方式：</w:t>
      </w:r>
      <w:r>
        <w:rPr>
          <w:rFonts w:hint="eastAsia" w:ascii="宋体" w:hAnsi="宋体"/>
          <w:color w:val="auto"/>
          <w:szCs w:val="21"/>
          <w:u w:val="single"/>
        </w:rPr>
        <w:t>网上下载。本项目不发放纸质采购文件，供应商可自行在“政采云”平台（http：//www.zcygov.cn）下载采购文件（操作路径：登录“政采云”平台-项目采购-获取采购文件-找到本项目-点击“申请获取采购文件”），电子投标文件制作需要基于“政采云”平台（http：//www.zcygov.cn）获取的采购文件编制</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宋体" w:hAnsi="宋体" w:cs="宋体"/>
          <w:color w:val="auto"/>
          <w:szCs w:val="21"/>
        </w:rPr>
      </w:pPr>
      <w:r>
        <w:rPr>
          <w:rFonts w:hint="eastAsia" w:ascii="宋体" w:hAnsi="宋体" w:cs="宋体"/>
          <w:bCs/>
          <w:color w:val="auto"/>
          <w:kern w:val="0"/>
          <w:szCs w:val="21"/>
        </w:rPr>
        <w:t>售价：</w:t>
      </w:r>
      <w:r>
        <w:rPr>
          <w:rFonts w:hint="eastAsia" w:ascii="宋体" w:hAnsi="宋体"/>
          <w:color w:val="auto"/>
          <w:szCs w:val="21"/>
        </w:rPr>
        <w:t>0元。</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27" w:name="_Toc28359082"/>
      <w:bookmarkStart w:id="28" w:name="_Toc28359005"/>
      <w:bookmarkStart w:id="29" w:name="_Toc35393793"/>
      <w:bookmarkStart w:id="30" w:name="_Toc35393624"/>
      <w:r>
        <w:rPr>
          <w:rFonts w:hint="eastAsia" w:ascii="黑体" w:hAnsi="黑体" w:eastAsia="黑体"/>
          <w:b/>
          <w:bCs/>
          <w:color w:val="auto"/>
          <w:sz w:val="24"/>
        </w:rPr>
        <w:t>四、提交投标文件</w:t>
      </w:r>
      <w:bookmarkEnd w:id="27"/>
      <w:bookmarkEnd w:id="28"/>
      <w:r>
        <w:rPr>
          <w:rFonts w:hint="eastAsia" w:ascii="黑体" w:hAnsi="黑体" w:eastAsia="黑体"/>
          <w:b/>
          <w:bCs/>
          <w:color w:val="auto"/>
          <w:sz w:val="24"/>
        </w:rPr>
        <w:t>截止时间、开标时间和地点</w:t>
      </w:r>
      <w:bookmarkEnd w:id="29"/>
      <w:bookmarkEnd w:id="30"/>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u w:val="single"/>
        </w:rPr>
      </w:pPr>
      <w:r>
        <w:rPr>
          <w:rFonts w:hint="eastAsia" w:ascii="宋体" w:hAnsi="宋体"/>
          <w:bCs/>
          <w:color w:val="auto"/>
          <w:szCs w:val="21"/>
        </w:rPr>
        <w:t>提交投标文件截止时间和开标时间：</w:t>
      </w:r>
      <w:r>
        <w:rPr>
          <w:rFonts w:hint="eastAsia" w:ascii="宋体" w:hAnsi="宋体"/>
          <w:bCs/>
          <w:color w:val="auto"/>
          <w:szCs w:val="21"/>
          <w:u w:val="single"/>
        </w:rPr>
        <w:t xml:space="preserve"> </w:t>
      </w:r>
      <w:r>
        <w:rPr>
          <w:rFonts w:hint="eastAsia" w:ascii="宋体" w:hAnsi="宋体"/>
          <w:color w:val="auto"/>
          <w:szCs w:val="21"/>
          <w:u w:val="single"/>
        </w:rPr>
        <w:t>2022</w:t>
      </w:r>
      <w:r>
        <w:rPr>
          <w:rFonts w:hint="eastAsia" w:ascii="宋体" w:hAnsi="宋体"/>
          <w:bCs/>
          <w:color w:val="auto"/>
          <w:szCs w:val="21"/>
          <w:u w:val="single"/>
        </w:rPr>
        <w:t>年1</w:t>
      </w:r>
      <w:r>
        <w:rPr>
          <w:rFonts w:hint="eastAsia" w:ascii="宋体" w:hAnsi="宋体"/>
          <w:bCs/>
          <w:color w:val="auto"/>
          <w:szCs w:val="21"/>
          <w:u w:val="single"/>
          <w:lang w:val="en-US" w:eastAsia="zh-CN"/>
        </w:rPr>
        <w:t>1</w:t>
      </w:r>
      <w:r>
        <w:rPr>
          <w:rFonts w:hint="eastAsia" w:ascii="宋体" w:hAnsi="宋体"/>
          <w:bCs/>
          <w:color w:val="auto"/>
          <w:szCs w:val="21"/>
          <w:u w:val="single"/>
        </w:rPr>
        <w:t>月</w:t>
      </w:r>
      <w:r>
        <w:rPr>
          <w:rFonts w:hint="eastAsia" w:ascii="宋体" w:hAnsi="宋体"/>
          <w:bCs/>
          <w:color w:val="auto"/>
          <w:szCs w:val="21"/>
          <w:u w:val="single"/>
          <w:lang w:val="en-US" w:eastAsia="zh-CN"/>
        </w:rPr>
        <w:t>17</w:t>
      </w:r>
      <w:r>
        <w:rPr>
          <w:rFonts w:hint="eastAsia" w:ascii="宋体" w:hAnsi="宋体"/>
          <w:bCs/>
          <w:color w:val="auto"/>
          <w:szCs w:val="21"/>
          <w:u w:val="single"/>
        </w:rPr>
        <w:t>日9时30分</w:t>
      </w:r>
      <w:r>
        <w:rPr>
          <w:rFonts w:hint="eastAsia" w:ascii="宋体" w:hAnsi="宋体"/>
          <w:bCs/>
          <w:color w:val="auto"/>
          <w:szCs w:val="21"/>
        </w:rPr>
        <w:t>（北京时间）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1"/>
        </w:rPr>
      </w:pPr>
      <w:r>
        <w:rPr>
          <w:rFonts w:hint="eastAsia" w:ascii="宋体" w:hAnsi="宋体"/>
          <w:color w:val="auto"/>
          <w:szCs w:val="21"/>
        </w:rPr>
        <w:t>投标地点：</w:t>
      </w:r>
      <w:r>
        <w:rPr>
          <w:rFonts w:hint="eastAsia"/>
          <w:color w:val="auto"/>
          <w:szCs w:val="21"/>
          <w:u w:val="single"/>
        </w:rPr>
        <w:t>本项目为全流程电子化项目，没有现场递交投标文件及现场开标环节，通过“政采云”平台（http：//www.zcygov.cn）实行在线电子投标，供应商应先安装“政采云投标客户端”（请自行前往“政采云”平台进行下载），并按照本项目招标文件和“政采云”平台的要求使用C</w:t>
      </w:r>
      <w:r>
        <w:rPr>
          <w:color w:val="auto"/>
          <w:szCs w:val="21"/>
          <w:u w:val="single"/>
        </w:rPr>
        <w:t>A</w:t>
      </w:r>
      <w:r>
        <w:rPr>
          <w:rFonts w:hint="eastAsia"/>
          <w:color w:val="auto"/>
          <w:szCs w:val="21"/>
          <w:u w:val="single"/>
        </w:rPr>
        <w:t>认证编制、加密投标文件后在投标截止时间前上传至 “政采云”平台，供应商在“政采云”平台提交电子版投标文件时，请填写参加远程开标活动经办人联系方式</w:t>
      </w:r>
      <w:r>
        <w:rPr>
          <w:rFonts w:hint="eastAsia"/>
          <w:color w:val="auto"/>
          <w:szCs w:val="21"/>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bCs/>
          <w:color w:val="auto"/>
          <w:szCs w:val="21"/>
        </w:rPr>
      </w:pPr>
      <w:r>
        <w:rPr>
          <w:rFonts w:hint="eastAsia" w:ascii="宋体" w:hAnsi="宋体" w:cs="宋体"/>
          <w:color w:val="auto"/>
          <w:szCs w:val="21"/>
        </w:rPr>
        <w:t>开标时间：</w:t>
      </w:r>
      <w:r>
        <w:rPr>
          <w:rFonts w:hint="eastAsia" w:ascii="宋体" w:hAnsi="宋体"/>
          <w:bCs/>
          <w:color w:val="auto"/>
          <w:szCs w:val="21"/>
          <w:u w:val="single"/>
        </w:rPr>
        <w:t xml:space="preserve"> 2022年</w:t>
      </w:r>
      <w:r>
        <w:rPr>
          <w:rFonts w:hint="eastAsia" w:ascii="宋体" w:hAnsi="宋体"/>
          <w:bCs/>
          <w:color w:val="auto"/>
          <w:szCs w:val="21"/>
          <w:u w:val="single"/>
          <w:lang w:val="en-US" w:eastAsia="zh-CN"/>
        </w:rPr>
        <w:t>11</w:t>
      </w:r>
      <w:r>
        <w:rPr>
          <w:rFonts w:hint="eastAsia" w:ascii="宋体" w:hAnsi="宋体"/>
          <w:bCs/>
          <w:color w:val="auto"/>
          <w:szCs w:val="21"/>
          <w:u w:val="single"/>
        </w:rPr>
        <w:t>月</w:t>
      </w:r>
      <w:r>
        <w:rPr>
          <w:rFonts w:hint="eastAsia" w:ascii="宋体" w:hAnsi="宋体"/>
          <w:bCs/>
          <w:color w:val="auto"/>
          <w:szCs w:val="21"/>
          <w:u w:val="single"/>
          <w:lang w:val="en-US" w:eastAsia="zh-CN"/>
        </w:rPr>
        <w:t>17</w:t>
      </w:r>
      <w:r>
        <w:rPr>
          <w:rFonts w:hint="eastAsia" w:ascii="宋体" w:hAnsi="宋体"/>
          <w:bCs/>
          <w:color w:val="auto"/>
          <w:szCs w:val="21"/>
          <w:u w:val="single"/>
        </w:rPr>
        <w:t>日9时30分</w:t>
      </w:r>
      <w:r>
        <w:rPr>
          <w:rFonts w:hint="eastAsia" w:ascii="宋体" w:hAnsi="宋体"/>
          <w:bCs/>
          <w:color w:val="auto"/>
          <w:szCs w:val="21"/>
        </w:rPr>
        <w:t>（北京时间）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bCs/>
          <w:color w:val="auto"/>
          <w:szCs w:val="21"/>
          <w:u w:val="single"/>
        </w:rPr>
      </w:pPr>
      <w:r>
        <w:rPr>
          <w:rFonts w:hint="eastAsia"/>
          <w:color w:val="auto"/>
          <w:kern w:val="0"/>
          <w:szCs w:val="21"/>
        </w:rPr>
        <w:t>开标地点：</w:t>
      </w:r>
      <w:bookmarkStart w:id="31" w:name="_Hlk88997106"/>
      <w:r>
        <w:rPr>
          <w:rFonts w:hint="eastAsia"/>
          <w:color w:val="auto"/>
          <w:szCs w:val="21"/>
          <w:u w:val="single"/>
        </w:rPr>
        <w:t>供应商登陆“政采云”平台电子开标大厅开标</w:t>
      </w:r>
      <w:r>
        <w:rPr>
          <w:rFonts w:hint="eastAsia"/>
          <w:color w:val="auto"/>
          <w:szCs w:val="21"/>
        </w:rPr>
        <w:t>。</w:t>
      </w:r>
      <w:bookmarkEnd w:id="31"/>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32" w:name="_Toc28359007"/>
      <w:bookmarkStart w:id="33" w:name="_Toc35393625"/>
      <w:bookmarkStart w:id="34" w:name="_Toc28359084"/>
      <w:bookmarkStart w:id="35" w:name="_Toc35393794"/>
      <w:r>
        <w:rPr>
          <w:rFonts w:hint="eastAsia" w:ascii="黑体" w:hAnsi="黑体" w:eastAsia="黑体"/>
          <w:b/>
          <w:bCs/>
          <w:color w:val="auto"/>
          <w:sz w:val="24"/>
        </w:rPr>
        <w:t>五、公告期限</w:t>
      </w:r>
      <w:bookmarkEnd w:id="32"/>
      <w:bookmarkEnd w:id="33"/>
      <w:bookmarkEnd w:id="34"/>
      <w:bookmarkEnd w:id="35"/>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自本公告发布之日起</w:t>
      </w:r>
      <w:r>
        <w:rPr>
          <w:rFonts w:hint="eastAsia" w:ascii="宋体" w:hAnsi="宋体" w:cs="宋体"/>
          <w:color w:val="auto"/>
          <w:kern w:val="0"/>
          <w:szCs w:val="21"/>
          <w:u w:val="single"/>
        </w:rPr>
        <w:t>5</w:t>
      </w:r>
      <w:r>
        <w:rPr>
          <w:rFonts w:hint="eastAsia" w:ascii="宋体" w:hAnsi="宋体" w:cs="宋体"/>
          <w:color w:val="auto"/>
          <w:kern w:val="0"/>
          <w:szCs w:val="21"/>
        </w:rPr>
        <w:t>个工作日。</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36" w:name="_Toc35393626"/>
      <w:bookmarkStart w:id="37" w:name="_Toc35393795"/>
      <w:r>
        <w:rPr>
          <w:rFonts w:hint="eastAsia" w:ascii="黑体" w:hAnsi="黑体" w:eastAsia="黑体"/>
          <w:b/>
          <w:bCs/>
          <w:color w:val="auto"/>
          <w:sz w:val="24"/>
        </w:rPr>
        <w:t>六、其他补充事宜</w:t>
      </w:r>
      <w:bookmarkEnd w:id="36"/>
      <w:bookmarkEnd w:id="37"/>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1.投标保证金（人民币）：</w:t>
      </w:r>
      <w:r>
        <w:rPr>
          <w:rFonts w:hint="eastAsia" w:ascii="宋体" w:hAnsi="宋体" w:cs="宋体"/>
          <w:color w:val="auto"/>
          <w:kern w:val="0"/>
          <w:szCs w:val="21"/>
          <w:u w:val="single"/>
        </w:rPr>
        <w:t>分标1人民币（大写）壹拾叁万元整（¥130,000.00）；分标2人民币（大写）柒万元整（¥70,000.00）</w:t>
      </w:r>
      <w:r>
        <w:rPr>
          <w:rStyle w:val="77"/>
          <w:rFonts w:hint="eastAsia" w:ascii="宋体" w:hAnsi="宋体" w:cs="宋体"/>
          <w:color w:val="auto"/>
          <w:szCs w:val="21"/>
          <w:u w:val="single"/>
        </w:rPr>
        <w:t xml:space="preserve">(必须足额交纳) </w:t>
      </w:r>
      <w:r>
        <w:rPr>
          <w:rFonts w:hint="eastAsia" w:ascii="宋体" w:hAnsi="宋体" w:cs="宋体"/>
          <w:color w:val="auto"/>
          <w:kern w:val="0"/>
          <w:szCs w:val="21"/>
        </w:rPr>
        <w:t>。</w:t>
      </w:r>
    </w:p>
    <w:p>
      <w:pPr>
        <w:pStyle w:val="117"/>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color w:val="auto"/>
          <w:kern w:val="0"/>
          <w:szCs w:val="21"/>
        </w:rPr>
      </w:pPr>
      <w:r>
        <w:rPr>
          <w:rFonts w:hint="eastAsia" w:ascii="宋体" w:hAnsi="宋体" w:cs="宋体"/>
          <w:color w:val="auto"/>
          <w:kern w:val="0"/>
          <w:szCs w:val="21"/>
        </w:rPr>
        <w:t>投标保证金的交纳方式：银行转账、</w:t>
      </w:r>
      <w:r>
        <w:rPr>
          <w:rFonts w:hint="eastAsia"/>
          <w:color w:val="auto"/>
        </w:rPr>
        <w:t>电汇、</w:t>
      </w:r>
      <w:r>
        <w:rPr>
          <w:rFonts w:hint="eastAsia" w:ascii="宋体" w:hAnsi="宋体" w:cs="宋体"/>
          <w:color w:val="auto"/>
          <w:kern w:val="0"/>
          <w:szCs w:val="21"/>
        </w:rPr>
        <w:t>支票、汇票、本票、保函等方式，禁止采用现钞方式。采用银行转账或电汇方式的，在投标截止时间前交至采购代理机构指定账户并且到账（开户银行：</w:t>
      </w:r>
      <w:r>
        <w:rPr>
          <w:rFonts w:hint="eastAsia" w:ascii="宋体" w:hAnsi="宋体" w:cs="宋体"/>
          <w:color w:val="auto"/>
          <w:kern w:val="0"/>
          <w:szCs w:val="21"/>
          <w:u w:val="single"/>
        </w:rPr>
        <w:t>招商银行南宁分行东葛路支行</w:t>
      </w:r>
      <w:r>
        <w:rPr>
          <w:rFonts w:hint="eastAsia" w:ascii="宋体" w:hAnsi="宋体" w:cs="宋体"/>
          <w:color w:val="auto"/>
          <w:kern w:val="0"/>
          <w:szCs w:val="21"/>
        </w:rPr>
        <w:t>，开户名称：</w:t>
      </w:r>
      <w:r>
        <w:rPr>
          <w:rFonts w:hint="eastAsia" w:ascii="宋体" w:hAnsi="宋体" w:cs="宋体"/>
          <w:color w:val="auto"/>
          <w:kern w:val="0"/>
          <w:szCs w:val="21"/>
          <w:u w:val="single"/>
        </w:rPr>
        <w:t>中资国际工程咨询集团有限责任公司广西分公司</w:t>
      </w:r>
      <w:r>
        <w:rPr>
          <w:rFonts w:hint="eastAsia" w:ascii="宋体" w:hAnsi="宋体" w:cs="宋体"/>
          <w:color w:val="auto"/>
          <w:kern w:val="0"/>
          <w:szCs w:val="21"/>
        </w:rPr>
        <w:t>，银行账号：</w:t>
      </w:r>
      <w:r>
        <w:rPr>
          <w:rFonts w:hint="eastAsia" w:ascii="宋体" w:hAnsi="宋体" w:cs="宋体"/>
          <w:color w:val="auto"/>
          <w:kern w:val="0"/>
          <w:szCs w:val="21"/>
          <w:u w:val="single"/>
        </w:rPr>
        <w:t>771901372110211</w:t>
      </w:r>
      <w:r>
        <w:rPr>
          <w:rFonts w:hint="eastAsia" w:ascii="宋体" w:hAnsi="宋体" w:cs="宋体"/>
          <w:color w:val="auto"/>
          <w:kern w:val="0"/>
          <w:szCs w:val="21"/>
        </w:rPr>
        <w:t>）；采用支票、汇票等方式的，在投标截止时间前，投标人必须递交单独密封的支票、汇票、本票、保函原件。否则视为无效投标保证金。</w:t>
      </w:r>
    </w:p>
    <w:p>
      <w:pPr>
        <w:keepNext w:val="0"/>
        <w:keepLines w:val="0"/>
        <w:pageBreakBefore w:val="0"/>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auto"/>
          <w:kern w:val="0"/>
          <w:szCs w:val="21"/>
        </w:rPr>
      </w:pPr>
      <w:bookmarkStart w:id="38" w:name="_Hlk37429595"/>
      <w:bookmarkStart w:id="39" w:name="_Hlk37429585"/>
      <w:r>
        <w:rPr>
          <w:rFonts w:hint="eastAsia" w:ascii="宋体" w:hAnsi="宋体" w:cs="宋体"/>
          <w:color w:val="auto"/>
          <w:kern w:val="0"/>
          <w:szCs w:val="21"/>
        </w:rPr>
        <w:t>2.采购意向公开链接：</w:t>
      </w:r>
    </w:p>
    <w:p>
      <w:pPr>
        <w:keepNext w:val="0"/>
        <w:keepLines w:val="0"/>
        <w:pageBreakBefore w:val="0"/>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auto"/>
          <w:kern w:val="0"/>
          <w:szCs w:val="21"/>
        </w:rPr>
      </w:pPr>
      <w:r>
        <w:rPr>
          <w:rFonts w:hint="eastAsia" w:ascii="宋体" w:hAnsi="宋体" w:cs="宋体"/>
          <w:color w:val="auto"/>
          <w:kern w:val="0"/>
          <w:szCs w:val="21"/>
        </w:rPr>
        <w:t>分标1：http://zfcg.gxzf.gov.cn/reformColumn/ZcyAnnouncement10016/F0vM3N6THV8cb7H6pikwkA==.html</w:t>
      </w:r>
    </w:p>
    <w:p>
      <w:pPr>
        <w:keepNext w:val="0"/>
        <w:keepLines w:val="0"/>
        <w:pageBreakBefore w:val="0"/>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auto"/>
          <w:kern w:val="0"/>
          <w:szCs w:val="21"/>
        </w:rPr>
      </w:pPr>
      <w:r>
        <w:rPr>
          <w:rFonts w:hint="eastAsia" w:ascii="宋体" w:hAnsi="宋体" w:cs="宋体"/>
          <w:color w:val="auto"/>
          <w:kern w:val="0"/>
          <w:szCs w:val="21"/>
        </w:rPr>
        <w:t>分标2：http://zfcg.gxzf.gov.cn/reformColumn/ZcyAnnouncement10016/F0vM3N6THV8cb7H6pikwkA==.html</w:t>
      </w:r>
    </w:p>
    <w:p>
      <w:pPr>
        <w:keepNext w:val="0"/>
        <w:keepLines w:val="0"/>
        <w:pageBreakBefore w:val="0"/>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auto"/>
          <w:kern w:val="0"/>
          <w:szCs w:val="21"/>
        </w:rPr>
      </w:pPr>
      <w:r>
        <w:rPr>
          <w:rFonts w:hint="eastAsia" w:ascii="宋体" w:hAnsi="宋体" w:cs="宋体"/>
          <w:color w:val="auto"/>
          <w:kern w:val="0"/>
          <w:szCs w:val="21"/>
        </w:rPr>
        <w:t>3</w:t>
      </w:r>
      <w:r>
        <w:rPr>
          <w:rFonts w:ascii="宋体" w:hAnsi="宋体" w:cs="宋体"/>
          <w:color w:val="auto"/>
          <w:kern w:val="0"/>
          <w:szCs w:val="21"/>
        </w:rPr>
        <w:t>.</w:t>
      </w:r>
      <w:r>
        <w:rPr>
          <w:rFonts w:hint="eastAsia" w:ascii="宋体" w:hAnsi="宋体" w:cs="宋体"/>
          <w:color w:val="auto"/>
          <w:kern w:val="0"/>
          <w:szCs w:val="21"/>
        </w:rPr>
        <w:t>网上查询地址：</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http://www.ccgp.gov.cn（中国政府采购网）、http://zfcg.gxzf.gov.cn（广西壮族自治区政府采购网）、http://gxggzy.gxzf.gov.cn（广西壮族自治区公共资源交易中心）</w:t>
      </w:r>
    </w:p>
    <w:bookmarkEnd w:id="38"/>
    <w:bookmarkEnd w:id="39"/>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bookmarkStart w:id="40" w:name="_Hlk37429674"/>
      <w:r>
        <w:rPr>
          <w:rFonts w:hint="eastAsia" w:ascii="宋体" w:hAnsi="宋体"/>
          <w:color w:val="auto"/>
          <w:szCs w:val="21"/>
        </w:rPr>
        <w:t>4</w:t>
      </w:r>
      <w:r>
        <w:rPr>
          <w:rFonts w:ascii="宋体" w:hAnsi="宋体"/>
          <w:color w:val="auto"/>
          <w:szCs w:val="21"/>
        </w:rPr>
        <w:t>.</w:t>
      </w:r>
      <w:r>
        <w:rPr>
          <w:rFonts w:hint="eastAsia" w:ascii="宋体" w:hAnsi="宋体" w:cs="宋体"/>
          <w:color w:val="auto"/>
          <w:kern w:val="0"/>
          <w:szCs w:val="21"/>
        </w:rPr>
        <w:t>本项目需要落实的政府采购政策</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（1）政府采购促进中小企业发展。</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（2）政府采购支持采用本国产品的政策。</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（3）强制采购节能产品；优先采购节能产品、环境标志产品。</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（4）政府采购促进残疾人就业政策。</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ascii="宋体" w:hAnsi="宋体" w:cs="宋体"/>
          <w:color w:val="auto"/>
          <w:kern w:val="0"/>
          <w:szCs w:val="21"/>
        </w:rPr>
      </w:pPr>
      <w:r>
        <w:rPr>
          <w:rFonts w:hint="eastAsia" w:ascii="宋体" w:hAnsi="宋体" w:cs="宋体"/>
          <w:color w:val="auto"/>
          <w:kern w:val="0"/>
          <w:szCs w:val="21"/>
        </w:rPr>
        <w:t>（5）政府采购支持监狱企业发展。</w:t>
      </w:r>
    </w:p>
    <w:bookmarkEnd w:id="40"/>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kern w:val="0"/>
          <w:szCs w:val="21"/>
        </w:rPr>
        <w:t>5</w:t>
      </w:r>
      <w:r>
        <w:rPr>
          <w:rFonts w:ascii="宋体" w:hAnsi="宋体" w:cs="宋体"/>
          <w:color w:val="auto"/>
          <w:kern w:val="0"/>
          <w:szCs w:val="21"/>
        </w:rPr>
        <w:t>.</w:t>
      </w:r>
      <w:r>
        <w:rPr>
          <w:rFonts w:hint="eastAsia" w:ascii="宋体" w:hAnsi="宋体" w:cs="宋体"/>
          <w:color w:val="auto"/>
          <w:szCs w:val="21"/>
        </w:rPr>
        <w:t>投标注意事项：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bCs/>
          <w:color w:val="auto"/>
          <w:szCs w:val="21"/>
        </w:rPr>
      </w:pPr>
      <w:r>
        <w:rPr>
          <w:rFonts w:hint="eastAsia" w:ascii="宋体" w:hAnsi="宋体" w:cs="宋体"/>
          <w:color w:val="auto"/>
          <w:szCs w:val="21"/>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rPr>
        <w:t>供应商在“政采云”平台提交电子版投标文件时，请填写参加远程开标活动经办人联系方式。</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供应商应及时熟悉掌握电子标系统操作指南（见政采云电子卖场首页右上角—服务中心—帮助文档—项目采购）：</w:t>
      </w:r>
      <w:r>
        <w:rPr>
          <w:color w:val="auto"/>
        </w:rPr>
        <w:fldChar w:fldCharType="begin"/>
      </w:r>
      <w:r>
        <w:rPr>
          <w:color w:val="auto"/>
        </w:rPr>
        <w:instrText xml:space="preserve"> HYPERLINK "https://service.zcygov.cn/" \l "/knowledges/tree?tag=AG1DtGwBFdiHxlNdhY0r" </w:instrText>
      </w:r>
      <w:r>
        <w:rPr>
          <w:color w:val="auto"/>
        </w:rPr>
        <w:fldChar w:fldCharType="separate"/>
      </w:r>
      <w:r>
        <w:rPr>
          <w:rFonts w:ascii="宋体" w:hAnsi="宋体" w:cs="宋体"/>
          <w:color w:val="auto"/>
          <w:szCs w:val="21"/>
        </w:rPr>
        <w:t>https://service.zcygov.cn/#/knowledges/tree?tag=AG1DtGwBFdiHxlNdhY0r</w:t>
      </w:r>
      <w:r>
        <w:rPr>
          <w:rFonts w:ascii="宋体" w:hAnsi="宋体" w:cs="宋体"/>
          <w:color w:val="auto"/>
          <w:szCs w:val="21"/>
        </w:rPr>
        <w:fldChar w:fldCharType="end"/>
      </w:r>
      <w:r>
        <w:rPr>
          <w:rFonts w:hint="eastAsia" w:ascii="宋体" w:hAnsi="宋体" w:cs="宋体"/>
          <w:color w:val="auto"/>
          <w:szCs w:val="21"/>
        </w:rPr>
        <w:t>；</w:t>
      </w:r>
      <w:r>
        <w:rPr>
          <w:rFonts w:ascii="宋体" w:hAnsi="宋体" w:cs="宋体"/>
          <w:color w:val="auto"/>
          <w:szCs w:val="21"/>
        </w:rPr>
        <w:t>及时完成CA申领和绑定（见广西壮族自治区政府采购网—办事服务—下载专区-政采云CA证书办理操作指南）。</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（4）为确保网上操作合法、有效和安全，请投标人确保在电子投标过程中能够对相关数据电文进行加密和使用电子签章，妥善保管CA数字证书并使用有效的CA数字证书参与整个采购活动。</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Style w:val="77"/>
          <w:rFonts w:hint="eastAsia" w:ascii="宋体" w:hAnsi="宋体" w:cs="宋体"/>
          <w:color w:val="auto"/>
          <w:szCs w:val="21"/>
        </w:rPr>
        <w:t>（5）因未注册入库、未办理CA数字证书、CA证书故障、操作不当等原因造成无法投标或投标失败等后果由供应商自行承担。</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CA证书在线解密：供应商投标时，需携带制作投标文件时用来加密的有效数字证书（CA认证）登录“政采云”平台电子开标大厅现场按规定时间对加密的投标文件进行解密，否则后果自负。</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7.若对项目采购电子交易系统操作有疑问，可登录“政采云”平台（https://www.zcygov.cn/），点击右侧咨询小采，获取采小蜜智能服务管家帮助，或拨打政采云服务热线400-881-7190获取热线服务帮助。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snapToGrid/>
        <w:spacing w:line="440" w:lineRule="exact"/>
        <w:ind w:firstLine="316" w:firstLineChars="150"/>
        <w:textAlignment w:val="auto"/>
        <w:rPr>
          <w:rFonts w:ascii="宋体" w:hAnsi="宋体" w:cs="宋体"/>
          <w:b/>
          <w:bCs/>
          <w:color w:val="auto"/>
          <w:kern w:val="0"/>
          <w:szCs w:val="21"/>
        </w:rPr>
      </w:pPr>
      <w:r>
        <w:rPr>
          <w:rFonts w:hint="eastAsia" w:ascii="宋体" w:hAnsi="宋体" w:cs="宋体"/>
          <w:b/>
          <w:bCs/>
          <w:color w:val="auto"/>
          <w:kern w:val="0"/>
          <w:szCs w:val="21"/>
        </w:rPr>
        <w:t>8</w:t>
      </w:r>
      <w:r>
        <w:rPr>
          <w:rFonts w:hint="eastAsia" w:ascii="宋体" w:hAnsi="宋体" w:cs="宋体"/>
          <w:b/>
          <w:bCs/>
          <w:color w:val="auto"/>
          <w:kern w:val="0"/>
          <w:szCs w:val="21"/>
          <w:lang w:val="en-US" w:eastAsia="zh-CN"/>
        </w:rPr>
        <w:t>.</w:t>
      </w:r>
      <w:r>
        <w:rPr>
          <w:rFonts w:hint="eastAsia" w:ascii="宋体" w:hAnsi="宋体" w:cs="宋体"/>
          <w:b/>
          <w:bCs/>
          <w:color w:val="auto"/>
          <w:kern w:val="0"/>
          <w:szCs w:val="21"/>
        </w:rPr>
        <w:t>本项目允许供应商参与多个分标投标，同时中标多个分标。</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b/>
          <w:bCs/>
          <w:color w:val="auto"/>
          <w:sz w:val="24"/>
        </w:rPr>
      </w:pPr>
      <w:bookmarkStart w:id="41" w:name="_Toc28359085"/>
      <w:bookmarkStart w:id="42" w:name="_Toc35393796"/>
      <w:bookmarkStart w:id="43" w:name="_Toc35393627"/>
      <w:bookmarkStart w:id="44" w:name="_Toc28359008"/>
      <w:r>
        <w:rPr>
          <w:rFonts w:hint="eastAsia" w:ascii="黑体" w:hAnsi="黑体" w:eastAsia="黑体"/>
          <w:b/>
          <w:bCs/>
          <w:color w:val="auto"/>
          <w:sz w:val="24"/>
        </w:rPr>
        <w:t>七、对本次招标提出询问，请按</w:t>
      </w:r>
      <w:r>
        <w:rPr>
          <w:rFonts w:ascii="黑体" w:hAnsi="黑体" w:eastAsia="黑体"/>
          <w:b/>
          <w:bCs/>
          <w:color w:val="auto"/>
          <w:sz w:val="24"/>
        </w:rPr>
        <w:t>以下方式</w:t>
      </w:r>
      <w:r>
        <w:rPr>
          <w:rFonts w:hint="eastAsia" w:ascii="黑体" w:hAnsi="黑体" w:eastAsia="黑体"/>
          <w:b/>
          <w:bCs/>
          <w:color w:val="auto"/>
          <w:sz w:val="24"/>
        </w:rPr>
        <w:t>联系。</w:t>
      </w:r>
      <w:bookmarkEnd w:id="41"/>
      <w:bookmarkEnd w:id="42"/>
      <w:bookmarkEnd w:id="43"/>
      <w:bookmarkEnd w:id="44"/>
    </w:p>
    <w:p>
      <w:pPr>
        <w:keepNext w:val="0"/>
        <w:keepLines w:val="0"/>
        <w:pageBreakBefore w:val="0"/>
        <w:kinsoku/>
        <w:wordWrap/>
        <w:overflowPunct/>
        <w:topLinePunct w:val="0"/>
        <w:autoSpaceDE/>
        <w:autoSpaceDN/>
        <w:bidi w:val="0"/>
        <w:adjustRightInd/>
        <w:snapToGrid/>
        <w:spacing w:line="440" w:lineRule="exact"/>
        <w:jc w:val="left"/>
        <w:textAlignment w:val="auto"/>
        <w:rPr>
          <w:rFonts w:ascii="宋体" w:hAnsi="宋体" w:cs="宋体"/>
          <w:color w:val="auto"/>
          <w:szCs w:val="21"/>
        </w:rPr>
      </w:pPr>
      <w:r>
        <w:rPr>
          <w:rFonts w:hint="eastAsia" w:ascii="宋体" w:hAnsi="宋体" w:cs="宋体"/>
          <w:color w:val="auto"/>
          <w:szCs w:val="21"/>
        </w:rPr>
        <w:t>　　　1.采购人信息</w:t>
      </w:r>
    </w:p>
    <w:p>
      <w:pPr>
        <w:keepNext w:val="0"/>
        <w:keepLines w:val="0"/>
        <w:pageBreakBefore w:val="0"/>
        <w:kinsoku/>
        <w:wordWrap/>
        <w:overflowPunct/>
        <w:topLinePunct w:val="0"/>
        <w:autoSpaceDE/>
        <w:autoSpaceDN/>
        <w:bidi w:val="0"/>
        <w:adjustRightInd/>
        <w:snapToGrid/>
        <w:spacing w:line="440" w:lineRule="exact"/>
        <w:ind w:firstLine="630" w:firstLineChars="300"/>
        <w:jc w:val="left"/>
        <w:textAlignment w:val="auto"/>
        <w:rPr>
          <w:rFonts w:ascii="宋体" w:hAnsi="宋体"/>
          <w:color w:val="auto"/>
          <w:szCs w:val="21"/>
        </w:rPr>
      </w:pPr>
      <w:r>
        <w:rPr>
          <w:rFonts w:hint="eastAsia" w:ascii="宋体" w:hAnsi="宋体"/>
          <w:color w:val="auto"/>
          <w:szCs w:val="21"/>
        </w:rPr>
        <w:t>名 称：</w:t>
      </w:r>
      <w:r>
        <w:rPr>
          <w:rFonts w:hint="eastAsia" w:ascii="宋体" w:hAnsi="宋体" w:cs="宋体"/>
          <w:color w:val="auto"/>
          <w:szCs w:val="21"/>
          <w:u w:val="single"/>
        </w:rPr>
        <w:t>广西广播电视台</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olor w:val="auto"/>
          <w:szCs w:val="21"/>
          <w:u w:val="single"/>
        </w:rPr>
      </w:pPr>
      <w:r>
        <w:rPr>
          <w:rFonts w:hint="eastAsia" w:ascii="宋体" w:hAnsi="宋体"/>
          <w:color w:val="auto"/>
          <w:szCs w:val="21"/>
        </w:rPr>
        <w:t>地址：</w:t>
      </w:r>
      <w:r>
        <w:rPr>
          <w:rFonts w:hint="eastAsia" w:ascii="宋体" w:hAnsi="宋体" w:cs="宋体"/>
          <w:color w:val="auto"/>
          <w:kern w:val="0"/>
          <w:szCs w:val="21"/>
        </w:rPr>
        <w:t xml:space="preserve"> </w:t>
      </w:r>
      <w:r>
        <w:rPr>
          <w:rFonts w:hint="eastAsia" w:ascii="宋体" w:hAnsi="宋体" w:cs="宋体"/>
          <w:color w:val="auto"/>
          <w:u w:val="single"/>
        </w:rPr>
        <w:t>广西壮族自治区南宁市民族大道73-75号</w:t>
      </w:r>
    </w:p>
    <w:p>
      <w:pPr>
        <w:keepNext w:val="0"/>
        <w:keepLines w:val="0"/>
        <w:pageBreakBefore w:val="0"/>
        <w:kinsoku/>
        <w:wordWrap/>
        <w:overflowPunct/>
        <w:topLinePunct w:val="0"/>
        <w:autoSpaceDE/>
        <w:autoSpaceDN/>
        <w:bidi w:val="0"/>
        <w:adjustRightInd/>
        <w:snapToGrid/>
        <w:spacing w:line="440" w:lineRule="exact"/>
        <w:ind w:firstLine="630" w:firstLineChars="300"/>
        <w:jc w:val="left"/>
        <w:textAlignment w:val="auto"/>
        <w:rPr>
          <w:rFonts w:ascii="宋体" w:hAnsi="宋体"/>
          <w:color w:val="auto"/>
          <w:szCs w:val="21"/>
          <w:u w:val="single"/>
        </w:rPr>
      </w:pPr>
      <w:r>
        <w:rPr>
          <w:rFonts w:hint="eastAsia" w:ascii="宋体" w:hAnsi="宋体"/>
          <w:color w:val="auto"/>
          <w:szCs w:val="21"/>
        </w:rPr>
        <w:t>联系方式：</w:t>
      </w:r>
      <w:bookmarkStart w:id="45" w:name="_Toc28359009"/>
      <w:bookmarkStart w:id="46" w:name="_Toc28359086"/>
      <w:r>
        <w:rPr>
          <w:rFonts w:hint="eastAsia" w:ascii="宋体" w:hAnsi="宋体"/>
          <w:color w:val="auto"/>
          <w:szCs w:val="21"/>
          <w:u w:val="single"/>
        </w:rPr>
        <w:t>杨为燕 13471191347， 蒋进 13878194741</w:t>
      </w:r>
    </w:p>
    <w:p>
      <w:pPr>
        <w:keepNext w:val="0"/>
        <w:keepLines w:val="0"/>
        <w:pageBreakBefore w:val="0"/>
        <w:kinsoku/>
        <w:wordWrap/>
        <w:overflowPunct/>
        <w:topLinePunct w:val="0"/>
        <w:autoSpaceDE/>
        <w:autoSpaceDN/>
        <w:bidi w:val="0"/>
        <w:adjustRightInd/>
        <w:snapToGrid/>
        <w:spacing w:line="440" w:lineRule="exact"/>
        <w:ind w:firstLine="630" w:firstLineChars="300"/>
        <w:jc w:val="left"/>
        <w:textAlignment w:val="auto"/>
        <w:rPr>
          <w:rFonts w:ascii="宋体" w:hAnsi="宋体"/>
          <w:color w:val="auto"/>
          <w:szCs w:val="21"/>
        </w:rPr>
      </w:pPr>
      <w:r>
        <w:rPr>
          <w:rFonts w:hint="eastAsia" w:ascii="宋体" w:hAnsi="宋体" w:cs="宋体"/>
          <w:color w:val="auto"/>
          <w:szCs w:val="21"/>
        </w:rPr>
        <w:t>2.采购代理机构信息</w:t>
      </w:r>
      <w:bookmarkEnd w:id="45"/>
      <w:bookmarkEnd w:id="46"/>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olor w:val="auto"/>
          <w:szCs w:val="21"/>
        </w:rPr>
      </w:pPr>
      <w:r>
        <w:rPr>
          <w:rFonts w:hint="eastAsia" w:ascii="宋体" w:hAnsi="宋体"/>
          <w:color w:val="auto"/>
          <w:szCs w:val="21"/>
        </w:rPr>
        <w:t>名 称：</w:t>
      </w:r>
      <w:r>
        <w:rPr>
          <w:rFonts w:hint="eastAsia" w:ascii="宋体" w:hAnsi="宋体" w:cs="宋体"/>
          <w:color w:val="auto"/>
          <w:szCs w:val="21"/>
          <w:u w:val="single"/>
        </w:rPr>
        <w:t>中资国际工程咨询集团有限责任公司</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olor w:val="auto"/>
          <w:szCs w:val="21"/>
        </w:rPr>
      </w:pPr>
      <w:r>
        <w:rPr>
          <w:rFonts w:hint="eastAsia" w:ascii="宋体" w:hAnsi="宋体"/>
          <w:color w:val="auto"/>
          <w:szCs w:val="21"/>
        </w:rPr>
        <w:t>地　址：</w:t>
      </w:r>
      <w:r>
        <w:rPr>
          <w:rFonts w:hint="eastAsia" w:ascii="宋体" w:hAnsi="宋体" w:cs="宋体"/>
          <w:color w:val="auto"/>
          <w:szCs w:val="21"/>
          <w:u w:val="single"/>
        </w:rPr>
        <w:t>南宁市青秀区长园路8号大地华城S3-01号商场三楼</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s="宋体"/>
          <w:color w:val="auto"/>
          <w:szCs w:val="21"/>
        </w:rPr>
      </w:pPr>
      <w:r>
        <w:rPr>
          <w:rFonts w:hint="eastAsia" w:ascii="宋体" w:hAnsi="宋体" w:cs="宋体"/>
          <w:color w:val="auto"/>
          <w:szCs w:val="21"/>
        </w:rPr>
        <w:t>联系方式：</w:t>
      </w:r>
      <w:bookmarkStart w:id="47" w:name="_Toc28359087"/>
      <w:bookmarkStart w:id="48" w:name="_Toc28359010"/>
      <w:r>
        <w:rPr>
          <w:rFonts w:hint="eastAsia" w:ascii="宋体" w:hAnsi="宋体"/>
          <w:color w:val="auto"/>
          <w:szCs w:val="21"/>
          <w:u w:val="single"/>
        </w:rPr>
        <w:t>郭乃华，</w:t>
      </w:r>
      <w:r>
        <w:rPr>
          <w:rFonts w:hint="eastAsia" w:ascii="宋体" w:hAnsi="宋体" w:cs="宋体"/>
          <w:color w:val="auto"/>
          <w:szCs w:val="21"/>
          <w:u w:val="single"/>
        </w:rPr>
        <w:t>0771-5675006；0771-5823176</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s="宋体"/>
          <w:color w:val="auto"/>
          <w:szCs w:val="21"/>
          <w:u w:val="single"/>
        </w:rPr>
      </w:pPr>
      <w:r>
        <w:rPr>
          <w:rFonts w:hint="eastAsia" w:ascii="宋体" w:hAnsi="宋体" w:cs="宋体"/>
          <w:color w:val="auto"/>
          <w:szCs w:val="21"/>
        </w:rPr>
        <w:t>3.项目联系方式</w:t>
      </w:r>
      <w:bookmarkEnd w:id="47"/>
      <w:bookmarkEnd w:id="48"/>
    </w:p>
    <w:p>
      <w:pPr>
        <w:pStyle w:val="18"/>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hAnsi="宋体" w:cs="宋体"/>
          <w:color w:val="auto"/>
          <w:szCs w:val="21"/>
        </w:rPr>
      </w:pPr>
      <w:r>
        <w:rPr>
          <w:rFonts w:hint="eastAsia" w:hAnsi="宋体" w:cs="宋体"/>
          <w:color w:val="auto"/>
          <w:szCs w:val="21"/>
        </w:rPr>
        <w:t>项目联系人：</w:t>
      </w:r>
      <w:r>
        <w:rPr>
          <w:rFonts w:hint="eastAsia" w:hAnsi="宋体" w:cs="宋体"/>
          <w:color w:val="auto"/>
          <w:szCs w:val="21"/>
          <w:u w:val="single"/>
        </w:rPr>
        <w:t xml:space="preserve"> 郭乃华 </w:t>
      </w:r>
    </w:p>
    <w:p>
      <w:pPr>
        <w:keepNext w:val="0"/>
        <w:keepLines w:val="0"/>
        <w:pageBreakBefore w:val="0"/>
        <w:kinsoku/>
        <w:wordWrap/>
        <w:overflowPunct/>
        <w:topLinePunct w:val="0"/>
        <w:autoSpaceDE/>
        <w:autoSpaceDN/>
        <w:bidi w:val="0"/>
        <w:adjustRightInd/>
        <w:snapToGrid/>
        <w:spacing w:line="440" w:lineRule="exact"/>
        <w:ind w:firstLine="630" w:firstLineChars="300"/>
        <w:textAlignment w:val="auto"/>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0771-5675006；0771-5823176</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olor w:val="auto"/>
          <w:szCs w:val="21"/>
          <w:u w:val="single"/>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ascii="宋体" w:hAnsi="宋体"/>
          <w:color w:val="auto"/>
          <w:szCs w:val="21"/>
          <w:u w:val="single"/>
        </w:rPr>
      </w:pPr>
      <w:r>
        <w:rPr>
          <w:rFonts w:hint="eastAsia" w:ascii="宋体" w:hAnsi="宋体" w:cs="宋体"/>
          <w:color w:val="auto"/>
          <w:szCs w:val="21"/>
          <w:u w:val="single"/>
        </w:rPr>
        <w:t>中资国际工程咨询集团有限责任公司</w:t>
      </w:r>
    </w:p>
    <w:p>
      <w:pPr>
        <w:keepNext w:val="0"/>
        <w:keepLines w:val="0"/>
        <w:pageBreakBefore w:val="0"/>
        <w:kinsoku/>
        <w:wordWrap/>
        <w:overflowPunct/>
        <w:topLinePunct w:val="0"/>
        <w:autoSpaceDE/>
        <w:autoSpaceDN/>
        <w:bidi w:val="0"/>
        <w:adjustRightInd/>
        <w:snapToGrid/>
        <w:spacing w:line="440" w:lineRule="exact"/>
        <w:ind w:firstLine="210" w:firstLineChars="100"/>
        <w:jc w:val="right"/>
        <w:textAlignment w:val="auto"/>
        <w:rPr>
          <w:rFonts w:ascii="宋体" w:hAnsi="宋体"/>
          <w:color w:val="auto"/>
        </w:rPr>
      </w:pPr>
      <w:r>
        <w:rPr>
          <w:rFonts w:hint="eastAsia" w:ascii="宋体" w:hAnsi="宋体"/>
          <w:color w:val="auto"/>
          <w:szCs w:val="21"/>
          <w:u w:val="single"/>
        </w:rPr>
        <w:t>2022</w:t>
      </w:r>
      <w:r>
        <w:rPr>
          <w:rFonts w:hint="eastAsia" w:ascii="宋体" w:hAnsi="宋体"/>
          <w:color w:val="auto"/>
          <w:szCs w:val="21"/>
        </w:rPr>
        <w:t>年</w:t>
      </w:r>
      <w:r>
        <w:rPr>
          <w:rFonts w:hint="eastAsia" w:ascii="宋体" w:hAnsi="宋体"/>
          <w:color w:val="auto"/>
          <w:szCs w:val="21"/>
          <w:u w:val="single"/>
        </w:rPr>
        <w:t xml:space="preserve"> 10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26</w:t>
      </w:r>
      <w:r>
        <w:rPr>
          <w:rFonts w:hint="eastAsia" w:ascii="宋体" w:hAnsi="宋体"/>
          <w:color w:val="auto"/>
          <w:szCs w:val="21"/>
          <w:u w:val="single"/>
        </w:rPr>
        <w:t xml:space="preserve"> </w:t>
      </w:r>
      <w:r>
        <w:rPr>
          <w:rFonts w:hint="eastAsia" w:ascii="宋体" w:hAnsi="宋体"/>
          <w:color w:val="auto"/>
          <w:szCs w:val="21"/>
        </w:rPr>
        <w:t>日</w:t>
      </w:r>
    </w:p>
    <w:p>
      <w:pPr>
        <w:keepNext w:val="0"/>
        <w:keepLines w:val="0"/>
        <w:pageBreakBefore w:val="0"/>
        <w:kinsoku/>
        <w:wordWrap/>
        <w:overflowPunct/>
        <w:topLinePunct w:val="0"/>
        <w:autoSpaceDE/>
        <w:autoSpaceDN/>
        <w:bidi w:val="0"/>
        <w:adjustRightInd/>
        <w:snapToGrid/>
        <w:spacing w:line="440" w:lineRule="exact"/>
        <w:textAlignment w:val="auto"/>
        <w:rPr>
          <w:rFonts w:ascii="仿宋_GB2312" w:hAnsi="宋体" w:eastAsia="仿宋_GB2312"/>
          <w:color w:val="auto"/>
          <w:sz w:val="24"/>
          <w:szCs w:val="20"/>
        </w:rPr>
      </w:pPr>
    </w:p>
    <w:p>
      <w:pPr>
        <w:pStyle w:val="4"/>
        <w:keepNext w:val="0"/>
        <w:keepLines w:val="0"/>
        <w:jc w:val="center"/>
        <w:rPr>
          <w:color w:val="auto"/>
          <w:sz w:val="30"/>
          <w:szCs w:val="30"/>
        </w:rPr>
      </w:pPr>
      <w:bookmarkStart w:id="49" w:name="_Toc19686830"/>
      <w:r>
        <w:rPr>
          <w:rFonts w:hint="eastAsia"/>
          <w:color w:val="auto"/>
        </w:rPr>
        <w:br w:type="page"/>
      </w:r>
      <w:r>
        <w:rPr>
          <w:rFonts w:hint="eastAsia"/>
          <w:color w:val="auto"/>
        </w:rPr>
        <w:t>第二章  采购需求</w:t>
      </w:r>
      <w:bookmarkEnd w:id="49"/>
    </w:p>
    <w:p>
      <w:pPr>
        <w:spacing w:line="360" w:lineRule="auto"/>
        <w:ind w:firstLine="420" w:firstLineChars="200"/>
        <w:jc w:val="left"/>
        <w:rPr>
          <w:rFonts w:ascii="宋体" w:hAnsi="宋体" w:cs="宋体"/>
          <w:color w:val="auto"/>
          <w:szCs w:val="21"/>
        </w:rPr>
      </w:pPr>
      <w:bookmarkStart w:id="50" w:name="_Toc254970631"/>
      <w:bookmarkStart w:id="51" w:name="_Toc254970490"/>
      <w:r>
        <w:rPr>
          <w:rFonts w:hint="eastAsia" w:ascii="宋体" w:hAnsi="宋体" w:cs="宋体"/>
          <w:color w:val="auto"/>
          <w:szCs w:val="21"/>
        </w:rPr>
        <w:t>说明：</w:t>
      </w:r>
    </w:p>
    <w:p>
      <w:pPr>
        <w:spacing w:line="360" w:lineRule="auto"/>
        <w:ind w:firstLine="420" w:firstLineChars="200"/>
        <w:jc w:val="left"/>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p>
    <w:p>
      <w:pPr>
        <w:spacing w:line="360" w:lineRule="auto"/>
        <w:ind w:firstLine="420" w:firstLineChars="200"/>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.“实质性要求”是指招标文件中已经指明不满足则投标无效的条款，或者不能负偏离的条款，或者采购需求中带“▲”的条款。</w:t>
      </w:r>
    </w:p>
    <w:p>
      <w:pPr>
        <w:spacing w:line="360" w:lineRule="auto"/>
        <w:ind w:firstLine="420" w:firstLineChars="200"/>
        <w:jc w:val="left"/>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0" w:firstLineChars="200"/>
        <w:jc w:val="left"/>
        <w:rPr>
          <w:color w:val="auto"/>
        </w:rPr>
      </w:pPr>
      <w:r>
        <w:rPr>
          <w:rFonts w:hint="eastAsia" w:ascii="宋体" w:hAnsi="宋体" w:cs="宋体"/>
          <w:color w:val="auto"/>
          <w:szCs w:val="21"/>
        </w:rPr>
        <w:t>4.投标人应根据自身实际情况响应招标文件采购需求中的各项</w:t>
      </w:r>
      <w:r>
        <w:rPr>
          <w:rFonts w:hint="eastAsia" w:ascii="宋体" w:hAnsi="宋体"/>
          <w:color w:val="auto"/>
          <w:szCs w:val="21"/>
        </w:rPr>
        <w:t>需求，</w:t>
      </w:r>
      <w:r>
        <w:rPr>
          <w:rFonts w:hint="eastAsia"/>
          <w:color w:val="auto"/>
        </w:rPr>
        <w:t>对于重要技术条款或技术参数应当在投标文件中提供技术支持资料。技术支持资料以投标货物</w:t>
      </w:r>
      <w:r>
        <w:rPr>
          <w:rFonts w:hint="eastAsia" w:ascii="宋体" w:hAnsi="宋体" w:cs="宋体"/>
          <w:color w:val="auto"/>
          <w:szCs w:val="21"/>
        </w:rPr>
        <w:t>生产厂家</w:t>
      </w:r>
      <w:r>
        <w:rPr>
          <w:rFonts w:hint="eastAsia"/>
          <w:color w:val="auto"/>
        </w:rPr>
        <w:t>公开发布的印刷资料或检测机构出具的检测报告或招标文件中允许的其它形式为准。凡不符合上述要求的，将视为无效技术支持资料。</w:t>
      </w:r>
    </w:p>
    <w:p>
      <w:pPr>
        <w:spacing w:line="360" w:lineRule="auto"/>
        <w:ind w:firstLine="420" w:firstLineChars="200"/>
        <w:jc w:val="left"/>
        <w:rPr>
          <w:rFonts w:ascii="宋体" w:hAnsi="宋体"/>
          <w:color w:val="auto"/>
          <w:szCs w:val="21"/>
        </w:rPr>
      </w:pPr>
      <w:r>
        <w:rPr>
          <w:rFonts w:hint="eastAsia" w:ascii="宋体" w:hAnsi="宋体" w:cs="宋体"/>
          <w:color w:val="auto"/>
          <w:szCs w:val="21"/>
        </w:rPr>
        <w:t>5</w:t>
      </w:r>
      <w:r>
        <w:rPr>
          <w:rFonts w:ascii="宋体" w:hAnsi="宋体" w:cs="宋体"/>
          <w:color w:val="auto"/>
          <w:szCs w:val="21"/>
        </w:rPr>
        <w:t>.</w:t>
      </w:r>
      <w:r>
        <w:rPr>
          <w:color w:val="auto"/>
        </w:rPr>
        <w:t>供应商必须自行为其</w:t>
      </w:r>
      <w:r>
        <w:rPr>
          <w:rFonts w:hint="eastAsia"/>
          <w:color w:val="auto"/>
        </w:rPr>
        <w:t>投标</w:t>
      </w:r>
      <w:r>
        <w:rPr>
          <w:color w:val="auto"/>
        </w:rPr>
        <w:t>产品侵犯</w:t>
      </w:r>
      <w:r>
        <w:rPr>
          <w:rFonts w:hint="eastAsia"/>
          <w:color w:val="auto"/>
        </w:rPr>
        <w:t>他人的知识产权或者专利成果的行为</w:t>
      </w:r>
      <w:r>
        <w:rPr>
          <w:color w:val="auto"/>
        </w:rPr>
        <w:t>承担相应法律责任</w:t>
      </w:r>
      <w:r>
        <w:rPr>
          <w:rFonts w:hint="eastAsia"/>
          <w:color w:val="auto"/>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6.本采购需求中技术要求所使用的标准或应用标准如与供应商所执行的标准不一致时，按最新标准或较高标准执行。</w:t>
      </w:r>
    </w:p>
    <w:p>
      <w:pPr>
        <w:spacing w:line="360" w:lineRule="auto"/>
        <w:ind w:firstLine="422" w:firstLineChars="200"/>
        <w:jc w:val="left"/>
        <w:rPr>
          <w:rFonts w:ascii="宋体" w:hAnsi="宋体" w:cs="宋体"/>
          <w:b/>
          <w:bCs/>
          <w:color w:val="auto"/>
          <w:szCs w:val="21"/>
          <w:u w:val="single"/>
        </w:rPr>
      </w:pPr>
      <w:r>
        <w:rPr>
          <w:rFonts w:hint="eastAsia" w:ascii="宋体" w:hAnsi="宋体" w:cs="宋体"/>
          <w:b/>
          <w:bCs/>
          <w:color w:val="auto"/>
          <w:szCs w:val="21"/>
        </w:rPr>
        <w:t>7.本项目所属行业：</w:t>
      </w:r>
      <w:r>
        <w:rPr>
          <w:rFonts w:hint="eastAsia" w:ascii="宋体" w:hAnsi="宋体" w:cs="宋体"/>
          <w:b/>
          <w:bCs/>
          <w:color w:val="auto"/>
          <w:szCs w:val="21"/>
          <w:u w:val="single"/>
        </w:rPr>
        <w:t>信息传输业</w:t>
      </w:r>
      <w:r>
        <w:rPr>
          <w:rFonts w:hint="eastAsia" w:ascii="宋体" w:hAnsi="宋体" w:cs="宋体"/>
          <w:b/>
          <w:bCs/>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8.预算金额：</w:t>
      </w:r>
      <w:r>
        <w:rPr>
          <w:rFonts w:hint="eastAsia" w:ascii="宋体" w:hAnsi="宋体" w:cs="宋体"/>
          <w:b/>
          <w:bCs/>
          <w:color w:val="auto"/>
          <w:szCs w:val="21"/>
        </w:rPr>
        <w:t>人民币（大写）贰仟万元整（¥20,000,000.00元）</w:t>
      </w:r>
      <w:r>
        <w:rPr>
          <w:rFonts w:hint="eastAsia" w:ascii="宋体" w:hAnsi="宋体" w:cs="宋体"/>
          <w:color w:val="auto"/>
          <w:szCs w:val="21"/>
        </w:rPr>
        <w:t>（其中分标1预算金额为人民币（大写）壹仟叁佰万元整（¥13,000,000.00元）；分标2预算金额为人民币（大写）柒佰万元整（¥7,000,000.00元））。</w:t>
      </w:r>
    </w:p>
    <w:p>
      <w:pPr>
        <w:spacing w:line="360" w:lineRule="auto"/>
        <w:ind w:firstLine="420" w:firstLineChars="200"/>
        <w:rPr>
          <w:color w:val="auto"/>
        </w:rPr>
      </w:pPr>
      <w:r>
        <w:rPr>
          <w:rFonts w:hint="eastAsia" w:ascii="宋体" w:hAnsi="宋体" w:cs="宋体"/>
          <w:color w:val="auto"/>
          <w:szCs w:val="21"/>
        </w:rPr>
        <w:t>9.最高限价：</w:t>
      </w:r>
      <w:r>
        <w:rPr>
          <w:rFonts w:hint="eastAsia" w:ascii="宋体" w:hAnsi="宋体" w:cs="宋体"/>
          <w:b/>
          <w:bCs/>
          <w:color w:val="auto"/>
          <w:szCs w:val="21"/>
        </w:rPr>
        <w:t>人民币（大写）贰仟万元整（¥20,000,000.00元）</w:t>
      </w:r>
      <w:r>
        <w:rPr>
          <w:rFonts w:hint="eastAsia" w:ascii="宋体" w:hAnsi="宋体" w:cs="宋体"/>
          <w:color w:val="auto"/>
          <w:szCs w:val="21"/>
        </w:rPr>
        <w:t>（其中分标1最高限价为人民币（大写）壹仟叁佰万元整（¥13,000,000.00元）；分标2最高限价为人民币（大写）柒佰万元整（¥7,000,000.00元））。</w:t>
      </w:r>
    </w:p>
    <w:p>
      <w:pPr>
        <w:spacing w:line="360" w:lineRule="auto"/>
        <w:ind w:firstLine="219" w:firstLineChars="104"/>
        <w:jc w:val="left"/>
        <w:rPr>
          <w:rFonts w:ascii="宋体" w:hAnsi="宋体" w:cs="宋体"/>
          <w:b/>
          <w:bCs/>
          <w:color w:val="auto"/>
          <w:szCs w:val="21"/>
        </w:rPr>
      </w:pPr>
    </w:p>
    <w:p>
      <w:pPr>
        <w:spacing w:line="360" w:lineRule="auto"/>
        <w:ind w:firstLine="219" w:firstLineChars="104"/>
        <w:jc w:val="left"/>
        <w:rPr>
          <w:rFonts w:ascii="宋体" w:hAnsi="宋体" w:cs="宋体"/>
          <w:b/>
          <w:bCs/>
          <w:color w:val="auto"/>
          <w:szCs w:val="21"/>
        </w:rPr>
      </w:pPr>
      <w:r>
        <w:rPr>
          <w:rFonts w:hint="eastAsia" w:ascii="宋体" w:hAnsi="宋体" w:cs="宋体"/>
          <w:b/>
          <w:bCs/>
          <w:color w:val="auto"/>
          <w:szCs w:val="21"/>
        </w:rPr>
        <w:t>分标1：播出视频服务器系统</w:t>
      </w:r>
    </w:p>
    <w:tbl>
      <w:tblPr>
        <w:tblStyle w:val="35"/>
        <w:tblW w:w="102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
        <w:gridCol w:w="856"/>
        <w:gridCol w:w="930"/>
        <w:gridCol w:w="6435"/>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478" w:type="dxa"/>
            <w:vAlign w:val="center"/>
          </w:tcPr>
          <w:p>
            <w:pPr>
              <w:tabs>
                <w:tab w:val="left" w:pos="180"/>
                <w:tab w:val="left" w:pos="1620"/>
              </w:tabs>
              <w:spacing w:line="360" w:lineRule="exact"/>
              <w:jc w:val="center"/>
              <w:rPr>
                <w:rFonts w:ascii="宋体" w:hAnsi="宋体" w:cs="宋体"/>
                <w:b/>
                <w:bCs/>
                <w:color w:val="auto"/>
                <w:szCs w:val="21"/>
              </w:rPr>
            </w:pPr>
            <w:r>
              <w:rPr>
                <w:rFonts w:hint="eastAsia" w:ascii="宋体" w:hAnsi="宋体" w:cs="宋体"/>
                <w:b/>
                <w:bCs/>
                <w:color w:val="auto"/>
                <w:szCs w:val="21"/>
              </w:rPr>
              <w:t>序号</w:t>
            </w:r>
          </w:p>
        </w:tc>
        <w:tc>
          <w:tcPr>
            <w:tcW w:w="856" w:type="dxa"/>
            <w:vAlign w:val="center"/>
          </w:tcPr>
          <w:p>
            <w:pPr>
              <w:tabs>
                <w:tab w:val="left" w:pos="180"/>
                <w:tab w:val="left" w:pos="1620"/>
              </w:tabs>
              <w:spacing w:line="360" w:lineRule="exact"/>
              <w:jc w:val="center"/>
              <w:rPr>
                <w:rFonts w:ascii="宋体" w:hAnsi="宋体" w:cs="宋体"/>
                <w:b/>
                <w:bCs/>
                <w:color w:val="auto"/>
                <w:szCs w:val="21"/>
              </w:rPr>
            </w:pPr>
            <w:r>
              <w:rPr>
                <w:rFonts w:hint="eastAsia" w:ascii="宋体" w:hAnsi="宋体" w:cs="宋体"/>
                <w:b/>
                <w:bCs/>
                <w:color w:val="auto"/>
                <w:szCs w:val="21"/>
              </w:rPr>
              <w:t>标的的名称</w:t>
            </w:r>
          </w:p>
        </w:tc>
        <w:tc>
          <w:tcPr>
            <w:tcW w:w="930" w:type="dxa"/>
            <w:vAlign w:val="center"/>
          </w:tcPr>
          <w:p>
            <w:pPr>
              <w:tabs>
                <w:tab w:val="left" w:pos="180"/>
                <w:tab w:val="left" w:pos="1620"/>
              </w:tabs>
              <w:spacing w:line="360" w:lineRule="exact"/>
              <w:jc w:val="center"/>
              <w:rPr>
                <w:rFonts w:ascii="宋体" w:hAnsi="宋体" w:cs="宋体"/>
                <w:b/>
                <w:bCs/>
                <w:color w:val="auto"/>
                <w:szCs w:val="21"/>
              </w:rPr>
            </w:pPr>
            <w:r>
              <w:rPr>
                <w:rFonts w:hint="eastAsia" w:ascii="宋体" w:hAnsi="宋体" w:cs="宋体"/>
                <w:b/>
                <w:bCs/>
                <w:color w:val="auto"/>
                <w:szCs w:val="21"/>
              </w:rPr>
              <w:t>数量及</w:t>
            </w:r>
          </w:p>
          <w:p>
            <w:pPr>
              <w:tabs>
                <w:tab w:val="left" w:pos="180"/>
                <w:tab w:val="left" w:pos="1620"/>
              </w:tabs>
              <w:spacing w:line="360" w:lineRule="exact"/>
              <w:jc w:val="center"/>
              <w:rPr>
                <w:rFonts w:ascii="宋体" w:hAnsi="宋体" w:cs="宋体"/>
                <w:b/>
                <w:bCs/>
                <w:color w:val="auto"/>
                <w:szCs w:val="21"/>
              </w:rPr>
            </w:pPr>
            <w:r>
              <w:rPr>
                <w:rFonts w:hint="eastAsia" w:ascii="宋体" w:hAnsi="宋体" w:cs="宋体"/>
                <w:b/>
                <w:bCs/>
                <w:color w:val="auto"/>
                <w:szCs w:val="21"/>
              </w:rPr>
              <w:t>单位</w:t>
            </w:r>
          </w:p>
        </w:tc>
        <w:tc>
          <w:tcPr>
            <w:tcW w:w="6435" w:type="dxa"/>
            <w:vAlign w:val="center"/>
          </w:tcPr>
          <w:p>
            <w:pPr>
              <w:tabs>
                <w:tab w:val="left" w:pos="180"/>
                <w:tab w:val="left" w:pos="1620"/>
              </w:tabs>
              <w:spacing w:line="360" w:lineRule="exact"/>
              <w:jc w:val="center"/>
              <w:rPr>
                <w:rFonts w:ascii="宋体" w:hAnsi="宋体" w:cs="宋体"/>
                <w:b/>
                <w:bCs/>
                <w:color w:val="auto"/>
                <w:szCs w:val="21"/>
              </w:rPr>
            </w:pPr>
            <w:r>
              <w:rPr>
                <w:rFonts w:hint="eastAsia" w:ascii="宋体" w:hAnsi="宋体" w:cs="宋体"/>
                <w:b/>
                <w:bCs/>
                <w:color w:val="auto"/>
                <w:szCs w:val="21"/>
              </w:rPr>
              <w:t>技术需求</w:t>
            </w:r>
          </w:p>
        </w:tc>
        <w:tc>
          <w:tcPr>
            <w:tcW w:w="1505" w:type="dxa"/>
            <w:vAlign w:val="center"/>
          </w:tcPr>
          <w:p>
            <w:pPr>
              <w:tabs>
                <w:tab w:val="left" w:pos="180"/>
                <w:tab w:val="left" w:pos="1620"/>
              </w:tabs>
              <w:spacing w:line="360" w:lineRule="exact"/>
              <w:jc w:val="center"/>
              <w:rPr>
                <w:rFonts w:ascii="宋体" w:hAnsi="宋体" w:cs="宋体"/>
                <w:b/>
                <w:bCs/>
                <w:color w:val="auto"/>
                <w:szCs w:val="21"/>
              </w:rPr>
            </w:pPr>
            <w:r>
              <w:rPr>
                <w:rFonts w:hint="eastAsia" w:ascii="宋体" w:hAnsi="宋体" w:cs="宋体"/>
                <w:color w:val="auto"/>
                <w:szCs w:val="21"/>
              </w:rPr>
              <w:t>分项预算合计（万元）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视音频采集/播放器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17台</w:t>
            </w:r>
          </w:p>
        </w:tc>
        <w:tc>
          <w:tcPr>
            <w:tcW w:w="6435" w:type="dxa"/>
            <w:vAlign w:val="center"/>
          </w:tcPr>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配置要求：</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配置4路独立的高标清播放/采集通道，播放/采集采用全硬件编解码技术，确保长期运行中节目播放达到零帧精度，不出现静帧或停顿，声画不同步等异常现象；每个通道均具备双接口，支持镜像输出，支持上下变换和高标清同播；支持one by one播放方式，最小素材长度不大于5秒，最大素材长度可达12小时；</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2）安装原厂自主研发专用Linux操作系统，能够确保长期7*24小时稳定运行，无需定期关机/重启及其他系统维护操作；</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3）▲配置冗余电源，内置基于企业级高速SAS盘的素材存储，电源和硬盘均支持热插拔，全局数据RAID冗余校验保护，有效可用容量不少于16TB，可以在不影响在线播出的情况下进行安装和替换；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配置2个千兆以太网接口用于素材传输，满负荷运行时素材文件稳定传输带宽不小于80MB/s，同时并发FTP连接数不低于20个，支持当前传输文件边传输边播放；素材存储文件系统采用开放式架构，不会对写入文件二次转码或转封装，确保与源文件完全一致性；配置2个千兆以太网接口用于设备管理。网口自带链路冗余保护机制；</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5）支持SNMP协议的Get和Trap功能，进行SNMP监控时，对服务器CPU、内存等设备资源无影响。监控信息包括电源、风扇、温度、硬盘、磁盘空间过低和编解码通道状态等基本项、设备事件、资源信息等；</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6）设备具有较好的电磁屏蔽性能，且自身的电磁辐射较低。</w:t>
            </w:r>
          </w:p>
          <w:p>
            <w:pPr>
              <w:spacing w:line="420" w:lineRule="atLeast"/>
              <w:ind w:firstLine="420" w:firstLineChars="200"/>
              <w:jc w:val="left"/>
              <w:rPr>
                <w:rFonts w:ascii="宋体" w:hAnsi="宋体" w:cs="宋体"/>
                <w:color w:val="auto"/>
                <w:szCs w:val="21"/>
              </w:rPr>
            </w:pPr>
          </w:p>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现场升级：</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1）通过另外购买组件即可现场升级支持UHD素材播放/采集，且同时提供4*3G/12G/25G-SMPTE2110基带IP输入输出接口，便于适配各种UHD信号采集/播放需求，所有接口均为冗余配置；</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2）通过另外购买组件即可现场升级支持UHD SMPTE 2110及SMPTE 2022-7标准的UHD/HD基带IP播出及无缝保护切换；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3）通过另外购买软授权即可支持实时外来信号输入，支持外来信号与文件播出之间的帧精度无缝切换；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4)软硬件升级方式简便，并有相应的安全保护和检验措施。</w:t>
            </w:r>
          </w:p>
          <w:p>
            <w:pPr>
              <w:spacing w:line="420" w:lineRule="atLeast"/>
              <w:ind w:firstLine="420" w:firstLineChars="200"/>
              <w:jc w:val="left"/>
              <w:rPr>
                <w:rFonts w:ascii="宋体" w:hAnsi="宋体" w:cs="宋体"/>
                <w:color w:val="auto"/>
                <w:szCs w:val="21"/>
              </w:rPr>
            </w:pPr>
          </w:p>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技术规格：</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1）输出的视音频信号指标符合广播级标准；</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2）支持MXF OP1A封装格式，标清视频格式支持MPEG2-IBBP，MP@ML，GOP=4，采样方式4：2：2，8bit量化，码率为8-25Mbps可调，高清视频格式支持MPEG-2-IBP，HP@HL，GOP=12，Ref=3，采样方式4：2：2，8bit量化，码率为50Mbps，通道输出的视音频信号指标符合广播级标准；</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3）HD播出文件格式支持：DVCPRO HD、XDCAM HD、AVC-Ultra (Panasonic：Class 50 和 Class 100，1920x1080i (25/29.97 Hz)，1280x720p (50/59.94 Hz))、XAVC-L（High 422，Level 4，25, 50 Mbps）、HD 3G (1080p 50/60)、AVC I-Frame XAVC-I, AVC-Intra , AVC-I RP 2027 Class 100 (Generic)；</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4）▲所购17台设备中其中3台每台须有一个通道配置响度处理授权，实现播出通道响度自动调整；满足国家广播电视局GY/T262-2012响度指标规范要求。</w:t>
            </w:r>
          </w:p>
          <w:p>
            <w:pPr>
              <w:pStyle w:val="2"/>
              <w:spacing w:line="420" w:lineRule="atLeast"/>
              <w:ind w:firstLine="420"/>
              <w:rPr>
                <w:rFonts w:ascii="宋体" w:hAnsi="宋体" w:cs="宋体"/>
                <w:color w:val="auto"/>
                <w:sz w:val="21"/>
                <w:szCs w:val="21"/>
              </w:rPr>
            </w:pPr>
            <w:r>
              <w:rPr>
                <w:rFonts w:hint="eastAsia" w:ascii="宋体" w:hAnsi="宋体" w:cs="宋体"/>
                <w:b w:val="0"/>
                <w:bCs w:val="0"/>
                <w:color w:val="auto"/>
                <w:sz w:val="21"/>
                <w:szCs w:val="21"/>
              </w:rPr>
              <w:t>5）▲支持中华人民共和国广播电影电视行业标准GY/T 270-2013 《数字电视隐藏字幕系统规范》。</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776.90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超高清视音频采集器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2套</w:t>
            </w:r>
          </w:p>
        </w:tc>
        <w:tc>
          <w:tcPr>
            <w:tcW w:w="6435" w:type="dxa"/>
            <w:vAlign w:val="center"/>
          </w:tcPr>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配置要求：</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 xml:space="preserve">1）▲提供1路超高清播放/采集通道，播放/采集采用全硬件编解码技术，确保长期运行中节目播放达到零帧精度，不出现静帧或停顿，声画不同步等异常现象。配置4*3G/12G/25G-SMPTE2110基带IP输入输出接口，便于适配各种UHD信号采集/播放需求，所有接口均为冗余配置；UHD通道码率可达500-600Mbps，配置双路12G UHD节目同步输出；支持HD和UHD素材的上下变换及同步播出；支持多种主流HDR标准和HDR上下变换，能对没有HDR的素材播放同时进行实时HDR效果生成，同时加入HDR数据；支持one by one播放方式，最小素材长度不大于5秒，最大素材长度可达12小时； </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2）采用原厂自主研发专用Linux操作系统，抗病毒能力强，能够确保长期7*24小时稳定运行，无需定期关机/重启及其他系统维护操作；</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3）▲配置冗余电源，内置基于企业级高速SSD盘的素材存储，全局数据RAID冗余校验保护，有效可用容量不少于10TB；电源和硬盘均支持热插拔，可以在不影响在线播出的情况下进行安装和替换；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能够和超高清专用外置存储连接，直接读取并实时播放外置存储中的UHD素材，或将正在采集的UHD素材实时写入专用外置存储，专用外置存储可用容量不低于600TB且自带安全保障处理机制，确保素材读取和写入时的完整和可用性；</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5）▲配置2个万兆以太光接口用于素材传输，全部编解码通道满负荷运行时，素材文件稳定传输带宽不小于120MB/s，同时并发FTP连接数不低于20个，支持当前传输文件边传输边播放；素材存储文件系统采用开放式架构，不会对写入文件二次转码或转封装，确保与源文件完全一致性；额外配置2个千兆以太网接口用于设备管理。网口自带链路冗余保护机制；</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6）支持SNMP协议的Get和Trap功能，进行SNMP监控时，对服务器CPU、内存等设备资源无影响。监控信息包括电源、风扇、温度、硬盘、磁盘空间过低和编解码通道状态等基本项、设备事件、资源信息等。</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7）可启用超高清和高清ST2110网络传输。</w:t>
            </w:r>
          </w:p>
          <w:p>
            <w:pPr>
              <w:spacing w:line="420" w:lineRule="atLeast"/>
              <w:ind w:firstLine="422" w:firstLineChars="200"/>
              <w:jc w:val="left"/>
              <w:rPr>
                <w:rFonts w:ascii="宋体" w:hAnsi="宋体" w:cs="宋体"/>
                <w:b/>
                <w:bCs/>
                <w:color w:val="auto"/>
                <w:szCs w:val="21"/>
              </w:rPr>
            </w:pPr>
          </w:p>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现场升级：</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1）通过额外购买软授权即可支持广播级自动音量响度调整的节目输出；</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2）通过另外购买软授权即可支持每个播出通道至少8个图层的图文包装，支持支持静态、动态图像、台标、字幕等；</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3）▲通过另外购买软授权即可支持实时外来信号输入，支持外来信号与文件播出之间的帧精度无缝切换。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4）软硬件升级方式简便，并有相应的安全保护和检验措施。</w:t>
            </w:r>
          </w:p>
          <w:p>
            <w:pPr>
              <w:spacing w:line="420" w:lineRule="atLeast"/>
              <w:ind w:firstLine="420" w:firstLineChars="200"/>
              <w:jc w:val="left"/>
              <w:rPr>
                <w:rFonts w:ascii="宋体" w:hAnsi="宋体" w:cs="宋体"/>
                <w:color w:val="auto"/>
                <w:szCs w:val="21"/>
              </w:rPr>
            </w:pPr>
          </w:p>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技术规格：</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1）输出的视音频信号指标符合广播级标准；</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2）▲UHD支持MXF OP1A封装格式，支持XAVC（I-Frame, Class 300, 422, 10-bit, 50p/60p，L-Gop 10bit 4.2.2 200mbs 50p/60p ）、AVC Ultra（I-Frame, Level 5.2, 422, 10-bit, 50p/60p ）、ProRes（821 Mbps LT mode ）、VC-3（145-180 Mbps, LB mode ）等格式播出；</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 xml:space="preserve">3）HD播出文件格式支持：DVCPRO HD、XDCAM HD、AVC-Ultra (Panasonic：Class 50 和 Class 100，1920x1080i (25/29.97 Hz)，1280x720p (50/59.94 Hz))、XAVC-L（High 422，Level 4，25, 50 Mbps）、HD 3G (1080p 50/60)、AVC I-Frame XAVC-I, AVC-Intra , AVC-I RP 2027 Class 100 (Generic)；  </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4）▲支持中华人民共和国广播电影电视行业标准GY/T 270-2013 《数字电视隐藏字幕系统规范》。</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126.60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节目文件综合处理机</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2台</w:t>
            </w:r>
          </w:p>
        </w:tc>
        <w:tc>
          <w:tcPr>
            <w:tcW w:w="6435" w:type="dxa"/>
            <w:vAlign w:val="center"/>
          </w:tcPr>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1）▲可完成新旧文件系统导入：将原播出系统素材文件及与素材文件描述相关的元数据导入到该接口单元，再从接口单元导出到新的播出系统。素材文件和元数据必须和新的上载、播控系统兼容；</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2）▲文件导入后，需要完成视音频压缩文件技审和检查：检查文件的合法性，若夹杂异常画面，如静帧、黑场、彩条、彩场、无伴音、响度异常、画面YUV/RGB超标等现象，应具有精确到帧的报警；</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3）文件编码或封装格式不能满足播出服务器播出解码要求的，需要转封装和转码；</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4）▲处理文件导入、技审、转码等，一个处理单元工作时，超高清素材不低于3倍速、高清素材不低于10倍速。</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5）完成上述流程后，该单元可设置为综合上载：支持两个HD/3G/12G-SDI上载通道，两个10G SFP+接口，36TB内置存储。双电源。可根据节目编单信息自动上载，文件上载后，可自动导入上载/存储系统、播控系统数据库。</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64.00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共享存储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1套</w:t>
            </w:r>
          </w:p>
        </w:tc>
        <w:tc>
          <w:tcPr>
            <w:tcW w:w="6435" w:type="dxa"/>
            <w:vAlign w:val="center"/>
          </w:tcPr>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配置要求：</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1）▲为超高清和高清视音频业务专门设计的高带宽共享存储，满足媒体大文件读写性能要求，属于视音频专用存储而非常规应用的通用存储，在国内电视台播出系统有成功案例；</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2）▲配置100*8TB企业级SAS专用硬盘，提供600TB实际可用容量；采用多组基于RAID6或RAID4的数据安全保护机制，实际可用读写稳定带宽可达2.0GB/s；</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存储系统基于纯以太网架构，至少配置6个10GbE数据交互接口及10个千兆元数据及管理接口，接口可根据后续容量和带宽需要在线扩展。所有网络接口均采用Active-Active在线冗余和负载均衡方式，任意网口故障对当前业务没有任何影响；</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4）基于Linux平台，无需定期开关机、重启及文件系统清理等维护操作，能够长期7*24小时免维护运行；存储系统应具有本地建立文件系统的功能，不需要额外添加服务器硬件。</w:t>
            </w:r>
          </w:p>
          <w:p>
            <w:pPr>
              <w:spacing w:line="420" w:lineRule="atLeast"/>
              <w:ind w:firstLine="422" w:firstLineChars="200"/>
              <w:jc w:val="left"/>
              <w:rPr>
                <w:rFonts w:ascii="宋体" w:hAnsi="宋体" w:cs="宋体"/>
                <w:b/>
                <w:bCs/>
                <w:color w:val="auto"/>
                <w:szCs w:val="21"/>
              </w:rPr>
            </w:pPr>
          </w:p>
          <w:p>
            <w:pPr>
              <w:spacing w:line="420" w:lineRule="atLeast"/>
              <w:ind w:firstLine="422" w:firstLineChars="200"/>
              <w:jc w:val="left"/>
              <w:rPr>
                <w:rFonts w:ascii="宋体" w:hAnsi="宋体" w:cs="宋体"/>
                <w:b/>
                <w:bCs/>
                <w:color w:val="auto"/>
                <w:szCs w:val="21"/>
              </w:rPr>
            </w:pPr>
            <w:r>
              <w:rPr>
                <w:rFonts w:hint="eastAsia" w:ascii="宋体" w:hAnsi="宋体" w:cs="宋体"/>
                <w:b/>
                <w:bCs/>
                <w:color w:val="auto"/>
                <w:szCs w:val="21"/>
              </w:rPr>
              <w:t>功能要求：</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采用基于文件片的存储方式，所有客户端与各存储节点采用并发式访问以保证高带宽和低延时；支持自动化的数据读写效率优化，针对不同媒体文件类型自动设定从几百KB到几MB不等的文件片，以确保不同媒体文件读写最优效率；</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系统采用元数据服务端和数据存储节点硬件相互分立的架构，功能层次清晰。元数据服务端需为独立硬件并配置冗余电源，不与数据节点共用硬件设备，采用主备双机Active-Active热冗余工作方式，任何一台元数据服务端故障不会对整个存储系统性能和当前业务有任何影响；主备元数据服务端配置专用心跳和元数据同步网络接口，且为热冗余链路配置，以保证元数据交互安全及高效；</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3）▲业务层次分明，元数据和素材文件通过不同的物理网口和链路进行交互，且所有物理网络链路为1：1热冗余配置；</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4）元数据服务端和存储节点具有在线扩展能力，能够在不影响业务的情况下在线扩容，以满足后续冗余和更高性能的要求。单存储系统总容量可在线扩展至4PB以上，总带宽可扩展至10GB/s以上；</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5）▲支持同一文件系统下不同容量的存储节点盘箱混用，以保证今后系统扩容能够使用更大容量主流硬盘；</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6）存储节点中的电源，风扇，控制单元等核心硬件模块均为1：1在线冗余运行，任意模块故障时，系统内部能够实现无缝自动切换，不出现单点故障，对系统性能和当前业务无任何影响。核心组件，如硬盘，电源模块，控制模块均支持在线热插拔更换；</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7）存储节点采用“核心盘箱+扩展盘箱”的架构，核心盘箱配置万兆以太网接口，采用双路热冗余存储控制器。扩展盘箱通过冗余SAS链路与核心盘箱连接，提供更加经济的性能提升；存储节点支持在线增加，实现带宽和容量线性扩展，所有存储节点中数据能够自动均衡；</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8）▲同一文件系统下，支持2套同规格存储节点之间1+1自动数据同步及负载均衡的高等级镜像备份；</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9）▲为了减少UHD素材迁移所消耗的时间，提高制播效率，存储系统能够直接作为UHD节目采集/播放设备的在线素材存储，实现UHD节目实时采集、回放和边采集边编辑功能；</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10）存储访问客户端支持包括Windows、Apple、Linux等主流操作系统，支持包括NFS、CIFS、FTP和AFP等标准的开放协议；</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11）▲存储访问客户端必须为单独的软件并提供多种针对存储访问的优化设置，而非普通NAS简单直连的方式，以确保带宽稳定性和高效利用；存储访问客户端免费且没有数量限制，所有客户端可同时并发访问所有存储节点，实现自动动态带宽负载均衡；</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12）▲存储系统采用单一文件系统方式，并采用文件夹方式的管理。支持基于目录的读写访问权限控制及存储容量配额及存储空间预留限制；</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13）▲支持多个访问客户端之间的负载均衡，无论在线客户端数量如何变化，均能保证当前所有在线客户端最大化使用系统总带宽和容量；</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14）提供基于Web页面的图形化存储管理软件，实现存储系统的配置及日常设备监控。能够为所有核心部件提供实时监控并进行报警信息推送，报警信息涵盖且不限于硬盘读写错误/损坏，元数据服务器、存储节点控制器、电源模块运行状态，网络连接状态，带宽及容量超限提示。支持设备供应商远程故障诊断；</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15）支持通过现有的Active Directory（ADS）或LDAP认证服务器对用户身份验证，支持基于ACL对每个用户和每个文件夹的访问权限进行控制；</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16）支持包括FinalCut Pro, Avid Media Composer 和 Adobe Premier的非线性编辑系统，支持节目素材边传输边编辑和边采集边编辑；</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17）支持API并免费提供，以便第三方应用集成。</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186.00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5</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播出存储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1套</w:t>
            </w:r>
          </w:p>
        </w:tc>
        <w:tc>
          <w:tcPr>
            <w:tcW w:w="6435" w:type="dxa"/>
            <w:vAlign w:val="center"/>
          </w:tcPr>
          <w:p>
            <w:pPr>
              <w:pStyle w:val="117"/>
              <w:widowControl/>
              <w:spacing w:line="420" w:lineRule="atLeast"/>
              <w:ind w:firstLine="422"/>
              <w:jc w:val="left"/>
              <w:rPr>
                <w:rFonts w:ascii="宋体" w:hAnsi="宋体"/>
                <w:b/>
                <w:bCs/>
                <w:color w:val="auto"/>
                <w:kern w:val="0"/>
                <w:szCs w:val="21"/>
              </w:rPr>
            </w:pPr>
            <w:r>
              <w:rPr>
                <w:rFonts w:hint="eastAsia" w:ascii="宋体" w:hAnsi="宋体"/>
                <w:b/>
                <w:bCs/>
                <w:color w:val="auto"/>
                <w:kern w:val="0"/>
                <w:szCs w:val="21"/>
              </w:rPr>
              <w:t>配置要求：</w:t>
            </w:r>
          </w:p>
          <w:p>
            <w:pPr>
              <w:pStyle w:val="117"/>
              <w:widowControl/>
              <w:numPr>
                <w:ilvl w:val="0"/>
                <w:numId w:val="2"/>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为超高清和高清视音频业务专门设计的高带宽共享存储，满足媒体大文件读写性能要求，属于视音频专用存储而非常规应用的通用存储，在国内电视台播出系统有成功案例；</w:t>
            </w:r>
          </w:p>
          <w:p>
            <w:pPr>
              <w:pStyle w:val="117"/>
              <w:widowControl/>
              <w:numPr>
                <w:ilvl w:val="0"/>
                <w:numId w:val="2"/>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配置</w:t>
            </w:r>
            <w:r>
              <w:rPr>
                <w:rFonts w:ascii="宋体" w:hAnsi="宋体"/>
                <w:color w:val="auto"/>
                <w:kern w:val="0"/>
                <w:szCs w:val="21"/>
              </w:rPr>
              <w:t>40</w:t>
            </w:r>
            <w:r>
              <w:rPr>
                <w:rFonts w:hint="eastAsia" w:ascii="宋体" w:hAnsi="宋体"/>
                <w:color w:val="auto"/>
                <w:kern w:val="0"/>
                <w:szCs w:val="21"/>
              </w:rPr>
              <w:t>*8TB企业级SAS专用硬盘，提供</w:t>
            </w:r>
            <w:r>
              <w:rPr>
                <w:rFonts w:ascii="宋体" w:hAnsi="宋体"/>
                <w:color w:val="auto"/>
                <w:kern w:val="0"/>
                <w:szCs w:val="21"/>
              </w:rPr>
              <w:t>2</w:t>
            </w:r>
            <w:r>
              <w:rPr>
                <w:rFonts w:hint="eastAsia" w:ascii="宋体" w:hAnsi="宋体"/>
                <w:color w:val="auto"/>
                <w:kern w:val="0"/>
                <w:szCs w:val="21"/>
              </w:rPr>
              <w:t>00TB实际可用容量；采用多组基于RAID6或RAID4的数据安全保护机制，实际可用读写稳定带宽可达9</w:t>
            </w:r>
            <w:r>
              <w:rPr>
                <w:rFonts w:ascii="宋体" w:hAnsi="宋体"/>
                <w:color w:val="auto"/>
                <w:kern w:val="0"/>
                <w:szCs w:val="21"/>
              </w:rPr>
              <w:t>00</w:t>
            </w:r>
            <w:r>
              <w:rPr>
                <w:rFonts w:hint="eastAsia" w:ascii="宋体" w:hAnsi="宋体"/>
                <w:color w:val="auto"/>
                <w:kern w:val="0"/>
                <w:szCs w:val="21"/>
              </w:rPr>
              <w:t>MB/s；</w:t>
            </w:r>
          </w:p>
          <w:p>
            <w:pPr>
              <w:pStyle w:val="117"/>
              <w:widowControl/>
              <w:numPr>
                <w:ilvl w:val="0"/>
                <w:numId w:val="2"/>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存储系统基于纯以太网架构，至少配置6个10GbE数据交互接口及10个千兆元数据及管理接口，接口可根据后续容量和带宽需要在线扩展。所有网络接口均采用Active-Active在线冗余和负载均衡方式，任意网口故障对当前业务没有任何影响；</w:t>
            </w:r>
          </w:p>
          <w:p>
            <w:pPr>
              <w:pStyle w:val="117"/>
              <w:widowControl/>
              <w:numPr>
                <w:ilvl w:val="0"/>
                <w:numId w:val="2"/>
              </w:numPr>
              <w:spacing w:line="420" w:lineRule="atLeast"/>
              <w:ind w:left="0" w:firstLine="420"/>
              <w:jc w:val="left"/>
              <w:rPr>
                <w:rFonts w:ascii="宋体" w:hAnsi="宋体"/>
                <w:color w:val="auto"/>
                <w:kern w:val="0"/>
                <w:szCs w:val="21"/>
              </w:rPr>
            </w:pPr>
            <w:r>
              <w:rPr>
                <w:rFonts w:hint="eastAsia" w:ascii="宋体" w:hAnsi="宋体"/>
                <w:color w:val="auto"/>
                <w:kern w:val="0"/>
                <w:szCs w:val="21"/>
              </w:rPr>
              <w:t>基于Linux平台，无需定期开关机、重启及文件系统清理等维护操作，能够长期7*24小时免维护运行；存储系统应具有本地建立文件系统的功能，不需要额外添加服务器硬件。</w:t>
            </w:r>
          </w:p>
          <w:p>
            <w:pPr>
              <w:pStyle w:val="117"/>
              <w:widowControl/>
              <w:spacing w:line="420" w:lineRule="atLeast"/>
              <w:jc w:val="left"/>
              <w:rPr>
                <w:rFonts w:ascii="宋体" w:hAnsi="宋体"/>
                <w:color w:val="auto"/>
                <w:kern w:val="0"/>
                <w:szCs w:val="21"/>
              </w:rPr>
            </w:pPr>
          </w:p>
          <w:p>
            <w:pPr>
              <w:pStyle w:val="117"/>
              <w:widowControl/>
              <w:spacing w:line="420" w:lineRule="atLeast"/>
              <w:ind w:firstLine="422"/>
              <w:jc w:val="left"/>
              <w:rPr>
                <w:rFonts w:ascii="宋体" w:hAnsi="宋体"/>
                <w:b/>
                <w:bCs/>
                <w:color w:val="auto"/>
                <w:kern w:val="0"/>
                <w:szCs w:val="21"/>
              </w:rPr>
            </w:pPr>
            <w:r>
              <w:rPr>
                <w:rFonts w:hint="eastAsia" w:ascii="宋体" w:hAnsi="宋体"/>
                <w:b/>
                <w:bCs/>
                <w:color w:val="auto"/>
                <w:kern w:val="0"/>
                <w:szCs w:val="21"/>
              </w:rPr>
              <w:t>功能要求：</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采用基于文件片的存储方式，所有客户端与各存储节点采用并发式访问以保证高带宽和低延时；支持自动化的数据读写效率优化，针对不同媒体文件类型自动设定从几百KB到几MB不等的文件片，以确保不同媒体文件读写最优效率；</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系统采用元数据服务端和数据存储节点硬件相互分立的架构，功能层次清晰。元数据服务端需为独立硬件并配置冗余电源，不与数据节点共用硬件设备，采用主备双机Active-Active热冗余工作方式，任何一台元数据服务端故障不会对整个存储系统性能和当前业务有任何影响；主备元数据服务端配置专用心跳和元数据同步网络接口，且为热冗余链路配置，以保证元数据交互安全及高效；</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业务层次分明，元数据和素材文件通过不同的物理网口和链路进行交互，且所有物理网络链路为1：1热冗余配置；</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元数据服务端和存储节点具有在线扩展能力，能够在不影响业务的情况下在线扩容，以满足后续冗余和更高性能的要求。单存储系统总容量可在线扩展至4PB以上，总带宽可扩展至10GB/s以上；</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支持同一文件系统下不同容量的存储节点盘箱混用，以保证今后系统扩容能够使用更大容量主流硬盘；</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存储节点中的电源，风扇，控制单元等核心硬件模块均为1：1在线冗余运行，任意模块故障时，系统内部能够实现无缝自动切换，不出现单点故障，对系统性能和当前业务无任何影响。核心组件，如硬盘，电源模块，控制模块均支持在线热插拔更换；</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存储节点采用“核心盘箱+扩展盘箱”的架构，核心盘箱配置万兆以太网接口，采用双路热冗余存储控制器。扩展盘箱通过冗余SAS链路与核心盘箱连接，提供更加经济的性能提升；存储节点支持在线增加，实现带宽和容量线性扩展，所有存储节点中数据能够自动均衡；</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同一文件系统下，支持2套同规格存储节点之间1+1自动数据同步及负载均衡的高等级镜像备份；</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为了减少UHD素材迁移所消耗的时间，提高制播效率，存储系统能够直接作为UHD节目采集/播放设备的在线素材存储，实现UHD节目实时采集、回放和边采集边编辑功能；</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存储访问客户端支持包括Windows、Apple、Linux等主流操作系统，支持包括NFS、CIFS、FTP和AFP等标准的开放协议；</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存储访问客户端必须为单独的软件并提供多种针对存储访问的优化设置，而非普通NAS简单直连的方式，以确保带宽稳定性和高效利用；存储访问客户端免费且没有数量限制，所有客户端可同时并发访问所有存储节点，实现自动动态带宽负载均衡；</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存储系统采用单一文件系统方式，并采用文件夹方式的管理。支持基于目录的读写访问权限控制及存储容量配额及存储空间预留限制；</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s="宋体"/>
                <w:color w:val="auto"/>
                <w:szCs w:val="21"/>
              </w:rPr>
              <w:t>▲</w:t>
            </w:r>
            <w:r>
              <w:rPr>
                <w:rFonts w:hint="eastAsia" w:ascii="宋体" w:hAnsi="宋体"/>
                <w:color w:val="auto"/>
                <w:kern w:val="0"/>
                <w:szCs w:val="21"/>
              </w:rPr>
              <w:t>支持多个访问客户端之间的负载均衡，无论在线客户端数量如何变化，均能保证当前所有在线客户端最大化使用系统总带宽和容量；</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提供基于Web页面的图形化存储管理软件，实现存储系统的配置及日常设备监控。能够为所有核心部件提供实时监控并进行报警信息推送，报警信息涵盖且不限于硬盘读写错误/损坏，元数据服务器、存储节点控制器、电源模块运行状态，网络连接状态，带宽及容量超限提示。支持设备供应商远程故障诊断；</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支持通过现有的Active Directory（ADS）或LDAP认证服务器对用户身份验证，支持基于ACL对每个用户和每个文件夹的访问权限进行控制；</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支持包括FinalCut Pro, Avid Media Composer 和 Adobe Premier的非线性编辑系统，支持节目素材边传输边编辑和边采集边编辑；</w:t>
            </w:r>
          </w:p>
          <w:p>
            <w:pPr>
              <w:pStyle w:val="117"/>
              <w:widowControl/>
              <w:numPr>
                <w:ilvl w:val="0"/>
                <w:numId w:val="3"/>
              </w:numPr>
              <w:spacing w:line="420" w:lineRule="atLeast"/>
              <w:ind w:left="0" w:firstLine="420"/>
              <w:jc w:val="left"/>
              <w:rPr>
                <w:rFonts w:ascii="宋体" w:hAnsi="宋体"/>
                <w:color w:val="auto"/>
                <w:kern w:val="0"/>
                <w:szCs w:val="21"/>
              </w:rPr>
            </w:pPr>
            <w:r>
              <w:rPr>
                <w:rFonts w:hint="eastAsia" w:ascii="宋体" w:hAnsi="宋体"/>
                <w:color w:val="auto"/>
                <w:kern w:val="0"/>
                <w:szCs w:val="21"/>
              </w:rPr>
              <w:t>支持API并免费提供，以便第三方应用集成。</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6</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6TB视音频处理专用硬盘</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8块</w:t>
            </w:r>
          </w:p>
        </w:tc>
        <w:tc>
          <w:tcPr>
            <w:tcW w:w="6435" w:type="dxa"/>
            <w:vAlign w:val="center"/>
          </w:tcPr>
          <w:p>
            <w:pPr>
              <w:pStyle w:val="117"/>
              <w:widowControl/>
              <w:spacing w:line="420" w:lineRule="atLeast"/>
              <w:ind w:left="420" w:leftChars="200" w:firstLine="0" w:firstLineChars="0"/>
              <w:jc w:val="left"/>
              <w:rPr>
                <w:rFonts w:ascii="宋体" w:hAnsi="宋体"/>
                <w:color w:val="auto"/>
                <w:kern w:val="0"/>
                <w:szCs w:val="21"/>
              </w:rPr>
            </w:pPr>
            <w:r>
              <w:rPr>
                <w:rFonts w:hint="eastAsia" w:ascii="宋体" w:hAnsi="宋体"/>
                <w:color w:val="auto"/>
                <w:kern w:val="0"/>
                <w:szCs w:val="21"/>
              </w:rPr>
              <w:t>6TB视音频文件采集播放器专用备份硬盘。</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7</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8TB视音频文件存储专用硬盘</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10块</w:t>
            </w:r>
          </w:p>
        </w:tc>
        <w:tc>
          <w:tcPr>
            <w:tcW w:w="6435" w:type="dxa"/>
            <w:vAlign w:val="center"/>
          </w:tcPr>
          <w:p>
            <w:pPr>
              <w:pStyle w:val="117"/>
              <w:widowControl/>
              <w:spacing w:line="420" w:lineRule="atLeast"/>
              <w:ind w:left="420" w:leftChars="200" w:firstLine="0" w:firstLineChars="0"/>
              <w:jc w:val="left"/>
              <w:rPr>
                <w:rFonts w:ascii="宋体" w:hAnsi="宋体"/>
                <w:color w:val="auto"/>
                <w:kern w:val="0"/>
                <w:szCs w:val="21"/>
              </w:rPr>
            </w:pPr>
            <w:r>
              <w:rPr>
                <w:rFonts w:hint="eastAsia" w:ascii="宋体" w:hAnsi="宋体"/>
                <w:color w:val="auto"/>
                <w:kern w:val="0"/>
                <w:szCs w:val="21"/>
              </w:rPr>
              <w:t>8TB视音频文件存储专用硬盘</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系统管理软件</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1套</w:t>
            </w:r>
          </w:p>
        </w:tc>
        <w:tc>
          <w:tcPr>
            <w:tcW w:w="6435" w:type="dxa"/>
            <w:vAlign w:val="center"/>
          </w:tcPr>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系统管理软件实现上述超高清和高清采集/播放器、共享存储的配置，实现对设备状态的监控和管理。</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1）能够通过专用配置管理界面实现风扇转速、内部温度等硬件状态监控，提供硬盘、风扇、编解码板、电源等核心部件故障报警提示，信号源异常及同步信号丢失警告，系统日志搜集、记录和导出；</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2）能够读取采集/播放器主机，共享存储主机的状态，保存详细系统日志、故障日志、解码日志、受外控程序控制日志及报警，可以浏览、查看和到处日志文件。</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4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856"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原厂上门安装调试服务</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1项</w:t>
            </w:r>
          </w:p>
        </w:tc>
        <w:tc>
          <w:tcPr>
            <w:tcW w:w="6435" w:type="dxa"/>
            <w:vAlign w:val="center"/>
          </w:tcPr>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安装调试服务包含原厂上门安装调试服务和开播保障服务。</w:t>
            </w:r>
          </w:p>
          <w:p>
            <w:pPr>
              <w:spacing w:line="420" w:lineRule="atLeast"/>
              <w:ind w:firstLine="420" w:firstLineChars="200"/>
              <w:jc w:val="left"/>
              <w:rPr>
                <w:rFonts w:ascii="宋体" w:hAnsi="宋体" w:cs="宋体"/>
                <w:color w:val="auto"/>
                <w:szCs w:val="21"/>
              </w:rPr>
            </w:pPr>
            <w:r>
              <w:rPr>
                <w:rFonts w:hint="eastAsia" w:ascii="宋体" w:hAnsi="宋体" w:cs="宋体"/>
                <w:color w:val="auto"/>
                <w:szCs w:val="21"/>
              </w:rPr>
              <w:t>设备和软件系统的现场安装调试，含安装材料，调试期至少一年。</w:t>
            </w:r>
          </w:p>
        </w:tc>
        <w:tc>
          <w:tcPr>
            <w:tcW w:w="1505"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10204" w:type="dxa"/>
            <w:gridSpan w:val="5"/>
          </w:tcPr>
          <w:p>
            <w:pPr>
              <w:tabs>
                <w:tab w:val="left" w:pos="180"/>
                <w:tab w:val="left" w:pos="1620"/>
              </w:tabs>
              <w:spacing w:line="400" w:lineRule="exact"/>
              <w:rPr>
                <w:rFonts w:ascii="宋体" w:hAnsi="宋体" w:cs="宋体"/>
                <w:color w:val="auto"/>
                <w:szCs w:val="21"/>
              </w:rPr>
            </w:pPr>
            <w:r>
              <w:rPr>
                <w:rFonts w:hint="eastAsia" w:ascii="宋体" w:hAnsi="宋体" w:cs="宋体"/>
                <w:color w:val="auto"/>
                <w:szCs w:val="21"/>
              </w:rPr>
              <w:t>备注：</w:t>
            </w:r>
          </w:p>
          <w:p>
            <w:pPr>
              <w:tabs>
                <w:tab w:val="left" w:pos="180"/>
                <w:tab w:val="left" w:pos="1620"/>
              </w:tabs>
              <w:spacing w:line="400" w:lineRule="exact"/>
              <w:ind w:firstLine="420" w:firstLineChars="200"/>
              <w:rPr>
                <w:rFonts w:ascii="宋体" w:hAnsi="宋体" w:cs="宋体"/>
                <w:color w:val="auto"/>
                <w:szCs w:val="21"/>
              </w:rPr>
            </w:pPr>
            <w:r>
              <w:rPr>
                <w:rFonts w:hint="eastAsia" w:ascii="宋体" w:hAnsi="宋体" w:cs="宋体"/>
                <w:color w:val="auto"/>
                <w:szCs w:val="21"/>
              </w:rPr>
              <w:t>1.打“▲”的为实质性条款要求，必须满足，否则为不实质性响应招标文件要求，评审时投标文件将被作为无效文件处理；</w:t>
            </w:r>
          </w:p>
          <w:p>
            <w:pPr>
              <w:tabs>
                <w:tab w:val="left" w:pos="180"/>
                <w:tab w:val="left" w:pos="1620"/>
              </w:tabs>
              <w:spacing w:line="400" w:lineRule="exact"/>
              <w:ind w:firstLine="420" w:firstLineChars="200"/>
              <w:rPr>
                <w:rFonts w:ascii="宋体" w:hAnsi="宋体" w:cs="宋体"/>
                <w:color w:val="auto"/>
                <w:szCs w:val="21"/>
              </w:rPr>
            </w:pPr>
            <w:r>
              <w:rPr>
                <w:rFonts w:hint="eastAsia" w:ascii="宋体" w:hAnsi="宋体" w:cs="宋体"/>
                <w:color w:val="auto"/>
                <w:szCs w:val="21"/>
              </w:rPr>
              <w:t>2.经评审小组评审，商务或技术文件不实质性响应招标文件要求的，评审时投标文件将被作为无效文件处理。</w:t>
            </w:r>
          </w:p>
        </w:tc>
      </w:tr>
      <w:bookmarkEnd w:id="50"/>
      <w:bookmarkEnd w:id="5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一、</w:t>
            </w:r>
            <w:r>
              <w:rPr>
                <w:rFonts w:hint="eastAsia" w:ascii="宋体" w:hAnsi="宋体" w:cs="宋体"/>
                <w:b/>
                <w:color w:val="auto"/>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▲报价要求</w:t>
            </w:r>
          </w:p>
        </w:tc>
        <w:tc>
          <w:tcPr>
            <w:tcW w:w="7940"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投标报价为采购人指定地点的现场交货价，包括但不限于：</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1.货物的价格；</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2.货物的标准附件、备品备件、专用工具的价格；</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3.运输、装卸、调试、培训、技术支持、售后服务等费用；</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4.必要的保险费用和各项税费；</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5.系统的安装材料费。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安装调试与验收</w:t>
            </w:r>
          </w:p>
        </w:tc>
        <w:tc>
          <w:tcPr>
            <w:tcW w:w="7940"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1.安装调试要求：</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（1）中标人应负责设备在安装和调试期间处理货物质量和数量短缺等问题，并对设备质量全面负责。</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中标人应在产品到货10个工作日内安排人员到场安装调试。调试内容按本技术规范的要求进行，调试记录经中标人整理后移交采购人，并作为验收依据。系统技术指标应满足国家广播电影电视总局的相关要求。</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2.验收：</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中标人提供全部的技术资料，技术文件应包括系统文件、软件系统支持文件、安装和测试文件、维护和操作文件及中标人认为必要的其他技术文件（为方便采购人进行维护操作，中标人应提供全套技术文件的电子版）。</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（2）提供设备和配套件的清单、技术参数及生产单位名录；</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（3）系统安装完成，流程调通后进行初验，按招标方程序进行。系统初验结束后，中标人应将初验记录整理后的文件完整移交给采购人。</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如发生采购人抽查测试结果与提供测试记录不符时，采购人应对中标人发现的质量缺陷做重新处理，处理后采购人仍需进行测试，直到满足技术规范的要求后，采购人给中标人开具初验证明，工程投入试运行。</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3.试运行</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试运行期为30天。在试运行期内，必要时中标人应派专业技术人员现场保障。如果发现由于中标方的责任造成任何设备系统的功能和性能不符合技术规范书的要求，或由于设备故障的发生导致设备停止运行，或与初验记录不一致的情况时，中标方应承诺在4小时内作出响应，并及时给予修复，所有费用亦由中标方承担，同时相应顺延试运行期。</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4.终验</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试运行期圆满结束后，系统无任何质量差错等情况下方可进行最终验收。并由双方确定终验时间。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highlight w:val="yellow"/>
              </w:rPr>
            </w:pPr>
            <w:r>
              <w:rPr>
                <w:rFonts w:hint="eastAsia" w:ascii="宋体" w:hAnsi="宋体" w:cs="宋体"/>
                <w:color w:val="auto"/>
                <w:szCs w:val="21"/>
              </w:rPr>
              <w:t>▲</w:t>
            </w:r>
            <w:r>
              <w:rPr>
                <w:rFonts w:hint="eastAsia" w:ascii="宋体" w:hAnsi="宋体" w:cs="宋体"/>
                <w:bCs/>
                <w:color w:val="auto"/>
                <w:szCs w:val="21"/>
              </w:rPr>
              <w:t>质保期</w:t>
            </w:r>
          </w:p>
        </w:tc>
        <w:tc>
          <w:tcPr>
            <w:tcW w:w="7940"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color w:val="auto"/>
                <w:szCs w:val="21"/>
                <w:highlight w:val="yellow"/>
              </w:rPr>
            </w:pPr>
            <w:r>
              <w:rPr>
                <w:rFonts w:hint="eastAsia" w:ascii="宋体" w:hAnsi="宋体" w:cs="宋体"/>
                <w:color w:val="auto"/>
                <w:szCs w:val="21"/>
              </w:rPr>
              <w:t>中标人应对系统硬件设备及系统软件提供至少1年的免费原厂质保，质保时间从终验合格之日起计算。在保修期内，对于系统内出现故障的硬件和软件，中标人应及时修复或更换，由此所发生的一切费用由中标方负责。免费保修期满前1个月内中标人应负责对设备进行一次免费全面检查，如发现潜在问题，应负责排除，保证设备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highlight w:val="yellow"/>
              </w:rPr>
            </w:pPr>
            <w:r>
              <w:rPr>
                <w:rFonts w:hint="eastAsia" w:ascii="宋体" w:hAnsi="宋体" w:cs="宋体"/>
                <w:color w:val="auto"/>
                <w:szCs w:val="21"/>
              </w:rPr>
              <w:t>售后服务要求</w:t>
            </w:r>
          </w:p>
        </w:tc>
        <w:tc>
          <w:tcPr>
            <w:tcW w:w="7940"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1.设备在运营期内，任何因设计、制造、安装工程等缺陷而发生的设备修改或更换，中标人应免费提供并负责修改工作。</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2.中标人提供的产品，在今后利用新技术方面有任何性能或功能的改进以及产品革新，中标人需免费书面通知采购人其改进和详细情况。若中标方的系统软件自然升级，中标方应免费提供给招标方。</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3.在保修期出现属设备质量问题，采购人则有权要求免费更换整机，更换产品的保修期从更换之日起相应顺延。</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4.中标人应提供7x24小时技术支持，在保修内系统设备运行发生故障时，接到故障通知2小时内响应，如电话支持不能解决，技术人员应4小时内到达事故现场，并应于24小时内完全解决故障，如不能在24小时内解决的，且属硬件故障原因而且48小时无法排除故障的，则应提供同等配置的备用设备以保证用户设备的正常运行。</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5.保修期内因维护、维修而产生的任何费用，均由中标人负责。</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6.在保修期外，对于系统内出现故障的硬件和软件，中标人也应能及时修复或更换，且只收取工件的成本费。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合同签订时间</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▲自中标通知书发出之日起</w:t>
            </w:r>
            <w:r>
              <w:rPr>
                <w:rFonts w:hint="eastAsia" w:ascii="宋体" w:hAnsi="宋体" w:cs="宋体"/>
                <w:color w:val="auto"/>
                <w:szCs w:val="21"/>
                <w:u w:val="single"/>
              </w:rPr>
              <w:t xml:space="preserve">  25  </w:t>
            </w:r>
            <w:r>
              <w:rPr>
                <w:rFonts w:hint="eastAsia" w:ascii="宋体" w:hAnsi="宋体" w:cs="宋体"/>
                <w:color w:val="auto"/>
                <w:szCs w:val="21"/>
              </w:rPr>
              <w:t>日内（最迟不能超过25日）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▲交货时间及地点</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1.交货时间：合同签订后90天内交货；</w:t>
            </w:r>
          </w:p>
          <w:p>
            <w:pPr>
              <w:spacing w:line="400" w:lineRule="exact"/>
              <w:jc w:val="left"/>
              <w:rPr>
                <w:rFonts w:ascii="宋体" w:hAnsi="宋体" w:cs="宋体"/>
                <w:color w:val="auto"/>
                <w:szCs w:val="21"/>
              </w:rPr>
            </w:pPr>
            <w:r>
              <w:rPr>
                <w:rFonts w:hint="eastAsia" w:ascii="宋体" w:hAnsi="宋体" w:cs="宋体"/>
                <w:color w:val="auto"/>
                <w:szCs w:val="21"/>
              </w:rPr>
              <w:t>2.交货地点：广西南宁市内用户指定地点。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highlight w:val="yellow"/>
              </w:rPr>
            </w:pPr>
            <w:r>
              <w:rPr>
                <w:rFonts w:hint="eastAsia" w:ascii="宋体" w:hAnsi="宋体" w:cs="宋体"/>
                <w:color w:val="auto"/>
                <w:szCs w:val="21"/>
              </w:rPr>
              <w:t>付款条件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highlight w:val="yellow"/>
              </w:rPr>
            </w:pPr>
            <w:r>
              <w:rPr>
                <w:rFonts w:ascii="宋体" w:hAnsi="宋体" w:cs="宋体"/>
                <w:color w:val="auto"/>
                <w:szCs w:val="21"/>
                <w:highlight w:val="none"/>
              </w:rPr>
              <w:t>付款方式：合同签订后5个工作日内支付合同总额的 30 %，交付安装调试验收合格后5个工作日内支付合同总额的60 %，整体项目验收合格后一年内无质量问题的支付合同总额的10%。乙方每次收到货款之日起三个工作日内将正式合法有效的增值税专用发票开具给甲方。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rPr>
            </w:pPr>
            <w:r>
              <w:rPr>
                <w:color w:val="auto"/>
              </w:rPr>
              <w:t>履约保证金</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left"/>
              <w:rPr>
                <w:rFonts w:hint="eastAsia" w:ascii="宋体" w:hAnsi="宋体" w:eastAsia="宋体" w:cs="宋体"/>
                <w:color w:val="auto"/>
                <w:highlight w:val="none"/>
              </w:rPr>
            </w:pPr>
            <w:r>
              <w:rPr>
                <w:rFonts w:hint="eastAsia" w:ascii="宋体" w:hAnsi="宋体" w:eastAsia="宋体" w:cs="宋体"/>
                <w:color w:val="auto"/>
                <w:highlight w:val="none"/>
              </w:rPr>
              <w:t>1.履约保证金金额：</w:t>
            </w:r>
            <w:r>
              <w:rPr>
                <w:rFonts w:hint="eastAsia" w:ascii="宋体" w:hAnsi="宋体" w:eastAsia="宋体" w:cs="宋体"/>
                <w:color w:val="auto"/>
                <w:szCs w:val="21"/>
                <w:highlight w:val="none"/>
              </w:rPr>
              <w:t>按中标金额的</w:t>
            </w:r>
            <w:r>
              <w:rPr>
                <w:rFonts w:hint="eastAsia" w:ascii="宋体" w:hAnsi="宋体" w:eastAsia="宋体" w:cs="宋体"/>
                <w:color w:val="auto"/>
                <w:szCs w:val="21"/>
                <w:highlight w:val="none"/>
                <w:u w:val="single"/>
              </w:rPr>
              <w:t xml:space="preserve"> 2 </w:t>
            </w:r>
            <w:r>
              <w:rPr>
                <w:rFonts w:hint="eastAsia" w:ascii="宋体" w:hAnsi="宋体" w:eastAsia="宋体" w:cs="宋体"/>
                <w:color w:val="auto"/>
                <w:szCs w:val="21"/>
                <w:highlight w:val="none"/>
              </w:rPr>
              <w:t>%收取，并于合同签订前提交至采购人指定账户。</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2.履约保证金递交方式：支票、汇票、本票，或者银行、保险机构出具的保函等非现金方式。</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3.履约保证金退付的方式、时间及条件：履约保证金在中标人按合同约定的项目验收交付正常运行一年后，由中标人向采购人提供《采购项目合同验收书》及《采购项目履约保证金退付意见书》（详见附件），甲方在收到合格材料后15个工作日内如数退还（不计利息）。采购人无故延期退付履约保证金的，每天向对方偿付未退付履约保证金3‰作为违约金。</w:t>
            </w:r>
          </w:p>
          <w:p>
            <w:pPr>
              <w:spacing w:line="360" w:lineRule="auto"/>
              <w:jc w:val="left"/>
              <w:rPr>
                <w:color w:val="auto"/>
                <w:highlight w:val="yellow"/>
              </w:rPr>
            </w:pPr>
            <w:r>
              <w:rPr>
                <w:rFonts w:hint="eastAsia" w:ascii="宋体" w:hAnsi="宋体" w:eastAsia="宋体" w:cs="宋体"/>
                <w:color w:val="auto"/>
                <w:highlight w:val="none"/>
              </w:rPr>
              <w:t>4.不予退还的情形：签订合同后，如中标人不按双方签订的合同规定履约，则其全部履约保证金不予退还。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产品授权文件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其他要求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1.投标报价为采购人指定地点的现场交货价，包括：</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1.1 投标人就《货物需求一览表》中全部内容作完整唯一报价，不完整响应或拆分投标的将导致投标无效；</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1.2 本项目投标应以人民币报价；</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1.3 不论投标结果如何，投标人均应自行承担所有与投标有关的全部费用；</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1.4 本项目报价为产品送达采购人指定地点进行安装，经采购人验收合格所发生的一切费用，其包括但不限于以下费用：产品（含主要设备、配件、辅材）供应、运输装卸费、保险费、安装费、调试费、行政规费与税费、产品检验检测、操作人员培训费、管理费、验收费、质保期技术支持及运行维护费用、招标代理服务费等与本项目相关的一切费用；</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1.5 投标人漏报的单价或每单价报价中漏报、少报的费用，视为此项费用已隐含在投标报价中，中标后不得再向采购人收取任何费用。</w:t>
            </w:r>
          </w:p>
          <w:p>
            <w:pPr>
              <w:spacing w:line="400" w:lineRule="exact"/>
              <w:jc w:val="left"/>
              <w:rPr>
                <w:rFonts w:ascii="宋体" w:hAnsi="宋体" w:cs="宋体"/>
                <w:color w:val="auto"/>
                <w:szCs w:val="21"/>
              </w:rPr>
            </w:pPr>
            <w:r>
              <w:rPr>
                <w:rFonts w:hint="eastAsia" w:ascii="宋体" w:hAnsi="宋体" w:cs="宋体"/>
                <w:color w:val="auto"/>
                <w:szCs w:val="21"/>
              </w:rPr>
              <w:t>2.投标时请提供售后服务承诺书：明确保修期、故障响应时间、培训时间、售后服务技术人员名单和联系方式、不定期走访用户、保修期限外零配件若损坏，提供零配件优惠服务方案等。</w:t>
            </w:r>
          </w:p>
          <w:p>
            <w:pPr>
              <w:spacing w:line="400" w:lineRule="exact"/>
              <w:jc w:val="left"/>
              <w:rPr>
                <w:rFonts w:ascii="宋体" w:hAnsi="宋体" w:cs="宋体"/>
                <w:color w:val="auto"/>
                <w:szCs w:val="21"/>
              </w:rPr>
            </w:pPr>
            <w:r>
              <w:rPr>
                <w:rFonts w:hint="eastAsia" w:ascii="宋体" w:hAnsi="宋体" w:cs="宋体"/>
                <w:color w:val="auto"/>
                <w:szCs w:val="21"/>
              </w:rPr>
              <w:t>3.投标人必须承诺设备验收合格后免费对采购人的使用人员进行操作及相关知识的培训，并确保有1～2人能熟练使用设备，并能排除简单的软硬件故障。</w:t>
            </w:r>
          </w:p>
          <w:p>
            <w:pPr>
              <w:spacing w:line="400" w:lineRule="exact"/>
              <w:jc w:val="left"/>
              <w:rPr>
                <w:rFonts w:ascii="宋体" w:hAnsi="宋体" w:cs="宋体"/>
                <w:color w:val="auto"/>
                <w:szCs w:val="21"/>
              </w:rPr>
            </w:pPr>
            <w:r>
              <w:rPr>
                <w:rFonts w:hint="eastAsia" w:ascii="宋体" w:hAnsi="宋体" w:cs="宋体"/>
                <w:color w:val="auto"/>
                <w:szCs w:val="21"/>
              </w:rPr>
              <w:t>4.设备必须是全新、完整、未使用过的产品；设备到货后，供货商和购买方应在现场进行清点；清点过程中如果发现因包装或运输不当引起的设备外观或内部的损坏，供货商应负责更换；若发现错发/漏发情况，供货商应负责更换和补发。</w:t>
            </w:r>
          </w:p>
          <w:p>
            <w:pPr>
              <w:spacing w:line="400" w:lineRule="exact"/>
              <w:ind w:right="97" w:rightChars="46"/>
              <w:jc w:val="left"/>
              <w:rPr>
                <w:rFonts w:ascii="宋体" w:hAnsi="宋体" w:cs="宋体"/>
                <w:color w:val="auto"/>
                <w:szCs w:val="21"/>
              </w:rPr>
            </w:pPr>
            <w:r>
              <w:rPr>
                <w:rFonts w:hint="eastAsia" w:ascii="宋体" w:hAnsi="宋体" w:cs="宋体"/>
                <w:color w:val="auto"/>
                <w:szCs w:val="21"/>
              </w:rPr>
              <w:t>5.安装标准及验收标准：符合我国国家有关技术规范和技术标准；设备安装后，广西广播电视台按国际和国家标准及厂方标准进行质量验收；供应商应向采购人提供详细的验收收标准、验收手册。</w:t>
            </w:r>
          </w:p>
          <w:p>
            <w:pPr>
              <w:spacing w:line="400" w:lineRule="exact"/>
              <w:ind w:right="97" w:rightChars="46"/>
              <w:jc w:val="left"/>
              <w:rPr>
                <w:rFonts w:ascii="宋体" w:hAnsi="宋体" w:cs="宋体"/>
                <w:bCs/>
                <w:color w:val="auto"/>
                <w:szCs w:val="21"/>
              </w:rPr>
            </w:pPr>
            <w:r>
              <w:rPr>
                <w:rFonts w:hint="eastAsia" w:ascii="宋体" w:hAnsi="宋体" w:cs="宋体"/>
                <w:bCs/>
                <w:color w:val="auto"/>
                <w:szCs w:val="21"/>
              </w:rPr>
              <w:t>6.采购人设备主管科室对本合同质保服务内容进行全程对接和监督并对服务情况进行客观记录，在每个合同年度期结束时，由设备主管科室根据合同约定的服务内容、响应情况、服务态度及过程记录，对违反合同条款和不按合同要求履约的或被使用科室有效投诉2次，每事项每次扣罚履约金的10%。</w:t>
            </w:r>
          </w:p>
          <w:p>
            <w:pPr>
              <w:spacing w:line="400" w:lineRule="exact"/>
              <w:jc w:val="left"/>
              <w:rPr>
                <w:rFonts w:ascii="宋体" w:hAnsi="宋体" w:cs="宋体"/>
                <w:color w:val="auto"/>
                <w:szCs w:val="21"/>
              </w:rPr>
            </w:pPr>
            <w:r>
              <w:rPr>
                <w:rFonts w:hint="eastAsia" w:ascii="宋体" w:hAnsi="宋体" w:cs="宋体"/>
                <w:color w:val="auto"/>
                <w:szCs w:val="21"/>
              </w:rPr>
              <w:t>7.采购人在货物交货验收阶段发现货物的技术参数指标达不到招标文件该货物技术参数要求的，属虚假应标行为，采购人将终止合同拒收货物，追究该中标单位违约责任，赔偿采购人因采购时间延长造成采购人经济等方面损失，视情况采购人将违约情况上报政府采购监督管理部门。</w:t>
            </w:r>
          </w:p>
          <w:p>
            <w:pPr>
              <w:spacing w:line="400" w:lineRule="exact"/>
              <w:jc w:val="left"/>
              <w:rPr>
                <w:rFonts w:ascii="宋体" w:hAnsi="宋体" w:cs="宋体"/>
                <w:color w:val="auto"/>
                <w:szCs w:val="21"/>
              </w:rPr>
            </w:pPr>
            <w:r>
              <w:rPr>
                <w:rFonts w:hint="eastAsia" w:ascii="宋体" w:hAnsi="宋体" w:cs="宋体"/>
                <w:color w:val="auto"/>
                <w:szCs w:val="21"/>
              </w:rPr>
              <w:t>8.本章所列技术要求中，所有参数与性能均指满足使用需求的最低标准，投标人提供的货物或服务低于此标准的即视为负偏离并按评分标准进行相应打分；</w:t>
            </w:r>
          </w:p>
          <w:p>
            <w:pPr>
              <w:spacing w:line="400" w:lineRule="exact"/>
              <w:jc w:val="left"/>
              <w:rPr>
                <w:rFonts w:ascii="宋体" w:hAnsi="宋体" w:cs="宋体"/>
                <w:color w:val="auto"/>
                <w:szCs w:val="21"/>
              </w:rPr>
            </w:pPr>
            <w:r>
              <w:rPr>
                <w:rFonts w:hint="eastAsia" w:ascii="宋体" w:hAnsi="宋体" w:cs="宋体"/>
                <w:color w:val="auto"/>
                <w:szCs w:val="21"/>
              </w:rPr>
              <w:t>9.对于投标人不能满足的技术或服务要求，应在投标文件中详细载明，内容应包括不能完全满足的条款及投标人所能提供的替代响应方案等。未附相应偏离说明的条款或技术规格均视为满足采购需求，一旦中标，将按照招标文件载明的技术及服务需求进行验收，不能达到验收标准的，视为虚假应标；</w:t>
            </w:r>
          </w:p>
          <w:p>
            <w:pPr>
              <w:spacing w:line="400" w:lineRule="exact"/>
              <w:jc w:val="left"/>
              <w:rPr>
                <w:rFonts w:ascii="宋体" w:hAnsi="宋体" w:cs="宋体"/>
                <w:color w:val="auto"/>
                <w:szCs w:val="21"/>
              </w:rPr>
            </w:pPr>
            <w:r>
              <w:rPr>
                <w:rFonts w:hint="eastAsia" w:ascii="宋体" w:hAnsi="宋体" w:cs="宋体"/>
                <w:color w:val="auto"/>
                <w:szCs w:val="21"/>
              </w:rPr>
              <w:t>10.投标人制作的投标文件中应体现投标方案与招标文件技术、商务要求的符合程度，还应提供包括但不限于以下材料：</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获奖情况、类似业绩、售后服务方案、技术培训方案、系统总体设计能力的证明材料、系统执行能力的证明材料等；</w:t>
            </w:r>
          </w:p>
          <w:p>
            <w:pPr>
              <w:spacing w:line="400" w:lineRule="exact"/>
              <w:jc w:val="left"/>
              <w:rPr>
                <w:rFonts w:ascii="宋体" w:hAnsi="宋体" w:cs="宋体"/>
                <w:b/>
                <w:color w:val="auto"/>
                <w:szCs w:val="21"/>
              </w:rPr>
            </w:pPr>
            <w:r>
              <w:rPr>
                <w:rFonts w:hint="eastAsia" w:ascii="宋体" w:hAnsi="宋体" w:cs="宋体"/>
                <w:color w:val="auto"/>
                <w:szCs w:val="21"/>
              </w:rPr>
              <w:t>12.招标文件中的合同仅为合同的参考文本，最终以双方另行协商确认的合同版本为准。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bCs/>
                <w:color w:val="auto"/>
                <w:szCs w:val="21"/>
              </w:rPr>
            </w:pPr>
            <w:r>
              <w:rPr>
                <w:rFonts w:hint="eastAsia" w:ascii="宋体" w:hAnsi="宋体" w:cs="宋体"/>
                <w:b/>
                <w:color w:val="auto"/>
                <w:szCs w:val="21"/>
              </w:rPr>
              <w:t>本表的核心产品为：第</w:t>
            </w:r>
            <w:r>
              <w:rPr>
                <w:rFonts w:hint="eastAsia" w:ascii="宋体" w:hAnsi="宋体" w:cs="宋体"/>
                <w:b/>
                <w:color w:val="auto"/>
                <w:szCs w:val="21"/>
                <w:u w:val="single"/>
              </w:rPr>
              <w:t xml:space="preserve"> 2 </w:t>
            </w:r>
            <w:r>
              <w:rPr>
                <w:rFonts w:hint="eastAsia" w:ascii="宋体" w:hAnsi="宋体" w:cs="宋体"/>
                <w:b/>
                <w:color w:val="auto"/>
                <w:szCs w:val="21"/>
              </w:rPr>
              <w:t>项产品，超高清视音频采集器。</w:t>
            </w:r>
            <w:r>
              <w:rPr>
                <w:rFonts w:hint="eastAsia" w:ascii="宋体" w:hAnsi="宋体" w:cs="宋体"/>
                <w:b/>
                <w:bCs/>
                <w:color w:val="auto"/>
                <w:szCs w:val="21"/>
              </w:rPr>
              <w:t>（核心产品品牌相同的，视为提供同品牌产品）</w:t>
            </w:r>
          </w:p>
          <w:p>
            <w:pPr>
              <w:spacing w:line="400" w:lineRule="exact"/>
              <w:rPr>
                <w:rFonts w:ascii="宋体" w:hAnsi="宋体" w:cs="宋体"/>
                <w:b/>
                <w:color w:val="auto"/>
                <w:szCs w:val="21"/>
              </w:rPr>
            </w:pPr>
            <w:r>
              <w:rPr>
                <w:rFonts w:hint="eastAsia" w:ascii="宋体" w:hAnsi="宋体" w:cs="宋体"/>
                <w:color w:val="auto"/>
                <w:szCs w:val="21"/>
              </w:rPr>
              <w:t>注：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指标优劣顺序排列），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rPr>
            </w:pPr>
            <w:r>
              <w:rPr>
                <w:rFonts w:hint="eastAsia" w:ascii="宋体" w:hAnsi="宋体" w:cs="宋体"/>
                <w:b/>
                <w:color w:val="auto"/>
                <w:szCs w:val="21"/>
              </w:rPr>
              <w:t>三、投标人的履约能力要求表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质量管理、企业信用要求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见本招标文件“评标办法及评分标准”。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能力或者业绩求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见本招标文件“评标办法及评分标准”。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rPr>
            </w:pPr>
            <w:r>
              <w:rPr>
                <w:rFonts w:hint="eastAsia" w:ascii="宋体" w:hAnsi="宋体" w:cs="宋体"/>
                <w:b/>
                <w:color w:val="auto"/>
                <w:szCs w:val="21"/>
              </w:rPr>
              <w:t>四、政策性加分条件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政策性加分条件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五、其他要求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rPr>
            </w:pPr>
            <w:r>
              <w:rPr>
                <w:rFonts w:hint="eastAsia" w:ascii="宋体" w:hAnsi="宋体" w:cs="宋体"/>
                <w:b/>
                <w:color w:val="auto"/>
                <w:szCs w:val="21"/>
              </w:rPr>
              <w:t>六、进口产品说明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进口产品说明</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本表货物第1项“视音频采集/播放器”、第2项“超高清视音频采集器”、第4项“共享存储”、第5项“播出存储”、第6项“6TB视音频处理专用硬盘”、第7项“8TB视音频文件存储专用硬盘”、第8项“系统管理软件”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Pr>
                <w:rFonts w:hint="eastAsia" w:ascii="宋体" w:hAnsi="宋体" w:cs="宋体"/>
                <w:b/>
                <w:color w:val="auto"/>
                <w:szCs w:val="21"/>
              </w:rPr>
              <w:t>否则作无效标处理。</w:t>
            </w:r>
          </w:p>
          <w:p>
            <w:pPr>
              <w:spacing w:line="400" w:lineRule="exact"/>
              <w:rPr>
                <w:rFonts w:ascii="宋体" w:hAnsi="宋体" w:cs="宋体"/>
                <w:color w:val="auto"/>
                <w:szCs w:val="21"/>
              </w:rPr>
            </w:pPr>
            <w:r>
              <w:rPr>
                <w:rFonts w:hint="eastAsia" w:ascii="宋体" w:hAnsi="宋体" w:cs="宋体"/>
                <w:color w:val="auto"/>
                <w:szCs w:val="21"/>
              </w:rPr>
              <w:t>□本分标货物不接受进口产品（即通过中国海关报关验放进入中国境内且产自关境外的产品）参与投标，</w:t>
            </w:r>
            <w:r>
              <w:rPr>
                <w:rFonts w:hint="eastAsia" w:ascii="宋体" w:hAnsi="宋体" w:cs="宋体"/>
                <w:b/>
                <w:color w:val="auto"/>
                <w:szCs w:val="21"/>
              </w:rPr>
              <w:t>如有进口产品参与投标的作无效标处理</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rPr>
            </w:pPr>
            <w:r>
              <w:rPr>
                <w:rFonts w:hint="eastAsia" w:ascii="宋体" w:hAnsi="宋体" w:cs="宋体"/>
                <w:b/>
                <w:color w:val="auto"/>
                <w:szCs w:val="21"/>
              </w:rPr>
              <w:t>七、与本项目有关的设计图纸、技术规范、文件等附件资料及其获取方式（如有）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文件或者资料名称</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公布渠道或者获取方式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无</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ascii="宋体" w:hAnsi="宋体" w:cs="宋体"/>
                <w:color w:val="auto"/>
                <w:szCs w:val="21"/>
              </w:rPr>
            </w:pPr>
            <w:r>
              <w:rPr>
                <w:rFonts w:hint="eastAsia" w:ascii="宋体" w:hAnsi="宋体" w:cs="宋体"/>
                <w:color w:val="auto"/>
                <w:szCs w:val="21"/>
              </w:rPr>
              <w:t>无</w:t>
            </w:r>
          </w:p>
        </w:tc>
      </w:tr>
    </w:tbl>
    <w:p>
      <w:pPr>
        <w:pStyle w:val="108"/>
        <w:rPr>
          <w:rFonts w:ascii="宋体" w:hAnsi="宋体" w:cs="宋体"/>
          <w:color w:val="auto"/>
          <w:szCs w:val="21"/>
        </w:rPr>
      </w:pPr>
    </w:p>
    <w:p>
      <w:pPr>
        <w:spacing w:line="360" w:lineRule="auto"/>
        <w:ind w:firstLine="219" w:firstLineChars="104"/>
        <w:jc w:val="left"/>
        <w:rPr>
          <w:rFonts w:ascii="宋体" w:hAnsi="宋体" w:cs="宋体"/>
          <w:color w:val="auto"/>
          <w:szCs w:val="21"/>
        </w:rPr>
      </w:pPr>
      <w:r>
        <w:rPr>
          <w:rFonts w:hint="eastAsia" w:ascii="宋体" w:hAnsi="宋体" w:cs="宋体"/>
          <w:b/>
          <w:bCs/>
          <w:color w:val="auto"/>
          <w:szCs w:val="21"/>
        </w:rPr>
        <w:br w:type="page"/>
      </w:r>
      <w:r>
        <w:rPr>
          <w:rFonts w:hint="eastAsia" w:ascii="宋体" w:hAnsi="宋体" w:cs="宋体"/>
          <w:b/>
          <w:bCs/>
          <w:color w:val="auto"/>
          <w:szCs w:val="21"/>
        </w:rPr>
        <w:t>分标2：编码传输系统</w:t>
      </w:r>
    </w:p>
    <w:tbl>
      <w:tblPr>
        <w:tblStyle w:val="35"/>
        <w:tblW w:w="102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0"/>
        <w:gridCol w:w="744"/>
        <w:gridCol w:w="930"/>
        <w:gridCol w:w="6608"/>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590" w:type="dxa"/>
            <w:vAlign w:val="center"/>
          </w:tcPr>
          <w:p>
            <w:pPr>
              <w:tabs>
                <w:tab w:val="left" w:pos="180"/>
                <w:tab w:val="left" w:pos="1620"/>
              </w:tabs>
              <w:spacing w:line="360" w:lineRule="exact"/>
              <w:jc w:val="center"/>
              <w:rPr>
                <w:b/>
                <w:bCs/>
                <w:color w:val="auto"/>
                <w:szCs w:val="21"/>
              </w:rPr>
            </w:pPr>
            <w:r>
              <w:rPr>
                <w:b/>
                <w:bCs/>
                <w:color w:val="auto"/>
                <w:szCs w:val="21"/>
              </w:rPr>
              <w:t>序号</w:t>
            </w:r>
          </w:p>
        </w:tc>
        <w:tc>
          <w:tcPr>
            <w:tcW w:w="744" w:type="dxa"/>
            <w:vAlign w:val="center"/>
          </w:tcPr>
          <w:p>
            <w:pPr>
              <w:tabs>
                <w:tab w:val="left" w:pos="180"/>
                <w:tab w:val="left" w:pos="1620"/>
              </w:tabs>
              <w:spacing w:line="360" w:lineRule="exact"/>
              <w:jc w:val="center"/>
              <w:rPr>
                <w:b/>
                <w:bCs/>
                <w:color w:val="auto"/>
                <w:szCs w:val="21"/>
              </w:rPr>
            </w:pPr>
            <w:r>
              <w:rPr>
                <w:b/>
                <w:bCs/>
                <w:color w:val="auto"/>
                <w:szCs w:val="21"/>
              </w:rPr>
              <w:t>标的的名称</w:t>
            </w:r>
          </w:p>
        </w:tc>
        <w:tc>
          <w:tcPr>
            <w:tcW w:w="930" w:type="dxa"/>
            <w:vAlign w:val="center"/>
          </w:tcPr>
          <w:p>
            <w:pPr>
              <w:tabs>
                <w:tab w:val="left" w:pos="180"/>
                <w:tab w:val="left" w:pos="1620"/>
              </w:tabs>
              <w:spacing w:line="360" w:lineRule="exact"/>
              <w:jc w:val="center"/>
              <w:rPr>
                <w:b/>
                <w:bCs/>
                <w:color w:val="auto"/>
                <w:szCs w:val="21"/>
              </w:rPr>
            </w:pPr>
            <w:r>
              <w:rPr>
                <w:b/>
                <w:bCs/>
                <w:color w:val="auto"/>
                <w:szCs w:val="21"/>
              </w:rPr>
              <w:t>数量及</w:t>
            </w:r>
          </w:p>
          <w:p>
            <w:pPr>
              <w:tabs>
                <w:tab w:val="left" w:pos="180"/>
                <w:tab w:val="left" w:pos="1620"/>
              </w:tabs>
              <w:spacing w:line="360" w:lineRule="exact"/>
              <w:jc w:val="center"/>
              <w:rPr>
                <w:b/>
                <w:bCs/>
                <w:color w:val="auto"/>
                <w:szCs w:val="21"/>
              </w:rPr>
            </w:pPr>
            <w:r>
              <w:rPr>
                <w:b/>
                <w:bCs/>
                <w:color w:val="auto"/>
                <w:szCs w:val="21"/>
              </w:rPr>
              <w:t>单位</w:t>
            </w:r>
          </w:p>
        </w:tc>
        <w:tc>
          <w:tcPr>
            <w:tcW w:w="6608" w:type="dxa"/>
            <w:vAlign w:val="center"/>
          </w:tcPr>
          <w:p>
            <w:pPr>
              <w:tabs>
                <w:tab w:val="left" w:pos="180"/>
                <w:tab w:val="left" w:pos="1620"/>
              </w:tabs>
              <w:spacing w:line="360" w:lineRule="exact"/>
              <w:jc w:val="center"/>
              <w:rPr>
                <w:b/>
                <w:bCs/>
                <w:color w:val="auto"/>
                <w:szCs w:val="21"/>
              </w:rPr>
            </w:pPr>
            <w:r>
              <w:rPr>
                <w:b/>
                <w:bCs/>
                <w:color w:val="auto"/>
                <w:szCs w:val="21"/>
              </w:rPr>
              <w:t>技术需求</w:t>
            </w:r>
          </w:p>
        </w:tc>
        <w:tc>
          <w:tcPr>
            <w:tcW w:w="1332" w:type="dxa"/>
            <w:vAlign w:val="center"/>
          </w:tcPr>
          <w:p>
            <w:pPr>
              <w:tabs>
                <w:tab w:val="left" w:pos="180"/>
                <w:tab w:val="left" w:pos="1620"/>
              </w:tabs>
              <w:spacing w:line="360" w:lineRule="exact"/>
              <w:jc w:val="center"/>
              <w:rPr>
                <w:b/>
                <w:bCs/>
                <w:color w:val="auto"/>
                <w:szCs w:val="21"/>
              </w:rPr>
            </w:pPr>
            <w:r>
              <w:rPr>
                <w:color w:val="auto"/>
                <w:szCs w:val="21"/>
              </w:rPr>
              <w:t>分项预算合计（万元）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1</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高标清编码器</w:t>
            </w:r>
          </w:p>
        </w:tc>
        <w:tc>
          <w:tcPr>
            <w:tcW w:w="930" w:type="dxa"/>
            <w:vAlign w:val="center"/>
          </w:tcPr>
          <w:p>
            <w:pPr>
              <w:pStyle w:val="12"/>
              <w:spacing w:line="360" w:lineRule="exact"/>
              <w:jc w:val="center"/>
              <w:rPr>
                <w:rFonts w:ascii="宋体" w:hAnsi="宋体" w:cs="宋体"/>
                <w:color w:val="auto"/>
                <w:szCs w:val="21"/>
                <w:highlight w:val="yellow"/>
              </w:rPr>
            </w:pPr>
            <w:r>
              <w:rPr>
                <w:rFonts w:hint="eastAsia" w:ascii="宋体" w:hAnsi="宋体" w:cs="宋体"/>
                <w:color w:val="auto"/>
                <w:szCs w:val="21"/>
                <w:highlight w:val="none"/>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1.1RU标准机架设备，采用紧凑型模块化机框，双热冗余交流电源及国标电源线。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2.视频输入：配置16路SD/HD/3G-SDI输入，DIN 1.0/2.3接口。配置16根BNC到DIN 1.0/2.3转换短线。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3.音频输入：AES音频、嵌入音频，每路视频不少于2个伴音。</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w:t>
            </w:r>
            <w:r>
              <w:rPr>
                <w:rFonts w:hint="eastAsia" w:ascii="宋体" w:hAnsi="宋体" w:cs="宋体"/>
                <w:color w:val="auto"/>
                <w:szCs w:val="21"/>
              </w:rPr>
              <w:t>▲</w:t>
            </w:r>
            <w:r>
              <w:rPr>
                <w:rFonts w:hint="eastAsia" w:ascii="宋体" w:hAnsi="宋体"/>
                <w:color w:val="auto"/>
                <w:kern w:val="0"/>
                <w:szCs w:val="21"/>
              </w:rPr>
              <w:t>每个编码通道均支持SD/HD MPEG-2、AVC、HEVC视频编码方式，可通过软件升级实现上述任意一种编码方式的扩展。编码码率可调。</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w:t>
            </w:r>
            <w:r>
              <w:rPr>
                <w:rFonts w:hint="eastAsia" w:ascii="宋体" w:hAnsi="宋体"/>
                <w:b/>
                <w:bCs/>
                <w:color w:val="auto"/>
                <w:sz w:val="24"/>
              </w:rPr>
              <w:t>▲</w:t>
            </w:r>
            <w:r>
              <w:rPr>
                <w:rFonts w:hint="eastAsia" w:ascii="宋体" w:hAnsi="宋体"/>
                <w:color w:val="auto"/>
                <w:kern w:val="0"/>
                <w:szCs w:val="21"/>
              </w:rPr>
              <w:t>音频编码支持MPEG-1 Layer II，AC-3 (Dolby Digital）。</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6.同时支持8路高清SDI输入和8路标清SDI输入，配置8路高清H.264编码授权，8路标清MPEG2编码授权，每个高清通道配置LOGO插入授权。</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7.配置至少2个万兆以太网接口；配置至少2个千兆以太网接口，最多可扩展到8个千兆以太网接口。支持冗余TS OVER IP输出。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8.将来可以向UHD编码过渡，通过购买新的授权，实现支持UHD动态统计复用、HDR处理技术、无压缩 IP输入流，支持UHD 10-bit 转码；支持SDR 与不同 HDR 格式和色域之间的转换，包括 HDR-10、HLG、BT.709、BT.2020；同时还支持标清和高清编码多码率输出。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9.将来可以通过购买新的授权，实现每个编码通道的音频响度控制功能。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w:t>
            </w:r>
            <w:r>
              <w:rPr>
                <w:rFonts w:hint="eastAsia" w:ascii="宋体" w:hAnsi="宋体" w:cs="宋体"/>
                <w:color w:val="auto"/>
                <w:szCs w:val="21"/>
              </w:rPr>
              <w:t>▲</w:t>
            </w:r>
            <w:r>
              <w:rPr>
                <w:rFonts w:hint="eastAsia" w:ascii="宋体" w:hAnsi="宋体"/>
                <w:color w:val="auto"/>
                <w:kern w:val="0"/>
                <w:szCs w:val="21"/>
              </w:rPr>
              <w:t>支持WEB网管和统一网管的控制，能够实时监看到编码器的运行状态，配置编码参数。</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143.60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2</w:t>
            </w:r>
          </w:p>
        </w:tc>
        <w:tc>
          <w:tcPr>
            <w:tcW w:w="744" w:type="dxa"/>
            <w:vAlign w:val="center"/>
          </w:tcPr>
          <w:p>
            <w:pPr>
              <w:tabs>
                <w:tab w:val="left" w:pos="180"/>
                <w:tab w:val="left" w:pos="1620"/>
              </w:tabs>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标清AVS+编码器</w:t>
            </w:r>
          </w:p>
        </w:tc>
        <w:tc>
          <w:tcPr>
            <w:tcW w:w="930" w:type="dxa"/>
            <w:vAlign w:val="center"/>
          </w:tcPr>
          <w:p>
            <w:pPr>
              <w:pStyle w:val="12"/>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1.不超过2RU标准机架设备，双热冗余交流电源及国标电源线。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2.支持8路SD-SDI输入，支持8套标清视音频节目的AVS+编码。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3.支持双路IP 1000M、双路ASI输出。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4.支持WEB网管和统一网管的控制，支持SNMP v1/v2的标准Mib库用于第三方集成。</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3</w:t>
            </w:r>
          </w:p>
        </w:tc>
        <w:tc>
          <w:tcPr>
            <w:tcW w:w="744" w:type="dxa"/>
            <w:vAlign w:val="center"/>
          </w:tcPr>
          <w:p>
            <w:pPr>
              <w:tabs>
                <w:tab w:val="left" w:pos="180"/>
                <w:tab w:val="left" w:pos="1620"/>
              </w:tabs>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高标清AVS+编码器</w:t>
            </w:r>
          </w:p>
        </w:tc>
        <w:tc>
          <w:tcPr>
            <w:tcW w:w="930" w:type="dxa"/>
            <w:vAlign w:val="center"/>
          </w:tcPr>
          <w:p>
            <w:pPr>
              <w:pStyle w:val="12"/>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2.支持1路HD/SD-SDI输入，支持高标清AVS+编码处理。</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3.视频输入接口：HD/SD-SDI输入接口。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4.输出接口：2路IP 1000M及2路ASI。</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5.视频编码方式：AVS、AVS+。</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6.支持H.264编码方式扩展。</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7.音频编码方式MPEG、AC-3、DRA。</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w:t>
            </w:r>
            <w:r>
              <w:rPr>
                <w:rFonts w:hint="eastAsia" w:ascii="宋体" w:hAnsi="宋体"/>
                <w:b/>
                <w:bCs/>
                <w:color w:val="auto"/>
                <w:sz w:val="24"/>
              </w:rPr>
              <w:t>▲</w:t>
            </w:r>
            <w:r>
              <w:rPr>
                <w:rFonts w:hint="eastAsia" w:ascii="宋体" w:hAnsi="宋体"/>
                <w:color w:val="auto"/>
                <w:kern w:val="0"/>
                <w:szCs w:val="21"/>
              </w:rPr>
              <w:t>采用Dual-Pass模式判断和码率控制技术。</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9.编码码率范围：4Mbps-15Mbps（高清）、1Mbps-6Mbps（标清）。</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10.支持系统故障自动恢复。</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11.IP输出协议支持TS over UDP。</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12.前面板提供控制按键及报警指示灯。</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13.支持统计复用的编码方式。</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14.支持WEB网管和统一网管的控制，支持SNMP v1/v2的标准Mib库用于第三方集成。</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4</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复用器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highlight w:val="none"/>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2.配置16个ASI端口。ASI输入输出口特性要求：BNC接头；TS流包格式：188字节/204字节自适应；I/O处理：不小于213Mbps；ASI接口支持独立配置输入输出，支持端口镜像。</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至少4个双向万兆IP接口。IP输入输出特性要求：I/O支持处理不小于1000个组播流，每个组播流最大支持300Mbps，总处理带宽不小于1000Mbps；支持双向通信，即单个IP接口同时支持输入和输出；可以对每一路输入、输出码流进行错误监测并进行码率测量,同时也支持输入每套节目流量大小的测量，并且提供报警功能,报警路数可任意通过后台设置；所有输入接口支持MPTS与SPTS，包长188；支持对加密码流的分析，节目提取与透明复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4.配置至少4个双向千兆IP接口，可用于输入输出码流、连接CA系统和网管。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ASI及IP格式码流复用，支持节目和PID过滤、PID复用，针对加密流能够再复用，并且可以分析加密流的信息。复用节目数量可以达到128套。对PID进行自动搜索和随意的修改或复用。可以随意更改TS流的其他信息；具有通道的故障隔离能力，即当某路输入码流异常后，不能影响复用输出的其他通道的节目；支持PCR时钟调整功能，当输入码流正常的情况下,输出的PCR抖动增加值不大于±100ns；支持PAT/PMT/SDT/NIT/等表格的生成、编辑、删除、替换；支持EPG的插入；支持EPG的ASI和Ethernet接口方式插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对输入码流的多级自动（复用器自主）、手动（包括由外部第三方软件的触发控制）切换，以保证输出码流的安全可靠。多级包括码流级（对输入端口成对的主备码流进行切换）和节目级（当输出码流中一个或多个节目出现异常或缺失时复用器可按照预定后备节目设置对其进行多重自动或手动替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7.支持WEB网管和统一网管的控制，能够实时监看到编码器的运行状态，配置编码参数。</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73.00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5</w:t>
            </w:r>
          </w:p>
        </w:tc>
        <w:tc>
          <w:tcPr>
            <w:tcW w:w="744" w:type="dxa"/>
            <w:vAlign w:val="center"/>
          </w:tcPr>
          <w:p>
            <w:pPr>
              <w:tabs>
                <w:tab w:val="left" w:pos="180"/>
                <w:tab w:val="left" w:pos="1620"/>
              </w:tabs>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核心数据交换机</w:t>
            </w:r>
          </w:p>
        </w:tc>
        <w:tc>
          <w:tcPr>
            <w:tcW w:w="930" w:type="dxa"/>
            <w:vAlign w:val="center"/>
          </w:tcPr>
          <w:p>
            <w:pPr>
              <w:pStyle w:val="12"/>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2.▲三层交换机。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3.交换容量不低于1.28Tbps。</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4.包转发率不低于252M。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5.48个千兆Base-T接口，4个10GE SFP+插槽，2个40GEQSFP+插槽。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6.支持VLAN功能。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7.网络标准：支持标准以太网IEEE802.3协议族。</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8.网络协议：支持STP，RSTP，MSTP，PVST。</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9.支持先进的、基于硬件的IP单播和组播路由，能为视频组播应用提供更高的效率。</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10.支持大型帧，为需要使用很大数据帧的高级数据和视频应用提供支持。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11.▲支持对多个IP组播地址在指定端口输出。</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6</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多通道ASI切换器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3台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2.▲支持4组ASI码流信号输入（每组2路ASI码流信号），支持4组ASI码流独立执行2x1切换。输入和输出端口均为BNC接口。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3.配置10个GPI输入和4个继电器触点， Ethernet 10/100 网络控制接口。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4.▲ASI码流切换条件支持 TR101290  1/2/3 优先级。</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5.ASI码流切换条件对预期PID的模板检查、速率限制和/或各种关键节目部分的加扰状态检查。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6.支持配置每个检测触发ASI码流切换的条件，及其关键报警级别以启动切换或记录报警。</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7.支持设置检测告警触发时间，避免瞬时事件下的不必要切换。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8.支持同时分析存在延迟的输入流，提供延迟补偿功能，实现检测到一路输入故障，设备将补偿时间差异，并无缝切换为另一路正常的传输流。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9.每组ASI码流切换配置至少2个输出端口，第一个输出端口为掉电直通端口。ASI输出的掉电直通端口，可保留用户选择的输入信号或上次的切换结果。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62.07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7</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四通道ASI切换器控制面板</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3台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1.支持远程手动控制多通道ASI切换器。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3.▲支持4组2x1 GPI/O控制。采用按键控制切换信号。</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4.支持远距离控制多通道ASI切换器，距离大于50米。</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5.支持LED灯方式及时报告开关状态、切换和输出状态及切换动作。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8</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单通道ASI切换器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2.支持2个ASI（包括掉电直通端口）码流信号输入，支持2路ASI码流切换，具备掉电直通功能，支持8路ASI切换输出。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3.配置10个GPI输入和4个继电器触点， Ethernet 10/100 网络控制接口。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4.▲ASI码流切换条件支持 TR101290  1/2/3 优先级。</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5.ASI码流切换条件对预期PID的模板检查、速率限制和/或各种关键节目部分的加扰状态检查。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6.支持配置每个检测触发ASI码流切换的条件，及其关键报警级别以启动切换或记录报警。</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7.支持设置检测告警触发时间，避免瞬时事件下的不必要切换。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8.支持同时分析存在延迟的输入流，提供延迟补偿功能，实现检测到一路输入故障，设备将补偿时间差异，并无缝切换为另一路正常的传输流。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9.▲每组ASI码流切换配置8个输出端口，第一个输出端口为掉电直通端口。ASI输出的掉电直通端口，可保留用户选择的输入信号或上次的切换结果。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590" w:type="dxa"/>
            <w:vAlign w:val="center"/>
          </w:tcPr>
          <w:p>
            <w:pPr>
              <w:jc w:val="center"/>
              <w:rPr>
                <w:rFonts w:ascii="宋体" w:hAnsi="宋体" w:cs="宋体"/>
                <w:color w:val="auto"/>
                <w:szCs w:val="21"/>
              </w:rPr>
            </w:pPr>
            <w:r>
              <w:rPr>
                <w:rFonts w:hint="eastAsia"/>
                <w:color w:val="auto"/>
                <w:szCs w:val="21"/>
              </w:rPr>
              <w:t>9</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双通道ASI切换器控制面板</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1.支持远程手动控制单通道ASI切换器。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3.▲支持2组2x1 GPI/O控制。采用按键控制切换信号。</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4.支持远距离控制单通道ASI切换器，距离大于50米。</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5.支持LED灯方式及时报告开关状态、切换和输出状态及切换动作。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10</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多通道IP切换器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5台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2.▲配置4个千兆网络端口（包括掉电直通端口），其中2端口输入，2个端口输出，具备掉电直通功能。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3.配置8个IP UDP冗余切换授权，支持完成8组IP信号（16路IP信号）二切一切换功能。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4.配置10个GPI输入和4个继电器触点， Ethernet 10/100 网络控制接口。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5.▲TS码流切换条件支持 TR101290  1/2/3 优先级。</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6.TS码流切换条件对预期PID的模板检查、速率限制和/或各种关键节目部分的加扰状态检查。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7.支持配置每个检测触发TS码流切换的条件，及其关键报警级别以启动切换或记录报警。</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8.支持设置检测告警触发时间，避免瞬时事件下的不必要切换。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9.支持同时分析存在延迟的输入流，提供延迟补偿功能，实现检测到一路输入故障，设备将补偿时间差异，并无缝切换为另一路正常的传输流。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10.▲IP流切换配置2个输出端口，第一个输出端口为掉电直通端口。</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11</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多通道IP切换器控制面板</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5台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1.支持远程手动控制多通道IP切换器。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3.▲支持8组2x1 GPI/O控制面板，采用按键控制切换信号。</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4.支持远距离控制多通道IP切换器，距离大于50米。</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5.支持LED灯方式及时报告开关状态、切换和输出状态及切换动作。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590" w:type="dxa"/>
            <w:vAlign w:val="center"/>
          </w:tcPr>
          <w:p>
            <w:pPr>
              <w:jc w:val="center"/>
              <w:rPr>
                <w:rFonts w:ascii="宋体" w:hAnsi="宋体" w:cs="宋体"/>
                <w:color w:val="auto"/>
                <w:szCs w:val="21"/>
              </w:rPr>
            </w:pPr>
            <w:r>
              <w:rPr>
                <w:rFonts w:hint="eastAsia"/>
                <w:color w:val="auto"/>
                <w:szCs w:val="21"/>
              </w:rPr>
              <w:t>12</w:t>
            </w:r>
          </w:p>
        </w:tc>
        <w:tc>
          <w:tcPr>
            <w:tcW w:w="744" w:type="dxa"/>
            <w:vAlign w:val="center"/>
          </w:tcPr>
          <w:p>
            <w:pPr>
              <w:tabs>
                <w:tab w:val="left" w:pos="180"/>
                <w:tab w:val="left" w:pos="1620"/>
              </w:tabs>
              <w:spacing w:line="360" w:lineRule="exact"/>
              <w:jc w:val="center"/>
              <w:rPr>
                <w:rFonts w:ascii="宋体" w:hAnsi="宋体" w:cs="宋体"/>
                <w:color w:val="auto"/>
                <w:szCs w:val="21"/>
                <w:highlight w:val="none"/>
              </w:rPr>
            </w:pPr>
            <w:r>
              <w:rPr>
                <w:rFonts w:hint="eastAsia" w:ascii="宋体" w:hAnsi="宋体" w:cs="宋体"/>
                <w:color w:val="auto"/>
                <w:szCs w:val="21"/>
                <w:highlight w:val="none"/>
              </w:rPr>
              <w:t>DS3适配器</w:t>
            </w:r>
          </w:p>
        </w:tc>
        <w:tc>
          <w:tcPr>
            <w:tcW w:w="930" w:type="dxa"/>
            <w:vAlign w:val="center"/>
          </w:tcPr>
          <w:p>
            <w:pPr>
              <w:pStyle w:val="12"/>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配置3路ASI码流信号输入端口，同时支持3路ASI码流信号分别转DS3/E3的适配功能，每路适配配置2路DS3/E3码流信号输出端口。整机满足3路DS3信号适配功能，能够完成3路ASI信号适配成为DS3信号输出。所有ASI及DS3端口均为75欧姆BNC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3.▲支持多协议，可与TANDBERG、数码视讯、环路网协议兼容。</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4.支持自适应码率与防止溢出。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5.支持自动输入信号均衡。支持时钟抖动校正功能。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6.ASI传输流204/188包长自适应。</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7.支持WEB网管控制。</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590" w:type="dxa"/>
            <w:vAlign w:val="center"/>
          </w:tcPr>
          <w:p>
            <w:pPr>
              <w:jc w:val="center"/>
              <w:rPr>
                <w:rFonts w:ascii="宋体" w:hAnsi="宋体" w:cs="宋体"/>
                <w:color w:val="auto"/>
                <w:szCs w:val="21"/>
              </w:rPr>
            </w:pPr>
            <w:r>
              <w:rPr>
                <w:rFonts w:hint="eastAsia"/>
                <w:color w:val="auto"/>
                <w:szCs w:val="21"/>
              </w:rPr>
              <w:t>13</w:t>
            </w:r>
          </w:p>
        </w:tc>
        <w:tc>
          <w:tcPr>
            <w:tcW w:w="744" w:type="dxa"/>
            <w:vAlign w:val="center"/>
          </w:tcPr>
          <w:p>
            <w:pPr>
              <w:tabs>
                <w:tab w:val="left" w:pos="180"/>
                <w:tab w:val="left" w:pos="1620"/>
              </w:tabs>
              <w:spacing w:line="360" w:lineRule="exact"/>
              <w:jc w:val="center"/>
              <w:rPr>
                <w:rFonts w:ascii="宋体" w:hAnsi="宋体" w:cs="宋体"/>
                <w:color w:val="auto"/>
                <w:szCs w:val="21"/>
                <w:highlight w:val="none"/>
              </w:rPr>
            </w:pPr>
            <w:r>
              <w:rPr>
                <w:rFonts w:hint="eastAsia" w:ascii="宋体" w:hAnsi="宋体" w:cs="宋体"/>
                <w:color w:val="auto"/>
                <w:szCs w:val="21"/>
                <w:highlight w:val="none"/>
              </w:rPr>
              <w:t>DS3切换器</w:t>
            </w:r>
          </w:p>
        </w:tc>
        <w:tc>
          <w:tcPr>
            <w:tcW w:w="930" w:type="dxa"/>
            <w:vAlign w:val="center"/>
          </w:tcPr>
          <w:p>
            <w:pPr>
              <w:pStyle w:val="12"/>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1.DS3切换器不超过2RU的标准机架设备，双热冗余交流电源及国标电源线。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2.▲同时支持3组DS3信号的输入（包括掉电直通端口），支持二选一自动和手动切换功能，具备掉电直通功能。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3.配置网络控制模块，并提供设备的网络管理和远程面板控制。</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4.▲远程面板为1RU的标准机架设备，采用按键控制切换信号。每块远程面板至少含 3 组按键（每组三个键分别为主、备、自动/手动）。</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14</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网管系统</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1.网管系统含网管软硬件。硬件服务器为1RU标准机架设备，双热冗余交流电源及国标电源线。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对编码器及复用器的远程集中管理，其功能包括：故障管理、性能管理、配置管理、安全管理，并能够显示全网设备的拓扑结构、能通过网管对系统软件进行远程升级，为便于维护人员进行正常的运行维护，设备应具备本地操作维护接口。应采用图形用户界面，模块化设计，容易维护、测试和修改，程序具有即读性、保护性和自诊断特性，能够测试其主要功能，发现错误并提供可闻可视告警，视频输入和数字音频输入丢失时要能告警。当软件出错或断电，系统能自举并恢复到断电前的状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3.软件修改能够通过模块改变来增减功能，不影响其控制性和当前通道连接。软件版本更新和内部修改，可以通过更高级别的网络管理软件在线下载完成。</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4.▲在网管系统崩溃的情况下，必须保证编码系统的节目正常传输不受网管系统崩溃的影响。系统能够脱离网管仍然具备自动切换备份功能。</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15</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网管交换机</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1.1RU的标准机架设备，双热冗余交流电源及国标电源线。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2.交换容量32Gbps，48个百兆Base-T接口，4个千兆上行接口。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3.支持4K个VLAN；支持Guest VLAN、Voice VLAN；支持GVRP协议；支持MUX VLAN功能；支持基于MAC/协议/IP子网/策略/端口的VLAN；支持1：1和N：1 VLAN Mapping功能。</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16</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DS3转ASI适配器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1.DS3切换器不超过2RU的标准机架设备，双热冗余交流电源及国标电源线。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2.DS3网络下适配器，支持实现1路DS3/E3转ASI（1入2出）功能。支持中英文液晶显示，前面板按键操作和远程网管控制。</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3.▲支持多协议，可与TANDBERG、数码视讯、环路网协议兼容。</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4.支持自适应码率与防止溢出。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5.支持自动输入信号均衡。支持时钟抖动校正功能。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6.ASI传输流204/188包长自适应。</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7.支持WEB网管控制。</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4.51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17</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推流交换机</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2台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2.▲三层交换机。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3.交换容量不低于1.28Tbps。</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4.包转发率不低于252M。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5.48个千兆Base-T接口，4个10GE SFP+插槽，2个40GEQSFP+插槽。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6.支持VLAN功能。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7.网络标准：支持标准以太网IEEE802.3协议族。</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8.网络协议：支持STP，RSTP，MSTP，PVST。</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9.支持先进的、基于硬件的IP单播和组播路由，能为视频组播应用提供更高的效率。</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10.支持大型帧，为需要使用很大数据帧的高级数据和视频应用提供支持。</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11.▲支持对多个IP组播地址映射到同一个组播地址，在指定端口输出。</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18</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高清解码器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highlight w:val="none"/>
              </w:rPr>
              <w:t>2台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1.1RU的标准机架设备，双热冗余交流电源及国标电源线。</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2.接口：输入支持ASI（MPTS/SPTS）、IP 1000Mx2，输出支持 HD-SDI/SDI×2、HDMI×1、YPbPr×1、CVBS×1、ASI×2。</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3.视频解码格式支持AVS+、AVS1-P2、H.264/AVC、MPEG-2。</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4.音频解码格式支持DRA、AC-3、E-AC-3、MPEG-1 Audio Layer II。</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5.采用嵌入式架构和专业解码芯片。</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6.支持DVB-S/S2信号输入。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7.支持多节目流（MPTS）和单节目流（SPTS）输入。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8.支持ASI、IP码流输出。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9.支持HD-SDI、HDMI、CVBS、YPbPr、XLR输出。</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10.配备两个DVB-CI插槽。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11.支持多节目解扰。</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12.支持解码多路音频中的指定PID音频。</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13.支持解码音频输出音量调节。</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14.支持无信号时最后一帧配置：黑场、静帧、彩条。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15.支持本机 LCD面板和WEB控制方式。</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16.支持系统故障自动恢复。</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17.▲高清解码器需采用与高标清AVS+编码器相同品牌产品。</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590" w:type="dxa"/>
            <w:vAlign w:val="center"/>
          </w:tcPr>
          <w:p>
            <w:pPr>
              <w:jc w:val="center"/>
              <w:rPr>
                <w:rFonts w:ascii="宋体" w:hAnsi="宋体" w:cs="宋体"/>
                <w:color w:val="auto"/>
                <w:szCs w:val="21"/>
              </w:rPr>
            </w:pPr>
            <w:r>
              <w:rPr>
                <w:rFonts w:hint="eastAsia"/>
                <w:color w:val="auto"/>
                <w:szCs w:val="21"/>
              </w:rPr>
              <w:t>19</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跳线器</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4块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w:t>
            </w:r>
            <w:r>
              <w:rPr>
                <w:rFonts w:hint="eastAsia" w:ascii="宋体" w:hAnsi="宋体"/>
                <w:color w:val="auto"/>
                <w:kern w:val="0"/>
                <w:szCs w:val="21"/>
                <w:lang w:val="en-US" w:eastAsia="zh-CN"/>
              </w:rPr>
              <w:t xml:space="preserve"> </w:t>
            </w:r>
            <w:r>
              <w:rPr>
                <w:rFonts w:hint="eastAsia" w:ascii="宋体" w:hAnsi="宋体"/>
                <w:color w:val="auto"/>
                <w:kern w:val="0"/>
                <w:szCs w:val="21"/>
              </w:rPr>
              <w:t>2×26路75Ω高清视频跳线盘，1RU标准机架设备。</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2.反射损耗≥20dB（0~2.4GHz），信道屏蔽特性≥20dB（0~2.4GHz），电压驻波比＜1.1（0~2GHz）。</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90" w:type="dxa"/>
            <w:vAlign w:val="center"/>
          </w:tcPr>
          <w:p>
            <w:pPr>
              <w:jc w:val="center"/>
              <w:rPr>
                <w:rFonts w:ascii="宋体" w:hAnsi="宋体" w:cs="宋体"/>
                <w:color w:val="auto"/>
                <w:szCs w:val="21"/>
              </w:rPr>
            </w:pPr>
            <w:r>
              <w:rPr>
                <w:rFonts w:hint="eastAsia"/>
                <w:color w:val="auto"/>
                <w:szCs w:val="21"/>
              </w:rPr>
              <w:t>20</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智能光分发平台机框</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4台</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1.1RU模块化机箱mini HUB 1 RU 框架，支持插入4 个卡模块，2 个无源光模块，支持外同步接口。</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2.配置双热冗余交流电源及国标电源线，提供2个 24V 交流电源。</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3.要求支持：光学转换、CWDM光学链路、光学分布和传输、添加/删除/传递网络、IP转换、从1个到32个通道/帧、支持Tx、Rx和收发器SFP。</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4.支持各种视频、音频和数据标准，超高帧密度。</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5.要求内置控制器，支持软件升级，带系统报警日志功能。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6.要求机箱支持内置SD卡存储，支持配置文件修改保存，内置用户手册，便于操作查看。</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7.支持软件升级功能。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8.▲要求设备支持以太网 TCP/IP连接，支持WEB控制，控制界面支持仪表板，可进行信号传输模式的快速调整，支持光信号检测和电路监控功能。支持SNMP v1/v2的标准Mib库用于第三方集成</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9.具有电路内测量的卡监控和控制。</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590" w:type="dxa"/>
            <w:shd w:val="clear" w:color="auto" w:fill="auto"/>
            <w:vAlign w:val="center"/>
          </w:tcPr>
          <w:p>
            <w:pPr>
              <w:jc w:val="center"/>
              <w:rPr>
                <w:rFonts w:ascii="宋体" w:hAnsi="宋体" w:cs="宋体"/>
                <w:color w:val="auto"/>
                <w:szCs w:val="21"/>
              </w:rPr>
            </w:pPr>
            <w:r>
              <w:rPr>
                <w:rFonts w:hint="eastAsia"/>
                <w:color w:val="auto"/>
                <w:szCs w:val="21"/>
              </w:rPr>
              <w:t>21</w:t>
            </w:r>
          </w:p>
        </w:tc>
        <w:tc>
          <w:tcPr>
            <w:tcW w:w="744" w:type="dxa"/>
            <w:shd w:val="clear" w:color="auto" w:fill="auto"/>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4*3G HD-SDI板卡</w:t>
            </w:r>
          </w:p>
        </w:tc>
        <w:tc>
          <w:tcPr>
            <w:tcW w:w="930" w:type="dxa"/>
            <w:shd w:val="clear" w:color="auto" w:fill="auto"/>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12块</w:t>
            </w:r>
          </w:p>
        </w:tc>
        <w:tc>
          <w:tcPr>
            <w:tcW w:w="6608" w:type="dxa"/>
            <w:shd w:val="clear" w:color="auto" w:fill="auto"/>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1.配合智能光分发平台机框使用。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2.通过配置不同SFP，可支持3G-/HD-/SD-SDI、ASI、MADI、以太网、CWDM、HDMI、CVBS输入。</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3.支持4*3G/HD/SD-SD输入，均为BNC接口，输入自动均衡。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4.输出信号至少支持2路3G/HD/SD-SDI信号，输出带再生时钟。</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5.支持Black Burst模拟同步信号传输。</w:t>
            </w:r>
          </w:p>
        </w:tc>
        <w:tc>
          <w:tcPr>
            <w:tcW w:w="1332" w:type="dxa"/>
            <w:shd w:val="clear" w:color="auto" w:fill="auto"/>
            <w:vAlign w:val="center"/>
          </w:tcPr>
          <w:p>
            <w:pPr>
              <w:spacing w:line="360" w:lineRule="auto"/>
              <w:jc w:val="center"/>
              <w:rPr>
                <w:rFonts w:ascii="宋体" w:hAnsi="宋体" w:cs="宋体"/>
                <w:color w:val="auto"/>
                <w:szCs w:val="21"/>
              </w:rPr>
            </w:pPr>
            <w:r>
              <w:rPr>
                <w:rFonts w:hint="eastAsia" w:ascii="宋体" w:hAnsi="宋体" w:cs="宋体"/>
                <w:color w:val="auto"/>
                <w:szCs w:val="21"/>
              </w:rPr>
              <w:t>21.88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590" w:type="dxa"/>
            <w:shd w:val="clear" w:color="auto" w:fill="auto"/>
            <w:vAlign w:val="center"/>
          </w:tcPr>
          <w:p>
            <w:pPr>
              <w:jc w:val="center"/>
              <w:rPr>
                <w:rFonts w:ascii="宋体" w:hAnsi="宋体" w:cs="宋体"/>
                <w:color w:val="auto"/>
                <w:szCs w:val="21"/>
              </w:rPr>
            </w:pPr>
            <w:r>
              <w:rPr>
                <w:rFonts w:hint="eastAsia"/>
                <w:color w:val="auto"/>
                <w:szCs w:val="21"/>
              </w:rPr>
              <w:t>22</w:t>
            </w:r>
          </w:p>
        </w:tc>
        <w:tc>
          <w:tcPr>
            <w:tcW w:w="744" w:type="dxa"/>
            <w:shd w:val="clear" w:color="auto" w:fill="auto"/>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4*3G HD-SDI板卡接口板</w:t>
            </w:r>
          </w:p>
        </w:tc>
        <w:tc>
          <w:tcPr>
            <w:tcW w:w="930" w:type="dxa"/>
            <w:shd w:val="clear" w:color="auto" w:fill="auto"/>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12块</w:t>
            </w:r>
          </w:p>
        </w:tc>
        <w:tc>
          <w:tcPr>
            <w:tcW w:w="6608" w:type="dxa"/>
            <w:shd w:val="clear" w:color="auto" w:fill="auto"/>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1.配合4*3G HD-SDI板卡使用。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2.每路输入支持环路输出（LOOP）。</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3.配置至少4个输出端口。</w:t>
            </w:r>
          </w:p>
        </w:tc>
        <w:tc>
          <w:tcPr>
            <w:tcW w:w="1332" w:type="dxa"/>
            <w:shd w:val="clear" w:color="auto" w:fill="auto"/>
            <w:vAlign w:val="center"/>
          </w:tcPr>
          <w:p>
            <w:pPr>
              <w:spacing w:line="360" w:lineRule="auto"/>
              <w:jc w:val="center"/>
              <w:rPr>
                <w:rFonts w:ascii="宋体" w:hAnsi="宋体" w:cs="宋体"/>
                <w:color w:val="auto"/>
                <w:szCs w:val="21"/>
              </w:rPr>
            </w:pPr>
            <w:r>
              <w:rPr>
                <w:rFonts w:hint="eastAsia" w:ascii="宋体" w:hAnsi="宋体" w:cs="宋体"/>
                <w:color w:val="auto"/>
                <w:szCs w:val="21"/>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590" w:type="dxa"/>
            <w:shd w:val="clear" w:color="auto" w:fill="auto"/>
            <w:vAlign w:val="center"/>
          </w:tcPr>
          <w:p>
            <w:pPr>
              <w:jc w:val="center"/>
              <w:rPr>
                <w:rFonts w:ascii="宋体" w:hAnsi="宋体" w:cs="宋体"/>
                <w:color w:val="auto"/>
                <w:szCs w:val="21"/>
              </w:rPr>
            </w:pPr>
            <w:r>
              <w:rPr>
                <w:rFonts w:hint="eastAsia"/>
                <w:color w:val="auto"/>
                <w:szCs w:val="21"/>
              </w:rPr>
              <w:t>23</w:t>
            </w:r>
          </w:p>
        </w:tc>
        <w:tc>
          <w:tcPr>
            <w:tcW w:w="744" w:type="dxa"/>
            <w:shd w:val="clear" w:color="auto" w:fill="auto"/>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SFP双路光发模块</w:t>
            </w:r>
          </w:p>
        </w:tc>
        <w:tc>
          <w:tcPr>
            <w:tcW w:w="930" w:type="dxa"/>
            <w:shd w:val="clear" w:color="auto" w:fill="auto"/>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8块</w:t>
            </w:r>
          </w:p>
        </w:tc>
        <w:tc>
          <w:tcPr>
            <w:tcW w:w="6608" w:type="dxa"/>
            <w:shd w:val="clear" w:color="auto" w:fill="auto"/>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1.配合4*3G HD-SDI板卡使用。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2.支持AutoSFP，支持热插拔，符合SMPTE 297-2006，支持SFF-8472诊断功能，符合Class 1 21CFR and IEC60825-1 激光安全等级；支持DVB-ASI，支持标清/高清/3G-SDI信号传输。</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3.光输出波长1310nm。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4.单模。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5.光功率-6到0dBm，F-P 激光器。</w:t>
            </w:r>
          </w:p>
        </w:tc>
        <w:tc>
          <w:tcPr>
            <w:tcW w:w="1332" w:type="dxa"/>
            <w:shd w:val="clear" w:color="auto" w:fill="auto"/>
            <w:vAlign w:val="center"/>
          </w:tcPr>
          <w:p>
            <w:pPr>
              <w:spacing w:line="360" w:lineRule="auto"/>
              <w:jc w:val="center"/>
              <w:rPr>
                <w:rFonts w:ascii="宋体" w:hAnsi="宋体" w:cs="宋体"/>
                <w:color w:val="auto"/>
                <w:szCs w:val="21"/>
              </w:rPr>
            </w:pPr>
            <w:r>
              <w:rPr>
                <w:rFonts w:hint="eastAsia" w:ascii="宋体" w:hAnsi="宋体" w:cs="宋体"/>
                <w:color w:val="auto"/>
                <w:szCs w:val="21"/>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90" w:type="dxa"/>
            <w:shd w:val="clear" w:color="auto" w:fill="auto"/>
            <w:vAlign w:val="center"/>
          </w:tcPr>
          <w:p>
            <w:pPr>
              <w:jc w:val="center"/>
              <w:rPr>
                <w:rFonts w:ascii="宋体" w:hAnsi="宋体" w:cs="宋体"/>
                <w:color w:val="auto"/>
                <w:szCs w:val="21"/>
              </w:rPr>
            </w:pPr>
            <w:r>
              <w:rPr>
                <w:rFonts w:hint="eastAsia"/>
                <w:color w:val="auto"/>
                <w:szCs w:val="21"/>
              </w:rPr>
              <w:t>24</w:t>
            </w:r>
          </w:p>
        </w:tc>
        <w:tc>
          <w:tcPr>
            <w:tcW w:w="744" w:type="dxa"/>
            <w:shd w:val="clear" w:color="auto" w:fill="auto"/>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SFP双路光收模块</w:t>
            </w:r>
          </w:p>
        </w:tc>
        <w:tc>
          <w:tcPr>
            <w:tcW w:w="930" w:type="dxa"/>
            <w:shd w:val="clear" w:color="auto" w:fill="auto"/>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8块</w:t>
            </w:r>
          </w:p>
        </w:tc>
        <w:tc>
          <w:tcPr>
            <w:tcW w:w="6608" w:type="dxa"/>
            <w:shd w:val="clear" w:color="auto" w:fill="auto"/>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1.配合4*3G HD-SDI板卡使用。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2.对应上述的SFP双路光发模块，3G/HD/SD-SDI 长距离光收器模块，自动识别高/标清数字视频信号。</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3.光输入波长1260nm~1620nm。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4.单模。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5.光灵敏度-23到-20dBm。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6.最大光输入0dBm。</w:t>
            </w:r>
          </w:p>
        </w:tc>
        <w:tc>
          <w:tcPr>
            <w:tcW w:w="1332" w:type="dxa"/>
            <w:shd w:val="clear" w:color="auto" w:fill="auto"/>
            <w:vAlign w:val="center"/>
          </w:tcPr>
          <w:p>
            <w:pPr>
              <w:spacing w:line="360" w:lineRule="auto"/>
              <w:jc w:val="center"/>
              <w:rPr>
                <w:rFonts w:ascii="宋体" w:hAnsi="宋体" w:cs="宋体"/>
                <w:color w:val="auto"/>
                <w:szCs w:val="21"/>
              </w:rPr>
            </w:pPr>
            <w:r>
              <w:rPr>
                <w:rFonts w:hint="eastAsia" w:ascii="宋体" w:hAnsi="宋体" w:cs="宋体"/>
                <w:color w:val="auto"/>
                <w:szCs w:val="21"/>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590" w:type="dxa"/>
            <w:vAlign w:val="center"/>
          </w:tcPr>
          <w:p>
            <w:pPr>
              <w:jc w:val="center"/>
              <w:rPr>
                <w:rFonts w:ascii="宋体" w:hAnsi="宋体" w:cs="宋体"/>
                <w:color w:val="auto"/>
                <w:szCs w:val="21"/>
              </w:rPr>
            </w:pPr>
            <w:r>
              <w:rPr>
                <w:rFonts w:hint="eastAsia"/>
                <w:color w:val="auto"/>
                <w:szCs w:val="21"/>
              </w:rPr>
              <w:t>25</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4K双通道O/E转换模块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1.配合智能光分发平台机框使用。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2.支持双通道E/O（电/光）转换。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▲3.支持12G-SDI / 4k 单链路。</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4.光输出波长1310nm。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5.配置HD-BNC 接口，输入自动均衡。</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90" w:type="dxa"/>
            <w:vAlign w:val="center"/>
          </w:tcPr>
          <w:p>
            <w:pPr>
              <w:jc w:val="center"/>
              <w:rPr>
                <w:rFonts w:ascii="宋体" w:hAnsi="宋体" w:cs="宋体"/>
                <w:color w:val="auto"/>
                <w:szCs w:val="21"/>
              </w:rPr>
            </w:pPr>
            <w:r>
              <w:rPr>
                <w:rFonts w:hint="eastAsia"/>
                <w:color w:val="auto"/>
                <w:szCs w:val="21"/>
              </w:rPr>
              <w:t>26</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4K双通道E/O转换模块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1.配合智能光分发平台机框使用。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2.支持双通道 O/E （光/电）转换。</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▲3.支持12G-SDI / 4k单链路。</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4.采用PIN receiver。</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5.配置HD-BNC 接口，输出带再生时钟。</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590" w:type="dxa"/>
            <w:vAlign w:val="center"/>
          </w:tcPr>
          <w:p>
            <w:pPr>
              <w:jc w:val="center"/>
              <w:rPr>
                <w:rFonts w:ascii="宋体" w:hAnsi="宋体" w:cs="宋体"/>
                <w:color w:val="auto"/>
                <w:szCs w:val="21"/>
              </w:rPr>
            </w:pPr>
            <w:r>
              <w:rPr>
                <w:rFonts w:hint="eastAsia"/>
                <w:color w:val="auto"/>
                <w:szCs w:val="21"/>
              </w:rPr>
              <w:t>27</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SFP 4K光发模块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1.与4K双通道E/O转换模块配套使用。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2.支持AutoSFP，支持热插拔，符合SMPTE ST 2082-1，ST 2081-1,424M，292M，297-2006，支持SFF-8472诊断功能，符合Class 1 21CFR and IEC60825-1 激光安全等级。</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3.▲支持标清/高清/3G/6G 和 12G-SDI信号传输，支持4k和8k的UHDTV信号传输。</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4.光输出波长1310nm。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5.单模。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6.光功率-8.2到2dBm，DFB激光器。</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590" w:type="dxa"/>
            <w:vAlign w:val="center"/>
          </w:tcPr>
          <w:p>
            <w:pPr>
              <w:jc w:val="center"/>
              <w:rPr>
                <w:rFonts w:ascii="宋体" w:hAnsi="宋体" w:cs="宋体"/>
                <w:color w:val="auto"/>
                <w:szCs w:val="21"/>
              </w:rPr>
            </w:pPr>
            <w:r>
              <w:rPr>
                <w:rFonts w:hint="eastAsia"/>
                <w:color w:val="auto"/>
                <w:szCs w:val="21"/>
              </w:rPr>
              <w:t>28</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SFP 4K光收模块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1.与4K双通道 O/E 转换模块配套使用。</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2.支持标清/高清/3G/6G 和 12G-SDI信号传输。</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3、光输入波长1260nm~1620nm。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4、单模。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5、光灵敏度-18到-14dBm。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6、最大光输入0dBm。</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590" w:type="dxa"/>
            <w:vAlign w:val="center"/>
          </w:tcPr>
          <w:p>
            <w:pPr>
              <w:jc w:val="center"/>
              <w:rPr>
                <w:rFonts w:ascii="宋体" w:hAnsi="宋体" w:cs="宋体"/>
                <w:color w:val="auto"/>
                <w:szCs w:val="21"/>
              </w:rPr>
            </w:pPr>
            <w:r>
              <w:rPr>
                <w:rFonts w:hint="eastAsia"/>
                <w:color w:val="auto"/>
                <w:szCs w:val="21"/>
              </w:rPr>
              <w:t>29</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SFP光收发模块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2块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1.支持传输Black Burst模拟同步信号。</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2.光输出波长1310nm，光输入波长1260nm~1620nm。</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3.单模。</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4.光功率-5到0dBm，F-P 激光器。</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90" w:type="dxa"/>
            <w:vAlign w:val="center"/>
          </w:tcPr>
          <w:p>
            <w:pPr>
              <w:jc w:val="center"/>
              <w:rPr>
                <w:rFonts w:ascii="宋体" w:hAnsi="宋体" w:cs="宋体"/>
                <w:color w:val="auto"/>
                <w:szCs w:val="21"/>
              </w:rPr>
            </w:pPr>
            <w:r>
              <w:rPr>
                <w:rFonts w:hint="eastAsia"/>
                <w:color w:val="auto"/>
                <w:szCs w:val="21"/>
              </w:rPr>
              <w:t>30</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千兆以太网模块</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2块</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1.支持AutoSFP，支持热插拔。</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2.符合IEEE 802.3：2005。</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3.支持SFF-8472诊断功能。</w:t>
            </w:r>
          </w:p>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4.支持1000BASE-T/LX千兆以太网信号传输。</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590" w:type="dxa"/>
            <w:vAlign w:val="center"/>
          </w:tcPr>
          <w:p>
            <w:pPr>
              <w:jc w:val="center"/>
              <w:rPr>
                <w:rFonts w:ascii="宋体" w:hAnsi="宋体" w:cs="宋体"/>
                <w:color w:val="auto"/>
                <w:szCs w:val="21"/>
              </w:rPr>
            </w:pPr>
            <w:r>
              <w:rPr>
                <w:rFonts w:hint="eastAsia"/>
                <w:color w:val="auto"/>
                <w:szCs w:val="21"/>
              </w:rPr>
              <w:t>31</w:t>
            </w:r>
          </w:p>
        </w:tc>
        <w:tc>
          <w:tcPr>
            <w:tcW w:w="744" w:type="dxa"/>
            <w:vAlign w:val="center"/>
          </w:tcPr>
          <w:p>
            <w:pPr>
              <w:tabs>
                <w:tab w:val="left" w:pos="180"/>
                <w:tab w:val="left" w:pos="1620"/>
              </w:tabs>
              <w:spacing w:line="360" w:lineRule="exact"/>
              <w:jc w:val="center"/>
              <w:rPr>
                <w:rFonts w:ascii="宋体" w:hAnsi="宋体" w:cs="宋体"/>
                <w:color w:val="auto"/>
                <w:szCs w:val="21"/>
              </w:rPr>
            </w:pPr>
            <w:r>
              <w:rPr>
                <w:rFonts w:hint="eastAsia" w:ascii="宋体" w:hAnsi="宋体" w:cs="宋体"/>
                <w:color w:val="auto"/>
                <w:szCs w:val="21"/>
              </w:rPr>
              <w:t>系统集成及辅材</w:t>
            </w:r>
          </w:p>
        </w:tc>
        <w:tc>
          <w:tcPr>
            <w:tcW w:w="930" w:type="dxa"/>
            <w:vAlign w:val="center"/>
          </w:tcPr>
          <w:p>
            <w:pPr>
              <w:pStyle w:val="12"/>
              <w:spacing w:line="360" w:lineRule="exact"/>
              <w:jc w:val="center"/>
              <w:rPr>
                <w:rFonts w:ascii="宋体" w:hAnsi="宋体" w:cs="宋体"/>
                <w:color w:val="auto"/>
                <w:szCs w:val="21"/>
              </w:rPr>
            </w:pPr>
            <w:r>
              <w:rPr>
                <w:rFonts w:hint="eastAsia" w:ascii="宋体" w:hAnsi="宋体" w:cs="宋体"/>
                <w:color w:val="auto"/>
                <w:szCs w:val="21"/>
              </w:rPr>
              <w:t>1项</w:t>
            </w:r>
          </w:p>
        </w:tc>
        <w:tc>
          <w:tcPr>
            <w:tcW w:w="6608" w:type="dxa"/>
            <w:vAlign w:val="center"/>
          </w:tcPr>
          <w:p>
            <w:pPr>
              <w:pStyle w:val="117"/>
              <w:keepNext w:val="0"/>
              <w:keepLines w:val="0"/>
              <w:pageBreakBefore w:val="0"/>
              <w:widowControl/>
              <w:kinsoku/>
              <w:wordWrap/>
              <w:overflowPunct/>
              <w:topLinePunct w:val="0"/>
              <w:autoSpaceDE/>
              <w:autoSpaceDN/>
              <w:bidi w:val="0"/>
              <w:adjustRightInd/>
              <w:snapToGrid/>
              <w:spacing w:line="420" w:lineRule="atLeast"/>
              <w:ind w:firstLine="420" w:firstLineChars="200"/>
              <w:jc w:val="left"/>
              <w:textAlignment w:val="auto"/>
              <w:rPr>
                <w:rFonts w:ascii="宋体" w:hAnsi="宋体"/>
                <w:color w:val="auto"/>
                <w:kern w:val="0"/>
                <w:szCs w:val="21"/>
              </w:rPr>
            </w:pPr>
            <w:r>
              <w:rPr>
                <w:rFonts w:hint="eastAsia" w:ascii="宋体" w:hAnsi="宋体"/>
                <w:color w:val="auto"/>
                <w:kern w:val="0"/>
                <w:szCs w:val="21"/>
              </w:rPr>
              <w:t>包含完成此项工程的所有相关电缆，光纤尾缆，接口头，工具等，专业技术人员现场安装调试、系统集成的工作。</w:t>
            </w:r>
          </w:p>
        </w:tc>
        <w:tc>
          <w:tcPr>
            <w:tcW w:w="133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360" w:lineRule="auto"/>
              <w:rPr>
                <w:color w:val="auto"/>
                <w:szCs w:val="21"/>
              </w:rPr>
            </w:pPr>
            <w:r>
              <w:rPr>
                <w:color w:val="auto"/>
                <w:szCs w:val="21"/>
              </w:rPr>
              <w:t>一、</w:t>
            </w:r>
            <w:r>
              <w:rPr>
                <w:b/>
                <w:color w:val="auto"/>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highlight w:val="none"/>
              </w:rPr>
              <w:t>售后服务要求</w:t>
            </w:r>
          </w:p>
        </w:tc>
        <w:tc>
          <w:tcPr>
            <w:tcW w:w="7940" w:type="dxa"/>
            <w:gridSpan w:val="2"/>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1.设备在运营期内，任何因设计、制造、安装工程等缺陷而发生的设备修改或更换，中标人应免费提供并负责修改工作。</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2.中标人提供的产品，在今后利用新技术方面有任何性能或功能的改进以及产品革新，中标人需免费书面通知采购人其改进和详细情况。若中标方的系统软件自然升级，中标方应免费提供给招标方。</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3.在保修期出现属设备质量问题，采购人则有权要求免费更换整机，更换产品的保修期从更换之日起相应顺延。</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4.中标人应提供7x24小时技术支持，在保修内系统设备运行发生故障时，接到故障通知2小时内响应，如电话支持不能解决，技术人员应4小时内到达事故现场，并应于24小时内完全解决故障，如不能在24小时内解决的，且属硬件故障原因而且48小时无法排除故障的，则应提供同等配置的备用设备以保证用户设备的正常运行。</w:t>
            </w:r>
          </w:p>
          <w:p>
            <w:pPr>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5.保修期内因维护、维修而产生的任何费用，均由中标人负责。</w:t>
            </w:r>
          </w:p>
          <w:p>
            <w:pPr>
              <w:spacing w:line="360" w:lineRule="auto"/>
              <w:ind w:firstLine="420" w:firstLineChars="200"/>
              <w:jc w:val="left"/>
              <w:rPr>
                <w:bCs/>
                <w:color w:val="auto"/>
                <w:szCs w:val="21"/>
                <w:highlight w:val="yellow"/>
              </w:rPr>
            </w:pPr>
            <w:r>
              <w:rPr>
                <w:rFonts w:hint="eastAsia" w:ascii="宋体" w:hAnsi="宋体" w:cs="宋体"/>
                <w:bCs/>
                <w:color w:val="auto"/>
                <w:szCs w:val="21"/>
              </w:rPr>
              <w:t>6.在保修期外，对于系统内出现故障的硬件和软件，中标人也应能及时修复或更换，且只收取工件的成本费。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合同签订时间</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Cs w:val="21"/>
                <w:highlight w:val="yellow"/>
              </w:rPr>
            </w:pPr>
            <w:r>
              <w:rPr>
                <w:color w:val="auto"/>
                <w:szCs w:val="21"/>
              </w:rPr>
              <w:t>自中标通知书发出之日起</w:t>
            </w:r>
            <w:r>
              <w:rPr>
                <w:color w:val="auto"/>
                <w:szCs w:val="21"/>
                <w:u w:val="single"/>
              </w:rPr>
              <w:t xml:space="preserve">  25  </w:t>
            </w:r>
            <w:r>
              <w:rPr>
                <w:color w:val="auto"/>
                <w:szCs w:val="21"/>
              </w:rPr>
              <w:t>日内（最迟不能超过25日）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交付时间及地点</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▲1.交货期：合同签订后90天内交货。</w:t>
            </w:r>
          </w:p>
          <w:p>
            <w:pPr>
              <w:spacing w:line="360" w:lineRule="auto"/>
              <w:jc w:val="left"/>
              <w:rPr>
                <w:color w:val="auto"/>
                <w:szCs w:val="21"/>
                <w:highlight w:val="none"/>
              </w:rPr>
            </w:pPr>
            <w:r>
              <w:rPr>
                <w:rFonts w:hint="eastAsia" w:ascii="宋体" w:hAnsi="宋体" w:cs="宋体"/>
                <w:color w:val="auto"/>
                <w:szCs w:val="21"/>
                <w:highlight w:val="none"/>
              </w:rPr>
              <w:t>2.交付地点：</w:t>
            </w:r>
            <w:r>
              <w:rPr>
                <w:rFonts w:hint="eastAsia" w:ascii="宋体" w:hAnsi="宋体" w:cs="宋体"/>
                <w:color w:val="auto"/>
                <w:highlight w:val="none"/>
              </w:rPr>
              <w:t>南宁市内</w:t>
            </w:r>
            <w:r>
              <w:rPr>
                <w:rFonts w:hint="eastAsia" w:ascii="宋体" w:hAnsi="宋体" w:cs="宋体"/>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付款条件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auto"/>
                <w:highlight w:val="none"/>
              </w:rPr>
            </w:pPr>
            <w:r>
              <w:rPr>
                <w:rFonts w:hint="eastAsia" w:ascii="宋体" w:hAnsi="宋体" w:cs="宋体"/>
                <w:color w:val="auto"/>
                <w:szCs w:val="21"/>
                <w:highlight w:val="none"/>
              </w:rPr>
              <w:t>付款方式：合同签订后5个工作日内支付合同总额的 30 %，交付安装调试验收合格后5个工作日内支付合同总额的60 %，整体项目验收合格后一年内无质量问题的支付合同总额的10%。乙方每次收到货款之日起三个工作日内将正式合法有效的增值税专用发票开具给甲方。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rPr>
            </w:pPr>
            <w:r>
              <w:rPr>
                <w:color w:val="auto"/>
              </w:rPr>
              <w:t>履约保证金</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left"/>
              <w:rPr>
                <w:color w:val="auto"/>
                <w:highlight w:val="none"/>
              </w:rPr>
            </w:pPr>
            <w:r>
              <w:rPr>
                <w:color w:val="auto"/>
                <w:highlight w:val="none"/>
              </w:rPr>
              <w:t>1.履约保证金金额：</w:t>
            </w:r>
            <w:r>
              <w:rPr>
                <w:color w:val="auto"/>
                <w:szCs w:val="21"/>
                <w:highlight w:val="none"/>
              </w:rPr>
              <w:t>按中标金额的</w:t>
            </w:r>
            <w:r>
              <w:rPr>
                <w:color w:val="auto"/>
                <w:szCs w:val="21"/>
                <w:highlight w:val="none"/>
                <w:u w:val="single"/>
              </w:rPr>
              <w:t xml:space="preserve"> 2 </w:t>
            </w:r>
            <w:r>
              <w:rPr>
                <w:color w:val="auto"/>
                <w:szCs w:val="21"/>
                <w:highlight w:val="none"/>
              </w:rPr>
              <w:t>%收取，并于合同签订前提交至采购人指定账户。</w:t>
            </w:r>
          </w:p>
          <w:p>
            <w:pPr>
              <w:spacing w:line="360" w:lineRule="auto"/>
              <w:jc w:val="left"/>
              <w:rPr>
                <w:color w:val="auto"/>
                <w:highlight w:val="none"/>
              </w:rPr>
            </w:pPr>
            <w:r>
              <w:rPr>
                <w:color w:val="auto"/>
                <w:highlight w:val="none"/>
              </w:rPr>
              <w:t>2.履约保证金递交方式：支票、汇票、本票，或者银行、保险机构出具的保函等非现金方式。</w:t>
            </w:r>
          </w:p>
          <w:p>
            <w:pPr>
              <w:spacing w:line="360" w:lineRule="auto"/>
              <w:jc w:val="left"/>
              <w:rPr>
                <w:color w:val="auto"/>
                <w:highlight w:val="none"/>
              </w:rPr>
            </w:pPr>
            <w:r>
              <w:rPr>
                <w:color w:val="auto"/>
                <w:highlight w:val="none"/>
              </w:rPr>
              <w:t>3.履约保证金退付的方式、时间及条件：</w:t>
            </w:r>
            <w:r>
              <w:rPr>
                <w:rFonts w:hint="eastAsia"/>
                <w:color w:val="auto"/>
                <w:highlight w:val="none"/>
              </w:rPr>
              <w:t>履约保证金在中标人按合同约定的项目验收交付正常运行一年后，由中标人向采购人提供《采购项目合同验收书》及《采购项目履约保证金退付意见书》（详见附件），甲方在收到合格材料后15个工作日内如数退还（不计利息）。采购人无故延期退付履约保证金的，每天向对方偿付未退付履约保证金3‰作为违约金。</w:t>
            </w:r>
          </w:p>
          <w:p>
            <w:pPr>
              <w:spacing w:line="360" w:lineRule="auto"/>
              <w:jc w:val="left"/>
              <w:rPr>
                <w:color w:val="auto"/>
                <w:highlight w:val="none"/>
              </w:rPr>
            </w:pPr>
            <w:r>
              <w:rPr>
                <w:color w:val="auto"/>
                <w:highlight w:val="none"/>
              </w:rPr>
              <w:t>4.不予退还的情形：签订合同后，如</w:t>
            </w:r>
            <w:r>
              <w:rPr>
                <w:rFonts w:hint="eastAsia"/>
                <w:color w:val="auto"/>
                <w:highlight w:val="none"/>
              </w:rPr>
              <w:t>中标人</w:t>
            </w:r>
            <w:r>
              <w:rPr>
                <w:color w:val="auto"/>
                <w:highlight w:val="none"/>
              </w:rPr>
              <w:t>不按双方签订的合同规定履约，则其全部履约保证金不予退还。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产品授权文件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szCs w:val="21"/>
                <w:highlight w:val="none"/>
              </w:rPr>
            </w:pPr>
            <w:r>
              <w:rPr>
                <w:color w:val="auto"/>
                <w:szCs w:val="21"/>
                <w:highlight w:val="none"/>
              </w:rPr>
              <w:t>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highlight w:val="none"/>
              </w:rPr>
              <w:t>验收标准</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1.设备到货验收及安装、调试</w:t>
            </w:r>
          </w:p>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相关硬件设备到货后，本项目中标人负责设备到货验收、初步调试，由本项目中标人负责上架安装及全部线缆的</w:t>
            </w:r>
            <w:r>
              <w:rPr>
                <w:rFonts w:hint="eastAsia" w:ascii="宋体" w:hAnsi="宋体" w:eastAsia="宋体" w:cs="宋体"/>
                <w:b w:val="0"/>
                <w:bCs/>
                <w:color w:val="auto"/>
                <w:sz w:val="21"/>
                <w:szCs w:val="21"/>
                <w:highlight w:val="none"/>
                <w:lang w:val="en-US" w:eastAsia="zh-CN"/>
              </w:rPr>
              <w:t>接入</w:t>
            </w:r>
            <w:r>
              <w:rPr>
                <w:rFonts w:hint="eastAsia" w:ascii="宋体" w:hAnsi="宋体" w:eastAsia="宋体" w:cs="宋体"/>
                <w:b w:val="0"/>
                <w:bCs/>
                <w:color w:val="auto"/>
                <w:sz w:val="21"/>
                <w:szCs w:val="21"/>
                <w:highlight w:val="none"/>
              </w:rPr>
              <w:t>。</w:t>
            </w:r>
          </w:p>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2.设备验收、安装调试及测试</w:t>
            </w:r>
          </w:p>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需完成到货验收，并负责安装调试及测试，主动提交测试所需的各类文档、样本样例或工具，主动配合整改。</w:t>
            </w:r>
          </w:p>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3.测试与验收要求</w:t>
            </w:r>
          </w:p>
          <w:p>
            <w:pPr>
              <w:pStyle w:val="111"/>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Times New Roman" w:hAnsi="Times New Roman"/>
                <w:color w:val="auto"/>
                <w:szCs w:val="21"/>
                <w:highlight w:val="none"/>
              </w:rPr>
            </w:pPr>
            <w:r>
              <w:rPr>
                <w:rFonts w:hint="eastAsia" w:ascii="宋体" w:hAnsi="宋体" w:eastAsia="宋体" w:cs="宋体"/>
                <w:b w:val="0"/>
                <w:bCs/>
                <w:color w:val="auto"/>
                <w:sz w:val="21"/>
                <w:szCs w:val="21"/>
                <w:highlight w:val="none"/>
              </w:rPr>
              <w:t>系统试运行前须通过招标人指定的验收测试，包括软件测试、硬件测试、传输流和视音频相关测试、信息安全测试等。项目通过测试并在试运行合格后，提交工程竣工报告（包含要求的各类规划模块及施工等文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其他要求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1.投标报价为采购人指定地点的现场交货价，包括：</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1.1 投标人就《货物需求一览表》中全部内容作完整唯一报价，不完整响应或拆分投标的将导致投标无效；</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1.2 本项目投标应以人民币报价；</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1.3 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1.4 本项目报价为产品送达采购人指定地点进行安装，经采购人验收合格所发生的一切费用，其包括但不限于以下费用：产品（含主要设备、配件、辅材）供应、运输装卸费、保险费、安装费、调试费、行政规费与税费、产品检验检测、操作人员培训费、管理费、验收费、质保期技术支持及运行维护费用、招标代理服务费等与本项目相关的一切费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1.5 投标人漏报的单价或每单价报价中漏报、少报的费用，视为此项费用已隐含在投标报价中，中标后不得再向采购人收取任何费用。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2.投标时请提供售后服务承诺书：明确保修期、故障响应时间、培训时间、售后服务技术人员名单和联系方式、不定期走访用户、保修期限外零配件若损坏，提供零配件优惠服务方案等。</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3.投标人必须承诺设备验收合格后免费对采购人的使用人员进行操作及相关知识的培训，并确保有1～2人能熟练使用设备，并能排除简单的软硬件故障。</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4.设备必须是全新、完整、未使用过的产品；设备到货后，供货商和购买方应在现场进行清点；清点过程中如果发现因包装或运输不当引起的设备外观或内部的损坏，供货商应负责更换；若发现错发/漏发情况，供货商应负责更换和补发。</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5.安装标准及验收标准：符合我国国家有关技术规范和技术标准；设备安装后，广西广播电视台按国际和国家标准及厂方标准进行质量验收；供应商应向采购人提供详细的验收收标准、验收手册。</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bCs/>
                <w:color w:val="auto"/>
                <w:szCs w:val="21"/>
                <w:highlight w:val="none"/>
              </w:rPr>
            </w:pPr>
            <w:r>
              <w:rPr>
                <w:rFonts w:hint="eastAsia" w:ascii="宋体" w:hAnsi="宋体" w:cs="宋体"/>
                <w:bCs/>
                <w:color w:val="auto"/>
                <w:szCs w:val="21"/>
                <w:highlight w:val="none"/>
              </w:rPr>
              <w:t>6.采购人设备主管科室对本合同质保服务内容进行全程对接和监督并对服务情况进行客观记录，在每个合同年度期结束时，由设备主管科室根据合同约定的服务内容、响应情况、服务态度及过程记录，对违反合同条款和不按合同要求履约的或被使用科室有效投诉2次，每事项每次扣罚履约金的10%。</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7.采购人在货物交货验收阶段发现货物的技术参数指标达不到招标文件该货物技术参数要求的，属虚假应标行为，采购人将终止合同拒收货物，追究该中标单位违约责任，赔偿采购人因采购时间延长造成采购人经济等方面损失，视情况采购人将违约情况上报政府采购监督管理部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8.本章所列技术要求中，所有参数与性能均指满足使用需求的最低标准，投标人提供的货物或服务低于此标准的即视为负偏离并按评分标准进行相应打分；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9.对于投标人不能满足的技术或服务要求，应在投标文件中详细载明，内容应包括不能完全满足的条款及投标人所能提供的替代响应方案等。未附相应偏离说明的条款或技术规格均视为满足采购需求，一旦中标，将按照招标文件载明的技术及服务需求进行验收，不能达到验收标准的，视为虚假应标；</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10.投标人制作的投标文件中应体现投标方案与招标文件技术、商务要求的符合程度，还应提供包括但不限于以下材料：</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获奖情况、类似业绩、售后服务方案、技术培训方案、系统总体设计能力的证明材料、系统执行能力的证明材料等；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b/>
                <w:color w:val="auto"/>
                <w:szCs w:val="21"/>
                <w:highlight w:val="none"/>
              </w:rPr>
            </w:pPr>
            <w:r>
              <w:rPr>
                <w:rFonts w:hint="eastAsia" w:ascii="宋体" w:hAnsi="宋体" w:cs="宋体"/>
                <w:color w:val="auto"/>
                <w:szCs w:val="21"/>
                <w:highlight w:val="none"/>
              </w:rPr>
              <w:t>12.招标文件中的合同仅为合同的参考文本，最终以双方另行协商确认的合同版本为准。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360" w:lineRule="auto"/>
              <w:rPr>
                <w:b/>
                <w:color w:val="auto"/>
                <w:szCs w:val="21"/>
                <w:highlight w:val="none"/>
              </w:rPr>
            </w:pPr>
            <w:r>
              <w:rPr>
                <w:b/>
                <w:color w:val="auto"/>
                <w:szCs w:val="21"/>
                <w:highlight w:val="none"/>
              </w:rPr>
              <w:t>▲三、核心产品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tcPr>
          <w:p>
            <w:pPr>
              <w:spacing w:line="360" w:lineRule="auto"/>
              <w:rPr>
                <w:b/>
                <w:bCs/>
                <w:color w:val="auto"/>
                <w:highlight w:val="none"/>
              </w:rPr>
            </w:pPr>
            <w:r>
              <w:rPr>
                <w:b/>
                <w:color w:val="auto"/>
                <w:szCs w:val="21"/>
                <w:highlight w:val="none"/>
              </w:rPr>
              <w:t>本表的核心产品为：</w:t>
            </w:r>
            <w:r>
              <w:rPr>
                <w:rFonts w:hint="eastAsia" w:ascii="宋体" w:hAnsi="宋体" w:cs="宋体"/>
                <w:b/>
                <w:color w:val="auto"/>
                <w:szCs w:val="21"/>
                <w:highlight w:val="none"/>
              </w:rPr>
              <w:t>第</w:t>
            </w:r>
            <w:r>
              <w:rPr>
                <w:rFonts w:hint="eastAsia" w:ascii="宋体" w:hAnsi="宋体" w:cs="宋体"/>
                <w:b/>
                <w:color w:val="auto"/>
                <w:szCs w:val="21"/>
                <w:highlight w:val="none"/>
                <w:u w:val="single"/>
              </w:rPr>
              <w:t xml:space="preserve"> 1 </w:t>
            </w:r>
            <w:r>
              <w:rPr>
                <w:rFonts w:hint="eastAsia" w:ascii="宋体" w:hAnsi="宋体" w:cs="宋体"/>
                <w:b/>
                <w:color w:val="auto"/>
                <w:szCs w:val="21"/>
                <w:highlight w:val="none"/>
              </w:rPr>
              <w:t>项产品：</w:t>
            </w:r>
            <w:r>
              <w:rPr>
                <w:rFonts w:hint="eastAsia"/>
                <w:b/>
                <w:color w:val="auto"/>
                <w:szCs w:val="21"/>
                <w:highlight w:val="none"/>
              </w:rPr>
              <w:t>高标清编码器、</w:t>
            </w:r>
            <w:r>
              <w:rPr>
                <w:rFonts w:hint="eastAsia" w:ascii="宋体" w:hAnsi="宋体" w:cs="宋体"/>
                <w:b/>
                <w:color w:val="auto"/>
                <w:szCs w:val="21"/>
                <w:highlight w:val="none"/>
              </w:rPr>
              <w:t>第</w:t>
            </w:r>
            <w:r>
              <w:rPr>
                <w:rFonts w:hint="eastAsia" w:ascii="宋体" w:hAnsi="宋体" w:cs="宋体"/>
                <w:b/>
                <w:color w:val="auto"/>
                <w:szCs w:val="21"/>
                <w:highlight w:val="none"/>
                <w:u w:val="single"/>
              </w:rPr>
              <w:t xml:space="preserve"> 4 </w:t>
            </w:r>
            <w:r>
              <w:rPr>
                <w:rFonts w:hint="eastAsia" w:ascii="宋体" w:hAnsi="宋体" w:cs="宋体"/>
                <w:b/>
                <w:color w:val="auto"/>
                <w:szCs w:val="21"/>
                <w:highlight w:val="none"/>
              </w:rPr>
              <w:t>项产品：</w:t>
            </w:r>
            <w:r>
              <w:rPr>
                <w:rFonts w:hint="eastAsia"/>
                <w:b/>
                <w:color w:val="auto"/>
                <w:szCs w:val="21"/>
                <w:highlight w:val="none"/>
              </w:rPr>
              <w:t>复用器、</w:t>
            </w:r>
            <w:r>
              <w:rPr>
                <w:rFonts w:hint="eastAsia" w:ascii="宋体" w:hAnsi="宋体" w:cs="宋体"/>
                <w:b/>
                <w:color w:val="auto"/>
                <w:szCs w:val="21"/>
                <w:highlight w:val="none"/>
              </w:rPr>
              <w:t>第</w:t>
            </w:r>
            <w:r>
              <w:rPr>
                <w:rFonts w:hint="eastAsia" w:ascii="宋体" w:hAnsi="宋体" w:cs="宋体"/>
                <w:b/>
                <w:color w:val="auto"/>
                <w:szCs w:val="21"/>
                <w:highlight w:val="none"/>
                <w:u w:val="single"/>
              </w:rPr>
              <w:t xml:space="preserve"> 14 </w:t>
            </w:r>
            <w:r>
              <w:rPr>
                <w:rFonts w:hint="eastAsia" w:ascii="宋体" w:hAnsi="宋体" w:cs="宋体"/>
                <w:b/>
                <w:color w:val="auto"/>
                <w:szCs w:val="21"/>
                <w:highlight w:val="none"/>
              </w:rPr>
              <w:t>项产品：</w:t>
            </w:r>
            <w:r>
              <w:rPr>
                <w:rFonts w:hint="eastAsia"/>
                <w:b/>
                <w:color w:val="auto"/>
                <w:szCs w:val="21"/>
                <w:highlight w:val="none"/>
              </w:rPr>
              <w:t>网管系统</w:t>
            </w:r>
            <w:r>
              <w:rPr>
                <w:b/>
                <w:color w:val="auto"/>
                <w:szCs w:val="21"/>
                <w:highlight w:val="none"/>
              </w:rPr>
              <w:t>。</w:t>
            </w:r>
            <w:r>
              <w:rPr>
                <w:b/>
                <w:bCs/>
                <w:color w:val="auto"/>
                <w:highlight w:val="none"/>
              </w:rPr>
              <w:t>（核心产品品牌相同的，视为提供同品牌产品）</w:t>
            </w:r>
          </w:p>
          <w:p>
            <w:pPr>
              <w:spacing w:line="360" w:lineRule="auto"/>
              <w:rPr>
                <w:b/>
                <w:color w:val="auto"/>
                <w:szCs w:val="21"/>
                <w:highlight w:val="none"/>
              </w:rPr>
            </w:pPr>
            <w:r>
              <w:rPr>
                <w:color w:val="auto"/>
                <w:highlight w:val="none"/>
              </w:rPr>
              <w:t>注：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指标优劣顺序排列），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color w:val="auto"/>
                <w:szCs w:val="21"/>
              </w:rPr>
            </w:pPr>
            <w:r>
              <w:rPr>
                <w:b/>
                <w:color w:val="auto"/>
                <w:szCs w:val="21"/>
              </w:rPr>
              <w:t>四、投标人的履约能力要求表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质量管理、企业信用要求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见本招标文件</w:t>
            </w:r>
            <w:r>
              <w:rPr>
                <w:rFonts w:hint="eastAsia"/>
                <w:color w:val="auto"/>
                <w:szCs w:val="21"/>
                <w:lang w:eastAsia="zh-CN"/>
              </w:rPr>
              <w:t>“</w:t>
            </w:r>
            <w:r>
              <w:rPr>
                <w:color w:val="auto"/>
                <w:szCs w:val="21"/>
              </w:rPr>
              <w:t>评标办法及评分标准</w:t>
            </w:r>
            <w:r>
              <w:rPr>
                <w:rFonts w:hint="eastAsia"/>
                <w:color w:val="auto"/>
                <w:szCs w:val="21"/>
                <w:lang w:eastAsia="zh-CN"/>
              </w:rPr>
              <w:t>”</w:t>
            </w:r>
            <w:r>
              <w:rPr>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能力或者业绩要求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见本招标文件</w:t>
            </w:r>
            <w:r>
              <w:rPr>
                <w:rFonts w:hint="eastAsia"/>
                <w:color w:val="auto"/>
                <w:szCs w:val="21"/>
                <w:lang w:eastAsia="zh-CN"/>
              </w:rPr>
              <w:t>“</w:t>
            </w:r>
            <w:r>
              <w:rPr>
                <w:color w:val="auto"/>
                <w:szCs w:val="21"/>
              </w:rPr>
              <w:t>评标办法及评分标准</w:t>
            </w:r>
            <w:r>
              <w:rPr>
                <w:rFonts w:hint="eastAsia"/>
                <w:color w:val="auto"/>
                <w:szCs w:val="21"/>
                <w:lang w:eastAsia="zh-CN"/>
              </w:rPr>
              <w:t>”</w:t>
            </w:r>
            <w:r>
              <w:rPr>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color w:val="auto"/>
                <w:szCs w:val="21"/>
              </w:rPr>
            </w:pPr>
            <w:r>
              <w:rPr>
                <w:b/>
                <w:color w:val="auto"/>
                <w:szCs w:val="21"/>
              </w:rPr>
              <w:t>五、政策性加分条件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政策性加分条件</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b/>
                <w:color w:val="auto"/>
                <w:szCs w:val="21"/>
              </w:rPr>
              <w:t>六、其他要求</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color w:val="auto"/>
                <w:szCs w:val="21"/>
              </w:rPr>
            </w:pPr>
            <w:r>
              <w:rPr>
                <w:b/>
                <w:color w:val="auto"/>
                <w:szCs w:val="21"/>
              </w:rPr>
              <w:t>七、进口产品说明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color w:val="auto"/>
                <w:szCs w:val="21"/>
              </w:rPr>
              <w:t>进口产品说明</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b/>
                <w:color w:val="auto"/>
                <w:szCs w:val="21"/>
              </w:rPr>
              <w:t>☑</w:t>
            </w:r>
            <w:r>
              <w:rPr>
                <w:color w:val="auto"/>
                <w:szCs w:val="21"/>
              </w:rPr>
              <w:t>本表</w:t>
            </w:r>
            <w:r>
              <w:rPr>
                <w:rFonts w:hint="eastAsia"/>
                <w:color w:val="auto"/>
                <w:szCs w:val="21"/>
              </w:rPr>
              <w:t>货物</w:t>
            </w:r>
          </w:p>
          <w:p>
            <w:pPr>
              <w:spacing w:line="360" w:lineRule="auto"/>
              <w:rPr>
                <w:color w:val="auto"/>
                <w:szCs w:val="21"/>
              </w:rPr>
            </w:pPr>
            <w:r>
              <w:rPr>
                <w:rFonts w:hint="eastAsia" w:ascii="宋体" w:hAnsi="宋体" w:cs="宋体"/>
                <w:color w:val="auto"/>
                <w:szCs w:val="21"/>
              </w:rPr>
              <w:t>第1项“高标清编码器”、第4项“复用器”、第6项“多通道ASI切换器”、第8项“单通道ASI切换器”、第10项“多通道IP切换器”、第14项“网管系统”、第19项“跳线器”、第20项“智能光分发平台机框”、第21项“4*3G HD-SDI板卡”、第22项“4*3G HD-SDI板卡接口板”、第23项“SFP双路光发模块”、第24项“SFP双路光收模块”、第25项“4K双通道O/E转换模块”、第26项“4K双通道E/O转换模块”、第27项“SFP 4K光发模块”、第28项“SFP 4K光收模块”、第29项“SFP光收发模块”、第30项“千兆以太网模块”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Pr>
                <w:color w:val="auto"/>
                <w:szCs w:val="21"/>
              </w:rPr>
              <w:t>，</w:t>
            </w:r>
            <w:r>
              <w:rPr>
                <w:b/>
                <w:color w:val="auto"/>
                <w:szCs w:val="21"/>
              </w:rPr>
              <w:t>否则作无效标处理。</w:t>
            </w:r>
          </w:p>
          <w:p>
            <w:pPr>
              <w:spacing w:line="360" w:lineRule="auto"/>
              <w:rPr>
                <w:color w:val="auto"/>
                <w:szCs w:val="21"/>
              </w:rPr>
            </w:pPr>
            <w:r>
              <w:rPr>
                <w:rFonts w:hint="eastAsia"/>
                <w:color w:val="auto"/>
                <w:szCs w:val="21"/>
                <w:lang w:eastAsia="zh-CN"/>
              </w:rPr>
              <w:t>□</w:t>
            </w:r>
            <w:r>
              <w:rPr>
                <w:color w:val="auto"/>
                <w:szCs w:val="21"/>
              </w:rPr>
              <w:t>本分标货物不接受进口产品（即通过中国海关报关验放进入中国境内且产自关境外的产品）参与投标，</w:t>
            </w:r>
            <w:r>
              <w:rPr>
                <w:b/>
                <w:color w:val="auto"/>
                <w:szCs w:val="21"/>
              </w:rPr>
              <w:t>如有进口产品参与投标的作无效标处理</w:t>
            </w:r>
            <w:r>
              <w:rPr>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color w:val="auto"/>
                <w:szCs w:val="21"/>
              </w:rPr>
            </w:pPr>
            <w:r>
              <w:rPr>
                <w:b/>
                <w:color w:val="auto"/>
                <w:szCs w:val="21"/>
              </w:rPr>
              <w:t>八、与本项目有关的设计图纸、技术规范、文件等附件资料及其获取方式（如有）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文件或者资料名称</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公布渠道或者获取方式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rPr>
            </w:pPr>
            <w:r>
              <w:rPr>
                <w:color w:val="auto"/>
                <w:szCs w:val="21"/>
              </w:rPr>
              <w:t>无</w:t>
            </w:r>
          </w:p>
        </w:tc>
        <w:tc>
          <w:tcPr>
            <w:tcW w:w="7940" w:type="dxa"/>
            <w:gridSpan w:val="2"/>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color w:val="auto"/>
              </w:rPr>
            </w:pPr>
            <w:r>
              <w:rPr>
                <w:color w:val="auto"/>
              </w:rPr>
              <w:t>无</w:t>
            </w:r>
          </w:p>
        </w:tc>
      </w:tr>
    </w:tbl>
    <w:p>
      <w:pPr>
        <w:spacing w:line="360" w:lineRule="auto"/>
        <w:ind w:firstLine="219" w:firstLineChars="104"/>
        <w:jc w:val="left"/>
        <w:rPr>
          <w:rFonts w:ascii="宋体" w:hAnsi="宋体" w:cs="宋体"/>
          <w:b/>
          <w:bCs/>
          <w:color w:val="auto"/>
          <w:szCs w:val="21"/>
        </w:rPr>
      </w:pPr>
      <w:r>
        <w:rPr>
          <w:rFonts w:hint="eastAsia" w:ascii="宋体" w:hAnsi="宋体" w:cs="宋体"/>
          <w:b/>
          <w:bCs/>
          <w:color w:val="auto"/>
          <w:szCs w:val="21"/>
        </w:rPr>
        <w:br w:type="page"/>
      </w:r>
    </w:p>
    <w:p>
      <w:pPr>
        <w:pStyle w:val="4"/>
        <w:keepNext w:val="0"/>
        <w:keepLines w:val="0"/>
        <w:jc w:val="center"/>
        <w:rPr>
          <w:color w:val="auto"/>
        </w:rPr>
      </w:pPr>
      <w:bookmarkStart w:id="52" w:name="_Toc19686831"/>
      <w:r>
        <w:rPr>
          <w:rFonts w:hint="eastAsia"/>
          <w:color w:val="auto"/>
        </w:rPr>
        <w:t>第三章  投标人须知</w:t>
      </w:r>
      <w:bookmarkEnd w:id="52"/>
    </w:p>
    <w:p>
      <w:pPr>
        <w:jc w:val="center"/>
        <w:rPr>
          <w:color w:val="auto"/>
          <w:sz w:val="36"/>
          <w:szCs w:val="36"/>
        </w:rPr>
      </w:pPr>
      <w:bookmarkStart w:id="53" w:name="_Toc254970526"/>
      <w:bookmarkStart w:id="54" w:name="_Toc254970667"/>
      <w:r>
        <w:rPr>
          <w:rFonts w:hint="eastAsia"/>
          <w:color w:val="auto"/>
          <w:sz w:val="36"/>
          <w:szCs w:val="36"/>
        </w:rPr>
        <w:t>投标人须知前附表</w:t>
      </w:r>
      <w:bookmarkEnd w:id="53"/>
      <w:bookmarkEnd w:id="54"/>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8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条款号</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hint="eastAsia" w:ascii="宋体" w:hAnsi="宋体"/>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3</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olor w:val="auto"/>
                <w:szCs w:val="21"/>
              </w:rPr>
            </w:pPr>
            <w:r>
              <w:rPr>
                <w:rFonts w:hint="eastAsia" w:ascii="宋体" w:hAnsi="宋体"/>
                <w:color w:val="auto"/>
                <w:szCs w:val="21"/>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bookmarkStart w:id="55" w:name="_5"/>
            <w:bookmarkEnd w:id="55"/>
            <w:bookmarkStart w:id="56" w:name="_9.2"/>
            <w:bookmarkEnd w:id="56"/>
            <w:bookmarkStart w:id="57" w:name="_8.1"/>
            <w:bookmarkEnd w:id="57"/>
            <w:r>
              <w:rPr>
                <w:rFonts w:hint="eastAsia" w:ascii="宋体" w:hAnsi="宋体"/>
                <w:color w:val="auto"/>
                <w:szCs w:val="21"/>
              </w:rPr>
              <w:t>6.1</w:t>
            </w:r>
          </w:p>
        </w:tc>
        <w:tc>
          <w:tcPr>
            <w:tcW w:w="8890"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rPr>
                <w:rFonts w:ascii="宋体" w:hAnsi="宋体"/>
                <w:color w:val="auto"/>
                <w:szCs w:val="21"/>
              </w:rPr>
            </w:pPr>
            <w:r>
              <w:rPr>
                <w:rFonts w:hint="eastAsia" w:ascii="宋体" w:hAnsi="宋体"/>
                <w:color w:val="auto"/>
                <w:szCs w:val="21"/>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ascii="宋体" w:hAnsi="宋体"/>
                <w:color w:val="auto"/>
                <w:szCs w:val="21"/>
              </w:rPr>
              <w:t>6.2</w:t>
            </w:r>
          </w:p>
        </w:tc>
        <w:tc>
          <w:tcPr>
            <w:tcW w:w="8890"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rPr>
                <w:rFonts w:ascii="宋体" w:hAnsi="宋体"/>
                <w:color w:val="auto"/>
                <w:szCs w:val="21"/>
              </w:rPr>
            </w:pPr>
            <w:bookmarkStart w:id="58" w:name="_Hlk54105293"/>
            <w:r>
              <w:rPr>
                <w:rFonts w:hint="eastAsia" w:ascii="宋体" w:hAnsi="宋体"/>
                <w:color w:val="auto"/>
                <w:szCs w:val="21"/>
              </w:rPr>
              <w:t>如接受联合体投标，</w:t>
            </w:r>
            <w:bookmarkEnd w:id="58"/>
            <w:r>
              <w:rPr>
                <w:rFonts w:hint="eastAsia" w:ascii="宋体" w:hAnsi="宋体"/>
                <w:color w:val="auto"/>
                <w:szCs w:val="21"/>
              </w:rPr>
              <w:t>联合体投标要求如下：无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7.2</w:t>
            </w:r>
          </w:p>
        </w:tc>
        <w:tc>
          <w:tcPr>
            <w:tcW w:w="8890"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rPr>
                <w:rFonts w:ascii="宋体" w:hAnsi="宋体"/>
                <w:color w:val="auto"/>
                <w:szCs w:val="21"/>
                <w:u w:val="single"/>
              </w:rPr>
            </w:pPr>
            <w:r>
              <w:rPr>
                <w:rFonts w:hint="eastAsia" w:ascii="宋体" w:hAnsi="宋体"/>
                <w:b/>
                <w:color w:val="auto"/>
                <w:szCs w:val="21"/>
              </w:rPr>
              <w:t>☑</w:t>
            </w:r>
            <w:r>
              <w:rPr>
                <w:rFonts w:hint="eastAsia" w:ascii="宋体" w:hAnsi="宋体"/>
                <w:color w:val="auto"/>
                <w:szCs w:val="21"/>
              </w:rPr>
              <w:t>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1</w:t>
            </w:r>
            <w:r>
              <w:rPr>
                <w:rFonts w:ascii="宋体" w:hAnsi="宋体"/>
                <w:color w:val="auto"/>
                <w:szCs w:val="21"/>
              </w:rPr>
              <w:t>1.2</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b/>
                <w:color w:val="auto"/>
                <w:szCs w:val="21"/>
              </w:rPr>
              <w:t>☑</w:t>
            </w:r>
            <w:r>
              <w:rPr>
                <w:rFonts w:hint="eastAsia" w:ascii="宋体" w:hAnsi="宋体"/>
                <w:color w:val="auto"/>
                <w:szCs w:val="21"/>
              </w:rPr>
              <w:t>不组织现场考察</w:t>
            </w:r>
          </w:p>
          <w:p>
            <w:pPr>
              <w:snapToGrid w:val="0"/>
              <w:spacing w:line="360" w:lineRule="exact"/>
              <w:rPr>
                <w:rFonts w:ascii="宋体" w:hAnsi="宋体"/>
                <w:color w:val="auto"/>
                <w:szCs w:val="21"/>
              </w:rPr>
            </w:pPr>
            <w:r>
              <w:rPr>
                <w:rFonts w:hint="eastAsia" w:ascii="宋体" w:hAnsi="宋体"/>
                <w:b/>
                <w:color w:val="auto"/>
                <w:szCs w:val="21"/>
              </w:rPr>
              <w:t>☑</w:t>
            </w:r>
            <w:r>
              <w:rPr>
                <w:rFonts w:hint="eastAsia" w:ascii="宋体" w:hAnsi="宋体"/>
                <w:color w:val="auto"/>
                <w:szCs w:val="21"/>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olor w:val="auto"/>
                <w:szCs w:val="21"/>
              </w:rPr>
            </w:pPr>
            <w:bookmarkStart w:id="59" w:name="_13.1"/>
            <w:bookmarkEnd w:id="59"/>
            <w:r>
              <w:rPr>
                <w:rFonts w:hint="eastAsia" w:ascii="宋体" w:hAnsi="宋体"/>
                <w:color w:val="auto"/>
                <w:szCs w:val="21"/>
              </w:rPr>
              <w:t>13.</w:t>
            </w:r>
            <w:bookmarkStart w:id="60" w:name="_Hlt19632543"/>
            <w:r>
              <w:rPr>
                <w:rFonts w:hint="eastAsia" w:ascii="宋体" w:hAnsi="宋体"/>
                <w:color w:val="auto"/>
                <w:szCs w:val="21"/>
              </w:rPr>
              <w:t>1</w:t>
            </w:r>
            <w:bookmarkEnd w:id="60"/>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Courier New"/>
                <w:b/>
                <w:color w:val="auto"/>
                <w:szCs w:val="21"/>
              </w:rPr>
            </w:pPr>
            <w:r>
              <w:rPr>
                <w:rFonts w:hint="eastAsia" w:ascii="宋体" w:hAnsi="宋体" w:cs="Courier New"/>
                <w:b/>
                <w:color w:val="auto"/>
                <w:szCs w:val="21"/>
              </w:rPr>
              <w:t>报价文件【第1至3项为必须提供，否则作投标无效处理】：</w:t>
            </w:r>
          </w:p>
          <w:p>
            <w:pPr>
              <w:numPr>
                <w:ilvl w:val="0"/>
                <w:numId w:val="4"/>
              </w:numPr>
              <w:tabs>
                <w:tab w:val="left" w:pos="459"/>
              </w:tabs>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投标函（格式后附）；</w:t>
            </w:r>
            <w:r>
              <w:rPr>
                <w:rFonts w:hint="eastAsia" w:ascii="宋体" w:hAnsi="宋体"/>
                <w:b/>
                <w:color w:val="auto"/>
                <w:szCs w:val="21"/>
              </w:rPr>
              <w:t>（必须提供，否则作无效投标处理）</w:t>
            </w:r>
          </w:p>
          <w:p>
            <w:pPr>
              <w:numPr>
                <w:ilvl w:val="0"/>
                <w:numId w:val="4"/>
              </w:numPr>
              <w:tabs>
                <w:tab w:val="left" w:pos="459"/>
              </w:tabs>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投标报价明细表（格式见附件）；</w:t>
            </w:r>
            <w:r>
              <w:rPr>
                <w:rFonts w:hint="eastAsia" w:ascii="宋体" w:hAnsi="宋体"/>
                <w:b/>
                <w:color w:val="auto"/>
                <w:szCs w:val="21"/>
              </w:rPr>
              <w:t>（必须提供，否则作无效投标处理）</w:t>
            </w:r>
          </w:p>
          <w:p>
            <w:pPr>
              <w:numPr>
                <w:ilvl w:val="0"/>
                <w:numId w:val="4"/>
              </w:numPr>
              <w:tabs>
                <w:tab w:val="left" w:pos="459"/>
              </w:tabs>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开标一览表（格式后附）；（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4"/>
              </w:numPr>
              <w:tabs>
                <w:tab w:val="left" w:pos="459"/>
              </w:tabs>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投标人针对报价需要说明的其他文件和说明（格式自拟）。</w:t>
            </w:r>
          </w:p>
          <w:p>
            <w:pPr>
              <w:snapToGrid w:val="0"/>
              <w:spacing w:line="360" w:lineRule="exact"/>
              <w:ind w:firstLine="422" w:firstLineChars="200"/>
              <w:jc w:val="left"/>
              <w:rPr>
                <w:rFonts w:ascii="宋体" w:hAnsi="宋体"/>
                <w:color w:val="auto"/>
                <w:szCs w:val="21"/>
              </w:rPr>
            </w:pPr>
            <w:r>
              <w:rPr>
                <w:rFonts w:hint="eastAsia" w:ascii="宋体" w:hAnsi="宋体"/>
                <w:b/>
                <w:bCs/>
                <w:color w:val="auto"/>
                <w:szCs w:val="21"/>
              </w:rPr>
              <w:t>注：投标函、开标一览表必须由法定代表人或者委托代理人在规定签章处逐一签字并加盖投标人公章，否则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left w:val="single" w:color="auto" w:sz="4" w:space="0"/>
              <w:right w:val="single" w:color="auto" w:sz="4" w:space="0"/>
            </w:tcBorders>
            <w:vAlign w:val="center"/>
          </w:tcPr>
          <w:p>
            <w:pPr>
              <w:spacing w:line="360" w:lineRule="exact"/>
              <w:rPr>
                <w:rFonts w:ascii="宋体" w:hAnsi="宋体"/>
                <w:color w:val="auto"/>
                <w:szCs w:val="21"/>
              </w:rPr>
            </w:pPr>
            <w:bookmarkStart w:id="61" w:name="_13.2"/>
            <w:bookmarkEnd w:id="61"/>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Courier New"/>
                <w:b/>
                <w:color w:val="auto"/>
                <w:szCs w:val="21"/>
              </w:rPr>
            </w:pPr>
            <w:r>
              <w:rPr>
                <w:rFonts w:hint="eastAsia" w:ascii="宋体" w:hAnsi="宋体" w:cs="Courier New"/>
                <w:b/>
                <w:color w:val="auto"/>
                <w:szCs w:val="21"/>
              </w:rPr>
              <w:t>资格证明文件</w:t>
            </w:r>
            <w:r>
              <w:rPr>
                <w:rFonts w:ascii="宋体" w:hAnsi="宋体"/>
                <w:b/>
                <w:color w:val="auto"/>
                <w:szCs w:val="21"/>
              </w:rPr>
              <w:t>【</w:t>
            </w:r>
            <w:r>
              <w:rPr>
                <w:rFonts w:ascii="宋体" w:hAnsi="宋体"/>
                <w:b/>
                <w:color w:val="auto"/>
                <w:szCs w:val="21"/>
                <w:u w:val="single"/>
              </w:rPr>
              <w:t>第1</w:t>
            </w:r>
            <w:r>
              <w:rPr>
                <w:rFonts w:hint="eastAsia" w:ascii="宋体" w:hAnsi="宋体"/>
                <w:b/>
                <w:color w:val="auto"/>
                <w:szCs w:val="21"/>
                <w:u w:val="single"/>
              </w:rPr>
              <w:t>至6</w:t>
            </w:r>
            <w:r>
              <w:rPr>
                <w:rFonts w:ascii="宋体" w:hAnsi="宋体"/>
                <w:b/>
                <w:color w:val="auto"/>
                <w:szCs w:val="21"/>
                <w:u w:val="single"/>
              </w:rPr>
              <w:t>项为必须提供</w:t>
            </w:r>
            <w:r>
              <w:rPr>
                <w:rFonts w:ascii="宋体" w:hAnsi="宋体"/>
                <w:b/>
                <w:color w:val="auto"/>
                <w:szCs w:val="21"/>
              </w:rPr>
              <w:t>，否则作投标无效处理】</w:t>
            </w:r>
            <w:r>
              <w:rPr>
                <w:rFonts w:hint="eastAsia" w:ascii="宋体" w:hAnsi="宋体"/>
                <w:b/>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投标人为法人或者其他组织的，提供营业执照等证明文件</w:t>
            </w:r>
            <w:r>
              <w:rPr>
                <w:rFonts w:hint="eastAsia" w:ascii="宋体" w:hAnsi="宋体" w:cs="宋体"/>
                <w:color w:val="auto"/>
                <w:szCs w:val="21"/>
              </w:rPr>
              <w:t>（如营业执照或者事业单位法人证书或者</w:t>
            </w:r>
            <w:r>
              <w:rPr>
                <w:rStyle w:val="82"/>
                <w:color w:val="auto"/>
                <w:sz w:val="21"/>
                <w:szCs w:val="21"/>
              </w:rPr>
              <w:t>执业许可证</w:t>
            </w:r>
            <w:r>
              <w:rPr>
                <w:rFonts w:hint="eastAsia" w:ascii="宋体" w:hAnsi="宋体" w:cs="宋体"/>
                <w:color w:val="auto"/>
                <w:szCs w:val="21"/>
              </w:rPr>
              <w:t>等）</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s="宋体"/>
                <w:color w:val="auto"/>
                <w:szCs w:val="21"/>
              </w:rPr>
              <w:t>投标人依法缴纳税收的相关材料（</w:t>
            </w:r>
            <w:r>
              <w:rPr>
                <w:rFonts w:hint="eastAsia" w:ascii="宋体" w:hAnsi="宋体" w:cs="宋体"/>
                <w:color w:val="auto"/>
                <w:szCs w:val="21"/>
                <w:u w:val="single"/>
              </w:rPr>
              <w:t>2022</w:t>
            </w:r>
            <w:r>
              <w:rPr>
                <w:rFonts w:hint="eastAsia" w:ascii="宋体" w:hAnsi="宋体" w:cs="宋体"/>
                <w:color w:val="auto"/>
                <w:szCs w:val="21"/>
              </w:rPr>
              <w:t>年</w:t>
            </w:r>
            <w:r>
              <w:rPr>
                <w:rFonts w:hint="eastAsia" w:ascii="宋体" w:hAnsi="宋体" w:cs="宋体"/>
                <w:color w:val="auto"/>
                <w:szCs w:val="21"/>
                <w:u w:val="single"/>
              </w:rPr>
              <w:t>4</w:t>
            </w:r>
            <w:r>
              <w:rPr>
                <w:rFonts w:hint="eastAsia" w:ascii="宋体" w:hAnsi="宋体" w:cs="宋体"/>
                <w:color w:val="auto"/>
                <w:szCs w:val="21"/>
              </w:rPr>
              <w:t>月至</w:t>
            </w:r>
            <w:r>
              <w:rPr>
                <w:rFonts w:hint="eastAsia" w:ascii="宋体" w:hAnsi="宋体" w:cs="宋体"/>
                <w:color w:val="auto"/>
                <w:szCs w:val="21"/>
                <w:u w:val="single"/>
              </w:rPr>
              <w:t xml:space="preserve"> 2022 </w:t>
            </w:r>
            <w:r>
              <w:rPr>
                <w:rFonts w:hint="eastAsia" w:ascii="宋体" w:hAnsi="宋体" w:cs="宋体"/>
                <w:color w:val="auto"/>
                <w:szCs w:val="21"/>
              </w:rPr>
              <w:t>年</w:t>
            </w:r>
            <w:r>
              <w:rPr>
                <w:rFonts w:hint="eastAsia" w:ascii="宋体" w:hAnsi="宋体" w:cs="宋体"/>
                <w:color w:val="auto"/>
                <w:szCs w:val="21"/>
                <w:u w:val="single"/>
              </w:rPr>
              <w:t>9</w:t>
            </w:r>
            <w:r>
              <w:rPr>
                <w:rFonts w:hint="eastAsia" w:ascii="宋体" w:hAnsi="宋体" w:cs="宋体"/>
                <w:color w:val="auto"/>
                <w:szCs w:val="21"/>
              </w:rPr>
              <w:t>月内连续</w:t>
            </w:r>
            <w:r>
              <w:rPr>
                <w:rFonts w:hint="eastAsia" w:ascii="宋体" w:hAnsi="宋体" w:cs="宋体"/>
                <w:color w:val="auto"/>
                <w:szCs w:val="21"/>
                <w:u w:val="single"/>
              </w:rPr>
              <w:t xml:space="preserve"> 3 </w:t>
            </w:r>
            <w:r>
              <w:rPr>
                <w:rFonts w:hint="eastAsia" w:ascii="宋体" w:hAnsi="宋体" w:cs="宋体"/>
                <w:color w:val="auto"/>
                <w:szCs w:val="21"/>
              </w:rPr>
              <w:t>个月的依法缴纳税收的凭据复印件；</w:t>
            </w:r>
            <w:r>
              <w:rPr>
                <w:rFonts w:hint="eastAsia" w:ascii="宋体" w:hAnsi="宋体"/>
                <w:color w:val="auto"/>
                <w:szCs w:val="21"/>
              </w:rPr>
              <w:t>依法免税的供应商，必须提供相应文件证明其依法免税。</w:t>
            </w:r>
            <w:r>
              <w:rPr>
                <w:rFonts w:hint="eastAsia" w:ascii="宋体" w:hAnsi="宋体" w:cs="宋体"/>
                <w:color w:val="auto"/>
                <w:szCs w:val="21"/>
              </w:rPr>
              <w:t>从取得营业执照时间起到投标文件提交截止时间为止不足要求月数的，只需提供从取得营业执照起的依法缴纳税收</w:t>
            </w:r>
            <w:r>
              <w:rPr>
                <w:rFonts w:hint="eastAsia" w:ascii="宋体" w:hAnsi="宋体"/>
                <w:color w:val="auto"/>
                <w:szCs w:val="21"/>
              </w:rPr>
              <w:t>相应证明文件</w:t>
            </w:r>
            <w:r>
              <w:rPr>
                <w:rFonts w:hint="eastAsia" w:ascii="宋体" w:hAnsi="宋体" w:cs="宋体"/>
                <w:color w:val="auto"/>
                <w:szCs w:val="21"/>
              </w:rPr>
              <w:t>）</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s="宋体"/>
                <w:color w:val="auto"/>
                <w:szCs w:val="21"/>
              </w:rPr>
              <w:t>投标人依法缴纳社会保障资金的相关材料[</w:t>
            </w:r>
            <w:r>
              <w:rPr>
                <w:rFonts w:hint="eastAsia" w:ascii="宋体" w:hAnsi="宋体" w:cs="宋体"/>
                <w:color w:val="auto"/>
                <w:szCs w:val="21"/>
                <w:u w:val="single"/>
              </w:rPr>
              <w:t>2022</w:t>
            </w:r>
            <w:r>
              <w:rPr>
                <w:rFonts w:hint="eastAsia" w:ascii="宋体" w:hAnsi="宋体" w:cs="宋体"/>
                <w:color w:val="auto"/>
                <w:szCs w:val="21"/>
              </w:rPr>
              <w:t>年</w:t>
            </w:r>
            <w:r>
              <w:rPr>
                <w:rFonts w:hint="eastAsia" w:ascii="宋体" w:hAnsi="宋体" w:cs="宋体"/>
                <w:color w:val="auto"/>
                <w:szCs w:val="21"/>
                <w:u w:val="single"/>
              </w:rPr>
              <w:t>4</w:t>
            </w:r>
            <w:r>
              <w:rPr>
                <w:rFonts w:hint="eastAsia" w:ascii="宋体" w:hAnsi="宋体" w:cs="宋体"/>
                <w:color w:val="auto"/>
                <w:szCs w:val="21"/>
              </w:rPr>
              <w:t>月至</w:t>
            </w:r>
            <w:r>
              <w:rPr>
                <w:rFonts w:hint="eastAsia" w:ascii="宋体" w:hAnsi="宋体" w:cs="宋体"/>
                <w:color w:val="auto"/>
                <w:szCs w:val="21"/>
                <w:u w:val="single"/>
              </w:rPr>
              <w:t xml:space="preserve"> 2022 </w:t>
            </w:r>
            <w:r>
              <w:rPr>
                <w:rFonts w:hint="eastAsia" w:ascii="宋体" w:hAnsi="宋体" w:cs="宋体"/>
                <w:color w:val="auto"/>
                <w:szCs w:val="21"/>
              </w:rPr>
              <w:t>年</w:t>
            </w:r>
            <w:r>
              <w:rPr>
                <w:rFonts w:hint="eastAsia" w:ascii="宋体" w:hAnsi="宋体" w:cs="宋体"/>
                <w:color w:val="auto"/>
                <w:szCs w:val="21"/>
                <w:u w:val="single"/>
              </w:rPr>
              <w:t>9</w:t>
            </w:r>
            <w:r>
              <w:rPr>
                <w:rFonts w:hint="eastAsia" w:ascii="宋体" w:hAnsi="宋体" w:cs="宋体"/>
                <w:color w:val="auto"/>
                <w:szCs w:val="21"/>
              </w:rPr>
              <w:t>月内连续</w:t>
            </w:r>
            <w:r>
              <w:rPr>
                <w:rFonts w:hint="eastAsia" w:ascii="宋体" w:hAnsi="宋体" w:cs="宋体"/>
                <w:color w:val="auto"/>
                <w:szCs w:val="21"/>
                <w:u w:val="single"/>
              </w:rPr>
              <w:t xml:space="preserve"> 3 </w:t>
            </w:r>
            <w:r>
              <w:rPr>
                <w:rFonts w:hint="eastAsia" w:ascii="宋体" w:hAnsi="宋体" w:cs="宋体"/>
                <w:color w:val="auto"/>
                <w:szCs w:val="21"/>
              </w:rPr>
              <w:t>个月的依法缴纳社会保障资金的缴费凭证（专用收据或者社会保险缴纳清单）复印件；</w:t>
            </w:r>
            <w:r>
              <w:rPr>
                <w:rFonts w:hint="eastAsia" w:ascii="宋体" w:hAnsi="宋体"/>
                <w:color w:val="auto"/>
                <w:szCs w:val="21"/>
              </w:rPr>
              <w:t>依法不需要缴纳社会保障资金的供应商，必须提供相应文件证明不需要缴纳社会保障资金。</w:t>
            </w:r>
            <w:r>
              <w:rPr>
                <w:rFonts w:hint="eastAsia" w:ascii="宋体" w:hAnsi="宋体" w:cs="宋体"/>
                <w:color w:val="auto"/>
                <w:szCs w:val="21"/>
              </w:rPr>
              <w:t>从取得营业执照时间起到投标文件提交截止时间为止不足要求月数的只需提供从取得营业执照起的依法缴纳社会保障资金的</w:t>
            </w:r>
            <w:r>
              <w:rPr>
                <w:rFonts w:hint="eastAsia" w:ascii="宋体" w:hAnsi="宋体"/>
                <w:color w:val="auto"/>
                <w:szCs w:val="21"/>
              </w:rPr>
              <w:t>相应证明文件</w:t>
            </w:r>
            <w:r>
              <w:rPr>
                <w:rFonts w:hint="eastAsia" w:ascii="宋体" w:hAnsi="宋体" w:cs="宋体"/>
                <w:color w:val="auto"/>
                <w:szCs w:val="21"/>
              </w:rPr>
              <w:t>]</w:t>
            </w:r>
            <w:r>
              <w:rPr>
                <w:rFonts w:hint="eastAsia" w:ascii="宋体" w:hAnsi="宋体"/>
                <w:color w:val="auto"/>
                <w:szCs w:val="21"/>
              </w:rPr>
              <w:t>；（</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s="宋体"/>
                <w:color w:val="auto"/>
                <w:szCs w:val="21"/>
              </w:rPr>
            </w:pPr>
            <w:r>
              <w:rPr>
                <w:rFonts w:hint="eastAsia" w:ascii="宋体" w:hAnsi="宋体" w:cs="宋体"/>
                <w:color w:val="auto"/>
                <w:szCs w:val="21"/>
              </w:rPr>
              <w:t>投标人财务状况材料，应提供2020年度或2021年度经审计的完整的财务报告或者银行出具的资信证明。新成立不足一年的，提供成立以来的财务情况报告。（</w:t>
            </w:r>
            <w:r>
              <w:rPr>
                <w:rFonts w:hint="eastAsia" w:ascii="宋体" w:hAnsi="宋体" w:cs="宋体"/>
                <w:b/>
                <w:color w:val="auto"/>
                <w:szCs w:val="21"/>
              </w:rPr>
              <w:t>必须提供，否则作无效投标处理</w:t>
            </w:r>
            <w:r>
              <w:rPr>
                <w:rFonts w:hint="eastAsia" w:ascii="宋体" w:hAnsi="宋体" w:cs="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投标人直接控股、管理关系信息表（格式后附）；（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投标声明（格式后附）；（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中小企业声明函；【</w:t>
            </w:r>
            <w:r>
              <w:rPr>
                <w:rFonts w:hint="eastAsia" w:ascii="宋体" w:hAnsi="宋体"/>
                <w:b/>
                <w:color w:val="auto"/>
                <w:szCs w:val="21"/>
              </w:rPr>
              <w:t>本项目如为专门面向中小企业（或者小型、微型企业）采购时必须提供，否则作无效投标处理</w:t>
            </w:r>
            <w:r>
              <w:rPr>
                <w:rFonts w:hint="eastAsia" w:ascii="宋体" w:hAnsi="宋体"/>
                <w:color w:val="auto"/>
                <w:szCs w:val="21"/>
              </w:rPr>
              <w:t>】</w:t>
            </w:r>
          </w:p>
          <w:p>
            <w:pPr>
              <w:numPr>
                <w:ilvl w:val="0"/>
                <w:numId w:val="5"/>
              </w:numPr>
              <w:snapToGrid w:val="0"/>
              <w:spacing w:line="360" w:lineRule="exact"/>
              <w:ind w:left="0" w:firstLine="420" w:firstLineChars="200"/>
              <w:jc w:val="left"/>
              <w:rPr>
                <w:rFonts w:ascii="宋体" w:hAnsi="宋体"/>
                <w:color w:val="auto"/>
                <w:szCs w:val="21"/>
              </w:rPr>
            </w:pPr>
            <w:r>
              <w:rPr>
                <w:rFonts w:hint="eastAsia" w:ascii="宋体" w:hAnsi="宋体"/>
                <w:color w:val="auto"/>
                <w:szCs w:val="21"/>
              </w:rPr>
              <w:t>除招标文件规定必须提供以外，投标人认为需要提供的其他证明材料。</w:t>
            </w:r>
          </w:p>
          <w:p>
            <w:pPr>
              <w:snapToGrid w:val="0"/>
              <w:spacing w:line="360" w:lineRule="exact"/>
              <w:ind w:firstLine="422" w:firstLineChars="200"/>
              <w:jc w:val="left"/>
              <w:rPr>
                <w:rFonts w:ascii="宋体" w:hAnsi="宋体"/>
                <w:b/>
                <w:bCs/>
                <w:color w:val="auto"/>
                <w:szCs w:val="21"/>
              </w:rPr>
            </w:pPr>
            <w:r>
              <w:rPr>
                <w:rFonts w:hint="eastAsia" w:ascii="宋体" w:hAnsi="宋体"/>
                <w:b/>
                <w:bCs/>
                <w:color w:val="auto"/>
                <w:szCs w:val="21"/>
              </w:rPr>
              <w:t>注：</w:t>
            </w:r>
          </w:p>
          <w:p>
            <w:pPr>
              <w:snapToGrid w:val="0"/>
              <w:spacing w:line="360" w:lineRule="exact"/>
              <w:ind w:firstLine="422" w:firstLineChars="200"/>
              <w:jc w:val="left"/>
              <w:rPr>
                <w:rFonts w:ascii="宋体" w:hAnsi="宋体" w:cs="Courier New"/>
                <w:b/>
                <w:color w:val="auto"/>
                <w:szCs w:val="21"/>
              </w:rPr>
            </w:pPr>
            <w:r>
              <w:rPr>
                <w:rFonts w:hint="eastAsia" w:ascii="宋体" w:hAnsi="宋体"/>
                <w:b/>
                <w:bCs/>
                <w:color w:val="auto"/>
                <w:szCs w:val="21"/>
              </w:rPr>
              <w:t>1.</w:t>
            </w:r>
            <w:r>
              <w:rPr>
                <w:rFonts w:hint="eastAsia" w:ascii="宋体" w:hAnsi="宋体"/>
                <w:color w:val="auto"/>
                <w:szCs w:val="21"/>
              </w:rPr>
              <w:t xml:space="preserve"> </w:t>
            </w:r>
            <w:r>
              <w:rPr>
                <w:rFonts w:hint="eastAsia" w:ascii="宋体" w:hAnsi="宋体"/>
                <w:b/>
                <w:bCs/>
                <w:color w:val="auto"/>
                <w:szCs w:val="21"/>
              </w:rPr>
              <w:t>以上标明“必须提供”的材料属于复印件的，必须加盖投标人公章，否则</w:t>
            </w:r>
            <w:r>
              <w:rPr>
                <w:rFonts w:hint="eastAsia" w:ascii="宋体" w:hAnsi="宋体" w:cs="Courier New"/>
                <w:b/>
                <w:color w:val="auto"/>
                <w:szCs w:val="21"/>
              </w:rPr>
              <w:t>作无效投标处理。</w:t>
            </w:r>
          </w:p>
          <w:p>
            <w:pPr>
              <w:snapToGrid w:val="0"/>
              <w:spacing w:line="360" w:lineRule="exact"/>
              <w:ind w:firstLine="422" w:firstLineChars="200"/>
              <w:jc w:val="left"/>
              <w:rPr>
                <w:rFonts w:ascii="宋体" w:hAnsi="宋体"/>
                <w:b/>
                <w:bCs/>
                <w:color w:val="auto"/>
                <w:szCs w:val="21"/>
              </w:rPr>
            </w:pPr>
            <w:r>
              <w:rPr>
                <w:rFonts w:hint="eastAsia" w:ascii="宋体" w:hAnsi="宋体" w:cs="Courier New"/>
                <w:b/>
                <w:color w:val="auto"/>
                <w:szCs w:val="21"/>
              </w:rPr>
              <w:t>2.</w:t>
            </w:r>
            <w:r>
              <w:rPr>
                <w:rFonts w:hint="eastAsia" w:ascii="宋体" w:hAnsi="宋体" w:cs="Courier New"/>
                <w:b/>
                <w:color w:val="auto"/>
                <w:szCs w:val="21"/>
                <w:lang w:val="en-US" w:eastAsia="zh-CN"/>
              </w:rPr>
              <w:t xml:space="preserve"> </w:t>
            </w:r>
            <w:r>
              <w:rPr>
                <w:rFonts w:hint="eastAsia" w:ascii="宋体" w:hAnsi="宋体"/>
                <w:b/>
                <w:bCs/>
                <w:color w:val="auto"/>
                <w:szCs w:val="21"/>
              </w:rPr>
              <w:t>投标声明必须由法定代表人在规定签章处签字并加盖投标人公章，否则作无效投标处理。</w:t>
            </w:r>
          </w:p>
          <w:p>
            <w:pPr>
              <w:snapToGrid w:val="0"/>
              <w:spacing w:line="360" w:lineRule="exact"/>
              <w:ind w:firstLine="422" w:firstLineChars="200"/>
              <w:jc w:val="left"/>
              <w:rPr>
                <w:rFonts w:ascii="宋体" w:hAnsi="宋体"/>
                <w:b/>
                <w:bCs/>
                <w:color w:val="auto"/>
                <w:szCs w:val="21"/>
              </w:rPr>
            </w:pPr>
            <w:r>
              <w:rPr>
                <w:rFonts w:hint="eastAsia" w:ascii="宋体" w:hAnsi="宋体"/>
                <w:b/>
                <w:bCs/>
                <w:color w:val="auto"/>
                <w:szCs w:val="21"/>
              </w:rPr>
              <w:t>3.</w:t>
            </w:r>
            <w:r>
              <w:rPr>
                <w:rFonts w:hint="eastAsia" w:ascii="宋体" w:hAnsi="宋体"/>
                <w:b/>
                <w:bCs/>
                <w:color w:val="auto"/>
                <w:szCs w:val="21"/>
                <w:lang w:val="en-US" w:eastAsia="zh-CN"/>
              </w:rPr>
              <w:t xml:space="preserve"> </w:t>
            </w:r>
            <w:r>
              <w:rPr>
                <w:rFonts w:hint="eastAsia" w:ascii="宋体" w:hAnsi="宋体"/>
                <w:b/>
                <w:bCs/>
                <w:color w:val="auto"/>
                <w:szCs w:val="21"/>
              </w:rPr>
              <w:t>投标人直接控股、管理关系信息表必须由法定代表人或者委托代理人在规定签章处签字并加盖投标人公章，否则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left w:val="single" w:color="auto" w:sz="4" w:space="0"/>
              <w:right w:val="single" w:color="auto" w:sz="4" w:space="0"/>
            </w:tcBorders>
            <w:vAlign w:val="center"/>
          </w:tcPr>
          <w:p>
            <w:pPr>
              <w:spacing w:line="360" w:lineRule="exact"/>
              <w:rPr>
                <w:rFonts w:ascii="宋体" w:hAnsi="宋体"/>
                <w:color w:val="auto"/>
                <w:szCs w:val="21"/>
              </w:rPr>
            </w:pPr>
            <w:bookmarkStart w:id="62" w:name="_13.3"/>
            <w:bookmarkEnd w:id="62"/>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rPr>
            </w:pPr>
            <w:r>
              <w:rPr>
                <w:rFonts w:hint="eastAsia" w:ascii="宋体" w:hAnsi="宋体" w:cs="Courier New"/>
                <w:b/>
                <w:color w:val="auto"/>
                <w:szCs w:val="21"/>
              </w:rPr>
              <w:t>商务文件</w:t>
            </w:r>
            <w:r>
              <w:rPr>
                <w:rFonts w:ascii="宋体" w:hAnsi="宋体"/>
                <w:b/>
                <w:color w:val="auto"/>
                <w:szCs w:val="21"/>
              </w:rPr>
              <w:t>【</w:t>
            </w:r>
            <w:r>
              <w:rPr>
                <w:rFonts w:ascii="宋体" w:hAnsi="宋体"/>
                <w:b/>
                <w:color w:val="auto"/>
                <w:szCs w:val="21"/>
                <w:u w:val="single"/>
              </w:rPr>
              <w:t>第1至</w:t>
            </w:r>
            <w:r>
              <w:rPr>
                <w:rFonts w:hint="eastAsia" w:ascii="宋体" w:hAnsi="宋体"/>
                <w:b/>
                <w:color w:val="auto"/>
                <w:szCs w:val="21"/>
                <w:u w:val="single"/>
              </w:rPr>
              <w:t>5</w:t>
            </w:r>
            <w:r>
              <w:rPr>
                <w:rFonts w:ascii="宋体" w:hAnsi="宋体"/>
                <w:b/>
                <w:color w:val="auto"/>
                <w:szCs w:val="21"/>
                <w:u w:val="single"/>
              </w:rPr>
              <w:t>项为必须提供</w:t>
            </w:r>
            <w:r>
              <w:rPr>
                <w:rFonts w:ascii="宋体" w:hAnsi="宋体"/>
                <w:b/>
                <w:color w:val="auto"/>
                <w:szCs w:val="21"/>
              </w:rPr>
              <w:t>，</w:t>
            </w:r>
            <w:r>
              <w:rPr>
                <w:rFonts w:hint="eastAsia" w:ascii="宋体" w:hAnsi="宋体"/>
                <w:b/>
                <w:color w:val="auto"/>
                <w:szCs w:val="21"/>
              </w:rPr>
              <w:t>其中</w:t>
            </w:r>
            <w:r>
              <w:rPr>
                <w:rFonts w:hint="eastAsia" w:ascii="宋体" w:hAnsi="宋体" w:cs="Courier New"/>
                <w:b/>
                <w:color w:val="auto"/>
                <w:szCs w:val="21"/>
              </w:rPr>
              <w:t>第3项为委托时必须提供，</w:t>
            </w:r>
            <w:r>
              <w:rPr>
                <w:rFonts w:ascii="宋体" w:hAnsi="宋体"/>
                <w:b/>
                <w:color w:val="auto"/>
                <w:szCs w:val="21"/>
              </w:rPr>
              <w:t>否则作投标无效处理。其他如有请提供】</w:t>
            </w:r>
            <w:r>
              <w:rPr>
                <w:rFonts w:hint="eastAsia" w:ascii="宋体" w:hAnsi="宋体" w:cs="Courier New"/>
                <w:b/>
                <w:color w:val="auto"/>
                <w:szCs w:val="21"/>
              </w:rPr>
              <w:t>：</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无串通投标行为的承诺函（格式后附）；（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6"/>
              </w:numPr>
              <w:snapToGrid w:val="0"/>
              <w:spacing w:line="360" w:lineRule="exact"/>
              <w:ind w:firstLine="420" w:firstLineChars="200"/>
              <w:jc w:val="left"/>
              <w:rPr>
                <w:rFonts w:ascii="宋体" w:hAnsi="宋体"/>
                <w:b/>
                <w:bCs/>
                <w:color w:val="auto"/>
                <w:szCs w:val="21"/>
              </w:rPr>
            </w:pPr>
            <w:r>
              <w:rPr>
                <w:rFonts w:hint="eastAsia" w:ascii="宋体" w:hAnsi="宋体"/>
                <w:color w:val="auto"/>
                <w:szCs w:val="21"/>
              </w:rPr>
              <w:t>投标保证金提交凭证；</w:t>
            </w:r>
            <w:r>
              <w:rPr>
                <w:rFonts w:hint="eastAsia" w:ascii="宋体" w:hAnsi="宋体"/>
                <w:b/>
                <w:bCs/>
                <w:color w:val="auto"/>
                <w:szCs w:val="21"/>
              </w:rPr>
              <w:t>（必须提供，否则作无效投标处理）</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法定代表人身份证明及法定代表人有效身份证正反面复印件（格式后附）；（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法定代表人授权委托书及委托代理人有效身份证正反面复印件（格式后附）；（</w:t>
            </w:r>
            <w:r>
              <w:rPr>
                <w:rFonts w:hint="eastAsia" w:ascii="宋体" w:hAnsi="宋体"/>
                <w:b/>
                <w:color w:val="auto"/>
                <w:szCs w:val="21"/>
              </w:rPr>
              <w:t>委托时必须提供，否则作无效投标处理</w:t>
            </w:r>
            <w:r>
              <w:rPr>
                <w:rFonts w:hint="eastAsia" w:ascii="宋体" w:hAnsi="宋体"/>
                <w:color w:val="auto"/>
                <w:szCs w:val="21"/>
              </w:rPr>
              <w:t>）</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商务条款偏离表（格式后附）；（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售后服务承诺（格式自拟）；（</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投标人情况介绍（格式自拟）；</w:t>
            </w:r>
          </w:p>
          <w:p>
            <w:pPr>
              <w:numPr>
                <w:ilvl w:val="0"/>
                <w:numId w:val="6"/>
              </w:numPr>
              <w:snapToGrid w:val="0"/>
              <w:spacing w:line="360" w:lineRule="exact"/>
              <w:ind w:firstLine="420" w:firstLineChars="200"/>
              <w:jc w:val="left"/>
              <w:rPr>
                <w:rFonts w:ascii="宋体" w:hAnsi="宋体"/>
                <w:b/>
                <w:bCs/>
                <w:color w:val="auto"/>
                <w:szCs w:val="21"/>
              </w:rPr>
            </w:pPr>
            <w:r>
              <w:rPr>
                <w:rFonts w:hint="eastAsia" w:ascii="宋体" w:hAnsi="宋体"/>
                <w:color w:val="auto"/>
                <w:szCs w:val="21"/>
              </w:rPr>
              <w:t>联合体协议书（格式后附）；</w:t>
            </w:r>
            <w:r>
              <w:rPr>
                <w:rFonts w:hint="eastAsia" w:ascii="宋体" w:hAnsi="宋体"/>
                <w:b/>
                <w:bCs/>
                <w:color w:val="auto"/>
                <w:szCs w:val="21"/>
              </w:rPr>
              <w:t>（联合体投标时必须提供，否则作无效投标处理）</w:t>
            </w:r>
          </w:p>
          <w:p>
            <w:pPr>
              <w:numPr>
                <w:ilvl w:val="0"/>
                <w:numId w:val="6"/>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除招标文件规定必须提供以外，投标人认为需要提供的其他证明材料（格式自拟）。（投标人根据“第二章 采购需求”及“第四章 评标方法及评标标准”提供有关证明材料）。</w:t>
            </w:r>
          </w:p>
          <w:p>
            <w:pPr>
              <w:snapToGrid w:val="0"/>
              <w:spacing w:line="360" w:lineRule="exact"/>
              <w:ind w:firstLine="422" w:firstLineChars="200"/>
              <w:jc w:val="left"/>
              <w:rPr>
                <w:rFonts w:ascii="宋体" w:hAnsi="宋体"/>
                <w:b/>
                <w:bCs/>
                <w:color w:val="auto"/>
                <w:szCs w:val="21"/>
              </w:rPr>
            </w:pPr>
            <w:r>
              <w:rPr>
                <w:rFonts w:hint="eastAsia" w:ascii="宋体" w:hAnsi="宋体"/>
                <w:b/>
                <w:bCs/>
                <w:color w:val="auto"/>
                <w:szCs w:val="21"/>
              </w:rPr>
              <w:t>注： 1.法定代表人授权委托书必须由法定代表人及委托代理人签字，并加盖投标人公章，否则作无效投标处理。</w:t>
            </w:r>
          </w:p>
          <w:p>
            <w:pPr>
              <w:snapToGrid w:val="0"/>
              <w:spacing w:line="360" w:lineRule="exact"/>
              <w:ind w:firstLine="422" w:firstLineChars="200"/>
              <w:jc w:val="left"/>
              <w:rPr>
                <w:rFonts w:ascii="宋体" w:hAnsi="宋体" w:cs="Courier New"/>
                <w:b/>
                <w:color w:val="auto"/>
                <w:szCs w:val="21"/>
              </w:rPr>
            </w:pPr>
            <w:r>
              <w:rPr>
                <w:rFonts w:hint="eastAsia" w:ascii="宋体" w:hAnsi="宋体"/>
                <w:b/>
                <w:bCs/>
                <w:color w:val="auto"/>
                <w:szCs w:val="21"/>
              </w:rPr>
              <w:t>2.</w:t>
            </w:r>
            <w:r>
              <w:rPr>
                <w:rFonts w:hint="eastAsia" w:ascii="宋体" w:hAnsi="宋体"/>
                <w:color w:val="auto"/>
                <w:szCs w:val="21"/>
              </w:rPr>
              <w:t xml:space="preserve"> </w:t>
            </w:r>
            <w:r>
              <w:rPr>
                <w:rFonts w:hint="eastAsia" w:ascii="宋体" w:hAnsi="宋体"/>
                <w:b/>
                <w:bCs/>
                <w:color w:val="auto"/>
                <w:szCs w:val="21"/>
              </w:rPr>
              <w:t>以上标明“必须提供”的材料属于复印件的，必须加盖投标人公章，否则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63" w:name="_13.4"/>
            <w:bookmarkEnd w:id="63"/>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Courier New"/>
                <w:b/>
                <w:color w:val="auto"/>
                <w:szCs w:val="21"/>
              </w:rPr>
            </w:pPr>
            <w:r>
              <w:rPr>
                <w:rFonts w:hint="eastAsia" w:ascii="宋体" w:hAnsi="宋体" w:cs="Courier New"/>
                <w:b/>
                <w:color w:val="auto"/>
                <w:szCs w:val="21"/>
              </w:rPr>
              <w:t>技术文件</w:t>
            </w:r>
            <w:r>
              <w:rPr>
                <w:rFonts w:ascii="宋体" w:hAnsi="宋体"/>
                <w:b/>
                <w:color w:val="auto"/>
                <w:szCs w:val="21"/>
              </w:rPr>
              <w:t>【</w:t>
            </w:r>
            <w:r>
              <w:rPr>
                <w:rFonts w:ascii="宋体" w:hAnsi="宋体"/>
                <w:b/>
                <w:color w:val="auto"/>
                <w:szCs w:val="21"/>
                <w:u w:val="single"/>
              </w:rPr>
              <w:t>第</w:t>
            </w:r>
            <w:r>
              <w:rPr>
                <w:rFonts w:hint="eastAsia" w:ascii="宋体" w:hAnsi="宋体"/>
                <w:b/>
                <w:color w:val="auto"/>
                <w:szCs w:val="21"/>
                <w:u w:val="single"/>
              </w:rPr>
              <w:t>1、2</w:t>
            </w:r>
            <w:r>
              <w:rPr>
                <w:rFonts w:ascii="宋体" w:hAnsi="宋体"/>
                <w:b/>
                <w:color w:val="auto"/>
                <w:szCs w:val="21"/>
                <w:u w:val="single"/>
              </w:rPr>
              <w:t>项为必须提供</w:t>
            </w:r>
            <w:r>
              <w:rPr>
                <w:rFonts w:ascii="宋体" w:hAnsi="宋体"/>
                <w:b/>
                <w:color w:val="auto"/>
                <w:szCs w:val="21"/>
              </w:rPr>
              <w:t>，否则作投标无效处理。其他如有请提供】</w:t>
            </w:r>
            <w:r>
              <w:rPr>
                <w:rFonts w:hint="eastAsia" w:ascii="宋体" w:hAnsi="宋体" w:cs="Courier New"/>
                <w:b/>
                <w:color w:val="auto"/>
                <w:szCs w:val="21"/>
              </w:rPr>
              <w:t>：</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设备性能配置清单（格式后附）；（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技术偏离表（格式后附）；（</w:t>
            </w:r>
            <w:r>
              <w:rPr>
                <w:rFonts w:hint="eastAsia" w:ascii="宋体" w:hAnsi="宋体"/>
                <w:b/>
                <w:color w:val="auto"/>
                <w:szCs w:val="21"/>
              </w:rPr>
              <w:t>必须提供，否则作无效投标处理</w:t>
            </w:r>
            <w:r>
              <w:rPr>
                <w:rFonts w:hint="eastAsia" w:ascii="宋体" w:hAnsi="宋体"/>
                <w:color w:val="auto"/>
                <w:szCs w:val="21"/>
              </w:rPr>
              <w:t>）</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项目实施方案（格式自拟）【项目前期准备、项目实施计划（项目实施人员一览表（格式后附）、技术服务、技术培训的内容和措施）】；</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对本项目系统总体要求的理解。包括：功能说明、性能指标及设备选型说明（质量、性能、价格、外观、体积等方面进行比较和选择的理由及过程，格式自拟）；</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产品出厂标准、质量检测报告</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优惠条件：投标人承诺给予招标人的各种优惠条件，包括售后服务、备品备件、专用耗材等方面的优惠；投标人不得给予赠品或者与采购无关的其他商品、服务；</w:t>
            </w:r>
          </w:p>
          <w:p>
            <w:pPr>
              <w:numPr>
                <w:ilvl w:val="0"/>
                <w:numId w:val="7"/>
              </w:numPr>
              <w:snapToGrid w:val="0"/>
              <w:spacing w:line="360" w:lineRule="exact"/>
              <w:ind w:firstLine="420" w:firstLineChars="200"/>
              <w:jc w:val="left"/>
              <w:rPr>
                <w:rFonts w:ascii="宋体" w:hAnsi="宋体"/>
                <w:color w:val="auto"/>
                <w:szCs w:val="21"/>
              </w:rPr>
            </w:pPr>
            <w:r>
              <w:rPr>
                <w:rFonts w:hint="eastAsia" w:ascii="宋体" w:hAnsi="宋体"/>
                <w:color w:val="auto"/>
                <w:szCs w:val="21"/>
              </w:rPr>
              <w:t>投标人对本项目的合理化建议和改进措施（格式自拟）；</w:t>
            </w:r>
          </w:p>
          <w:p>
            <w:pPr>
              <w:numPr>
                <w:ilvl w:val="0"/>
                <w:numId w:val="7"/>
              </w:numPr>
              <w:snapToGrid w:val="0"/>
              <w:spacing w:line="360" w:lineRule="exact"/>
              <w:ind w:firstLine="420" w:firstLineChars="200"/>
              <w:jc w:val="left"/>
              <w:rPr>
                <w:rFonts w:ascii="宋体" w:hAnsi="宋体"/>
                <w:bCs/>
                <w:color w:val="auto"/>
                <w:szCs w:val="21"/>
              </w:rPr>
            </w:pPr>
            <w:r>
              <w:rPr>
                <w:rFonts w:hint="eastAsia" w:ascii="宋体" w:hAnsi="宋体"/>
                <w:color w:val="auto"/>
                <w:szCs w:val="21"/>
              </w:rPr>
              <w:t>除招标文件规定必须提供以外，投标人需要说明的其他文件和说明（格式自拟）。</w:t>
            </w:r>
          </w:p>
          <w:p>
            <w:pPr>
              <w:snapToGrid w:val="0"/>
              <w:spacing w:line="360" w:lineRule="exact"/>
              <w:ind w:firstLine="422" w:firstLineChars="200"/>
              <w:jc w:val="left"/>
              <w:rPr>
                <w:rFonts w:ascii="宋体" w:hAnsi="宋体"/>
                <w:b/>
                <w:bCs/>
                <w:color w:val="auto"/>
                <w:szCs w:val="21"/>
              </w:rPr>
            </w:pPr>
            <w:r>
              <w:rPr>
                <w:rFonts w:hint="eastAsia" w:ascii="宋体" w:hAnsi="宋体"/>
                <w:b/>
                <w:bCs/>
                <w:color w:val="auto"/>
                <w:szCs w:val="21"/>
              </w:rPr>
              <w:t>注：以上标明“必须提供”的材料属于复印件的，必须加盖投标人公章，否则</w:t>
            </w:r>
            <w:r>
              <w:rPr>
                <w:rFonts w:hint="eastAsia" w:ascii="宋体" w:hAnsi="宋体" w:cs="Courier New"/>
                <w:b/>
                <w:color w:val="auto"/>
                <w:szCs w:val="21"/>
              </w:rPr>
              <w:t>作无效投标处理</w:t>
            </w:r>
            <w:r>
              <w:rPr>
                <w:rFonts w:hint="eastAsia" w:ascii="宋体" w:hAnsi="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64" w:name="_13.5"/>
            <w:bookmarkEnd w:id="64"/>
            <w:bookmarkStart w:id="65" w:name="_16.2"/>
            <w:bookmarkEnd w:id="65"/>
            <w:r>
              <w:rPr>
                <w:rFonts w:hint="eastAsia" w:ascii="宋体" w:hAnsi="宋体"/>
                <w:color w:val="auto"/>
                <w:szCs w:val="21"/>
              </w:rPr>
              <w:t>16</w:t>
            </w:r>
            <w:bookmarkStart w:id="66" w:name="_Hlt19693759"/>
            <w:bookmarkStart w:id="67" w:name="_Hlt19194066"/>
            <w:bookmarkStart w:id="68" w:name="_Hlt19693758"/>
            <w:bookmarkStart w:id="69" w:name="_Hlt19194067"/>
            <w:r>
              <w:rPr>
                <w:rFonts w:hint="eastAsia" w:ascii="宋体" w:hAnsi="宋体"/>
                <w:color w:val="auto"/>
                <w:szCs w:val="21"/>
              </w:rPr>
              <w:t>.</w:t>
            </w:r>
            <w:bookmarkEnd w:id="66"/>
            <w:bookmarkEnd w:id="67"/>
            <w:bookmarkEnd w:id="68"/>
            <w:bookmarkEnd w:id="69"/>
            <w:r>
              <w:rPr>
                <w:rFonts w:hint="eastAsia" w:ascii="宋体" w:hAnsi="宋体"/>
                <w:color w:val="auto"/>
                <w:szCs w:val="21"/>
              </w:rPr>
              <w:t>2</w:t>
            </w:r>
          </w:p>
        </w:tc>
        <w:tc>
          <w:tcPr>
            <w:tcW w:w="8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
                <w:color w:val="auto"/>
                <w:szCs w:val="21"/>
              </w:rPr>
            </w:pPr>
            <w:r>
              <w:rPr>
                <w:rFonts w:hint="eastAsia" w:ascii="宋体" w:hAnsi="宋体"/>
                <w:color w:val="auto"/>
                <w:szCs w:val="21"/>
              </w:rPr>
              <w:t>投标报价是履行合同的最终价格，即投标报价为采购人指定地点的现场交货价，包括：投标人就《货物需求一览表》中全部内容作完整唯一报价，不完整响应或拆分投标的将导致投标无效；本项目投标应以人民币报价；不论投标结果如何，投标人均应自行承担所有与投标有关的全部费用；本项目报价为产品送达采购人指定地点进行安装，经采购人验收合格所发生的一切费用，其包括但不限于以下费用：产品（含主要设备、配件、辅材）供应、运输装卸费、保险费、安装费、调试费、行政规费与税费、产品检验检测、操作人员培训费、管理费、验收费、质保期技术支持及运行维护费用、招标代理服务费等与本项目相关的一切费用；投标人漏报的单价或每单价报价中漏报、少报的费用，视为此项费用已隐含在投标报价中，中标后不得再向采购人收取任何费用</w:t>
            </w:r>
            <w:r>
              <w:rPr>
                <w:rFonts w:hint="eastAsia" w:ascii="宋体" w:hAnsi="宋体" w:cs="宋体"/>
                <w:color w:val="auto"/>
                <w:szCs w:val="21"/>
              </w:rPr>
              <w:t>。</w:t>
            </w:r>
          </w:p>
          <w:p>
            <w:pPr>
              <w:snapToGrid w:val="0"/>
              <w:spacing w:line="360" w:lineRule="auto"/>
              <w:rPr>
                <w:rFonts w:ascii="宋体" w:hAnsi="宋体"/>
                <w:b/>
                <w:color w:val="auto"/>
                <w:szCs w:val="21"/>
              </w:rPr>
            </w:pPr>
            <w:r>
              <w:rPr>
                <w:rFonts w:hint="eastAsia" w:ascii="宋体" w:hAnsi="宋体"/>
                <w:b/>
                <w:color w:val="auto"/>
                <w:szCs w:val="21"/>
              </w:rPr>
              <w:t>☑投标报价包含验收费用</w:t>
            </w:r>
          </w:p>
          <w:p>
            <w:pPr>
              <w:snapToGrid w:val="0"/>
              <w:spacing w:line="360" w:lineRule="exact"/>
              <w:rPr>
                <w:rFonts w:ascii="宋体" w:hAnsi="宋体"/>
                <w:b/>
                <w:color w:val="auto"/>
                <w:szCs w:val="21"/>
              </w:rPr>
            </w:pPr>
            <w:r>
              <w:rPr>
                <w:rFonts w:hint="eastAsia" w:ascii="宋体" w:hAnsi="宋体"/>
                <w:b/>
                <w:color w:val="auto"/>
                <w:szCs w:val="21"/>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0" w:name="_17.1"/>
            <w:bookmarkEnd w:id="70"/>
            <w:r>
              <w:rPr>
                <w:rFonts w:hint="eastAsia" w:ascii="宋体" w:hAnsi="宋体"/>
                <w:color w:val="auto"/>
                <w:szCs w:val="21"/>
              </w:rPr>
              <w:t>17.</w:t>
            </w:r>
            <w:r>
              <w:rPr>
                <w:rFonts w:ascii="宋体" w:hAnsi="宋体"/>
                <w:color w:val="auto"/>
                <w:szCs w:val="21"/>
              </w:rPr>
              <w:t>2</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投标有效期：自投标截止之日起</w:t>
            </w:r>
            <w:r>
              <w:rPr>
                <w:rFonts w:ascii="宋体" w:hAnsi="宋体"/>
                <w:color w:val="auto"/>
                <w:szCs w:val="21"/>
                <w:u w:val="single"/>
              </w:rPr>
              <w:t xml:space="preserve">  </w:t>
            </w:r>
            <w:r>
              <w:rPr>
                <w:rFonts w:hint="eastAsia" w:ascii="宋体" w:hAnsi="宋体"/>
                <w:color w:val="auto"/>
                <w:szCs w:val="21"/>
                <w:u w:val="single"/>
              </w:rPr>
              <w:t>60</w:t>
            </w:r>
            <w:r>
              <w:rPr>
                <w:rFonts w:ascii="宋体" w:hAnsi="宋体"/>
                <w:color w:val="auto"/>
                <w:szCs w:val="21"/>
                <w:u w:val="single"/>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1" w:name="_18"/>
            <w:bookmarkEnd w:id="71"/>
            <w:r>
              <w:rPr>
                <w:rFonts w:hint="eastAsia" w:ascii="宋体" w:hAnsi="宋体"/>
                <w:color w:val="auto"/>
                <w:szCs w:val="21"/>
              </w:rPr>
              <w:t>18</w:t>
            </w:r>
            <w:r>
              <w:rPr>
                <w:rFonts w:ascii="宋体" w:hAnsi="宋体"/>
                <w:color w:val="auto"/>
                <w:szCs w:val="21"/>
              </w:rPr>
              <w:t>.1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b/>
                <w:color w:val="auto"/>
                <w:szCs w:val="21"/>
              </w:rPr>
              <w:t>□</w:t>
            </w:r>
            <w:r>
              <w:rPr>
                <w:rFonts w:hint="eastAsia" w:ascii="宋体" w:hAnsi="宋体"/>
                <w:color w:val="auto"/>
                <w:szCs w:val="21"/>
              </w:rPr>
              <w:t>本项目不收取投标保证金。</w:t>
            </w:r>
          </w:p>
          <w:p>
            <w:pPr>
              <w:snapToGrid w:val="0"/>
              <w:spacing w:line="360" w:lineRule="exact"/>
              <w:rPr>
                <w:rFonts w:ascii="宋体" w:hAnsi="宋体"/>
                <w:color w:val="auto"/>
                <w:szCs w:val="21"/>
              </w:rPr>
            </w:pPr>
            <w:r>
              <w:rPr>
                <w:rFonts w:hint="eastAsia" w:ascii="宋体" w:hAnsi="宋体"/>
                <w:b/>
                <w:color w:val="auto"/>
                <w:szCs w:val="21"/>
              </w:rPr>
              <w:t>☑</w:t>
            </w:r>
            <w:r>
              <w:rPr>
                <w:rFonts w:hint="eastAsia" w:ascii="宋体" w:hAnsi="宋体"/>
                <w:color w:val="auto"/>
                <w:szCs w:val="21"/>
              </w:rPr>
              <w:t>本项目收取投标保证金，具体规定如下：</w:t>
            </w:r>
          </w:p>
          <w:p>
            <w:pPr>
              <w:snapToGrid w:val="0"/>
              <w:spacing w:line="360" w:lineRule="auto"/>
              <w:rPr>
                <w:rFonts w:ascii="宋体" w:hAnsi="宋体"/>
                <w:color w:val="auto"/>
                <w:szCs w:val="21"/>
              </w:rPr>
            </w:pPr>
            <w:r>
              <w:rPr>
                <w:rFonts w:hint="eastAsia" w:ascii="宋体" w:hAnsi="宋体"/>
                <w:color w:val="auto"/>
                <w:szCs w:val="21"/>
              </w:rPr>
              <w:t>投标保证金的交纳方式：</w:t>
            </w:r>
            <w:r>
              <w:rPr>
                <w:rFonts w:hint="eastAsia" w:ascii="宋体" w:hAnsi="宋体" w:cs="宋体"/>
                <w:color w:val="auto"/>
                <w:kern w:val="0"/>
                <w:szCs w:val="21"/>
              </w:rPr>
              <w:t>银行转账、</w:t>
            </w:r>
            <w:r>
              <w:rPr>
                <w:rFonts w:hint="eastAsia"/>
                <w:color w:val="auto"/>
              </w:rPr>
              <w:t>电汇、</w:t>
            </w:r>
            <w:r>
              <w:rPr>
                <w:rFonts w:hint="eastAsia" w:ascii="宋体" w:hAnsi="宋体" w:cs="宋体"/>
                <w:color w:val="auto"/>
                <w:kern w:val="0"/>
                <w:szCs w:val="21"/>
              </w:rPr>
              <w:t>支票、汇票、本票、保函等方式，禁止采用现金方式。采用银行转账或电汇方式的，在投标截止时间前交至采购代理机构指定账户并且到账（开户银行：</w:t>
            </w:r>
            <w:r>
              <w:rPr>
                <w:rFonts w:hint="eastAsia" w:ascii="宋体" w:hAnsi="宋体" w:cs="宋体"/>
                <w:color w:val="auto"/>
                <w:kern w:val="0"/>
                <w:szCs w:val="21"/>
                <w:u w:val="single"/>
              </w:rPr>
              <w:t>招商银行南宁分行东葛路支行</w:t>
            </w:r>
            <w:r>
              <w:rPr>
                <w:rFonts w:hint="eastAsia" w:ascii="宋体" w:hAnsi="宋体" w:cs="宋体"/>
                <w:color w:val="auto"/>
                <w:kern w:val="0"/>
                <w:szCs w:val="21"/>
              </w:rPr>
              <w:t>，开户名称：</w:t>
            </w:r>
            <w:r>
              <w:rPr>
                <w:rFonts w:hint="eastAsia" w:ascii="宋体" w:hAnsi="宋体" w:cs="宋体"/>
                <w:color w:val="auto"/>
                <w:kern w:val="0"/>
                <w:szCs w:val="21"/>
                <w:u w:val="single"/>
              </w:rPr>
              <w:t>中资国际工程咨询集团有限责任公司广西分公司</w:t>
            </w:r>
            <w:r>
              <w:rPr>
                <w:rFonts w:hint="eastAsia" w:ascii="宋体" w:hAnsi="宋体" w:cs="宋体"/>
                <w:color w:val="auto"/>
                <w:kern w:val="0"/>
                <w:szCs w:val="21"/>
              </w:rPr>
              <w:t>，银行账号：771901372110211）；采用支票、汇票等方式的，在投标截止时间前，投标人必须递交单独密封的支票、汇票、本票、保函原件。否则视为无效投标保证金</w:t>
            </w:r>
            <w:r>
              <w:rPr>
                <w:rFonts w:hint="eastAsia" w:ascii="宋体" w:hAnsi="宋体"/>
                <w:color w:val="auto"/>
                <w:szCs w:val="21"/>
              </w:rPr>
              <w:t>。</w:t>
            </w:r>
          </w:p>
          <w:p>
            <w:pPr>
              <w:snapToGrid w:val="0"/>
              <w:spacing w:line="360" w:lineRule="exact"/>
              <w:rPr>
                <w:rFonts w:ascii="宋体" w:hAnsi="宋体" w:cs="宋体"/>
                <w:color w:val="auto"/>
                <w:kern w:val="0"/>
                <w:szCs w:val="21"/>
              </w:rPr>
            </w:pPr>
            <w:r>
              <w:rPr>
                <w:rFonts w:hint="eastAsia" w:ascii="宋体" w:hAnsi="宋体"/>
                <w:color w:val="auto"/>
                <w:szCs w:val="21"/>
              </w:rPr>
              <w:t>投标保证金的金额：</w:t>
            </w:r>
            <w:r>
              <w:rPr>
                <w:rFonts w:hint="eastAsia" w:ascii="宋体" w:hAnsi="宋体" w:cs="宋体"/>
                <w:color w:val="auto"/>
                <w:kern w:val="0"/>
                <w:szCs w:val="21"/>
                <w:u w:val="single"/>
              </w:rPr>
              <w:t>分标1人民币（大写）壹拾叁万元整（¥130,000.00）；分标2人民币（大写）柒万元整（¥70,000.00）</w:t>
            </w:r>
            <w:r>
              <w:rPr>
                <w:rStyle w:val="77"/>
                <w:rFonts w:hint="eastAsia" w:ascii="宋体" w:hAnsi="宋体" w:cs="宋体"/>
                <w:color w:val="auto"/>
                <w:szCs w:val="21"/>
                <w:u w:val="single"/>
              </w:rPr>
              <w:t>。(必须足额交纳)</w:t>
            </w:r>
            <w:r>
              <w:rPr>
                <w:rFonts w:hint="eastAsia" w:ascii="宋体" w:hAnsi="宋体" w:cs="宋体"/>
                <w:color w:val="auto"/>
                <w:kern w:val="0"/>
                <w:szCs w:val="21"/>
              </w:rPr>
              <w:t>。</w:t>
            </w:r>
          </w:p>
          <w:p>
            <w:pPr>
              <w:snapToGrid w:val="0"/>
              <w:spacing w:line="360" w:lineRule="exact"/>
              <w:rPr>
                <w:rFonts w:ascii="宋体" w:hAnsi="宋体"/>
                <w:color w:val="auto"/>
                <w:szCs w:val="21"/>
              </w:rPr>
            </w:pPr>
            <w:r>
              <w:rPr>
                <w:rFonts w:hint="eastAsia" w:ascii="宋体" w:hAnsi="宋体"/>
                <w:color w:val="auto"/>
                <w:szCs w:val="21"/>
              </w:rPr>
              <w:t>相关要求：</w:t>
            </w:r>
          </w:p>
          <w:p>
            <w:pPr>
              <w:pStyle w:val="12"/>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 xml:space="preserve"> </w:t>
            </w:r>
            <w:r>
              <w:rPr>
                <w:rFonts w:hint="eastAsia" w:ascii="宋体" w:hAnsi="宋体"/>
                <w:color w:val="auto"/>
                <w:szCs w:val="21"/>
              </w:rPr>
              <w:t>投标保证金采用银行转账交纳方式的，在投标截止时间前交至采购代理机构指定账户并且到账，投标人应将银行转账底单的复印件作为投标保证金提交凭证，</w:t>
            </w:r>
            <w:r>
              <w:rPr>
                <w:rFonts w:ascii="宋体" w:hAnsi="宋体"/>
                <w:color w:val="auto"/>
                <w:szCs w:val="21"/>
              </w:rPr>
              <w:t>放置于</w:t>
            </w:r>
            <w:r>
              <w:rPr>
                <w:rFonts w:hint="eastAsia" w:ascii="宋体" w:hAnsi="宋体"/>
                <w:color w:val="auto"/>
                <w:szCs w:val="21"/>
              </w:rPr>
              <w:t>商务文件</w:t>
            </w:r>
            <w:r>
              <w:rPr>
                <w:rFonts w:ascii="宋体" w:hAnsi="宋体"/>
                <w:color w:val="auto"/>
                <w:szCs w:val="21"/>
              </w:rPr>
              <w:t>中</w:t>
            </w:r>
            <w:r>
              <w:rPr>
                <w:rFonts w:hint="eastAsia" w:ascii="宋体" w:hAnsi="宋体"/>
                <w:color w:val="auto"/>
                <w:szCs w:val="21"/>
              </w:rPr>
              <w:t>，</w:t>
            </w:r>
            <w:r>
              <w:rPr>
                <w:rFonts w:hint="eastAsia" w:ascii="宋体" w:hAnsi="宋体"/>
                <w:b/>
                <w:color w:val="auto"/>
                <w:szCs w:val="21"/>
              </w:rPr>
              <w:t>否则投标无效</w:t>
            </w: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 xml:space="preserve"> </w:t>
            </w:r>
            <w:r>
              <w:rPr>
                <w:rFonts w:hint="eastAsia" w:ascii="宋体" w:hAnsi="宋体"/>
                <w:color w:val="auto"/>
                <w:szCs w:val="21"/>
              </w:rPr>
              <w:t>投标保证金采用支票、汇票、本票、保函交纳方式的，投标人应将支票、汇票、本票、保函的复印件作为投标保证金提交凭证，放置于商务文件中，</w:t>
            </w:r>
            <w:r>
              <w:rPr>
                <w:rFonts w:hint="eastAsia" w:ascii="宋体" w:hAnsi="宋体"/>
                <w:b/>
                <w:color w:val="auto"/>
                <w:szCs w:val="21"/>
              </w:rPr>
              <w:t>否则投标无效</w:t>
            </w:r>
            <w:r>
              <w:rPr>
                <w:rFonts w:hint="eastAsia" w:ascii="宋体" w:hAnsi="宋体"/>
                <w:color w:val="auto"/>
                <w:szCs w:val="21"/>
              </w:rPr>
              <w:t>。投标人必须于递交投标文件时将支票、汇票、本票原件提交给采购人或者采购代理机构。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olor w:val="auto"/>
                <w:szCs w:val="21"/>
              </w:rPr>
            </w:pPr>
            <w:r>
              <w:rPr>
                <w:rFonts w:hint="eastAsia" w:ascii="宋体" w:hAnsi="宋体" w:cs="宋体"/>
                <w:color w:val="auto"/>
                <w:szCs w:val="21"/>
              </w:rPr>
              <w:t>3.</w:t>
            </w:r>
            <w:r>
              <w:rPr>
                <w:rFonts w:hint="eastAsia" w:ascii="宋体" w:hAnsi="宋体" w:cs="宋体"/>
                <w:color w:val="auto"/>
                <w:szCs w:val="21"/>
                <w:lang w:val="en-US" w:eastAsia="zh-CN"/>
              </w:rPr>
              <w:t xml:space="preserve"> </w:t>
            </w:r>
            <w:r>
              <w:rPr>
                <w:rFonts w:hint="eastAsia" w:ascii="宋体" w:hAnsi="宋体" w:cs="宋体"/>
                <w:color w:val="auto"/>
                <w:szCs w:val="21"/>
              </w:rPr>
              <w:t>投标人为联合体的，可以由联合体中的一方或者多方共同交纳投标保证金，其交纳的保证金对联合体各方均具有约束力。</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
                <w:color w:val="auto"/>
                <w:szCs w:val="21"/>
              </w:rPr>
            </w:pPr>
            <w:r>
              <w:rPr>
                <w:rFonts w:hint="eastAsia" w:ascii="宋体" w:hAnsi="宋体"/>
                <w:b/>
                <w:color w:val="auto"/>
                <w:szCs w:val="21"/>
              </w:rPr>
              <w:t xml:space="preserve">备注： </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
                <w:color w:val="auto"/>
                <w:szCs w:val="21"/>
              </w:rPr>
            </w:pPr>
            <w:r>
              <w:rPr>
                <w:rFonts w:hint="eastAsia" w:ascii="宋体" w:hAnsi="宋体"/>
                <w:b/>
                <w:color w:val="auto"/>
                <w:szCs w:val="21"/>
              </w:rPr>
              <w:t>1. 投标保证金在投标截止时间后提交的，或者不按规定交纳方式交纳的，或者未足额交纳的（包含保函额度不足的），视为无效投标保证金。</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
                <w:color w:val="auto"/>
                <w:szCs w:val="21"/>
              </w:rPr>
            </w:pPr>
            <w:r>
              <w:rPr>
                <w:rFonts w:hint="eastAsia" w:ascii="宋体" w:hAnsi="宋体"/>
                <w:b/>
                <w:color w:val="auto"/>
                <w:szCs w:val="21"/>
              </w:rPr>
              <w:t>2.</w:t>
            </w:r>
            <w:r>
              <w:rPr>
                <w:rFonts w:hint="eastAsia" w:ascii="宋体" w:hAnsi="宋体"/>
                <w:b/>
                <w:color w:val="auto"/>
                <w:szCs w:val="21"/>
                <w:lang w:val="en-US" w:eastAsia="zh-CN"/>
              </w:rPr>
              <w:t xml:space="preserve"> </w:t>
            </w:r>
            <w:r>
              <w:rPr>
                <w:rFonts w:hint="eastAsia" w:ascii="宋体" w:hAnsi="宋体"/>
                <w:b/>
                <w:color w:val="auto"/>
                <w:szCs w:val="21"/>
              </w:rPr>
              <w:t>投标人采用现钞方式或者从个人账户（自然人投标除外）转出的投标保证金，视为无效投标保证金。</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
                <w:color w:val="auto"/>
                <w:szCs w:val="21"/>
              </w:rPr>
            </w:pPr>
            <w:r>
              <w:rPr>
                <w:rFonts w:hint="eastAsia" w:ascii="宋体" w:hAnsi="宋体"/>
                <w:b/>
                <w:color w:val="auto"/>
                <w:szCs w:val="21"/>
              </w:rPr>
              <w:t>3.</w:t>
            </w:r>
            <w:r>
              <w:rPr>
                <w:rFonts w:hint="eastAsia" w:ascii="宋体" w:hAnsi="宋体"/>
                <w:b/>
                <w:color w:val="auto"/>
                <w:szCs w:val="21"/>
                <w:lang w:val="en-US" w:eastAsia="zh-CN"/>
              </w:rPr>
              <w:t xml:space="preserve"> </w:t>
            </w:r>
            <w:r>
              <w:rPr>
                <w:rFonts w:hint="eastAsia" w:ascii="宋体" w:hAnsi="宋体"/>
                <w:b/>
                <w:color w:val="auto"/>
                <w:szCs w:val="21"/>
              </w:rPr>
              <w:t>支票、汇票或者本票出现无效或者背书情形的，视为无效投标保证金。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2" w:name="_19.2"/>
            <w:bookmarkEnd w:id="72"/>
            <w:r>
              <w:rPr>
                <w:rFonts w:hint="eastAsia" w:ascii="宋体" w:hAnsi="宋体"/>
                <w:color w:val="auto"/>
                <w:szCs w:val="21"/>
              </w:rPr>
              <w:t>19.2</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hAnsi="宋体"/>
                <w:color w:val="auto"/>
                <w:szCs w:val="21"/>
              </w:rPr>
              <w:t>投标文件应按报价文件、资格证明文件、商务文件、技术文件分别编制，</w:t>
            </w:r>
            <w:r>
              <w:rPr>
                <w:rFonts w:hint="eastAsia" w:ascii="宋体" w:hAnsi="宋体" w:cs="宋体"/>
                <w:color w:val="auto"/>
                <w:szCs w:val="21"/>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20.1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rPr>
            </w:pPr>
            <w:r>
              <w:rPr>
                <w:rFonts w:hint="eastAsia" w:ascii="宋体" w:hAnsi="宋体"/>
                <w:color w:val="auto"/>
                <w:szCs w:val="21"/>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3" w:name="_21.1"/>
            <w:bookmarkEnd w:id="73"/>
            <w:r>
              <w:rPr>
                <w:rFonts w:hint="eastAsia" w:ascii="宋体" w:hAnsi="宋体"/>
                <w:color w:val="auto"/>
                <w:szCs w:val="21"/>
              </w:rPr>
              <w:t>21.1</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u w:val="single"/>
              </w:rPr>
            </w:pPr>
            <w:r>
              <w:rPr>
                <w:rFonts w:hint="eastAsia" w:ascii="宋体" w:hAnsi="宋体"/>
                <w:color w:val="auto"/>
                <w:szCs w:val="21"/>
              </w:rPr>
              <w:t>1.投标截止时间：详见招标公告</w:t>
            </w:r>
          </w:p>
          <w:p>
            <w:pPr>
              <w:snapToGrid w:val="0"/>
              <w:spacing w:line="360" w:lineRule="exact"/>
              <w:rPr>
                <w:rFonts w:ascii="宋体" w:hAnsi="宋体"/>
                <w:color w:val="auto"/>
                <w:szCs w:val="21"/>
              </w:rPr>
            </w:pPr>
            <w:r>
              <w:rPr>
                <w:rFonts w:hint="eastAsia" w:ascii="宋体" w:hAnsi="宋体"/>
                <w:color w:val="auto"/>
                <w:szCs w:val="21"/>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4" w:name="_23"/>
            <w:bookmarkEnd w:id="74"/>
            <w:r>
              <w:rPr>
                <w:rFonts w:hint="eastAsia" w:ascii="宋体" w:hAnsi="宋体"/>
                <w:color w:val="auto"/>
                <w:szCs w:val="21"/>
              </w:rPr>
              <w:t>23</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rPr>
            </w:pPr>
            <w:r>
              <w:rPr>
                <w:rFonts w:hint="eastAsia" w:ascii="宋体" w:hAnsi="宋体"/>
                <w:color w:val="auto"/>
                <w:szCs w:val="21"/>
              </w:rPr>
              <w:t>1.开标时间：详见招标公告</w:t>
            </w:r>
          </w:p>
          <w:p>
            <w:pPr>
              <w:snapToGrid w:val="0"/>
              <w:spacing w:line="360" w:lineRule="exact"/>
              <w:rPr>
                <w:rFonts w:ascii="宋体" w:hAnsi="宋体"/>
                <w:color w:val="auto"/>
                <w:szCs w:val="21"/>
              </w:rPr>
            </w:pPr>
            <w:r>
              <w:rPr>
                <w:rFonts w:hint="eastAsia" w:ascii="宋体" w:hAnsi="宋体"/>
                <w:color w:val="auto"/>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bCs/>
                <w:color w:val="auto"/>
                <w:szCs w:val="21"/>
              </w:rPr>
              <w:t>24.2</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宋体" w:hAnsi="宋体"/>
                <w:color w:val="auto"/>
                <w:szCs w:val="21"/>
              </w:rPr>
            </w:pPr>
            <w:r>
              <w:rPr>
                <w:rFonts w:hint="eastAsia" w:ascii="宋体" w:hAnsi="宋体"/>
                <w:bCs/>
                <w:color w:val="auto"/>
                <w:szCs w:val="21"/>
              </w:rPr>
              <w:t>“政采云”平台按开标时间自动提取所有投标文件。采购代理机构依托“政采云”平台向各投标人发出电子加密投标文件【开始解密】通知，由投标人进行投标文件解密。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rPr>
              <w:t>投标人的法定代表人或其委托代理人须携带加密时所用的CA锁准时登录到“政采云”平台电子开标大厅签到</w:t>
            </w:r>
            <w:r>
              <w:rPr>
                <w:rFonts w:hint="eastAsia" w:ascii="宋体" w:hAnsi="宋体" w:cs="宋体"/>
                <w:b/>
                <w:color w:val="auto"/>
                <w:szCs w:val="21"/>
              </w:rPr>
              <w:t>并在发起解密</w:t>
            </w:r>
            <w:r>
              <w:rPr>
                <w:rFonts w:hint="eastAsia" w:ascii="宋体" w:hAnsi="宋体"/>
                <w:b/>
                <w:bCs/>
                <w:color w:val="auto"/>
                <w:szCs w:val="21"/>
              </w:rPr>
              <w:t>通知</w:t>
            </w:r>
            <w:r>
              <w:rPr>
                <w:rFonts w:hint="eastAsia" w:ascii="宋体" w:hAnsi="宋体" w:cs="宋体"/>
                <w:b/>
                <w:color w:val="auto"/>
                <w:szCs w:val="21"/>
              </w:rPr>
              <w:t>之时起30分钟内完成</w:t>
            </w:r>
            <w:r>
              <w:rPr>
                <w:rFonts w:hint="eastAsia" w:ascii="宋体" w:hAnsi="宋体"/>
                <w:b/>
                <w:bCs/>
                <w:color w:val="auto"/>
                <w:szCs w:val="21"/>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5" w:name="_25.3"/>
            <w:bookmarkEnd w:id="75"/>
            <w:r>
              <w:rPr>
                <w:rFonts w:hint="eastAsia" w:ascii="宋体" w:hAnsi="宋体"/>
                <w:color w:val="auto"/>
                <w:szCs w:val="21"/>
              </w:rPr>
              <w:t>25.3（2）</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采购人或者采购代理机构在资格审查结束前，对投标人进行信用查询。</w:t>
            </w:r>
          </w:p>
          <w:p>
            <w:pPr>
              <w:snapToGrid w:val="0"/>
              <w:spacing w:line="360" w:lineRule="exact"/>
              <w:rPr>
                <w:rFonts w:ascii="宋体" w:hAnsi="宋体"/>
                <w:color w:val="auto"/>
                <w:szCs w:val="21"/>
              </w:rPr>
            </w:pPr>
            <w:r>
              <w:rPr>
                <w:rFonts w:hint="eastAsia" w:ascii="宋体" w:hAnsi="宋体"/>
                <w:color w:val="auto"/>
                <w:szCs w:val="21"/>
              </w:rPr>
              <w:t>查询渠道：“信用中国”网站(www.creditchina.gov.cn) 、中国政府采购网(www.ccgp.gov.cn)》。</w:t>
            </w:r>
          </w:p>
          <w:p>
            <w:pPr>
              <w:snapToGrid w:val="0"/>
              <w:spacing w:line="360" w:lineRule="exact"/>
              <w:rPr>
                <w:rFonts w:ascii="宋体" w:hAnsi="宋体"/>
                <w:color w:val="auto"/>
                <w:szCs w:val="21"/>
              </w:rPr>
            </w:pPr>
            <w:r>
              <w:rPr>
                <w:rFonts w:hint="eastAsia" w:ascii="宋体" w:hAnsi="宋体"/>
                <w:color w:val="auto"/>
                <w:szCs w:val="21"/>
              </w:rPr>
              <w:t>信用查询截止时点：资格审查结束前</w:t>
            </w:r>
          </w:p>
          <w:p>
            <w:pPr>
              <w:snapToGrid w:val="0"/>
              <w:spacing w:line="360" w:lineRule="exact"/>
              <w:rPr>
                <w:rFonts w:ascii="宋体" w:hAnsi="宋体"/>
                <w:color w:val="auto"/>
                <w:szCs w:val="21"/>
              </w:rPr>
            </w:pPr>
            <w:r>
              <w:rPr>
                <w:rFonts w:hint="eastAsia" w:ascii="宋体" w:hAnsi="宋体"/>
                <w:color w:val="auto"/>
                <w:szCs w:val="21"/>
              </w:rPr>
              <w:t>查询记录和证据留存方式：在查询网站中直接打印查询记录，打印材料作为评审资料保存。</w:t>
            </w:r>
          </w:p>
          <w:p>
            <w:pPr>
              <w:snapToGrid w:val="0"/>
              <w:spacing w:line="360" w:lineRule="exact"/>
              <w:rPr>
                <w:rFonts w:ascii="宋体" w:hAnsi="宋体"/>
                <w:b/>
                <w:color w:val="auto"/>
                <w:szCs w:val="21"/>
              </w:rPr>
            </w:pPr>
            <w:r>
              <w:rPr>
                <w:rFonts w:hint="eastAsia" w:ascii="宋体" w:hAnsi="宋体"/>
                <w:color w:val="auto"/>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6" w:name="_26"/>
            <w:bookmarkEnd w:id="76"/>
            <w:r>
              <w:rPr>
                <w:rFonts w:hint="eastAsia" w:ascii="宋体" w:hAnsi="宋体"/>
                <w:color w:val="auto"/>
                <w:szCs w:val="21"/>
              </w:rPr>
              <w:t>26</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评标委员会的人数：</w:t>
            </w:r>
            <w:r>
              <w:rPr>
                <w:rFonts w:hint="eastAsia" w:ascii="宋体" w:hAnsi="宋体"/>
                <w:color w:val="auto"/>
                <w:szCs w:val="21"/>
                <w:u w:val="single"/>
              </w:rPr>
              <w:t xml:space="preserve"> 7 </w:t>
            </w:r>
            <w:r>
              <w:rPr>
                <w:rFonts w:hint="eastAsia" w:ascii="宋体" w:hAnsi="宋体"/>
                <w:color w:val="auto"/>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7" w:name="_28.3"/>
            <w:bookmarkEnd w:id="77"/>
            <w:r>
              <w:rPr>
                <w:rFonts w:ascii="宋体" w:hAnsi="宋体"/>
                <w:color w:val="auto"/>
                <w:szCs w:val="21"/>
              </w:rPr>
              <w:t>29.1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评标方法：</w:t>
            </w:r>
          </w:p>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☑综合评分法</w:t>
            </w:r>
          </w:p>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5" w:type="dxa"/>
            <w:tcBorders>
              <w:top w:val="single" w:color="auto" w:sz="4" w:space="0"/>
              <w:left w:val="single" w:color="auto" w:sz="4" w:space="0"/>
              <w:right w:val="single" w:color="auto" w:sz="4" w:space="0"/>
            </w:tcBorders>
            <w:vAlign w:val="center"/>
          </w:tcPr>
          <w:p>
            <w:pPr>
              <w:spacing w:line="360" w:lineRule="exact"/>
              <w:rPr>
                <w:rFonts w:ascii="宋体" w:hAnsi="宋体"/>
                <w:color w:val="auto"/>
                <w:szCs w:val="21"/>
              </w:rPr>
            </w:pPr>
            <w:bookmarkStart w:id="78" w:name="_29.2.2（2）"/>
            <w:bookmarkEnd w:id="78"/>
            <w:r>
              <w:rPr>
                <w:rFonts w:hint="eastAsia" w:ascii="宋体" w:hAnsi="宋体"/>
                <w:color w:val="auto"/>
                <w:szCs w:val="21"/>
              </w:rPr>
              <w:t>29</w:t>
            </w:r>
            <w:r>
              <w:rPr>
                <w:rFonts w:ascii="宋体" w:hAnsi="宋体"/>
                <w:color w:val="auto"/>
                <w:szCs w:val="21"/>
              </w:rPr>
              <w:t>.2</w:t>
            </w:r>
          </w:p>
        </w:tc>
        <w:tc>
          <w:tcPr>
            <w:tcW w:w="8890" w:type="dxa"/>
            <w:tcBorders>
              <w:top w:val="single" w:color="auto" w:sz="4" w:space="0"/>
              <w:left w:val="single" w:color="auto" w:sz="4" w:space="0"/>
              <w:right w:val="single" w:color="auto" w:sz="4" w:space="0"/>
            </w:tcBorders>
            <w:vAlign w:val="center"/>
          </w:tcPr>
          <w:p>
            <w:pPr>
              <w:snapToGrid w:val="0"/>
              <w:spacing w:line="360" w:lineRule="exact"/>
              <w:rPr>
                <w:rFonts w:ascii="宋体" w:hAnsi="宋体"/>
                <w:color w:val="auto"/>
                <w:szCs w:val="21"/>
              </w:rPr>
            </w:pPr>
            <w:r>
              <w:rPr>
                <w:rFonts w:hint="eastAsia" w:ascii="宋体" w:hAnsi="宋体" w:cs="宋体"/>
                <w:color w:val="auto"/>
                <w:szCs w:val="21"/>
              </w:rPr>
              <w:t>商务条款</w:t>
            </w:r>
            <w:r>
              <w:rPr>
                <w:rFonts w:hint="eastAsia" w:ascii="宋体" w:hAnsi="宋体"/>
                <w:color w:val="auto"/>
                <w:szCs w:val="21"/>
              </w:rPr>
              <w:t>评审中允许负偏离的条款数为</w:t>
            </w:r>
            <w:r>
              <w:rPr>
                <w:rFonts w:hint="eastAsia" w:ascii="宋体" w:hAnsi="宋体"/>
                <w:color w:val="auto"/>
                <w:szCs w:val="21"/>
                <w:u w:val="single"/>
              </w:rPr>
              <w:t xml:space="preserve"> 0 </w:t>
            </w:r>
            <w:r>
              <w:rPr>
                <w:rFonts w:hint="eastAsia" w:ascii="宋体" w:hAnsi="宋体"/>
                <w:color w:val="auto"/>
                <w:szCs w:val="21"/>
              </w:rPr>
              <w:t>项。</w:t>
            </w:r>
          </w:p>
          <w:p>
            <w:pPr>
              <w:snapToGrid w:val="0"/>
              <w:spacing w:line="360" w:lineRule="exact"/>
              <w:rPr>
                <w:rFonts w:ascii="宋体" w:hAnsi="宋体"/>
                <w:color w:val="auto"/>
                <w:szCs w:val="21"/>
              </w:rPr>
            </w:pPr>
            <w:r>
              <w:rPr>
                <w:rFonts w:hint="eastAsia" w:ascii="宋体" w:hAnsi="宋体" w:cs="宋体"/>
                <w:color w:val="auto"/>
                <w:szCs w:val="21"/>
              </w:rPr>
              <w:t>技术需求</w:t>
            </w:r>
            <w:r>
              <w:rPr>
                <w:rFonts w:hint="eastAsia" w:ascii="宋体" w:hAnsi="宋体"/>
                <w:color w:val="auto"/>
                <w:szCs w:val="21"/>
              </w:rPr>
              <w:t>评审中允许负偏离的条款数：</w:t>
            </w:r>
            <w:r>
              <w:rPr>
                <w:rFonts w:hint="eastAsia" w:ascii="宋体" w:hAnsi="宋体"/>
                <w:b/>
                <w:bCs/>
                <w:color w:val="auto"/>
                <w:szCs w:val="21"/>
              </w:rPr>
              <w:t>详见第二章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30</w:t>
            </w:r>
            <w:r>
              <w:rPr>
                <w:rFonts w:ascii="宋体" w:hAnsi="宋体"/>
                <w:color w:val="auto"/>
                <w:szCs w:val="21"/>
              </w:rPr>
              <w:t>.1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rPr>
            </w:pPr>
            <w:r>
              <w:rPr>
                <w:rFonts w:hint="eastAsia" w:ascii="宋体" w:hAnsi="宋体"/>
                <w:b/>
                <w:color w:val="auto"/>
                <w:szCs w:val="21"/>
              </w:rPr>
              <w:t>☑</w:t>
            </w:r>
            <w:r>
              <w:rPr>
                <w:rFonts w:hint="eastAsia" w:ascii="宋体" w:hAnsi="宋体"/>
                <w:color w:val="auto"/>
                <w:szCs w:val="21"/>
              </w:rPr>
              <w:t>采用综合评分法的采购项目，采购人确定中标供应商时，出现中标候选人并列的情形，采购人按以下的方式确定中标供应商：按综合评分中技术、商务、政策功能得分高低依次确定。</w:t>
            </w:r>
          </w:p>
          <w:p>
            <w:pPr>
              <w:autoSpaceDE w:val="0"/>
              <w:autoSpaceDN w:val="0"/>
              <w:snapToGrid w:val="0"/>
              <w:spacing w:line="360" w:lineRule="exact"/>
              <w:textAlignment w:val="bottom"/>
              <w:rPr>
                <w:rFonts w:ascii="宋体" w:hAnsi="宋体"/>
                <w:b/>
                <w:color w:val="auto"/>
                <w:szCs w:val="21"/>
              </w:rPr>
            </w:pPr>
            <w:r>
              <w:rPr>
                <w:rFonts w:hint="eastAsia" w:ascii="宋体" w:hAnsi="宋体"/>
                <w:color w:val="auto"/>
                <w:szCs w:val="21"/>
              </w:rPr>
              <w:t>□采用最低评标价法的采购项目，采购人确定中标供应商时，出现中标候选人并列的情形，采购人按以下的方式确定中标供应商：</w:t>
            </w:r>
            <w:r>
              <w:rPr>
                <w:rFonts w:hint="eastAsia" w:ascii="宋体" w:hAnsi="宋体" w:cs="宋体"/>
                <w:color w:val="auto"/>
                <w:szCs w:val="21"/>
              </w:rPr>
              <w:t>按</w:t>
            </w:r>
            <w:r>
              <w:rPr>
                <w:rFonts w:ascii="宋体" w:hAnsi="Courier New"/>
                <w:color w:val="auto"/>
                <w:szCs w:val="21"/>
              </w:rPr>
              <w:t>节能环保优先、技术指标高优先、质保期长优先、交货期短优先、故障响应时间短优先的</w:t>
            </w:r>
            <w:r>
              <w:rPr>
                <w:rFonts w:hint="eastAsia" w:ascii="宋体" w:hAnsi="宋体" w:cs="宋体"/>
                <w:color w:val="auto"/>
                <w:szCs w:val="21"/>
              </w:rPr>
              <w:t>顺序依次确定。</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79" w:name="_39.1"/>
            <w:bookmarkEnd w:id="79"/>
            <w:r>
              <w:rPr>
                <w:rFonts w:hint="eastAsia" w:ascii="宋体" w:hAnsi="宋体"/>
                <w:color w:val="auto"/>
                <w:szCs w:val="21"/>
              </w:rPr>
              <w:t>35</w:t>
            </w:r>
            <w:r>
              <w:rPr>
                <w:rFonts w:ascii="宋体" w:hAnsi="宋体"/>
                <w:color w:val="auto"/>
                <w:szCs w:val="21"/>
              </w:rPr>
              <w:t>.1</w:t>
            </w:r>
          </w:p>
        </w:tc>
        <w:tc>
          <w:tcPr>
            <w:tcW w:w="8890" w:type="dxa"/>
            <w:tcBorders>
              <w:top w:val="single" w:color="auto" w:sz="4" w:space="0"/>
              <w:left w:val="single" w:color="auto" w:sz="4" w:space="0"/>
              <w:bottom w:val="single" w:color="auto" w:sz="4" w:space="0"/>
              <w:right w:val="single" w:color="auto" w:sz="4" w:space="0"/>
            </w:tcBorders>
            <w:vAlign w:val="center"/>
          </w:tcPr>
          <w:p>
            <w:pPr>
              <w:spacing w:line="340" w:lineRule="exact"/>
              <w:contextualSpacing/>
              <w:jc w:val="left"/>
              <w:rPr>
                <w:rFonts w:ascii="宋体" w:hAnsi="宋体"/>
                <w:color w:val="auto"/>
                <w:szCs w:val="21"/>
                <w:highlight w:val="none"/>
              </w:rPr>
            </w:pPr>
            <w:r>
              <w:rPr>
                <w:rFonts w:hint="eastAsia" w:ascii="宋体" w:hAnsi="宋体"/>
                <w:color w:val="auto"/>
                <w:szCs w:val="21"/>
                <w:highlight w:val="none"/>
              </w:rPr>
              <w:t>履约保证金金额：每分标</w:t>
            </w:r>
            <w:r>
              <w:rPr>
                <w:rFonts w:hint="eastAsia" w:ascii="宋体" w:hAnsi="宋体" w:cs="宋体"/>
                <w:color w:val="auto"/>
                <w:szCs w:val="21"/>
                <w:highlight w:val="none"/>
              </w:rPr>
              <w:t>按中标金额的</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%收取，并于合同签订前提交至采购人指定账户。</w:t>
            </w:r>
          </w:p>
          <w:p>
            <w:pPr>
              <w:spacing w:line="340" w:lineRule="exact"/>
              <w:jc w:val="left"/>
              <w:rPr>
                <w:rFonts w:ascii="宋体" w:hAnsi="宋体"/>
                <w:color w:val="auto"/>
                <w:szCs w:val="21"/>
                <w:highlight w:val="none"/>
              </w:rPr>
            </w:pPr>
            <w:r>
              <w:rPr>
                <w:rFonts w:hint="eastAsia" w:ascii="宋体" w:hAnsi="宋体"/>
                <w:color w:val="auto"/>
                <w:szCs w:val="21"/>
                <w:highlight w:val="none"/>
              </w:rPr>
              <w:t>履约保证金递交方式：支票、汇票、本票，或者银行、保险机构出具的保函等非现金方式。</w:t>
            </w:r>
          </w:p>
          <w:p>
            <w:pPr>
              <w:spacing w:line="340" w:lineRule="exact"/>
              <w:jc w:val="left"/>
              <w:rPr>
                <w:color w:val="auto"/>
                <w:highlight w:val="none"/>
              </w:rPr>
            </w:pPr>
            <w:r>
              <w:rPr>
                <w:rFonts w:hint="eastAsia" w:ascii="宋体" w:hAnsi="宋体"/>
                <w:color w:val="auto"/>
                <w:szCs w:val="21"/>
                <w:highlight w:val="none"/>
              </w:rPr>
              <w:t>履约保证金退付的方式、时间及条件：</w:t>
            </w:r>
            <w:r>
              <w:rPr>
                <w:rFonts w:hint="eastAsia"/>
                <w:color w:val="auto"/>
                <w:highlight w:val="none"/>
              </w:rPr>
              <w:t>履约保证金在中标人按合同约定的项目验收交付正常运行一年后，由中标人向采购人提供《采购项目合同验收书》及《采购项目履约保证金退付意见书》（详见附件），甲方在收到合格材料后15个工作日内如数退还（不计利息）。采购人无故延期退付履约保证金的，每天向对方偿付未退付履约保证金3‰作为违约金。</w:t>
            </w:r>
          </w:p>
          <w:p>
            <w:pPr>
              <w:spacing w:line="340" w:lineRule="exact"/>
              <w:jc w:val="left"/>
              <w:rPr>
                <w:rFonts w:ascii="宋体" w:hAnsi="宋体" w:cs="宋体"/>
                <w:color w:val="auto"/>
                <w:kern w:val="0"/>
                <w:szCs w:val="21"/>
              </w:rPr>
            </w:pPr>
            <w:r>
              <w:rPr>
                <w:rFonts w:hint="eastAsia" w:ascii="宋体" w:hAnsi="宋体"/>
                <w:color w:val="auto"/>
                <w:szCs w:val="21"/>
                <w:highlight w:val="none"/>
              </w:rPr>
              <w:t>不予退还的情形：签订合同后，如中标人不按双方签订的合同规定履约，则其全部履约保证金不予退还。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80" w:name="_40.1"/>
            <w:bookmarkEnd w:id="80"/>
            <w:r>
              <w:rPr>
                <w:rFonts w:hint="eastAsia" w:ascii="宋体" w:hAnsi="宋体"/>
                <w:color w:val="auto"/>
                <w:szCs w:val="21"/>
              </w:rPr>
              <w:t>36.1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签订合同携带的证明材料：</w:t>
            </w:r>
          </w:p>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委托代理人负责签订合同的，须携带授权委托书及委托代理人身份证原件等其他资格证件。</w:t>
            </w:r>
          </w:p>
          <w:p>
            <w:pPr>
              <w:autoSpaceDE w:val="0"/>
              <w:autoSpaceDN w:val="0"/>
              <w:snapToGrid w:val="0"/>
              <w:spacing w:line="360" w:lineRule="exact"/>
              <w:textAlignment w:val="bottom"/>
              <w:rPr>
                <w:rFonts w:ascii="宋体" w:hAnsi="宋体"/>
                <w:color w:val="auto"/>
                <w:szCs w:val="21"/>
              </w:rPr>
            </w:pPr>
            <w:r>
              <w:rPr>
                <w:rFonts w:hint="eastAsia" w:ascii="宋体" w:hAnsi="宋体"/>
                <w:color w:val="auto"/>
                <w:szCs w:val="21"/>
              </w:rPr>
              <w:t>法定代表人负责签订合同的，须携带法定代表人</w:t>
            </w:r>
            <w:r>
              <w:rPr>
                <w:rFonts w:ascii="宋体" w:hAnsi="宋体"/>
                <w:color w:val="auto"/>
                <w:szCs w:val="21"/>
              </w:rPr>
              <w:t>身份证明原件</w:t>
            </w:r>
            <w:r>
              <w:rPr>
                <w:rFonts w:hint="eastAsia" w:ascii="宋体" w:hAnsi="宋体"/>
                <w:color w:val="auto"/>
                <w:szCs w:val="21"/>
              </w:rPr>
              <w:t>及</w:t>
            </w:r>
            <w:r>
              <w:rPr>
                <w:rFonts w:ascii="宋体" w:hAnsi="宋体"/>
                <w:color w:val="auto"/>
                <w:szCs w:val="21"/>
              </w:rPr>
              <w:t>身份证原件</w:t>
            </w:r>
            <w:r>
              <w:rPr>
                <w:rFonts w:hint="eastAsia" w:ascii="宋体" w:hAnsi="宋体"/>
                <w:color w:val="auto"/>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3</w:t>
            </w:r>
            <w:r>
              <w:rPr>
                <w:rFonts w:ascii="宋体" w:hAnsi="宋体"/>
                <w:color w:val="auto"/>
                <w:szCs w:val="21"/>
              </w:rPr>
              <w:t>8.2</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rPr>
            </w:pPr>
            <w:r>
              <w:rPr>
                <w:rFonts w:hint="eastAsia" w:ascii="宋体" w:hAnsi="宋体"/>
                <w:color w:val="auto"/>
                <w:szCs w:val="21"/>
              </w:rPr>
              <w:t>接收质疑函方式：以书面形式</w:t>
            </w:r>
          </w:p>
          <w:p>
            <w:pPr>
              <w:snapToGrid w:val="0"/>
              <w:spacing w:line="360" w:lineRule="auto"/>
              <w:rPr>
                <w:rFonts w:ascii="宋体" w:hAnsi="宋体"/>
                <w:color w:val="auto"/>
                <w:szCs w:val="21"/>
              </w:rPr>
            </w:pPr>
            <w:r>
              <w:rPr>
                <w:rFonts w:hint="eastAsia" w:ascii="宋体" w:hAnsi="宋体"/>
                <w:color w:val="auto"/>
                <w:szCs w:val="21"/>
              </w:rPr>
              <w:t>质疑联系部门及联系方式：</w:t>
            </w:r>
            <w:r>
              <w:rPr>
                <w:rFonts w:hint="eastAsia" w:ascii="宋体" w:hAnsi="宋体" w:cs="宋体"/>
                <w:color w:val="auto"/>
                <w:szCs w:val="21"/>
                <w:u w:val="single"/>
              </w:rPr>
              <w:t>中资国际工程咨询集团有限责任公司项目一部</w:t>
            </w:r>
            <w:r>
              <w:rPr>
                <w:rFonts w:hint="eastAsia" w:ascii="宋体" w:hAnsi="宋体"/>
                <w:color w:val="auto"/>
                <w:szCs w:val="21"/>
                <w:u w:val="single"/>
              </w:rPr>
              <w:t xml:space="preserve"> </w:t>
            </w:r>
            <w:r>
              <w:rPr>
                <w:rFonts w:hint="eastAsia" w:ascii="宋体" w:hAnsi="宋体"/>
                <w:color w:val="auto"/>
                <w:szCs w:val="21"/>
              </w:rPr>
              <w:t>部门，质疑联系人：</w:t>
            </w:r>
            <w:r>
              <w:rPr>
                <w:rFonts w:hint="eastAsia" w:ascii="宋体" w:hAnsi="宋体"/>
                <w:color w:val="auto"/>
                <w:szCs w:val="21"/>
                <w:u w:val="single"/>
              </w:rPr>
              <w:t>郭乃华</w:t>
            </w:r>
            <w:r>
              <w:rPr>
                <w:rFonts w:hint="eastAsia" w:ascii="宋体" w:hAnsi="宋体"/>
                <w:color w:val="auto"/>
                <w:szCs w:val="21"/>
              </w:rPr>
              <w:t>，</w:t>
            </w:r>
            <w:r>
              <w:rPr>
                <w:rFonts w:ascii="宋体" w:hAnsi="宋体"/>
                <w:color w:val="auto"/>
                <w:szCs w:val="21"/>
              </w:rPr>
              <w:t>联系电话</w:t>
            </w:r>
            <w:r>
              <w:rPr>
                <w:rFonts w:hint="eastAsia" w:ascii="宋体" w:hAnsi="宋体"/>
                <w:color w:val="auto"/>
                <w:szCs w:val="21"/>
              </w:rPr>
              <w:t>：</w:t>
            </w:r>
            <w:r>
              <w:rPr>
                <w:rFonts w:hint="eastAsia" w:ascii="宋体" w:hAnsi="宋体" w:cs="宋体"/>
                <w:color w:val="auto"/>
                <w:szCs w:val="21"/>
                <w:u w:val="single"/>
              </w:rPr>
              <w:t>0771-5675006</w:t>
            </w:r>
            <w:r>
              <w:rPr>
                <w:rFonts w:hint="eastAsia" w:ascii="宋体" w:hAnsi="宋体"/>
                <w:color w:val="auto"/>
                <w:szCs w:val="21"/>
              </w:rPr>
              <w:t>，</w:t>
            </w:r>
            <w:r>
              <w:rPr>
                <w:rFonts w:ascii="宋体" w:hAnsi="宋体"/>
                <w:color w:val="auto"/>
                <w:szCs w:val="21"/>
              </w:rPr>
              <w:t>通讯地址</w:t>
            </w:r>
            <w:r>
              <w:rPr>
                <w:rFonts w:hint="eastAsia" w:ascii="宋体" w:hAnsi="宋体" w:cs="Helvetica"/>
                <w:color w:val="auto"/>
                <w:szCs w:val="21"/>
              </w:rPr>
              <w:t>：</w:t>
            </w:r>
            <w:r>
              <w:rPr>
                <w:rFonts w:hint="eastAsia" w:ascii="宋体" w:hAnsi="宋体" w:cs="宋体"/>
                <w:color w:val="auto"/>
                <w:szCs w:val="21"/>
                <w:u w:val="single"/>
              </w:rPr>
              <w:t>南宁市青秀区长园路8号大地华城S3-01号商场三楼。</w:t>
            </w:r>
          </w:p>
          <w:p>
            <w:pPr>
              <w:autoSpaceDE w:val="0"/>
              <w:autoSpaceDN w:val="0"/>
              <w:snapToGrid w:val="0"/>
              <w:spacing w:line="360" w:lineRule="exact"/>
              <w:textAlignment w:val="bottom"/>
              <w:rPr>
                <w:rFonts w:ascii="宋体" w:hAnsi="宋体"/>
                <w:color w:val="auto"/>
                <w:szCs w:val="21"/>
              </w:rPr>
            </w:pPr>
            <w:r>
              <w:rPr>
                <w:rFonts w:hint="eastAsia" w:hAnsi="宋体"/>
                <w:color w:val="auto"/>
              </w:rPr>
              <w:t>现场提交质疑办理业务时</w:t>
            </w:r>
            <w:r>
              <w:rPr>
                <w:rFonts w:hint="eastAsia" w:ascii="宋体" w:hAnsi="宋体" w:cs="宋体"/>
                <w:color w:val="auto"/>
              </w:rPr>
              <w:t>间：每天8时30分到12时00分，15时00分到18时00分，业务时间以外、双休日和法定节假日不办理业务。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bookmarkStart w:id="81" w:name="_41"/>
            <w:bookmarkEnd w:id="81"/>
            <w:bookmarkStart w:id="82" w:name="_42"/>
            <w:bookmarkEnd w:id="82"/>
            <w:bookmarkStart w:id="83" w:name="_Hlt17709148"/>
            <w:r>
              <w:rPr>
                <w:rFonts w:hint="eastAsia" w:ascii="宋体" w:hAnsi="宋体"/>
                <w:color w:val="auto"/>
                <w:szCs w:val="21"/>
              </w:rPr>
              <w:t>3</w:t>
            </w:r>
            <w:bookmarkEnd w:id="83"/>
            <w:r>
              <w:rPr>
                <w:rFonts w:ascii="宋体" w:hAnsi="宋体"/>
                <w:color w:val="auto"/>
                <w:szCs w:val="21"/>
              </w:rPr>
              <w:t>9.1</w:t>
            </w:r>
          </w:p>
        </w:tc>
        <w:tc>
          <w:tcPr>
            <w:tcW w:w="889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40" w:lineRule="exact"/>
              <w:rPr>
                <w:rFonts w:hAnsi="宋体" w:cs="宋体"/>
                <w:color w:val="auto"/>
              </w:rPr>
            </w:pPr>
            <w:r>
              <w:rPr>
                <w:rFonts w:hint="eastAsia" w:hAnsi="宋体" w:cs="宋体"/>
                <w:color w:val="auto"/>
              </w:rPr>
              <w:t>1.采购代理费支付方式：</w:t>
            </w:r>
          </w:p>
          <w:p>
            <w:pPr>
              <w:pStyle w:val="18"/>
              <w:snapToGrid w:val="0"/>
              <w:spacing w:line="340" w:lineRule="exact"/>
              <w:rPr>
                <w:rFonts w:hAnsi="宋体" w:cs="宋体"/>
                <w:color w:val="auto"/>
              </w:rPr>
            </w:pPr>
            <w:r>
              <w:rPr>
                <w:rFonts w:hint="eastAsia" w:hAnsi="宋体"/>
                <w:b/>
                <w:color w:val="auto"/>
                <w:szCs w:val="21"/>
              </w:rPr>
              <w:t>☑</w:t>
            </w:r>
            <w:r>
              <w:rPr>
                <w:rFonts w:hint="eastAsia" w:hAnsi="宋体" w:cs="宋体"/>
                <w:color w:val="auto"/>
              </w:rPr>
              <w:t>本项目代理服务费由</w:t>
            </w:r>
            <w:r>
              <w:rPr>
                <w:rFonts w:hint="eastAsia" w:hAnsi="宋体" w:cs="宋体"/>
                <w:color w:val="auto"/>
                <w:u w:val="single"/>
              </w:rPr>
              <w:t>中标供应商</w:t>
            </w:r>
            <w:r>
              <w:rPr>
                <w:rFonts w:hint="eastAsia" w:hAnsi="宋体" w:cs="宋体"/>
                <w:color w:val="auto"/>
              </w:rPr>
              <w:t>在领取中标通知书前，一次性向采购代理机构支付。</w:t>
            </w:r>
          </w:p>
          <w:p>
            <w:pPr>
              <w:pStyle w:val="18"/>
              <w:snapToGrid w:val="0"/>
              <w:spacing w:line="340" w:lineRule="exact"/>
              <w:rPr>
                <w:rFonts w:hAnsi="宋体" w:cs="宋体"/>
                <w:color w:val="auto"/>
              </w:rPr>
            </w:pPr>
            <w:r>
              <w:rPr>
                <w:rFonts w:hint="eastAsia" w:hAnsi="宋体" w:cs="宋体"/>
                <w:color w:val="auto"/>
              </w:rPr>
              <w:t>2.采购代理费收取标准：</w:t>
            </w:r>
          </w:p>
          <w:p>
            <w:pPr>
              <w:pStyle w:val="18"/>
              <w:snapToGrid w:val="0"/>
              <w:spacing w:line="340" w:lineRule="exact"/>
              <w:rPr>
                <w:rFonts w:hAnsi="宋体" w:cs="宋体"/>
                <w:color w:val="auto"/>
              </w:rPr>
            </w:pPr>
            <w:r>
              <w:rPr>
                <w:rFonts w:hint="eastAsia" w:hAnsi="宋体" w:cs="宋体"/>
                <w:color w:val="auto"/>
              </w:rPr>
              <w:t>根据国家现行取费政策，参照国家发展计划委员会《招标代理服务费管理暂行办法》计价格（2002）1980号号收费标准、《国家发展改革委关于降低部分建设项目收费标准规范收费行为等有关问题的通知》（发改价格〔2011〕534号）货物类收费标准向中标人收取。</w:t>
            </w:r>
          </w:p>
          <w:p>
            <w:pPr>
              <w:pStyle w:val="18"/>
              <w:snapToGrid w:val="0"/>
              <w:spacing w:line="340" w:lineRule="exact"/>
              <w:rPr>
                <w:rFonts w:hAnsi="宋体" w:cs="宋体"/>
                <w:color w:val="auto"/>
              </w:rPr>
            </w:pPr>
            <w:r>
              <w:rPr>
                <w:rFonts w:hint="eastAsia" w:hAnsi="宋体" w:cs="宋体"/>
                <w:color w:val="auto"/>
              </w:rPr>
              <w:t>3</w:t>
            </w:r>
            <w:r>
              <w:rPr>
                <w:rFonts w:hAnsi="宋体" w:cs="宋体"/>
                <w:color w:val="auto"/>
              </w:rPr>
              <w:t>.</w:t>
            </w:r>
            <w:r>
              <w:rPr>
                <w:rFonts w:hint="eastAsia" w:hAnsi="宋体" w:cs="宋体"/>
                <w:color w:val="auto"/>
              </w:rPr>
              <w:t>账户名称：中资国际工程咨询集团有限责任公司广西分公司</w:t>
            </w:r>
          </w:p>
          <w:p>
            <w:pPr>
              <w:pStyle w:val="18"/>
              <w:snapToGrid w:val="0"/>
              <w:spacing w:line="340" w:lineRule="exact"/>
              <w:rPr>
                <w:rFonts w:hAnsi="宋体" w:cs="宋体"/>
                <w:color w:val="auto"/>
                <w:u w:val="single"/>
              </w:rPr>
            </w:pPr>
            <w:r>
              <w:rPr>
                <w:rFonts w:hint="eastAsia" w:hAnsi="宋体" w:cs="宋体"/>
                <w:color w:val="auto"/>
              </w:rPr>
              <w:t>税号：</w:t>
            </w:r>
            <w:r>
              <w:rPr>
                <w:rFonts w:hint="eastAsia" w:hAnsi="宋体" w:cs="宋体"/>
                <w:color w:val="auto"/>
                <w:u w:val="single"/>
              </w:rPr>
              <w:t>91450103310109108R</w:t>
            </w:r>
          </w:p>
          <w:p>
            <w:pPr>
              <w:pStyle w:val="18"/>
              <w:snapToGrid w:val="0"/>
              <w:spacing w:line="340" w:lineRule="exact"/>
              <w:rPr>
                <w:rFonts w:hAnsi="宋体" w:cs="宋体"/>
                <w:color w:val="auto"/>
              </w:rPr>
            </w:pPr>
            <w:r>
              <w:rPr>
                <w:rFonts w:hint="eastAsia" w:hAnsi="宋体" w:cs="宋体"/>
                <w:color w:val="auto"/>
              </w:rPr>
              <w:t>开户行：</w:t>
            </w:r>
            <w:r>
              <w:rPr>
                <w:rFonts w:hint="eastAsia" w:hAnsi="宋体" w:cs="宋体"/>
                <w:color w:val="auto"/>
                <w:kern w:val="0"/>
                <w:szCs w:val="21"/>
                <w:u w:val="single"/>
              </w:rPr>
              <w:t>招商银行南宁分行东葛路支行</w:t>
            </w:r>
          </w:p>
          <w:p>
            <w:pPr>
              <w:pStyle w:val="18"/>
              <w:snapToGrid w:val="0"/>
              <w:spacing w:line="340" w:lineRule="exact"/>
              <w:rPr>
                <w:rFonts w:hAnsi="宋体"/>
                <w:color w:val="auto"/>
              </w:rPr>
            </w:pPr>
            <w:r>
              <w:rPr>
                <w:rFonts w:hint="eastAsia" w:hAnsi="宋体" w:cs="宋体"/>
                <w:color w:val="auto"/>
              </w:rPr>
              <w:t>银行账号：</w:t>
            </w:r>
            <w:r>
              <w:rPr>
                <w:rFonts w:hint="eastAsia" w:hAnsi="宋体" w:cs="宋体"/>
                <w:color w:val="auto"/>
                <w:kern w:val="0"/>
                <w:szCs w:val="21"/>
                <w:u w:val="single"/>
              </w:rPr>
              <w:t>771901372110211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ascii="宋体" w:hAnsi="宋体"/>
                <w:color w:val="auto"/>
                <w:szCs w:val="21"/>
              </w:rPr>
              <w:t>40.1</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宋体" w:hAnsi="宋体"/>
                <w:color w:val="auto"/>
                <w:szCs w:val="21"/>
              </w:rPr>
            </w:pPr>
            <w:r>
              <w:rPr>
                <w:rFonts w:hint="eastAsia" w:ascii="宋体" w:hAnsi="宋体"/>
                <w:color w:val="auto"/>
                <w:szCs w:val="21"/>
              </w:rPr>
              <w:t>解释：</w:t>
            </w:r>
            <w:r>
              <w:rPr>
                <w:rFonts w:ascii="宋体" w:hAnsi="宋体"/>
                <w:color w:val="auto"/>
                <w:szCs w:val="21"/>
              </w:rPr>
              <w:t>构成本招标文件的各个组成文件应互为解释，互为说明；除招标文件中有特别规定外，仅适用于招标投标阶段的规定，按</w:t>
            </w:r>
            <w:r>
              <w:rPr>
                <w:rFonts w:hint="eastAsia" w:ascii="宋体" w:hAnsi="宋体"/>
                <w:color w:val="auto"/>
                <w:szCs w:val="21"/>
              </w:rPr>
              <w:t>更正公告（澄清公告）</w:t>
            </w:r>
            <w:r>
              <w:rPr>
                <w:rFonts w:ascii="宋体" w:hAnsi="宋体"/>
                <w:color w:val="auto"/>
                <w:szCs w:val="21"/>
              </w:rPr>
              <w:t>、招标公告、</w:t>
            </w:r>
            <w:r>
              <w:rPr>
                <w:rFonts w:hint="eastAsia" w:ascii="宋体" w:hAnsi="宋体"/>
                <w:color w:val="auto"/>
                <w:szCs w:val="21"/>
              </w:rPr>
              <w:t>采购需求、</w:t>
            </w:r>
            <w:r>
              <w:rPr>
                <w:rFonts w:ascii="宋体" w:hAnsi="宋体"/>
                <w:color w:val="auto"/>
                <w:szCs w:val="21"/>
              </w:rPr>
              <w:t>投标人须知、</w:t>
            </w:r>
            <w:r>
              <w:rPr>
                <w:rFonts w:hint="eastAsia" w:ascii="宋体" w:hAnsi="宋体"/>
                <w:color w:val="auto"/>
                <w:szCs w:val="21"/>
              </w:rPr>
              <w:t>评标方法及评标标准</w:t>
            </w:r>
            <w:r>
              <w:rPr>
                <w:rFonts w:ascii="宋体" w:hAnsi="宋体"/>
                <w:color w:val="auto"/>
                <w:szCs w:val="21"/>
              </w:rPr>
              <w:t>、</w:t>
            </w:r>
            <w:r>
              <w:rPr>
                <w:rFonts w:hint="eastAsia" w:ascii="宋体" w:hAnsi="宋体"/>
                <w:color w:val="auto"/>
                <w:szCs w:val="21"/>
              </w:rPr>
              <w:t>拟签订的合同文本、</w:t>
            </w:r>
            <w:r>
              <w:rPr>
                <w:rFonts w:ascii="宋体" w:hAnsi="宋体"/>
                <w:color w:val="auto"/>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rPr>
              <w:t>更正公告（澄清公告）</w:t>
            </w:r>
            <w:r>
              <w:rPr>
                <w:rFonts w:ascii="宋体" w:hAnsi="宋体"/>
                <w:color w:val="auto"/>
                <w:szCs w:val="21"/>
              </w:rPr>
              <w:t>与同步更新的招标文件不一致时以</w:t>
            </w:r>
            <w:r>
              <w:rPr>
                <w:rFonts w:hint="eastAsia" w:ascii="宋体" w:hAnsi="宋体"/>
                <w:color w:val="auto"/>
                <w:szCs w:val="21"/>
              </w:rPr>
              <w:t>更正公告（澄清公告）</w:t>
            </w:r>
            <w:r>
              <w:rPr>
                <w:rFonts w:ascii="宋体" w:hAnsi="宋体"/>
                <w:color w:val="auto"/>
                <w:szCs w:val="21"/>
              </w:rPr>
              <w:t>为准。按本款前述规定仍不能形成结论的，由</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或者采购代理机构</w:t>
            </w:r>
            <w:r>
              <w:rPr>
                <w:rFonts w:ascii="宋体" w:hAnsi="宋体"/>
                <w:color w:val="auto"/>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auto"/>
                <w:szCs w:val="21"/>
              </w:rPr>
            </w:pPr>
            <w:r>
              <w:rPr>
                <w:rFonts w:ascii="宋体" w:hAnsi="宋体"/>
                <w:color w:val="auto"/>
                <w:szCs w:val="21"/>
              </w:rPr>
              <w:t>40.2</w:t>
            </w:r>
          </w:p>
        </w:tc>
        <w:tc>
          <w:tcPr>
            <w:tcW w:w="889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60" w:lineRule="auto"/>
              <w:rPr>
                <w:rFonts w:hAnsi="宋体" w:cs="宋体"/>
                <w:b/>
                <w:bCs/>
                <w:color w:val="auto"/>
              </w:rPr>
            </w:pPr>
            <w:r>
              <w:rPr>
                <w:rFonts w:hint="eastAsia" w:hAnsi="宋体" w:cs="宋体"/>
                <w:b/>
                <w:bCs/>
                <w:color w:val="auto"/>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8"/>
              <w:snapToGrid w:val="0"/>
              <w:spacing w:line="360" w:lineRule="auto"/>
              <w:rPr>
                <w:rFonts w:hAnsi="宋体" w:cs="宋体"/>
                <w:b/>
                <w:bCs/>
                <w:color w:val="auto"/>
              </w:rPr>
            </w:pPr>
            <w:r>
              <w:rPr>
                <w:rFonts w:hint="eastAsia" w:hAnsi="宋体" w:cs="宋体"/>
                <w:b/>
                <w:bCs/>
                <w:color w:val="auto"/>
              </w:rPr>
              <w:t>2.投标人为其他组织或者自然人时，本招标文件规定的法定代表人指负责人或者自然人。本招标文件所称负责人是指参加投标的其他组织营业执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18"/>
              <w:snapToGrid w:val="0"/>
              <w:spacing w:line="360" w:lineRule="auto"/>
              <w:rPr>
                <w:rFonts w:hAnsi="宋体" w:cs="宋体"/>
                <w:b/>
                <w:bCs/>
                <w:color w:val="auto"/>
              </w:rPr>
            </w:pPr>
            <w:r>
              <w:rPr>
                <w:rFonts w:hint="eastAsia" w:hAnsi="宋体" w:cs="宋体"/>
                <w:b/>
                <w:bCs/>
                <w:color w:val="auto"/>
              </w:rPr>
              <w:t>3.本招标文件中描述投标人的“签字”是指投标人的法定代表人或者委托代理人亲自在文件规定签署处亲笔写上个人的名字的行为，私章、签字章、印鉴、影印等其他形式均不能代替亲笔签字。</w:t>
            </w:r>
          </w:p>
          <w:p>
            <w:pPr>
              <w:pStyle w:val="18"/>
              <w:snapToGrid w:val="0"/>
              <w:spacing w:line="360" w:lineRule="auto"/>
              <w:rPr>
                <w:rFonts w:hAnsi="宋体" w:cs="宋体"/>
                <w:b/>
                <w:bCs/>
                <w:color w:val="auto"/>
              </w:rPr>
            </w:pPr>
            <w:r>
              <w:rPr>
                <w:rFonts w:hint="eastAsia" w:hAnsi="宋体" w:cs="宋体"/>
                <w:b/>
                <w:bCs/>
                <w:color w:val="auto"/>
              </w:rPr>
              <w:t>4.自然人投标的，招标文件规定盖公章处由自然人摁手指指印。</w:t>
            </w:r>
          </w:p>
          <w:p>
            <w:pPr>
              <w:spacing w:line="340" w:lineRule="exact"/>
              <w:jc w:val="left"/>
              <w:rPr>
                <w:rFonts w:ascii="宋体" w:hAnsi="宋体"/>
                <w:color w:val="auto"/>
                <w:szCs w:val="21"/>
              </w:rPr>
            </w:pPr>
            <w:r>
              <w:rPr>
                <w:rFonts w:hint="eastAsia" w:ascii="宋体" w:hAnsi="宋体" w:cs="宋体"/>
                <w:b/>
                <w:bCs/>
                <w:color w:val="auto"/>
                <w:szCs w:val="21"/>
              </w:rPr>
              <w:t>5.本招标文件所称的“以上”“以下”“以内”“届满”，包括本数；所称的“不满”“超过”“以外”，不包括本数。</w:t>
            </w:r>
          </w:p>
        </w:tc>
      </w:tr>
    </w:tbl>
    <w:p>
      <w:pPr>
        <w:snapToGrid w:val="0"/>
        <w:rPr>
          <w:rFonts w:ascii="宋体" w:hAnsi="宋体"/>
          <w:color w:val="auto"/>
          <w:sz w:val="24"/>
          <w:szCs w:val="20"/>
        </w:rPr>
      </w:pPr>
    </w:p>
    <w:p>
      <w:pPr>
        <w:pStyle w:val="2"/>
        <w:keepNext w:val="0"/>
        <w:keepLines w:val="0"/>
        <w:jc w:val="center"/>
        <w:rPr>
          <w:color w:val="auto"/>
        </w:rPr>
      </w:pPr>
      <w:r>
        <w:rPr>
          <w:color w:val="auto"/>
        </w:rPr>
        <w:br w:type="page"/>
      </w:r>
      <w:r>
        <w:rPr>
          <w:rFonts w:hint="eastAsia"/>
          <w:color w:val="auto"/>
        </w:rPr>
        <w:t>投标人须知正文</w:t>
      </w:r>
    </w:p>
    <w:p>
      <w:pPr>
        <w:rPr>
          <w:color w:val="auto"/>
        </w:rPr>
      </w:pPr>
    </w:p>
    <w:p>
      <w:pPr>
        <w:pStyle w:val="2"/>
        <w:keepNext w:val="0"/>
        <w:keepLines w:val="0"/>
        <w:numPr>
          <w:ilvl w:val="0"/>
          <w:numId w:val="8"/>
        </w:numPr>
        <w:jc w:val="center"/>
        <w:rPr>
          <w:color w:val="auto"/>
        </w:rPr>
      </w:pPr>
      <w:r>
        <w:rPr>
          <w:rFonts w:hint="eastAsia"/>
          <w:color w:val="auto"/>
        </w:rPr>
        <w:t>总  则</w:t>
      </w:r>
    </w:p>
    <w:p>
      <w:pPr>
        <w:rPr>
          <w:color w:val="auto"/>
        </w:rPr>
      </w:pPr>
    </w:p>
    <w:p>
      <w:pPr>
        <w:pStyle w:val="6"/>
        <w:keepNext w:val="0"/>
        <w:keepLines w:val="0"/>
        <w:spacing w:before="0" w:after="0" w:line="360" w:lineRule="auto"/>
        <w:ind w:left="420" w:leftChars="200"/>
        <w:rPr>
          <w:rFonts w:ascii="黑体" w:hAnsi="黑体" w:eastAsia="黑体"/>
          <w:color w:val="auto"/>
          <w:sz w:val="24"/>
        </w:rPr>
      </w:pPr>
      <w:bookmarkStart w:id="84" w:name="_Toc254970668"/>
      <w:bookmarkStart w:id="85" w:name="_Toc254970527"/>
      <w:r>
        <w:rPr>
          <w:rFonts w:hint="eastAsia" w:ascii="黑体" w:hAnsi="黑体" w:eastAsia="黑体"/>
          <w:color w:val="auto"/>
          <w:sz w:val="24"/>
        </w:rPr>
        <w:t>1.适用范围</w:t>
      </w:r>
      <w:bookmarkEnd w:id="84"/>
      <w:bookmarkEnd w:id="85"/>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1.2本招标文件</w:t>
      </w:r>
      <w:r>
        <w:rPr>
          <w:rFonts w:hint="eastAsia" w:ascii="宋体" w:hAnsi="宋体" w:cs="宋体"/>
          <w:color w:val="auto"/>
          <w:spacing w:val="-6"/>
          <w:szCs w:val="21"/>
        </w:rPr>
        <w:t>适用于本项目的所有采购程序和环节（法律、法规另有规定的，从其规定）。</w:t>
      </w:r>
    </w:p>
    <w:p>
      <w:pPr>
        <w:pStyle w:val="6"/>
        <w:keepNext w:val="0"/>
        <w:keepLines w:val="0"/>
        <w:spacing w:before="0" w:after="0" w:line="360" w:lineRule="auto"/>
        <w:ind w:left="420" w:leftChars="200"/>
        <w:rPr>
          <w:rFonts w:ascii="黑体" w:hAnsi="黑体" w:eastAsia="黑体"/>
          <w:color w:val="auto"/>
          <w:sz w:val="24"/>
        </w:rPr>
      </w:pPr>
      <w:bookmarkStart w:id="86" w:name="_Toc254970669"/>
      <w:bookmarkStart w:id="87" w:name="_Toc254970528"/>
      <w:r>
        <w:rPr>
          <w:rFonts w:hint="eastAsia" w:ascii="黑体" w:hAnsi="黑体" w:eastAsia="黑体"/>
          <w:color w:val="auto"/>
          <w:sz w:val="24"/>
        </w:rPr>
        <w:t>2.定义</w:t>
      </w:r>
      <w:bookmarkEnd w:id="86"/>
      <w:bookmarkEnd w:id="87"/>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2.1“采购人”是指依法进行政府采购的国家机关、事业单位、团体组织。</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2.2“采购代理机构”是指政府采购代理机构（以下简称采购代理机构）是指集中采购机构以外、受采购人委托从事政府采购代理业务的社会中介机构。</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2.3“供应商”是指向采购人提供货物、工程或者服务的法人、其他组织或者自然人。</w:t>
      </w:r>
    </w:p>
    <w:p>
      <w:pPr>
        <w:pStyle w:val="7"/>
        <w:spacing w:line="360" w:lineRule="auto"/>
        <w:ind w:firstLineChars="200"/>
        <w:rPr>
          <w:rFonts w:ascii="宋体" w:hAnsi="宋体"/>
          <w:color w:val="auto"/>
          <w:szCs w:val="21"/>
        </w:rPr>
      </w:pPr>
      <w:r>
        <w:rPr>
          <w:rFonts w:hint="eastAsia" w:ascii="宋体" w:hAnsi="宋体"/>
          <w:color w:val="auto"/>
          <w:szCs w:val="21"/>
        </w:rPr>
        <w:t>2.4“投标人”是指响应招标、参加投标竞争的法人、非法人组织或者自然人。</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2.5“货物”是指各种形态和种类的物品，包括原材料、燃料、设备、产品等。</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2.6“售后服务” 是指商品出售以后所提供的各种服务，包含但不限于投标人须承担的备品备件、包装、运输、装卸、保险、货到就位以及安装、调试、培训、保修以及其他各种服务。</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rPr>
      </w:pPr>
      <w:r>
        <w:rPr>
          <w:rFonts w:hint="eastAsia" w:ascii="宋体" w:hAnsi="宋体"/>
          <w:color w:val="auto"/>
          <w:szCs w:val="21"/>
        </w:rPr>
        <w:t xml:space="preserve">2.9 </w:t>
      </w:r>
      <w:r>
        <w:rPr>
          <w:rFonts w:hint="eastAsia" w:ascii="宋体" w:hAnsi="宋体" w:cs="宋体"/>
          <w:color w:val="auto"/>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rPr>
      </w:pPr>
      <w:r>
        <w:rPr>
          <w:rFonts w:ascii="宋体" w:hAnsi="宋体" w:cs="宋体"/>
          <w:color w:val="auto"/>
          <w:szCs w:val="21"/>
        </w:rPr>
        <w:t>2.10</w:t>
      </w:r>
      <w:r>
        <w:rPr>
          <w:rFonts w:hint="eastAsia" w:ascii="宋体" w:hAnsi="宋体" w:cs="宋体"/>
          <w:color w:val="auto"/>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rPr>
      </w:pPr>
      <w:r>
        <w:rPr>
          <w:rFonts w:hint="eastAsia" w:ascii="宋体" w:hAnsi="宋体"/>
          <w:color w:val="auto"/>
          <w:szCs w:val="21"/>
        </w:rPr>
        <w:t>2.1</w:t>
      </w:r>
      <w:r>
        <w:rPr>
          <w:rFonts w:ascii="宋体" w:hAnsi="宋体"/>
          <w:color w:val="auto"/>
          <w:szCs w:val="21"/>
        </w:rPr>
        <w:t>1</w:t>
      </w:r>
      <w:r>
        <w:rPr>
          <w:rFonts w:hint="eastAsia" w:ascii="宋体" w:hAnsi="宋体" w:cs="宋体"/>
          <w:color w:val="auto"/>
          <w:szCs w:val="21"/>
        </w:rPr>
        <w:t>“允许负偏离的条款”是指采购需求中的不属于“实质性要求”的条款。</w:t>
      </w:r>
      <w:bookmarkStart w:id="88" w:name="_Toc254970529"/>
      <w:bookmarkStart w:id="89" w:name="_Toc254970670"/>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w:t>
      </w:r>
      <w:bookmarkEnd w:id="88"/>
      <w:bookmarkEnd w:id="89"/>
      <w:r>
        <w:rPr>
          <w:rFonts w:hint="eastAsia" w:ascii="黑体" w:hAnsi="黑体" w:eastAsia="黑体"/>
          <w:color w:val="auto"/>
          <w:sz w:val="24"/>
        </w:rPr>
        <w:t>投标人的资格要求</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投标人的资格要求详见“投标人须知前附表”。</w:t>
      </w:r>
    </w:p>
    <w:p>
      <w:pPr>
        <w:pStyle w:val="6"/>
        <w:keepNext w:val="0"/>
        <w:keepLines w:val="0"/>
        <w:spacing w:before="0" w:after="0" w:line="360" w:lineRule="auto"/>
        <w:ind w:left="420" w:leftChars="200"/>
        <w:rPr>
          <w:rFonts w:ascii="黑体" w:hAnsi="黑体" w:eastAsia="黑体"/>
          <w:color w:val="auto"/>
          <w:sz w:val="24"/>
        </w:rPr>
      </w:pPr>
      <w:bookmarkStart w:id="90" w:name="_Toc254970671"/>
      <w:bookmarkStart w:id="91" w:name="_Toc254970530"/>
      <w:r>
        <w:rPr>
          <w:rFonts w:hint="eastAsia" w:ascii="黑体" w:hAnsi="黑体" w:eastAsia="黑体"/>
          <w:color w:val="auto"/>
          <w:sz w:val="24"/>
        </w:rPr>
        <w:t>4.投标委托</w:t>
      </w:r>
      <w:bookmarkEnd w:id="90"/>
      <w:bookmarkEnd w:id="91"/>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投标人代表参加投标活动过程中必须携带个人有效身份证件。如投标人代表不是法定代表人，须持有授权委托书（按第六章要求格式填写）。</w:t>
      </w:r>
    </w:p>
    <w:p>
      <w:pPr>
        <w:pStyle w:val="6"/>
        <w:keepNext w:val="0"/>
        <w:keepLines w:val="0"/>
        <w:spacing w:before="0" w:after="0" w:line="360" w:lineRule="auto"/>
        <w:ind w:left="420" w:leftChars="200"/>
        <w:rPr>
          <w:rFonts w:ascii="黑体" w:hAnsi="黑体" w:eastAsia="黑体"/>
          <w:color w:val="auto"/>
          <w:sz w:val="24"/>
        </w:rPr>
      </w:pPr>
      <w:bookmarkStart w:id="92" w:name="_5.投标费用"/>
      <w:bookmarkEnd w:id="92"/>
      <w:bookmarkStart w:id="93" w:name="_Toc254970672"/>
      <w:bookmarkStart w:id="94" w:name="_Toc254970531"/>
      <w:r>
        <w:rPr>
          <w:rFonts w:hint="eastAsia" w:ascii="黑体" w:hAnsi="黑体" w:eastAsia="黑体"/>
          <w:color w:val="auto"/>
          <w:sz w:val="24"/>
        </w:rPr>
        <w:t>5.投标费用</w:t>
      </w:r>
      <w:bookmarkEnd w:id="93"/>
      <w:bookmarkEnd w:id="94"/>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6.联合体投标</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6.1本项目是否接受联合体投标，详见“投标人须知前附表”。</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6.2如接受联合体投标，联合体投标要求详见“投标人须知前附表”。</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6.3根据《政府采购促进中小企业发展管理办法》（财库[2020]46号）第九条、《广西壮族自治区财政厅关于进一步发挥政府采购政策功能促进企业发展的通知》（桂财采〔2022〕30号）及《广西壮族自治区财政厅 广西壮族自治区工业和信息化厅转发财政部 工业和信息化部政府采购促进中小企业发展管理办法的通知》（桂财采〔2021〕70号）规定，接受大中型企业与小微企业组成联合体的采购项目，对于联合协议约定小微企业的合同份额占到合同总金额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7.转包与分包</w:t>
      </w:r>
    </w:p>
    <w:p>
      <w:pPr>
        <w:snapToGrid w:val="0"/>
        <w:spacing w:line="360" w:lineRule="auto"/>
        <w:ind w:firstLine="420" w:firstLineChars="200"/>
        <w:jc w:val="left"/>
        <w:rPr>
          <w:rFonts w:ascii="宋体" w:hAnsi="宋体"/>
          <w:bCs/>
          <w:color w:val="auto"/>
          <w:szCs w:val="21"/>
        </w:rPr>
      </w:pPr>
      <w:r>
        <w:rPr>
          <w:rFonts w:hint="eastAsia" w:ascii="宋体" w:hAnsi="宋体"/>
          <w:bCs/>
          <w:color w:val="auto"/>
          <w:szCs w:val="21"/>
        </w:rPr>
        <w:t>7.1本项目不允许转包。</w:t>
      </w:r>
    </w:p>
    <w:p>
      <w:pPr>
        <w:snapToGrid w:val="0"/>
        <w:spacing w:line="360" w:lineRule="auto"/>
        <w:ind w:firstLine="420" w:firstLineChars="200"/>
        <w:jc w:val="left"/>
        <w:rPr>
          <w:rFonts w:ascii="宋体" w:hAnsi="宋体"/>
          <w:bCs/>
          <w:color w:val="auto"/>
          <w:szCs w:val="21"/>
        </w:rPr>
      </w:pPr>
      <w:r>
        <w:rPr>
          <w:rFonts w:hint="eastAsia" w:ascii="宋体" w:hAnsi="宋体"/>
          <w:bCs/>
          <w:color w:val="auto"/>
          <w:szCs w:val="21"/>
        </w:rPr>
        <w:t>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snapToGrid w:val="0"/>
        <w:spacing w:line="360" w:lineRule="auto"/>
        <w:ind w:firstLine="420" w:firstLineChars="200"/>
        <w:jc w:val="left"/>
        <w:rPr>
          <w:rFonts w:ascii="宋体" w:hAnsi="宋体"/>
          <w:bCs/>
          <w:color w:val="auto"/>
          <w:szCs w:val="21"/>
        </w:rPr>
      </w:pPr>
      <w:r>
        <w:rPr>
          <w:rFonts w:hint="eastAsia" w:ascii="宋体" w:hAnsi="宋体"/>
          <w:bCs/>
          <w:color w:val="auto"/>
          <w:szCs w:val="21"/>
        </w:rPr>
        <w:t>7.3投标人根据招标文件的规定和采购项目的实际情况，拟在中标后将中标项目的非主体、非关键性工作分包的，应当在投标文件中载明分包承担主体，分包承担主体应当具备相应资质条件且不得再次分包。</w:t>
      </w:r>
    </w:p>
    <w:p>
      <w:pPr>
        <w:snapToGrid w:val="0"/>
        <w:spacing w:line="360" w:lineRule="auto"/>
        <w:ind w:firstLine="420" w:firstLineChars="200"/>
        <w:jc w:val="left"/>
        <w:rPr>
          <w:rFonts w:ascii="宋体" w:hAnsi="宋体"/>
          <w:bCs/>
          <w:color w:val="auto"/>
          <w:szCs w:val="21"/>
        </w:rPr>
      </w:pPr>
      <w:r>
        <w:rPr>
          <w:rFonts w:hint="eastAsia" w:ascii="宋体" w:hAnsi="宋体"/>
          <w:bCs/>
          <w:color w:val="auto"/>
          <w:szCs w:val="21"/>
        </w:rPr>
        <w:t>7.4根据《政府采购促进中小企业发展管理办法》（财库[2020]46号）第九条及《广西壮族自治区财政厅关于进一步发挥政府采购政策功能促进企业发展的通知》（桂财采〔2022〕30号）、《广西壮族自治区财政厅关于贯彻落实政府采购支持中小企业发展政策的通知》（桂财采〔2022〕31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pStyle w:val="6"/>
        <w:keepNext w:val="0"/>
        <w:keepLines w:val="0"/>
        <w:spacing w:before="0" w:after="0" w:line="360" w:lineRule="auto"/>
        <w:ind w:left="420" w:leftChars="200"/>
        <w:rPr>
          <w:rFonts w:ascii="黑体" w:hAnsi="黑体" w:eastAsia="黑体"/>
          <w:color w:val="auto"/>
          <w:sz w:val="24"/>
        </w:rPr>
      </w:pPr>
      <w:bookmarkStart w:id="95" w:name="_Toc254970532"/>
      <w:bookmarkStart w:id="96" w:name="_Toc254970673"/>
      <w:r>
        <w:rPr>
          <w:rFonts w:hint="eastAsia" w:ascii="黑体" w:hAnsi="黑体" w:eastAsia="黑体"/>
          <w:color w:val="auto"/>
          <w:sz w:val="24"/>
        </w:rPr>
        <w:t>8.特别说明：</w:t>
      </w:r>
      <w:bookmarkEnd w:id="95"/>
      <w:bookmarkEnd w:id="96"/>
    </w:p>
    <w:p>
      <w:pPr>
        <w:pStyle w:val="6"/>
        <w:keepNext w:val="0"/>
        <w:keepLines w:val="0"/>
        <w:spacing w:before="0" w:after="0" w:line="360" w:lineRule="auto"/>
        <w:ind w:firstLine="422" w:firstLineChars="200"/>
        <w:rPr>
          <w:rFonts w:ascii="宋体" w:hAnsi="宋体"/>
          <w:color w:val="auto"/>
          <w:sz w:val="21"/>
          <w:szCs w:val="21"/>
        </w:rPr>
      </w:pPr>
      <w:bookmarkStart w:id="97" w:name="_8.1提供相同品牌产品且通过资格审查、符合性审查的不同投标人参加同一合"/>
      <w:bookmarkEnd w:id="97"/>
      <w:r>
        <w:rPr>
          <w:rFonts w:ascii="宋体" w:hAnsi="宋体"/>
          <w:color w:val="auto"/>
          <w:sz w:val="21"/>
          <w:szCs w:val="21"/>
        </w:rPr>
        <w:fldChar w:fldCharType="begin"/>
      </w:r>
      <w:r>
        <w:rPr>
          <w:rFonts w:ascii="宋体" w:hAnsi="宋体"/>
          <w:color w:val="auto"/>
          <w:sz w:val="21"/>
          <w:szCs w:val="21"/>
        </w:rPr>
        <w:instrText xml:space="preserve"> HYPERLINK  \l "_8.1" </w:instrText>
      </w:r>
      <w:r>
        <w:rPr>
          <w:rFonts w:ascii="宋体" w:hAnsi="宋体"/>
          <w:color w:val="auto"/>
          <w:sz w:val="21"/>
          <w:szCs w:val="21"/>
        </w:rPr>
        <w:fldChar w:fldCharType="separate"/>
      </w:r>
      <w:r>
        <w:rPr>
          <w:rFonts w:hint="eastAsia" w:ascii="宋体" w:hAnsi="宋体"/>
          <w:color w:val="auto"/>
          <w:sz w:val="21"/>
          <w:szCs w:val="21"/>
        </w:rPr>
        <w:t>8.1</w:t>
      </w:r>
      <w:r>
        <w:rPr>
          <w:rFonts w:ascii="宋体" w:hAnsi="宋体"/>
          <w:color w:val="auto"/>
          <w:sz w:val="21"/>
          <w:szCs w:val="21"/>
        </w:rPr>
        <w:fldChar w:fldCharType="end"/>
      </w:r>
      <w:r>
        <w:rPr>
          <w:rFonts w:hint="eastAsia" w:ascii="宋体" w:hAnsi="宋体"/>
          <w:color w:val="auto"/>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pPr>
        <w:pStyle w:val="18"/>
        <w:snapToGrid w:val="0"/>
        <w:spacing w:line="360" w:lineRule="auto"/>
        <w:ind w:left="2" w:leftChars="1" w:firstLine="422" w:firstLineChars="200"/>
        <w:rPr>
          <w:rFonts w:hAnsi="宋体"/>
          <w:b/>
          <w:color w:val="auto"/>
        </w:rPr>
      </w:pPr>
      <w:r>
        <w:rPr>
          <w:rFonts w:hint="eastAsia" w:hAnsi="宋体"/>
          <w:b/>
          <w:color w:val="auto"/>
        </w:rPr>
        <w:t>非单一产品采购项目，多家投标人提供的核心产品品牌相同的，按前款规定处理。</w:t>
      </w:r>
    </w:p>
    <w:p>
      <w:pPr>
        <w:pStyle w:val="6"/>
        <w:keepNext w:val="0"/>
        <w:keepLines w:val="0"/>
        <w:spacing w:before="0" w:after="0" w:line="360" w:lineRule="auto"/>
        <w:ind w:firstLine="369" w:firstLineChars="175"/>
        <w:rPr>
          <w:rFonts w:ascii="宋体" w:hAnsi="宋体"/>
          <w:color w:val="auto"/>
          <w:sz w:val="21"/>
          <w:szCs w:val="21"/>
        </w:rPr>
      </w:pPr>
      <w:r>
        <w:rPr>
          <w:rFonts w:hint="eastAsia" w:ascii="宋体" w:hAnsi="宋体"/>
          <w:color w:val="auto"/>
          <w:sz w:val="21"/>
          <w:szCs w:val="21"/>
        </w:rPr>
        <w:t>8.2如果本招标文件要求投标人提供资格、信誉、荣誉、业绩与企业认证等材料的，则投标人所提供的以上材料必须为投标人所拥有。</w:t>
      </w:r>
    </w:p>
    <w:p>
      <w:pPr>
        <w:pStyle w:val="6"/>
        <w:keepNext w:val="0"/>
        <w:keepLines w:val="0"/>
        <w:spacing w:before="0" w:after="0" w:line="360" w:lineRule="auto"/>
        <w:ind w:firstLine="369" w:firstLineChars="175"/>
        <w:rPr>
          <w:rFonts w:ascii="宋体" w:hAnsi="宋体"/>
          <w:color w:val="auto"/>
          <w:sz w:val="21"/>
          <w:szCs w:val="21"/>
        </w:rPr>
      </w:pPr>
      <w:r>
        <w:rPr>
          <w:rFonts w:hint="eastAsia" w:ascii="宋体" w:hAnsi="宋体"/>
          <w:color w:val="auto"/>
          <w:sz w:val="21"/>
          <w:szCs w:val="21"/>
        </w:rPr>
        <w:t>8.3投标人应仔细阅读招标文件的所有内容，按照招标文件的要求提交投标文件，并对所提供的全部资料的真实性承担法律责任。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9" w:firstLineChars="175"/>
        <w:rPr>
          <w:rFonts w:ascii="宋体" w:hAnsi="宋体"/>
          <w:color w:val="auto"/>
          <w:sz w:val="21"/>
          <w:szCs w:val="21"/>
        </w:rPr>
      </w:pPr>
      <w:r>
        <w:rPr>
          <w:rFonts w:hint="eastAsia" w:ascii="宋体" w:hAnsi="宋体"/>
          <w:color w:val="auto"/>
          <w:sz w:val="21"/>
          <w:szCs w:val="21"/>
        </w:rPr>
        <w:t>8.4投标人在投标活动中提供任何虚假材料，将报监管部门查处；中标后发现的，中标人须依照《中华人民共和国消费者权益保护法》规定赔偿采购人，且民事赔偿并不免除违法投标人的行政与刑事责任。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color w:val="auto"/>
          <w:sz w:val="24"/>
        </w:rPr>
      </w:pPr>
      <w:r>
        <w:rPr>
          <w:rFonts w:ascii="黑体" w:hAnsi="黑体" w:eastAsia="黑体"/>
          <w:color w:val="auto"/>
          <w:sz w:val="24"/>
        </w:rPr>
        <w:t>9.</w:t>
      </w:r>
      <w:r>
        <w:rPr>
          <w:rFonts w:hint="eastAsia" w:ascii="黑体" w:hAnsi="黑体" w:eastAsia="黑体"/>
          <w:color w:val="auto"/>
          <w:sz w:val="24"/>
        </w:rPr>
        <w:t>回避与串通投标</w:t>
      </w:r>
    </w:p>
    <w:p>
      <w:pPr>
        <w:pStyle w:val="6"/>
        <w:keepNext w:val="0"/>
        <w:keepLines w:val="0"/>
        <w:spacing w:before="0" w:after="0" w:line="360" w:lineRule="auto"/>
        <w:ind w:firstLine="369" w:firstLineChars="175"/>
        <w:rPr>
          <w:rFonts w:ascii="宋体" w:hAnsi="宋体"/>
          <w:color w:val="auto"/>
          <w:sz w:val="21"/>
          <w:szCs w:val="21"/>
        </w:rPr>
      </w:pPr>
      <w:r>
        <w:rPr>
          <w:rFonts w:hint="eastAsia" w:ascii="宋体" w:hAnsi="宋体"/>
          <w:color w:val="auto"/>
          <w:sz w:val="21"/>
          <w:szCs w:val="21"/>
        </w:rPr>
        <w:t>9</w:t>
      </w:r>
      <w:r>
        <w:rPr>
          <w:rFonts w:ascii="宋体" w:hAnsi="宋体"/>
          <w:color w:val="auto"/>
          <w:sz w:val="21"/>
          <w:szCs w:val="21"/>
        </w:rPr>
        <w:t>.1在政府采购活动中，采购人员及相关人员与</w:t>
      </w:r>
      <w:r>
        <w:rPr>
          <w:rFonts w:hint="eastAsia" w:ascii="宋体" w:hAnsi="宋体"/>
          <w:color w:val="auto"/>
          <w:sz w:val="21"/>
          <w:szCs w:val="21"/>
        </w:rPr>
        <w:t>供应商</w:t>
      </w:r>
      <w:r>
        <w:rPr>
          <w:rFonts w:ascii="宋体" w:hAnsi="宋体"/>
          <w:color w:val="auto"/>
          <w:sz w:val="21"/>
          <w:szCs w:val="21"/>
        </w:rPr>
        <w:t>有下列利害关系之一的，应当回避：</w:t>
      </w:r>
    </w:p>
    <w:p>
      <w:pPr>
        <w:pStyle w:val="18"/>
        <w:snapToGrid w:val="0"/>
        <w:spacing w:line="360" w:lineRule="auto"/>
        <w:ind w:left="2" w:leftChars="1" w:firstLine="422" w:firstLineChars="200"/>
        <w:rPr>
          <w:rFonts w:hAnsi="宋体"/>
          <w:b/>
          <w:color w:val="auto"/>
        </w:rPr>
      </w:pPr>
      <w:r>
        <w:rPr>
          <w:rFonts w:hAnsi="宋体"/>
          <w:b/>
          <w:color w:val="auto"/>
        </w:rPr>
        <w:t>（</w:t>
      </w:r>
      <w:r>
        <w:rPr>
          <w:rFonts w:hint="eastAsia" w:hAnsi="宋体"/>
          <w:b/>
          <w:color w:val="auto"/>
        </w:rPr>
        <w:t>1</w:t>
      </w:r>
      <w:r>
        <w:rPr>
          <w:rFonts w:hAnsi="宋体"/>
          <w:b/>
          <w:color w:val="auto"/>
        </w:rPr>
        <w:t>）参加采购活动前3年内与</w:t>
      </w:r>
      <w:r>
        <w:rPr>
          <w:rFonts w:hint="eastAsia" w:hAnsi="宋体"/>
          <w:b/>
          <w:color w:val="auto"/>
        </w:rPr>
        <w:t>供应商</w:t>
      </w:r>
      <w:r>
        <w:rPr>
          <w:rFonts w:hAnsi="宋体"/>
          <w:b/>
          <w:color w:val="auto"/>
        </w:rPr>
        <w:t>存在劳动关系；</w:t>
      </w:r>
    </w:p>
    <w:p>
      <w:pPr>
        <w:pStyle w:val="18"/>
        <w:snapToGrid w:val="0"/>
        <w:spacing w:line="360" w:lineRule="auto"/>
        <w:ind w:left="2" w:leftChars="1" w:firstLine="422" w:firstLineChars="200"/>
        <w:rPr>
          <w:rFonts w:hAnsi="宋体"/>
          <w:b/>
          <w:color w:val="auto"/>
        </w:rPr>
      </w:pPr>
      <w:r>
        <w:rPr>
          <w:rFonts w:hAnsi="宋体"/>
          <w:b/>
          <w:color w:val="auto"/>
        </w:rPr>
        <w:t>（</w:t>
      </w:r>
      <w:r>
        <w:rPr>
          <w:rFonts w:hint="eastAsia" w:hAnsi="宋体"/>
          <w:b/>
          <w:color w:val="auto"/>
        </w:rPr>
        <w:t>2</w:t>
      </w:r>
      <w:r>
        <w:rPr>
          <w:rFonts w:hAnsi="宋体"/>
          <w:b/>
          <w:color w:val="auto"/>
        </w:rPr>
        <w:t>）参加采购活动前3年内担任</w:t>
      </w:r>
      <w:r>
        <w:rPr>
          <w:rFonts w:hint="eastAsia" w:hAnsi="宋体"/>
          <w:b/>
          <w:color w:val="auto"/>
        </w:rPr>
        <w:t>供应商</w:t>
      </w:r>
      <w:r>
        <w:rPr>
          <w:rFonts w:hAnsi="宋体"/>
          <w:b/>
          <w:color w:val="auto"/>
        </w:rPr>
        <w:t>的董事、监事；</w:t>
      </w:r>
    </w:p>
    <w:p>
      <w:pPr>
        <w:pStyle w:val="18"/>
        <w:snapToGrid w:val="0"/>
        <w:spacing w:line="360" w:lineRule="auto"/>
        <w:ind w:left="2" w:leftChars="1" w:firstLine="422" w:firstLineChars="200"/>
        <w:rPr>
          <w:rFonts w:hAnsi="宋体"/>
          <w:b/>
          <w:color w:val="auto"/>
        </w:rPr>
      </w:pPr>
      <w:r>
        <w:rPr>
          <w:rFonts w:hAnsi="宋体"/>
          <w:b/>
          <w:color w:val="auto"/>
        </w:rPr>
        <w:t>（</w:t>
      </w:r>
      <w:r>
        <w:rPr>
          <w:rFonts w:hint="eastAsia" w:hAnsi="宋体"/>
          <w:b/>
          <w:color w:val="auto"/>
        </w:rPr>
        <w:t>3</w:t>
      </w:r>
      <w:r>
        <w:rPr>
          <w:rFonts w:hAnsi="宋体"/>
          <w:b/>
          <w:color w:val="auto"/>
        </w:rPr>
        <w:t>）参加采购活动前3年内是</w:t>
      </w:r>
      <w:r>
        <w:rPr>
          <w:rFonts w:hint="eastAsia" w:hAnsi="宋体"/>
          <w:b/>
          <w:color w:val="auto"/>
        </w:rPr>
        <w:t>供应商</w:t>
      </w:r>
      <w:r>
        <w:rPr>
          <w:rFonts w:hAnsi="宋体"/>
          <w:b/>
          <w:color w:val="auto"/>
        </w:rPr>
        <w:t>的控股股东或者实际控制人；</w:t>
      </w:r>
    </w:p>
    <w:p>
      <w:pPr>
        <w:pStyle w:val="18"/>
        <w:snapToGrid w:val="0"/>
        <w:spacing w:line="360" w:lineRule="auto"/>
        <w:ind w:left="2" w:leftChars="1" w:firstLine="422" w:firstLineChars="200"/>
        <w:rPr>
          <w:rFonts w:hAnsi="宋体"/>
          <w:b/>
          <w:color w:val="auto"/>
        </w:rPr>
      </w:pPr>
      <w:r>
        <w:rPr>
          <w:rFonts w:hAnsi="宋体"/>
          <w:b/>
          <w:color w:val="auto"/>
        </w:rPr>
        <w:t>（</w:t>
      </w:r>
      <w:r>
        <w:rPr>
          <w:rFonts w:hint="eastAsia" w:hAnsi="宋体"/>
          <w:b/>
          <w:color w:val="auto"/>
        </w:rPr>
        <w:t>4</w:t>
      </w:r>
      <w:r>
        <w:rPr>
          <w:rFonts w:hAnsi="宋体"/>
          <w:b/>
          <w:color w:val="auto"/>
        </w:rPr>
        <w:t>）与</w:t>
      </w:r>
      <w:r>
        <w:rPr>
          <w:rFonts w:hint="eastAsia" w:hAnsi="宋体"/>
          <w:b/>
          <w:color w:val="auto"/>
        </w:rPr>
        <w:t>供应商</w:t>
      </w:r>
      <w:r>
        <w:rPr>
          <w:rFonts w:hAnsi="宋体"/>
          <w:b/>
          <w:color w:val="auto"/>
        </w:rPr>
        <w:t>的法定代表人或者负责人有夫妻、直系血亲、三代以内旁系血亲或者近姻亲关系；</w:t>
      </w:r>
    </w:p>
    <w:p>
      <w:pPr>
        <w:pStyle w:val="18"/>
        <w:snapToGrid w:val="0"/>
        <w:spacing w:line="360" w:lineRule="auto"/>
        <w:ind w:left="2" w:leftChars="1" w:firstLine="422" w:firstLineChars="200"/>
        <w:rPr>
          <w:rFonts w:hAnsi="宋体"/>
          <w:b/>
          <w:color w:val="auto"/>
        </w:rPr>
      </w:pPr>
      <w:r>
        <w:rPr>
          <w:rFonts w:hAnsi="宋体"/>
          <w:b/>
          <w:color w:val="auto"/>
        </w:rPr>
        <w:t>（</w:t>
      </w:r>
      <w:r>
        <w:rPr>
          <w:rFonts w:hint="eastAsia" w:hAnsi="宋体"/>
          <w:b/>
          <w:color w:val="auto"/>
        </w:rPr>
        <w:t>5</w:t>
      </w:r>
      <w:r>
        <w:rPr>
          <w:rFonts w:hAnsi="宋体"/>
          <w:b/>
          <w:color w:val="auto"/>
        </w:rPr>
        <w:t>）与</w:t>
      </w:r>
      <w:r>
        <w:rPr>
          <w:rFonts w:hint="eastAsia" w:hAnsi="宋体"/>
          <w:b/>
          <w:color w:val="auto"/>
        </w:rPr>
        <w:t>供应商</w:t>
      </w:r>
      <w:r>
        <w:rPr>
          <w:rFonts w:hAnsi="宋体"/>
          <w:b/>
          <w:color w:val="auto"/>
        </w:rPr>
        <w:t>有其他可能影响政府采购活动公平、公正进行的关系。</w:t>
      </w:r>
    </w:p>
    <w:p>
      <w:pPr>
        <w:pStyle w:val="18"/>
        <w:snapToGrid w:val="0"/>
        <w:spacing w:line="360" w:lineRule="auto"/>
        <w:ind w:left="2" w:leftChars="1" w:firstLine="422" w:firstLineChars="200"/>
        <w:rPr>
          <w:rFonts w:hAnsi="宋体"/>
          <w:b/>
          <w:color w:val="auto"/>
        </w:rPr>
      </w:pPr>
      <w:r>
        <w:rPr>
          <w:rFonts w:hint="eastAsia" w:hAnsi="宋体"/>
          <w:b/>
          <w:color w:val="auto"/>
        </w:rPr>
        <w:t>供应商</w:t>
      </w:r>
      <w:r>
        <w:rPr>
          <w:rFonts w:hAnsi="宋体"/>
          <w:b/>
          <w:color w:val="auto"/>
        </w:rPr>
        <w:t>认为采购人员及相关人员与其他</w:t>
      </w:r>
      <w:r>
        <w:rPr>
          <w:rFonts w:hint="eastAsia" w:hAnsi="宋体"/>
          <w:b/>
          <w:color w:val="auto"/>
        </w:rPr>
        <w:t>供应商</w:t>
      </w:r>
      <w:r>
        <w:rPr>
          <w:rFonts w:hAnsi="宋体"/>
          <w:b/>
          <w:color w:val="auto"/>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宋体" w:hAnsi="宋体"/>
          <w:color w:val="auto"/>
          <w:sz w:val="21"/>
          <w:szCs w:val="21"/>
        </w:rPr>
      </w:pPr>
      <w:r>
        <w:rPr>
          <w:rFonts w:ascii="宋体" w:hAnsi="宋体"/>
          <w:color w:val="auto"/>
          <w:sz w:val="21"/>
          <w:szCs w:val="21"/>
        </w:rPr>
        <w:t>9.2</w:t>
      </w:r>
      <w:r>
        <w:rPr>
          <w:rFonts w:hint="eastAsia" w:ascii="宋体" w:hAnsi="宋体"/>
          <w:color w:val="auto"/>
          <w:sz w:val="21"/>
          <w:szCs w:val="21"/>
        </w:rPr>
        <w:t>有下列情形之一的视为投标人相互串通投标，投标文件将被视为无效：</w:t>
      </w:r>
    </w:p>
    <w:p>
      <w:pPr>
        <w:pStyle w:val="18"/>
        <w:snapToGrid w:val="0"/>
        <w:spacing w:line="360" w:lineRule="auto"/>
        <w:ind w:left="2" w:leftChars="1" w:firstLine="422" w:firstLineChars="200"/>
        <w:rPr>
          <w:rFonts w:hAnsi="宋体"/>
          <w:b/>
          <w:color w:val="auto"/>
        </w:rPr>
      </w:pPr>
      <w:r>
        <w:rPr>
          <w:rFonts w:hint="eastAsia" w:hAnsi="宋体"/>
          <w:b/>
          <w:color w:val="auto"/>
        </w:rPr>
        <w:t>（1）不同投标人的投标文件由同一单位或者个人编制；或者不同投标人报名的IP地址一致的；或者编制标书硬件设备CPU编号、硬盘编号、网卡地址一致的情况；</w:t>
      </w:r>
    </w:p>
    <w:p>
      <w:pPr>
        <w:pStyle w:val="18"/>
        <w:snapToGrid w:val="0"/>
        <w:spacing w:line="360" w:lineRule="auto"/>
        <w:ind w:left="2" w:leftChars="1" w:firstLine="422" w:firstLineChars="200"/>
        <w:rPr>
          <w:rFonts w:hAnsi="宋体"/>
          <w:b/>
          <w:color w:val="auto"/>
        </w:rPr>
      </w:pPr>
      <w:r>
        <w:rPr>
          <w:rFonts w:hint="eastAsia" w:hAnsi="宋体"/>
          <w:b/>
          <w:color w:val="auto"/>
        </w:rPr>
        <w:t>（2）不同投标人委托同一单位或者个人办理投标事宜；</w:t>
      </w:r>
    </w:p>
    <w:p>
      <w:pPr>
        <w:pStyle w:val="18"/>
        <w:snapToGrid w:val="0"/>
        <w:spacing w:line="360" w:lineRule="auto"/>
        <w:ind w:left="2" w:leftChars="1" w:firstLine="422" w:firstLineChars="200"/>
        <w:rPr>
          <w:rFonts w:hAnsi="宋体"/>
          <w:b/>
          <w:color w:val="auto"/>
        </w:rPr>
      </w:pPr>
      <w:r>
        <w:rPr>
          <w:rFonts w:hint="eastAsia" w:hAnsi="宋体"/>
          <w:b/>
          <w:color w:val="auto"/>
        </w:rPr>
        <w:t>（3）不同的投标人的投标文件载明的项目管理员为同一个人；</w:t>
      </w:r>
    </w:p>
    <w:p>
      <w:pPr>
        <w:pStyle w:val="18"/>
        <w:snapToGrid w:val="0"/>
        <w:spacing w:line="360" w:lineRule="auto"/>
        <w:ind w:left="2" w:leftChars="1" w:firstLine="422" w:firstLineChars="200"/>
        <w:rPr>
          <w:rFonts w:hAnsi="宋体"/>
          <w:b/>
          <w:color w:val="auto"/>
        </w:rPr>
      </w:pPr>
      <w:r>
        <w:rPr>
          <w:rFonts w:hint="eastAsia" w:hAnsi="宋体"/>
          <w:b/>
          <w:color w:val="auto"/>
        </w:rPr>
        <w:t>（4）不同投标人的投标文件异常一致或者投标报价呈规律性差异；</w:t>
      </w:r>
    </w:p>
    <w:p>
      <w:pPr>
        <w:pStyle w:val="18"/>
        <w:snapToGrid w:val="0"/>
        <w:spacing w:line="360" w:lineRule="auto"/>
        <w:ind w:left="2" w:leftChars="1" w:firstLine="422" w:firstLineChars="200"/>
        <w:rPr>
          <w:rFonts w:hAnsi="宋体"/>
          <w:b/>
          <w:color w:val="auto"/>
        </w:rPr>
      </w:pPr>
      <w:r>
        <w:rPr>
          <w:rFonts w:hint="eastAsia" w:hAnsi="宋体"/>
          <w:b/>
          <w:color w:val="auto"/>
        </w:rPr>
        <w:t>（5）不同投标人的投标文件相互混装；</w:t>
      </w:r>
    </w:p>
    <w:p>
      <w:pPr>
        <w:pStyle w:val="18"/>
        <w:snapToGrid w:val="0"/>
        <w:spacing w:line="360" w:lineRule="auto"/>
        <w:ind w:left="2" w:leftChars="1" w:firstLine="422" w:firstLineChars="200"/>
        <w:rPr>
          <w:rFonts w:hAnsi="宋体"/>
          <w:b/>
          <w:color w:val="auto"/>
        </w:rPr>
      </w:pPr>
      <w:r>
        <w:rPr>
          <w:rFonts w:hint="eastAsia" w:hAnsi="宋体"/>
          <w:b/>
          <w:color w:val="auto"/>
        </w:rPr>
        <w:t>（6）不同投标人的投标保证金从同一单位或者个人账户转出。</w:t>
      </w:r>
    </w:p>
    <w:p>
      <w:pPr>
        <w:pStyle w:val="6"/>
        <w:keepNext w:val="0"/>
        <w:keepLines w:val="0"/>
        <w:spacing w:before="0" w:after="0" w:line="360" w:lineRule="auto"/>
        <w:ind w:left="420" w:leftChars="200"/>
        <w:rPr>
          <w:rFonts w:ascii="宋体" w:hAnsi="宋体"/>
          <w:color w:val="auto"/>
          <w:sz w:val="21"/>
          <w:szCs w:val="21"/>
        </w:rPr>
      </w:pPr>
      <w:r>
        <w:rPr>
          <w:rFonts w:ascii="宋体" w:hAnsi="宋体"/>
          <w:color w:val="auto"/>
          <w:sz w:val="21"/>
          <w:szCs w:val="21"/>
        </w:rPr>
        <w:t>9.3</w:t>
      </w:r>
      <w:r>
        <w:rPr>
          <w:rFonts w:hint="eastAsia" w:ascii="宋体" w:hAnsi="宋体"/>
          <w:color w:val="auto"/>
          <w:sz w:val="21"/>
          <w:szCs w:val="21"/>
        </w:rPr>
        <w:t>供应商有下列情形之一的，属于恶意串通行为，将报同级监督管理部门：</w:t>
      </w:r>
    </w:p>
    <w:p>
      <w:pPr>
        <w:pStyle w:val="18"/>
        <w:snapToGrid w:val="0"/>
        <w:spacing w:line="360" w:lineRule="auto"/>
        <w:ind w:left="2" w:leftChars="1" w:firstLine="422" w:firstLineChars="200"/>
        <w:rPr>
          <w:rFonts w:hAnsi="宋体"/>
          <w:b/>
          <w:color w:val="auto"/>
        </w:rPr>
      </w:pPr>
      <w:r>
        <w:rPr>
          <w:rFonts w:hint="eastAsia" w:hAnsi="宋体"/>
          <w:b/>
          <w:color w:val="auto"/>
        </w:rPr>
        <w:t>（1）供应商直接或者间接从采购人或者采购代理机构处获得其他供应商的相关信息并修改其投标文件或者响应文件；</w:t>
      </w:r>
    </w:p>
    <w:p>
      <w:pPr>
        <w:pStyle w:val="18"/>
        <w:snapToGrid w:val="0"/>
        <w:spacing w:line="360" w:lineRule="auto"/>
        <w:ind w:left="2" w:leftChars="1" w:firstLine="422" w:firstLineChars="200"/>
        <w:rPr>
          <w:rFonts w:hAnsi="宋体"/>
          <w:b/>
          <w:color w:val="auto"/>
        </w:rPr>
      </w:pPr>
      <w:r>
        <w:rPr>
          <w:rFonts w:hint="eastAsia" w:hAnsi="宋体"/>
          <w:b/>
          <w:color w:val="auto"/>
        </w:rPr>
        <w:t>（2）供应商按照采购人或者采购代理机构的授意撤换、修改投标文件或者响应文件；</w:t>
      </w:r>
    </w:p>
    <w:p>
      <w:pPr>
        <w:pStyle w:val="18"/>
        <w:snapToGrid w:val="0"/>
        <w:spacing w:line="360" w:lineRule="auto"/>
        <w:ind w:left="2" w:leftChars="1" w:firstLine="422" w:firstLineChars="200"/>
        <w:rPr>
          <w:rFonts w:hAnsi="宋体"/>
          <w:b/>
          <w:color w:val="auto"/>
        </w:rPr>
      </w:pPr>
      <w:r>
        <w:rPr>
          <w:rFonts w:hint="eastAsia" w:hAnsi="宋体"/>
          <w:b/>
          <w:color w:val="auto"/>
        </w:rPr>
        <w:t>（3）供应商之间协商报价、技术方案等投标文件或者响应文件的实质性内容；</w:t>
      </w:r>
    </w:p>
    <w:p>
      <w:pPr>
        <w:pStyle w:val="18"/>
        <w:snapToGrid w:val="0"/>
        <w:spacing w:line="360" w:lineRule="auto"/>
        <w:ind w:left="2" w:leftChars="1" w:firstLine="422" w:firstLineChars="200"/>
        <w:rPr>
          <w:rFonts w:hAnsi="宋体"/>
          <w:b/>
          <w:color w:val="auto"/>
        </w:rPr>
      </w:pPr>
      <w:r>
        <w:rPr>
          <w:rFonts w:hint="eastAsia" w:hAnsi="宋体"/>
          <w:b/>
          <w:color w:val="auto"/>
        </w:rPr>
        <w:t>（4）属于同一集团、协会、商会等组织成员的供应商按照该组织要求协同参加政府采购活动；</w:t>
      </w:r>
    </w:p>
    <w:p>
      <w:pPr>
        <w:pStyle w:val="18"/>
        <w:snapToGrid w:val="0"/>
        <w:spacing w:line="360" w:lineRule="auto"/>
        <w:ind w:left="2" w:leftChars="1" w:firstLine="422" w:firstLineChars="200"/>
        <w:rPr>
          <w:rFonts w:hAnsi="宋体"/>
          <w:b/>
          <w:color w:val="auto"/>
        </w:rPr>
      </w:pPr>
      <w:r>
        <w:rPr>
          <w:rFonts w:hint="eastAsia" w:hAnsi="宋体"/>
          <w:b/>
          <w:color w:val="auto"/>
        </w:rPr>
        <w:t>（5）供应商之间事先约定一致抬高或者压低投标报价，或者在招标项目中事先约定轮流以高价位或者低价位中标，或者事先约定由某一特定供应商中标，然后再参加投标；</w:t>
      </w:r>
    </w:p>
    <w:p>
      <w:pPr>
        <w:pStyle w:val="18"/>
        <w:snapToGrid w:val="0"/>
        <w:spacing w:line="360" w:lineRule="auto"/>
        <w:ind w:left="2" w:leftChars="1" w:firstLine="422" w:firstLineChars="200"/>
        <w:rPr>
          <w:rFonts w:hAnsi="宋体"/>
          <w:b/>
          <w:color w:val="auto"/>
        </w:rPr>
      </w:pPr>
      <w:r>
        <w:rPr>
          <w:rFonts w:hint="eastAsia" w:hAnsi="宋体"/>
          <w:b/>
          <w:color w:val="auto"/>
        </w:rPr>
        <w:t>（6）供应商之间商定部分供应商放弃参加政府采购活动或者放弃中标；</w:t>
      </w:r>
    </w:p>
    <w:p>
      <w:pPr>
        <w:pStyle w:val="18"/>
        <w:snapToGrid w:val="0"/>
        <w:spacing w:line="360" w:lineRule="auto"/>
        <w:ind w:left="2" w:leftChars="1" w:firstLine="422" w:firstLineChars="200"/>
        <w:rPr>
          <w:rFonts w:hAnsi="宋体"/>
          <w:b/>
          <w:color w:val="auto"/>
        </w:rPr>
      </w:pPr>
      <w:r>
        <w:rPr>
          <w:rFonts w:hint="eastAsia" w:hAnsi="宋体"/>
          <w:b/>
          <w:color w:val="auto"/>
        </w:rPr>
        <w:t>（7）供应商与采购人或者采购代理机构之间、供应商相互之间，为谋求特定供应商中标或者排斥其他供应商的其他串通行为。</w:t>
      </w:r>
    </w:p>
    <w:p>
      <w:pPr>
        <w:pStyle w:val="18"/>
        <w:snapToGrid w:val="0"/>
        <w:spacing w:line="360" w:lineRule="auto"/>
        <w:ind w:left="2" w:leftChars="1" w:firstLine="422" w:firstLineChars="200"/>
        <w:rPr>
          <w:rFonts w:hAnsi="宋体"/>
          <w:b/>
          <w:color w:val="auto"/>
        </w:rPr>
      </w:pPr>
    </w:p>
    <w:p>
      <w:pPr>
        <w:pStyle w:val="2"/>
        <w:keepNext w:val="0"/>
        <w:keepLines w:val="0"/>
        <w:jc w:val="center"/>
        <w:rPr>
          <w:color w:val="auto"/>
        </w:rPr>
      </w:pPr>
      <w:bookmarkStart w:id="98" w:name="_Toc254970534"/>
      <w:bookmarkStart w:id="99" w:name="_Toc254970675"/>
      <w:r>
        <w:rPr>
          <w:rFonts w:hint="eastAsia"/>
          <w:color w:val="auto"/>
        </w:rPr>
        <w:t>二、招标文件</w:t>
      </w:r>
      <w:bookmarkEnd w:id="98"/>
      <w:bookmarkEnd w:id="99"/>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10.招标文件的组成</w:t>
      </w:r>
    </w:p>
    <w:p>
      <w:pPr>
        <w:snapToGrid w:val="0"/>
        <w:spacing w:line="360" w:lineRule="auto"/>
        <w:ind w:firstLine="420"/>
        <w:jc w:val="left"/>
        <w:rPr>
          <w:rFonts w:ascii="宋体" w:hAnsi="宋体"/>
          <w:color w:val="auto"/>
          <w:szCs w:val="21"/>
        </w:rPr>
      </w:pPr>
      <w:r>
        <w:rPr>
          <w:rFonts w:hint="eastAsia" w:ascii="宋体" w:hAnsi="宋体"/>
          <w:color w:val="auto"/>
          <w:szCs w:val="21"/>
        </w:rPr>
        <w:t>（1）招标公告；</w:t>
      </w:r>
    </w:p>
    <w:p>
      <w:pPr>
        <w:snapToGrid w:val="0"/>
        <w:spacing w:line="360" w:lineRule="auto"/>
        <w:ind w:firstLine="420"/>
        <w:jc w:val="left"/>
        <w:rPr>
          <w:rFonts w:ascii="宋体" w:hAnsi="宋体"/>
          <w:color w:val="auto"/>
          <w:szCs w:val="21"/>
        </w:rPr>
      </w:pPr>
      <w:r>
        <w:rPr>
          <w:rFonts w:hint="eastAsia" w:ascii="宋体" w:hAnsi="宋体"/>
          <w:color w:val="auto"/>
          <w:szCs w:val="21"/>
        </w:rPr>
        <w:t xml:space="preserve">（2）采购需求； </w:t>
      </w:r>
    </w:p>
    <w:p>
      <w:pPr>
        <w:snapToGrid w:val="0"/>
        <w:spacing w:line="360" w:lineRule="auto"/>
        <w:ind w:firstLine="420"/>
        <w:jc w:val="left"/>
        <w:rPr>
          <w:rFonts w:ascii="宋体" w:hAnsi="宋体"/>
          <w:color w:val="auto"/>
          <w:szCs w:val="21"/>
        </w:rPr>
      </w:pPr>
      <w:r>
        <w:rPr>
          <w:rFonts w:hint="eastAsia" w:ascii="宋体" w:hAnsi="宋体"/>
          <w:color w:val="auto"/>
          <w:szCs w:val="21"/>
        </w:rPr>
        <w:t>（3）投标人须知；</w:t>
      </w:r>
    </w:p>
    <w:p>
      <w:pPr>
        <w:snapToGrid w:val="0"/>
        <w:spacing w:line="360" w:lineRule="auto"/>
        <w:ind w:firstLine="420"/>
        <w:jc w:val="left"/>
        <w:rPr>
          <w:rFonts w:ascii="宋体" w:hAnsi="宋体"/>
          <w:color w:val="auto"/>
          <w:szCs w:val="21"/>
        </w:rPr>
      </w:pPr>
      <w:r>
        <w:rPr>
          <w:rFonts w:hint="eastAsia" w:ascii="宋体" w:hAnsi="宋体"/>
          <w:color w:val="auto"/>
          <w:szCs w:val="21"/>
        </w:rPr>
        <w:t>（4）评标方法及评标标准；</w:t>
      </w:r>
    </w:p>
    <w:p>
      <w:pPr>
        <w:snapToGrid w:val="0"/>
        <w:spacing w:line="360" w:lineRule="auto"/>
        <w:ind w:firstLine="420"/>
        <w:jc w:val="left"/>
        <w:rPr>
          <w:rFonts w:ascii="宋体" w:hAnsi="宋体"/>
          <w:color w:val="auto"/>
          <w:szCs w:val="21"/>
        </w:rPr>
      </w:pPr>
      <w:r>
        <w:rPr>
          <w:rFonts w:hint="eastAsia" w:ascii="宋体" w:hAnsi="宋体"/>
          <w:color w:val="auto"/>
          <w:szCs w:val="21"/>
        </w:rPr>
        <w:t>（5）拟签订的合同文本；</w:t>
      </w:r>
    </w:p>
    <w:p>
      <w:pPr>
        <w:snapToGrid w:val="0"/>
        <w:spacing w:line="360" w:lineRule="auto"/>
        <w:ind w:firstLine="420"/>
        <w:jc w:val="left"/>
        <w:rPr>
          <w:rFonts w:ascii="宋体" w:hAnsi="宋体"/>
          <w:color w:val="auto"/>
          <w:szCs w:val="21"/>
        </w:rPr>
      </w:pPr>
      <w:r>
        <w:rPr>
          <w:rFonts w:hint="eastAsia" w:ascii="宋体" w:hAnsi="宋体"/>
          <w:color w:val="auto"/>
          <w:szCs w:val="21"/>
        </w:rPr>
        <w:t>（6）投标文件格式。</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11.招标文件的澄清、修改、现场考察和答疑会</w:t>
      </w:r>
    </w:p>
    <w:p>
      <w:pPr>
        <w:pStyle w:val="6"/>
        <w:keepNext w:val="0"/>
        <w:keepLines w:val="0"/>
        <w:spacing w:before="0" w:after="0" w:line="360" w:lineRule="auto"/>
        <w:ind w:firstLine="315" w:firstLineChars="150"/>
        <w:rPr>
          <w:rFonts w:ascii="宋体" w:hAnsi="宋体"/>
          <w:b w:val="0"/>
          <w:color w:val="auto"/>
          <w:sz w:val="21"/>
          <w:szCs w:val="21"/>
        </w:rPr>
      </w:pPr>
      <w:bookmarkStart w:id="100" w:name="_Hlk53134511"/>
      <w:r>
        <w:rPr>
          <w:rFonts w:hint="eastAsia" w:ascii="宋体" w:hAnsi="宋体"/>
          <w:b w:val="0"/>
          <w:color w:val="auto"/>
          <w:sz w:val="21"/>
          <w:szCs w:val="21"/>
        </w:rPr>
        <w:t>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6"/>
        <w:keepNext w:val="0"/>
        <w:keepLines w:val="0"/>
        <w:spacing w:before="0" w:after="0" w:line="360" w:lineRule="auto"/>
        <w:ind w:firstLine="420" w:firstLineChars="200"/>
        <w:rPr>
          <w:rFonts w:ascii="宋体" w:hAnsi="宋体"/>
          <w:color w:val="auto"/>
        </w:rPr>
      </w:pPr>
      <w:r>
        <w:rPr>
          <w:rFonts w:hint="eastAsia" w:ascii="宋体" w:hAnsi="宋体"/>
          <w:b w:val="0"/>
          <w:color w:val="auto"/>
          <w:sz w:val="21"/>
          <w:szCs w:val="21"/>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ascii="宋体" w:hAnsi="宋体"/>
          <w:color w:val="auto"/>
          <w:szCs w:val="21"/>
        </w:rPr>
      </w:pPr>
      <w:r>
        <w:rPr>
          <w:rFonts w:hint="eastAsia" w:ascii="宋体" w:hAnsi="宋体"/>
          <w:color w:val="auto"/>
        </w:rPr>
        <w:t>11.3采购人和采购代理机构可以视采购具体情况，变更投标截止时间和开标时间，并</w:t>
      </w:r>
      <w:r>
        <w:rPr>
          <w:rFonts w:hint="eastAsia" w:ascii="宋体" w:hAnsi="宋体"/>
          <w:color w:val="auto"/>
          <w:szCs w:val="21"/>
        </w:rPr>
        <w:t>在原公告发布媒体上发布更正公告。</w:t>
      </w:r>
    </w:p>
    <w:p>
      <w:pPr>
        <w:spacing w:line="360" w:lineRule="auto"/>
        <w:ind w:firstLine="420" w:firstLineChars="200"/>
        <w:rPr>
          <w:rFonts w:hAnsi="宋体"/>
          <w:color w:val="auto"/>
        </w:rPr>
      </w:pPr>
      <w:r>
        <w:rPr>
          <w:rFonts w:hint="eastAsia" w:ascii="宋体" w:hAnsi="宋体"/>
          <w:color w:val="auto"/>
          <w:szCs w:val="21"/>
        </w:rPr>
        <w:t>11.4招标文件澄清、答复、修改、补充的内容为招标文件的组成部分。</w:t>
      </w:r>
      <w:r>
        <w:rPr>
          <w:rFonts w:hint="eastAsia" w:ascii="宋体" w:hAnsi="宋体"/>
          <w:b/>
          <w:color w:val="auto"/>
          <w:szCs w:val="21"/>
        </w:rPr>
        <w:t>当招标文件与招标文件的澄清、答复、修改、补充通知就同一内容的表述不一致时，以最后发出的文件为准。</w:t>
      </w:r>
    </w:p>
    <w:p>
      <w:pPr>
        <w:pStyle w:val="18"/>
        <w:snapToGrid w:val="0"/>
        <w:spacing w:line="360" w:lineRule="auto"/>
        <w:ind w:firstLine="420" w:firstLineChars="200"/>
        <w:rPr>
          <w:rFonts w:hAnsi="宋体"/>
          <w:color w:val="auto"/>
        </w:rPr>
      </w:pPr>
      <w:r>
        <w:rPr>
          <w:rFonts w:hint="eastAsia" w:hAnsi="宋体"/>
          <w:color w:val="auto"/>
        </w:rPr>
        <w:t>1</w:t>
      </w:r>
      <w:r>
        <w:rPr>
          <w:rFonts w:hAnsi="宋体"/>
          <w:color w:val="auto"/>
        </w:rPr>
        <w:t>1.</w:t>
      </w:r>
      <w:r>
        <w:rPr>
          <w:rFonts w:hint="eastAsia" w:hAnsi="宋体"/>
          <w:color w:val="auto"/>
        </w:rPr>
        <w:t>5采购人或者采购代理机构可以在招标文件提供期限截止后，组织已获取招标文件的潜在投标人现场考察或者召开开标前答疑会，具体详见“投标人须知前附表”。</w:t>
      </w:r>
    </w:p>
    <w:bookmarkEnd w:id="100"/>
    <w:p>
      <w:pPr>
        <w:pStyle w:val="2"/>
        <w:keepNext w:val="0"/>
        <w:keepLines w:val="0"/>
        <w:jc w:val="center"/>
        <w:rPr>
          <w:color w:val="auto"/>
        </w:rPr>
      </w:pPr>
      <w:bookmarkStart w:id="101" w:name="_Toc254970535"/>
      <w:bookmarkStart w:id="102" w:name="_Toc254970676"/>
      <w:r>
        <w:rPr>
          <w:rFonts w:hint="eastAsia"/>
          <w:color w:val="auto"/>
        </w:rPr>
        <w:t>三、投标文件的编制</w:t>
      </w:r>
      <w:bookmarkEnd w:id="101"/>
      <w:bookmarkEnd w:id="102"/>
    </w:p>
    <w:p>
      <w:pPr>
        <w:pStyle w:val="6"/>
        <w:keepNext w:val="0"/>
        <w:keepLines w:val="0"/>
        <w:spacing w:before="0" w:after="0" w:line="360" w:lineRule="auto"/>
        <w:ind w:left="420" w:leftChars="200"/>
        <w:rPr>
          <w:rFonts w:ascii="黑体" w:hAnsi="黑体" w:eastAsia="黑体"/>
          <w:color w:val="auto"/>
          <w:sz w:val="24"/>
        </w:rPr>
      </w:pPr>
      <w:bookmarkStart w:id="103" w:name="_Toc254970536"/>
      <w:bookmarkStart w:id="104" w:name="_Toc254970677"/>
      <w:r>
        <w:rPr>
          <w:rFonts w:hint="eastAsia" w:ascii="黑体" w:hAnsi="黑体" w:eastAsia="黑体"/>
          <w:color w:val="auto"/>
          <w:sz w:val="24"/>
        </w:rPr>
        <w:t>12.投标文件的编制原则</w:t>
      </w:r>
    </w:p>
    <w:p>
      <w:pPr>
        <w:snapToGrid w:val="0"/>
        <w:spacing w:line="360" w:lineRule="auto"/>
        <w:ind w:firstLine="420"/>
        <w:jc w:val="left"/>
        <w:rPr>
          <w:rFonts w:ascii="宋体" w:hAnsi="宋体" w:cs="Courier New"/>
          <w:color w:val="auto"/>
          <w:szCs w:val="21"/>
        </w:rPr>
      </w:pPr>
      <w:r>
        <w:rPr>
          <w:rFonts w:ascii="宋体" w:hAnsi="宋体"/>
          <w:color w:val="auto"/>
          <w:szCs w:val="21"/>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13.投标文件的组成</w:t>
      </w:r>
      <w:bookmarkEnd w:id="103"/>
      <w:bookmarkEnd w:id="104"/>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1</w:t>
      </w:r>
      <w:r>
        <w:rPr>
          <w:rFonts w:ascii="宋体" w:hAnsi="宋体"/>
          <w:color w:val="auto"/>
          <w:szCs w:val="21"/>
        </w:rPr>
        <w:t>3.1</w:t>
      </w:r>
      <w:r>
        <w:rPr>
          <w:rFonts w:hint="eastAsia" w:ascii="宋体" w:hAnsi="宋体"/>
          <w:color w:val="auto"/>
          <w:szCs w:val="21"/>
        </w:rPr>
        <w:t>投标文件由报价文件、资格证明文件、商务文件、技术文件四部分组成。</w:t>
      </w:r>
    </w:p>
    <w:p>
      <w:pPr>
        <w:pStyle w:val="6"/>
        <w:keepNext w:val="0"/>
        <w:keepLines w:val="0"/>
        <w:spacing w:before="0" w:after="0" w:line="360" w:lineRule="auto"/>
        <w:ind w:left="420" w:leftChars="200"/>
        <w:rPr>
          <w:rFonts w:ascii="宋体" w:hAnsi="宋体"/>
          <w:b w:val="0"/>
          <w:color w:val="auto"/>
          <w:sz w:val="21"/>
          <w:szCs w:val="21"/>
        </w:rPr>
      </w:pPr>
      <w:bookmarkStart w:id="105" w:name="_13.1报价文件:_具体材料见“投标人须知前附表”。"/>
      <w:bookmarkEnd w:id="105"/>
      <w:r>
        <w:rPr>
          <w:rFonts w:hint="eastAsia" w:ascii="宋体" w:hAnsi="宋体"/>
          <w:b w:val="0"/>
          <w:color w:val="auto"/>
          <w:sz w:val="21"/>
          <w:szCs w:val="21"/>
        </w:rPr>
        <w:t>（1）报价文件：</w:t>
      </w:r>
      <w:r>
        <w:rPr>
          <w:rFonts w:ascii="宋体" w:hAnsi="宋体"/>
          <w:b w:val="0"/>
          <w:color w:val="auto"/>
          <w:sz w:val="21"/>
          <w:szCs w:val="21"/>
        </w:rPr>
        <w:t xml:space="preserve"> 具体材料见“投标人须知前附表”</w:t>
      </w:r>
      <w:r>
        <w:rPr>
          <w:rFonts w:hint="eastAsia" w:ascii="宋体" w:hAnsi="宋体"/>
          <w:b w:val="0"/>
          <w:color w:val="auto"/>
          <w:sz w:val="21"/>
          <w:szCs w:val="21"/>
        </w:rPr>
        <w:t>。</w:t>
      </w:r>
    </w:p>
    <w:p>
      <w:pPr>
        <w:pStyle w:val="6"/>
        <w:keepNext w:val="0"/>
        <w:keepLines w:val="0"/>
        <w:spacing w:before="0" w:after="0" w:line="360" w:lineRule="auto"/>
        <w:ind w:left="420" w:leftChars="200"/>
        <w:rPr>
          <w:rFonts w:ascii="宋体" w:hAnsi="宋体"/>
          <w:b w:val="0"/>
          <w:color w:val="auto"/>
          <w:sz w:val="21"/>
          <w:szCs w:val="21"/>
        </w:rPr>
      </w:pPr>
      <w:bookmarkStart w:id="106" w:name="_13.2资格证明文件：具体材料见“投标人须知前附表”。"/>
      <w:bookmarkEnd w:id="106"/>
      <w:r>
        <w:rPr>
          <w:rFonts w:hint="eastAsia" w:ascii="宋体" w:hAnsi="宋体"/>
          <w:b w:val="0"/>
          <w:color w:val="auto"/>
          <w:sz w:val="21"/>
          <w:szCs w:val="21"/>
        </w:rPr>
        <w:t>（</w:t>
      </w:r>
      <w:r>
        <w:rPr>
          <w:rFonts w:ascii="宋体" w:hAnsi="宋体"/>
          <w:b w:val="0"/>
          <w:color w:val="auto"/>
          <w:sz w:val="21"/>
          <w:szCs w:val="21"/>
        </w:rPr>
        <w:t>2</w:t>
      </w:r>
      <w:r>
        <w:rPr>
          <w:rFonts w:hint="eastAsia" w:ascii="宋体" w:hAnsi="宋体"/>
          <w:b w:val="0"/>
          <w:color w:val="auto"/>
          <w:sz w:val="21"/>
          <w:szCs w:val="21"/>
        </w:rPr>
        <w:t>）资格证明文件：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6"/>
        <w:keepNext w:val="0"/>
        <w:keepLines w:val="0"/>
        <w:spacing w:before="0" w:after="0" w:line="360" w:lineRule="auto"/>
        <w:ind w:left="420" w:leftChars="200"/>
        <w:rPr>
          <w:rFonts w:ascii="宋体" w:hAnsi="宋体"/>
          <w:b w:val="0"/>
          <w:color w:val="auto"/>
          <w:sz w:val="21"/>
          <w:szCs w:val="21"/>
        </w:rPr>
      </w:pPr>
      <w:bookmarkStart w:id="107" w:name="_13.3商务文件:_具体材料见“投标人须知前附表”。"/>
      <w:bookmarkEnd w:id="107"/>
      <w:r>
        <w:rPr>
          <w:rFonts w:hint="eastAsia" w:ascii="宋体" w:hAnsi="宋体"/>
          <w:b w:val="0"/>
          <w:color w:val="auto"/>
          <w:sz w:val="21"/>
          <w:szCs w:val="21"/>
        </w:rPr>
        <w:t>（</w:t>
      </w:r>
      <w:r>
        <w:rPr>
          <w:rFonts w:ascii="宋体" w:hAnsi="宋体"/>
          <w:b w:val="0"/>
          <w:color w:val="auto"/>
          <w:sz w:val="21"/>
          <w:szCs w:val="21"/>
        </w:rPr>
        <w:t>3</w:t>
      </w:r>
      <w:r>
        <w:rPr>
          <w:rFonts w:hint="eastAsia" w:ascii="宋体" w:hAnsi="宋体"/>
          <w:b w:val="0"/>
          <w:color w:val="auto"/>
          <w:sz w:val="21"/>
          <w:szCs w:val="21"/>
        </w:rPr>
        <w:t>）商务文件：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6"/>
        <w:keepNext w:val="0"/>
        <w:keepLines w:val="0"/>
        <w:spacing w:before="0" w:after="0" w:line="360" w:lineRule="auto"/>
        <w:ind w:left="420" w:leftChars="200"/>
        <w:rPr>
          <w:rFonts w:ascii="宋体" w:hAnsi="宋体"/>
          <w:b w:val="0"/>
          <w:color w:val="auto"/>
          <w:sz w:val="21"/>
          <w:szCs w:val="21"/>
        </w:rPr>
      </w:pPr>
      <w:bookmarkStart w:id="108" w:name="_13.4技术文件：具体材料见“投标人须知前附表”。"/>
      <w:bookmarkEnd w:id="108"/>
      <w:r>
        <w:rPr>
          <w:rFonts w:hint="eastAsia" w:ascii="宋体" w:hAnsi="宋体"/>
          <w:b w:val="0"/>
          <w:color w:val="auto"/>
          <w:sz w:val="21"/>
          <w:szCs w:val="21"/>
        </w:rPr>
        <w:t>（</w:t>
      </w:r>
      <w:r>
        <w:rPr>
          <w:rFonts w:ascii="宋体" w:hAnsi="宋体"/>
          <w:b w:val="0"/>
          <w:color w:val="auto"/>
          <w:sz w:val="21"/>
          <w:szCs w:val="21"/>
        </w:rPr>
        <w:t>4</w:t>
      </w:r>
      <w:r>
        <w:rPr>
          <w:rFonts w:hint="eastAsia" w:ascii="宋体" w:hAnsi="宋体"/>
          <w:b w:val="0"/>
          <w:color w:val="auto"/>
          <w:sz w:val="21"/>
          <w:szCs w:val="21"/>
        </w:rPr>
        <w:t>）技术文件：</w:t>
      </w:r>
      <w:r>
        <w:rPr>
          <w:rFonts w:ascii="宋体" w:hAnsi="宋体"/>
          <w:b w:val="0"/>
          <w:color w:val="auto"/>
          <w:sz w:val="21"/>
          <w:szCs w:val="21"/>
        </w:rPr>
        <w:t>具体材料见“投标人须知前附表”</w:t>
      </w:r>
      <w:r>
        <w:rPr>
          <w:rFonts w:hint="eastAsia" w:ascii="宋体" w:hAnsi="宋体"/>
          <w:b w:val="0"/>
          <w:color w:val="auto"/>
          <w:sz w:val="21"/>
          <w:szCs w:val="21"/>
        </w:rPr>
        <w:t>。</w:t>
      </w:r>
    </w:p>
    <w:p>
      <w:pPr>
        <w:pStyle w:val="6"/>
        <w:keepNext w:val="0"/>
        <w:keepLines w:val="0"/>
        <w:spacing w:before="0" w:after="0" w:line="360" w:lineRule="auto"/>
        <w:ind w:left="420" w:leftChars="200"/>
        <w:rPr>
          <w:rFonts w:ascii="黑体" w:hAnsi="黑体" w:eastAsia="黑体"/>
          <w:color w:val="auto"/>
          <w:sz w:val="24"/>
        </w:rPr>
      </w:pPr>
      <w:bookmarkStart w:id="109" w:name="_13.5投标文件电子版：具体材料见“投标人须知前附表”。"/>
      <w:bookmarkEnd w:id="109"/>
      <w:bookmarkStart w:id="110" w:name="_Toc254970537"/>
      <w:bookmarkStart w:id="111" w:name="_Toc254970678"/>
      <w:r>
        <w:rPr>
          <w:rFonts w:hint="eastAsia" w:ascii="黑体" w:hAnsi="黑体" w:eastAsia="黑体"/>
          <w:color w:val="auto"/>
          <w:sz w:val="24"/>
        </w:rPr>
        <w:t>14.投标文件的语言及计量</w:t>
      </w:r>
      <w:bookmarkEnd w:id="110"/>
      <w:bookmarkEnd w:id="111"/>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14.1语言文字</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14.2投标计量单位</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15.投标的风险</w:t>
      </w:r>
    </w:p>
    <w:p>
      <w:pPr>
        <w:pStyle w:val="18"/>
        <w:snapToGrid w:val="0"/>
        <w:spacing w:line="360" w:lineRule="auto"/>
        <w:ind w:firstLine="420" w:firstLineChars="200"/>
        <w:jc w:val="left"/>
        <w:rPr>
          <w:rFonts w:hAnsi="宋体"/>
          <w:color w:val="auto"/>
        </w:rPr>
      </w:pPr>
      <w:r>
        <w:rPr>
          <w:rFonts w:hint="eastAsia" w:hAnsi="宋体"/>
          <w:color w:val="auto"/>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黑体" w:hAnsi="黑体" w:eastAsia="黑体"/>
          <w:color w:val="auto"/>
          <w:sz w:val="24"/>
        </w:rPr>
      </w:pPr>
      <w:bookmarkStart w:id="112" w:name="_Toc254970679"/>
      <w:bookmarkStart w:id="113" w:name="_Toc254970538"/>
      <w:r>
        <w:rPr>
          <w:rFonts w:hint="eastAsia" w:ascii="黑体" w:hAnsi="黑体" w:eastAsia="黑体"/>
          <w:color w:val="auto"/>
          <w:sz w:val="24"/>
        </w:rPr>
        <w:t>16.投标报价</w:t>
      </w:r>
      <w:bookmarkEnd w:id="112"/>
      <w:bookmarkEnd w:id="113"/>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16.1投标报价应按“第六章　投标文件格式”中“开标一览表”格式填写。</w:t>
      </w:r>
    </w:p>
    <w:p>
      <w:pPr>
        <w:pStyle w:val="6"/>
        <w:keepNext w:val="0"/>
        <w:keepLines w:val="0"/>
        <w:spacing w:before="0" w:after="0" w:line="360" w:lineRule="auto"/>
        <w:ind w:left="420" w:leftChars="200"/>
        <w:rPr>
          <w:rFonts w:ascii="宋体" w:hAnsi="宋体"/>
          <w:b w:val="0"/>
          <w:color w:val="auto"/>
          <w:sz w:val="21"/>
          <w:szCs w:val="21"/>
        </w:rPr>
      </w:pPr>
      <w:bookmarkStart w:id="114" w:name="_16.2投标报价具体定义见投标人须知前附表。"/>
      <w:bookmarkEnd w:id="114"/>
      <w:r>
        <w:rPr>
          <w:rFonts w:hint="eastAsia" w:ascii="宋体" w:hAnsi="宋体"/>
          <w:b w:val="0"/>
          <w:color w:val="auto"/>
          <w:sz w:val="21"/>
          <w:szCs w:val="21"/>
        </w:rPr>
        <w:t>16.2投标报价具体包括内容详见“投标人须知前附表”。</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16.3投标人必须就所投货物的全部内容作完整唯一总价报价，不得存在漏项报价；投标人必须就所投的单项内容作唯一报价。</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17.投标有效期</w:t>
      </w:r>
    </w:p>
    <w:p>
      <w:pPr>
        <w:pStyle w:val="6"/>
        <w:keepNext w:val="0"/>
        <w:keepLines w:val="0"/>
        <w:spacing w:before="0" w:after="0" w:line="360" w:lineRule="auto"/>
        <w:ind w:left="420" w:leftChars="200"/>
        <w:rPr>
          <w:rFonts w:ascii="宋体" w:hAnsi="宋体"/>
          <w:b w:val="0"/>
          <w:color w:val="auto"/>
          <w:sz w:val="21"/>
          <w:szCs w:val="21"/>
        </w:rPr>
      </w:pPr>
      <w:bookmarkStart w:id="115" w:name="_17.1投标有效期应按“投标人须知中的前附表”规定的期限。"/>
      <w:bookmarkEnd w:id="115"/>
      <w:r>
        <w:rPr>
          <w:rFonts w:hint="eastAsia" w:ascii="宋体" w:hAnsi="宋体"/>
          <w:b w:val="0"/>
          <w:color w:val="auto"/>
          <w:sz w:val="21"/>
          <w:szCs w:val="21"/>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17.2</w:t>
      </w:r>
      <w:bookmarkStart w:id="116" w:name="_Toc254970681"/>
      <w:bookmarkStart w:id="117" w:name="_Toc254970540"/>
      <w:r>
        <w:rPr>
          <w:rFonts w:hint="eastAsia" w:ascii="宋体" w:hAnsi="宋体"/>
          <w:b w:val="0"/>
          <w:color w:val="auto"/>
          <w:sz w:val="21"/>
          <w:szCs w:val="21"/>
        </w:rPr>
        <w:t xml:space="preserve"> 投标有效期应按规定的期限作出承诺，具体详见“投标人须知前附表”。</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17.3投标人的投标文件在投标有效期内均保持有效。</w:t>
      </w:r>
      <w:bookmarkEnd w:id="116"/>
      <w:bookmarkEnd w:id="117"/>
    </w:p>
    <w:p>
      <w:pPr>
        <w:pStyle w:val="6"/>
        <w:keepNext w:val="0"/>
        <w:keepLines w:val="0"/>
        <w:spacing w:before="0" w:after="0" w:line="360" w:lineRule="auto"/>
        <w:ind w:left="420" w:leftChars="200"/>
        <w:rPr>
          <w:rFonts w:ascii="黑体" w:hAnsi="黑体" w:eastAsia="黑体"/>
          <w:color w:val="auto"/>
          <w:sz w:val="24"/>
        </w:rPr>
      </w:pPr>
      <w:bookmarkStart w:id="118" w:name="_18.投标保证金"/>
      <w:bookmarkEnd w:id="118"/>
      <w:bookmarkStart w:id="119" w:name="_Toc254970682"/>
      <w:bookmarkStart w:id="120" w:name="_Toc254970541"/>
      <w:r>
        <w:rPr>
          <w:rFonts w:hint="eastAsia" w:ascii="黑体" w:hAnsi="黑体" w:eastAsia="黑体"/>
          <w:color w:val="auto"/>
          <w:sz w:val="24"/>
        </w:rPr>
        <w:t>18.投标保证金</w:t>
      </w:r>
      <w:bookmarkEnd w:id="119"/>
      <w:bookmarkEnd w:id="120"/>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18.1投标人须按“投标人须知前附表” 的规定提交投标保证金。</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18.2投标保证金的退还</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18.2.1未中标人的投标保证金自中标通知书发出之日起5个工作日内退还，退还方式如下：</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（1）采用银行转账方式的，以转账方式退回到投标人银行账户。</w:t>
      </w:r>
    </w:p>
    <w:p>
      <w:pPr>
        <w:pStyle w:val="7"/>
        <w:spacing w:line="360" w:lineRule="auto"/>
        <w:ind w:firstLine="315" w:firstLineChars="150"/>
        <w:rPr>
          <w:rFonts w:ascii="宋体" w:hAnsi="宋体"/>
          <w:color w:val="auto"/>
          <w:szCs w:val="21"/>
        </w:rPr>
      </w:pPr>
      <w:r>
        <w:rPr>
          <w:rFonts w:hint="eastAsia" w:ascii="宋体" w:hAnsi="宋体"/>
          <w:color w:val="auto"/>
          <w:szCs w:val="21"/>
        </w:rPr>
        <w:t xml:space="preserve">（2）采用支票、汇票、本票或者金融、担保机构出具的保函方式的，由投标人代表持相关授权证明材料至采购人或者采购代理机构办理支票、汇票、本票或者金融、担保机构出具的保函原件退还手续。 </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18.2.2中标人的投标保证金自采购合同签订之日起5个工作日内退还，退还方式同本须知正文第1</w:t>
      </w:r>
      <w:r>
        <w:rPr>
          <w:rFonts w:ascii="宋体" w:hAnsi="宋体"/>
          <w:b w:val="0"/>
          <w:color w:val="auto"/>
          <w:sz w:val="21"/>
          <w:szCs w:val="21"/>
        </w:rPr>
        <w:t>8.2.1</w:t>
      </w:r>
      <w:r>
        <w:rPr>
          <w:rFonts w:hint="eastAsia" w:ascii="宋体" w:hAnsi="宋体"/>
          <w:b w:val="0"/>
          <w:color w:val="auto"/>
          <w:sz w:val="21"/>
          <w:szCs w:val="21"/>
        </w:rPr>
        <w:t xml:space="preserve">。 </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18.3除逾期退还投标保证金和终止招标的情形以外，投标保证金不计息。</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 xml:space="preserve">18.4投标人有下列情形之一的，投标保证金将不予退还： </w:t>
      </w:r>
    </w:p>
    <w:p>
      <w:pPr>
        <w:snapToGrid w:val="0"/>
        <w:spacing w:line="360" w:lineRule="auto"/>
        <w:ind w:firstLine="411" w:firstLineChars="196"/>
        <w:jc w:val="left"/>
        <w:rPr>
          <w:rFonts w:ascii="宋体" w:hAnsi="宋体"/>
          <w:color w:val="auto"/>
          <w:szCs w:val="21"/>
        </w:rPr>
      </w:pPr>
      <w:r>
        <w:rPr>
          <w:rFonts w:hint="eastAsia" w:ascii="宋体" w:hAnsi="宋体"/>
          <w:color w:val="auto"/>
          <w:szCs w:val="21"/>
        </w:rPr>
        <w:t>（1）投标人在投标有效期内撤销投标文件的；</w:t>
      </w:r>
    </w:p>
    <w:p>
      <w:pPr>
        <w:snapToGrid w:val="0"/>
        <w:spacing w:line="360" w:lineRule="auto"/>
        <w:ind w:firstLine="411" w:firstLineChars="196"/>
        <w:jc w:val="left"/>
        <w:rPr>
          <w:rFonts w:ascii="宋体" w:hAnsi="宋体"/>
          <w:color w:val="auto"/>
          <w:szCs w:val="21"/>
        </w:rPr>
      </w:pPr>
      <w:r>
        <w:rPr>
          <w:rFonts w:hint="eastAsia" w:ascii="宋体" w:hAnsi="宋体"/>
          <w:color w:val="auto"/>
          <w:szCs w:val="21"/>
        </w:rPr>
        <w:t>（2）未按规定提交履约保证金的；</w:t>
      </w:r>
    </w:p>
    <w:p>
      <w:pPr>
        <w:snapToGrid w:val="0"/>
        <w:spacing w:line="360" w:lineRule="auto"/>
        <w:ind w:firstLine="411" w:firstLineChars="196"/>
        <w:jc w:val="left"/>
        <w:rPr>
          <w:rFonts w:ascii="宋体" w:hAnsi="宋体"/>
          <w:color w:val="auto"/>
          <w:szCs w:val="21"/>
        </w:rPr>
      </w:pPr>
      <w:r>
        <w:rPr>
          <w:rFonts w:hint="eastAsia" w:ascii="宋体" w:hAnsi="宋体"/>
          <w:color w:val="auto"/>
          <w:szCs w:val="21"/>
        </w:rPr>
        <w:t>（3）投标人在投标过程中弄虚作假，提供虚假材料的；</w:t>
      </w:r>
    </w:p>
    <w:p>
      <w:pPr>
        <w:snapToGrid w:val="0"/>
        <w:spacing w:line="360" w:lineRule="auto"/>
        <w:ind w:firstLine="411" w:firstLineChars="196"/>
        <w:rPr>
          <w:rFonts w:ascii="宋体" w:hAnsi="宋体"/>
          <w:color w:val="auto"/>
          <w:szCs w:val="21"/>
        </w:rPr>
      </w:pPr>
      <w:r>
        <w:rPr>
          <w:rFonts w:hint="eastAsia" w:ascii="宋体" w:hAnsi="宋体"/>
          <w:color w:val="auto"/>
          <w:szCs w:val="21"/>
        </w:rPr>
        <w:t>（4）中标人无正当理由不与采购人签订合同的；</w:t>
      </w:r>
    </w:p>
    <w:p>
      <w:pPr>
        <w:snapToGrid w:val="0"/>
        <w:spacing w:line="360" w:lineRule="auto"/>
        <w:ind w:firstLine="420" w:firstLineChars="200"/>
        <w:rPr>
          <w:rFonts w:ascii="宋体" w:hAnsi="宋体"/>
          <w:color w:val="auto"/>
          <w:szCs w:val="21"/>
        </w:rPr>
      </w:pPr>
      <w:r>
        <w:rPr>
          <w:rFonts w:hint="eastAsia" w:ascii="宋体" w:hAnsi="宋体"/>
          <w:color w:val="auto"/>
          <w:szCs w:val="21"/>
        </w:rPr>
        <w:t>（5）投标人出现本章第9.2、9.3情形的；</w:t>
      </w:r>
    </w:p>
    <w:p>
      <w:pPr>
        <w:snapToGrid w:val="0"/>
        <w:spacing w:line="360" w:lineRule="auto"/>
        <w:ind w:firstLine="420" w:firstLineChars="200"/>
        <w:rPr>
          <w:rFonts w:ascii="宋体" w:hAnsi="宋体"/>
          <w:color w:val="auto"/>
          <w:szCs w:val="21"/>
        </w:rPr>
      </w:pPr>
      <w:r>
        <w:rPr>
          <w:rFonts w:hint="eastAsia" w:ascii="宋体" w:hAnsi="宋体"/>
          <w:color w:val="auto"/>
          <w:szCs w:val="21"/>
        </w:rPr>
        <w:t>（6）其他严重扰乱招投标程序的。</w:t>
      </w:r>
    </w:p>
    <w:p>
      <w:pPr>
        <w:pStyle w:val="6"/>
        <w:keepNext w:val="0"/>
        <w:keepLines w:val="0"/>
        <w:spacing w:before="0" w:after="0" w:line="360" w:lineRule="auto"/>
        <w:ind w:left="420" w:leftChars="200"/>
        <w:rPr>
          <w:rFonts w:ascii="黑体" w:hAnsi="黑体" w:eastAsia="黑体"/>
          <w:color w:val="auto"/>
          <w:sz w:val="24"/>
        </w:rPr>
      </w:pPr>
      <w:bookmarkStart w:id="121" w:name="_Toc254970683"/>
      <w:bookmarkStart w:id="122" w:name="_Toc254970542"/>
      <w:r>
        <w:rPr>
          <w:rFonts w:hint="eastAsia" w:ascii="黑体" w:hAnsi="黑体" w:eastAsia="黑体"/>
          <w:color w:val="auto"/>
          <w:sz w:val="24"/>
        </w:rPr>
        <w:t>19.投标文件的</w:t>
      </w:r>
      <w:bookmarkEnd w:id="121"/>
      <w:bookmarkEnd w:id="122"/>
      <w:r>
        <w:rPr>
          <w:rFonts w:hint="eastAsia" w:ascii="黑体" w:hAnsi="黑体" w:eastAsia="黑体"/>
          <w:color w:val="auto"/>
          <w:sz w:val="24"/>
        </w:rPr>
        <w:t>编制</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6"/>
        <w:keepNext w:val="0"/>
        <w:keepLines w:val="0"/>
        <w:spacing w:before="0" w:after="0" w:line="360" w:lineRule="auto"/>
        <w:ind w:firstLine="420" w:firstLineChars="200"/>
        <w:rPr>
          <w:rFonts w:ascii="宋体" w:hAnsi="宋体"/>
          <w:b w:val="0"/>
          <w:color w:val="auto"/>
          <w:sz w:val="21"/>
          <w:szCs w:val="21"/>
        </w:rPr>
      </w:pPr>
      <w:bookmarkStart w:id="123" w:name="_19.2投标文件应按报价文件、资格证明文件、商务文件、技术文件分别编制"/>
      <w:bookmarkEnd w:id="123"/>
      <w:r>
        <w:rPr>
          <w:rFonts w:hint="eastAsia" w:ascii="宋体" w:hAnsi="宋体"/>
          <w:b w:val="0"/>
          <w:color w:val="auto"/>
          <w:sz w:val="21"/>
          <w:szCs w:val="21"/>
        </w:rPr>
        <w:t>19.2投标文件应按报价文件、资格证明文件、商务文件、技术文件分别编制电子文件，并按“政采云”平台的要求编制、加密、上传。</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19.</w:t>
      </w:r>
      <w:bookmarkStart w:id="124" w:name="_Hlk65832616"/>
      <w:r>
        <w:rPr>
          <w:rFonts w:hint="eastAsia" w:ascii="宋体" w:hAnsi="宋体"/>
          <w:b w:val="0"/>
          <w:color w:val="auto"/>
          <w:sz w:val="21"/>
          <w:szCs w:val="21"/>
        </w:rPr>
        <w:t>3投标文件须由投标人在规定位置盖公章并签字</w:t>
      </w:r>
      <w:bookmarkStart w:id="125" w:name="_Hlk65832569"/>
      <w:r>
        <w:rPr>
          <w:rFonts w:hint="eastAsia" w:ascii="宋体" w:hAnsi="宋体"/>
          <w:b w:val="0"/>
          <w:color w:val="auto"/>
          <w:sz w:val="21"/>
          <w:szCs w:val="21"/>
        </w:rPr>
        <w:t>（具体以投标人须知前附表或投标文件格式规定为准）</w:t>
      </w:r>
      <w:bookmarkEnd w:id="124"/>
      <w:bookmarkEnd w:id="125"/>
      <w:r>
        <w:rPr>
          <w:rFonts w:hint="eastAsia" w:ascii="宋体" w:hAnsi="宋体"/>
          <w:b w:val="0"/>
          <w:color w:val="auto"/>
          <w:sz w:val="21"/>
          <w:szCs w:val="21"/>
        </w:rPr>
        <w:t>，</w:t>
      </w:r>
      <w:r>
        <w:rPr>
          <w:rFonts w:hint="eastAsia" w:ascii="宋体" w:hAnsi="宋体"/>
          <w:color w:val="auto"/>
          <w:sz w:val="21"/>
          <w:szCs w:val="21"/>
        </w:rPr>
        <w:t>否则按无效投标处理</w:t>
      </w:r>
      <w:r>
        <w:rPr>
          <w:rFonts w:hint="eastAsia" w:ascii="宋体" w:hAnsi="宋体"/>
          <w:b w:val="0"/>
          <w:color w:val="auto"/>
          <w:sz w:val="21"/>
          <w:szCs w:val="21"/>
        </w:rPr>
        <w:t>。</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rPr>
        <w:t>否则按无效投标处理</w:t>
      </w:r>
      <w:r>
        <w:rPr>
          <w:rFonts w:hint="eastAsia" w:ascii="宋体" w:hAnsi="宋体"/>
          <w:b w:val="0"/>
          <w:color w:val="auto"/>
          <w:sz w:val="21"/>
          <w:szCs w:val="21"/>
        </w:rPr>
        <w:t>。</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20.投标文件的加密、解密</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20.1电子投标文件编制完成后，投标人应按“政采云”平台的要求进行加密，并在规定时间内解密，否则，由此产生的后果由投标人自行负责。</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21.投标文件的提交</w:t>
      </w:r>
    </w:p>
    <w:p>
      <w:pPr>
        <w:pStyle w:val="6"/>
        <w:keepNext w:val="0"/>
        <w:keepLines w:val="0"/>
        <w:spacing w:before="0" w:after="0" w:line="360" w:lineRule="auto"/>
        <w:ind w:firstLine="420" w:firstLineChars="200"/>
        <w:rPr>
          <w:rFonts w:ascii="宋体" w:hAnsi="宋体"/>
          <w:b w:val="0"/>
          <w:color w:val="auto"/>
          <w:sz w:val="21"/>
          <w:szCs w:val="21"/>
        </w:rPr>
      </w:pPr>
      <w:bookmarkStart w:id="126" w:name="_21.1投标人必须在“投标人须知中的前附表”规定的投标文件接收时间和投"/>
      <w:bookmarkEnd w:id="126"/>
      <w:r>
        <w:rPr>
          <w:rFonts w:hint="eastAsia" w:ascii="宋体" w:hAnsi="宋体"/>
          <w:b w:val="0"/>
          <w:color w:val="auto"/>
          <w:sz w:val="21"/>
          <w:szCs w:val="21"/>
        </w:rPr>
        <w:t>21.1投标人必须在“投标人须知前附表”规定的投标文件接收时间和投标地点提交投标文件。</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21.3未在规定时间内上传或者未按“政采云”平台的要求编制、加密的电子投标文件，“政采云”平台将拒收。</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21.4电子投标文件提交方式见“招标公告”中“四、提交投标文件截止时间、开标时间和地点”。</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22. 投标文件的补充、修改、撤回与退回</w:t>
      </w:r>
    </w:p>
    <w:p>
      <w:pPr>
        <w:snapToGrid w:val="0"/>
        <w:spacing w:line="360" w:lineRule="auto"/>
        <w:ind w:firstLine="420"/>
        <w:jc w:val="left"/>
        <w:rPr>
          <w:rFonts w:ascii="宋体" w:hAnsi="宋体"/>
          <w:color w:val="auto"/>
          <w:szCs w:val="21"/>
        </w:rPr>
      </w:pPr>
      <w:bookmarkStart w:id="127" w:name="_Toc254970543"/>
      <w:bookmarkStart w:id="128" w:name="_Toc254970684"/>
      <w:r>
        <w:rPr>
          <w:rFonts w:hint="eastAsia" w:ascii="宋体" w:hAnsi="宋体"/>
          <w:color w:val="auto"/>
          <w:szCs w:val="21"/>
        </w:rPr>
        <w:t>2</w:t>
      </w:r>
      <w:r>
        <w:rPr>
          <w:rFonts w:ascii="宋体" w:hAnsi="宋体"/>
          <w:color w:val="auto"/>
          <w:szCs w:val="21"/>
        </w:rPr>
        <w:t>2.1</w:t>
      </w:r>
      <w:r>
        <w:rPr>
          <w:rFonts w:hint="eastAsia" w:ascii="宋体" w:hAnsi="宋体"/>
          <w:color w:val="auto"/>
          <w:szCs w:val="21"/>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bookmarkEnd w:id="127"/>
    <w:bookmarkEnd w:id="128"/>
    <w:p>
      <w:pPr>
        <w:snapToGrid w:val="0"/>
        <w:spacing w:line="360" w:lineRule="auto"/>
        <w:ind w:firstLine="420"/>
        <w:jc w:val="left"/>
        <w:rPr>
          <w:rFonts w:ascii="宋体" w:hAnsi="宋体"/>
          <w:color w:val="auto"/>
          <w:szCs w:val="21"/>
        </w:rPr>
      </w:pPr>
      <w:r>
        <w:rPr>
          <w:rFonts w:hint="eastAsia" w:ascii="宋体" w:hAnsi="宋体"/>
          <w:color w:val="auto"/>
          <w:szCs w:val="21"/>
        </w:rPr>
        <w:t>22.</w:t>
      </w:r>
      <w:r>
        <w:rPr>
          <w:rFonts w:ascii="宋体" w:hAnsi="宋体"/>
          <w:color w:val="auto"/>
          <w:szCs w:val="21"/>
        </w:rPr>
        <w:t>2</w:t>
      </w:r>
      <w:r>
        <w:rPr>
          <w:rFonts w:hint="eastAsia" w:ascii="宋体" w:hAnsi="宋体"/>
          <w:color w:val="auto"/>
          <w:szCs w:val="21"/>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ascii="宋体" w:hAnsi="宋体" w:cs="宋体"/>
          <w:color w:val="auto"/>
          <w:szCs w:val="21"/>
        </w:rPr>
        <w:t>2.3</w:t>
      </w:r>
      <w:r>
        <w:rPr>
          <w:rFonts w:hint="eastAsia" w:ascii="宋体" w:hAnsi="宋体" w:cs="宋体"/>
          <w:color w:val="auto"/>
          <w:szCs w:val="21"/>
        </w:rPr>
        <w:t xml:space="preserve"> 投标人在投标截止时间后书面通知采购人、采购代理机构撤销投标文件的，将根据本须知正文1</w:t>
      </w:r>
      <w:r>
        <w:rPr>
          <w:rFonts w:ascii="宋体" w:hAnsi="宋体" w:cs="宋体"/>
          <w:color w:val="auto"/>
          <w:szCs w:val="21"/>
        </w:rPr>
        <w:t>8</w:t>
      </w:r>
      <w:r>
        <w:rPr>
          <w:rFonts w:hint="eastAsia" w:ascii="宋体" w:hAnsi="宋体" w:cs="宋体"/>
          <w:color w:val="auto"/>
          <w:szCs w:val="21"/>
        </w:rPr>
        <w:t>.4的规定不予退还其投标保证金。</w:t>
      </w:r>
    </w:p>
    <w:p>
      <w:pPr>
        <w:pStyle w:val="15"/>
        <w:snapToGrid w:val="0"/>
        <w:spacing w:line="360" w:lineRule="auto"/>
        <w:ind w:firstLine="739"/>
        <w:rPr>
          <w:rFonts w:hAnsi="宋体"/>
          <w:snapToGrid w:val="0"/>
          <w:color w:val="auto"/>
          <w:sz w:val="21"/>
          <w:szCs w:val="21"/>
        </w:rPr>
      </w:pPr>
    </w:p>
    <w:p>
      <w:pPr>
        <w:pStyle w:val="2"/>
        <w:keepNext w:val="0"/>
        <w:keepLines w:val="0"/>
        <w:jc w:val="center"/>
        <w:rPr>
          <w:color w:val="auto"/>
        </w:rPr>
      </w:pPr>
      <w:bookmarkStart w:id="129" w:name="_Toc254970544"/>
      <w:bookmarkStart w:id="130" w:name="_Toc254970685"/>
      <w:r>
        <w:rPr>
          <w:rFonts w:hint="eastAsia"/>
          <w:color w:val="auto"/>
        </w:rPr>
        <w:t>四、开    标</w:t>
      </w:r>
      <w:bookmarkEnd w:id="129"/>
      <w:bookmarkEnd w:id="130"/>
    </w:p>
    <w:p>
      <w:pPr>
        <w:pStyle w:val="6"/>
        <w:keepNext w:val="0"/>
        <w:keepLines w:val="0"/>
        <w:spacing w:before="0" w:after="0" w:line="360" w:lineRule="auto"/>
        <w:ind w:firstLine="482" w:firstLineChars="200"/>
        <w:rPr>
          <w:rFonts w:ascii="黑体" w:hAnsi="黑体" w:eastAsia="黑体"/>
          <w:color w:val="auto"/>
          <w:sz w:val="24"/>
        </w:rPr>
      </w:pPr>
      <w:bookmarkStart w:id="131" w:name="_23.开标时间和地点"/>
      <w:bookmarkEnd w:id="131"/>
      <w:r>
        <w:rPr>
          <w:rFonts w:hint="eastAsia" w:ascii="黑体" w:hAnsi="黑体" w:eastAsia="黑体"/>
          <w:color w:val="auto"/>
          <w:sz w:val="24"/>
        </w:rPr>
        <w:t>23.开标时间和地点</w:t>
      </w:r>
    </w:p>
    <w:p>
      <w:pPr>
        <w:pStyle w:val="18"/>
        <w:snapToGrid w:val="0"/>
        <w:spacing w:line="360" w:lineRule="auto"/>
        <w:ind w:firstLine="420" w:firstLineChars="200"/>
        <w:rPr>
          <w:rFonts w:hAnsi="宋体"/>
          <w:bCs/>
          <w:color w:val="auto"/>
        </w:rPr>
      </w:pPr>
      <w:r>
        <w:rPr>
          <w:rFonts w:hint="eastAsia" w:hAnsi="宋体"/>
          <w:bCs/>
          <w:color w:val="auto"/>
        </w:rPr>
        <w:t>23.1开标时间及地点详见“投标人须知前附表”</w:t>
      </w:r>
    </w:p>
    <w:p>
      <w:pPr>
        <w:pStyle w:val="18"/>
        <w:snapToGrid w:val="0"/>
        <w:spacing w:line="360" w:lineRule="auto"/>
        <w:ind w:firstLine="420" w:firstLineChars="200"/>
        <w:rPr>
          <w:rFonts w:hAnsi="宋体"/>
          <w:bCs/>
          <w:color w:val="auto"/>
        </w:rPr>
      </w:pPr>
      <w:r>
        <w:rPr>
          <w:rFonts w:hint="eastAsia" w:hAnsi="宋体"/>
          <w:bCs/>
          <w:color w:val="auto"/>
        </w:rPr>
        <w:t>23.2如投标人成功解密投标文件，但未在“政采云”电子开标大厅参加开标的，视同认可开标过程和结果，由此产生的后果由投标人自行负责。成功解密投标文件的投标人不足3家的，不得开标。</w:t>
      </w:r>
    </w:p>
    <w:p>
      <w:pPr>
        <w:pStyle w:val="6"/>
        <w:keepNext w:val="0"/>
        <w:keepLines w:val="0"/>
        <w:spacing w:before="0" w:after="0" w:line="360" w:lineRule="auto"/>
        <w:ind w:firstLine="482" w:firstLineChars="200"/>
        <w:rPr>
          <w:rFonts w:ascii="黑体" w:hAnsi="黑体" w:eastAsia="黑体"/>
          <w:color w:val="auto"/>
          <w:sz w:val="24"/>
        </w:rPr>
      </w:pPr>
      <w:r>
        <w:rPr>
          <w:rFonts w:hint="eastAsia" w:ascii="黑体" w:hAnsi="黑体" w:eastAsia="黑体"/>
          <w:color w:val="auto"/>
          <w:sz w:val="24"/>
        </w:rPr>
        <w:t>24.开标程序</w:t>
      </w:r>
    </w:p>
    <w:p>
      <w:pPr>
        <w:autoSpaceDE w:val="0"/>
        <w:autoSpaceDN w:val="0"/>
        <w:adjustRightInd w:val="0"/>
        <w:spacing w:line="360" w:lineRule="auto"/>
        <w:ind w:firstLine="420" w:firstLineChars="200"/>
        <w:rPr>
          <w:rFonts w:ascii="宋体" w:hAnsi="宋体"/>
          <w:color w:val="auto"/>
          <w:kern w:val="0"/>
          <w:szCs w:val="21"/>
        </w:rPr>
      </w:pPr>
      <w:r>
        <w:rPr>
          <w:rFonts w:hint="eastAsia" w:ascii="宋体" w:hAnsi="宋体"/>
          <w:bCs/>
          <w:color w:val="auto"/>
          <w:szCs w:val="21"/>
        </w:rPr>
        <w:t>24.1</w:t>
      </w:r>
      <w:r>
        <w:rPr>
          <w:rFonts w:hint="eastAsia" w:ascii="宋体" w:hAnsi="宋体"/>
          <w:color w:val="auto"/>
          <w:kern w:val="0"/>
          <w:szCs w:val="21"/>
        </w:rPr>
        <w:t>开标形式：</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采购代理机构将按照招标文件规定的时间通过“政采云”平台组织线上开标活动、开启投标文件，所有供应商均应当准时在线参加。投标人</w:t>
      </w:r>
      <w:r>
        <w:rPr>
          <w:rFonts w:ascii="宋体" w:hAnsi="宋体"/>
          <w:bCs/>
          <w:color w:val="auto"/>
          <w:szCs w:val="21"/>
        </w:rPr>
        <w:t>如不</w:t>
      </w:r>
      <w:r>
        <w:rPr>
          <w:rFonts w:hint="eastAsia" w:ascii="宋体" w:hAnsi="宋体"/>
          <w:bCs/>
          <w:color w:val="auto"/>
          <w:szCs w:val="21"/>
        </w:rPr>
        <w:t>参加</w:t>
      </w:r>
      <w:r>
        <w:rPr>
          <w:rFonts w:ascii="宋体" w:hAnsi="宋体"/>
          <w:bCs/>
          <w:color w:val="auto"/>
          <w:szCs w:val="21"/>
        </w:rPr>
        <w:t>开标大会的，</w:t>
      </w:r>
      <w:r>
        <w:rPr>
          <w:rFonts w:hint="eastAsia" w:ascii="宋体" w:hAnsi="宋体"/>
          <w:bCs/>
          <w:color w:val="auto"/>
          <w:szCs w:val="21"/>
        </w:rPr>
        <w:t>视同认可开标结果，</w:t>
      </w:r>
      <w:r>
        <w:rPr>
          <w:rFonts w:ascii="宋体" w:hAnsi="宋体"/>
          <w:bCs/>
          <w:color w:val="auto"/>
          <w:szCs w:val="21"/>
        </w:rPr>
        <w:t>事后不得对采购相关人员、开标过程和开标结果提出异议</w:t>
      </w:r>
      <w:r>
        <w:rPr>
          <w:rFonts w:hint="eastAsia" w:ascii="宋体" w:hAnsi="宋体"/>
          <w:bCs/>
          <w:color w:val="auto"/>
          <w:szCs w:val="21"/>
        </w:rPr>
        <w:t>，同时投标人因未在线参加开标而导致投标文件无法按时解密等一切后果由投标人自己承担。</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24.2</w:t>
      </w:r>
      <w:r>
        <w:rPr>
          <w:rFonts w:ascii="宋体" w:hAnsi="宋体"/>
          <w:bCs/>
          <w:color w:val="auto"/>
          <w:szCs w:val="21"/>
        </w:rPr>
        <w:t>开</w:t>
      </w:r>
      <w:r>
        <w:rPr>
          <w:rFonts w:hint="eastAsia" w:ascii="宋体" w:hAnsi="宋体"/>
          <w:bCs/>
          <w:color w:val="auto"/>
          <w:szCs w:val="21"/>
        </w:rPr>
        <w:t>标</w:t>
      </w:r>
      <w:r>
        <w:rPr>
          <w:rFonts w:ascii="宋体" w:hAnsi="宋体"/>
          <w:bCs/>
          <w:color w:val="auto"/>
          <w:szCs w:val="21"/>
        </w:rPr>
        <w:t>程序：</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rPr>
        <w:t>投标人的法定代表人或其委托代理人须携带加密时所用的CA锁准时登录到“政采云”平台电子开标大厅签到</w:t>
      </w:r>
      <w:r>
        <w:rPr>
          <w:rFonts w:hint="eastAsia" w:ascii="宋体" w:hAnsi="宋体" w:cs="宋体"/>
          <w:b/>
          <w:color w:val="auto"/>
          <w:szCs w:val="21"/>
        </w:rPr>
        <w:t>并在发起解密</w:t>
      </w:r>
      <w:r>
        <w:rPr>
          <w:rFonts w:hint="eastAsia" w:ascii="宋体" w:hAnsi="宋体"/>
          <w:b/>
          <w:bCs/>
          <w:color w:val="auto"/>
          <w:szCs w:val="21"/>
        </w:rPr>
        <w:t>通知</w:t>
      </w:r>
      <w:r>
        <w:rPr>
          <w:rFonts w:hint="eastAsia" w:ascii="宋体" w:hAnsi="宋体" w:cs="宋体"/>
          <w:b/>
          <w:color w:val="auto"/>
          <w:szCs w:val="21"/>
        </w:rPr>
        <w:t>之时起30分钟内完成</w:t>
      </w:r>
      <w:r>
        <w:rPr>
          <w:rFonts w:hint="eastAsia" w:ascii="宋体" w:hAnsi="宋体"/>
          <w:b/>
          <w:bCs/>
          <w:color w:val="auto"/>
          <w:szCs w:val="21"/>
        </w:rPr>
        <w:t>对电子投标文件解密。投标文件未按时解密的，视为无效投标。</w:t>
      </w:r>
      <w:r>
        <w:rPr>
          <w:rFonts w:hint="eastAsia" w:ascii="宋体" w:hAnsi="宋体"/>
          <w:bCs/>
          <w:color w:val="auto"/>
          <w:szCs w:val="21"/>
        </w:rPr>
        <w:t>（解密异常情况处理：详见本章29.4 电子交易活动的中止。</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（2）电子唱标。投标文件解密结束，各投标供应商报价均在“政采云”平台远程不见面开标大厅展示；</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（3）开标过程由采购代理机构如实记录，并电子留痕，由参加电子开标的各投标人代表对电子开标记录在开标记录公布后15分钟内进行当场校核及勘误，并线上确认，未确认的视同认可开标结果。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360" w:lineRule="auto"/>
        <w:ind w:firstLine="420" w:firstLineChars="200"/>
        <w:rPr>
          <w:rFonts w:ascii="宋体" w:hAnsi="宋体"/>
          <w:bCs/>
          <w:color w:val="auto"/>
          <w:szCs w:val="21"/>
        </w:rPr>
      </w:pPr>
      <w:r>
        <w:rPr>
          <w:rFonts w:hint="eastAsia" w:ascii="宋体" w:hAnsi="宋体"/>
          <w:bCs/>
          <w:color w:val="auto"/>
          <w:szCs w:val="21"/>
        </w:rPr>
        <w:t>（5）开标结束。</w:t>
      </w:r>
    </w:p>
    <w:p>
      <w:pPr>
        <w:pStyle w:val="7"/>
        <w:spacing w:line="360" w:lineRule="auto"/>
        <w:ind w:firstLine="422" w:firstLineChars="200"/>
        <w:rPr>
          <w:rFonts w:hAnsi="宋体"/>
          <w:b/>
          <w:bCs/>
          <w:color w:val="auto"/>
        </w:rPr>
      </w:pPr>
      <w:r>
        <w:rPr>
          <w:rFonts w:hint="eastAsia" w:hAnsi="宋体"/>
          <w:b/>
          <w:bCs/>
          <w:color w:val="auto"/>
        </w:rPr>
        <w:t>特别说明：如遇“政采云”平台电子化开标或评审程序调整的，按调整后执行。</w:t>
      </w:r>
    </w:p>
    <w:p>
      <w:pPr>
        <w:pStyle w:val="18"/>
        <w:snapToGrid w:val="0"/>
        <w:spacing w:line="360" w:lineRule="auto"/>
        <w:ind w:firstLine="420" w:firstLineChars="200"/>
        <w:rPr>
          <w:rFonts w:hAnsi="宋体"/>
          <w:color w:val="auto"/>
        </w:rPr>
      </w:pPr>
    </w:p>
    <w:p>
      <w:pPr>
        <w:pStyle w:val="18"/>
        <w:snapToGrid w:val="0"/>
        <w:spacing w:line="360" w:lineRule="auto"/>
        <w:ind w:left="689" w:leftChars="228" w:hanging="210" w:hangingChars="100"/>
        <w:rPr>
          <w:rFonts w:hAnsi="宋体"/>
          <w:color w:val="auto"/>
        </w:rPr>
      </w:pPr>
    </w:p>
    <w:p>
      <w:pPr>
        <w:pStyle w:val="2"/>
        <w:keepNext w:val="0"/>
        <w:keepLines w:val="0"/>
        <w:jc w:val="center"/>
        <w:rPr>
          <w:color w:val="auto"/>
        </w:rPr>
      </w:pPr>
      <w:r>
        <w:rPr>
          <w:rFonts w:hint="eastAsia"/>
          <w:color w:val="auto"/>
        </w:rPr>
        <w:t>五、资格审查</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25.资格审查</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25.1</w:t>
      </w:r>
      <w:r>
        <w:rPr>
          <w:rFonts w:ascii="宋体" w:hAnsi="宋体"/>
          <w:b w:val="0"/>
          <w:color w:val="auto"/>
          <w:sz w:val="21"/>
          <w:szCs w:val="21"/>
        </w:rPr>
        <w:t>开标结束后，</w:t>
      </w:r>
      <w:r>
        <w:rPr>
          <w:rFonts w:hint="eastAsia" w:ascii="宋体" w:hAnsi="宋体"/>
          <w:b w:val="0"/>
          <w:color w:val="auto"/>
          <w:sz w:val="21"/>
          <w:szCs w:val="21"/>
        </w:rPr>
        <w:t>采购人或者采购代理机构</w:t>
      </w:r>
      <w:r>
        <w:rPr>
          <w:rFonts w:ascii="宋体" w:hAnsi="宋体"/>
          <w:b w:val="0"/>
          <w:color w:val="auto"/>
          <w:sz w:val="21"/>
          <w:szCs w:val="21"/>
        </w:rPr>
        <w:t>依法对投标人的资格进行审查。</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spacing w:before="0" w:after="0" w:line="360" w:lineRule="auto"/>
        <w:ind w:firstLine="422" w:firstLineChars="200"/>
        <w:rPr>
          <w:rFonts w:ascii="宋体" w:hAnsi="宋体"/>
          <w:color w:val="auto"/>
          <w:sz w:val="21"/>
          <w:szCs w:val="21"/>
        </w:rPr>
      </w:pPr>
      <w:r>
        <w:rPr>
          <w:rFonts w:hint="eastAsia" w:ascii="宋体" w:hAnsi="宋体"/>
          <w:color w:val="auto"/>
          <w:sz w:val="21"/>
          <w:szCs w:val="21"/>
        </w:rPr>
        <w:t>25.3 投标人有下列情形之一的，资格审查不通过，作无效投标处理：</w:t>
      </w:r>
    </w:p>
    <w:p>
      <w:pPr>
        <w:pStyle w:val="18"/>
        <w:snapToGrid w:val="0"/>
        <w:spacing w:line="360" w:lineRule="auto"/>
        <w:ind w:firstLine="422" w:firstLineChars="200"/>
        <w:rPr>
          <w:rFonts w:hAnsi="宋体"/>
          <w:b/>
          <w:color w:val="auto"/>
        </w:rPr>
      </w:pPr>
      <w:r>
        <w:rPr>
          <w:rFonts w:hint="eastAsia" w:hAnsi="宋体"/>
          <w:b/>
          <w:color w:val="auto"/>
        </w:rPr>
        <w:t>（1）未按招标文件规定的方式获取本招标文件的投标人；</w:t>
      </w:r>
    </w:p>
    <w:p>
      <w:pPr>
        <w:pStyle w:val="18"/>
        <w:snapToGrid w:val="0"/>
        <w:spacing w:line="360" w:lineRule="auto"/>
        <w:ind w:firstLine="422" w:firstLineChars="200"/>
        <w:rPr>
          <w:rFonts w:hAnsi="宋体"/>
          <w:b/>
          <w:color w:val="auto"/>
        </w:rPr>
      </w:pPr>
      <w:r>
        <w:rPr>
          <w:rFonts w:hint="eastAsia" w:hAnsi="宋体"/>
          <w:b/>
          <w:color w:val="auto"/>
        </w:rPr>
        <w:t>（2）不具备招标文件中规定的资格要求的；</w:t>
      </w:r>
    </w:p>
    <w:p>
      <w:pPr>
        <w:pStyle w:val="18"/>
        <w:snapToGrid w:val="0"/>
        <w:spacing w:line="360" w:lineRule="auto"/>
        <w:ind w:firstLine="422" w:firstLineChars="200"/>
        <w:rPr>
          <w:rFonts w:hAnsi="宋体"/>
          <w:b/>
          <w:color w:val="auto"/>
        </w:rPr>
      </w:pPr>
      <w:r>
        <w:rPr>
          <w:rFonts w:hint="eastAsia" w:hAnsi="宋体"/>
          <w:b/>
          <w:color w:val="auto"/>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8"/>
        <w:snapToGrid w:val="0"/>
        <w:spacing w:line="360" w:lineRule="auto"/>
        <w:ind w:firstLine="422" w:firstLineChars="200"/>
        <w:rPr>
          <w:rFonts w:hAnsi="宋体"/>
          <w:b/>
          <w:color w:val="auto"/>
        </w:rPr>
      </w:pPr>
      <w:r>
        <w:rPr>
          <w:rFonts w:hint="eastAsia" w:hAnsi="宋体"/>
          <w:b/>
          <w:color w:val="auto"/>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18"/>
        <w:snapToGrid w:val="0"/>
        <w:spacing w:line="360" w:lineRule="auto"/>
        <w:ind w:firstLine="422" w:firstLineChars="200"/>
        <w:rPr>
          <w:rFonts w:hAnsi="宋体"/>
          <w:b/>
          <w:color w:val="auto"/>
        </w:rPr>
      </w:pPr>
      <w:r>
        <w:rPr>
          <w:rFonts w:hint="eastAsia" w:hAnsi="宋体"/>
          <w:b/>
          <w:color w:val="auto"/>
        </w:rPr>
        <w:t>（</w:t>
      </w:r>
      <w:r>
        <w:rPr>
          <w:rFonts w:hAnsi="宋体"/>
          <w:b/>
          <w:color w:val="auto"/>
        </w:rPr>
        <w:t>5</w:t>
      </w:r>
      <w:r>
        <w:rPr>
          <w:rFonts w:hint="eastAsia" w:hAnsi="宋体"/>
          <w:b/>
          <w:color w:val="auto"/>
        </w:rPr>
        <w:t>）投标文件中的资格证明文件缺少任一项“投标人须知前附表”资格证明文件规定“必须提供”的文件资料的；</w:t>
      </w:r>
    </w:p>
    <w:p>
      <w:pPr>
        <w:pStyle w:val="18"/>
        <w:snapToGrid w:val="0"/>
        <w:spacing w:line="360" w:lineRule="auto"/>
        <w:ind w:firstLine="422" w:firstLineChars="200"/>
        <w:rPr>
          <w:rFonts w:hAnsi="宋体"/>
          <w:b/>
          <w:color w:val="auto"/>
        </w:rPr>
      </w:pPr>
      <w:r>
        <w:rPr>
          <w:rFonts w:hint="eastAsia" w:hAnsi="宋体"/>
          <w:b/>
          <w:color w:val="auto"/>
        </w:rPr>
        <w:t>（</w:t>
      </w:r>
      <w:r>
        <w:rPr>
          <w:rFonts w:hAnsi="宋体"/>
          <w:b/>
          <w:color w:val="auto"/>
        </w:rPr>
        <w:t>6</w:t>
      </w:r>
      <w:r>
        <w:rPr>
          <w:rFonts w:hint="eastAsia" w:hAnsi="宋体"/>
          <w:b/>
          <w:color w:val="auto"/>
        </w:rPr>
        <w:t>）投标文件中的资格证明文件出现任一项不符合“投标人须知前附表”资格证明文件规定“必须提供”的文件资料要求或者无效的。</w:t>
      </w:r>
    </w:p>
    <w:p>
      <w:pPr>
        <w:pStyle w:val="6"/>
        <w:keepNext w:val="0"/>
        <w:keepLines w:val="0"/>
        <w:spacing w:before="0" w:after="0" w:line="360" w:lineRule="auto"/>
        <w:ind w:firstLine="316" w:firstLineChars="150"/>
        <w:rPr>
          <w:rFonts w:ascii="宋体" w:hAnsi="宋体"/>
          <w:b w:val="0"/>
          <w:color w:val="auto"/>
          <w:sz w:val="21"/>
          <w:szCs w:val="21"/>
        </w:rPr>
      </w:pPr>
      <w:r>
        <w:rPr>
          <w:rFonts w:hint="eastAsia" w:ascii="宋体" w:hAnsi="宋体"/>
          <w:color w:val="auto"/>
          <w:sz w:val="21"/>
          <w:szCs w:val="21"/>
        </w:rPr>
        <w:t>25.4</w:t>
      </w:r>
      <w:r>
        <w:rPr>
          <w:rFonts w:ascii="宋体" w:hAnsi="宋体"/>
          <w:color w:val="auto"/>
          <w:sz w:val="21"/>
          <w:szCs w:val="21"/>
        </w:rPr>
        <w:t>合格投标人不足3家的，不得评标</w:t>
      </w:r>
    </w:p>
    <w:p>
      <w:pPr>
        <w:pStyle w:val="6"/>
        <w:keepNext w:val="0"/>
        <w:keepLines w:val="0"/>
        <w:spacing w:before="0" w:after="0" w:line="360" w:lineRule="auto"/>
        <w:ind w:left="420" w:leftChars="200"/>
        <w:rPr>
          <w:rFonts w:ascii="宋体" w:hAnsi="宋体"/>
          <w:b w:val="0"/>
          <w:color w:val="auto"/>
          <w:sz w:val="21"/>
          <w:szCs w:val="21"/>
        </w:rPr>
      </w:pPr>
    </w:p>
    <w:p>
      <w:pPr>
        <w:pStyle w:val="18"/>
        <w:snapToGrid w:val="0"/>
        <w:spacing w:line="360" w:lineRule="auto"/>
        <w:ind w:left="689" w:leftChars="228" w:hanging="210" w:hangingChars="100"/>
        <w:rPr>
          <w:rFonts w:hAnsi="宋体"/>
          <w:color w:val="auto"/>
        </w:rPr>
      </w:pPr>
    </w:p>
    <w:p>
      <w:pPr>
        <w:pStyle w:val="2"/>
        <w:keepNext w:val="0"/>
        <w:keepLines w:val="0"/>
        <w:jc w:val="center"/>
        <w:rPr>
          <w:color w:val="auto"/>
        </w:rPr>
      </w:pPr>
      <w:r>
        <w:rPr>
          <w:rFonts w:hint="eastAsia"/>
          <w:color w:val="auto"/>
        </w:rPr>
        <w:t>六、评   标</w:t>
      </w:r>
    </w:p>
    <w:p>
      <w:pPr>
        <w:pStyle w:val="6"/>
        <w:keepNext w:val="0"/>
        <w:keepLines w:val="0"/>
        <w:spacing w:before="0" w:after="0" w:line="360" w:lineRule="auto"/>
        <w:ind w:left="420" w:leftChars="200"/>
        <w:rPr>
          <w:rFonts w:ascii="黑体" w:hAnsi="黑体" w:eastAsia="黑体"/>
          <w:color w:val="auto"/>
          <w:sz w:val="24"/>
        </w:rPr>
      </w:pPr>
      <w:bookmarkStart w:id="132" w:name="_26.组建评标委员会"/>
      <w:bookmarkEnd w:id="132"/>
      <w:r>
        <w:rPr>
          <w:rFonts w:hint="eastAsia" w:ascii="黑体" w:hAnsi="黑体" w:eastAsia="黑体"/>
          <w:color w:val="auto"/>
          <w:sz w:val="24"/>
        </w:rPr>
        <w:t>26.组建评标委员会</w:t>
      </w:r>
    </w:p>
    <w:p>
      <w:pPr>
        <w:pStyle w:val="18"/>
        <w:snapToGrid w:val="0"/>
        <w:spacing w:line="360" w:lineRule="auto"/>
        <w:ind w:firstLine="420" w:firstLineChars="200"/>
        <w:rPr>
          <w:rFonts w:hAnsi="宋体"/>
          <w:color w:val="auto"/>
        </w:rPr>
      </w:pPr>
      <w:r>
        <w:rPr>
          <w:rFonts w:hint="eastAsia" w:hAnsi="宋体"/>
          <w:color w:val="auto"/>
        </w:rPr>
        <w:t>评标委员会由采购人代表和评审专家组成，具体人数详见“投标人须知前附表”，其中评审专家不得少于成员总数的三分之二。</w:t>
      </w:r>
    </w:p>
    <w:p>
      <w:pPr>
        <w:pStyle w:val="18"/>
        <w:snapToGrid w:val="0"/>
        <w:spacing w:line="360" w:lineRule="auto"/>
        <w:ind w:left="2" w:leftChars="1" w:firstLine="420" w:firstLineChars="200"/>
        <w:rPr>
          <w:rFonts w:hAnsi="宋体"/>
          <w:color w:val="auto"/>
        </w:rPr>
      </w:pPr>
      <w:r>
        <w:rPr>
          <w:rFonts w:hint="eastAsia" w:hAnsi="宋体"/>
          <w:color w:val="auto"/>
        </w:rPr>
        <w:t>参加过采购项目前期咨询论证的专家，不得参加该采购项目的评审活动。</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27.评标的依据</w:t>
      </w:r>
    </w:p>
    <w:p>
      <w:pPr>
        <w:pStyle w:val="18"/>
        <w:snapToGrid w:val="0"/>
        <w:spacing w:line="360" w:lineRule="auto"/>
        <w:ind w:firstLine="420" w:firstLineChars="200"/>
        <w:rPr>
          <w:rFonts w:hAnsi="宋体"/>
          <w:color w:val="auto"/>
        </w:rPr>
      </w:pPr>
      <w:r>
        <w:rPr>
          <w:rFonts w:hint="eastAsia" w:hAnsi="宋体"/>
          <w:color w:val="auto"/>
        </w:rPr>
        <w:t>评标委员会以招标文件为依据对投标文件进行评审，</w:t>
      </w:r>
      <w:r>
        <w:rPr>
          <w:rFonts w:hint="eastAsia" w:hAnsi="宋体" w:cs="宋体"/>
          <w:color w:val="auto"/>
        </w:rPr>
        <w:t>“第四章 评标方法和评标标准”</w:t>
      </w:r>
      <w:r>
        <w:rPr>
          <w:rFonts w:hAnsi="宋体"/>
          <w:color w:val="auto"/>
        </w:rPr>
        <w:t>没有规定的方法、评审因素和标准，不作为评标依据。</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28.评标原则</w:t>
      </w:r>
    </w:p>
    <w:p>
      <w:pPr>
        <w:pStyle w:val="18"/>
        <w:snapToGrid w:val="0"/>
        <w:spacing w:line="360" w:lineRule="auto"/>
        <w:ind w:firstLine="420" w:firstLineChars="200"/>
        <w:rPr>
          <w:rFonts w:hAnsi="宋体"/>
          <w:color w:val="auto"/>
        </w:rPr>
      </w:pPr>
      <w:r>
        <w:rPr>
          <w:rFonts w:hint="eastAsia" w:hAnsi="宋体"/>
          <w:color w:val="auto"/>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8"/>
        <w:snapToGrid w:val="0"/>
        <w:spacing w:line="360" w:lineRule="auto"/>
        <w:ind w:firstLine="420" w:firstLineChars="200"/>
        <w:rPr>
          <w:rFonts w:hAnsi="宋体"/>
          <w:color w:val="auto"/>
        </w:rPr>
      </w:pPr>
      <w:r>
        <w:rPr>
          <w:rFonts w:hint="eastAsia" w:hAnsi="宋体"/>
          <w:color w:val="auto"/>
        </w:rPr>
        <w:t>28.2</w:t>
      </w:r>
      <w:bookmarkStart w:id="133" w:name="_28.3评标方法。本项目将按须知前附表规定的评标办法进行评标，具体评标"/>
      <w:bookmarkEnd w:id="133"/>
      <w:r>
        <w:rPr>
          <w:rFonts w:hint="eastAsia" w:hAnsi="宋体"/>
          <w:color w:val="auto"/>
        </w:rPr>
        <w:t>评委表决。评标委员会成员对需要共同认定的事项存在争议的，应当按照少数服从多数的原则作出结论。</w:t>
      </w:r>
    </w:p>
    <w:p>
      <w:pPr>
        <w:pStyle w:val="18"/>
        <w:snapToGrid w:val="0"/>
        <w:spacing w:line="360" w:lineRule="auto"/>
        <w:ind w:firstLine="420" w:firstLineChars="200"/>
        <w:rPr>
          <w:rFonts w:hAnsi="宋体"/>
          <w:color w:val="auto"/>
        </w:rPr>
      </w:pPr>
      <w:r>
        <w:rPr>
          <w:rFonts w:hint="eastAsia" w:hAnsi="宋体"/>
          <w:color w:val="auto"/>
        </w:rPr>
        <w:t>28.</w:t>
      </w:r>
      <w:r>
        <w:rPr>
          <w:rFonts w:hAnsi="宋体"/>
          <w:color w:val="auto"/>
        </w:rPr>
        <w:t>3</w:t>
      </w:r>
      <w:r>
        <w:rPr>
          <w:rFonts w:hint="eastAsia" w:hAnsi="宋体"/>
          <w:color w:val="auto"/>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8"/>
        <w:snapToGrid w:val="0"/>
        <w:spacing w:line="360" w:lineRule="auto"/>
        <w:ind w:firstLine="420" w:firstLineChars="200"/>
        <w:rPr>
          <w:rFonts w:hAnsi="宋体"/>
          <w:color w:val="auto"/>
        </w:rPr>
      </w:pPr>
      <w:r>
        <w:rPr>
          <w:rFonts w:hint="eastAsia" w:hAnsi="宋体"/>
          <w:color w:val="auto"/>
        </w:rPr>
        <w:t>2</w:t>
      </w:r>
      <w:r>
        <w:rPr>
          <w:rFonts w:hAnsi="宋体"/>
          <w:color w:val="auto"/>
        </w:rPr>
        <w:t>8.4</w:t>
      </w:r>
      <w:r>
        <w:rPr>
          <w:rFonts w:hint="eastAsia" w:hAnsi="宋体"/>
          <w:color w:val="auto"/>
        </w:rPr>
        <w:t>评标过程的监控。本项目评标过程实行全程录音、录像监控，</w:t>
      </w:r>
      <w:r>
        <w:rPr>
          <w:rFonts w:hint="eastAsia" w:hAnsi="宋体"/>
          <w:b/>
          <w:bCs/>
          <w:color w:val="auto"/>
        </w:rPr>
        <w:t>投标人在评标过程中所进行的试图影响评标结果的不公正活动，可能导致其投标无效</w:t>
      </w:r>
      <w:r>
        <w:rPr>
          <w:rFonts w:hint="eastAsia" w:hAnsi="宋体"/>
          <w:color w:val="auto"/>
        </w:rPr>
        <w:t>。</w:t>
      </w:r>
    </w:p>
    <w:p>
      <w:pPr>
        <w:pStyle w:val="18"/>
        <w:snapToGrid w:val="0"/>
        <w:spacing w:line="360" w:lineRule="auto"/>
        <w:ind w:firstLine="420" w:firstLineChars="200"/>
        <w:rPr>
          <w:rFonts w:hAnsi="宋体"/>
          <w:color w:val="auto"/>
        </w:rPr>
      </w:pPr>
      <w:r>
        <w:rPr>
          <w:rFonts w:hint="eastAsia" w:hAnsi="宋体"/>
          <w:color w:val="auto"/>
        </w:rPr>
        <w:t>28.5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29.评标方法及评标标准</w:t>
      </w:r>
    </w:p>
    <w:p>
      <w:pPr>
        <w:pStyle w:val="18"/>
        <w:snapToGrid w:val="0"/>
        <w:spacing w:line="360" w:lineRule="auto"/>
        <w:ind w:firstLine="420" w:firstLineChars="200"/>
        <w:rPr>
          <w:rFonts w:hAnsi="宋体"/>
          <w:color w:val="auto"/>
        </w:rPr>
      </w:pPr>
      <w:r>
        <w:rPr>
          <w:rFonts w:hint="eastAsia" w:hAnsi="宋体"/>
          <w:color w:val="auto"/>
        </w:rPr>
        <w:t>2</w:t>
      </w:r>
      <w:r>
        <w:rPr>
          <w:rFonts w:hAnsi="宋体"/>
          <w:color w:val="auto"/>
        </w:rPr>
        <w:t>9.1</w:t>
      </w:r>
      <w:r>
        <w:rPr>
          <w:rFonts w:hint="eastAsia" w:hAnsi="宋体"/>
          <w:color w:val="auto"/>
        </w:rPr>
        <w:t>本项目的评标方法详见“投标人须知前附表”。</w:t>
      </w:r>
    </w:p>
    <w:p>
      <w:pPr>
        <w:pStyle w:val="18"/>
        <w:snapToGrid w:val="0"/>
        <w:spacing w:line="360" w:lineRule="auto"/>
        <w:ind w:firstLine="420" w:firstLineChars="200"/>
        <w:rPr>
          <w:rFonts w:hAnsi="宋体"/>
          <w:color w:val="auto"/>
        </w:rPr>
      </w:pPr>
      <w:r>
        <w:rPr>
          <w:rFonts w:hint="eastAsia" w:hAnsi="宋体"/>
          <w:color w:val="auto"/>
        </w:rPr>
        <w:t>2</w:t>
      </w:r>
      <w:r>
        <w:rPr>
          <w:rFonts w:hAnsi="宋体"/>
          <w:color w:val="auto"/>
        </w:rPr>
        <w:t>9.2</w:t>
      </w:r>
      <w:r>
        <w:rPr>
          <w:rFonts w:hAnsi="宋体" w:cs="宋体"/>
          <w:color w:val="auto"/>
        </w:rPr>
        <w:t xml:space="preserve"> </w:t>
      </w:r>
      <w:r>
        <w:rPr>
          <w:rFonts w:hAnsi="宋体"/>
          <w:color w:val="auto"/>
        </w:rPr>
        <w:t>评标委员会按照</w:t>
      </w:r>
      <w:r>
        <w:rPr>
          <w:rFonts w:hint="eastAsia" w:hAnsi="宋体" w:cs="宋体"/>
          <w:color w:val="auto"/>
        </w:rPr>
        <w:t>“第四章 评标方法和评标标准”</w:t>
      </w:r>
      <w:r>
        <w:rPr>
          <w:rFonts w:hAnsi="宋体"/>
          <w:color w:val="auto"/>
        </w:rPr>
        <w:t>规定的方法、评审因素、标准和程序对投标文件进行评审。</w:t>
      </w:r>
    </w:p>
    <w:p>
      <w:pPr>
        <w:pStyle w:val="18"/>
        <w:snapToGrid w:val="0"/>
        <w:spacing w:line="360" w:lineRule="auto"/>
        <w:ind w:firstLine="420" w:firstLineChars="200"/>
        <w:rPr>
          <w:rFonts w:hAnsi="宋体"/>
          <w:color w:val="auto"/>
        </w:rPr>
      </w:pPr>
      <w:r>
        <w:rPr>
          <w:rFonts w:hint="eastAsia" w:hAnsi="宋体"/>
          <w:color w:val="auto"/>
        </w:rPr>
        <w:t>29.3电子交易活动的中止。采购过程中出现以下情形，导致电子交易平台无法正常运行，或者无法保证电子交易的公平、公正和安全时，采购代理机构可中止电子交易活动：</w:t>
      </w:r>
    </w:p>
    <w:p>
      <w:pPr>
        <w:pStyle w:val="18"/>
        <w:snapToGrid w:val="0"/>
        <w:spacing w:line="360" w:lineRule="auto"/>
        <w:ind w:firstLine="420" w:firstLineChars="200"/>
        <w:rPr>
          <w:rFonts w:hAnsi="宋体"/>
          <w:color w:val="auto"/>
        </w:rPr>
      </w:pPr>
      <w:r>
        <w:rPr>
          <w:rFonts w:hint="eastAsia" w:hAnsi="宋体"/>
          <w:color w:val="auto"/>
        </w:rPr>
        <w:t xml:space="preserve">（1）电子交易平台发生故障而无法登录访问的； </w:t>
      </w:r>
    </w:p>
    <w:p>
      <w:pPr>
        <w:pStyle w:val="18"/>
        <w:snapToGrid w:val="0"/>
        <w:spacing w:line="360" w:lineRule="auto"/>
        <w:ind w:firstLine="420" w:firstLineChars="200"/>
        <w:rPr>
          <w:rFonts w:hAnsi="宋体"/>
          <w:color w:val="auto"/>
        </w:rPr>
      </w:pPr>
      <w:r>
        <w:rPr>
          <w:rFonts w:hint="eastAsia" w:hAnsi="宋体"/>
          <w:color w:val="auto"/>
        </w:rPr>
        <w:t>（2）电子交易平台应用或数据库出现错误，不能进行正常操作的；</w:t>
      </w:r>
    </w:p>
    <w:p>
      <w:pPr>
        <w:pStyle w:val="18"/>
        <w:snapToGrid w:val="0"/>
        <w:spacing w:line="360" w:lineRule="auto"/>
        <w:ind w:firstLine="420" w:firstLineChars="200"/>
        <w:rPr>
          <w:rFonts w:hAnsi="宋体"/>
          <w:color w:val="auto"/>
        </w:rPr>
      </w:pPr>
      <w:r>
        <w:rPr>
          <w:rFonts w:hint="eastAsia" w:hAnsi="宋体"/>
          <w:color w:val="auto"/>
        </w:rPr>
        <w:t>（3）电子交易平台发现严重安全漏洞，有潜在泄密危险的；</w:t>
      </w:r>
    </w:p>
    <w:p>
      <w:pPr>
        <w:pStyle w:val="18"/>
        <w:snapToGrid w:val="0"/>
        <w:spacing w:line="360" w:lineRule="auto"/>
        <w:ind w:firstLine="420" w:firstLineChars="200"/>
        <w:rPr>
          <w:rFonts w:hAnsi="宋体"/>
          <w:color w:val="auto"/>
        </w:rPr>
      </w:pPr>
      <w:r>
        <w:rPr>
          <w:rFonts w:hint="eastAsia" w:hAnsi="宋体"/>
          <w:color w:val="auto"/>
        </w:rPr>
        <w:t xml:space="preserve">（4）病毒发作导致不能进行正常操作的； </w:t>
      </w:r>
    </w:p>
    <w:p>
      <w:pPr>
        <w:pStyle w:val="18"/>
        <w:snapToGrid w:val="0"/>
        <w:spacing w:line="360" w:lineRule="auto"/>
        <w:ind w:firstLine="420" w:firstLineChars="200"/>
        <w:rPr>
          <w:rFonts w:hAnsi="宋体"/>
          <w:color w:val="auto"/>
        </w:rPr>
      </w:pPr>
      <w:r>
        <w:rPr>
          <w:rFonts w:hint="eastAsia" w:hAnsi="宋体"/>
          <w:color w:val="auto"/>
        </w:rPr>
        <w:t>（4）其他无法保证电子交易的公平、公正和安全的情况。</w:t>
      </w:r>
    </w:p>
    <w:p>
      <w:pPr>
        <w:pStyle w:val="18"/>
        <w:snapToGrid w:val="0"/>
        <w:spacing w:line="360" w:lineRule="auto"/>
        <w:ind w:firstLine="420" w:firstLineChars="200"/>
        <w:rPr>
          <w:rFonts w:hAnsi="宋体" w:cs="宋体"/>
          <w:color w:val="auto"/>
        </w:rPr>
      </w:pPr>
      <w:r>
        <w:rPr>
          <w:rFonts w:hint="eastAsia" w:hAnsi="宋体"/>
          <w:color w:val="auto"/>
        </w:rPr>
        <w:t>29.4出现以上情形，不影响采购公平、公正性的，采购代理机构可以待上述情形消除后继续组织电子交易活动；影响或可能影响采购公平、公正性的，经采购代理机构确认后，应当重新采购</w:t>
      </w:r>
      <w:r>
        <w:rPr>
          <w:rFonts w:hAnsi="宋体"/>
          <w:color w:val="auto"/>
        </w:rPr>
        <w:t>。</w:t>
      </w:r>
    </w:p>
    <w:p>
      <w:pPr>
        <w:pStyle w:val="18"/>
        <w:snapToGrid w:val="0"/>
        <w:spacing w:line="360" w:lineRule="auto"/>
        <w:rPr>
          <w:rFonts w:hAnsi="宋体"/>
          <w:color w:val="auto"/>
        </w:rPr>
      </w:pPr>
    </w:p>
    <w:p>
      <w:pPr>
        <w:pStyle w:val="2"/>
        <w:keepNext w:val="0"/>
        <w:keepLines w:val="0"/>
        <w:jc w:val="center"/>
        <w:rPr>
          <w:color w:val="auto"/>
        </w:rPr>
      </w:pPr>
      <w:bookmarkStart w:id="134" w:name="_Toc254970687"/>
      <w:bookmarkStart w:id="135" w:name="_Toc254970546"/>
      <w:r>
        <w:rPr>
          <w:rFonts w:hint="eastAsia"/>
          <w:color w:val="auto"/>
        </w:rPr>
        <w:t>七、</w:t>
      </w:r>
      <w:bookmarkEnd w:id="134"/>
      <w:bookmarkEnd w:id="135"/>
      <w:r>
        <w:rPr>
          <w:rFonts w:hint="eastAsia"/>
          <w:color w:val="auto"/>
        </w:rPr>
        <w:t>中标和合同</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30</w:t>
      </w:r>
      <w:r>
        <w:rPr>
          <w:rFonts w:ascii="黑体" w:hAnsi="黑体" w:eastAsia="黑体"/>
          <w:color w:val="auto"/>
          <w:sz w:val="24"/>
        </w:rPr>
        <w:t xml:space="preserve"> </w:t>
      </w:r>
      <w:r>
        <w:rPr>
          <w:rFonts w:hint="eastAsia" w:ascii="黑体" w:hAnsi="黑体" w:eastAsia="黑体"/>
          <w:color w:val="auto"/>
          <w:sz w:val="24"/>
        </w:rPr>
        <w:t>确定中标人</w:t>
      </w:r>
    </w:p>
    <w:p>
      <w:pPr>
        <w:pStyle w:val="6"/>
        <w:keepNext w:val="0"/>
        <w:keepLines w:val="0"/>
        <w:spacing w:before="0" w:after="0" w:line="360" w:lineRule="auto"/>
        <w:ind w:firstLine="420" w:firstLineChars="200"/>
        <w:rPr>
          <w:rFonts w:ascii="宋体" w:hAnsi="宋体"/>
          <w:b w:val="0"/>
          <w:color w:val="auto"/>
          <w:sz w:val="21"/>
          <w:szCs w:val="21"/>
        </w:rPr>
      </w:pPr>
      <w:r>
        <w:rPr>
          <w:rFonts w:ascii="宋体" w:hAnsi="宋体"/>
          <w:b w:val="0"/>
          <w:color w:val="auto"/>
          <w:sz w:val="21"/>
          <w:szCs w:val="21"/>
        </w:rPr>
        <w:t>30.1</w:t>
      </w:r>
      <w:r>
        <w:rPr>
          <w:rFonts w:hint="eastAsia" w:ascii="宋体" w:hAnsi="宋体"/>
          <w:b w:val="0"/>
          <w:color w:val="auto"/>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color w:val="auto"/>
          <w:szCs w:val="21"/>
        </w:rPr>
      </w:pPr>
      <w:r>
        <w:rPr>
          <w:rFonts w:ascii="宋体" w:hAnsi="宋体" w:cs="Courier New"/>
          <w:color w:val="auto"/>
          <w:szCs w:val="21"/>
        </w:rPr>
        <w:t>30.2</w:t>
      </w:r>
      <w:r>
        <w:rPr>
          <w:rFonts w:hint="eastAsia" w:ascii="宋体" w:hAnsi="宋体" w:cs="Courier New"/>
          <w:color w:val="auto"/>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s="Courier New"/>
          <w:color w:val="auto"/>
          <w:szCs w:val="21"/>
        </w:rPr>
      </w:pPr>
      <w:r>
        <w:rPr>
          <w:rFonts w:ascii="宋体" w:hAnsi="宋体" w:cs="Courier New"/>
          <w:color w:val="auto"/>
          <w:szCs w:val="21"/>
        </w:rPr>
        <w:t>30.3</w:t>
      </w:r>
      <w:r>
        <w:rPr>
          <w:rFonts w:hint="eastAsia" w:ascii="宋体" w:hAnsi="宋体" w:cs="Courier New"/>
          <w:color w:val="auto"/>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ascii="宋体" w:hAnsi="宋体" w:cs="Courier New"/>
          <w:color w:val="auto"/>
          <w:szCs w:val="21"/>
        </w:rPr>
      </w:pPr>
      <w:r>
        <w:rPr>
          <w:rFonts w:ascii="宋体" w:hAnsi="宋体" w:cs="Courier New"/>
          <w:color w:val="auto"/>
          <w:szCs w:val="21"/>
        </w:rPr>
        <w:t>30.4</w:t>
      </w:r>
      <w:r>
        <w:rPr>
          <w:rFonts w:hint="eastAsia" w:ascii="宋体" w:hAnsi="宋体" w:cs="Courier New"/>
          <w:color w:val="auto"/>
          <w:szCs w:val="21"/>
        </w:rPr>
        <w:t>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31. 结果公告</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1.1</w:t>
      </w:r>
      <w:r>
        <w:rPr>
          <w:rFonts w:hint="eastAsia" w:ascii="宋体" w:hAnsi="宋体"/>
          <w:b w:val="0"/>
          <w:color w:val="auto"/>
          <w:sz w:val="21"/>
          <w:szCs w:val="21"/>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rPr>
        <w:t>排名第二的中标候选人因前款规定的同样原因被取消中标资格的，采购人可以确定排名第三的中标候选人为中标人，以此类推。以上信息查询记录及相关证据与采购文件一并保存。</w:t>
      </w:r>
    </w:p>
    <w:p>
      <w:pPr>
        <w:snapToGrid w:val="0"/>
        <w:spacing w:line="360" w:lineRule="auto"/>
        <w:ind w:firstLine="420" w:firstLineChars="200"/>
        <w:rPr>
          <w:rFonts w:ascii="宋体" w:hAnsi="宋体" w:cs="Courier New"/>
          <w:color w:val="auto"/>
          <w:szCs w:val="21"/>
        </w:rPr>
      </w:pPr>
      <w:r>
        <w:rPr>
          <w:rFonts w:hint="eastAsia" w:ascii="宋体" w:hAnsi="宋体"/>
          <w:color w:val="auto"/>
          <w:szCs w:val="21"/>
        </w:rPr>
        <w:t>31.2中标供应商享受《政府采购促进中小企业发展管理办法》（财库〔2020〕46号）规定的中小企业扶持政策的，采购人、采购代理机构应当随中标结果公开中标供应商的《中小企业声明函》</w:t>
      </w:r>
      <w:r>
        <w:rPr>
          <w:rFonts w:hint="eastAsia" w:ascii="宋体" w:hAnsi="宋体" w:cs="Courier New"/>
          <w:color w:val="auto"/>
          <w:szCs w:val="21"/>
        </w:rPr>
        <w:t>。</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32.发出中标通知书</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33. 无义务解释未中标原因</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采购代理机构无义务向未中标的投标人解释未中标原因和退还投标文件。</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34.合同授予标准</w:t>
      </w:r>
    </w:p>
    <w:p>
      <w:pPr>
        <w:snapToGrid w:val="0"/>
        <w:spacing w:line="360" w:lineRule="auto"/>
        <w:ind w:firstLine="420" w:firstLineChars="200"/>
        <w:rPr>
          <w:rFonts w:ascii="宋体" w:hAnsi="宋体"/>
          <w:color w:val="auto"/>
          <w:szCs w:val="21"/>
        </w:rPr>
      </w:pPr>
      <w:r>
        <w:rPr>
          <w:rFonts w:hint="eastAsia" w:ascii="宋体" w:hAnsi="宋体" w:cs="Courier New"/>
          <w:color w:val="auto"/>
          <w:szCs w:val="21"/>
        </w:rPr>
        <w:t>合同将授予被确定实质上响应招标文件要求，具备履行合同能力的中标人（招标文件另有约定多名中标人的除外）。</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35.履约保证金</w:t>
      </w:r>
    </w:p>
    <w:p>
      <w:pPr>
        <w:pStyle w:val="6"/>
        <w:keepNext w:val="0"/>
        <w:keepLines w:val="0"/>
        <w:spacing w:before="0" w:after="0" w:line="360" w:lineRule="auto"/>
        <w:ind w:firstLine="315" w:firstLineChars="150"/>
        <w:rPr>
          <w:rFonts w:ascii="宋体" w:hAnsi="宋体"/>
          <w:b w:val="0"/>
          <w:color w:val="auto"/>
          <w:sz w:val="21"/>
          <w:szCs w:val="21"/>
        </w:rPr>
      </w:pPr>
      <w:bookmarkStart w:id="136" w:name="_39.1中标人须于签订合同前按本须知前附表规定的金额转账或电汇到指定账"/>
      <w:bookmarkEnd w:id="136"/>
      <w:r>
        <w:rPr>
          <w:rFonts w:ascii="宋体" w:hAnsi="宋体"/>
          <w:b w:val="0"/>
          <w:color w:val="auto"/>
          <w:sz w:val="21"/>
          <w:szCs w:val="21"/>
        </w:rPr>
        <w:t xml:space="preserve"> </w:t>
      </w: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6"/>
        <w:keepNext w:val="0"/>
        <w:keepLines w:val="0"/>
        <w:spacing w:before="0" w:after="0" w:line="360" w:lineRule="auto"/>
        <w:ind w:firstLine="315" w:firstLineChars="150"/>
        <w:rPr>
          <w:rFonts w:ascii="宋体" w:hAnsi="宋体"/>
          <w:b w:val="0"/>
          <w:color w:val="auto"/>
          <w:sz w:val="21"/>
          <w:szCs w:val="21"/>
        </w:rPr>
      </w:pPr>
      <w:r>
        <w:rPr>
          <w:rFonts w:ascii="宋体" w:hAnsi="宋体"/>
          <w:b w:val="0"/>
          <w:color w:val="auto"/>
          <w:sz w:val="21"/>
          <w:szCs w:val="21"/>
        </w:rPr>
        <w:t xml:space="preserve"> </w:t>
      </w: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.2签订合同后，如中标人不按双方签订的合同规定履约，则没收其全部履约保证金，履约保证金不足以赔偿损失的，按实际损失赔偿。</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5</w:t>
      </w:r>
      <w:r>
        <w:rPr>
          <w:rFonts w:hint="eastAsia" w:ascii="宋体" w:hAnsi="宋体"/>
          <w:b w:val="0"/>
          <w:color w:val="auto"/>
          <w:sz w:val="21"/>
          <w:szCs w:val="21"/>
        </w:rPr>
        <w:t>.3在履约保证金退还日期前，若中标人的开户名称、开户银行、帐号有变动的，请以书面形式通知履约保证金收取单位，否则由此产生的后果由中标人自行承担。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36.签订合同</w:t>
      </w:r>
    </w:p>
    <w:p>
      <w:pPr>
        <w:pStyle w:val="6"/>
        <w:keepNext w:val="0"/>
        <w:keepLines w:val="0"/>
        <w:spacing w:before="0" w:after="0" w:line="360" w:lineRule="auto"/>
        <w:ind w:firstLine="315" w:firstLineChars="150"/>
        <w:rPr>
          <w:rFonts w:ascii="宋体" w:hAnsi="宋体"/>
          <w:b w:val="0"/>
          <w:color w:val="auto"/>
          <w:sz w:val="21"/>
          <w:szCs w:val="21"/>
        </w:rPr>
      </w:pPr>
      <w:bookmarkStart w:id="137" w:name="_40.1投标人接到中标通知书后，按须知前附表规定向采购人出示相关资格证"/>
      <w:bookmarkEnd w:id="137"/>
      <w:r>
        <w:rPr>
          <w:rFonts w:hint="eastAsia" w:ascii="宋体" w:hAnsi="宋体"/>
          <w:b w:val="0"/>
          <w:color w:val="auto"/>
          <w:sz w:val="21"/>
          <w:szCs w:val="21"/>
        </w:rPr>
        <w:t xml:space="preserve"> 36.1投标人领取中标通知书（书面或电子）后，按“投标人须知前附表”规定向采购人出示相关证明材料，经采购人核验合格后方可签订采购合同（书面或电子）。如中标人为联合体的，</w:t>
      </w:r>
      <w:r>
        <w:rPr>
          <w:rFonts w:ascii="宋体" w:hAnsi="宋体"/>
          <w:b w:val="0"/>
          <w:color w:val="auto"/>
          <w:sz w:val="21"/>
          <w:szCs w:val="21"/>
        </w:rPr>
        <w:t>联合体各方应当共同与采购人签订采购合同，就采购合同约定的事项对采购人承担连带责任。</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36.2签订合同时间：按中标通知书规定的时间与采购人签订合同（最长不能超过25日）。</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36.</w:t>
      </w:r>
      <w:r>
        <w:rPr>
          <w:rFonts w:ascii="宋体" w:hAnsi="宋体"/>
          <w:b w:val="0"/>
          <w:color w:val="auto"/>
          <w:sz w:val="21"/>
          <w:szCs w:val="21"/>
        </w:rPr>
        <w:t>3</w:t>
      </w:r>
      <w:r>
        <w:rPr>
          <w:rFonts w:hint="eastAsia" w:ascii="宋体" w:hAnsi="宋体"/>
          <w:b w:val="0"/>
          <w:color w:val="auto"/>
          <w:sz w:val="21"/>
          <w:szCs w:val="21"/>
        </w:rPr>
        <w:t>中标人拒绝与采购人签订合同的，按照本须知正文第3</w:t>
      </w:r>
      <w:r>
        <w:rPr>
          <w:rFonts w:ascii="宋体" w:hAnsi="宋体"/>
          <w:b w:val="0"/>
          <w:color w:val="auto"/>
          <w:sz w:val="21"/>
          <w:szCs w:val="21"/>
        </w:rPr>
        <w:t>0.4条</w:t>
      </w:r>
      <w:r>
        <w:rPr>
          <w:rFonts w:hint="eastAsia" w:ascii="宋体" w:hAnsi="宋体"/>
          <w:b w:val="0"/>
          <w:color w:val="auto"/>
          <w:sz w:val="21"/>
          <w:szCs w:val="21"/>
        </w:rPr>
        <w:t>的规定执行。</w:t>
      </w:r>
    </w:p>
    <w:p>
      <w:pPr>
        <w:pStyle w:val="6"/>
        <w:keepNext w:val="0"/>
        <w:keepLines w:val="0"/>
        <w:spacing w:before="0" w:after="0" w:line="360" w:lineRule="auto"/>
        <w:ind w:left="420" w:leftChars="200"/>
        <w:rPr>
          <w:rFonts w:ascii="黑体" w:hAnsi="黑体" w:eastAsia="黑体"/>
          <w:color w:val="auto"/>
          <w:sz w:val="24"/>
        </w:rPr>
      </w:pPr>
      <w:bookmarkStart w:id="138" w:name="_41.政府采购合同公告"/>
      <w:bookmarkEnd w:id="138"/>
      <w:r>
        <w:rPr>
          <w:rFonts w:hint="eastAsia" w:ascii="黑体" w:hAnsi="黑体" w:eastAsia="黑体"/>
          <w:color w:val="auto"/>
          <w:sz w:val="24"/>
        </w:rPr>
        <w:t>37.政府采购合同公告</w:t>
      </w:r>
    </w:p>
    <w:p>
      <w:pPr>
        <w:pStyle w:val="18"/>
        <w:snapToGrid w:val="0"/>
        <w:spacing w:line="360" w:lineRule="auto"/>
        <w:ind w:firstLine="420" w:firstLineChars="200"/>
        <w:rPr>
          <w:rFonts w:hAnsi="宋体"/>
          <w:color w:val="auto"/>
        </w:rPr>
      </w:pPr>
      <w:r>
        <w:rPr>
          <w:rFonts w:hint="eastAsia" w:hAnsi="宋体"/>
          <w:color w:val="auto"/>
        </w:rPr>
        <w:t>采购人或者受托采购代理机构应当自政府采购合同签订之日起2个工作日内，将政府采购合同在省级以上人民政府财政部门指定的媒体上公告，</w:t>
      </w:r>
      <w:r>
        <w:rPr>
          <w:rFonts w:hAnsi="宋体"/>
          <w:color w:val="auto"/>
        </w:rPr>
        <w:t>但政府采购合同中涉及国家秘密、商业秘密的内容除外。</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3</w:t>
      </w:r>
      <w:r>
        <w:rPr>
          <w:rFonts w:ascii="黑体" w:hAnsi="黑体" w:eastAsia="黑体"/>
          <w:color w:val="auto"/>
          <w:sz w:val="24"/>
        </w:rPr>
        <w:t>8.</w:t>
      </w:r>
      <w:r>
        <w:rPr>
          <w:rFonts w:hint="eastAsia" w:ascii="黑体" w:hAnsi="黑体" w:eastAsia="黑体"/>
          <w:color w:val="auto"/>
          <w:sz w:val="24"/>
        </w:rPr>
        <w:t xml:space="preserve"> 询问、质疑和投诉</w:t>
      </w:r>
    </w:p>
    <w:p>
      <w:pPr>
        <w:pStyle w:val="7"/>
        <w:spacing w:line="360" w:lineRule="auto"/>
        <w:rPr>
          <w:rFonts w:ascii="宋体" w:hAnsi="宋体"/>
          <w:color w:val="auto"/>
          <w:szCs w:val="21"/>
        </w:rPr>
      </w:pPr>
      <w:r>
        <w:rPr>
          <w:rFonts w:ascii="宋体" w:hAnsi="宋体"/>
          <w:color w:val="auto"/>
          <w:szCs w:val="21"/>
        </w:rPr>
        <w:t>38.1</w:t>
      </w:r>
      <w:r>
        <w:rPr>
          <w:rFonts w:hint="eastAsia" w:ascii="宋体" w:hAnsi="宋体"/>
          <w:color w:val="auto"/>
          <w:szCs w:val="21"/>
        </w:rPr>
        <w:t>供应商对政府采购活动事项有疑问的，可以向采购人提出询问，采购人应当及时作出答复，但答复的内容不得涉及商业秘密。</w:t>
      </w:r>
    </w:p>
    <w:p>
      <w:pPr>
        <w:pStyle w:val="6"/>
        <w:keepNext w:val="0"/>
        <w:keepLines w:val="0"/>
        <w:spacing w:before="0" w:after="0" w:line="360" w:lineRule="auto"/>
        <w:ind w:firstLine="315" w:firstLineChars="150"/>
        <w:rPr>
          <w:rFonts w:ascii="宋体" w:hAnsi="宋体"/>
          <w:b w:val="0"/>
          <w:color w:val="auto"/>
          <w:sz w:val="21"/>
          <w:szCs w:val="21"/>
        </w:rPr>
      </w:pPr>
      <w:r>
        <w:rPr>
          <w:rFonts w:hint="eastAsia" w:ascii="宋体" w:hAnsi="宋体"/>
          <w:b w:val="0"/>
          <w:color w:val="auto"/>
          <w:sz w:val="21"/>
          <w:szCs w:val="21"/>
        </w:rPr>
        <w:t xml:space="preserve"> </w:t>
      </w:r>
      <w:r>
        <w:rPr>
          <w:rFonts w:ascii="宋体" w:hAnsi="宋体"/>
          <w:b w:val="0"/>
          <w:color w:val="auto"/>
          <w:sz w:val="21"/>
          <w:szCs w:val="21"/>
        </w:rPr>
        <w:t>38</w:t>
      </w:r>
      <w:r>
        <w:rPr>
          <w:rFonts w:hint="eastAsia" w:ascii="宋体" w:hAnsi="宋体"/>
          <w:b w:val="0"/>
          <w:color w:val="auto"/>
          <w:sz w:val="21"/>
          <w:szCs w:val="21"/>
        </w:rPr>
        <w:t>.</w:t>
      </w:r>
      <w:r>
        <w:rPr>
          <w:rFonts w:ascii="宋体" w:hAnsi="宋体"/>
          <w:b w:val="0"/>
          <w:color w:val="auto"/>
          <w:sz w:val="21"/>
          <w:szCs w:val="21"/>
        </w:rPr>
        <w:t>2</w:t>
      </w:r>
      <w:r>
        <w:rPr>
          <w:rFonts w:hint="eastAsia" w:ascii="宋体" w:hAnsi="宋体"/>
          <w:b w:val="0"/>
          <w:color w:val="auto"/>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8"/>
        <w:snapToGrid w:val="0"/>
        <w:spacing w:line="360" w:lineRule="auto"/>
        <w:ind w:firstLine="420" w:firstLineChars="200"/>
        <w:rPr>
          <w:rFonts w:hAnsi="宋体"/>
          <w:color w:val="auto"/>
        </w:rPr>
      </w:pPr>
      <w:r>
        <w:rPr>
          <w:rFonts w:hAnsi="宋体"/>
          <w:color w:val="auto"/>
        </w:rPr>
        <w:t>（</w:t>
      </w:r>
      <w:r>
        <w:rPr>
          <w:rFonts w:hint="eastAsia" w:hAnsi="宋体"/>
          <w:color w:val="auto"/>
        </w:rPr>
        <w:t>1</w:t>
      </w:r>
      <w:r>
        <w:rPr>
          <w:rFonts w:hAnsi="宋体"/>
          <w:color w:val="auto"/>
        </w:rPr>
        <w:t>）对可以质疑的</w:t>
      </w:r>
      <w:r>
        <w:rPr>
          <w:rFonts w:hint="eastAsia" w:hAnsi="宋体"/>
          <w:color w:val="auto"/>
        </w:rPr>
        <w:t>招标</w:t>
      </w:r>
      <w:r>
        <w:rPr>
          <w:rFonts w:hAnsi="宋体"/>
          <w:color w:val="auto"/>
        </w:rPr>
        <w:t>文件提出质疑的，为收到</w:t>
      </w:r>
      <w:r>
        <w:rPr>
          <w:rFonts w:hint="eastAsia" w:hAnsi="宋体"/>
          <w:color w:val="auto"/>
        </w:rPr>
        <w:t>招标</w:t>
      </w:r>
      <w:r>
        <w:rPr>
          <w:rFonts w:hAnsi="宋体"/>
          <w:color w:val="auto"/>
        </w:rPr>
        <w:t>文件之日</w:t>
      </w:r>
      <w:r>
        <w:rPr>
          <w:rFonts w:hint="eastAsia" w:hAnsi="宋体"/>
          <w:color w:val="auto"/>
        </w:rPr>
        <w:t>或者招标文件公告期限届满之日</w:t>
      </w:r>
      <w:r>
        <w:rPr>
          <w:rFonts w:hAnsi="宋体"/>
          <w:color w:val="auto"/>
        </w:rPr>
        <w:t>；</w:t>
      </w:r>
    </w:p>
    <w:p>
      <w:pPr>
        <w:pStyle w:val="18"/>
        <w:snapToGrid w:val="0"/>
        <w:spacing w:line="360" w:lineRule="auto"/>
        <w:ind w:firstLine="420" w:firstLineChars="200"/>
        <w:rPr>
          <w:rFonts w:hAnsi="宋体"/>
          <w:color w:val="auto"/>
        </w:rPr>
      </w:pPr>
      <w:r>
        <w:rPr>
          <w:rFonts w:hAnsi="宋体"/>
          <w:color w:val="auto"/>
        </w:rPr>
        <w:t>（</w:t>
      </w:r>
      <w:r>
        <w:rPr>
          <w:rFonts w:hint="eastAsia" w:hAnsi="宋体"/>
          <w:color w:val="auto"/>
        </w:rPr>
        <w:t>2</w:t>
      </w:r>
      <w:r>
        <w:rPr>
          <w:rFonts w:hAnsi="宋体"/>
          <w:color w:val="auto"/>
        </w:rPr>
        <w:t>）对</w:t>
      </w:r>
      <w:r>
        <w:rPr>
          <w:rFonts w:hint="eastAsia" w:hAnsi="宋体"/>
          <w:color w:val="auto"/>
        </w:rPr>
        <w:t>采购</w:t>
      </w:r>
      <w:r>
        <w:rPr>
          <w:rFonts w:hAnsi="宋体"/>
          <w:color w:val="auto"/>
        </w:rPr>
        <w:t>过程提出质疑的，为各采购程序环节结束之日；</w:t>
      </w:r>
    </w:p>
    <w:p>
      <w:pPr>
        <w:pStyle w:val="18"/>
        <w:snapToGrid w:val="0"/>
        <w:spacing w:line="360" w:lineRule="auto"/>
        <w:ind w:firstLine="420" w:firstLineChars="200"/>
        <w:rPr>
          <w:rFonts w:hAnsi="宋体"/>
          <w:bCs/>
          <w:color w:val="auto"/>
        </w:rPr>
      </w:pPr>
      <w:r>
        <w:rPr>
          <w:rFonts w:hAnsi="宋体"/>
          <w:color w:val="auto"/>
        </w:rPr>
        <w:t>（</w:t>
      </w:r>
      <w:r>
        <w:rPr>
          <w:rFonts w:hint="eastAsia" w:hAnsi="宋体"/>
          <w:color w:val="auto"/>
        </w:rPr>
        <w:t>3</w:t>
      </w:r>
      <w:r>
        <w:rPr>
          <w:rFonts w:hAnsi="宋体"/>
          <w:color w:val="auto"/>
        </w:rPr>
        <w:t>）对中标结果提出质疑的，为中标结果公告期限届满之日。</w:t>
      </w:r>
    </w:p>
    <w:p>
      <w:pPr>
        <w:pStyle w:val="18"/>
        <w:snapToGrid w:val="0"/>
        <w:spacing w:line="360" w:lineRule="auto"/>
        <w:ind w:firstLine="420" w:firstLineChars="200"/>
        <w:rPr>
          <w:rFonts w:hAnsi="宋体"/>
          <w:bCs/>
          <w:color w:val="auto"/>
        </w:rPr>
      </w:pPr>
      <w:r>
        <w:rPr>
          <w:rFonts w:hint="eastAsia" w:hAnsi="宋体"/>
          <w:color w:val="auto"/>
        </w:rPr>
        <w:t>供应商对采购人、采购代理机构的质疑答复不满意，或者采购人、采购代理机构未在规定时间内作出答复的，可以在答复期满后十五个工作日内向同级政府采购监管部门投诉。</w:t>
      </w:r>
    </w:p>
    <w:p>
      <w:pPr>
        <w:pStyle w:val="6"/>
        <w:keepNext w:val="0"/>
        <w:keepLines w:val="0"/>
        <w:spacing w:before="0" w:after="0" w:line="360" w:lineRule="auto"/>
        <w:ind w:firstLine="315" w:firstLineChars="150"/>
        <w:rPr>
          <w:rFonts w:ascii="宋体" w:hAnsi="宋体"/>
          <w:b w:val="0"/>
          <w:color w:val="auto"/>
          <w:sz w:val="21"/>
          <w:szCs w:val="21"/>
        </w:rPr>
      </w:pPr>
      <w:bookmarkStart w:id="139" w:name="_9.2质疑、投诉应当采用书面形式，质疑函、投诉书均应明确阐述招标文件、"/>
      <w:bookmarkEnd w:id="139"/>
      <w:r>
        <w:rPr>
          <w:rFonts w:hint="eastAsia" w:ascii="宋体" w:hAnsi="宋体"/>
          <w:b w:val="0"/>
          <w:color w:val="auto"/>
          <w:sz w:val="21"/>
          <w:szCs w:val="21"/>
        </w:rPr>
        <w:t xml:space="preserve"> </w:t>
      </w:r>
      <w:r>
        <w:rPr>
          <w:rFonts w:ascii="宋体" w:hAnsi="宋体"/>
          <w:b w:val="0"/>
          <w:color w:val="auto"/>
          <w:sz w:val="21"/>
          <w:szCs w:val="21"/>
        </w:rPr>
        <w:t>38</w:t>
      </w:r>
      <w:r>
        <w:rPr>
          <w:rFonts w:hint="eastAsia" w:ascii="宋体" w:hAnsi="宋体"/>
          <w:b w:val="0"/>
          <w:color w:val="auto"/>
          <w:sz w:val="21"/>
          <w:szCs w:val="21"/>
        </w:rPr>
        <w:t>.</w:t>
      </w:r>
      <w:r>
        <w:rPr>
          <w:rFonts w:ascii="宋体" w:hAnsi="宋体"/>
          <w:b w:val="0"/>
          <w:color w:val="auto"/>
          <w:sz w:val="21"/>
          <w:szCs w:val="21"/>
        </w:rPr>
        <w:t>3</w:t>
      </w:r>
      <w:r>
        <w:rPr>
          <w:rFonts w:hint="eastAsia" w:ascii="宋体" w:hAnsi="宋体"/>
          <w:b w:val="0"/>
          <w:color w:val="auto"/>
          <w:sz w:val="21"/>
          <w:szCs w:val="21"/>
        </w:rPr>
        <w:t xml:space="preserve"> </w:t>
      </w:r>
      <w:r>
        <w:rPr>
          <w:rFonts w:hAnsi="宋体"/>
          <w:color w:val="auto"/>
          <w:sz w:val="21"/>
        </w:rPr>
        <w:t>供应商提出质疑应当提交质疑函和必要的证明材料</w:t>
      </w:r>
      <w:r>
        <w:rPr>
          <w:rFonts w:hint="eastAsia" w:hAnsi="宋体"/>
          <w:color w:val="auto"/>
          <w:sz w:val="21"/>
        </w:rPr>
        <w:t>，</w:t>
      </w:r>
      <w:r>
        <w:rPr>
          <w:rFonts w:hAnsi="宋体"/>
          <w:color w:val="auto"/>
          <w:sz w:val="21"/>
        </w:rPr>
        <w:t>针对同一采购程序环节的质疑</w:t>
      </w:r>
      <w:r>
        <w:rPr>
          <w:rFonts w:hint="eastAsia" w:hAnsi="宋体"/>
          <w:color w:val="auto"/>
          <w:sz w:val="21"/>
        </w:rPr>
        <w:t>必须</w:t>
      </w:r>
      <w:r>
        <w:rPr>
          <w:rFonts w:hAnsi="宋体"/>
          <w:color w:val="auto"/>
          <w:sz w:val="21"/>
        </w:rPr>
        <w:t>在法定质疑期内一次性提出。质疑函应当包括下列内容</w:t>
      </w:r>
      <w:r>
        <w:rPr>
          <w:rFonts w:hint="eastAsia" w:hAnsi="宋体"/>
          <w:color w:val="auto"/>
          <w:sz w:val="21"/>
        </w:rPr>
        <w:t>（质疑函格式后附）</w:t>
      </w:r>
      <w:r>
        <w:rPr>
          <w:rFonts w:hAnsi="宋体"/>
          <w:color w:val="auto"/>
          <w:sz w:val="21"/>
        </w:rPr>
        <w:t>：</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1</w:t>
      </w:r>
      <w:r>
        <w:rPr>
          <w:rFonts w:hAnsi="宋体"/>
          <w:bCs/>
          <w:color w:val="auto"/>
        </w:rPr>
        <w:t>）供应商的姓名或者名称、地址、邮编、联系人及联系电话；</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2</w:t>
      </w:r>
      <w:r>
        <w:rPr>
          <w:rFonts w:hAnsi="宋体"/>
          <w:bCs/>
          <w:color w:val="auto"/>
        </w:rPr>
        <w:t>）质疑项目的名称、编号；</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3</w:t>
      </w:r>
      <w:r>
        <w:rPr>
          <w:rFonts w:hAnsi="宋体"/>
          <w:bCs/>
          <w:color w:val="auto"/>
        </w:rPr>
        <w:t>）具体、明确的质疑事项和与质疑事项相关的请求；</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4</w:t>
      </w:r>
      <w:r>
        <w:rPr>
          <w:rFonts w:hAnsi="宋体"/>
          <w:bCs/>
          <w:color w:val="auto"/>
        </w:rPr>
        <w:t>）事实依据；</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5</w:t>
      </w:r>
      <w:r>
        <w:rPr>
          <w:rFonts w:hAnsi="宋体"/>
          <w:bCs/>
          <w:color w:val="auto"/>
        </w:rPr>
        <w:t>）必要的法律依据；</w:t>
      </w:r>
    </w:p>
    <w:p>
      <w:pPr>
        <w:pStyle w:val="18"/>
        <w:snapToGrid w:val="0"/>
        <w:spacing w:line="360" w:lineRule="auto"/>
        <w:ind w:firstLine="420" w:firstLineChars="200"/>
        <w:rPr>
          <w:rFonts w:hAnsi="宋体"/>
          <w:bCs/>
          <w:color w:val="auto"/>
        </w:rPr>
      </w:pPr>
      <w:r>
        <w:rPr>
          <w:rFonts w:hAnsi="宋体"/>
          <w:bCs/>
          <w:color w:val="auto"/>
        </w:rPr>
        <w:t>（</w:t>
      </w:r>
      <w:r>
        <w:rPr>
          <w:rFonts w:hint="eastAsia" w:hAnsi="宋体"/>
          <w:bCs/>
          <w:color w:val="auto"/>
        </w:rPr>
        <w:t>6</w:t>
      </w:r>
      <w:r>
        <w:rPr>
          <w:rFonts w:hAnsi="宋体"/>
          <w:bCs/>
          <w:color w:val="auto"/>
        </w:rPr>
        <w:t>）提出质疑的日期。</w:t>
      </w:r>
    </w:p>
    <w:p>
      <w:pPr>
        <w:pStyle w:val="18"/>
        <w:snapToGrid w:val="0"/>
        <w:spacing w:line="360" w:lineRule="auto"/>
        <w:ind w:firstLine="420" w:firstLineChars="200"/>
        <w:rPr>
          <w:rFonts w:hAnsi="宋体"/>
          <w:bCs/>
          <w:color w:val="auto"/>
        </w:rPr>
      </w:pPr>
      <w:r>
        <w:rPr>
          <w:rFonts w:hAnsi="宋体"/>
          <w:bCs/>
          <w:color w:val="auto"/>
        </w:rPr>
        <w:t>供应商为自然人的，应当由本人签字；供应商为法人或者其他组织的，应当由法定代表人、主要负责人，或者其委托代理人签字或者盖章，并加盖公章</w:t>
      </w:r>
      <w:r>
        <w:rPr>
          <w:rFonts w:hint="eastAsia" w:hAnsi="宋体"/>
          <w:bCs/>
          <w:color w:val="auto"/>
        </w:rPr>
        <w:t>。</w:t>
      </w:r>
    </w:p>
    <w:p>
      <w:pPr>
        <w:pStyle w:val="6"/>
        <w:keepNext w:val="0"/>
        <w:keepLines w:val="0"/>
        <w:snapToGrid w:val="0"/>
        <w:spacing w:before="0" w:after="0" w:line="360" w:lineRule="auto"/>
        <w:ind w:firstLine="422" w:firstLineChars="200"/>
        <w:rPr>
          <w:rFonts w:ascii="宋体" w:hAnsi="宋体"/>
          <w:color w:val="auto"/>
          <w:sz w:val="21"/>
          <w:szCs w:val="21"/>
        </w:rPr>
      </w:pPr>
      <w:r>
        <w:rPr>
          <w:rFonts w:ascii="宋体" w:hAnsi="宋体"/>
          <w:color w:val="auto"/>
          <w:sz w:val="21"/>
          <w:szCs w:val="21"/>
        </w:rPr>
        <w:t>38.4</w:t>
      </w:r>
      <w:r>
        <w:rPr>
          <w:rFonts w:hint="eastAsia" w:ascii="宋体" w:hAnsi="宋体"/>
          <w:color w:val="auto"/>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18"/>
        <w:snapToGrid w:val="0"/>
        <w:spacing w:line="360" w:lineRule="auto"/>
        <w:ind w:firstLine="420" w:firstLineChars="200"/>
        <w:rPr>
          <w:rFonts w:hAnsi="宋体"/>
          <w:bCs/>
          <w:color w:val="auto"/>
        </w:rPr>
      </w:pPr>
      <w:r>
        <w:rPr>
          <w:rFonts w:hint="eastAsia" w:hAnsi="宋体"/>
          <w:bCs/>
          <w:color w:val="auto"/>
        </w:rPr>
        <w:t>（一）对招标文件提出的质疑，依法通过澄清或者修改可以继续开展采购活动的，澄清或者修改招标文件后继续开展采购活动；否则应当修改招标文件后重新开展采购活动。</w:t>
      </w:r>
    </w:p>
    <w:p>
      <w:pPr>
        <w:pStyle w:val="18"/>
        <w:snapToGrid w:val="0"/>
        <w:spacing w:line="360" w:lineRule="auto"/>
        <w:ind w:firstLine="420" w:firstLineChars="200"/>
        <w:rPr>
          <w:rFonts w:hAnsi="宋体"/>
          <w:bCs/>
          <w:color w:val="auto"/>
        </w:rPr>
      </w:pPr>
      <w:r>
        <w:rPr>
          <w:rFonts w:hint="eastAsia" w:hAnsi="宋体"/>
          <w:bCs/>
          <w:color w:val="auto"/>
        </w:rPr>
        <w:t>（二）对采购过程、中标结果提出的质疑，合格供应商符合法定数量时，可以从合格的中标候选人中另行确定中标供应商的，应当依法另行确定中标供应商；否则应当重新开展采购活动。</w:t>
      </w:r>
    </w:p>
    <w:p>
      <w:pPr>
        <w:pStyle w:val="18"/>
        <w:snapToGrid w:val="0"/>
        <w:spacing w:line="360" w:lineRule="auto"/>
        <w:ind w:firstLine="420"/>
        <w:rPr>
          <w:rFonts w:hAnsi="宋体"/>
          <w:bCs/>
          <w:color w:val="auto"/>
        </w:rPr>
      </w:pPr>
      <w:r>
        <w:rPr>
          <w:rFonts w:hint="eastAsia" w:hAnsi="宋体"/>
          <w:bCs/>
          <w:color w:val="auto"/>
        </w:rPr>
        <w:t>质疑答复导致中标结果改变的，采购人或者采购代理机构应当将有关情况书面报告本级财政部门。</w:t>
      </w:r>
    </w:p>
    <w:p>
      <w:pPr>
        <w:pStyle w:val="18"/>
        <w:snapToGrid w:val="0"/>
        <w:spacing w:line="360" w:lineRule="auto"/>
        <w:ind w:firstLine="420" w:firstLineChars="200"/>
        <w:rPr>
          <w:rFonts w:hAnsi="宋体"/>
          <w:color w:val="auto"/>
        </w:rPr>
      </w:pPr>
      <w:r>
        <w:rPr>
          <w:rFonts w:hAnsi="宋体"/>
          <w:color w:val="auto"/>
        </w:rPr>
        <w:t>38</w:t>
      </w:r>
      <w:r>
        <w:rPr>
          <w:rFonts w:hint="eastAsia" w:hAnsi="宋体"/>
          <w:color w:val="auto"/>
        </w:rPr>
        <w:t>.</w:t>
      </w:r>
      <w:r>
        <w:rPr>
          <w:rFonts w:hAnsi="宋体"/>
          <w:color w:val="auto"/>
        </w:rPr>
        <w:t>5</w:t>
      </w:r>
      <w:r>
        <w:rPr>
          <w:rFonts w:hint="eastAsia" w:hAnsi="宋体"/>
          <w:b/>
          <w:color w:val="auto"/>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18"/>
        <w:snapToGrid w:val="0"/>
        <w:spacing w:line="360" w:lineRule="auto"/>
        <w:ind w:firstLine="420" w:firstLineChars="200"/>
        <w:rPr>
          <w:rFonts w:hAnsi="宋体"/>
          <w:color w:val="auto"/>
        </w:rPr>
      </w:pPr>
    </w:p>
    <w:p>
      <w:pPr>
        <w:pStyle w:val="2"/>
        <w:keepNext w:val="0"/>
        <w:keepLines w:val="0"/>
        <w:jc w:val="center"/>
        <w:rPr>
          <w:color w:val="auto"/>
        </w:rPr>
      </w:pPr>
      <w:bookmarkStart w:id="140" w:name="_八、其他事项"/>
      <w:bookmarkEnd w:id="140"/>
      <w:r>
        <w:rPr>
          <w:rFonts w:hint="eastAsia"/>
          <w:color w:val="auto"/>
        </w:rPr>
        <w:t>八、其他事项</w:t>
      </w:r>
    </w:p>
    <w:p>
      <w:pPr>
        <w:pStyle w:val="6"/>
        <w:keepNext w:val="0"/>
        <w:keepLines w:val="0"/>
        <w:spacing w:before="0" w:after="0" w:line="360" w:lineRule="auto"/>
        <w:ind w:left="420" w:leftChars="200"/>
        <w:rPr>
          <w:rFonts w:ascii="黑体" w:hAnsi="黑体" w:eastAsia="黑体"/>
          <w:color w:val="auto"/>
          <w:sz w:val="24"/>
        </w:rPr>
      </w:pPr>
      <w:bookmarkStart w:id="141" w:name="_42.代理服务费"/>
      <w:bookmarkEnd w:id="141"/>
      <w:r>
        <w:rPr>
          <w:rFonts w:hint="eastAsia" w:ascii="黑体" w:hAnsi="黑体" w:eastAsia="黑体"/>
          <w:color w:val="auto"/>
          <w:sz w:val="24"/>
        </w:rPr>
        <w:t>3</w:t>
      </w:r>
      <w:r>
        <w:rPr>
          <w:rFonts w:ascii="黑体" w:hAnsi="黑体" w:eastAsia="黑体"/>
          <w:color w:val="auto"/>
          <w:sz w:val="24"/>
        </w:rPr>
        <w:t>9</w:t>
      </w:r>
      <w:r>
        <w:rPr>
          <w:rFonts w:hint="eastAsia" w:ascii="黑体" w:hAnsi="黑体" w:eastAsia="黑体"/>
          <w:color w:val="auto"/>
          <w:sz w:val="24"/>
        </w:rPr>
        <w:t>.代理服务费</w:t>
      </w:r>
    </w:p>
    <w:p>
      <w:pPr>
        <w:pStyle w:val="6"/>
        <w:keepNext w:val="0"/>
        <w:keepLines w:val="0"/>
        <w:spacing w:before="0" w:after="0" w:line="360" w:lineRule="auto"/>
        <w:ind w:firstLine="420" w:firstLineChars="200"/>
        <w:rPr>
          <w:rFonts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9</w:t>
      </w:r>
      <w:r>
        <w:rPr>
          <w:rFonts w:hint="eastAsia" w:ascii="宋体" w:hAnsi="宋体"/>
          <w:b w:val="0"/>
          <w:color w:val="auto"/>
          <w:sz w:val="21"/>
          <w:szCs w:val="21"/>
        </w:rPr>
        <w:t>.1代理服务收费标准及缴费账户详见“投标人须知前附表”，投标人为联合体的，可以由联合体中的一方或者多方共同交纳代理服务费。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ascii="宋体" w:hAnsi="宋体"/>
          <w:b w:val="0"/>
          <w:color w:val="auto"/>
          <w:sz w:val="21"/>
          <w:szCs w:val="21"/>
        </w:rPr>
      </w:pPr>
      <w:r>
        <w:rPr>
          <w:rFonts w:hint="eastAsia" w:ascii="宋体" w:hAnsi="宋体"/>
          <w:b w:val="0"/>
          <w:color w:val="auto"/>
          <w:sz w:val="21"/>
          <w:szCs w:val="21"/>
        </w:rPr>
        <w:t>3</w:t>
      </w:r>
      <w:r>
        <w:rPr>
          <w:rFonts w:ascii="宋体" w:hAnsi="宋体"/>
          <w:b w:val="0"/>
          <w:color w:val="auto"/>
          <w:sz w:val="21"/>
          <w:szCs w:val="21"/>
        </w:rPr>
        <w:t>9</w:t>
      </w:r>
      <w:r>
        <w:rPr>
          <w:rFonts w:hint="eastAsia" w:ascii="宋体" w:hAnsi="宋体"/>
          <w:b w:val="0"/>
          <w:color w:val="auto"/>
          <w:sz w:val="21"/>
          <w:szCs w:val="21"/>
        </w:rPr>
        <w:t>.2代理服务收费标准：</w:t>
      </w:r>
    </w:p>
    <w:p>
      <w:pPr>
        <w:spacing w:line="360" w:lineRule="auto"/>
        <w:rPr>
          <w:rFonts w:ascii="宋体" w:hAnsi="宋体"/>
          <w:color w:val="auto"/>
          <w:szCs w:val="21"/>
        </w:rPr>
      </w:pPr>
    </w:p>
    <w:tbl>
      <w:tblPr>
        <w:tblStyle w:val="3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olor w:val="auto"/>
                <w:szCs w:val="21"/>
              </w:rPr>
            </w:pPr>
            <w:r>
              <w:rPr>
                <w:rFonts w:hint="eastAsia" w:ascii="宋体" w:hAnsi="宋体"/>
                <w:color w:val="auto"/>
                <w:szCs w:val="21"/>
              </w:rPr>
              <w:t xml:space="preserve">               费率</w:t>
            </w:r>
          </w:p>
          <w:p>
            <w:pPr>
              <w:spacing w:line="360" w:lineRule="auto"/>
              <w:rPr>
                <w:rFonts w:ascii="宋体" w:hAnsi="宋体"/>
                <w:color w:val="auto"/>
                <w:szCs w:val="21"/>
              </w:rPr>
            </w:pPr>
            <w:r>
              <w:rPr>
                <w:rFonts w:hint="eastAsia" w:ascii="宋体" w:hAnsi="宋体"/>
                <w:color w:val="auto"/>
                <w:szCs w:val="21"/>
              </w:rPr>
              <w:t>中标金额</w:t>
            </w:r>
          </w:p>
        </w:tc>
        <w:tc>
          <w:tcPr>
            <w:tcW w:w="1659" w:type="dxa"/>
            <w:vAlign w:val="center"/>
          </w:tcPr>
          <w:p>
            <w:pPr>
              <w:spacing w:line="360" w:lineRule="auto"/>
              <w:ind w:firstLine="105" w:firstLineChars="50"/>
              <w:jc w:val="center"/>
              <w:rPr>
                <w:rFonts w:ascii="宋体" w:hAnsi="宋体"/>
                <w:color w:val="auto"/>
                <w:szCs w:val="21"/>
              </w:rPr>
            </w:pPr>
            <w:r>
              <w:rPr>
                <w:rFonts w:hint="eastAsia" w:ascii="宋体" w:hAnsi="宋体"/>
                <w:color w:val="auto"/>
                <w:szCs w:val="21"/>
              </w:rPr>
              <w:t>货物招标</w:t>
            </w:r>
          </w:p>
        </w:tc>
        <w:tc>
          <w:tcPr>
            <w:tcW w:w="1687" w:type="dxa"/>
            <w:vAlign w:val="center"/>
          </w:tcPr>
          <w:p>
            <w:pPr>
              <w:spacing w:line="360" w:lineRule="auto"/>
              <w:jc w:val="center"/>
              <w:rPr>
                <w:rFonts w:ascii="宋体" w:hAnsi="宋体"/>
                <w:color w:val="auto"/>
                <w:szCs w:val="21"/>
              </w:rPr>
            </w:pPr>
            <w:r>
              <w:rPr>
                <w:rFonts w:hint="eastAsia" w:ascii="宋体" w:hAnsi="宋体"/>
                <w:color w:val="auto"/>
                <w:szCs w:val="21"/>
              </w:rPr>
              <w:t>服务招标</w:t>
            </w:r>
          </w:p>
        </w:tc>
        <w:tc>
          <w:tcPr>
            <w:tcW w:w="1659" w:type="dxa"/>
            <w:vAlign w:val="center"/>
          </w:tcPr>
          <w:p>
            <w:pPr>
              <w:spacing w:line="360" w:lineRule="auto"/>
              <w:jc w:val="center"/>
              <w:rPr>
                <w:rFonts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100万元以下</w:t>
            </w:r>
          </w:p>
        </w:tc>
        <w:tc>
          <w:tcPr>
            <w:tcW w:w="1659" w:type="dxa"/>
          </w:tcPr>
          <w:p>
            <w:pPr>
              <w:spacing w:line="360" w:lineRule="auto"/>
              <w:rPr>
                <w:rFonts w:ascii="宋体" w:hAnsi="宋体"/>
                <w:color w:val="auto"/>
                <w:szCs w:val="21"/>
              </w:rPr>
            </w:pPr>
            <w:r>
              <w:rPr>
                <w:rFonts w:hint="eastAsia" w:ascii="宋体" w:hAnsi="宋体" w:cs="宋体"/>
                <w:color w:val="auto"/>
                <w:kern w:val="0"/>
                <w:szCs w:val="21"/>
              </w:rPr>
              <w:t xml:space="preserve">  </w:t>
            </w:r>
            <w:r>
              <w:rPr>
                <w:rFonts w:ascii="宋体" w:hAnsi="宋体" w:cs="宋体"/>
                <w:color w:val="auto"/>
                <w:kern w:val="0"/>
                <w:szCs w:val="21"/>
              </w:rPr>
              <w:t xml:space="preserve">1.5% </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 xml:space="preserve">    </w:t>
            </w:r>
          </w:p>
        </w:tc>
        <w:tc>
          <w:tcPr>
            <w:tcW w:w="1687" w:type="dxa"/>
          </w:tcPr>
          <w:p>
            <w:pPr>
              <w:spacing w:line="360" w:lineRule="auto"/>
              <w:ind w:firstLine="210" w:firstLineChars="100"/>
              <w:rPr>
                <w:rFonts w:ascii="宋体" w:hAnsi="宋体"/>
                <w:color w:val="auto"/>
                <w:szCs w:val="21"/>
              </w:rPr>
            </w:pPr>
            <w:r>
              <w:rPr>
                <w:rFonts w:ascii="宋体" w:hAnsi="宋体" w:cs="宋体"/>
                <w:color w:val="auto"/>
                <w:kern w:val="0"/>
                <w:szCs w:val="21"/>
              </w:rPr>
              <w:t>1.5%</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100～500万元</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1.1% </w:t>
            </w:r>
            <w:r>
              <w:rPr>
                <w:rFonts w:hint="eastAsia" w:ascii="宋体" w:hAnsi="宋体" w:cs="宋体"/>
                <w:color w:val="auto"/>
                <w:kern w:val="0"/>
                <w:szCs w:val="21"/>
              </w:rPr>
              <w:t xml:space="preserve">                </w:t>
            </w:r>
          </w:p>
        </w:tc>
        <w:tc>
          <w:tcPr>
            <w:tcW w:w="1687" w:type="dxa"/>
          </w:tcPr>
          <w:p>
            <w:pPr>
              <w:spacing w:line="360" w:lineRule="auto"/>
              <w:ind w:firstLine="210" w:firstLineChars="100"/>
              <w:rPr>
                <w:rFonts w:ascii="宋体" w:hAnsi="宋体"/>
                <w:color w:val="auto"/>
                <w:szCs w:val="21"/>
              </w:rPr>
            </w:pPr>
            <w:r>
              <w:rPr>
                <w:rFonts w:ascii="宋体" w:hAnsi="宋体" w:cs="宋体"/>
                <w:color w:val="auto"/>
                <w:kern w:val="0"/>
                <w:szCs w:val="21"/>
              </w:rPr>
              <w:t>0.8%</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500～1000万元</w:t>
            </w:r>
          </w:p>
        </w:tc>
        <w:tc>
          <w:tcPr>
            <w:tcW w:w="1659" w:type="dxa"/>
          </w:tcPr>
          <w:p>
            <w:pPr>
              <w:spacing w:line="360" w:lineRule="auto"/>
              <w:rPr>
                <w:rFonts w:ascii="宋体" w:hAnsi="宋体"/>
                <w:color w:val="auto"/>
                <w:szCs w:val="21"/>
              </w:rPr>
            </w:pPr>
            <w:r>
              <w:rPr>
                <w:rFonts w:hint="eastAsia" w:ascii="宋体" w:hAnsi="宋体" w:cs="宋体"/>
                <w:color w:val="auto"/>
                <w:kern w:val="0"/>
                <w:szCs w:val="21"/>
              </w:rPr>
              <w:t xml:space="preserve">  </w:t>
            </w:r>
            <w:r>
              <w:rPr>
                <w:rFonts w:ascii="宋体" w:hAnsi="宋体" w:cs="宋体"/>
                <w:color w:val="auto"/>
                <w:kern w:val="0"/>
                <w:szCs w:val="21"/>
              </w:rPr>
              <w:t xml:space="preserve">0.8% </w:t>
            </w:r>
            <w:r>
              <w:rPr>
                <w:rFonts w:hint="eastAsia" w:ascii="宋体" w:hAnsi="宋体" w:cs="宋体"/>
                <w:color w:val="auto"/>
                <w:kern w:val="0"/>
                <w:szCs w:val="21"/>
              </w:rPr>
              <w:t xml:space="preserve">               </w:t>
            </w:r>
          </w:p>
        </w:tc>
        <w:tc>
          <w:tcPr>
            <w:tcW w:w="1687" w:type="dxa"/>
          </w:tcPr>
          <w:p>
            <w:pPr>
              <w:spacing w:line="360" w:lineRule="auto"/>
              <w:ind w:firstLine="210" w:firstLineChars="100"/>
              <w:rPr>
                <w:rFonts w:ascii="宋体" w:hAnsi="宋体"/>
                <w:color w:val="auto"/>
                <w:szCs w:val="21"/>
              </w:rPr>
            </w:pPr>
            <w:r>
              <w:rPr>
                <w:rFonts w:ascii="宋体" w:hAnsi="宋体" w:cs="宋体"/>
                <w:color w:val="auto"/>
                <w:kern w:val="0"/>
                <w:szCs w:val="21"/>
              </w:rPr>
              <w:t>0.45%</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1000～5000万元</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0.5% </w:t>
            </w:r>
            <w:r>
              <w:rPr>
                <w:rFonts w:hint="eastAsia" w:ascii="宋体" w:hAnsi="宋体" w:cs="宋体"/>
                <w:color w:val="auto"/>
                <w:kern w:val="0"/>
                <w:szCs w:val="21"/>
              </w:rPr>
              <w:t xml:space="preserve">               </w:t>
            </w:r>
          </w:p>
        </w:tc>
        <w:tc>
          <w:tcPr>
            <w:tcW w:w="1687" w:type="dxa"/>
          </w:tcPr>
          <w:p>
            <w:pPr>
              <w:spacing w:line="360" w:lineRule="auto"/>
              <w:ind w:firstLine="210" w:firstLineChars="100"/>
              <w:rPr>
                <w:rFonts w:ascii="宋体" w:hAnsi="宋体"/>
                <w:color w:val="auto"/>
                <w:szCs w:val="21"/>
              </w:rPr>
            </w:pPr>
            <w:r>
              <w:rPr>
                <w:rFonts w:ascii="宋体" w:hAnsi="宋体" w:cs="宋体"/>
                <w:color w:val="auto"/>
                <w:kern w:val="0"/>
                <w:szCs w:val="21"/>
              </w:rPr>
              <w:t>0.25%</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5000万元～1亿元</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 xml:space="preserve">0.25% </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 xml:space="preserve">         </w:t>
            </w:r>
          </w:p>
        </w:tc>
        <w:tc>
          <w:tcPr>
            <w:tcW w:w="1687" w:type="dxa"/>
          </w:tcPr>
          <w:p>
            <w:pPr>
              <w:spacing w:line="360" w:lineRule="auto"/>
              <w:ind w:firstLine="210" w:firstLineChars="100"/>
              <w:rPr>
                <w:rFonts w:ascii="宋体" w:hAnsi="宋体"/>
                <w:color w:val="auto"/>
                <w:szCs w:val="21"/>
              </w:rPr>
            </w:pPr>
            <w:r>
              <w:rPr>
                <w:rFonts w:ascii="宋体" w:hAnsi="宋体" w:cs="宋体"/>
                <w:color w:val="auto"/>
                <w:kern w:val="0"/>
                <w:szCs w:val="21"/>
              </w:rPr>
              <w:t>0.1%</w:t>
            </w:r>
          </w:p>
        </w:tc>
        <w:tc>
          <w:tcPr>
            <w:tcW w:w="1659" w:type="dxa"/>
          </w:tcPr>
          <w:p>
            <w:pPr>
              <w:spacing w:line="360" w:lineRule="auto"/>
              <w:ind w:firstLine="210" w:firstLineChars="100"/>
              <w:rPr>
                <w:rFonts w:ascii="宋体" w:hAnsi="宋体"/>
                <w:color w:val="auto"/>
                <w:szCs w:val="21"/>
              </w:rPr>
            </w:pPr>
            <w:r>
              <w:rPr>
                <w:rFonts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1～5亿元</w:t>
            </w:r>
          </w:p>
        </w:tc>
        <w:tc>
          <w:tcPr>
            <w:tcW w:w="1659" w:type="dxa"/>
          </w:tcPr>
          <w:p>
            <w:pPr>
              <w:spacing w:line="360" w:lineRule="auto"/>
              <w:ind w:firstLine="210" w:firstLineChars="100"/>
              <w:rPr>
                <w:rFonts w:ascii="宋体" w:hAnsi="宋体"/>
                <w:color w:val="auto"/>
                <w:szCs w:val="21"/>
              </w:rPr>
            </w:pPr>
            <w:r>
              <w:rPr>
                <w:rFonts w:hint="eastAsia" w:ascii="宋体" w:hAnsi="宋体"/>
                <w:color w:val="auto"/>
                <w:szCs w:val="21"/>
              </w:rPr>
              <w:t>0.05%</w:t>
            </w:r>
          </w:p>
        </w:tc>
        <w:tc>
          <w:tcPr>
            <w:tcW w:w="1687" w:type="dxa"/>
          </w:tcPr>
          <w:p>
            <w:pPr>
              <w:spacing w:line="360" w:lineRule="auto"/>
              <w:rPr>
                <w:rFonts w:ascii="宋体" w:hAnsi="宋体"/>
                <w:color w:val="auto"/>
                <w:szCs w:val="21"/>
              </w:rPr>
            </w:pPr>
            <w:r>
              <w:rPr>
                <w:rFonts w:hint="eastAsia" w:ascii="宋体" w:hAnsi="宋体"/>
                <w:color w:val="auto"/>
                <w:szCs w:val="21"/>
              </w:rPr>
              <w:t xml:space="preserve">  0.05%</w:t>
            </w:r>
          </w:p>
        </w:tc>
        <w:tc>
          <w:tcPr>
            <w:tcW w:w="1659" w:type="dxa"/>
          </w:tcPr>
          <w:p>
            <w:pPr>
              <w:spacing w:line="360" w:lineRule="auto"/>
              <w:rPr>
                <w:rFonts w:ascii="宋体" w:hAnsi="宋体"/>
                <w:color w:val="auto"/>
                <w:szCs w:val="21"/>
              </w:rPr>
            </w:pPr>
            <w:r>
              <w:rPr>
                <w:rFonts w:hint="eastAsia" w:ascii="宋体" w:hAnsi="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5～10亿元</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0.035%</w:t>
            </w:r>
          </w:p>
        </w:tc>
        <w:tc>
          <w:tcPr>
            <w:tcW w:w="1687" w:type="dxa"/>
          </w:tcPr>
          <w:p>
            <w:pPr>
              <w:spacing w:line="360" w:lineRule="auto"/>
              <w:rPr>
                <w:rFonts w:ascii="宋体" w:hAnsi="宋体"/>
                <w:color w:val="auto"/>
                <w:szCs w:val="21"/>
              </w:rPr>
            </w:pPr>
            <w:r>
              <w:rPr>
                <w:rFonts w:hint="eastAsia" w:ascii="宋体" w:hAnsi="宋体"/>
                <w:color w:val="auto"/>
                <w:szCs w:val="21"/>
              </w:rPr>
              <w:t xml:space="preserve">  0.035%</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10～50亿元</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0.008%</w:t>
            </w:r>
          </w:p>
        </w:tc>
        <w:tc>
          <w:tcPr>
            <w:tcW w:w="1687" w:type="dxa"/>
          </w:tcPr>
          <w:p>
            <w:pPr>
              <w:spacing w:line="360" w:lineRule="auto"/>
              <w:ind w:firstLine="210" w:firstLineChars="100"/>
              <w:rPr>
                <w:rFonts w:ascii="宋体" w:hAnsi="宋体"/>
                <w:color w:val="auto"/>
                <w:szCs w:val="21"/>
              </w:rPr>
            </w:pPr>
            <w:r>
              <w:rPr>
                <w:rFonts w:hint="eastAsia" w:ascii="宋体" w:hAnsi="宋体"/>
                <w:color w:val="auto"/>
                <w:szCs w:val="21"/>
              </w:rPr>
              <w:t>0.008%</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50～100亿元</w:t>
            </w:r>
          </w:p>
        </w:tc>
        <w:tc>
          <w:tcPr>
            <w:tcW w:w="1659" w:type="dxa"/>
          </w:tcPr>
          <w:p>
            <w:pPr>
              <w:spacing w:line="360" w:lineRule="auto"/>
              <w:rPr>
                <w:rFonts w:ascii="宋体" w:hAnsi="宋体"/>
                <w:color w:val="auto"/>
                <w:szCs w:val="21"/>
              </w:rPr>
            </w:pPr>
            <w:r>
              <w:rPr>
                <w:rFonts w:hint="eastAsia" w:ascii="宋体" w:hAnsi="宋体"/>
                <w:color w:val="auto"/>
                <w:szCs w:val="21"/>
              </w:rPr>
              <w:t xml:space="preserve"> 0.006%</w:t>
            </w:r>
          </w:p>
        </w:tc>
        <w:tc>
          <w:tcPr>
            <w:tcW w:w="1687" w:type="dxa"/>
          </w:tcPr>
          <w:p>
            <w:pPr>
              <w:spacing w:line="360" w:lineRule="auto"/>
              <w:ind w:firstLine="210" w:firstLineChars="100"/>
              <w:rPr>
                <w:rFonts w:ascii="宋体" w:hAnsi="宋体"/>
                <w:color w:val="auto"/>
                <w:szCs w:val="21"/>
              </w:rPr>
            </w:pPr>
            <w:r>
              <w:rPr>
                <w:rFonts w:hint="eastAsia" w:ascii="宋体" w:hAnsi="宋体"/>
                <w:color w:val="auto"/>
                <w:szCs w:val="21"/>
              </w:rPr>
              <w:t>0.006%</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rPr>
            </w:pPr>
            <w:r>
              <w:rPr>
                <w:rFonts w:hint="eastAsia" w:ascii="宋体" w:hAnsi="宋体"/>
                <w:color w:val="auto"/>
                <w:szCs w:val="21"/>
              </w:rPr>
              <w:t>100亿以上</w:t>
            </w:r>
          </w:p>
        </w:tc>
        <w:tc>
          <w:tcPr>
            <w:tcW w:w="1659" w:type="dxa"/>
          </w:tcPr>
          <w:p>
            <w:pPr>
              <w:spacing w:line="360" w:lineRule="auto"/>
              <w:rPr>
                <w:rFonts w:ascii="宋体" w:hAnsi="宋体"/>
                <w:color w:val="auto"/>
                <w:szCs w:val="21"/>
              </w:rPr>
            </w:pPr>
            <w:r>
              <w:rPr>
                <w:rFonts w:hint="eastAsia" w:ascii="宋体" w:hAnsi="宋体"/>
                <w:color w:val="auto"/>
                <w:szCs w:val="21"/>
              </w:rPr>
              <w:t xml:space="preserve"> 0.004%</w:t>
            </w:r>
          </w:p>
        </w:tc>
        <w:tc>
          <w:tcPr>
            <w:tcW w:w="1687" w:type="dxa"/>
          </w:tcPr>
          <w:p>
            <w:pPr>
              <w:spacing w:line="360" w:lineRule="auto"/>
              <w:ind w:firstLine="210" w:firstLineChars="100"/>
              <w:rPr>
                <w:rFonts w:ascii="宋体" w:hAnsi="宋体"/>
                <w:color w:val="auto"/>
                <w:szCs w:val="21"/>
              </w:rPr>
            </w:pPr>
            <w:r>
              <w:rPr>
                <w:rFonts w:hint="eastAsia" w:ascii="宋体" w:hAnsi="宋体"/>
                <w:color w:val="auto"/>
                <w:szCs w:val="21"/>
              </w:rPr>
              <w:t>0.004%</w:t>
            </w:r>
          </w:p>
        </w:tc>
        <w:tc>
          <w:tcPr>
            <w:tcW w:w="1659" w:type="dxa"/>
          </w:tcPr>
          <w:p>
            <w:pPr>
              <w:spacing w:line="360" w:lineRule="auto"/>
              <w:ind w:firstLine="105" w:firstLineChars="50"/>
              <w:rPr>
                <w:rFonts w:ascii="宋体" w:hAnsi="宋体"/>
                <w:color w:val="auto"/>
                <w:szCs w:val="21"/>
              </w:rPr>
            </w:pPr>
            <w:r>
              <w:rPr>
                <w:rFonts w:hint="eastAsia" w:ascii="宋体" w:hAnsi="宋体"/>
                <w:color w:val="auto"/>
                <w:szCs w:val="21"/>
              </w:rPr>
              <w:t>0.004%</w:t>
            </w:r>
          </w:p>
        </w:tc>
      </w:tr>
    </w:tbl>
    <w:p>
      <w:pPr>
        <w:spacing w:line="360" w:lineRule="auto"/>
        <w:ind w:firstLine="420" w:firstLineChars="200"/>
        <w:rPr>
          <w:rFonts w:ascii="宋体" w:hAnsi="宋体" w:cs="宋体"/>
          <w:color w:val="auto"/>
          <w:szCs w:val="21"/>
        </w:rPr>
      </w:pPr>
      <w:r>
        <w:rPr>
          <w:rFonts w:hint="eastAsia" w:ascii="宋体" w:hAnsi="宋体"/>
          <w:color w:val="auto"/>
          <w:szCs w:val="21"/>
        </w:rPr>
        <w:t>注:</w:t>
      </w:r>
      <w:r>
        <w:rPr>
          <w:rFonts w:ascii="宋体" w:hAnsi="宋体" w:cs="宋体"/>
          <w:color w:val="auto"/>
          <w:szCs w:val="21"/>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按本表费率计算的收费为</w:t>
      </w:r>
      <w:r>
        <w:rPr>
          <w:rFonts w:hint="eastAsia" w:ascii="宋体" w:hAnsi="宋体" w:cs="宋体"/>
          <w:color w:val="auto"/>
          <w:szCs w:val="21"/>
        </w:rPr>
        <w:t>采购</w:t>
      </w:r>
      <w:r>
        <w:rPr>
          <w:rFonts w:ascii="宋体" w:hAnsi="宋体" w:cs="宋体"/>
          <w:color w:val="auto"/>
          <w:szCs w:val="21"/>
        </w:rPr>
        <w:t>代理的收费基准价格</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（2）采购</w:t>
      </w:r>
      <w:r>
        <w:rPr>
          <w:rFonts w:ascii="宋体" w:hAnsi="宋体" w:cs="宋体"/>
          <w:color w:val="auto"/>
          <w:szCs w:val="21"/>
        </w:rPr>
        <w:t>代理收费按差额定率累进法计算。</w:t>
      </w:r>
    </w:p>
    <w:p>
      <w:pPr>
        <w:spacing w:line="360" w:lineRule="auto"/>
        <w:ind w:firstLine="420" w:firstLineChars="200"/>
        <w:rPr>
          <w:rFonts w:ascii="宋体" w:hAnsi="宋体" w:cs="宋体"/>
          <w:color w:val="auto"/>
          <w:szCs w:val="21"/>
        </w:rPr>
      </w:pPr>
      <w:r>
        <w:rPr>
          <w:rFonts w:ascii="宋体" w:hAnsi="宋体" w:cs="宋体"/>
          <w:color w:val="auto"/>
          <w:szCs w:val="21"/>
        </w:rPr>
        <w:t>例如：某</w:t>
      </w:r>
      <w:r>
        <w:rPr>
          <w:rFonts w:hint="eastAsia" w:ascii="宋体" w:hAnsi="宋体" w:cs="宋体"/>
          <w:color w:val="auto"/>
          <w:szCs w:val="21"/>
        </w:rPr>
        <w:t>货物采购</w:t>
      </w:r>
      <w:r>
        <w:rPr>
          <w:rFonts w:ascii="宋体" w:hAnsi="宋体" w:cs="宋体"/>
          <w:color w:val="auto"/>
          <w:szCs w:val="21"/>
        </w:rPr>
        <w:t>代理业务</w:t>
      </w:r>
      <w:r>
        <w:rPr>
          <w:rFonts w:hint="eastAsia" w:ascii="宋体" w:hAnsi="宋体" w:cs="宋体"/>
          <w:color w:val="auto"/>
          <w:szCs w:val="21"/>
        </w:rPr>
        <w:t>中标</w:t>
      </w:r>
      <w:r>
        <w:rPr>
          <w:rFonts w:ascii="宋体" w:hAnsi="宋体" w:cs="宋体"/>
          <w:color w:val="auto"/>
          <w:szCs w:val="21"/>
        </w:rPr>
        <w:t>金额</w:t>
      </w:r>
      <w:r>
        <w:rPr>
          <w:rFonts w:hint="eastAsia" w:ascii="宋体" w:hAnsi="宋体" w:cs="宋体"/>
          <w:color w:val="auto"/>
          <w:szCs w:val="21"/>
        </w:rPr>
        <w:t>或者暂定价</w:t>
      </w:r>
      <w:r>
        <w:rPr>
          <w:rFonts w:ascii="宋体" w:hAnsi="宋体" w:cs="宋体"/>
          <w:color w:val="auto"/>
          <w:szCs w:val="21"/>
        </w:rPr>
        <w:t>为200万元，计算</w:t>
      </w:r>
      <w:r>
        <w:rPr>
          <w:rFonts w:hint="eastAsia" w:ascii="宋体" w:hAnsi="宋体" w:cs="宋体"/>
          <w:color w:val="auto"/>
          <w:szCs w:val="21"/>
        </w:rPr>
        <w:t>采购</w:t>
      </w:r>
      <w:r>
        <w:rPr>
          <w:rFonts w:ascii="宋体" w:hAnsi="宋体" w:cs="宋体"/>
          <w:color w:val="auto"/>
          <w:szCs w:val="21"/>
        </w:rPr>
        <w:t>代理收费额如下：</w:t>
      </w:r>
    </w:p>
    <w:p>
      <w:pPr>
        <w:spacing w:line="360" w:lineRule="auto"/>
        <w:ind w:firstLine="420" w:firstLineChars="200"/>
        <w:rPr>
          <w:rFonts w:ascii="宋体" w:hAnsi="宋体" w:cs="宋体"/>
          <w:color w:val="auto"/>
          <w:szCs w:val="21"/>
        </w:rPr>
      </w:pPr>
      <w:r>
        <w:rPr>
          <w:rFonts w:ascii="宋体" w:hAnsi="宋体" w:cs="宋体"/>
          <w:color w:val="auto"/>
          <w:szCs w:val="21"/>
        </w:rPr>
        <w:t>100 万元×l.5 ％＝ 1.5 万元</w:t>
      </w:r>
    </w:p>
    <w:p>
      <w:pPr>
        <w:spacing w:line="360" w:lineRule="auto"/>
        <w:ind w:firstLine="420" w:firstLineChars="200"/>
        <w:rPr>
          <w:rFonts w:ascii="宋体" w:hAnsi="宋体" w:cs="宋体"/>
          <w:color w:val="auto"/>
          <w:szCs w:val="21"/>
        </w:rPr>
      </w:pPr>
      <w:r>
        <w:rPr>
          <w:rFonts w:ascii="宋体" w:hAnsi="宋体" w:cs="宋体"/>
          <w:color w:val="auto"/>
          <w:szCs w:val="21"/>
        </w:rPr>
        <w:t>（ 200 － 100 ）万元 ×1.1％＝1.1万元</w:t>
      </w:r>
    </w:p>
    <w:p>
      <w:pPr>
        <w:pStyle w:val="18"/>
        <w:snapToGrid w:val="0"/>
        <w:spacing w:before="120" w:after="120" w:line="360" w:lineRule="auto"/>
        <w:ind w:firstLine="420" w:firstLineChars="200"/>
        <w:rPr>
          <w:rFonts w:hAnsi="宋体" w:cs="宋体"/>
          <w:color w:val="auto"/>
        </w:rPr>
      </w:pPr>
      <w:r>
        <w:rPr>
          <w:rFonts w:hAnsi="宋体" w:cs="宋体"/>
          <w:color w:val="auto"/>
        </w:rPr>
        <w:t>合计收费＝ 1.5</w:t>
      </w:r>
      <w:r>
        <w:rPr>
          <w:rFonts w:hint="eastAsia" w:hAnsi="宋体" w:cs="宋体"/>
          <w:color w:val="auto"/>
        </w:rPr>
        <w:t>+</w:t>
      </w:r>
      <w:r>
        <w:rPr>
          <w:rFonts w:hAnsi="宋体" w:cs="宋体"/>
          <w:color w:val="auto"/>
        </w:rPr>
        <w:t>1.1＝ 2.6 （万元）</w:t>
      </w:r>
    </w:p>
    <w:p>
      <w:pPr>
        <w:pStyle w:val="6"/>
        <w:keepNext w:val="0"/>
        <w:keepLines w:val="0"/>
        <w:spacing w:before="0" w:after="0" w:line="360" w:lineRule="auto"/>
        <w:ind w:left="420" w:leftChars="200"/>
        <w:rPr>
          <w:rFonts w:ascii="黑体" w:hAnsi="黑体" w:eastAsia="黑体"/>
          <w:color w:val="auto"/>
          <w:sz w:val="24"/>
        </w:rPr>
      </w:pPr>
      <w:r>
        <w:rPr>
          <w:rFonts w:ascii="黑体" w:hAnsi="黑体" w:eastAsia="黑体"/>
          <w:color w:val="auto"/>
          <w:sz w:val="24"/>
        </w:rPr>
        <w:t>40. 需要补充的其他内容</w:t>
      </w:r>
    </w:p>
    <w:p>
      <w:pPr>
        <w:pStyle w:val="18"/>
        <w:snapToGrid w:val="0"/>
        <w:spacing w:before="120" w:after="120" w:line="360" w:lineRule="auto"/>
        <w:ind w:firstLine="420" w:firstLineChars="200"/>
        <w:rPr>
          <w:rFonts w:hAnsi="宋体"/>
          <w:color w:val="auto"/>
        </w:rPr>
      </w:pPr>
      <w:r>
        <w:rPr>
          <w:rFonts w:hAnsi="宋体"/>
          <w:color w:val="auto"/>
        </w:rPr>
        <w:t>40.1</w:t>
      </w:r>
      <w:r>
        <w:rPr>
          <w:rFonts w:hint="eastAsia" w:hAnsi="宋体" w:cs="宋体"/>
          <w:color w:val="auto"/>
        </w:rPr>
        <w:t>本招标文件解释规则详见</w:t>
      </w:r>
      <w:r>
        <w:rPr>
          <w:rFonts w:hint="eastAsia" w:hAnsi="宋体"/>
          <w:color w:val="auto"/>
        </w:rPr>
        <w:t>“投标人须知前附表”。</w:t>
      </w:r>
    </w:p>
    <w:p>
      <w:pPr>
        <w:pStyle w:val="18"/>
        <w:spacing w:before="120" w:after="120" w:line="360" w:lineRule="auto"/>
        <w:ind w:firstLine="420" w:firstLineChars="200"/>
        <w:contextualSpacing/>
        <w:rPr>
          <w:rFonts w:hAnsi="宋体"/>
          <w:color w:val="auto"/>
        </w:rPr>
      </w:pPr>
      <w:r>
        <w:rPr>
          <w:rFonts w:hAnsi="宋体" w:cs="宋体"/>
          <w:color w:val="auto"/>
        </w:rPr>
        <w:t>40.2</w:t>
      </w:r>
      <w:r>
        <w:rPr>
          <w:rFonts w:hint="eastAsia" w:hAnsi="宋体" w:cs="宋体"/>
          <w:color w:val="auto"/>
        </w:rPr>
        <w:t xml:space="preserve"> </w:t>
      </w:r>
      <w:r>
        <w:rPr>
          <w:rFonts w:hint="eastAsia" w:hAnsi="宋体"/>
          <w:color w:val="auto"/>
        </w:rPr>
        <w:t>其他事项详见“投标人须知前附表”。</w:t>
      </w:r>
    </w:p>
    <w:p>
      <w:pPr>
        <w:pStyle w:val="18"/>
        <w:spacing w:before="120" w:after="120" w:line="360" w:lineRule="auto"/>
        <w:ind w:firstLine="420" w:firstLineChars="200"/>
        <w:contextualSpacing/>
        <w:rPr>
          <w:rFonts w:hAnsi="宋体" w:cs="宋体"/>
          <w:color w:val="auto"/>
        </w:rPr>
      </w:pPr>
      <w:r>
        <w:rPr>
          <w:rFonts w:hint="eastAsia" w:hAnsi="宋体" w:cs="宋体"/>
          <w:color w:val="auto"/>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18"/>
        <w:spacing w:before="120" w:after="120" w:line="360" w:lineRule="auto"/>
        <w:ind w:firstLine="420" w:firstLineChars="200"/>
        <w:contextualSpacing/>
        <w:rPr>
          <w:rFonts w:hAnsi="宋体" w:cs="宋体"/>
          <w:color w:val="auto"/>
        </w:rPr>
      </w:pPr>
      <w:r>
        <w:rPr>
          <w:rFonts w:hint="eastAsia" w:hAnsi="宋体" w:cs="宋体"/>
          <w:color w:val="auto"/>
        </w:rPr>
        <w:t>（1）在货物采购项目中，货物由中小企业制造，即货物由中小企业生产且使用该中小企业商号或者注册商标，不对其中涉及的工程承建商和服务的承接商作出要求；</w:t>
      </w:r>
    </w:p>
    <w:p>
      <w:pPr>
        <w:pStyle w:val="18"/>
        <w:spacing w:before="120" w:after="120" w:line="360" w:lineRule="auto"/>
        <w:ind w:firstLine="420" w:firstLineChars="200"/>
        <w:contextualSpacing/>
        <w:rPr>
          <w:rFonts w:hAnsi="宋体" w:cs="宋体"/>
          <w:color w:val="auto"/>
        </w:rPr>
      </w:pPr>
      <w:r>
        <w:rPr>
          <w:rFonts w:hint="eastAsia" w:hAnsi="宋体" w:cs="宋体"/>
          <w:color w:val="auto"/>
        </w:rPr>
        <w:t>（2）在工程采购项目中，工程由中小企业承建，即工程施工单位为中小企业，不对其中涉及的货物的制造商和服务的承接商作出要求；</w:t>
      </w:r>
    </w:p>
    <w:p>
      <w:pPr>
        <w:pStyle w:val="18"/>
        <w:spacing w:before="120" w:after="120" w:line="360" w:lineRule="auto"/>
        <w:ind w:firstLine="420" w:firstLineChars="200"/>
        <w:contextualSpacing/>
        <w:rPr>
          <w:rFonts w:hAnsi="宋体" w:cs="宋体"/>
          <w:color w:val="auto"/>
        </w:rPr>
      </w:pPr>
      <w:r>
        <w:rPr>
          <w:rFonts w:hint="eastAsia" w:hAnsi="宋体" w:cs="宋体"/>
          <w:color w:val="auto"/>
        </w:rPr>
        <w:t>（3）在服务采购项目中，服务由中小企业承接，即提供服务的人员为中小企业依照《中华人民共和国劳动合同法》订立劳动合同的从业人员，不对其中涉及的货物的制造商和工程承建商作出要求。</w:t>
      </w:r>
    </w:p>
    <w:p>
      <w:pPr>
        <w:pStyle w:val="18"/>
        <w:spacing w:before="120" w:after="120" w:line="360" w:lineRule="auto"/>
        <w:ind w:firstLine="420" w:firstLineChars="200"/>
        <w:contextualSpacing/>
        <w:rPr>
          <w:rFonts w:hAnsi="宋体" w:cs="宋体"/>
          <w:color w:val="auto"/>
        </w:rPr>
      </w:pPr>
      <w:r>
        <w:rPr>
          <w:rFonts w:hint="eastAsia" w:hAnsi="宋体" w:cs="宋体"/>
          <w:color w:val="auto"/>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spacing w:line="360" w:lineRule="auto"/>
        <w:ind w:firstLine="420" w:firstLineChars="200"/>
        <w:rPr>
          <w:rFonts w:hAnsi="宋体"/>
          <w:color w:val="auto"/>
        </w:rPr>
      </w:pPr>
      <w:r>
        <w:rPr>
          <w:rFonts w:hint="eastAsia" w:hAnsi="宋体" w:cs="宋体"/>
          <w:color w:val="auto"/>
        </w:rPr>
        <w:t>依据本招标文件规定享受扶持政策获得政府采购合同的，小微企业不得将合同分包给大中型企业，中型企业不得将合同分包给大型企业</w:t>
      </w:r>
      <w:r>
        <w:rPr>
          <w:rFonts w:hint="eastAsia" w:hAnsi="宋体"/>
          <w:color w:val="auto"/>
        </w:rPr>
        <w:t>。</w:t>
      </w:r>
    </w:p>
    <w:p>
      <w:pPr>
        <w:pStyle w:val="6"/>
        <w:keepNext w:val="0"/>
        <w:keepLines w:val="0"/>
        <w:spacing w:before="0" w:after="0" w:line="360" w:lineRule="auto"/>
        <w:ind w:left="420" w:leftChars="200"/>
        <w:rPr>
          <w:rFonts w:ascii="黑体" w:hAnsi="黑体" w:eastAsia="黑体"/>
          <w:color w:val="auto"/>
          <w:sz w:val="24"/>
        </w:rPr>
      </w:pPr>
      <w:r>
        <w:rPr>
          <w:rFonts w:hint="eastAsia" w:ascii="黑体" w:hAnsi="黑体" w:eastAsia="黑体"/>
          <w:color w:val="auto"/>
          <w:sz w:val="24"/>
        </w:rPr>
        <w:t>41. 政采贷相关说明</w:t>
      </w:r>
    </w:p>
    <w:p>
      <w:pPr>
        <w:spacing w:line="360" w:lineRule="auto"/>
        <w:ind w:firstLine="420" w:firstLineChars="200"/>
        <w:rPr>
          <w:rFonts w:hAnsi="宋体" w:cs="宋体"/>
          <w:color w:val="auto"/>
        </w:rPr>
      </w:pPr>
      <w:r>
        <w:rPr>
          <w:rFonts w:hint="eastAsia" w:hAnsi="宋体" w:cs="宋体"/>
          <w:color w:val="auto"/>
        </w:rPr>
        <w:t>为优化政府采购营商环境，缓解供应商资金难题，南宁市政府采购试行政府采购信用融资制度，中标供应商如有融资需求，可凭政府采购合同通过以下方式申请政府采购信用融资贷款：</w:t>
      </w:r>
    </w:p>
    <w:p>
      <w:pPr>
        <w:spacing w:line="360" w:lineRule="auto"/>
        <w:ind w:firstLine="420" w:firstLineChars="200"/>
        <w:rPr>
          <w:rFonts w:hAnsi="宋体" w:cs="宋体"/>
          <w:color w:val="auto"/>
        </w:rPr>
      </w:pPr>
      <w:r>
        <w:rPr>
          <w:rFonts w:hint="eastAsia" w:hAnsi="宋体" w:cs="宋体"/>
          <w:color w:val="auto"/>
        </w:rPr>
        <w:t>线下渠道：在“南宁市公共资源交易中心”官网（网址：</w:t>
      </w:r>
      <w:r>
        <w:rPr>
          <w:color w:val="auto"/>
        </w:rPr>
        <w:fldChar w:fldCharType="begin"/>
      </w:r>
      <w:r>
        <w:rPr>
          <w:color w:val="auto"/>
        </w:rPr>
        <w:instrText xml:space="preserve"> HYPERLINK "http://www.nnggzy.org.cn）" </w:instrText>
      </w:r>
      <w:r>
        <w:rPr>
          <w:color w:val="auto"/>
        </w:rPr>
        <w:fldChar w:fldCharType="separate"/>
      </w:r>
      <w:r>
        <w:rPr>
          <w:rFonts w:hint="eastAsia" w:hAnsi="宋体" w:cs="宋体"/>
          <w:color w:val="auto"/>
        </w:rPr>
        <w:t>http://www.nnggzy.org.cn）“交易信息-政府采购-政府采购信用融资”中融资银行和南宁市企业融资货物中心专栏信息申请政府采购信用融资。</w:t>
      </w:r>
      <w:r>
        <w:rPr>
          <w:rFonts w:hint="eastAsia" w:hAnsi="宋体" w:cs="宋体"/>
          <w:color w:val="auto"/>
        </w:rPr>
        <w:fldChar w:fldCharType="end"/>
      </w:r>
    </w:p>
    <w:p>
      <w:pPr>
        <w:spacing w:line="360" w:lineRule="auto"/>
        <w:ind w:firstLine="420" w:firstLineChars="200"/>
        <w:rPr>
          <w:rFonts w:hAnsi="宋体"/>
          <w:color w:val="auto"/>
        </w:rPr>
      </w:pPr>
      <w:r>
        <w:rPr>
          <w:rFonts w:hint="eastAsia" w:hAnsi="宋体" w:cs="宋体"/>
          <w:color w:val="auto"/>
        </w:rPr>
        <w:t>线上渠道：登录中征营应收账款融资服务平台（网址：https://www.crcrfsp.com，客服电话：400-009-0001），选择相关金融产品和银行业金融机构金融融资贷款。具体操作方式见《中国人民银行南宁中心支行广西壮族自治区财政厅关于推广线上“政采贷”融资模式的通知》（南宁银发〔2021〕258号）文（文件公开网址详情见：“广西政府采购网”——http://www.ccgp-guangxi.gov.cn/AdministrativeRegulations/AutonomousRegion/9830442.html）</w:t>
      </w:r>
      <w:r>
        <w:rPr>
          <w:rFonts w:hAnsi="宋体"/>
          <w:color w:val="auto"/>
        </w:rPr>
        <w:br w:type="page"/>
      </w:r>
      <w:r>
        <w:rPr>
          <w:rFonts w:hint="eastAsia" w:hAnsi="宋体"/>
          <w:color w:val="auto"/>
        </w:rPr>
        <w:t>附件1：</w:t>
      </w:r>
    </w:p>
    <w:p>
      <w:pPr>
        <w:spacing w:line="480" w:lineRule="atLeast"/>
        <w:jc w:val="center"/>
        <w:rPr>
          <w:rFonts w:ascii="仿宋" w:hAnsi="仿宋" w:eastAsia="仿宋" w:cs="宋体"/>
          <w:color w:val="auto"/>
          <w:kern w:val="0"/>
          <w:sz w:val="32"/>
          <w:szCs w:val="32"/>
        </w:rPr>
      </w:pPr>
      <w:r>
        <w:rPr>
          <w:rFonts w:hint="eastAsia" w:ascii="黑体" w:hAnsi="黑体" w:eastAsia="黑体" w:cs="黑体"/>
          <w:color w:val="auto"/>
          <w:kern w:val="0"/>
          <w:sz w:val="32"/>
          <w:szCs w:val="32"/>
        </w:rPr>
        <w:t>广西壮族自治区政府采购项目合同验收书</w:t>
      </w:r>
      <w:r>
        <w:rPr>
          <w:rFonts w:hint="eastAsia" w:ascii="仿宋" w:hAnsi="仿宋" w:eastAsia="仿宋" w:cs="宋体"/>
          <w:color w:val="auto"/>
          <w:kern w:val="0"/>
          <w:sz w:val="32"/>
          <w:szCs w:val="32"/>
        </w:rPr>
        <w:t>（格式）</w:t>
      </w:r>
    </w:p>
    <w:p>
      <w:pPr>
        <w:spacing w:line="480" w:lineRule="atLeast"/>
        <w:jc w:val="center"/>
        <w:rPr>
          <w:rFonts w:ascii="仿宋" w:hAnsi="仿宋" w:eastAsia="仿宋" w:cs="宋体"/>
          <w:color w:val="auto"/>
          <w:kern w:val="0"/>
          <w:sz w:val="32"/>
          <w:szCs w:val="32"/>
        </w:rPr>
      </w:pPr>
    </w:p>
    <w:p>
      <w:pPr>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u w:val="single"/>
        </w:rPr>
        <w:t xml:space="preserve"> </w:t>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政府采购项目中标（或者成交）投标人（</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提供的货物（或者工程、服务）进行了验收，验收情况如下：</w:t>
      </w:r>
    </w:p>
    <w:tbl>
      <w:tblPr>
        <w:tblStyle w:val="35"/>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Verdana" w:hAnsi="Verdana" w:cs="宋体"/>
                <w:color w:val="auto"/>
                <w:kern w:val="0"/>
                <w:szCs w:val="21"/>
              </w:rPr>
            </w:pPr>
            <w:r>
              <w:rPr>
                <w:rFonts w:ascii="Verdana" w:hAnsi="Verdana" w:cs="宋体"/>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color w:val="auto"/>
                <w:kern w:val="0"/>
                <w:szCs w:val="21"/>
              </w:rPr>
            </w:pPr>
            <w:r>
              <w:rPr>
                <w:rFonts w:ascii="Verdana" w:hAnsi="Verdana" w:cs="宋体"/>
                <w:color w:val="auto"/>
                <w:kern w:val="0"/>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Verdana" w:hAnsi="Verdana" w:cs="宋体"/>
                <w:color w:val="auto"/>
                <w:kern w:val="0"/>
                <w:szCs w:val="21"/>
              </w:rPr>
            </w:pPr>
            <w:r>
              <w:rPr>
                <w:rFonts w:ascii="Verdana" w:hAnsi="Verdana" w:cs="宋体"/>
                <w:color w:val="auto"/>
                <w:kern w:val="0"/>
                <w:szCs w:val="21"/>
              </w:rPr>
              <w:t xml:space="preserve">合计大写金额： </w:t>
            </w:r>
            <w:r>
              <w:rPr>
                <w:rFonts w:hint="eastAsia" w:ascii="Verdana" w:hAnsi="Verdana" w:cs="宋体"/>
                <w:color w:val="auto"/>
                <w:kern w:val="0"/>
                <w:szCs w:val="21"/>
              </w:rPr>
              <w:t xml:space="preserve">亿 </w:t>
            </w:r>
            <w:r>
              <w:rPr>
                <w:rFonts w:ascii="Verdana" w:hAnsi="Verdana" w:cs="宋体"/>
                <w:color w:val="auto"/>
                <w:kern w:val="0"/>
                <w:szCs w:val="21"/>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color w:val="auto"/>
                <w:kern w:val="0"/>
                <w:szCs w:val="21"/>
              </w:rPr>
            </w:pPr>
            <w:r>
              <w:rPr>
                <w:rFonts w:ascii="Verdana" w:hAnsi="Verdana" w:cs="宋体"/>
                <w:color w:val="auto"/>
                <w:kern w:val="0"/>
                <w:szCs w:val="21"/>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Verdana" w:hAnsi="Verdana" w:cs="宋体"/>
                <w:color w:val="auto"/>
                <w:kern w:val="0"/>
                <w:szCs w:val="21"/>
              </w:rPr>
            </w:pPr>
            <w:r>
              <w:rPr>
                <w:rFonts w:ascii="Verdana" w:hAnsi="Verdana" w:cs="宋体"/>
                <w:color w:val="auto"/>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Verdana" w:hAnsi="Verdana" w:cs="宋体"/>
                <w:color w:val="auto"/>
                <w:kern w:val="0"/>
                <w:szCs w:val="21"/>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Verdana" w:hAnsi="Verdana" w:cs="宋体"/>
                <w:color w:val="auto"/>
                <w:kern w:val="0"/>
                <w:szCs w:val="21"/>
              </w:rPr>
            </w:pPr>
            <w:r>
              <w:rPr>
                <w:rFonts w:ascii="Verdana" w:hAnsi="Verdana" w:cs="宋体"/>
                <w:color w:val="auto"/>
                <w:kern w:val="0"/>
                <w:szCs w:val="21"/>
              </w:rPr>
              <w:t>有异议的意见和说明理由：</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监督人员或者其他相关人员签字：</w:t>
            </w:r>
          </w:p>
          <w:p>
            <w:pPr>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color w:val="auto"/>
                <w:kern w:val="0"/>
                <w:szCs w:val="21"/>
              </w:rPr>
            </w:pPr>
            <w:r>
              <w:rPr>
                <w:rFonts w:ascii="Verdana" w:hAnsi="Verdana" w:cs="宋体"/>
                <w:color w:val="auto"/>
                <w:kern w:val="0"/>
                <w:szCs w:val="21"/>
              </w:rPr>
              <w:t>中标或者成交人负责人签字或者盖章：</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采购人或者受托机构的意见（盖章）：</w:t>
            </w:r>
          </w:p>
          <w:p>
            <w:pPr>
              <w:spacing w:before="100" w:beforeAutospacing="1" w:after="100" w:afterAutospacing="1" w:line="320" w:lineRule="atLeast"/>
              <w:jc w:val="left"/>
              <w:rPr>
                <w:rFonts w:ascii="Verdana" w:hAnsi="Verdana" w:cs="宋体"/>
                <w:color w:val="auto"/>
                <w:kern w:val="0"/>
                <w:szCs w:val="21"/>
              </w:rPr>
            </w:pPr>
            <w:r>
              <w:rPr>
                <w:rFonts w:ascii="Verdana" w:hAnsi="Verdana" w:cs="宋体"/>
                <w:color w:val="auto"/>
                <w:kern w:val="0"/>
                <w:szCs w:val="21"/>
              </w:rPr>
              <w:t>联系电话： 年 月 日</w:t>
            </w:r>
          </w:p>
        </w:tc>
      </w:tr>
    </w:tbl>
    <w:p>
      <w:pPr>
        <w:jc w:val="left"/>
        <w:rPr>
          <w:rFonts w:hAnsi="宋体"/>
          <w:color w:val="auto"/>
        </w:rPr>
      </w:pPr>
      <w:r>
        <w:rPr>
          <w:rFonts w:hAnsi="宋体"/>
          <w:color w:val="auto"/>
        </w:rPr>
        <w:br w:type="page"/>
      </w:r>
      <w:r>
        <w:rPr>
          <w:rFonts w:hint="eastAsia" w:hAnsi="宋体"/>
          <w:color w:val="auto"/>
        </w:rPr>
        <w:t>附件2：</w:t>
      </w:r>
    </w:p>
    <w:p>
      <w:pPr>
        <w:jc w:val="center"/>
        <w:rPr>
          <w:rFonts w:ascii="黑体" w:hAnsi="黑体" w:eastAsia="黑体"/>
          <w:color w:val="auto"/>
          <w:sz w:val="32"/>
          <w:szCs w:val="32"/>
        </w:rPr>
      </w:pPr>
      <w:r>
        <w:rPr>
          <w:rFonts w:hint="eastAsia" w:ascii="黑体" w:hAnsi="黑体" w:eastAsia="黑体"/>
          <w:color w:val="auto"/>
          <w:sz w:val="32"/>
          <w:szCs w:val="32"/>
        </w:rPr>
        <w:t>政府采购项目履约保证金退付意见书（参考）</w:t>
      </w:r>
    </w:p>
    <w:p>
      <w:pPr>
        <w:jc w:val="center"/>
        <w:rPr>
          <w:rFonts w:ascii="黑体" w:hAnsi="黑体" w:eastAsia="黑体"/>
          <w:color w:val="auto"/>
          <w:sz w:val="36"/>
          <w:szCs w:val="36"/>
        </w:rPr>
      </w:pPr>
    </w:p>
    <w:tbl>
      <w:tblPr>
        <w:tblStyle w:val="3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auto"/>
                <w:sz w:val="24"/>
              </w:rPr>
            </w:pPr>
            <w:r>
              <w:rPr>
                <w:rFonts w:hint="eastAsia"/>
                <w:color w:val="auto"/>
                <w:sz w:val="24"/>
              </w:rPr>
              <w:t>供</w:t>
            </w:r>
          </w:p>
          <w:p>
            <w:pPr>
              <w:jc w:val="center"/>
              <w:rPr>
                <w:color w:val="auto"/>
                <w:sz w:val="24"/>
              </w:rPr>
            </w:pPr>
            <w:r>
              <w:rPr>
                <w:rFonts w:hint="eastAsia"/>
                <w:color w:val="auto"/>
                <w:sz w:val="24"/>
              </w:rPr>
              <w:t>应</w:t>
            </w:r>
          </w:p>
          <w:p>
            <w:pPr>
              <w:jc w:val="center"/>
              <w:rPr>
                <w:color w:val="auto"/>
                <w:sz w:val="24"/>
              </w:rPr>
            </w:pPr>
            <w:r>
              <w:rPr>
                <w:rFonts w:hint="eastAsia"/>
                <w:color w:val="auto"/>
                <w:sz w:val="24"/>
              </w:rPr>
              <w:t>商</w:t>
            </w:r>
          </w:p>
          <w:p>
            <w:pPr>
              <w:jc w:val="center"/>
              <w:rPr>
                <w:color w:val="auto"/>
                <w:sz w:val="24"/>
              </w:rPr>
            </w:pPr>
            <w:r>
              <w:rPr>
                <w:rFonts w:hint="eastAsia"/>
                <w:color w:val="auto"/>
                <w:sz w:val="24"/>
              </w:rPr>
              <w:t>申</w:t>
            </w:r>
          </w:p>
          <w:p>
            <w:pPr>
              <w:jc w:val="center"/>
              <w:rPr>
                <w:color w:val="auto"/>
                <w:sz w:val="24"/>
              </w:rPr>
            </w:pPr>
            <w:r>
              <w:rPr>
                <w:rFonts w:hint="eastAsia"/>
                <w:color w:val="auto"/>
                <w:sz w:val="24"/>
              </w:rPr>
              <w:t>请</w:t>
            </w:r>
          </w:p>
        </w:tc>
        <w:tc>
          <w:tcPr>
            <w:tcW w:w="8456" w:type="dxa"/>
            <w:vAlign w:val="center"/>
          </w:tcPr>
          <w:p>
            <w:pPr>
              <w:rPr>
                <w:color w:val="auto"/>
                <w:sz w:val="24"/>
              </w:rPr>
            </w:pPr>
            <w:r>
              <w:rPr>
                <w:rFonts w:hint="eastAsia"/>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auto"/>
                <w:sz w:val="24"/>
              </w:rPr>
            </w:pPr>
          </w:p>
        </w:tc>
        <w:tc>
          <w:tcPr>
            <w:tcW w:w="8456" w:type="dxa"/>
            <w:vAlign w:val="center"/>
          </w:tcPr>
          <w:p>
            <w:pPr>
              <w:rPr>
                <w:color w:val="auto"/>
                <w:sz w:val="24"/>
              </w:rPr>
            </w:pPr>
            <w:r>
              <w:rPr>
                <w:rFonts w:hint="eastAsia"/>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auto"/>
                <w:sz w:val="24"/>
              </w:rPr>
            </w:pPr>
          </w:p>
        </w:tc>
        <w:tc>
          <w:tcPr>
            <w:tcW w:w="8456" w:type="dxa"/>
          </w:tcPr>
          <w:p>
            <w:pPr>
              <w:rPr>
                <w:color w:val="auto"/>
                <w:sz w:val="24"/>
              </w:rPr>
            </w:pPr>
            <w:r>
              <w:rPr>
                <w:rFonts w:hint="eastAsia"/>
                <w:color w:val="auto"/>
                <w:sz w:val="24"/>
              </w:rPr>
              <w:t xml:space="preserve">  </w:t>
            </w:r>
          </w:p>
          <w:p>
            <w:pPr>
              <w:spacing w:line="400" w:lineRule="exact"/>
              <w:ind w:firstLine="480" w:firstLineChars="200"/>
              <w:rPr>
                <w:color w:val="auto"/>
                <w:sz w:val="24"/>
              </w:rPr>
            </w:pPr>
            <w:r>
              <w:rPr>
                <w:rFonts w:hint="eastAsia"/>
                <w:color w:val="auto"/>
                <w:sz w:val="24"/>
              </w:rPr>
              <w:t>该项目已于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日验收并交付使用。根据合同规定，该项目的履约保证金期限于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日已满，请将履约保证金</w:t>
            </w:r>
          </w:p>
          <w:p>
            <w:pPr>
              <w:spacing w:line="400" w:lineRule="exact"/>
              <w:rPr>
                <w:color w:val="auto"/>
                <w:sz w:val="24"/>
              </w:rPr>
            </w:pPr>
            <w:r>
              <w:rPr>
                <w:rFonts w:hint="eastAsia"/>
                <w:color w:val="auto"/>
                <w:sz w:val="24"/>
                <w:u w:val="single"/>
              </w:rPr>
              <w:t xml:space="preserve">                                        </w:t>
            </w:r>
            <w:r>
              <w:rPr>
                <w:rFonts w:hint="eastAsia"/>
                <w:color w:val="auto"/>
                <w:sz w:val="24"/>
              </w:rPr>
              <w:t>（大写）￥</w:t>
            </w:r>
            <w:r>
              <w:rPr>
                <w:rFonts w:hint="eastAsia"/>
                <w:color w:val="auto"/>
                <w:sz w:val="24"/>
                <w:u w:val="single"/>
              </w:rPr>
              <w:t xml:space="preserve">          </w:t>
            </w:r>
            <w:r>
              <w:rPr>
                <w:rFonts w:hint="eastAsia"/>
                <w:color w:val="auto"/>
                <w:sz w:val="24"/>
              </w:rPr>
              <w:t>（小写）退付到达以下帐户。</w:t>
            </w:r>
          </w:p>
          <w:p>
            <w:pPr>
              <w:spacing w:line="400" w:lineRule="exact"/>
              <w:ind w:firstLine="705"/>
              <w:rPr>
                <w:color w:val="auto"/>
                <w:sz w:val="24"/>
              </w:rPr>
            </w:pPr>
            <w:r>
              <w:rPr>
                <w:rFonts w:hint="eastAsia"/>
                <w:color w:val="auto"/>
                <w:sz w:val="24"/>
              </w:rPr>
              <w:t>单位名称：</w:t>
            </w:r>
          </w:p>
          <w:p>
            <w:pPr>
              <w:spacing w:line="400" w:lineRule="exact"/>
              <w:ind w:firstLine="705"/>
              <w:rPr>
                <w:color w:val="auto"/>
                <w:sz w:val="24"/>
              </w:rPr>
            </w:pPr>
            <w:r>
              <w:rPr>
                <w:rFonts w:hint="eastAsia"/>
                <w:color w:val="auto"/>
                <w:sz w:val="24"/>
              </w:rPr>
              <w:t>开户银行：</w:t>
            </w:r>
          </w:p>
          <w:p>
            <w:pPr>
              <w:spacing w:line="400" w:lineRule="exact"/>
              <w:ind w:firstLine="705"/>
              <w:rPr>
                <w:color w:val="auto"/>
                <w:sz w:val="24"/>
              </w:rPr>
            </w:pPr>
            <w:r>
              <w:rPr>
                <w:rFonts w:hint="eastAsia"/>
                <w:color w:val="auto"/>
                <w:sz w:val="24"/>
              </w:rPr>
              <w:t>帐   号：</w:t>
            </w:r>
          </w:p>
          <w:p>
            <w:pPr>
              <w:spacing w:line="400" w:lineRule="exact"/>
              <w:rPr>
                <w:color w:val="auto"/>
                <w:sz w:val="24"/>
              </w:rPr>
            </w:pPr>
            <w:r>
              <w:rPr>
                <w:rFonts w:hint="eastAsia"/>
                <w:color w:val="auto"/>
                <w:sz w:val="24"/>
              </w:rPr>
              <w:t>联系人及电话：</w:t>
            </w:r>
          </w:p>
          <w:p>
            <w:pPr>
              <w:spacing w:line="400" w:lineRule="exact"/>
              <w:rPr>
                <w:color w:val="auto"/>
                <w:sz w:val="24"/>
              </w:rPr>
            </w:pPr>
          </w:p>
          <w:p>
            <w:pPr>
              <w:spacing w:line="520" w:lineRule="exact"/>
              <w:jc w:val="center"/>
              <w:rPr>
                <w:color w:val="auto"/>
                <w:sz w:val="24"/>
              </w:rPr>
            </w:pPr>
            <w:r>
              <w:rPr>
                <w:rFonts w:hint="eastAsia"/>
                <w:color w:val="auto"/>
                <w:sz w:val="24"/>
              </w:rPr>
              <w:t xml:space="preserve">         投标人签章：</w:t>
            </w:r>
          </w:p>
          <w:p>
            <w:pPr>
              <w:spacing w:line="520" w:lineRule="exact"/>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color w:val="auto"/>
                <w:sz w:val="24"/>
              </w:rPr>
            </w:pPr>
            <w:r>
              <w:rPr>
                <w:rFonts w:hint="eastAsia"/>
                <w:color w:val="auto"/>
                <w:sz w:val="24"/>
              </w:rPr>
              <w:t>采</w:t>
            </w:r>
          </w:p>
          <w:p>
            <w:pPr>
              <w:jc w:val="center"/>
              <w:rPr>
                <w:color w:val="auto"/>
                <w:sz w:val="24"/>
              </w:rPr>
            </w:pPr>
            <w:r>
              <w:rPr>
                <w:rFonts w:hint="eastAsia"/>
                <w:color w:val="auto"/>
                <w:sz w:val="24"/>
              </w:rPr>
              <w:t>购</w:t>
            </w:r>
          </w:p>
          <w:p>
            <w:pPr>
              <w:jc w:val="center"/>
              <w:rPr>
                <w:color w:val="auto"/>
                <w:sz w:val="24"/>
              </w:rPr>
            </w:pPr>
            <w:r>
              <w:rPr>
                <w:rFonts w:hint="eastAsia"/>
                <w:color w:val="auto"/>
                <w:sz w:val="24"/>
              </w:rPr>
              <w:t>人</w:t>
            </w:r>
          </w:p>
          <w:p>
            <w:pPr>
              <w:jc w:val="center"/>
              <w:rPr>
                <w:color w:val="auto"/>
                <w:sz w:val="24"/>
              </w:rPr>
            </w:pPr>
            <w:r>
              <w:rPr>
                <w:rFonts w:hint="eastAsia"/>
                <w:color w:val="auto"/>
                <w:sz w:val="24"/>
              </w:rPr>
              <w:t>意</w:t>
            </w:r>
          </w:p>
          <w:p>
            <w:pPr>
              <w:jc w:val="center"/>
              <w:rPr>
                <w:color w:val="auto"/>
                <w:sz w:val="24"/>
              </w:rPr>
            </w:pPr>
            <w:r>
              <w:rPr>
                <w:rFonts w:hint="eastAsia"/>
                <w:color w:val="auto"/>
                <w:sz w:val="24"/>
              </w:rPr>
              <w:t>见</w:t>
            </w:r>
          </w:p>
        </w:tc>
        <w:tc>
          <w:tcPr>
            <w:tcW w:w="8456" w:type="dxa"/>
          </w:tcPr>
          <w:p>
            <w:pPr>
              <w:rPr>
                <w:color w:val="auto"/>
                <w:sz w:val="24"/>
              </w:rPr>
            </w:pPr>
          </w:p>
          <w:p>
            <w:pPr>
              <w:rPr>
                <w:color w:val="auto"/>
                <w:sz w:val="24"/>
              </w:rPr>
            </w:pPr>
            <w:r>
              <w:rPr>
                <w:rFonts w:hint="eastAsia"/>
                <w:color w:val="auto"/>
                <w:sz w:val="24"/>
              </w:rPr>
              <w:t>退付意见：（是否同意退付履约保证金及退付金额）</w:t>
            </w:r>
          </w:p>
          <w:p>
            <w:pPr>
              <w:rPr>
                <w:color w:val="auto"/>
                <w:sz w:val="24"/>
              </w:rPr>
            </w:pPr>
          </w:p>
          <w:p>
            <w:pPr>
              <w:rPr>
                <w:color w:val="auto"/>
                <w:sz w:val="24"/>
              </w:rPr>
            </w:pPr>
          </w:p>
          <w:p>
            <w:pPr>
              <w:rPr>
                <w:color w:val="auto"/>
                <w:sz w:val="24"/>
              </w:rPr>
            </w:pPr>
          </w:p>
          <w:p>
            <w:pPr>
              <w:rPr>
                <w:color w:val="auto"/>
                <w:sz w:val="24"/>
              </w:rPr>
            </w:pPr>
          </w:p>
          <w:p>
            <w:pPr>
              <w:spacing w:line="520" w:lineRule="exact"/>
              <w:rPr>
                <w:color w:val="auto"/>
                <w:sz w:val="24"/>
              </w:rPr>
            </w:pPr>
            <w:r>
              <w:rPr>
                <w:rFonts w:hint="eastAsia"/>
                <w:color w:val="auto"/>
                <w:sz w:val="24"/>
              </w:rPr>
              <w:t>联系人及电话：                         采购人签章</w:t>
            </w:r>
          </w:p>
          <w:p>
            <w:pPr>
              <w:spacing w:line="520" w:lineRule="exact"/>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vAlign w:val="center"/>
          </w:tcPr>
          <w:p>
            <w:pPr>
              <w:jc w:val="center"/>
              <w:rPr>
                <w:color w:val="auto"/>
                <w:sz w:val="24"/>
              </w:rPr>
            </w:pPr>
            <w:r>
              <w:rPr>
                <w:rFonts w:hint="eastAsia"/>
                <w:color w:val="auto"/>
                <w:sz w:val="24"/>
              </w:rPr>
              <w:t>备注</w:t>
            </w:r>
          </w:p>
        </w:tc>
        <w:tc>
          <w:tcPr>
            <w:tcW w:w="8456" w:type="dxa"/>
          </w:tcPr>
          <w:p>
            <w:pPr>
              <w:rPr>
                <w:color w:val="auto"/>
                <w:sz w:val="24"/>
              </w:rPr>
            </w:pPr>
          </w:p>
        </w:tc>
      </w:tr>
    </w:tbl>
    <w:p>
      <w:pPr>
        <w:pStyle w:val="14"/>
        <w:ind w:left="420" w:leftChars="114" w:hanging="181" w:hangingChars="100"/>
        <w:rPr>
          <w:rFonts w:ascii="宋体"/>
          <w:b/>
          <w:bCs/>
          <w:color w:val="auto"/>
          <w:sz w:val="18"/>
        </w:rPr>
      </w:pPr>
      <w:r>
        <w:rPr>
          <w:rFonts w:hint="eastAsia" w:ascii="宋体"/>
          <w:b/>
          <w:bCs/>
          <w:color w:val="auto"/>
          <w:sz w:val="18"/>
        </w:rPr>
        <w:t>注：投标人凭经采购人审批的退付意见书到保证金收取单位办理履约保证金退付事宜。</w:t>
      </w:r>
    </w:p>
    <w:p>
      <w:pPr>
        <w:pStyle w:val="18"/>
        <w:snapToGrid w:val="0"/>
        <w:spacing w:before="120" w:after="120"/>
        <w:rPr>
          <w:rFonts w:hAnsi="宋体"/>
          <w:color w:val="auto"/>
        </w:rPr>
      </w:pPr>
    </w:p>
    <w:p>
      <w:pPr>
        <w:jc w:val="left"/>
        <w:rPr>
          <w:rFonts w:hAnsi="宋体"/>
          <w:color w:val="auto"/>
        </w:rPr>
      </w:pPr>
      <w:r>
        <w:rPr>
          <w:rFonts w:hAnsi="宋体"/>
          <w:color w:val="auto"/>
        </w:rPr>
        <w:br w:type="page"/>
      </w:r>
      <w:r>
        <w:rPr>
          <w:rFonts w:hint="eastAsia" w:hAnsi="宋体"/>
          <w:color w:val="auto"/>
        </w:rPr>
        <w:t>附件3：</w:t>
      </w:r>
    </w:p>
    <w:p>
      <w:pPr>
        <w:spacing w:line="528" w:lineRule="exact"/>
        <w:ind w:left="1871"/>
        <w:rPr>
          <w:rFonts w:ascii="Arial Unicode MS" w:hAnsi="Arial Unicode MS" w:eastAsia="Arial Unicode MS" w:cs="Arial Unicode MS"/>
          <w:color w:val="auto"/>
          <w:sz w:val="40"/>
          <w:szCs w:val="40"/>
        </w:rPr>
      </w:pPr>
      <w:r>
        <w:rPr>
          <w:rFonts w:hint="eastAsia" w:ascii="Arial Unicode MS" w:hAnsi="Arial Unicode MS" w:eastAsia="Arial Unicode MS" w:cs="Arial Unicode MS"/>
          <w:color w:val="auto"/>
          <w:sz w:val="40"/>
          <w:szCs w:val="40"/>
        </w:rPr>
        <w:t>节能产品政府采购品目清单</w:t>
      </w:r>
    </w:p>
    <w:tbl>
      <w:tblPr>
        <w:tblStyle w:val="35"/>
        <w:tblW w:w="0" w:type="auto"/>
        <w:tblInd w:w="93" w:type="dxa"/>
        <w:tblLayout w:type="fixed"/>
        <w:tblCellMar>
          <w:top w:w="0" w:type="dxa"/>
          <w:left w:w="108" w:type="dxa"/>
          <w:bottom w:w="0" w:type="dxa"/>
          <w:right w:w="108" w:type="dxa"/>
        </w:tblCellMar>
      </w:tblPr>
      <w:tblGrid>
        <w:gridCol w:w="660"/>
        <w:gridCol w:w="1080"/>
        <w:gridCol w:w="1320"/>
        <w:gridCol w:w="1620"/>
        <w:gridCol w:w="4540"/>
      </w:tblGrid>
      <w:tr>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依据的标准</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A02010609图形图像输入设备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A0201060901扫描仪</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A020202投影仪</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A020204多功能一体机</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A020519泵</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A02051901离心泵</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★A02052301制冷压缩机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冷水机组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水源热泵机组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溴化锂吸收式冷水机组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★A02052305空调机组</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多联式空调（热泵）机组(制冷量&gt;14000W)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单元式空气调节机(制冷量&gt;14000W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★A02052309专用制冷、空调设备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机房空调</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A02052399其他制冷空调设备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冷却塔</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A020601电机</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A020602变压器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配电变压器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★A020609镇流器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管型荧光灯镇流器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A020618生活用电器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A0206180101电冰箱</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★A0206180203空调机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房间空气调节器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多联式空调（热泵）机组（制冷量≤ 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单元式空气调节机(制冷量≤14000W)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A0206180301洗衣机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A02061808热水器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★电热水器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燃气热水器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热泵热水器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太阳能热水系统</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A020619照明设备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★普通照明用双端荧光灯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LED道路/隧道照明产品</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LED筒灯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普通照明用非定向自镇流LED灯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★A020910电视设备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A02091001普通电视设备（电视机）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★A020911视频设备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A02091107视频监控设备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监视器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A031210饮食炊事机械</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商用燃气灶具</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★A060805便器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坐便器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蹲便器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小便器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16</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★A060806水嘴</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17</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A060807便器冲洗阀</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《淋浴器用水效率限定值及用水效率等级》（GB28378）</w:t>
            </w:r>
          </w:p>
        </w:tc>
      </w:tr>
    </w:tbl>
    <w:p>
      <w:pPr>
        <w:pStyle w:val="14"/>
        <w:spacing w:line="360" w:lineRule="auto"/>
        <w:rPr>
          <w:rFonts w:ascii="宋体" w:hAnsi="宋体"/>
          <w:color w:val="auto"/>
          <w:szCs w:val="21"/>
        </w:rPr>
      </w:pPr>
      <w:r>
        <w:rPr>
          <w:rFonts w:hint="eastAsia"/>
          <w:color w:val="auto"/>
          <w:spacing w:val="-3"/>
          <w:szCs w:val="21"/>
        </w:rPr>
        <w:t>注：</w:t>
      </w:r>
      <w:r>
        <w:rPr>
          <w:color w:val="auto"/>
          <w:spacing w:val="-3"/>
          <w:szCs w:val="21"/>
        </w:rPr>
        <w:t>1.</w:t>
      </w:r>
      <w:r>
        <w:rPr>
          <w:rFonts w:hint="eastAsia"/>
          <w:color w:val="auto"/>
          <w:spacing w:val="-3"/>
          <w:szCs w:val="21"/>
        </w:rPr>
        <w:t>节能产品认证应依据相关国家标准的最新版本，依据国家标准中二级能效（水效）</w:t>
      </w:r>
      <w:r>
        <w:rPr>
          <w:rFonts w:hint="eastAsia"/>
          <w:color w:val="auto"/>
          <w:szCs w:val="21"/>
        </w:rPr>
        <w:t>指标。</w:t>
      </w:r>
    </w:p>
    <w:p>
      <w:pPr>
        <w:pStyle w:val="18"/>
        <w:jc w:val="left"/>
        <w:rPr>
          <w:rFonts w:ascii="Times New Roman" w:hAnsi="宋体"/>
          <w:color w:val="auto"/>
          <w:szCs w:val="24"/>
        </w:rPr>
      </w:pPr>
      <w:r>
        <w:rPr>
          <w:rFonts w:hint="eastAsia" w:hAnsi="宋体"/>
          <w:color w:val="auto"/>
        </w:rPr>
        <w:t xml:space="preserve">    </w:t>
      </w:r>
      <w:r>
        <w:rPr>
          <w:color w:val="auto"/>
        </w:rPr>
        <w:t>2.</w:t>
      </w:r>
      <w:r>
        <w:rPr>
          <w:rFonts w:hint="eastAsia"/>
          <w:color w:val="auto"/>
        </w:rPr>
        <w:t>以</w:t>
      </w:r>
      <w:r>
        <w:rPr>
          <w:color w:val="auto"/>
        </w:rPr>
        <w:t>“</w:t>
      </w:r>
      <w:r>
        <w:rPr>
          <w:rFonts w:hint="eastAsia"/>
          <w:color w:val="auto"/>
        </w:rPr>
        <w:t>★</w:t>
      </w:r>
      <w:r>
        <w:rPr>
          <w:color w:val="auto"/>
        </w:rPr>
        <w:t>”</w:t>
      </w:r>
      <w:r>
        <w:rPr>
          <w:rFonts w:hint="eastAsia"/>
          <w:color w:val="auto"/>
        </w:rPr>
        <w:t>标注的为政府强制采购产品。</w:t>
      </w:r>
      <w:r>
        <w:rPr>
          <w:color w:val="auto"/>
        </w:rPr>
        <w:br w:type="page"/>
      </w:r>
      <w:r>
        <w:rPr>
          <w:rFonts w:hint="eastAsia" w:ascii="Times New Roman" w:hAnsi="宋体"/>
          <w:color w:val="auto"/>
          <w:szCs w:val="24"/>
        </w:rPr>
        <w:t>附件4：</w:t>
      </w:r>
    </w:p>
    <w:p>
      <w:pPr>
        <w:spacing w:line="528" w:lineRule="exact"/>
        <w:ind w:left="1871"/>
        <w:jc w:val="center"/>
        <w:rPr>
          <w:rFonts w:ascii="Arial Unicode MS" w:hAnsi="Arial Unicode MS" w:eastAsia="Arial Unicode MS" w:cs="Arial Unicode MS"/>
          <w:color w:val="auto"/>
          <w:sz w:val="40"/>
          <w:szCs w:val="40"/>
        </w:rPr>
      </w:pPr>
      <w:r>
        <w:rPr>
          <w:rFonts w:hint="eastAsia" w:ascii="Arial Unicode MS" w:hAnsi="Arial Unicode MS" w:eastAsia="Arial Unicode MS" w:cs="Arial Unicode MS"/>
          <w:color w:val="auto"/>
          <w:sz w:val="40"/>
          <w:szCs w:val="40"/>
        </w:rPr>
        <w:t>中小微企业划型标准</w:t>
      </w:r>
    </w:p>
    <w:tbl>
      <w:tblPr>
        <w:tblStyle w:val="35"/>
        <w:tblW w:w="0" w:type="auto"/>
        <w:tblInd w:w="250" w:type="dxa"/>
        <w:tblLayout w:type="fixed"/>
        <w:tblCellMar>
          <w:top w:w="0" w:type="dxa"/>
          <w:left w:w="108" w:type="dxa"/>
          <w:bottom w:w="0" w:type="dxa"/>
          <w:right w:w="108" w:type="dxa"/>
        </w:tblCellMar>
      </w:tblPr>
      <w:tblGrid>
        <w:gridCol w:w="1985"/>
        <w:gridCol w:w="1984"/>
        <w:gridCol w:w="851"/>
        <w:gridCol w:w="1842"/>
        <w:gridCol w:w="1701"/>
        <w:gridCol w:w="1134"/>
      </w:tblGrid>
      <w:tr>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行业名称</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指标名称</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计量单位</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中型</w:t>
            </w:r>
          </w:p>
        </w:tc>
        <w:tc>
          <w:tcPr>
            <w:tcW w:w="170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小型</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rPr>
            </w:pPr>
            <w:r>
              <w:rPr>
                <w:rFonts w:hint="eastAsia" w:ascii="宋体" w:hAnsi="宋体" w:cs="宋体"/>
                <w:b/>
                <w:color w:val="auto"/>
                <w:kern w:val="0"/>
                <w:sz w:val="24"/>
              </w:rPr>
              <w:t>微型</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农、林、牧、渔</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500≤Y＜20000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工业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300≤X＜1000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2000≤Y＜40000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建筑业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6000≤Y＜80000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300≤Y＜6000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5000≤Z＜80000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300≤Z＜5000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Z＜300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批发业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20≤X＜200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5≤X＜20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X＜5</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5000≤Y＜40000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零售业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10≤X＜50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500≤Y＜20000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交通运输业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300≤X＜1000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3000≤Y＜30000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200≤Y＜3000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Y＜200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仓储业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100≤X＜200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1000≤Y＜30000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邮政业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300≤X＜1000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2000≤Y＜30000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住宿业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2000≤Y＜10000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餐饮业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2000≤Y＜10000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信息传输业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100≤X＜2000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1000≤Y＜100000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软件和信息技术服务业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1000≤Y＜10000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房地产开发经营</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1000≤Y＜200000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5000≤Z＜10000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2000≤Y＜5000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Y＜2000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物业管理</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300≤X＜1000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1000≤Y＜5000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Y＜500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租赁和商务服务业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8000≤Z＜120000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100≤Z＜8000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Y＜100</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其他未列明行业</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100≤X＜300</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X＜10</w:t>
            </w:r>
          </w:p>
        </w:tc>
      </w:tr>
    </w:tbl>
    <w:p>
      <w:pPr>
        <w:spacing w:line="560" w:lineRule="exact"/>
        <w:ind w:firstLine="525" w:firstLineChars="250"/>
        <w:rPr>
          <w:rFonts w:ascii="宋体" w:hAnsi="宋体" w:cs="宋体"/>
          <w:color w:val="auto"/>
        </w:rPr>
        <w:sectPr>
          <w:footerReference r:id="rId4" w:type="default"/>
          <w:pgSz w:w="11906" w:h="16838"/>
          <w:pgMar w:top="1134" w:right="1134" w:bottom="1134" w:left="1134" w:header="720" w:footer="720" w:gutter="0"/>
          <w:pgNumType w:start="1"/>
          <w:cols w:space="720" w:num="1"/>
          <w:docGrid w:type="lines" w:linePitch="331" w:charSpace="0"/>
        </w:sectPr>
      </w:pPr>
      <w:r>
        <w:rPr>
          <w:rFonts w:hint="eastAsia" w:ascii="宋体" w:hAnsi="宋体" w:cs="宋体"/>
          <w:color w:val="auto"/>
          <w:szCs w:val="21"/>
        </w:rPr>
        <w:t>说明：上述标准参照《关于印发中小企业划型标准规定的通知》（工信部联企业[2011]300号），大型、中型和小型企业须同时满足所列指标的下限，否则下划一档；微型企业只须满足所列指标中的一项即可。</w:t>
      </w: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18"/>
        <w:snapToGrid w:val="0"/>
        <w:spacing w:before="120" w:after="120"/>
        <w:rPr>
          <w:rFonts w:hAnsi="宋体"/>
          <w:color w:val="auto"/>
        </w:rPr>
      </w:pPr>
    </w:p>
    <w:p>
      <w:pPr>
        <w:pStyle w:val="4"/>
        <w:keepNext w:val="0"/>
        <w:keepLines w:val="0"/>
        <w:jc w:val="center"/>
        <w:rPr>
          <w:color w:val="auto"/>
        </w:rPr>
      </w:pPr>
      <w:bookmarkStart w:id="142" w:name="_Toc19686832"/>
      <w:bookmarkStart w:id="143" w:name="_Toc330456896"/>
      <w:bookmarkStart w:id="144" w:name="_Toc254970548"/>
      <w:bookmarkStart w:id="145" w:name="_Toc254970689"/>
      <w:r>
        <w:rPr>
          <w:rFonts w:hint="eastAsia"/>
          <w:color w:val="auto"/>
        </w:rPr>
        <w:t>第四章  评标方法及评标标准</w:t>
      </w:r>
      <w:bookmarkEnd w:id="142"/>
      <w:bookmarkEnd w:id="143"/>
      <w:bookmarkEnd w:id="144"/>
      <w:bookmarkEnd w:id="145"/>
    </w:p>
    <w:p>
      <w:pPr>
        <w:pStyle w:val="18"/>
        <w:spacing w:before="120" w:after="120"/>
        <w:outlineLvl w:val="0"/>
        <w:rPr>
          <w:rFonts w:hAnsi="宋体"/>
          <w:b/>
          <w:color w:val="auto"/>
        </w:rPr>
      </w:pPr>
      <w:bookmarkStart w:id="146" w:name="_Toc254970549"/>
      <w:bookmarkStart w:id="147" w:name="_Toc254970690"/>
    </w:p>
    <w:bookmarkEnd w:id="146"/>
    <w:bookmarkEnd w:id="147"/>
    <w:p>
      <w:pPr>
        <w:pStyle w:val="18"/>
        <w:spacing w:before="120" w:after="120"/>
        <w:outlineLvl w:val="0"/>
        <w:rPr>
          <w:rFonts w:hAnsi="宋体"/>
          <w:bCs/>
          <w:color w:val="auto"/>
          <w:sz w:val="32"/>
          <w:szCs w:val="32"/>
        </w:rPr>
      </w:pPr>
    </w:p>
    <w:p>
      <w:pPr>
        <w:rPr>
          <w:color w:val="auto"/>
        </w:rPr>
      </w:pPr>
      <w:r>
        <w:rPr>
          <w:rFonts w:hint="eastAsia"/>
          <w:color w:val="auto"/>
        </w:rPr>
        <w:br w:type="page"/>
      </w:r>
    </w:p>
    <w:p>
      <w:pPr>
        <w:pStyle w:val="2"/>
        <w:keepNext w:val="0"/>
        <w:keepLines w:val="0"/>
        <w:jc w:val="center"/>
        <w:rPr>
          <w:color w:val="auto"/>
        </w:rPr>
      </w:pPr>
      <w:r>
        <w:rPr>
          <w:rFonts w:hint="eastAsia"/>
          <w:color w:val="auto"/>
        </w:rPr>
        <w:t>一、评标方法</w:t>
      </w:r>
    </w:p>
    <w:p>
      <w:pPr>
        <w:pStyle w:val="18"/>
        <w:spacing w:line="360" w:lineRule="auto"/>
        <w:ind w:firstLine="420"/>
        <w:rPr>
          <w:rFonts w:hAnsi="宋体"/>
          <w:color w:val="auto"/>
        </w:rPr>
      </w:pPr>
      <w:r>
        <w:rPr>
          <w:rFonts w:hint="eastAsia" w:hAnsi="宋体"/>
          <w:color w:val="auto"/>
        </w:rPr>
        <w:t>综合评分法，是指投标文件满足招标文件全部实质性要求，且按照评审因素的量化指标评审得分最高的投标人为中标候选人的评标方法。</w:t>
      </w:r>
    </w:p>
    <w:p>
      <w:pPr>
        <w:pStyle w:val="18"/>
        <w:spacing w:line="360" w:lineRule="auto"/>
        <w:ind w:firstLine="420"/>
        <w:rPr>
          <w:rFonts w:hAnsi="宋体"/>
          <w:color w:val="auto"/>
        </w:rPr>
      </w:pPr>
      <w:r>
        <w:rPr>
          <w:rFonts w:hint="eastAsia" w:hAnsi="宋体"/>
          <w:color w:val="auto"/>
        </w:rPr>
        <w:t>最低评标价法，是指投标文件满足招标文件全部实质性要求，且投标报价最低的投标人为中标候选人的评标方法。</w:t>
      </w:r>
    </w:p>
    <w:p>
      <w:pPr>
        <w:pStyle w:val="2"/>
        <w:keepNext w:val="0"/>
        <w:keepLines w:val="0"/>
        <w:jc w:val="center"/>
        <w:rPr>
          <w:color w:val="auto"/>
        </w:rPr>
      </w:pPr>
      <w:r>
        <w:rPr>
          <w:rFonts w:hint="eastAsia"/>
          <w:color w:val="auto"/>
        </w:rPr>
        <w:t>二、评标程序</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1.符合性审查</w:t>
      </w:r>
    </w:p>
    <w:p>
      <w:pPr>
        <w:pStyle w:val="18"/>
        <w:snapToGrid w:val="0"/>
        <w:spacing w:line="360" w:lineRule="auto"/>
        <w:ind w:left="1" w:firstLine="420"/>
        <w:rPr>
          <w:rFonts w:hAnsi="宋体"/>
          <w:b/>
          <w:color w:val="auto"/>
        </w:rPr>
      </w:pPr>
      <w:r>
        <w:rPr>
          <w:rFonts w:hint="eastAsia" w:hAnsi="宋体"/>
          <w:b/>
          <w:color w:val="auto"/>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符合性审查不通过而导致投标无效的情形</w:t>
      </w:r>
    </w:p>
    <w:p>
      <w:pPr>
        <w:snapToGrid w:val="0"/>
        <w:spacing w:line="360" w:lineRule="auto"/>
        <w:ind w:firstLine="422" w:firstLineChars="200"/>
        <w:rPr>
          <w:rFonts w:ascii="宋体" w:hAnsi="宋体"/>
          <w:b/>
          <w:color w:val="auto"/>
          <w:szCs w:val="21"/>
        </w:rPr>
      </w:pPr>
      <w:r>
        <w:rPr>
          <w:rFonts w:hint="eastAsia" w:ascii="宋体" w:hAnsi="宋体"/>
          <w:b/>
          <w:color w:val="auto"/>
          <w:szCs w:val="21"/>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2.1在报价评审时，如发现下列情形之一的，将被视为投标无效：</w:t>
      </w:r>
    </w:p>
    <w:p>
      <w:pPr>
        <w:pStyle w:val="7"/>
        <w:numPr>
          <w:ilvl w:val="0"/>
          <w:numId w:val="9"/>
        </w:numPr>
        <w:spacing w:line="360" w:lineRule="auto"/>
        <w:ind w:firstLine="422"/>
        <w:rPr>
          <w:rFonts w:ascii="宋体" w:hAnsi="宋体"/>
          <w:b/>
          <w:color w:val="auto"/>
          <w:szCs w:val="21"/>
        </w:rPr>
      </w:pPr>
      <w:r>
        <w:rPr>
          <w:rFonts w:hint="eastAsia" w:ascii="宋体" w:hAnsi="宋体"/>
          <w:b/>
          <w:color w:val="auto"/>
          <w:spacing w:val="-6"/>
          <w:szCs w:val="21"/>
        </w:rPr>
        <w:t>报价文件</w:t>
      </w:r>
      <w:r>
        <w:rPr>
          <w:rFonts w:hint="eastAsia" w:ascii="宋体" w:hAnsi="宋体"/>
          <w:b/>
          <w:color w:val="auto"/>
          <w:szCs w:val="21"/>
        </w:rPr>
        <w:t>未提供“投标人须知前附表”第13.1条规定中“必须提供”的文件资料的；</w:t>
      </w:r>
    </w:p>
    <w:p>
      <w:pPr>
        <w:pStyle w:val="7"/>
        <w:numPr>
          <w:ilvl w:val="0"/>
          <w:numId w:val="9"/>
        </w:numPr>
        <w:spacing w:line="360" w:lineRule="auto"/>
        <w:ind w:firstLine="422"/>
        <w:rPr>
          <w:rFonts w:ascii="宋体" w:hAnsi="宋体"/>
          <w:b/>
          <w:color w:val="auto"/>
          <w:szCs w:val="21"/>
        </w:rPr>
      </w:pPr>
      <w:r>
        <w:rPr>
          <w:rFonts w:hint="eastAsia" w:ascii="宋体" w:hAnsi="宋体"/>
          <w:b/>
          <w:color w:val="auto"/>
          <w:szCs w:val="21"/>
        </w:rPr>
        <w:t>未采用人民币报价或者未按照招标文件标明的币种报价的；</w:t>
      </w:r>
    </w:p>
    <w:p>
      <w:pPr>
        <w:pStyle w:val="7"/>
        <w:numPr>
          <w:ilvl w:val="0"/>
          <w:numId w:val="9"/>
        </w:numPr>
        <w:spacing w:line="360" w:lineRule="auto"/>
        <w:ind w:firstLine="422"/>
        <w:rPr>
          <w:rFonts w:ascii="宋体" w:hAnsi="宋体"/>
          <w:b/>
          <w:color w:val="auto"/>
          <w:szCs w:val="21"/>
        </w:rPr>
      </w:pPr>
      <w:r>
        <w:rPr>
          <w:rFonts w:hint="eastAsia" w:ascii="宋体" w:hAnsi="宋体"/>
          <w:b/>
          <w:color w:val="auto"/>
          <w:szCs w:val="21"/>
        </w:rPr>
        <w:t>各分标报价超出招标文件相应分标规定最高限价，或者超出相应分标采购预算金额的；</w:t>
      </w:r>
    </w:p>
    <w:p>
      <w:pPr>
        <w:pStyle w:val="7"/>
        <w:numPr>
          <w:ilvl w:val="0"/>
          <w:numId w:val="9"/>
        </w:numPr>
        <w:spacing w:line="360" w:lineRule="auto"/>
        <w:ind w:firstLine="422"/>
        <w:rPr>
          <w:rFonts w:ascii="宋体" w:hAnsi="宋体"/>
          <w:b/>
          <w:color w:val="auto"/>
          <w:szCs w:val="21"/>
        </w:rPr>
      </w:pPr>
      <w:r>
        <w:rPr>
          <w:rFonts w:hint="eastAsia" w:ascii="宋体" w:hAnsi="宋体"/>
          <w:b/>
          <w:color w:val="auto"/>
          <w:szCs w:val="21"/>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7"/>
        <w:numPr>
          <w:ilvl w:val="0"/>
          <w:numId w:val="9"/>
        </w:numPr>
        <w:spacing w:line="360" w:lineRule="auto"/>
        <w:ind w:firstLine="422"/>
        <w:rPr>
          <w:rFonts w:ascii="宋体" w:hAnsi="宋体"/>
          <w:b/>
          <w:color w:val="auto"/>
          <w:szCs w:val="21"/>
        </w:rPr>
      </w:pPr>
      <w:r>
        <w:rPr>
          <w:rFonts w:hint="eastAsia" w:ascii="宋体" w:hAnsi="宋体"/>
          <w:b/>
          <w:color w:val="auto"/>
          <w:szCs w:val="21"/>
        </w:rPr>
        <w:t>修正后的报价，投标人不确认的；</w:t>
      </w:r>
    </w:p>
    <w:p>
      <w:pPr>
        <w:pStyle w:val="7"/>
        <w:numPr>
          <w:ilvl w:val="0"/>
          <w:numId w:val="9"/>
        </w:numPr>
        <w:spacing w:line="360" w:lineRule="auto"/>
        <w:ind w:firstLine="422"/>
        <w:rPr>
          <w:rFonts w:ascii="宋体" w:hAnsi="宋体"/>
          <w:b/>
          <w:color w:val="auto"/>
          <w:szCs w:val="21"/>
        </w:rPr>
      </w:pPr>
      <w:r>
        <w:rPr>
          <w:rFonts w:hint="eastAsia" w:ascii="宋体" w:hAnsi="宋体"/>
          <w:b/>
          <w:color w:val="auto"/>
          <w:szCs w:val="21"/>
        </w:rPr>
        <w:t>投标人属于本章第</w:t>
      </w:r>
      <w:r>
        <w:rPr>
          <w:rFonts w:ascii="宋体" w:hAnsi="宋体"/>
          <w:b/>
          <w:color w:val="auto"/>
          <w:szCs w:val="21"/>
        </w:rPr>
        <w:t>5.1</w:t>
      </w:r>
      <w:r>
        <w:rPr>
          <w:rFonts w:hint="eastAsia" w:ascii="宋体" w:hAnsi="宋体"/>
          <w:b/>
          <w:color w:val="auto"/>
          <w:szCs w:val="21"/>
        </w:rPr>
        <w:t>条（2）或者第5</w:t>
      </w:r>
      <w:r>
        <w:rPr>
          <w:rFonts w:ascii="宋体" w:hAnsi="宋体"/>
          <w:b/>
          <w:color w:val="auto"/>
          <w:szCs w:val="21"/>
        </w:rPr>
        <w:t>.2条</w:t>
      </w:r>
      <w:r>
        <w:rPr>
          <w:rFonts w:hint="eastAsia" w:ascii="宋体" w:hAnsi="宋体"/>
          <w:b/>
          <w:color w:val="auto"/>
          <w:szCs w:val="21"/>
        </w:rPr>
        <w:t>（2）项情形的；</w:t>
      </w:r>
    </w:p>
    <w:p>
      <w:pPr>
        <w:pStyle w:val="7"/>
        <w:numPr>
          <w:ilvl w:val="0"/>
          <w:numId w:val="9"/>
        </w:numPr>
        <w:spacing w:line="360" w:lineRule="auto"/>
        <w:ind w:firstLine="422"/>
        <w:rPr>
          <w:rFonts w:ascii="宋体" w:hAnsi="宋体"/>
          <w:b/>
          <w:color w:val="auto"/>
          <w:szCs w:val="21"/>
        </w:rPr>
      </w:pPr>
      <w:r>
        <w:rPr>
          <w:rFonts w:hint="eastAsia" w:ascii="宋体" w:hAnsi="宋体"/>
          <w:b/>
          <w:color w:val="auto"/>
          <w:spacing w:val="-6"/>
          <w:szCs w:val="21"/>
        </w:rPr>
        <w:t>报价文件</w:t>
      </w:r>
      <w:r>
        <w:rPr>
          <w:rFonts w:hint="eastAsia" w:ascii="宋体" w:hAnsi="宋体"/>
          <w:b/>
          <w:color w:val="auto"/>
          <w:szCs w:val="21"/>
        </w:rPr>
        <w:t>响应的标的数量及单位与招标文件要求实质性不一致的。</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2.2在商务评审时，如发现下列情形之一的，将被视为投标无效：</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投标文件未按招标文件要求签署、盖章的；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委托代理人未能出具有效身份证或者出具的身份证与授权委托书中的信息不符的；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为无效投标保证金的或者未按照招标文件的规定提交投标保证金的；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投标文件未提供“投标人须知前附表”第13.</w:t>
      </w:r>
      <w:r>
        <w:rPr>
          <w:rFonts w:ascii="宋体" w:hAnsi="宋体"/>
          <w:b/>
          <w:color w:val="auto"/>
          <w:szCs w:val="21"/>
        </w:rPr>
        <w:t>1</w:t>
      </w:r>
      <w:r>
        <w:rPr>
          <w:rFonts w:hint="eastAsia" w:ascii="宋体" w:hAnsi="宋体"/>
          <w:b/>
          <w:color w:val="auto"/>
          <w:szCs w:val="21"/>
        </w:rPr>
        <w:t>条规定中“必须提供”或者“委托时必须提供”的文件资料的；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商务要求评审允许负偏离的条款数超过“投标人须知前附表”规定项数的；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投标文件的实质性内容未使用中文表述、使用计量单位不符合招标文件要求的；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投标文件中的文件资料因填写不齐全或者内容虚假或者出现其他情形而导致被评标委员会认定无效的；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投标文件含有采购人不能接受的附加条件的；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属于投标人须知正文第</w:t>
      </w:r>
      <w:r>
        <w:rPr>
          <w:rFonts w:ascii="宋体" w:hAnsi="宋体"/>
          <w:b/>
          <w:color w:val="auto"/>
          <w:szCs w:val="21"/>
        </w:rPr>
        <w:t>9.2</w:t>
      </w:r>
      <w:r>
        <w:rPr>
          <w:rFonts w:hint="eastAsia" w:ascii="宋体" w:hAnsi="宋体"/>
          <w:b/>
          <w:color w:val="auto"/>
          <w:szCs w:val="21"/>
        </w:rPr>
        <w:t>条情形的；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投标文件标注的项目名称或者项目编号与招标文件标注的项目名称或者项目编号不一致的；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招标文件明确不允许分包，投标文件拟分包的；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未响应招标文件实质性要求的；</w:t>
      </w:r>
    </w:p>
    <w:p>
      <w:pPr>
        <w:numPr>
          <w:ilvl w:val="0"/>
          <w:numId w:val="10"/>
        </w:numPr>
        <w:snapToGrid w:val="0"/>
        <w:spacing w:line="360" w:lineRule="auto"/>
        <w:ind w:firstLine="422" w:firstLineChars="200"/>
        <w:rPr>
          <w:rFonts w:ascii="宋体" w:hAnsi="宋体"/>
          <w:b/>
          <w:color w:val="auto"/>
          <w:szCs w:val="21"/>
        </w:rPr>
      </w:pPr>
      <w:r>
        <w:rPr>
          <w:rFonts w:hint="eastAsia" w:ascii="宋体" w:hAnsi="宋体"/>
          <w:b/>
          <w:color w:val="auto"/>
          <w:szCs w:val="21"/>
        </w:rPr>
        <w:t>法律、法规和招标文件规定的其他无效情形。</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2.3在技术评审时，如发现下列情形之一的，将被视为投标无效：</w:t>
      </w:r>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（1）技术要求评审允许负偏离的条款数超过“投标人须知前附表”规定项数的；</w:t>
      </w:r>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（2）投标文件未提供“投标人须知前附表”第13.</w:t>
      </w:r>
      <w:r>
        <w:rPr>
          <w:rFonts w:hAnsi="宋体"/>
          <w:b/>
          <w:color w:val="auto"/>
          <w:sz w:val="21"/>
          <w:szCs w:val="21"/>
        </w:rPr>
        <w:t>1</w:t>
      </w:r>
      <w:r>
        <w:rPr>
          <w:rFonts w:hint="eastAsia" w:hAnsi="宋体"/>
          <w:b/>
          <w:color w:val="auto"/>
          <w:sz w:val="21"/>
          <w:szCs w:val="21"/>
        </w:rPr>
        <w:t>条规定中“必须提供”的文件资料的；</w:t>
      </w:r>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（3）虚假投标，或者出现其他情形而导致被评标委员会认定无效的；</w:t>
      </w:r>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（4）</w:t>
      </w:r>
      <w:bookmarkStart w:id="148" w:name="_Hlk71706244"/>
      <w:r>
        <w:rPr>
          <w:rFonts w:hint="eastAsia" w:hAnsi="宋体"/>
          <w:b/>
          <w:color w:val="auto"/>
          <w:sz w:val="21"/>
          <w:szCs w:val="21"/>
        </w:rPr>
        <w:t>招标文件未载明允许提供备选（替代）投标方案或明确不允许提供备选（替代）投标方案时，投标人提供了备选（替代）投标方案的；</w:t>
      </w:r>
      <w:bookmarkEnd w:id="148"/>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（5）未响应招标文件实质性要求的。</w:t>
      </w:r>
    </w:p>
    <w:p>
      <w:pPr>
        <w:pStyle w:val="15"/>
        <w:snapToGrid w:val="0"/>
        <w:spacing w:line="360" w:lineRule="auto"/>
        <w:ind w:firstLine="398" w:firstLineChars="196"/>
        <w:rPr>
          <w:rFonts w:hAnsi="宋体"/>
          <w:b/>
          <w:color w:val="auto"/>
          <w:sz w:val="21"/>
          <w:szCs w:val="21"/>
        </w:rPr>
      </w:pPr>
      <w:r>
        <w:rPr>
          <w:rFonts w:hint="eastAsia" w:hAnsi="宋体"/>
          <w:b/>
          <w:color w:val="auto"/>
          <w:sz w:val="21"/>
          <w:szCs w:val="21"/>
        </w:rPr>
        <w:t>2.4通过符合性审查的投标人不足3家，评标委员会不得继续评标，并出具评标报告。</w:t>
      </w:r>
    </w:p>
    <w:p>
      <w:pPr>
        <w:pStyle w:val="6"/>
        <w:keepNext w:val="0"/>
        <w:keepLines w:val="0"/>
        <w:spacing w:before="0" w:after="0" w:line="360" w:lineRule="auto"/>
        <w:ind w:left="420" w:leftChars="200"/>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澄清补正</w:t>
      </w:r>
    </w:p>
    <w:p>
      <w:pPr>
        <w:snapToGrid w:val="0"/>
        <w:spacing w:line="360" w:lineRule="auto"/>
        <w:ind w:firstLine="420" w:firstLineChars="200"/>
        <w:rPr>
          <w:rFonts w:ascii="宋体" w:hAnsi="宋体" w:cs="Courier New"/>
          <w:color w:val="auto"/>
          <w:szCs w:val="21"/>
        </w:rPr>
      </w:pPr>
      <w:r>
        <w:rPr>
          <w:rFonts w:hint="eastAsia" w:ascii="宋体" w:hAnsi="宋体" w:cs="Courier New"/>
          <w:color w:val="auto"/>
          <w:szCs w:val="21"/>
        </w:rPr>
        <w:t>对投标文件中含义不明确、同类问题表述不一致或者有明显文字和计算错误的内容，评标委员会以</w:t>
      </w:r>
      <w:r>
        <w:rPr>
          <w:rFonts w:hint="eastAsia" w:ascii="宋体" w:hAnsi="宋体" w:cs="宋体"/>
          <w:color w:val="auto"/>
          <w:szCs w:val="21"/>
        </w:rPr>
        <w:t>电子澄清函形式</w:t>
      </w:r>
      <w:r>
        <w:rPr>
          <w:rFonts w:hint="eastAsia" w:ascii="宋体" w:hAnsi="宋体" w:cs="Courier New"/>
          <w:color w:val="auto"/>
          <w:szCs w:val="21"/>
        </w:rPr>
        <w:t>要求投标人在规定时间内作出必要的澄清、说明或者纠正。投标人的澄清、说明或者补正必须采用</w:t>
      </w:r>
      <w:r>
        <w:rPr>
          <w:rFonts w:hint="eastAsia" w:ascii="宋体" w:hAnsi="宋体" w:cs="宋体"/>
          <w:color w:val="auto"/>
          <w:szCs w:val="21"/>
        </w:rPr>
        <w:t>电子回函形式</w:t>
      </w:r>
      <w:r>
        <w:rPr>
          <w:rFonts w:hint="eastAsia" w:ascii="宋体" w:hAnsi="宋体" w:cs="Courier New"/>
          <w:color w:val="auto"/>
          <w:szCs w:val="21"/>
        </w:rPr>
        <w:t>，并加盖投标人公章，或者由法定代表人或者其授权的代表签字。投标人的澄清、说明或者补正不得超出投标文件的范围或者改变投标文件的实质性内容。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投标文件修正</w:t>
      </w:r>
    </w:p>
    <w:p>
      <w:pPr>
        <w:pStyle w:val="6"/>
        <w:keepNext w:val="0"/>
        <w:keepLines w:val="0"/>
        <w:spacing w:before="0" w:after="0" w:line="360" w:lineRule="auto"/>
        <w:ind w:left="420" w:leftChars="200"/>
        <w:rPr>
          <w:rFonts w:ascii="宋体" w:hAnsi="宋体"/>
          <w:b w:val="0"/>
          <w:color w:val="auto"/>
          <w:sz w:val="21"/>
          <w:szCs w:val="21"/>
        </w:rPr>
      </w:pPr>
      <w:r>
        <w:rPr>
          <w:rFonts w:ascii="宋体" w:hAnsi="宋体"/>
          <w:b w:val="0"/>
          <w:color w:val="auto"/>
          <w:sz w:val="21"/>
          <w:szCs w:val="21"/>
        </w:rPr>
        <w:t>4</w:t>
      </w:r>
      <w:r>
        <w:rPr>
          <w:rFonts w:hint="eastAsia" w:ascii="宋体" w:hAnsi="宋体"/>
          <w:b w:val="0"/>
          <w:color w:val="auto"/>
          <w:sz w:val="21"/>
          <w:szCs w:val="21"/>
        </w:rPr>
        <w:t xml:space="preserve">.1投标文件报价出现前后不一致的，按照下列规定修正： </w:t>
      </w:r>
    </w:p>
    <w:p>
      <w:pPr>
        <w:pStyle w:val="18"/>
        <w:snapToGrid w:val="0"/>
        <w:spacing w:line="360" w:lineRule="auto"/>
        <w:ind w:firstLine="420" w:firstLineChars="200"/>
        <w:rPr>
          <w:rFonts w:hAnsi="宋体"/>
          <w:color w:val="auto"/>
        </w:rPr>
      </w:pPr>
      <w:r>
        <w:rPr>
          <w:rFonts w:hint="eastAsia" w:hAnsi="宋体"/>
          <w:color w:val="auto"/>
        </w:rPr>
        <w:t>（1）投标文件中开标一览表（报价表）内容与投标文件中相应内容不一致的，以开标一览表（报价表）为准；</w:t>
      </w:r>
    </w:p>
    <w:p>
      <w:pPr>
        <w:pStyle w:val="18"/>
        <w:snapToGrid w:val="0"/>
        <w:spacing w:line="360" w:lineRule="auto"/>
        <w:ind w:firstLine="420" w:firstLineChars="200"/>
        <w:rPr>
          <w:rFonts w:hAnsi="宋体"/>
          <w:color w:val="auto"/>
        </w:rPr>
      </w:pPr>
      <w:r>
        <w:rPr>
          <w:rFonts w:hint="eastAsia" w:hAnsi="宋体"/>
          <w:color w:val="auto"/>
        </w:rPr>
        <w:t>（2）大写金额和小写金额不一致的，以大写金额为准；</w:t>
      </w:r>
    </w:p>
    <w:p>
      <w:pPr>
        <w:pStyle w:val="18"/>
        <w:snapToGrid w:val="0"/>
        <w:spacing w:line="360" w:lineRule="auto"/>
        <w:ind w:firstLine="420" w:firstLineChars="200"/>
        <w:rPr>
          <w:rFonts w:hAnsi="宋体"/>
          <w:color w:val="auto"/>
        </w:rPr>
      </w:pPr>
      <w:r>
        <w:rPr>
          <w:rFonts w:hint="eastAsia" w:hAnsi="宋体"/>
          <w:color w:val="auto"/>
        </w:rPr>
        <w:t>（3）单价金额小数点或者百分比有明显错位的，以开标一览表的总价为准，并修改单价；</w:t>
      </w:r>
    </w:p>
    <w:p>
      <w:pPr>
        <w:pStyle w:val="18"/>
        <w:snapToGrid w:val="0"/>
        <w:spacing w:line="360" w:lineRule="auto"/>
        <w:ind w:firstLine="420" w:firstLineChars="200"/>
        <w:rPr>
          <w:rFonts w:hAnsi="宋体"/>
          <w:color w:val="auto"/>
        </w:rPr>
      </w:pPr>
      <w:r>
        <w:rPr>
          <w:rFonts w:hint="eastAsia" w:hAnsi="宋体"/>
          <w:color w:val="auto"/>
        </w:rPr>
        <w:t>（4）总价金额与按单价汇总金额不一致的，以单价金额计算结果为准。</w:t>
      </w:r>
    </w:p>
    <w:p>
      <w:pPr>
        <w:pStyle w:val="18"/>
        <w:snapToGrid w:val="0"/>
        <w:spacing w:line="360" w:lineRule="auto"/>
        <w:ind w:firstLine="420" w:firstLineChars="200"/>
        <w:rPr>
          <w:rFonts w:hAnsi="宋体"/>
          <w:color w:val="auto"/>
        </w:rPr>
      </w:pPr>
      <w:r>
        <w:rPr>
          <w:rFonts w:hint="eastAsia" w:hAnsi="宋体"/>
          <w:color w:val="auto"/>
        </w:rPr>
        <w:t>同时出现两种以上不一致的，按照以上（1）-（4）规定的顺序修正。修正后的报价经投标人确认后产生约束力，投标人不确认的，</w:t>
      </w:r>
      <w:r>
        <w:rPr>
          <w:rFonts w:hint="eastAsia" w:hAnsi="宋体"/>
          <w:b/>
          <w:color w:val="auto"/>
        </w:rPr>
        <w:t>其投标无效</w:t>
      </w:r>
      <w:r>
        <w:rPr>
          <w:rFonts w:hint="eastAsia" w:hAnsi="宋体"/>
          <w:color w:val="auto"/>
        </w:rPr>
        <w:t>。</w:t>
      </w:r>
    </w:p>
    <w:p>
      <w:pPr>
        <w:pStyle w:val="6"/>
        <w:keepNext w:val="0"/>
        <w:keepLines w:val="0"/>
        <w:spacing w:before="0" w:after="0" w:line="360" w:lineRule="auto"/>
        <w:rPr>
          <w:rFonts w:ascii="宋体" w:hAnsi="宋体"/>
          <w:b w:val="0"/>
          <w:color w:val="auto"/>
          <w:sz w:val="21"/>
          <w:szCs w:val="21"/>
        </w:rPr>
      </w:pPr>
      <w:r>
        <w:rPr>
          <w:rFonts w:ascii="宋体" w:hAnsi="宋体"/>
          <w:b w:val="0"/>
          <w:color w:val="auto"/>
          <w:sz w:val="21"/>
          <w:szCs w:val="21"/>
        </w:rPr>
        <w:t xml:space="preserve">    4</w:t>
      </w:r>
      <w:r>
        <w:rPr>
          <w:rFonts w:hint="eastAsia" w:ascii="宋体" w:hAnsi="宋体"/>
          <w:b w:val="0"/>
          <w:color w:val="auto"/>
          <w:sz w:val="21"/>
          <w:szCs w:val="21"/>
        </w:rPr>
        <w:t>.2经投标人确认修正后的报价若超过采购预算金额或者最高限价，</w:t>
      </w:r>
      <w:r>
        <w:rPr>
          <w:rFonts w:hint="eastAsia" w:ascii="宋体" w:hAnsi="宋体"/>
          <w:color w:val="auto"/>
          <w:sz w:val="21"/>
          <w:szCs w:val="21"/>
        </w:rPr>
        <w:t>投标人的投标文件作无效投标处理</w:t>
      </w:r>
      <w:r>
        <w:rPr>
          <w:rFonts w:hint="eastAsia" w:ascii="宋体" w:hAnsi="宋体"/>
          <w:b w:val="0"/>
          <w:color w:val="auto"/>
          <w:sz w:val="21"/>
          <w:szCs w:val="21"/>
        </w:rPr>
        <w:t>。</w:t>
      </w:r>
    </w:p>
    <w:p>
      <w:pPr>
        <w:snapToGrid w:val="0"/>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.3经投标人确认修正后的报价作为签订合同的依据，并以此报价计算价格分。</w:t>
      </w:r>
    </w:p>
    <w:p>
      <w:pPr>
        <w:pStyle w:val="6"/>
        <w:keepNext w:val="0"/>
        <w:keepLines w:val="0"/>
        <w:spacing w:before="0" w:after="0" w:line="360" w:lineRule="auto"/>
        <w:ind w:left="420" w:leftChars="200"/>
        <w:rPr>
          <w:rFonts w:ascii="宋体" w:hAnsi="宋体"/>
          <w:color w:val="auto"/>
          <w:sz w:val="21"/>
          <w:szCs w:val="21"/>
        </w:rPr>
      </w:pPr>
      <w:r>
        <w:rPr>
          <w:rFonts w:ascii="宋体" w:hAnsi="宋体"/>
          <w:color w:val="auto"/>
          <w:sz w:val="21"/>
          <w:szCs w:val="21"/>
        </w:rPr>
        <w:t>5.</w:t>
      </w:r>
      <w:r>
        <w:rPr>
          <w:rFonts w:hint="eastAsia" w:ascii="宋体" w:hAnsi="宋体"/>
          <w:color w:val="auto"/>
          <w:sz w:val="21"/>
          <w:szCs w:val="21"/>
        </w:rPr>
        <w:t>比较与评价</w:t>
      </w:r>
    </w:p>
    <w:p>
      <w:pPr>
        <w:snapToGrid w:val="0"/>
        <w:spacing w:line="360" w:lineRule="auto"/>
        <w:ind w:firstLine="420" w:firstLineChars="200"/>
        <w:rPr>
          <w:rFonts w:ascii="宋体" w:hAnsi="宋体"/>
          <w:color w:val="auto"/>
          <w:szCs w:val="21"/>
        </w:rPr>
      </w:pPr>
      <w:r>
        <w:rPr>
          <w:rFonts w:hint="eastAsia" w:ascii="宋体" w:hAnsi="宋体"/>
          <w:color w:val="auto"/>
          <w:szCs w:val="21"/>
        </w:rPr>
        <w:t>5.1采用综合评分法的</w:t>
      </w:r>
    </w:p>
    <w:p>
      <w:pPr>
        <w:snapToGrid w:val="0"/>
        <w:spacing w:line="360" w:lineRule="auto"/>
        <w:ind w:firstLine="420" w:firstLineChars="200"/>
        <w:rPr>
          <w:rFonts w:ascii="宋体" w:hAnsi="宋体"/>
          <w:color w:val="auto"/>
          <w:szCs w:val="21"/>
        </w:rPr>
      </w:pPr>
      <w:r>
        <w:rPr>
          <w:rFonts w:hint="eastAsia" w:ascii="宋体" w:hAnsi="宋体"/>
          <w:color w:val="auto"/>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rPr>
      </w:pPr>
      <w:r>
        <w:rPr>
          <w:rFonts w:hint="eastAsia" w:ascii="宋体" w:hAnsi="宋体"/>
          <w:color w:val="auto"/>
          <w:szCs w:val="21"/>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rPr>
      </w:pPr>
      <w:r>
        <w:rPr>
          <w:rFonts w:hint="eastAsia" w:ascii="宋体" w:hAnsi="宋体"/>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rPr>
        <w:t>投标人不能证明其报价合理性的，评标委员会将其作为无效投标处理</w:t>
      </w:r>
      <w:r>
        <w:rPr>
          <w:rFonts w:hint="eastAsia" w:ascii="宋体" w:hAnsi="宋体"/>
          <w:color w:val="auto"/>
          <w:szCs w:val="21"/>
        </w:rPr>
        <w:t>。</w:t>
      </w:r>
    </w:p>
    <w:p>
      <w:pPr>
        <w:snapToGrid w:val="0"/>
        <w:spacing w:line="360" w:lineRule="auto"/>
        <w:ind w:firstLine="420" w:firstLineChars="200"/>
        <w:rPr>
          <w:rFonts w:ascii="宋体" w:hAnsi="宋体"/>
          <w:color w:val="auto"/>
          <w:szCs w:val="21"/>
        </w:rPr>
      </w:pPr>
      <w:r>
        <w:rPr>
          <w:rFonts w:hint="eastAsia" w:ascii="宋体" w:hAnsi="宋体"/>
          <w:color w:val="auto"/>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rPr>
      </w:pPr>
      <w:r>
        <w:rPr>
          <w:rFonts w:hint="eastAsia" w:ascii="宋体" w:hAnsi="宋体"/>
          <w:color w:val="auto"/>
          <w:szCs w:val="21"/>
        </w:rPr>
        <w:t>（4）各投标人的得分为所有评委的有效评分的算术平均数。</w:t>
      </w:r>
    </w:p>
    <w:p>
      <w:pPr>
        <w:snapToGrid w:val="0"/>
        <w:spacing w:line="360" w:lineRule="auto"/>
        <w:ind w:firstLine="420" w:firstLineChars="200"/>
        <w:rPr>
          <w:rFonts w:ascii="宋体" w:hAnsi="宋体"/>
          <w:color w:val="auto"/>
          <w:szCs w:val="21"/>
        </w:rPr>
      </w:pPr>
      <w:r>
        <w:rPr>
          <w:rFonts w:hint="eastAsia" w:ascii="宋体" w:hAnsi="宋体"/>
          <w:color w:val="auto"/>
          <w:szCs w:val="21"/>
        </w:rPr>
        <w:t>（5）评标委员会按照招标文件中的规定推荐中标候选人。</w:t>
      </w:r>
    </w:p>
    <w:p>
      <w:pPr>
        <w:snapToGrid w:val="0"/>
        <w:spacing w:line="360" w:lineRule="auto"/>
        <w:ind w:firstLine="420" w:firstLineChars="200"/>
        <w:rPr>
          <w:rFonts w:ascii="宋体" w:hAnsi="宋体"/>
          <w:color w:val="auto"/>
          <w:szCs w:val="21"/>
        </w:rPr>
      </w:pPr>
      <w:r>
        <w:rPr>
          <w:rFonts w:hint="eastAsia" w:ascii="宋体" w:hAnsi="宋体"/>
          <w:color w:val="auto"/>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rPr>
      </w:pPr>
      <w:r>
        <w:rPr>
          <w:rFonts w:hint="eastAsia" w:ascii="宋体" w:hAnsi="宋体"/>
          <w:color w:val="auto"/>
          <w:szCs w:val="21"/>
        </w:rPr>
        <w:t>5.2采用</w:t>
      </w:r>
      <w:r>
        <w:rPr>
          <w:rFonts w:hint="eastAsia" w:hAnsi="宋体"/>
          <w:color w:val="auto"/>
        </w:rPr>
        <w:t>最低评标价法</w:t>
      </w:r>
      <w:r>
        <w:rPr>
          <w:rFonts w:hint="eastAsia" w:ascii="宋体" w:hAnsi="宋体"/>
          <w:color w:val="auto"/>
          <w:szCs w:val="21"/>
        </w:rPr>
        <w:t>的</w:t>
      </w:r>
    </w:p>
    <w:p>
      <w:pPr>
        <w:snapToGrid w:val="0"/>
        <w:spacing w:line="360" w:lineRule="auto"/>
        <w:ind w:firstLine="424" w:firstLineChars="202"/>
        <w:jc w:val="left"/>
        <w:rPr>
          <w:rFonts w:ascii="宋体" w:hAnsi="宋体"/>
          <w:color w:val="auto"/>
          <w:szCs w:val="21"/>
        </w:rPr>
      </w:pPr>
      <w:r>
        <w:rPr>
          <w:rFonts w:hint="eastAsia" w:ascii="宋体" w:hAnsi="宋体"/>
          <w:color w:val="auto"/>
          <w:szCs w:val="21"/>
        </w:rPr>
        <w:t>（1）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pPr>
        <w:snapToGrid w:val="0"/>
        <w:spacing w:line="360" w:lineRule="auto"/>
        <w:ind w:firstLine="399" w:firstLineChars="202"/>
        <w:jc w:val="left"/>
        <w:rPr>
          <w:rFonts w:ascii="宋体" w:hAnsi="宋体"/>
          <w:color w:val="auto"/>
          <w:spacing w:val="-6"/>
          <w:szCs w:val="21"/>
        </w:rPr>
      </w:pPr>
      <w:r>
        <w:rPr>
          <w:rFonts w:hint="eastAsia" w:ascii="宋体" w:hAnsi="宋体"/>
          <w:color w:val="auto"/>
          <w:spacing w:val="-6"/>
          <w:szCs w:val="21"/>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rPr>
        <w:t>投标人不能证明其报价合理性的，评标委员会将其作为无效投标处理</w:t>
      </w:r>
      <w:r>
        <w:rPr>
          <w:rFonts w:hint="eastAsia" w:ascii="宋体" w:hAnsi="宋体"/>
          <w:color w:val="auto"/>
          <w:spacing w:val="-6"/>
          <w:szCs w:val="21"/>
        </w:rPr>
        <w:t>。</w:t>
      </w:r>
    </w:p>
    <w:p>
      <w:pPr>
        <w:snapToGrid w:val="0"/>
        <w:spacing w:line="360" w:lineRule="auto"/>
        <w:ind w:firstLine="424" w:firstLineChars="202"/>
        <w:jc w:val="left"/>
        <w:rPr>
          <w:rFonts w:ascii="宋体" w:hAnsi="宋体"/>
          <w:color w:val="auto"/>
          <w:szCs w:val="21"/>
        </w:rPr>
      </w:pPr>
      <w:r>
        <w:rPr>
          <w:rFonts w:hint="eastAsia" w:ascii="宋体" w:hAnsi="宋体"/>
          <w:color w:val="auto"/>
          <w:szCs w:val="21"/>
        </w:rPr>
        <w:t>（3）评标委员会按照招标文件中的规定推荐中标候选人。</w:t>
      </w:r>
    </w:p>
    <w:p>
      <w:pPr>
        <w:snapToGrid w:val="0"/>
        <w:spacing w:line="360" w:lineRule="auto"/>
        <w:ind w:firstLine="424" w:firstLineChars="202"/>
        <w:jc w:val="left"/>
        <w:rPr>
          <w:rFonts w:ascii="宋体" w:hAnsi="宋体"/>
          <w:color w:val="auto"/>
          <w:szCs w:val="21"/>
        </w:rPr>
      </w:pPr>
      <w:r>
        <w:rPr>
          <w:rFonts w:hint="eastAsia" w:ascii="宋体" w:hAnsi="宋体"/>
          <w:color w:val="auto"/>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pStyle w:val="6"/>
        <w:keepNext w:val="0"/>
        <w:keepLines w:val="0"/>
        <w:spacing w:before="0" w:after="0" w:line="240" w:lineRule="auto"/>
        <w:ind w:left="420" w:leftChars="200"/>
        <w:rPr>
          <w:rFonts w:ascii="宋体" w:hAnsi="宋体"/>
          <w:b w:val="0"/>
          <w:color w:val="auto"/>
          <w:sz w:val="21"/>
          <w:szCs w:val="21"/>
        </w:rPr>
      </w:pPr>
    </w:p>
    <w:p>
      <w:pPr>
        <w:pStyle w:val="2"/>
        <w:keepNext w:val="0"/>
        <w:keepLines w:val="0"/>
        <w:jc w:val="center"/>
        <w:rPr>
          <w:color w:val="auto"/>
        </w:rPr>
      </w:pPr>
      <w:r>
        <w:rPr>
          <w:rFonts w:hAnsi="宋体"/>
          <w:color w:val="auto"/>
        </w:rPr>
        <w:br w:type="page"/>
      </w:r>
      <w:r>
        <w:rPr>
          <w:rFonts w:hint="eastAsia"/>
          <w:color w:val="auto"/>
        </w:rPr>
        <w:t>三、评标标准（综合评分法，计分方法按四舍五入取至百分位）</w:t>
      </w:r>
    </w:p>
    <w:p>
      <w:pPr>
        <w:rPr>
          <w:color w:val="auto"/>
        </w:rPr>
      </w:pPr>
    </w:p>
    <w:tbl>
      <w:tblPr>
        <w:tblStyle w:val="35"/>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62"/>
        <w:gridCol w:w="1155"/>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620" w:type="dxa"/>
            <w:gridSpan w:val="2"/>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b/>
                <w:color w:val="auto"/>
                <w:szCs w:val="21"/>
              </w:rPr>
            </w:pPr>
            <w:r>
              <w:rPr>
                <w:rFonts w:hint="eastAsia" w:ascii="宋体" w:hAnsi="宋体"/>
                <w:b/>
                <w:color w:val="auto"/>
                <w:szCs w:val="21"/>
              </w:rPr>
              <w:t>序号</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rPr>
            </w:pPr>
            <w:r>
              <w:rPr>
                <w:rFonts w:hint="eastAsia" w:ascii="宋体" w:hAnsi="宋体"/>
                <w:b/>
                <w:color w:val="auto"/>
                <w:szCs w:val="21"/>
              </w:rPr>
              <w:t>评审因素</w:t>
            </w:r>
          </w:p>
        </w:tc>
        <w:tc>
          <w:tcPr>
            <w:tcW w:w="7183"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rPr>
            </w:pPr>
            <w:r>
              <w:rPr>
                <w:rFonts w:hint="eastAsia" w:ascii="宋体" w:hAnsi="宋体"/>
                <w:b/>
                <w:color w:val="auto"/>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rPr>
            </w:pPr>
            <w:r>
              <w:rPr>
                <w:rFonts w:hint="eastAsia" w:ascii="宋体" w:hAnsi="宋体"/>
                <w:color w:val="auto"/>
                <w:szCs w:val="21"/>
              </w:rPr>
              <w:t>1</w:t>
            </w:r>
          </w:p>
        </w:tc>
        <w:tc>
          <w:tcPr>
            <w:tcW w:w="1062"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b/>
                <w:color w:val="auto"/>
                <w:szCs w:val="21"/>
              </w:rPr>
            </w:pPr>
            <w:r>
              <w:rPr>
                <w:rFonts w:hint="eastAsia" w:ascii="宋体" w:hAnsi="宋体"/>
                <w:b/>
                <w:color w:val="auto"/>
                <w:szCs w:val="21"/>
              </w:rPr>
              <w:t>价格分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rPr>
            </w:pPr>
            <w:r>
              <w:rPr>
                <w:rFonts w:hint="eastAsia" w:ascii="宋体" w:hAnsi="宋体"/>
                <w:color w:val="auto"/>
                <w:szCs w:val="21"/>
              </w:rPr>
              <w:t>（满分</w:t>
            </w:r>
            <w:r>
              <w:rPr>
                <w:rFonts w:hint="eastAsia" w:ascii="宋体" w:hAnsi="宋体"/>
                <w:color w:val="auto"/>
                <w:szCs w:val="21"/>
                <w:u w:val="single"/>
              </w:rPr>
              <w:t>50</w:t>
            </w:r>
            <w:r>
              <w:rPr>
                <w:rFonts w:hint="eastAsia" w:ascii="宋体" w:hAnsi="宋体"/>
                <w:color w:val="auto"/>
                <w:szCs w:val="21"/>
              </w:rPr>
              <w:t>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rPr>
            </w:pPr>
          </w:p>
        </w:tc>
        <w:tc>
          <w:tcPr>
            <w:tcW w:w="1155"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b/>
                <w:color w:val="auto"/>
                <w:szCs w:val="21"/>
              </w:rPr>
            </w:pPr>
            <w:r>
              <w:rPr>
                <w:rFonts w:hint="eastAsia" w:ascii="宋体" w:hAnsi="宋体"/>
                <w:b/>
                <w:color w:val="auto"/>
                <w:szCs w:val="21"/>
              </w:rPr>
              <w:t>投标报价</w:t>
            </w:r>
          </w:p>
        </w:tc>
        <w:tc>
          <w:tcPr>
            <w:tcW w:w="7183"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ascii="宋体" w:hAnsi="宋体" w:cs="宋体"/>
                <w:bCs/>
                <w:color w:val="auto"/>
                <w:kern w:val="0"/>
                <w:szCs w:val="21"/>
              </w:rPr>
            </w:pPr>
            <w:r>
              <w:rPr>
                <w:rFonts w:hint="eastAsia" w:ascii="宋体" w:hAnsi="宋体" w:cs="宋体"/>
                <w:bCs/>
                <w:color w:val="auto"/>
                <w:kern w:val="0"/>
                <w:szCs w:val="21"/>
              </w:rPr>
              <w:t>（1）以进入综合评分的最低评标报价为50分。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ascii="宋体" w:hAnsi="宋体" w:cs="宋体"/>
                <w:bCs/>
                <w:color w:val="auto"/>
                <w:kern w:val="0"/>
                <w:szCs w:val="21"/>
              </w:rPr>
            </w:pPr>
            <w:r>
              <w:rPr>
                <w:rFonts w:hint="eastAsia" w:ascii="宋体" w:hAnsi="宋体" w:cs="宋体"/>
                <w:bCs/>
                <w:color w:val="auto"/>
                <w:kern w:val="0"/>
                <w:szCs w:val="21"/>
              </w:rPr>
              <w:t>（2）按照《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ascii="宋体" w:hAnsi="宋体"/>
                <w:color w:val="auto"/>
                <w:szCs w:val="21"/>
              </w:rPr>
            </w:pPr>
            <w:r>
              <w:rPr>
                <w:rFonts w:hint="eastAsia" w:ascii="宋体" w:hAnsi="宋体"/>
                <w:color w:val="auto"/>
                <w:szCs w:val="21"/>
              </w:rPr>
              <w:t>投标产品提供企业按《关于政府采购支持监狱企业发展有关问题的通知》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[2014]68</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ascii="宋体" w:hAnsi="宋体" w:cs="宋体"/>
                <w:bCs/>
                <w:color w:val="auto"/>
                <w:kern w:val="0"/>
                <w:szCs w:val="21"/>
              </w:rPr>
            </w:pPr>
            <w:r>
              <w:rPr>
                <w:rFonts w:hint="eastAsia" w:ascii="宋体" w:hAnsi="宋体" w:cs="宋体"/>
                <w:bCs/>
                <w:color w:val="auto"/>
                <w:kern w:val="0"/>
                <w:szCs w:val="21"/>
              </w:rPr>
              <w:t>投标产品提供单位按《</w:t>
            </w:r>
            <w:r>
              <w:rPr>
                <w:rFonts w:ascii="宋体" w:hAnsi="宋体" w:cs="宋体"/>
                <w:bCs/>
                <w:color w:val="auto"/>
                <w:kern w:val="0"/>
                <w:szCs w:val="21"/>
              </w:rPr>
              <w:t>关于促进残疾人就业政府采购政策的通知</w:t>
            </w:r>
            <w:r>
              <w:rPr>
                <w:rFonts w:hint="eastAsia" w:ascii="宋体" w:hAnsi="宋体" w:cs="宋体"/>
                <w:bCs/>
                <w:color w:val="auto"/>
                <w:kern w:val="0"/>
                <w:szCs w:val="21"/>
              </w:rPr>
              <w:t>》</w:t>
            </w:r>
            <w:r>
              <w:rPr>
                <w:rFonts w:ascii="宋体" w:hAnsi="宋体" w:cs="宋体"/>
                <w:bCs/>
                <w:color w:val="auto"/>
                <w:kern w:val="0"/>
                <w:szCs w:val="21"/>
              </w:rPr>
              <w:t>(</w:t>
            </w:r>
            <w:r>
              <w:rPr>
                <w:rFonts w:hint="eastAsia" w:ascii="宋体" w:hAnsi="宋体" w:cs="宋体"/>
                <w:bCs/>
                <w:color w:val="auto"/>
                <w:kern w:val="0"/>
                <w:szCs w:val="21"/>
              </w:rPr>
              <w:t>财库〔2019〕141号</w:t>
            </w:r>
            <w:r>
              <w:rPr>
                <w:rFonts w:ascii="宋体" w:hAnsi="宋体" w:cs="宋体"/>
                <w:bCs/>
                <w:color w:val="auto"/>
                <w:kern w:val="0"/>
                <w:szCs w:val="21"/>
              </w:rPr>
              <w:t>)</w:t>
            </w:r>
            <w:r>
              <w:rPr>
                <w:rFonts w:hint="eastAsia" w:ascii="宋体" w:hAnsi="宋体" w:cs="宋体"/>
                <w:bCs/>
                <w:color w:val="auto"/>
                <w:kern w:val="0"/>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ascii="宋体" w:hAnsi="宋体" w:cs="宋体"/>
                <w:bCs/>
                <w:color w:val="auto"/>
                <w:kern w:val="0"/>
                <w:szCs w:val="21"/>
              </w:rPr>
            </w:pPr>
            <w:r>
              <w:rPr>
                <w:rFonts w:hint="eastAsia" w:ascii="宋体" w:hAnsi="宋体" w:cs="宋体"/>
                <w:bCs/>
                <w:color w:val="auto"/>
                <w:kern w:val="0"/>
                <w:szCs w:val="21"/>
              </w:rPr>
              <w:t>除上述情况外，评标报价=投标价。</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hAnsi="宋体" w:cs="Courier New"/>
                <w:bCs/>
                <w:color w:val="auto"/>
              </w:rPr>
            </w:pPr>
            <w:r>
              <w:rPr>
                <w:rFonts w:hint="eastAsia" w:ascii="宋体" w:hAnsi="宋体" w:cs="宋体"/>
                <w:bCs/>
                <w:color w:val="auto"/>
                <w:kern w:val="0"/>
                <w:szCs w:val="21"/>
              </w:rPr>
              <w:t>（3）某投标人价格分 =（投标人最低评标报价÷某投标人评标报价）×50分。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5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bCs/>
                <w:color w:val="auto"/>
                <w:szCs w:val="21"/>
              </w:rPr>
            </w:pPr>
            <w:r>
              <w:rPr>
                <w:rFonts w:hint="eastAsia" w:ascii="宋体" w:hAnsi="宋体" w:cs="宋体"/>
                <w:bCs/>
                <w:color w:val="auto"/>
                <w:szCs w:val="21"/>
              </w:rPr>
              <w:t>2</w:t>
            </w:r>
          </w:p>
        </w:tc>
        <w:tc>
          <w:tcPr>
            <w:tcW w:w="1062"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b/>
                <w:bCs/>
                <w:color w:val="auto"/>
                <w:szCs w:val="21"/>
              </w:rPr>
            </w:pPr>
            <w:r>
              <w:rPr>
                <w:rFonts w:hint="eastAsia" w:ascii="宋体" w:hAnsi="宋体" w:cs="宋体"/>
                <w:b/>
                <w:bCs/>
                <w:color w:val="auto"/>
                <w:szCs w:val="21"/>
              </w:rPr>
              <w:t>技术分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color w:val="auto"/>
                <w:spacing w:val="-18"/>
                <w:szCs w:val="21"/>
              </w:rPr>
            </w:pPr>
            <w:r>
              <w:rPr>
                <w:rFonts w:hint="eastAsia" w:ascii="宋体" w:hAnsi="宋体" w:cs="宋体"/>
                <w:bCs/>
                <w:color w:val="auto"/>
                <w:szCs w:val="21"/>
              </w:rPr>
              <w:t>（</w:t>
            </w:r>
            <w:r>
              <w:rPr>
                <w:rFonts w:hint="eastAsia" w:ascii="宋体" w:hAnsi="宋体" w:cs="宋体"/>
                <w:color w:val="auto"/>
                <w:szCs w:val="21"/>
              </w:rPr>
              <w:t>满分</w:t>
            </w:r>
            <w:r>
              <w:rPr>
                <w:rFonts w:hint="eastAsia" w:ascii="宋体" w:hAnsi="宋体" w:cs="宋体"/>
                <w:color w:val="auto"/>
                <w:szCs w:val="21"/>
                <w:u w:val="single"/>
              </w:rPr>
              <w:t xml:space="preserve"> 27</w:t>
            </w:r>
            <w:r>
              <w:rPr>
                <w:rFonts w:hint="eastAsia" w:ascii="宋体" w:hAnsi="宋体" w:cs="宋体"/>
                <w:bCs/>
                <w:color w:val="auto"/>
                <w:szCs w:val="21"/>
              </w:rPr>
              <w:t>分）</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color w:val="auto"/>
                <w:szCs w:val="21"/>
                <w:u w:val="single"/>
              </w:rPr>
            </w:pPr>
            <w:r>
              <w:rPr>
                <w:rFonts w:hint="eastAsia" w:ascii="宋体" w:hAnsi="宋体" w:cs="宋体"/>
                <w:b/>
                <w:bCs/>
                <w:color w:val="auto"/>
                <w:szCs w:val="21"/>
              </w:rPr>
              <w:t>设备性能及配置分</w:t>
            </w:r>
            <w:r>
              <w:rPr>
                <w:rFonts w:hint="eastAsia" w:ascii="宋体" w:hAnsi="宋体" w:cs="宋体"/>
                <w:color w:val="auto"/>
                <w:szCs w:val="21"/>
              </w:rPr>
              <w:t>（满分12分）</w:t>
            </w:r>
          </w:p>
        </w:tc>
        <w:tc>
          <w:tcPr>
            <w:tcW w:w="7183"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ascii="宋体" w:hAnsi="宋体"/>
                <w:color w:val="auto"/>
              </w:rPr>
            </w:pPr>
            <w:r>
              <w:rPr>
                <w:rFonts w:hint="eastAsia" w:ascii="宋体" w:hAnsi="宋体" w:cs="宋体"/>
                <w:bCs/>
                <w:color w:val="auto"/>
                <w:kern w:val="0"/>
                <w:szCs w:val="21"/>
              </w:rPr>
              <w:t>（1）</w:t>
            </w:r>
            <w:r>
              <w:rPr>
                <w:rFonts w:hint="eastAsia" w:ascii="宋体" w:hAnsi="宋体" w:cs="宋体"/>
                <w:bCs/>
                <w:color w:val="auto"/>
              </w:rPr>
              <w:t>货物性能、配置完全满足招标文件要求且无负偏离的，得4分。未带“</w:t>
            </w:r>
            <w:r>
              <w:rPr>
                <w:rFonts w:hint="eastAsia"/>
                <w:color w:val="auto"/>
              </w:rPr>
              <w:t>▲</w:t>
            </w:r>
            <w:r>
              <w:rPr>
                <w:rFonts w:hint="eastAsia" w:ascii="宋体" w:hAnsi="宋体" w:cs="宋体"/>
                <w:bCs/>
                <w:color w:val="auto"/>
              </w:rPr>
              <w:t>”号货物性能、配置有负偏离的（在招标文件允许的项数内）得0分。</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ascii="宋体" w:hAnsi="宋体"/>
                <w:color w:val="auto"/>
                <w:szCs w:val="21"/>
              </w:rPr>
            </w:pPr>
            <w:r>
              <w:rPr>
                <w:rFonts w:hint="eastAsia" w:ascii="宋体" w:hAnsi="宋体"/>
                <w:color w:val="auto"/>
                <w:szCs w:val="21"/>
              </w:rPr>
              <w:t>（2）带“</w:t>
            </w:r>
            <w:r>
              <w:rPr>
                <w:rFonts w:hint="eastAsia"/>
                <w:color w:val="auto"/>
              </w:rPr>
              <w:t>▲</w:t>
            </w:r>
            <w:r>
              <w:rPr>
                <w:rFonts w:hint="eastAsia" w:ascii="宋体" w:hAnsi="宋体"/>
                <w:color w:val="auto"/>
                <w:szCs w:val="21"/>
              </w:rPr>
              <w:t>”号的技术性能及</w:t>
            </w:r>
            <w:r>
              <w:rPr>
                <w:rFonts w:hint="eastAsia" w:ascii="宋体" w:hAnsi="宋体" w:cs="宋体"/>
                <w:bCs/>
                <w:color w:val="auto"/>
              </w:rPr>
              <w:t>配置</w:t>
            </w:r>
            <w:r>
              <w:rPr>
                <w:rFonts w:hint="eastAsia" w:ascii="宋体" w:hAnsi="宋体"/>
                <w:color w:val="auto"/>
                <w:szCs w:val="21"/>
              </w:rPr>
              <w:t>：主要设备有优于招标文件要求，且对用户的使用有实质性的帮助与提高的，每有1项加1.5分，满分6分。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hAnsi="宋体" w:cs="宋体"/>
                <w:color w:val="auto"/>
                <w:szCs w:val="21"/>
              </w:rPr>
            </w:pPr>
            <w:r>
              <w:rPr>
                <w:rFonts w:hint="eastAsia" w:ascii="宋体" w:hAnsi="宋体"/>
                <w:color w:val="auto"/>
                <w:szCs w:val="21"/>
              </w:rPr>
              <w:t>（3）未带“</w:t>
            </w:r>
            <w:r>
              <w:rPr>
                <w:rFonts w:hint="eastAsia"/>
                <w:color w:val="auto"/>
              </w:rPr>
              <w:t>▲</w:t>
            </w:r>
            <w:r>
              <w:rPr>
                <w:rFonts w:hint="eastAsia" w:ascii="宋体" w:hAnsi="宋体"/>
                <w:color w:val="auto"/>
                <w:szCs w:val="21"/>
              </w:rPr>
              <w:t>”号的技术性能及</w:t>
            </w:r>
            <w:r>
              <w:rPr>
                <w:rFonts w:hint="eastAsia" w:ascii="宋体" w:hAnsi="宋体" w:cs="宋体"/>
                <w:bCs/>
                <w:color w:val="auto"/>
              </w:rPr>
              <w:t>配置</w:t>
            </w:r>
            <w:r>
              <w:rPr>
                <w:rFonts w:hint="eastAsia" w:ascii="宋体" w:hAnsi="宋体"/>
                <w:color w:val="auto"/>
                <w:szCs w:val="21"/>
              </w:rPr>
              <w:t>：主要设备有优于招标文件要求，且对用户的使用有实质性的帮助与提高的，每有1项加0.5分，满分2分。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5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bCs/>
                <w:color w:val="auto"/>
                <w:szCs w:val="21"/>
              </w:rPr>
            </w:pPr>
          </w:p>
        </w:tc>
        <w:tc>
          <w:tcPr>
            <w:tcW w:w="1062"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bCs/>
                <w:color w:val="auto"/>
                <w:szCs w:val="21"/>
              </w:rPr>
            </w:pPr>
          </w:p>
        </w:tc>
        <w:tc>
          <w:tcPr>
            <w:tcW w:w="1155"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s="宋体"/>
                <w:color w:val="auto"/>
                <w:szCs w:val="21"/>
              </w:rPr>
            </w:pPr>
            <w:r>
              <w:rPr>
                <w:rFonts w:hint="eastAsia" w:ascii="宋体" w:hAnsi="宋体" w:cs="宋体"/>
                <w:b/>
                <w:bCs w:val="0"/>
                <w:color w:val="auto"/>
                <w:kern w:val="0"/>
                <w:szCs w:val="21"/>
              </w:rPr>
              <w:t>技术及项目实施方案分</w:t>
            </w:r>
            <w:r>
              <w:rPr>
                <w:rFonts w:hint="eastAsia" w:ascii="宋体" w:hAnsi="宋体" w:cs="宋体"/>
                <w:bCs/>
                <w:color w:val="auto"/>
                <w:kern w:val="0"/>
                <w:szCs w:val="21"/>
              </w:rPr>
              <w:t>（满分15分）</w:t>
            </w:r>
          </w:p>
        </w:tc>
        <w:tc>
          <w:tcPr>
            <w:tcW w:w="7183" w:type="dxa"/>
            <w:vAlign w:val="center"/>
          </w:tcPr>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hint="eastAsia" w:hAnsi="宋体" w:cs="宋体"/>
                <w:color w:val="auto"/>
                <w:szCs w:val="21"/>
              </w:rPr>
            </w:pPr>
            <w:r>
              <w:rPr>
                <w:rFonts w:hint="eastAsia" w:hAnsi="宋体" w:cs="宋体"/>
                <w:color w:val="auto"/>
                <w:szCs w:val="21"/>
              </w:rPr>
              <w:t>评标委员会依据投标人提供的项目安装、调试施工组织方案酌情评审：</w:t>
            </w:r>
          </w:p>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hint="eastAsia" w:ascii="宋体" w:hAnsi="宋体" w:cs="宋体"/>
                <w:color w:val="auto"/>
                <w:szCs w:val="21"/>
              </w:rPr>
            </w:pPr>
            <w:r>
              <w:rPr>
                <w:rFonts w:hint="eastAsia" w:hAnsi="宋体" w:cs="宋体"/>
                <w:color w:val="auto"/>
                <w:szCs w:val="21"/>
                <w:lang w:eastAsia="zh-CN"/>
              </w:rPr>
              <w:t>一档：</w:t>
            </w:r>
            <w:r>
              <w:rPr>
                <w:rFonts w:hint="eastAsia" w:ascii="宋体" w:hAnsi="宋体" w:cs="宋体"/>
                <w:color w:val="auto"/>
                <w:szCs w:val="21"/>
              </w:rPr>
              <w:t>技术及项目实施方案简单、不符合实际情况，得</w:t>
            </w:r>
            <w:r>
              <w:rPr>
                <w:rFonts w:hint="eastAsia" w:ascii="宋体" w:hAnsi="宋体"/>
                <w:color w:val="auto"/>
                <w:szCs w:val="21"/>
              </w:rPr>
              <w:t>4</w:t>
            </w:r>
            <w:r>
              <w:rPr>
                <w:rFonts w:hint="eastAsia" w:ascii="宋体" w:hAnsi="宋体" w:cs="宋体"/>
                <w:color w:val="auto"/>
                <w:szCs w:val="21"/>
              </w:rPr>
              <w:t>分；</w:t>
            </w:r>
          </w:p>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ascii="宋体" w:hAnsi="宋体" w:cs="宋体"/>
                <w:color w:val="auto"/>
                <w:szCs w:val="21"/>
              </w:rPr>
            </w:pPr>
            <w:r>
              <w:rPr>
                <w:rFonts w:hint="eastAsia" w:hAnsi="宋体" w:cs="宋体"/>
                <w:color w:val="auto"/>
                <w:szCs w:val="21"/>
                <w:lang w:eastAsia="zh-CN"/>
              </w:rPr>
              <w:t>二档：</w:t>
            </w:r>
            <w:r>
              <w:rPr>
                <w:rFonts w:hint="eastAsia" w:ascii="宋体" w:hAnsi="宋体" w:cs="宋体"/>
                <w:color w:val="auto"/>
                <w:szCs w:val="21"/>
              </w:rPr>
              <w:t>技术及项目实施方案较详细、合理、可行性较强，具有一定的针对性，得8分；</w:t>
            </w:r>
          </w:p>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hAnsi="宋体" w:cs="宋体"/>
                <w:color w:val="auto"/>
                <w:szCs w:val="21"/>
              </w:rPr>
            </w:pPr>
            <w:r>
              <w:rPr>
                <w:rFonts w:hint="eastAsia" w:hAnsi="宋体" w:cs="宋体"/>
                <w:color w:val="auto"/>
                <w:szCs w:val="21"/>
                <w:lang w:eastAsia="zh-CN"/>
              </w:rPr>
              <w:t>三档：</w:t>
            </w:r>
            <w:r>
              <w:rPr>
                <w:rFonts w:hint="eastAsia" w:hAnsi="宋体" w:cs="宋体"/>
                <w:color w:val="auto"/>
                <w:szCs w:val="21"/>
              </w:rPr>
              <w:t>技术及项目实施方案完整、合理、内容详细，针对性强、可行性高，得15分。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55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u w:val="single"/>
              </w:rPr>
            </w:pPr>
            <w:r>
              <w:rPr>
                <w:rFonts w:hint="eastAsia" w:hAnsi="宋体" w:cs="Courier New"/>
                <w:color w:val="auto"/>
              </w:rPr>
              <w:t>3</w:t>
            </w:r>
          </w:p>
        </w:tc>
        <w:tc>
          <w:tcPr>
            <w:tcW w:w="1062" w:type="dxa"/>
            <w:vMerge w:val="restart"/>
            <w:vAlign w:val="center"/>
          </w:tcPr>
          <w:p>
            <w:pPr>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ascii="宋体" w:hAnsi="宋体"/>
                <w:color w:val="auto"/>
                <w:szCs w:val="21"/>
              </w:rPr>
            </w:pPr>
            <w:r>
              <w:rPr>
                <w:rFonts w:hint="eastAsia" w:ascii="宋体" w:hAnsi="宋体"/>
                <w:b/>
                <w:color w:val="auto"/>
                <w:szCs w:val="21"/>
              </w:rPr>
              <w:t>商务分</w:t>
            </w:r>
            <w:r>
              <w:rPr>
                <w:rFonts w:hint="eastAsia" w:ascii="宋体" w:hAnsi="宋体"/>
                <w:color w:val="auto"/>
                <w:szCs w:val="21"/>
              </w:rPr>
              <w:t>（满分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b/>
                <w:color w:val="auto"/>
                <w:szCs w:val="21"/>
                <w:highlight w:val="yellow"/>
              </w:rPr>
            </w:pPr>
            <w:r>
              <w:rPr>
                <w:rFonts w:hint="eastAsia" w:ascii="宋体" w:hAnsi="宋体"/>
                <w:color w:val="auto"/>
                <w:szCs w:val="21"/>
                <w:u w:val="single"/>
                <w:lang w:val="en-US" w:eastAsia="zh-CN"/>
              </w:rPr>
              <w:t>22</w:t>
            </w:r>
            <w:r>
              <w:rPr>
                <w:rFonts w:hint="eastAsia" w:ascii="宋体" w:hAnsi="宋体"/>
                <w:color w:val="auto"/>
                <w:szCs w:val="21"/>
              </w:rPr>
              <w:t>分</w:t>
            </w:r>
          </w:p>
        </w:tc>
        <w:tc>
          <w:tcPr>
            <w:tcW w:w="1155" w:type="dxa"/>
            <w:vAlign w:val="center"/>
          </w:tcPr>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hAnsi="宋体" w:cs="Courier New"/>
                <w:b/>
                <w:bCs/>
                <w:color w:val="auto"/>
              </w:rPr>
            </w:pPr>
            <w:r>
              <w:rPr>
                <w:rFonts w:hint="eastAsia" w:hAnsi="宋体" w:cs="Courier New"/>
                <w:b/>
                <w:bCs/>
                <w:color w:val="auto"/>
              </w:rPr>
              <w:t>售后服务方案</w:t>
            </w:r>
          </w:p>
          <w:p>
            <w:pPr>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ascii="宋体" w:hAnsi="宋体"/>
                <w:b/>
                <w:color w:val="auto"/>
                <w:szCs w:val="21"/>
                <w:highlight w:val="yellow"/>
              </w:rPr>
            </w:pPr>
            <w:r>
              <w:rPr>
                <w:rFonts w:hint="eastAsia" w:hAnsi="宋体" w:cs="Courier New"/>
                <w:color w:val="auto"/>
              </w:rPr>
              <w:t>（满分</w:t>
            </w:r>
            <w:r>
              <w:rPr>
                <w:rFonts w:hint="eastAsia" w:hAnsi="宋体"/>
                <w:color w:val="auto"/>
                <w:u w:val="single"/>
              </w:rPr>
              <w:t xml:space="preserve"> 16 </w:t>
            </w:r>
            <w:r>
              <w:rPr>
                <w:rFonts w:hint="eastAsia" w:hAnsi="宋体" w:cs="Courier New"/>
                <w:color w:val="auto"/>
              </w:rPr>
              <w:t>分）</w:t>
            </w:r>
          </w:p>
        </w:tc>
        <w:tc>
          <w:tcPr>
            <w:tcW w:w="7183" w:type="dxa"/>
            <w:tcMar>
              <w:left w:w="57" w:type="dxa"/>
              <w:right w:w="57" w:type="dxa"/>
            </w:tcMar>
            <w:vAlign w:val="center"/>
          </w:tcPr>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ascii="宋体" w:hAnsi="宋体"/>
                <w:color w:val="auto"/>
                <w:szCs w:val="21"/>
              </w:rPr>
            </w:pPr>
            <w:r>
              <w:rPr>
                <w:rFonts w:hint="eastAsia" w:ascii="宋体" w:hAnsi="宋体"/>
                <w:color w:val="auto"/>
                <w:szCs w:val="21"/>
                <w:lang w:eastAsia="zh-CN"/>
              </w:rPr>
              <w:t>一档：</w:t>
            </w:r>
            <w:r>
              <w:rPr>
                <w:rFonts w:hint="eastAsia" w:ascii="宋体" w:hAnsi="宋体"/>
                <w:color w:val="auto"/>
                <w:szCs w:val="21"/>
              </w:rPr>
              <w:t>提供了售后服务方案，方案简单、粗略、不完整，得4分；</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ascii="宋体" w:hAnsi="宋体"/>
                <w:color w:val="auto"/>
                <w:szCs w:val="21"/>
              </w:rPr>
            </w:pPr>
            <w:r>
              <w:rPr>
                <w:rFonts w:hint="eastAsia" w:ascii="宋体" w:hAnsi="宋体"/>
                <w:color w:val="auto"/>
                <w:szCs w:val="21"/>
                <w:lang w:eastAsia="zh-CN"/>
              </w:rPr>
              <w:t>二档：</w:t>
            </w:r>
            <w:r>
              <w:rPr>
                <w:rFonts w:hint="eastAsia" w:ascii="宋体" w:hAnsi="宋体"/>
                <w:color w:val="auto"/>
                <w:szCs w:val="21"/>
              </w:rPr>
              <w:t>质保期满足招标文件要求，售后服务方案描述详细、具有一定的可行性、针对性，应急保障措施较详细、合理，培训内容符合采购需求且有详细描述，得10分；</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textAlignment w:val="auto"/>
              <w:rPr>
                <w:rFonts w:hAnsi="宋体" w:cs="宋体"/>
                <w:color w:val="auto"/>
                <w:szCs w:val="21"/>
              </w:rPr>
            </w:pPr>
            <w:r>
              <w:rPr>
                <w:rFonts w:hint="eastAsia" w:ascii="宋体" w:hAnsi="宋体"/>
                <w:color w:val="auto"/>
                <w:szCs w:val="21"/>
                <w:lang w:eastAsia="zh-CN"/>
              </w:rPr>
              <w:t>三档：</w:t>
            </w:r>
            <w:r>
              <w:rPr>
                <w:rFonts w:hint="eastAsia" w:ascii="宋体" w:hAnsi="宋体"/>
                <w:color w:val="auto"/>
                <w:szCs w:val="21"/>
              </w:rPr>
              <w:t>质保期满足或优于招标文件要求，售后服务方案详细、可行性强、针对性强，应急保障措施详细、合理、得力，且提出了对用户有用的售后服务措施，培训内容完全符合采购需求，且有详细描述、具备较强的针对性，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55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color w:val="auto"/>
                <w:szCs w:val="21"/>
                <w:u w:val="single"/>
              </w:rPr>
            </w:pPr>
          </w:p>
        </w:tc>
        <w:tc>
          <w:tcPr>
            <w:tcW w:w="1062"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ascii="宋体" w:hAnsi="宋体"/>
                <w:b/>
                <w:color w:val="auto"/>
                <w:szCs w:val="21"/>
                <w:highlight w:val="yellow"/>
              </w:rPr>
            </w:pPr>
          </w:p>
        </w:tc>
        <w:tc>
          <w:tcPr>
            <w:tcW w:w="1155" w:type="dxa"/>
            <w:vAlign w:val="center"/>
          </w:tcPr>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hint="eastAsia" w:hAnsi="宋体" w:eastAsia="宋体"/>
                <w:bCs/>
                <w:color w:val="auto"/>
                <w:szCs w:val="21"/>
                <w:highlight w:val="yellow"/>
                <w:lang w:eastAsia="zh-CN"/>
              </w:rPr>
            </w:pPr>
            <w:r>
              <w:rPr>
                <w:rFonts w:hint="eastAsia" w:hAnsi="宋体"/>
                <w:b/>
                <w:bCs w:val="0"/>
                <w:color w:val="auto"/>
                <w:szCs w:val="21"/>
                <w:highlight w:val="none"/>
                <w:lang w:eastAsia="zh-CN"/>
              </w:rPr>
              <w:t>资信业绩分</w:t>
            </w:r>
            <w:r>
              <w:rPr>
                <w:rFonts w:hint="eastAsia" w:hAnsi="宋体" w:cs="Courier New"/>
                <w:color w:val="auto"/>
                <w:highlight w:val="none"/>
              </w:rPr>
              <w:t>（满分</w:t>
            </w:r>
            <w:r>
              <w:rPr>
                <w:rFonts w:hint="eastAsia" w:hAnsi="宋体"/>
                <w:color w:val="auto"/>
                <w:highlight w:val="none"/>
                <w:u w:val="single"/>
              </w:rPr>
              <w:t xml:space="preserve"> 6 </w:t>
            </w:r>
            <w:r>
              <w:rPr>
                <w:rFonts w:hint="eastAsia" w:hAnsi="宋体" w:cs="Courier New"/>
                <w:color w:val="auto"/>
                <w:highlight w:val="none"/>
              </w:rPr>
              <w:t>分</w:t>
            </w:r>
            <w:r>
              <w:rPr>
                <w:rFonts w:hint="eastAsia" w:hAnsi="宋体" w:cs="Courier New"/>
                <w:color w:val="auto"/>
              </w:rPr>
              <w:t>）</w:t>
            </w:r>
          </w:p>
        </w:tc>
        <w:tc>
          <w:tcPr>
            <w:tcW w:w="71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textAlignment w:val="auto"/>
              <w:rPr>
                <w:rFonts w:ascii="宋体" w:hAnsi="宋体" w:cs="宋体"/>
                <w:color w:val="auto"/>
                <w:szCs w:val="21"/>
              </w:rPr>
            </w:pPr>
            <w:r>
              <w:rPr>
                <w:rFonts w:hint="eastAsia" w:ascii="宋体" w:hAnsi="宋体" w:cs="宋体"/>
                <w:color w:val="auto"/>
                <w:szCs w:val="21"/>
              </w:rPr>
              <w:t>(1)投标人提供了经审计的最近两年财务报表且盈利（须提供加盖公章的复印件）得1分；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textAlignment w:val="auto"/>
              <w:rPr>
                <w:rFonts w:hAnsi="宋体" w:cs="宋体"/>
                <w:color w:val="auto"/>
                <w:szCs w:val="21"/>
              </w:rPr>
            </w:pPr>
            <w:r>
              <w:rPr>
                <w:rFonts w:hint="eastAsia" w:ascii="宋体" w:hAnsi="宋体" w:cs="宋体"/>
                <w:color w:val="auto"/>
                <w:szCs w:val="21"/>
              </w:rPr>
              <w:t>(2)投标人在所投主要设备（采集、播放或存储设备）在广播电视领域有同类型案例（必须提供加盖公章的合同或验收文件的扫描件），每一个得1分，满分5分；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baseline"/>
              <w:rPr>
                <w:rFonts w:hint="eastAsia" w:ascii="宋体" w:hAnsi="宋体" w:eastAsia="宋体"/>
                <w:color w:val="auto"/>
                <w:szCs w:val="21"/>
                <w:u w:val="single"/>
                <w:lang w:eastAsia="zh-CN"/>
              </w:rPr>
            </w:pPr>
            <w:r>
              <w:rPr>
                <w:rFonts w:hint="eastAsia" w:ascii="宋体" w:hAnsi="宋体"/>
                <w:color w:val="auto"/>
                <w:szCs w:val="21"/>
                <w:u w:val="none"/>
                <w:lang w:val="en-US" w:eastAsia="zh-CN"/>
              </w:rPr>
              <w:t>4</w:t>
            </w:r>
          </w:p>
        </w:tc>
        <w:tc>
          <w:tcPr>
            <w:tcW w:w="2217" w:type="dxa"/>
            <w:gridSpan w:val="2"/>
            <w:vAlign w:val="center"/>
          </w:tcPr>
          <w:p>
            <w:pPr>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ascii="宋体" w:hAnsi="宋体"/>
                <w:color w:val="auto"/>
                <w:szCs w:val="21"/>
              </w:rPr>
            </w:pPr>
            <w:r>
              <w:rPr>
                <w:rFonts w:hint="eastAsia" w:ascii="宋体" w:hAnsi="宋体"/>
                <w:b/>
                <w:color w:val="auto"/>
                <w:szCs w:val="21"/>
              </w:rPr>
              <w:t>政策分</w:t>
            </w:r>
            <w:r>
              <w:rPr>
                <w:rFonts w:hint="eastAsia" w:ascii="宋体" w:hAnsi="宋体"/>
                <w:color w:val="auto"/>
                <w:szCs w:val="21"/>
              </w:rPr>
              <w:t>（满分</w:t>
            </w:r>
          </w:p>
          <w:p>
            <w:pPr>
              <w:keepNext w:val="0"/>
              <w:keepLines w:val="0"/>
              <w:pageBreakBefore w:val="0"/>
              <w:widowControl w:val="0"/>
              <w:kinsoku/>
              <w:wordWrap/>
              <w:overflowPunct/>
              <w:topLinePunct w:val="0"/>
              <w:autoSpaceDE/>
              <w:autoSpaceDN/>
              <w:bidi w:val="0"/>
              <w:snapToGrid/>
              <w:spacing w:line="360" w:lineRule="auto"/>
              <w:ind w:left="0" w:leftChars="0" w:right="0" w:rightChars="0"/>
              <w:jc w:val="center"/>
              <w:rPr>
                <w:rFonts w:ascii="宋体" w:hAnsi="宋体"/>
                <w:b/>
                <w:color w:val="auto"/>
                <w:szCs w:val="21"/>
              </w:rPr>
            </w:pPr>
            <w:r>
              <w:rPr>
                <w:rFonts w:hint="eastAsia" w:ascii="宋体" w:hAnsi="宋体"/>
                <w:color w:val="auto"/>
                <w:szCs w:val="21"/>
                <w:u w:val="single"/>
              </w:rPr>
              <w:t>1</w:t>
            </w:r>
            <w:r>
              <w:rPr>
                <w:rFonts w:hint="eastAsia" w:ascii="宋体" w:hAnsi="宋体"/>
                <w:color w:val="auto"/>
                <w:szCs w:val="21"/>
              </w:rPr>
              <w:t>分</w:t>
            </w:r>
          </w:p>
        </w:tc>
        <w:tc>
          <w:tcPr>
            <w:tcW w:w="7183"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contextualSpacing/>
              <w:textAlignment w:val="auto"/>
              <w:rPr>
                <w:rFonts w:hAnsi="宋体" w:cs="Courier New"/>
                <w:bCs/>
                <w:color w:val="auto"/>
              </w:rPr>
            </w:pPr>
            <w:r>
              <w:rPr>
                <w:rFonts w:hint="eastAsia" w:ascii="宋体" w:hAnsi="宋体" w:cs="宋体"/>
                <w:bCs/>
                <w:color w:val="auto"/>
                <w:kern w:val="0"/>
                <w:szCs w:val="21"/>
              </w:rPr>
              <w:t>投标产品列入财政部、国家发展和改革委员会制定和公布的</w:t>
            </w:r>
            <w:r>
              <w:rPr>
                <w:rFonts w:hint="eastAsia" w:ascii="宋体" w:hAnsi="宋体" w:cs="宋体"/>
                <w:color w:val="auto"/>
                <w:kern w:val="0"/>
                <w:szCs w:val="21"/>
              </w:rPr>
              <w:t>政府采购节能产品、环境标志产品品目清单内，且具</w:t>
            </w:r>
            <w:r>
              <w:rPr>
                <w:rFonts w:hint="eastAsia" w:ascii="宋体" w:hAnsi="宋体" w:cs="宋体"/>
                <w:bCs/>
                <w:color w:val="auto"/>
                <w:kern w:val="0"/>
                <w:szCs w:val="21"/>
              </w:rPr>
              <w:t>有有效期之内的节能产品、环境标志产品认证证书的。每项得0.5分（适用于非强制采购的产品，以品目清单复印件及产品证书为准，投标产品需清晰反映在品目清单上），满分1分。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8" w:type="dxa"/>
            <w:gridSpan w:val="4"/>
            <w:vAlign w:val="center"/>
          </w:tcPr>
          <w:p>
            <w:pPr>
              <w:pStyle w:val="18"/>
              <w:keepNext w:val="0"/>
              <w:keepLines w:val="0"/>
              <w:pageBreakBefore w:val="0"/>
              <w:widowControl w:val="0"/>
              <w:kinsoku/>
              <w:wordWrap/>
              <w:overflowPunct/>
              <w:topLinePunct w:val="0"/>
              <w:autoSpaceDE/>
              <w:autoSpaceDN/>
              <w:bidi w:val="0"/>
              <w:snapToGrid/>
              <w:spacing w:line="360" w:lineRule="auto"/>
              <w:ind w:left="0" w:leftChars="0" w:right="0" w:rightChars="0" w:firstLine="420"/>
              <w:rPr>
                <w:rFonts w:hAnsi="宋体" w:cs="Courier New"/>
                <w:b/>
                <w:bCs/>
                <w:color w:val="auto"/>
              </w:rPr>
            </w:pPr>
            <w:r>
              <w:rPr>
                <w:rFonts w:hint="eastAsia" w:hAnsi="宋体" w:cs="Courier New"/>
                <w:b/>
                <w:bCs/>
                <w:color w:val="auto"/>
              </w:rPr>
              <w:t>总得分=1+2+3+4。</w:t>
            </w:r>
          </w:p>
        </w:tc>
      </w:tr>
    </w:tbl>
    <w:p>
      <w:pPr>
        <w:adjustRightInd w:val="0"/>
        <w:spacing w:line="360" w:lineRule="auto"/>
        <w:jc w:val="left"/>
        <w:textAlignment w:val="baseline"/>
        <w:rPr>
          <w:rFonts w:ascii="宋体" w:hAnsi="宋体"/>
          <w:b/>
          <w:color w:val="auto"/>
          <w:szCs w:val="21"/>
        </w:rPr>
      </w:pPr>
    </w:p>
    <w:p>
      <w:pPr>
        <w:adjustRightInd w:val="0"/>
        <w:spacing w:line="360" w:lineRule="auto"/>
        <w:jc w:val="left"/>
        <w:textAlignment w:val="baseline"/>
        <w:rPr>
          <w:rFonts w:ascii="宋体" w:hAnsi="宋体"/>
          <w:b/>
          <w:color w:val="auto"/>
          <w:szCs w:val="21"/>
        </w:rPr>
      </w:pPr>
      <w:r>
        <w:rPr>
          <w:rFonts w:hint="eastAsia" w:ascii="宋体" w:hAnsi="宋体"/>
          <w:b/>
          <w:color w:val="auto"/>
          <w:szCs w:val="21"/>
        </w:rPr>
        <w:br w:type="page"/>
      </w:r>
    </w:p>
    <w:p>
      <w:pPr>
        <w:pStyle w:val="2"/>
        <w:keepNext w:val="0"/>
        <w:keepLines w:val="0"/>
        <w:ind w:firstLine="602"/>
        <w:jc w:val="center"/>
        <w:rPr>
          <w:color w:val="auto"/>
          <w:sz w:val="30"/>
          <w:szCs w:val="30"/>
        </w:rPr>
      </w:pPr>
      <w:r>
        <w:rPr>
          <w:rFonts w:hint="eastAsia"/>
          <w:color w:val="auto"/>
          <w:sz w:val="30"/>
          <w:szCs w:val="30"/>
        </w:rPr>
        <w:t>四、中标候选人推荐</w:t>
      </w:r>
    </w:p>
    <w:p>
      <w:pPr>
        <w:pStyle w:val="18"/>
        <w:spacing w:line="360" w:lineRule="auto"/>
        <w:ind w:firstLine="420" w:firstLineChars="200"/>
        <w:contextualSpacing/>
        <w:rPr>
          <w:rFonts w:hAnsi="宋体"/>
          <w:color w:val="auto"/>
        </w:rPr>
      </w:pPr>
      <w:r>
        <w:rPr>
          <w:rFonts w:hint="eastAsia" w:hAnsi="宋体"/>
          <w:color w:val="auto"/>
        </w:rPr>
        <w:t>1</w:t>
      </w:r>
      <w:r>
        <w:rPr>
          <w:rFonts w:hAnsi="宋体"/>
          <w:color w:val="auto"/>
        </w:rPr>
        <w:t>.</w:t>
      </w:r>
      <w:r>
        <w:rPr>
          <w:rFonts w:hint="eastAsia" w:hAnsi="宋体"/>
          <w:color w:val="auto"/>
        </w:rPr>
        <w:t>评标委员会根据原始评标记录和评标结果编写评标报告，并通过电子交易平台向采购人、采购代理机构提交。</w:t>
      </w:r>
    </w:p>
    <w:p>
      <w:pPr>
        <w:pStyle w:val="18"/>
        <w:spacing w:line="360" w:lineRule="auto"/>
        <w:ind w:firstLine="420" w:firstLineChars="200"/>
        <w:contextualSpacing/>
        <w:rPr>
          <w:rFonts w:hAnsi="宋体"/>
          <w:color w:val="auto"/>
        </w:rPr>
      </w:pPr>
      <w:r>
        <w:rPr>
          <w:rFonts w:hint="eastAsia" w:hAnsi="宋体"/>
          <w:color w:val="auto"/>
        </w:rPr>
        <w:t>2</w:t>
      </w:r>
      <w:r>
        <w:rPr>
          <w:rFonts w:hAnsi="宋体"/>
          <w:color w:val="auto"/>
        </w:rPr>
        <w:t>.</w:t>
      </w:r>
      <w:r>
        <w:rPr>
          <w:rFonts w:hint="eastAsia" w:hAnsi="宋体"/>
          <w:color w:val="auto"/>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spacing w:line="360" w:lineRule="auto"/>
        <w:ind w:firstLine="420" w:firstLineChars="200"/>
        <w:jc w:val="left"/>
        <w:rPr>
          <w:rFonts w:ascii="ˎ̥" w:hAnsi="ˎ̥" w:cs="宋体"/>
          <w:bCs/>
          <w:color w:val="auto"/>
          <w:szCs w:val="21"/>
        </w:rPr>
      </w:pPr>
      <w:r>
        <w:rPr>
          <w:rFonts w:hint="eastAsia" w:ascii="ˎ̥" w:hAnsi="ˎ̥" w:cs="宋体"/>
          <w:bCs/>
          <w:color w:val="auto"/>
          <w:szCs w:val="21"/>
        </w:rPr>
        <w:t xml:space="preserve">注：特别说明 </w:t>
      </w:r>
    </w:p>
    <w:p>
      <w:pPr>
        <w:spacing w:line="360" w:lineRule="auto"/>
        <w:ind w:firstLine="420" w:firstLineChars="200"/>
        <w:jc w:val="left"/>
        <w:rPr>
          <w:rFonts w:ascii="ˎ̥" w:hAnsi="ˎ̥" w:cs="宋体"/>
          <w:bCs/>
          <w:color w:val="auto"/>
          <w:kern w:val="0"/>
          <w:szCs w:val="21"/>
        </w:rPr>
      </w:pPr>
      <w:r>
        <w:rPr>
          <w:rFonts w:hint="eastAsia" w:ascii="ˎ̥" w:hAnsi="ˎ̥" w:cs="宋体"/>
          <w:bCs/>
          <w:color w:val="auto"/>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pPr>
        <w:pStyle w:val="18"/>
        <w:spacing w:line="360" w:lineRule="auto"/>
        <w:rPr>
          <w:rFonts w:hAnsi="宋体"/>
          <w:color w:val="auto"/>
        </w:rPr>
      </w:pPr>
      <w:r>
        <w:rPr>
          <w:rFonts w:hAnsi="宋体"/>
          <w:b/>
          <w:color w:val="auto"/>
          <w:sz w:val="24"/>
        </w:rPr>
        <w:br w:type="page"/>
      </w: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spacing w:beforeLines="50" w:afterLines="50" w:line="400" w:lineRule="exact"/>
        <w:rPr>
          <w:rFonts w:ascii="宋体" w:hAnsi="宋体"/>
          <w:b/>
          <w:color w:val="auto"/>
          <w:sz w:val="24"/>
        </w:rPr>
      </w:pPr>
    </w:p>
    <w:p>
      <w:pPr>
        <w:pStyle w:val="4"/>
        <w:keepNext w:val="0"/>
        <w:keepLines w:val="0"/>
        <w:jc w:val="center"/>
        <w:rPr>
          <w:color w:val="auto"/>
        </w:rPr>
      </w:pPr>
      <w:bookmarkStart w:id="149" w:name="_Toc19686833"/>
      <w:r>
        <w:rPr>
          <w:rFonts w:hint="eastAsia"/>
          <w:color w:val="auto"/>
        </w:rPr>
        <w:t>第五章  拟签订的合同文本</w:t>
      </w:r>
      <w:bookmarkEnd w:id="149"/>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snapToGrid w:val="0"/>
        <w:spacing w:line="400" w:lineRule="exact"/>
        <w:jc w:val="center"/>
        <w:rPr>
          <w:rFonts w:ascii="微软雅黑" w:hAnsi="微软雅黑" w:eastAsia="微软雅黑"/>
          <w:b/>
          <w:bCs/>
          <w:color w:val="auto"/>
          <w:sz w:val="32"/>
          <w:szCs w:val="32"/>
        </w:rPr>
      </w:pPr>
      <w:r>
        <w:rPr>
          <w:rFonts w:ascii="宋体" w:hAnsi="宋体"/>
          <w:bCs/>
          <w:color w:val="auto"/>
          <w:sz w:val="32"/>
          <w:szCs w:val="32"/>
        </w:rPr>
        <w:br w:type="page"/>
      </w:r>
      <w:bookmarkStart w:id="150" w:name="_Hlk55381736"/>
      <w:r>
        <w:rPr>
          <w:rFonts w:hint="eastAsia" w:ascii="微软雅黑" w:hAnsi="微软雅黑" w:eastAsia="微软雅黑"/>
          <w:b/>
          <w:bCs/>
          <w:color w:val="auto"/>
          <w:sz w:val="32"/>
          <w:szCs w:val="32"/>
        </w:rPr>
        <w:t>《广西壮族自治区政府采购合同》</w:t>
      </w:r>
    </w:p>
    <w:p>
      <w:pPr>
        <w:snapToGrid w:val="0"/>
        <w:spacing w:line="400" w:lineRule="exact"/>
        <w:ind w:right="480" w:firstLine="5250" w:firstLineChars="2500"/>
        <w:rPr>
          <w:rFonts w:ascii="微软雅黑" w:hAnsi="微软雅黑" w:eastAsia="微软雅黑"/>
          <w:bCs/>
          <w:color w:val="auto"/>
          <w:szCs w:val="21"/>
        </w:rPr>
      </w:pPr>
    </w:p>
    <w:p>
      <w:pPr>
        <w:snapToGrid w:val="0"/>
        <w:spacing w:line="360" w:lineRule="auto"/>
        <w:rPr>
          <w:rFonts w:ascii="宋体" w:hAnsi="宋体" w:cs="宋体"/>
          <w:color w:val="auto"/>
          <w:szCs w:val="21"/>
          <w:u w:val="single"/>
        </w:rPr>
      </w:pPr>
      <w:r>
        <w:rPr>
          <w:rFonts w:hint="eastAsia" w:ascii="宋体" w:hAnsi="宋体" w:cs="宋体"/>
          <w:color w:val="auto"/>
          <w:szCs w:val="21"/>
        </w:rPr>
        <w:t>采购单位（甲方）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供 应 商（乙方）</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pacing w:val="-20"/>
          <w:szCs w:val="21"/>
        </w:rPr>
        <w:t>招  标  编  号</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 xml:space="preserve">签  订  地  点  </w:t>
      </w:r>
      <w:r>
        <w:rPr>
          <w:rFonts w:hint="eastAsia" w:ascii="宋体" w:hAnsi="宋体" w:cs="宋体"/>
          <w:color w:val="auto"/>
          <w:szCs w:val="21"/>
          <w:u w:val="single"/>
        </w:rPr>
        <w:t xml:space="preserve">                             </w:t>
      </w:r>
      <w:r>
        <w:rPr>
          <w:rFonts w:hint="eastAsia" w:ascii="宋体" w:hAnsi="宋体" w:cs="宋体"/>
          <w:color w:val="auto"/>
          <w:szCs w:val="21"/>
        </w:rPr>
        <w:t xml:space="preserve">  签 订 时 间</w:t>
      </w:r>
      <w:r>
        <w:rPr>
          <w:rFonts w:hint="eastAsia" w:ascii="宋体" w:hAnsi="宋体" w:cs="宋体"/>
          <w:color w:val="auto"/>
          <w:szCs w:val="21"/>
          <w:u w:val="single"/>
        </w:rPr>
        <w:t xml:space="preserve">                    </w:t>
      </w:r>
    </w:p>
    <w:p>
      <w:pPr>
        <w:snapToGrid w:val="0"/>
        <w:spacing w:line="360" w:lineRule="auto"/>
        <w:ind w:firstLine="420" w:firstLineChars="200"/>
        <w:rPr>
          <w:rFonts w:ascii="宋体" w:hAnsi="宋体" w:cs="宋体"/>
          <w:color w:val="auto"/>
          <w:szCs w:val="21"/>
        </w:rPr>
      </w:pP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根据《中华人民共和国政府采购法》、《中华人民共和国民法典》等法律、法规规定，按照采购文件规定条款和中标供应商承诺，甲乙双方签订本合同。</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第一条 合同标的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供货一览表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247"/>
        <w:gridCol w:w="1248"/>
        <w:gridCol w:w="1571"/>
        <w:gridCol w:w="1230"/>
        <w:gridCol w:w="1208"/>
        <w:gridCol w:w="122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1247"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产品名称</w:t>
            </w:r>
          </w:p>
        </w:tc>
        <w:tc>
          <w:tcPr>
            <w:tcW w:w="1248"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商标品牌</w:t>
            </w:r>
          </w:p>
        </w:tc>
        <w:tc>
          <w:tcPr>
            <w:tcW w:w="15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规格型号</w:t>
            </w:r>
          </w:p>
        </w:tc>
        <w:tc>
          <w:tcPr>
            <w:tcW w:w="123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生产厂家</w:t>
            </w:r>
          </w:p>
        </w:tc>
        <w:tc>
          <w:tcPr>
            <w:tcW w:w="1208"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数量</w:t>
            </w:r>
          </w:p>
          <w:p>
            <w:pPr>
              <w:spacing w:line="360" w:lineRule="auto"/>
              <w:jc w:val="center"/>
              <w:rPr>
                <w:rFonts w:ascii="宋体" w:hAnsi="宋体" w:cs="宋体"/>
                <w:color w:val="auto"/>
                <w:szCs w:val="21"/>
              </w:rPr>
            </w:pPr>
            <w:r>
              <w:rPr>
                <w:rFonts w:hint="eastAsia" w:ascii="宋体" w:hAnsi="宋体" w:cs="宋体"/>
                <w:color w:val="auto"/>
                <w:szCs w:val="21"/>
              </w:rPr>
              <w:t>单位</w:t>
            </w:r>
          </w:p>
        </w:tc>
        <w:tc>
          <w:tcPr>
            <w:tcW w:w="1228"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单价(元)</w:t>
            </w:r>
          </w:p>
        </w:tc>
        <w:tc>
          <w:tcPr>
            <w:tcW w:w="136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1247" w:type="dxa"/>
            <w:vAlign w:val="center"/>
          </w:tcPr>
          <w:p>
            <w:pPr>
              <w:spacing w:line="360" w:lineRule="auto"/>
              <w:jc w:val="center"/>
              <w:rPr>
                <w:rFonts w:ascii="宋体" w:hAnsi="宋体" w:cs="宋体"/>
                <w:color w:val="auto"/>
                <w:szCs w:val="21"/>
              </w:rPr>
            </w:pPr>
          </w:p>
        </w:tc>
        <w:tc>
          <w:tcPr>
            <w:tcW w:w="1248" w:type="dxa"/>
            <w:vAlign w:val="center"/>
          </w:tcPr>
          <w:p>
            <w:pPr>
              <w:spacing w:line="360" w:lineRule="auto"/>
              <w:rPr>
                <w:rFonts w:ascii="宋体" w:hAnsi="宋体" w:cs="宋体"/>
                <w:color w:val="auto"/>
                <w:szCs w:val="21"/>
              </w:rPr>
            </w:pPr>
          </w:p>
        </w:tc>
        <w:tc>
          <w:tcPr>
            <w:tcW w:w="1571" w:type="dxa"/>
            <w:vAlign w:val="center"/>
          </w:tcPr>
          <w:p>
            <w:pPr>
              <w:spacing w:line="360" w:lineRule="auto"/>
              <w:jc w:val="center"/>
              <w:rPr>
                <w:rFonts w:ascii="宋体" w:hAnsi="宋体" w:cs="宋体"/>
                <w:color w:val="auto"/>
                <w:szCs w:val="21"/>
              </w:rPr>
            </w:pPr>
          </w:p>
        </w:tc>
        <w:tc>
          <w:tcPr>
            <w:tcW w:w="1230" w:type="dxa"/>
            <w:vAlign w:val="center"/>
          </w:tcPr>
          <w:p>
            <w:pPr>
              <w:spacing w:line="360" w:lineRule="auto"/>
              <w:jc w:val="center"/>
              <w:rPr>
                <w:rFonts w:ascii="宋体" w:hAnsi="宋体" w:cs="宋体"/>
                <w:color w:val="auto"/>
                <w:szCs w:val="21"/>
              </w:rPr>
            </w:pPr>
          </w:p>
        </w:tc>
        <w:tc>
          <w:tcPr>
            <w:tcW w:w="1208" w:type="dxa"/>
            <w:vAlign w:val="center"/>
          </w:tcPr>
          <w:p>
            <w:pPr>
              <w:spacing w:line="360" w:lineRule="auto"/>
              <w:jc w:val="center"/>
              <w:rPr>
                <w:rFonts w:ascii="宋体" w:hAnsi="宋体" w:cs="宋体"/>
                <w:color w:val="auto"/>
                <w:szCs w:val="21"/>
              </w:rPr>
            </w:pPr>
          </w:p>
        </w:tc>
        <w:tc>
          <w:tcPr>
            <w:tcW w:w="1228" w:type="dxa"/>
            <w:vAlign w:val="center"/>
          </w:tcPr>
          <w:p>
            <w:pPr>
              <w:spacing w:line="360" w:lineRule="auto"/>
              <w:jc w:val="center"/>
              <w:rPr>
                <w:rFonts w:ascii="宋体" w:hAnsi="宋体" w:cs="宋体"/>
                <w:color w:val="auto"/>
                <w:szCs w:val="21"/>
              </w:rPr>
            </w:pPr>
          </w:p>
        </w:tc>
        <w:tc>
          <w:tcPr>
            <w:tcW w:w="1360"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854" w:type="dxa"/>
            <w:gridSpan w:val="8"/>
            <w:vAlign w:val="center"/>
          </w:tcPr>
          <w:p>
            <w:pPr>
              <w:spacing w:line="360" w:lineRule="auto"/>
              <w:rPr>
                <w:rFonts w:ascii="宋体" w:hAnsi="宋体" w:cs="宋体"/>
                <w:color w:val="auto"/>
                <w:szCs w:val="21"/>
              </w:rPr>
            </w:pPr>
            <w:r>
              <w:rPr>
                <w:rFonts w:hint="eastAsia" w:ascii="宋体" w:hAnsi="宋体" w:cs="宋体"/>
                <w:color w:val="auto"/>
                <w:szCs w:val="21"/>
              </w:rPr>
              <w:t xml:space="preserve">人民币合计金额(大写)                    (小写)               </w:t>
            </w:r>
          </w:p>
        </w:tc>
      </w:tr>
    </w:tbl>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合同合计金额是履行合同的最终价格，即投标报价为采购人指定地点的现场交货价，包括：投标人就《货物需求一览表》中全部内容作完整唯一报价，不完整响应或拆分投标的将导致投标无效；本项目投标应以人民币报价；不论投标结果如何，投标人均应自行承担所有与投标有关的全部费用；本项目报价为产品送达采购人指定地点进行安装，经采购人验收合格所发生的一切费用，其包括但不限于以下费用：产品（含主要设备、配件、辅材）供应、运输装卸费、保险费、安装费、调试费、行政规费与税费、产品检验检测、操作人员培训费、管理费、验收费、质保期技术支持及运行维护费用、招标代理服务费等与本项目相关的一切费用；投标人漏报的单价或每单价报价中漏报、少报的费用，视为此项费用已隐含在投标报价中，中标后不得再向采购人收取任何费用。。</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第二条 质量保证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所提供的货物型号、技术规格、技术参数等应符合国家标准、行业标准、地方标准等标准、规范（上述标准、规范有出入的，以较严格为准），并与公告规定、采购文件及投标文件承诺的质量相一致，以确保使用过程的安全有效，如采购文件中明确对货物提出更高的技术要求的，乙方还应当确保符合采购文件提出的技术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乙方所提供的货物必须是全新、未使用的原装产品，且在正常安装、使用和保养条件下，其使用寿命期内各项指标均达到公告规定、采购文件或投标文件承诺的质量要求。</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第三条 权利保证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乙方应保证所提供货物在使用时不会侵犯任何第三方的专利权、商标权、工业设计权或其他权利。</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乙方应按公告规定、采购文件或投标文件承诺的时间向甲方提供使用货物的有关技术资料。</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乙方保证将要交付的货物的所有权完全属于乙方，且无任何抵押、质押、查封等产权瑕疵。</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第四条 包装和运输</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乙方提供的货物均应按照公告规定、采购文件或投标文件承诺的包装材料、包装标准、包装方式进行包装，每一包装单元内应附详细的装箱单和质量合格证。</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货物的运输方式：</w:t>
      </w:r>
      <w:r>
        <w:rPr>
          <w:rFonts w:hint="eastAsia" w:ascii="宋体" w:hAnsi="宋体" w:cs="宋体"/>
          <w:color w:val="auto"/>
          <w:szCs w:val="21"/>
          <w:u w:val="single"/>
        </w:rPr>
        <w:t xml:space="preserve">  </w:t>
      </w:r>
      <w:r>
        <w:rPr>
          <w:rFonts w:hint="eastAsia" w:ascii="宋体" w:hAnsi="宋体" w:cs="宋体"/>
          <w:color w:val="auto"/>
          <w:kern w:val="1"/>
          <w:szCs w:val="21"/>
          <w:u w:val="single"/>
          <w:lang w:eastAsia="ar-SA"/>
        </w:rPr>
        <w:t>不限</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乙方负责货物运输及相关费用，货物运输合理损耗及计算方法：</w:t>
      </w:r>
      <w:r>
        <w:rPr>
          <w:rFonts w:hint="eastAsia" w:ascii="宋体" w:hAnsi="宋体" w:cs="宋体"/>
          <w:color w:val="auto"/>
          <w:szCs w:val="21"/>
          <w:u w:val="single"/>
        </w:rPr>
        <w:t>货物运输保险费已包含在合同总价中，乙方须确保货物安全无损地运抵安装地点</w:t>
      </w:r>
      <w:r>
        <w:rPr>
          <w:rFonts w:hint="eastAsia" w:ascii="宋体" w:hAnsi="宋体" w:cs="宋体"/>
          <w:color w:val="auto"/>
          <w:szCs w:val="21"/>
        </w:rPr>
        <w:t>。</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第五条 交付和验收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交货时间：</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630" w:firstLineChars="300"/>
        <w:rPr>
          <w:rFonts w:ascii="宋体" w:hAnsi="宋体" w:cs="宋体"/>
          <w:color w:val="auto"/>
          <w:szCs w:val="21"/>
        </w:rPr>
      </w:pPr>
      <w:r>
        <w:rPr>
          <w:rFonts w:hint="eastAsia" w:ascii="宋体" w:hAnsi="宋体" w:cs="宋体"/>
          <w:color w:val="auto"/>
          <w:szCs w:val="21"/>
        </w:rPr>
        <w:t xml:space="preserve"> 交货地点：</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乙方提供不符合公告规定的、采购文件、投标文件承诺的或本合同规定的货物，甲方有权拒绝接受。</w:t>
      </w:r>
    </w:p>
    <w:p>
      <w:pPr>
        <w:spacing w:line="360" w:lineRule="auto"/>
        <w:ind w:firstLine="420" w:firstLineChars="200"/>
        <w:rPr>
          <w:rFonts w:ascii="宋体" w:hAnsi="宋体" w:cs="宋体"/>
          <w:color w:val="auto"/>
          <w:szCs w:val="21"/>
        </w:rPr>
      </w:pPr>
      <w:r>
        <w:rPr>
          <w:rFonts w:hint="eastAsia" w:ascii="宋体" w:hAnsi="宋体" w:cs="宋体"/>
          <w:color w:val="auto"/>
          <w:szCs w:val="21"/>
        </w:rPr>
        <w:t>3. 乙方应将所提供货物的装箱清单、用户手册、原厂保修卡、随机资料、工具和备品、备件等交付给甲方，如有缺失应在甲方要求的合理时间内及时补齐，否则视为逾期交货。</w:t>
      </w:r>
    </w:p>
    <w:p>
      <w:pPr>
        <w:spacing w:line="360" w:lineRule="auto"/>
        <w:ind w:firstLine="420" w:firstLineChars="200"/>
        <w:rPr>
          <w:rFonts w:ascii="宋体" w:hAnsi="宋体" w:cs="宋体"/>
          <w:color w:val="auto"/>
          <w:szCs w:val="21"/>
        </w:rPr>
      </w:pPr>
      <w:r>
        <w:rPr>
          <w:rFonts w:hint="eastAsia" w:ascii="宋体" w:hAnsi="宋体" w:cs="宋体"/>
          <w:color w:val="auto"/>
          <w:szCs w:val="21"/>
        </w:rPr>
        <w:t>4. 甲方应当在到货并安装、调试完后</w:t>
      </w:r>
      <w:bookmarkStart w:id="151" w:name="OLE_LINK12"/>
      <w:bookmarkStart w:id="152" w:name="OLE_LINK11"/>
      <w:r>
        <w:rPr>
          <w:rFonts w:hint="eastAsia" w:ascii="宋体" w:hAnsi="宋体" w:cs="宋体"/>
          <w:color w:val="auto"/>
          <w:szCs w:val="21"/>
        </w:rPr>
        <w:t>一个月内进行验收</w:t>
      </w:r>
      <w:bookmarkEnd w:id="151"/>
      <w:bookmarkEnd w:id="152"/>
      <w:r>
        <w:rPr>
          <w:rFonts w:hint="eastAsia" w:ascii="宋体" w:hAnsi="宋体" w:cs="宋体"/>
          <w:color w:val="auto"/>
          <w:szCs w:val="21"/>
        </w:rPr>
        <w:t>，逾期不验收的，乙方可视同验收合格。验收合格后由甲乙双方签署货物验收单并加盖采购单位公章，甲乙双方各执一份。</w:t>
      </w:r>
    </w:p>
    <w:p>
      <w:pPr>
        <w:spacing w:line="360" w:lineRule="auto"/>
        <w:ind w:firstLine="420" w:firstLineChars="200"/>
        <w:rPr>
          <w:rFonts w:ascii="宋体" w:hAnsi="宋体" w:cs="宋体"/>
          <w:color w:val="auto"/>
          <w:szCs w:val="21"/>
        </w:rPr>
      </w:pPr>
      <w:r>
        <w:rPr>
          <w:rFonts w:hint="eastAsia" w:ascii="宋体" w:hAnsi="宋体" w:cs="宋体"/>
          <w:color w:val="auto"/>
          <w:szCs w:val="21"/>
        </w:rPr>
        <w:t>5. 若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60" w:lineRule="auto"/>
        <w:ind w:firstLine="420" w:firstLineChars="200"/>
        <w:rPr>
          <w:rFonts w:ascii="宋体" w:hAnsi="宋体" w:cs="宋体"/>
          <w:color w:val="auto"/>
          <w:szCs w:val="21"/>
        </w:rPr>
      </w:pPr>
      <w:r>
        <w:rPr>
          <w:rFonts w:hint="eastAsia" w:ascii="宋体" w:hAnsi="宋体" w:cs="宋体"/>
          <w:color w:val="auto"/>
          <w:szCs w:val="21"/>
        </w:rPr>
        <w:t>6. 甲方对验收有异议的，在验收后五个工作日内以书面形式向乙方提出，乙方应自收到甲方书面异议后五日内及时予以解决。</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第六条 安装和培训</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甲方应提供必要安装条件（如场地、电源、水源等）。乙方应在到货之日起</w:t>
      </w:r>
      <w:r>
        <w:rPr>
          <w:rFonts w:hint="eastAsia" w:ascii="宋体" w:hAnsi="宋体" w:cs="宋体"/>
          <w:color w:val="auto"/>
          <w:szCs w:val="21"/>
          <w:u w:val="single"/>
        </w:rPr>
        <w:t xml:space="preserve">  </w:t>
      </w:r>
      <w:r>
        <w:rPr>
          <w:rFonts w:hint="eastAsia" w:ascii="宋体" w:hAnsi="宋体" w:cs="宋体"/>
          <w:color w:val="auto"/>
          <w:szCs w:val="21"/>
        </w:rPr>
        <w:t xml:space="preserve"> 个工作日内对货物进行安装、调试。</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乙方负责甲方有关人员的培训，具体培训时间由甲方予以确定。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第七条 售后服务、质保期</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乙方应按照国家有关法律法规和“三包”规定以及公告、采购文件投标文件和本合同所附的《服务承诺》，为甲方提供售后服务。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货物保修期：</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乙方提供的服务承诺和售后服务及质保期责任等其它具体约定事项（见合同附件)。</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第八条 付款方式和履约保证金</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szCs w:val="21"/>
        </w:rPr>
        <w:t>当采购数量与实际使用数量不一致时，乙方应根据实际使用量供货，合同的最终结算金额按实际使用量乘以中标单价进行计算。</w:t>
      </w:r>
    </w:p>
    <w:p>
      <w:pPr>
        <w:suppressAutoHyphens/>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资金性质：</w:t>
      </w:r>
      <w:r>
        <w:rPr>
          <w:rFonts w:hint="eastAsia" w:ascii="宋体" w:hAnsi="宋体" w:cs="宋体"/>
          <w:color w:val="auto"/>
          <w:kern w:val="1"/>
          <w:szCs w:val="21"/>
          <w:u w:val="single"/>
        </w:rPr>
        <w:t xml:space="preserve"> 财政性资金   </w:t>
      </w:r>
      <w:r>
        <w:rPr>
          <w:rFonts w:hint="eastAsia" w:ascii="宋体" w:hAnsi="宋体" w:cs="宋体"/>
          <w:color w:val="auto"/>
          <w:kern w:val="1"/>
          <w:szCs w:val="21"/>
        </w:rPr>
        <w:t>。</w:t>
      </w:r>
    </w:p>
    <w:p>
      <w:pPr>
        <w:suppressAutoHyphens/>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3</w:t>
      </w:r>
      <w:r>
        <w:rPr>
          <w:rFonts w:hint="eastAsia" w:ascii="宋体" w:hAnsi="宋体" w:cs="宋体"/>
          <w:color w:val="auto"/>
          <w:kern w:val="1"/>
          <w:szCs w:val="21"/>
          <w:lang w:eastAsia="ar-SA"/>
        </w:rPr>
        <w:t>.</w:t>
      </w:r>
      <w:r>
        <w:rPr>
          <w:rFonts w:hint="eastAsia" w:ascii="宋体" w:hAnsi="宋体" w:cs="宋体"/>
          <w:color w:val="auto"/>
          <w:kern w:val="1"/>
          <w:szCs w:val="21"/>
        </w:rPr>
        <w:t xml:space="preserve"> 付款方式：</w:t>
      </w:r>
      <w:r>
        <w:rPr>
          <w:rFonts w:hint="eastAsia" w:ascii="宋体" w:hAnsi="宋体" w:cs="宋体"/>
          <w:color w:val="auto"/>
          <w:kern w:val="1"/>
          <w:szCs w:val="21"/>
          <w:u w:val="single"/>
        </w:rPr>
        <w:t xml:space="preserve">                                       。</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第九条 履约保证金</w:t>
      </w:r>
    </w:p>
    <w:p>
      <w:pPr>
        <w:autoSpaceDE w:val="0"/>
        <w:autoSpaceDN w:val="0"/>
        <w:snapToGrid w:val="0"/>
        <w:spacing w:line="360" w:lineRule="auto"/>
        <w:ind w:firstLine="424" w:firstLineChars="202"/>
        <w:textAlignment w:val="bottom"/>
        <w:rPr>
          <w:rFonts w:ascii="宋体" w:hAnsi="宋体" w:cs="宋体"/>
          <w:color w:val="auto"/>
          <w:kern w:val="1"/>
          <w:szCs w:val="21"/>
          <w:lang w:eastAsia="ar-SA"/>
        </w:rPr>
      </w:pPr>
      <w:r>
        <w:rPr>
          <w:rFonts w:hint="eastAsia" w:ascii="宋体" w:hAnsi="宋体" w:cs="宋体"/>
          <w:color w:val="auto"/>
          <w:kern w:val="1"/>
          <w:szCs w:val="21"/>
          <w:lang w:eastAsia="ar-SA"/>
        </w:rPr>
        <w:t>履约保证金：</w:t>
      </w:r>
    </w:p>
    <w:p>
      <w:pPr>
        <w:spacing w:line="360" w:lineRule="auto"/>
        <w:ind w:firstLine="420" w:firstLineChars="200"/>
        <w:contextualSpacing/>
        <w:rPr>
          <w:rFonts w:ascii="宋体" w:hAnsi="宋体"/>
          <w:color w:val="auto"/>
        </w:rPr>
      </w:pPr>
      <w:r>
        <w:rPr>
          <w:rFonts w:hint="eastAsia" w:ascii="宋体" w:hAnsi="宋体" w:cs="宋体"/>
          <w:color w:val="auto"/>
          <w:szCs w:val="21"/>
        </w:rPr>
        <w:t>1.履约保证金金额：按中标金额的</w:t>
      </w:r>
      <w:r>
        <w:rPr>
          <w:rFonts w:hint="eastAsia" w:ascii="宋体" w:hAnsi="宋体" w:cs="宋体"/>
          <w:color w:val="auto"/>
          <w:szCs w:val="21"/>
          <w:u w:val="single"/>
        </w:rPr>
        <w:t xml:space="preserve"> 2 </w:t>
      </w:r>
      <w:r>
        <w:rPr>
          <w:rFonts w:hint="eastAsia" w:ascii="宋体" w:hAnsi="宋体" w:cs="宋体"/>
          <w:color w:val="auto"/>
          <w:szCs w:val="21"/>
        </w:rPr>
        <w:t>%收取，并于合同签订前提交至采购人指定账户。</w:t>
      </w:r>
    </w:p>
    <w:p>
      <w:pPr>
        <w:autoSpaceDE w:val="0"/>
        <w:autoSpaceDN w:val="0"/>
        <w:snapToGrid w:val="0"/>
        <w:spacing w:line="360" w:lineRule="auto"/>
        <w:ind w:firstLine="424" w:firstLineChars="202"/>
        <w:textAlignment w:val="bottom"/>
        <w:rPr>
          <w:rFonts w:ascii="宋体" w:hAnsi="宋体" w:cs="宋体"/>
          <w:color w:val="auto"/>
          <w:szCs w:val="21"/>
        </w:rPr>
      </w:pPr>
      <w:r>
        <w:rPr>
          <w:rFonts w:hint="eastAsia" w:ascii="宋体" w:hAnsi="宋体" w:cs="宋体"/>
          <w:color w:val="auto"/>
          <w:szCs w:val="21"/>
        </w:rPr>
        <w:t>2.履约保证金递交方式：支票、汇票、本票，或者银行、保险机构出具的保函等非现金方式。</w:t>
      </w:r>
    </w:p>
    <w:p>
      <w:pPr>
        <w:spacing w:line="360" w:lineRule="auto"/>
        <w:ind w:firstLine="420" w:firstLineChars="200"/>
        <w:jc w:val="left"/>
        <w:rPr>
          <w:color w:val="auto"/>
        </w:rPr>
      </w:pPr>
      <w:r>
        <w:rPr>
          <w:rFonts w:hint="eastAsia" w:ascii="宋体" w:hAnsi="宋体" w:cs="宋体"/>
          <w:color w:val="auto"/>
          <w:szCs w:val="21"/>
        </w:rPr>
        <w:t>3.履约保证金退付的方式、时间及条件：</w:t>
      </w:r>
      <w:r>
        <w:rPr>
          <w:rFonts w:hint="eastAsia"/>
          <w:color w:val="auto"/>
        </w:rPr>
        <w:t>履约保证金在中标人按合同约定的项目验收交付正常运行一年后，由中标人向采购人提供《采购项目合同验收书》及《采购项目履约保证金退付意见书》（详见附件），甲方在收到合格材料后15个工作日内如数退还（不计利息）。采购人无故延期退付履约保证金的，每天向对方偿付未退付履约保证金3‰作为违约金。</w:t>
      </w:r>
    </w:p>
    <w:p>
      <w:pPr>
        <w:suppressAutoHyphens/>
        <w:autoSpaceDE w:val="0"/>
        <w:autoSpaceDN w:val="0"/>
        <w:snapToGrid w:val="0"/>
        <w:spacing w:line="360" w:lineRule="auto"/>
        <w:ind w:firstLine="424" w:firstLineChars="202"/>
        <w:textAlignment w:val="bottom"/>
        <w:rPr>
          <w:rFonts w:ascii="宋体" w:hAnsi="宋体" w:cs="宋体"/>
          <w:color w:val="auto"/>
          <w:kern w:val="1"/>
          <w:szCs w:val="21"/>
        </w:rPr>
      </w:pPr>
      <w:r>
        <w:rPr>
          <w:rFonts w:hint="eastAsia" w:ascii="宋体" w:hAnsi="宋体" w:cs="宋体"/>
          <w:color w:val="auto"/>
          <w:szCs w:val="21"/>
        </w:rPr>
        <w:t>4.不予退还的情形：签订合同后，如乙方不按双方签订的合同规定履约，则其全部履约保证金不予退还。</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第十条 税费</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本合同执行中相关的一切税费均由乙方负担。</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第十一条 质量保证及售后服务</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 乙方应按采购文件规定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（1）更换：产品出现质量问题、经乙方</w:t>
      </w:r>
      <w:r>
        <w:rPr>
          <w:rFonts w:hint="eastAsia" w:ascii="宋体" w:hAnsi="宋体" w:cs="宋体"/>
          <w:color w:val="auto"/>
          <w:kern w:val="1"/>
          <w:szCs w:val="21"/>
          <w:u w:val="single"/>
          <w:lang w:eastAsia="ar-SA"/>
        </w:rPr>
        <w:t>1</w:t>
      </w:r>
      <w:r>
        <w:rPr>
          <w:rFonts w:hint="eastAsia" w:ascii="宋体" w:hAnsi="宋体" w:cs="宋体"/>
          <w:color w:val="auto"/>
          <w:kern w:val="1"/>
          <w:szCs w:val="21"/>
          <w:lang w:eastAsia="ar-SA"/>
        </w:rPr>
        <w:t>次维修仍不能达到合同约定的质量标准的，甲方有权更换，并由乙方承担所发生的全部费用。</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（2）贬值处理：</w:t>
      </w:r>
      <w:r>
        <w:rPr>
          <w:rFonts w:hint="eastAsia" w:ascii="宋体" w:hAnsi="宋体" w:cs="宋体"/>
          <w:color w:val="auto"/>
          <w:kern w:val="1"/>
          <w:szCs w:val="21"/>
        </w:rPr>
        <w:t>因乙方</w:t>
      </w:r>
      <w:r>
        <w:rPr>
          <w:rFonts w:hint="eastAsia" w:ascii="宋体" w:hAnsi="宋体" w:cs="宋体"/>
          <w:color w:val="auto"/>
          <w:kern w:val="1"/>
          <w:szCs w:val="21"/>
          <w:lang w:eastAsia="ar-SA"/>
        </w:rPr>
        <w:t>产品出现质量问题</w:t>
      </w:r>
      <w:r>
        <w:rPr>
          <w:rFonts w:hint="eastAsia" w:ascii="宋体" w:hAnsi="宋体" w:cs="宋体"/>
          <w:color w:val="auto"/>
          <w:kern w:val="1"/>
          <w:szCs w:val="21"/>
        </w:rPr>
        <w:t>造成退换货产生的贬值由乙方自行承担</w:t>
      </w:r>
      <w:r>
        <w:rPr>
          <w:rFonts w:hint="eastAsia" w:ascii="宋体" w:hAnsi="宋体" w:cs="宋体"/>
          <w:color w:val="auto"/>
          <w:kern w:val="1"/>
          <w:szCs w:val="21"/>
          <w:lang w:eastAsia="ar-SA"/>
        </w:rPr>
        <w:t>。</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3）退货处理：产品出现严重质量问题的，甲方有权退货，乙方应退还甲方支付的合同款，同时承担退货所发生的所有费用（运输、保险、检验、货款利息及银行手续费等），并视作乙方不能交付货物而须支付违约赔偿金给甲方，甲方还可依法追究乙方的违约责任，且甲方有权终止合同，由此造成的损失由乙方负责。</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2. 如在使用过程中出现故障，乙方应在接到甲方通知后</w:t>
      </w:r>
      <w:r>
        <w:rPr>
          <w:rFonts w:hint="eastAsia" w:ascii="宋体" w:hAnsi="宋体" w:cs="宋体"/>
          <w:color w:val="auto"/>
          <w:szCs w:val="21"/>
          <w:u w:val="single"/>
        </w:rPr>
        <w:t xml:space="preserve">    小时内响应，   小时内解决故障，否则须在           内提供与原设备技术参数要求相同或高于原设备技术参数要求的备用产品，以保证甲方的正常工作。</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 在质保期内，乙方应对货物出现的质量及安全问题负责处理解决并承担一切费用。如有产品质量争议，则按照国家相关法律法规及行业标准、地方标准等标准、规范解决（上述标准、规范有出入的，以较严格为准），如采购文件中明确对货物提出更高的技术要求的，乙方还应当确保符合采购文件提出的技术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4.上述的货物因人为因素出现的故障不在免费保修范围内。超过质保期的机器设备，终生维修，维修时只收取部件成本费。</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第十二条 货物包装、发运及运输</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 乙方应在货物发运前对其进行满足运输距离、防潮、防震、防锈和防破损装卸等要求包装，以保证货物安全运达甲方指定地点。</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 使用说明书、质量检验证明书、随配附件和工具以及清单一并附于货物内。</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 乙方在货物发运手续办理完毕后二十四小时内或货到甲方四十八小时前通知甲方，以准备接货。</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 货物在交付甲方前发生的风险均由乙方负责。</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5. 货物在规定的交付期限内由乙方送达甲方指定的地点。</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第十三条 交货及验收要求</w:t>
      </w:r>
    </w:p>
    <w:p>
      <w:pPr>
        <w:snapToGrid w:val="0"/>
        <w:spacing w:line="360" w:lineRule="auto"/>
        <w:ind w:firstLine="420" w:firstLineChars="200"/>
        <w:jc w:val="left"/>
        <w:rPr>
          <w:rFonts w:ascii="宋体" w:hAnsi="宋体" w:cs="宋体"/>
          <w:bCs/>
          <w:color w:val="auto"/>
          <w:szCs w:val="21"/>
        </w:rPr>
      </w:pPr>
      <w:r>
        <w:rPr>
          <w:rFonts w:hint="eastAsia" w:ascii="宋体" w:hAnsi="宋体" w:cs="宋体"/>
          <w:color w:val="auto"/>
          <w:szCs w:val="21"/>
        </w:rPr>
        <w:t>1. 甲方对乙方提交的货物依据采购文件上的技术规格要求和国家有关质量标准进行现</w:t>
      </w:r>
      <w:r>
        <w:rPr>
          <w:rFonts w:hint="eastAsia" w:ascii="宋体" w:hAnsi="宋体" w:cs="宋体"/>
          <w:bCs/>
          <w:color w:val="auto"/>
          <w:szCs w:val="21"/>
        </w:rPr>
        <w:t>场签收，外观、说明书符合采购文件技术要求的，给予签收，不合格的不予签收。</w:t>
      </w:r>
    </w:p>
    <w:p>
      <w:pPr>
        <w:snapToGrid w:val="0"/>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2.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 乙方需负责安装、调试，并培训甲方的使用操作人员，直到设备运行符合技术要求，甲方方可验收。</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 甲方组织验收，</w:t>
      </w:r>
      <w:r>
        <w:rPr>
          <w:rFonts w:hint="eastAsia" w:ascii="宋体" w:hAnsi="宋体" w:cs="宋体"/>
          <w:bCs/>
          <w:color w:val="auto"/>
          <w:szCs w:val="21"/>
        </w:rPr>
        <w:t>乙方必须到场</w:t>
      </w:r>
      <w:r>
        <w:rPr>
          <w:rFonts w:hint="eastAsia" w:ascii="宋体" w:hAnsi="宋体" w:cs="宋体"/>
          <w:color w:val="auto"/>
          <w:szCs w:val="21"/>
        </w:rPr>
        <w:t>配合，</w:t>
      </w:r>
      <w:r>
        <w:rPr>
          <w:rFonts w:hint="eastAsia" w:ascii="宋体" w:hAnsi="宋体" w:cs="宋体"/>
          <w:bCs/>
          <w:color w:val="auto"/>
          <w:szCs w:val="21"/>
        </w:rPr>
        <w:t>验收合格后双方签署验收合格凭证。</w:t>
      </w:r>
      <w:r>
        <w:rPr>
          <w:rFonts w:hint="eastAsia" w:ascii="宋体" w:hAnsi="宋体" w:cs="宋体"/>
          <w:color w:val="auto"/>
          <w:szCs w:val="21"/>
        </w:rPr>
        <w:t>对技术复杂的货物，甲方可请国家认可的专业检测机构参与验收，费用由乙方承担。</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5.其他未尽事宜应严格叁照《关于印发广西壮族自治区政府采购项目履约验收管理办法的通知》[桂财采〔2015〕22号]以及《财政部关于进一步加强政府采购需求和履约验收管理的指导意见》[财库〔2016〕205号]规定执行。</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第十四条 违约责任</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1.乙方所提供的货物规格、技术标准、材料等质量不合格的，应在甲方要求的合理时间内及时更换，更换不及时的按逾期交货处罚；因质量问题甲方不同意接收的或</w:t>
      </w:r>
      <w:r>
        <w:rPr>
          <w:rFonts w:hint="eastAsia" w:ascii="宋体" w:hAnsi="宋体" w:cs="宋体"/>
          <w:color w:val="auto"/>
          <w:kern w:val="1"/>
          <w:szCs w:val="21"/>
        </w:rPr>
        <w:t>即便存在质量问题但</w:t>
      </w:r>
      <w:r>
        <w:rPr>
          <w:rFonts w:hint="eastAsia" w:ascii="宋体" w:hAnsi="宋体" w:cs="宋体"/>
          <w:color w:val="auto"/>
          <w:kern w:val="1"/>
          <w:szCs w:val="21"/>
          <w:lang w:eastAsia="ar-SA"/>
        </w:rPr>
        <w:t>特殊情况甲方同意接收的，乙方应向甲方支付违约货款额</w:t>
      </w:r>
      <w:r>
        <w:rPr>
          <w:rFonts w:hint="eastAsia" w:ascii="宋体" w:hAnsi="宋体" w:cs="宋体"/>
          <w:color w:val="auto"/>
          <w:kern w:val="1"/>
          <w:szCs w:val="21"/>
          <w:u w:val="single"/>
          <w:lang w:eastAsia="ar-SA"/>
        </w:rPr>
        <w:t>5%</w:t>
      </w:r>
      <w:r>
        <w:rPr>
          <w:rFonts w:hint="eastAsia" w:ascii="宋体" w:hAnsi="宋体" w:cs="宋体"/>
          <w:color w:val="auto"/>
          <w:kern w:val="1"/>
          <w:szCs w:val="21"/>
        </w:rPr>
        <w:t>的</w:t>
      </w:r>
      <w:r>
        <w:rPr>
          <w:rFonts w:hint="eastAsia" w:ascii="宋体" w:hAnsi="宋体" w:cs="宋体"/>
          <w:color w:val="auto"/>
          <w:kern w:val="1"/>
          <w:szCs w:val="21"/>
          <w:lang w:eastAsia="ar-SA"/>
        </w:rPr>
        <w:t>违约金并赔偿甲方经济损失。</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2.乙方提供的货物如侵犯了第三方合法权益而引发的任何纠纷或诉讼，均由乙方负责交涉并承担全部责任。</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3.因包装、运输引起的货物损坏，</w:t>
      </w:r>
      <w:r>
        <w:rPr>
          <w:rFonts w:hint="eastAsia" w:ascii="宋体" w:hAnsi="宋体" w:cs="宋体"/>
          <w:color w:val="auto"/>
          <w:kern w:val="1"/>
          <w:szCs w:val="21"/>
        </w:rPr>
        <w:t>甲方有权选择不予接收或</w:t>
      </w:r>
      <w:r>
        <w:rPr>
          <w:rFonts w:hint="eastAsia" w:ascii="宋体" w:hAnsi="宋体" w:cs="宋体"/>
          <w:color w:val="auto"/>
          <w:kern w:val="1"/>
          <w:szCs w:val="21"/>
          <w:lang w:eastAsia="ar-SA"/>
        </w:rPr>
        <w:t>按质量不合格处罚。</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4.甲方无故延期接收货物、乙方逾期交货的，每天向对方偿付违约货款额3‰</w:t>
      </w:r>
      <w:r>
        <w:rPr>
          <w:rFonts w:hint="eastAsia" w:ascii="宋体" w:hAnsi="宋体" w:cs="宋体"/>
          <w:color w:val="auto"/>
          <w:kern w:val="1"/>
          <w:szCs w:val="21"/>
        </w:rPr>
        <w:t>的</w:t>
      </w:r>
      <w:r>
        <w:rPr>
          <w:rFonts w:hint="eastAsia" w:ascii="宋体" w:hAnsi="宋体" w:cs="宋体"/>
          <w:color w:val="auto"/>
          <w:kern w:val="1"/>
          <w:szCs w:val="21"/>
          <w:lang w:eastAsia="ar-SA"/>
        </w:rPr>
        <w:t>违约金，但违约金累计不得超过违约货款额</w:t>
      </w:r>
      <w:r>
        <w:rPr>
          <w:rFonts w:hint="eastAsia" w:ascii="宋体" w:hAnsi="宋体" w:cs="宋体"/>
          <w:color w:val="auto"/>
          <w:kern w:val="1"/>
          <w:szCs w:val="21"/>
          <w:u w:val="single"/>
          <w:lang w:eastAsia="ar-SA"/>
        </w:rPr>
        <w:t>5%</w:t>
      </w:r>
      <w:r>
        <w:rPr>
          <w:rFonts w:hint="eastAsia" w:ascii="宋体" w:hAnsi="宋体" w:cs="宋体"/>
          <w:color w:val="auto"/>
          <w:kern w:val="1"/>
          <w:szCs w:val="21"/>
          <w:lang w:eastAsia="ar-SA"/>
        </w:rPr>
        <w:t>，超过</w:t>
      </w:r>
      <w:r>
        <w:rPr>
          <w:rFonts w:hint="eastAsia" w:ascii="宋体" w:hAnsi="宋体" w:cs="宋体"/>
          <w:color w:val="auto"/>
          <w:kern w:val="1"/>
          <w:szCs w:val="21"/>
          <w:u w:val="single"/>
          <w:lang w:eastAsia="ar-SA"/>
        </w:rPr>
        <w:t>30</w:t>
      </w:r>
      <w:r>
        <w:rPr>
          <w:rFonts w:hint="eastAsia" w:ascii="宋体" w:hAnsi="宋体" w:cs="宋体"/>
          <w:color w:val="auto"/>
          <w:kern w:val="1"/>
          <w:szCs w:val="21"/>
          <w:lang w:eastAsia="ar-SA"/>
        </w:rPr>
        <w:t>天对方有权解除合同，违约方承担因此给对方造成的经济损失；甲方延期付货款的，每天向乙方偿付延期货款额</w:t>
      </w:r>
      <w:r>
        <w:rPr>
          <w:rFonts w:hint="eastAsia" w:ascii="宋体" w:hAnsi="宋体" w:cs="宋体"/>
          <w:color w:val="auto"/>
          <w:kern w:val="1"/>
          <w:szCs w:val="21"/>
          <w:u w:val="single"/>
          <w:lang w:eastAsia="ar-SA"/>
        </w:rPr>
        <w:t xml:space="preserve">3‰ </w:t>
      </w:r>
      <w:r>
        <w:rPr>
          <w:rFonts w:hint="eastAsia" w:ascii="宋体" w:hAnsi="宋体" w:cs="宋体"/>
          <w:color w:val="auto"/>
          <w:kern w:val="1"/>
          <w:szCs w:val="21"/>
          <w:lang w:eastAsia="ar-SA"/>
        </w:rPr>
        <w:t>滞纳金，但滞纳金累计不得超过延期货款额</w:t>
      </w:r>
      <w:r>
        <w:rPr>
          <w:rFonts w:hint="eastAsia" w:ascii="宋体" w:hAnsi="宋体" w:cs="宋体"/>
          <w:color w:val="auto"/>
          <w:kern w:val="1"/>
          <w:szCs w:val="21"/>
          <w:u w:val="single"/>
          <w:lang w:eastAsia="ar-SA"/>
        </w:rPr>
        <w:t>5%</w:t>
      </w:r>
      <w:r>
        <w:rPr>
          <w:rFonts w:hint="eastAsia" w:ascii="宋体" w:hAnsi="宋体" w:cs="宋体"/>
          <w:color w:val="auto"/>
          <w:kern w:val="1"/>
          <w:szCs w:val="21"/>
          <w:lang w:eastAsia="ar-SA"/>
        </w:rPr>
        <w:t>。</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5.乙方未按本合同和投标文件中规定的服务承诺提供售后服务的，乙方应按本合同合计金额</w:t>
      </w:r>
      <w:r>
        <w:rPr>
          <w:rFonts w:hint="eastAsia" w:ascii="宋体" w:hAnsi="宋体" w:cs="宋体"/>
          <w:color w:val="auto"/>
          <w:kern w:val="1"/>
          <w:szCs w:val="21"/>
        </w:rPr>
        <w:t>的</w:t>
      </w:r>
      <w:r>
        <w:rPr>
          <w:rFonts w:hint="eastAsia" w:ascii="宋体" w:hAnsi="宋体" w:cs="宋体"/>
          <w:color w:val="auto"/>
          <w:kern w:val="1"/>
          <w:szCs w:val="21"/>
          <w:u w:val="single"/>
          <w:lang w:eastAsia="ar-SA"/>
        </w:rPr>
        <w:t xml:space="preserve"> 5%</w:t>
      </w:r>
      <w:r>
        <w:rPr>
          <w:rFonts w:hint="eastAsia" w:ascii="宋体" w:hAnsi="宋体" w:cs="宋体"/>
          <w:color w:val="auto"/>
          <w:kern w:val="1"/>
          <w:szCs w:val="21"/>
          <w:lang w:eastAsia="ar-SA"/>
        </w:rPr>
        <w:t>向甲方支付违约金。</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6.乙方提供的货物在质量保证期内，因设计、工艺或材料的缺陷和其它质量原因造成的问题，由乙方负责，费用从履约保证金中扣除，履约保证金不足以支付的，由乙方另行支付。</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7.其它违约行为按违约货款额5%收取违约金并赔偿经济损失。</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8.</w:t>
      </w:r>
      <w:r>
        <w:rPr>
          <w:rFonts w:hint="eastAsia" w:ascii="宋体" w:hAnsi="宋体" w:cs="宋体"/>
          <w:color w:val="auto"/>
          <w:kern w:val="1"/>
          <w:szCs w:val="21"/>
        </w:rPr>
        <w:t>任何一方违约，均应当赔偿由此给守约方造成的全部经济损失，包括但不限于案件受理费、律师费、评估费、鉴定费、差旅费等。</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第十五条 不可抗力事件处理</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 在合同有效期内，任何一方因不可抗力事件导致不能履行合同，则合同履行期可延长，其延长期与不可抗力影响期相同。</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 不可抗力事件发生后，应立即通知对方，并寄送有关权威机构出具的证明。</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3. 不可抗力事件延续一百二十天以上，双方应通过友好协商，确定是否继续履行合同。</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第十六条 合同争议解决</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 因货物质量问题发生争议的，应邀请国家认可的质量检测机构按照国家标准对货物质量进行</w:t>
      </w:r>
      <w:r>
        <w:rPr>
          <w:rFonts w:hint="eastAsia" w:ascii="宋体" w:hAnsi="宋体" w:cs="宋体"/>
          <w:color w:val="auto"/>
          <w:kern w:val="1"/>
          <w:szCs w:val="21"/>
        </w:rPr>
        <w:t>鉴定</w:t>
      </w:r>
      <w:r>
        <w:rPr>
          <w:rFonts w:hint="eastAsia" w:ascii="宋体" w:hAnsi="宋体" w:cs="宋体"/>
          <w:color w:val="auto"/>
          <w:kern w:val="1"/>
          <w:szCs w:val="21"/>
          <w:lang w:eastAsia="ar-SA"/>
        </w:rPr>
        <w:t>。货物符合国家标准的，鉴定费由甲方承担；货物不符合国家标准的，鉴定费由乙方承担。</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 因履行本合同引起的或与本合同有关的争议，甲乙双方应首先通过友好协商解决，如果协商不能解决，可向甲方所在地人民法院提起诉讼。</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3. 诉讼期间，本合同继续履行。</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第十七条 合同生效及其它</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1.合同履行地点为：</w:t>
      </w:r>
      <w:r>
        <w:rPr>
          <w:rFonts w:hint="eastAsia" w:ascii="宋体" w:hAnsi="宋体" w:cs="宋体"/>
          <w:color w:val="auto"/>
          <w:szCs w:val="21"/>
          <w:u w:val="single"/>
        </w:rPr>
        <w:t>广西广播电视台</w:t>
      </w:r>
      <w:r>
        <w:rPr>
          <w:rFonts w:hint="eastAsia" w:ascii="宋体" w:hAnsi="宋体" w:cs="宋体"/>
          <w:color w:val="auto"/>
          <w:kern w:val="1"/>
          <w:szCs w:val="21"/>
          <w:lang w:eastAsia="ar-SA"/>
        </w:rPr>
        <w:t>；合同履行的方式：</w:t>
      </w:r>
      <w:r>
        <w:rPr>
          <w:rFonts w:hint="eastAsia" w:ascii="宋体" w:hAnsi="宋体" w:cs="宋体"/>
          <w:color w:val="auto"/>
          <w:kern w:val="1"/>
          <w:szCs w:val="21"/>
          <w:u w:val="single"/>
          <w:lang w:eastAsia="ar-SA"/>
        </w:rPr>
        <w:t>按照本合同约定</w:t>
      </w:r>
      <w:r>
        <w:rPr>
          <w:rFonts w:hint="eastAsia" w:ascii="宋体" w:hAnsi="宋体" w:cs="宋体"/>
          <w:color w:val="auto"/>
          <w:kern w:val="1"/>
          <w:szCs w:val="21"/>
          <w:lang w:eastAsia="ar-SA"/>
        </w:rPr>
        <w:t>。</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w:t>
      </w:r>
      <w:r>
        <w:rPr>
          <w:rFonts w:hint="eastAsia" w:ascii="宋体" w:hAnsi="宋体" w:cs="宋体"/>
          <w:color w:val="auto"/>
          <w:kern w:val="1"/>
          <w:szCs w:val="21"/>
        </w:rPr>
        <w:t xml:space="preserve"> </w:t>
      </w:r>
      <w:r>
        <w:rPr>
          <w:rFonts w:hint="eastAsia" w:ascii="宋体" w:hAnsi="宋体" w:cs="宋体"/>
          <w:color w:val="auto"/>
          <w:kern w:val="1"/>
          <w:szCs w:val="21"/>
          <w:lang w:eastAsia="ar-SA"/>
        </w:rPr>
        <w:t>合同经双方法定代表人或授权代表签字并加盖单位公章后生效。</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3.</w:t>
      </w:r>
      <w:r>
        <w:rPr>
          <w:rFonts w:hint="eastAsia" w:ascii="宋体" w:hAnsi="宋体" w:cs="宋体"/>
          <w:color w:val="auto"/>
          <w:kern w:val="1"/>
          <w:szCs w:val="21"/>
        </w:rPr>
        <w:t xml:space="preserve"> </w:t>
      </w:r>
      <w:r>
        <w:rPr>
          <w:rFonts w:hint="eastAsia" w:ascii="宋体" w:hAnsi="宋体" w:cs="宋体"/>
          <w:color w:val="auto"/>
          <w:szCs w:val="21"/>
        </w:rPr>
        <w:t>合同执行中涉及采购内容修改或补充的，按政府采购相关规定要求签订书面补充协议，并作为主合同不可分割的一部分</w:t>
      </w:r>
      <w:r>
        <w:rPr>
          <w:rFonts w:hint="eastAsia" w:ascii="宋体" w:hAnsi="宋体" w:cs="宋体"/>
          <w:color w:val="auto"/>
          <w:kern w:val="1"/>
          <w:szCs w:val="21"/>
          <w:lang w:eastAsia="ar-SA"/>
        </w:rPr>
        <w:t>。</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4.</w:t>
      </w:r>
      <w:r>
        <w:rPr>
          <w:rFonts w:hint="eastAsia" w:ascii="宋体" w:hAnsi="宋体" w:cs="宋体"/>
          <w:color w:val="auto"/>
          <w:kern w:val="1"/>
          <w:szCs w:val="21"/>
        </w:rPr>
        <w:t xml:space="preserve"> </w:t>
      </w:r>
      <w:r>
        <w:rPr>
          <w:rFonts w:hint="eastAsia" w:ascii="宋体" w:hAnsi="宋体" w:cs="宋体"/>
          <w:color w:val="auto"/>
          <w:kern w:val="1"/>
          <w:szCs w:val="21"/>
          <w:lang w:eastAsia="ar-SA"/>
        </w:rPr>
        <w:t>本合同未尽事宜，遵照《</w:t>
      </w:r>
      <w:r>
        <w:rPr>
          <w:rFonts w:hint="eastAsia" w:ascii="宋体" w:hAnsi="宋体" w:cs="宋体"/>
          <w:color w:val="auto"/>
          <w:kern w:val="1"/>
          <w:szCs w:val="21"/>
        </w:rPr>
        <w:t>中华人民共和国民法典</w:t>
      </w:r>
      <w:r>
        <w:rPr>
          <w:rFonts w:hint="eastAsia" w:ascii="宋体" w:hAnsi="宋体" w:cs="宋体"/>
          <w:color w:val="auto"/>
          <w:kern w:val="1"/>
          <w:szCs w:val="21"/>
          <w:lang w:eastAsia="ar-SA"/>
        </w:rPr>
        <w:t>》有关条文执行。</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第十八条 合同的变更、终止与转让</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1.本合同一经签订，甲乙双方不得擅自变更、中止或终止。</w:t>
      </w:r>
    </w:p>
    <w:p>
      <w:pPr>
        <w:suppressAutoHyphens/>
        <w:snapToGrid w:val="0"/>
        <w:spacing w:line="360" w:lineRule="auto"/>
        <w:ind w:firstLine="420" w:firstLineChars="200"/>
        <w:rPr>
          <w:rFonts w:ascii="宋体" w:hAnsi="宋体" w:cs="宋体"/>
          <w:color w:val="auto"/>
          <w:kern w:val="1"/>
          <w:szCs w:val="21"/>
          <w:lang w:eastAsia="ar-SA"/>
        </w:rPr>
      </w:pPr>
      <w:r>
        <w:rPr>
          <w:rFonts w:hint="eastAsia" w:ascii="宋体" w:hAnsi="宋体" w:cs="宋体"/>
          <w:color w:val="auto"/>
          <w:kern w:val="1"/>
          <w:szCs w:val="21"/>
          <w:lang w:eastAsia="ar-SA"/>
        </w:rPr>
        <w:t>2.未经甲方书面同意，乙方不得擅自转让</w:t>
      </w:r>
      <w:r>
        <w:rPr>
          <w:rFonts w:hint="eastAsia" w:ascii="宋体" w:hAnsi="宋体" w:cs="宋体"/>
          <w:color w:val="auto"/>
          <w:kern w:val="1"/>
          <w:szCs w:val="21"/>
        </w:rPr>
        <w:t>、分包</w:t>
      </w:r>
      <w:r>
        <w:rPr>
          <w:rFonts w:hint="eastAsia" w:ascii="宋体" w:hAnsi="宋体" w:cs="宋体"/>
          <w:color w:val="auto"/>
          <w:kern w:val="1"/>
          <w:szCs w:val="21"/>
          <w:lang w:eastAsia="ar-SA"/>
        </w:rPr>
        <w:t>（无进口资格的乙方委托进口货物除外）其应履行的合同义务。</w:t>
      </w:r>
    </w:p>
    <w:p>
      <w:pPr>
        <w:spacing w:line="360" w:lineRule="auto"/>
        <w:ind w:firstLine="422" w:firstLineChars="200"/>
        <w:rPr>
          <w:rFonts w:ascii="宋体" w:hAnsi="宋体" w:cs="宋体"/>
          <w:b/>
          <w:color w:val="auto"/>
          <w:kern w:val="1"/>
          <w:szCs w:val="21"/>
        </w:rPr>
      </w:pPr>
      <w:r>
        <w:rPr>
          <w:rFonts w:hint="eastAsia" w:ascii="宋体" w:hAnsi="宋体" w:cs="宋体"/>
          <w:b/>
          <w:color w:val="auto"/>
          <w:kern w:val="1"/>
          <w:szCs w:val="21"/>
          <w:lang w:eastAsia="ar-SA"/>
        </w:rPr>
        <w:t>第十九条 签订本合同依据</w:t>
      </w:r>
    </w:p>
    <w:p>
      <w:pPr>
        <w:spacing w:line="360" w:lineRule="auto"/>
        <w:ind w:firstLine="420" w:firstLineChars="200"/>
        <w:rPr>
          <w:rFonts w:ascii="宋体" w:hAnsi="宋体" w:cs="宋体"/>
          <w:color w:val="auto"/>
          <w:szCs w:val="21"/>
        </w:rPr>
      </w:pPr>
      <w:r>
        <w:rPr>
          <w:rFonts w:hint="eastAsia" w:ascii="宋体" w:hAnsi="宋体" w:cs="宋体"/>
          <w:color w:val="auto"/>
          <w:kern w:val="1"/>
          <w:szCs w:val="21"/>
        </w:rPr>
        <w:t>1</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kern w:val="1"/>
          <w:szCs w:val="21"/>
          <w:lang w:eastAsia="ar-SA"/>
        </w:rPr>
        <w:t>采购文件；</w:t>
      </w:r>
    </w:p>
    <w:p>
      <w:pPr>
        <w:suppressAutoHyphens/>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kern w:val="1"/>
          <w:szCs w:val="21"/>
          <w:lang w:eastAsia="ar-SA"/>
        </w:rPr>
        <w:t>乙方提供的投标文件</w:t>
      </w:r>
      <w:r>
        <w:rPr>
          <w:rFonts w:hint="eastAsia" w:ascii="宋体" w:hAnsi="宋体" w:cs="宋体"/>
          <w:color w:val="auto"/>
          <w:kern w:val="1"/>
          <w:szCs w:val="21"/>
        </w:rPr>
        <w:t>；</w:t>
      </w:r>
    </w:p>
    <w:p>
      <w:pPr>
        <w:suppressAutoHyphens/>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3</w:t>
      </w:r>
      <w:r>
        <w:rPr>
          <w:rFonts w:hint="eastAsia" w:ascii="宋体" w:hAnsi="宋体" w:cs="宋体"/>
          <w:color w:val="auto"/>
          <w:kern w:val="1"/>
          <w:szCs w:val="21"/>
          <w:lang w:eastAsia="ar-SA"/>
        </w:rPr>
        <w:t>.</w:t>
      </w:r>
      <w:r>
        <w:rPr>
          <w:rFonts w:hint="eastAsia" w:ascii="宋体" w:hAnsi="宋体" w:cs="宋体"/>
          <w:color w:val="auto"/>
          <w:kern w:val="1"/>
          <w:szCs w:val="21"/>
        </w:rPr>
        <w:t xml:space="preserve"> </w:t>
      </w:r>
      <w:r>
        <w:rPr>
          <w:rFonts w:hint="eastAsia" w:ascii="宋体" w:hAnsi="宋体" w:cs="宋体"/>
          <w:color w:val="auto"/>
          <w:kern w:val="1"/>
          <w:szCs w:val="21"/>
          <w:lang w:eastAsia="ar-SA"/>
        </w:rPr>
        <w:t>中标通知书</w:t>
      </w:r>
      <w:r>
        <w:rPr>
          <w:rFonts w:hint="eastAsia" w:ascii="宋体" w:hAnsi="宋体" w:cs="宋体"/>
          <w:color w:val="auto"/>
          <w:kern w:val="1"/>
          <w:szCs w:val="21"/>
        </w:rPr>
        <w:t>。</w:t>
      </w:r>
    </w:p>
    <w:p>
      <w:pPr>
        <w:snapToGrid w:val="0"/>
        <w:spacing w:line="360" w:lineRule="auto"/>
        <w:ind w:firstLine="422" w:firstLineChars="200"/>
        <w:rPr>
          <w:rFonts w:ascii="宋体" w:hAnsi="宋体" w:cs="宋体"/>
          <w:color w:val="auto"/>
          <w:kern w:val="1"/>
          <w:szCs w:val="21"/>
          <w:lang w:eastAsia="ar-SA"/>
        </w:rPr>
      </w:pPr>
      <w:r>
        <w:rPr>
          <w:rFonts w:hint="eastAsia" w:ascii="宋体" w:hAnsi="宋体" w:cs="宋体"/>
          <w:b/>
          <w:color w:val="auto"/>
          <w:szCs w:val="21"/>
        </w:rPr>
        <w:t xml:space="preserve">第二十条 </w:t>
      </w:r>
      <w:r>
        <w:rPr>
          <w:rFonts w:hint="eastAsia" w:ascii="宋体" w:hAnsi="宋体" w:cs="宋体"/>
          <w:color w:val="auto"/>
          <w:kern w:val="1"/>
          <w:szCs w:val="21"/>
          <w:lang w:eastAsia="ar-SA"/>
        </w:rPr>
        <w:t>本合同一式</w:t>
      </w:r>
      <w:r>
        <w:rPr>
          <w:rFonts w:hint="eastAsia" w:ascii="宋体" w:hAnsi="宋体" w:cs="宋体"/>
          <w:color w:val="auto"/>
          <w:kern w:val="1"/>
          <w:szCs w:val="21"/>
        </w:rPr>
        <w:t>陆</w:t>
      </w:r>
      <w:r>
        <w:rPr>
          <w:rFonts w:hint="eastAsia" w:ascii="宋体" w:hAnsi="宋体" w:cs="宋体"/>
          <w:color w:val="auto"/>
          <w:kern w:val="1"/>
          <w:szCs w:val="21"/>
          <w:lang w:eastAsia="ar-SA"/>
        </w:rPr>
        <w:t>份，具有同等法律效力。甲方</w:t>
      </w:r>
      <w:r>
        <w:rPr>
          <w:rFonts w:hint="eastAsia" w:ascii="宋体" w:hAnsi="宋体" w:cs="宋体"/>
          <w:color w:val="auto"/>
          <w:kern w:val="1"/>
          <w:szCs w:val="21"/>
        </w:rPr>
        <w:t>贰</w:t>
      </w:r>
      <w:r>
        <w:rPr>
          <w:rFonts w:hint="eastAsia" w:ascii="宋体" w:hAnsi="宋体" w:cs="宋体"/>
          <w:color w:val="auto"/>
          <w:kern w:val="1"/>
          <w:szCs w:val="21"/>
          <w:lang w:eastAsia="ar-SA"/>
        </w:rPr>
        <w:t>份，乙方</w:t>
      </w:r>
      <w:r>
        <w:rPr>
          <w:rFonts w:hint="eastAsia" w:ascii="宋体" w:hAnsi="宋体" w:cs="宋体"/>
          <w:color w:val="auto"/>
          <w:kern w:val="1"/>
          <w:szCs w:val="21"/>
        </w:rPr>
        <w:t>贰</w:t>
      </w:r>
      <w:r>
        <w:rPr>
          <w:rFonts w:hint="eastAsia" w:ascii="宋体" w:hAnsi="宋体" w:cs="宋体"/>
          <w:color w:val="auto"/>
          <w:kern w:val="1"/>
          <w:szCs w:val="21"/>
          <w:lang w:eastAsia="ar-SA"/>
        </w:rPr>
        <w:t>份，采购代理机构</w:t>
      </w:r>
      <w:r>
        <w:rPr>
          <w:rFonts w:hint="eastAsia" w:ascii="宋体" w:hAnsi="宋体" w:cs="宋体"/>
          <w:color w:val="auto"/>
          <w:kern w:val="1"/>
          <w:szCs w:val="21"/>
        </w:rPr>
        <w:t>贰</w:t>
      </w:r>
      <w:r>
        <w:rPr>
          <w:rFonts w:hint="eastAsia" w:ascii="宋体" w:hAnsi="宋体" w:cs="宋体"/>
          <w:color w:val="auto"/>
          <w:kern w:val="1"/>
          <w:szCs w:val="21"/>
          <w:lang w:eastAsia="ar-SA"/>
        </w:rPr>
        <w:t>份</w:t>
      </w:r>
      <w:r>
        <w:rPr>
          <w:rFonts w:hint="eastAsia" w:ascii="宋体" w:hAnsi="宋体" w:cs="宋体"/>
          <w:color w:val="auto"/>
          <w:kern w:val="1"/>
          <w:szCs w:val="21"/>
        </w:rPr>
        <w:t>，本合同经甲乙双方法定代表人或授权代表签字并加盖单位公章后生效</w:t>
      </w:r>
      <w:r>
        <w:rPr>
          <w:rFonts w:hint="eastAsia" w:ascii="宋体" w:hAnsi="宋体" w:cs="宋体"/>
          <w:color w:val="auto"/>
          <w:kern w:val="1"/>
          <w:szCs w:val="21"/>
          <w:lang w:eastAsia="ar-SA"/>
        </w:rPr>
        <w:t>。合同附件是合同的不可分割的组成部分，与合同具有同等法律效力。</w:t>
      </w:r>
    </w:p>
    <w:p>
      <w:pPr>
        <w:rPr>
          <w:rFonts w:ascii="宋体" w:hAnsi="宋体" w:cs="宋体"/>
          <w:color w:val="auto"/>
          <w:kern w:val="1"/>
          <w:szCs w:val="21"/>
          <w:lang w:eastAsia="ar-SA"/>
        </w:rPr>
      </w:pPr>
      <w:r>
        <w:rPr>
          <w:rFonts w:hint="eastAsia" w:ascii="宋体" w:hAnsi="宋体" w:cs="宋体"/>
          <w:color w:val="auto"/>
          <w:kern w:val="1"/>
          <w:szCs w:val="21"/>
          <w:lang w:eastAsia="ar-SA"/>
        </w:rPr>
        <w:br w:type="page"/>
      </w:r>
    </w:p>
    <w:p>
      <w:pPr>
        <w:rPr>
          <w:color w:val="auto"/>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甲方（章）  </w:t>
            </w:r>
          </w:p>
          <w:p>
            <w:pPr>
              <w:snapToGrid w:val="0"/>
              <w:spacing w:line="360" w:lineRule="exact"/>
              <w:rPr>
                <w:rFonts w:ascii="宋体" w:hAnsi="宋体" w:cs="宋体"/>
                <w:color w:val="auto"/>
                <w:szCs w:val="21"/>
              </w:rPr>
            </w:pPr>
          </w:p>
          <w:p>
            <w:pPr>
              <w:snapToGrid w:val="0"/>
              <w:spacing w:line="360" w:lineRule="exact"/>
              <w:ind w:firstLine="945" w:firstLineChars="450"/>
              <w:jc w:val="right"/>
              <w:rPr>
                <w:rFonts w:ascii="宋体" w:hAnsi="宋体" w:cs="宋体"/>
                <w:color w:val="auto"/>
                <w:szCs w:val="21"/>
              </w:rPr>
            </w:pPr>
            <w:r>
              <w:rPr>
                <w:rFonts w:hint="eastAsia" w:ascii="宋体" w:hAnsi="宋体" w:cs="宋体"/>
                <w:color w:val="auto"/>
                <w:szCs w:val="21"/>
              </w:rPr>
              <w:t>2022年   月   日</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乙方（章）               </w:t>
            </w:r>
          </w:p>
          <w:p>
            <w:pPr>
              <w:snapToGrid w:val="0"/>
              <w:spacing w:line="360" w:lineRule="exact"/>
              <w:rPr>
                <w:rFonts w:ascii="宋体" w:hAnsi="宋体" w:cs="宋体"/>
                <w:color w:val="auto"/>
                <w:szCs w:val="21"/>
              </w:rPr>
            </w:pPr>
          </w:p>
          <w:p>
            <w:pPr>
              <w:snapToGrid w:val="0"/>
              <w:spacing w:line="360" w:lineRule="exact"/>
              <w:jc w:val="right"/>
              <w:rPr>
                <w:rFonts w:ascii="宋体" w:hAnsi="宋体" w:cs="宋体"/>
                <w:color w:val="auto"/>
                <w:szCs w:val="21"/>
              </w:rPr>
            </w:pPr>
            <w:r>
              <w:rPr>
                <w:rFonts w:hint="eastAsia" w:ascii="宋体" w:hAnsi="宋体" w:cs="宋体"/>
                <w:color w:val="auto"/>
                <w:szCs w:val="21"/>
              </w:rPr>
              <w:t xml:space="preserve">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单位地址：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法定代表人：</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法定代表人（负责人或自然人）：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委托代理人：</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电话：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电子邮箱：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开户银行：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pacing w:line="360" w:lineRule="exact"/>
              <w:rPr>
                <w:rFonts w:ascii="宋体" w:hAnsi="宋体" w:cs="宋体"/>
                <w:color w:val="auto"/>
                <w:szCs w:val="21"/>
              </w:rPr>
            </w:pPr>
            <w:r>
              <w:rPr>
                <w:rFonts w:hint="eastAsia" w:ascii="宋体" w:hAnsi="宋体" w:cs="宋体"/>
                <w:color w:val="auto"/>
                <w:szCs w:val="21"/>
              </w:rPr>
              <w:t xml:space="preserve">账号：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纳税人识别号或统一社会信用代码：</w:t>
            </w:r>
          </w:p>
          <w:p>
            <w:pPr>
              <w:snapToGrid w:val="0"/>
              <w:spacing w:line="360" w:lineRule="exact"/>
              <w:rPr>
                <w:rFonts w:ascii="宋体" w:hAnsi="宋体" w:cs="宋体"/>
                <w:color w:val="auto"/>
                <w:szCs w:val="21"/>
              </w:rPr>
            </w:pPr>
            <w:r>
              <w:rPr>
                <w:rFonts w:hint="eastAsia" w:ascii="宋体" w:hAnsi="宋体" w:cs="宋体"/>
                <w:color w:val="auto"/>
                <w:szCs w:val="21"/>
              </w:rPr>
              <w:t xml:space="preserve">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纳税人识别号或统一社会信用代码：</w:t>
            </w:r>
          </w:p>
          <w:p>
            <w:pPr>
              <w:snapToGrid w:val="0"/>
              <w:spacing w:line="3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邮政编码： </w:t>
            </w:r>
          </w:p>
        </w:tc>
        <w:tc>
          <w:tcPr>
            <w:tcW w:w="4927"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邮政编码：</w:t>
            </w:r>
          </w:p>
        </w:tc>
      </w:tr>
    </w:tbl>
    <w:p>
      <w:pPr>
        <w:rPr>
          <w:color w:val="auto"/>
        </w:rPr>
      </w:pPr>
    </w:p>
    <w:p>
      <w:pPr>
        <w:rPr>
          <w:color w:val="auto"/>
        </w:rPr>
      </w:pPr>
    </w:p>
    <w:p>
      <w:pPr>
        <w:snapToGrid w:val="0"/>
        <w:jc w:val="center"/>
        <w:rPr>
          <w:rFonts w:ascii="宋体" w:hAnsi="宋体"/>
          <w:bCs/>
          <w:color w:val="auto"/>
          <w:sz w:val="32"/>
          <w:szCs w:val="32"/>
        </w:rPr>
      </w:pPr>
    </w:p>
    <w:bookmarkEnd w:id="150"/>
    <w:p>
      <w:pPr>
        <w:rPr>
          <w:rFonts w:ascii="宋体" w:hAnsi="宋体"/>
          <w:bCs/>
          <w:color w:val="auto"/>
          <w:sz w:val="32"/>
          <w:szCs w:val="32"/>
        </w:rPr>
      </w:pPr>
      <w:r>
        <w:rPr>
          <w:rFonts w:hint="eastAsia" w:ascii="宋体" w:hAnsi="宋体"/>
          <w:bCs/>
          <w:color w:val="auto"/>
          <w:sz w:val="32"/>
          <w:szCs w:val="32"/>
        </w:rPr>
        <w:br w:type="page"/>
      </w:r>
    </w:p>
    <w:p>
      <w:pPr>
        <w:rPr>
          <w:color w:val="auto"/>
        </w:rPr>
      </w:pPr>
    </w:p>
    <w:p>
      <w:pPr>
        <w:rPr>
          <w:rFonts w:ascii="宋体" w:hAnsi="宋体"/>
          <w:bCs/>
          <w:color w:val="auto"/>
          <w:sz w:val="32"/>
          <w:szCs w:val="32"/>
        </w:rPr>
      </w:pPr>
    </w:p>
    <w:p>
      <w:pPr>
        <w:pStyle w:val="14"/>
        <w:rPr>
          <w:rFonts w:ascii="宋体" w:hAnsi="宋体"/>
          <w:bCs/>
          <w:color w:val="auto"/>
          <w:sz w:val="32"/>
          <w:szCs w:val="32"/>
        </w:rPr>
      </w:pPr>
    </w:p>
    <w:p>
      <w:pPr>
        <w:rPr>
          <w:rFonts w:ascii="宋体" w:hAnsi="宋体"/>
          <w:bCs/>
          <w:color w:val="auto"/>
          <w:sz w:val="32"/>
          <w:szCs w:val="32"/>
        </w:rPr>
      </w:pPr>
    </w:p>
    <w:p>
      <w:pPr>
        <w:pStyle w:val="14"/>
        <w:rPr>
          <w:rFonts w:ascii="宋体" w:hAnsi="宋体"/>
          <w:bCs/>
          <w:color w:val="auto"/>
          <w:sz w:val="32"/>
          <w:szCs w:val="32"/>
        </w:rPr>
      </w:pPr>
    </w:p>
    <w:p>
      <w:pPr>
        <w:rPr>
          <w:rFonts w:ascii="宋体" w:hAnsi="宋体"/>
          <w:bCs/>
          <w:color w:val="auto"/>
          <w:sz w:val="32"/>
          <w:szCs w:val="32"/>
        </w:rPr>
      </w:pPr>
    </w:p>
    <w:p>
      <w:pPr>
        <w:pStyle w:val="14"/>
        <w:rPr>
          <w:rFonts w:ascii="宋体" w:hAnsi="宋体"/>
          <w:bCs/>
          <w:color w:val="auto"/>
          <w:sz w:val="32"/>
          <w:szCs w:val="32"/>
        </w:rPr>
      </w:pPr>
    </w:p>
    <w:p>
      <w:pPr>
        <w:rPr>
          <w:rFonts w:ascii="宋体" w:hAnsi="宋体"/>
          <w:bCs/>
          <w:color w:val="auto"/>
          <w:sz w:val="32"/>
          <w:szCs w:val="32"/>
        </w:rPr>
      </w:pPr>
    </w:p>
    <w:p>
      <w:pPr>
        <w:pStyle w:val="14"/>
        <w:rPr>
          <w:rFonts w:ascii="宋体" w:hAnsi="宋体"/>
          <w:bCs/>
          <w:color w:val="auto"/>
          <w:sz w:val="32"/>
          <w:szCs w:val="32"/>
        </w:rPr>
      </w:pPr>
    </w:p>
    <w:p>
      <w:pPr>
        <w:rPr>
          <w:color w:val="auto"/>
        </w:rPr>
      </w:pPr>
    </w:p>
    <w:p>
      <w:pPr>
        <w:snapToGrid w:val="0"/>
        <w:rPr>
          <w:rFonts w:ascii="宋体" w:hAnsi="宋体"/>
          <w:bCs/>
          <w:color w:val="auto"/>
          <w:sz w:val="32"/>
          <w:szCs w:val="32"/>
        </w:rPr>
      </w:pPr>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snapToGrid w:val="0"/>
        <w:jc w:val="center"/>
        <w:rPr>
          <w:rFonts w:ascii="宋体" w:hAnsi="宋体"/>
          <w:bCs/>
          <w:color w:val="auto"/>
          <w:sz w:val="32"/>
          <w:szCs w:val="32"/>
        </w:rPr>
      </w:pPr>
    </w:p>
    <w:p>
      <w:pPr>
        <w:pStyle w:val="4"/>
        <w:keepNext w:val="0"/>
        <w:keepLines w:val="0"/>
        <w:jc w:val="center"/>
        <w:rPr>
          <w:color w:val="auto"/>
        </w:rPr>
      </w:pPr>
      <w:bookmarkStart w:id="153" w:name="_Toc19686834"/>
      <w:r>
        <w:rPr>
          <w:rFonts w:hint="eastAsia"/>
          <w:color w:val="auto"/>
        </w:rPr>
        <w:t>第六章　投标文件格式</w:t>
      </w:r>
      <w:bookmarkEnd w:id="153"/>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50" w:after="50"/>
        <w:outlineLvl w:val="1"/>
        <w:rPr>
          <w:rFonts w:ascii="宋体" w:hAnsi="宋体"/>
          <w:color w:val="auto"/>
          <w:sz w:val="32"/>
          <w:szCs w:val="20"/>
        </w:rPr>
      </w:pPr>
    </w:p>
    <w:p>
      <w:pPr>
        <w:snapToGrid w:val="0"/>
        <w:spacing w:beforeLines="50" w:after="50" w:line="360" w:lineRule="auto"/>
        <w:outlineLvl w:val="1"/>
        <w:rPr>
          <w:rFonts w:ascii="宋体" w:hAnsi="宋体"/>
          <w:b/>
          <w:bCs/>
          <w:color w:val="auto"/>
          <w:sz w:val="28"/>
          <w:szCs w:val="28"/>
        </w:rPr>
      </w:pPr>
      <w:r>
        <w:rPr>
          <w:rFonts w:ascii="宋体" w:hAnsi="宋体"/>
          <w:color w:val="auto"/>
          <w:sz w:val="32"/>
          <w:szCs w:val="20"/>
        </w:rPr>
        <w:br w:type="page"/>
      </w:r>
      <w:bookmarkStart w:id="154" w:name="_Toc254970556"/>
      <w:bookmarkStart w:id="155" w:name="_Toc254970697"/>
      <w:bookmarkStart w:id="156" w:name="_Toc19686835"/>
      <w:bookmarkStart w:id="157" w:name="_Toc254970698"/>
      <w:bookmarkStart w:id="158" w:name="_Toc254970557"/>
      <w:r>
        <w:rPr>
          <w:rFonts w:hint="eastAsia" w:ascii="宋体" w:hAnsi="宋体"/>
          <w:b/>
          <w:bCs/>
          <w:color w:val="auto"/>
          <w:sz w:val="28"/>
          <w:szCs w:val="28"/>
        </w:rPr>
        <w:t>一</w:t>
      </w:r>
      <w:bookmarkEnd w:id="154"/>
      <w:bookmarkEnd w:id="155"/>
      <w:bookmarkEnd w:id="156"/>
      <w:bookmarkStart w:id="159" w:name="_Toc19686836"/>
      <w:r>
        <w:rPr>
          <w:rFonts w:hint="eastAsia" w:ascii="宋体" w:hAnsi="宋体"/>
          <w:b/>
          <w:bCs/>
          <w:color w:val="auto"/>
          <w:sz w:val="28"/>
          <w:szCs w:val="28"/>
        </w:rPr>
        <w:t>、报价文件格式</w:t>
      </w:r>
      <w:bookmarkEnd w:id="159"/>
    </w:p>
    <w:p>
      <w:pPr>
        <w:snapToGrid w:val="0"/>
        <w:spacing w:beforeLines="50" w:after="50" w:line="360" w:lineRule="auto"/>
        <w:ind w:left="142"/>
        <w:jc w:val="left"/>
        <w:rPr>
          <w:rFonts w:ascii="宋体" w:hAnsi="宋体"/>
          <w:color w:val="auto"/>
          <w:sz w:val="24"/>
          <w:szCs w:val="20"/>
        </w:rPr>
      </w:pPr>
      <w:r>
        <w:rPr>
          <w:rFonts w:hint="eastAsia" w:ascii="宋体" w:hAnsi="宋体"/>
          <w:b/>
          <w:color w:val="auto"/>
          <w:sz w:val="24"/>
        </w:rPr>
        <w:t xml:space="preserve">1. 报价文件封面格式： </w:t>
      </w:r>
    </w:p>
    <w:p>
      <w:pPr>
        <w:snapToGrid w:val="0"/>
        <w:spacing w:beforeLines="50" w:after="50" w:line="400" w:lineRule="exact"/>
        <w:rPr>
          <w:rFonts w:ascii="宋体" w:hAnsi="宋体"/>
          <w:bCs/>
          <w:color w:val="auto"/>
          <w:sz w:val="32"/>
          <w:szCs w:val="20"/>
        </w:rPr>
      </w:pPr>
      <w:r>
        <w:rPr>
          <w:rFonts w:hint="eastAsia" w:ascii="宋体" w:hAnsi="宋体"/>
          <w:color w:val="auto"/>
          <w:sz w:val="24"/>
        </w:rPr>
        <w:t xml:space="preserve">                                                    </w:t>
      </w:r>
    </w:p>
    <w:p>
      <w:pPr>
        <w:snapToGrid w:val="0"/>
        <w:spacing w:beforeLines="50" w:after="50" w:line="400" w:lineRule="exact"/>
        <w:jc w:val="center"/>
        <w:rPr>
          <w:rFonts w:ascii="宋体" w:hAnsi="宋体"/>
          <w:bCs/>
          <w:color w:val="auto"/>
          <w:sz w:val="24"/>
          <w:szCs w:val="20"/>
        </w:rPr>
      </w:pPr>
    </w:p>
    <w:p>
      <w:pPr>
        <w:snapToGrid w:val="0"/>
        <w:spacing w:beforeLines="50" w:after="50" w:line="480" w:lineRule="auto"/>
        <w:jc w:val="center"/>
        <w:rPr>
          <w:rFonts w:ascii="宋体" w:hAnsi="宋体" w:cs="宋体"/>
          <w:color w:val="auto"/>
          <w:sz w:val="84"/>
          <w:szCs w:val="84"/>
        </w:rPr>
      </w:pPr>
      <w:r>
        <w:rPr>
          <w:rFonts w:hint="eastAsia" w:ascii="宋体" w:hAnsi="宋体" w:cs="宋体"/>
          <w:color w:val="auto"/>
          <w:sz w:val="84"/>
          <w:szCs w:val="84"/>
        </w:rPr>
        <w:t>投  标  文  件</w:t>
      </w:r>
    </w:p>
    <w:p>
      <w:pPr>
        <w:snapToGrid w:val="0"/>
        <w:spacing w:beforeLines="50" w:after="50" w:line="360" w:lineRule="auto"/>
        <w:jc w:val="center"/>
        <w:rPr>
          <w:rFonts w:ascii="宋体" w:hAnsi="宋体"/>
          <w:b/>
          <w:bCs/>
          <w:color w:val="auto"/>
          <w:sz w:val="56"/>
          <w:szCs w:val="56"/>
        </w:rPr>
      </w:pPr>
      <w:r>
        <w:rPr>
          <w:rFonts w:hint="eastAsia" w:ascii="宋体" w:hAnsi="宋体"/>
          <w:b/>
          <w:bCs/>
          <w:color w:val="auto"/>
          <w:sz w:val="56"/>
          <w:szCs w:val="56"/>
        </w:rPr>
        <w:t>报价文件</w:t>
      </w: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项目名称： </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项目编号： </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所投分标：</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投标人名称：</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投标人地址：</w:t>
      </w:r>
    </w:p>
    <w:p>
      <w:pPr>
        <w:pStyle w:val="7"/>
        <w:snapToGrid w:val="0"/>
        <w:spacing w:before="50" w:after="50" w:line="400" w:lineRule="exact"/>
        <w:ind w:firstLine="960" w:firstLineChars="400"/>
        <w:rPr>
          <w:rFonts w:ascii="宋体" w:hAnsi="宋体"/>
          <w:bCs/>
          <w:color w:val="auto"/>
          <w:sz w:val="24"/>
          <w:szCs w:val="24"/>
        </w:rPr>
      </w:pPr>
    </w:p>
    <w:p>
      <w:pPr>
        <w:snapToGrid w:val="0"/>
        <w:spacing w:beforeLines="50" w:after="50" w:line="400" w:lineRule="exact"/>
        <w:rPr>
          <w:rFonts w:ascii="宋体" w:hAnsi="宋体"/>
          <w:color w:val="auto"/>
          <w:sz w:val="30"/>
          <w:szCs w:val="20"/>
        </w:rPr>
      </w:pPr>
      <w:r>
        <w:rPr>
          <w:rFonts w:hint="eastAsia" w:ascii="宋体" w:hAnsi="宋体"/>
          <w:color w:val="auto"/>
          <w:sz w:val="24"/>
        </w:rPr>
        <w:t xml:space="preserve">                                   年  月  日</w:t>
      </w:r>
    </w:p>
    <w:p>
      <w:pPr>
        <w:snapToGrid w:val="0"/>
        <w:spacing w:beforeLines="50" w:after="50" w:line="360" w:lineRule="auto"/>
        <w:jc w:val="left"/>
        <w:rPr>
          <w:rFonts w:ascii="宋体" w:hAnsi="宋体"/>
          <w:color w:val="auto"/>
          <w:sz w:val="24"/>
          <w:szCs w:val="20"/>
        </w:rPr>
      </w:pPr>
      <w:r>
        <w:rPr>
          <w:rFonts w:ascii="宋体" w:hAnsi="宋体"/>
          <w:b/>
          <w:color w:val="auto"/>
          <w:sz w:val="24"/>
        </w:rPr>
        <w:br w:type="page"/>
      </w:r>
      <w:r>
        <w:rPr>
          <w:rFonts w:hint="eastAsia" w:ascii="宋体" w:hAnsi="宋体"/>
          <w:b/>
          <w:color w:val="auto"/>
          <w:sz w:val="24"/>
        </w:rPr>
        <w:t>2.</w:t>
      </w:r>
      <w:r>
        <w:rPr>
          <w:rFonts w:hint="eastAsia" w:ascii="宋体" w:hAnsi="宋体"/>
          <w:b/>
          <w:bCs/>
          <w:color w:val="auto"/>
          <w:sz w:val="24"/>
        </w:rPr>
        <w:t>报价文件目录</w:t>
      </w:r>
    </w:p>
    <w:p>
      <w:pPr>
        <w:snapToGrid w:val="0"/>
        <w:spacing w:before="50" w:afterLines="50" w:line="360" w:lineRule="auto"/>
        <w:jc w:val="left"/>
        <w:rPr>
          <w:rFonts w:ascii="宋体" w:hAnsi="宋体"/>
          <w:b/>
          <w:color w:val="auto"/>
          <w:sz w:val="24"/>
        </w:rPr>
      </w:pPr>
      <w:r>
        <w:rPr>
          <w:rFonts w:hint="eastAsia" w:ascii="宋体" w:hAnsi="宋体"/>
          <w:color w:val="auto"/>
          <w:szCs w:val="21"/>
        </w:rPr>
        <w:t>根据招标文件规定及投标人提供的材料自行编写目录。</w:t>
      </w: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ind w:left="142"/>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3. 投标函格式：</w:t>
      </w:r>
    </w:p>
    <w:p>
      <w:pPr>
        <w:snapToGrid w:val="0"/>
        <w:spacing w:beforeLines="50" w:after="50" w:line="320" w:lineRule="exact"/>
        <w:jc w:val="center"/>
        <w:rPr>
          <w:rFonts w:ascii="宋体" w:hAnsi="宋体"/>
          <w:b/>
          <w:color w:val="auto"/>
          <w:sz w:val="32"/>
          <w:szCs w:val="32"/>
        </w:rPr>
      </w:pPr>
      <w:r>
        <w:rPr>
          <w:rFonts w:hint="eastAsia" w:ascii="宋体" w:hAnsi="宋体"/>
          <w:b/>
          <w:color w:val="auto"/>
          <w:sz w:val="32"/>
          <w:szCs w:val="32"/>
        </w:rPr>
        <w:t>投 标 函</w:t>
      </w:r>
    </w:p>
    <w:p>
      <w:pPr>
        <w:snapToGrid w:val="0"/>
        <w:spacing w:beforeLines="50" w:after="50" w:line="320" w:lineRule="exact"/>
        <w:rPr>
          <w:rFonts w:ascii="宋体" w:hAnsi="宋体"/>
          <w:b/>
          <w:color w:val="auto"/>
          <w:sz w:val="24"/>
          <w:szCs w:val="20"/>
        </w:rPr>
      </w:pPr>
    </w:p>
    <w:p>
      <w:pPr>
        <w:snapToGrid w:val="0"/>
        <w:spacing w:line="44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采购人名称</w:t>
      </w:r>
      <w:r>
        <w:rPr>
          <w:rFonts w:hint="eastAsia" w:ascii="宋体" w:hAnsi="宋体"/>
          <w:color w:val="auto"/>
          <w:sz w:val="24"/>
        </w:rPr>
        <w:t>：</w:t>
      </w:r>
    </w:p>
    <w:p>
      <w:pPr>
        <w:snapToGrid w:val="0"/>
        <w:spacing w:line="440" w:lineRule="exact"/>
        <w:ind w:firstLine="480"/>
        <w:rPr>
          <w:rFonts w:ascii="宋体" w:hAnsi="宋体"/>
          <w:color w:val="auto"/>
          <w:sz w:val="24"/>
        </w:rPr>
      </w:pPr>
      <w:r>
        <w:rPr>
          <w:rFonts w:hint="eastAsia" w:ascii="宋体" w:hAnsi="宋体"/>
          <w:color w:val="auto"/>
          <w:sz w:val="24"/>
        </w:rPr>
        <w:t>根据贵方</w:t>
      </w:r>
      <w:r>
        <w:rPr>
          <w:rFonts w:hint="eastAsia" w:ascii="宋体" w:hAnsi="宋体"/>
          <w:color w:val="auto"/>
          <w:sz w:val="24"/>
          <w:u w:val="single"/>
        </w:rPr>
        <w:t xml:space="preserve"> 项目名称</w:t>
      </w:r>
      <w:r>
        <w:rPr>
          <w:rFonts w:hint="eastAsia" w:ascii="宋体" w:hAnsi="宋体"/>
          <w:color w:val="auto"/>
          <w:sz w:val="24"/>
        </w:rPr>
        <w:t>（项目编号：</w:t>
      </w:r>
      <w:r>
        <w:rPr>
          <w:rFonts w:hint="eastAsia" w:ascii="宋体" w:hAnsi="宋体"/>
          <w:color w:val="auto"/>
          <w:sz w:val="24"/>
          <w:u w:val="single"/>
        </w:rPr>
        <w:t>_____     _</w:t>
      </w:r>
      <w:r>
        <w:rPr>
          <w:rFonts w:hint="eastAsia" w:ascii="宋体" w:hAnsi="宋体"/>
          <w:color w:val="auto"/>
          <w:sz w:val="24"/>
        </w:rPr>
        <w:t>_）的招标公告，签字代表______</w:t>
      </w:r>
      <w:r>
        <w:rPr>
          <w:rFonts w:hint="eastAsia" w:ascii="宋体" w:hAnsi="宋体"/>
          <w:color w:val="auto"/>
          <w:sz w:val="24"/>
          <w:u w:val="single"/>
        </w:rPr>
        <w:t xml:space="preserve">_     </w:t>
      </w:r>
      <w:r>
        <w:rPr>
          <w:rFonts w:hint="eastAsia" w:ascii="宋体" w:hAnsi="宋体"/>
          <w:color w:val="auto"/>
          <w:sz w:val="24"/>
        </w:rPr>
        <w:t>（姓名）经正式授权并代表投标人</w:t>
      </w:r>
      <w:r>
        <w:rPr>
          <w:rFonts w:hint="eastAsia" w:ascii="宋体" w:hAnsi="宋体"/>
          <w:color w:val="auto"/>
          <w:sz w:val="24"/>
          <w:u w:val="single"/>
        </w:rPr>
        <w:t>_______                  __</w:t>
      </w:r>
      <w:r>
        <w:rPr>
          <w:rFonts w:hint="eastAsia" w:ascii="宋体" w:hAnsi="宋体"/>
          <w:color w:val="auto"/>
          <w:sz w:val="24"/>
        </w:rPr>
        <w:t>（投标人名称）提交投标文件。</w:t>
      </w:r>
    </w:p>
    <w:p>
      <w:pPr>
        <w:snapToGrid w:val="0"/>
        <w:spacing w:line="440" w:lineRule="exact"/>
        <w:ind w:firstLine="480" w:firstLineChars="200"/>
        <w:rPr>
          <w:rFonts w:ascii="宋体" w:hAnsi="宋体"/>
          <w:color w:val="auto"/>
          <w:sz w:val="24"/>
        </w:rPr>
      </w:pPr>
      <w:r>
        <w:rPr>
          <w:rFonts w:hint="eastAsia" w:ascii="宋体" w:hAnsi="宋体"/>
          <w:color w:val="auto"/>
          <w:sz w:val="24"/>
        </w:rPr>
        <w:t>据此函，我方宣布同意如下：</w:t>
      </w:r>
    </w:p>
    <w:p>
      <w:pPr>
        <w:snapToGrid w:val="0"/>
        <w:spacing w:line="440" w:lineRule="exact"/>
        <w:ind w:firstLine="480" w:firstLineChars="200"/>
        <w:rPr>
          <w:rFonts w:ascii="宋体" w:hAnsi="宋体"/>
          <w:color w:val="auto"/>
          <w:sz w:val="24"/>
        </w:rPr>
      </w:pPr>
      <w:r>
        <w:rPr>
          <w:rFonts w:hint="eastAsia" w:ascii="宋体" w:hAnsi="宋体"/>
          <w:color w:val="auto"/>
          <w:sz w:val="24"/>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ascii="宋体" w:hAnsi="宋体"/>
          <w:color w:val="auto"/>
          <w:sz w:val="24"/>
        </w:rPr>
      </w:pPr>
      <w:r>
        <w:rPr>
          <w:rFonts w:hint="eastAsia" w:ascii="宋体" w:hAnsi="宋体"/>
          <w:color w:val="auto"/>
          <w:sz w:val="24"/>
        </w:rPr>
        <w:t>2.我方在投标之前已经完全理解并接受招标文件的各项规定和要求，对招标文件的合理性、合法性不再有异议。</w:t>
      </w:r>
    </w:p>
    <w:p>
      <w:pPr>
        <w:snapToGrid w:val="0"/>
        <w:spacing w:line="440" w:lineRule="exact"/>
        <w:ind w:firstLine="480" w:firstLineChars="200"/>
        <w:rPr>
          <w:rFonts w:ascii="宋体" w:hAnsi="宋体"/>
          <w:color w:val="auto"/>
          <w:sz w:val="24"/>
        </w:rPr>
      </w:pPr>
      <w:r>
        <w:rPr>
          <w:rFonts w:hint="eastAsia" w:ascii="宋体" w:hAnsi="宋体"/>
          <w:color w:val="auto"/>
          <w:sz w:val="24"/>
        </w:rPr>
        <w:t>3.本投标有效期自投标截止之日起</w:t>
      </w:r>
      <w:r>
        <w:rPr>
          <w:rFonts w:ascii="宋体" w:hAnsi="宋体"/>
          <w:color w:val="auto"/>
          <w:sz w:val="24"/>
          <w:u w:val="single"/>
        </w:rPr>
        <w:t xml:space="preserve">    </w:t>
      </w:r>
      <w:r>
        <w:rPr>
          <w:rFonts w:hint="eastAsia" w:ascii="宋体" w:hAnsi="宋体"/>
          <w:color w:val="auto"/>
          <w:sz w:val="24"/>
        </w:rPr>
        <w:t>日。</w:t>
      </w:r>
    </w:p>
    <w:p>
      <w:pPr>
        <w:snapToGrid w:val="0"/>
        <w:spacing w:line="440" w:lineRule="exact"/>
        <w:ind w:firstLine="480" w:firstLineChars="200"/>
        <w:rPr>
          <w:rFonts w:ascii="宋体" w:hAnsi="宋体"/>
          <w:color w:val="auto"/>
          <w:sz w:val="24"/>
        </w:rPr>
      </w:pPr>
      <w:r>
        <w:rPr>
          <w:rFonts w:hint="eastAsia" w:ascii="宋体" w:hAnsi="宋体"/>
          <w:color w:val="auto"/>
          <w:sz w:val="24"/>
        </w:rPr>
        <w:t>4.如中标，本投标文件至本项目合同履行完毕止均保持有效，我方将按“招标文件”及政府采购法律、法规的规定履行合同责任和义务。</w:t>
      </w:r>
    </w:p>
    <w:p>
      <w:pPr>
        <w:snapToGrid w:val="0"/>
        <w:spacing w:line="440" w:lineRule="exact"/>
        <w:ind w:firstLine="480" w:firstLineChars="200"/>
        <w:rPr>
          <w:rFonts w:ascii="宋体" w:hAnsi="宋体"/>
          <w:color w:val="auto"/>
          <w:sz w:val="24"/>
        </w:rPr>
      </w:pPr>
      <w:r>
        <w:rPr>
          <w:rFonts w:hint="eastAsia" w:ascii="宋体" w:hAnsi="宋体"/>
          <w:color w:val="auto"/>
          <w:sz w:val="24"/>
        </w:rPr>
        <w:t>5.我方同意按照贵方要求提供与投标有关的一切数据或者资料。</w:t>
      </w:r>
    </w:p>
    <w:p>
      <w:pPr>
        <w:snapToGrid w:val="0"/>
        <w:spacing w:line="440" w:lineRule="exact"/>
        <w:ind w:firstLine="480" w:firstLineChars="200"/>
        <w:rPr>
          <w:rFonts w:ascii="宋体" w:hAnsi="宋体"/>
          <w:color w:val="auto"/>
          <w:sz w:val="24"/>
        </w:rPr>
      </w:pPr>
      <w:r>
        <w:rPr>
          <w:rFonts w:hint="eastAsia" w:ascii="宋体" w:hAnsi="宋体"/>
          <w:color w:val="auto"/>
          <w:sz w:val="24"/>
        </w:rPr>
        <w:t>6.我方向贵方提交的所有投标文件、资料都是准确的和真实的。</w:t>
      </w:r>
    </w:p>
    <w:p>
      <w:pPr>
        <w:snapToGrid w:val="0"/>
        <w:spacing w:line="440" w:lineRule="exact"/>
        <w:ind w:firstLine="480" w:firstLineChars="200"/>
        <w:rPr>
          <w:rFonts w:ascii="宋体" w:hAnsi="宋体"/>
          <w:color w:val="auto"/>
          <w:sz w:val="24"/>
        </w:rPr>
      </w:pPr>
      <w:r>
        <w:rPr>
          <w:rFonts w:hint="eastAsia" w:ascii="宋体" w:hAnsi="宋体"/>
          <w:color w:val="auto"/>
          <w:sz w:val="24"/>
        </w:rPr>
        <w:t>7.以上事项如有虚假或者隐瞒，我方愿意承担一切后果，并不再寻求任何旨在减轻或者免除法律责任的辩解。</w:t>
      </w:r>
    </w:p>
    <w:p>
      <w:pPr>
        <w:spacing w:line="440" w:lineRule="exact"/>
        <w:ind w:firstLine="480" w:firstLineChars="200"/>
        <w:rPr>
          <w:rFonts w:ascii="宋体" w:hAnsi="宋体"/>
          <w:color w:val="auto"/>
          <w:sz w:val="24"/>
        </w:rPr>
      </w:pPr>
      <w:r>
        <w:rPr>
          <w:rFonts w:hint="eastAsia" w:ascii="宋体" w:hAnsi="宋体"/>
          <w:color w:val="auto"/>
          <w:sz w:val="24"/>
        </w:rPr>
        <w:t>8.根据</w:t>
      </w:r>
      <w:r>
        <w:rPr>
          <w:rFonts w:ascii="宋体" w:hAnsi="宋体"/>
          <w:color w:val="auto"/>
          <w:sz w:val="24"/>
        </w:rPr>
        <w:t>《中华人民共和国政府采购法实施条例》第五十条要求对政府采购合同进行公告</w:t>
      </w:r>
      <w:r>
        <w:rPr>
          <w:rFonts w:hint="eastAsia" w:ascii="宋体" w:hAnsi="宋体"/>
          <w:color w:val="auto"/>
          <w:sz w:val="24"/>
        </w:rPr>
        <w:t>，</w:t>
      </w:r>
      <w:r>
        <w:rPr>
          <w:rFonts w:ascii="宋体" w:hAnsi="宋体"/>
          <w:color w:val="auto"/>
          <w:sz w:val="24"/>
        </w:rPr>
        <w:t>但政府采购合同中涉及国家秘密、商业秘密的内容除外。</w:t>
      </w:r>
      <w:r>
        <w:rPr>
          <w:rFonts w:hint="eastAsia" w:ascii="宋体" w:hAnsi="宋体"/>
          <w:color w:val="auto"/>
          <w:sz w:val="24"/>
        </w:rPr>
        <w:t>我方就对本次投标文件进行注明如下：（两项内容中必须选择一项）</w:t>
      </w:r>
    </w:p>
    <w:p>
      <w:pPr>
        <w:spacing w:line="440" w:lineRule="exact"/>
        <w:ind w:firstLine="480" w:firstLineChars="200"/>
        <w:rPr>
          <w:rFonts w:ascii="宋体" w:hAnsi="宋体"/>
          <w:color w:val="auto"/>
          <w:sz w:val="24"/>
        </w:rPr>
      </w:pPr>
      <w:r>
        <w:rPr>
          <w:rFonts w:hint="eastAsia" w:ascii="宋体" w:hAnsi="宋体"/>
          <w:color w:val="auto"/>
          <w:sz w:val="24"/>
        </w:rPr>
        <w:t>□我方本次投标文件</w:t>
      </w:r>
      <w:r>
        <w:rPr>
          <w:rFonts w:ascii="宋体" w:hAnsi="宋体" w:cs="宋体"/>
          <w:color w:val="auto"/>
          <w:kern w:val="0"/>
          <w:sz w:val="24"/>
        </w:rPr>
        <w:t>内容中</w:t>
      </w:r>
      <w:r>
        <w:rPr>
          <w:rFonts w:hint="eastAsia" w:ascii="宋体" w:hAnsi="宋体"/>
          <w:color w:val="auto"/>
          <w:sz w:val="24"/>
        </w:rPr>
        <w:t>未</w:t>
      </w:r>
      <w:r>
        <w:rPr>
          <w:rFonts w:ascii="宋体" w:hAnsi="宋体" w:cs="宋体"/>
          <w:color w:val="auto"/>
          <w:kern w:val="0"/>
          <w:sz w:val="24"/>
        </w:rPr>
        <w:t>涉及商业秘密</w:t>
      </w:r>
      <w:r>
        <w:rPr>
          <w:rFonts w:hint="eastAsia" w:ascii="宋体" w:hAnsi="宋体" w:cs="宋体"/>
          <w:color w:val="auto"/>
          <w:kern w:val="0"/>
          <w:sz w:val="24"/>
        </w:rPr>
        <w:t>；</w:t>
      </w:r>
    </w:p>
    <w:p>
      <w:pPr>
        <w:snapToGrid w:val="0"/>
        <w:spacing w:line="440" w:lineRule="exact"/>
        <w:ind w:firstLine="480" w:firstLineChars="200"/>
        <w:rPr>
          <w:rFonts w:ascii="宋体" w:hAnsi="宋体"/>
          <w:color w:val="auto"/>
          <w:sz w:val="24"/>
        </w:rPr>
      </w:pPr>
      <w:r>
        <w:rPr>
          <w:rFonts w:hint="eastAsia" w:ascii="宋体" w:hAnsi="宋体"/>
          <w:color w:val="auto"/>
          <w:sz w:val="24"/>
        </w:rPr>
        <w:t>□我方本次投标文件</w:t>
      </w:r>
      <w:r>
        <w:rPr>
          <w:rFonts w:ascii="宋体" w:hAnsi="宋体" w:cs="宋体"/>
          <w:color w:val="auto"/>
          <w:kern w:val="0"/>
          <w:sz w:val="24"/>
        </w:rPr>
        <w:t>涉及商业秘密</w:t>
      </w:r>
      <w:r>
        <w:rPr>
          <w:rFonts w:hint="eastAsia" w:ascii="宋体" w:hAnsi="宋体" w:cs="宋体"/>
          <w:color w:val="auto"/>
          <w:kern w:val="0"/>
          <w:sz w:val="24"/>
        </w:rPr>
        <w:t>的</w:t>
      </w:r>
      <w:r>
        <w:rPr>
          <w:rFonts w:ascii="宋体" w:hAnsi="宋体" w:cs="宋体"/>
          <w:color w:val="auto"/>
          <w:kern w:val="0"/>
          <w:sz w:val="24"/>
        </w:rPr>
        <w:t>内容</w:t>
      </w:r>
      <w:r>
        <w:rPr>
          <w:rFonts w:hint="eastAsia" w:ascii="宋体" w:hAnsi="宋体" w:cs="宋体"/>
          <w:color w:val="auto"/>
          <w:kern w:val="0"/>
          <w:sz w:val="24"/>
        </w:rPr>
        <w:t>有：</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napToGrid w:val="0"/>
        <w:spacing w:line="440" w:lineRule="exact"/>
        <w:ind w:firstLine="480" w:firstLineChars="200"/>
        <w:rPr>
          <w:rFonts w:ascii="宋体" w:hAnsi="宋体"/>
          <w:color w:val="auto"/>
          <w:sz w:val="24"/>
        </w:rPr>
      </w:pPr>
      <w:r>
        <w:rPr>
          <w:rFonts w:hint="eastAsia" w:ascii="宋体" w:hAnsi="宋体"/>
          <w:color w:val="auto"/>
          <w:sz w:val="24"/>
        </w:rPr>
        <w:t>9.与本投标有关的一切正式往来信函请寄：</w:t>
      </w:r>
    </w:p>
    <w:p>
      <w:pPr>
        <w:snapToGrid w:val="0"/>
        <w:spacing w:line="440" w:lineRule="exact"/>
        <w:rPr>
          <w:rFonts w:ascii="宋体" w:hAnsi="宋体"/>
          <w:color w:val="auto"/>
          <w:sz w:val="24"/>
          <w:u w:val="single"/>
        </w:rPr>
      </w:pPr>
      <w:r>
        <w:rPr>
          <w:rFonts w:hint="eastAsia" w:ascii="宋体" w:hAnsi="宋体"/>
          <w:color w:val="auto"/>
          <w:sz w:val="24"/>
        </w:rPr>
        <w:t>地址：</w:t>
      </w:r>
      <w:r>
        <w:rPr>
          <w:rFonts w:hint="eastAsia" w:ascii="宋体" w:hAnsi="宋体"/>
          <w:color w:val="auto"/>
          <w:sz w:val="24"/>
          <w:u w:val="single"/>
        </w:rPr>
        <w:t xml:space="preserve">          </w:t>
      </w:r>
      <w:r>
        <w:rPr>
          <w:rFonts w:hint="eastAsia" w:ascii="宋体" w:hAnsi="宋体"/>
          <w:color w:val="auto"/>
          <w:sz w:val="24"/>
        </w:rPr>
        <w:t>邮编：</w:t>
      </w:r>
      <w:r>
        <w:rPr>
          <w:rFonts w:hint="eastAsia" w:ascii="宋体" w:hAnsi="宋体"/>
          <w:color w:val="auto"/>
          <w:sz w:val="24"/>
          <w:u w:val="single"/>
        </w:rPr>
        <w:t xml:space="preserve">            </w:t>
      </w:r>
    </w:p>
    <w:p>
      <w:pPr>
        <w:snapToGrid w:val="0"/>
        <w:spacing w:line="440" w:lineRule="exact"/>
        <w:rPr>
          <w:rFonts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传真：</w:t>
      </w:r>
      <w:r>
        <w:rPr>
          <w:rFonts w:hint="eastAsia" w:ascii="宋体" w:hAnsi="宋体"/>
          <w:color w:val="auto"/>
          <w:sz w:val="24"/>
          <w:u w:val="single"/>
        </w:rPr>
        <w:t xml:space="preserve">          </w:t>
      </w:r>
    </w:p>
    <w:p>
      <w:pPr>
        <w:snapToGrid w:val="0"/>
        <w:spacing w:line="440" w:lineRule="exac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p>
    <w:p>
      <w:pPr>
        <w:snapToGrid w:val="0"/>
        <w:spacing w:line="440" w:lineRule="exact"/>
        <w:jc w:val="left"/>
        <w:rPr>
          <w:rFonts w:ascii="宋体" w:hAnsi="宋体"/>
          <w:color w:val="auto"/>
          <w:sz w:val="24"/>
        </w:rPr>
      </w:pPr>
      <w:r>
        <w:rPr>
          <w:rFonts w:hint="eastAsia" w:ascii="宋体" w:hAnsi="宋体"/>
          <w:color w:val="auto"/>
          <w:sz w:val="24"/>
        </w:rPr>
        <w:t>开户银行：</w:t>
      </w:r>
      <w:r>
        <w:rPr>
          <w:rFonts w:hint="eastAsia" w:ascii="宋体" w:hAnsi="宋体"/>
          <w:color w:val="auto"/>
          <w:sz w:val="24"/>
          <w:u w:val="single"/>
        </w:rPr>
        <w:t xml:space="preserve">                      </w:t>
      </w:r>
      <w:r>
        <w:rPr>
          <w:rFonts w:hint="eastAsia" w:ascii="宋体" w:hAnsi="宋体"/>
          <w:color w:val="auto"/>
          <w:sz w:val="24"/>
        </w:rPr>
        <w:t xml:space="preserve">   银行帐号：</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line="440" w:lineRule="exact"/>
        <w:jc w:val="left"/>
        <w:rPr>
          <w:rFonts w:ascii="宋体" w:hAnsi="宋体"/>
          <w:color w:val="auto"/>
          <w:sz w:val="24"/>
        </w:rPr>
      </w:pPr>
      <w:r>
        <w:rPr>
          <w:rFonts w:hint="eastAsia" w:ascii="宋体" w:hAnsi="宋体"/>
          <w:color w:val="auto"/>
          <w:sz w:val="24"/>
        </w:rPr>
        <w:t xml:space="preserve">法定代表人或者委托代理人签字:___________ </w:t>
      </w:r>
    </w:p>
    <w:p>
      <w:pPr>
        <w:pStyle w:val="18"/>
        <w:snapToGrid w:val="0"/>
        <w:spacing w:line="440" w:lineRule="exact"/>
        <w:jc w:val="center"/>
        <w:rPr>
          <w:rFonts w:hAnsi="宋体"/>
          <w:color w:val="auto"/>
          <w:sz w:val="24"/>
          <w:szCs w:val="24"/>
          <w:u w:val="single"/>
        </w:rPr>
      </w:pPr>
      <w:r>
        <w:rPr>
          <w:rFonts w:hint="eastAsia" w:hAnsi="宋体"/>
          <w:color w:val="auto"/>
          <w:sz w:val="24"/>
        </w:rPr>
        <w:t xml:space="preserve"> </w:t>
      </w:r>
      <w:r>
        <w:rPr>
          <w:rFonts w:hAnsi="宋体"/>
          <w:color w:val="auto"/>
          <w:sz w:val="24"/>
        </w:rPr>
        <w:t xml:space="preserve">                              </w:t>
      </w:r>
      <w:r>
        <w:rPr>
          <w:rFonts w:hint="eastAsia" w:hAnsi="宋体"/>
          <w:color w:val="auto"/>
          <w:sz w:val="24"/>
        </w:rPr>
        <w:t>投标人名称（电子签章）：</w:t>
      </w:r>
    </w:p>
    <w:p>
      <w:pPr>
        <w:pStyle w:val="18"/>
        <w:snapToGrid w:val="0"/>
        <w:spacing w:line="440" w:lineRule="exact"/>
        <w:rPr>
          <w:rFonts w:hAnsi="宋体"/>
          <w:color w:val="auto"/>
          <w:sz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snapToGrid w:val="0"/>
        <w:spacing w:beforeLines="50" w:after="50"/>
        <w:jc w:val="left"/>
        <w:rPr>
          <w:rFonts w:hAnsi="宋体"/>
          <w:color w:val="auto"/>
          <w:u w:val="single"/>
        </w:rPr>
        <w:sectPr>
          <w:footerReference r:id="rId8" w:type="first"/>
          <w:headerReference r:id="rId5" w:type="default"/>
          <w:footerReference r:id="rId6" w:type="default"/>
          <w:footerReference r:id="rId7" w:type="even"/>
          <w:pgSz w:w="11906" w:h="16838"/>
          <w:pgMar w:top="1134" w:right="1134" w:bottom="1134" w:left="1134" w:header="851" w:footer="992" w:gutter="0"/>
          <w:cols w:space="720" w:num="1"/>
          <w:titlePg/>
          <w:docGrid w:linePitch="312" w:charSpace="0"/>
        </w:sectPr>
      </w:pPr>
    </w:p>
    <w:p>
      <w:pPr>
        <w:snapToGrid w:val="0"/>
        <w:spacing w:beforeLines="50" w:after="50"/>
        <w:jc w:val="left"/>
        <w:rPr>
          <w:rFonts w:ascii="宋体" w:hAnsi="宋体"/>
          <w:b/>
          <w:color w:val="auto"/>
          <w:sz w:val="24"/>
          <w:szCs w:val="20"/>
        </w:rPr>
      </w:pPr>
      <w:r>
        <w:rPr>
          <w:rFonts w:hint="eastAsia" w:ascii="宋体" w:hAnsi="宋体"/>
          <w:b/>
          <w:color w:val="auto"/>
          <w:sz w:val="24"/>
        </w:rPr>
        <w:t>4. 投标报价明细表（货物类格式）</w:t>
      </w:r>
    </w:p>
    <w:p>
      <w:pPr>
        <w:jc w:val="center"/>
        <w:rPr>
          <w:rFonts w:ascii="宋体" w:hAnsi="宋体"/>
          <w:b/>
          <w:color w:val="auto"/>
          <w:sz w:val="36"/>
          <w:szCs w:val="36"/>
        </w:rPr>
      </w:pPr>
    </w:p>
    <w:p>
      <w:pPr>
        <w:jc w:val="center"/>
        <w:rPr>
          <w:rFonts w:ascii="宋体" w:hAnsi="宋体"/>
          <w:b/>
          <w:color w:val="auto"/>
          <w:sz w:val="36"/>
          <w:szCs w:val="36"/>
        </w:rPr>
      </w:pPr>
    </w:p>
    <w:p>
      <w:pPr>
        <w:jc w:val="center"/>
        <w:rPr>
          <w:rFonts w:ascii="宋体" w:hAnsi="宋体"/>
          <w:b/>
          <w:color w:val="auto"/>
          <w:sz w:val="36"/>
          <w:szCs w:val="36"/>
        </w:rPr>
      </w:pPr>
      <w:r>
        <w:rPr>
          <w:rFonts w:hint="eastAsia" w:ascii="宋体" w:hAnsi="宋体"/>
          <w:b/>
          <w:color w:val="auto"/>
          <w:sz w:val="36"/>
          <w:szCs w:val="36"/>
        </w:rPr>
        <w:t>投标报价明细表</w:t>
      </w:r>
    </w:p>
    <w:p>
      <w:pPr>
        <w:rPr>
          <w:rFonts w:ascii="宋体" w:hAnsi="宋体"/>
          <w:color w:val="auto"/>
          <w:sz w:val="24"/>
        </w:rPr>
      </w:pPr>
      <w:r>
        <w:rPr>
          <w:rFonts w:hint="eastAsia" w:ascii="宋体" w:hAnsi="宋体"/>
          <w:color w:val="auto"/>
          <w:sz w:val="24"/>
        </w:rPr>
        <w:t xml:space="preserve">  分标号：  </w:t>
      </w:r>
      <w:r>
        <w:rPr>
          <w:rFonts w:hint="eastAsia" w:ascii="宋体" w:hAnsi="宋体"/>
          <w:color w:val="auto"/>
          <w:sz w:val="24"/>
          <w:u w:val="single"/>
        </w:rPr>
        <w:t xml:space="preserve">           </w:t>
      </w:r>
      <w:r>
        <w:rPr>
          <w:rFonts w:hint="eastAsia" w:ascii="宋体" w:hAnsi="宋体"/>
          <w:color w:val="auto"/>
          <w:sz w:val="24"/>
        </w:rPr>
        <w:t xml:space="preserve">                            金额单位：人民币（元）</w:t>
      </w:r>
    </w:p>
    <w:p>
      <w:pPr>
        <w:rPr>
          <w:rFonts w:ascii="宋体" w:hAnsi="宋体"/>
          <w:color w:val="auto"/>
          <w:sz w:val="24"/>
        </w:rPr>
      </w:pP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
        <w:gridCol w:w="1418"/>
        <w:gridCol w:w="1559"/>
        <w:gridCol w:w="709"/>
        <w:gridCol w:w="1417"/>
        <w:gridCol w:w="1558"/>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7"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项号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货物名称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数量（单位）</w:t>
            </w:r>
          </w:p>
          <w:p>
            <w:pPr>
              <w:jc w:val="center"/>
              <w:rPr>
                <w:rFonts w:ascii="宋体" w:hAnsi="宋体"/>
                <w:b/>
                <w:color w:val="auto"/>
                <w:sz w:val="24"/>
              </w:rPr>
            </w:pPr>
            <w:r>
              <w:rPr>
                <w:rFonts w:hint="eastAsia" w:ascii="宋体" w:hAnsi="宋体"/>
                <w:b/>
                <w:color w:val="auto"/>
                <w:sz w:val="24"/>
              </w:rPr>
              <w:t>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产地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品牌、</w:t>
            </w:r>
          </w:p>
          <w:p>
            <w:pPr>
              <w:jc w:val="center"/>
              <w:rPr>
                <w:rFonts w:ascii="宋体" w:hAnsi="宋体"/>
                <w:b/>
                <w:color w:val="auto"/>
                <w:sz w:val="24"/>
              </w:rPr>
            </w:pPr>
            <w:r>
              <w:rPr>
                <w:rFonts w:hint="eastAsia" w:ascii="宋体" w:hAnsi="宋体"/>
                <w:b/>
                <w:color w:val="auto"/>
                <w:sz w:val="24"/>
              </w:rPr>
              <w:t>规格型号</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生产厂家</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单价</w:t>
            </w:r>
          </w:p>
          <w:p>
            <w:pPr>
              <w:jc w:val="center"/>
              <w:rPr>
                <w:rFonts w:ascii="宋体" w:hAnsi="宋体"/>
                <w:b/>
                <w:color w:val="auto"/>
                <w:sz w:val="24"/>
              </w:rPr>
            </w:pPr>
            <w:r>
              <w:rPr>
                <w:rFonts w:hint="eastAsia" w:ascii="宋体" w:hAnsi="宋体"/>
                <w:b/>
                <w:color w:val="auto"/>
                <w:sz w:val="24"/>
              </w:rPr>
              <w:t>②</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rPr>
            </w:pPr>
            <w:r>
              <w:rPr>
                <w:rFonts w:hint="eastAsia" w:ascii="宋体" w:hAnsi="宋体"/>
                <w:b/>
                <w:color w:val="auto"/>
                <w:sz w:val="24"/>
              </w:rPr>
              <w:t>投标报价</w:t>
            </w:r>
          </w:p>
          <w:p>
            <w:pPr>
              <w:jc w:val="center"/>
              <w:rPr>
                <w:rFonts w:ascii="宋体" w:hAnsi="宋体"/>
                <w:b/>
                <w:color w:val="auto"/>
                <w:sz w:val="24"/>
              </w:rPr>
            </w:pPr>
            <w:r>
              <w:rPr>
                <w:rFonts w:hint="eastAsia" w:ascii="宋体" w:hAnsi="宋体"/>
                <w:b/>
                <w:color w:val="auto"/>
                <w:sz w:val="24"/>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N</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pacing w:val="20"/>
                <w:sz w:val="24"/>
              </w:rPr>
            </w:pPr>
            <w:r>
              <w:rPr>
                <w:rFonts w:hint="eastAsia" w:ascii="宋体" w:hAnsi="宋体"/>
                <w:color w:val="auto"/>
                <w:sz w:val="24"/>
              </w:rPr>
              <w:t>合计总金额</w:t>
            </w:r>
            <w:r>
              <w:rPr>
                <w:rFonts w:hint="eastAsia" w:ascii="宋体" w:hAnsi="宋体"/>
                <w:color w:val="auto"/>
                <w:spacing w:val="20"/>
                <w:sz w:val="24"/>
              </w:rPr>
              <w:t>（</w:t>
            </w:r>
            <w:r>
              <w:rPr>
                <w:rFonts w:hint="eastAsia" w:ascii="宋体" w:hAnsi="宋体"/>
                <w:color w:val="auto"/>
                <w:sz w:val="24"/>
              </w:rPr>
              <w:t>大写）：</w:t>
            </w:r>
            <w:r>
              <w:rPr>
                <w:rFonts w:hint="eastAsia" w:ascii="宋体" w:hAnsi="宋体"/>
                <w:color w:val="auto"/>
                <w:spacing w:val="20"/>
                <w:sz w:val="24"/>
                <w:u w:val="single"/>
              </w:rPr>
              <w:t>人民币</w:t>
            </w:r>
            <w:r>
              <w:rPr>
                <w:rFonts w:hint="eastAsia" w:ascii="宋体" w:hAnsi="宋体"/>
                <w:color w:val="auto"/>
                <w:sz w:val="24"/>
                <w:u w:val="single"/>
              </w:rPr>
              <w:t xml:space="preserve">                     元整</w:t>
            </w:r>
            <w:r>
              <w:rPr>
                <w:rFonts w:hint="eastAsia" w:ascii="宋体" w:hAnsi="宋体"/>
                <w:color w:val="auto"/>
                <w:spacing w:val="20"/>
                <w:sz w:val="24"/>
                <w:u w:val="single"/>
              </w:rPr>
              <w:t xml:space="preserve">（¥               </w:t>
            </w:r>
            <w:r>
              <w:rPr>
                <w:rFonts w:hint="eastAsia" w:ascii="宋体" w:hAnsi="宋体"/>
                <w:color w:val="auto"/>
                <w:spacing w:val="2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bCs/>
                <w:color w:val="auto"/>
                <w:kern w:val="0"/>
                <w:sz w:val="24"/>
              </w:rPr>
              <w:t>交货时间</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auto"/>
                <w:kern w:val="0"/>
                <w:sz w:val="24"/>
                <w:lang w:eastAsia="zh-CN"/>
              </w:rPr>
            </w:pPr>
            <w:r>
              <w:rPr>
                <w:rFonts w:hint="eastAsia" w:ascii="宋体" w:hAnsi="宋体"/>
                <w:bCs/>
                <w:color w:val="auto"/>
                <w:kern w:val="0"/>
                <w:sz w:val="24"/>
                <w:lang w:eastAsia="zh-CN"/>
              </w:rPr>
              <w:t>交货地点：</w:t>
            </w:r>
          </w:p>
        </w:tc>
      </w:tr>
    </w:tbl>
    <w:p>
      <w:pPr>
        <w:rPr>
          <w:rFonts w:ascii="宋体" w:hAnsi="宋体" w:cs="Courier New"/>
          <w:color w:val="auto"/>
          <w:sz w:val="24"/>
        </w:rPr>
      </w:pPr>
    </w:p>
    <w:p>
      <w:pPr>
        <w:rPr>
          <w:rFonts w:ascii="宋体" w:hAnsi="宋体"/>
          <w:color w:val="auto"/>
          <w:spacing w:val="20"/>
          <w:sz w:val="24"/>
          <w:u w:val="single"/>
        </w:rPr>
      </w:pPr>
    </w:p>
    <w:p>
      <w:pPr>
        <w:rPr>
          <w:rFonts w:ascii="宋体" w:hAnsi="宋体"/>
          <w:color w:val="auto"/>
          <w:spacing w:val="20"/>
          <w:sz w:val="24"/>
          <w:u w:val="single"/>
        </w:rPr>
      </w:pPr>
    </w:p>
    <w:p>
      <w:pPr>
        <w:snapToGrid w:val="0"/>
        <w:spacing w:before="50" w:after="50" w:line="360" w:lineRule="auto"/>
        <w:ind w:left="-2" w:leftChars="-1" w:right="-817" w:rightChars="-389"/>
        <w:rPr>
          <w:rFonts w:ascii="宋体" w:hAnsi="宋体"/>
          <w:color w:val="auto"/>
          <w:sz w:val="24"/>
        </w:rPr>
      </w:pPr>
      <w:r>
        <w:rPr>
          <w:rFonts w:hint="eastAsia" w:ascii="宋体" w:hAnsi="宋体"/>
          <w:color w:val="auto"/>
          <w:sz w:val="24"/>
        </w:rPr>
        <w:t xml:space="preserve">法定代表人或者委托代理人（签字/电子签名）：                    </w:t>
      </w:r>
    </w:p>
    <w:p>
      <w:pPr>
        <w:snapToGrid w:val="0"/>
        <w:spacing w:before="50" w:after="50" w:line="360" w:lineRule="auto"/>
        <w:ind w:left="-2" w:leftChars="-1" w:right="-817" w:rightChars="-389"/>
        <w:rPr>
          <w:rFonts w:ascii="宋体" w:hAnsi="宋体"/>
          <w:color w:val="auto"/>
          <w:sz w:val="24"/>
        </w:rPr>
      </w:pPr>
      <w:r>
        <w:rPr>
          <w:rFonts w:hint="eastAsia" w:ascii="宋体" w:hAnsi="宋体"/>
          <w:color w:val="auto"/>
          <w:sz w:val="24"/>
        </w:rPr>
        <w:t xml:space="preserve">投标人名称（电子签章）：                   </w:t>
      </w:r>
    </w:p>
    <w:p>
      <w:pPr>
        <w:snapToGrid w:val="0"/>
        <w:spacing w:before="50" w:after="50" w:line="360" w:lineRule="auto"/>
        <w:ind w:left="-2" w:leftChars="-1" w:right="-817" w:rightChars="-389"/>
        <w:rPr>
          <w:rFonts w:ascii="宋体" w:hAnsi="宋体"/>
          <w:color w:val="auto"/>
          <w:sz w:val="24"/>
        </w:rPr>
      </w:pPr>
      <w:r>
        <w:rPr>
          <w:rFonts w:hint="eastAsia" w:ascii="宋体" w:hAnsi="宋体"/>
          <w:color w:val="auto"/>
          <w:sz w:val="24"/>
        </w:rPr>
        <w:t>日期：    年   月   日</w:t>
      </w:r>
    </w:p>
    <w:p>
      <w:pPr>
        <w:snapToGrid w:val="0"/>
        <w:spacing w:before="50" w:after="50" w:line="360" w:lineRule="auto"/>
        <w:ind w:left="-2" w:leftChars="-1" w:right="-817" w:rightChars="-389"/>
        <w:rPr>
          <w:rFonts w:ascii="宋体" w:hAnsi="宋体"/>
          <w:color w:val="auto"/>
          <w:sz w:val="24"/>
        </w:rPr>
        <w:sectPr>
          <w:pgSz w:w="11906" w:h="16838"/>
          <w:pgMar w:top="1134" w:right="1247" w:bottom="1560" w:left="1247" w:header="851" w:footer="992" w:gutter="0"/>
          <w:cols w:space="720" w:num="1"/>
          <w:titlePg/>
          <w:docGrid w:linePitch="312" w:charSpace="0"/>
        </w:sectPr>
      </w:pPr>
    </w:p>
    <w:p>
      <w:pPr>
        <w:snapToGrid w:val="0"/>
        <w:spacing w:beforeLines="50" w:after="50"/>
        <w:jc w:val="left"/>
        <w:rPr>
          <w:rFonts w:ascii="宋体" w:hAnsi="宋体"/>
          <w:b/>
          <w:color w:val="auto"/>
          <w:sz w:val="24"/>
          <w:szCs w:val="20"/>
        </w:rPr>
      </w:pPr>
      <w:r>
        <w:rPr>
          <w:rFonts w:hint="eastAsia" w:ascii="宋体" w:hAnsi="宋体"/>
          <w:b/>
          <w:color w:val="auto"/>
          <w:sz w:val="24"/>
        </w:rPr>
        <w:t>5. 开标一览表（货物类格式）</w:t>
      </w:r>
    </w:p>
    <w:p>
      <w:pPr>
        <w:snapToGrid w:val="0"/>
        <w:spacing w:before="50" w:after="50"/>
        <w:jc w:val="center"/>
        <w:rPr>
          <w:rFonts w:ascii="宋体" w:hAnsi="宋体"/>
          <w:b/>
          <w:color w:val="auto"/>
          <w:sz w:val="30"/>
        </w:rPr>
      </w:pPr>
      <w:r>
        <w:rPr>
          <w:rFonts w:hint="eastAsia" w:ascii="宋体" w:hAnsi="宋体"/>
          <w:b/>
          <w:color w:val="auto"/>
          <w:sz w:val="30"/>
        </w:rPr>
        <w:t>开标一览表</w:t>
      </w:r>
    </w:p>
    <w:p>
      <w:pPr>
        <w:snapToGrid w:val="0"/>
        <w:spacing w:before="50" w:after="50"/>
        <w:jc w:val="center"/>
        <w:rPr>
          <w:rFonts w:ascii="宋体" w:hAnsi="宋体"/>
          <w:b/>
          <w:color w:val="auto"/>
          <w:sz w:val="30"/>
          <w:szCs w:val="20"/>
        </w:rPr>
      </w:pPr>
    </w:p>
    <w:p>
      <w:pPr>
        <w:snapToGrid w:val="0"/>
        <w:spacing w:before="50" w:after="50" w:line="360" w:lineRule="auto"/>
        <w:rPr>
          <w:rFonts w:ascii="宋体" w:hAnsi="宋体"/>
          <w:color w:val="auto"/>
          <w:sz w:val="24"/>
          <w:u w:val="single"/>
        </w:rPr>
      </w:pPr>
      <w:r>
        <w:rPr>
          <w:rFonts w:hint="eastAsia" w:ascii="宋体" w:hAnsi="宋体"/>
          <w:color w:val="auto"/>
          <w:sz w:val="24"/>
        </w:rPr>
        <w:t>项目名称：</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项目编号：</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分标：</w:t>
      </w:r>
      <w:r>
        <w:rPr>
          <w:rFonts w:hint="eastAsia" w:ascii="宋体" w:hAnsi="宋体"/>
          <w:color w:val="auto"/>
          <w:sz w:val="24"/>
          <w:u w:val="single"/>
        </w:rPr>
        <w:t xml:space="preserve">           </w:t>
      </w:r>
    </w:p>
    <w:p>
      <w:pPr>
        <w:snapToGrid w:val="0"/>
        <w:spacing w:before="50" w:after="50" w:line="360" w:lineRule="auto"/>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                       单位：元</w:t>
      </w: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2810"/>
        <w:gridCol w:w="869"/>
        <w:gridCol w:w="1027"/>
        <w:gridCol w:w="1027"/>
        <w:gridCol w:w="3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序号</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货物名称</w:t>
            </w: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品牌</w:t>
            </w: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数量及单位①</w:t>
            </w: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单价</w:t>
            </w:r>
          </w:p>
          <w:p>
            <w:pPr>
              <w:snapToGrid w:val="0"/>
              <w:spacing w:before="50" w:after="50" w:line="360" w:lineRule="auto"/>
              <w:jc w:val="center"/>
              <w:rPr>
                <w:rFonts w:ascii="宋体" w:hAnsi="宋体"/>
                <w:b/>
                <w:color w:val="auto"/>
                <w:sz w:val="24"/>
              </w:rPr>
            </w:pPr>
            <w:r>
              <w:rPr>
                <w:rFonts w:hint="eastAsia" w:ascii="宋体" w:hAnsi="宋体"/>
                <w:b/>
                <w:color w:val="auto"/>
                <w:sz w:val="24"/>
              </w:rPr>
              <w:t>②</w:t>
            </w:r>
          </w:p>
        </w:tc>
        <w:tc>
          <w:tcPr>
            <w:tcW w:w="33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投标报价</w:t>
            </w:r>
          </w:p>
          <w:p>
            <w:pPr>
              <w:snapToGrid w:val="0"/>
              <w:spacing w:before="50" w:after="50" w:line="360" w:lineRule="auto"/>
              <w:jc w:val="center"/>
              <w:rPr>
                <w:rFonts w:ascii="宋体" w:hAnsi="宋体"/>
                <w:b/>
                <w:color w:val="auto"/>
                <w:sz w:val="24"/>
              </w:rPr>
            </w:pPr>
            <w:r>
              <w:rPr>
                <w:rFonts w:ascii="宋体" w:hAnsi="宋体"/>
                <w:b/>
                <w:color w:val="auto"/>
                <w:sz w:val="24"/>
              </w:rPr>
              <w:t>③</w:t>
            </w:r>
            <w:r>
              <w:rPr>
                <w:rFonts w:hint="eastAsia" w:ascii="宋体" w:hAnsi="宋体"/>
                <w:b/>
                <w:color w:val="auto"/>
                <w:sz w:val="24"/>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1</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33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2</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33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3</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33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w:t>
            </w:r>
          </w:p>
        </w:tc>
        <w:tc>
          <w:tcPr>
            <w:tcW w:w="28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rPr>
            </w:pPr>
            <w:r>
              <w:rPr>
                <w:rFonts w:hint="eastAsia" w:ascii="宋体" w:hAnsi="宋体"/>
                <w:b/>
                <w:color w:val="auto"/>
                <w:sz w:val="24"/>
              </w:rPr>
              <w:t>……</w:t>
            </w: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c>
          <w:tcPr>
            <w:tcW w:w="33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85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合计总金额</w:t>
            </w:r>
            <w:r>
              <w:rPr>
                <w:rFonts w:hint="eastAsia" w:ascii="宋体" w:hAnsi="宋体"/>
                <w:color w:val="auto"/>
                <w:spacing w:val="20"/>
                <w:sz w:val="24"/>
              </w:rPr>
              <w:t>（</w:t>
            </w:r>
            <w:r>
              <w:rPr>
                <w:rFonts w:hint="eastAsia" w:ascii="宋体" w:hAnsi="宋体"/>
                <w:color w:val="auto"/>
                <w:sz w:val="24"/>
              </w:rPr>
              <w:t>大写）：</w:t>
            </w:r>
            <w:r>
              <w:rPr>
                <w:rFonts w:hint="eastAsia" w:ascii="宋体" w:hAnsi="宋体"/>
                <w:color w:val="auto"/>
                <w:spacing w:val="20"/>
                <w:sz w:val="24"/>
                <w:u w:val="single"/>
              </w:rPr>
              <w:t>人民币</w:t>
            </w:r>
            <w:r>
              <w:rPr>
                <w:rFonts w:hint="eastAsia" w:ascii="宋体" w:hAnsi="宋体"/>
                <w:color w:val="auto"/>
                <w:sz w:val="24"/>
                <w:u w:val="single"/>
              </w:rPr>
              <w:t xml:space="preserve">                     元整</w:t>
            </w:r>
            <w:r>
              <w:rPr>
                <w:rFonts w:hint="eastAsia" w:ascii="宋体" w:hAnsi="宋体"/>
                <w:color w:val="auto"/>
                <w:spacing w:val="20"/>
                <w:sz w:val="24"/>
                <w:u w:val="single"/>
              </w:rPr>
              <w:t xml:space="preserve">（¥               </w:t>
            </w:r>
            <w:r>
              <w:rPr>
                <w:rFonts w:hint="eastAsia" w:ascii="宋体" w:hAnsi="宋体"/>
                <w:color w:val="auto"/>
                <w:spacing w:val="2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85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bCs/>
                <w:color w:val="auto"/>
                <w:kern w:val="0"/>
                <w:sz w:val="24"/>
              </w:rPr>
              <w:t>交货时间</w:t>
            </w:r>
            <w:r>
              <w:rPr>
                <w:rFonts w:hint="eastAsia" w:ascii="宋体" w:hAnsi="宋体"/>
                <w:color w:val="auto"/>
                <w:sz w:val="24"/>
              </w:rPr>
              <w:t>：</w:t>
            </w:r>
          </w:p>
        </w:tc>
      </w:tr>
    </w:tbl>
    <w:p>
      <w:pPr>
        <w:snapToGrid w:val="0"/>
        <w:spacing w:before="50" w:after="50" w:line="360" w:lineRule="auto"/>
        <w:jc w:val="left"/>
        <w:rPr>
          <w:rFonts w:ascii="宋体" w:hAnsi="宋体"/>
          <w:color w:val="auto"/>
          <w:sz w:val="24"/>
        </w:rPr>
      </w:pPr>
      <w:r>
        <w:rPr>
          <w:rFonts w:hint="eastAsia" w:ascii="宋体" w:hAnsi="宋体"/>
          <w:color w:val="auto"/>
          <w:sz w:val="24"/>
        </w:rPr>
        <w:t xml:space="preserve">注: </w:t>
      </w:r>
    </w:p>
    <w:p>
      <w:pPr>
        <w:snapToGrid w:val="0"/>
        <w:spacing w:before="50" w:after="50" w:line="360" w:lineRule="auto"/>
        <w:ind w:firstLine="480" w:firstLineChars="200"/>
        <w:rPr>
          <w:rFonts w:ascii="宋体" w:hAnsi="宋体"/>
          <w:b/>
          <w:color w:val="auto"/>
          <w:sz w:val="24"/>
        </w:rPr>
      </w:pPr>
      <w:r>
        <w:rPr>
          <w:rFonts w:hint="eastAsia" w:ascii="宋体" w:hAnsi="宋体"/>
          <w:bCs/>
          <w:color w:val="auto"/>
          <w:sz w:val="24"/>
        </w:rPr>
        <w:t>1.投标人的开标一览表必须加盖投标人电子签章并由法定代表人或者委托代理人签字或者电子签名，</w:t>
      </w:r>
      <w:r>
        <w:rPr>
          <w:rFonts w:hint="eastAsia" w:ascii="宋体" w:hAnsi="宋体"/>
          <w:b/>
          <w:color w:val="auto"/>
          <w:sz w:val="24"/>
        </w:rPr>
        <w:t>否则其投标作无效标处理。</w:t>
      </w:r>
    </w:p>
    <w:p>
      <w:pPr>
        <w:snapToGrid w:val="0"/>
        <w:spacing w:before="50" w:after="50" w:line="360" w:lineRule="auto"/>
        <w:ind w:firstLine="480" w:firstLineChars="200"/>
        <w:rPr>
          <w:rFonts w:ascii="宋体" w:hAnsi="宋体"/>
          <w:b/>
          <w:color w:val="auto"/>
          <w:sz w:val="24"/>
        </w:rPr>
      </w:pPr>
      <w:r>
        <w:rPr>
          <w:rFonts w:hint="eastAsia" w:ascii="宋体" w:hAnsi="宋体"/>
          <w:bCs/>
          <w:color w:val="auto"/>
          <w:sz w:val="24"/>
        </w:rPr>
        <w:t>2.报价一经涂改，应在涂改处加盖投标人公章或者由法定代表人或者委托代理人签字（或者电子签名）或者盖章，</w:t>
      </w:r>
      <w:r>
        <w:rPr>
          <w:rFonts w:hint="eastAsia" w:ascii="宋体" w:hAnsi="宋体"/>
          <w:b/>
          <w:color w:val="auto"/>
          <w:sz w:val="24"/>
        </w:rPr>
        <w:t>否则其投标作无效标处理。</w:t>
      </w:r>
    </w:p>
    <w:p>
      <w:pPr>
        <w:snapToGrid w:val="0"/>
        <w:spacing w:before="50" w:after="50" w:line="360" w:lineRule="auto"/>
        <w:ind w:firstLine="480" w:firstLineChars="200"/>
        <w:rPr>
          <w:rFonts w:ascii="宋体" w:hAnsi="宋体"/>
          <w:bCs/>
          <w:color w:val="auto"/>
          <w:sz w:val="24"/>
        </w:rPr>
      </w:pPr>
      <w:r>
        <w:rPr>
          <w:rFonts w:hint="eastAsia" w:ascii="宋体" w:hAnsi="宋体"/>
          <w:bCs/>
          <w:color w:val="auto"/>
          <w:sz w:val="24"/>
        </w:rPr>
        <w:t>3.招标文件中列明采购专用耗材的，应按招标文件规定的耗材量或者按耗材的常规试用量提供报价。</w:t>
      </w:r>
    </w:p>
    <w:p>
      <w:pPr>
        <w:snapToGrid w:val="0"/>
        <w:spacing w:before="50" w:after="50" w:line="360" w:lineRule="auto"/>
        <w:ind w:firstLine="480" w:firstLineChars="200"/>
        <w:rPr>
          <w:rFonts w:ascii="宋体" w:hAnsi="宋体"/>
          <w:b/>
          <w:color w:val="auto"/>
          <w:sz w:val="24"/>
        </w:rPr>
      </w:pPr>
      <w:r>
        <w:rPr>
          <w:rFonts w:hint="eastAsia" w:ascii="宋体" w:hAnsi="宋体"/>
          <w:bCs/>
          <w:color w:val="auto"/>
          <w:sz w:val="24"/>
        </w:rPr>
        <w:t>4.如为联合体投标，“投标人名称”处必须列明联合体各方名称，并标注联合体牵头人名称，</w:t>
      </w:r>
      <w:r>
        <w:rPr>
          <w:rFonts w:hint="eastAsia" w:ascii="宋体" w:hAnsi="宋体"/>
          <w:b/>
          <w:color w:val="auto"/>
          <w:sz w:val="24"/>
        </w:rPr>
        <w:t>否则其投标作无效标处理。</w:t>
      </w:r>
    </w:p>
    <w:p>
      <w:pPr>
        <w:snapToGrid w:val="0"/>
        <w:spacing w:before="50" w:after="50" w:line="360" w:lineRule="auto"/>
        <w:ind w:firstLine="480" w:firstLineChars="200"/>
        <w:rPr>
          <w:rFonts w:ascii="宋体" w:hAnsi="宋体"/>
          <w:b/>
          <w:color w:val="auto"/>
          <w:sz w:val="24"/>
        </w:rPr>
      </w:pPr>
      <w:r>
        <w:rPr>
          <w:rFonts w:hint="eastAsia" w:ascii="宋体" w:hAnsi="宋体"/>
          <w:bCs/>
          <w:color w:val="auto"/>
          <w:sz w:val="24"/>
        </w:rPr>
        <w:t>5.如为联合体投标，盖章处须加盖联合体牵头人电子签章，</w:t>
      </w:r>
      <w:r>
        <w:rPr>
          <w:rFonts w:hint="eastAsia" w:ascii="宋体" w:hAnsi="宋体"/>
          <w:b/>
          <w:color w:val="auto"/>
          <w:sz w:val="24"/>
        </w:rPr>
        <w:t>否则其投标作无效标处理。</w:t>
      </w:r>
    </w:p>
    <w:p>
      <w:pPr>
        <w:snapToGrid w:val="0"/>
        <w:spacing w:before="50" w:after="50" w:line="360" w:lineRule="auto"/>
        <w:ind w:firstLine="480" w:firstLineChars="200"/>
        <w:rPr>
          <w:rFonts w:ascii="宋体" w:hAnsi="宋体"/>
          <w:color w:val="auto"/>
          <w:sz w:val="24"/>
        </w:rPr>
      </w:pPr>
      <w:r>
        <w:rPr>
          <w:rFonts w:hint="eastAsia" w:ascii="宋体" w:hAnsi="宋体"/>
          <w:bCs/>
          <w:color w:val="auto"/>
          <w:sz w:val="24"/>
        </w:rPr>
        <w:t>6.如有多分标，按分标分别提供开标一览表，</w:t>
      </w:r>
      <w:r>
        <w:rPr>
          <w:rFonts w:hint="eastAsia" w:ascii="宋体" w:hAnsi="宋体"/>
          <w:b/>
          <w:color w:val="auto"/>
          <w:sz w:val="24"/>
        </w:rPr>
        <w:t>否则投标无效。</w:t>
      </w:r>
    </w:p>
    <w:p>
      <w:pPr>
        <w:snapToGrid w:val="0"/>
        <w:spacing w:before="50" w:after="50" w:line="360" w:lineRule="auto"/>
        <w:ind w:left="-2" w:leftChars="-1" w:right="-817" w:rightChars="-389" w:firstLine="480" w:firstLineChars="200"/>
        <w:rPr>
          <w:rFonts w:ascii="宋体" w:hAnsi="宋体"/>
          <w:color w:val="auto"/>
          <w:sz w:val="24"/>
        </w:rPr>
      </w:pPr>
      <w:r>
        <w:rPr>
          <w:rFonts w:hint="eastAsia" w:ascii="宋体" w:hAnsi="宋体"/>
          <w:color w:val="auto"/>
          <w:sz w:val="24"/>
        </w:rPr>
        <w:t xml:space="preserve">法定代表人或者委托代理人（签字/电子签名）：                    </w:t>
      </w:r>
    </w:p>
    <w:p>
      <w:pPr>
        <w:snapToGrid w:val="0"/>
        <w:spacing w:beforeLines="50" w:after="50" w:line="360" w:lineRule="auto"/>
        <w:ind w:firstLine="480" w:firstLineChars="200"/>
        <w:outlineLvl w:val="1"/>
        <w:rPr>
          <w:rFonts w:ascii="宋体" w:hAnsi="宋体"/>
          <w:color w:val="auto"/>
          <w:sz w:val="24"/>
        </w:rPr>
      </w:pPr>
      <w:r>
        <w:rPr>
          <w:rFonts w:hint="eastAsia" w:ascii="宋体" w:hAnsi="宋体"/>
          <w:color w:val="auto"/>
          <w:sz w:val="24"/>
        </w:rPr>
        <w:t xml:space="preserve">投标人名称（电子签章）：                                 </w:t>
      </w:r>
    </w:p>
    <w:p>
      <w:pPr>
        <w:snapToGrid w:val="0"/>
        <w:spacing w:beforeLines="50" w:after="50" w:line="360" w:lineRule="auto"/>
        <w:ind w:firstLine="480" w:firstLineChars="200"/>
        <w:outlineLvl w:val="1"/>
        <w:rPr>
          <w:rFonts w:ascii="宋体" w:hAnsi="宋体"/>
          <w:color w:val="auto"/>
          <w:sz w:val="24"/>
        </w:rPr>
      </w:pPr>
      <w:r>
        <w:rPr>
          <w:rFonts w:hint="eastAsia" w:ascii="宋体" w:hAnsi="宋体"/>
          <w:color w:val="auto"/>
          <w:sz w:val="24"/>
        </w:rPr>
        <w:t>日期：    年   月   日</w:t>
      </w:r>
      <w:bookmarkStart w:id="160" w:name="_Toc19686837"/>
    </w:p>
    <w:bookmarkEnd w:id="157"/>
    <w:bookmarkEnd w:id="158"/>
    <w:bookmarkEnd w:id="160"/>
    <w:p>
      <w:pPr>
        <w:snapToGrid w:val="0"/>
        <w:spacing w:beforeLines="50" w:after="50" w:line="360" w:lineRule="auto"/>
        <w:outlineLvl w:val="1"/>
        <w:rPr>
          <w:rFonts w:ascii="宋体" w:hAnsi="宋体"/>
          <w:b/>
          <w:bCs/>
          <w:color w:val="auto"/>
          <w:sz w:val="28"/>
          <w:szCs w:val="28"/>
        </w:rPr>
      </w:pPr>
      <w:r>
        <w:rPr>
          <w:rFonts w:hint="eastAsia" w:ascii="宋体" w:hAnsi="宋体"/>
          <w:b/>
          <w:bCs/>
          <w:color w:val="auto"/>
          <w:sz w:val="28"/>
          <w:szCs w:val="28"/>
        </w:rPr>
        <w:t>二、资格证明文件格式</w:t>
      </w:r>
    </w:p>
    <w:p>
      <w:pPr>
        <w:numPr>
          <w:ilvl w:val="2"/>
          <w:numId w:val="11"/>
        </w:numPr>
        <w:snapToGrid w:val="0"/>
        <w:spacing w:beforeLines="50" w:after="50" w:line="360" w:lineRule="auto"/>
        <w:ind w:left="0" w:firstLine="0"/>
        <w:jc w:val="left"/>
        <w:rPr>
          <w:rFonts w:ascii="宋体" w:hAnsi="宋体"/>
          <w:b/>
          <w:color w:val="auto"/>
          <w:sz w:val="24"/>
        </w:rPr>
      </w:pPr>
      <w:r>
        <w:rPr>
          <w:rFonts w:hint="eastAsia" w:ascii="宋体" w:hAnsi="宋体"/>
          <w:b/>
          <w:color w:val="auto"/>
          <w:sz w:val="24"/>
        </w:rPr>
        <w:t xml:space="preserve">资格证明文件封面格式： </w:t>
      </w:r>
    </w:p>
    <w:p>
      <w:pPr>
        <w:snapToGrid w:val="0"/>
        <w:spacing w:beforeLines="50" w:after="50"/>
        <w:jc w:val="center"/>
        <w:rPr>
          <w:rFonts w:ascii="方正小标宋简体" w:hAnsi="方正小标宋简体" w:eastAsia="方正小标宋简体" w:cs="方正小标宋简体"/>
          <w:color w:val="auto"/>
          <w:sz w:val="84"/>
          <w:szCs w:val="84"/>
        </w:rPr>
      </w:pPr>
    </w:p>
    <w:p>
      <w:pPr>
        <w:snapToGrid w:val="0"/>
        <w:spacing w:beforeLines="50" w:after="50"/>
        <w:jc w:val="center"/>
        <w:rPr>
          <w:rFonts w:ascii="宋体" w:hAnsi="宋体" w:cs="宋体"/>
          <w:color w:val="auto"/>
          <w:sz w:val="84"/>
          <w:szCs w:val="84"/>
        </w:rPr>
      </w:pPr>
      <w:r>
        <w:rPr>
          <w:rFonts w:hint="eastAsia" w:ascii="宋体" w:hAnsi="宋体" w:cs="宋体"/>
          <w:color w:val="auto"/>
          <w:sz w:val="84"/>
          <w:szCs w:val="84"/>
        </w:rPr>
        <w:t>投  标  文  件</w:t>
      </w:r>
    </w:p>
    <w:p>
      <w:pPr>
        <w:snapToGrid w:val="0"/>
        <w:spacing w:beforeLines="50" w:after="50"/>
        <w:rPr>
          <w:rFonts w:ascii="宋体" w:hAnsi="宋体"/>
          <w:bCs/>
          <w:color w:val="auto"/>
          <w:sz w:val="32"/>
          <w:szCs w:val="20"/>
        </w:rPr>
      </w:pPr>
    </w:p>
    <w:p>
      <w:pPr>
        <w:snapToGrid w:val="0"/>
        <w:spacing w:beforeLines="50" w:after="50"/>
        <w:rPr>
          <w:rFonts w:ascii="宋体" w:hAnsi="宋体"/>
          <w:color w:val="auto"/>
          <w:sz w:val="24"/>
          <w:szCs w:val="20"/>
        </w:rPr>
      </w:pPr>
    </w:p>
    <w:p>
      <w:pPr>
        <w:snapToGrid w:val="0"/>
        <w:spacing w:beforeLines="50" w:after="50"/>
        <w:jc w:val="center"/>
        <w:rPr>
          <w:rFonts w:ascii="宋体" w:hAnsi="宋体"/>
          <w:b/>
          <w:color w:val="auto"/>
          <w:sz w:val="44"/>
          <w:szCs w:val="32"/>
        </w:rPr>
      </w:pPr>
      <w:r>
        <w:rPr>
          <w:rFonts w:hint="eastAsia" w:ascii="宋体" w:hAnsi="宋体"/>
          <w:b/>
          <w:color w:val="auto"/>
          <w:sz w:val="52"/>
          <w:szCs w:val="52"/>
        </w:rPr>
        <w:t>资格证明文件</w:t>
      </w: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ind w:firstLine="540" w:firstLineChars="225"/>
        <w:rPr>
          <w:rFonts w:ascii="宋体" w:hAnsi="宋体"/>
          <w:bCs/>
          <w:color w:val="auto"/>
          <w:sz w:val="24"/>
        </w:rPr>
      </w:pPr>
      <w:r>
        <w:rPr>
          <w:rFonts w:hint="eastAsia" w:ascii="宋体" w:hAnsi="宋体"/>
          <w:bCs/>
          <w:color w:val="auto"/>
          <w:sz w:val="24"/>
        </w:rPr>
        <w:t>项目名称：</w:t>
      </w:r>
    </w:p>
    <w:p>
      <w:pPr>
        <w:snapToGrid w:val="0"/>
        <w:spacing w:beforeLines="50" w:after="50"/>
        <w:ind w:firstLine="540" w:firstLineChars="225"/>
        <w:rPr>
          <w:rFonts w:ascii="宋体" w:hAnsi="宋体"/>
          <w:bCs/>
          <w:color w:val="auto"/>
          <w:sz w:val="24"/>
          <w:szCs w:val="20"/>
        </w:rPr>
      </w:pPr>
    </w:p>
    <w:p>
      <w:pPr>
        <w:snapToGrid w:val="0"/>
        <w:spacing w:beforeLines="50" w:after="50"/>
        <w:ind w:firstLine="540" w:firstLineChars="225"/>
        <w:rPr>
          <w:rFonts w:ascii="宋体" w:hAnsi="宋体"/>
          <w:bCs/>
          <w:color w:val="auto"/>
          <w:sz w:val="24"/>
        </w:rPr>
      </w:pPr>
      <w:r>
        <w:rPr>
          <w:rFonts w:hint="eastAsia" w:ascii="宋体" w:hAnsi="宋体"/>
          <w:bCs/>
          <w:color w:val="auto"/>
          <w:sz w:val="24"/>
        </w:rPr>
        <w:t>项目编号：</w:t>
      </w:r>
    </w:p>
    <w:p>
      <w:pPr>
        <w:snapToGrid w:val="0"/>
        <w:spacing w:beforeLines="50" w:after="50"/>
        <w:ind w:firstLine="540" w:firstLineChars="225"/>
        <w:rPr>
          <w:rFonts w:ascii="宋体" w:hAnsi="宋体"/>
          <w:bCs/>
          <w:color w:val="auto"/>
          <w:sz w:val="24"/>
          <w:szCs w:val="20"/>
        </w:rPr>
      </w:pPr>
      <w:r>
        <w:rPr>
          <w:rFonts w:hint="eastAsia" w:ascii="宋体" w:hAnsi="宋体"/>
          <w:bCs/>
          <w:color w:val="auto"/>
          <w:sz w:val="24"/>
        </w:rPr>
        <w:t xml:space="preserve"> </w:t>
      </w:r>
    </w:p>
    <w:p>
      <w:pPr>
        <w:snapToGrid w:val="0"/>
        <w:spacing w:beforeLines="50" w:after="50"/>
        <w:ind w:firstLine="540" w:firstLineChars="225"/>
        <w:rPr>
          <w:rFonts w:ascii="宋体" w:hAnsi="宋体"/>
          <w:bCs/>
          <w:color w:val="auto"/>
          <w:sz w:val="24"/>
        </w:rPr>
      </w:pPr>
      <w:r>
        <w:rPr>
          <w:rFonts w:hint="eastAsia" w:ascii="宋体" w:hAnsi="宋体"/>
          <w:bCs/>
          <w:color w:val="auto"/>
          <w:sz w:val="24"/>
        </w:rPr>
        <w:t>所投分标：</w:t>
      </w:r>
    </w:p>
    <w:p>
      <w:pPr>
        <w:pStyle w:val="7"/>
        <w:snapToGrid w:val="0"/>
        <w:spacing w:before="50" w:after="50"/>
        <w:ind w:firstLine="540" w:firstLineChars="225"/>
        <w:rPr>
          <w:rFonts w:ascii="宋体" w:hAnsi="宋体"/>
          <w:bCs/>
          <w:color w:val="auto"/>
          <w:sz w:val="24"/>
          <w:szCs w:val="24"/>
        </w:rPr>
      </w:pPr>
    </w:p>
    <w:p>
      <w:pPr>
        <w:pStyle w:val="7"/>
        <w:snapToGrid w:val="0"/>
        <w:spacing w:before="50" w:after="50"/>
        <w:ind w:firstLine="540" w:firstLineChars="225"/>
        <w:rPr>
          <w:rFonts w:ascii="宋体" w:hAnsi="宋体"/>
          <w:bCs/>
          <w:color w:val="auto"/>
          <w:sz w:val="24"/>
          <w:szCs w:val="24"/>
        </w:rPr>
      </w:pPr>
      <w:r>
        <w:rPr>
          <w:rFonts w:hint="eastAsia" w:ascii="宋体" w:hAnsi="宋体"/>
          <w:bCs/>
          <w:color w:val="auto"/>
          <w:sz w:val="24"/>
          <w:szCs w:val="24"/>
        </w:rPr>
        <w:t>投标人名称：</w:t>
      </w:r>
    </w:p>
    <w:p>
      <w:pPr>
        <w:pStyle w:val="7"/>
        <w:snapToGrid w:val="0"/>
        <w:spacing w:before="50" w:after="50"/>
        <w:ind w:firstLine="540" w:firstLineChars="225"/>
        <w:rPr>
          <w:rFonts w:ascii="宋体" w:hAnsi="宋体"/>
          <w:bCs/>
          <w:color w:val="auto"/>
          <w:sz w:val="24"/>
          <w:szCs w:val="24"/>
        </w:rPr>
      </w:pPr>
    </w:p>
    <w:p>
      <w:pPr>
        <w:pStyle w:val="7"/>
        <w:snapToGrid w:val="0"/>
        <w:spacing w:before="50" w:after="50"/>
        <w:ind w:firstLine="960" w:firstLineChars="400"/>
        <w:rPr>
          <w:rFonts w:ascii="宋体" w:hAnsi="宋体"/>
          <w:bCs/>
          <w:color w:val="auto"/>
          <w:sz w:val="24"/>
          <w:szCs w:val="24"/>
        </w:rPr>
      </w:pPr>
    </w:p>
    <w:p>
      <w:pPr>
        <w:snapToGrid w:val="0"/>
        <w:spacing w:beforeLines="50" w:after="50"/>
        <w:ind w:firstLine="645"/>
        <w:jc w:val="center"/>
        <w:rPr>
          <w:rFonts w:ascii="宋体" w:hAnsi="宋体"/>
          <w:color w:val="auto"/>
          <w:sz w:val="24"/>
        </w:rPr>
      </w:pPr>
      <w:r>
        <w:rPr>
          <w:rFonts w:hint="eastAsia" w:ascii="宋体" w:hAnsi="宋体"/>
          <w:color w:val="auto"/>
          <w:sz w:val="24"/>
        </w:rPr>
        <w:t>年  月  日</w:t>
      </w:r>
    </w:p>
    <w:p>
      <w:pPr>
        <w:snapToGrid w:val="0"/>
        <w:spacing w:beforeLines="50" w:after="50"/>
        <w:rPr>
          <w:rFonts w:ascii="宋体" w:hAnsi="宋体"/>
          <w:color w:val="auto"/>
          <w:sz w:val="24"/>
          <w:szCs w:val="20"/>
        </w:rPr>
      </w:pPr>
      <w:r>
        <w:rPr>
          <w:rFonts w:ascii="宋体" w:hAnsi="宋体"/>
          <w:color w:val="auto"/>
          <w:sz w:val="24"/>
          <w:szCs w:val="20"/>
        </w:rPr>
        <w:t xml:space="preserve"> </w:t>
      </w:r>
    </w:p>
    <w:p>
      <w:pPr>
        <w:snapToGrid w:val="0"/>
        <w:spacing w:beforeLines="50" w:after="50"/>
        <w:rPr>
          <w:rFonts w:ascii="宋体" w:hAnsi="宋体"/>
          <w:color w:val="auto"/>
          <w:sz w:val="24"/>
          <w:szCs w:val="20"/>
        </w:rPr>
      </w:pPr>
    </w:p>
    <w:p>
      <w:pPr>
        <w:snapToGrid w:val="0"/>
        <w:spacing w:beforeLines="50" w:after="50"/>
        <w:rPr>
          <w:rFonts w:ascii="宋体" w:hAnsi="宋体"/>
          <w:color w:val="auto"/>
          <w:sz w:val="24"/>
          <w:szCs w:val="20"/>
        </w:rPr>
      </w:pPr>
      <w:r>
        <w:rPr>
          <w:rFonts w:ascii="宋体" w:hAnsi="宋体"/>
          <w:color w:val="auto"/>
          <w:sz w:val="24"/>
          <w:szCs w:val="20"/>
        </w:rPr>
        <w:t xml:space="preserve"> </w:t>
      </w:r>
    </w:p>
    <w:p>
      <w:pPr>
        <w:snapToGrid w:val="0"/>
        <w:spacing w:beforeLines="50" w:after="50"/>
        <w:rPr>
          <w:rFonts w:ascii="宋体" w:hAnsi="宋体"/>
          <w:color w:val="auto"/>
          <w:sz w:val="24"/>
          <w:szCs w:val="20"/>
        </w:rPr>
      </w:pPr>
    </w:p>
    <w:p>
      <w:pPr>
        <w:snapToGrid w:val="0"/>
        <w:spacing w:beforeLines="50" w:after="50" w:line="360" w:lineRule="auto"/>
        <w:jc w:val="left"/>
        <w:rPr>
          <w:rFonts w:ascii="宋体" w:hAnsi="宋体"/>
          <w:color w:val="auto"/>
          <w:sz w:val="24"/>
          <w:szCs w:val="20"/>
        </w:rPr>
      </w:pPr>
      <w:r>
        <w:rPr>
          <w:rFonts w:ascii="宋体" w:hAnsi="宋体"/>
          <w:b/>
          <w:bCs/>
          <w:color w:val="auto"/>
          <w:sz w:val="24"/>
        </w:rPr>
        <w:br w:type="page"/>
      </w:r>
      <w:r>
        <w:rPr>
          <w:rFonts w:hint="eastAsia" w:ascii="宋体" w:hAnsi="宋体"/>
          <w:b/>
          <w:bCs/>
          <w:color w:val="auto"/>
          <w:sz w:val="24"/>
        </w:rPr>
        <w:t>2. 资格证明文件目录</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根据招标文件规定及投标人提供的材料自行编写目录。</w:t>
      </w:r>
    </w:p>
    <w:p>
      <w:pPr>
        <w:snapToGrid w:val="0"/>
        <w:spacing w:before="50" w:afterLines="50"/>
        <w:jc w:val="left"/>
        <w:rPr>
          <w:rFonts w:ascii="宋体" w:hAnsi="宋体"/>
          <w:color w:val="auto"/>
          <w:sz w:val="24"/>
        </w:rPr>
      </w:pPr>
    </w:p>
    <w:p>
      <w:pPr>
        <w:snapToGrid w:val="0"/>
        <w:spacing w:before="50" w:afterLines="50"/>
        <w:jc w:val="left"/>
        <w:rPr>
          <w:rFonts w:ascii="宋体" w:hAnsi="宋体"/>
          <w:color w:val="auto"/>
          <w:sz w:val="24"/>
        </w:rPr>
      </w:pPr>
    </w:p>
    <w:p>
      <w:pPr>
        <w:numPr>
          <w:ilvl w:val="2"/>
          <w:numId w:val="12"/>
        </w:numPr>
        <w:snapToGrid w:val="0"/>
        <w:spacing w:beforeLines="50" w:after="50"/>
        <w:ind w:left="0" w:firstLine="0"/>
        <w:jc w:val="left"/>
        <w:rPr>
          <w:rFonts w:ascii="宋体" w:hAnsi="宋体"/>
          <w:b/>
          <w:color w:val="auto"/>
          <w:sz w:val="24"/>
        </w:rPr>
      </w:pPr>
      <w:r>
        <w:rPr>
          <w:rFonts w:ascii="宋体" w:hAnsi="宋体"/>
          <w:b/>
          <w:color w:val="auto"/>
          <w:sz w:val="24"/>
        </w:rPr>
        <w:br w:type="page"/>
      </w:r>
      <w:r>
        <w:rPr>
          <w:rFonts w:hint="eastAsia" w:ascii="宋体" w:hAnsi="宋体"/>
          <w:b/>
          <w:color w:val="auto"/>
          <w:sz w:val="28"/>
          <w:szCs w:val="28"/>
        </w:rPr>
        <w:t>投标人直接控股、管理关系信息表</w:t>
      </w:r>
    </w:p>
    <w:p>
      <w:pPr>
        <w:snapToGrid w:val="0"/>
        <w:spacing w:before="50" w:afterLines="50"/>
        <w:jc w:val="center"/>
        <w:rPr>
          <w:rFonts w:ascii="宋体" w:hAnsi="宋体"/>
          <w:b/>
          <w:color w:val="auto"/>
          <w:sz w:val="28"/>
          <w:szCs w:val="28"/>
        </w:rPr>
      </w:pPr>
    </w:p>
    <w:p>
      <w:pPr>
        <w:snapToGrid w:val="0"/>
        <w:spacing w:before="50" w:afterLines="50" w:line="360" w:lineRule="auto"/>
        <w:jc w:val="center"/>
        <w:rPr>
          <w:rFonts w:ascii="宋体" w:hAnsi="宋体"/>
          <w:b/>
          <w:color w:val="auto"/>
          <w:sz w:val="32"/>
          <w:szCs w:val="32"/>
        </w:rPr>
      </w:pPr>
      <w:r>
        <w:rPr>
          <w:rFonts w:hint="eastAsia" w:ascii="宋体" w:hAnsi="宋体"/>
          <w:b/>
          <w:color w:val="auto"/>
          <w:sz w:val="32"/>
          <w:szCs w:val="32"/>
        </w:rPr>
        <w:t>投标人直接控股股东信息表</w:t>
      </w:r>
    </w:p>
    <w:tbl>
      <w:tblPr>
        <w:tblStyle w:val="35"/>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bl>
    <w:p>
      <w:pPr>
        <w:snapToGrid w:val="0"/>
        <w:spacing w:line="360" w:lineRule="auto"/>
        <w:jc w:val="left"/>
        <w:rPr>
          <w:rFonts w:ascii="宋体" w:hAnsi="宋体"/>
          <w:color w:val="auto"/>
          <w:sz w:val="24"/>
        </w:rPr>
      </w:pPr>
      <w:r>
        <w:rPr>
          <w:rFonts w:hint="eastAsia" w:ascii="宋体" w:hAnsi="宋体"/>
          <w:color w:val="auto"/>
          <w:sz w:val="24"/>
        </w:rPr>
        <w:t>注：</w:t>
      </w:r>
    </w:p>
    <w:p>
      <w:pPr>
        <w:snapToGrid w:val="0"/>
        <w:spacing w:line="360" w:lineRule="auto"/>
        <w:jc w:val="left"/>
        <w:rPr>
          <w:rFonts w:ascii="宋体" w:hAnsi="宋体"/>
          <w:color w:val="auto"/>
          <w:sz w:val="24"/>
        </w:rPr>
      </w:pPr>
      <w:r>
        <w:rPr>
          <w:rFonts w:hint="eastAsia" w:ascii="宋体" w:hAnsi="宋体"/>
          <w:color w:val="auto"/>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auto"/>
          <w:sz w:val="24"/>
        </w:rPr>
      </w:pPr>
      <w:r>
        <w:rPr>
          <w:rFonts w:hint="eastAsia" w:ascii="宋体" w:hAnsi="宋体"/>
          <w:color w:val="auto"/>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auto"/>
          <w:sz w:val="24"/>
        </w:rPr>
      </w:pPr>
      <w:r>
        <w:rPr>
          <w:rFonts w:hint="eastAsia" w:ascii="宋体" w:hAnsi="宋体"/>
          <w:color w:val="auto"/>
          <w:sz w:val="24"/>
        </w:rPr>
        <w:t>3.供应商不存在直接控股股东的，则填“无”。</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beforeLines="50" w:line="360" w:lineRule="auto"/>
        <w:ind w:right="480"/>
        <w:rPr>
          <w:rFonts w:ascii="宋体" w:hAnsi="宋体"/>
          <w:color w:val="auto"/>
          <w:sz w:val="24"/>
          <w:u w:val="single"/>
        </w:rPr>
      </w:pPr>
      <w:r>
        <w:rPr>
          <w:rFonts w:hint="eastAsia" w:ascii="宋体" w:hAnsi="宋体"/>
          <w:color w:val="auto"/>
          <w:sz w:val="24"/>
        </w:rPr>
        <w:t>法定代表人或者委托代理人（签字/电子签名）：</w:t>
      </w:r>
      <w:r>
        <w:rPr>
          <w:rFonts w:hint="eastAsia" w:ascii="宋体" w:hAnsi="宋体"/>
          <w:color w:val="auto"/>
          <w:sz w:val="24"/>
          <w:u w:val="single"/>
        </w:rPr>
        <w:t xml:space="preserve">                  </w:t>
      </w:r>
    </w:p>
    <w:p>
      <w:pPr>
        <w:snapToGrid w:val="0"/>
        <w:spacing w:beforeLines="50" w:after="50" w:line="360" w:lineRule="auto"/>
        <w:ind w:right="480"/>
        <w:rPr>
          <w:rFonts w:ascii="宋体" w:hAnsi="宋体"/>
          <w:color w:val="auto"/>
          <w:sz w:val="24"/>
          <w:u w:val="single"/>
        </w:rPr>
      </w:pPr>
      <w:r>
        <w:rPr>
          <w:rFonts w:hint="eastAsia" w:ascii="宋体" w:hAnsi="宋体"/>
          <w:color w:val="auto"/>
          <w:sz w:val="24"/>
        </w:rPr>
        <w:t>投标人名称（电子签章）：</w:t>
      </w:r>
      <w:r>
        <w:rPr>
          <w:rFonts w:hint="eastAsia" w:ascii="宋体" w:hAnsi="宋体"/>
          <w:color w:val="auto"/>
          <w:sz w:val="24"/>
          <w:u w:val="single"/>
        </w:rPr>
        <w:t xml:space="preserve">                 </w:t>
      </w:r>
    </w:p>
    <w:p>
      <w:pPr>
        <w:snapToGrid w:val="0"/>
        <w:spacing w:beforeLines="50" w:after="50" w:line="360" w:lineRule="auto"/>
        <w:ind w:right="480" w:firstLine="5520" w:firstLineChars="2300"/>
        <w:rPr>
          <w:rFonts w:ascii="宋体" w:hAnsi="宋体"/>
          <w:color w:val="auto"/>
          <w:szCs w:val="21"/>
        </w:rPr>
      </w:pPr>
      <w:r>
        <w:rPr>
          <w:rFonts w:hint="eastAsia" w:ascii="宋体" w:hAnsi="宋体"/>
          <w:color w:val="auto"/>
          <w:sz w:val="24"/>
        </w:rPr>
        <w:t>年    月    日</w:t>
      </w:r>
    </w:p>
    <w:p>
      <w:pPr>
        <w:snapToGrid w:val="0"/>
        <w:jc w:val="center"/>
        <w:rPr>
          <w:rFonts w:ascii="宋体" w:hAnsi="宋体"/>
          <w:b/>
          <w:color w:val="auto"/>
          <w:sz w:val="28"/>
          <w:szCs w:val="28"/>
        </w:rPr>
      </w:pPr>
      <w:r>
        <w:rPr>
          <w:rFonts w:ascii="宋体" w:hAnsi="宋体"/>
          <w:b/>
          <w:color w:val="auto"/>
          <w:sz w:val="28"/>
          <w:szCs w:val="28"/>
        </w:rPr>
        <w:br w:type="page"/>
      </w:r>
    </w:p>
    <w:p>
      <w:pPr>
        <w:snapToGrid w:val="0"/>
        <w:spacing w:line="360" w:lineRule="auto"/>
        <w:jc w:val="center"/>
        <w:rPr>
          <w:rFonts w:ascii="宋体" w:hAnsi="宋体"/>
          <w:color w:val="auto"/>
          <w:sz w:val="32"/>
          <w:szCs w:val="32"/>
        </w:rPr>
      </w:pPr>
      <w:r>
        <w:rPr>
          <w:rFonts w:hint="eastAsia" w:ascii="宋体" w:hAnsi="宋体"/>
          <w:b/>
          <w:color w:val="auto"/>
          <w:sz w:val="32"/>
          <w:szCs w:val="32"/>
        </w:rPr>
        <w:t>投标人直接管理关系信息表</w:t>
      </w:r>
    </w:p>
    <w:tbl>
      <w:tblPr>
        <w:tblStyle w:val="35"/>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rPr>
            </w:pPr>
            <w:r>
              <w:rPr>
                <w:rFonts w:hint="eastAsia" w:ascii="宋体" w:hAnsi="宋体" w:cs="宋体"/>
                <w:b/>
                <w:bCs/>
                <w:color w:val="auto"/>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rPr>
            </w:pPr>
          </w:p>
        </w:tc>
      </w:tr>
    </w:tbl>
    <w:p>
      <w:pPr>
        <w:snapToGrid w:val="0"/>
        <w:spacing w:line="360" w:lineRule="auto"/>
        <w:jc w:val="left"/>
        <w:rPr>
          <w:rFonts w:ascii="宋体" w:hAnsi="宋体"/>
          <w:color w:val="auto"/>
          <w:sz w:val="24"/>
        </w:rPr>
      </w:pPr>
      <w:r>
        <w:rPr>
          <w:rFonts w:hint="eastAsia" w:ascii="宋体" w:hAnsi="宋体"/>
          <w:color w:val="auto"/>
          <w:sz w:val="24"/>
        </w:rPr>
        <w:t>注：</w:t>
      </w:r>
    </w:p>
    <w:p>
      <w:pPr>
        <w:snapToGrid w:val="0"/>
        <w:spacing w:line="360" w:lineRule="auto"/>
        <w:ind w:firstLine="480" w:firstLineChars="200"/>
        <w:jc w:val="left"/>
        <w:rPr>
          <w:rFonts w:ascii="宋体" w:hAnsi="宋体"/>
          <w:color w:val="auto"/>
          <w:sz w:val="24"/>
        </w:rPr>
      </w:pPr>
      <w:r>
        <w:rPr>
          <w:rFonts w:hint="eastAsia" w:ascii="宋体" w:hAnsi="宋体"/>
          <w:color w:val="auto"/>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auto"/>
          <w:sz w:val="24"/>
        </w:rPr>
      </w:pPr>
      <w:r>
        <w:rPr>
          <w:rFonts w:hint="eastAsia" w:ascii="宋体" w:hAnsi="宋体"/>
          <w:color w:val="auto"/>
          <w:sz w:val="24"/>
        </w:rPr>
        <w:t>2.</w:t>
      </w:r>
      <w:r>
        <w:rPr>
          <w:rFonts w:hint="eastAsia" w:ascii="宋体" w:hAnsi="宋体"/>
          <w:color w:val="auto"/>
          <w:spacing w:val="-6"/>
          <w:sz w:val="24"/>
        </w:rPr>
        <w:t>本表所指的管理关系仅限于直接管理关系，不包括间接的管理关系。</w:t>
      </w:r>
    </w:p>
    <w:p>
      <w:pPr>
        <w:snapToGrid w:val="0"/>
        <w:spacing w:line="360" w:lineRule="auto"/>
        <w:ind w:firstLine="480" w:firstLineChars="200"/>
        <w:jc w:val="left"/>
        <w:rPr>
          <w:rFonts w:ascii="宋体" w:hAnsi="宋体"/>
          <w:color w:val="auto"/>
          <w:sz w:val="24"/>
        </w:rPr>
      </w:pPr>
      <w:r>
        <w:rPr>
          <w:rFonts w:hint="eastAsia" w:ascii="宋体" w:hAnsi="宋体"/>
          <w:color w:val="auto"/>
          <w:sz w:val="24"/>
        </w:rPr>
        <w:t>3.供应商不存在直接管理关系的，则填“无”。</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color w:val="auto"/>
          <w:sz w:val="24"/>
        </w:rPr>
      </w:pPr>
    </w:p>
    <w:p>
      <w:pPr>
        <w:snapToGrid w:val="0"/>
        <w:spacing w:line="360" w:lineRule="auto"/>
        <w:jc w:val="left"/>
        <w:rPr>
          <w:color w:val="auto"/>
          <w:sz w:val="24"/>
        </w:rPr>
      </w:pPr>
    </w:p>
    <w:p>
      <w:pPr>
        <w:snapToGrid w:val="0"/>
        <w:spacing w:line="360" w:lineRule="auto"/>
        <w:jc w:val="left"/>
        <w:rPr>
          <w:rFonts w:ascii="宋体" w:hAnsi="宋体"/>
          <w:color w:val="auto"/>
          <w:sz w:val="24"/>
        </w:rPr>
      </w:pPr>
    </w:p>
    <w:p>
      <w:pPr>
        <w:snapToGrid w:val="0"/>
        <w:spacing w:beforeLines="50" w:line="360" w:lineRule="auto"/>
        <w:ind w:right="480"/>
        <w:jc w:val="left"/>
        <w:rPr>
          <w:rFonts w:ascii="宋体" w:hAnsi="宋体"/>
          <w:color w:val="auto"/>
          <w:sz w:val="24"/>
          <w:u w:val="single"/>
        </w:rPr>
      </w:pPr>
      <w:r>
        <w:rPr>
          <w:rFonts w:hint="eastAsia" w:ascii="宋体" w:hAnsi="宋体"/>
          <w:color w:val="auto"/>
          <w:sz w:val="24"/>
        </w:rPr>
        <w:t>法定代表人或者委托代理人（签字/电子签名）：</w:t>
      </w:r>
      <w:r>
        <w:rPr>
          <w:rFonts w:hint="eastAsia" w:ascii="宋体" w:hAnsi="宋体"/>
          <w:color w:val="auto"/>
          <w:sz w:val="24"/>
          <w:u w:val="single"/>
        </w:rPr>
        <w:t xml:space="preserve">             </w:t>
      </w:r>
    </w:p>
    <w:p>
      <w:pPr>
        <w:snapToGrid w:val="0"/>
        <w:spacing w:beforeLines="50" w:after="50" w:line="360" w:lineRule="auto"/>
        <w:ind w:right="480"/>
        <w:jc w:val="left"/>
        <w:rPr>
          <w:rFonts w:ascii="宋体" w:hAnsi="宋体"/>
          <w:color w:val="auto"/>
          <w:sz w:val="24"/>
        </w:rPr>
      </w:pPr>
      <w:r>
        <w:rPr>
          <w:rFonts w:hint="eastAsia" w:ascii="宋体" w:hAnsi="宋体"/>
          <w:color w:val="auto"/>
          <w:sz w:val="24"/>
        </w:rPr>
        <w:t>投标人名称（电子签章）：</w:t>
      </w:r>
      <w:r>
        <w:rPr>
          <w:rFonts w:hint="eastAsia" w:ascii="宋体" w:hAnsi="宋体"/>
          <w:color w:val="auto"/>
          <w:sz w:val="24"/>
          <w:u w:val="single"/>
        </w:rPr>
        <w:t xml:space="preserve">                 </w:t>
      </w:r>
    </w:p>
    <w:p>
      <w:pPr>
        <w:snapToGrid w:val="0"/>
        <w:spacing w:beforeLines="50" w:after="50" w:line="360" w:lineRule="auto"/>
        <w:ind w:right="480" w:firstLine="240" w:firstLineChars="100"/>
        <w:jc w:val="left"/>
        <w:rPr>
          <w:rFonts w:ascii="宋体" w:hAnsi="宋体"/>
          <w:color w:val="auto"/>
          <w:sz w:val="24"/>
        </w:rPr>
      </w:pPr>
      <w:r>
        <w:rPr>
          <w:rFonts w:hint="eastAsia" w:ascii="宋体" w:hAnsi="宋体"/>
          <w:color w:val="auto"/>
          <w:sz w:val="24"/>
        </w:rPr>
        <w:t xml:space="preserve"> </w:t>
      </w:r>
    </w:p>
    <w:p>
      <w:pPr>
        <w:snapToGrid w:val="0"/>
        <w:spacing w:beforeLines="50" w:after="50" w:line="360" w:lineRule="auto"/>
        <w:ind w:right="480" w:firstLine="6960" w:firstLineChars="2900"/>
        <w:jc w:val="left"/>
        <w:rPr>
          <w:rFonts w:ascii="宋体" w:hAnsi="宋体"/>
          <w:color w:val="auto"/>
          <w:sz w:val="24"/>
        </w:rPr>
      </w:pPr>
      <w:r>
        <w:rPr>
          <w:rFonts w:hint="eastAsia" w:ascii="宋体" w:hAnsi="宋体"/>
          <w:color w:val="auto"/>
          <w:sz w:val="24"/>
        </w:rPr>
        <w:t>年    月    日</w:t>
      </w:r>
    </w:p>
    <w:p>
      <w:pPr>
        <w:snapToGrid w:val="0"/>
        <w:spacing w:before="50" w:afterLines="50"/>
        <w:jc w:val="left"/>
        <w:rPr>
          <w:rFonts w:ascii="宋体" w:hAnsi="宋体"/>
          <w:color w:val="auto"/>
          <w:szCs w:val="21"/>
        </w:rPr>
      </w:pPr>
    </w:p>
    <w:p>
      <w:pPr>
        <w:snapToGrid w:val="0"/>
        <w:spacing w:beforeLines="50" w:after="50"/>
        <w:jc w:val="left"/>
        <w:rPr>
          <w:rFonts w:ascii="宋体" w:hAnsi="宋体"/>
          <w:b/>
          <w:color w:val="auto"/>
          <w:sz w:val="24"/>
          <w:szCs w:val="20"/>
        </w:rPr>
      </w:pPr>
    </w:p>
    <w:p>
      <w:pPr>
        <w:numPr>
          <w:ilvl w:val="2"/>
          <w:numId w:val="12"/>
        </w:numPr>
        <w:snapToGrid w:val="0"/>
        <w:spacing w:beforeLines="50" w:after="50"/>
        <w:ind w:left="0" w:firstLine="0"/>
        <w:jc w:val="left"/>
        <w:rPr>
          <w:rFonts w:ascii="宋体" w:hAnsi="宋体"/>
          <w:color w:val="auto"/>
        </w:rPr>
      </w:pPr>
      <w:r>
        <w:rPr>
          <w:rFonts w:ascii="宋体" w:hAnsi="宋体"/>
          <w:b/>
          <w:color w:val="auto"/>
          <w:sz w:val="24"/>
        </w:rPr>
        <w:br w:type="page"/>
      </w:r>
      <w:r>
        <w:rPr>
          <w:rFonts w:hint="eastAsia" w:ascii="宋体" w:hAnsi="宋体"/>
          <w:b/>
          <w:color w:val="auto"/>
          <w:sz w:val="24"/>
        </w:rPr>
        <w:t>投标声明</w:t>
      </w:r>
    </w:p>
    <w:p>
      <w:pPr>
        <w:snapToGrid w:val="0"/>
        <w:spacing w:before="50" w:afterLines="50"/>
        <w:jc w:val="center"/>
        <w:rPr>
          <w:rFonts w:ascii="宋体" w:hAnsi="宋体"/>
          <w:b/>
          <w:color w:val="auto"/>
          <w:sz w:val="28"/>
          <w:szCs w:val="28"/>
        </w:rPr>
      </w:pPr>
      <w:r>
        <w:rPr>
          <w:rFonts w:hint="eastAsia" w:ascii="宋体" w:hAnsi="宋体"/>
          <w:b/>
          <w:color w:val="auto"/>
          <w:sz w:val="32"/>
          <w:szCs w:val="32"/>
        </w:rPr>
        <w:t>投标声明</w:t>
      </w:r>
    </w:p>
    <w:p>
      <w:pPr>
        <w:snapToGrid w:val="0"/>
        <w:spacing w:before="50" w:afterLines="50" w:line="400" w:lineRule="exact"/>
        <w:jc w:val="left"/>
        <w:rPr>
          <w:color w:val="auto"/>
          <w:sz w:val="24"/>
        </w:rPr>
      </w:pPr>
      <w:r>
        <w:rPr>
          <w:rFonts w:hint="eastAsia"/>
          <w:color w:val="auto"/>
          <w:sz w:val="24"/>
        </w:rPr>
        <w:t>（采购人名称）：</w:t>
      </w:r>
    </w:p>
    <w:p>
      <w:pPr>
        <w:snapToGrid w:val="0"/>
        <w:spacing w:before="50" w:afterLines="50" w:line="400" w:lineRule="exact"/>
        <w:ind w:firstLine="405"/>
        <w:jc w:val="left"/>
        <w:rPr>
          <w:rFonts w:ascii="宋体" w:hAnsi="宋体"/>
          <w:color w:val="auto"/>
          <w:sz w:val="24"/>
        </w:rPr>
      </w:pPr>
      <w:r>
        <w:rPr>
          <w:rFonts w:hint="eastAsia" w:ascii="宋体" w:hAnsi="宋体"/>
          <w:color w:val="auto"/>
          <w:sz w:val="24"/>
        </w:rPr>
        <w:t>我方参加贵单位组织</w:t>
      </w:r>
      <w:r>
        <w:rPr>
          <w:rFonts w:hint="eastAsia" w:ascii="宋体" w:hAnsi="宋体"/>
          <w:color w:val="auto"/>
          <w:sz w:val="24"/>
          <w:u w:val="single"/>
        </w:rPr>
        <w:t xml:space="preserve">             </w:t>
      </w:r>
      <w:r>
        <w:rPr>
          <w:rFonts w:hint="eastAsia" w:ascii="宋体" w:hAnsi="宋体"/>
          <w:color w:val="auto"/>
          <w:sz w:val="24"/>
        </w:rPr>
        <w:t>项目（项目编号：</w:t>
      </w:r>
      <w:r>
        <w:rPr>
          <w:rFonts w:hint="eastAsia" w:ascii="宋体" w:hAnsi="宋体"/>
          <w:color w:val="auto"/>
          <w:sz w:val="24"/>
          <w:u w:val="single"/>
        </w:rPr>
        <w:t xml:space="preserve">       </w:t>
      </w:r>
      <w:r>
        <w:rPr>
          <w:rFonts w:hint="eastAsia" w:ascii="宋体" w:hAnsi="宋体"/>
          <w:color w:val="auto"/>
          <w:sz w:val="24"/>
        </w:rPr>
        <w:t>）的政府采购活动。我方在此郑重声明：</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2.</w:t>
      </w:r>
      <w:r>
        <w:rPr>
          <w:rFonts w:hint="eastAsia"/>
          <w:color w:val="auto"/>
        </w:rPr>
        <w:t xml:space="preserve"> </w:t>
      </w:r>
      <w:r>
        <w:rPr>
          <w:rFonts w:hint="eastAsia" w:ascii="宋体" w:hAnsi="宋体"/>
          <w:color w:val="auto"/>
          <w:sz w:val="24"/>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3. 我方承诺符合《中华人民共和国政府采购法》第二十二条规定：</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（一）具有独立承担民事责任的能力；</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（二）具有良好的商业信誉和健全的财务会计制度；</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（三）具有履行合同所必需的设备和专业技术能力；</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（四）有依法缴纳税收和社会保障资金的良好记录；</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（五）参加政府采购活动前三年内，在经营活动中没有重大违法记录；</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（六）法律、行政法规规定的其他条件。</w:t>
      </w:r>
    </w:p>
    <w:p>
      <w:pPr>
        <w:snapToGrid w:val="0"/>
        <w:spacing w:before="50" w:afterLines="50" w:line="400" w:lineRule="exact"/>
        <w:ind w:firstLine="480" w:firstLineChars="200"/>
        <w:jc w:val="left"/>
        <w:rPr>
          <w:rFonts w:ascii="宋体" w:hAnsi="宋体"/>
          <w:color w:val="auto"/>
          <w:sz w:val="24"/>
        </w:rPr>
      </w:pPr>
      <w:r>
        <w:rPr>
          <w:rFonts w:hint="eastAsia" w:ascii="宋体" w:hAnsi="宋体"/>
          <w:color w:val="auto"/>
          <w:sz w:val="24"/>
        </w:rPr>
        <w:t>4.以上事项如有虚假或者隐瞒，我方愿意承担一切后果，并不再寻求任何旨在减轻或者免除法律责任的辩解。</w:t>
      </w:r>
    </w:p>
    <w:p>
      <w:pPr>
        <w:snapToGrid w:val="0"/>
        <w:spacing w:before="50" w:afterLines="50" w:line="400" w:lineRule="exact"/>
        <w:jc w:val="left"/>
        <w:rPr>
          <w:rFonts w:ascii="宋体" w:hAnsi="宋体"/>
          <w:color w:val="auto"/>
          <w:sz w:val="24"/>
        </w:rPr>
      </w:pPr>
      <w:r>
        <w:rPr>
          <w:rFonts w:hint="eastAsia" w:ascii="宋体" w:hAnsi="宋体"/>
          <w:color w:val="auto"/>
          <w:sz w:val="24"/>
        </w:rPr>
        <w:t xml:space="preserve">    特此承诺。</w:t>
      </w:r>
    </w:p>
    <w:p>
      <w:pPr>
        <w:spacing w:line="440" w:lineRule="exact"/>
        <w:contextualSpacing/>
        <w:rPr>
          <w:rFonts w:ascii="宋体" w:hAnsi="宋体" w:cs="宋体"/>
          <w:b/>
          <w:color w:val="auto"/>
          <w:sz w:val="24"/>
        </w:rPr>
      </w:pPr>
      <w:r>
        <w:rPr>
          <w:rFonts w:hint="eastAsia" w:ascii="宋体" w:hAnsi="宋体"/>
          <w:b/>
          <w:color w:val="auto"/>
          <w:sz w:val="24"/>
        </w:rPr>
        <w:t>注：</w:t>
      </w:r>
      <w:r>
        <w:rPr>
          <w:rFonts w:hint="eastAsia" w:ascii="宋体" w:hAnsi="宋体" w:cs="宋体"/>
          <w:b/>
          <w:color w:val="auto"/>
          <w:sz w:val="24"/>
        </w:rPr>
        <w:t>1.如为联合体投标，盖章处须加盖联合体牵头人电子签章并由联合体各方法定代表人分别签字或者电子签名，否则投标无效。</w:t>
      </w:r>
    </w:p>
    <w:p>
      <w:pPr>
        <w:spacing w:line="440" w:lineRule="exact"/>
        <w:contextualSpacing/>
        <w:jc w:val="left"/>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sz w:val="24"/>
        </w:rPr>
        <w:t>.法定代表人必须在授权委托书上亲笔签字或者盖章或者电子签名，</w:t>
      </w:r>
      <w:r>
        <w:rPr>
          <w:rFonts w:hint="eastAsia" w:ascii="宋体" w:hAnsi="宋体" w:cs="宋体"/>
          <w:b/>
          <w:bCs/>
          <w:color w:val="auto"/>
          <w:sz w:val="24"/>
        </w:rPr>
        <w:t>否则按无效投标处理</w:t>
      </w:r>
      <w:r>
        <w:rPr>
          <w:rFonts w:hint="eastAsia" w:ascii="宋体" w:hAnsi="宋体" w:cs="宋体"/>
          <w:b/>
          <w:color w:val="auto"/>
          <w:sz w:val="24"/>
        </w:rPr>
        <w:t>。</w:t>
      </w:r>
    </w:p>
    <w:p>
      <w:pPr>
        <w:snapToGrid w:val="0"/>
        <w:spacing w:before="50" w:afterLines="50" w:line="400" w:lineRule="exact"/>
        <w:jc w:val="left"/>
        <w:rPr>
          <w:rFonts w:ascii="宋体" w:hAnsi="宋体"/>
          <w:b/>
          <w:color w:val="auto"/>
          <w:sz w:val="24"/>
        </w:rPr>
      </w:pPr>
    </w:p>
    <w:p>
      <w:pPr>
        <w:snapToGrid w:val="0"/>
        <w:spacing w:before="50" w:afterLines="50" w:line="400" w:lineRule="exact"/>
        <w:jc w:val="left"/>
        <w:rPr>
          <w:rFonts w:ascii="宋体" w:hAnsi="宋体"/>
          <w:color w:val="auto"/>
          <w:sz w:val="24"/>
        </w:rPr>
      </w:pPr>
      <w:r>
        <w:rPr>
          <w:rFonts w:hint="eastAsia" w:ascii="宋体" w:hAnsi="宋体"/>
          <w:color w:val="auto"/>
          <w:sz w:val="24"/>
        </w:rPr>
        <w:t xml:space="preserve">                                  法定代表人（签字或者盖章或者电子签名）：</w:t>
      </w:r>
      <w:r>
        <w:rPr>
          <w:rFonts w:hint="eastAsia" w:ascii="宋体" w:hAnsi="宋体"/>
          <w:color w:val="auto"/>
          <w:sz w:val="24"/>
          <w:u w:val="single"/>
        </w:rPr>
        <w:t xml:space="preserve">             </w:t>
      </w:r>
    </w:p>
    <w:p>
      <w:pPr>
        <w:snapToGrid w:val="0"/>
        <w:spacing w:before="50" w:afterLines="50" w:line="400" w:lineRule="exact"/>
        <w:jc w:val="left"/>
        <w:rPr>
          <w:rFonts w:ascii="宋体" w:hAnsi="宋体"/>
          <w:color w:val="auto"/>
          <w:sz w:val="24"/>
        </w:rPr>
      </w:pPr>
      <w:r>
        <w:rPr>
          <w:rFonts w:hint="eastAsia" w:ascii="宋体" w:hAnsi="宋体"/>
          <w:color w:val="auto"/>
          <w:sz w:val="24"/>
        </w:rPr>
        <w:t xml:space="preserve">                                       投标人名称（电子签章）：</w:t>
      </w:r>
      <w:r>
        <w:rPr>
          <w:rFonts w:hint="eastAsia" w:ascii="宋体" w:hAnsi="宋体"/>
          <w:color w:val="auto"/>
          <w:sz w:val="24"/>
          <w:u w:val="single"/>
        </w:rPr>
        <w:t xml:space="preserve">                 </w:t>
      </w:r>
    </w:p>
    <w:p>
      <w:pPr>
        <w:snapToGrid w:val="0"/>
        <w:spacing w:before="50" w:afterLines="50" w:line="400" w:lineRule="exact"/>
        <w:jc w:val="left"/>
        <w:rPr>
          <w:rFonts w:ascii="宋体" w:hAnsi="宋体"/>
          <w:color w:val="auto"/>
        </w:rPr>
      </w:pPr>
      <w:r>
        <w:rPr>
          <w:rFonts w:hint="eastAsia" w:ascii="宋体" w:hAnsi="宋体"/>
          <w:color w:val="auto"/>
          <w:sz w:val="24"/>
        </w:rPr>
        <w:t xml:space="preserve">                                                  年    月    日</w:t>
      </w:r>
    </w:p>
    <w:p>
      <w:pPr>
        <w:snapToGrid w:val="0"/>
        <w:spacing w:beforeLines="50" w:after="50" w:line="360" w:lineRule="auto"/>
        <w:outlineLvl w:val="1"/>
        <w:rPr>
          <w:rFonts w:ascii="宋体" w:hAnsi="宋体"/>
          <w:b/>
          <w:bCs/>
          <w:color w:val="auto"/>
          <w:sz w:val="28"/>
          <w:szCs w:val="28"/>
        </w:rPr>
      </w:pPr>
      <w:r>
        <w:rPr>
          <w:rFonts w:ascii="宋体" w:hAnsi="宋体"/>
          <w:color w:val="auto"/>
          <w:sz w:val="24"/>
        </w:rPr>
        <w:br w:type="page"/>
      </w:r>
      <w:bookmarkStart w:id="161" w:name="_Toc19686838"/>
      <w:r>
        <w:rPr>
          <w:rFonts w:hint="eastAsia" w:ascii="宋体" w:hAnsi="宋体"/>
          <w:b/>
          <w:bCs/>
          <w:color w:val="auto"/>
          <w:sz w:val="28"/>
          <w:szCs w:val="28"/>
        </w:rPr>
        <w:t>三、商务文件格式</w:t>
      </w:r>
      <w:bookmarkEnd w:id="161"/>
    </w:p>
    <w:p>
      <w:pPr>
        <w:snapToGrid w:val="0"/>
        <w:spacing w:beforeLines="50" w:after="50" w:line="360" w:lineRule="auto"/>
        <w:jc w:val="left"/>
        <w:rPr>
          <w:rFonts w:ascii="宋体" w:hAnsi="宋体"/>
          <w:b/>
          <w:color w:val="auto"/>
          <w:sz w:val="24"/>
        </w:rPr>
      </w:pPr>
      <w:r>
        <w:rPr>
          <w:rFonts w:hint="eastAsia" w:ascii="宋体" w:hAnsi="宋体"/>
          <w:b/>
          <w:color w:val="auto"/>
          <w:sz w:val="24"/>
        </w:rPr>
        <w:t xml:space="preserve">1.商务文件封面格式： </w:t>
      </w:r>
    </w:p>
    <w:p>
      <w:pPr>
        <w:snapToGrid w:val="0"/>
        <w:spacing w:beforeLines="50" w:after="50"/>
        <w:rPr>
          <w:rFonts w:ascii="宋体" w:hAnsi="宋体"/>
          <w:bCs/>
          <w:color w:val="auto"/>
          <w:sz w:val="32"/>
          <w:szCs w:val="20"/>
        </w:rPr>
      </w:pPr>
      <w:r>
        <w:rPr>
          <w:rFonts w:hint="eastAsia" w:ascii="宋体" w:hAnsi="宋体"/>
          <w:color w:val="auto"/>
          <w:sz w:val="24"/>
        </w:rPr>
        <w:t xml:space="preserve">                                                    </w:t>
      </w:r>
    </w:p>
    <w:p>
      <w:pPr>
        <w:snapToGrid w:val="0"/>
        <w:spacing w:beforeLines="50" w:after="50"/>
        <w:jc w:val="center"/>
        <w:rPr>
          <w:rFonts w:ascii="宋体" w:hAnsi="宋体" w:cs="宋体"/>
          <w:color w:val="auto"/>
          <w:sz w:val="84"/>
          <w:szCs w:val="84"/>
        </w:rPr>
      </w:pPr>
      <w:r>
        <w:rPr>
          <w:rFonts w:hint="eastAsia" w:ascii="宋体" w:hAnsi="宋体" w:cs="宋体"/>
          <w:color w:val="auto"/>
          <w:sz w:val="84"/>
          <w:szCs w:val="84"/>
        </w:rPr>
        <w:t>投  标  文  件</w:t>
      </w:r>
    </w:p>
    <w:p>
      <w:pPr>
        <w:snapToGrid w:val="0"/>
        <w:spacing w:beforeLines="50" w:after="50"/>
        <w:rPr>
          <w:rFonts w:ascii="宋体" w:hAnsi="宋体"/>
          <w:color w:val="auto"/>
          <w:sz w:val="24"/>
          <w:szCs w:val="20"/>
        </w:rPr>
      </w:pPr>
    </w:p>
    <w:p>
      <w:pPr>
        <w:snapToGrid w:val="0"/>
        <w:spacing w:beforeLines="50" w:after="50"/>
        <w:jc w:val="center"/>
        <w:rPr>
          <w:rFonts w:ascii="宋体" w:hAnsi="宋体"/>
          <w:b/>
          <w:color w:val="auto"/>
          <w:sz w:val="44"/>
          <w:szCs w:val="32"/>
        </w:rPr>
      </w:pPr>
      <w:r>
        <w:rPr>
          <w:rFonts w:hint="eastAsia" w:ascii="宋体" w:hAnsi="宋体"/>
          <w:b/>
          <w:color w:val="auto"/>
          <w:sz w:val="52"/>
          <w:szCs w:val="52"/>
        </w:rPr>
        <w:t>商务文件</w:t>
      </w:r>
    </w:p>
    <w:p>
      <w:pPr>
        <w:snapToGrid w:val="0"/>
        <w:spacing w:beforeLines="50" w:after="50"/>
        <w:rPr>
          <w:rFonts w:ascii="宋体" w:hAnsi="宋体"/>
          <w:bCs/>
          <w:color w:val="auto"/>
          <w:sz w:val="24"/>
          <w:szCs w:val="20"/>
        </w:rPr>
      </w:pPr>
    </w:p>
    <w:p>
      <w:pPr>
        <w:snapToGrid w:val="0"/>
        <w:spacing w:beforeLines="50" w:after="50"/>
        <w:ind w:firstLine="540" w:firstLineChars="225"/>
        <w:rPr>
          <w:rFonts w:ascii="宋体" w:hAnsi="宋体"/>
          <w:bCs/>
          <w:color w:val="auto"/>
          <w:sz w:val="24"/>
        </w:rPr>
      </w:pPr>
      <w:r>
        <w:rPr>
          <w:rFonts w:hint="eastAsia" w:ascii="宋体" w:hAnsi="宋体"/>
          <w:bCs/>
          <w:color w:val="auto"/>
          <w:sz w:val="24"/>
        </w:rPr>
        <w:t>项目名称：</w:t>
      </w:r>
    </w:p>
    <w:p>
      <w:pPr>
        <w:snapToGrid w:val="0"/>
        <w:spacing w:beforeLines="50" w:after="50"/>
        <w:ind w:firstLine="540" w:firstLineChars="225"/>
        <w:rPr>
          <w:rFonts w:ascii="宋体" w:hAnsi="宋体"/>
          <w:bCs/>
          <w:color w:val="auto"/>
          <w:sz w:val="24"/>
          <w:szCs w:val="20"/>
        </w:rPr>
      </w:pPr>
    </w:p>
    <w:p>
      <w:pPr>
        <w:snapToGrid w:val="0"/>
        <w:spacing w:beforeLines="50" w:after="50"/>
        <w:ind w:firstLine="540" w:firstLineChars="225"/>
        <w:rPr>
          <w:rFonts w:ascii="宋体" w:hAnsi="宋体"/>
          <w:bCs/>
          <w:color w:val="auto"/>
          <w:sz w:val="24"/>
        </w:rPr>
      </w:pPr>
      <w:r>
        <w:rPr>
          <w:rFonts w:hint="eastAsia" w:ascii="宋体" w:hAnsi="宋体"/>
          <w:bCs/>
          <w:color w:val="auto"/>
          <w:sz w:val="24"/>
        </w:rPr>
        <w:t>项目编号：</w:t>
      </w:r>
    </w:p>
    <w:p>
      <w:pPr>
        <w:snapToGrid w:val="0"/>
        <w:spacing w:beforeLines="50" w:after="50"/>
        <w:ind w:firstLine="540" w:firstLineChars="225"/>
        <w:rPr>
          <w:rFonts w:ascii="宋体" w:hAnsi="宋体"/>
          <w:bCs/>
          <w:color w:val="auto"/>
          <w:sz w:val="24"/>
          <w:szCs w:val="20"/>
        </w:rPr>
      </w:pPr>
      <w:r>
        <w:rPr>
          <w:rFonts w:hint="eastAsia" w:ascii="宋体" w:hAnsi="宋体"/>
          <w:bCs/>
          <w:color w:val="auto"/>
          <w:sz w:val="24"/>
        </w:rPr>
        <w:t xml:space="preserve"> </w:t>
      </w:r>
    </w:p>
    <w:p>
      <w:pPr>
        <w:snapToGrid w:val="0"/>
        <w:spacing w:beforeLines="50" w:after="50"/>
        <w:ind w:firstLine="540" w:firstLineChars="225"/>
        <w:rPr>
          <w:rFonts w:ascii="宋体" w:hAnsi="宋体"/>
          <w:bCs/>
          <w:color w:val="auto"/>
          <w:sz w:val="24"/>
        </w:rPr>
      </w:pPr>
      <w:r>
        <w:rPr>
          <w:rFonts w:hint="eastAsia" w:ascii="宋体" w:hAnsi="宋体"/>
          <w:bCs/>
          <w:color w:val="auto"/>
          <w:sz w:val="24"/>
        </w:rPr>
        <w:t>所投分标：</w:t>
      </w:r>
    </w:p>
    <w:p>
      <w:pPr>
        <w:snapToGrid w:val="0"/>
        <w:spacing w:beforeLines="50" w:after="50"/>
        <w:ind w:firstLine="540" w:firstLineChars="225"/>
        <w:rPr>
          <w:rFonts w:ascii="宋体" w:hAnsi="宋体"/>
          <w:bCs/>
          <w:color w:val="auto"/>
          <w:sz w:val="24"/>
          <w:szCs w:val="20"/>
        </w:rPr>
      </w:pPr>
    </w:p>
    <w:p>
      <w:pPr>
        <w:pStyle w:val="7"/>
        <w:snapToGrid w:val="0"/>
        <w:spacing w:before="50" w:after="50"/>
        <w:ind w:firstLine="540" w:firstLineChars="225"/>
        <w:rPr>
          <w:rFonts w:ascii="宋体" w:hAnsi="宋体"/>
          <w:bCs/>
          <w:color w:val="auto"/>
          <w:sz w:val="24"/>
          <w:szCs w:val="24"/>
        </w:rPr>
      </w:pPr>
      <w:r>
        <w:rPr>
          <w:rFonts w:hint="eastAsia" w:ascii="宋体" w:hAnsi="宋体"/>
          <w:bCs/>
          <w:color w:val="auto"/>
          <w:sz w:val="24"/>
          <w:szCs w:val="24"/>
        </w:rPr>
        <w:t>投标人名称：</w:t>
      </w:r>
    </w:p>
    <w:p>
      <w:pPr>
        <w:pStyle w:val="7"/>
        <w:snapToGrid w:val="0"/>
        <w:spacing w:before="50" w:after="50"/>
        <w:ind w:firstLine="540" w:firstLineChars="225"/>
        <w:rPr>
          <w:rFonts w:ascii="宋体" w:hAnsi="宋体"/>
          <w:bCs/>
          <w:color w:val="auto"/>
          <w:sz w:val="24"/>
          <w:szCs w:val="24"/>
        </w:rPr>
      </w:pPr>
    </w:p>
    <w:p>
      <w:pPr>
        <w:pStyle w:val="7"/>
        <w:snapToGrid w:val="0"/>
        <w:spacing w:before="50" w:after="50"/>
        <w:ind w:firstLine="540" w:firstLineChars="225"/>
        <w:rPr>
          <w:rFonts w:ascii="宋体" w:hAnsi="宋体"/>
          <w:bCs/>
          <w:color w:val="auto"/>
          <w:sz w:val="24"/>
          <w:szCs w:val="24"/>
        </w:rPr>
      </w:pPr>
      <w:r>
        <w:rPr>
          <w:rFonts w:hint="eastAsia" w:ascii="宋体" w:hAnsi="宋体"/>
          <w:bCs/>
          <w:color w:val="auto"/>
          <w:sz w:val="24"/>
          <w:szCs w:val="24"/>
        </w:rPr>
        <w:t>投标人地址：</w:t>
      </w:r>
    </w:p>
    <w:p>
      <w:pPr>
        <w:pStyle w:val="7"/>
        <w:snapToGrid w:val="0"/>
        <w:spacing w:before="50" w:after="50"/>
        <w:ind w:firstLine="960" w:firstLineChars="400"/>
        <w:rPr>
          <w:rFonts w:ascii="宋体" w:hAnsi="宋体"/>
          <w:bCs/>
          <w:color w:val="auto"/>
          <w:sz w:val="24"/>
          <w:szCs w:val="24"/>
        </w:rPr>
      </w:pPr>
    </w:p>
    <w:p>
      <w:pPr>
        <w:snapToGrid w:val="0"/>
        <w:spacing w:beforeLines="50" w:after="50"/>
        <w:ind w:firstLine="645"/>
        <w:rPr>
          <w:rFonts w:ascii="宋体" w:hAnsi="宋体"/>
          <w:color w:val="auto"/>
          <w:sz w:val="24"/>
        </w:rPr>
      </w:pPr>
      <w:r>
        <w:rPr>
          <w:rFonts w:hint="eastAsia" w:ascii="宋体" w:hAnsi="宋体"/>
          <w:color w:val="auto"/>
          <w:sz w:val="24"/>
        </w:rPr>
        <w:t xml:space="preserve">                        年  月  日</w:t>
      </w:r>
    </w:p>
    <w:p>
      <w:pPr>
        <w:snapToGrid w:val="0"/>
        <w:spacing w:beforeLines="50" w:after="50"/>
        <w:rPr>
          <w:rFonts w:ascii="宋体" w:hAnsi="宋体"/>
          <w:color w:val="auto"/>
          <w:sz w:val="24"/>
          <w:szCs w:val="20"/>
        </w:rPr>
      </w:pPr>
      <w:r>
        <w:rPr>
          <w:rFonts w:ascii="宋体" w:hAnsi="宋体"/>
          <w:color w:val="auto"/>
          <w:sz w:val="24"/>
          <w:szCs w:val="20"/>
        </w:rPr>
        <w:t xml:space="preserve"> </w:t>
      </w:r>
    </w:p>
    <w:p>
      <w:pPr>
        <w:snapToGrid w:val="0"/>
        <w:spacing w:line="360" w:lineRule="auto"/>
        <w:jc w:val="left"/>
        <w:rPr>
          <w:rFonts w:ascii="宋体" w:hAnsi="宋体"/>
          <w:b/>
          <w:bCs/>
          <w:color w:val="auto"/>
          <w:sz w:val="28"/>
          <w:szCs w:val="28"/>
        </w:rPr>
      </w:pPr>
      <w:r>
        <w:rPr>
          <w:rFonts w:ascii="宋体" w:hAnsi="宋体"/>
          <w:color w:val="auto"/>
          <w:sz w:val="24"/>
          <w:szCs w:val="20"/>
        </w:rPr>
        <w:br w:type="page"/>
      </w:r>
      <w:r>
        <w:rPr>
          <w:rFonts w:hint="eastAsia" w:ascii="宋体" w:hAnsi="宋体"/>
          <w:b/>
          <w:bCs/>
          <w:color w:val="auto"/>
          <w:sz w:val="28"/>
          <w:szCs w:val="28"/>
        </w:rPr>
        <w:t>2.商务文件目录</w:t>
      </w:r>
    </w:p>
    <w:p>
      <w:pPr>
        <w:snapToGrid w:val="0"/>
        <w:spacing w:before="50" w:afterLines="50" w:line="360" w:lineRule="auto"/>
        <w:jc w:val="left"/>
        <w:rPr>
          <w:rFonts w:ascii="微软雅黑" w:hAnsi="微软雅黑" w:eastAsia="微软雅黑"/>
          <w:b/>
          <w:bCs/>
          <w:color w:val="auto"/>
          <w:sz w:val="24"/>
        </w:rPr>
      </w:pPr>
      <w:r>
        <w:rPr>
          <w:rFonts w:hint="eastAsia" w:ascii="宋体" w:hAnsi="宋体"/>
          <w:color w:val="auto"/>
          <w:szCs w:val="21"/>
        </w:rPr>
        <w:t>根据招标文件规定及投标人提供的材料自行编写目录。</w:t>
      </w:r>
    </w:p>
    <w:p>
      <w:pPr>
        <w:snapToGrid w:val="0"/>
        <w:spacing w:before="50" w:afterLines="50"/>
        <w:jc w:val="left"/>
        <w:rPr>
          <w:rFonts w:ascii="宋体" w:hAnsi="宋体"/>
          <w:color w:val="auto"/>
        </w:rPr>
      </w:pPr>
    </w:p>
    <w:p>
      <w:pPr>
        <w:snapToGrid w:val="0"/>
        <w:spacing w:beforeLines="50" w:after="50"/>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1.投标人参加本项目无围标串标行为的承诺</w:t>
      </w:r>
    </w:p>
    <w:p>
      <w:pPr>
        <w:snapToGrid w:val="0"/>
        <w:spacing w:beforeLines="50" w:after="50"/>
        <w:jc w:val="left"/>
        <w:rPr>
          <w:rFonts w:ascii="宋体" w:hAnsi="宋体"/>
          <w:b/>
          <w:color w:val="auto"/>
          <w:sz w:val="24"/>
        </w:rPr>
      </w:pPr>
    </w:p>
    <w:p>
      <w:pPr>
        <w:snapToGrid w:val="0"/>
        <w:spacing w:beforeLines="50" w:after="50"/>
        <w:ind w:left="420"/>
        <w:jc w:val="center"/>
        <w:rPr>
          <w:rFonts w:ascii="宋体" w:hAnsi="宋体"/>
          <w:b/>
          <w:color w:val="auto"/>
          <w:sz w:val="32"/>
          <w:szCs w:val="32"/>
        </w:rPr>
      </w:pPr>
      <w:r>
        <w:rPr>
          <w:rFonts w:hint="eastAsia" w:ascii="宋体" w:hAnsi="宋体"/>
          <w:b/>
          <w:color w:val="auto"/>
          <w:sz w:val="32"/>
          <w:szCs w:val="32"/>
        </w:rPr>
        <w:t>投标人参加本项目无围标串标行为的承诺函</w:t>
      </w:r>
    </w:p>
    <w:p>
      <w:pPr>
        <w:snapToGrid w:val="0"/>
        <w:spacing w:beforeLines="50" w:after="50"/>
        <w:rPr>
          <w:rFonts w:ascii="宋体" w:hAnsi="宋体"/>
          <w:b/>
          <w:color w:val="auto"/>
          <w:sz w:val="24"/>
        </w:rPr>
      </w:pPr>
    </w:p>
    <w:p>
      <w:pPr>
        <w:snapToGrid w:val="0"/>
        <w:spacing w:beforeLines="50" w:after="50" w:line="380" w:lineRule="exact"/>
        <w:jc w:val="left"/>
        <w:rPr>
          <w:rFonts w:ascii="宋体" w:hAnsi="宋体"/>
          <w:b/>
          <w:color w:val="auto"/>
          <w:sz w:val="24"/>
        </w:rPr>
      </w:pPr>
      <w:r>
        <w:rPr>
          <w:rFonts w:hint="eastAsia" w:ascii="宋体" w:hAnsi="宋体"/>
          <w:b/>
          <w:color w:val="auto"/>
          <w:sz w:val="24"/>
        </w:rPr>
        <w:t>一、我方承诺无下列相互串通投标的情形：</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1.不同投标人的投标文件由同一单位或者个人编制；或者不同投标人报名的IP地址一致的；或者编制标书硬件设备CPU编号、硬盘编号、网卡地址一致的情况；</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2.不同投标人委托同一单位或者个人办理投标事宜；</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3.不同的投标人的投标文件载明的项目管理员为同一个人；</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4.不同投标人的投标文件异常一致或者投标报价呈规律性差异；</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5.不同投标人的投标文件相互混装；</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6.不同投标人的投标保证金从同一单位或者个人账户转出。</w:t>
      </w:r>
    </w:p>
    <w:p>
      <w:pPr>
        <w:snapToGrid w:val="0"/>
        <w:spacing w:beforeLines="50" w:after="50" w:line="380" w:lineRule="exact"/>
        <w:jc w:val="left"/>
        <w:rPr>
          <w:rFonts w:ascii="宋体" w:hAnsi="宋体"/>
          <w:color w:val="auto"/>
          <w:sz w:val="24"/>
        </w:rPr>
      </w:pPr>
      <w:r>
        <w:rPr>
          <w:rFonts w:hint="eastAsia" w:ascii="宋体" w:hAnsi="宋体"/>
          <w:b/>
          <w:color w:val="auto"/>
          <w:sz w:val="24"/>
        </w:rPr>
        <w:t>二、我方承诺无下列恶意串通的情形：</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1.投标人直接或者间接从采购人或者采购代理机构处获得其他投标人的相关信息并修改其投标文件或者响应文件；</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2.投标人按照采购人或者采购代理机构的授意撤换、修改投标文件或者响应文件；</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3.投标人之间协商报价、技术方案等投标文件或者响应文件的实质性内容；</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4.属于同一集团、协会、商会等组织成员的投标人按照该组织要求协同参加政府采购活动；</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6.投标人之间商定部分投标人放弃参加政府采购活动或者放弃中标；</w:t>
      </w:r>
    </w:p>
    <w:p>
      <w:pPr>
        <w:snapToGrid w:val="0"/>
        <w:spacing w:beforeLines="50" w:after="50" w:line="380" w:lineRule="exact"/>
        <w:ind w:firstLine="470" w:firstLineChars="196"/>
        <w:jc w:val="left"/>
        <w:rPr>
          <w:rFonts w:ascii="宋体" w:hAnsi="宋体"/>
          <w:color w:val="auto"/>
          <w:sz w:val="24"/>
        </w:rPr>
      </w:pPr>
      <w:r>
        <w:rPr>
          <w:rFonts w:hint="eastAsia" w:ascii="宋体" w:hAnsi="宋体"/>
          <w:color w:val="auto"/>
          <w:sz w:val="24"/>
        </w:rPr>
        <w:t>7.投标人与采购人或者采购代理机构之间、投标人相互之间，为谋求特定投标人中标或者排斥其他投标人的其他串通行为。</w:t>
      </w:r>
    </w:p>
    <w:p>
      <w:pPr>
        <w:snapToGrid w:val="0"/>
        <w:spacing w:beforeLines="50" w:after="50" w:line="380" w:lineRule="exact"/>
        <w:ind w:firstLine="470" w:firstLineChars="196"/>
        <w:jc w:val="left"/>
        <w:rPr>
          <w:rFonts w:ascii="宋体" w:hAnsi="宋体"/>
          <w:color w:val="auto"/>
          <w:sz w:val="24"/>
        </w:rPr>
      </w:pPr>
    </w:p>
    <w:p>
      <w:pPr>
        <w:snapToGrid w:val="0"/>
        <w:spacing w:beforeLines="50" w:after="50" w:line="380" w:lineRule="exact"/>
        <w:ind w:firstLine="472" w:firstLineChars="196"/>
        <w:jc w:val="left"/>
        <w:rPr>
          <w:rFonts w:ascii="宋体" w:hAnsi="宋体"/>
          <w:b/>
          <w:color w:val="auto"/>
          <w:sz w:val="24"/>
        </w:rPr>
      </w:pPr>
      <w:r>
        <w:rPr>
          <w:rFonts w:hint="eastAsia" w:ascii="宋体" w:hAnsi="宋体"/>
          <w:b/>
          <w:color w:val="auto"/>
          <w:sz w:val="24"/>
        </w:rPr>
        <w:t>以上情形一经核查属实，接受政府采购监管部门对我方认定存在围标串标行为，我方愿意承担一切后果，并不再寻求任何旨在减轻或者免除法律责任的辩解。</w:t>
      </w:r>
    </w:p>
    <w:p>
      <w:pPr>
        <w:pStyle w:val="18"/>
        <w:snapToGrid w:val="0"/>
        <w:spacing w:before="295" w:after="295" w:line="380" w:lineRule="exact"/>
        <w:jc w:val="center"/>
        <w:rPr>
          <w:rFonts w:hAnsi="宋体"/>
          <w:color w:val="auto"/>
          <w:sz w:val="24"/>
          <w:szCs w:val="24"/>
        </w:rPr>
      </w:pPr>
      <w:r>
        <w:rPr>
          <w:rFonts w:hint="eastAsia" w:hAnsi="宋体"/>
          <w:color w:val="auto"/>
          <w:sz w:val="24"/>
          <w:szCs w:val="24"/>
        </w:rPr>
        <w:t xml:space="preserve"> </w:t>
      </w:r>
      <w:r>
        <w:rPr>
          <w:rFonts w:hAnsi="宋体"/>
          <w:color w:val="auto"/>
          <w:sz w:val="24"/>
          <w:szCs w:val="24"/>
        </w:rPr>
        <w:t xml:space="preserve">                                   </w:t>
      </w:r>
      <w:r>
        <w:rPr>
          <w:rFonts w:hint="eastAsia" w:hAnsi="宋体"/>
          <w:color w:val="auto"/>
          <w:sz w:val="24"/>
          <w:szCs w:val="24"/>
        </w:rPr>
        <w:t>投标人名称（电子签章）</w:t>
      </w:r>
    </w:p>
    <w:p>
      <w:pPr>
        <w:pStyle w:val="18"/>
        <w:snapToGrid w:val="0"/>
        <w:spacing w:before="295" w:after="295" w:line="400" w:lineRule="exact"/>
        <w:rPr>
          <w:rFonts w:hAnsi="宋体"/>
          <w:color w:val="auto"/>
          <w:sz w:val="24"/>
        </w:rPr>
      </w:pPr>
      <w:r>
        <w:rPr>
          <w:rFonts w:hint="eastAsia" w:hAnsi="宋体"/>
          <w:color w:val="auto"/>
          <w:sz w:val="24"/>
        </w:rPr>
        <w:t xml:space="preserve">                                                </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napToGrid w:val="0"/>
        <w:spacing w:beforeLines="50" w:after="50"/>
        <w:ind w:firstLine="472" w:firstLineChars="196"/>
        <w:jc w:val="left"/>
        <w:rPr>
          <w:rFonts w:ascii="宋体" w:hAnsi="宋体"/>
          <w:b/>
          <w:color w:val="auto"/>
          <w:sz w:val="24"/>
          <w:szCs w:val="20"/>
        </w:rPr>
      </w:pPr>
      <w:r>
        <w:rPr>
          <w:rFonts w:ascii="宋体" w:hAnsi="宋体"/>
          <w:b/>
          <w:color w:val="auto"/>
          <w:sz w:val="24"/>
        </w:rPr>
        <w:br w:type="page"/>
      </w:r>
      <w:r>
        <w:rPr>
          <w:rFonts w:hint="eastAsia" w:ascii="宋体" w:hAnsi="宋体"/>
          <w:b/>
          <w:color w:val="auto"/>
          <w:sz w:val="24"/>
        </w:rPr>
        <w:t>2.法定代表人身份证明</w:t>
      </w:r>
    </w:p>
    <w:p>
      <w:pPr>
        <w:spacing w:beforeLines="100" w:afterLines="50"/>
        <w:ind w:left="540"/>
        <w:jc w:val="center"/>
        <w:rPr>
          <w:rFonts w:ascii="宋体" w:hAnsi="Courier New"/>
          <w:b/>
          <w:color w:val="auto"/>
          <w:sz w:val="32"/>
          <w:szCs w:val="32"/>
        </w:rPr>
      </w:pPr>
    </w:p>
    <w:p>
      <w:pPr>
        <w:spacing w:beforeLines="100" w:afterLines="50"/>
        <w:ind w:left="540"/>
        <w:jc w:val="center"/>
        <w:rPr>
          <w:rFonts w:ascii="黑体" w:hAnsi="宋体" w:eastAsia="黑体"/>
          <w:color w:val="auto"/>
          <w:sz w:val="32"/>
          <w:szCs w:val="32"/>
        </w:rPr>
      </w:pPr>
      <w:r>
        <w:rPr>
          <w:rFonts w:hint="eastAsia" w:ascii="宋体" w:hAnsi="Courier New"/>
          <w:b/>
          <w:color w:val="auto"/>
          <w:sz w:val="32"/>
          <w:szCs w:val="32"/>
        </w:rPr>
        <w:t>法定代表人身份证明</w:t>
      </w:r>
    </w:p>
    <w:p>
      <w:pPr>
        <w:spacing w:line="500" w:lineRule="exact"/>
        <w:ind w:left="540"/>
        <w:rPr>
          <w:rFonts w:ascii="宋体" w:hAnsi="宋体"/>
          <w:color w:val="auto"/>
          <w:sz w:val="24"/>
        </w:rPr>
      </w:pPr>
      <w:r>
        <w:rPr>
          <w:rFonts w:hint="eastAsia" w:ascii="宋体" w:hAnsi="宋体"/>
          <w:color w:val="auto"/>
          <w:sz w:val="24"/>
        </w:rPr>
        <w:t>投 标 人：</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姓    名：</w:t>
      </w:r>
      <w:r>
        <w:rPr>
          <w:rFonts w:hint="eastAsia" w:ascii="宋体" w:hAnsi="宋体"/>
          <w:color w:val="auto"/>
          <w:sz w:val="24"/>
          <w:u w:val="single"/>
        </w:rPr>
        <w:t xml:space="preserve">                          </w:t>
      </w:r>
      <w:r>
        <w:rPr>
          <w:rFonts w:hint="eastAsia" w:ascii="宋体" w:hAnsi="宋体"/>
          <w:color w:val="auto"/>
          <w:sz w:val="24"/>
        </w:rPr>
        <w:t>性      别：</w:t>
      </w:r>
      <w:r>
        <w:rPr>
          <w:rFonts w:hint="eastAsia" w:ascii="宋体" w:hAnsi="宋体"/>
          <w:color w:val="auto"/>
          <w:sz w:val="24"/>
          <w:u w:val="single"/>
        </w:rPr>
        <w:t xml:space="preserve">                </w:t>
      </w:r>
    </w:p>
    <w:p>
      <w:pPr>
        <w:spacing w:line="500" w:lineRule="exact"/>
        <w:ind w:left="540"/>
        <w:rPr>
          <w:rFonts w:ascii="宋体" w:hAnsi="宋体"/>
          <w:color w:val="auto"/>
          <w:sz w:val="24"/>
          <w:u w:val="single"/>
        </w:rPr>
      </w:pPr>
      <w:r>
        <w:rPr>
          <w:rFonts w:hint="eastAsia" w:ascii="宋体" w:hAnsi="宋体"/>
          <w:color w:val="auto"/>
          <w:sz w:val="24"/>
        </w:rPr>
        <w:t>年    龄：</w:t>
      </w:r>
      <w:r>
        <w:rPr>
          <w:rFonts w:hint="eastAsia" w:ascii="宋体" w:hAnsi="宋体"/>
          <w:color w:val="auto"/>
          <w:sz w:val="24"/>
          <w:u w:val="single"/>
        </w:rPr>
        <w:t xml:space="preserve">                          </w:t>
      </w:r>
      <w:r>
        <w:rPr>
          <w:rFonts w:hint="eastAsia" w:ascii="宋体" w:hAnsi="宋体"/>
          <w:color w:val="auto"/>
          <w:sz w:val="24"/>
        </w:rPr>
        <w:t>职      务：</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身份证</w:t>
      </w:r>
      <w:r>
        <w:rPr>
          <w:rFonts w:hint="eastAsia"/>
          <w:color w:val="auto"/>
          <w:sz w:val="24"/>
        </w:rPr>
        <w:t>号码：</w:t>
      </w:r>
      <w:r>
        <w:rPr>
          <w:rFonts w:hint="eastAsia"/>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（投标人名称）              </w:t>
      </w:r>
      <w:r>
        <w:rPr>
          <w:rFonts w:hint="eastAsia" w:ascii="宋体" w:hAnsi="宋体"/>
          <w:color w:val="auto"/>
          <w:sz w:val="24"/>
        </w:rPr>
        <w:t>的法定代表人。</w:t>
      </w:r>
    </w:p>
    <w:p>
      <w:pPr>
        <w:spacing w:line="500" w:lineRule="exact"/>
        <w:ind w:left="540"/>
        <w:rPr>
          <w:rFonts w:ascii="宋体" w:hAnsi="宋体"/>
          <w:color w:val="auto"/>
          <w:sz w:val="24"/>
        </w:rPr>
      </w:pPr>
      <w:r>
        <w:rPr>
          <w:rFonts w:hint="eastAsia" w:ascii="宋体" w:hAnsi="宋体"/>
          <w:color w:val="auto"/>
          <w:sz w:val="24"/>
        </w:rPr>
        <w:t>特此证明。</w:t>
      </w:r>
    </w:p>
    <w:p>
      <w:pPr>
        <w:spacing w:line="500" w:lineRule="exact"/>
        <w:ind w:left="540"/>
        <w:rPr>
          <w:rFonts w:ascii="宋体" w:hAnsi="宋体"/>
          <w:color w:val="auto"/>
          <w:sz w:val="24"/>
        </w:rPr>
      </w:pPr>
    </w:p>
    <w:p>
      <w:pPr>
        <w:spacing w:line="500" w:lineRule="exact"/>
        <w:ind w:left="540"/>
        <w:rPr>
          <w:rFonts w:ascii="宋体" w:hAnsi="宋体"/>
          <w:color w:val="auto"/>
          <w:sz w:val="24"/>
        </w:rPr>
      </w:pPr>
    </w:p>
    <w:p>
      <w:pPr>
        <w:spacing w:line="500" w:lineRule="exact"/>
        <w:ind w:left="540"/>
        <w:rPr>
          <w:rFonts w:ascii="宋体" w:hAnsi="宋体"/>
          <w:color w:val="auto"/>
          <w:sz w:val="24"/>
        </w:rPr>
      </w:pPr>
      <w:r>
        <w:rPr>
          <w:rFonts w:hint="eastAsia" w:ascii="宋体" w:hAnsi="宋体"/>
          <w:color w:val="auto"/>
          <w:sz w:val="24"/>
        </w:rPr>
        <w:t>附件：法定代表人有效身份证正反面复印件</w:t>
      </w:r>
    </w:p>
    <w:p>
      <w:pPr>
        <w:spacing w:line="500" w:lineRule="exact"/>
        <w:ind w:left="540"/>
        <w:rPr>
          <w:rFonts w:ascii="宋体" w:hAnsi="宋体"/>
          <w:color w:val="auto"/>
          <w:sz w:val="24"/>
        </w:rPr>
      </w:pPr>
    </w:p>
    <w:p>
      <w:pPr>
        <w:spacing w:line="500" w:lineRule="exact"/>
        <w:ind w:left="540"/>
        <w:jc w:val="center"/>
        <w:rPr>
          <w:rFonts w:ascii="宋体" w:hAnsi="宋体"/>
          <w:color w:val="auto"/>
          <w:sz w:val="24"/>
        </w:rPr>
      </w:pPr>
      <w:r>
        <w:rPr>
          <w:rFonts w:hint="eastAsia" w:ascii="宋体" w:hAnsi="宋体"/>
          <w:color w:val="auto"/>
          <w:sz w:val="24"/>
        </w:rPr>
        <w:t xml:space="preserve">                                   投标人名称（电子签章）：</w:t>
      </w:r>
    </w:p>
    <w:p>
      <w:pPr>
        <w:snapToGrid w:val="0"/>
        <w:spacing w:beforeLines="50" w:after="50"/>
        <w:ind w:left="540"/>
        <w:jc w:val="center"/>
        <w:rPr>
          <w:rFonts w:ascii="宋体" w:hAnsi="宋体"/>
          <w:color w:val="auto"/>
          <w:sz w:val="24"/>
        </w:rPr>
      </w:pP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napToGrid w:val="0"/>
        <w:spacing w:beforeLines="50" w:after="50"/>
        <w:jc w:val="center"/>
        <w:rPr>
          <w:rFonts w:ascii="宋体" w:hAnsi="宋体"/>
          <w:b/>
          <w:color w:val="auto"/>
          <w:sz w:val="24"/>
        </w:rPr>
      </w:pPr>
    </w:p>
    <w:p>
      <w:pPr>
        <w:snapToGrid w:val="0"/>
        <w:spacing w:beforeLines="50" w:after="50"/>
        <w:jc w:val="left"/>
        <w:rPr>
          <w:rFonts w:ascii="宋体" w:hAnsi="宋体"/>
          <w:b/>
          <w:color w:val="auto"/>
          <w:sz w:val="24"/>
          <w:szCs w:val="20"/>
        </w:rPr>
      </w:pPr>
      <w:r>
        <w:rPr>
          <w:rFonts w:hint="eastAsia" w:ascii="宋体" w:hAnsi="宋体"/>
          <w:color w:val="auto"/>
          <w:sz w:val="24"/>
        </w:rPr>
        <w:t>注：自然人投标的无需提供</w:t>
      </w:r>
    </w:p>
    <w:p>
      <w:pPr>
        <w:snapToGrid w:val="0"/>
        <w:spacing w:beforeLines="50" w:after="50"/>
        <w:jc w:val="left"/>
        <w:rPr>
          <w:rFonts w:ascii="宋体" w:hAnsi="宋体"/>
          <w:b/>
          <w:color w:val="auto"/>
          <w:sz w:val="24"/>
          <w:szCs w:val="20"/>
        </w:rPr>
      </w:pPr>
      <w:r>
        <w:rPr>
          <w:rFonts w:ascii="宋体" w:hAnsi="宋体"/>
          <w:b/>
          <w:color w:val="auto"/>
          <w:sz w:val="24"/>
        </w:rPr>
        <w:br w:type="page"/>
      </w:r>
      <w:r>
        <w:rPr>
          <w:rFonts w:hint="eastAsia" w:ascii="宋体" w:hAnsi="宋体"/>
          <w:b/>
          <w:color w:val="auto"/>
          <w:sz w:val="24"/>
        </w:rPr>
        <w:t>3.法定代表人授权委托书格式</w:t>
      </w:r>
    </w:p>
    <w:p>
      <w:pPr>
        <w:snapToGrid w:val="0"/>
        <w:spacing w:beforeLines="50" w:after="50"/>
        <w:jc w:val="center"/>
        <w:rPr>
          <w:rFonts w:ascii="宋体" w:hAnsi="宋体"/>
          <w:b/>
          <w:color w:val="auto"/>
          <w:sz w:val="32"/>
          <w:szCs w:val="32"/>
        </w:rPr>
      </w:pPr>
      <w:r>
        <w:rPr>
          <w:rFonts w:hint="eastAsia" w:ascii="宋体" w:hAnsi="宋体"/>
          <w:b/>
          <w:color w:val="auto"/>
          <w:sz w:val="32"/>
          <w:szCs w:val="32"/>
        </w:rPr>
        <w:t>法定代表人授权委托书</w:t>
      </w:r>
    </w:p>
    <w:p>
      <w:pPr>
        <w:snapToGrid w:val="0"/>
        <w:spacing w:beforeLines="50" w:after="50"/>
        <w:jc w:val="center"/>
        <w:rPr>
          <w:rFonts w:ascii="宋体" w:hAnsi="宋体"/>
          <w:b/>
          <w:color w:val="auto"/>
          <w:sz w:val="32"/>
          <w:szCs w:val="32"/>
        </w:rPr>
      </w:pPr>
      <w:r>
        <w:rPr>
          <w:rFonts w:hint="eastAsia" w:ascii="宋体" w:hAnsi="宋体"/>
          <w:b/>
          <w:color w:val="auto"/>
          <w:sz w:val="32"/>
          <w:szCs w:val="32"/>
        </w:rPr>
        <w:t>（非联合体投标格式）</w:t>
      </w:r>
    </w:p>
    <w:p>
      <w:pPr>
        <w:snapToGrid w:val="0"/>
        <w:spacing w:beforeLines="50" w:after="50"/>
        <w:jc w:val="center"/>
        <w:rPr>
          <w:rFonts w:ascii="宋体" w:hAnsi="宋体"/>
          <w:b/>
          <w:color w:val="auto"/>
          <w:sz w:val="24"/>
        </w:rPr>
      </w:pPr>
      <w:r>
        <w:rPr>
          <w:rFonts w:hint="eastAsia" w:ascii="宋体" w:hAnsi="宋体"/>
          <w:b/>
          <w:color w:val="auto"/>
          <w:sz w:val="32"/>
          <w:szCs w:val="32"/>
        </w:rPr>
        <w:t>（如有委托时）</w:t>
      </w:r>
    </w:p>
    <w:p>
      <w:pPr>
        <w:snapToGrid w:val="0"/>
        <w:spacing w:beforeLines="50" w:after="50"/>
        <w:jc w:val="center"/>
        <w:rPr>
          <w:rFonts w:ascii="宋体" w:hAnsi="宋体"/>
          <w:b/>
          <w:color w:val="auto"/>
          <w:sz w:val="24"/>
        </w:rPr>
      </w:pPr>
    </w:p>
    <w:p>
      <w:pPr>
        <w:snapToGrid w:val="0"/>
        <w:spacing w:beforeLines="50" w:after="50"/>
        <w:rPr>
          <w:rFonts w:ascii="宋体" w:hAnsi="宋体"/>
          <w:b/>
          <w:bCs/>
          <w:color w:val="auto"/>
          <w:sz w:val="24"/>
        </w:rPr>
      </w:pPr>
      <w:r>
        <w:rPr>
          <w:rFonts w:hint="eastAsia" w:ascii="宋体" w:hAnsi="宋体"/>
          <w:bCs/>
          <w:color w:val="auto"/>
          <w:sz w:val="24"/>
        </w:rPr>
        <w:t>致：</w:t>
      </w:r>
      <w:r>
        <w:rPr>
          <w:rFonts w:hint="eastAsia" w:ascii="宋体" w:hAnsi="宋体"/>
          <w:color w:val="auto"/>
          <w:sz w:val="24"/>
          <w:u w:val="single"/>
        </w:rPr>
        <w:t>采购人名称</w:t>
      </w:r>
      <w:r>
        <w:rPr>
          <w:rFonts w:hint="eastAsia" w:ascii="宋体" w:hAnsi="宋体"/>
          <w:color w:val="auto"/>
          <w:sz w:val="24"/>
        </w:rPr>
        <w:t>：</w:t>
      </w:r>
    </w:p>
    <w:p>
      <w:pPr>
        <w:snapToGrid w:val="0"/>
        <w:spacing w:beforeLines="50" w:after="50"/>
        <w:ind w:firstLine="566" w:firstLineChars="236"/>
        <w:rPr>
          <w:rFonts w:ascii="宋体" w:hAnsi="宋体"/>
          <w:color w:val="auto"/>
          <w:sz w:val="24"/>
        </w:rPr>
      </w:pPr>
      <w:r>
        <w:rPr>
          <w:rFonts w:hint="eastAsia" w:ascii="宋体" w:hAnsi="宋体"/>
          <w:color w:val="auto"/>
          <w:sz w:val="24"/>
        </w:rPr>
        <w:t>我</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r>
        <w:rPr>
          <w:rFonts w:hint="eastAsia" w:ascii="宋体" w:hAnsi="宋体"/>
          <w:color w:val="auto"/>
          <w:sz w:val="24"/>
        </w:rPr>
        <w:t>（投标人名称）的法定代表人，现授权委托</w:t>
      </w:r>
      <w:r>
        <w:rPr>
          <w:rFonts w:hint="eastAsia" w:ascii="宋体" w:hAnsi="宋体"/>
          <w:color w:val="auto"/>
          <w:sz w:val="24"/>
          <w:u w:val="single"/>
        </w:rPr>
        <w:t xml:space="preserve">              （姓名）</w:t>
      </w:r>
      <w:r>
        <w:rPr>
          <w:rFonts w:hint="eastAsia" w:ascii="宋体" w:hAnsi="宋体"/>
          <w:color w:val="auto"/>
          <w:sz w:val="24"/>
        </w:rPr>
        <w:t>以我方的名义参加</w:t>
      </w:r>
      <w:r>
        <w:rPr>
          <w:rFonts w:hint="eastAsia" w:ascii="宋体" w:hAnsi="宋体"/>
          <w:color w:val="auto"/>
          <w:sz w:val="24"/>
          <w:u w:val="single"/>
        </w:rPr>
        <w:t xml:space="preserve">              </w:t>
      </w:r>
      <w:r>
        <w:rPr>
          <w:rFonts w:hint="eastAsia" w:ascii="宋体" w:hAnsi="宋体"/>
          <w:color w:val="auto"/>
          <w:sz w:val="24"/>
        </w:rPr>
        <w:t>项目的投标活动，并代表我方全权办理针对上述项目的所有采购程序和环节的具体事务和签署相关文件。</w:t>
      </w:r>
    </w:p>
    <w:p>
      <w:pPr>
        <w:snapToGrid w:val="0"/>
        <w:spacing w:beforeLines="50" w:after="50"/>
        <w:rPr>
          <w:rFonts w:ascii="宋体" w:hAnsi="宋体"/>
          <w:color w:val="auto"/>
          <w:sz w:val="24"/>
        </w:rPr>
      </w:pPr>
      <w:r>
        <w:rPr>
          <w:rFonts w:hint="eastAsia" w:ascii="宋体" w:hAnsi="宋体"/>
          <w:color w:val="auto"/>
          <w:sz w:val="24"/>
        </w:rPr>
        <w:t xml:space="preserve">    我方对委托代理人的签字事项负全部责任。</w:t>
      </w:r>
    </w:p>
    <w:p>
      <w:pPr>
        <w:snapToGrid w:val="0"/>
        <w:spacing w:beforeLines="50" w:after="50"/>
        <w:ind w:firstLine="480"/>
        <w:rPr>
          <w:rFonts w:ascii="宋体" w:hAnsi="宋体"/>
          <w:color w:val="auto"/>
          <w:sz w:val="24"/>
        </w:rPr>
      </w:pPr>
      <w:r>
        <w:rPr>
          <w:rFonts w:hint="eastAsia" w:ascii="宋体" w:hAnsi="宋体"/>
          <w:color w:val="auto"/>
          <w:sz w:val="24"/>
          <w:u w:val="single"/>
        </w:rPr>
        <w:t>本授权书自签署之日起生效，在撤销授权的书面通知以前，本授权书一直有效。委托代理人在授权书有效期内签署的所有文件不因授权的撤销而失效。</w:t>
      </w:r>
    </w:p>
    <w:p>
      <w:pPr>
        <w:snapToGrid w:val="0"/>
        <w:spacing w:beforeLines="50" w:after="50"/>
        <w:ind w:firstLine="480"/>
        <w:rPr>
          <w:rFonts w:ascii="宋体" w:hAnsi="宋体"/>
          <w:color w:val="auto"/>
          <w:sz w:val="24"/>
        </w:rPr>
      </w:pPr>
      <w:r>
        <w:rPr>
          <w:rFonts w:hint="eastAsia" w:ascii="宋体" w:hAnsi="宋体"/>
          <w:color w:val="auto"/>
          <w:sz w:val="24"/>
        </w:rPr>
        <w:t>委托代理人无转委托权，特此委托。</w:t>
      </w:r>
    </w:p>
    <w:p>
      <w:pPr>
        <w:snapToGrid w:val="0"/>
        <w:spacing w:beforeLines="50" w:after="50"/>
        <w:ind w:firstLine="480"/>
        <w:rPr>
          <w:rFonts w:ascii="宋体" w:hAnsi="宋体"/>
          <w:color w:val="auto"/>
          <w:sz w:val="24"/>
        </w:rPr>
      </w:pPr>
      <w:r>
        <w:rPr>
          <w:rFonts w:hint="eastAsia" w:ascii="宋体" w:hAnsi="宋体"/>
          <w:color w:val="auto"/>
          <w:sz w:val="24"/>
        </w:rPr>
        <w:t>附：法定代表人身份证明及委托代理人有效身份证正反面复印件</w:t>
      </w:r>
    </w:p>
    <w:p>
      <w:pPr>
        <w:snapToGrid w:val="0"/>
        <w:spacing w:beforeLines="50" w:after="50"/>
        <w:rPr>
          <w:rFonts w:ascii="宋体" w:hAnsi="宋体"/>
          <w:color w:val="auto"/>
          <w:sz w:val="24"/>
        </w:rPr>
      </w:pPr>
    </w:p>
    <w:p>
      <w:pPr>
        <w:snapToGrid w:val="0"/>
        <w:spacing w:beforeLines="50" w:after="50"/>
        <w:rPr>
          <w:rFonts w:ascii="宋体" w:hAnsi="宋体"/>
          <w:color w:val="auto"/>
          <w:sz w:val="24"/>
        </w:rPr>
      </w:pPr>
      <w:r>
        <w:rPr>
          <w:rFonts w:hint="eastAsia" w:ascii="宋体" w:hAnsi="宋体"/>
          <w:color w:val="auto"/>
          <w:sz w:val="24"/>
        </w:rPr>
        <w:t>委托代理人（签字/电子签名）：</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beforeLines="50" w:after="50"/>
        <w:rPr>
          <w:rFonts w:ascii="宋体" w:hAnsi="宋体"/>
          <w:color w:val="auto"/>
          <w:sz w:val="24"/>
        </w:rPr>
      </w:pPr>
      <w:r>
        <w:rPr>
          <w:rFonts w:hint="eastAsia" w:ascii="宋体" w:hAnsi="宋体"/>
          <w:color w:val="auto"/>
          <w:sz w:val="24"/>
        </w:rPr>
        <w:t>所在部门职务：</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beforeLines="50" w:after="50"/>
        <w:rPr>
          <w:rFonts w:ascii="宋体" w:hAnsi="宋体"/>
          <w:color w:val="auto"/>
          <w:sz w:val="24"/>
        </w:rPr>
      </w:pPr>
      <w:r>
        <w:rPr>
          <w:rFonts w:hint="eastAsia" w:ascii="宋体" w:hAnsi="宋体"/>
          <w:color w:val="auto"/>
          <w:sz w:val="24"/>
        </w:rPr>
        <w:t>职务：</w:t>
      </w:r>
      <w:r>
        <w:rPr>
          <w:rFonts w:hint="eastAsia" w:ascii="宋体" w:hAnsi="宋体"/>
          <w:color w:val="auto"/>
          <w:sz w:val="24"/>
          <w:u w:val="single"/>
        </w:rPr>
        <w:t xml:space="preserve">                  </w:t>
      </w:r>
    </w:p>
    <w:p>
      <w:pPr>
        <w:snapToGrid w:val="0"/>
        <w:spacing w:beforeLines="50" w:after="50"/>
        <w:rPr>
          <w:rFonts w:ascii="宋体" w:hAnsi="宋体"/>
          <w:color w:val="auto"/>
          <w:sz w:val="24"/>
        </w:rPr>
      </w:pPr>
      <w:r>
        <w:rPr>
          <w:rFonts w:hint="eastAsia" w:ascii="宋体" w:hAnsi="宋体"/>
          <w:color w:val="auto"/>
          <w:sz w:val="24"/>
        </w:rPr>
        <w:t>委托代理人身份证号码：</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beforeLines="50" w:after="50"/>
        <w:rPr>
          <w:rFonts w:ascii="宋体" w:hAnsi="宋体"/>
          <w:color w:val="auto"/>
          <w:sz w:val="24"/>
          <w:u w:val="single"/>
        </w:rPr>
      </w:pPr>
      <w:r>
        <w:rPr>
          <w:rFonts w:hint="eastAsia" w:ascii="宋体" w:hAnsi="宋体"/>
          <w:color w:val="auto"/>
          <w:sz w:val="24"/>
        </w:rPr>
        <w:t>法定代表人（签字或者盖章或者电子签名）：</w:t>
      </w:r>
      <w:r>
        <w:rPr>
          <w:rFonts w:hint="eastAsia" w:ascii="宋体" w:hAnsi="宋体"/>
          <w:color w:val="auto"/>
          <w:sz w:val="24"/>
          <w:u w:val="single"/>
        </w:rPr>
        <w:t xml:space="preserve">              </w:t>
      </w:r>
    </w:p>
    <w:p>
      <w:pPr>
        <w:pStyle w:val="14"/>
        <w:rPr>
          <w:color w:val="auto"/>
        </w:rPr>
      </w:pPr>
    </w:p>
    <w:p>
      <w:pPr>
        <w:snapToGrid w:val="0"/>
        <w:spacing w:beforeLines="50" w:after="50"/>
        <w:jc w:val="center"/>
        <w:rPr>
          <w:rFonts w:ascii="宋体" w:hAnsi="宋体"/>
          <w:color w:val="auto"/>
          <w:sz w:val="24"/>
        </w:rPr>
      </w:pPr>
      <w:r>
        <w:rPr>
          <w:rFonts w:hint="eastAsia" w:ascii="宋体" w:hAnsi="宋体"/>
          <w:color w:val="auto"/>
          <w:sz w:val="24"/>
        </w:rPr>
        <w:t xml:space="preserve">                                                </w:t>
      </w:r>
    </w:p>
    <w:p>
      <w:pPr>
        <w:snapToGrid w:val="0"/>
        <w:spacing w:beforeLines="50" w:after="50"/>
        <w:jc w:val="center"/>
        <w:rPr>
          <w:rFonts w:ascii="宋体" w:hAnsi="宋体"/>
          <w:color w:val="auto"/>
          <w:sz w:val="24"/>
        </w:rPr>
      </w:pPr>
    </w:p>
    <w:p>
      <w:pPr>
        <w:snapToGrid w:val="0"/>
        <w:spacing w:beforeLines="50" w:after="50"/>
        <w:jc w:val="center"/>
        <w:rPr>
          <w:rFonts w:ascii="宋体" w:hAnsi="宋体"/>
          <w:color w:val="auto"/>
          <w:sz w:val="24"/>
        </w:rPr>
      </w:pPr>
      <w:r>
        <w:rPr>
          <w:rFonts w:hint="eastAsia" w:ascii="宋体" w:hAnsi="宋体"/>
          <w:color w:val="auto"/>
          <w:sz w:val="24"/>
        </w:rPr>
        <w:t xml:space="preserve">                                             投标人名称（电子签章）：</w:t>
      </w:r>
    </w:p>
    <w:p>
      <w:pPr>
        <w:snapToGrid w:val="0"/>
        <w:spacing w:beforeLines="50" w:after="50"/>
        <w:jc w:val="center"/>
        <w:rPr>
          <w:rFonts w:ascii="宋体" w:hAnsi="宋体"/>
          <w:color w:val="auto"/>
          <w:sz w:val="24"/>
        </w:rPr>
      </w:pPr>
      <w:r>
        <w:rPr>
          <w:rFonts w:hint="eastAsia" w:ascii="宋体" w:hAnsi="宋体"/>
          <w:color w:val="auto"/>
          <w:sz w:val="24"/>
        </w:rPr>
        <w:t xml:space="preserve">                                              年    月    日</w:t>
      </w:r>
    </w:p>
    <w:p>
      <w:pPr>
        <w:snapToGrid w:val="0"/>
        <w:spacing w:beforeLines="50" w:after="50"/>
        <w:rPr>
          <w:rFonts w:ascii="宋体" w:hAnsi="宋体"/>
          <w:color w:val="auto"/>
          <w:sz w:val="24"/>
        </w:rPr>
      </w:pPr>
    </w:p>
    <w:p>
      <w:pPr>
        <w:spacing w:line="440" w:lineRule="exact"/>
        <w:contextualSpacing/>
        <w:rPr>
          <w:rFonts w:ascii="宋体" w:hAnsi="宋体" w:cs="宋体"/>
          <w:color w:val="auto"/>
          <w:sz w:val="24"/>
        </w:rPr>
      </w:pPr>
      <w:r>
        <w:rPr>
          <w:rFonts w:hint="eastAsia" w:ascii="宋体" w:hAnsi="宋体" w:cs="宋体"/>
          <w:color w:val="auto"/>
          <w:sz w:val="24"/>
        </w:rPr>
        <w:t>注：1.</w:t>
      </w:r>
      <w:bookmarkStart w:id="162" w:name="_Hlk65851555"/>
      <w:bookmarkStart w:id="163" w:name="_Hlk65851620"/>
      <w:r>
        <w:rPr>
          <w:rFonts w:hint="eastAsia" w:ascii="宋体" w:hAnsi="宋体" w:cs="宋体"/>
          <w:color w:val="auto"/>
          <w:sz w:val="24"/>
        </w:rPr>
        <w:t>法定代表人必须在授权委托书上亲笔签字或者盖章或者电子签名，</w:t>
      </w:r>
      <w:bookmarkEnd w:id="162"/>
      <w:r>
        <w:rPr>
          <w:rFonts w:hint="eastAsia" w:ascii="宋体" w:hAnsi="宋体" w:cs="宋体"/>
          <w:color w:val="auto"/>
          <w:sz w:val="24"/>
        </w:rPr>
        <w:t>委托代理人必须在授权委托书上亲笔签字或者电子签名，</w:t>
      </w:r>
      <w:r>
        <w:rPr>
          <w:rFonts w:hint="eastAsia" w:ascii="宋体" w:hAnsi="宋体" w:cs="宋体"/>
          <w:b/>
          <w:bCs/>
          <w:color w:val="auto"/>
          <w:sz w:val="24"/>
        </w:rPr>
        <w:t>否则按无效投标处理</w:t>
      </w:r>
      <w:r>
        <w:rPr>
          <w:rFonts w:hint="eastAsia" w:ascii="宋体" w:hAnsi="宋体" w:cs="宋体"/>
          <w:color w:val="auto"/>
          <w:sz w:val="24"/>
        </w:rPr>
        <w:t>；</w:t>
      </w:r>
      <w:bookmarkEnd w:id="163"/>
    </w:p>
    <w:p>
      <w:pPr>
        <w:snapToGrid w:val="0"/>
        <w:spacing w:before="50" w:afterLines="50"/>
        <w:ind w:firstLine="480" w:firstLineChars="200"/>
        <w:jc w:val="left"/>
        <w:rPr>
          <w:rFonts w:ascii="宋体" w:hAnsi="宋体" w:cs="宋体"/>
          <w:color w:val="auto"/>
          <w:sz w:val="24"/>
        </w:rPr>
      </w:pPr>
      <w:r>
        <w:rPr>
          <w:rFonts w:hint="eastAsia" w:ascii="宋体" w:hAnsi="宋体" w:cs="宋体"/>
          <w:color w:val="auto"/>
          <w:sz w:val="24"/>
        </w:rPr>
        <w:t>2.法人、其他组织投标时“我方”是指“我单位”，自然人投标时“我方”是指“本人”。</w:t>
      </w:r>
    </w:p>
    <w:p>
      <w:pPr>
        <w:snapToGrid w:val="0"/>
        <w:spacing w:beforeLines="50" w:after="50"/>
        <w:ind w:firstLine="566" w:firstLineChars="236"/>
        <w:jc w:val="center"/>
        <w:rPr>
          <w:rFonts w:ascii="宋体" w:hAnsi="宋体"/>
          <w:b/>
          <w:bCs/>
          <w:color w:val="auto"/>
          <w:sz w:val="32"/>
          <w:szCs w:val="32"/>
        </w:rPr>
      </w:pPr>
      <w:r>
        <w:rPr>
          <w:rFonts w:ascii="宋体" w:hAnsi="宋体"/>
          <w:color w:val="auto"/>
          <w:sz w:val="24"/>
        </w:rPr>
        <w:br w:type="page"/>
      </w:r>
      <w:r>
        <w:rPr>
          <w:rFonts w:hint="eastAsia" w:ascii="宋体" w:hAnsi="宋体"/>
          <w:b/>
          <w:bCs/>
          <w:color w:val="auto"/>
          <w:sz w:val="32"/>
          <w:szCs w:val="32"/>
        </w:rPr>
        <w:t>法定代表人授权委托书</w:t>
      </w:r>
    </w:p>
    <w:p>
      <w:pPr>
        <w:snapToGrid w:val="0"/>
        <w:spacing w:beforeLines="50" w:after="50"/>
        <w:ind w:firstLine="758" w:firstLineChars="236"/>
        <w:jc w:val="center"/>
        <w:rPr>
          <w:rFonts w:ascii="宋体" w:hAnsi="宋体"/>
          <w:b/>
          <w:bCs/>
          <w:color w:val="auto"/>
          <w:sz w:val="32"/>
          <w:szCs w:val="32"/>
        </w:rPr>
      </w:pPr>
      <w:r>
        <w:rPr>
          <w:rFonts w:hint="eastAsia" w:ascii="宋体" w:hAnsi="宋体"/>
          <w:b/>
          <w:bCs/>
          <w:color w:val="auto"/>
          <w:sz w:val="32"/>
          <w:szCs w:val="32"/>
        </w:rPr>
        <w:t>（联合体投标格式）</w:t>
      </w:r>
    </w:p>
    <w:p>
      <w:pPr>
        <w:snapToGrid w:val="0"/>
        <w:spacing w:beforeLines="50" w:after="50"/>
        <w:ind w:firstLine="758" w:firstLineChars="236"/>
        <w:jc w:val="center"/>
        <w:rPr>
          <w:rFonts w:ascii="宋体" w:hAnsi="宋体"/>
          <w:color w:val="auto"/>
          <w:sz w:val="24"/>
        </w:rPr>
      </w:pPr>
      <w:r>
        <w:rPr>
          <w:rFonts w:hint="eastAsia" w:ascii="宋体" w:hAnsi="宋体"/>
          <w:b/>
          <w:bCs/>
          <w:color w:val="auto"/>
          <w:sz w:val="32"/>
          <w:szCs w:val="32"/>
        </w:rPr>
        <w:t>（如有委托时）</w:t>
      </w:r>
    </w:p>
    <w:p>
      <w:pPr>
        <w:snapToGrid w:val="0"/>
        <w:spacing w:beforeLines="50" w:after="50"/>
        <w:jc w:val="left"/>
        <w:rPr>
          <w:rFonts w:ascii="宋体" w:hAnsi="宋体"/>
          <w:color w:val="auto"/>
          <w:sz w:val="24"/>
        </w:rPr>
      </w:pPr>
      <w:r>
        <w:rPr>
          <w:rFonts w:hint="eastAsia" w:ascii="宋体" w:hAnsi="宋体"/>
          <w:bCs/>
          <w:color w:val="auto"/>
          <w:sz w:val="24"/>
        </w:rPr>
        <w:t>致：</w:t>
      </w:r>
      <w:r>
        <w:rPr>
          <w:rFonts w:hint="eastAsia" w:ascii="宋体" w:hAnsi="宋体"/>
          <w:color w:val="auto"/>
          <w:sz w:val="24"/>
          <w:u w:val="single"/>
        </w:rPr>
        <w:t>采购人名称</w:t>
      </w:r>
      <w:r>
        <w:rPr>
          <w:rFonts w:hint="eastAsia" w:ascii="宋体" w:hAnsi="宋体"/>
          <w:color w:val="auto"/>
          <w:sz w:val="24"/>
        </w:rPr>
        <w:t>：</w:t>
      </w:r>
    </w:p>
    <w:p>
      <w:pPr>
        <w:snapToGrid w:val="0"/>
        <w:spacing w:beforeLines="50" w:after="50"/>
        <w:ind w:firstLine="566" w:firstLineChars="236"/>
        <w:rPr>
          <w:rFonts w:ascii="宋体" w:hAnsi="宋体"/>
          <w:color w:val="auto"/>
          <w:sz w:val="24"/>
        </w:rPr>
      </w:pPr>
      <w:r>
        <w:rPr>
          <w:rFonts w:hint="eastAsia" w:ascii="宋体" w:hAnsi="宋体"/>
          <w:color w:val="auto"/>
          <w:sz w:val="24"/>
        </w:rPr>
        <w:t xml:space="preserve">根据 </w:t>
      </w:r>
      <w:r>
        <w:rPr>
          <w:rFonts w:hint="eastAsia" w:ascii="宋体" w:hAnsi="宋体"/>
          <w:color w:val="auto"/>
          <w:sz w:val="24"/>
          <w:u w:val="single"/>
        </w:rPr>
        <w:t xml:space="preserve"> （牵头人名称）</w:t>
      </w:r>
      <w:r>
        <w:rPr>
          <w:rFonts w:hint="eastAsia" w:ascii="宋体" w:hAnsi="宋体"/>
          <w:color w:val="auto"/>
          <w:sz w:val="24"/>
        </w:rPr>
        <w:t>与</w:t>
      </w:r>
      <w:r>
        <w:rPr>
          <w:rFonts w:hint="eastAsia" w:ascii="宋体" w:hAnsi="宋体"/>
          <w:color w:val="auto"/>
          <w:sz w:val="24"/>
          <w:u w:val="single"/>
        </w:rPr>
        <w:t>（联合体其他成员名称）</w:t>
      </w:r>
      <w:r>
        <w:rPr>
          <w:rFonts w:hint="eastAsia" w:ascii="宋体" w:hAnsi="宋体"/>
          <w:color w:val="auto"/>
          <w:sz w:val="24"/>
        </w:rPr>
        <w:t>签订的《联合体投标协议书》的内容，</w:t>
      </w:r>
      <w:r>
        <w:rPr>
          <w:rFonts w:hint="eastAsia" w:ascii="宋体" w:hAnsi="宋体"/>
          <w:color w:val="auto"/>
          <w:sz w:val="24"/>
          <w:u w:val="single"/>
        </w:rPr>
        <w:t>（牵头人名称）</w:t>
      </w:r>
      <w:r>
        <w:rPr>
          <w:rFonts w:hint="eastAsia" w:ascii="宋体" w:hAnsi="宋体"/>
          <w:color w:val="auto"/>
          <w:sz w:val="24"/>
        </w:rPr>
        <w:t>的法定代表人</w:t>
      </w:r>
      <w:r>
        <w:rPr>
          <w:rFonts w:hint="eastAsia" w:ascii="宋体" w:hAnsi="宋体"/>
          <w:color w:val="auto"/>
          <w:sz w:val="24"/>
          <w:u w:val="single"/>
        </w:rPr>
        <w:t>（姓名）</w:t>
      </w:r>
      <w:r>
        <w:rPr>
          <w:rFonts w:hint="eastAsia" w:ascii="宋体" w:hAnsi="宋体"/>
          <w:color w:val="auto"/>
          <w:sz w:val="24"/>
        </w:rPr>
        <w:t>现授权委托</w:t>
      </w:r>
      <w:r>
        <w:rPr>
          <w:rFonts w:hint="eastAsia" w:ascii="宋体" w:hAnsi="宋体"/>
          <w:color w:val="auto"/>
          <w:sz w:val="24"/>
          <w:u w:val="single"/>
        </w:rPr>
        <w:t xml:space="preserve">              （姓名）</w:t>
      </w:r>
      <w:r>
        <w:rPr>
          <w:rFonts w:hint="eastAsia" w:ascii="宋体" w:hAnsi="宋体"/>
          <w:color w:val="auto"/>
          <w:sz w:val="24"/>
        </w:rPr>
        <w:t>以我方的名义参加</w:t>
      </w:r>
      <w:r>
        <w:rPr>
          <w:rFonts w:hint="eastAsia" w:ascii="宋体" w:hAnsi="宋体"/>
          <w:color w:val="auto"/>
          <w:sz w:val="24"/>
          <w:u w:val="single"/>
        </w:rPr>
        <w:t xml:space="preserve">              </w:t>
      </w:r>
      <w:r>
        <w:rPr>
          <w:rFonts w:hint="eastAsia" w:ascii="宋体" w:hAnsi="宋体"/>
          <w:color w:val="auto"/>
          <w:sz w:val="24"/>
        </w:rPr>
        <w:t>项目的投标活动，并代表我方全权办理针对上述项目的所有采购程序和环节的具体事务和签署相关文件。</w:t>
      </w:r>
    </w:p>
    <w:p>
      <w:pPr>
        <w:snapToGrid w:val="0"/>
        <w:spacing w:beforeLines="50" w:after="50"/>
        <w:ind w:firstLine="566" w:firstLineChars="236"/>
        <w:rPr>
          <w:rFonts w:ascii="宋体" w:hAnsi="宋体"/>
          <w:color w:val="auto"/>
          <w:sz w:val="24"/>
        </w:rPr>
      </w:pPr>
      <w:r>
        <w:rPr>
          <w:rFonts w:hint="eastAsia" w:ascii="宋体" w:hAnsi="宋体"/>
          <w:color w:val="auto"/>
          <w:sz w:val="24"/>
        </w:rPr>
        <w:t>我方对委托代理人的签字事项负全部责任。</w:t>
      </w:r>
    </w:p>
    <w:p>
      <w:pPr>
        <w:snapToGrid w:val="0"/>
        <w:spacing w:beforeLines="50" w:after="50"/>
        <w:ind w:firstLine="566" w:firstLineChars="236"/>
        <w:rPr>
          <w:rFonts w:ascii="宋体" w:hAnsi="宋体"/>
          <w:color w:val="auto"/>
          <w:sz w:val="24"/>
        </w:rPr>
      </w:pPr>
      <w:r>
        <w:rPr>
          <w:rFonts w:hint="eastAsia" w:ascii="宋体" w:hAnsi="宋体"/>
          <w:color w:val="auto"/>
          <w:sz w:val="24"/>
        </w:rPr>
        <w:t>本授权书自签署之日起生效，在撤销授权的书面通知以前，本授权书一直有效。委托代理人在授权书有效期内签署的所有文件不因授权的撤销而失效。</w:t>
      </w:r>
    </w:p>
    <w:p>
      <w:pPr>
        <w:snapToGrid w:val="0"/>
        <w:spacing w:beforeLines="50" w:after="50"/>
        <w:ind w:firstLine="566" w:firstLineChars="236"/>
        <w:rPr>
          <w:rFonts w:ascii="宋体" w:hAnsi="宋体"/>
          <w:color w:val="auto"/>
          <w:sz w:val="24"/>
        </w:rPr>
      </w:pPr>
      <w:r>
        <w:rPr>
          <w:rFonts w:hint="eastAsia" w:ascii="宋体" w:hAnsi="宋体"/>
          <w:color w:val="auto"/>
          <w:sz w:val="24"/>
        </w:rPr>
        <w:t>委托代理人无转委托权，特此委托。</w:t>
      </w:r>
    </w:p>
    <w:p>
      <w:pPr>
        <w:snapToGrid w:val="0"/>
        <w:spacing w:beforeLines="50" w:after="50"/>
        <w:ind w:firstLine="566" w:firstLineChars="236"/>
        <w:rPr>
          <w:rFonts w:ascii="宋体" w:hAnsi="宋体"/>
          <w:color w:val="auto"/>
          <w:sz w:val="24"/>
        </w:rPr>
      </w:pPr>
      <w:r>
        <w:rPr>
          <w:rFonts w:hint="eastAsia" w:ascii="宋体" w:hAnsi="宋体"/>
          <w:color w:val="auto"/>
          <w:sz w:val="24"/>
        </w:rPr>
        <w:t>附：牵头人法定代表人身份证明及委托代理人有效身份证正反面复印件</w:t>
      </w:r>
    </w:p>
    <w:p>
      <w:pPr>
        <w:snapToGrid w:val="0"/>
        <w:spacing w:beforeLines="50" w:after="50"/>
        <w:ind w:firstLine="566" w:firstLineChars="236"/>
        <w:rPr>
          <w:rFonts w:ascii="宋体" w:hAnsi="宋体"/>
          <w:color w:val="auto"/>
          <w:sz w:val="24"/>
        </w:rPr>
      </w:pPr>
    </w:p>
    <w:p>
      <w:pPr>
        <w:snapToGrid w:val="0"/>
        <w:spacing w:beforeLines="50" w:after="50"/>
        <w:ind w:firstLine="566" w:firstLineChars="236"/>
        <w:rPr>
          <w:rFonts w:ascii="宋体" w:hAnsi="宋体"/>
          <w:color w:val="auto"/>
          <w:sz w:val="24"/>
        </w:rPr>
      </w:pPr>
      <w:r>
        <w:rPr>
          <w:rFonts w:hint="eastAsia" w:ascii="宋体" w:hAnsi="宋体"/>
          <w:color w:val="auto"/>
          <w:sz w:val="24"/>
        </w:rPr>
        <w:t>牵头人法定代表人（签字或者盖章或者电子签名）：</w:t>
      </w:r>
    </w:p>
    <w:p>
      <w:pPr>
        <w:snapToGrid w:val="0"/>
        <w:spacing w:beforeLines="50" w:after="50"/>
        <w:ind w:firstLine="566" w:firstLineChars="236"/>
        <w:rPr>
          <w:rFonts w:ascii="宋体" w:hAnsi="宋体"/>
          <w:color w:val="auto"/>
          <w:sz w:val="24"/>
        </w:rPr>
      </w:pPr>
      <w:r>
        <w:rPr>
          <w:rFonts w:hint="eastAsia" w:ascii="宋体" w:hAnsi="宋体"/>
          <w:color w:val="auto"/>
          <w:sz w:val="24"/>
        </w:rPr>
        <w:t>牵头人（电子签章）：</w:t>
      </w:r>
    </w:p>
    <w:p>
      <w:pPr>
        <w:snapToGrid w:val="0"/>
        <w:spacing w:beforeLines="50" w:after="50"/>
        <w:ind w:firstLine="566" w:firstLineChars="236"/>
        <w:rPr>
          <w:rFonts w:ascii="宋体" w:hAnsi="宋体"/>
          <w:color w:val="auto"/>
          <w:sz w:val="24"/>
        </w:rPr>
      </w:pPr>
      <w:r>
        <w:rPr>
          <w:rFonts w:hint="eastAsia" w:ascii="宋体" w:hAnsi="宋体"/>
          <w:color w:val="auto"/>
          <w:sz w:val="24"/>
        </w:rPr>
        <w:t>日期：    年   月   日</w:t>
      </w:r>
    </w:p>
    <w:p>
      <w:pPr>
        <w:snapToGrid w:val="0"/>
        <w:spacing w:beforeLines="50" w:after="50"/>
        <w:ind w:firstLine="566" w:firstLineChars="236"/>
        <w:rPr>
          <w:rFonts w:ascii="宋体" w:hAnsi="宋体"/>
          <w:color w:val="auto"/>
          <w:sz w:val="24"/>
        </w:rPr>
      </w:pPr>
    </w:p>
    <w:p>
      <w:pPr>
        <w:snapToGrid w:val="0"/>
        <w:spacing w:beforeLines="50" w:after="50"/>
        <w:ind w:firstLine="566" w:firstLineChars="236"/>
        <w:rPr>
          <w:rFonts w:ascii="宋体" w:hAnsi="宋体"/>
          <w:color w:val="auto"/>
          <w:sz w:val="24"/>
        </w:rPr>
      </w:pPr>
      <w:r>
        <w:rPr>
          <w:rFonts w:hint="eastAsia" w:ascii="宋体" w:hAnsi="宋体"/>
          <w:color w:val="auto"/>
          <w:sz w:val="24"/>
        </w:rPr>
        <w:t>被授权人（签字/电子签名）：</w:t>
      </w:r>
    </w:p>
    <w:p>
      <w:pPr>
        <w:snapToGrid w:val="0"/>
        <w:spacing w:beforeLines="50" w:after="50"/>
        <w:ind w:firstLine="566" w:firstLineChars="236"/>
        <w:rPr>
          <w:rFonts w:ascii="仿宋_GB2312" w:hAnsi="仿宋_GB2312" w:eastAsia="仿宋_GB2312" w:cs="仿宋_GB2312"/>
          <w:color w:val="auto"/>
          <w:sz w:val="32"/>
          <w:szCs w:val="32"/>
        </w:rPr>
      </w:pPr>
      <w:r>
        <w:rPr>
          <w:rFonts w:hint="eastAsia" w:ascii="宋体" w:hAnsi="宋体"/>
          <w:color w:val="auto"/>
          <w:sz w:val="24"/>
        </w:rPr>
        <w:t>日期：    年   月   日</w:t>
      </w:r>
    </w:p>
    <w:p>
      <w:pPr>
        <w:spacing w:line="440" w:lineRule="exact"/>
        <w:ind w:firstLine="480" w:firstLineChars="200"/>
        <w:contextualSpacing/>
        <w:rPr>
          <w:rFonts w:ascii="宋体" w:hAnsi="宋体" w:cs="宋体"/>
          <w:color w:val="auto"/>
          <w:sz w:val="24"/>
        </w:rPr>
      </w:pPr>
    </w:p>
    <w:p>
      <w:pPr>
        <w:spacing w:line="440" w:lineRule="exact"/>
        <w:ind w:firstLine="480" w:firstLineChars="200"/>
        <w:contextualSpacing/>
        <w:rPr>
          <w:rFonts w:ascii="宋体" w:hAnsi="宋体" w:cs="宋体"/>
          <w:color w:val="auto"/>
          <w:sz w:val="24"/>
        </w:rPr>
      </w:pPr>
    </w:p>
    <w:p>
      <w:pPr>
        <w:spacing w:line="440" w:lineRule="exact"/>
        <w:ind w:firstLine="480" w:firstLineChars="200"/>
        <w:contextualSpacing/>
        <w:jc w:val="left"/>
        <w:rPr>
          <w:rFonts w:ascii="宋体" w:hAnsi="宋体" w:cs="宋体"/>
          <w:color w:val="auto"/>
          <w:sz w:val="24"/>
        </w:rPr>
      </w:pPr>
      <w:r>
        <w:rPr>
          <w:rFonts w:hint="eastAsia" w:ascii="宋体" w:hAnsi="宋体" w:cs="宋体"/>
          <w:color w:val="auto"/>
          <w:sz w:val="24"/>
        </w:rPr>
        <w:t>注：1. 法定代表人必须在授权委托书上亲笔签字或者盖章或者电子签名，委托代理人必须在授权委托书上亲笔签字或者电子签名，</w:t>
      </w:r>
      <w:r>
        <w:rPr>
          <w:rFonts w:hint="eastAsia" w:ascii="宋体" w:hAnsi="宋体" w:cs="宋体"/>
          <w:b/>
          <w:bCs/>
          <w:color w:val="auto"/>
          <w:sz w:val="24"/>
        </w:rPr>
        <w:t>否则按无效投标处理</w:t>
      </w:r>
      <w:r>
        <w:rPr>
          <w:rFonts w:hint="eastAsia" w:ascii="宋体" w:hAnsi="宋体" w:cs="宋体"/>
          <w:color w:val="auto"/>
          <w:sz w:val="24"/>
        </w:rPr>
        <w:t>；</w:t>
      </w:r>
    </w:p>
    <w:p>
      <w:pPr>
        <w:spacing w:line="440" w:lineRule="exact"/>
        <w:ind w:firstLine="480" w:firstLineChars="200"/>
        <w:contextualSpacing/>
        <w:jc w:val="left"/>
        <w:rPr>
          <w:rFonts w:ascii="宋体" w:hAnsi="宋体" w:cs="宋体"/>
          <w:color w:val="auto"/>
          <w:sz w:val="24"/>
        </w:rPr>
      </w:pPr>
      <w:r>
        <w:rPr>
          <w:rFonts w:hint="eastAsia" w:ascii="宋体" w:hAnsi="宋体" w:cs="宋体"/>
          <w:color w:val="auto"/>
          <w:sz w:val="24"/>
        </w:rPr>
        <w:t>2.本授权委托书应由联合体牵头人的法定代表人按上述规定签字或者盖章或者电子签名。</w:t>
      </w:r>
    </w:p>
    <w:p>
      <w:pPr>
        <w:spacing w:line="500" w:lineRule="exact"/>
        <w:ind w:firstLine="480" w:firstLineChars="200"/>
        <w:jc w:val="left"/>
        <w:rPr>
          <w:rFonts w:ascii="宋体" w:hAnsi="宋体" w:cs="宋体"/>
          <w:color w:val="auto"/>
          <w:sz w:val="24"/>
        </w:rPr>
      </w:pPr>
      <w:r>
        <w:rPr>
          <w:rFonts w:hint="eastAsia" w:ascii="宋体" w:hAnsi="宋体" w:cs="宋体"/>
          <w:color w:val="auto"/>
          <w:sz w:val="24"/>
        </w:rPr>
        <w:t>3.法人、其他组织投标时“我方”是指“我单位”，自然人投标时“我方”是指“本人”1.法定代表人必须在授权委托书上亲笔签字或者盖章，委托代理人必须在授权委托书上亲笔签字，</w:t>
      </w:r>
      <w:r>
        <w:rPr>
          <w:rFonts w:hint="eastAsia" w:ascii="宋体" w:hAnsi="宋体" w:cs="宋体"/>
          <w:b/>
          <w:bCs/>
          <w:color w:val="auto"/>
          <w:sz w:val="24"/>
        </w:rPr>
        <w:t>否则按无效投标处理</w:t>
      </w:r>
      <w:r>
        <w:rPr>
          <w:rFonts w:hint="eastAsia" w:ascii="宋体" w:hAnsi="宋体" w:cs="宋体"/>
          <w:color w:val="auto"/>
          <w:sz w:val="24"/>
        </w:rPr>
        <w:t>；</w:t>
      </w:r>
    </w:p>
    <w:p>
      <w:pPr>
        <w:rPr>
          <w:rFonts w:ascii="宋体" w:hAnsi="宋体"/>
          <w:color w:val="auto"/>
          <w:sz w:val="24"/>
        </w:rPr>
      </w:pPr>
    </w:p>
    <w:p>
      <w:pPr>
        <w:pStyle w:val="14"/>
        <w:rPr>
          <w:rFonts w:ascii="宋体" w:hAnsi="宋体"/>
          <w:color w:val="auto"/>
          <w:sz w:val="24"/>
        </w:rPr>
      </w:pPr>
    </w:p>
    <w:p>
      <w:pPr>
        <w:rPr>
          <w:rFonts w:ascii="宋体" w:hAnsi="宋体"/>
          <w:color w:val="auto"/>
          <w:sz w:val="24"/>
        </w:rPr>
      </w:pPr>
    </w:p>
    <w:p>
      <w:pPr>
        <w:rPr>
          <w:rFonts w:ascii="宋体" w:hAnsi="宋体"/>
          <w:b/>
          <w:color w:val="auto"/>
          <w:sz w:val="24"/>
          <w:szCs w:val="20"/>
        </w:rPr>
      </w:pPr>
      <w:r>
        <w:rPr>
          <w:rFonts w:hint="eastAsia" w:ascii="宋体" w:hAnsi="宋体"/>
          <w:b/>
          <w:color w:val="auto"/>
          <w:sz w:val="24"/>
        </w:rPr>
        <w:t>4.商务条款偏离表格式(注：按项目需求表具体项目修改)</w:t>
      </w:r>
    </w:p>
    <w:p>
      <w:pPr>
        <w:snapToGrid w:val="0"/>
        <w:spacing w:before="50"/>
        <w:jc w:val="left"/>
        <w:rPr>
          <w:rFonts w:ascii="宋体" w:hAnsi="宋体"/>
          <w:color w:val="auto"/>
          <w:sz w:val="24"/>
        </w:rPr>
      </w:pPr>
    </w:p>
    <w:p>
      <w:pPr>
        <w:pStyle w:val="18"/>
        <w:rPr>
          <w:rFonts w:hAnsi="宋体"/>
          <w:color w:val="auto"/>
          <w:sz w:val="24"/>
          <w:szCs w:val="24"/>
        </w:rPr>
      </w:pPr>
      <w:r>
        <w:rPr>
          <w:rFonts w:hint="eastAsia" w:hAnsi="宋体"/>
          <w:color w:val="auto"/>
          <w:sz w:val="24"/>
          <w:szCs w:val="24"/>
        </w:rPr>
        <w:t>所投分标：</w:t>
      </w:r>
      <w:r>
        <w:rPr>
          <w:rFonts w:hint="eastAsia" w:hAnsi="宋体"/>
          <w:color w:val="auto"/>
          <w:sz w:val="24"/>
          <w:szCs w:val="24"/>
          <w:u w:val="single"/>
        </w:rPr>
        <w:t xml:space="preserve">     </w:t>
      </w:r>
      <w:r>
        <w:rPr>
          <w:rFonts w:hint="eastAsia" w:hAnsi="宋体"/>
          <w:color w:val="auto"/>
          <w:sz w:val="24"/>
          <w:szCs w:val="24"/>
        </w:rPr>
        <w:t>分标</w:t>
      </w:r>
    </w:p>
    <w:p>
      <w:pPr>
        <w:snapToGrid w:val="0"/>
        <w:spacing w:before="50"/>
        <w:jc w:val="left"/>
        <w:rPr>
          <w:rFonts w:ascii="宋体" w:hAnsi="宋体"/>
          <w:color w:val="auto"/>
          <w:sz w:val="24"/>
          <w:u w:val="single"/>
        </w:rPr>
      </w:pPr>
    </w:p>
    <w:tbl>
      <w:tblPr>
        <w:tblStyle w:val="35"/>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r>
              <w:rPr>
                <w:rFonts w:hint="eastAsia" w:ascii="宋体" w:hAnsi="宋体"/>
                <w:color w:val="auto"/>
                <w:sz w:val="24"/>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r>
              <w:rPr>
                <w:rFonts w:hint="eastAsia" w:ascii="宋体" w:hAnsi="宋体"/>
                <w:color w:val="auto"/>
                <w:sz w:val="24"/>
              </w:rPr>
              <w:t>招标文件商务条款要求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r>
              <w:rPr>
                <w:rFonts w:hint="eastAsia" w:ascii="宋体" w:hAnsi="宋体"/>
                <w:color w:val="auto"/>
                <w:sz w:val="24"/>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r>
              <w:rPr>
                <w:rFonts w:hint="eastAsia" w:ascii="宋体" w:hAnsi="宋体"/>
                <w:color w:val="auto"/>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ascii="宋体" w:hAnsi="宋体"/>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r>
              <w:rPr>
                <w:rFonts w:hint="eastAsia" w:ascii="宋体" w:hAnsi="宋体"/>
                <w:color w:val="auto"/>
                <w:sz w:val="24"/>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auto"/>
                <w:sz w:val="24"/>
              </w:rPr>
            </w:pPr>
          </w:p>
        </w:tc>
      </w:tr>
    </w:tbl>
    <w:p>
      <w:pPr>
        <w:pStyle w:val="13"/>
        <w:rPr>
          <w:rFonts w:ascii="宋体" w:hAnsi="宋体"/>
          <w:color w:val="auto"/>
          <w:sz w:val="21"/>
          <w:szCs w:val="21"/>
        </w:rPr>
      </w:pPr>
      <w:r>
        <w:rPr>
          <w:rFonts w:hint="eastAsia" w:ascii="宋体" w:hAnsi="宋体"/>
          <w:color w:val="auto"/>
          <w:sz w:val="21"/>
          <w:szCs w:val="21"/>
        </w:rPr>
        <w:t>注：</w:t>
      </w:r>
    </w:p>
    <w:p>
      <w:pPr>
        <w:pStyle w:val="15"/>
        <w:spacing w:line="520" w:lineRule="exact"/>
        <w:ind w:firstLine="0"/>
        <w:rPr>
          <w:rFonts w:hAnsi="仿宋_GB2312" w:cs="仿宋_GB2312"/>
          <w:color w:val="auto"/>
          <w:sz w:val="21"/>
          <w:szCs w:val="21"/>
        </w:rPr>
      </w:pPr>
      <w:r>
        <w:rPr>
          <w:rFonts w:hint="eastAsia" w:hAnsi="宋体"/>
          <w:color w:val="auto"/>
          <w:sz w:val="21"/>
          <w:szCs w:val="21"/>
        </w:rPr>
        <w:t>1. 说明：应对照招标文件“第二章 采购需求”中的商务条款逐条实质性响应，并作出偏离说明。</w:t>
      </w:r>
    </w:p>
    <w:p>
      <w:pPr>
        <w:pStyle w:val="13"/>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投标人应根据自身的承诺，对照招标文件要求在“偏离说明”中注明“正偏离”、“负偏离”或者“无偏离”。既不属于“正偏离”也不属于“负偏离”即为“无偏离”。</w:t>
      </w:r>
    </w:p>
    <w:p>
      <w:pPr>
        <w:snapToGrid w:val="0"/>
        <w:spacing w:before="50" w:after="50"/>
        <w:rPr>
          <w:rFonts w:ascii="宋体" w:hAnsi="宋体"/>
          <w:color w:val="auto"/>
          <w:sz w:val="24"/>
        </w:rPr>
      </w:pPr>
    </w:p>
    <w:p>
      <w:pPr>
        <w:snapToGrid w:val="0"/>
        <w:spacing w:before="50" w:after="50"/>
        <w:rPr>
          <w:rFonts w:ascii="宋体" w:hAnsi="宋体"/>
          <w:color w:val="auto"/>
          <w:spacing w:val="20"/>
          <w:sz w:val="24"/>
          <w:u w:val="single"/>
        </w:rPr>
      </w:pPr>
      <w:r>
        <w:rPr>
          <w:rFonts w:hint="eastAsia" w:ascii="宋体" w:hAnsi="宋体"/>
          <w:color w:val="auto"/>
          <w:sz w:val="24"/>
        </w:rPr>
        <w:t>法定代表人或者委托代理人（签字/电子签名）</w:t>
      </w:r>
      <w:r>
        <w:rPr>
          <w:rFonts w:hint="eastAsia" w:ascii="宋体" w:hAnsi="宋体"/>
          <w:color w:val="auto"/>
          <w:spacing w:val="20"/>
          <w:sz w:val="24"/>
        </w:rPr>
        <w:t>：</w:t>
      </w:r>
      <w:r>
        <w:rPr>
          <w:rFonts w:hint="eastAsia" w:ascii="宋体" w:hAnsi="宋体"/>
          <w:color w:val="auto"/>
          <w:spacing w:val="20"/>
          <w:sz w:val="24"/>
          <w:u w:val="single"/>
        </w:rPr>
        <w:t xml:space="preserve">        </w:t>
      </w:r>
    </w:p>
    <w:p>
      <w:pPr>
        <w:snapToGrid w:val="0"/>
        <w:spacing w:beforeLines="50"/>
        <w:rPr>
          <w:rFonts w:ascii="宋体" w:hAnsi="宋体"/>
          <w:color w:val="auto"/>
          <w:spacing w:val="20"/>
          <w:sz w:val="24"/>
        </w:rPr>
      </w:pPr>
      <w:r>
        <w:rPr>
          <w:rFonts w:hint="eastAsia" w:ascii="宋体" w:hAnsi="宋体"/>
          <w:color w:val="auto"/>
          <w:spacing w:val="20"/>
          <w:sz w:val="24"/>
        </w:rPr>
        <w:t>投标人名称（电子签章）：</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p>
      <w:pPr>
        <w:snapToGrid w:val="0"/>
        <w:spacing w:beforeLines="50"/>
        <w:rPr>
          <w:rFonts w:ascii="宋体" w:hAnsi="宋体"/>
          <w:color w:val="auto"/>
          <w:sz w:val="24"/>
          <w:szCs w:val="20"/>
        </w:rPr>
      </w:pPr>
      <w:r>
        <w:rPr>
          <w:rFonts w:hint="eastAsia" w:ascii="宋体" w:hAnsi="宋体"/>
          <w:color w:val="auto"/>
          <w:spacing w:val="20"/>
          <w:sz w:val="24"/>
        </w:rPr>
        <w:t>日  期：</w:t>
      </w:r>
      <w:r>
        <w:rPr>
          <w:rFonts w:hint="eastAsia" w:ascii="宋体" w:hAnsi="宋体"/>
          <w:color w:val="auto"/>
          <w:spacing w:val="20"/>
          <w:sz w:val="24"/>
          <w:u w:val="single"/>
        </w:rPr>
        <w:t xml:space="preserve">         </w:t>
      </w:r>
    </w:p>
    <w:p>
      <w:pPr>
        <w:snapToGrid w:val="0"/>
        <w:spacing w:beforeLines="50"/>
        <w:rPr>
          <w:rFonts w:ascii="宋体" w:hAnsi="宋体"/>
          <w:color w:val="auto"/>
          <w:sz w:val="24"/>
          <w:szCs w:val="20"/>
        </w:rPr>
      </w:pPr>
    </w:p>
    <w:p>
      <w:pPr>
        <w:snapToGrid w:val="0"/>
        <w:spacing w:beforeLines="50" w:after="50"/>
        <w:jc w:val="left"/>
        <w:rPr>
          <w:rFonts w:ascii="宋体" w:hAnsi="宋体"/>
          <w:color w:val="auto"/>
          <w:sz w:val="24"/>
          <w:szCs w:val="20"/>
        </w:rPr>
        <w:sectPr>
          <w:footerReference r:id="rId12" w:type="first"/>
          <w:headerReference r:id="rId9" w:type="default"/>
          <w:footerReference r:id="rId10" w:type="default"/>
          <w:footerReference r:id="rId11" w:type="even"/>
          <w:pgSz w:w="11906" w:h="16838"/>
          <w:pgMar w:top="1134" w:right="1134" w:bottom="1134" w:left="1134" w:header="851" w:footer="992" w:gutter="0"/>
          <w:cols w:space="720" w:num="1"/>
          <w:docGrid w:linePitch="312" w:charSpace="0"/>
        </w:sectPr>
      </w:pPr>
    </w:p>
    <w:p>
      <w:pPr>
        <w:snapToGrid w:val="0"/>
        <w:spacing w:beforeLines="50" w:after="50"/>
        <w:jc w:val="left"/>
        <w:rPr>
          <w:rFonts w:ascii="宋体" w:hAnsi="宋体"/>
          <w:b/>
          <w:color w:val="auto"/>
          <w:sz w:val="24"/>
        </w:rPr>
      </w:pPr>
      <w:r>
        <w:rPr>
          <w:rFonts w:ascii="宋体" w:hAnsi="宋体"/>
          <w:b/>
          <w:color w:val="auto"/>
          <w:sz w:val="24"/>
        </w:rPr>
        <w:t>6</w:t>
      </w:r>
      <w:r>
        <w:rPr>
          <w:rFonts w:hint="eastAsia" w:ascii="宋体" w:hAnsi="宋体"/>
          <w:b/>
          <w:color w:val="auto"/>
          <w:sz w:val="24"/>
        </w:rPr>
        <w:t>.投标人类似的业绩证明文件</w:t>
      </w:r>
    </w:p>
    <w:p>
      <w:pPr>
        <w:pStyle w:val="27"/>
        <w:snapToGrid w:val="0"/>
        <w:ind w:left="480" w:hanging="480"/>
        <w:rPr>
          <w:rFonts w:ascii="宋体" w:hAnsi="宋体"/>
          <w:color w:val="auto"/>
          <w:sz w:val="24"/>
        </w:rPr>
      </w:pPr>
    </w:p>
    <w:p>
      <w:pPr>
        <w:pStyle w:val="27"/>
        <w:snapToGrid w:val="0"/>
        <w:ind w:left="480" w:hanging="480"/>
        <w:rPr>
          <w:rFonts w:ascii="宋体" w:hAnsi="宋体"/>
          <w:color w:val="auto"/>
          <w:sz w:val="24"/>
        </w:rPr>
      </w:pPr>
      <w:r>
        <w:rPr>
          <w:rFonts w:hint="eastAsia" w:ascii="宋体" w:hAnsi="宋体"/>
          <w:color w:val="auto"/>
          <w:sz w:val="24"/>
        </w:rPr>
        <w:t>投标人同类项目情况一览表格式：（投标人同类项目中标通知书或用户验收报告等格式自拟）</w:t>
      </w: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0"/>
        <w:gridCol w:w="1845"/>
        <w:gridCol w:w="1111"/>
        <w:gridCol w:w="1834"/>
        <w:gridCol w:w="1781"/>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采购人名称</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项目名称</w:t>
            </w:r>
          </w:p>
        </w:tc>
        <w:tc>
          <w:tcPr>
            <w:tcW w:w="111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合同</w:t>
            </w:r>
          </w:p>
          <w:p>
            <w:pPr>
              <w:snapToGrid w:val="0"/>
              <w:spacing w:line="240" w:lineRule="exact"/>
              <w:jc w:val="center"/>
              <w:rPr>
                <w:rFonts w:ascii="宋体" w:hAnsi="宋体"/>
                <w:color w:val="auto"/>
                <w:sz w:val="24"/>
              </w:rPr>
            </w:pPr>
            <w:r>
              <w:rPr>
                <w:rFonts w:hint="eastAsia" w:ascii="宋体" w:hAnsi="宋体"/>
                <w:color w:val="auto"/>
                <w:sz w:val="24"/>
              </w:rPr>
              <w:t>金额</w:t>
            </w:r>
          </w:p>
          <w:p>
            <w:pPr>
              <w:snapToGrid w:val="0"/>
              <w:spacing w:line="240" w:lineRule="exact"/>
              <w:jc w:val="center"/>
              <w:rPr>
                <w:rFonts w:ascii="宋体" w:hAnsi="宋体"/>
                <w:color w:val="auto"/>
                <w:sz w:val="24"/>
              </w:rPr>
            </w:pPr>
            <w:r>
              <w:rPr>
                <w:rFonts w:hint="eastAsia" w:ascii="宋体" w:hAnsi="宋体"/>
                <w:color w:val="auto"/>
                <w:sz w:val="24"/>
              </w:rPr>
              <w:t>（万元）</w:t>
            </w:r>
          </w:p>
        </w:tc>
        <w:tc>
          <w:tcPr>
            <w:tcW w:w="36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附件在投标文件中页码</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采购人联系人及</w:t>
            </w:r>
          </w:p>
          <w:p>
            <w:pPr>
              <w:snapToGrid w:val="0"/>
              <w:spacing w:line="240" w:lineRule="exact"/>
              <w:jc w:val="center"/>
              <w:rPr>
                <w:rFonts w:ascii="宋体" w:hAnsi="宋体"/>
                <w:color w:val="auto"/>
                <w:sz w:val="24"/>
              </w:rPr>
            </w:pPr>
            <w:r>
              <w:rPr>
                <w:rFonts w:hint="eastAsia" w:ascii="宋体" w:hAnsi="宋体"/>
                <w:color w:val="auto"/>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rPr>
            </w:pPr>
          </w:p>
        </w:tc>
        <w:tc>
          <w:tcPr>
            <w:tcW w:w="111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合同</w:t>
            </w: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rPr>
            </w:pPr>
            <w:r>
              <w:rPr>
                <w:rFonts w:hint="eastAsia" w:ascii="宋体" w:hAnsi="宋体"/>
                <w:color w:val="auto"/>
                <w:sz w:val="24"/>
              </w:rPr>
              <w:t>验收报告</w:t>
            </w: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c>
          <w:tcPr>
            <w:tcW w:w="111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c>
          <w:tcPr>
            <w:tcW w:w="17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c>
          <w:tcPr>
            <w:tcW w:w="121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11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78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2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1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11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78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2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11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78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2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11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83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78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c>
          <w:tcPr>
            <w:tcW w:w="12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 w:val="24"/>
              </w:rPr>
            </w:pPr>
          </w:p>
        </w:tc>
      </w:tr>
    </w:tbl>
    <w:p>
      <w:pPr>
        <w:pStyle w:val="10"/>
        <w:snapToGrid w:val="0"/>
        <w:rPr>
          <w:rFonts w:ascii="宋体" w:hAnsi="宋体" w:eastAsia="宋体"/>
          <w:color w:val="auto"/>
          <w:sz w:val="24"/>
          <w:szCs w:val="24"/>
        </w:rPr>
      </w:pPr>
    </w:p>
    <w:p>
      <w:pPr>
        <w:pStyle w:val="10"/>
        <w:snapToGrid w:val="0"/>
        <w:rPr>
          <w:rFonts w:ascii="宋体" w:hAnsi="宋体" w:eastAsia="宋体"/>
          <w:color w:val="auto"/>
          <w:sz w:val="24"/>
          <w:szCs w:val="24"/>
        </w:rPr>
      </w:pPr>
      <w:r>
        <w:rPr>
          <w:rFonts w:hint="eastAsia" w:ascii="宋体" w:hAnsi="宋体" w:eastAsia="宋体"/>
          <w:color w:val="auto"/>
          <w:sz w:val="24"/>
          <w:szCs w:val="24"/>
        </w:rPr>
        <w:t>注：投标人可根据评标标准具体要求附业绩证明材料。</w:t>
      </w:r>
    </w:p>
    <w:p>
      <w:pPr>
        <w:pStyle w:val="10"/>
        <w:snapToGrid w:val="0"/>
        <w:jc w:val="left"/>
        <w:rPr>
          <w:rFonts w:ascii="宋体" w:hAnsi="宋体" w:eastAsia="宋体"/>
          <w:color w:val="auto"/>
          <w:sz w:val="24"/>
          <w:szCs w:val="24"/>
        </w:rPr>
      </w:pPr>
    </w:p>
    <w:p>
      <w:pPr>
        <w:pStyle w:val="10"/>
        <w:snapToGrid w:val="0"/>
        <w:jc w:val="left"/>
        <w:rPr>
          <w:rFonts w:ascii="宋体" w:hAnsi="宋体" w:eastAsia="宋体"/>
          <w:color w:val="auto"/>
          <w:sz w:val="24"/>
          <w:szCs w:val="24"/>
          <w:u w:val="single"/>
        </w:rPr>
      </w:pPr>
      <w:r>
        <w:rPr>
          <w:rFonts w:hint="eastAsia" w:ascii="宋体" w:hAnsi="宋体" w:eastAsia="宋体"/>
          <w:color w:val="auto"/>
          <w:sz w:val="24"/>
          <w:szCs w:val="24"/>
        </w:rPr>
        <w:t>法定代表人或者委托代理人（签字/电子签名）：</w:t>
      </w:r>
      <w:r>
        <w:rPr>
          <w:rFonts w:hint="eastAsia" w:ascii="宋体" w:hAnsi="宋体" w:eastAsia="宋体"/>
          <w:color w:val="auto"/>
          <w:sz w:val="24"/>
          <w:szCs w:val="24"/>
          <w:u w:val="single"/>
        </w:rPr>
        <w:t>　　　　　</w:t>
      </w:r>
    </w:p>
    <w:p>
      <w:pPr>
        <w:snapToGrid w:val="0"/>
        <w:spacing w:before="50"/>
        <w:ind w:right="480"/>
        <w:jc w:val="left"/>
        <w:rPr>
          <w:rFonts w:ascii="宋体" w:hAnsi="宋体"/>
          <w:color w:val="auto"/>
          <w:sz w:val="24"/>
        </w:rPr>
      </w:pPr>
      <w:r>
        <w:rPr>
          <w:rFonts w:hint="eastAsia" w:ascii="宋体" w:hAnsi="宋体" w:cs="Arial"/>
          <w:color w:val="auto"/>
          <w:sz w:val="24"/>
        </w:rPr>
        <w:t xml:space="preserve">投标人名称（电子签章）： </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before="50"/>
        <w:ind w:right="480"/>
        <w:jc w:val="left"/>
        <w:rPr>
          <w:rFonts w:ascii="宋体" w:hAnsi="宋体"/>
          <w:color w:val="auto"/>
          <w:sz w:val="24"/>
        </w:rPr>
      </w:pPr>
      <w:r>
        <w:rPr>
          <w:rFonts w:hint="eastAsia" w:ascii="宋体" w:hAnsi="宋体"/>
          <w:color w:val="auto"/>
          <w:sz w:val="24"/>
        </w:rPr>
        <w:t xml:space="preserve"> </w:t>
      </w:r>
    </w:p>
    <w:p>
      <w:pPr>
        <w:snapToGrid w:val="0"/>
        <w:spacing w:before="50"/>
        <w:ind w:right="480"/>
        <w:jc w:val="left"/>
        <w:rPr>
          <w:rFonts w:ascii="宋体" w:hAnsi="宋体"/>
          <w:color w:val="auto"/>
          <w:sz w:val="24"/>
          <w:szCs w:val="20"/>
        </w:rPr>
      </w:pPr>
      <w:r>
        <w:rPr>
          <w:rFonts w:hint="eastAsia" w:ascii="宋体" w:hAnsi="宋体"/>
          <w:color w:val="auto"/>
          <w:sz w:val="24"/>
        </w:rPr>
        <w:t>年    月    日</w:t>
      </w:r>
    </w:p>
    <w:p>
      <w:pPr>
        <w:snapToGrid w:val="0"/>
        <w:spacing w:before="50"/>
        <w:jc w:val="left"/>
        <w:rPr>
          <w:rFonts w:ascii="宋体" w:hAnsi="宋体"/>
          <w:color w:val="auto"/>
          <w:sz w:val="24"/>
        </w:rPr>
      </w:pPr>
    </w:p>
    <w:p>
      <w:pPr>
        <w:snapToGrid w:val="0"/>
        <w:spacing w:beforeLines="50"/>
        <w:rPr>
          <w:rFonts w:ascii="宋体" w:hAnsi="宋体"/>
          <w:color w:val="auto"/>
          <w:sz w:val="24"/>
          <w:szCs w:val="20"/>
        </w:rPr>
        <w:sectPr>
          <w:pgSz w:w="11906" w:h="16838"/>
          <w:pgMar w:top="1440" w:right="1797" w:bottom="1440" w:left="1797" w:header="851" w:footer="992" w:gutter="0"/>
          <w:cols w:space="720" w:num="1"/>
          <w:docGrid w:linePitch="312" w:charSpace="0"/>
        </w:sectPr>
      </w:pPr>
    </w:p>
    <w:p>
      <w:pPr>
        <w:snapToGrid w:val="0"/>
        <w:spacing w:beforeLines="50" w:after="50"/>
        <w:outlineLvl w:val="1"/>
        <w:rPr>
          <w:rFonts w:ascii="宋体" w:hAnsi="宋体"/>
          <w:b/>
          <w:color w:val="auto"/>
          <w:sz w:val="28"/>
          <w:szCs w:val="28"/>
        </w:rPr>
      </w:pPr>
      <w:bookmarkStart w:id="164" w:name="_Toc19686839"/>
      <w:r>
        <w:rPr>
          <w:rFonts w:hint="eastAsia" w:ascii="宋体" w:hAnsi="宋体"/>
          <w:b/>
          <w:color w:val="auto"/>
          <w:sz w:val="28"/>
          <w:szCs w:val="28"/>
        </w:rPr>
        <w:t>四、技术文件格式</w:t>
      </w:r>
      <w:bookmarkEnd w:id="164"/>
    </w:p>
    <w:p>
      <w:pPr>
        <w:snapToGrid w:val="0"/>
        <w:spacing w:beforeLines="50" w:after="50"/>
        <w:ind w:left="142"/>
        <w:jc w:val="left"/>
        <w:rPr>
          <w:rFonts w:ascii="宋体" w:hAnsi="宋体"/>
          <w:b/>
          <w:color w:val="auto"/>
          <w:sz w:val="24"/>
        </w:rPr>
      </w:pPr>
      <w:r>
        <w:rPr>
          <w:rFonts w:hint="eastAsia" w:ascii="宋体" w:hAnsi="宋体"/>
          <w:b/>
          <w:color w:val="auto"/>
          <w:sz w:val="24"/>
        </w:rPr>
        <w:t xml:space="preserve">1. 技术文件封面格式： </w:t>
      </w:r>
    </w:p>
    <w:p>
      <w:pPr>
        <w:snapToGrid w:val="0"/>
        <w:spacing w:beforeLines="50" w:after="50"/>
        <w:rPr>
          <w:rFonts w:ascii="宋体" w:hAnsi="宋体"/>
          <w:b/>
          <w:bCs/>
          <w:color w:val="auto"/>
          <w:sz w:val="32"/>
          <w:szCs w:val="20"/>
        </w:rPr>
      </w:pPr>
      <w:r>
        <w:rPr>
          <w:rFonts w:hint="eastAsia" w:ascii="宋体" w:hAnsi="宋体"/>
          <w:color w:val="auto"/>
          <w:sz w:val="24"/>
        </w:rPr>
        <w:t xml:space="preserve">                                                 </w:t>
      </w:r>
    </w:p>
    <w:p>
      <w:pPr>
        <w:snapToGrid w:val="0"/>
        <w:spacing w:beforeLines="50" w:after="50"/>
        <w:jc w:val="center"/>
        <w:rPr>
          <w:rFonts w:ascii="宋体" w:hAnsi="宋体" w:cs="宋体"/>
          <w:color w:val="auto"/>
          <w:sz w:val="84"/>
          <w:szCs w:val="84"/>
        </w:rPr>
      </w:pPr>
      <w:r>
        <w:rPr>
          <w:rFonts w:hint="eastAsia" w:ascii="宋体" w:hAnsi="宋体" w:cs="宋体"/>
          <w:color w:val="auto"/>
          <w:sz w:val="84"/>
          <w:szCs w:val="84"/>
        </w:rPr>
        <w:t>投  标  文  件</w:t>
      </w:r>
    </w:p>
    <w:p>
      <w:pPr>
        <w:snapToGrid w:val="0"/>
        <w:spacing w:beforeLines="50" w:after="50"/>
        <w:rPr>
          <w:rFonts w:ascii="宋体" w:hAnsi="宋体"/>
          <w:color w:val="auto"/>
          <w:sz w:val="24"/>
          <w:szCs w:val="20"/>
        </w:rPr>
      </w:pPr>
    </w:p>
    <w:p>
      <w:pPr>
        <w:snapToGrid w:val="0"/>
        <w:spacing w:beforeLines="50" w:after="50"/>
        <w:jc w:val="center"/>
        <w:rPr>
          <w:rFonts w:ascii="宋体" w:hAnsi="宋体"/>
          <w:b/>
          <w:bCs/>
          <w:color w:val="auto"/>
          <w:sz w:val="56"/>
          <w:szCs w:val="56"/>
        </w:rPr>
      </w:pPr>
      <w:r>
        <w:rPr>
          <w:rFonts w:hint="eastAsia" w:ascii="宋体" w:hAnsi="宋体"/>
          <w:b/>
          <w:bCs/>
          <w:color w:val="auto"/>
          <w:sz w:val="56"/>
          <w:szCs w:val="56"/>
        </w:rPr>
        <w:t>技术文件</w:t>
      </w:r>
    </w:p>
    <w:p>
      <w:pPr>
        <w:snapToGrid w:val="0"/>
        <w:spacing w:beforeLines="50" w:after="50"/>
        <w:rPr>
          <w:rFonts w:ascii="宋体" w:hAnsi="宋体"/>
          <w:bCs/>
          <w:color w:val="auto"/>
          <w:sz w:val="24"/>
          <w:szCs w:val="20"/>
        </w:rPr>
      </w:pP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szCs w:val="20"/>
        </w:rPr>
      </w:pPr>
      <w:r>
        <w:rPr>
          <w:rFonts w:hint="eastAsia" w:ascii="宋体" w:hAnsi="宋体"/>
          <w:bCs/>
          <w:color w:val="auto"/>
          <w:sz w:val="24"/>
        </w:rPr>
        <w:t xml:space="preserve">项目名称： </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项目编号： </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所投分标：</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投标人名称：</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投标人地址：</w:t>
      </w:r>
    </w:p>
    <w:p>
      <w:pPr>
        <w:snapToGrid w:val="0"/>
        <w:spacing w:beforeLines="50" w:after="50"/>
        <w:ind w:firstLine="645"/>
        <w:jc w:val="center"/>
        <w:rPr>
          <w:rFonts w:ascii="宋体" w:hAnsi="宋体"/>
          <w:color w:val="auto"/>
          <w:sz w:val="24"/>
        </w:rPr>
      </w:pPr>
      <w:r>
        <w:rPr>
          <w:rFonts w:hint="eastAsia" w:ascii="宋体" w:hAnsi="宋体"/>
          <w:color w:val="auto"/>
          <w:sz w:val="24"/>
        </w:rPr>
        <w:t xml:space="preserve">                        年    月    日</w:t>
      </w:r>
    </w:p>
    <w:p>
      <w:pPr>
        <w:snapToGrid w:val="0"/>
        <w:spacing w:beforeLines="50" w:after="50"/>
        <w:ind w:firstLine="645"/>
        <w:jc w:val="center"/>
        <w:rPr>
          <w:rFonts w:ascii="宋体" w:hAnsi="宋体"/>
          <w:color w:val="auto"/>
          <w:sz w:val="24"/>
          <w:szCs w:val="20"/>
        </w:rPr>
      </w:pPr>
    </w:p>
    <w:p>
      <w:pPr>
        <w:snapToGrid w:val="0"/>
        <w:spacing w:beforeLines="50" w:after="50"/>
        <w:ind w:left="142"/>
        <w:jc w:val="left"/>
        <w:rPr>
          <w:rFonts w:ascii="宋体" w:hAnsi="宋体"/>
          <w:b/>
          <w:bCs/>
          <w:color w:val="auto"/>
          <w:sz w:val="24"/>
        </w:rPr>
      </w:pPr>
      <w:r>
        <w:rPr>
          <w:rFonts w:ascii="宋体" w:hAnsi="宋体"/>
          <w:b/>
          <w:bCs/>
          <w:color w:val="auto"/>
          <w:sz w:val="24"/>
        </w:rPr>
        <w:br w:type="page"/>
      </w:r>
      <w:r>
        <w:rPr>
          <w:rFonts w:hint="eastAsia" w:ascii="宋体" w:hAnsi="宋体"/>
          <w:b/>
          <w:bCs/>
          <w:color w:val="auto"/>
          <w:sz w:val="24"/>
        </w:rPr>
        <w:t>2. 技术文件目录</w:t>
      </w:r>
    </w:p>
    <w:p>
      <w:pPr>
        <w:snapToGrid w:val="0"/>
        <w:spacing w:before="50" w:afterLines="50" w:line="280" w:lineRule="exact"/>
        <w:ind w:left="283" w:leftChars="135"/>
        <w:jc w:val="left"/>
        <w:rPr>
          <w:rFonts w:ascii="宋体" w:hAnsi="宋体"/>
          <w:color w:val="auto"/>
          <w:sz w:val="24"/>
          <w:szCs w:val="20"/>
        </w:rPr>
      </w:pPr>
      <w:r>
        <w:rPr>
          <w:rFonts w:hint="eastAsia" w:ascii="宋体" w:hAnsi="宋体"/>
          <w:color w:val="auto"/>
          <w:szCs w:val="21"/>
        </w:rPr>
        <w:t>根据招标文件规定及投标人提供的材料自行编写目录。</w:t>
      </w:r>
    </w:p>
    <w:p>
      <w:pPr>
        <w:snapToGrid w:val="0"/>
        <w:spacing w:beforeLines="50" w:after="50"/>
        <w:ind w:left="142"/>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1. 设备性能配置清单格式</w:t>
      </w:r>
    </w:p>
    <w:p>
      <w:pPr>
        <w:snapToGrid w:val="0"/>
        <w:spacing w:beforeLines="50" w:after="50"/>
        <w:ind w:left="142"/>
        <w:jc w:val="left"/>
        <w:rPr>
          <w:rFonts w:ascii="宋体" w:hAnsi="宋体"/>
          <w:b/>
          <w:color w:val="auto"/>
          <w:sz w:val="24"/>
        </w:rPr>
      </w:pPr>
    </w:p>
    <w:p>
      <w:pPr>
        <w:snapToGrid w:val="0"/>
        <w:spacing w:beforeLines="50" w:after="50"/>
        <w:ind w:left="142"/>
        <w:jc w:val="center"/>
        <w:rPr>
          <w:rFonts w:ascii="宋体" w:hAnsi="宋体"/>
          <w:b/>
          <w:color w:val="auto"/>
          <w:sz w:val="32"/>
          <w:szCs w:val="32"/>
        </w:rPr>
      </w:pPr>
      <w:r>
        <w:rPr>
          <w:rFonts w:hint="eastAsia" w:ascii="宋体" w:hAnsi="宋体"/>
          <w:b/>
          <w:color w:val="auto"/>
          <w:sz w:val="32"/>
          <w:szCs w:val="32"/>
        </w:rPr>
        <w:t>设备性能配置清单</w:t>
      </w:r>
    </w:p>
    <w:p>
      <w:pPr>
        <w:pStyle w:val="18"/>
        <w:rPr>
          <w:color w:val="auto"/>
          <w:sz w:val="24"/>
          <w:szCs w:val="24"/>
        </w:rPr>
      </w:pPr>
      <w:r>
        <w:rPr>
          <w:rFonts w:hint="eastAsia"/>
          <w:color w:val="auto"/>
          <w:sz w:val="24"/>
          <w:szCs w:val="24"/>
        </w:rPr>
        <w:t>所投分标：</w:t>
      </w:r>
      <w:r>
        <w:rPr>
          <w:rFonts w:hint="eastAsia"/>
          <w:color w:val="auto"/>
          <w:sz w:val="24"/>
          <w:szCs w:val="24"/>
          <w:u w:val="single"/>
        </w:rPr>
        <w:t xml:space="preserve">     </w:t>
      </w:r>
      <w:r>
        <w:rPr>
          <w:rFonts w:hint="eastAsia"/>
          <w:color w:val="auto"/>
          <w:sz w:val="24"/>
          <w:szCs w:val="24"/>
        </w:rPr>
        <w:t>分标</w:t>
      </w: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3"/>
        <w:gridCol w:w="1372"/>
        <w:gridCol w:w="885"/>
        <w:gridCol w:w="985"/>
        <w:gridCol w:w="1967"/>
        <w:gridCol w:w="1372"/>
        <w:gridCol w:w="812"/>
        <w:gridCol w:w="1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序号</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数量及单位</w:t>
            </w:r>
          </w:p>
        </w:tc>
        <w:tc>
          <w:tcPr>
            <w:tcW w:w="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品牌</w:t>
            </w:r>
          </w:p>
        </w:tc>
        <w:tc>
          <w:tcPr>
            <w:tcW w:w="196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rPr>
            </w:pPr>
          </w:p>
          <w:p>
            <w:pPr>
              <w:snapToGrid w:val="0"/>
              <w:spacing w:before="50" w:after="50"/>
              <w:jc w:val="center"/>
              <w:rPr>
                <w:rFonts w:ascii="宋体" w:hAnsi="宋体"/>
                <w:color w:val="auto"/>
                <w:sz w:val="24"/>
              </w:rPr>
            </w:pPr>
            <w:r>
              <w:rPr>
                <w:rFonts w:hint="eastAsia" w:ascii="宋体" w:hAnsi="宋体"/>
                <w:color w:val="auto"/>
                <w:sz w:val="24"/>
              </w:rPr>
              <w:t>规格型号</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制造商</w:t>
            </w:r>
          </w:p>
        </w:tc>
        <w:tc>
          <w:tcPr>
            <w:tcW w:w="81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原产地</w:t>
            </w:r>
          </w:p>
        </w:tc>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96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96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96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p>
        </w:tc>
      </w:tr>
    </w:tbl>
    <w:p>
      <w:pPr>
        <w:snapToGrid w:val="0"/>
        <w:spacing w:before="50" w:after="50"/>
        <w:rPr>
          <w:rFonts w:ascii="宋体" w:hAnsi="宋体"/>
          <w:color w:val="auto"/>
          <w:sz w:val="24"/>
        </w:rPr>
      </w:pPr>
      <w:r>
        <w:rPr>
          <w:rFonts w:hint="eastAsia" w:ascii="宋体" w:hAnsi="宋体"/>
          <w:color w:val="auto"/>
          <w:sz w:val="24"/>
        </w:rPr>
        <w:t>备注：</w:t>
      </w:r>
    </w:p>
    <w:p>
      <w:pPr>
        <w:snapToGrid w:val="0"/>
        <w:spacing w:before="50" w:after="50"/>
        <w:rPr>
          <w:rFonts w:ascii="宋体" w:hAnsi="宋体"/>
          <w:color w:val="auto"/>
          <w:sz w:val="24"/>
        </w:rPr>
      </w:pPr>
      <w:r>
        <w:rPr>
          <w:rFonts w:hint="eastAsia" w:ascii="宋体" w:hAnsi="宋体"/>
          <w:color w:val="auto"/>
          <w:sz w:val="24"/>
        </w:rPr>
        <w:t>以上性能配置清单中“货物名称、数量及单位、品牌、规格型号、制造商、原产地、参数性能、指标及配置”必须如实填写完整，品牌、规格型号没有则填无，填写有缺漏</w:t>
      </w:r>
      <w:r>
        <w:rPr>
          <w:rFonts w:hint="eastAsia" w:ascii="宋体" w:hAnsi="宋体"/>
          <w:bCs/>
          <w:color w:val="auto"/>
          <w:sz w:val="24"/>
        </w:rPr>
        <w:t>的，</w:t>
      </w:r>
      <w:r>
        <w:rPr>
          <w:rFonts w:hint="eastAsia" w:ascii="宋体" w:hAnsi="宋体"/>
          <w:b/>
          <w:color w:val="auto"/>
          <w:sz w:val="24"/>
        </w:rPr>
        <w:t>作无效投标处理。</w:t>
      </w:r>
      <w:r>
        <w:rPr>
          <w:rFonts w:hint="eastAsia" w:ascii="宋体" w:hAnsi="宋体"/>
          <w:color w:val="auto"/>
          <w:sz w:val="24"/>
        </w:rPr>
        <w:t>货物名称、数量及单位、品牌必须与“开标一览表”一致，</w:t>
      </w:r>
      <w:r>
        <w:rPr>
          <w:rFonts w:hint="eastAsia" w:ascii="宋体" w:hAnsi="宋体"/>
          <w:b/>
          <w:color w:val="auto"/>
          <w:sz w:val="24"/>
        </w:rPr>
        <w:t>否则作无效投标处理。</w:t>
      </w:r>
    </w:p>
    <w:p>
      <w:pPr>
        <w:snapToGrid w:val="0"/>
        <w:spacing w:before="50" w:after="50"/>
        <w:rPr>
          <w:rFonts w:ascii="宋体" w:hAnsi="宋体"/>
          <w:color w:val="auto"/>
          <w:sz w:val="24"/>
        </w:rPr>
      </w:pPr>
    </w:p>
    <w:p>
      <w:pPr>
        <w:snapToGrid w:val="0"/>
        <w:spacing w:before="50" w:after="50"/>
        <w:rPr>
          <w:rFonts w:ascii="宋体" w:hAnsi="宋体"/>
          <w:color w:val="auto"/>
          <w:sz w:val="24"/>
        </w:rPr>
      </w:pPr>
    </w:p>
    <w:p>
      <w:pPr>
        <w:snapToGrid w:val="0"/>
        <w:spacing w:before="50" w:after="50"/>
        <w:rPr>
          <w:rFonts w:ascii="宋体" w:hAnsi="宋体"/>
          <w:color w:val="auto"/>
          <w:spacing w:val="20"/>
          <w:sz w:val="24"/>
          <w:u w:val="single"/>
        </w:rPr>
      </w:pPr>
      <w:r>
        <w:rPr>
          <w:rFonts w:hint="eastAsia" w:ascii="宋体" w:hAnsi="宋体"/>
          <w:color w:val="auto"/>
          <w:sz w:val="24"/>
        </w:rPr>
        <w:t>法定代表人或者委托代理人（签字/电子签名）</w:t>
      </w:r>
      <w:r>
        <w:rPr>
          <w:rFonts w:hint="eastAsia" w:ascii="宋体" w:hAnsi="宋体"/>
          <w:color w:val="auto"/>
          <w:spacing w:val="20"/>
          <w:sz w:val="24"/>
        </w:rPr>
        <w:t>：</w:t>
      </w:r>
      <w:r>
        <w:rPr>
          <w:rFonts w:hint="eastAsia" w:ascii="宋体" w:hAnsi="宋体"/>
          <w:color w:val="auto"/>
          <w:spacing w:val="20"/>
          <w:sz w:val="24"/>
          <w:u w:val="single"/>
        </w:rPr>
        <w:t xml:space="preserve">        </w:t>
      </w:r>
    </w:p>
    <w:p>
      <w:pPr>
        <w:snapToGrid w:val="0"/>
        <w:spacing w:before="50" w:after="50"/>
        <w:rPr>
          <w:rFonts w:ascii="宋体" w:hAnsi="宋体"/>
          <w:color w:val="auto"/>
          <w:spacing w:val="20"/>
          <w:sz w:val="24"/>
        </w:rPr>
      </w:pPr>
      <w:r>
        <w:rPr>
          <w:rFonts w:hint="eastAsia" w:ascii="宋体" w:hAnsi="宋体"/>
          <w:color w:val="auto"/>
          <w:spacing w:val="20"/>
          <w:sz w:val="24"/>
        </w:rPr>
        <w:t>投标人名称（电子签章）：</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p>
      <w:pPr>
        <w:snapToGrid w:val="0"/>
        <w:spacing w:before="50" w:after="50"/>
        <w:rPr>
          <w:rFonts w:ascii="宋体" w:hAnsi="宋体"/>
          <w:color w:val="auto"/>
          <w:sz w:val="24"/>
          <w:szCs w:val="20"/>
        </w:rPr>
      </w:pPr>
      <w:r>
        <w:rPr>
          <w:rFonts w:hint="eastAsia" w:ascii="宋体" w:hAnsi="宋体"/>
          <w:color w:val="auto"/>
          <w:spacing w:val="20"/>
          <w:sz w:val="24"/>
        </w:rPr>
        <w:t>日  期：</w:t>
      </w:r>
      <w:r>
        <w:rPr>
          <w:rFonts w:hint="eastAsia" w:ascii="宋体" w:hAnsi="宋体"/>
          <w:color w:val="auto"/>
          <w:spacing w:val="20"/>
          <w:sz w:val="24"/>
          <w:u w:val="single"/>
        </w:rPr>
        <w:t xml:space="preserve">          </w:t>
      </w:r>
    </w:p>
    <w:p>
      <w:pPr>
        <w:snapToGrid w:val="0"/>
        <w:spacing w:before="50" w:afterLines="50"/>
        <w:jc w:val="left"/>
        <w:rPr>
          <w:rFonts w:ascii="宋体" w:hAnsi="宋体"/>
          <w:color w:val="auto"/>
          <w:sz w:val="24"/>
          <w:szCs w:val="20"/>
        </w:rPr>
      </w:pPr>
    </w:p>
    <w:p>
      <w:pPr>
        <w:snapToGrid w:val="0"/>
        <w:spacing w:before="50" w:afterLines="50"/>
        <w:jc w:val="left"/>
        <w:rPr>
          <w:rFonts w:ascii="宋体" w:hAnsi="宋体"/>
          <w:color w:val="auto"/>
          <w:sz w:val="24"/>
          <w:szCs w:val="20"/>
        </w:rPr>
      </w:pPr>
    </w:p>
    <w:p>
      <w:pPr>
        <w:snapToGrid w:val="0"/>
        <w:spacing w:beforeLines="50" w:after="50"/>
        <w:ind w:left="142"/>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2. 技术偏离表格式</w:t>
      </w:r>
    </w:p>
    <w:p>
      <w:pPr>
        <w:snapToGrid w:val="0"/>
        <w:spacing w:beforeLines="50" w:after="50"/>
        <w:ind w:left="142"/>
        <w:jc w:val="left"/>
        <w:rPr>
          <w:rFonts w:ascii="宋体" w:hAnsi="宋体"/>
          <w:b/>
          <w:color w:val="auto"/>
          <w:sz w:val="24"/>
        </w:rPr>
      </w:pPr>
    </w:p>
    <w:p>
      <w:pPr>
        <w:snapToGrid w:val="0"/>
        <w:spacing w:beforeLines="50" w:after="50"/>
        <w:ind w:left="142"/>
        <w:jc w:val="center"/>
        <w:rPr>
          <w:rFonts w:ascii="宋体" w:hAnsi="宋体"/>
          <w:b/>
          <w:color w:val="auto"/>
          <w:sz w:val="32"/>
          <w:szCs w:val="32"/>
        </w:rPr>
      </w:pPr>
      <w:r>
        <w:rPr>
          <w:rFonts w:hint="eastAsia" w:ascii="宋体" w:hAnsi="宋体"/>
          <w:b/>
          <w:color w:val="auto"/>
          <w:sz w:val="32"/>
          <w:szCs w:val="32"/>
        </w:rPr>
        <w:t>技术偏离表</w:t>
      </w:r>
    </w:p>
    <w:p>
      <w:pPr>
        <w:pStyle w:val="18"/>
        <w:rPr>
          <w:rFonts w:hAnsi="宋体"/>
          <w:color w:val="auto"/>
          <w:sz w:val="24"/>
          <w:szCs w:val="24"/>
        </w:rPr>
      </w:pPr>
      <w:r>
        <w:rPr>
          <w:rFonts w:hint="eastAsia" w:hAnsi="宋体"/>
          <w:color w:val="auto"/>
          <w:sz w:val="24"/>
          <w:szCs w:val="24"/>
        </w:rPr>
        <w:t>所投分标：</w:t>
      </w:r>
      <w:r>
        <w:rPr>
          <w:rFonts w:hint="eastAsia" w:hAnsi="宋体"/>
          <w:color w:val="auto"/>
          <w:sz w:val="24"/>
          <w:szCs w:val="24"/>
          <w:u w:val="single"/>
        </w:rPr>
        <w:t xml:space="preserve">     </w:t>
      </w:r>
      <w:r>
        <w:rPr>
          <w:rFonts w:hint="eastAsia" w:hAnsi="宋体"/>
          <w:color w:val="auto"/>
          <w:sz w:val="24"/>
          <w:szCs w:val="24"/>
        </w:rPr>
        <w:t>分标</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18"/>
              <w:spacing w:line="400" w:lineRule="exact"/>
              <w:jc w:val="center"/>
              <w:rPr>
                <w:rFonts w:hAnsi="宋体" w:cs="Courier New"/>
                <w:color w:val="auto"/>
                <w:sz w:val="24"/>
                <w:szCs w:val="24"/>
              </w:rPr>
            </w:pPr>
            <w:r>
              <w:rPr>
                <w:rFonts w:hint="eastAsia" w:hAnsi="宋体" w:cs="Courier New"/>
                <w:color w:val="auto"/>
                <w:sz w:val="24"/>
                <w:szCs w:val="24"/>
              </w:rPr>
              <w:t>项号</w:t>
            </w:r>
          </w:p>
        </w:tc>
        <w:tc>
          <w:tcPr>
            <w:tcW w:w="2143" w:type="dxa"/>
            <w:vAlign w:val="center"/>
          </w:tcPr>
          <w:p>
            <w:pPr>
              <w:pStyle w:val="18"/>
              <w:spacing w:line="400" w:lineRule="exact"/>
              <w:jc w:val="center"/>
              <w:rPr>
                <w:rFonts w:hAnsi="宋体" w:cs="Courier New"/>
                <w:color w:val="auto"/>
                <w:sz w:val="24"/>
                <w:szCs w:val="24"/>
              </w:rPr>
            </w:pPr>
            <w:r>
              <w:rPr>
                <w:rFonts w:hint="eastAsia" w:hAnsi="宋体" w:cs="Courier New"/>
                <w:color w:val="auto"/>
                <w:sz w:val="24"/>
                <w:szCs w:val="24"/>
              </w:rPr>
              <w:t>标的的名称</w:t>
            </w:r>
          </w:p>
        </w:tc>
        <w:tc>
          <w:tcPr>
            <w:tcW w:w="1834" w:type="dxa"/>
            <w:vAlign w:val="center"/>
          </w:tcPr>
          <w:p>
            <w:pPr>
              <w:pStyle w:val="18"/>
              <w:spacing w:line="400" w:lineRule="exact"/>
              <w:jc w:val="center"/>
              <w:rPr>
                <w:rFonts w:hAnsi="宋体" w:cs="Courier New"/>
                <w:color w:val="auto"/>
                <w:sz w:val="24"/>
                <w:szCs w:val="24"/>
              </w:rPr>
            </w:pPr>
            <w:r>
              <w:rPr>
                <w:rFonts w:hint="eastAsia" w:hAnsi="宋体" w:cs="Courier New"/>
                <w:color w:val="auto"/>
                <w:sz w:val="24"/>
                <w:szCs w:val="24"/>
              </w:rPr>
              <w:t>招标要求</w:t>
            </w:r>
          </w:p>
        </w:tc>
        <w:tc>
          <w:tcPr>
            <w:tcW w:w="2181" w:type="dxa"/>
            <w:vAlign w:val="center"/>
          </w:tcPr>
          <w:p>
            <w:pPr>
              <w:pStyle w:val="18"/>
              <w:spacing w:line="400" w:lineRule="exact"/>
              <w:jc w:val="center"/>
              <w:rPr>
                <w:rFonts w:hAnsi="宋体" w:cs="Courier New"/>
                <w:color w:val="auto"/>
                <w:sz w:val="24"/>
                <w:szCs w:val="24"/>
              </w:rPr>
            </w:pPr>
            <w:r>
              <w:rPr>
                <w:rFonts w:hint="eastAsia" w:hAnsi="宋体" w:cs="Courier New"/>
                <w:color w:val="auto"/>
                <w:sz w:val="24"/>
                <w:szCs w:val="24"/>
              </w:rPr>
              <w:t>投标响应</w:t>
            </w:r>
          </w:p>
        </w:tc>
        <w:tc>
          <w:tcPr>
            <w:tcW w:w="1934" w:type="dxa"/>
            <w:vAlign w:val="center"/>
          </w:tcPr>
          <w:p>
            <w:pPr>
              <w:pStyle w:val="18"/>
              <w:spacing w:line="400" w:lineRule="exact"/>
              <w:jc w:val="center"/>
              <w:rPr>
                <w:rFonts w:hAnsi="宋体" w:cs="Courier New"/>
                <w:color w:val="auto"/>
                <w:sz w:val="24"/>
                <w:szCs w:val="24"/>
              </w:rPr>
            </w:pPr>
            <w:r>
              <w:rPr>
                <w:rFonts w:hint="eastAsia" w:hAnsi="宋体" w:cs="Courier New"/>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jc w:val="center"/>
              <w:rPr>
                <w:rFonts w:hAnsi="宋体" w:cs="Courier New"/>
                <w:color w:val="auto"/>
                <w:sz w:val="24"/>
                <w:szCs w:val="24"/>
              </w:rPr>
            </w:pPr>
          </w:p>
        </w:tc>
        <w:tc>
          <w:tcPr>
            <w:tcW w:w="2143" w:type="dxa"/>
            <w:vAlign w:val="center"/>
          </w:tcPr>
          <w:p>
            <w:pPr>
              <w:pStyle w:val="18"/>
              <w:spacing w:line="600" w:lineRule="exact"/>
              <w:jc w:val="center"/>
              <w:rPr>
                <w:rFonts w:hAnsi="宋体" w:cs="Courier New"/>
                <w:color w:val="auto"/>
                <w:sz w:val="24"/>
                <w:szCs w:val="24"/>
              </w:rPr>
            </w:pPr>
          </w:p>
        </w:tc>
        <w:tc>
          <w:tcPr>
            <w:tcW w:w="1834" w:type="dxa"/>
            <w:vAlign w:val="center"/>
          </w:tcPr>
          <w:p>
            <w:pPr>
              <w:pStyle w:val="18"/>
              <w:spacing w:line="600" w:lineRule="exact"/>
              <w:jc w:val="center"/>
              <w:rPr>
                <w:rFonts w:hAnsi="宋体" w:cs="Courier New"/>
                <w:color w:val="auto"/>
                <w:sz w:val="24"/>
                <w:szCs w:val="24"/>
              </w:rPr>
            </w:pPr>
          </w:p>
        </w:tc>
        <w:tc>
          <w:tcPr>
            <w:tcW w:w="2181" w:type="dxa"/>
            <w:vAlign w:val="center"/>
          </w:tcPr>
          <w:p>
            <w:pPr>
              <w:pStyle w:val="18"/>
              <w:spacing w:line="600" w:lineRule="exact"/>
              <w:jc w:val="center"/>
              <w:rPr>
                <w:rFonts w:hAnsi="宋体" w:cs="Courier New"/>
                <w:color w:val="auto"/>
                <w:sz w:val="24"/>
                <w:szCs w:val="24"/>
              </w:rPr>
            </w:pPr>
          </w:p>
        </w:tc>
        <w:tc>
          <w:tcPr>
            <w:tcW w:w="1934" w:type="dxa"/>
            <w:vAlign w:val="center"/>
          </w:tcPr>
          <w:p>
            <w:pPr>
              <w:pStyle w:val="18"/>
              <w:spacing w:line="600" w:lineRule="exact"/>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rPr>
            </w:pPr>
          </w:p>
        </w:tc>
        <w:tc>
          <w:tcPr>
            <w:tcW w:w="2143" w:type="dxa"/>
          </w:tcPr>
          <w:p>
            <w:pPr>
              <w:pStyle w:val="18"/>
              <w:spacing w:line="600" w:lineRule="exact"/>
              <w:rPr>
                <w:rFonts w:hAnsi="宋体" w:cs="Courier New"/>
                <w:color w:val="auto"/>
                <w:sz w:val="24"/>
                <w:szCs w:val="24"/>
              </w:rPr>
            </w:pPr>
          </w:p>
        </w:tc>
        <w:tc>
          <w:tcPr>
            <w:tcW w:w="1834" w:type="dxa"/>
          </w:tcPr>
          <w:p>
            <w:pPr>
              <w:pStyle w:val="18"/>
              <w:spacing w:line="600" w:lineRule="exact"/>
              <w:rPr>
                <w:rFonts w:hAnsi="宋体" w:cs="Courier New"/>
                <w:color w:val="auto"/>
                <w:sz w:val="24"/>
                <w:szCs w:val="24"/>
              </w:rPr>
            </w:pPr>
          </w:p>
        </w:tc>
        <w:tc>
          <w:tcPr>
            <w:tcW w:w="2181" w:type="dxa"/>
          </w:tcPr>
          <w:p>
            <w:pPr>
              <w:pStyle w:val="18"/>
              <w:spacing w:line="600" w:lineRule="exact"/>
              <w:rPr>
                <w:rFonts w:hAnsi="宋体" w:cs="Courier New"/>
                <w:color w:val="auto"/>
                <w:sz w:val="24"/>
                <w:szCs w:val="24"/>
              </w:rPr>
            </w:pPr>
          </w:p>
        </w:tc>
        <w:tc>
          <w:tcPr>
            <w:tcW w:w="1934" w:type="dxa"/>
          </w:tcPr>
          <w:p>
            <w:pPr>
              <w:pStyle w:val="18"/>
              <w:spacing w:line="600" w:lineRule="exact"/>
              <w:rPr>
                <w:rFonts w:hAnsi="宋体" w:cs="Courier New"/>
                <w:color w:val="auto"/>
                <w:sz w:val="24"/>
                <w:szCs w:val="24"/>
              </w:rPr>
            </w:pPr>
          </w:p>
        </w:tc>
      </w:tr>
    </w:tbl>
    <w:p>
      <w:pPr>
        <w:pStyle w:val="13"/>
        <w:rPr>
          <w:rFonts w:ascii="宋体" w:hAnsi="宋体"/>
          <w:color w:val="auto"/>
        </w:rPr>
      </w:pPr>
      <w:r>
        <w:rPr>
          <w:rFonts w:hint="eastAsia" w:ascii="宋体" w:hAnsi="宋体"/>
          <w:color w:val="auto"/>
        </w:rPr>
        <w:t>注：</w:t>
      </w:r>
    </w:p>
    <w:p>
      <w:pPr>
        <w:pStyle w:val="15"/>
        <w:spacing w:line="520" w:lineRule="exact"/>
        <w:ind w:firstLine="0"/>
        <w:rPr>
          <w:rFonts w:hAnsi="仿宋_GB2312" w:cs="仿宋_GB2312"/>
          <w:color w:val="auto"/>
          <w:sz w:val="21"/>
          <w:szCs w:val="21"/>
        </w:rPr>
      </w:pPr>
      <w:r>
        <w:rPr>
          <w:rFonts w:hint="eastAsia" w:hAnsi="宋体"/>
          <w:color w:val="auto"/>
          <w:sz w:val="21"/>
          <w:szCs w:val="21"/>
        </w:rPr>
        <w:t>1. 说明：应对照招标文件“第二章 采购需求”中的技术需求逐条实质性响应，并作出偏离说明。</w:t>
      </w:r>
    </w:p>
    <w:p>
      <w:pPr>
        <w:pStyle w:val="13"/>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投标人应根据投标设备的性能指标，对照招标文件要求，在“偏离说明”中注明“正偏离”、“负偏离”或者“无偏离”。既不属于“正偏离”也不属于“负偏离”即为“无偏离”。</w:t>
      </w:r>
    </w:p>
    <w:p>
      <w:pPr>
        <w:pStyle w:val="13"/>
        <w:rPr>
          <w:rFonts w:ascii="宋体" w:hAnsi="宋体"/>
          <w:color w:val="auto"/>
          <w:spacing w:val="20"/>
        </w:rPr>
      </w:pPr>
    </w:p>
    <w:p>
      <w:pPr>
        <w:snapToGrid w:val="0"/>
        <w:spacing w:before="50" w:after="50"/>
        <w:rPr>
          <w:rFonts w:ascii="宋体" w:hAnsi="宋体"/>
          <w:color w:val="auto"/>
          <w:spacing w:val="20"/>
          <w:sz w:val="24"/>
          <w:u w:val="single"/>
        </w:rPr>
      </w:pPr>
      <w:r>
        <w:rPr>
          <w:rFonts w:hint="eastAsia" w:ascii="宋体" w:hAnsi="宋体"/>
          <w:color w:val="auto"/>
          <w:sz w:val="24"/>
        </w:rPr>
        <w:t>法定代表人或者委托代理人（签字/电子签名）</w:t>
      </w:r>
      <w:r>
        <w:rPr>
          <w:rFonts w:hint="eastAsia" w:ascii="宋体" w:hAnsi="宋体"/>
          <w:color w:val="auto"/>
          <w:spacing w:val="20"/>
          <w:sz w:val="24"/>
        </w:rPr>
        <w:t>：</w:t>
      </w:r>
      <w:r>
        <w:rPr>
          <w:rFonts w:hint="eastAsia" w:ascii="宋体" w:hAnsi="宋体"/>
          <w:color w:val="auto"/>
          <w:spacing w:val="20"/>
          <w:sz w:val="24"/>
          <w:u w:val="single"/>
        </w:rPr>
        <w:t xml:space="preserve">        </w:t>
      </w:r>
    </w:p>
    <w:p>
      <w:pPr>
        <w:snapToGrid w:val="0"/>
        <w:spacing w:before="50" w:after="50"/>
        <w:rPr>
          <w:rFonts w:ascii="宋体" w:hAnsi="宋体"/>
          <w:color w:val="auto"/>
          <w:spacing w:val="20"/>
          <w:sz w:val="24"/>
        </w:rPr>
      </w:pPr>
      <w:r>
        <w:rPr>
          <w:rFonts w:hint="eastAsia" w:ascii="宋体" w:hAnsi="宋体"/>
          <w:color w:val="auto"/>
          <w:spacing w:val="20"/>
          <w:sz w:val="24"/>
        </w:rPr>
        <w:t>投标人名称（电子签章）：</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p>
      <w:pPr>
        <w:snapToGrid w:val="0"/>
        <w:spacing w:before="50" w:after="50"/>
        <w:rPr>
          <w:rFonts w:ascii="宋体" w:hAnsi="宋体"/>
          <w:color w:val="auto"/>
          <w:spacing w:val="20"/>
          <w:sz w:val="24"/>
          <w:u w:val="single"/>
        </w:rPr>
      </w:pPr>
      <w:r>
        <w:rPr>
          <w:rFonts w:hint="eastAsia" w:ascii="宋体" w:hAnsi="宋体"/>
          <w:color w:val="auto"/>
          <w:spacing w:val="20"/>
          <w:sz w:val="24"/>
        </w:rPr>
        <w:t>日 期：</w:t>
      </w:r>
      <w:r>
        <w:rPr>
          <w:rFonts w:hint="eastAsia" w:ascii="宋体" w:hAnsi="宋体"/>
          <w:color w:val="auto"/>
          <w:spacing w:val="20"/>
          <w:sz w:val="24"/>
          <w:u w:val="single"/>
        </w:rPr>
        <w:t xml:space="preserve">        </w:t>
      </w:r>
    </w:p>
    <w:p>
      <w:pPr>
        <w:snapToGrid w:val="0"/>
        <w:spacing w:before="50" w:after="50"/>
        <w:rPr>
          <w:rFonts w:ascii="宋体" w:hAnsi="宋体"/>
          <w:color w:val="auto"/>
          <w:sz w:val="24"/>
          <w:szCs w:val="20"/>
        </w:rPr>
      </w:pPr>
    </w:p>
    <w:p>
      <w:pPr>
        <w:snapToGrid w:val="0"/>
        <w:spacing w:beforeLines="50" w:after="50"/>
        <w:ind w:left="142"/>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3. 项目实施人员一览表格式</w:t>
      </w:r>
    </w:p>
    <w:p>
      <w:pPr>
        <w:snapToGrid w:val="0"/>
        <w:spacing w:beforeLines="50" w:after="50"/>
        <w:ind w:left="142"/>
        <w:jc w:val="left"/>
        <w:rPr>
          <w:rFonts w:ascii="宋体" w:hAnsi="宋体"/>
          <w:b/>
          <w:color w:val="auto"/>
          <w:sz w:val="24"/>
        </w:rPr>
      </w:pPr>
    </w:p>
    <w:p>
      <w:pPr>
        <w:snapToGrid w:val="0"/>
        <w:spacing w:beforeLines="50" w:after="50"/>
        <w:ind w:left="142"/>
        <w:jc w:val="center"/>
        <w:rPr>
          <w:rFonts w:ascii="宋体" w:hAnsi="宋体"/>
          <w:b/>
          <w:color w:val="auto"/>
          <w:sz w:val="32"/>
          <w:szCs w:val="32"/>
        </w:rPr>
      </w:pPr>
      <w:r>
        <w:rPr>
          <w:rFonts w:hint="eastAsia" w:ascii="宋体" w:hAnsi="宋体"/>
          <w:b/>
          <w:color w:val="auto"/>
          <w:sz w:val="32"/>
          <w:szCs w:val="32"/>
        </w:rPr>
        <w:t>项目实施人员一览表</w:t>
      </w:r>
    </w:p>
    <w:p>
      <w:pPr>
        <w:pStyle w:val="18"/>
        <w:rPr>
          <w:color w:val="auto"/>
          <w:sz w:val="24"/>
          <w:szCs w:val="24"/>
        </w:rPr>
      </w:pPr>
      <w:r>
        <w:rPr>
          <w:rFonts w:hint="eastAsia"/>
          <w:color w:val="auto"/>
          <w:sz w:val="24"/>
          <w:szCs w:val="24"/>
        </w:rPr>
        <w:t>所投分标：</w:t>
      </w:r>
      <w:r>
        <w:rPr>
          <w:rFonts w:hint="eastAsia"/>
          <w:color w:val="auto"/>
          <w:sz w:val="24"/>
          <w:szCs w:val="24"/>
          <w:u w:val="single"/>
        </w:rPr>
        <w:t xml:space="preserve">     </w:t>
      </w:r>
      <w:r>
        <w:rPr>
          <w:rFonts w:hint="eastAsia"/>
          <w:color w:val="auto"/>
          <w:sz w:val="24"/>
          <w:szCs w:val="24"/>
        </w:rPr>
        <w:t>分标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姓名</w:t>
            </w:r>
          </w:p>
        </w:tc>
        <w:tc>
          <w:tcPr>
            <w:tcW w:w="709"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职务</w:t>
            </w:r>
          </w:p>
        </w:tc>
        <w:tc>
          <w:tcPr>
            <w:tcW w:w="1701"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专业技术资格（职称）或者职业资格或者执业资格证或者其他证书</w:t>
            </w:r>
          </w:p>
        </w:tc>
        <w:tc>
          <w:tcPr>
            <w:tcW w:w="1420"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证书编号</w:t>
            </w:r>
          </w:p>
        </w:tc>
        <w:tc>
          <w:tcPr>
            <w:tcW w:w="1698"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参加本单位</w:t>
            </w:r>
          </w:p>
          <w:p>
            <w:pPr>
              <w:snapToGrid w:val="0"/>
              <w:spacing w:before="50" w:afterLines="50"/>
              <w:jc w:val="center"/>
              <w:rPr>
                <w:rFonts w:ascii="宋体" w:hAnsi="宋体"/>
                <w:color w:val="auto"/>
                <w:sz w:val="24"/>
                <w:szCs w:val="20"/>
              </w:rPr>
            </w:pPr>
            <w:r>
              <w:rPr>
                <w:rFonts w:hint="eastAsia" w:ascii="宋体" w:hAnsi="宋体"/>
                <w:color w:val="auto"/>
                <w:sz w:val="24"/>
                <w:szCs w:val="20"/>
              </w:rPr>
              <w:t>工作时间</w:t>
            </w:r>
          </w:p>
        </w:tc>
        <w:tc>
          <w:tcPr>
            <w:tcW w:w="3175" w:type="dxa"/>
            <w:vAlign w:val="center"/>
          </w:tcPr>
          <w:p>
            <w:pPr>
              <w:snapToGrid w:val="0"/>
              <w:spacing w:before="50" w:afterLines="50"/>
              <w:jc w:val="center"/>
              <w:rPr>
                <w:rFonts w:ascii="宋体" w:hAnsi="宋体"/>
                <w:color w:val="auto"/>
                <w:sz w:val="24"/>
                <w:szCs w:val="20"/>
              </w:rPr>
            </w:pPr>
            <w:r>
              <w:rPr>
                <w:rFonts w:hint="eastAsia" w:ascii="宋体" w:hAnsi="宋体"/>
                <w:color w:val="auto"/>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auto"/>
                <w:sz w:val="24"/>
                <w:szCs w:val="20"/>
              </w:rPr>
            </w:pPr>
          </w:p>
        </w:tc>
        <w:tc>
          <w:tcPr>
            <w:tcW w:w="709" w:type="dxa"/>
            <w:vAlign w:val="center"/>
          </w:tcPr>
          <w:p>
            <w:pPr>
              <w:snapToGrid w:val="0"/>
              <w:spacing w:before="50" w:afterLines="50"/>
              <w:jc w:val="center"/>
              <w:rPr>
                <w:rFonts w:ascii="宋体" w:hAnsi="宋体"/>
                <w:color w:val="auto"/>
                <w:sz w:val="24"/>
                <w:szCs w:val="20"/>
              </w:rPr>
            </w:pPr>
          </w:p>
        </w:tc>
        <w:tc>
          <w:tcPr>
            <w:tcW w:w="1701" w:type="dxa"/>
            <w:vAlign w:val="center"/>
          </w:tcPr>
          <w:p>
            <w:pPr>
              <w:snapToGrid w:val="0"/>
              <w:spacing w:before="50" w:afterLines="50"/>
              <w:jc w:val="center"/>
              <w:rPr>
                <w:rFonts w:ascii="宋体" w:hAnsi="宋体"/>
                <w:color w:val="auto"/>
                <w:sz w:val="24"/>
                <w:szCs w:val="20"/>
              </w:rPr>
            </w:pPr>
          </w:p>
        </w:tc>
        <w:tc>
          <w:tcPr>
            <w:tcW w:w="1420" w:type="dxa"/>
            <w:vAlign w:val="center"/>
          </w:tcPr>
          <w:p>
            <w:pPr>
              <w:snapToGrid w:val="0"/>
              <w:spacing w:before="50" w:afterLines="50"/>
              <w:jc w:val="center"/>
              <w:rPr>
                <w:rFonts w:ascii="宋体" w:hAnsi="宋体"/>
                <w:color w:val="auto"/>
                <w:sz w:val="24"/>
                <w:szCs w:val="20"/>
              </w:rPr>
            </w:pPr>
          </w:p>
        </w:tc>
        <w:tc>
          <w:tcPr>
            <w:tcW w:w="1698" w:type="dxa"/>
            <w:vAlign w:val="center"/>
          </w:tcPr>
          <w:p>
            <w:pPr>
              <w:snapToGrid w:val="0"/>
              <w:spacing w:before="50" w:afterLines="50"/>
              <w:jc w:val="center"/>
              <w:rPr>
                <w:rFonts w:ascii="宋体" w:hAnsi="宋体"/>
                <w:color w:val="auto"/>
                <w:sz w:val="24"/>
                <w:szCs w:val="20"/>
              </w:rPr>
            </w:pPr>
          </w:p>
        </w:tc>
        <w:tc>
          <w:tcPr>
            <w:tcW w:w="3175" w:type="dxa"/>
            <w:vAlign w:val="center"/>
          </w:tcPr>
          <w:p>
            <w:pPr>
              <w:snapToGrid w:val="0"/>
              <w:spacing w:before="50" w:afterLines="50"/>
              <w:jc w:val="center"/>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auto"/>
                <w:sz w:val="24"/>
                <w:szCs w:val="20"/>
              </w:rPr>
            </w:pPr>
          </w:p>
        </w:tc>
        <w:tc>
          <w:tcPr>
            <w:tcW w:w="709" w:type="dxa"/>
            <w:vAlign w:val="center"/>
          </w:tcPr>
          <w:p>
            <w:pPr>
              <w:snapToGrid w:val="0"/>
              <w:spacing w:before="50" w:afterLines="50"/>
              <w:jc w:val="center"/>
              <w:rPr>
                <w:rFonts w:ascii="宋体" w:hAnsi="宋体"/>
                <w:color w:val="auto"/>
                <w:sz w:val="24"/>
                <w:szCs w:val="20"/>
              </w:rPr>
            </w:pPr>
          </w:p>
        </w:tc>
        <w:tc>
          <w:tcPr>
            <w:tcW w:w="1701" w:type="dxa"/>
            <w:vAlign w:val="center"/>
          </w:tcPr>
          <w:p>
            <w:pPr>
              <w:snapToGrid w:val="0"/>
              <w:spacing w:before="50" w:afterLines="50"/>
              <w:jc w:val="center"/>
              <w:rPr>
                <w:rFonts w:ascii="宋体" w:hAnsi="宋体"/>
                <w:color w:val="auto"/>
                <w:sz w:val="24"/>
                <w:szCs w:val="20"/>
              </w:rPr>
            </w:pPr>
          </w:p>
        </w:tc>
        <w:tc>
          <w:tcPr>
            <w:tcW w:w="1420" w:type="dxa"/>
            <w:vAlign w:val="center"/>
          </w:tcPr>
          <w:p>
            <w:pPr>
              <w:snapToGrid w:val="0"/>
              <w:spacing w:before="50" w:afterLines="50"/>
              <w:jc w:val="center"/>
              <w:rPr>
                <w:rFonts w:ascii="宋体" w:hAnsi="宋体"/>
                <w:color w:val="auto"/>
                <w:sz w:val="24"/>
                <w:szCs w:val="20"/>
              </w:rPr>
            </w:pPr>
          </w:p>
        </w:tc>
        <w:tc>
          <w:tcPr>
            <w:tcW w:w="1698" w:type="dxa"/>
            <w:vAlign w:val="center"/>
          </w:tcPr>
          <w:p>
            <w:pPr>
              <w:snapToGrid w:val="0"/>
              <w:spacing w:before="50" w:afterLines="50"/>
              <w:jc w:val="center"/>
              <w:rPr>
                <w:rFonts w:ascii="宋体" w:hAnsi="宋体"/>
                <w:color w:val="auto"/>
                <w:sz w:val="24"/>
                <w:szCs w:val="20"/>
              </w:rPr>
            </w:pPr>
          </w:p>
        </w:tc>
        <w:tc>
          <w:tcPr>
            <w:tcW w:w="3175" w:type="dxa"/>
            <w:vAlign w:val="center"/>
          </w:tcPr>
          <w:p>
            <w:pPr>
              <w:snapToGrid w:val="0"/>
              <w:spacing w:before="50" w:afterLines="50"/>
              <w:jc w:val="center"/>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50" w:afterLines="50"/>
              <w:jc w:val="center"/>
              <w:rPr>
                <w:rFonts w:ascii="宋体" w:hAnsi="宋体"/>
                <w:color w:val="auto"/>
                <w:sz w:val="24"/>
                <w:szCs w:val="20"/>
              </w:rPr>
            </w:pPr>
          </w:p>
        </w:tc>
        <w:tc>
          <w:tcPr>
            <w:tcW w:w="709" w:type="dxa"/>
            <w:vAlign w:val="center"/>
          </w:tcPr>
          <w:p>
            <w:pPr>
              <w:snapToGrid w:val="0"/>
              <w:spacing w:before="50" w:afterLines="50"/>
              <w:jc w:val="center"/>
              <w:rPr>
                <w:rFonts w:ascii="宋体" w:hAnsi="宋体"/>
                <w:color w:val="auto"/>
                <w:sz w:val="24"/>
                <w:szCs w:val="20"/>
              </w:rPr>
            </w:pPr>
          </w:p>
        </w:tc>
        <w:tc>
          <w:tcPr>
            <w:tcW w:w="1701" w:type="dxa"/>
            <w:vAlign w:val="center"/>
          </w:tcPr>
          <w:p>
            <w:pPr>
              <w:snapToGrid w:val="0"/>
              <w:spacing w:before="50" w:afterLines="50"/>
              <w:jc w:val="center"/>
              <w:rPr>
                <w:rFonts w:ascii="宋体" w:hAnsi="宋体"/>
                <w:color w:val="auto"/>
                <w:sz w:val="24"/>
                <w:szCs w:val="20"/>
              </w:rPr>
            </w:pPr>
          </w:p>
        </w:tc>
        <w:tc>
          <w:tcPr>
            <w:tcW w:w="1420" w:type="dxa"/>
            <w:vAlign w:val="center"/>
          </w:tcPr>
          <w:p>
            <w:pPr>
              <w:snapToGrid w:val="0"/>
              <w:spacing w:before="50" w:afterLines="50"/>
              <w:jc w:val="center"/>
              <w:rPr>
                <w:rFonts w:ascii="宋体" w:hAnsi="宋体"/>
                <w:color w:val="auto"/>
                <w:sz w:val="24"/>
                <w:szCs w:val="20"/>
              </w:rPr>
            </w:pPr>
          </w:p>
        </w:tc>
        <w:tc>
          <w:tcPr>
            <w:tcW w:w="1698" w:type="dxa"/>
            <w:vAlign w:val="center"/>
          </w:tcPr>
          <w:p>
            <w:pPr>
              <w:snapToGrid w:val="0"/>
              <w:spacing w:before="50" w:afterLines="50"/>
              <w:jc w:val="center"/>
              <w:rPr>
                <w:rFonts w:ascii="宋体" w:hAnsi="宋体"/>
                <w:color w:val="auto"/>
                <w:sz w:val="24"/>
                <w:szCs w:val="20"/>
              </w:rPr>
            </w:pPr>
          </w:p>
        </w:tc>
        <w:tc>
          <w:tcPr>
            <w:tcW w:w="3175" w:type="dxa"/>
            <w:vAlign w:val="center"/>
          </w:tcPr>
          <w:p>
            <w:pPr>
              <w:snapToGrid w:val="0"/>
              <w:spacing w:before="50" w:afterLines="50"/>
              <w:jc w:val="center"/>
              <w:rPr>
                <w:rFonts w:ascii="宋体" w:hAnsi="宋体"/>
                <w:color w:val="auto"/>
                <w:sz w:val="24"/>
                <w:szCs w:val="20"/>
              </w:rPr>
            </w:pPr>
          </w:p>
        </w:tc>
      </w:tr>
    </w:tbl>
    <w:p>
      <w:pPr>
        <w:snapToGrid w:val="0"/>
        <w:spacing w:before="50" w:afterLines="50"/>
        <w:jc w:val="left"/>
        <w:rPr>
          <w:rFonts w:ascii="宋体" w:hAnsi="宋体"/>
          <w:color w:val="auto"/>
          <w:sz w:val="24"/>
          <w:szCs w:val="20"/>
        </w:rPr>
      </w:pPr>
      <w:r>
        <w:rPr>
          <w:rFonts w:hint="eastAsia" w:ascii="宋体" w:hAnsi="宋体"/>
          <w:color w:val="auto"/>
          <w:sz w:val="24"/>
          <w:szCs w:val="20"/>
        </w:rPr>
        <w:t>注：在填写时，如本表格不适合投标单位的实际情况，可根据本表格式自行制表填写。</w:t>
      </w:r>
    </w:p>
    <w:p>
      <w:pPr>
        <w:snapToGrid w:val="0"/>
        <w:spacing w:before="50" w:after="50"/>
        <w:rPr>
          <w:rFonts w:ascii="宋体" w:hAnsi="宋体"/>
          <w:color w:val="auto"/>
          <w:sz w:val="24"/>
        </w:rPr>
      </w:pPr>
    </w:p>
    <w:p>
      <w:pPr>
        <w:snapToGrid w:val="0"/>
        <w:spacing w:before="50" w:after="50"/>
        <w:rPr>
          <w:rFonts w:ascii="宋体" w:hAnsi="宋体"/>
          <w:color w:val="auto"/>
          <w:sz w:val="24"/>
        </w:rPr>
      </w:pPr>
    </w:p>
    <w:p>
      <w:pPr>
        <w:snapToGrid w:val="0"/>
        <w:spacing w:before="50" w:after="50"/>
        <w:rPr>
          <w:rFonts w:ascii="宋体" w:hAnsi="宋体"/>
          <w:color w:val="auto"/>
          <w:spacing w:val="20"/>
          <w:sz w:val="24"/>
          <w:szCs w:val="20"/>
          <w:u w:val="single"/>
        </w:rPr>
      </w:pPr>
      <w:r>
        <w:rPr>
          <w:rFonts w:hint="eastAsia" w:ascii="宋体" w:hAnsi="宋体"/>
          <w:color w:val="auto"/>
          <w:sz w:val="24"/>
        </w:rPr>
        <w:t>法定代表人或者委托代理人（签字/电子签名）</w:t>
      </w:r>
      <w:r>
        <w:rPr>
          <w:rFonts w:hint="eastAsia" w:ascii="宋体" w:hAnsi="宋体"/>
          <w:color w:val="auto"/>
          <w:spacing w:val="20"/>
          <w:sz w:val="24"/>
        </w:rPr>
        <w:t>：</w:t>
      </w:r>
      <w:r>
        <w:rPr>
          <w:rFonts w:hint="eastAsia" w:ascii="宋体" w:hAnsi="宋体"/>
          <w:color w:val="auto"/>
          <w:spacing w:val="20"/>
          <w:sz w:val="24"/>
          <w:u w:val="single"/>
        </w:rPr>
        <w:t xml:space="preserve">        </w:t>
      </w:r>
    </w:p>
    <w:p>
      <w:pPr>
        <w:snapToGrid w:val="0"/>
        <w:spacing w:before="50" w:afterLines="50"/>
        <w:jc w:val="left"/>
        <w:rPr>
          <w:rFonts w:ascii="宋体" w:hAnsi="宋体"/>
          <w:color w:val="auto"/>
          <w:spacing w:val="20"/>
          <w:sz w:val="24"/>
        </w:rPr>
      </w:pPr>
      <w:r>
        <w:rPr>
          <w:rFonts w:hint="eastAsia" w:ascii="宋体" w:hAnsi="宋体"/>
          <w:color w:val="auto"/>
          <w:spacing w:val="20"/>
          <w:sz w:val="24"/>
        </w:rPr>
        <w:t>投标人名称（电子签章）：</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p>
      <w:pPr>
        <w:snapToGrid w:val="0"/>
        <w:spacing w:before="50" w:afterLines="50"/>
        <w:jc w:val="left"/>
        <w:rPr>
          <w:rFonts w:ascii="宋体" w:hAnsi="宋体"/>
          <w:color w:val="auto"/>
          <w:sz w:val="24"/>
          <w:szCs w:val="20"/>
        </w:rPr>
      </w:pPr>
      <w:r>
        <w:rPr>
          <w:rFonts w:hint="eastAsia" w:ascii="宋体" w:hAnsi="宋体"/>
          <w:color w:val="auto"/>
          <w:spacing w:val="20"/>
          <w:sz w:val="24"/>
        </w:rPr>
        <w:t>日 期：</w:t>
      </w:r>
      <w:r>
        <w:rPr>
          <w:rFonts w:hint="eastAsia" w:ascii="宋体" w:hAnsi="宋体"/>
          <w:color w:val="auto"/>
          <w:spacing w:val="20"/>
          <w:sz w:val="24"/>
          <w:u w:val="single"/>
        </w:rPr>
        <w:t xml:space="preserve">         </w:t>
      </w:r>
    </w:p>
    <w:p>
      <w:pPr>
        <w:snapToGrid w:val="0"/>
        <w:spacing w:beforeLines="50" w:after="50"/>
        <w:ind w:left="142"/>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4. 选配件、专用耗材、售后服务优惠表格式(注：按项目需求表具体项目修改)</w:t>
      </w:r>
    </w:p>
    <w:p>
      <w:pPr>
        <w:snapToGrid w:val="0"/>
        <w:spacing w:beforeLines="50" w:after="50"/>
        <w:ind w:left="142"/>
        <w:jc w:val="left"/>
        <w:rPr>
          <w:rFonts w:ascii="宋体" w:hAnsi="宋体"/>
          <w:b/>
          <w:color w:val="auto"/>
          <w:sz w:val="24"/>
        </w:rPr>
      </w:pPr>
    </w:p>
    <w:p>
      <w:pPr>
        <w:snapToGrid w:val="0"/>
        <w:spacing w:beforeLines="50" w:after="50"/>
        <w:ind w:left="142"/>
        <w:jc w:val="center"/>
        <w:rPr>
          <w:rFonts w:ascii="宋体" w:hAnsi="宋体"/>
          <w:b/>
          <w:color w:val="auto"/>
          <w:sz w:val="32"/>
          <w:szCs w:val="32"/>
        </w:rPr>
      </w:pPr>
      <w:r>
        <w:rPr>
          <w:rFonts w:hint="eastAsia" w:ascii="宋体" w:hAnsi="宋体"/>
          <w:b/>
          <w:color w:val="auto"/>
          <w:sz w:val="32"/>
          <w:szCs w:val="32"/>
        </w:rPr>
        <w:t>选配件、专用耗材、售后服务优惠表</w:t>
      </w:r>
    </w:p>
    <w:p>
      <w:pPr>
        <w:pStyle w:val="18"/>
        <w:rPr>
          <w:color w:val="auto"/>
          <w:sz w:val="24"/>
          <w:szCs w:val="24"/>
        </w:rPr>
      </w:pPr>
      <w:r>
        <w:rPr>
          <w:rFonts w:hint="eastAsia"/>
          <w:color w:val="auto"/>
          <w:sz w:val="24"/>
          <w:szCs w:val="24"/>
        </w:rPr>
        <w:t>所投分标：</w:t>
      </w:r>
      <w:r>
        <w:rPr>
          <w:rFonts w:hint="eastAsia"/>
          <w:color w:val="auto"/>
          <w:sz w:val="24"/>
          <w:szCs w:val="24"/>
          <w:u w:val="single"/>
        </w:rPr>
        <w:t xml:space="preserve">     </w:t>
      </w:r>
      <w:r>
        <w:rPr>
          <w:rFonts w:hint="eastAsia"/>
          <w:color w:val="auto"/>
          <w:sz w:val="24"/>
          <w:szCs w:val="24"/>
        </w:rPr>
        <w:t>分标</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8"/>
              <w:snapToGrid w:val="0"/>
              <w:spacing w:before="295" w:after="295"/>
              <w:jc w:val="center"/>
              <w:rPr>
                <w:rFonts w:hAnsi="宋体" w:cs="Courier New"/>
                <w:color w:val="auto"/>
                <w:sz w:val="24"/>
                <w:szCs w:val="24"/>
              </w:rPr>
            </w:pPr>
            <w:r>
              <w:rPr>
                <w:rFonts w:hint="eastAsia" w:hAnsi="宋体" w:cs="Courier New"/>
                <w:color w:val="auto"/>
                <w:sz w:val="24"/>
                <w:szCs w:val="24"/>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18"/>
              <w:snapToGrid w:val="0"/>
              <w:spacing w:before="295" w:after="295"/>
              <w:jc w:val="center"/>
              <w:rPr>
                <w:rFonts w:hAnsi="宋体" w:cs="Courier New"/>
                <w:color w:val="auto"/>
                <w:sz w:val="24"/>
                <w:szCs w:val="24"/>
              </w:rPr>
            </w:pPr>
            <w:r>
              <w:rPr>
                <w:rFonts w:hint="eastAsia" w:hAnsi="宋体" w:cs="Courier New"/>
                <w:color w:val="auto"/>
                <w:sz w:val="24"/>
                <w:szCs w:val="24"/>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18"/>
              <w:snapToGrid w:val="0"/>
              <w:spacing w:before="295" w:after="295"/>
              <w:jc w:val="center"/>
              <w:rPr>
                <w:rFonts w:hAnsi="宋体" w:cs="Courier New"/>
                <w:color w:val="auto"/>
                <w:sz w:val="24"/>
                <w:szCs w:val="24"/>
              </w:rPr>
            </w:pPr>
            <w:r>
              <w:rPr>
                <w:rFonts w:hint="eastAsia" w:hAnsi="宋体" w:cs="Courier New"/>
                <w:color w:val="auto"/>
                <w:sz w:val="24"/>
                <w:szCs w:val="24"/>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8"/>
              <w:snapToGrid w:val="0"/>
              <w:spacing w:before="295" w:after="295"/>
              <w:jc w:val="center"/>
              <w:rPr>
                <w:rFonts w:hAnsi="宋体" w:cs="Courier New"/>
                <w:color w:val="auto"/>
                <w:sz w:val="24"/>
                <w:szCs w:val="24"/>
              </w:rPr>
            </w:pPr>
            <w:r>
              <w:rPr>
                <w:rFonts w:hint="eastAsia" w:hAnsi="宋体" w:cs="Courier New"/>
                <w:color w:val="auto"/>
                <w:sz w:val="24"/>
                <w:szCs w:val="24"/>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18"/>
              <w:snapToGrid w:val="0"/>
              <w:spacing w:before="295" w:after="295"/>
              <w:jc w:val="center"/>
              <w:rPr>
                <w:rFonts w:hAnsi="宋体" w:cs="Courier New"/>
                <w:color w:val="auto"/>
                <w:sz w:val="24"/>
                <w:szCs w:val="24"/>
              </w:rPr>
            </w:pPr>
            <w:r>
              <w:rPr>
                <w:rFonts w:hint="eastAsia" w:hAnsi="宋体" w:cs="Courier New"/>
                <w:color w:val="auto"/>
                <w:sz w:val="24"/>
                <w:szCs w:val="24"/>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r>
              <w:rPr>
                <w:rFonts w:hint="eastAsia" w:hAnsi="宋体"/>
                <w:color w:val="auto"/>
                <w:sz w:val="24"/>
                <w:szCs w:val="24"/>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18"/>
              <w:snapToGrid w:val="0"/>
              <w:spacing w:before="295" w:after="295"/>
              <w:jc w:val="center"/>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r>
              <w:rPr>
                <w:rFonts w:hint="eastAsia" w:hAnsi="宋体"/>
                <w:color w:val="auto"/>
                <w:sz w:val="24"/>
                <w:szCs w:val="24"/>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295" w:after="295"/>
              <w:jc w:val="center"/>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r>
              <w:rPr>
                <w:rFonts w:hint="eastAsia" w:hAnsi="宋体"/>
                <w:color w:val="auto"/>
                <w:sz w:val="24"/>
                <w:szCs w:val="24"/>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295" w:after="295"/>
              <w:jc w:val="center"/>
              <w:rPr>
                <w:rFonts w:hAnsi="宋体"/>
                <w:color w:val="auto"/>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295" w:after="295"/>
              <w:jc w:val="center"/>
              <w:rPr>
                <w:rFonts w:hAnsi="宋体"/>
                <w:color w:val="auto"/>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295" w:after="295"/>
              <w:jc w:val="center"/>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w:t>
            </w:r>
          </w:p>
        </w:tc>
      </w:tr>
    </w:tbl>
    <w:p>
      <w:pPr>
        <w:snapToGrid w:val="0"/>
        <w:spacing w:before="50" w:after="50"/>
        <w:rPr>
          <w:rFonts w:ascii="宋体" w:hAnsi="宋体"/>
          <w:color w:val="auto"/>
          <w:sz w:val="24"/>
        </w:rPr>
      </w:pPr>
    </w:p>
    <w:p>
      <w:pPr>
        <w:snapToGrid w:val="0"/>
        <w:spacing w:before="50" w:after="50"/>
        <w:rPr>
          <w:rFonts w:ascii="宋体" w:hAnsi="宋体"/>
          <w:color w:val="auto"/>
          <w:sz w:val="24"/>
        </w:rPr>
      </w:pPr>
    </w:p>
    <w:p>
      <w:pPr>
        <w:snapToGrid w:val="0"/>
        <w:spacing w:before="50" w:after="50"/>
        <w:rPr>
          <w:rFonts w:ascii="宋体" w:hAnsi="宋体"/>
          <w:color w:val="auto"/>
          <w:spacing w:val="20"/>
          <w:sz w:val="24"/>
          <w:u w:val="single"/>
        </w:rPr>
      </w:pPr>
      <w:r>
        <w:rPr>
          <w:rFonts w:hint="eastAsia" w:ascii="宋体" w:hAnsi="宋体"/>
          <w:color w:val="auto"/>
          <w:sz w:val="24"/>
        </w:rPr>
        <w:t>法定代表人或者委托代理人（签字/电子签名）</w:t>
      </w:r>
      <w:r>
        <w:rPr>
          <w:rFonts w:hint="eastAsia" w:ascii="宋体" w:hAnsi="宋体"/>
          <w:color w:val="auto"/>
          <w:spacing w:val="20"/>
          <w:sz w:val="24"/>
        </w:rPr>
        <w:t>：</w:t>
      </w:r>
      <w:r>
        <w:rPr>
          <w:rFonts w:hint="eastAsia" w:ascii="宋体" w:hAnsi="宋体"/>
          <w:color w:val="auto"/>
          <w:spacing w:val="20"/>
          <w:sz w:val="24"/>
          <w:u w:val="single"/>
        </w:rPr>
        <w:t xml:space="preserve">        </w:t>
      </w:r>
    </w:p>
    <w:p>
      <w:pPr>
        <w:snapToGrid w:val="0"/>
        <w:spacing w:before="50" w:after="50"/>
        <w:rPr>
          <w:rFonts w:ascii="宋体" w:hAnsi="宋体"/>
          <w:color w:val="auto"/>
          <w:spacing w:val="20"/>
          <w:sz w:val="24"/>
        </w:rPr>
      </w:pPr>
      <w:r>
        <w:rPr>
          <w:rFonts w:hint="eastAsia" w:ascii="宋体" w:hAnsi="宋体"/>
          <w:color w:val="auto"/>
          <w:spacing w:val="20"/>
          <w:sz w:val="24"/>
        </w:rPr>
        <w:t>投标人名称（电子签章）：</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p>
      <w:pPr>
        <w:snapToGrid w:val="0"/>
        <w:spacing w:before="50" w:after="50"/>
        <w:rPr>
          <w:rFonts w:ascii="宋体" w:hAnsi="宋体"/>
          <w:color w:val="auto"/>
          <w:sz w:val="24"/>
          <w:szCs w:val="20"/>
        </w:rPr>
      </w:pPr>
      <w:r>
        <w:rPr>
          <w:rFonts w:hint="eastAsia" w:ascii="宋体" w:hAnsi="宋体"/>
          <w:color w:val="auto"/>
          <w:spacing w:val="20"/>
          <w:sz w:val="24"/>
        </w:rPr>
        <w:t>日 期：</w:t>
      </w:r>
      <w:r>
        <w:rPr>
          <w:rFonts w:hint="eastAsia" w:ascii="宋体" w:hAnsi="宋体"/>
          <w:color w:val="auto"/>
          <w:spacing w:val="20"/>
          <w:sz w:val="24"/>
          <w:u w:val="single"/>
        </w:rPr>
        <w:t xml:space="preserve">            </w:t>
      </w:r>
    </w:p>
    <w:p>
      <w:pPr>
        <w:snapToGrid w:val="0"/>
        <w:spacing w:before="50" w:afterLines="50"/>
        <w:jc w:val="left"/>
        <w:rPr>
          <w:rFonts w:ascii="宋体" w:hAnsi="宋体"/>
          <w:color w:val="auto"/>
          <w:sz w:val="24"/>
          <w:szCs w:val="20"/>
        </w:rPr>
      </w:pPr>
    </w:p>
    <w:p>
      <w:pPr>
        <w:snapToGrid w:val="0"/>
        <w:spacing w:beforeLines="50" w:after="50"/>
        <w:outlineLvl w:val="1"/>
        <w:rPr>
          <w:rFonts w:ascii="宋体" w:hAnsi="宋体"/>
          <w:b/>
          <w:bCs/>
          <w:color w:val="auto"/>
          <w:sz w:val="28"/>
          <w:szCs w:val="28"/>
        </w:rPr>
      </w:pPr>
      <w:r>
        <w:rPr>
          <w:rFonts w:ascii="宋体" w:hAnsi="宋体"/>
          <w:b/>
          <w:bCs/>
          <w:color w:val="auto"/>
          <w:sz w:val="24"/>
        </w:rPr>
        <w:br w:type="page"/>
      </w:r>
      <w:bookmarkStart w:id="165" w:name="_Toc19686840"/>
      <w:r>
        <w:rPr>
          <w:rFonts w:hint="eastAsia" w:ascii="宋体" w:hAnsi="宋体"/>
          <w:b/>
          <w:bCs/>
          <w:color w:val="auto"/>
          <w:sz w:val="28"/>
          <w:szCs w:val="28"/>
        </w:rPr>
        <w:t>无、其他文书、文件格式</w:t>
      </w:r>
      <w:bookmarkEnd w:id="165"/>
    </w:p>
    <w:p>
      <w:pPr>
        <w:spacing w:beforeLines="50" w:afterLines="50" w:line="400" w:lineRule="exact"/>
        <w:rPr>
          <w:rFonts w:ascii="宋体" w:hAnsi="宋体"/>
          <w:color w:val="auto"/>
          <w:sz w:val="24"/>
        </w:rPr>
      </w:pPr>
    </w:p>
    <w:p>
      <w:pPr>
        <w:snapToGrid w:val="0"/>
        <w:spacing w:beforeLines="50" w:after="50"/>
        <w:jc w:val="left"/>
        <w:rPr>
          <w:color w:val="auto"/>
        </w:rPr>
      </w:pPr>
      <w:r>
        <w:rPr>
          <w:rFonts w:hint="eastAsia" w:ascii="宋体" w:hAnsi="宋体"/>
          <w:b/>
          <w:color w:val="auto"/>
          <w:sz w:val="24"/>
        </w:rPr>
        <w:t xml:space="preserve"> 中小企业声明函格式</w:t>
      </w:r>
    </w:p>
    <w:p>
      <w:pPr>
        <w:rPr>
          <w:color w:val="auto"/>
        </w:rPr>
      </w:pPr>
    </w:p>
    <w:p>
      <w:pPr>
        <w:spacing w:line="588" w:lineRule="exact"/>
        <w:jc w:val="center"/>
        <w:rPr>
          <w:rFonts w:ascii="宋体" w:hAnsi="宋体"/>
          <w:b/>
          <w:color w:val="auto"/>
          <w:spacing w:val="6"/>
          <w:sz w:val="32"/>
          <w:szCs w:val="32"/>
        </w:rPr>
      </w:pPr>
      <w:r>
        <w:rPr>
          <w:rFonts w:hint="eastAsia" w:ascii="宋体" w:hAnsi="宋体"/>
          <w:b/>
          <w:color w:val="auto"/>
          <w:spacing w:val="6"/>
          <w:sz w:val="32"/>
          <w:szCs w:val="32"/>
        </w:rPr>
        <w:t>中小企业声明函</w:t>
      </w:r>
    </w:p>
    <w:p>
      <w:pPr>
        <w:spacing w:line="588" w:lineRule="exact"/>
        <w:rPr>
          <w:rFonts w:ascii="仿宋_GB2312" w:eastAsia="仿宋_GB2312"/>
          <w:b/>
          <w:color w:val="auto"/>
          <w:spacing w:val="6"/>
          <w:sz w:val="32"/>
          <w:szCs w:val="32"/>
        </w:rPr>
      </w:pPr>
    </w:p>
    <w:p>
      <w:pPr>
        <w:spacing w:line="588" w:lineRule="exact"/>
        <w:ind w:firstLine="420" w:firstLineChars="200"/>
        <w:rPr>
          <w:rFonts w:ascii="宋体" w:hAnsi="宋体"/>
          <w:color w:val="auto"/>
          <w:spacing w:val="6"/>
          <w:szCs w:val="21"/>
        </w:rPr>
      </w:pPr>
      <w:r>
        <w:rPr>
          <w:rFonts w:hint="eastAsia" w:ascii="宋体" w:hAnsi="宋体" w:cs="宋体"/>
          <w:color w:val="auto"/>
          <w:kern w:val="0"/>
          <w:szCs w:val="21"/>
        </w:rPr>
        <w:t>本公司（联合体）郑重声明，根据《政府采购促进中小企业发展管理办法》（财库﹝2020﹞46 号）的规定，本公司（联合体）参加</w:t>
      </w:r>
      <w:r>
        <w:rPr>
          <w:rFonts w:hint="eastAsia" w:ascii="宋体" w:hAnsi="宋体" w:cs="宋体"/>
          <w:color w:val="auto"/>
          <w:kern w:val="0"/>
          <w:szCs w:val="21"/>
          <w:u w:val="single"/>
        </w:rPr>
        <w:t xml:space="preserve"> （单位名称） </w:t>
      </w:r>
      <w:r>
        <w:rPr>
          <w:rFonts w:hint="eastAsia" w:ascii="宋体" w:hAnsi="宋体" w:cs="宋体"/>
          <w:color w:val="auto"/>
          <w:kern w:val="0"/>
          <w:szCs w:val="21"/>
        </w:rPr>
        <w:t>的</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采购活动，提供的货物全部由符合政策要求的中小企业制造。相关企业（含联合体中的中小企业、签订分包意向协议的中小企业）的具体情况如下</w:t>
      </w:r>
      <w:r>
        <w:rPr>
          <w:rFonts w:hint="eastAsia" w:ascii="宋体" w:hAnsi="宋体"/>
          <w:color w:val="auto"/>
          <w:spacing w:val="6"/>
          <w:szCs w:val="21"/>
        </w:rPr>
        <w:t>：</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1.</w:t>
      </w:r>
      <w:r>
        <w:rPr>
          <w:rFonts w:hint="eastAsia" w:ascii="宋体" w:hAnsi="宋体" w:cs="宋体"/>
          <w:color w:val="auto"/>
          <w:kern w:val="0"/>
          <w:szCs w:val="21"/>
          <w:u w:val="single"/>
        </w:rPr>
        <w:t xml:space="preserve">（标的名称） </w:t>
      </w:r>
      <w:r>
        <w:rPr>
          <w:rFonts w:hint="eastAsia" w:ascii="宋体" w:hAnsi="宋体" w:cs="宋体"/>
          <w:color w:val="auto"/>
          <w:kern w:val="0"/>
          <w:szCs w:val="21"/>
        </w:rPr>
        <w:t>，属于</w:t>
      </w:r>
      <w:r>
        <w:rPr>
          <w:rFonts w:hint="eastAsia" w:ascii="宋体" w:hAnsi="宋体" w:cs="宋体"/>
          <w:color w:val="auto"/>
          <w:kern w:val="0"/>
          <w:szCs w:val="21"/>
          <w:u w:val="single"/>
        </w:rPr>
        <w:t xml:space="preserve"> （采购文件中明确的所属行业）</w:t>
      </w:r>
      <w:r>
        <w:rPr>
          <w:rFonts w:hint="eastAsia" w:ascii="宋体" w:hAnsi="宋体" w:cs="宋体"/>
          <w:color w:val="auto"/>
          <w:kern w:val="0"/>
          <w:szCs w:val="21"/>
        </w:rPr>
        <w:t>行业 ；制造商为</w:t>
      </w:r>
      <w:r>
        <w:rPr>
          <w:rFonts w:hint="eastAsia" w:ascii="宋体" w:hAnsi="宋体" w:cs="宋体"/>
          <w:color w:val="auto"/>
          <w:kern w:val="0"/>
          <w:szCs w:val="21"/>
          <w:u w:val="single"/>
        </w:rPr>
        <w:t xml:space="preserve"> （企业名称） </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color w:val="auto"/>
          <w:kern w:val="0"/>
          <w:szCs w:val="21"/>
          <w:u w:val="single"/>
        </w:rPr>
        <w:t xml:space="preserve"> （中型企业、小型企业、微型企业） </w:t>
      </w:r>
      <w:r>
        <w:rPr>
          <w:rFonts w:hint="eastAsia" w:ascii="宋体" w:hAnsi="宋体"/>
          <w:color w:val="auto"/>
          <w:spacing w:val="6"/>
          <w:szCs w:val="21"/>
        </w:rPr>
        <w:t>。</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2.</w:t>
      </w:r>
      <w:r>
        <w:rPr>
          <w:rFonts w:hint="eastAsia" w:ascii="宋体" w:hAnsi="宋体" w:cs="宋体"/>
          <w:color w:val="auto"/>
          <w:kern w:val="0"/>
          <w:szCs w:val="21"/>
        </w:rPr>
        <w:t>、</w:t>
      </w:r>
      <w:r>
        <w:rPr>
          <w:rFonts w:hint="eastAsia" w:ascii="宋体" w:hAnsi="宋体" w:cs="宋体"/>
          <w:color w:val="auto"/>
          <w:kern w:val="0"/>
          <w:szCs w:val="21"/>
          <w:u w:val="single"/>
        </w:rPr>
        <w:t xml:space="preserve">（标的名称） </w:t>
      </w:r>
      <w:r>
        <w:rPr>
          <w:rFonts w:hint="eastAsia" w:ascii="宋体" w:hAnsi="宋体" w:cs="宋体"/>
          <w:color w:val="auto"/>
          <w:kern w:val="0"/>
          <w:szCs w:val="21"/>
        </w:rPr>
        <w:t>，属于</w:t>
      </w:r>
      <w:r>
        <w:rPr>
          <w:rFonts w:hint="eastAsia" w:ascii="宋体" w:hAnsi="宋体" w:cs="宋体"/>
          <w:color w:val="auto"/>
          <w:kern w:val="0"/>
          <w:szCs w:val="21"/>
          <w:u w:val="single"/>
        </w:rPr>
        <w:t xml:space="preserve"> （采购文件中明确的所属行业）</w:t>
      </w:r>
      <w:r>
        <w:rPr>
          <w:rFonts w:hint="eastAsia" w:ascii="宋体" w:hAnsi="宋体" w:cs="宋体"/>
          <w:color w:val="auto"/>
          <w:kern w:val="0"/>
          <w:szCs w:val="21"/>
        </w:rPr>
        <w:t>行业 ；制造商为</w:t>
      </w:r>
      <w:r>
        <w:rPr>
          <w:rFonts w:hint="eastAsia" w:ascii="宋体" w:hAnsi="宋体" w:cs="宋体"/>
          <w:color w:val="auto"/>
          <w:kern w:val="0"/>
          <w:szCs w:val="21"/>
          <w:u w:val="single"/>
        </w:rPr>
        <w:t xml:space="preserve"> （企业名称） </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color w:val="auto"/>
          <w:kern w:val="0"/>
          <w:szCs w:val="21"/>
          <w:u w:val="single"/>
        </w:rPr>
        <w:t xml:space="preserve"> （中型企业、小型企业、微型企业） </w:t>
      </w:r>
      <w:r>
        <w:rPr>
          <w:rFonts w:hint="eastAsia" w:ascii="宋体" w:hAnsi="宋体"/>
          <w:color w:val="auto"/>
          <w:spacing w:val="6"/>
          <w:szCs w:val="21"/>
        </w:rPr>
        <w:t>。</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本企业对上述声明内容的真实性负责。如有虚假，将依法承担相应责任。</w:t>
      </w:r>
    </w:p>
    <w:p>
      <w:pPr>
        <w:spacing w:line="360" w:lineRule="auto"/>
        <w:ind w:firstLine="1134"/>
        <w:jc w:val="center"/>
        <w:rPr>
          <w:rFonts w:ascii="宋体" w:hAnsi="宋体" w:cs="宋体"/>
          <w:color w:val="auto"/>
          <w:kern w:val="0"/>
          <w:szCs w:val="21"/>
        </w:rPr>
      </w:pPr>
      <w:r>
        <w:rPr>
          <w:rFonts w:hint="eastAsia" w:ascii="宋体" w:hAnsi="宋体" w:cs="宋体"/>
          <w:color w:val="auto"/>
          <w:kern w:val="0"/>
          <w:szCs w:val="21"/>
        </w:rPr>
        <w:t xml:space="preserve">                  </w:t>
      </w:r>
    </w:p>
    <w:p>
      <w:pPr>
        <w:spacing w:line="400" w:lineRule="exact"/>
        <w:ind w:firstLine="3544"/>
        <w:rPr>
          <w:rFonts w:ascii="宋体" w:hAnsi="宋体" w:cs="宋体"/>
          <w:color w:val="auto"/>
          <w:kern w:val="0"/>
          <w:szCs w:val="21"/>
        </w:rPr>
      </w:pPr>
      <w:r>
        <w:rPr>
          <w:rFonts w:hint="eastAsia" w:ascii="宋体" w:hAnsi="宋体" w:cs="宋体"/>
          <w:color w:val="auto"/>
          <w:kern w:val="0"/>
          <w:szCs w:val="21"/>
        </w:rPr>
        <w:t xml:space="preserve">              </w:t>
      </w:r>
      <w:r>
        <w:rPr>
          <w:rFonts w:ascii="宋体" w:hAnsi="宋体" w:cs="宋体"/>
          <w:color w:val="auto"/>
          <w:kern w:val="0"/>
          <w:szCs w:val="21"/>
        </w:rPr>
        <w:t>企业名称（</w:t>
      </w:r>
      <w:r>
        <w:rPr>
          <w:rFonts w:hint="eastAsia" w:ascii="宋体" w:hAnsi="宋体" w:cs="宋体"/>
          <w:color w:val="auto"/>
          <w:kern w:val="0"/>
          <w:szCs w:val="21"/>
        </w:rPr>
        <w:t>电子签章</w:t>
      </w:r>
      <w:r>
        <w:rPr>
          <w:rFonts w:ascii="宋体" w:hAnsi="宋体" w:cs="宋体"/>
          <w:color w:val="auto"/>
          <w:kern w:val="0"/>
          <w:szCs w:val="21"/>
        </w:rPr>
        <w:t xml:space="preserve">）： </w:t>
      </w:r>
    </w:p>
    <w:p>
      <w:pPr>
        <w:spacing w:line="400" w:lineRule="exact"/>
        <w:ind w:firstLine="5432" w:firstLineChars="2587"/>
        <w:rPr>
          <w:rFonts w:ascii="宋体" w:hAnsi="宋体" w:cs="宋体"/>
          <w:color w:val="auto"/>
          <w:kern w:val="0"/>
          <w:szCs w:val="21"/>
        </w:rPr>
      </w:pPr>
      <w:r>
        <w:rPr>
          <w:rFonts w:ascii="宋体" w:hAnsi="宋体" w:cs="宋体"/>
          <w:color w:val="auto"/>
          <w:kern w:val="0"/>
          <w:szCs w:val="21"/>
        </w:rPr>
        <w:t xml:space="preserve">日 期： </w:t>
      </w:r>
    </w:p>
    <w:p>
      <w:pPr>
        <w:spacing w:line="360" w:lineRule="atLeast"/>
        <w:rPr>
          <w:rFonts w:ascii="宋体" w:hAnsi="宋体" w:cs="宋体"/>
          <w:color w:val="auto"/>
          <w:kern w:val="0"/>
          <w:szCs w:val="21"/>
        </w:rPr>
      </w:pPr>
    </w:p>
    <w:p>
      <w:pPr>
        <w:spacing w:line="360" w:lineRule="atLeast"/>
        <w:ind w:firstLine="420" w:firstLineChars="200"/>
        <w:jc w:val="left"/>
        <w:rPr>
          <w:rFonts w:ascii="宋体" w:hAnsi="宋体" w:cs="宋体"/>
          <w:color w:val="auto"/>
          <w:kern w:val="0"/>
          <w:szCs w:val="21"/>
        </w:rPr>
      </w:pPr>
      <w:r>
        <w:rPr>
          <w:rFonts w:hint="eastAsia" w:ascii="宋体" w:hAnsi="宋体" w:cs="宋体"/>
          <w:color w:val="auto"/>
          <w:kern w:val="0"/>
          <w:szCs w:val="21"/>
        </w:rPr>
        <w:t>填写说明：</w:t>
      </w:r>
      <w:r>
        <w:rPr>
          <w:rFonts w:hint="eastAsia" w:ascii="宋体" w:hAnsi="宋体" w:cs="宋体"/>
          <w:color w:val="auto"/>
          <w:kern w:val="0"/>
          <w:szCs w:val="21"/>
          <w:vertAlign w:val="superscript"/>
        </w:rPr>
        <w:t>1</w:t>
      </w:r>
      <w:r>
        <w:rPr>
          <w:rFonts w:hint="eastAsia" w:ascii="宋体" w:hAnsi="宋体" w:cs="宋体"/>
          <w:color w:val="auto"/>
          <w:kern w:val="0"/>
          <w:szCs w:val="21"/>
        </w:rPr>
        <w:t>从业人员、营业收入、资产总额填报上一年度数据，无上一年度数据的新成立企业可不填报。</w:t>
      </w:r>
    </w:p>
    <w:p>
      <w:pPr>
        <w:snapToGrid w:val="0"/>
        <w:spacing w:line="360" w:lineRule="exact"/>
        <w:ind w:firstLine="420" w:firstLineChars="200"/>
        <w:jc w:val="left"/>
        <w:rPr>
          <w:rFonts w:ascii="宋体" w:hAnsi="宋体" w:cs="宋体"/>
          <w:bCs/>
          <w:color w:val="auto"/>
          <w:szCs w:val="21"/>
        </w:rPr>
      </w:pPr>
      <w:r>
        <w:rPr>
          <w:rFonts w:hint="eastAsia" w:ascii="宋体" w:hAnsi="宋体" w:cs="宋体"/>
          <w:bCs/>
          <w:color w:val="auto"/>
          <w:szCs w:val="21"/>
        </w:rPr>
        <w:t>在政府采购活动中，供应商提供的货物、工程或者服务符合下列情形的，享受本办法规定的中小企业扶持政策：</w:t>
      </w:r>
    </w:p>
    <w:p>
      <w:pPr>
        <w:snapToGrid w:val="0"/>
        <w:spacing w:line="360" w:lineRule="exact"/>
        <w:ind w:firstLine="420" w:firstLineChars="200"/>
        <w:jc w:val="left"/>
        <w:rPr>
          <w:rFonts w:ascii="宋体" w:hAnsi="宋体" w:cs="宋体"/>
          <w:bCs/>
          <w:color w:val="auto"/>
          <w:szCs w:val="21"/>
        </w:rPr>
      </w:pPr>
      <w:r>
        <w:rPr>
          <w:rFonts w:hint="eastAsia" w:ascii="宋体" w:hAnsi="宋体" w:cs="宋体"/>
          <w:bCs/>
          <w:color w:val="auto"/>
          <w:szCs w:val="21"/>
        </w:rPr>
        <w:t>（一）在货物采购项目中，货物由中小企业制造，即货物由中小企业生产且使用该中小企业商号或者注册商标；</w:t>
      </w:r>
    </w:p>
    <w:p>
      <w:pPr>
        <w:snapToGrid w:val="0"/>
        <w:spacing w:line="360" w:lineRule="exact"/>
        <w:ind w:firstLine="420" w:firstLineChars="200"/>
        <w:jc w:val="left"/>
        <w:rPr>
          <w:rFonts w:ascii="宋体" w:hAnsi="宋体" w:cs="宋体"/>
          <w:bCs/>
          <w:color w:val="auto"/>
          <w:szCs w:val="21"/>
        </w:rPr>
      </w:pPr>
      <w:r>
        <w:rPr>
          <w:rFonts w:hint="eastAsia" w:ascii="宋体" w:hAnsi="宋体" w:cs="宋体"/>
          <w:bCs/>
          <w:color w:val="auto"/>
          <w:szCs w:val="21"/>
        </w:rPr>
        <w:t>（二）在工程采购项目中，工程由中小企业承建，即工程施工单位为中小企业；</w:t>
      </w:r>
    </w:p>
    <w:p>
      <w:pPr>
        <w:snapToGrid w:val="0"/>
        <w:spacing w:line="360" w:lineRule="exact"/>
        <w:ind w:firstLine="420" w:firstLineChars="200"/>
        <w:jc w:val="left"/>
        <w:rPr>
          <w:rFonts w:ascii="宋体" w:hAnsi="宋体" w:cs="宋体"/>
          <w:bCs/>
          <w:color w:val="auto"/>
          <w:szCs w:val="21"/>
        </w:rPr>
      </w:pPr>
      <w:r>
        <w:rPr>
          <w:rFonts w:hint="eastAsia" w:ascii="宋体" w:hAnsi="宋体" w:cs="宋体"/>
          <w:bCs/>
          <w:color w:val="auto"/>
          <w:szCs w:val="21"/>
        </w:rPr>
        <w:t>（三）在服务采购项目中，服务由中小企业承接，即提供服务的人员为中小企业依照《中华人民共和国劳动合同法》订立劳动合同的从业人员。</w:t>
      </w:r>
    </w:p>
    <w:p>
      <w:pPr>
        <w:snapToGrid w:val="0"/>
        <w:spacing w:line="360" w:lineRule="exact"/>
        <w:ind w:firstLine="420" w:firstLineChars="200"/>
        <w:jc w:val="left"/>
        <w:rPr>
          <w:rFonts w:ascii="宋体" w:hAnsi="宋体" w:cs="宋体"/>
          <w:bCs/>
          <w:color w:val="auto"/>
          <w:szCs w:val="21"/>
        </w:rPr>
      </w:pPr>
      <w:r>
        <w:rPr>
          <w:rFonts w:hint="eastAsia" w:ascii="宋体" w:hAnsi="宋体" w:cs="宋体"/>
          <w:bCs/>
          <w:color w:val="auto"/>
          <w:szCs w:val="21"/>
        </w:rPr>
        <w:t>在货物采购项目中，供应商提供的货物既有中小企业制造货物，也有大型企业制造货物的，不享受本办法规定的中小企业扶持政策。</w:t>
      </w:r>
    </w:p>
    <w:p>
      <w:pPr>
        <w:pStyle w:val="130"/>
        <w:adjustRightInd w:val="0"/>
        <w:snapToGrid w:val="0"/>
        <w:spacing w:after="0" w:line="360" w:lineRule="exact"/>
        <w:ind w:firstLine="420" w:firstLineChars="200"/>
        <w:jc w:val="left"/>
        <w:rPr>
          <w:color w:val="auto"/>
          <w:sz w:val="21"/>
          <w:szCs w:val="21"/>
        </w:rPr>
      </w:pPr>
      <w:r>
        <w:rPr>
          <w:rFonts w:hint="eastAsia"/>
          <w:bCs/>
          <w:color w:val="auto"/>
          <w:sz w:val="21"/>
          <w:szCs w:val="21"/>
        </w:rPr>
        <w:t>以联合体形式参加政府采购活动，联合体各方均为中小企业的，联合体视同中小企业。其中，联合体各方均为小微企业的，联合体视同小微企业。</w:t>
      </w:r>
      <w:r>
        <w:rPr>
          <w:color w:val="auto"/>
          <w:sz w:val="21"/>
          <w:szCs w:val="21"/>
        </w:rPr>
        <w:br w:type="page"/>
      </w:r>
    </w:p>
    <w:p>
      <w:pPr>
        <w:snapToGrid w:val="0"/>
        <w:spacing w:beforeLines="50" w:after="50"/>
        <w:jc w:val="left"/>
        <w:rPr>
          <w:rFonts w:ascii="宋体" w:hAnsi="宋体"/>
          <w:b/>
          <w:color w:val="auto"/>
          <w:sz w:val="24"/>
        </w:rPr>
      </w:pPr>
      <w:r>
        <w:rPr>
          <w:rFonts w:hint="eastAsia" w:ascii="宋体" w:hAnsi="宋体"/>
          <w:b/>
          <w:color w:val="auto"/>
          <w:sz w:val="24"/>
        </w:rPr>
        <w:t>残疾人福利性单位声明函格式</w:t>
      </w:r>
    </w:p>
    <w:p>
      <w:pPr>
        <w:spacing w:line="588" w:lineRule="exact"/>
        <w:jc w:val="center"/>
        <w:rPr>
          <w:rFonts w:ascii="仿宋_GB2312" w:eastAsia="仿宋_GB2312"/>
          <w:b/>
          <w:color w:val="auto"/>
          <w:spacing w:val="6"/>
          <w:sz w:val="32"/>
          <w:szCs w:val="32"/>
        </w:rPr>
      </w:pPr>
      <w:bookmarkStart w:id="166" w:name="OLE_LINK13"/>
      <w:bookmarkStart w:id="167" w:name="OLE_LINK14"/>
    </w:p>
    <w:p>
      <w:pPr>
        <w:spacing w:line="588" w:lineRule="exact"/>
        <w:jc w:val="center"/>
        <w:rPr>
          <w:rFonts w:ascii="宋体" w:hAnsi="宋体"/>
          <w:b/>
          <w:color w:val="auto"/>
          <w:spacing w:val="6"/>
          <w:sz w:val="32"/>
          <w:szCs w:val="32"/>
        </w:rPr>
      </w:pPr>
      <w:r>
        <w:rPr>
          <w:rFonts w:hint="eastAsia" w:ascii="宋体" w:hAnsi="宋体"/>
          <w:b/>
          <w:color w:val="auto"/>
          <w:spacing w:val="6"/>
          <w:sz w:val="32"/>
          <w:szCs w:val="32"/>
        </w:rPr>
        <w:t>残疾人福利性单位声明函</w:t>
      </w:r>
    </w:p>
    <w:bookmarkEnd w:id="166"/>
    <w:bookmarkEnd w:id="167"/>
    <w:p>
      <w:pPr>
        <w:spacing w:line="588" w:lineRule="exact"/>
        <w:rPr>
          <w:rFonts w:ascii="仿宋_GB2312" w:eastAsia="仿宋_GB2312"/>
          <w:b/>
          <w:color w:val="auto"/>
          <w:spacing w:val="6"/>
          <w:sz w:val="30"/>
          <w:szCs w:val="30"/>
        </w:rPr>
      </w:pP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 xml:space="preserve"> 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6"/>
          <w:sz w:val="24"/>
          <w:u w:val="single"/>
        </w:rPr>
        <w:t xml:space="preserve">     （ 项目名称） </w:t>
      </w:r>
      <w:r>
        <w:rPr>
          <w:rFonts w:hint="eastAsia" w:ascii="宋体" w:hAnsi="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单位名称（电子签章）：</w:t>
      </w: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日  期：</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center"/>
        <w:rPr>
          <w:rFonts w:ascii="宋体" w:hAnsi="宋体"/>
          <w:b/>
          <w:bCs/>
          <w:color w:val="auto"/>
          <w:sz w:val="32"/>
          <w:szCs w:val="32"/>
        </w:rPr>
      </w:pPr>
      <w:r>
        <w:rPr>
          <w:rFonts w:ascii="宋体" w:hAnsi="宋体"/>
          <w:color w:val="auto"/>
          <w:sz w:val="24"/>
        </w:rPr>
        <w:br w:type="page"/>
      </w:r>
      <w:r>
        <w:rPr>
          <w:rFonts w:hint="eastAsia" w:ascii="宋体" w:hAnsi="宋体"/>
          <w:b/>
          <w:bCs/>
          <w:color w:val="auto"/>
          <w:sz w:val="32"/>
          <w:szCs w:val="32"/>
        </w:rPr>
        <w:t>质疑函（格式）</w:t>
      </w:r>
    </w:p>
    <w:p>
      <w:pPr>
        <w:pStyle w:val="18"/>
        <w:snapToGrid w:val="0"/>
        <w:spacing w:line="360" w:lineRule="auto"/>
        <w:ind w:firstLine="482" w:firstLineChars="200"/>
        <w:rPr>
          <w:rFonts w:hAnsi="宋体"/>
          <w:b/>
          <w:bCs/>
          <w:color w:val="auto"/>
          <w:sz w:val="24"/>
          <w:szCs w:val="24"/>
        </w:rPr>
      </w:pPr>
      <w:r>
        <w:rPr>
          <w:rFonts w:hint="eastAsia" w:hAnsi="宋体"/>
          <w:b/>
          <w:bCs/>
          <w:color w:val="auto"/>
          <w:sz w:val="24"/>
          <w:szCs w:val="24"/>
        </w:rPr>
        <w:t>一、质疑供应商基本信息：</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质疑供应商：</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联系人</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联系电话</w:t>
      </w:r>
      <w:r>
        <w:rPr>
          <w:rFonts w:hint="eastAsia" w:hAnsi="宋体"/>
          <w:bCs/>
          <w:color w:val="auto"/>
          <w:sz w:val="24"/>
          <w:szCs w:val="24"/>
        </w:rPr>
        <w:t>：</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int="eastAsia" w:hAnsi="宋体"/>
          <w:bCs/>
          <w:color w:val="auto"/>
          <w:sz w:val="24"/>
          <w:szCs w:val="24"/>
        </w:rPr>
        <w:t>授权代表：</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2" w:firstLineChars="200"/>
        <w:rPr>
          <w:rFonts w:hAnsi="宋体"/>
          <w:b/>
          <w:bCs/>
          <w:color w:val="auto"/>
          <w:sz w:val="24"/>
          <w:szCs w:val="24"/>
        </w:rPr>
      </w:pPr>
      <w:r>
        <w:rPr>
          <w:rFonts w:hint="eastAsia" w:hAnsi="宋体"/>
          <w:b/>
          <w:bCs/>
          <w:color w:val="auto"/>
          <w:sz w:val="24"/>
          <w:szCs w:val="24"/>
        </w:rPr>
        <w:t>二、质疑项目基本情况：</w:t>
      </w:r>
    </w:p>
    <w:p>
      <w:pPr>
        <w:pStyle w:val="18"/>
        <w:spacing w:line="360" w:lineRule="auto"/>
        <w:ind w:left="25" w:leftChars="12" w:firstLine="472" w:firstLineChars="197"/>
        <w:rPr>
          <w:rFonts w:hAnsi="宋体"/>
          <w:color w:val="auto"/>
          <w:sz w:val="24"/>
          <w:szCs w:val="24"/>
        </w:rPr>
      </w:pPr>
      <w:r>
        <w:rPr>
          <w:rFonts w:hint="eastAsia" w:hAnsi="宋体"/>
          <w:bCs/>
          <w:color w:val="auto"/>
          <w:sz w:val="24"/>
          <w:szCs w:val="24"/>
        </w:rPr>
        <w:t>质疑</w:t>
      </w:r>
      <w:r>
        <w:rPr>
          <w:rFonts w:hint="eastAsia" w:hAnsi="宋体"/>
          <w:color w:val="auto"/>
          <w:sz w:val="24"/>
          <w:szCs w:val="24"/>
        </w:rPr>
        <w:t>项目的名称：</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bCs/>
          <w:color w:val="auto"/>
          <w:sz w:val="24"/>
          <w:szCs w:val="24"/>
        </w:rPr>
        <w:t>质疑</w:t>
      </w:r>
      <w:r>
        <w:rPr>
          <w:rFonts w:hint="eastAsia" w:hAnsi="宋体"/>
          <w:color w:val="auto"/>
          <w:sz w:val="24"/>
          <w:szCs w:val="24"/>
        </w:rPr>
        <w:t>项目的编号：</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采购人名称：</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质疑事项：</w:t>
      </w:r>
    </w:p>
    <w:p>
      <w:pPr>
        <w:pStyle w:val="18"/>
        <w:spacing w:line="360" w:lineRule="auto"/>
        <w:ind w:left="25" w:leftChars="12" w:firstLine="352" w:firstLineChars="147"/>
        <w:rPr>
          <w:rFonts w:hAnsi="宋体"/>
          <w:color w:val="auto"/>
          <w:sz w:val="24"/>
          <w:szCs w:val="24"/>
        </w:rPr>
      </w:pPr>
      <w:r>
        <w:rPr>
          <w:rFonts w:hint="eastAsia" w:hAnsi="宋体"/>
          <w:color w:val="auto"/>
          <w:sz w:val="24"/>
          <w:szCs w:val="24"/>
        </w:rPr>
        <w:t>□招标文件   招标文件获取日期：</w:t>
      </w:r>
      <w:r>
        <w:rPr>
          <w:rFonts w:hint="eastAsia" w:hAnsi="宋体"/>
          <w:bCs/>
          <w:color w:val="auto"/>
          <w:sz w:val="24"/>
          <w:szCs w:val="24"/>
          <w:u w:val="single"/>
        </w:rPr>
        <w:t xml:space="preserve">                                   </w:t>
      </w:r>
    </w:p>
    <w:p>
      <w:pPr>
        <w:pStyle w:val="18"/>
        <w:spacing w:line="360" w:lineRule="auto"/>
        <w:ind w:left="25" w:leftChars="12" w:firstLine="352" w:firstLineChars="147"/>
        <w:rPr>
          <w:rFonts w:hAnsi="宋体"/>
          <w:color w:val="auto"/>
          <w:sz w:val="24"/>
          <w:szCs w:val="24"/>
        </w:rPr>
      </w:pPr>
      <w:r>
        <w:rPr>
          <w:rFonts w:hint="eastAsia" w:hAnsi="宋体"/>
          <w:color w:val="auto"/>
          <w:sz w:val="24"/>
          <w:szCs w:val="24"/>
        </w:rPr>
        <w:t xml:space="preserve">□采购过程   </w:t>
      </w:r>
    </w:p>
    <w:p>
      <w:pPr>
        <w:pStyle w:val="18"/>
        <w:spacing w:line="360" w:lineRule="auto"/>
        <w:ind w:left="25" w:leftChars="12" w:firstLine="352" w:firstLineChars="147"/>
        <w:rPr>
          <w:rFonts w:hAnsi="宋体"/>
          <w:bCs/>
          <w:color w:val="auto"/>
          <w:sz w:val="24"/>
          <w:szCs w:val="24"/>
          <w:u w:val="single"/>
        </w:rPr>
      </w:pPr>
      <w:r>
        <w:rPr>
          <w:rFonts w:hint="eastAsia" w:hAnsi="宋体"/>
          <w:color w:val="auto"/>
          <w:sz w:val="24"/>
          <w:szCs w:val="24"/>
        </w:rPr>
        <w:t xml:space="preserve">□中标结果   </w:t>
      </w:r>
    </w:p>
    <w:p>
      <w:pPr>
        <w:pStyle w:val="18"/>
        <w:spacing w:line="360" w:lineRule="auto"/>
        <w:ind w:left="25" w:leftChars="12" w:firstLine="472" w:firstLineChars="196"/>
        <w:rPr>
          <w:rFonts w:hAnsi="宋体"/>
          <w:b/>
          <w:color w:val="auto"/>
          <w:sz w:val="24"/>
          <w:szCs w:val="24"/>
        </w:rPr>
      </w:pPr>
      <w:r>
        <w:rPr>
          <w:rFonts w:hint="eastAsia" w:hAnsi="宋体"/>
          <w:b/>
          <w:color w:val="auto"/>
          <w:sz w:val="24"/>
          <w:szCs w:val="24"/>
        </w:rPr>
        <w:t>三、质疑事项具体内容</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质疑事项1：</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事实依据：</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法律依据：</w:t>
      </w:r>
      <w:r>
        <w:rPr>
          <w:rFonts w:hint="eastAsia" w:hAnsi="宋体"/>
          <w:color w:val="auto"/>
          <w:sz w:val="24"/>
          <w:szCs w:val="24"/>
          <w:u w:val="single"/>
        </w:rPr>
        <w:t xml:space="preserve">                                                        </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质疑事项2</w:t>
      </w:r>
    </w:p>
    <w:p>
      <w:pPr>
        <w:pStyle w:val="18"/>
        <w:spacing w:line="360" w:lineRule="auto"/>
        <w:ind w:left="25" w:leftChars="12" w:firstLine="472" w:firstLineChars="197"/>
        <w:rPr>
          <w:rFonts w:hAnsi="宋体"/>
          <w:color w:val="auto"/>
          <w:sz w:val="24"/>
          <w:szCs w:val="24"/>
        </w:rPr>
      </w:pPr>
      <w:r>
        <w:rPr>
          <w:rFonts w:hAnsi="宋体"/>
          <w:color w:val="auto"/>
          <w:sz w:val="24"/>
          <w:szCs w:val="24"/>
        </w:rPr>
        <w:t>……</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四、与质疑事项相关的质疑请求：</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请求：</w:t>
      </w:r>
      <w:r>
        <w:rPr>
          <w:rFonts w:hint="eastAsia" w:hAnsi="宋体"/>
          <w:bCs/>
          <w:color w:val="auto"/>
          <w:sz w:val="24"/>
          <w:szCs w:val="24"/>
          <w:u w:val="single"/>
        </w:rPr>
        <w:t xml:space="preserve">                                                                </w:t>
      </w:r>
    </w:p>
    <w:p>
      <w:pPr>
        <w:pStyle w:val="18"/>
        <w:spacing w:line="360" w:lineRule="auto"/>
        <w:ind w:left="25" w:leftChars="12" w:firstLine="352" w:firstLineChars="147"/>
        <w:rPr>
          <w:rFonts w:hAnsi="宋体"/>
          <w:color w:val="auto"/>
          <w:sz w:val="24"/>
          <w:szCs w:val="24"/>
        </w:rPr>
      </w:pP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签字（签章）：                                       公章：</w:t>
      </w:r>
    </w:p>
    <w:p>
      <w:pPr>
        <w:pStyle w:val="18"/>
        <w:spacing w:line="360" w:lineRule="auto"/>
        <w:ind w:left="25" w:leftChars="12" w:firstLine="352" w:firstLineChars="147"/>
        <w:rPr>
          <w:rFonts w:hAnsi="宋体"/>
          <w:color w:val="auto"/>
          <w:sz w:val="24"/>
          <w:szCs w:val="24"/>
        </w:rPr>
      </w:pP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日期：</w:t>
      </w:r>
    </w:p>
    <w:p>
      <w:pPr>
        <w:pStyle w:val="18"/>
        <w:snapToGrid w:val="0"/>
        <w:spacing w:line="360" w:lineRule="auto"/>
        <w:rPr>
          <w:rFonts w:hAnsi="宋体"/>
          <w:b/>
          <w:color w:val="auto"/>
          <w:sz w:val="24"/>
          <w:szCs w:val="24"/>
        </w:rPr>
      </w:pPr>
    </w:p>
    <w:p>
      <w:pPr>
        <w:pStyle w:val="18"/>
        <w:snapToGrid w:val="0"/>
        <w:spacing w:line="360" w:lineRule="auto"/>
        <w:rPr>
          <w:rFonts w:hAnsi="宋体"/>
          <w:b/>
          <w:color w:val="auto"/>
          <w:sz w:val="24"/>
          <w:szCs w:val="24"/>
        </w:rPr>
      </w:pPr>
      <w:r>
        <w:rPr>
          <w:rFonts w:hint="eastAsia" w:hAnsi="宋体"/>
          <w:b/>
          <w:color w:val="auto"/>
          <w:sz w:val="24"/>
          <w:szCs w:val="24"/>
        </w:rPr>
        <w:t>说明：</w:t>
      </w:r>
    </w:p>
    <w:p>
      <w:pPr>
        <w:pStyle w:val="18"/>
        <w:spacing w:line="360" w:lineRule="auto"/>
        <w:ind w:left="25" w:leftChars="12" w:firstLine="354" w:firstLineChars="147"/>
        <w:rPr>
          <w:rFonts w:hAnsi="宋体"/>
          <w:b/>
          <w:bCs/>
          <w:color w:val="auto"/>
          <w:sz w:val="24"/>
          <w:szCs w:val="24"/>
        </w:rPr>
      </w:pPr>
      <w:r>
        <w:rPr>
          <w:rFonts w:hint="eastAsia" w:hAnsi="宋体"/>
          <w:b/>
          <w:color w:val="auto"/>
          <w:sz w:val="24"/>
          <w:szCs w:val="24"/>
        </w:rPr>
        <w:t>1.供应商提出质疑时，应提交质疑函和必要的证明材料</w:t>
      </w:r>
      <w:r>
        <w:rPr>
          <w:rFonts w:hint="eastAsia" w:hAnsi="宋体"/>
          <w:b/>
          <w:bCs/>
          <w:color w:val="auto"/>
          <w:sz w:val="24"/>
          <w:szCs w:val="24"/>
        </w:rPr>
        <w:t>。</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3.质疑函的质疑事项应具体、明确，并有必要的事实依据和法律依据。</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4.质疑函的质疑请求应与质疑事项相关。</w:t>
      </w:r>
    </w:p>
    <w:p>
      <w:pPr>
        <w:pStyle w:val="18"/>
        <w:spacing w:line="360" w:lineRule="auto"/>
        <w:ind w:left="25" w:leftChars="12" w:firstLine="354" w:firstLineChars="147"/>
        <w:rPr>
          <w:rFonts w:hAnsi="宋体"/>
          <w:b/>
          <w:color w:val="auto"/>
        </w:rPr>
      </w:pPr>
      <w:r>
        <w:rPr>
          <w:rFonts w:hint="eastAsia" w:hAnsi="宋体"/>
          <w:b/>
          <w:color w:val="auto"/>
          <w:sz w:val="24"/>
          <w:szCs w:val="24"/>
        </w:rPr>
        <w:t>5.质疑供应商为法人或者其他组织的，质疑函应由法定代表人、主要负责人，或者其授权代表签字或者盖章，并加盖公章。</w:t>
      </w:r>
    </w:p>
    <w:p>
      <w:pPr>
        <w:pStyle w:val="18"/>
        <w:snapToGrid w:val="0"/>
        <w:rPr>
          <w:b/>
          <w:color w:val="auto"/>
          <w:sz w:val="24"/>
          <w:szCs w:val="24"/>
        </w:rPr>
      </w:pPr>
    </w:p>
    <w:p>
      <w:pPr>
        <w:spacing w:line="460" w:lineRule="exact"/>
        <w:jc w:val="center"/>
        <w:rPr>
          <w:rFonts w:eastAsia="隶书"/>
          <w:color w:val="auto"/>
          <w:sz w:val="44"/>
        </w:rPr>
      </w:pPr>
      <w:r>
        <w:rPr>
          <w:rFonts w:eastAsia="隶书"/>
          <w:color w:val="auto"/>
          <w:sz w:val="44"/>
        </w:rPr>
        <w:br w:type="page"/>
      </w:r>
    </w:p>
    <w:p>
      <w:pPr>
        <w:spacing w:line="360" w:lineRule="auto"/>
        <w:jc w:val="center"/>
        <w:rPr>
          <w:rFonts w:ascii="宋体" w:hAnsi="宋体"/>
          <w:b/>
          <w:bCs/>
          <w:color w:val="auto"/>
          <w:sz w:val="32"/>
          <w:szCs w:val="32"/>
        </w:rPr>
      </w:pPr>
      <w:r>
        <w:rPr>
          <w:rFonts w:hint="eastAsia" w:ascii="宋体" w:hAnsi="宋体"/>
          <w:b/>
          <w:bCs/>
          <w:color w:val="auto"/>
          <w:sz w:val="32"/>
          <w:szCs w:val="32"/>
        </w:rPr>
        <w:t>投诉书（格式）</w:t>
      </w:r>
    </w:p>
    <w:p>
      <w:pPr>
        <w:pStyle w:val="18"/>
        <w:snapToGrid w:val="0"/>
        <w:spacing w:line="360" w:lineRule="auto"/>
        <w:ind w:firstLine="482" w:firstLineChars="200"/>
        <w:rPr>
          <w:rFonts w:hAnsi="宋体"/>
          <w:b/>
          <w:bCs/>
          <w:color w:val="auto"/>
          <w:sz w:val="24"/>
          <w:szCs w:val="24"/>
        </w:rPr>
      </w:pPr>
      <w:r>
        <w:rPr>
          <w:rFonts w:hint="eastAsia" w:hAnsi="宋体"/>
          <w:b/>
          <w:bCs/>
          <w:color w:val="auto"/>
          <w:sz w:val="24"/>
          <w:szCs w:val="24"/>
        </w:rPr>
        <w:t>一、投诉相关主体基本情况：</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投标人：</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法定代表人/主要负责人：</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联系电话</w:t>
      </w:r>
      <w:r>
        <w:rPr>
          <w:rFonts w:hint="eastAsia" w:hAnsi="宋体"/>
          <w:bCs/>
          <w:color w:val="auto"/>
          <w:sz w:val="24"/>
          <w:szCs w:val="24"/>
        </w:rPr>
        <w:t>：</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授权代表：</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8"/>
        <w:snapToGrid w:val="0"/>
        <w:spacing w:line="360" w:lineRule="auto"/>
        <w:ind w:left="479" w:leftChars="228"/>
        <w:jc w:val="left"/>
        <w:rPr>
          <w:rFonts w:hAnsi="宋体"/>
          <w:bCs/>
          <w:color w:val="auto"/>
          <w:sz w:val="24"/>
          <w:szCs w:val="24"/>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0" w:firstLineChars="200"/>
        <w:jc w:val="left"/>
        <w:rPr>
          <w:rFonts w:hAnsi="宋体"/>
          <w:bCs/>
          <w:color w:val="auto"/>
          <w:sz w:val="24"/>
          <w:szCs w:val="24"/>
        </w:rPr>
      </w:pPr>
      <w:r>
        <w:rPr>
          <w:rFonts w:hint="eastAsia" w:hAnsi="宋体"/>
          <w:bCs/>
          <w:color w:val="auto"/>
          <w:sz w:val="24"/>
          <w:szCs w:val="24"/>
        </w:rPr>
        <w:t>被投诉人1：</w:t>
      </w:r>
    </w:p>
    <w:p>
      <w:pPr>
        <w:pStyle w:val="18"/>
        <w:snapToGrid w:val="0"/>
        <w:spacing w:line="360" w:lineRule="auto"/>
        <w:ind w:left="479" w:leftChars="228"/>
        <w:jc w:val="left"/>
        <w:rPr>
          <w:rFonts w:hAnsi="宋体"/>
          <w:bCs/>
          <w:color w:val="auto"/>
          <w:sz w:val="24"/>
          <w:szCs w:val="24"/>
        </w:rPr>
      </w:pPr>
      <w:r>
        <w:rPr>
          <w:rFonts w:hint="eastAsia" w:hAnsi="宋体"/>
          <w:bCs/>
          <w:color w:val="auto"/>
          <w:sz w:val="24"/>
          <w:szCs w:val="24"/>
        </w:rPr>
        <w:t>地址：</w:t>
      </w:r>
      <w:r>
        <w:rPr>
          <w:rFonts w:hint="eastAsia" w:hAnsi="宋体"/>
          <w:bCs/>
          <w:color w:val="auto"/>
          <w:sz w:val="24"/>
          <w:szCs w:val="24"/>
          <w:u w:val="single"/>
        </w:rPr>
        <w:t xml:space="preserve">                                                            </w:t>
      </w: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0" w:firstLineChars="200"/>
        <w:jc w:val="left"/>
        <w:rPr>
          <w:rFonts w:hAnsi="宋体"/>
          <w:bCs/>
          <w:color w:val="auto"/>
          <w:sz w:val="24"/>
          <w:szCs w:val="24"/>
          <w:u w:val="single"/>
        </w:rPr>
      </w:pPr>
      <w:r>
        <w:rPr>
          <w:rFonts w:hint="eastAsia" w:hAnsi="宋体"/>
          <w:bCs/>
          <w:color w:val="auto"/>
          <w:sz w:val="24"/>
          <w:szCs w:val="24"/>
        </w:rPr>
        <w:t>联系人：</w:t>
      </w:r>
      <w:r>
        <w:rPr>
          <w:rFonts w:hint="eastAsia" w:hAnsi="宋体"/>
          <w:bCs/>
          <w:color w:val="auto"/>
          <w:sz w:val="24"/>
          <w:szCs w:val="24"/>
          <w:u w:val="single"/>
        </w:rPr>
        <w:t xml:space="preserve">                                                </w:t>
      </w:r>
    </w:p>
    <w:p>
      <w:pPr>
        <w:pStyle w:val="18"/>
        <w:snapToGrid w:val="0"/>
        <w:spacing w:line="360" w:lineRule="auto"/>
        <w:ind w:firstLine="480" w:firstLineChars="200"/>
        <w:jc w:val="left"/>
        <w:rPr>
          <w:rFonts w:hAnsi="宋体"/>
          <w:bCs/>
          <w:color w:val="auto"/>
          <w:sz w:val="24"/>
          <w:szCs w:val="24"/>
          <w:u w:val="single"/>
        </w:rPr>
      </w:pP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int="eastAsia" w:hAnsi="宋体"/>
          <w:bCs/>
          <w:color w:val="auto"/>
          <w:sz w:val="24"/>
          <w:szCs w:val="24"/>
        </w:rPr>
        <w:t>被投诉人2：</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相关供应商：</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Ansi="宋体"/>
          <w:bCs/>
          <w:color w:val="auto"/>
          <w:sz w:val="24"/>
          <w:szCs w:val="24"/>
        </w:rPr>
        <w:t>地址</w:t>
      </w:r>
      <w:r>
        <w:rPr>
          <w:rFonts w:hint="eastAsia" w:hAnsi="宋体"/>
          <w:bCs/>
          <w:color w:val="auto"/>
          <w:sz w:val="24"/>
          <w:szCs w:val="24"/>
        </w:rPr>
        <w:t>：</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Ansi="宋体"/>
          <w:bCs/>
          <w:color w:val="auto"/>
          <w:sz w:val="24"/>
          <w:szCs w:val="24"/>
        </w:rPr>
        <w:t>邮编</w:t>
      </w:r>
      <w:r>
        <w:rPr>
          <w:rFonts w:hint="eastAsia" w:hAnsi="宋体"/>
          <w:bCs/>
          <w:color w:val="auto"/>
          <w:sz w:val="24"/>
          <w:szCs w:val="24"/>
        </w:rPr>
        <w:t>：</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u w:val="single"/>
        </w:rPr>
      </w:pPr>
      <w:r>
        <w:rPr>
          <w:rFonts w:hint="eastAsia" w:hAnsi="宋体"/>
          <w:bCs/>
          <w:color w:val="auto"/>
          <w:sz w:val="24"/>
          <w:szCs w:val="24"/>
        </w:rPr>
        <w:t>联系人：</w:t>
      </w:r>
      <w:r>
        <w:rPr>
          <w:rFonts w:hint="eastAsia" w:hAnsi="宋体"/>
          <w:bCs/>
          <w:color w:val="auto"/>
          <w:sz w:val="24"/>
          <w:szCs w:val="24"/>
          <w:u w:val="single"/>
        </w:rPr>
        <w:t xml:space="preserve">                                            </w:t>
      </w:r>
    </w:p>
    <w:p>
      <w:pPr>
        <w:pStyle w:val="18"/>
        <w:snapToGrid w:val="0"/>
        <w:spacing w:line="360" w:lineRule="auto"/>
        <w:ind w:firstLine="480" w:firstLineChars="200"/>
        <w:rPr>
          <w:rFonts w:hAnsi="宋体"/>
          <w:bCs/>
          <w:color w:val="auto"/>
          <w:sz w:val="24"/>
          <w:szCs w:val="24"/>
        </w:rPr>
      </w:pPr>
      <w:r>
        <w:rPr>
          <w:rFonts w:hAnsi="宋体"/>
          <w:bCs/>
          <w:color w:val="auto"/>
          <w:sz w:val="24"/>
          <w:szCs w:val="24"/>
        </w:rPr>
        <w:t>联系</w:t>
      </w:r>
      <w:r>
        <w:rPr>
          <w:rFonts w:hint="eastAsia" w:hAnsi="宋体"/>
          <w:bCs/>
          <w:color w:val="auto"/>
          <w:sz w:val="24"/>
          <w:szCs w:val="24"/>
        </w:rPr>
        <w:t>电话：</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8"/>
        <w:snapToGrid w:val="0"/>
        <w:spacing w:line="360" w:lineRule="auto"/>
        <w:ind w:firstLine="482" w:firstLineChars="200"/>
        <w:rPr>
          <w:rFonts w:hAnsi="宋体"/>
          <w:b/>
          <w:bCs/>
          <w:color w:val="auto"/>
          <w:sz w:val="24"/>
          <w:szCs w:val="24"/>
        </w:rPr>
      </w:pPr>
      <w:r>
        <w:rPr>
          <w:rFonts w:hint="eastAsia" w:hAnsi="宋体"/>
          <w:b/>
          <w:bCs/>
          <w:color w:val="auto"/>
          <w:sz w:val="24"/>
          <w:szCs w:val="24"/>
        </w:rPr>
        <w:t>二、投诉项目基本情况：</w:t>
      </w:r>
    </w:p>
    <w:p>
      <w:pPr>
        <w:pStyle w:val="18"/>
        <w:spacing w:line="360" w:lineRule="auto"/>
        <w:ind w:left="25" w:leftChars="12" w:firstLine="472" w:firstLineChars="197"/>
        <w:rPr>
          <w:rFonts w:hAnsi="宋体"/>
          <w:color w:val="auto"/>
          <w:sz w:val="24"/>
          <w:szCs w:val="24"/>
        </w:rPr>
      </w:pPr>
      <w:r>
        <w:rPr>
          <w:rFonts w:hint="eastAsia" w:hAnsi="宋体"/>
          <w:bCs/>
          <w:color w:val="auto"/>
          <w:sz w:val="24"/>
          <w:szCs w:val="24"/>
        </w:rPr>
        <w:t>采购</w:t>
      </w:r>
      <w:r>
        <w:rPr>
          <w:rFonts w:hint="eastAsia" w:hAnsi="宋体"/>
          <w:color w:val="auto"/>
          <w:sz w:val="24"/>
          <w:szCs w:val="24"/>
        </w:rPr>
        <w:t>项目的名称：</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bCs/>
          <w:color w:val="auto"/>
          <w:sz w:val="24"/>
          <w:szCs w:val="24"/>
        </w:rPr>
        <w:t>采购</w:t>
      </w:r>
      <w:r>
        <w:rPr>
          <w:rFonts w:hint="eastAsia" w:hAnsi="宋体"/>
          <w:color w:val="auto"/>
          <w:sz w:val="24"/>
          <w:szCs w:val="24"/>
        </w:rPr>
        <w:t>项目的编号：</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bCs/>
          <w:color w:val="auto"/>
          <w:sz w:val="24"/>
          <w:szCs w:val="24"/>
          <w:u w:val="single"/>
        </w:rPr>
      </w:pPr>
      <w:r>
        <w:rPr>
          <w:rFonts w:hint="eastAsia" w:hAnsi="宋体"/>
          <w:color w:val="auto"/>
          <w:sz w:val="24"/>
          <w:szCs w:val="24"/>
        </w:rPr>
        <w:t>采购人名称：</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bCs/>
          <w:color w:val="auto"/>
          <w:sz w:val="24"/>
          <w:szCs w:val="24"/>
          <w:u w:val="single"/>
        </w:rPr>
      </w:pPr>
      <w:r>
        <w:rPr>
          <w:rFonts w:hint="eastAsia" w:hAnsi="宋体"/>
          <w:color w:val="auto"/>
          <w:sz w:val="24"/>
          <w:szCs w:val="24"/>
        </w:rPr>
        <w:t>代理机构名称：</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bCs/>
          <w:color w:val="auto"/>
          <w:sz w:val="24"/>
          <w:szCs w:val="24"/>
          <w:u w:val="single"/>
        </w:rPr>
      </w:pPr>
      <w:r>
        <w:rPr>
          <w:rFonts w:hint="eastAsia" w:hAnsi="宋体"/>
          <w:bCs/>
          <w:color w:val="auto"/>
          <w:sz w:val="24"/>
          <w:szCs w:val="24"/>
        </w:rPr>
        <w:t>招标文件公告：</w:t>
      </w:r>
      <w:r>
        <w:rPr>
          <w:rFonts w:hint="eastAsia" w:hAnsi="宋体"/>
          <w:bCs/>
          <w:color w:val="auto"/>
          <w:sz w:val="24"/>
          <w:szCs w:val="24"/>
          <w:u w:val="single"/>
        </w:rPr>
        <w:t>是/否</w:t>
      </w:r>
      <w:r>
        <w:rPr>
          <w:rFonts w:hint="eastAsia" w:hAnsi="宋体"/>
          <w:bCs/>
          <w:color w:val="auto"/>
          <w:sz w:val="24"/>
          <w:szCs w:val="24"/>
        </w:rPr>
        <w:t>公告期限：</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b/>
          <w:color w:val="auto"/>
          <w:sz w:val="24"/>
          <w:szCs w:val="24"/>
        </w:rPr>
      </w:pPr>
      <w:r>
        <w:rPr>
          <w:rFonts w:hint="eastAsia" w:hAnsi="宋体"/>
          <w:bCs/>
          <w:color w:val="auto"/>
          <w:sz w:val="24"/>
          <w:szCs w:val="24"/>
        </w:rPr>
        <w:t>采购结果公告：</w:t>
      </w:r>
      <w:r>
        <w:rPr>
          <w:rFonts w:hint="eastAsia" w:hAnsi="宋体"/>
          <w:bCs/>
          <w:color w:val="auto"/>
          <w:sz w:val="24"/>
          <w:szCs w:val="24"/>
          <w:u w:val="single"/>
        </w:rPr>
        <w:t>是/否</w:t>
      </w:r>
      <w:r>
        <w:rPr>
          <w:rFonts w:hint="eastAsia" w:hAnsi="宋体"/>
          <w:bCs/>
          <w:color w:val="auto"/>
          <w:sz w:val="24"/>
          <w:szCs w:val="24"/>
        </w:rPr>
        <w:t>公告期限：</w:t>
      </w:r>
      <w:r>
        <w:rPr>
          <w:rFonts w:hint="eastAsia" w:hAnsi="宋体"/>
          <w:bCs/>
          <w:color w:val="auto"/>
          <w:sz w:val="24"/>
          <w:szCs w:val="24"/>
          <w:u w:val="single"/>
        </w:rPr>
        <w:t xml:space="preserve">                                                       </w:t>
      </w:r>
    </w:p>
    <w:p>
      <w:pPr>
        <w:pStyle w:val="18"/>
        <w:spacing w:line="360" w:lineRule="auto"/>
        <w:ind w:left="25" w:leftChars="12" w:firstLine="472" w:firstLineChars="196"/>
        <w:rPr>
          <w:rFonts w:hAnsi="宋体"/>
          <w:b/>
          <w:color w:val="auto"/>
          <w:sz w:val="24"/>
          <w:szCs w:val="24"/>
        </w:rPr>
      </w:pPr>
      <w:r>
        <w:rPr>
          <w:rFonts w:hint="eastAsia" w:hAnsi="宋体"/>
          <w:b/>
          <w:color w:val="auto"/>
          <w:sz w:val="24"/>
          <w:szCs w:val="24"/>
        </w:rPr>
        <w:t>三、质疑基本情况</w:t>
      </w:r>
    </w:p>
    <w:p>
      <w:pPr>
        <w:pStyle w:val="18"/>
        <w:spacing w:line="360" w:lineRule="auto"/>
        <w:ind w:firstLine="480" w:firstLineChars="200"/>
        <w:rPr>
          <w:rFonts w:hAnsi="宋体"/>
          <w:color w:val="auto"/>
          <w:sz w:val="24"/>
          <w:szCs w:val="24"/>
        </w:rPr>
      </w:pPr>
      <w:r>
        <w:rPr>
          <w:rFonts w:hint="eastAsia" w:hAnsi="宋体"/>
          <w:color w:val="auto"/>
          <w:sz w:val="24"/>
          <w:szCs w:val="24"/>
        </w:rPr>
        <w:t>投诉人于</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日，向</w:t>
      </w:r>
      <w:r>
        <w:rPr>
          <w:rFonts w:hint="eastAsia" w:hAnsi="宋体"/>
          <w:color w:val="auto"/>
          <w:sz w:val="24"/>
          <w:szCs w:val="24"/>
          <w:u w:val="single"/>
        </w:rPr>
        <w:t xml:space="preserve">                                </w:t>
      </w:r>
      <w:r>
        <w:rPr>
          <w:rFonts w:hint="eastAsia" w:hAnsi="宋体"/>
          <w:color w:val="auto"/>
          <w:sz w:val="24"/>
          <w:szCs w:val="24"/>
        </w:rPr>
        <w:t>提出质疑，质疑事项为：</w:t>
      </w:r>
    </w:p>
    <w:p>
      <w:pPr>
        <w:pStyle w:val="18"/>
        <w:spacing w:line="360" w:lineRule="auto"/>
        <w:ind w:firstLine="241"/>
        <w:rPr>
          <w:rFonts w:hAnsi="宋体"/>
          <w:bCs/>
          <w:color w:val="auto"/>
          <w:sz w:val="24"/>
          <w:szCs w:val="24"/>
          <w:u w:val="single"/>
        </w:rPr>
      </w:pPr>
      <w:r>
        <w:rPr>
          <w:rFonts w:hint="eastAsia" w:hAnsi="宋体"/>
          <w:color w:val="auto"/>
          <w:sz w:val="24"/>
          <w:szCs w:val="24"/>
        </w:rPr>
        <w:t xml:space="preserve">    </w:t>
      </w:r>
      <w:r>
        <w:rPr>
          <w:rFonts w:hint="eastAsia" w:hAnsi="宋体"/>
          <w:bCs/>
          <w:color w:val="auto"/>
          <w:sz w:val="24"/>
          <w:szCs w:val="24"/>
          <w:u w:val="single"/>
        </w:rPr>
        <w:t xml:space="preserve">                                                                                      </w:t>
      </w:r>
    </w:p>
    <w:p>
      <w:pPr>
        <w:pStyle w:val="18"/>
        <w:spacing w:line="360" w:lineRule="auto"/>
        <w:ind w:firstLine="241"/>
        <w:rPr>
          <w:rFonts w:hAnsi="宋体"/>
          <w:bCs/>
          <w:color w:val="auto"/>
          <w:sz w:val="24"/>
          <w:szCs w:val="24"/>
          <w:u w:val="single"/>
        </w:rPr>
      </w:pPr>
      <w:r>
        <w:rPr>
          <w:rFonts w:hint="eastAsia" w:hAnsi="宋体"/>
          <w:bCs/>
          <w:color w:val="auto"/>
          <w:sz w:val="24"/>
          <w:szCs w:val="24"/>
        </w:rPr>
        <w:t xml:space="preserve">    </w:t>
      </w:r>
      <w:r>
        <w:rPr>
          <w:rFonts w:hint="eastAsia" w:hAnsi="宋体"/>
          <w:bCs/>
          <w:color w:val="auto"/>
          <w:sz w:val="24"/>
          <w:szCs w:val="24"/>
          <w:u w:val="single"/>
        </w:rPr>
        <w:t xml:space="preserve">                                                                                      </w:t>
      </w:r>
    </w:p>
    <w:p>
      <w:pPr>
        <w:pStyle w:val="18"/>
        <w:spacing w:line="360" w:lineRule="auto"/>
        <w:ind w:firstLine="241"/>
        <w:rPr>
          <w:rFonts w:hAnsi="宋体"/>
          <w:color w:val="auto"/>
          <w:sz w:val="24"/>
          <w:szCs w:val="24"/>
        </w:rPr>
      </w:pPr>
      <w:r>
        <w:rPr>
          <w:rFonts w:hint="eastAsia" w:hAnsi="宋体"/>
          <w:bCs/>
          <w:color w:val="auto"/>
          <w:sz w:val="24"/>
          <w:szCs w:val="24"/>
        </w:rPr>
        <w:t xml:space="preserve">        </w:t>
      </w:r>
      <w:r>
        <w:rPr>
          <w:rFonts w:hint="eastAsia" w:hAnsi="宋体"/>
          <w:bCs/>
          <w:color w:val="auto"/>
          <w:sz w:val="24"/>
          <w:szCs w:val="24"/>
          <w:u w:val="single"/>
        </w:rPr>
        <w:t>采购人/代理机构</w:t>
      </w:r>
      <w:r>
        <w:rPr>
          <w:rFonts w:hint="eastAsia" w:hAnsi="宋体"/>
          <w:bCs/>
          <w:color w:val="auto"/>
          <w:sz w:val="24"/>
          <w:szCs w:val="24"/>
        </w:rPr>
        <w:t>于</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r>
        <w:rPr>
          <w:rFonts w:hint="eastAsia" w:hAnsi="宋体"/>
          <w:bCs/>
          <w:color w:val="auto"/>
          <w:sz w:val="24"/>
          <w:szCs w:val="24"/>
        </w:rPr>
        <w:t xml:space="preserve">就质疑事项作出了答复/没有在法定期限内作出答复。                                                                                             </w:t>
      </w:r>
    </w:p>
    <w:p>
      <w:pPr>
        <w:pStyle w:val="18"/>
        <w:spacing w:line="360" w:lineRule="auto"/>
        <w:ind w:left="25" w:leftChars="12" w:firstLine="472" w:firstLineChars="196"/>
        <w:rPr>
          <w:rFonts w:hAnsi="宋体"/>
          <w:b/>
          <w:color w:val="auto"/>
          <w:sz w:val="24"/>
          <w:szCs w:val="24"/>
        </w:rPr>
      </w:pPr>
      <w:r>
        <w:rPr>
          <w:rFonts w:hint="eastAsia" w:hAnsi="宋体"/>
          <w:b/>
          <w:color w:val="auto"/>
          <w:sz w:val="24"/>
          <w:szCs w:val="24"/>
        </w:rPr>
        <w:t>四、投诉事项具体内容</w:t>
      </w:r>
    </w:p>
    <w:p>
      <w:pPr>
        <w:pStyle w:val="18"/>
        <w:spacing w:line="360" w:lineRule="auto"/>
        <w:ind w:left="25" w:leftChars="12" w:firstLine="472" w:firstLineChars="197"/>
        <w:rPr>
          <w:rFonts w:hAnsi="宋体"/>
          <w:bCs/>
          <w:color w:val="auto"/>
          <w:sz w:val="24"/>
          <w:szCs w:val="24"/>
          <w:u w:val="single"/>
        </w:rPr>
      </w:pPr>
      <w:r>
        <w:rPr>
          <w:rFonts w:hint="eastAsia" w:hAnsi="宋体"/>
          <w:color w:val="auto"/>
          <w:sz w:val="24"/>
          <w:szCs w:val="24"/>
        </w:rPr>
        <w:t>投诉事项1：</w:t>
      </w:r>
      <w:r>
        <w:rPr>
          <w:rFonts w:hint="eastAsia" w:hAnsi="宋体"/>
          <w:bCs/>
          <w:color w:val="auto"/>
          <w:sz w:val="24"/>
          <w:szCs w:val="24"/>
          <w:u w:val="single"/>
        </w:rPr>
        <w:t xml:space="preserve">                                                                           </w:t>
      </w:r>
    </w:p>
    <w:p>
      <w:pPr>
        <w:pStyle w:val="18"/>
        <w:spacing w:line="360" w:lineRule="auto"/>
        <w:ind w:firstLine="480" w:firstLineChars="200"/>
        <w:rPr>
          <w:rFonts w:hAnsi="宋体"/>
          <w:bCs/>
          <w:color w:val="auto"/>
          <w:sz w:val="24"/>
          <w:szCs w:val="24"/>
          <w:u w:val="single"/>
        </w:rPr>
      </w:pPr>
      <w:r>
        <w:rPr>
          <w:rFonts w:hint="eastAsia" w:hAnsi="宋体"/>
          <w:bCs/>
          <w:color w:val="auto"/>
          <w:sz w:val="24"/>
          <w:szCs w:val="24"/>
        </w:rPr>
        <w:t>事实依据：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color w:val="auto"/>
          <w:sz w:val="24"/>
          <w:szCs w:val="24"/>
        </w:rPr>
      </w:pPr>
      <w:r>
        <w:rPr>
          <w:rFonts w:hint="eastAsia" w:hAnsi="宋体"/>
          <w:bCs/>
          <w:color w:val="auto"/>
          <w:sz w:val="24"/>
          <w:szCs w:val="24"/>
          <w:u w:val="single"/>
        </w:rPr>
        <w:t xml:space="preserve">                                                                                        </w:t>
      </w:r>
    </w:p>
    <w:p>
      <w:pPr>
        <w:pStyle w:val="18"/>
        <w:spacing w:line="360" w:lineRule="auto"/>
        <w:ind w:firstLine="480" w:firstLineChars="200"/>
        <w:rPr>
          <w:rFonts w:hAnsi="宋体"/>
          <w:bCs/>
          <w:color w:val="auto"/>
          <w:sz w:val="24"/>
          <w:szCs w:val="24"/>
          <w:u w:val="single"/>
        </w:rPr>
      </w:pPr>
      <w:r>
        <w:rPr>
          <w:rFonts w:hint="eastAsia" w:hAnsi="宋体"/>
          <w:bCs/>
          <w:color w:val="auto"/>
          <w:sz w:val="24"/>
          <w:szCs w:val="24"/>
        </w:rPr>
        <w:t>法律依据：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8"/>
        <w:spacing w:line="360" w:lineRule="auto"/>
        <w:ind w:left="25" w:leftChars="12" w:firstLine="352" w:firstLineChars="147"/>
        <w:rPr>
          <w:rFonts w:hAnsi="宋体"/>
          <w:bCs/>
          <w:color w:val="auto"/>
          <w:sz w:val="24"/>
          <w:szCs w:val="24"/>
          <w:u w:val="single"/>
        </w:rPr>
      </w:pPr>
      <w:r>
        <w:rPr>
          <w:rFonts w:hint="eastAsia" w:hAnsi="宋体"/>
          <w:bCs/>
          <w:color w:val="auto"/>
          <w:sz w:val="24"/>
          <w:szCs w:val="24"/>
        </w:rPr>
        <w:t xml:space="preserve"> </w:t>
      </w:r>
      <w:r>
        <w:rPr>
          <w:rFonts w:hint="eastAsia" w:hAnsi="宋体"/>
          <w:bCs/>
          <w:color w:val="auto"/>
          <w:sz w:val="24"/>
          <w:szCs w:val="24"/>
          <w:u w:val="single"/>
        </w:rPr>
        <w:t xml:space="preserve">                                                                                        </w:t>
      </w:r>
    </w:p>
    <w:p>
      <w:pPr>
        <w:pStyle w:val="18"/>
        <w:spacing w:line="360" w:lineRule="auto"/>
        <w:ind w:left="25" w:leftChars="12" w:firstLine="472" w:firstLineChars="197"/>
        <w:rPr>
          <w:rFonts w:hAnsi="宋体"/>
          <w:bCs/>
          <w:color w:val="auto"/>
          <w:sz w:val="24"/>
          <w:szCs w:val="24"/>
        </w:rPr>
      </w:pPr>
      <w:r>
        <w:rPr>
          <w:rFonts w:hint="eastAsia" w:hAnsi="宋体"/>
          <w:color w:val="auto"/>
          <w:sz w:val="24"/>
          <w:szCs w:val="24"/>
        </w:rPr>
        <w:t xml:space="preserve">投诉事项2  </w:t>
      </w:r>
      <w:r>
        <w:rPr>
          <w:rFonts w:hint="eastAsia" w:hAnsi="宋体"/>
          <w:bCs/>
          <w:color w:val="auto"/>
          <w:sz w:val="24"/>
          <w:szCs w:val="24"/>
        </w:rPr>
        <w:t xml:space="preserve">   </w:t>
      </w:r>
    </w:p>
    <w:p>
      <w:pPr>
        <w:pStyle w:val="18"/>
        <w:spacing w:line="360" w:lineRule="auto"/>
        <w:ind w:left="25" w:leftChars="12" w:firstLine="472" w:firstLineChars="197"/>
        <w:rPr>
          <w:rFonts w:hAnsi="宋体"/>
          <w:bCs/>
          <w:color w:val="auto"/>
          <w:sz w:val="24"/>
          <w:szCs w:val="24"/>
        </w:rPr>
      </w:pPr>
      <w:r>
        <w:rPr>
          <w:rFonts w:hAnsi="宋体"/>
          <w:bCs/>
          <w:color w:val="auto"/>
          <w:sz w:val="24"/>
          <w:szCs w:val="24"/>
        </w:rPr>
        <w:t>……</w:t>
      </w:r>
    </w:p>
    <w:p>
      <w:pPr>
        <w:pStyle w:val="18"/>
        <w:spacing w:line="360" w:lineRule="auto"/>
        <w:ind w:left="25" w:leftChars="12" w:firstLine="472" w:firstLineChars="196"/>
        <w:rPr>
          <w:rFonts w:hAnsi="宋体"/>
          <w:b/>
          <w:color w:val="auto"/>
          <w:sz w:val="24"/>
          <w:szCs w:val="24"/>
        </w:rPr>
      </w:pPr>
      <w:r>
        <w:rPr>
          <w:rFonts w:hint="eastAsia" w:hAnsi="宋体"/>
          <w:b/>
          <w:color w:val="auto"/>
          <w:sz w:val="24"/>
          <w:szCs w:val="24"/>
        </w:rPr>
        <w:t>五、与投诉事项相关的投诉请求：</w:t>
      </w: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请求：</w:t>
      </w:r>
      <w:r>
        <w:rPr>
          <w:rFonts w:hint="eastAsia" w:hAnsi="宋体"/>
          <w:bCs/>
          <w:color w:val="auto"/>
          <w:sz w:val="24"/>
          <w:szCs w:val="24"/>
          <w:u w:val="single"/>
        </w:rPr>
        <w:t xml:space="preserve">                                                                                 </w:t>
      </w:r>
    </w:p>
    <w:p>
      <w:pPr>
        <w:pStyle w:val="18"/>
        <w:spacing w:line="360" w:lineRule="auto"/>
        <w:ind w:left="25" w:leftChars="12" w:firstLine="352" w:firstLineChars="147"/>
        <w:rPr>
          <w:rFonts w:hAnsi="宋体"/>
          <w:color w:val="auto"/>
          <w:sz w:val="24"/>
          <w:szCs w:val="24"/>
        </w:rPr>
      </w:pP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签字（签章）：                                       公章：</w:t>
      </w:r>
    </w:p>
    <w:p>
      <w:pPr>
        <w:pStyle w:val="18"/>
        <w:spacing w:line="360" w:lineRule="auto"/>
        <w:ind w:left="25" w:leftChars="12" w:firstLine="352" w:firstLineChars="147"/>
        <w:rPr>
          <w:rFonts w:hAnsi="宋体"/>
          <w:color w:val="auto"/>
          <w:sz w:val="24"/>
          <w:szCs w:val="24"/>
        </w:rPr>
      </w:pPr>
    </w:p>
    <w:p>
      <w:pPr>
        <w:pStyle w:val="18"/>
        <w:spacing w:line="360" w:lineRule="auto"/>
        <w:ind w:left="25" w:leftChars="12" w:firstLine="472" w:firstLineChars="197"/>
        <w:rPr>
          <w:rFonts w:hAnsi="宋体"/>
          <w:color w:val="auto"/>
          <w:sz w:val="24"/>
          <w:szCs w:val="24"/>
        </w:rPr>
      </w:pPr>
      <w:r>
        <w:rPr>
          <w:rFonts w:hint="eastAsia" w:hAnsi="宋体"/>
          <w:color w:val="auto"/>
          <w:sz w:val="24"/>
          <w:szCs w:val="24"/>
        </w:rPr>
        <w:t>日期：</w:t>
      </w:r>
    </w:p>
    <w:p>
      <w:pPr>
        <w:pStyle w:val="18"/>
        <w:spacing w:line="360" w:lineRule="auto"/>
        <w:ind w:left="25" w:leftChars="12" w:firstLine="472" w:firstLineChars="197"/>
        <w:rPr>
          <w:rFonts w:hAnsi="宋体"/>
          <w:b/>
          <w:color w:val="auto"/>
          <w:sz w:val="24"/>
          <w:szCs w:val="24"/>
        </w:rPr>
      </w:pPr>
      <w:r>
        <w:rPr>
          <w:rFonts w:hint="eastAsia" w:hAnsi="宋体"/>
          <w:bCs/>
          <w:color w:val="auto"/>
          <w:sz w:val="24"/>
          <w:szCs w:val="24"/>
        </w:rPr>
        <w:t xml:space="preserve">                                                                                 </w:t>
      </w:r>
    </w:p>
    <w:p>
      <w:pPr>
        <w:pStyle w:val="18"/>
        <w:snapToGrid w:val="0"/>
        <w:spacing w:line="360" w:lineRule="auto"/>
        <w:rPr>
          <w:rFonts w:hAnsi="宋体"/>
          <w:b/>
          <w:color w:val="auto"/>
          <w:sz w:val="24"/>
          <w:szCs w:val="24"/>
        </w:rPr>
      </w:pPr>
      <w:r>
        <w:rPr>
          <w:rFonts w:hint="eastAsia" w:hAnsi="宋体"/>
          <w:b/>
          <w:color w:val="auto"/>
          <w:sz w:val="24"/>
          <w:szCs w:val="24"/>
        </w:rPr>
        <w:t>说明：</w:t>
      </w:r>
    </w:p>
    <w:p>
      <w:pPr>
        <w:pStyle w:val="18"/>
        <w:spacing w:line="360" w:lineRule="auto"/>
        <w:ind w:left="25" w:leftChars="12" w:firstLine="354" w:firstLineChars="147"/>
        <w:rPr>
          <w:rFonts w:hAnsi="宋体"/>
          <w:b/>
          <w:bCs/>
          <w:color w:val="auto"/>
          <w:sz w:val="24"/>
          <w:szCs w:val="24"/>
        </w:rPr>
      </w:pPr>
      <w:r>
        <w:rPr>
          <w:rFonts w:hint="eastAsia" w:hAnsi="宋体"/>
          <w:b/>
          <w:color w:val="auto"/>
          <w:sz w:val="24"/>
          <w:szCs w:val="24"/>
        </w:rPr>
        <w:t>1.投诉人提起投诉时，应当提交投诉书和必要的证明材料，并按照被投诉人和与投诉事项有关的供应商数量提供投诉书副本</w:t>
      </w:r>
      <w:r>
        <w:rPr>
          <w:rFonts w:hint="eastAsia" w:hAnsi="宋体"/>
          <w:b/>
          <w:bCs/>
          <w:color w:val="auto"/>
          <w:sz w:val="24"/>
          <w:szCs w:val="24"/>
        </w:rPr>
        <w:t>。</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3.投诉书应简要列明质疑事项，质疑函、质疑答复等作为附件材料提供。</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4.投诉书的投诉事项应具体、明确，并有必要的事实依据和法律依据。</w:t>
      </w:r>
    </w:p>
    <w:p>
      <w:pPr>
        <w:pStyle w:val="18"/>
        <w:spacing w:line="360" w:lineRule="auto"/>
        <w:ind w:left="25" w:leftChars="12" w:firstLine="354" w:firstLineChars="147"/>
        <w:rPr>
          <w:rFonts w:hAnsi="宋体"/>
          <w:b/>
          <w:color w:val="auto"/>
          <w:sz w:val="24"/>
          <w:szCs w:val="24"/>
        </w:rPr>
      </w:pPr>
      <w:r>
        <w:rPr>
          <w:rFonts w:hint="eastAsia" w:hAnsi="宋体"/>
          <w:b/>
          <w:color w:val="auto"/>
          <w:sz w:val="24"/>
          <w:szCs w:val="24"/>
        </w:rPr>
        <w:t>5.投诉书的投诉请求应与投诉事项相关。</w:t>
      </w:r>
    </w:p>
    <w:p>
      <w:pPr>
        <w:pStyle w:val="18"/>
        <w:spacing w:line="360" w:lineRule="auto"/>
        <w:ind w:left="25" w:leftChars="12" w:firstLine="354" w:firstLineChars="147"/>
        <w:rPr>
          <w:rFonts w:hAnsi="宋体"/>
          <w:b/>
          <w:color w:val="auto"/>
        </w:rPr>
      </w:pPr>
      <w:r>
        <w:rPr>
          <w:rFonts w:hint="eastAsia" w:hAnsi="宋体"/>
          <w:b/>
          <w:color w:val="auto"/>
          <w:sz w:val="24"/>
          <w:szCs w:val="24"/>
        </w:rPr>
        <w:t>6.投诉人为法人或者其他组织的，投诉书应由法定代表人、主要负责人，或者其授权代表签字或者盖章，并加盖公章。</w:t>
      </w:r>
    </w:p>
    <w:p>
      <w:pPr>
        <w:rPr>
          <w:color w:val="auto"/>
        </w:rPr>
      </w:pPr>
    </w:p>
    <w:p>
      <w:pPr>
        <w:rPr>
          <w:color w:val="auto"/>
        </w:rPr>
      </w:pPr>
    </w:p>
    <w:sectPr>
      <w:footerReference r:id="rId16" w:type="first"/>
      <w:headerReference r:id="rId13" w:type="default"/>
      <w:footerReference r:id="rId14" w:type="default"/>
      <w:footerReference r:id="rId15" w:type="even"/>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33</w:t>
                          </w:r>
                          <w: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hk0hscBAACcAwAADgAAAGRycy9lMm9Eb2MueG1srVPNjtMwEL4j8Q6W&#10;7zRpJ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n5a86sMPTgl+/fLj9+XX5+Zctl&#10;0qf3WFHZg6fCONy5gbZmjiMFE+2hDSZ9iRCjPKl7vqoLQ2QyXVqv1uuSUpJys0P4xeN1HzC+BWdY&#10;Mmoe6PmyquL0HuNYOpekbtbdK63zE2r7V4AwxwjkHZhuJybjxMmKw36Y6O1dcyZ2Pe1BzS2tPWf6&#10;nSWZ08rMRpiN/WSkjuhvj5HGyNMl1BGKWCWHHi3zmxYsbcWffq56/Km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whk0hscBAACcAwAADgAAAAAAAAABACAAAAAeAQAAZHJzL2Uyb0RvYy54&#10;bWxQSwUGAAAAAAYABgBZAQAAVw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fldChar w:fldCharType="begin"/>
    </w:r>
    <w:r>
      <w:rPr>
        <w:rStyle w:val="38"/>
      </w:rPr>
      <w:instrText xml:space="preserve">PAGE  </w:instrText>
    </w:r>
    <w:r>
      <w:fldChar w:fldCharType="separate"/>
    </w:r>
    <w:r>
      <w:rPr>
        <w:rStyle w:val="38"/>
      </w:rPr>
      <w:t>122</w:t>
    </w:r>
    <w:r>
      <w:fldChar w:fldCharType="end"/>
    </w:r>
  </w:p>
  <w:p>
    <w:pPr>
      <w:pStyle w:val="23"/>
      <w:ind w:right="360"/>
      <w:jc w:val="both"/>
    </w:pPr>
    <w:r>
      <w:rPr>
        <w:rFonts w:hint="eastAsia"/>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61</w:t>
                          </w:r>
                          <w: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68UBAACbAwAADgAAAGRycy9lMm9Eb2MueG1srVPNjtMwEL4j8Q6W&#10;7zTZHlCJmq5A1SIkBEgLD+A648aS/+Rxm/QF4A04ceHOc/U5GDtpF5bLHrg48+dv5vs8Wd+O1rAj&#10;RNTetfxmUXMGTvpOu33Lv3y+e7HiDJNwnTDeQctPgPx28/zZeggNLH3vTQeREYjDZggt71MKTVWh&#10;7MEKXPgAjpLKRysSuXFfdVEMhG5Ntazrl9XgYxeil4BI0e2U5DNifAqgV0pL2Hp5sODShBrBiESU&#10;sNcB+aZMqxTI9FEphMRMy4lpKic1IXuXz2qzFs0+itBrOY8gnjLCI05WaEdNr1BbkQQ7RP0PlNUy&#10;evQqLaS31USkKEIsbupH2tz3IkDhQlJjuIqO/w9Wfjh+ikx3tAmcOWHpwc/fv51//Dr//MpeZXmG&#10;gA1V3QeqS+MbP+bSOY4UzKxHFW3+Eh9GeRL3dBUXxsRkvrRarlY1pSTlLg7hVA/XQ8T0Frxl2Wh5&#10;pNcroorje0xT6aUkd3P+ThtDcdEY91eAMKcIlBWYb2cm08TZSuNunGnsfHcidgOtQcsdbT1n5p0j&#10;lfPGXIx4MXazkTtieH1INEaZLqNOUMQqO/Rmhd+8X3kp/vRL1cM/t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PzfpevFAQAAmwMAAA4AAAAAAAAAAQAgAAAAHgEAAGRycy9lMm9Eb2MueG1s&#10;UEsFBgAAAAAGAAYAWQEAAFUFA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end"/>
    </w: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60</w:t>
                          </w:r>
                          <w: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QUfMcBAACbAwAADgAAAGRycy9lMm9Eb2MueG1srVPNjtMwEL6vxDtY&#10;vtNke4AqaroCVYuQECAt+wCu4zSWbI/lcZv0BeANOHHZ+z5Xn4Oxk3RhueyBizN//ma+z5P1zWAN&#10;O6qAGlzNrxclZ8pJaLTb1/z+2+3rFWcYhWuEAadqflLIbzavrta9r9QSOjCNCoxAHFa9r3kXo6+K&#10;AmWnrMAFeOUo2UKwIpIb9kUTRE/o1hTLsnxT9BAaH0AqRIpuxySfEMNLAKFttVRbkAerXBxRgzIi&#10;EiXstEe+ydO2rZLxS9uiiszUnJjGfFITsnfpLDZrUe2D8J2W0wjiJSM842SFdtT0ArUVUbBD0P9A&#10;WS0DILRxIcEWI5GsCLG4Lp9pc9cJrzIXkhr9RXT8f7Dy8/FrYLqp+ZIzJyw9+Pnnj/Ovx/PDd/Y2&#10;ydN7rKjqzlNdHN7DQEszx5GCifXQBpu+xIdRnsQ9XcRVQ2QyXVotV6uSUpJys0P4xdN1HzB+UGBZ&#10;Mmoe6PWyqOL4CeNYOpekbg5utTH5BY37K0CYY0TlFZhuJybjxMmKw26Y6O2gORG7ntag5o62njPz&#10;0ZHKaWNmI8zGbjJSR/TvDpHGyNMl1BGKWCWH3izzm/YrLcWffq56+qc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fQUfMcBAACbAwAADgAAAAAAAAABACAAAAAeAQAAZHJzL2Uyb0RvYy54&#10;bWxQSwUGAAAAAAYABgBZAQAAVw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z4cMYBAACbAwAADgAAAGRycy9lMm9Eb2MueG1srVPNjtMwEL4j8Q6W&#10;7zTZIqEoaroCVYuQECAtPIDrOI0l22N53CZ9AXgDTly481x9DsZO0oXlsgcuzvz5m/k+Tza3ozXs&#10;pAJqcA2/WZWcKSeh1e7Q8C+f715UnGEUrhUGnGr4WSG/3T5/thl8rdbQg2lVYATisB58w/sYfV0U&#10;KHtlBa7AK0fJDoIVkdxwKNogBkK3pliX5atigND6AFIhUnQ3JfmMGJ4CCF2npdqBPFrl4oQalBGR&#10;KGGvPfJtnrbrlIwfuw5VZKbhxDTmk5qQvU9nsd2I+hCE77WcRxBPGeERJyu0o6ZXqJ2Igh2D/gfK&#10;ahkAoYsrCbaYiGRFiMVN+Uib+154lbmQ1OivouP/g5UfTp8C023DX3LmhKUHv3z/dvnx6/LzK6uS&#10;PIPHmqruPdXF8Q2MtDRLHCmYWI9dsOlLfBjlSdzzVVw1RibTpWpdVSWlJOUWh/CLh+s+YHyrwLJk&#10;NDzQ62VRxek9xql0KUndHNxpY/ILGvdXgDCniMorMN9OTKaJkxXH/TjT20N7JnYDrUHDHW09Z+ad&#10;I5XTxixGWIz9bKSO6F8fI42Rp0uoExSxSg69WeY371daij/9XPXwT2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kXPhwxgEAAJsDAAAOAAAAAAAAAAEAIAAAAB4BAABkcnMvZTJvRG9jLnht&#10;bFBLBQYAAAAABgAGAFkBAABWBQAAAAA=&#10;">
              <v:fill on="f" focussize="0,0"/>
              <v:stroke on="f"/>
              <v:imagedata o:title=""/>
              <o:lock v:ext="edit" aspectratio="f"/>
              <v:textbox inset="0mm,0mm,0mm,0mm" style="mso-fit-shape-to-text:t;">
                <w:txbxContent>
                  <w:p>
                    <w:pPr>
                      <w:pStyle w:val="2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fldChar w:fldCharType="begin"/>
                          </w:r>
                          <w:r>
                            <w:instrText xml:space="preserve"> PAGE  \* MERGEFORMAT </w:instrText>
                          </w:r>
                          <w:r>
                            <w:fldChar w:fldCharType="separate"/>
                          </w:r>
                          <w:r>
                            <w:t>92</w:t>
                          </w:r>
                          <w: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5RNMYBAACcAwAADgAAAGRycy9lMm9Eb2MueG1srVPNjtMwEL4j8Q6W&#10;7zRphVAVNV2BqkUrrQBp4QFcZ9JY8p88bpO+wO4bcOLCnefqczB20haWyx64OPPnb+b7PFndDEaz&#10;AwRUztZ8Pis5Aytdo+yu5t++3r5ZcoZR2EZoZ6HmR0B+s379atX7Chauc7qBwAjEYtX7mncx+qoo&#10;UHZgBM6cB0vJ1gUjIrlhVzRB9IRudLEoy3dF70Ljg5OASNHNmOQTYngJoGtbJWHj5N6AjSNqAC0i&#10;UcJOeeTrPG3bgoyf2xYhMl1zYhrzSU3I3qazWK9EtQvCd0pOI4iXjPCMkxHKUtML1EZEwfZB/QNl&#10;lAwOXRtn0pliJJIVIRbz8pk2D53wkLmQ1OgvouP/g5WfDl8CU03N33JmhaEHP31/Ov34dfr5yOZZ&#10;n95jRWUPngrj8MENtDVJtxRHCibaQxtM+hIhRnlS93hRF4bIZLq0XCyXJaUk5c4O4RTX6z5g/AjO&#10;sGTUPNDzZVXF4R7jWHouSd2su1Va5yfU9q8AYY4RyDsw3b5OnKw4bIeJxtY1R2LX0x7U3NLac6bv&#10;LMmcVuZshLOxnYzUEf37faQx8nQJdYQiVsmhR8v8pgVLW/Gnn6uuP9X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EzlE0xgEAAJwDAAAOAAAAAAAAAAEAIAAAAB4BAABkcnMvZTJvRG9jLnht&#10;bFBLBQYAAAAABgAGAFkBAABW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92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end"/>
    </w:r>
  </w:p>
  <w:p>
    <w:pPr>
      <w:pStyle w:val="2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fldChar w:fldCharType="begin"/>
    </w:r>
    <w:r>
      <w:rPr>
        <w:rStyle w:val="38"/>
      </w:rPr>
      <w:instrText xml:space="preserve">PAGE  </w:instrText>
    </w:r>
    <w:r>
      <w:fldChar w:fldCharType="separate"/>
    </w:r>
    <w:r>
      <w:rPr>
        <w:rStyle w:val="38"/>
      </w:rPr>
      <w:t>122</w:t>
    </w:r>
    <w:r>
      <w:fldChar w:fldCharType="end"/>
    </w:r>
  </w:p>
  <w:p>
    <w:pPr>
      <w:pStyle w:val="23"/>
      <w:ind w:right="360"/>
      <w:jc w:val="both"/>
    </w:pPr>
    <w:r>
      <w:rPr>
        <w:rFonts w:hint="eastAsia"/>
      </w:rPr>
      <w:t>121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106</w:t>
    </w:r>
    <w:r>
      <w:fldChar w:fldCharType="end"/>
    </w:r>
  </w:p>
  <w:p>
    <w:pPr>
      <w:pStyle w:val="2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left" w:pos="8306"/>
        <w:tab w:val="clear" w:pos="4153"/>
      </w:tabs>
      <w:rPr>
        <w:rFonts w:hint="eastAsia" w:eastAsia="宋体"/>
        <w:lang w:eastAsia="zh-CN"/>
      </w:rPr>
    </w:pPr>
    <w:r>
      <w:rPr>
        <w:rFonts w:hint="eastAsia"/>
      </w:rPr>
      <w:t>项目名称：</w:t>
    </w:r>
    <w:r>
      <w:rPr>
        <w:rFonts w:hint="eastAsia"/>
        <w:lang w:eastAsia="zh-CN"/>
      </w:rPr>
      <w:t>党的二十大安全播出保障项目设备采购</w:t>
    </w:r>
    <w:r>
      <w:rPr>
        <w:rFonts w:hint="eastAsia"/>
      </w:rPr>
      <w:t xml:space="preserve">             项目编号：</w:t>
    </w:r>
    <w:r>
      <w:rPr>
        <w:rFonts w:hint="eastAsia"/>
        <w:lang w:eastAsia="zh-CN"/>
      </w:rPr>
      <w:t>GXZC2022-G1-003501-ZZGJ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left" w:pos="8306"/>
        <w:tab w:val="clear" w:pos="4153"/>
      </w:tabs>
    </w:pPr>
    <w:r>
      <w:rPr>
        <w:rFonts w:hint="eastAsia"/>
      </w:rPr>
      <w:t>项目名称：</w:t>
    </w:r>
    <w:r>
      <w:rPr>
        <w:rFonts w:hint="eastAsia"/>
        <w:lang w:eastAsia="zh-CN"/>
      </w:rPr>
      <w:t>党的二十大安全播出保障项目设备采购</w:t>
    </w:r>
    <w:r>
      <w:rPr>
        <w:rFonts w:hint="eastAsia"/>
      </w:rPr>
      <w:t xml:space="preserve">             项目编号：</w:t>
    </w:r>
    <w:r>
      <w:rPr>
        <w:rFonts w:hint="eastAsia"/>
        <w:lang w:eastAsia="zh-CN"/>
      </w:rPr>
      <w:t>GXZC2022-G1-003501-ZZGJ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left" w:pos="8306"/>
        <w:tab w:val="clear" w:pos="4153"/>
      </w:tabs>
    </w:pPr>
    <w:r>
      <w:rPr>
        <w:rFonts w:hint="eastAsia"/>
      </w:rPr>
      <w:t>项目名称：</w:t>
    </w:r>
    <w:r>
      <w:rPr>
        <w:rFonts w:hint="eastAsia"/>
        <w:lang w:eastAsia="zh-CN"/>
      </w:rPr>
      <w:t>党的二十大安全播出保障项目设备采购</w:t>
    </w:r>
    <w:r>
      <w:rPr>
        <w:rFonts w:hint="eastAsia"/>
      </w:rPr>
      <w:t xml:space="preserve">             项目编号：</w:t>
    </w:r>
    <w:r>
      <w:rPr>
        <w:rFonts w:hint="eastAsia"/>
        <w:lang w:eastAsia="zh-CN"/>
      </w:rPr>
      <w:t>GXZC2022-G1-003501-ZZGJ</w:t>
    </w:r>
  </w:p>
  <w:p>
    <w:pPr>
      <w:pStyle w:val="24"/>
      <w:pBdr>
        <w:bottom w:val="none" w:color="auto" w:sz="0" w:space="0"/>
      </w:pBdr>
      <w:tabs>
        <w:tab w:val="center" w:pos="0"/>
        <w:tab w:val="left" w:pos="8306"/>
        <w:tab w:val="clear" w:pos="415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clear" w:pos="4153"/>
      </w:tabs>
    </w:pPr>
    <w:r>
      <w:rPr>
        <w:rFonts w:hint="eastAsia"/>
      </w:rPr>
      <w:t>项目名称：</w:t>
    </w:r>
    <w:r>
      <w:rPr>
        <w:rFonts w:hint="eastAsia"/>
        <w:lang w:eastAsia="zh-CN"/>
      </w:rPr>
      <w:t>党的二十大安全播出保障项目设备采购</w:t>
    </w:r>
    <w:r>
      <w:rPr>
        <w:rFonts w:hint="eastAsia"/>
      </w:rPr>
      <w:t xml:space="preserve">             项目编号：</w:t>
    </w:r>
    <w:r>
      <w:rPr>
        <w:rFonts w:hint="eastAsia"/>
        <w:lang w:eastAsia="zh-CN"/>
      </w:rPr>
      <w:t>GXZC2022-G1-003501-ZZGJ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F1C5D"/>
    <w:multiLevelType w:val="singleLevel"/>
    <w:tmpl w:val="A08F1C5D"/>
    <w:lvl w:ilvl="0" w:tentative="0">
      <w:start w:val="1"/>
      <w:numFmt w:val="decimal"/>
      <w:suff w:val="space"/>
      <w:lvlText w:val="%1."/>
      <w:lvlJc w:val="left"/>
    </w:lvl>
  </w:abstractNum>
  <w:abstractNum w:abstractNumId="1">
    <w:nsid w:val="BE14ABDA"/>
    <w:multiLevelType w:val="multilevel"/>
    <w:tmpl w:val="BE14AB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E827E2BE"/>
    <w:multiLevelType w:val="singleLevel"/>
    <w:tmpl w:val="E827E2BE"/>
    <w:lvl w:ilvl="0" w:tentative="0">
      <w:start w:val="1"/>
      <w:numFmt w:val="chineseCounting"/>
      <w:suff w:val="nothing"/>
      <w:lvlText w:val="%1、"/>
      <w:lvlJc w:val="left"/>
      <w:rPr>
        <w:rFonts w:hint="eastAsia"/>
      </w:rPr>
    </w:lvl>
  </w:abstractNum>
  <w:abstractNum w:abstractNumId="3">
    <w:nsid w:val="22781C3F"/>
    <w:multiLevelType w:val="multilevel"/>
    <w:tmpl w:val="22781C3F"/>
    <w:lvl w:ilvl="0" w:tentative="0">
      <w:start w:val="1"/>
      <w:numFmt w:val="decimal"/>
      <w:pStyle w:val="111"/>
      <w:lvlText w:val="(%1)"/>
      <w:lvlJc w:val="left"/>
      <w:pPr>
        <w:tabs>
          <w:tab w:val="left" w:pos="846"/>
        </w:tabs>
        <w:ind w:left="846" w:hanging="420"/>
      </w:pPr>
      <w:rPr>
        <w:rFonts w:hint="eastAsia" w:cs="Times New Roman"/>
      </w:rPr>
    </w:lvl>
    <w:lvl w:ilvl="1" w:tentative="0">
      <w:start w:val="1"/>
      <w:numFmt w:val="decimal"/>
      <w:isLgl/>
      <w:lvlText w:val="%1.%2"/>
      <w:lvlJc w:val="left"/>
      <w:pPr>
        <w:tabs>
          <w:tab w:val="left" w:pos="951"/>
        </w:tabs>
        <w:ind w:left="951" w:hanging="525"/>
      </w:pPr>
      <w:rPr>
        <w:rFonts w:hint="default"/>
      </w:rPr>
    </w:lvl>
    <w:lvl w:ilvl="2" w:tentative="0">
      <w:start w:val="5"/>
      <w:numFmt w:val="decimal"/>
      <w:isLgl/>
      <w:lvlText w:val="%1.%2.%3"/>
      <w:lvlJc w:val="left"/>
      <w:pPr>
        <w:tabs>
          <w:tab w:val="left" w:pos="1146"/>
        </w:tabs>
        <w:ind w:left="1146" w:hanging="720"/>
      </w:pPr>
      <w:rPr>
        <w:rFonts w:hint="default"/>
      </w:rPr>
    </w:lvl>
    <w:lvl w:ilvl="3" w:tentative="0">
      <w:start w:val="1"/>
      <w:numFmt w:val="decimal"/>
      <w:isLgl/>
      <w:lvlText w:val="%1.%2.%3.%4"/>
      <w:lvlJc w:val="left"/>
      <w:pPr>
        <w:tabs>
          <w:tab w:val="left" w:pos="1506"/>
        </w:tabs>
        <w:ind w:left="1506" w:hanging="1080"/>
      </w:pPr>
      <w:rPr>
        <w:rFonts w:hint="default"/>
      </w:rPr>
    </w:lvl>
    <w:lvl w:ilvl="4" w:tentative="0">
      <w:start w:val="1"/>
      <w:numFmt w:val="decimal"/>
      <w:isLgl/>
      <w:lvlText w:val="%1.%2.%3.%4.%5"/>
      <w:lvlJc w:val="left"/>
      <w:pPr>
        <w:tabs>
          <w:tab w:val="left" w:pos="1506"/>
        </w:tabs>
        <w:ind w:left="1506" w:hanging="1080"/>
      </w:pPr>
      <w:rPr>
        <w:rFonts w:hint="default"/>
      </w:rPr>
    </w:lvl>
    <w:lvl w:ilvl="5" w:tentative="0">
      <w:start w:val="1"/>
      <w:numFmt w:val="decimal"/>
      <w:isLgl/>
      <w:lvlText w:val="%1.%2.%3.%4.%5.%6"/>
      <w:lvlJc w:val="left"/>
      <w:pPr>
        <w:tabs>
          <w:tab w:val="left" w:pos="1866"/>
        </w:tabs>
        <w:ind w:left="1866" w:hanging="1440"/>
      </w:pPr>
      <w:rPr>
        <w:rFonts w:hint="default"/>
      </w:rPr>
    </w:lvl>
    <w:lvl w:ilvl="6" w:tentative="0">
      <w:start w:val="1"/>
      <w:numFmt w:val="decimal"/>
      <w:isLgl/>
      <w:lvlText w:val="%1.%2.%3.%4.%5.%6.%7"/>
      <w:lvlJc w:val="left"/>
      <w:pPr>
        <w:tabs>
          <w:tab w:val="left" w:pos="1866"/>
        </w:tabs>
        <w:ind w:left="1866" w:hanging="1440"/>
      </w:pPr>
      <w:rPr>
        <w:rFonts w:hint="default"/>
      </w:rPr>
    </w:lvl>
    <w:lvl w:ilvl="7" w:tentative="0">
      <w:start w:val="1"/>
      <w:numFmt w:val="decimal"/>
      <w:isLgl/>
      <w:lvlText w:val="%1.%2.%3.%4.%5.%6.%7.%8"/>
      <w:lvlJc w:val="left"/>
      <w:pPr>
        <w:tabs>
          <w:tab w:val="left" w:pos="2226"/>
        </w:tabs>
        <w:ind w:left="2226" w:hanging="1800"/>
      </w:pPr>
      <w:rPr>
        <w:rFonts w:hint="default"/>
      </w:rPr>
    </w:lvl>
    <w:lvl w:ilvl="8" w:tentative="0">
      <w:start w:val="1"/>
      <w:numFmt w:val="decimal"/>
      <w:isLgl/>
      <w:lvlText w:val="%1.%2.%3.%4.%5.%6.%7.%8.%9"/>
      <w:lvlJc w:val="left"/>
      <w:pPr>
        <w:tabs>
          <w:tab w:val="left" w:pos="2226"/>
        </w:tabs>
        <w:ind w:left="2226" w:hanging="1800"/>
      </w:pPr>
      <w:rPr>
        <w:rFonts w:hint="default"/>
      </w:rPr>
    </w:lvl>
  </w:abstractNum>
  <w:abstractNum w:abstractNumId="4">
    <w:nsid w:val="42405056"/>
    <w:multiLevelType w:val="multilevel"/>
    <w:tmpl w:val="42405056"/>
    <w:lvl w:ilvl="0" w:tentative="0">
      <w:start w:val="1"/>
      <w:numFmt w:val="decimal"/>
      <w:lvlText w:val="%1."/>
      <w:lvlJc w:val="left"/>
      <w:pPr>
        <w:ind w:left="773" w:hanging="360"/>
      </w:pPr>
      <w:rPr>
        <w:rFonts w:hint="default" w:ascii="宋体" w:hAnsi="宋体" w:eastAsia="宋体" w:cs="宋体"/>
        <w:b w:val="0"/>
        <w:bCs/>
        <w:sz w:val="21"/>
        <w:szCs w:val="21"/>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5">
    <w:nsid w:val="4BB64FDF"/>
    <w:multiLevelType w:val="singleLevel"/>
    <w:tmpl w:val="4BB64FDF"/>
    <w:lvl w:ilvl="0" w:tentative="0">
      <w:start w:val="1"/>
      <w:numFmt w:val="decimal"/>
      <w:suff w:val="space"/>
      <w:lvlText w:val="%1."/>
      <w:lvlJc w:val="left"/>
      <w:rPr>
        <w:rFonts w:hint="default"/>
        <w:b w:val="0"/>
        <w:bCs w:val="0"/>
        <w:sz w:val="21"/>
        <w:szCs w:val="21"/>
      </w:rPr>
    </w:lvl>
  </w:abstractNum>
  <w:abstractNum w:abstractNumId="6">
    <w:nsid w:val="4C601917"/>
    <w:multiLevelType w:val="singleLevel"/>
    <w:tmpl w:val="4C601917"/>
    <w:lvl w:ilvl="0" w:tentative="0">
      <w:start w:val="1"/>
      <w:numFmt w:val="decimal"/>
      <w:suff w:val="nothing"/>
      <w:lvlText w:val="（%1）"/>
      <w:lvlJc w:val="left"/>
    </w:lvl>
  </w:abstractNum>
  <w:abstractNum w:abstractNumId="7">
    <w:nsid w:val="5FABD14B"/>
    <w:multiLevelType w:val="singleLevel"/>
    <w:tmpl w:val="5FABD14B"/>
    <w:lvl w:ilvl="0" w:tentative="0">
      <w:start w:val="1"/>
      <w:numFmt w:val="decimal"/>
      <w:suff w:val="nothing"/>
      <w:lvlText w:val="（%1）"/>
      <w:lvlJc w:val="left"/>
    </w:lvl>
  </w:abstractNum>
  <w:abstractNum w:abstractNumId="8">
    <w:nsid w:val="668C627C"/>
    <w:multiLevelType w:val="multilevel"/>
    <w:tmpl w:val="668C62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BD51E6"/>
    <w:multiLevelType w:val="multilevel"/>
    <w:tmpl w:val="70BD51E6"/>
    <w:lvl w:ilvl="0" w:tentative="0">
      <w:start w:val="1"/>
      <w:numFmt w:val="decimal"/>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3"/>
  </w:num>
  <w:num w:numId="2">
    <w:abstractNumId w:val="8"/>
  </w:num>
  <w:num w:numId="3">
    <w:abstractNumId w:val="1"/>
  </w:num>
  <w:num w:numId="4">
    <w:abstractNumId w:val="9"/>
  </w:num>
  <w:num w:numId="5">
    <w:abstractNumId w:val="4"/>
  </w:num>
  <w:num w:numId="6">
    <w:abstractNumId w:val="5"/>
  </w:num>
  <w:num w:numId="7">
    <w:abstractNumId w:val="0"/>
  </w:num>
  <w:num w:numId="8">
    <w:abstractNumId w:val="2"/>
  </w:num>
  <w:num w:numId="9">
    <w:abstractNumId w:val="6"/>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readOnly" w:enforcement="1" w:cryptProviderType="rsaFull" w:cryptAlgorithmClass="hash" w:cryptAlgorithmType="typeAny" w:cryptAlgorithmSid="4" w:cryptSpinCount="0" w:hash="ET33K3JuKG7czv6IdRHBlD8eb0c=" w:salt="5mqgvSCdmynkEY3cMUPjRQ=="/>
  <w:defaultTabStop w:val="420"/>
  <w:drawingGridHorizontalSpacing w:val="105"/>
  <w:drawingGridVerticalSpacing w:val="331"/>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MjE1YjI5MTM2OWY1NTM1M2IxOGU3Y2U2YzRhOGUifQ=="/>
  </w:docVars>
  <w:rsids>
    <w:rsidRoot w:val="00172A27"/>
    <w:rsid w:val="0000096C"/>
    <w:rsid w:val="00000CDB"/>
    <w:rsid w:val="00004344"/>
    <w:rsid w:val="00005909"/>
    <w:rsid w:val="00013151"/>
    <w:rsid w:val="000207D5"/>
    <w:rsid w:val="00024E82"/>
    <w:rsid w:val="00027659"/>
    <w:rsid w:val="00030800"/>
    <w:rsid w:val="00031652"/>
    <w:rsid w:val="00034A7D"/>
    <w:rsid w:val="00035197"/>
    <w:rsid w:val="00035F9C"/>
    <w:rsid w:val="00044EDB"/>
    <w:rsid w:val="00054304"/>
    <w:rsid w:val="000553BC"/>
    <w:rsid w:val="0006218D"/>
    <w:rsid w:val="00063F24"/>
    <w:rsid w:val="00065AF0"/>
    <w:rsid w:val="00066EA9"/>
    <w:rsid w:val="00066FE1"/>
    <w:rsid w:val="00074D5F"/>
    <w:rsid w:val="00077BF5"/>
    <w:rsid w:val="00081789"/>
    <w:rsid w:val="00085A0D"/>
    <w:rsid w:val="00092A54"/>
    <w:rsid w:val="0009317E"/>
    <w:rsid w:val="00093B18"/>
    <w:rsid w:val="00094E84"/>
    <w:rsid w:val="000A7A4B"/>
    <w:rsid w:val="000C302E"/>
    <w:rsid w:val="000C39D3"/>
    <w:rsid w:val="000C5D44"/>
    <w:rsid w:val="000C79CA"/>
    <w:rsid w:val="000D5F48"/>
    <w:rsid w:val="000D7284"/>
    <w:rsid w:val="000F1BBE"/>
    <w:rsid w:val="001031E7"/>
    <w:rsid w:val="00104245"/>
    <w:rsid w:val="001108AC"/>
    <w:rsid w:val="00110DD2"/>
    <w:rsid w:val="00112EA6"/>
    <w:rsid w:val="00116FC9"/>
    <w:rsid w:val="00120C46"/>
    <w:rsid w:val="001214B8"/>
    <w:rsid w:val="00125837"/>
    <w:rsid w:val="00140B14"/>
    <w:rsid w:val="00140CE8"/>
    <w:rsid w:val="00143DA6"/>
    <w:rsid w:val="00151CEE"/>
    <w:rsid w:val="0015209C"/>
    <w:rsid w:val="001551E7"/>
    <w:rsid w:val="00166CDF"/>
    <w:rsid w:val="00170AA7"/>
    <w:rsid w:val="00172A27"/>
    <w:rsid w:val="00173852"/>
    <w:rsid w:val="00174F9B"/>
    <w:rsid w:val="00177D95"/>
    <w:rsid w:val="00182C28"/>
    <w:rsid w:val="00186642"/>
    <w:rsid w:val="00190F4C"/>
    <w:rsid w:val="00193D49"/>
    <w:rsid w:val="0019577E"/>
    <w:rsid w:val="001A307B"/>
    <w:rsid w:val="001B1366"/>
    <w:rsid w:val="001B2BDE"/>
    <w:rsid w:val="001B2FAE"/>
    <w:rsid w:val="001D047F"/>
    <w:rsid w:val="001D59CB"/>
    <w:rsid w:val="001E0216"/>
    <w:rsid w:val="001E0590"/>
    <w:rsid w:val="001E3E3A"/>
    <w:rsid w:val="001E4E53"/>
    <w:rsid w:val="001E6153"/>
    <w:rsid w:val="001E6C5D"/>
    <w:rsid w:val="001E7AB6"/>
    <w:rsid w:val="001F330A"/>
    <w:rsid w:val="001F4D3C"/>
    <w:rsid w:val="00201770"/>
    <w:rsid w:val="00204164"/>
    <w:rsid w:val="00204F25"/>
    <w:rsid w:val="00205999"/>
    <w:rsid w:val="00207350"/>
    <w:rsid w:val="00221909"/>
    <w:rsid w:val="002230A4"/>
    <w:rsid w:val="00231EAB"/>
    <w:rsid w:val="00232E04"/>
    <w:rsid w:val="00236055"/>
    <w:rsid w:val="00236B7D"/>
    <w:rsid w:val="00244627"/>
    <w:rsid w:val="0025753A"/>
    <w:rsid w:val="002738BD"/>
    <w:rsid w:val="002867CF"/>
    <w:rsid w:val="00293976"/>
    <w:rsid w:val="00297271"/>
    <w:rsid w:val="002B3400"/>
    <w:rsid w:val="002B4610"/>
    <w:rsid w:val="002C1328"/>
    <w:rsid w:val="002C27F2"/>
    <w:rsid w:val="002C38A0"/>
    <w:rsid w:val="002D2EF2"/>
    <w:rsid w:val="002E0A18"/>
    <w:rsid w:val="002E6D9F"/>
    <w:rsid w:val="002F55FD"/>
    <w:rsid w:val="002F667D"/>
    <w:rsid w:val="003014B1"/>
    <w:rsid w:val="003051FD"/>
    <w:rsid w:val="00305816"/>
    <w:rsid w:val="0031447E"/>
    <w:rsid w:val="00315EB2"/>
    <w:rsid w:val="003162D6"/>
    <w:rsid w:val="00316994"/>
    <w:rsid w:val="00320B19"/>
    <w:rsid w:val="00325672"/>
    <w:rsid w:val="00327461"/>
    <w:rsid w:val="00330EE9"/>
    <w:rsid w:val="003331F5"/>
    <w:rsid w:val="00337A9F"/>
    <w:rsid w:val="00346976"/>
    <w:rsid w:val="00347950"/>
    <w:rsid w:val="003522D6"/>
    <w:rsid w:val="00353905"/>
    <w:rsid w:val="00355191"/>
    <w:rsid w:val="00366E54"/>
    <w:rsid w:val="0037075A"/>
    <w:rsid w:val="00371C87"/>
    <w:rsid w:val="00384EB6"/>
    <w:rsid w:val="003868E3"/>
    <w:rsid w:val="0039417D"/>
    <w:rsid w:val="003A3917"/>
    <w:rsid w:val="003A622A"/>
    <w:rsid w:val="003B031E"/>
    <w:rsid w:val="003B2214"/>
    <w:rsid w:val="003B31F1"/>
    <w:rsid w:val="003B7C9A"/>
    <w:rsid w:val="003C027A"/>
    <w:rsid w:val="003C393F"/>
    <w:rsid w:val="003C7A51"/>
    <w:rsid w:val="003D3465"/>
    <w:rsid w:val="003D478D"/>
    <w:rsid w:val="003D7400"/>
    <w:rsid w:val="003E0AD4"/>
    <w:rsid w:val="003E1425"/>
    <w:rsid w:val="003E64C1"/>
    <w:rsid w:val="003E67F9"/>
    <w:rsid w:val="003E70B7"/>
    <w:rsid w:val="003F1F9C"/>
    <w:rsid w:val="003F6AB3"/>
    <w:rsid w:val="003F7B0D"/>
    <w:rsid w:val="004029ED"/>
    <w:rsid w:val="00403AA3"/>
    <w:rsid w:val="0040651A"/>
    <w:rsid w:val="00423F17"/>
    <w:rsid w:val="00435268"/>
    <w:rsid w:val="0044600A"/>
    <w:rsid w:val="004474B5"/>
    <w:rsid w:val="00447BDE"/>
    <w:rsid w:val="00450ADB"/>
    <w:rsid w:val="00452102"/>
    <w:rsid w:val="004531C4"/>
    <w:rsid w:val="0046694A"/>
    <w:rsid w:val="0046760D"/>
    <w:rsid w:val="00467833"/>
    <w:rsid w:val="00472DF0"/>
    <w:rsid w:val="00474447"/>
    <w:rsid w:val="004820E2"/>
    <w:rsid w:val="004853B6"/>
    <w:rsid w:val="004861BA"/>
    <w:rsid w:val="00486E44"/>
    <w:rsid w:val="004925A4"/>
    <w:rsid w:val="004A0443"/>
    <w:rsid w:val="004A5F2A"/>
    <w:rsid w:val="004A6736"/>
    <w:rsid w:val="004E126C"/>
    <w:rsid w:val="004E5A78"/>
    <w:rsid w:val="004F5BCD"/>
    <w:rsid w:val="005033B8"/>
    <w:rsid w:val="00503A40"/>
    <w:rsid w:val="00506840"/>
    <w:rsid w:val="00506FAB"/>
    <w:rsid w:val="00511A25"/>
    <w:rsid w:val="00517D40"/>
    <w:rsid w:val="00520861"/>
    <w:rsid w:val="00521880"/>
    <w:rsid w:val="005279FB"/>
    <w:rsid w:val="00532BF5"/>
    <w:rsid w:val="0053541C"/>
    <w:rsid w:val="005458AD"/>
    <w:rsid w:val="0055409E"/>
    <w:rsid w:val="00554A36"/>
    <w:rsid w:val="00562514"/>
    <w:rsid w:val="00562674"/>
    <w:rsid w:val="00564C6D"/>
    <w:rsid w:val="00565F7F"/>
    <w:rsid w:val="00576E04"/>
    <w:rsid w:val="0057733C"/>
    <w:rsid w:val="00581AC2"/>
    <w:rsid w:val="00583AC0"/>
    <w:rsid w:val="005873D0"/>
    <w:rsid w:val="005917A6"/>
    <w:rsid w:val="005932B6"/>
    <w:rsid w:val="00596F89"/>
    <w:rsid w:val="005B53A3"/>
    <w:rsid w:val="005C06FA"/>
    <w:rsid w:val="005C1383"/>
    <w:rsid w:val="005C3F03"/>
    <w:rsid w:val="005D54D6"/>
    <w:rsid w:val="005E3973"/>
    <w:rsid w:val="005E671C"/>
    <w:rsid w:val="005F6F86"/>
    <w:rsid w:val="00600743"/>
    <w:rsid w:val="00603D18"/>
    <w:rsid w:val="006048A4"/>
    <w:rsid w:val="00605362"/>
    <w:rsid w:val="006064F7"/>
    <w:rsid w:val="006068F0"/>
    <w:rsid w:val="00606C3B"/>
    <w:rsid w:val="006214D7"/>
    <w:rsid w:val="006224B3"/>
    <w:rsid w:val="00622C28"/>
    <w:rsid w:val="00626CA8"/>
    <w:rsid w:val="006301C4"/>
    <w:rsid w:val="006304DE"/>
    <w:rsid w:val="00631BAB"/>
    <w:rsid w:val="006406A8"/>
    <w:rsid w:val="00640B4E"/>
    <w:rsid w:val="00641D5B"/>
    <w:rsid w:val="00653CDE"/>
    <w:rsid w:val="00656442"/>
    <w:rsid w:val="00661DA0"/>
    <w:rsid w:val="006632E6"/>
    <w:rsid w:val="0067703D"/>
    <w:rsid w:val="006831E3"/>
    <w:rsid w:val="00691B1A"/>
    <w:rsid w:val="00694EF7"/>
    <w:rsid w:val="00695425"/>
    <w:rsid w:val="006A101B"/>
    <w:rsid w:val="006A53A9"/>
    <w:rsid w:val="006A6DC8"/>
    <w:rsid w:val="006C015A"/>
    <w:rsid w:val="006C2360"/>
    <w:rsid w:val="006C55A9"/>
    <w:rsid w:val="006C5999"/>
    <w:rsid w:val="006D0A1B"/>
    <w:rsid w:val="006D6A62"/>
    <w:rsid w:val="006F0015"/>
    <w:rsid w:val="006F13F8"/>
    <w:rsid w:val="006F4267"/>
    <w:rsid w:val="006F77B6"/>
    <w:rsid w:val="00707FF2"/>
    <w:rsid w:val="00715456"/>
    <w:rsid w:val="00717D53"/>
    <w:rsid w:val="0072351B"/>
    <w:rsid w:val="00730FBB"/>
    <w:rsid w:val="00731B65"/>
    <w:rsid w:val="00736625"/>
    <w:rsid w:val="00744B4B"/>
    <w:rsid w:val="00745BFF"/>
    <w:rsid w:val="0074683F"/>
    <w:rsid w:val="00750CA6"/>
    <w:rsid w:val="007549ED"/>
    <w:rsid w:val="0075643C"/>
    <w:rsid w:val="00756DD1"/>
    <w:rsid w:val="00757B36"/>
    <w:rsid w:val="00761289"/>
    <w:rsid w:val="00761EA6"/>
    <w:rsid w:val="00767154"/>
    <w:rsid w:val="00773B6C"/>
    <w:rsid w:val="0078187A"/>
    <w:rsid w:val="00781DF2"/>
    <w:rsid w:val="00790B95"/>
    <w:rsid w:val="007937A3"/>
    <w:rsid w:val="007C09EA"/>
    <w:rsid w:val="007C3614"/>
    <w:rsid w:val="007C3B9F"/>
    <w:rsid w:val="007D5273"/>
    <w:rsid w:val="007D6581"/>
    <w:rsid w:val="007D6EBC"/>
    <w:rsid w:val="007E3B0A"/>
    <w:rsid w:val="007F0A33"/>
    <w:rsid w:val="007F1D2B"/>
    <w:rsid w:val="007F4D7D"/>
    <w:rsid w:val="007F717F"/>
    <w:rsid w:val="00800753"/>
    <w:rsid w:val="008176CE"/>
    <w:rsid w:val="008232D5"/>
    <w:rsid w:val="00823F88"/>
    <w:rsid w:val="008300D6"/>
    <w:rsid w:val="008429D8"/>
    <w:rsid w:val="00843D45"/>
    <w:rsid w:val="008604A4"/>
    <w:rsid w:val="008606F1"/>
    <w:rsid w:val="00862516"/>
    <w:rsid w:val="00866447"/>
    <w:rsid w:val="0086784A"/>
    <w:rsid w:val="00876B67"/>
    <w:rsid w:val="008811BB"/>
    <w:rsid w:val="00884280"/>
    <w:rsid w:val="00884C48"/>
    <w:rsid w:val="0089747C"/>
    <w:rsid w:val="008974F2"/>
    <w:rsid w:val="008A2093"/>
    <w:rsid w:val="008B13BE"/>
    <w:rsid w:val="008C4798"/>
    <w:rsid w:val="008D3FFB"/>
    <w:rsid w:val="008D43F8"/>
    <w:rsid w:val="008E3451"/>
    <w:rsid w:val="008E53FF"/>
    <w:rsid w:val="00904A9B"/>
    <w:rsid w:val="00920D6C"/>
    <w:rsid w:val="009276D5"/>
    <w:rsid w:val="00931E0D"/>
    <w:rsid w:val="00942D58"/>
    <w:rsid w:val="00942FDE"/>
    <w:rsid w:val="00952863"/>
    <w:rsid w:val="009528FA"/>
    <w:rsid w:val="0096166D"/>
    <w:rsid w:val="009911B9"/>
    <w:rsid w:val="009924D4"/>
    <w:rsid w:val="009961B0"/>
    <w:rsid w:val="009963BC"/>
    <w:rsid w:val="009A6C00"/>
    <w:rsid w:val="009B644A"/>
    <w:rsid w:val="009B67C7"/>
    <w:rsid w:val="009C15CF"/>
    <w:rsid w:val="009C3D9F"/>
    <w:rsid w:val="009C60E6"/>
    <w:rsid w:val="009D5E30"/>
    <w:rsid w:val="009D64B0"/>
    <w:rsid w:val="009D78FE"/>
    <w:rsid w:val="009E2765"/>
    <w:rsid w:val="009E2C4C"/>
    <w:rsid w:val="009E509B"/>
    <w:rsid w:val="009E5F55"/>
    <w:rsid w:val="009F48CE"/>
    <w:rsid w:val="009F5431"/>
    <w:rsid w:val="009F5C57"/>
    <w:rsid w:val="00A07462"/>
    <w:rsid w:val="00A11791"/>
    <w:rsid w:val="00A15437"/>
    <w:rsid w:val="00A207B9"/>
    <w:rsid w:val="00A24156"/>
    <w:rsid w:val="00A31C07"/>
    <w:rsid w:val="00A31E32"/>
    <w:rsid w:val="00A35D90"/>
    <w:rsid w:val="00A37ECC"/>
    <w:rsid w:val="00A41DC7"/>
    <w:rsid w:val="00A4364F"/>
    <w:rsid w:val="00A54EBE"/>
    <w:rsid w:val="00A56CB5"/>
    <w:rsid w:val="00A61313"/>
    <w:rsid w:val="00A64717"/>
    <w:rsid w:val="00A748C9"/>
    <w:rsid w:val="00A80C51"/>
    <w:rsid w:val="00A81EDF"/>
    <w:rsid w:val="00A83A62"/>
    <w:rsid w:val="00A929CC"/>
    <w:rsid w:val="00A9536F"/>
    <w:rsid w:val="00A95495"/>
    <w:rsid w:val="00A955F2"/>
    <w:rsid w:val="00AA0FBE"/>
    <w:rsid w:val="00AA43B6"/>
    <w:rsid w:val="00AA4479"/>
    <w:rsid w:val="00AA48D1"/>
    <w:rsid w:val="00AA64E2"/>
    <w:rsid w:val="00AB7E31"/>
    <w:rsid w:val="00AC1255"/>
    <w:rsid w:val="00AC59AC"/>
    <w:rsid w:val="00AD464B"/>
    <w:rsid w:val="00AD7E81"/>
    <w:rsid w:val="00AE0FF5"/>
    <w:rsid w:val="00AE127D"/>
    <w:rsid w:val="00AF12E5"/>
    <w:rsid w:val="00AF7B47"/>
    <w:rsid w:val="00AF7D70"/>
    <w:rsid w:val="00B017FE"/>
    <w:rsid w:val="00B05D04"/>
    <w:rsid w:val="00B17E63"/>
    <w:rsid w:val="00B17F7F"/>
    <w:rsid w:val="00B20869"/>
    <w:rsid w:val="00B211ED"/>
    <w:rsid w:val="00B33B3B"/>
    <w:rsid w:val="00B52B37"/>
    <w:rsid w:val="00B548FD"/>
    <w:rsid w:val="00B54BFD"/>
    <w:rsid w:val="00B556FB"/>
    <w:rsid w:val="00B56361"/>
    <w:rsid w:val="00B61746"/>
    <w:rsid w:val="00B62005"/>
    <w:rsid w:val="00B67934"/>
    <w:rsid w:val="00B70B03"/>
    <w:rsid w:val="00B76FFB"/>
    <w:rsid w:val="00B7795B"/>
    <w:rsid w:val="00B77961"/>
    <w:rsid w:val="00B803FE"/>
    <w:rsid w:val="00B84C74"/>
    <w:rsid w:val="00B91C94"/>
    <w:rsid w:val="00B94CF1"/>
    <w:rsid w:val="00BA2274"/>
    <w:rsid w:val="00BA2379"/>
    <w:rsid w:val="00BA6F13"/>
    <w:rsid w:val="00BA73E4"/>
    <w:rsid w:val="00BB3A8E"/>
    <w:rsid w:val="00BB7111"/>
    <w:rsid w:val="00BC0690"/>
    <w:rsid w:val="00BC6D1F"/>
    <w:rsid w:val="00BD1CD3"/>
    <w:rsid w:val="00BE0F5B"/>
    <w:rsid w:val="00BE242C"/>
    <w:rsid w:val="00BE59EE"/>
    <w:rsid w:val="00BE7BAF"/>
    <w:rsid w:val="00BF2DE4"/>
    <w:rsid w:val="00BF4E4B"/>
    <w:rsid w:val="00BF7045"/>
    <w:rsid w:val="00C03881"/>
    <w:rsid w:val="00C03EC3"/>
    <w:rsid w:val="00C052AB"/>
    <w:rsid w:val="00C114D9"/>
    <w:rsid w:val="00C115C2"/>
    <w:rsid w:val="00C12A33"/>
    <w:rsid w:val="00C20A8B"/>
    <w:rsid w:val="00C21A59"/>
    <w:rsid w:val="00C234FA"/>
    <w:rsid w:val="00C263C2"/>
    <w:rsid w:val="00C31DD3"/>
    <w:rsid w:val="00C329EE"/>
    <w:rsid w:val="00C3405B"/>
    <w:rsid w:val="00C42870"/>
    <w:rsid w:val="00C54574"/>
    <w:rsid w:val="00C67F26"/>
    <w:rsid w:val="00C72985"/>
    <w:rsid w:val="00C73607"/>
    <w:rsid w:val="00C7749B"/>
    <w:rsid w:val="00C82DE7"/>
    <w:rsid w:val="00C90F87"/>
    <w:rsid w:val="00CA332B"/>
    <w:rsid w:val="00CA7ED5"/>
    <w:rsid w:val="00CB1671"/>
    <w:rsid w:val="00CB2B01"/>
    <w:rsid w:val="00CB582D"/>
    <w:rsid w:val="00CB63FC"/>
    <w:rsid w:val="00CB78F3"/>
    <w:rsid w:val="00CC1E96"/>
    <w:rsid w:val="00CC7527"/>
    <w:rsid w:val="00CD60E2"/>
    <w:rsid w:val="00CF45D0"/>
    <w:rsid w:val="00CF4883"/>
    <w:rsid w:val="00CF6FCC"/>
    <w:rsid w:val="00D06972"/>
    <w:rsid w:val="00D21461"/>
    <w:rsid w:val="00D278E1"/>
    <w:rsid w:val="00D37A63"/>
    <w:rsid w:val="00D44310"/>
    <w:rsid w:val="00D44B33"/>
    <w:rsid w:val="00D556A1"/>
    <w:rsid w:val="00D563C2"/>
    <w:rsid w:val="00D57164"/>
    <w:rsid w:val="00D57281"/>
    <w:rsid w:val="00D65967"/>
    <w:rsid w:val="00D709D6"/>
    <w:rsid w:val="00D71920"/>
    <w:rsid w:val="00D732AF"/>
    <w:rsid w:val="00D777F1"/>
    <w:rsid w:val="00D8185B"/>
    <w:rsid w:val="00D86EF6"/>
    <w:rsid w:val="00D969A3"/>
    <w:rsid w:val="00DB6895"/>
    <w:rsid w:val="00DC7AB8"/>
    <w:rsid w:val="00DD180D"/>
    <w:rsid w:val="00DD525D"/>
    <w:rsid w:val="00DD5508"/>
    <w:rsid w:val="00DE0E0D"/>
    <w:rsid w:val="00DE5E63"/>
    <w:rsid w:val="00DE675A"/>
    <w:rsid w:val="00E0702A"/>
    <w:rsid w:val="00E375E1"/>
    <w:rsid w:val="00E40A3B"/>
    <w:rsid w:val="00E431DF"/>
    <w:rsid w:val="00E4507B"/>
    <w:rsid w:val="00E54657"/>
    <w:rsid w:val="00E6697F"/>
    <w:rsid w:val="00E74681"/>
    <w:rsid w:val="00E74AF9"/>
    <w:rsid w:val="00E77CF4"/>
    <w:rsid w:val="00E8042B"/>
    <w:rsid w:val="00E820A0"/>
    <w:rsid w:val="00E9496E"/>
    <w:rsid w:val="00E95E2C"/>
    <w:rsid w:val="00E96765"/>
    <w:rsid w:val="00E97D09"/>
    <w:rsid w:val="00EA009B"/>
    <w:rsid w:val="00EA0937"/>
    <w:rsid w:val="00EA7723"/>
    <w:rsid w:val="00EB17F3"/>
    <w:rsid w:val="00EB28CA"/>
    <w:rsid w:val="00EB57D6"/>
    <w:rsid w:val="00EC5445"/>
    <w:rsid w:val="00EE1688"/>
    <w:rsid w:val="00EE23CC"/>
    <w:rsid w:val="00EF36D5"/>
    <w:rsid w:val="00EF3F63"/>
    <w:rsid w:val="00EF4C13"/>
    <w:rsid w:val="00EF6EEB"/>
    <w:rsid w:val="00F072C2"/>
    <w:rsid w:val="00F1066F"/>
    <w:rsid w:val="00F15AC3"/>
    <w:rsid w:val="00F21207"/>
    <w:rsid w:val="00F37240"/>
    <w:rsid w:val="00F5110A"/>
    <w:rsid w:val="00F5232B"/>
    <w:rsid w:val="00F52FF2"/>
    <w:rsid w:val="00F53FD4"/>
    <w:rsid w:val="00F56BEA"/>
    <w:rsid w:val="00F57AAF"/>
    <w:rsid w:val="00F72D89"/>
    <w:rsid w:val="00F74F31"/>
    <w:rsid w:val="00F8377B"/>
    <w:rsid w:val="00F95FE2"/>
    <w:rsid w:val="00FA0D4F"/>
    <w:rsid w:val="00FA3C12"/>
    <w:rsid w:val="00FB02D1"/>
    <w:rsid w:val="00FB3A1E"/>
    <w:rsid w:val="00FB6647"/>
    <w:rsid w:val="00FD3F1A"/>
    <w:rsid w:val="00FD442A"/>
    <w:rsid w:val="00FD59D5"/>
    <w:rsid w:val="00FD6406"/>
    <w:rsid w:val="00FE5FE9"/>
    <w:rsid w:val="00FE7C3E"/>
    <w:rsid w:val="00FF0F02"/>
    <w:rsid w:val="00FF5ACA"/>
    <w:rsid w:val="00FF6FEC"/>
    <w:rsid w:val="01283A89"/>
    <w:rsid w:val="0172262C"/>
    <w:rsid w:val="01FA72F1"/>
    <w:rsid w:val="024F7BD7"/>
    <w:rsid w:val="028326D0"/>
    <w:rsid w:val="02C03470"/>
    <w:rsid w:val="035717DD"/>
    <w:rsid w:val="03E868D9"/>
    <w:rsid w:val="03F60FF6"/>
    <w:rsid w:val="044D49C8"/>
    <w:rsid w:val="05B747B5"/>
    <w:rsid w:val="05D45367"/>
    <w:rsid w:val="05D51DA4"/>
    <w:rsid w:val="061622AF"/>
    <w:rsid w:val="0673251F"/>
    <w:rsid w:val="06C57CBA"/>
    <w:rsid w:val="06DF4A11"/>
    <w:rsid w:val="07464AF8"/>
    <w:rsid w:val="07814039"/>
    <w:rsid w:val="07972AF0"/>
    <w:rsid w:val="07E86EA8"/>
    <w:rsid w:val="08133094"/>
    <w:rsid w:val="084149A7"/>
    <w:rsid w:val="087F78CA"/>
    <w:rsid w:val="09073F68"/>
    <w:rsid w:val="0A751B1D"/>
    <w:rsid w:val="0A9A6E67"/>
    <w:rsid w:val="0ACE6829"/>
    <w:rsid w:val="0AE777C6"/>
    <w:rsid w:val="0B09531E"/>
    <w:rsid w:val="0B3306AE"/>
    <w:rsid w:val="0BB73467"/>
    <w:rsid w:val="0CE9343D"/>
    <w:rsid w:val="0CF66F4D"/>
    <w:rsid w:val="0D625DB8"/>
    <w:rsid w:val="0DE87532"/>
    <w:rsid w:val="0E87741A"/>
    <w:rsid w:val="0E9D575E"/>
    <w:rsid w:val="0ED6779A"/>
    <w:rsid w:val="0EDA666B"/>
    <w:rsid w:val="0F901555"/>
    <w:rsid w:val="0F930D4E"/>
    <w:rsid w:val="0FF47C5F"/>
    <w:rsid w:val="1062571C"/>
    <w:rsid w:val="10A439AC"/>
    <w:rsid w:val="11207BD8"/>
    <w:rsid w:val="112A33A4"/>
    <w:rsid w:val="1179311E"/>
    <w:rsid w:val="12B80921"/>
    <w:rsid w:val="13360BDA"/>
    <w:rsid w:val="140E36BF"/>
    <w:rsid w:val="14140031"/>
    <w:rsid w:val="144707E9"/>
    <w:rsid w:val="148F7D45"/>
    <w:rsid w:val="15505FC1"/>
    <w:rsid w:val="15A13EC5"/>
    <w:rsid w:val="168E2116"/>
    <w:rsid w:val="16DA7D88"/>
    <w:rsid w:val="16E016C4"/>
    <w:rsid w:val="17EE5346"/>
    <w:rsid w:val="182F7BC8"/>
    <w:rsid w:val="183B180E"/>
    <w:rsid w:val="184E5031"/>
    <w:rsid w:val="18951A4B"/>
    <w:rsid w:val="18D303A9"/>
    <w:rsid w:val="18E3078D"/>
    <w:rsid w:val="19037A7E"/>
    <w:rsid w:val="19505E5D"/>
    <w:rsid w:val="19885D4C"/>
    <w:rsid w:val="19AF2A3F"/>
    <w:rsid w:val="1A98650B"/>
    <w:rsid w:val="1B314318"/>
    <w:rsid w:val="1B334F77"/>
    <w:rsid w:val="1BE82A3D"/>
    <w:rsid w:val="1CBE0227"/>
    <w:rsid w:val="1D295C38"/>
    <w:rsid w:val="1DB15AC4"/>
    <w:rsid w:val="1E6F3F54"/>
    <w:rsid w:val="1F7729FB"/>
    <w:rsid w:val="1FAD6267"/>
    <w:rsid w:val="1FD10DF8"/>
    <w:rsid w:val="200069C8"/>
    <w:rsid w:val="201F1A70"/>
    <w:rsid w:val="2099540E"/>
    <w:rsid w:val="2116462E"/>
    <w:rsid w:val="21677F00"/>
    <w:rsid w:val="21940F2B"/>
    <w:rsid w:val="21B4782A"/>
    <w:rsid w:val="21E97890"/>
    <w:rsid w:val="222019A8"/>
    <w:rsid w:val="228A4F83"/>
    <w:rsid w:val="22B14DA6"/>
    <w:rsid w:val="23031C48"/>
    <w:rsid w:val="23A35269"/>
    <w:rsid w:val="23CF7DA7"/>
    <w:rsid w:val="24507E57"/>
    <w:rsid w:val="245B3C6C"/>
    <w:rsid w:val="248E0D56"/>
    <w:rsid w:val="26547754"/>
    <w:rsid w:val="26740FFF"/>
    <w:rsid w:val="269410FD"/>
    <w:rsid w:val="2705378C"/>
    <w:rsid w:val="274C6B9D"/>
    <w:rsid w:val="27DD6DA5"/>
    <w:rsid w:val="280C6E80"/>
    <w:rsid w:val="28B64574"/>
    <w:rsid w:val="297D349C"/>
    <w:rsid w:val="29E845A2"/>
    <w:rsid w:val="2A421A2A"/>
    <w:rsid w:val="2A7E68ED"/>
    <w:rsid w:val="2AE5754B"/>
    <w:rsid w:val="2B5932BD"/>
    <w:rsid w:val="2C73740E"/>
    <w:rsid w:val="2CE451F3"/>
    <w:rsid w:val="2E1F1E70"/>
    <w:rsid w:val="2F3B4383"/>
    <w:rsid w:val="305F4756"/>
    <w:rsid w:val="30A77050"/>
    <w:rsid w:val="30B508CA"/>
    <w:rsid w:val="313D63D1"/>
    <w:rsid w:val="31D52622"/>
    <w:rsid w:val="33355F1C"/>
    <w:rsid w:val="3445051A"/>
    <w:rsid w:val="344F012B"/>
    <w:rsid w:val="351B0AC5"/>
    <w:rsid w:val="359846B1"/>
    <w:rsid w:val="35CD4AEE"/>
    <w:rsid w:val="36203407"/>
    <w:rsid w:val="367E2C2A"/>
    <w:rsid w:val="36804696"/>
    <w:rsid w:val="36E143A8"/>
    <w:rsid w:val="370259AE"/>
    <w:rsid w:val="371C0481"/>
    <w:rsid w:val="373A6E70"/>
    <w:rsid w:val="37C11C43"/>
    <w:rsid w:val="381D3D50"/>
    <w:rsid w:val="39321423"/>
    <w:rsid w:val="395F0B7B"/>
    <w:rsid w:val="3A5A6D30"/>
    <w:rsid w:val="3B377294"/>
    <w:rsid w:val="3B5F6EA5"/>
    <w:rsid w:val="3B6D1746"/>
    <w:rsid w:val="3BBD31F7"/>
    <w:rsid w:val="3BD121F5"/>
    <w:rsid w:val="3BF16C3A"/>
    <w:rsid w:val="3C9C3D6B"/>
    <w:rsid w:val="3CD61426"/>
    <w:rsid w:val="3D0F73BD"/>
    <w:rsid w:val="3D752E8E"/>
    <w:rsid w:val="3E1C493E"/>
    <w:rsid w:val="3F4553C3"/>
    <w:rsid w:val="3F7A390C"/>
    <w:rsid w:val="3F883E6F"/>
    <w:rsid w:val="40565642"/>
    <w:rsid w:val="409A44DC"/>
    <w:rsid w:val="41754150"/>
    <w:rsid w:val="41DA6926"/>
    <w:rsid w:val="4320516C"/>
    <w:rsid w:val="43B76A57"/>
    <w:rsid w:val="445D63AA"/>
    <w:rsid w:val="44CA4BFA"/>
    <w:rsid w:val="44D54236"/>
    <w:rsid w:val="44DD0E3B"/>
    <w:rsid w:val="457E43CC"/>
    <w:rsid w:val="45AC6BA4"/>
    <w:rsid w:val="462A3152"/>
    <w:rsid w:val="46D61030"/>
    <w:rsid w:val="47E0467A"/>
    <w:rsid w:val="487C73F6"/>
    <w:rsid w:val="488C2460"/>
    <w:rsid w:val="48A26623"/>
    <w:rsid w:val="49A71A2A"/>
    <w:rsid w:val="49E8275C"/>
    <w:rsid w:val="4A5C478F"/>
    <w:rsid w:val="4B2A3C16"/>
    <w:rsid w:val="4B314A64"/>
    <w:rsid w:val="4C2A1F02"/>
    <w:rsid w:val="4C43733B"/>
    <w:rsid w:val="4C6A4E04"/>
    <w:rsid w:val="4CE60F29"/>
    <w:rsid w:val="4D1E0FB7"/>
    <w:rsid w:val="4D376C8E"/>
    <w:rsid w:val="4D92310A"/>
    <w:rsid w:val="4DEA5C6A"/>
    <w:rsid w:val="4E10180B"/>
    <w:rsid w:val="4E52163B"/>
    <w:rsid w:val="4F863C5D"/>
    <w:rsid w:val="4FEA5BDC"/>
    <w:rsid w:val="4FFD0FA1"/>
    <w:rsid w:val="50137E07"/>
    <w:rsid w:val="5061780F"/>
    <w:rsid w:val="523F1387"/>
    <w:rsid w:val="52707890"/>
    <w:rsid w:val="52AA100F"/>
    <w:rsid w:val="535D4B57"/>
    <w:rsid w:val="53A50FF8"/>
    <w:rsid w:val="53BE79A4"/>
    <w:rsid w:val="5485543F"/>
    <w:rsid w:val="549445ED"/>
    <w:rsid w:val="55400235"/>
    <w:rsid w:val="55866F6E"/>
    <w:rsid w:val="559D264C"/>
    <w:rsid w:val="55C91358"/>
    <w:rsid w:val="55CC3A65"/>
    <w:rsid w:val="55FC1497"/>
    <w:rsid w:val="567A298E"/>
    <w:rsid w:val="56F131EC"/>
    <w:rsid w:val="576D42A0"/>
    <w:rsid w:val="57825812"/>
    <w:rsid w:val="57E72E4A"/>
    <w:rsid w:val="59443650"/>
    <w:rsid w:val="59610391"/>
    <w:rsid w:val="59A866B4"/>
    <w:rsid w:val="59AB1D36"/>
    <w:rsid w:val="59D44365"/>
    <w:rsid w:val="59DB5EB5"/>
    <w:rsid w:val="5AB46B8C"/>
    <w:rsid w:val="5B262077"/>
    <w:rsid w:val="5B8B2E48"/>
    <w:rsid w:val="5BE977B1"/>
    <w:rsid w:val="5BF706A8"/>
    <w:rsid w:val="5C6E6E0B"/>
    <w:rsid w:val="5CC52AA5"/>
    <w:rsid w:val="5CE61D8D"/>
    <w:rsid w:val="5D1623D6"/>
    <w:rsid w:val="5DB72F61"/>
    <w:rsid w:val="5DFD6560"/>
    <w:rsid w:val="5E6622FC"/>
    <w:rsid w:val="5EBE69E4"/>
    <w:rsid w:val="5F793C30"/>
    <w:rsid w:val="5F797C86"/>
    <w:rsid w:val="5F9E000B"/>
    <w:rsid w:val="602944DE"/>
    <w:rsid w:val="606800CD"/>
    <w:rsid w:val="6243457B"/>
    <w:rsid w:val="634D1758"/>
    <w:rsid w:val="643F0D73"/>
    <w:rsid w:val="64F32289"/>
    <w:rsid w:val="65B153E3"/>
    <w:rsid w:val="66157FDD"/>
    <w:rsid w:val="66A575B3"/>
    <w:rsid w:val="66CA7019"/>
    <w:rsid w:val="66EE6AFB"/>
    <w:rsid w:val="674D0403"/>
    <w:rsid w:val="67505C57"/>
    <w:rsid w:val="67821F18"/>
    <w:rsid w:val="67A33189"/>
    <w:rsid w:val="67D37732"/>
    <w:rsid w:val="682B0F8B"/>
    <w:rsid w:val="685D08A4"/>
    <w:rsid w:val="68D971FB"/>
    <w:rsid w:val="68E04B7D"/>
    <w:rsid w:val="69610EA9"/>
    <w:rsid w:val="69DE136E"/>
    <w:rsid w:val="6A337572"/>
    <w:rsid w:val="6A7013F6"/>
    <w:rsid w:val="6AD36AFF"/>
    <w:rsid w:val="6B2359EC"/>
    <w:rsid w:val="6B336DF1"/>
    <w:rsid w:val="6B3804CE"/>
    <w:rsid w:val="6B664739"/>
    <w:rsid w:val="6B781BDB"/>
    <w:rsid w:val="6BA075DA"/>
    <w:rsid w:val="6C8122C6"/>
    <w:rsid w:val="6C9C7BC9"/>
    <w:rsid w:val="6CBC4807"/>
    <w:rsid w:val="6D0F1C2A"/>
    <w:rsid w:val="6D5572FB"/>
    <w:rsid w:val="6E3A25BD"/>
    <w:rsid w:val="6F9E09E7"/>
    <w:rsid w:val="6FF52FD8"/>
    <w:rsid w:val="703A707D"/>
    <w:rsid w:val="714D586C"/>
    <w:rsid w:val="71A868E3"/>
    <w:rsid w:val="71F94C57"/>
    <w:rsid w:val="728066A8"/>
    <w:rsid w:val="72F823A1"/>
    <w:rsid w:val="73381BE6"/>
    <w:rsid w:val="741E7A7E"/>
    <w:rsid w:val="7463478D"/>
    <w:rsid w:val="74884070"/>
    <w:rsid w:val="74D57664"/>
    <w:rsid w:val="75B602C4"/>
    <w:rsid w:val="767E4F35"/>
    <w:rsid w:val="77E0288D"/>
    <w:rsid w:val="77E25DE1"/>
    <w:rsid w:val="787B0959"/>
    <w:rsid w:val="78BC38F0"/>
    <w:rsid w:val="78BD45B3"/>
    <w:rsid w:val="78CB68F5"/>
    <w:rsid w:val="78DD7969"/>
    <w:rsid w:val="78E43B2A"/>
    <w:rsid w:val="7A04063C"/>
    <w:rsid w:val="7A19629E"/>
    <w:rsid w:val="7AEB769F"/>
    <w:rsid w:val="7AFB4689"/>
    <w:rsid w:val="7B622DF6"/>
    <w:rsid w:val="7C0863F3"/>
    <w:rsid w:val="7C5A2796"/>
    <w:rsid w:val="7CC21578"/>
    <w:rsid w:val="7CE13889"/>
    <w:rsid w:val="7CFC2678"/>
    <w:rsid w:val="7D6000F2"/>
    <w:rsid w:val="7DE06010"/>
    <w:rsid w:val="7E3D5CB1"/>
    <w:rsid w:val="7F363046"/>
    <w:rsid w:val="7F511C2E"/>
    <w:rsid w:val="7F876CB2"/>
    <w:rsid w:val="7F9853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44"/>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link w:val="42"/>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45"/>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6">
    <w:name w:val="heading 5"/>
    <w:basedOn w:val="1"/>
    <w:next w:val="7"/>
    <w:link w:val="46"/>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9"/>
    <w:pPr>
      <w:keepNext/>
      <w:keepLines/>
      <w:spacing w:before="240" w:after="64" w:line="317" w:lineRule="auto"/>
      <w:outlineLvl w:val="5"/>
    </w:pPr>
    <w:rPr>
      <w:rFonts w:ascii="Arial" w:hAnsi="Arial" w:eastAsia="黑体"/>
      <w:b/>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9">
    <w:name w:val="toc 7"/>
    <w:basedOn w:val="1"/>
    <w:next w:val="1"/>
    <w:qFormat/>
    <w:uiPriority w:val="0"/>
    <w:pPr>
      <w:jc w:val="left"/>
    </w:pPr>
    <w:rPr>
      <w:rFonts w:ascii="Calibri" w:hAnsi="Calibri"/>
      <w:sz w:val="22"/>
      <w:szCs w:val="22"/>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Document Map"/>
    <w:basedOn w:val="1"/>
    <w:link w:val="47"/>
    <w:qFormat/>
    <w:uiPriority w:val="0"/>
    <w:rPr>
      <w:rFonts w:ascii="宋体"/>
      <w:sz w:val="18"/>
      <w:szCs w:val="18"/>
    </w:rPr>
  </w:style>
  <w:style w:type="paragraph" w:styleId="12">
    <w:name w:val="annotation text"/>
    <w:basedOn w:val="1"/>
    <w:link w:val="48"/>
    <w:unhideWhenUsed/>
    <w:qFormat/>
    <w:uiPriority w:val="0"/>
    <w:pPr>
      <w:jc w:val="left"/>
    </w:pPr>
  </w:style>
  <w:style w:type="paragraph" w:styleId="13">
    <w:name w:val="Body Text 3"/>
    <w:basedOn w:val="1"/>
    <w:link w:val="49"/>
    <w:qFormat/>
    <w:uiPriority w:val="0"/>
    <w:pPr>
      <w:spacing w:after="120"/>
    </w:pPr>
    <w:rPr>
      <w:sz w:val="16"/>
      <w:szCs w:val="16"/>
    </w:rPr>
  </w:style>
  <w:style w:type="paragraph" w:styleId="14">
    <w:name w:val="Body Text"/>
    <w:basedOn w:val="1"/>
    <w:next w:val="1"/>
    <w:link w:val="50"/>
    <w:qFormat/>
    <w:uiPriority w:val="0"/>
    <w:pPr>
      <w:spacing w:after="120"/>
    </w:pPr>
  </w:style>
  <w:style w:type="paragraph" w:styleId="15">
    <w:name w:val="Body Text Indent"/>
    <w:basedOn w:val="1"/>
    <w:link w:val="51"/>
    <w:qFormat/>
    <w:uiPriority w:val="0"/>
    <w:pPr>
      <w:spacing w:line="200" w:lineRule="exact"/>
      <w:ind w:firstLine="301"/>
    </w:pPr>
    <w:rPr>
      <w:rFonts w:ascii="宋体" w:hAnsi="Courier New"/>
      <w:spacing w:val="-4"/>
      <w:sz w:val="18"/>
      <w:szCs w:val="20"/>
    </w:rPr>
  </w:style>
  <w:style w:type="paragraph" w:styleId="16">
    <w:name w:val="toc 5"/>
    <w:basedOn w:val="1"/>
    <w:next w:val="1"/>
    <w:qFormat/>
    <w:uiPriority w:val="0"/>
    <w:pPr>
      <w:jc w:val="left"/>
    </w:pPr>
    <w:rPr>
      <w:rFonts w:ascii="Calibri" w:hAnsi="Calibri"/>
      <w:sz w:val="22"/>
      <w:szCs w:val="22"/>
    </w:rPr>
  </w:style>
  <w:style w:type="paragraph" w:styleId="17">
    <w:name w:val="toc 3"/>
    <w:basedOn w:val="1"/>
    <w:next w:val="1"/>
    <w:qFormat/>
    <w:uiPriority w:val="0"/>
    <w:pPr>
      <w:jc w:val="left"/>
    </w:pPr>
    <w:rPr>
      <w:rFonts w:ascii="Calibri" w:hAnsi="Calibri"/>
      <w:smallCaps/>
      <w:sz w:val="22"/>
      <w:szCs w:val="22"/>
    </w:rPr>
  </w:style>
  <w:style w:type="paragraph" w:styleId="18">
    <w:name w:val="Plain Text"/>
    <w:basedOn w:val="1"/>
    <w:next w:val="5"/>
    <w:link w:val="52"/>
    <w:qFormat/>
    <w:uiPriority w:val="0"/>
    <w:rPr>
      <w:rFonts w:ascii="宋体" w:hAnsi="Courier New"/>
      <w:szCs w:val="20"/>
    </w:rPr>
  </w:style>
  <w:style w:type="paragraph" w:styleId="19">
    <w:name w:val="toc 8"/>
    <w:basedOn w:val="1"/>
    <w:next w:val="1"/>
    <w:qFormat/>
    <w:uiPriority w:val="0"/>
    <w:pPr>
      <w:jc w:val="left"/>
    </w:pPr>
    <w:rPr>
      <w:rFonts w:ascii="Calibri" w:hAnsi="Calibri"/>
      <w:sz w:val="22"/>
      <w:szCs w:val="22"/>
    </w:rPr>
  </w:style>
  <w:style w:type="paragraph" w:styleId="20">
    <w:name w:val="Date"/>
    <w:basedOn w:val="1"/>
    <w:next w:val="1"/>
    <w:link w:val="53"/>
    <w:qFormat/>
    <w:uiPriority w:val="0"/>
    <w:pPr>
      <w:ind w:left="100" w:leftChars="2500"/>
    </w:pPr>
  </w:style>
  <w:style w:type="paragraph" w:styleId="21">
    <w:name w:val="Body Text Indent 2"/>
    <w:basedOn w:val="1"/>
    <w:link w:val="54"/>
    <w:qFormat/>
    <w:uiPriority w:val="0"/>
    <w:pPr>
      <w:spacing w:after="120" w:line="480" w:lineRule="auto"/>
      <w:ind w:left="420" w:leftChars="200"/>
    </w:pPr>
  </w:style>
  <w:style w:type="paragraph" w:styleId="22">
    <w:name w:val="Balloon Text"/>
    <w:basedOn w:val="1"/>
    <w:link w:val="55"/>
    <w:qFormat/>
    <w:uiPriority w:val="0"/>
    <w:rPr>
      <w:sz w:val="18"/>
      <w:szCs w:val="18"/>
    </w:rPr>
  </w:style>
  <w:style w:type="paragraph" w:styleId="23">
    <w:name w:val="footer"/>
    <w:basedOn w:val="1"/>
    <w:link w:val="56"/>
    <w:unhideWhenUsed/>
    <w:qFormat/>
    <w:uiPriority w:val="99"/>
    <w:pPr>
      <w:tabs>
        <w:tab w:val="center" w:pos="4153"/>
        <w:tab w:val="right" w:pos="8306"/>
      </w:tabs>
      <w:snapToGrid w:val="0"/>
      <w:jc w:val="left"/>
    </w:pPr>
    <w:rPr>
      <w:sz w:val="18"/>
      <w:szCs w:val="18"/>
    </w:rPr>
  </w:style>
  <w:style w:type="paragraph" w:styleId="24">
    <w:name w:val="header"/>
    <w:basedOn w:val="1"/>
    <w:link w:val="5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spacing w:before="360" w:after="360"/>
      <w:jc w:val="left"/>
    </w:pPr>
    <w:rPr>
      <w:rFonts w:ascii="Calibri" w:hAnsi="Calibri"/>
      <w:b/>
      <w:bCs/>
      <w:caps/>
      <w:sz w:val="22"/>
      <w:szCs w:val="22"/>
      <w:u w:val="single"/>
    </w:rPr>
  </w:style>
  <w:style w:type="paragraph" w:styleId="26">
    <w:name w:val="toc 4"/>
    <w:basedOn w:val="1"/>
    <w:next w:val="1"/>
    <w:qFormat/>
    <w:uiPriority w:val="0"/>
    <w:pPr>
      <w:jc w:val="left"/>
    </w:pPr>
    <w:rPr>
      <w:rFonts w:ascii="Calibri" w:hAnsi="Calibri"/>
      <w:sz w:val="22"/>
      <w:szCs w:val="22"/>
    </w:rPr>
  </w:style>
  <w:style w:type="paragraph" w:styleId="27">
    <w:name w:val="List"/>
    <w:basedOn w:val="1"/>
    <w:qFormat/>
    <w:uiPriority w:val="0"/>
    <w:pPr>
      <w:ind w:left="200" w:hanging="200" w:hangingChars="200"/>
    </w:pPr>
    <w:rPr>
      <w:sz w:val="28"/>
    </w:rPr>
  </w:style>
  <w:style w:type="paragraph" w:styleId="28">
    <w:name w:val="toc 6"/>
    <w:basedOn w:val="1"/>
    <w:next w:val="1"/>
    <w:qFormat/>
    <w:uiPriority w:val="0"/>
    <w:pPr>
      <w:jc w:val="left"/>
    </w:pPr>
    <w:rPr>
      <w:rFonts w:ascii="Calibri" w:hAnsi="Calibri"/>
      <w:sz w:val="22"/>
      <w:szCs w:val="22"/>
    </w:rPr>
  </w:style>
  <w:style w:type="paragraph" w:styleId="29">
    <w:name w:val="toc 2"/>
    <w:basedOn w:val="1"/>
    <w:next w:val="1"/>
    <w:qFormat/>
    <w:uiPriority w:val="0"/>
    <w:pPr>
      <w:jc w:val="left"/>
    </w:pPr>
    <w:rPr>
      <w:rFonts w:ascii="Calibri" w:hAnsi="Calibri"/>
      <w:b/>
      <w:bCs/>
      <w:smallCaps/>
      <w:sz w:val="22"/>
      <w:szCs w:val="22"/>
    </w:rPr>
  </w:style>
  <w:style w:type="paragraph" w:styleId="30">
    <w:name w:val="toc 9"/>
    <w:basedOn w:val="1"/>
    <w:next w:val="1"/>
    <w:qFormat/>
    <w:uiPriority w:val="0"/>
    <w:pPr>
      <w:jc w:val="left"/>
    </w:pPr>
    <w:rPr>
      <w:rFonts w:ascii="Calibri" w:hAnsi="Calibri"/>
      <w:sz w:val="22"/>
      <w:szCs w:val="22"/>
    </w:rPr>
  </w:style>
  <w:style w:type="paragraph" w:styleId="3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rPr>
  </w:style>
  <w:style w:type="paragraph" w:styleId="32">
    <w:name w:val="Normal (Web)"/>
    <w:basedOn w:val="1"/>
    <w:qFormat/>
    <w:uiPriority w:val="0"/>
    <w:rPr>
      <w:sz w:val="24"/>
    </w:rPr>
  </w:style>
  <w:style w:type="paragraph" w:styleId="33">
    <w:name w:val="annotation subject"/>
    <w:basedOn w:val="12"/>
    <w:next w:val="12"/>
    <w:link w:val="58"/>
    <w:qFormat/>
    <w:uiPriority w:val="0"/>
    <w:rPr>
      <w:b/>
      <w:bCs/>
    </w:rPr>
  </w:style>
  <w:style w:type="paragraph" w:styleId="34">
    <w:name w:val="Body Text First Indent"/>
    <w:basedOn w:val="14"/>
    <w:qFormat/>
    <w:uiPriority w:val="0"/>
    <w:pPr>
      <w:spacing w:beforeLines="50" w:afterLines="50" w:line="360" w:lineRule="auto"/>
      <w:ind w:firstLine="420" w:firstLineChars="100"/>
    </w:p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qFormat/>
    <w:uiPriority w:val="0"/>
  </w:style>
  <w:style w:type="character" w:styleId="39">
    <w:name w:val="FollowedHyperlink"/>
    <w:qFormat/>
    <w:uiPriority w:val="0"/>
    <w:rPr>
      <w:color w:val="800080"/>
      <w:u w:val="single"/>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标题 3 Char"/>
    <w:link w:val="2"/>
    <w:qFormat/>
    <w:uiPriority w:val="0"/>
    <w:rPr>
      <w:b/>
      <w:bCs/>
      <w:kern w:val="2"/>
      <w:sz w:val="32"/>
      <w:szCs w:val="32"/>
    </w:rPr>
  </w:style>
  <w:style w:type="character" w:customStyle="1" w:styleId="43">
    <w:name w:val="标题 1 Char"/>
    <w:link w:val="3"/>
    <w:qFormat/>
    <w:uiPriority w:val="0"/>
    <w:rPr>
      <w:b/>
      <w:bCs/>
      <w:kern w:val="44"/>
      <w:sz w:val="44"/>
      <w:szCs w:val="44"/>
    </w:rPr>
  </w:style>
  <w:style w:type="character" w:customStyle="1" w:styleId="44">
    <w:name w:val="标题 2 Char"/>
    <w:link w:val="4"/>
    <w:qFormat/>
    <w:uiPriority w:val="0"/>
    <w:rPr>
      <w:rFonts w:ascii="Arial" w:hAnsi="Arial" w:eastAsia="黑体"/>
      <w:b/>
      <w:bCs/>
      <w:kern w:val="2"/>
      <w:sz w:val="32"/>
      <w:szCs w:val="32"/>
    </w:rPr>
  </w:style>
  <w:style w:type="character" w:customStyle="1" w:styleId="45">
    <w:name w:val="标题 4 Char"/>
    <w:link w:val="5"/>
    <w:qFormat/>
    <w:uiPriority w:val="0"/>
    <w:rPr>
      <w:rFonts w:ascii="Arial" w:eastAsia="黑体"/>
      <w:sz w:val="28"/>
    </w:rPr>
  </w:style>
  <w:style w:type="character" w:customStyle="1" w:styleId="46">
    <w:name w:val="标题 5 Char"/>
    <w:link w:val="6"/>
    <w:qFormat/>
    <w:uiPriority w:val="9"/>
    <w:rPr>
      <w:b/>
      <w:bCs/>
      <w:kern w:val="2"/>
      <w:sz w:val="28"/>
      <w:szCs w:val="28"/>
    </w:rPr>
  </w:style>
  <w:style w:type="character" w:customStyle="1" w:styleId="47">
    <w:name w:val="文档结构图 Char"/>
    <w:link w:val="11"/>
    <w:qFormat/>
    <w:uiPriority w:val="0"/>
    <w:rPr>
      <w:rFonts w:ascii="宋体"/>
      <w:kern w:val="2"/>
      <w:sz w:val="18"/>
      <w:szCs w:val="18"/>
    </w:rPr>
  </w:style>
  <w:style w:type="character" w:customStyle="1" w:styleId="48">
    <w:name w:val="批注文字 Char"/>
    <w:link w:val="12"/>
    <w:qFormat/>
    <w:uiPriority w:val="0"/>
    <w:rPr>
      <w:kern w:val="2"/>
      <w:sz w:val="21"/>
      <w:szCs w:val="24"/>
    </w:rPr>
  </w:style>
  <w:style w:type="character" w:customStyle="1" w:styleId="49">
    <w:name w:val="正文文本 3 Char"/>
    <w:link w:val="13"/>
    <w:qFormat/>
    <w:uiPriority w:val="99"/>
    <w:rPr>
      <w:kern w:val="2"/>
      <w:sz w:val="16"/>
      <w:szCs w:val="16"/>
    </w:rPr>
  </w:style>
  <w:style w:type="character" w:customStyle="1" w:styleId="50">
    <w:name w:val="正文文本 Char"/>
    <w:link w:val="14"/>
    <w:qFormat/>
    <w:uiPriority w:val="99"/>
    <w:rPr>
      <w:kern w:val="2"/>
      <w:sz w:val="21"/>
      <w:szCs w:val="24"/>
    </w:rPr>
  </w:style>
  <w:style w:type="character" w:customStyle="1" w:styleId="51">
    <w:name w:val="正文文本缩进 Char"/>
    <w:link w:val="15"/>
    <w:qFormat/>
    <w:uiPriority w:val="0"/>
    <w:rPr>
      <w:rFonts w:ascii="宋体" w:hAnsi="Courier New" w:eastAsia="宋体"/>
      <w:spacing w:val="-4"/>
      <w:kern w:val="2"/>
      <w:sz w:val="18"/>
      <w:lang w:val="en-US" w:eastAsia="zh-CN" w:bidi="ar-SA"/>
    </w:rPr>
  </w:style>
  <w:style w:type="character" w:customStyle="1" w:styleId="52">
    <w:name w:val="纯文本 Char"/>
    <w:link w:val="18"/>
    <w:qFormat/>
    <w:uiPriority w:val="0"/>
    <w:rPr>
      <w:rFonts w:ascii="宋体" w:hAnsi="Courier New" w:eastAsia="宋体"/>
      <w:kern w:val="2"/>
      <w:sz w:val="21"/>
      <w:lang w:val="en-US" w:eastAsia="zh-CN" w:bidi="ar-SA"/>
    </w:rPr>
  </w:style>
  <w:style w:type="character" w:customStyle="1" w:styleId="53">
    <w:name w:val="日期 Char"/>
    <w:link w:val="20"/>
    <w:qFormat/>
    <w:uiPriority w:val="0"/>
    <w:rPr>
      <w:kern w:val="2"/>
      <w:sz w:val="21"/>
      <w:szCs w:val="24"/>
    </w:rPr>
  </w:style>
  <w:style w:type="character" w:customStyle="1" w:styleId="54">
    <w:name w:val="正文文本缩进 2 Char"/>
    <w:link w:val="21"/>
    <w:qFormat/>
    <w:uiPriority w:val="0"/>
    <w:rPr>
      <w:kern w:val="2"/>
      <w:sz w:val="21"/>
      <w:szCs w:val="24"/>
    </w:rPr>
  </w:style>
  <w:style w:type="character" w:customStyle="1" w:styleId="55">
    <w:name w:val="批注框文本 Char"/>
    <w:link w:val="22"/>
    <w:qFormat/>
    <w:uiPriority w:val="0"/>
    <w:rPr>
      <w:kern w:val="2"/>
      <w:sz w:val="18"/>
      <w:szCs w:val="18"/>
    </w:rPr>
  </w:style>
  <w:style w:type="character" w:customStyle="1" w:styleId="56">
    <w:name w:val="页脚 Char"/>
    <w:link w:val="23"/>
    <w:qFormat/>
    <w:uiPriority w:val="99"/>
    <w:rPr>
      <w:kern w:val="2"/>
      <w:sz w:val="18"/>
      <w:szCs w:val="18"/>
    </w:rPr>
  </w:style>
  <w:style w:type="character" w:customStyle="1" w:styleId="57">
    <w:name w:val="页眉 Char"/>
    <w:link w:val="24"/>
    <w:qFormat/>
    <w:uiPriority w:val="99"/>
    <w:rPr>
      <w:kern w:val="2"/>
      <w:sz w:val="18"/>
      <w:szCs w:val="18"/>
    </w:rPr>
  </w:style>
  <w:style w:type="character" w:customStyle="1" w:styleId="58">
    <w:name w:val="批注主题 Char"/>
    <w:link w:val="33"/>
    <w:qFormat/>
    <w:uiPriority w:val="99"/>
    <w:rPr>
      <w:b/>
      <w:bCs/>
      <w:kern w:val="2"/>
      <w:sz w:val="21"/>
      <w:szCs w:val="24"/>
    </w:rPr>
  </w:style>
  <w:style w:type="character" w:customStyle="1" w:styleId="59">
    <w:name w:val="正文文本缩进 2 字符"/>
    <w:qFormat/>
    <w:uiPriority w:val="0"/>
    <w:rPr>
      <w:kern w:val="2"/>
      <w:sz w:val="21"/>
      <w:szCs w:val="24"/>
    </w:rPr>
  </w:style>
  <w:style w:type="character" w:customStyle="1" w:styleId="60">
    <w:name w:val="标题 2 字符"/>
    <w:qFormat/>
    <w:uiPriority w:val="0"/>
    <w:rPr>
      <w:rFonts w:ascii="Arial" w:hAnsi="Arial" w:eastAsia="黑体"/>
      <w:b/>
      <w:bCs/>
      <w:kern w:val="2"/>
      <w:sz w:val="32"/>
      <w:szCs w:val="32"/>
    </w:rPr>
  </w:style>
  <w:style w:type="character" w:customStyle="1" w:styleId="61">
    <w:name w:val="标题 4 字符"/>
    <w:qFormat/>
    <w:uiPriority w:val="0"/>
    <w:rPr>
      <w:rFonts w:ascii="Arial" w:eastAsia="黑体"/>
      <w:sz w:val="28"/>
    </w:rPr>
  </w:style>
  <w:style w:type="character" w:customStyle="1" w:styleId="62">
    <w:name w:val="页眉 字符"/>
    <w:qFormat/>
    <w:uiPriority w:val="99"/>
    <w:rPr>
      <w:rFonts w:ascii="Times New Roman" w:hAnsi="Times New Roman"/>
      <w:kern w:val="2"/>
      <w:sz w:val="18"/>
      <w:szCs w:val="18"/>
    </w:rPr>
  </w:style>
  <w:style w:type="character" w:customStyle="1" w:styleId="63">
    <w:name w:val="Char Char1"/>
    <w:qFormat/>
    <w:uiPriority w:val="0"/>
    <w:rPr>
      <w:rFonts w:ascii="宋体" w:hAnsi="Courier New" w:eastAsia="宋体"/>
      <w:kern w:val="2"/>
      <w:sz w:val="21"/>
      <w:lang w:val="en-US" w:eastAsia="zh-CN" w:bidi="ar-SA"/>
    </w:rPr>
  </w:style>
  <w:style w:type="character" w:customStyle="1" w:styleId="64">
    <w:name w:val="标题 4 字符1"/>
    <w:semiHidden/>
    <w:qFormat/>
    <w:locked/>
    <w:uiPriority w:val="0"/>
    <w:rPr>
      <w:rFonts w:ascii="Arial" w:eastAsia="黑体"/>
      <w:sz w:val="28"/>
    </w:rPr>
  </w:style>
  <w:style w:type="character" w:customStyle="1" w:styleId="65">
    <w:name w:val="正文文本 + 10 pt"/>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66">
    <w:name w:val="标题 5 字符1"/>
    <w:semiHidden/>
    <w:qFormat/>
    <w:locked/>
    <w:uiPriority w:val="9"/>
    <w:rPr>
      <w:b/>
      <w:bCs/>
      <w:kern w:val="2"/>
      <w:sz w:val="28"/>
      <w:szCs w:val="28"/>
    </w:rPr>
  </w:style>
  <w:style w:type="character" w:customStyle="1" w:styleId="67">
    <w:name w:val="纯文本 字符2"/>
    <w:qFormat/>
    <w:uiPriority w:val="0"/>
    <w:rPr>
      <w:rFonts w:ascii="宋体" w:hAnsi="Courier New" w:eastAsia="宋体" w:cs="Courier New"/>
      <w:szCs w:val="21"/>
    </w:rPr>
  </w:style>
  <w:style w:type="character" w:customStyle="1" w:styleId="68">
    <w:name w:val="纯文本 字符1"/>
    <w:semiHidden/>
    <w:qFormat/>
    <w:locked/>
    <w:uiPriority w:val="0"/>
    <w:rPr>
      <w:rFonts w:ascii="宋体" w:hAnsi="Courier New"/>
      <w:kern w:val="2"/>
      <w:sz w:val="21"/>
    </w:rPr>
  </w:style>
  <w:style w:type="character" w:customStyle="1" w:styleId="69">
    <w:name w:val="正文文本 字符"/>
    <w:qFormat/>
    <w:uiPriority w:val="99"/>
    <w:rPr>
      <w:kern w:val="2"/>
      <w:sz w:val="21"/>
      <w:szCs w:val="24"/>
    </w:rPr>
  </w:style>
  <w:style w:type="character" w:customStyle="1" w:styleId="70">
    <w:name w:val="标题 1 字符1"/>
    <w:qFormat/>
    <w:locked/>
    <w:uiPriority w:val="0"/>
    <w:rPr>
      <w:b/>
      <w:bCs/>
      <w:kern w:val="44"/>
      <w:sz w:val="44"/>
      <w:szCs w:val="44"/>
    </w:rPr>
  </w:style>
  <w:style w:type="character" w:customStyle="1" w:styleId="71">
    <w:name w:val="批注框文本 字符"/>
    <w:qFormat/>
    <w:uiPriority w:val="0"/>
    <w:rPr>
      <w:kern w:val="2"/>
      <w:sz w:val="18"/>
      <w:szCs w:val="18"/>
    </w:rPr>
  </w:style>
  <w:style w:type="character" w:customStyle="1" w:styleId="72">
    <w:name w:val="标题 1 字符"/>
    <w:qFormat/>
    <w:uiPriority w:val="0"/>
    <w:rPr>
      <w:b/>
      <w:bCs/>
      <w:kern w:val="44"/>
      <w:sz w:val="44"/>
      <w:szCs w:val="44"/>
    </w:rPr>
  </w:style>
  <w:style w:type="character" w:customStyle="1" w:styleId="73">
    <w:name w:val="正文2 Char Char"/>
    <w:link w:val="74"/>
    <w:qFormat/>
    <w:uiPriority w:val="0"/>
    <w:rPr>
      <w:kern w:val="2"/>
      <w:sz w:val="24"/>
    </w:rPr>
  </w:style>
  <w:style w:type="paragraph" w:customStyle="1" w:styleId="74">
    <w:name w:val="正文2"/>
    <w:basedOn w:val="1"/>
    <w:link w:val="73"/>
    <w:qFormat/>
    <w:uiPriority w:val="0"/>
    <w:pPr>
      <w:adjustRightInd w:val="0"/>
      <w:spacing w:before="156" w:line="360" w:lineRule="auto"/>
      <w:ind w:firstLine="510" w:firstLineChars="200"/>
    </w:pPr>
    <w:rPr>
      <w:sz w:val="24"/>
      <w:szCs w:val="20"/>
    </w:rPr>
  </w:style>
  <w:style w:type="character" w:customStyle="1" w:styleId="75">
    <w:name w:val="纯文本 字符"/>
    <w:qFormat/>
    <w:uiPriority w:val="0"/>
    <w:rPr>
      <w:rFonts w:ascii="宋体" w:hAnsi="Courier New"/>
      <w:kern w:val="2"/>
      <w:sz w:val="21"/>
    </w:rPr>
  </w:style>
  <w:style w:type="character" w:customStyle="1" w:styleId="76">
    <w:name w:val="标题 5 字符"/>
    <w:qFormat/>
    <w:uiPriority w:val="9"/>
    <w:rPr>
      <w:b/>
      <w:bCs/>
      <w:kern w:val="2"/>
      <w:sz w:val="28"/>
      <w:szCs w:val="28"/>
    </w:rPr>
  </w:style>
  <w:style w:type="character" w:customStyle="1" w:styleId="77">
    <w:name w:val="bookmark-item uuid-1589194982864 code-31006 addword multi-line-text-input-box-cls"/>
    <w:qFormat/>
    <w:uiPriority w:val="0"/>
  </w:style>
  <w:style w:type="character" w:customStyle="1" w:styleId="78">
    <w:name w:val="批注文字 字符1"/>
    <w:qFormat/>
    <w:uiPriority w:val="0"/>
    <w:rPr>
      <w:rFonts w:ascii="Times New Roman" w:hAnsi="Times New Roman"/>
      <w:kern w:val="2"/>
      <w:sz w:val="21"/>
      <w:szCs w:val="24"/>
    </w:rPr>
  </w:style>
  <w:style w:type="character" w:customStyle="1" w:styleId="79">
    <w:name w:val="bookmark-item uuid-1593432166973 code-am014remarks editdisable single-line-text-input-box-cls"/>
    <w:qFormat/>
    <w:uiPriority w:val="0"/>
  </w:style>
  <w:style w:type="character" w:customStyle="1" w:styleId="80">
    <w:name w:val="批注文字 Char1"/>
    <w:qFormat/>
    <w:uiPriority w:val="0"/>
    <w:rPr>
      <w:rFonts w:ascii="Times New Roman" w:hAnsi="Times New Roman"/>
      <w:kern w:val="2"/>
      <w:sz w:val="21"/>
      <w:szCs w:val="24"/>
    </w:rPr>
  </w:style>
  <w:style w:type="character" w:customStyle="1" w:styleId="81">
    <w:name w:val="页脚 字符1"/>
    <w:qFormat/>
    <w:uiPriority w:val="99"/>
    <w:rPr>
      <w:kern w:val="2"/>
      <w:sz w:val="18"/>
      <w:szCs w:val="18"/>
    </w:rPr>
  </w:style>
  <w:style w:type="character" w:customStyle="1" w:styleId="82">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83">
    <w:name w:val="font01"/>
    <w:qFormat/>
    <w:uiPriority w:val="0"/>
    <w:rPr>
      <w:rFonts w:hint="default" w:ascii="Times New Roman" w:hAnsi="Times New Roman" w:cs="Times New Roman"/>
      <w:color w:val="000000"/>
      <w:sz w:val="20"/>
      <w:szCs w:val="20"/>
      <w:u w:val="none"/>
    </w:rPr>
  </w:style>
  <w:style w:type="character" w:customStyle="1" w:styleId="84">
    <w:name w:val="页眉 字符1"/>
    <w:qFormat/>
    <w:uiPriority w:val="99"/>
    <w:rPr>
      <w:kern w:val="2"/>
      <w:sz w:val="18"/>
      <w:szCs w:val="18"/>
    </w:rPr>
  </w:style>
  <w:style w:type="character" w:customStyle="1" w:styleId="85">
    <w:name w:val="标题 3 字符1"/>
    <w:semiHidden/>
    <w:qFormat/>
    <w:locked/>
    <w:uiPriority w:val="0"/>
    <w:rPr>
      <w:b/>
      <w:bCs/>
      <w:kern w:val="2"/>
      <w:sz w:val="32"/>
      <w:szCs w:val="32"/>
    </w:rPr>
  </w:style>
  <w:style w:type="character" w:customStyle="1" w:styleId="86">
    <w:name w:val="文档结构图 字符"/>
    <w:qFormat/>
    <w:uiPriority w:val="0"/>
    <w:rPr>
      <w:rFonts w:ascii="宋体"/>
      <w:kern w:val="2"/>
      <w:sz w:val="18"/>
      <w:szCs w:val="18"/>
    </w:rPr>
  </w:style>
  <w:style w:type="character" w:customStyle="1" w:styleId="87">
    <w:name w:val="页脚 字符"/>
    <w:qFormat/>
    <w:uiPriority w:val="99"/>
    <w:rPr>
      <w:sz w:val="18"/>
      <w:szCs w:val="18"/>
    </w:rPr>
  </w:style>
  <w:style w:type="character" w:customStyle="1" w:styleId="88">
    <w:name w:val="正文文本 3 字符"/>
    <w:qFormat/>
    <w:uiPriority w:val="99"/>
    <w:rPr>
      <w:kern w:val="2"/>
      <w:sz w:val="16"/>
      <w:szCs w:val="16"/>
    </w:rPr>
  </w:style>
  <w:style w:type="character" w:customStyle="1" w:styleId="89">
    <w:name w:val="批注文字 字符"/>
    <w:qFormat/>
    <w:uiPriority w:val="0"/>
    <w:rPr>
      <w:kern w:val="2"/>
      <w:sz w:val="21"/>
      <w:szCs w:val="24"/>
    </w:rPr>
  </w:style>
  <w:style w:type="character" w:customStyle="1" w:styleId="90">
    <w:name w:val="批注主题 字符"/>
    <w:qFormat/>
    <w:uiPriority w:val="99"/>
    <w:rPr>
      <w:b/>
      <w:bCs/>
      <w:kern w:val="2"/>
      <w:sz w:val="21"/>
      <w:szCs w:val="24"/>
    </w:rPr>
  </w:style>
  <w:style w:type="character" w:customStyle="1" w:styleId="91">
    <w:name w:val="font31"/>
    <w:qFormat/>
    <w:uiPriority w:val="0"/>
    <w:rPr>
      <w:rFonts w:hint="eastAsia" w:ascii="宋体" w:hAnsi="宋体" w:eastAsia="宋体" w:cs="宋体"/>
      <w:color w:val="000000"/>
      <w:sz w:val="20"/>
      <w:szCs w:val="20"/>
      <w:u w:val="none"/>
    </w:rPr>
  </w:style>
  <w:style w:type="character" w:customStyle="1" w:styleId="92">
    <w:name w:val="font51"/>
    <w:qFormat/>
    <w:uiPriority w:val="0"/>
    <w:rPr>
      <w:rFonts w:hint="eastAsia" w:ascii="宋体" w:hAnsi="宋体" w:eastAsia="宋体" w:cs="宋体"/>
      <w:color w:val="000000"/>
      <w:sz w:val="20"/>
      <w:szCs w:val="20"/>
      <w:u w:val="none"/>
    </w:rPr>
  </w:style>
  <w:style w:type="character" w:customStyle="1" w:styleId="93">
    <w:name w:val="正文文本_"/>
    <w:link w:val="94"/>
    <w:qFormat/>
    <w:uiPriority w:val="0"/>
    <w:rPr>
      <w:rFonts w:ascii="MingLiU" w:hAnsi="MingLiU" w:eastAsia="MingLiU" w:cs="MingLiU"/>
      <w:spacing w:val="9"/>
      <w:sz w:val="19"/>
      <w:szCs w:val="19"/>
      <w:shd w:val="clear" w:color="auto" w:fill="FFFFFF"/>
    </w:rPr>
  </w:style>
  <w:style w:type="paragraph" w:customStyle="1" w:styleId="94">
    <w:name w:val="正文文本1"/>
    <w:basedOn w:val="1"/>
    <w:link w:val="93"/>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95">
    <w:name w:val="标题 2 字符1"/>
    <w:semiHidden/>
    <w:qFormat/>
    <w:locked/>
    <w:uiPriority w:val="0"/>
    <w:rPr>
      <w:rFonts w:ascii="Arial" w:hAnsi="Arial" w:eastAsia="黑体"/>
      <w:b/>
      <w:bCs/>
      <w:kern w:val="2"/>
      <w:sz w:val="32"/>
      <w:szCs w:val="32"/>
    </w:rPr>
  </w:style>
  <w:style w:type="character" w:customStyle="1" w:styleId="96">
    <w:name w:val="日期 字符"/>
    <w:qFormat/>
    <w:uiPriority w:val="0"/>
    <w:rPr>
      <w:kern w:val="2"/>
      <w:sz w:val="21"/>
      <w:szCs w:val="24"/>
    </w:rPr>
  </w:style>
  <w:style w:type="character" w:customStyle="1" w:styleId="97">
    <w:name w:val="正文文本缩进 字符"/>
    <w:qFormat/>
    <w:uiPriority w:val="0"/>
    <w:rPr>
      <w:rFonts w:ascii="宋体" w:hAnsi="Courier New"/>
      <w:spacing w:val="-4"/>
      <w:kern w:val="2"/>
      <w:sz w:val="18"/>
    </w:rPr>
  </w:style>
  <w:style w:type="character" w:customStyle="1" w:styleId="98">
    <w:name w:val="标题 3 字符"/>
    <w:qFormat/>
    <w:uiPriority w:val="0"/>
    <w:rPr>
      <w:b/>
      <w:bCs/>
      <w:kern w:val="2"/>
      <w:sz w:val="32"/>
      <w:szCs w:val="32"/>
    </w:rPr>
  </w:style>
  <w:style w:type="character" w:customStyle="1" w:styleId="99">
    <w:name w:val="纯文本 Char_0"/>
    <w:link w:val="100"/>
    <w:qFormat/>
    <w:uiPriority w:val="0"/>
    <w:rPr>
      <w:rFonts w:ascii="宋体" w:hAnsi="Courier New"/>
      <w:kern w:val="2"/>
      <w:sz w:val="21"/>
      <w:szCs w:val="21"/>
    </w:rPr>
  </w:style>
  <w:style w:type="paragraph" w:customStyle="1" w:styleId="100">
    <w:name w:val="纯文本_0_0"/>
    <w:basedOn w:val="1"/>
    <w:link w:val="99"/>
    <w:qFormat/>
    <w:uiPriority w:val="0"/>
    <w:rPr>
      <w:rFonts w:ascii="宋体" w:hAnsi="Courier New"/>
      <w:szCs w:val="21"/>
    </w:rPr>
  </w:style>
  <w:style w:type="character" w:customStyle="1" w:styleId="101">
    <w:name w:val="纯文本 Char1"/>
    <w:link w:val="102"/>
    <w:qFormat/>
    <w:uiPriority w:val="0"/>
    <w:rPr>
      <w:rFonts w:ascii="宋体" w:hAnsi="Courier New" w:eastAsia="宋体"/>
      <w:kern w:val="2"/>
      <w:sz w:val="21"/>
      <w:lang w:val="en-US" w:eastAsia="zh-CN" w:bidi="ar-SA"/>
    </w:rPr>
  </w:style>
  <w:style w:type="paragraph" w:customStyle="1" w:styleId="102">
    <w:name w:val="纯文本1"/>
    <w:basedOn w:val="1"/>
    <w:link w:val="101"/>
    <w:qFormat/>
    <w:uiPriority w:val="0"/>
    <w:rPr>
      <w:rFonts w:ascii="宋体" w:hAnsi="Courier New"/>
      <w:szCs w:val="20"/>
    </w:rPr>
  </w:style>
  <w:style w:type="paragraph" w:customStyle="1" w:styleId="103">
    <w:name w:val="正文段"/>
    <w:basedOn w:val="1"/>
    <w:qFormat/>
    <w:uiPriority w:val="0"/>
    <w:pPr>
      <w:widowControl/>
      <w:snapToGrid w:val="0"/>
      <w:spacing w:afterLines="50"/>
      <w:ind w:firstLine="200" w:firstLineChars="200"/>
    </w:pPr>
    <w:rPr>
      <w:kern w:val="0"/>
      <w:sz w:val="24"/>
      <w:szCs w:val="20"/>
    </w:rPr>
  </w:style>
  <w:style w:type="paragraph" w:customStyle="1" w:styleId="104">
    <w:name w:val="Char Char Char Char"/>
    <w:basedOn w:val="1"/>
    <w:qFormat/>
    <w:uiPriority w:val="0"/>
    <w:pPr>
      <w:widowControl/>
      <w:spacing w:after="160" w:line="240" w:lineRule="exact"/>
      <w:jc w:val="left"/>
    </w:pPr>
  </w:style>
  <w:style w:type="paragraph" w:customStyle="1" w:styleId="105">
    <w:name w:val="Char Char Char"/>
    <w:basedOn w:val="1"/>
    <w:qFormat/>
    <w:uiPriority w:val="0"/>
    <w:rPr>
      <w:szCs w:val="20"/>
    </w:rPr>
  </w:style>
  <w:style w:type="paragraph" w:customStyle="1" w:styleId="106">
    <w:name w:val="Char Char Char Char Char Char Char Char Char Char Char Char"/>
    <w:basedOn w:val="1"/>
    <w:qFormat/>
    <w:uiPriority w:val="0"/>
    <w:pPr>
      <w:widowControl/>
      <w:spacing w:after="160" w:line="240" w:lineRule="exact"/>
      <w:jc w:val="left"/>
    </w:pPr>
  </w:style>
  <w:style w:type="paragraph" w:customStyle="1" w:styleId="107">
    <w:name w:val="List Paragraph1"/>
    <w:basedOn w:val="1"/>
    <w:qFormat/>
    <w:uiPriority w:val="99"/>
    <w:pPr>
      <w:ind w:firstLine="420" w:firstLineChars="200"/>
    </w:pPr>
  </w:style>
  <w:style w:type="paragraph" w:customStyle="1" w:styleId="108">
    <w:name w:val="表格文字"/>
    <w:basedOn w:val="1"/>
    <w:next w:val="14"/>
    <w:qFormat/>
    <w:uiPriority w:val="0"/>
    <w:pPr>
      <w:adjustRightInd w:val="0"/>
      <w:spacing w:line="420" w:lineRule="atLeast"/>
      <w:jc w:val="left"/>
      <w:textAlignment w:val="baseline"/>
    </w:pPr>
    <w:rPr>
      <w:kern w:val="0"/>
    </w:rPr>
  </w:style>
  <w:style w:type="paragraph" w:customStyle="1" w:styleId="109">
    <w:name w:val="_Style 108"/>
    <w:qFormat/>
    <w:uiPriority w:val="0"/>
    <w:rPr>
      <w:rFonts w:ascii="Times New Roman" w:hAnsi="Times New Roman" w:eastAsia="宋体" w:cs="Times New Roman"/>
      <w:kern w:val="2"/>
      <w:sz w:val="21"/>
      <w:szCs w:val="24"/>
      <w:lang w:val="en-US" w:eastAsia="zh-CN" w:bidi="ar-SA"/>
    </w:rPr>
  </w:style>
  <w:style w:type="paragraph" w:customStyle="1" w:styleId="110">
    <w:name w:val="列出段落31"/>
    <w:basedOn w:val="1"/>
    <w:qFormat/>
    <w:uiPriority w:val="72"/>
    <w:pPr>
      <w:ind w:firstLine="420" w:firstLineChars="200"/>
    </w:pPr>
    <w:rPr>
      <w:rFonts w:ascii="Cambria" w:hAnsi="Cambria" w:eastAsia="等线"/>
    </w:rPr>
  </w:style>
  <w:style w:type="paragraph" w:customStyle="1" w:styleId="111">
    <w:name w:val="1号标题"/>
    <w:basedOn w:val="1"/>
    <w:qFormat/>
    <w:uiPriority w:val="0"/>
    <w:pPr>
      <w:numPr>
        <w:ilvl w:val="0"/>
        <w:numId w:val="1"/>
      </w:numPr>
      <w:spacing w:line="360" w:lineRule="auto"/>
      <w:outlineLvl w:val="0"/>
    </w:pPr>
    <w:rPr>
      <w:rFonts w:ascii="宋体" w:hAnsi="宋体"/>
      <w:b/>
      <w:sz w:val="24"/>
    </w:rPr>
  </w:style>
  <w:style w:type="paragraph" w:customStyle="1" w:styleId="11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114">
    <w:name w:val="默认段落字体 Para Char Char Char Char Char Char Char Char Char1 Char Char Char Char"/>
    <w:basedOn w:val="1"/>
    <w:qFormat/>
    <w:uiPriority w:val="0"/>
    <w:rPr>
      <w:rFonts w:ascii="Tahoma" w:hAnsi="Tahoma"/>
      <w:sz w:val="24"/>
      <w:szCs w:val="20"/>
    </w:rPr>
  </w:style>
  <w:style w:type="paragraph" w:customStyle="1" w:styleId="115">
    <w:name w:val="Char"/>
    <w:basedOn w:val="1"/>
    <w:qFormat/>
    <w:uiPriority w:val="0"/>
  </w:style>
  <w:style w:type="paragraph" w:customStyle="1" w:styleId="116">
    <w:name w:val="_Style 11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117">
    <w:name w:val="List Paragraph"/>
    <w:basedOn w:val="1"/>
    <w:qFormat/>
    <w:uiPriority w:val="34"/>
    <w:pPr>
      <w:ind w:firstLine="420" w:firstLineChars="200"/>
    </w:pPr>
  </w:style>
  <w:style w:type="paragraph" w:customStyle="1" w:styleId="118">
    <w:name w:val="p0"/>
    <w:basedOn w:val="1"/>
    <w:qFormat/>
    <w:uiPriority w:val="0"/>
    <w:pPr>
      <w:widowControl/>
    </w:pPr>
    <w:rPr>
      <w:kern w:val="0"/>
      <w:szCs w:val="21"/>
    </w:rPr>
  </w:style>
  <w:style w:type="paragraph" w:customStyle="1" w:styleId="119">
    <w:name w:val="Char Char Char Char Char Char Char Char Char Char Char Char1"/>
    <w:basedOn w:val="1"/>
    <w:qFormat/>
    <w:uiPriority w:val="0"/>
    <w:pPr>
      <w:widowControl/>
      <w:spacing w:after="160" w:line="240" w:lineRule="exact"/>
      <w:jc w:val="left"/>
    </w:pPr>
  </w:style>
  <w:style w:type="paragraph" w:customStyle="1" w:styleId="120">
    <w:name w:val="_Style 1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Char Char Char Char Char Char Char"/>
    <w:basedOn w:val="1"/>
    <w:qFormat/>
    <w:uiPriority w:val="0"/>
  </w:style>
  <w:style w:type="paragraph" w:customStyle="1" w:styleId="122">
    <w:name w:val="列表段落1"/>
    <w:basedOn w:val="1"/>
    <w:qFormat/>
    <w:uiPriority w:val="0"/>
    <w:pPr>
      <w:ind w:firstLine="420" w:firstLineChars="200"/>
    </w:pPr>
    <w:rPr>
      <w:rFonts w:ascii="Calibri" w:hAnsi="Calibri"/>
    </w:rPr>
  </w:style>
  <w:style w:type="paragraph" w:customStyle="1" w:styleId="123">
    <w:name w:val="列出段落1"/>
    <w:basedOn w:val="1"/>
    <w:qFormat/>
    <w:uiPriority w:val="34"/>
    <w:pPr>
      <w:spacing w:before="100" w:beforeAutospacing="1" w:after="100" w:afterAutospacing="1" w:line="360" w:lineRule="auto"/>
      <w:ind w:firstLine="420" w:firstLineChars="200"/>
    </w:pPr>
  </w:style>
  <w:style w:type="paragraph" w:customStyle="1" w:styleId="124">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125">
    <w:name w:val="Char1"/>
    <w:basedOn w:val="1"/>
    <w:qFormat/>
    <w:uiPriority w:val="0"/>
    <w:rPr>
      <w:szCs w:val="21"/>
    </w:rPr>
  </w:style>
  <w:style w:type="paragraph" w:customStyle="1" w:styleId="126">
    <w:name w:val="Table Paragraph"/>
    <w:basedOn w:val="1"/>
    <w:qFormat/>
    <w:uiPriority w:val="1"/>
    <w:pPr>
      <w:jc w:val="left"/>
    </w:pPr>
    <w:rPr>
      <w:rFonts w:ascii="Calibri" w:hAnsi="Calibri"/>
      <w:kern w:val="0"/>
      <w:sz w:val="22"/>
      <w:szCs w:val="22"/>
      <w:lang w:eastAsia="en-US"/>
    </w:rPr>
  </w:style>
  <w:style w:type="paragraph" w:customStyle="1" w:styleId="127">
    <w:name w:val="Char Char Char Char1"/>
    <w:basedOn w:val="1"/>
    <w:qFormat/>
    <w:uiPriority w:val="0"/>
    <w:pPr>
      <w:widowControl/>
      <w:spacing w:after="160" w:line="240" w:lineRule="exact"/>
      <w:jc w:val="left"/>
    </w:pPr>
  </w:style>
  <w:style w:type="paragraph" w:customStyle="1" w:styleId="128">
    <w:name w:val="正文缩进1"/>
    <w:basedOn w:val="1"/>
    <w:next w:val="15"/>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29">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30">
    <w:name w:val="Body text|3"/>
    <w:basedOn w:val="1"/>
    <w:qFormat/>
    <w:uiPriority w:val="0"/>
    <w:pPr>
      <w:spacing w:after="460"/>
      <w:jc w:val="center"/>
    </w:pPr>
    <w:rPr>
      <w:rFonts w:ascii="宋体" w:hAnsi="宋体" w:cs="宋体"/>
      <w:kern w:val="0"/>
      <w:sz w:val="34"/>
      <w:szCs w:val="34"/>
    </w:rPr>
  </w:style>
  <w:style w:type="paragraph" w:customStyle="1" w:styleId="131">
    <w:name w:val="Char Char Char Char Char Char Char1"/>
    <w:basedOn w:val="1"/>
    <w:qFormat/>
    <w:uiPriority w:val="0"/>
  </w:style>
  <w:style w:type="paragraph" w:customStyle="1" w:styleId="132">
    <w:name w:val="Char Char Char1 Char Char Char Char Char Char Char"/>
    <w:basedOn w:val="1"/>
    <w:qFormat/>
    <w:uiPriority w:val="0"/>
  </w:style>
  <w:style w:type="character" w:customStyle="1" w:styleId="133">
    <w:name w:val="font21"/>
    <w:basedOn w:val="37"/>
    <w:qFormat/>
    <w:uiPriority w:val="0"/>
    <w:rPr>
      <w:rFonts w:hint="default" w:ascii="Arial" w:hAnsi="Arial" w:cs="Arial"/>
      <w:color w:val="000000"/>
      <w:sz w:val="20"/>
      <w:szCs w:val="20"/>
      <w:u w:val="none"/>
    </w:rPr>
  </w:style>
  <w:style w:type="character" w:customStyle="1" w:styleId="134">
    <w:name w:val="font11"/>
    <w:basedOn w:val="3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108</Pages>
  <Words>61168</Words>
  <Characters>67743</Characters>
  <Lines>550</Lines>
  <Paragraphs>154</Paragraphs>
  <TotalTime>16</TotalTime>
  <ScaleCrop>false</ScaleCrop>
  <LinksUpToDate>false</LinksUpToDate>
  <CharactersWithSpaces>74278</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2022-10-18T07:27:00Z</dcterms:created>
  <dc:creator>○</dc:creator>
  <cp:lastModifiedBy>WPS办公</cp:lastModifiedBy>
  <cp:lastPrinted>2022-10-26T09:03:45Z</cp:lastPrinted>
  <dcterms:modified xsi:type="dcterms:W3CDTF">2022-10-26T09:11:23Z</dcterms:modified>
  <dc:title>南财采管〔2012〕3号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42E4613906264731ABAAF7E69E3042C4</vt:lpwstr>
  </property>
</Properties>
</file>