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color w:val="auto"/>
        </w:rPr>
      </w:pPr>
      <w:r>
        <w:rPr>
          <w:rFonts w:hint="eastAsia" w:ascii="宋体" w:hAnsi="宋体" w:cs="宋体"/>
          <w:b/>
          <w:bCs/>
          <w:color w:val="auto"/>
          <w:sz w:val="30"/>
          <w:szCs w:val="72"/>
        </w:rPr>
        <w:drawing>
          <wp:anchor distT="0" distB="0" distL="114300" distR="114300" simplePos="0" relativeHeight="251659264" behindDoc="0" locked="0" layoutInCell="1" allowOverlap="1">
            <wp:simplePos x="0" y="0"/>
            <wp:positionH relativeFrom="column">
              <wp:posOffset>-704850</wp:posOffset>
            </wp:positionH>
            <wp:positionV relativeFrom="paragraph">
              <wp:posOffset>-714375</wp:posOffset>
            </wp:positionV>
            <wp:extent cx="7585075" cy="10728325"/>
            <wp:effectExtent l="0" t="0" r="15875" b="15875"/>
            <wp:wrapNone/>
            <wp:docPr id="6" name="图片 6" descr="封面盖章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封面盖章页"/>
                    <pic:cNvPicPr>
                      <a:picLocks noChangeAspect="1"/>
                    </pic:cNvPicPr>
                  </pic:nvPicPr>
                  <pic:blipFill>
                    <a:blip r:embed="rId18"/>
                    <a:stretch>
                      <a:fillRect/>
                    </a:stretch>
                  </pic:blipFill>
                  <pic:spPr>
                    <a:xfrm>
                      <a:off x="0" y="0"/>
                      <a:ext cx="7585075" cy="10728325"/>
                    </a:xfrm>
                    <a:prstGeom prst="rect">
                      <a:avLst/>
                    </a:prstGeom>
                  </pic:spPr>
                </pic:pic>
              </a:graphicData>
            </a:graphic>
          </wp:anchor>
        </w:drawing>
      </w:r>
    </w:p>
    <w:p>
      <w:pPr>
        <w:spacing w:beforeLines="50" w:line="360" w:lineRule="auto"/>
        <w:jc w:val="center"/>
        <w:rPr>
          <w:rFonts w:ascii="宋体" w:hAnsi="宋体" w:cs="宋体"/>
          <w:b/>
          <w:color w:val="auto"/>
          <w:sz w:val="48"/>
          <w:szCs w:val="48"/>
        </w:rPr>
      </w:pPr>
      <w:r>
        <w:rPr>
          <w:rFonts w:hint="eastAsia" w:ascii="宋体" w:hAnsi="宋体"/>
          <w:b/>
          <w:color w:val="auto"/>
          <w:sz w:val="48"/>
          <w:szCs w:val="48"/>
        </w:rPr>
        <w:t>中资国际工程咨询集团有限责任公司</w:t>
      </w:r>
    </w:p>
    <w:p>
      <w:pPr>
        <w:spacing w:beforeLines="50" w:line="360" w:lineRule="auto"/>
        <w:jc w:val="center"/>
        <w:rPr>
          <w:rFonts w:ascii="宋体" w:hAnsi="宋体" w:cs="宋体"/>
          <w:b/>
          <w:color w:val="auto"/>
          <w:sz w:val="48"/>
          <w:szCs w:val="48"/>
        </w:rPr>
      </w:pPr>
    </w:p>
    <w:p>
      <w:pPr>
        <w:snapToGrid w:val="0"/>
        <w:spacing w:beforeLines="50" w:line="360" w:lineRule="auto"/>
        <w:jc w:val="center"/>
        <w:rPr>
          <w:rFonts w:ascii="宋体" w:hAnsi="宋体" w:cs="宋体"/>
          <w:b/>
          <w:bCs/>
          <w:color w:val="auto"/>
          <w:sz w:val="72"/>
          <w:szCs w:val="72"/>
        </w:rPr>
      </w:pPr>
    </w:p>
    <w:p>
      <w:pPr>
        <w:snapToGrid w:val="0"/>
        <w:spacing w:beforeLines="50" w:line="360" w:lineRule="auto"/>
        <w:jc w:val="center"/>
        <w:rPr>
          <w:rFonts w:ascii="宋体" w:hAnsi="宋体" w:cs="宋体"/>
          <w:b/>
          <w:bCs/>
          <w:color w:val="auto"/>
          <w:sz w:val="72"/>
          <w:szCs w:val="72"/>
        </w:rPr>
      </w:pPr>
      <w:r>
        <w:rPr>
          <w:rFonts w:hint="eastAsia" w:ascii="宋体" w:hAnsi="宋体" w:cs="宋体"/>
          <w:b/>
          <w:bCs/>
          <w:color w:val="auto"/>
          <w:sz w:val="72"/>
          <w:szCs w:val="72"/>
        </w:rPr>
        <w:t>公 开 招 标 文 件</w:t>
      </w:r>
    </w:p>
    <w:p>
      <w:pPr>
        <w:snapToGrid w:val="0"/>
        <w:spacing w:beforeLines="50" w:line="360" w:lineRule="auto"/>
        <w:rPr>
          <w:rFonts w:ascii="宋体" w:hAnsi="宋体" w:cs="宋体"/>
          <w:b/>
          <w:bCs/>
          <w:color w:val="auto"/>
          <w:sz w:val="30"/>
          <w:szCs w:val="72"/>
        </w:rPr>
      </w:pPr>
    </w:p>
    <w:p>
      <w:pPr>
        <w:snapToGrid w:val="0"/>
        <w:spacing w:beforeLines="50" w:line="360" w:lineRule="auto"/>
        <w:rPr>
          <w:rFonts w:ascii="宋体" w:hAnsi="宋体" w:cs="宋体"/>
          <w:b/>
          <w:bCs/>
          <w:color w:val="auto"/>
          <w:sz w:val="30"/>
          <w:szCs w:val="72"/>
        </w:rPr>
      </w:pPr>
    </w:p>
    <w:p>
      <w:pPr>
        <w:snapToGrid w:val="0"/>
        <w:spacing w:beforeLines="50" w:line="360" w:lineRule="auto"/>
        <w:ind w:firstLine="904" w:firstLineChars="300"/>
        <w:rPr>
          <w:rFonts w:ascii="宋体" w:hAnsi="宋体" w:cs="宋体"/>
          <w:b/>
          <w:bCs/>
          <w:color w:val="auto"/>
          <w:sz w:val="30"/>
          <w:szCs w:val="72"/>
        </w:rPr>
      </w:pPr>
      <w:r>
        <w:rPr>
          <w:rFonts w:hint="eastAsia" w:ascii="宋体" w:hAnsi="宋体" w:cs="宋体"/>
          <w:b/>
          <w:bCs/>
          <w:color w:val="auto"/>
          <w:sz w:val="30"/>
          <w:szCs w:val="72"/>
        </w:rPr>
        <w:t>项目名称：党的二十大安全播出保障项目设备采购</w:t>
      </w:r>
    </w:p>
    <w:p>
      <w:pPr>
        <w:snapToGrid w:val="0"/>
        <w:spacing w:beforeLines="50" w:line="360" w:lineRule="auto"/>
        <w:ind w:firstLine="904" w:firstLineChars="300"/>
        <w:rPr>
          <w:rFonts w:hint="eastAsia" w:ascii="宋体" w:hAnsi="宋体" w:eastAsia="宋体" w:cs="宋体"/>
          <w:b/>
          <w:bCs/>
          <w:color w:val="auto"/>
          <w:sz w:val="30"/>
          <w:szCs w:val="72"/>
          <w:lang w:eastAsia="zh-CN"/>
        </w:rPr>
      </w:pPr>
      <w:r>
        <w:rPr>
          <w:rFonts w:hint="eastAsia" w:ascii="宋体" w:hAnsi="宋体" w:cs="宋体"/>
          <w:b/>
          <w:bCs/>
          <w:color w:val="auto"/>
          <w:sz w:val="30"/>
          <w:szCs w:val="72"/>
        </w:rPr>
        <w:t>项目编号：</w:t>
      </w:r>
      <w:r>
        <w:rPr>
          <w:rFonts w:hint="eastAsia" w:ascii="宋体" w:hAnsi="宋体" w:cs="宋体"/>
          <w:b/>
          <w:bCs/>
          <w:color w:val="auto"/>
          <w:sz w:val="30"/>
          <w:szCs w:val="72"/>
          <w:lang w:eastAsia="zh-CN"/>
        </w:rPr>
        <w:t>GXZC2022-G1-003501-ZZGJ</w:t>
      </w:r>
    </w:p>
    <w:p>
      <w:pPr>
        <w:snapToGrid w:val="0"/>
        <w:spacing w:beforeLines="50" w:line="360" w:lineRule="auto"/>
        <w:ind w:firstLine="904" w:firstLineChars="300"/>
        <w:rPr>
          <w:rFonts w:ascii="宋体" w:hAnsi="宋体" w:cs="宋体"/>
          <w:b/>
          <w:bCs/>
          <w:color w:val="auto"/>
          <w:sz w:val="30"/>
          <w:szCs w:val="72"/>
        </w:rPr>
      </w:pPr>
      <w:r>
        <w:rPr>
          <w:rFonts w:hint="eastAsia" w:ascii="宋体" w:hAnsi="宋体" w:cs="宋体"/>
          <w:b/>
          <w:bCs/>
          <w:color w:val="auto"/>
          <w:sz w:val="30"/>
          <w:szCs w:val="72"/>
        </w:rPr>
        <w:t>采 购 人：</w:t>
      </w:r>
      <w:r>
        <w:rPr>
          <w:rFonts w:hint="eastAsia" w:ascii="宋体" w:hAnsi="宋体" w:cs="宋体"/>
          <w:b/>
          <w:bCs/>
          <w:color w:val="auto"/>
          <w:kern w:val="0"/>
          <w:sz w:val="30"/>
          <w:szCs w:val="30"/>
        </w:rPr>
        <w:t>广西广播电视台</w:t>
      </w:r>
      <w:r>
        <w:rPr>
          <w:rFonts w:hint="eastAsia" w:ascii="宋体" w:hAnsi="宋体" w:cs="宋体"/>
          <w:b/>
          <w:bCs/>
          <w:color w:val="auto"/>
          <w:sz w:val="30"/>
          <w:szCs w:val="72"/>
        </w:rPr>
        <w:t xml:space="preserve"> </w:t>
      </w:r>
    </w:p>
    <w:p>
      <w:pPr>
        <w:snapToGrid w:val="0"/>
        <w:spacing w:beforeLines="50" w:line="360" w:lineRule="auto"/>
        <w:ind w:firstLine="904" w:firstLineChars="300"/>
        <w:rPr>
          <w:rFonts w:ascii="宋体" w:hAnsi="宋体" w:cs="宋体"/>
          <w:b/>
          <w:bCs/>
          <w:color w:val="auto"/>
          <w:sz w:val="30"/>
          <w:szCs w:val="72"/>
        </w:rPr>
      </w:pPr>
      <w:r>
        <w:rPr>
          <w:rFonts w:hint="eastAsia" w:ascii="宋体" w:hAnsi="宋体" w:cs="宋体"/>
          <w:b/>
          <w:bCs/>
          <w:color w:val="auto"/>
          <w:sz w:val="30"/>
          <w:szCs w:val="72"/>
        </w:rPr>
        <w:t>采购代理机构：中资国际工程咨询集团有限责任公司</w:t>
      </w:r>
    </w:p>
    <w:p>
      <w:pPr>
        <w:snapToGrid w:val="0"/>
        <w:spacing w:beforeLines="50" w:line="360" w:lineRule="auto"/>
        <w:ind w:firstLine="1205" w:firstLineChars="400"/>
        <w:jc w:val="center"/>
        <w:rPr>
          <w:rFonts w:ascii="宋体" w:hAnsi="宋体" w:cs="宋体"/>
          <w:b/>
          <w:bCs/>
          <w:color w:val="auto"/>
          <w:sz w:val="30"/>
          <w:szCs w:val="72"/>
        </w:rPr>
      </w:pPr>
    </w:p>
    <w:p>
      <w:pPr>
        <w:pStyle w:val="18"/>
        <w:spacing w:before="120" w:after="120" w:line="360" w:lineRule="auto"/>
        <w:jc w:val="center"/>
        <w:rPr>
          <w:rFonts w:hAnsi="宋体" w:cs="宋体"/>
          <w:b/>
          <w:bCs/>
          <w:color w:val="auto"/>
          <w:sz w:val="30"/>
          <w:szCs w:val="72"/>
        </w:rPr>
      </w:pPr>
    </w:p>
    <w:p>
      <w:pPr>
        <w:pStyle w:val="18"/>
        <w:spacing w:before="120" w:after="120" w:line="360" w:lineRule="auto"/>
        <w:jc w:val="center"/>
        <w:rPr>
          <w:rFonts w:hAnsi="宋体" w:cs="宋体"/>
          <w:b/>
          <w:bCs/>
          <w:color w:val="auto"/>
          <w:sz w:val="30"/>
          <w:szCs w:val="72"/>
        </w:rPr>
      </w:pPr>
    </w:p>
    <w:p>
      <w:pPr>
        <w:pStyle w:val="18"/>
        <w:spacing w:before="120" w:after="120" w:line="360" w:lineRule="auto"/>
        <w:jc w:val="center"/>
        <w:rPr>
          <w:rFonts w:ascii="仿宋_GB2312" w:hAnsi="宋体" w:eastAsia="仿宋_GB2312"/>
          <w:color w:val="auto"/>
        </w:rPr>
      </w:pPr>
      <w:r>
        <w:rPr>
          <w:rFonts w:hint="eastAsia" w:hAnsi="宋体" w:cs="宋体"/>
          <w:color w:val="auto"/>
          <w:sz w:val="30"/>
          <w:szCs w:val="72"/>
        </w:rPr>
        <w:t>2022年10月</w:t>
      </w:r>
      <w:r>
        <w:rPr>
          <w:rFonts w:hint="eastAsia" w:hAnsi="宋体" w:cs="宋体"/>
          <w:color w:val="auto"/>
          <w:sz w:val="30"/>
          <w:szCs w:val="72"/>
          <w:lang w:val="en-US" w:eastAsia="zh-CN"/>
        </w:rPr>
        <w:t>26</w:t>
      </w:r>
      <w:r>
        <w:rPr>
          <w:rFonts w:hint="eastAsia" w:hAnsi="宋体" w:cs="宋体"/>
          <w:color w:val="auto"/>
          <w:sz w:val="30"/>
          <w:szCs w:val="72"/>
        </w:rPr>
        <w:t>日</w:t>
      </w:r>
    </w:p>
    <w:p>
      <w:pPr>
        <w:pStyle w:val="18"/>
        <w:spacing w:before="120" w:after="120" w:line="360" w:lineRule="auto"/>
        <w:jc w:val="center"/>
        <w:rPr>
          <w:rFonts w:ascii="仿宋_GB2312" w:hAnsi="宋体" w:eastAsia="仿宋_GB2312"/>
          <w:b/>
          <w:bCs/>
          <w:color w:val="auto"/>
          <w:sz w:val="40"/>
          <w:szCs w:val="40"/>
        </w:rPr>
        <w:sectPr>
          <w:headerReference r:id="rId3" w:type="default"/>
          <w:pgSz w:w="11906" w:h="16838"/>
          <w:pgMar w:top="1134" w:right="1134" w:bottom="1134" w:left="1134" w:header="720" w:footer="720" w:gutter="0"/>
          <w:cols w:space="720" w:num="1"/>
          <w:docGrid w:type="lines" w:linePitch="331" w:charSpace="0"/>
        </w:sectPr>
      </w:pPr>
    </w:p>
    <w:p>
      <w:pPr>
        <w:pStyle w:val="5"/>
        <w:rPr>
          <w:color w:val="auto"/>
        </w:rPr>
      </w:pPr>
    </w:p>
    <w:p>
      <w:pPr>
        <w:pStyle w:val="18"/>
        <w:spacing w:before="120" w:after="120" w:line="360" w:lineRule="auto"/>
        <w:jc w:val="center"/>
        <w:rPr>
          <w:rFonts w:ascii="仿宋_GB2312" w:hAnsi="宋体" w:eastAsia="仿宋_GB2312"/>
          <w:b/>
          <w:bCs/>
          <w:color w:val="auto"/>
          <w:sz w:val="32"/>
          <w:szCs w:val="32"/>
        </w:rPr>
      </w:pPr>
      <w:r>
        <w:rPr>
          <w:rFonts w:hint="eastAsia" w:ascii="仿宋_GB2312" w:hAnsi="宋体" w:eastAsia="仿宋_GB2312"/>
          <w:b/>
          <w:bCs/>
          <w:color w:val="auto"/>
          <w:sz w:val="40"/>
          <w:szCs w:val="40"/>
        </w:rPr>
        <w:t>目    录</w:t>
      </w:r>
    </w:p>
    <w:p>
      <w:pPr>
        <w:pStyle w:val="18"/>
        <w:spacing w:before="120" w:after="120" w:line="360" w:lineRule="auto"/>
        <w:jc w:val="center"/>
        <w:rPr>
          <w:rFonts w:ascii="仿宋_GB2312" w:hAnsi="宋体" w:eastAsia="仿宋_GB2312"/>
          <w:color w:val="auto"/>
          <w:sz w:val="32"/>
          <w:szCs w:val="32"/>
        </w:rPr>
      </w:pPr>
    </w:p>
    <w:p>
      <w:pPr>
        <w:pStyle w:val="29"/>
        <w:tabs>
          <w:tab w:val="right" w:leader="dot" w:pos="9402"/>
        </w:tabs>
        <w:spacing w:line="480" w:lineRule="auto"/>
        <w:rPr>
          <w:b/>
          <w:bCs/>
          <w:color w:val="auto"/>
          <w:sz w:val="28"/>
          <w:szCs w:val="28"/>
        </w:rPr>
      </w:pPr>
      <w:r>
        <w:rPr>
          <w:rFonts w:ascii="仿宋_GB2312" w:hAnsi="宋体" w:eastAsia="仿宋_GB2312"/>
          <w:b w:val="0"/>
          <w:bCs w:val="0"/>
          <w:color w:val="auto"/>
          <w:sz w:val="24"/>
        </w:rPr>
        <w:fldChar w:fldCharType="begin"/>
      </w:r>
      <w:r>
        <w:rPr>
          <w:rFonts w:ascii="仿宋_GB2312" w:hAnsi="宋体" w:eastAsia="仿宋_GB2312"/>
          <w:b w:val="0"/>
          <w:bCs w:val="0"/>
          <w:color w:val="auto"/>
          <w:sz w:val="24"/>
        </w:rPr>
        <w:instrText xml:space="preserve"> </w:instrText>
      </w:r>
      <w:r>
        <w:rPr>
          <w:rFonts w:hint="eastAsia" w:ascii="仿宋_GB2312" w:hAnsi="宋体" w:eastAsia="仿宋_GB2312"/>
          <w:b w:val="0"/>
          <w:bCs w:val="0"/>
          <w:color w:val="auto"/>
          <w:sz w:val="24"/>
        </w:rPr>
        <w:instrText xml:space="preserve">TOC \o "1-2" \h \z \u</w:instrText>
      </w:r>
      <w:r>
        <w:rPr>
          <w:rFonts w:ascii="仿宋_GB2312" w:hAnsi="宋体" w:eastAsia="仿宋_GB2312"/>
          <w:b w:val="0"/>
          <w:bCs w:val="0"/>
          <w:color w:val="auto"/>
          <w:sz w:val="24"/>
        </w:rPr>
        <w:instrText xml:space="preserve"> </w:instrText>
      </w:r>
      <w:r>
        <w:rPr>
          <w:rFonts w:ascii="仿宋_GB2312" w:hAnsi="宋体" w:eastAsia="仿宋_GB2312"/>
          <w:b w:val="0"/>
          <w:bCs w:val="0"/>
          <w:color w:val="auto"/>
          <w:sz w:val="24"/>
        </w:rPr>
        <w:fldChar w:fldCharType="separate"/>
      </w:r>
      <w:r>
        <w:rPr>
          <w:b/>
          <w:bCs/>
          <w:color w:val="auto"/>
        </w:rPr>
        <w:fldChar w:fldCharType="begin"/>
      </w:r>
      <w:r>
        <w:rPr>
          <w:b/>
          <w:bCs/>
          <w:color w:val="auto"/>
        </w:rPr>
        <w:instrText xml:space="preserve"> HYPERLINK \l "_Toc19686829" </w:instrText>
      </w:r>
      <w:r>
        <w:rPr>
          <w:b/>
          <w:bCs/>
          <w:color w:val="auto"/>
        </w:rPr>
        <w:fldChar w:fldCharType="separate"/>
      </w:r>
      <w:r>
        <w:rPr>
          <w:rStyle w:val="40"/>
          <w:rFonts w:hint="eastAsia"/>
          <w:b/>
          <w:bCs/>
          <w:color w:val="auto"/>
          <w:sz w:val="28"/>
          <w:szCs w:val="28"/>
        </w:rPr>
        <w:t>第一章</w:t>
      </w:r>
      <w:r>
        <w:rPr>
          <w:rStyle w:val="40"/>
          <w:b/>
          <w:bCs/>
          <w:color w:val="auto"/>
          <w:sz w:val="28"/>
          <w:szCs w:val="28"/>
        </w:rPr>
        <w:t xml:space="preserve">  </w:t>
      </w:r>
      <w:r>
        <w:rPr>
          <w:rStyle w:val="40"/>
          <w:rFonts w:hint="eastAsia"/>
          <w:b/>
          <w:bCs/>
          <w:color w:val="auto"/>
          <w:sz w:val="28"/>
          <w:szCs w:val="28"/>
        </w:rPr>
        <w:t>招标公告</w:t>
      </w:r>
      <w:r>
        <w:rPr>
          <w:b/>
          <w:bCs/>
          <w:color w:val="auto"/>
          <w:sz w:val="28"/>
          <w:szCs w:val="28"/>
        </w:rPr>
        <w:tab/>
      </w:r>
      <w:r>
        <w:rPr>
          <w:b/>
          <w:bCs/>
          <w:color w:val="auto"/>
          <w:sz w:val="28"/>
          <w:szCs w:val="28"/>
        </w:rPr>
        <w:fldChar w:fldCharType="begin"/>
      </w:r>
      <w:r>
        <w:rPr>
          <w:b/>
          <w:bCs/>
          <w:color w:val="auto"/>
          <w:sz w:val="28"/>
          <w:szCs w:val="28"/>
        </w:rPr>
        <w:instrText xml:space="preserve"> PAGEREF _Toc19686829 \h </w:instrText>
      </w:r>
      <w:r>
        <w:rPr>
          <w:b/>
          <w:bCs/>
          <w:color w:val="auto"/>
          <w:sz w:val="28"/>
          <w:szCs w:val="28"/>
        </w:rPr>
        <w:fldChar w:fldCharType="separate"/>
      </w:r>
      <w:r>
        <w:rPr>
          <w:b/>
          <w:bCs/>
          <w:color w:val="auto"/>
          <w:sz w:val="28"/>
          <w:szCs w:val="28"/>
        </w:rPr>
        <w:t>2</w:t>
      </w:r>
      <w:r>
        <w:rPr>
          <w:b/>
          <w:bCs/>
          <w:color w:val="auto"/>
          <w:sz w:val="28"/>
          <w:szCs w:val="28"/>
        </w:rPr>
        <w:fldChar w:fldCharType="end"/>
      </w:r>
      <w:r>
        <w:rPr>
          <w:b/>
          <w:bCs/>
          <w:color w:val="auto"/>
          <w:sz w:val="28"/>
          <w:szCs w:val="28"/>
        </w:rPr>
        <w:fldChar w:fldCharType="end"/>
      </w:r>
    </w:p>
    <w:p>
      <w:pPr>
        <w:pStyle w:val="29"/>
        <w:tabs>
          <w:tab w:val="right" w:leader="dot" w:pos="9402"/>
        </w:tabs>
        <w:spacing w:line="480" w:lineRule="auto"/>
        <w:rPr>
          <w:b/>
          <w:bCs/>
          <w:color w:val="auto"/>
          <w:sz w:val="28"/>
          <w:szCs w:val="28"/>
        </w:rPr>
      </w:pPr>
      <w:r>
        <w:rPr>
          <w:b/>
          <w:bCs/>
          <w:color w:val="auto"/>
        </w:rPr>
        <w:fldChar w:fldCharType="begin"/>
      </w:r>
      <w:r>
        <w:rPr>
          <w:b/>
          <w:bCs/>
          <w:color w:val="auto"/>
        </w:rPr>
        <w:instrText xml:space="preserve"> HYPERLINK \l "_Toc19686830" </w:instrText>
      </w:r>
      <w:r>
        <w:rPr>
          <w:b/>
          <w:bCs/>
          <w:color w:val="auto"/>
        </w:rPr>
        <w:fldChar w:fldCharType="separate"/>
      </w:r>
      <w:r>
        <w:rPr>
          <w:rStyle w:val="40"/>
          <w:rFonts w:hint="eastAsia"/>
          <w:b/>
          <w:bCs/>
          <w:color w:val="auto"/>
          <w:sz w:val="28"/>
          <w:szCs w:val="28"/>
        </w:rPr>
        <w:t>第二章</w:t>
      </w:r>
      <w:r>
        <w:rPr>
          <w:rStyle w:val="40"/>
          <w:b/>
          <w:bCs/>
          <w:color w:val="auto"/>
          <w:sz w:val="28"/>
          <w:szCs w:val="28"/>
        </w:rPr>
        <w:t xml:space="preserve">  </w:t>
      </w:r>
      <w:r>
        <w:rPr>
          <w:rStyle w:val="40"/>
          <w:rFonts w:hint="eastAsia"/>
          <w:b/>
          <w:bCs/>
          <w:color w:val="auto"/>
          <w:sz w:val="28"/>
          <w:szCs w:val="28"/>
        </w:rPr>
        <w:t>采购</w:t>
      </w:r>
      <w:bookmarkStart w:id="0" w:name="_Hlt54940052"/>
      <w:bookmarkStart w:id="1" w:name="_Hlt54940053"/>
      <w:r>
        <w:rPr>
          <w:rStyle w:val="40"/>
          <w:rFonts w:hint="eastAsia"/>
          <w:b/>
          <w:bCs/>
          <w:color w:val="auto"/>
          <w:sz w:val="28"/>
          <w:szCs w:val="28"/>
        </w:rPr>
        <w:t>需</w:t>
      </w:r>
      <w:bookmarkEnd w:id="0"/>
      <w:bookmarkEnd w:id="1"/>
      <w:r>
        <w:rPr>
          <w:rStyle w:val="40"/>
          <w:rFonts w:hint="eastAsia"/>
          <w:b/>
          <w:bCs/>
          <w:color w:val="auto"/>
          <w:sz w:val="28"/>
          <w:szCs w:val="28"/>
        </w:rPr>
        <w:t>求</w:t>
      </w:r>
      <w:r>
        <w:rPr>
          <w:b/>
          <w:bCs/>
          <w:color w:val="auto"/>
          <w:sz w:val="28"/>
          <w:szCs w:val="28"/>
        </w:rPr>
        <w:tab/>
      </w:r>
      <w:r>
        <w:rPr>
          <w:b/>
          <w:bCs/>
          <w:color w:val="auto"/>
          <w:sz w:val="28"/>
          <w:szCs w:val="28"/>
        </w:rPr>
        <w:fldChar w:fldCharType="begin"/>
      </w:r>
      <w:r>
        <w:rPr>
          <w:b/>
          <w:bCs/>
          <w:color w:val="auto"/>
          <w:sz w:val="28"/>
          <w:szCs w:val="28"/>
        </w:rPr>
        <w:instrText xml:space="preserve"> PAGEREF _Toc19686830 \h </w:instrText>
      </w:r>
      <w:r>
        <w:rPr>
          <w:b/>
          <w:bCs/>
          <w:color w:val="auto"/>
          <w:sz w:val="28"/>
          <w:szCs w:val="28"/>
        </w:rPr>
        <w:fldChar w:fldCharType="separate"/>
      </w:r>
      <w:r>
        <w:rPr>
          <w:b/>
          <w:bCs/>
          <w:color w:val="auto"/>
          <w:sz w:val="28"/>
          <w:szCs w:val="28"/>
        </w:rPr>
        <w:t>7</w:t>
      </w:r>
      <w:r>
        <w:rPr>
          <w:b/>
          <w:bCs/>
          <w:color w:val="auto"/>
          <w:sz w:val="28"/>
          <w:szCs w:val="28"/>
        </w:rPr>
        <w:fldChar w:fldCharType="end"/>
      </w:r>
      <w:r>
        <w:rPr>
          <w:b/>
          <w:bCs/>
          <w:color w:val="auto"/>
          <w:sz w:val="28"/>
          <w:szCs w:val="28"/>
        </w:rPr>
        <w:fldChar w:fldCharType="end"/>
      </w:r>
    </w:p>
    <w:p>
      <w:pPr>
        <w:pStyle w:val="29"/>
        <w:tabs>
          <w:tab w:val="right" w:leader="dot" w:pos="9402"/>
        </w:tabs>
        <w:spacing w:line="480" w:lineRule="auto"/>
        <w:rPr>
          <w:b/>
          <w:bCs/>
          <w:color w:val="auto"/>
          <w:sz w:val="28"/>
          <w:szCs w:val="28"/>
        </w:rPr>
      </w:pPr>
      <w:r>
        <w:rPr>
          <w:b/>
          <w:bCs/>
          <w:color w:val="auto"/>
        </w:rPr>
        <w:fldChar w:fldCharType="begin"/>
      </w:r>
      <w:r>
        <w:rPr>
          <w:b/>
          <w:bCs/>
          <w:color w:val="auto"/>
        </w:rPr>
        <w:instrText xml:space="preserve"> HYPERLINK \l "_Toc19686831" </w:instrText>
      </w:r>
      <w:r>
        <w:rPr>
          <w:b/>
          <w:bCs/>
          <w:color w:val="auto"/>
        </w:rPr>
        <w:fldChar w:fldCharType="separate"/>
      </w:r>
      <w:r>
        <w:rPr>
          <w:rStyle w:val="40"/>
          <w:rFonts w:hint="eastAsia"/>
          <w:b/>
          <w:bCs/>
          <w:color w:val="auto"/>
          <w:sz w:val="28"/>
          <w:szCs w:val="28"/>
        </w:rPr>
        <w:t>第三章</w:t>
      </w:r>
      <w:r>
        <w:rPr>
          <w:rStyle w:val="40"/>
          <w:b/>
          <w:bCs/>
          <w:color w:val="auto"/>
          <w:sz w:val="28"/>
          <w:szCs w:val="28"/>
        </w:rPr>
        <w:t xml:space="preserve">  </w:t>
      </w:r>
      <w:r>
        <w:rPr>
          <w:rStyle w:val="40"/>
          <w:rFonts w:hint="eastAsia"/>
          <w:b/>
          <w:bCs/>
          <w:color w:val="auto"/>
          <w:sz w:val="28"/>
          <w:szCs w:val="28"/>
        </w:rPr>
        <w:t>投标</w:t>
      </w:r>
      <w:bookmarkStart w:id="2" w:name="_Hlt30431883"/>
      <w:r>
        <w:rPr>
          <w:rStyle w:val="40"/>
          <w:rFonts w:hint="eastAsia"/>
          <w:b/>
          <w:bCs/>
          <w:color w:val="auto"/>
          <w:sz w:val="28"/>
          <w:szCs w:val="28"/>
        </w:rPr>
        <w:t>人</w:t>
      </w:r>
      <w:bookmarkEnd w:id="2"/>
      <w:bookmarkStart w:id="3" w:name="_Hlt43803607"/>
      <w:bookmarkStart w:id="4" w:name="_Hlt43803608"/>
      <w:r>
        <w:rPr>
          <w:rStyle w:val="40"/>
          <w:rFonts w:hint="eastAsia"/>
          <w:b/>
          <w:bCs/>
          <w:color w:val="auto"/>
          <w:sz w:val="28"/>
          <w:szCs w:val="28"/>
        </w:rPr>
        <w:t>须</w:t>
      </w:r>
      <w:bookmarkEnd w:id="3"/>
      <w:bookmarkEnd w:id="4"/>
      <w:r>
        <w:rPr>
          <w:rStyle w:val="40"/>
          <w:rFonts w:hint="eastAsia"/>
          <w:b/>
          <w:bCs/>
          <w:color w:val="auto"/>
          <w:sz w:val="28"/>
          <w:szCs w:val="28"/>
        </w:rPr>
        <w:t>知</w:t>
      </w:r>
      <w:bookmarkStart w:id="5" w:name="_Hlt43479155"/>
      <w:bookmarkStart w:id="6" w:name="_Hlt43479156"/>
      <w:r>
        <w:rPr>
          <w:b/>
          <w:bCs/>
          <w:color w:val="auto"/>
          <w:sz w:val="28"/>
          <w:szCs w:val="28"/>
        </w:rPr>
        <w:tab/>
      </w:r>
      <w:bookmarkEnd w:id="5"/>
      <w:bookmarkEnd w:id="6"/>
      <w:r>
        <w:rPr>
          <w:rFonts w:hint="eastAsia"/>
          <w:b/>
          <w:bCs/>
          <w:color w:val="auto"/>
          <w:sz w:val="28"/>
          <w:szCs w:val="28"/>
        </w:rPr>
        <w:t>3</w:t>
      </w:r>
      <w:r>
        <w:rPr>
          <w:rFonts w:hint="eastAsia"/>
          <w:b/>
          <w:bCs/>
          <w:color w:val="auto"/>
          <w:sz w:val="28"/>
          <w:szCs w:val="28"/>
        </w:rPr>
        <w:fldChar w:fldCharType="end"/>
      </w:r>
      <w:r>
        <w:rPr>
          <w:rFonts w:hint="eastAsia"/>
          <w:b/>
          <w:bCs/>
          <w:color w:val="auto"/>
          <w:sz w:val="28"/>
          <w:szCs w:val="28"/>
        </w:rPr>
        <w:t>7</w:t>
      </w:r>
    </w:p>
    <w:p>
      <w:pPr>
        <w:pStyle w:val="29"/>
        <w:tabs>
          <w:tab w:val="right" w:leader="dot" w:pos="9402"/>
        </w:tabs>
        <w:spacing w:line="480" w:lineRule="auto"/>
        <w:rPr>
          <w:b/>
          <w:bCs/>
          <w:color w:val="auto"/>
          <w:sz w:val="28"/>
          <w:szCs w:val="28"/>
        </w:rPr>
      </w:pPr>
      <w:r>
        <w:rPr>
          <w:b/>
          <w:bCs/>
          <w:color w:val="auto"/>
        </w:rPr>
        <w:fldChar w:fldCharType="begin"/>
      </w:r>
      <w:r>
        <w:rPr>
          <w:b/>
          <w:bCs/>
          <w:color w:val="auto"/>
        </w:rPr>
        <w:instrText xml:space="preserve"> HYPERLINK \l "_Toc19686832" </w:instrText>
      </w:r>
      <w:r>
        <w:rPr>
          <w:b/>
          <w:bCs/>
          <w:color w:val="auto"/>
        </w:rPr>
        <w:fldChar w:fldCharType="separate"/>
      </w:r>
      <w:r>
        <w:rPr>
          <w:rStyle w:val="40"/>
          <w:rFonts w:hint="eastAsia"/>
          <w:b/>
          <w:bCs/>
          <w:color w:val="auto"/>
          <w:sz w:val="28"/>
          <w:szCs w:val="28"/>
        </w:rPr>
        <w:t>第四章</w:t>
      </w:r>
      <w:r>
        <w:rPr>
          <w:rStyle w:val="40"/>
          <w:b/>
          <w:bCs/>
          <w:color w:val="auto"/>
          <w:sz w:val="28"/>
          <w:szCs w:val="28"/>
        </w:rPr>
        <w:t xml:space="preserve">  </w:t>
      </w:r>
      <w:r>
        <w:rPr>
          <w:rStyle w:val="40"/>
          <w:rFonts w:hint="eastAsia"/>
          <w:b/>
          <w:bCs/>
          <w:color w:val="auto"/>
          <w:sz w:val="28"/>
          <w:szCs w:val="28"/>
        </w:rPr>
        <w:t>评标方</w:t>
      </w:r>
      <w:bookmarkStart w:id="7" w:name="_Hlt43881606"/>
      <w:r>
        <w:rPr>
          <w:rStyle w:val="40"/>
          <w:rFonts w:hint="eastAsia"/>
          <w:b/>
          <w:bCs/>
          <w:color w:val="auto"/>
          <w:sz w:val="28"/>
          <w:szCs w:val="28"/>
        </w:rPr>
        <w:t>法</w:t>
      </w:r>
      <w:bookmarkEnd w:id="7"/>
      <w:r>
        <w:rPr>
          <w:rStyle w:val="40"/>
          <w:rFonts w:hint="eastAsia"/>
          <w:b/>
          <w:bCs/>
          <w:color w:val="auto"/>
          <w:sz w:val="28"/>
          <w:szCs w:val="28"/>
        </w:rPr>
        <w:t>及评标标准</w:t>
      </w:r>
      <w:r>
        <w:rPr>
          <w:b/>
          <w:bCs/>
          <w:color w:val="auto"/>
          <w:sz w:val="28"/>
          <w:szCs w:val="28"/>
        </w:rPr>
        <w:tab/>
      </w:r>
      <w:r>
        <w:rPr>
          <w:rFonts w:hint="eastAsia"/>
          <w:b/>
          <w:bCs/>
          <w:color w:val="auto"/>
          <w:sz w:val="28"/>
          <w:szCs w:val="28"/>
        </w:rPr>
        <w:t>5</w:t>
      </w:r>
      <w:r>
        <w:rPr>
          <w:rFonts w:hint="eastAsia"/>
          <w:b/>
          <w:bCs/>
          <w:color w:val="auto"/>
          <w:sz w:val="28"/>
          <w:szCs w:val="28"/>
        </w:rPr>
        <w:fldChar w:fldCharType="end"/>
      </w:r>
      <w:r>
        <w:rPr>
          <w:rFonts w:hint="eastAsia"/>
          <w:b/>
          <w:bCs/>
          <w:color w:val="auto"/>
          <w:sz w:val="28"/>
          <w:szCs w:val="28"/>
        </w:rPr>
        <w:t>7</w:t>
      </w:r>
    </w:p>
    <w:p>
      <w:pPr>
        <w:pStyle w:val="29"/>
        <w:tabs>
          <w:tab w:val="right" w:leader="dot" w:pos="9402"/>
        </w:tabs>
        <w:spacing w:line="480" w:lineRule="auto"/>
        <w:rPr>
          <w:b/>
          <w:bCs/>
          <w:color w:val="auto"/>
          <w:sz w:val="28"/>
          <w:szCs w:val="28"/>
        </w:rPr>
      </w:pPr>
      <w:r>
        <w:rPr>
          <w:b/>
          <w:bCs/>
          <w:color w:val="auto"/>
        </w:rPr>
        <w:fldChar w:fldCharType="begin"/>
      </w:r>
      <w:r>
        <w:rPr>
          <w:b/>
          <w:bCs/>
          <w:color w:val="auto"/>
        </w:rPr>
        <w:instrText xml:space="preserve"> HYPERLINK \l "_Toc19686833" </w:instrText>
      </w:r>
      <w:r>
        <w:rPr>
          <w:b/>
          <w:bCs/>
          <w:color w:val="auto"/>
        </w:rPr>
        <w:fldChar w:fldCharType="separate"/>
      </w:r>
      <w:r>
        <w:rPr>
          <w:rStyle w:val="40"/>
          <w:rFonts w:hint="eastAsia"/>
          <w:b/>
          <w:bCs/>
          <w:color w:val="auto"/>
          <w:sz w:val="28"/>
          <w:szCs w:val="28"/>
        </w:rPr>
        <w:t>第五章</w:t>
      </w:r>
      <w:r>
        <w:rPr>
          <w:rStyle w:val="40"/>
          <w:b/>
          <w:bCs/>
          <w:color w:val="auto"/>
          <w:sz w:val="28"/>
          <w:szCs w:val="28"/>
        </w:rPr>
        <w:t xml:space="preserve">  </w:t>
      </w:r>
      <w:r>
        <w:rPr>
          <w:rStyle w:val="40"/>
          <w:rFonts w:hint="eastAsia"/>
          <w:b/>
          <w:bCs/>
          <w:color w:val="auto"/>
          <w:sz w:val="28"/>
          <w:szCs w:val="28"/>
        </w:rPr>
        <w:t>拟签订的合同文本</w:t>
      </w:r>
      <w:r>
        <w:rPr>
          <w:b/>
          <w:bCs/>
          <w:color w:val="auto"/>
          <w:sz w:val="28"/>
          <w:szCs w:val="28"/>
        </w:rPr>
        <w:tab/>
      </w:r>
      <w:r>
        <w:rPr>
          <w:rFonts w:hint="eastAsia"/>
          <w:b/>
          <w:bCs/>
          <w:color w:val="auto"/>
          <w:sz w:val="28"/>
          <w:szCs w:val="28"/>
        </w:rPr>
        <w:t>6</w:t>
      </w:r>
      <w:r>
        <w:rPr>
          <w:rFonts w:hint="eastAsia"/>
          <w:b/>
          <w:bCs/>
          <w:color w:val="auto"/>
          <w:sz w:val="28"/>
          <w:szCs w:val="28"/>
        </w:rPr>
        <w:fldChar w:fldCharType="end"/>
      </w:r>
      <w:r>
        <w:rPr>
          <w:rFonts w:hint="eastAsia"/>
          <w:b/>
          <w:bCs/>
          <w:color w:val="auto"/>
          <w:sz w:val="28"/>
          <w:szCs w:val="28"/>
        </w:rPr>
        <w:t>4</w:t>
      </w:r>
    </w:p>
    <w:p>
      <w:pPr>
        <w:pStyle w:val="29"/>
        <w:tabs>
          <w:tab w:val="right" w:leader="dot" w:pos="9402"/>
        </w:tabs>
        <w:spacing w:line="480" w:lineRule="auto"/>
        <w:rPr>
          <w:b/>
          <w:bCs/>
          <w:color w:val="auto"/>
        </w:rPr>
      </w:pPr>
      <w:r>
        <w:rPr>
          <w:b/>
          <w:bCs/>
          <w:color w:val="auto"/>
        </w:rPr>
        <w:fldChar w:fldCharType="begin"/>
      </w:r>
      <w:r>
        <w:rPr>
          <w:b/>
          <w:bCs/>
          <w:color w:val="auto"/>
        </w:rPr>
        <w:instrText xml:space="preserve"> HYPERLINK \l "_Toc19686834" </w:instrText>
      </w:r>
      <w:r>
        <w:rPr>
          <w:b/>
          <w:bCs/>
          <w:color w:val="auto"/>
        </w:rPr>
        <w:fldChar w:fldCharType="separate"/>
      </w:r>
      <w:r>
        <w:rPr>
          <w:rStyle w:val="40"/>
          <w:rFonts w:hint="eastAsia"/>
          <w:b/>
          <w:bCs/>
          <w:color w:val="auto"/>
          <w:sz w:val="28"/>
          <w:szCs w:val="28"/>
        </w:rPr>
        <w:t>第六章</w:t>
      </w:r>
      <w:r>
        <w:rPr>
          <w:rStyle w:val="40"/>
          <w:rFonts w:hint="eastAsia"/>
          <w:b/>
          <w:bCs/>
          <w:color w:val="auto"/>
          <w:sz w:val="28"/>
          <w:szCs w:val="28"/>
          <w:lang w:val="en-US" w:eastAsia="zh-CN"/>
        </w:rPr>
        <w:t xml:space="preserve">  </w:t>
      </w:r>
      <w:r>
        <w:rPr>
          <w:rStyle w:val="40"/>
          <w:rFonts w:hint="eastAsia"/>
          <w:b/>
          <w:bCs/>
          <w:color w:val="auto"/>
          <w:sz w:val="28"/>
          <w:szCs w:val="28"/>
        </w:rPr>
        <w:t>投标文件格式</w:t>
      </w:r>
      <w:r>
        <w:rPr>
          <w:b/>
          <w:bCs/>
          <w:color w:val="auto"/>
          <w:sz w:val="28"/>
          <w:szCs w:val="28"/>
        </w:rPr>
        <w:tab/>
      </w:r>
      <w:r>
        <w:rPr>
          <w:rFonts w:hint="eastAsia"/>
          <w:b/>
          <w:bCs/>
          <w:color w:val="auto"/>
          <w:sz w:val="28"/>
          <w:szCs w:val="28"/>
        </w:rPr>
        <w:t>7</w:t>
      </w:r>
      <w:r>
        <w:rPr>
          <w:rFonts w:hint="eastAsia"/>
          <w:b/>
          <w:bCs/>
          <w:color w:val="auto"/>
          <w:sz w:val="28"/>
          <w:szCs w:val="28"/>
        </w:rPr>
        <w:fldChar w:fldCharType="end"/>
      </w:r>
      <w:r>
        <w:rPr>
          <w:rFonts w:hint="eastAsia"/>
          <w:b/>
          <w:bCs/>
          <w:color w:val="auto"/>
          <w:sz w:val="28"/>
          <w:szCs w:val="28"/>
        </w:rPr>
        <w:t>1</w:t>
      </w:r>
    </w:p>
    <w:p>
      <w:pPr>
        <w:pStyle w:val="29"/>
        <w:tabs>
          <w:tab w:val="right" w:leader="dot" w:pos="9402"/>
        </w:tabs>
        <w:rPr>
          <w:b w:val="0"/>
          <w:bCs w:val="0"/>
          <w:color w:val="auto"/>
        </w:rPr>
      </w:pPr>
    </w:p>
    <w:p>
      <w:pPr>
        <w:spacing w:beforeLines="50" w:line="480" w:lineRule="exact"/>
        <w:rPr>
          <w:rFonts w:ascii="仿宋_GB2312" w:hAnsi="宋体" w:eastAsia="仿宋_GB2312"/>
          <w:color w:val="auto"/>
          <w:sz w:val="24"/>
        </w:rPr>
      </w:pPr>
      <w:r>
        <w:rPr>
          <w:rFonts w:ascii="仿宋_GB2312" w:hAnsi="宋体" w:eastAsia="仿宋_GB2312"/>
          <w:color w:val="auto"/>
          <w:sz w:val="24"/>
        </w:rPr>
        <w:fldChar w:fldCharType="end"/>
      </w:r>
    </w:p>
    <w:p>
      <w:pPr>
        <w:pStyle w:val="12"/>
        <w:rPr>
          <w:rFonts w:ascii="宋体" w:hAnsi="宋体" w:cs="宋体"/>
          <w:b/>
          <w:bCs/>
          <w:color w:val="auto"/>
        </w:rPr>
      </w:pPr>
      <w:bookmarkStart w:id="8" w:name="_Toc254970489"/>
      <w:bookmarkStart w:id="9" w:name="_Toc254970630"/>
      <w:bookmarkStart w:id="168" w:name="_GoBack"/>
      <w:bookmarkEnd w:id="168"/>
    </w:p>
    <w:p>
      <w:pPr>
        <w:pStyle w:val="3"/>
        <w:keepNext w:val="0"/>
        <w:keepLines w:val="0"/>
        <w:tabs>
          <w:tab w:val="left" w:pos="0"/>
          <w:tab w:val="left" w:pos="3165"/>
          <w:tab w:val="center" w:pos="4153"/>
        </w:tabs>
        <w:autoSpaceDE w:val="0"/>
        <w:autoSpaceDN w:val="0"/>
        <w:adjustRightInd w:val="0"/>
        <w:spacing w:before="0" w:after="0" w:line="480" w:lineRule="auto"/>
        <w:jc w:val="center"/>
        <w:rPr>
          <w:color w:val="auto"/>
        </w:rPr>
      </w:pPr>
      <w:r>
        <w:rPr>
          <w:rFonts w:ascii="宋体" w:hAnsi="宋体" w:cs="宋体"/>
          <w:b w:val="0"/>
          <w:bCs w:val="0"/>
          <w:color w:val="auto"/>
        </w:rPr>
        <w:br w:type="page"/>
      </w:r>
      <w:bookmarkStart w:id="10" w:name="_Toc19686829"/>
      <w:r>
        <w:rPr>
          <w:rFonts w:hint="eastAsia"/>
          <w:color w:val="auto"/>
        </w:rPr>
        <w:t>第一章</w:t>
      </w:r>
      <w:bookmarkEnd w:id="8"/>
      <w:bookmarkEnd w:id="9"/>
      <w:bookmarkEnd w:id="10"/>
      <w:bookmarkStart w:id="11" w:name="_Toc35393789"/>
      <w:bookmarkStart w:id="12" w:name="_Toc28359001"/>
      <w:r>
        <w:rPr>
          <w:rFonts w:hint="eastAsia"/>
          <w:color w:val="auto"/>
        </w:rPr>
        <w:t xml:space="preserve"> 招标公告</w:t>
      </w:r>
      <w:bookmarkEnd w:id="11"/>
      <w:bookmarkEnd w:id="12"/>
    </w:p>
    <w:p>
      <w:pPr>
        <w:spacing w:line="360" w:lineRule="auto"/>
        <w:jc w:val="center"/>
        <w:rPr>
          <w:rFonts w:ascii="宋体" w:hAnsi="宋体" w:cs="宋体"/>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rPr>
      </w:pPr>
      <w:r>
        <w:rPr>
          <w:rFonts w:hint="eastAsia" w:ascii="宋体" w:hAnsi="宋体" w:cs="宋体"/>
          <w:b/>
          <w:bCs/>
          <w:color w:val="auto"/>
          <w:sz w:val="32"/>
          <w:szCs w:val="32"/>
        </w:rPr>
        <w:t>中资国际工程咨询集团有限责任公司关于党的二十大安全播出保障项目设备采购（项目编号：</w:t>
      </w:r>
      <w:r>
        <w:rPr>
          <w:rFonts w:hint="eastAsia" w:ascii="宋体" w:hAnsi="宋体" w:cs="宋体"/>
          <w:b/>
          <w:bCs/>
          <w:color w:val="auto"/>
          <w:sz w:val="32"/>
          <w:szCs w:val="32"/>
          <w:lang w:eastAsia="zh-CN"/>
        </w:rPr>
        <w:t>GXZC2022-G1-003501-ZZGJ</w:t>
      </w:r>
      <w:r>
        <w:rPr>
          <w:rFonts w:hint="eastAsia" w:ascii="宋体" w:hAnsi="宋体" w:cs="宋体"/>
          <w:b/>
          <w:bCs/>
          <w:color w:val="auto"/>
          <w:sz w:val="32"/>
          <w:szCs w:val="32"/>
        </w:rPr>
        <w:t>）公开招标公告</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20" w:firstLineChars="200"/>
        <w:textAlignment w:val="auto"/>
        <w:rPr>
          <w:rFonts w:ascii="宋体" w:hAnsi="宋体"/>
          <w:color w:val="auto"/>
          <w:szCs w:val="21"/>
        </w:rPr>
      </w:pPr>
      <w:r>
        <w:rPr>
          <w:rFonts w:hint="eastAsia" w:ascii="宋体" w:hAnsi="宋体"/>
          <w:color w:val="auto"/>
          <w:szCs w:val="21"/>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20" w:firstLineChars="200"/>
        <w:textAlignment w:val="auto"/>
        <w:rPr>
          <w:rFonts w:ascii="宋体" w:hAnsi="宋体"/>
          <w:color w:val="auto"/>
          <w:szCs w:val="21"/>
        </w:rPr>
      </w:pPr>
      <w:r>
        <w:rPr>
          <w:rFonts w:hint="eastAsia" w:ascii="宋体" w:hAnsi="宋体"/>
          <w:color w:val="auto"/>
          <w:szCs w:val="21"/>
          <w:u w:val="single"/>
        </w:rPr>
        <w:t xml:space="preserve"> 党的二十大安全播出保障项目设备采购</w:t>
      </w:r>
      <w:r>
        <w:rPr>
          <w:rFonts w:hint="eastAsia" w:ascii="宋体" w:hAnsi="宋体"/>
          <w:color w:val="auto"/>
          <w:szCs w:val="21"/>
        </w:rPr>
        <w:t xml:space="preserve"> 招标项目的潜在投标人应在</w:t>
      </w:r>
      <w:r>
        <w:rPr>
          <w:rFonts w:hint="eastAsia" w:ascii="宋体" w:hAnsi="宋体"/>
          <w:color w:val="auto"/>
          <w:szCs w:val="21"/>
          <w:u w:val="single"/>
        </w:rPr>
        <w:t>政采云平台（https://www.zcygov.cn/）获取（下载）</w:t>
      </w:r>
      <w:r>
        <w:rPr>
          <w:rFonts w:hint="eastAsia" w:ascii="宋体" w:hAnsi="宋体"/>
          <w:color w:val="auto"/>
          <w:szCs w:val="21"/>
        </w:rPr>
        <w:t>获取招标文件，并于</w:t>
      </w:r>
      <w:r>
        <w:rPr>
          <w:rFonts w:hint="eastAsia" w:ascii="宋体" w:hAnsi="宋体"/>
          <w:color w:val="auto"/>
          <w:szCs w:val="21"/>
          <w:u w:val="single"/>
        </w:rPr>
        <w:t>2022</w:t>
      </w:r>
      <w:r>
        <w:rPr>
          <w:rFonts w:hint="eastAsia" w:ascii="宋体" w:hAnsi="宋体"/>
          <w:bCs/>
          <w:color w:val="auto"/>
          <w:szCs w:val="21"/>
          <w:u w:val="single"/>
        </w:rPr>
        <w:t>年1</w:t>
      </w:r>
      <w:r>
        <w:rPr>
          <w:rFonts w:hint="eastAsia" w:ascii="宋体" w:hAnsi="宋体"/>
          <w:bCs/>
          <w:color w:val="auto"/>
          <w:szCs w:val="21"/>
          <w:u w:val="single"/>
          <w:lang w:val="en-US" w:eastAsia="zh-CN"/>
        </w:rPr>
        <w:t>1</w:t>
      </w:r>
      <w:r>
        <w:rPr>
          <w:rFonts w:hint="eastAsia" w:ascii="宋体" w:hAnsi="宋体"/>
          <w:bCs/>
          <w:color w:val="auto"/>
          <w:szCs w:val="21"/>
          <w:u w:val="single"/>
        </w:rPr>
        <w:t>月</w:t>
      </w:r>
      <w:r>
        <w:rPr>
          <w:rFonts w:hint="eastAsia" w:ascii="宋体" w:hAnsi="宋体"/>
          <w:bCs/>
          <w:color w:val="auto"/>
          <w:szCs w:val="21"/>
          <w:u w:val="single"/>
          <w:lang w:val="en-US" w:eastAsia="zh-CN"/>
        </w:rPr>
        <w:t>17</w:t>
      </w:r>
      <w:r>
        <w:rPr>
          <w:rFonts w:hint="eastAsia" w:ascii="宋体" w:hAnsi="宋体"/>
          <w:bCs/>
          <w:color w:val="auto"/>
          <w:szCs w:val="21"/>
          <w:u w:val="single"/>
        </w:rPr>
        <w:t>日9 时30分（</w:t>
      </w:r>
      <w:r>
        <w:rPr>
          <w:rFonts w:hint="eastAsia" w:ascii="宋体" w:hAnsi="宋体"/>
          <w:bCs/>
          <w:color w:val="auto"/>
          <w:szCs w:val="21"/>
        </w:rPr>
        <w:t>北京时间）前递交投标</w:t>
      </w:r>
      <w:r>
        <w:rPr>
          <w:rFonts w:ascii="宋体" w:hAnsi="宋体"/>
          <w:bCs/>
          <w:color w:val="auto"/>
          <w:szCs w:val="21"/>
        </w:rPr>
        <w:t>文件</w:t>
      </w:r>
      <w:r>
        <w:rPr>
          <w:rFonts w:hint="eastAsia" w:ascii="宋体" w:hAnsi="宋体"/>
          <w:color w:val="auto"/>
          <w:szCs w:val="21"/>
        </w:rPr>
        <w:t>。</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olor w:val="auto"/>
          <w:szCs w:val="21"/>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b/>
          <w:bCs/>
          <w:color w:val="auto"/>
          <w:szCs w:val="21"/>
        </w:rPr>
      </w:pPr>
      <w:bookmarkStart w:id="13" w:name="_Toc35393790"/>
      <w:bookmarkStart w:id="14" w:name="_Toc28359079"/>
      <w:bookmarkStart w:id="15" w:name="_Toc28359002"/>
      <w:bookmarkStart w:id="16" w:name="_Toc35393621"/>
      <w:bookmarkStart w:id="17" w:name="_Hlk24379207"/>
      <w:r>
        <w:rPr>
          <w:rFonts w:hint="eastAsia" w:ascii="宋体" w:hAnsi="宋体" w:cs="宋体"/>
          <w:b/>
          <w:bCs/>
          <w:color w:val="auto"/>
          <w:szCs w:val="21"/>
        </w:rPr>
        <w:t>一、项目基本情况</w:t>
      </w:r>
      <w:bookmarkEnd w:id="13"/>
      <w:bookmarkEnd w:id="14"/>
      <w:bookmarkEnd w:id="15"/>
      <w:bookmarkEnd w:id="16"/>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GXZC2022-G1-003501-ZZGJ</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rPr>
      </w:pPr>
      <w:r>
        <w:rPr>
          <w:rFonts w:hint="eastAsia" w:ascii="宋体" w:hAnsi="宋体" w:cs="宋体"/>
          <w:color w:val="auto"/>
          <w:szCs w:val="21"/>
        </w:rPr>
        <w:t>项目名称：党的二十大安全播出保障项目设备采购</w:t>
      </w:r>
    </w:p>
    <w:bookmarkEnd w:id="17"/>
    <w:p>
      <w:pPr>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ascii="宋体" w:hAnsi="宋体" w:cs="宋体"/>
          <w:color w:val="auto"/>
          <w:szCs w:val="21"/>
        </w:rPr>
      </w:pPr>
      <w:r>
        <w:rPr>
          <w:rFonts w:hint="eastAsia" w:ascii="宋体" w:hAnsi="宋体" w:cs="宋体"/>
          <w:b/>
          <w:bCs/>
          <w:color w:val="auto"/>
          <w:szCs w:val="21"/>
        </w:rPr>
        <w:t>预算金额：人民币（大写）贰仟万元整（¥20,000,000.00元）</w:t>
      </w:r>
      <w:r>
        <w:rPr>
          <w:rFonts w:hint="eastAsia" w:ascii="宋体" w:hAnsi="宋体" w:cs="宋体"/>
          <w:color w:val="auto"/>
          <w:szCs w:val="21"/>
        </w:rPr>
        <w:t>（其中分标1预算金额为人民币（大写）壹仟叁佰万元整（¥13,000,000.00元）；分标2预算金额为人民币（大写）柒佰万元整（¥7,000,000.00元））。</w:t>
      </w:r>
    </w:p>
    <w:p>
      <w:pPr>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ascii="宋体" w:hAnsi="宋体" w:cs="宋体"/>
          <w:color w:val="auto"/>
          <w:szCs w:val="21"/>
        </w:rPr>
      </w:pPr>
      <w:r>
        <w:rPr>
          <w:rFonts w:hint="eastAsia" w:ascii="宋体" w:hAnsi="宋体" w:cs="宋体"/>
          <w:b/>
          <w:bCs/>
          <w:color w:val="auto"/>
          <w:szCs w:val="21"/>
        </w:rPr>
        <w:t>最高限价：人民币（大写）贰仟万元整（¥20,000,000.00元）</w:t>
      </w:r>
      <w:r>
        <w:rPr>
          <w:rFonts w:hint="eastAsia" w:ascii="宋体" w:hAnsi="宋体" w:cs="宋体"/>
          <w:color w:val="auto"/>
          <w:szCs w:val="21"/>
        </w:rPr>
        <w:t>（其中分标1最高限价为人民币（大写）壹仟叁佰万元整（¥13,000,000.00元）；分标2最高限价为人民币（大写）柒佰万元整（¥7,000,000.00元））。</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rPr>
      </w:pPr>
      <w:r>
        <w:rPr>
          <w:rFonts w:hint="eastAsia" w:ascii="宋体" w:hAnsi="宋体" w:cs="宋体"/>
          <w:color w:val="auto"/>
          <w:szCs w:val="21"/>
        </w:rPr>
        <w:t>采购需求：</w:t>
      </w:r>
    </w:p>
    <w:p>
      <w:pPr>
        <w:pStyle w:val="14"/>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ascii="宋体" w:hAnsi="宋体" w:cs="宋体"/>
          <w:b/>
          <w:bCs/>
          <w:color w:val="auto"/>
          <w:szCs w:val="21"/>
        </w:rPr>
      </w:pPr>
      <w:r>
        <w:rPr>
          <w:rFonts w:hint="eastAsia" w:ascii="宋体" w:hAnsi="宋体" w:cs="宋体"/>
          <w:b/>
          <w:bCs/>
          <w:color w:val="auto"/>
          <w:szCs w:val="21"/>
        </w:rPr>
        <w:t>分标1：播出视频服务器系统</w:t>
      </w: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6"/>
        <w:gridCol w:w="1632"/>
        <w:gridCol w:w="966"/>
        <w:gridCol w:w="1484"/>
        <w:gridCol w:w="1500"/>
        <w:gridCol w:w="26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rPr>
            </w:pPr>
            <w:r>
              <w:rPr>
                <w:rFonts w:hint="eastAsia" w:ascii="宋体" w:hAnsi="宋体" w:cs="宋体"/>
                <w:color w:val="auto"/>
                <w:szCs w:val="21"/>
              </w:rPr>
              <w:t>序号</w:t>
            </w:r>
          </w:p>
        </w:tc>
        <w:tc>
          <w:tcPr>
            <w:tcW w:w="163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rPr>
            </w:pPr>
            <w:r>
              <w:rPr>
                <w:rFonts w:hint="eastAsia" w:ascii="宋体" w:hAnsi="宋体" w:cs="宋体"/>
                <w:color w:val="auto"/>
                <w:szCs w:val="21"/>
              </w:rPr>
              <w:t>标的的名称</w:t>
            </w:r>
          </w:p>
        </w:tc>
        <w:tc>
          <w:tcPr>
            <w:tcW w:w="96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rPr>
            </w:pPr>
            <w:r>
              <w:rPr>
                <w:rFonts w:hint="eastAsia" w:ascii="宋体" w:hAnsi="宋体" w:cs="宋体"/>
                <w:color w:val="auto"/>
                <w:szCs w:val="21"/>
              </w:rPr>
              <w:t>数量及单位</w:t>
            </w:r>
          </w:p>
        </w:tc>
        <w:tc>
          <w:tcPr>
            <w:tcW w:w="148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rPr>
            </w:pPr>
            <w:r>
              <w:rPr>
                <w:rFonts w:hint="eastAsia" w:ascii="宋体" w:hAnsi="宋体" w:cs="宋体"/>
                <w:color w:val="auto"/>
                <w:szCs w:val="21"/>
              </w:rPr>
              <w:t>预算金额合计（万元）</w:t>
            </w:r>
          </w:p>
        </w:tc>
        <w:tc>
          <w:tcPr>
            <w:tcW w:w="150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rPr>
            </w:pPr>
            <w:r>
              <w:rPr>
                <w:rFonts w:hint="eastAsia" w:ascii="宋体" w:hAnsi="宋体" w:cs="宋体"/>
                <w:color w:val="auto"/>
                <w:szCs w:val="21"/>
              </w:rPr>
              <w:t>最高限价合计（万元）</w:t>
            </w:r>
          </w:p>
        </w:tc>
        <w:tc>
          <w:tcPr>
            <w:tcW w:w="265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rPr>
            </w:pPr>
            <w:r>
              <w:rPr>
                <w:rFonts w:hint="eastAsia" w:ascii="宋体" w:hAnsi="宋体" w:cs="宋体"/>
                <w:color w:val="auto"/>
                <w:szCs w:val="21"/>
              </w:rPr>
              <w:t>简要服务要求或者技术需求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rPr>
            </w:pPr>
            <w:r>
              <w:rPr>
                <w:rFonts w:hint="eastAsia" w:ascii="宋体" w:hAnsi="宋体" w:cs="宋体"/>
                <w:color w:val="auto"/>
                <w:szCs w:val="21"/>
              </w:rPr>
              <w:t>01</w:t>
            </w:r>
          </w:p>
        </w:tc>
        <w:tc>
          <w:tcPr>
            <w:tcW w:w="163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rPr>
            </w:pPr>
            <w:r>
              <w:rPr>
                <w:rFonts w:hint="eastAsia" w:ascii="宋体" w:hAnsi="宋体" w:cs="宋体"/>
                <w:color w:val="auto"/>
                <w:szCs w:val="21"/>
              </w:rPr>
              <w:t>视音频采集/播放器</w:t>
            </w:r>
          </w:p>
        </w:tc>
        <w:tc>
          <w:tcPr>
            <w:tcW w:w="96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rPr>
            </w:pPr>
            <w:r>
              <w:rPr>
                <w:rFonts w:hint="eastAsia" w:ascii="宋体" w:hAnsi="宋体" w:cs="宋体"/>
                <w:color w:val="auto"/>
                <w:szCs w:val="21"/>
              </w:rPr>
              <w:t>17件</w:t>
            </w:r>
          </w:p>
        </w:tc>
        <w:tc>
          <w:tcPr>
            <w:tcW w:w="148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rPr>
            </w:pPr>
            <w:r>
              <w:rPr>
                <w:rFonts w:hint="eastAsia" w:ascii="宋体" w:hAnsi="宋体" w:cs="宋体"/>
                <w:color w:val="auto"/>
                <w:szCs w:val="21"/>
              </w:rPr>
              <w:t>776.9000</w:t>
            </w:r>
          </w:p>
        </w:tc>
        <w:tc>
          <w:tcPr>
            <w:tcW w:w="150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rPr>
            </w:pPr>
            <w:r>
              <w:rPr>
                <w:rFonts w:hint="eastAsia" w:ascii="宋体" w:hAnsi="宋体" w:cs="宋体"/>
                <w:color w:val="auto"/>
                <w:szCs w:val="21"/>
              </w:rPr>
              <w:t>776.9000</w:t>
            </w:r>
          </w:p>
        </w:tc>
        <w:tc>
          <w:tcPr>
            <w:tcW w:w="265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rPr>
            </w:pPr>
            <w:r>
              <w:rPr>
                <w:rFonts w:hint="eastAsia" w:ascii="宋体" w:hAnsi="宋体" w:cs="宋体"/>
                <w:color w:val="auto"/>
                <w:szCs w:val="21"/>
              </w:rPr>
              <w:t>如需进一步了解详细内容，详见招标文件。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rPr>
            </w:pPr>
            <w:r>
              <w:rPr>
                <w:rFonts w:hint="eastAsia" w:ascii="宋体" w:hAnsi="宋体" w:cs="宋体"/>
                <w:color w:val="auto"/>
                <w:szCs w:val="21"/>
              </w:rPr>
              <w:t>02</w:t>
            </w:r>
          </w:p>
        </w:tc>
        <w:tc>
          <w:tcPr>
            <w:tcW w:w="163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rPr>
            </w:pPr>
            <w:r>
              <w:rPr>
                <w:rFonts w:hint="eastAsia" w:ascii="宋体" w:hAnsi="宋体"/>
                <w:color w:val="auto"/>
                <w:szCs w:val="21"/>
              </w:rPr>
              <w:t>超高清视音频采集器</w:t>
            </w:r>
          </w:p>
        </w:tc>
        <w:tc>
          <w:tcPr>
            <w:tcW w:w="96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rPr>
            </w:pPr>
            <w:r>
              <w:rPr>
                <w:rFonts w:hint="eastAsia" w:ascii="宋体" w:hAnsi="宋体" w:cs="宋体"/>
                <w:color w:val="auto"/>
                <w:szCs w:val="21"/>
              </w:rPr>
              <w:t>2套</w:t>
            </w:r>
          </w:p>
        </w:tc>
        <w:tc>
          <w:tcPr>
            <w:tcW w:w="148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rPr>
            </w:pPr>
            <w:r>
              <w:rPr>
                <w:rFonts w:hint="eastAsia" w:ascii="宋体" w:hAnsi="宋体" w:cs="宋体"/>
                <w:color w:val="auto"/>
                <w:szCs w:val="21"/>
              </w:rPr>
              <w:t>126.6000</w:t>
            </w:r>
          </w:p>
        </w:tc>
        <w:tc>
          <w:tcPr>
            <w:tcW w:w="150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rPr>
            </w:pPr>
            <w:r>
              <w:rPr>
                <w:rFonts w:hint="eastAsia" w:ascii="宋体" w:hAnsi="宋体" w:cs="宋体"/>
                <w:color w:val="auto"/>
                <w:szCs w:val="21"/>
              </w:rPr>
              <w:t>126.6000</w:t>
            </w:r>
          </w:p>
        </w:tc>
        <w:tc>
          <w:tcPr>
            <w:tcW w:w="265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rPr>
            </w:pPr>
            <w:r>
              <w:rPr>
                <w:rFonts w:hint="eastAsia" w:ascii="宋体" w:hAnsi="宋体" w:cs="宋体"/>
                <w:color w:val="auto"/>
                <w:szCs w:val="21"/>
              </w:rPr>
              <w:t>如需进一步了解详细内容，详见招标文件。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rPr>
            </w:pPr>
            <w:r>
              <w:rPr>
                <w:rFonts w:hint="eastAsia" w:ascii="宋体" w:hAnsi="宋体" w:cs="宋体"/>
                <w:color w:val="auto"/>
                <w:szCs w:val="21"/>
              </w:rPr>
              <w:t>03</w:t>
            </w:r>
          </w:p>
        </w:tc>
        <w:tc>
          <w:tcPr>
            <w:tcW w:w="163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rPr>
            </w:pPr>
            <w:r>
              <w:rPr>
                <w:rFonts w:hint="eastAsia" w:ascii="宋体" w:hAnsi="宋体" w:cs="宋体"/>
                <w:color w:val="auto"/>
                <w:szCs w:val="21"/>
              </w:rPr>
              <w:t>...</w:t>
            </w:r>
          </w:p>
        </w:tc>
        <w:tc>
          <w:tcPr>
            <w:tcW w:w="96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rPr>
            </w:pPr>
            <w:r>
              <w:rPr>
                <w:rFonts w:hint="eastAsia" w:ascii="宋体" w:hAnsi="宋体" w:cs="宋体"/>
                <w:color w:val="auto"/>
                <w:szCs w:val="21"/>
              </w:rPr>
              <w:t>...</w:t>
            </w:r>
          </w:p>
        </w:tc>
        <w:tc>
          <w:tcPr>
            <w:tcW w:w="1484" w:type="dxa"/>
            <w:tcBorders>
              <w:top w:val="single" w:color="auto" w:sz="4" w:space="0"/>
              <w:left w:val="single" w:color="auto" w:sz="4" w:space="0"/>
              <w:right w:val="single" w:color="auto" w:sz="4" w:space="0"/>
            </w:tcBorders>
            <w:vAlign w:val="center"/>
          </w:tcPr>
          <w:p>
            <w:pPr>
              <w:snapToGrid w:val="0"/>
              <w:spacing w:line="360" w:lineRule="exact"/>
              <w:jc w:val="center"/>
              <w:rPr>
                <w:rFonts w:ascii="宋体" w:hAnsi="宋体" w:cs="宋体"/>
                <w:color w:val="auto"/>
                <w:szCs w:val="21"/>
              </w:rPr>
            </w:pPr>
            <w:r>
              <w:rPr>
                <w:rFonts w:hint="eastAsia" w:ascii="宋体" w:hAnsi="宋体" w:cs="宋体"/>
                <w:color w:val="auto"/>
                <w:szCs w:val="21"/>
              </w:rPr>
              <w:t>...</w:t>
            </w:r>
          </w:p>
        </w:tc>
        <w:tc>
          <w:tcPr>
            <w:tcW w:w="1500" w:type="dxa"/>
            <w:tcBorders>
              <w:top w:val="single" w:color="auto" w:sz="4" w:space="0"/>
              <w:left w:val="single" w:color="auto" w:sz="4" w:space="0"/>
              <w:right w:val="single" w:color="auto" w:sz="4" w:space="0"/>
            </w:tcBorders>
            <w:vAlign w:val="center"/>
          </w:tcPr>
          <w:p>
            <w:pPr>
              <w:snapToGrid w:val="0"/>
              <w:spacing w:line="360" w:lineRule="exact"/>
              <w:jc w:val="center"/>
              <w:rPr>
                <w:rFonts w:ascii="宋体" w:hAnsi="宋体" w:cs="宋体"/>
                <w:color w:val="auto"/>
                <w:szCs w:val="21"/>
              </w:rPr>
            </w:pPr>
            <w:r>
              <w:rPr>
                <w:rFonts w:hint="eastAsia" w:ascii="宋体" w:hAnsi="宋体" w:cs="宋体"/>
                <w:color w:val="auto"/>
                <w:szCs w:val="21"/>
              </w:rPr>
              <w:t>...</w:t>
            </w:r>
          </w:p>
        </w:tc>
        <w:tc>
          <w:tcPr>
            <w:tcW w:w="2653" w:type="dxa"/>
            <w:tcBorders>
              <w:top w:val="single" w:color="auto" w:sz="4" w:space="0"/>
              <w:left w:val="single" w:color="auto" w:sz="4" w:space="0"/>
              <w:right w:val="single" w:color="auto" w:sz="4" w:space="0"/>
            </w:tcBorders>
            <w:vAlign w:val="center"/>
          </w:tcPr>
          <w:p>
            <w:pPr>
              <w:snapToGrid w:val="0"/>
              <w:spacing w:line="360" w:lineRule="exact"/>
              <w:jc w:val="center"/>
              <w:rPr>
                <w:rFonts w:ascii="宋体" w:hAnsi="宋体" w:cs="宋体"/>
                <w:color w:val="auto"/>
                <w:szCs w:val="21"/>
              </w:rPr>
            </w:pPr>
            <w:r>
              <w:rPr>
                <w:rFonts w:hint="eastAsia" w:ascii="宋体" w:hAnsi="宋体" w:cs="宋体"/>
                <w:color w:val="auto"/>
                <w:szCs w:val="21"/>
              </w:rPr>
              <w:t>...</w:t>
            </w:r>
          </w:p>
        </w:tc>
      </w:tr>
    </w:tbl>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合同履行期限：合同签订后90天内交货</w:t>
      </w:r>
      <w:r>
        <w:rPr>
          <w:rFonts w:hint="eastAsia"/>
          <w:color w:val="auto"/>
          <w:highlight w:val="none"/>
        </w:rPr>
        <w:t>。安装调试，工程投入试运行后进行最终验收。</w:t>
      </w:r>
    </w:p>
    <w:p>
      <w:pPr>
        <w:pStyle w:val="14"/>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rPr>
        <w:t>分标2：编码传输系统</w:t>
      </w: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6"/>
        <w:gridCol w:w="1632"/>
        <w:gridCol w:w="966"/>
        <w:gridCol w:w="1484"/>
        <w:gridCol w:w="1500"/>
        <w:gridCol w:w="26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63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96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148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预算金额合计（万元）</w:t>
            </w:r>
          </w:p>
        </w:tc>
        <w:tc>
          <w:tcPr>
            <w:tcW w:w="150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最高限价合计（万元）</w:t>
            </w:r>
          </w:p>
        </w:tc>
        <w:tc>
          <w:tcPr>
            <w:tcW w:w="265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简要服务要求或者技术需求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01</w:t>
            </w:r>
          </w:p>
        </w:tc>
        <w:tc>
          <w:tcPr>
            <w:tcW w:w="163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高标清编码器</w:t>
            </w:r>
          </w:p>
        </w:tc>
        <w:tc>
          <w:tcPr>
            <w:tcW w:w="96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4台</w:t>
            </w:r>
          </w:p>
        </w:tc>
        <w:tc>
          <w:tcPr>
            <w:tcW w:w="148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143.6000</w:t>
            </w:r>
          </w:p>
        </w:tc>
        <w:tc>
          <w:tcPr>
            <w:tcW w:w="150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143.6000</w:t>
            </w:r>
          </w:p>
        </w:tc>
        <w:tc>
          <w:tcPr>
            <w:tcW w:w="265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如需进一步了解详细内容，详见招标文件。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02</w:t>
            </w:r>
          </w:p>
        </w:tc>
        <w:tc>
          <w:tcPr>
            <w:tcW w:w="163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标清AVS+编码器</w:t>
            </w:r>
          </w:p>
        </w:tc>
        <w:tc>
          <w:tcPr>
            <w:tcW w:w="96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4台</w:t>
            </w:r>
          </w:p>
        </w:tc>
        <w:tc>
          <w:tcPr>
            <w:tcW w:w="148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54.1552</w:t>
            </w:r>
          </w:p>
        </w:tc>
        <w:tc>
          <w:tcPr>
            <w:tcW w:w="150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54.1552</w:t>
            </w:r>
          </w:p>
        </w:tc>
        <w:tc>
          <w:tcPr>
            <w:tcW w:w="265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如需进一步了解详细内容，详见招标文件。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03</w:t>
            </w:r>
          </w:p>
        </w:tc>
        <w:tc>
          <w:tcPr>
            <w:tcW w:w="163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96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1484" w:type="dxa"/>
            <w:tcBorders>
              <w:top w:val="single" w:color="auto" w:sz="4" w:space="0"/>
              <w:left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1500" w:type="dxa"/>
            <w:tcBorders>
              <w:top w:val="single" w:color="auto" w:sz="4" w:space="0"/>
              <w:left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2653" w:type="dxa"/>
            <w:tcBorders>
              <w:top w:val="single" w:color="auto" w:sz="4" w:space="0"/>
              <w:left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bl>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合同履行期限：合同签订后90天内交货</w:t>
      </w:r>
      <w:r>
        <w:rPr>
          <w:rFonts w:hint="eastAsia"/>
          <w:color w:val="auto"/>
          <w:highlight w:val="none"/>
        </w:rPr>
        <w:t>。安装调试，工程投入试运行后进行最终验收。</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yellow"/>
        </w:rPr>
      </w:pPr>
      <w:r>
        <w:rPr>
          <w:rFonts w:hint="eastAsia" w:ascii="宋体" w:hAnsi="宋体" w:cs="宋体"/>
          <w:color w:val="auto"/>
          <w:szCs w:val="21"/>
          <w:highlight w:val="none"/>
        </w:rPr>
        <w:t>本项目分标1、分标2不接受联合体投</w:t>
      </w:r>
      <w:r>
        <w:rPr>
          <w:rFonts w:hint="eastAsia" w:ascii="宋体" w:hAnsi="宋体" w:cs="宋体"/>
          <w:color w:val="auto"/>
          <w:szCs w:val="21"/>
        </w:rPr>
        <w:t>标。</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rPr>
      </w:pPr>
      <w:r>
        <w:rPr>
          <w:rFonts w:hint="eastAsia" w:ascii="宋体" w:hAnsi="宋体" w:cs="宋体"/>
          <w:color w:val="auto"/>
          <w:szCs w:val="21"/>
        </w:rPr>
        <w:t>备注：</w:t>
      </w:r>
      <w:r>
        <w:rPr>
          <w:rStyle w:val="79"/>
          <w:rFonts w:hint="eastAsia" w:ascii="宋体" w:hAnsi="宋体" w:cs="宋体"/>
          <w:color w:val="auto"/>
          <w:szCs w:val="21"/>
        </w:rPr>
        <w:t>本项目为线上电子招标项目，有意向参与本项目的供应商应当做好参与全流程电子招投标交易的充分准备。</w:t>
      </w:r>
    </w:p>
    <w:p>
      <w:pPr>
        <w:keepNext w:val="0"/>
        <w:keepLines w:val="0"/>
        <w:pageBreakBefore w:val="0"/>
        <w:kinsoku/>
        <w:wordWrap/>
        <w:overflowPunct/>
        <w:topLinePunct w:val="0"/>
        <w:autoSpaceDE/>
        <w:autoSpaceDN/>
        <w:bidi w:val="0"/>
        <w:adjustRightInd/>
        <w:snapToGrid/>
        <w:spacing w:line="440" w:lineRule="exact"/>
        <w:textAlignment w:val="auto"/>
        <w:rPr>
          <w:rFonts w:ascii="黑体" w:hAnsi="黑体" w:eastAsia="黑体"/>
          <w:b/>
          <w:bCs/>
          <w:color w:val="auto"/>
          <w:sz w:val="24"/>
        </w:rPr>
      </w:pPr>
      <w:bookmarkStart w:id="18" w:name="_Toc28359080"/>
      <w:bookmarkStart w:id="19" w:name="_Toc35393622"/>
      <w:bookmarkStart w:id="20" w:name="_Toc35393791"/>
      <w:bookmarkStart w:id="21" w:name="_Toc28359003"/>
      <w:r>
        <w:rPr>
          <w:rFonts w:hint="eastAsia" w:ascii="黑体" w:hAnsi="黑体" w:eastAsia="黑体"/>
          <w:b/>
          <w:bCs/>
          <w:color w:val="auto"/>
          <w:sz w:val="24"/>
        </w:rPr>
        <w:t>二、投标人的资格要求：</w:t>
      </w:r>
      <w:bookmarkEnd w:id="18"/>
      <w:bookmarkEnd w:id="19"/>
      <w:bookmarkEnd w:id="20"/>
      <w:bookmarkEnd w:id="21"/>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olor w:val="auto"/>
          <w:szCs w:val="21"/>
        </w:rPr>
      </w:pPr>
      <w:bookmarkStart w:id="22" w:name="_Hlk51746371"/>
      <w:r>
        <w:rPr>
          <w:rFonts w:hint="eastAsia" w:ascii="宋体" w:hAnsi="宋体"/>
          <w:color w:val="auto"/>
          <w:szCs w:val="21"/>
        </w:rPr>
        <w:t>1.满足《中华人民共和国政府采购法》第二十二条规定；</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olor w:val="auto"/>
          <w:szCs w:val="21"/>
        </w:rPr>
      </w:pPr>
      <w:bookmarkStart w:id="23" w:name="_Toc28359081"/>
      <w:bookmarkStart w:id="24" w:name="_Toc28359004"/>
      <w:r>
        <w:rPr>
          <w:rFonts w:ascii="宋体" w:hAnsi="宋体"/>
          <w:color w:val="auto"/>
          <w:szCs w:val="21"/>
        </w:rPr>
        <w:t>2</w:t>
      </w:r>
      <w:r>
        <w:rPr>
          <w:rFonts w:hint="eastAsia" w:ascii="宋体" w:hAnsi="宋体"/>
          <w:color w:val="auto"/>
          <w:szCs w:val="21"/>
        </w:rPr>
        <w:t>.落实政府采购政策需满足的资格要求：</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rPr>
      </w:pPr>
      <w:r>
        <w:rPr>
          <w:rFonts w:hint="eastAsia" w:ascii="宋体" w:hAnsi="宋体" w:cs="宋体"/>
          <w:color w:val="auto"/>
          <w:szCs w:val="21"/>
        </w:rPr>
        <w:t>□专门面向中小企业采购的项目（供应商应为中小微企业、监狱企业、残疾人福利性单位)</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olor w:val="auto"/>
          <w:szCs w:val="21"/>
        </w:rPr>
      </w:pPr>
      <w:r>
        <w:rPr>
          <w:rFonts w:hint="eastAsia" w:ascii="宋体" w:hAnsi="宋体" w:cs="宋体"/>
          <w:color w:val="auto"/>
          <w:szCs w:val="21"/>
        </w:rPr>
        <w:t>☑非专门面向中小企业采购的项目。</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olor w:val="auto"/>
          <w:szCs w:val="21"/>
        </w:rPr>
      </w:pPr>
      <w:r>
        <w:rPr>
          <w:rFonts w:hint="eastAsia" w:ascii="宋体" w:hAnsi="宋体"/>
          <w:color w:val="auto"/>
          <w:szCs w:val="21"/>
        </w:rPr>
        <w:t>3.本项目的特定资格要求：</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olor w:val="auto"/>
          <w:szCs w:val="21"/>
        </w:rPr>
      </w:pPr>
      <w:r>
        <w:rPr>
          <w:rFonts w:hint="eastAsia" w:ascii="宋体" w:hAnsi="宋体"/>
          <w:color w:val="auto"/>
          <w:szCs w:val="21"/>
        </w:rPr>
        <w:t>分标1：无；</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olor w:val="auto"/>
          <w:szCs w:val="21"/>
        </w:rPr>
      </w:pPr>
      <w:r>
        <w:rPr>
          <w:rFonts w:hint="eastAsia" w:ascii="宋体" w:hAnsi="宋体"/>
          <w:color w:val="auto"/>
          <w:szCs w:val="21"/>
        </w:rPr>
        <w:t>分标2：无。</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olor w:val="auto"/>
          <w:szCs w:val="21"/>
        </w:rPr>
      </w:pPr>
      <w:r>
        <w:rPr>
          <w:rFonts w:ascii="宋体" w:hAnsi="宋体"/>
          <w:color w:val="auto"/>
          <w:szCs w:val="21"/>
        </w:rPr>
        <w:t>4.</w:t>
      </w:r>
      <w:r>
        <w:rPr>
          <w:rFonts w:hint="eastAsia" w:ascii="宋体" w:hAnsi="宋体"/>
          <w:color w:val="auto"/>
          <w:szCs w:val="21"/>
        </w:rPr>
        <w:t>本项目的特定条件：无；</w:t>
      </w:r>
    </w:p>
    <w:bookmarkEnd w:id="22"/>
    <w:p>
      <w:pPr>
        <w:keepNext w:val="0"/>
        <w:keepLines w:val="0"/>
        <w:pageBreakBefore w:val="0"/>
        <w:kinsoku/>
        <w:wordWrap/>
        <w:overflowPunct/>
        <w:topLinePunct w:val="0"/>
        <w:autoSpaceDE/>
        <w:autoSpaceDN/>
        <w:bidi w:val="0"/>
        <w:adjustRightInd/>
        <w:snapToGrid/>
        <w:spacing w:line="440" w:lineRule="exact"/>
        <w:ind w:firstLine="420"/>
        <w:jc w:val="left"/>
        <w:textAlignment w:val="auto"/>
        <w:rPr>
          <w:rFonts w:ascii="宋体" w:hAnsi="宋体"/>
          <w:color w:val="auto"/>
          <w:szCs w:val="21"/>
        </w:rPr>
      </w:pPr>
      <w:r>
        <w:rPr>
          <w:rFonts w:hint="eastAsia" w:ascii="宋体" w:hAnsi="宋体"/>
          <w:color w:val="auto"/>
          <w:szCs w:val="21"/>
        </w:rPr>
        <w:t>5</w:t>
      </w:r>
      <w:r>
        <w:rPr>
          <w:rFonts w:ascii="宋体" w:hAnsi="宋体"/>
          <w:color w:val="auto"/>
          <w:szCs w:val="21"/>
        </w:rPr>
        <w:t>.</w:t>
      </w:r>
      <w:r>
        <w:rPr>
          <w:rFonts w:hint="eastAsia" w:ascii="宋体" w:hAnsi="宋体"/>
          <w:color w:val="auto"/>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olor w:val="auto"/>
          <w:szCs w:val="21"/>
        </w:rPr>
      </w:pPr>
      <w:r>
        <w:rPr>
          <w:rFonts w:hint="eastAsia" w:ascii="宋体" w:hAnsi="宋体"/>
          <w:color w:val="auto"/>
          <w:szCs w:val="21"/>
        </w:rPr>
        <w:t>6</w:t>
      </w:r>
      <w:r>
        <w:rPr>
          <w:rFonts w:ascii="宋体" w:hAnsi="宋体"/>
          <w:color w:val="auto"/>
          <w:szCs w:val="21"/>
        </w:rPr>
        <w:t>.</w:t>
      </w:r>
      <w:r>
        <w:rPr>
          <w:rFonts w:hint="eastAsia" w:ascii="宋体" w:hAnsi="宋体"/>
          <w:color w:val="auto"/>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kinsoku/>
        <w:wordWrap/>
        <w:overflowPunct/>
        <w:topLinePunct w:val="0"/>
        <w:autoSpaceDE/>
        <w:autoSpaceDN/>
        <w:bidi w:val="0"/>
        <w:adjustRightInd/>
        <w:snapToGrid/>
        <w:spacing w:line="440" w:lineRule="exact"/>
        <w:textAlignment w:val="auto"/>
        <w:rPr>
          <w:rFonts w:ascii="黑体" w:hAnsi="黑体" w:eastAsia="黑体"/>
          <w:b/>
          <w:bCs/>
          <w:color w:val="auto"/>
          <w:sz w:val="24"/>
        </w:rPr>
      </w:pPr>
      <w:bookmarkStart w:id="25" w:name="_Toc35393623"/>
      <w:bookmarkStart w:id="26" w:name="_Toc35393792"/>
      <w:r>
        <w:rPr>
          <w:rFonts w:hint="eastAsia" w:ascii="黑体" w:hAnsi="黑体" w:eastAsia="黑体"/>
          <w:b/>
          <w:bCs/>
          <w:color w:val="auto"/>
          <w:sz w:val="24"/>
        </w:rPr>
        <w:t>三、获取招标文件</w:t>
      </w:r>
      <w:bookmarkEnd w:id="23"/>
      <w:bookmarkEnd w:id="24"/>
      <w:bookmarkEnd w:id="25"/>
      <w:bookmarkEnd w:id="26"/>
    </w:p>
    <w:p>
      <w:pPr>
        <w:keepNext w:val="0"/>
        <w:keepLines w:val="0"/>
        <w:pageBreakBefore w:val="0"/>
        <w:kinsoku/>
        <w:wordWrap/>
        <w:overflowPunct/>
        <w:topLinePunct w:val="0"/>
        <w:autoSpaceDE/>
        <w:autoSpaceDN/>
        <w:bidi w:val="0"/>
        <w:adjustRightInd/>
        <w:snapToGrid/>
        <w:spacing w:line="440" w:lineRule="exact"/>
        <w:ind w:firstLine="540"/>
        <w:textAlignment w:val="auto"/>
        <w:rPr>
          <w:rFonts w:ascii="宋体" w:hAnsi="宋体" w:cs="宋体"/>
          <w:bCs/>
          <w:color w:val="auto"/>
          <w:kern w:val="0"/>
          <w:szCs w:val="21"/>
        </w:rPr>
      </w:pPr>
      <w:r>
        <w:rPr>
          <w:rFonts w:hint="eastAsia" w:ascii="宋体" w:hAnsi="宋体" w:cs="宋体"/>
          <w:bCs/>
          <w:color w:val="auto"/>
          <w:kern w:val="0"/>
          <w:szCs w:val="21"/>
        </w:rPr>
        <w:t>时间：</w:t>
      </w:r>
      <w:r>
        <w:rPr>
          <w:rFonts w:ascii="宋体" w:hAnsi="宋体" w:cs="宋体"/>
          <w:bCs/>
          <w:color w:val="auto"/>
          <w:kern w:val="0"/>
          <w:szCs w:val="21"/>
        </w:rPr>
        <w:t xml:space="preserve"> </w:t>
      </w:r>
      <w:r>
        <w:rPr>
          <w:rFonts w:hint="eastAsia" w:ascii="宋体" w:hAnsi="宋体" w:cs="宋体"/>
          <w:bCs/>
          <w:color w:val="auto"/>
          <w:kern w:val="0"/>
          <w:szCs w:val="21"/>
          <w:u w:val="single"/>
        </w:rPr>
        <w:t>2022年10月</w:t>
      </w:r>
      <w:r>
        <w:rPr>
          <w:rFonts w:hint="eastAsia" w:ascii="宋体" w:hAnsi="宋体" w:cs="宋体"/>
          <w:bCs/>
          <w:color w:val="auto"/>
          <w:kern w:val="0"/>
          <w:szCs w:val="21"/>
          <w:u w:val="single"/>
          <w:lang w:val="en-US" w:eastAsia="zh-CN"/>
        </w:rPr>
        <w:t>26</w:t>
      </w:r>
      <w:r>
        <w:rPr>
          <w:rFonts w:hint="eastAsia" w:ascii="宋体" w:hAnsi="宋体" w:cs="宋体"/>
          <w:bCs/>
          <w:color w:val="auto"/>
          <w:kern w:val="0"/>
          <w:szCs w:val="21"/>
          <w:u w:val="single"/>
        </w:rPr>
        <w:t>日</w:t>
      </w:r>
      <w:r>
        <w:rPr>
          <w:rFonts w:hint="eastAsia" w:ascii="宋体" w:hAnsi="宋体" w:cs="宋体"/>
          <w:bCs/>
          <w:color w:val="auto"/>
          <w:kern w:val="0"/>
          <w:szCs w:val="21"/>
        </w:rPr>
        <w:t>至</w:t>
      </w:r>
      <w:r>
        <w:rPr>
          <w:rFonts w:hint="eastAsia" w:ascii="宋体" w:hAnsi="宋体" w:cs="宋体"/>
          <w:bCs/>
          <w:color w:val="auto"/>
          <w:kern w:val="0"/>
          <w:szCs w:val="21"/>
          <w:u w:val="single"/>
        </w:rPr>
        <w:t xml:space="preserve"> 2022年</w:t>
      </w:r>
      <w:r>
        <w:rPr>
          <w:rFonts w:hint="eastAsia" w:ascii="宋体" w:hAnsi="宋体" w:cs="宋体"/>
          <w:bCs/>
          <w:color w:val="auto"/>
          <w:kern w:val="0"/>
          <w:szCs w:val="21"/>
          <w:u w:val="single"/>
          <w:lang w:val="en-US" w:eastAsia="zh-CN"/>
        </w:rPr>
        <w:t>11</w:t>
      </w:r>
      <w:r>
        <w:rPr>
          <w:rFonts w:hint="eastAsia" w:ascii="宋体" w:hAnsi="宋体" w:cs="宋体"/>
          <w:bCs/>
          <w:color w:val="auto"/>
          <w:kern w:val="0"/>
          <w:szCs w:val="21"/>
          <w:u w:val="single"/>
        </w:rPr>
        <w:t>月</w:t>
      </w:r>
      <w:r>
        <w:rPr>
          <w:rFonts w:hint="eastAsia" w:ascii="宋体" w:hAnsi="宋体" w:cs="宋体"/>
          <w:bCs/>
          <w:color w:val="auto"/>
          <w:kern w:val="0"/>
          <w:szCs w:val="21"/>
          <w:u w:val="single"/>
          <w:lang w:val="en-US" w:eastAsia="zh-CN"/>
        </w:rPr>
        <w:t>2</w:t>
      </w:r>
      <w:r>
        <w:rPr>
          <w:rFonts w:hint="eastAsia" w:ascii="宋体" w:hAnsi="宋体" w:cs="宋体"/>
          <w:bCs/>
          <w:color w:val="auto"/>
          <w:kern w:val="0"/>
          <w:szCs w:val="21"/>
          <w:u w:val="single"/>
        </w:rPr>
        <w:t>日</w:t>
      </w:r>
      <w:r>
        <w:rPr>
          <w:rFonts w:hint="eastAsia" w:ascii="宋体" w:hAnsi="宋体" w:cs="宋体"/>
          <w:bCs/>
          <w:color w:val="auto"/>
          <w:kern w:val="0"/>
          <w:szCs w:val="21"/>
        </w:rPr>
        <w:t>（提供期限自本公告发布之日起不得少于5个工作日），每天上午</w:t>
      </w:r>
      <w:r>
        <w:rPr>
          <w:rFonts w:hint="eastAsia" w:ascii="宋体" w:hAnsi="宋体" w:cs="宋体"/>
          <w:bCs/>
          <w:color w:val="auto"/>
          <w:kern w:val="0"/>
          <w:szCs w:val="21"/>
          <w:u w:val="single"/>
        </w:rPr>
        <w:t>08：30至12:00</w:t>
      </w:r>
      <w:r>
        <w:rPr>
          <w:rFonts w:hint="eastAsia" w:ascii="宋体" w:hAnsi="宋体" w:cs="宋体"/>
          <w:bCs/>
          <w:color w:val="auto"/>
          <w:kern w:val="0"/>
          <w:szCs w:val="21"/>
        </w:rPr>
        <w:t>，</w:t>
      </w:r>
      <w:r>
        <w:rPr>
          <w:rFonts w:hint="eastAsia" w:ascii="宋体" w:hAnsi="宋体" w:cs="宋体"/>
          <w:bCs/>
          <w:color w:val="auto"/>
          <w:kern w:val="0"/>
          <w:szCs w:val="21"/>
          <w:u w:val="single"/>
        </w:rPr>
        <w:t>下午15:00至18:00</w:t>
      </w:r>
      <w:r>
        <w:rPr>
          <w:rFonts w:hint="eastAsia" w:ascii="宋体" w:hAnsi="宋体" w:cs="宋体"/>
          <w:bCs/>
          <w:color w:val="auto"/>
          <w:kern w:val="0"/>
          <w:szCs w:val="21"/>
        </w:rPr>
        <w:t>（北京时间，</w:t>
      </w:r>
      <w:r>
        <w:rPr>
          <w:rFonts w:ascii="宋体" w:hAnsi="宋体" w:cs="宋体"/>
          <w:bCs/>
          <w:color w:val="auto"/>
          <w:kern w:val="0"/>
          <w:szCs w:val="21"/>
        </w:rPr>
        <w:t>法定节假日</w:t>
      </w:r>
      <w:r>
        <w:rPr>
          <w:rFonts w:hint="eastAsia" w:ascii="宋体" w:hAnsi="宋体" w:cs="宋体"/>
          <w:bCs/>
          <w:color w:val="auto"/>
          <w:kern w:val="0"/>
          <w:szCs w:val="21"/>
        </w:rPr>
        <w:t>除外）</w:t>
      </w:r>
    </w:p>
    <w:p>
      <w:pPr>
        <w:keepNext w:val="0"/>
        <w:keepLines w:val="0"/>
        <w:pageBreakBefore w:val="0"/>
        <w:kinsoku/>
        <w:wordWrap/>
        <w:overflowPunct/>
        <w:topLinePunct w:val="0"/>
        <w:autoSpaceDE/>
        <w:autoSpaceDN/>
        <w:bidi w:val="0"/>
        <w:adjustRightInd/>
        <w:snapToGrid/>
        <w:spacing w:line="440" w:lineRule="exact"/>
        <w:ind w:firstLine="540"/>
        <w:textAlignment w:val="auto"/>
        <w:rPr>
          <w:rFonts w:ascii="宋体" w:hAnsi="宋体" w:cs="宋体"/>
          <w:bCs/>
          <w:color w:val="auto"/>
          <w:kern w:val="0"/>
          <w:szCs w:val="21"/>
        </w:rPr>
      </w:pPr>
      <w:r>
        <w:rPr>
          <w:rFonts w:hint="eastAsia" w:ascii="宋体" w:hAnsi="宋体" w:cs="宋体"/>
          <w:bCs/>
          <w:color w:val="auto"/>
          <w:kern w:val="0"/>
          <w:szCs w:val="21"/>
        </w:rPr>
        <w:t>地点：</w:t>
      </w:r>
      <w:r>
        <w:rPr>
          <w:rFonts w:hint="eastAsia" w:ascii="宋体" w:hAnsi="宋体"/>
          <w:color w:val="auto"/>
          <w:szCs w:val="21"/>
          <w:u w:val="single"/>
        </w:rPr>
        <w:t>政采云平台（https://www.zcygov.cn/）获取（下载）</w:t>
      </w:r>
    </w:p>
    <w:p>
      <w:pPr>
        <w:keepNext w:val="0"/>
        <w:keepLines w:val="0"/>
        <w:pageBreakBefore w:val="0"/>
        <w:kinsoku/>
        <w:wordWrap/>
        <w:overflowPunct/>
        <w:topLinePunct w:val="0"/>
        <w:autoSpaceDE/>
        <w:autoSpaceDN/>
        <w:bidi w:val="0"/>
        <w:adjustRightInd/>
        <w:snapToGrid/>
        <w:spacing w:line="440" w:lineRule="exact"/>
        <w:ind w:firstLine="540"/>
        <w:textAlignment w:val="auto"/>
        <w:rPr>
          <w:rFonts w:ascii="宋体" w:hAnsi="宋体" w:cs="宋体"/>
          <w:bCs/>
          <w:color w:val="auto"/>
          <w:kern w:val="0"/>
          <w:szCs w:val="21"/>
        </w:rPr>
      </w:pPr>
      <w:r>
        <w:rPr>
          <w:rFonts w:hint="eastAsia" w:ascii="宋体" w:hAnsi="宋体" w:cs="宋体"/>
          <w:bCs/>
          <w:color w:val="auto"/>
          <w:kern w:val="0"/>
          <w:szCs w:val="21"/>
        </w:rPr>
        <w:t>方式：</w:t>
      </w:r>
      <w:r>
        <w:rPr>
          <w:rFonts w:hint="eastAsia" w:ascii="宋体" w:hAnsi="宋体"/>
          <w:color w:val="auto"/>
          <w:szCs w:val="21"/>
          <w:u w:val="single"/>
        </w:rPr>
        <w:t>网上下载。本项目不发放纸质采购文件，供应商可自行在“政采云”平台（http：//www.zcygov.cn）下载采购文件（操作路径：登录“政采云”平台-项目采购-获取采购文件-找到本项目-点击“申请获取采购文件”），电子投标文件制作需要基于“政采云”平台（http：//www.zcygov.cn）获取的采购文件编制</w:t>
      </w:r>
      <w:r>
        <w:rPr>
          <w:rFonts w:hint="eastAsia" w:ascii="宋体" w:hAnsi="宋体"/>
          <w:color w:val="auto"/>
          <w:szCs w:val="21"/>
        </w:rPr>
        <w:t>。</w:t>
      </w:r>
    </w:p>
    <w:p>
      <w:pPr>
        <w:keepNext w:val="0"/>
        <w:keepLines w:val="0"/>
        <w:pageBreakBefore w:val="0"/>
        <w:kinsoku/>
        <w:wordWrap/>
        <w:overflowPunct/>
        <w:topLinePunct w:val="0"/>
        <w:autoSpaceDE/>
        <w:autoSpaceDN/>
        <w:bidi w:val="0"/>
        <w:adjustRightInd/>
        <w:snapToGrid/>
        <w:spacing w:line="440" w:lineRule="exact"/>
        <w:ind w:firstLine="540"/>
        <w:textAlignment w:val="auto"/>
        <w:rPr>
          <w:rFonts w:ascii="宋体" w:hAnsi="宋体" w:cs="宋体"/>
          <w:color w:val="auto"/>
          <w:szCs w:val="21"/>
        </w:rPr>
      </w:pPr>
      <w:r>
        <w:rPr>
          <w:rFonts w:hint="eastAsia" w:ascii="宋体" w:hAnsi="宋体" w:cs="宋体"/>
          <w:bCs/>
          <w:color w:val="auto"/>
          <w:kern w:val="0"/>
          <w:szCs w:val="21"/>
        </w:rPr>
        <w:t>售价：</w:t>
      </w:r>
      <w:r>
        <w:rPr>
          <w:rFonts w:hint="eastAsia" w:ascii="宋体" w:hAnsi="宋体"/>
          <w:color w:val="auto"/>
          <w:szCs w:val="21"/>
        </w:rPr>
        <w:t>0元。</w:t>
      </w:r>
    </w:p>
    <w:p>
      <w:pPr>
        <w:keepNext w:val="0"/>
        <w:keepLines w:val="0"/>
        <w:pageBreakBefore w:val="0"/>
        <w:kinsoku/>
        <w:wordWrap/>
        <w:overflowPunct/>
        <w:topLinePunct w:val="0"/>
        <w:autoSpaceDE/>
        <w:autoSpaceDN/>
        <w:bidi w:val="0"/>
        <w:adjustRightInd/>
        <w:snapToGrid/>
        <w:spacing w:line="440" w:lineRule="exact"/>
        <w:textAlignment w:val="auto"/>
        <w:rPr>
          <w:rFonts w:ascii="黑体" w:hAnsi="黑体" w:eastAsia="黑体"/>
          <w:b/>
          <w:bCs/>
          <w:color w:val="auto"/>
          <w:sz w:val="24"/>
        </w:rPr>
      </w:pPr>
      <w:bookmarkStart w:id="27" w:name="_Toc28359082"/>
      <w:bookmarkStart w:id="28" w:name="_Toc28359005"/>
      <w:bookmarkStart w:id="29" w:name="_Toc35393793"/>
      <w:bookmarkStart w:id="30" w:name="_Toc35393624"/>
      <w:r>
        <w:rPr>
          <w:rFonts w:hint="eastAsia" w:ascii="黑体" w:hAnsi="黑体" w:eastAsia="黑体"/>
          <w:b/>
          <w:bCs/>
          <w:color w:val="auto"/>
          <w:sz w:val="24"/>
        </w:rPr>
        <w:t>四、提交投标文件</w:t>
      </w:r>
      <w:bookmarkEnd w:id="27"/>
      <w:bookmarkEnd w:id="28"/>
      <w:r>
        <w:rPr>
          <w:rFonts w:hint="eastAsia" w:ascii="黑体" w:hAnsi="黑体" w:eastAsia="黑体"/>
          <w:b/>
          <w:bCs/>
          <w:color w:val="auto"/>
          <w:sz w:val="24"/>
        </w:rPr>
        <w:t>截止时间、开标时间和地点</w:t>
      </w:r>
      <w:bookmarkEnd w:id="29"/>
      <w:bookmarkEnd w:id="30"/>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u w:val="single"/>
        </w:rPr>
      </w:pPr>
      <w:r>
        <w:rPr>
          <w:rFonts w:hint="eastAsia" w:ascii="宋体" w:hAnsi="宋体"/>
          <w:bCs/>
          <w:color w:val="auto"/>
          <w:szCs w:val="21"/>
        </w:rPr>
        <w:t>提交投标文件截止时间和开标时间：</w:t>
      </w:r>
      <w:r>
        <w:rPr>
          <w:rFonts w:hint="eastAsia" w:ascii="宋体" w:hAnsi="宋体"/>
          <w:bCs/>
          <w:color w:val="auto"/>
          <w:szCs w:val="21"/>
          <w:u w:val="single"/>
        </w:rPr>
        <w:t xml:space="preserve"> </w:t>
      </w:r>
      <w:r>
        <w:rPr>
          <w:rFonts w:hint="eastAsia" w:ascii="宋体" w:hAnsi="宋体"/>
          <w:color w:val="auto"/>
          <w:szCs w:val="21"/>
          <w:u w:val="single"/>
        </w:rPr>
        <w:t>2022</w:t>
      </w:r>
      <w:r>
        <w:rPr>
          <w:rFonts w:hint="eastAsia" w:ascii="宋体" w:hAnsi="宋体"/>
          <w:bCs/>
          <w:color w:val="auto"/>
          <w:szCs w:val="21"/>
          <w:u w:val="single"/>
        </w:rPr>
        <w:t>年1</w:t>
      </w:r>
      <w:r>
        <w:rPr>
          <w:rFonts w:hint="eastAsia" w:ascii="宋体" w:hAnsi="宋体"/>
          <w:bCs/>
          <w:color w:val="auto"/>
          <w:szCs w:val="21"/>
          <w:u w:val="single"/>
          <w:lang w:val="en-US" w:eastAsia="zh-CN"/>
        </w:rPr>
        <w:t>1</w:t>
      </w:r>
      <w:r>
        <w:rPr>
          <w:rFonts w:hint="eastAsia" w:ascii="宋体" w:hAnsi="宋体"/>
          <w:bCs/>
          <w:color w:val="auto"/>
          <w:szCs w:val="21"/>
          <w:u w:val="single"/>
        </w:rPr>
        <w:t>月</w:t>
      </w:r>
      <w:r>
        <w:rPr>
          <w:rFonts w:hint="eastAsia" w:ascii="宋体" w:hAnsi="宋体"/>
          <w:bCs/>
          <w:color w:val="auto"/>
          <w:szCs w:val="21"/>
          <w:u w:val="single"/>
          <w:lang w:val="en-US" w:eastAsia="zh-CN"/>
        </w:rPr>
        <w:t>17</w:t>
      </w:r>
      <w:r>
        <w:rPr>
          <w:rFonts w:hint="eastAsia" w:ascii="宋体" w:hAnsi="宋体"/>
          <w:bCs/>
          <w:color w:val="auto"/>
          <w:szCs w:val="21"/>
          <w:u w:val="single"/>
        </w:rPr>
        <w:t>日9时30分</w:t>
      </w:r>
      <w:r>
        <w:rPr>
          <w:rFonts w:hint="eastAsia" w:ascii="宋体" w:hAnsi="宋体"/>
          <w:bCs/>
          <w:color w:val="auto"/>
          <w:szCs w:val="21"/>
        </w:rPr>
        <w:t>（北京时间）</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olor w:val="auto"/>
          <w:szCs w:val="21"/>
        </w:rPr>
      </w:pPr>
      <w:r>
        <w:rPr>
          <w:rFonts w:hint="eastAsia" w:ascii="宋体" w:hAnsi="宋体"/>
          <w:color w:val="auto"/>
          <w:szCs w:val="21"/>
        </w:rPr>
        <w:t>投标地点：</w:t>
      </w:r>
      <w:r>
        <w:rPr>
          <w:rFonts w:hint="eastAsia"/>
          <w:color w:val="auto"/>
          <w:szCs w:val="21"/>
          <w:u w:val="single"/>
        </w:rPr>
        <w:t>本项目为全流程电子化项目，没有现场递交投标文件及现场开标环节，通过“政采云”平台（http：//www.zcygov.cn）实行在线电子投标，供应商应先安装“政采云投标客户端”（请自行前往“政采云”平台进行下载），并按照本项目招标文件和“政采云”平台的要求使用C</w:t>
      </w:r>
      <w:r>
        <w:rPr>
          <w:color w:val="auto"/>
          <w:szCs w:val="21"/>
          <w:u w:val="single"/>
        </w:rPr>
        <w:t>A</w:t>
      </w:r>
      <w:r>
        <w:rPr>
          <w:rFonts w:hint="eastAsia"/>
          <w:color w:val="auto"/>
          <w:szCs w:val="21"/>
          <w:u w:val="single"/>
        </w:rPr>
        <w:t>认证编制、加密投标文件后在投标截止时间前上传至 “政采云”平台，供应商在“政采云”平台提交电子版投标文件时，请填写参加远程开标活动经办人联系方式</w:t>
      </w:r>
      <w:r>
        <w:rPr>
          <w:rFonts w:hint="eastAsia"/>
          <w:color w:val="auto"/>
          <w:szCs w:val="21"/>
        </w:rPr>
        <w:t xml:space="preserve">。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hAnsi="宋体"/>
          <w:bCs/>
          <w:color w:val="auto"/>
          <w:szCs w:val="21"/>
        </w:rPr>
      </w:pPr>
      <w:r>
        <w:rPr>
          <w:rFonts w:hint="eastAsia" w:ascii="宋体" w:hAnsi="宋体" w:cs="宋体"/>
          <w:color w:val="auto"/>
          <w:szCs w:val="21"/>
        </w:rPr>
        <w:t>开标时间：</w:t>
      </w:r>
      <w:r>
        <w:rPr>
          <w:rFonts w:hint="eastAsia" w:ascii="宋体" w:hAnsi="宋体"/>
          <w:bCs/>
          <w:color w:val="auto"/>
          <w:szCs w:val="21"/>
          <w:u w:val="single"/>
        </w:rPr>
        <w:t xml:space="preserve"> 2022年</w:t>
      </w:r>
      <w:r>
        <w:rPr>
          <w:rFonts w:hint="eastAsia" w:ascii="宋体" w:hAnsi="宋体"/>
          <w:bCs/>
          <w:color w:val="auto"/>
          <w:szCs w:val="21"/>
          <w:u w:val="single"/>
          <w:lang w:val="en-US" w:eastAsia="zh-CN"/>
        </w:rPr>
        <w:t>11</w:t>
      </w:r>
      <w:r>
        <w:rPr>
          <w:rFonts w:hint="eastAsia" w:ascii="宋体" w:hAnsi="宋体"/>
          <w:bCs/>
          <w:color w:val="auto"/>
          <w:szCs w:val="21"/>
          <w:u w:val="single"/>
        </w:rPr>
        <w:t>月</w:t>
      </w:r>
      <w:r>
        <w:rPr>
          <w:rFonts w:hint="eastAsia" w:ascii="宋体" w:hAnsi="宋体"/>
          <w:bCs/>
          <w:color w:val="auto"/>
          <w:szCs w:val="21"/>
          <w:u w:val="single"/>
          <w:lang w:val="en-US" w:eastAsia="zh-CN"/>
        </w:rPr>
        <w:t>17</w:t>
      </w:r>
      <w:r>
        <w:rPr>
          <w:rFonts w:hint="eastAsia" w:ascii="宋体" w:hAnsi="宋体"/>
          <w:bCs/>
          <w:color w:val="auto"/>
          <w:szCs w:val="21"/>
          <w:u w:val="single"/>
        </w:rPr>
        <w:t>日9时30分</w:t>
      </w:r>
      <w:r>
        <w:rPr>
          <w:rFonts w:hint="eastAsia" w:ascii="宋体" w:hAnsi="宋体"/>
          <w:bCs/>
          <w:color w:val="auto"/>
          <w:szCs w:val="21"/>
        </w:rPr>
        <w:t>（北京时间）</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hAnsi="宋体"/>
          <w:bCs/>
          <w:color w:val="auto"/>
          <w:szCs w:val="21"/>
          <w:u w:val="single"/>
        </w:rPr>
      </w:pPr>
      <w:r>
        <w:rPr>
          <w:rFonts w:hint="eastAsia"/>
          <w:color w:val="auto"/>
          <w:kern w:val="0"/>
          <w:szCs w:val="21"/>
        </w:rPr>
        <w:t>开标地点：</w:t>
      </w:r>
      <w:bookmarkStart w:id="31" w:name="_Hlk88997106"/>
      <w:r>
        <w:rPr>
          <w:rFonts w:hint="eastAsia"/>
          <w:color w:val="auto"/>
          <w:szCs w:val="21"/>
          <w:u w:val="single"/>
        </w:rPr>
        <w:t>供应商登陆“政采云”平台电子开标大厅开标</w:t>
      </w:r>
      <w:r>
        <w:rPr>
          <w:rFonts w:hint="eastAsia"/>
          <w:color w:val="auto"/>
          <w:szCs w:val="21"/>
        </w:rPr>
        <w:t>。</w:t>
      </w:r>
      <w:bookmarkEnd w:id="31"/>
    </w:p>
    <w:p>
      <w:pPr>
        <w:keepNext w:val="0"/>
        <w:keepLines w:val="0"/>
        <w:pageBreakBefore w:val="0"/>
        <w:kinsoku/>
        <w:wordWrap/>
        <w:overflowPunct/>
        <w:topLinePunct w:val="0"/>
        <w:autoSpaceDE/>
        <w:autoSpaceDN/>
        <w:bidi w:val="0"/>
        <w:adjustRightInd/>
        <w:snapToGrid/>
        <w:spacing w:line="440" w:lineRule="exact"/>
        <w:textAlignment w:val="auto"/>
        <w:rPr>
          <w:rFonts w:ascii="黑体" w:hAnsi="黑体" w:eastAsia="黑体"/>
          <w:b/>
          <w:bCs/>
          <w:color w:val="auto"/>
          <w:sz w:val="24"/>
        </w:rPr>
      </w:pPr>
      <w:bookmarkStart w:id="32" w:name="_Toc28359007"/>
      <w:bookmarkStart w:id="33" w:name="_Toc35393625"/>
      <w:bookmarkStart w:id="34" w:name="_Toc28359084"/>
      <w:bookmarkStart w:id="35" w:name="_Toc35393794"/>
      <w:r>
        <w:rPr>
          <w:rFonts w:hint="eastAsia" w:ascii="黑体" w:hAnsi="黑体" w:eastAsia="黑体"/>
          <w:b/>
          <w:bCs/>
          <w:color w:val="auto"/>
          <w:sz w:val="24"/>
        </w:rPr>
        <w:t>五、公告期限</w:t>
      </w:r>
      <w:bookmarkEnd w:id="32"/>
      <w:bookmarkEnd w:id="33"/>
      <w:bookmarkEnd w:id="34"/>
      <w:bookmarkEnd w:id="35"/>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自本公告发布之日起</w:t>
      </w:r>
      <w:r>
        <w:rPr>
          <w:rFonts w:hint="eastAsia" w:ascii="宋体" w:hAnsi="宋体" w:cs="宋体"/>
          <w:color w:val="auto"/>
          <w:kern w:val="0"/>
          <w:szCs w:val="21"/>
          <w:u w:val="single"/>
        </w:rPr>
        <w:t>5</w:t>
      </w:r>
      <w:r>
        <w:rPr>
          <w:rFonts w:hint="eastAsia" w:ascii="宋体" w:hAnsi="宋体" w:cs="宋体"/>
          <w:color w:val="auto"/>
          <w:kern w:val="0"/>
          <w:szCs w:val="21"/>
        </w:rPr>
        <w:t>个工作日。</w:t>
      </w:r>
    </w:p>
    <w:p>
      <w:pPr>
        <w:keepNext w:val="0"/>
        <w:keepLines w:val="0"/>
        <w:pageBreakBefore w:val="0"/>
        <w:kinsoku/>
        <w:wordWrap/>
        <w:overflowPunct/>
        <w:topLinePunct w:val="0"/>
        <w:autoSpaceDE/>
        <w:autoSpaceDN/>
        <w:bidi w:val="0"/>
        <w:adjustRightInd/>
        <w:snapToGrid/>
        <w:spacing w:line="440" w:lineRule="exact"/>
        <w:textAlignment w:val="auto"/>
        <w:rPr>
          <w:rFonts w:ascii="黑体" w:hAnsi="黑体" w:eastAsia="黑体"/>
          <w:b/>
          <w:bCs/>
          <w:color w:val="auto"/>
          <w:sz w:val="24"/>
        </w:rPr>
      </w:pPr>
      <w:bookmarkStart w:id="36" w:name="_Toc35393626"/>
      <w:bookmarkStart w:id="37" w:name="_Toc35393795"/>
      <w:r>
        <w:rPr>
          <w:rFonts w:hint="eastAsia" w:ascii="黑体" w:hAnsi="黑体" w:eastAsia="黑体"/>
          <w:b/>
          <w:bCs/>
          <w:color w:val="auto"/>
          <w:sz w:val="24"/>
        </w:rPr>
        <w:t>六、其他补充事宜</w:t>
      </w:r>
      <w:bookmarkEnd w:id="36"/>
      <w:bookmarkEnd w:id="37"/>
    </w:p>
    <w:p>
      <w:pPr>
        <w:keepNext w:val="0"/>
        <w:keepLines w:val="0"/>
        <w:pageBreakBefore w:val="0"/>
        <w:kinsoku/>
        <w:wordWrap/>
        <w:overflowPunct/>
        <w:topLinePunct w:val="0"/>
        <w:autoSpaceDE/>
        <w:autoSpaceDN/>
        <w:bidi w:val="0"/>
        <w:adjustRightInd/>
        <w:snapToGrid/>
        <w:spacing w:line="440" w:lineRule="exact"/>
        <w:ind w:firstLine="315" w:firstLineChars="150"/>
        <w:textAlignment w:val="auto"/>
        <w:rPr>
          <w:rFonts w:ascii="宋体" w:hAnsi="宋体" w:cs="宋体"/>
          <w:color w:val="auto"/>
          <w:kern w:val="0"/>
          <w:szCs w:val="21"/>
        </w:rPr>
      </w:pPr>
      <w:r>
        <w:rPr>
          <w:rFonts w:hint="eastAsia" w:ascii="宋体" w:hAnsi="宋体" w:cs="宋体"/>
          <w:color w:val="auto"/>
          <w:kern w:val="0"/>
          <w:szCs w:val="21"/>
        </w:rPr>
        <w:t>1.投标保证金（人民币）：</w:t>
      </w:r>
      <w:r>
        <w:rPr>
          <w:rFonts w:hint="eastAsia" w:ascii="宋体" w:hAnsi="宋体" w:cs="宋体"/>
          <w:color w:val="auto"/>
          <w:kern w:val="0"/>
          <w:szCs w:val="21"/>
          <w:u w:val="single"/>
        </w:rPr>
        <w:t>分标1人民币（大写）壹拾叁万元整（¥130,000.00）；分标2人民币（大写）柒万元整（¥70,000.00）</w:t>
      </w:r>
      <w:r>
        <w:rPr>
          <w:rStyle w:val="77"/>
          <w:rFonts w:hint="eastAsia" w:ascii="宋体" w:hAnsi="宋体" w:cs="宋体"/>
          <w:color w:val="auto"/>
          <w:szCs w:val="21"/>
          <w:u w:val="single"/>
        </w:rPr>
        <w:t xml:space="preserve">(必须足额交纳) </w:t>
      </w:r>
      <w:r>
        <w:rPr>
          <w:rFonts w:hint="eastAsia" w:ascii="宋体" w:hAnsi="宋体" w:cs="宋体"/>
          <w:color w:val="auto"/>
          <w:kern w:val="0"/>
          <w:szCs w:val="21"/>
        </w:rPr>
        <w:t>。</w:t>
      </w:r>
    </w:p>
    <w:p>
      <w:pPr>
        <w:pStyle w:val="117"/>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color w:val="auto"/>
          <w:kern w:val="0"/>
          <w:szCs w:val="21"/>
        </w:rPr>
      </w:pPr>
      <w:r>
        <w:rPr>
          <w:rFonts w:hint="eastAsia" w:ascii="宋体" w:hAnsi="宋体" w:cs="宋体"/>
          <w:color w:val="auto"/>
          <w:kern w:val="0"/>
          <w:szCs w:val="21"/>
        </w:rPr>
        <w:t>投标保证金的交纳方式：银行转账、</w:t>
      </w:r>
      <w:r>
        <w:rPr>
          <w:rFonts w:hint="eastAsia"/>
          <w:color w:val="auto"/>
        </w:rPr>
        <w:t>电汇、</w:t>
      </w:r>
      <w:r>
        <w:rPr>
          <w:rFonts w:hint="eastAsia" w:ascii="宋体" w:hAnsi="宋体" w:cs="宋体"/>
          <w:color w:val="auto"/>
          <w:kern w:val="0"/>
          <w:szCs w:val="21"/>
        </w:rPr>
        <w:t>支票、汇票、本票、保函等方式，禁止采用现钞方式。采用银行转账或电汇方式的，在投标截止时间前交至采购代理机构指定账户并且到账（开户银行：</w:t>
      </w:r>
      <w:r>
        <w:rPr>
          <w:rFonts w:hint="eastAsia" w:ascii="宋体" w:hAnsi="宋体" w:cs="宋体"/>
          <w:color w:val="auto"/>
          <w:kern w:val="0"/>
          <w:szCs w:val="21"/>
          <w:u w:val="single"/>
        </w:rPr>
        <w:t>招商银行南宁分行东葛路支行</w:t>
      </w:r>
      <w:r>
        <w:rPr>
          <w:rFonts w:hint="eastAsia" w:ascii="宋体" w:hAnsi="宋体" w:cs="宋体"/>
          <w:color w:val="auto"/>
          <w:kern w:val="0"/>
          <w:szCs w:val="21"/>
        </w:rPr>
        <w:t>，开户名称：</w:t>
      </w:r>
      <w:r>
        <w:rPr>
          <w:rFonts w:hint="eastAsia" w:ascii="宋体" w:hAnsi="宋体" w:cs="宋体"/>
          <w:color w:val="auto"/>
          <w:kern w:val="0"/>
          <w:szCs w:val="21"/>
          <w:u w:val="single"/>
        </w:rPr>
        <w:t>中资国际工程咨询集团有限责任公司广西分公司</w:t>
      </w:r>
      <w:r>
        <w:rPr>
          <w:rFonts w:hint="eastAsia" w:ascii="宋体" w:hAnsi="宋体" w:cs="宋体"/>
          <w:color w:val="auto"/>
          <w:kern w:val="0"/>
          <w:szCs w:val="21"/>
        </w:rPr>
        <w:t>，银行账号：</w:t>
      </w:r>
      <w:r>
        <w:rPr>
          <w:rFonts w:hint="eastAsia" w:ascii="宋体" w:hAnsi="宋体" w:cs="宋体"/>
          <w:color w:val="auto"/>
          <w:kern w:val="0"/>
          <w:szCs w:val="21"/>
          <w:u w:val="single"/>
        </w:rPr>
        <w:t>771901372110211</w:t>
      </w:r>
      <w:r>
        <w:rPr>
          <w:rFonts w:hint="eastAsia" w:ascii="宋体" w:hAnsi="宋体" w:cs="宋体"/>
          <w:color w:val="auto"/>
          <w:kern w:val="0"/>
          <w:szCs w:val="21"/>
        </w:rPr>
        <w:t>）；采用支票、汇票等方式的，在投标截止时间前，投标人必须递交单独密封的支票、汇票、本票、保函原件。否则视为无效投标保证金。</w:t>
      </w:r>
    </w:p>
    <w:p>
      <w:pPr>
        <w:keepNext w:val="0"/>
        <w:keepLines w:val="0"/>
        <w:pageBreakBefore w:val="0"/>
        <w:kinsoku/>
        <w:wordWrap/>
        <w:overflowPunct/>
        <w:topLinePunct w:val="0"/>
        <w:autoSpaceDE/>
        <w:autoSpaceDN/>
        <w:bidi w:val="0"/>
        <w:adjustRightInd/>
        <w:snapToGrid/>
        <w:spacing w:line="440" w:lineRule="exact"/>
        <w:ind w:firstLine="315" w:firstLineChars="150"/>
        <w:jc w:val="left"/>
        <w:textAlignment w:val="auto"/>
        <w:rPr>
          <w:rFonts w:ascii="宋体" w:hAnsi="宋体" w:cs="宋体"/>
          <w:color w:val="auto"/>
          <w:kern w:val="0"/>
          <w:szCs w:val="21"/>
        </w:rPr>
      </w:pPr>
      <w:bookmarkStart w:id="38" w:name="_Hlk37429595"/>
      <w:bookmarkStart w:id="39" w:name="_Hlk37429585"/>
      <w:r>
        <w:rPr>
          <w:rFonts w:hint="eastAsia" w:ascii="宋体" w:hAnsi="宋体" w:cs="宋体"/>
          <w:color w:val="auto"/>
          <w:kern w:val="0"/>
          <w:szCs w:val="21"/>
        </w:rPr>
        <w:t>2.采购意向公开链接：</w:t>
      </w:r>
    </w:p>
    <w:p>
      <w:pPr>
        <w:keepNext w:val="0"/>
        <w:keepLines w:val="0"/>
        <w:pageBreakBefore w:val="0"/>
        <w:kinsoku/>
        <w:wordWrap/>
        <w:overflowPunct/>
        <w:topLinePunct w:val="0"/>
        <w:autoSpaceDE/>
        <w:autoSpaceDN/>
        <w:bidi w:val="0"/>
        <w:adjustRightInd/>
        <w:snapToGrid/>
        <w:spacing w:line="440" w:lineRule="exact"/>
        <w:ind w:firstLine="315" w:firstLineChars="150"/>
        <w:jc w:val="left"/>
        <w:textAlignment w:val="auto"/>
        <w:rPr>
          <w:rFonts w:ascii="宋体" w:hAnsi="宋体" w:cs="宋体"/>
          <w:color w:val="auto"/>
          <w:kern w:val="0"/>
          <w:szCs w:val="21"/>
        </w:rPr>
      </w:pPr>
      <w:r>
        <w:rPr>
          <w:rFonts w:hint="eastAsia" w:ascii="宋体" w:hAnsi="宋体" w:cs="宋体"/>
          <w:color w:val="auto"/>
          <w:kern w:val="0"/>
          <w:szCs w:val="21"/>
        </w:rPr>
        <w:t>分标1：http://zfcg.gxzf.gov.cn/reformColumn/ZcyAnnouncement10016/F0vM3N6THV8cb7H6pikwkA==.html</w:t>
      </w:r>
    </w:p>
    <w:p>
      <w:pPr>
        <w:keepNext w:val="0"/>
        <w:keepLines w:val="0"/>
        <w:pageBreakBefore w:val="0"/>
        <w:kinsoku/>
        <w:wordWrap/>
        <w:overflowPunct/>
        <w:topLinePunct w:val="0"/>
        <w:autoSpaceDE/>
        <w:autoSpaceDN/>
        <w:bidi w:val="0"/>
        <w:adjustRightInd/>
        <w:snapToGrid/>
        <w:spacing w:line="440" w:lineRule="exact"/>
        <w:ind w:firstLine="315" w:firstLineChars="150"/>
        <w:jc w:val="left"/>
        <w:textAlignment w:val="auto"/>
        <w:rPr>
          <w:rFonts w:ascii="宋体" w:hAnsi="宋体" w:cs="宋体"/>
          <w:color w:val="auto"/>
          <w:kern w:val="0"/>
          <w:szCs w:val="21"/>
        </w:rPr>
      </w:pPr>
      <w:r>
        <w:rPr>
          <w:rFonts w:hint="eastAsia" w:ascii="宋体" w:hAnsi="宋体" w:cs="宋体"/>
          <w:color w:val="auto"/>
          <w:kern w:val="0"/>
          <w:szCs w:val="21"/>
        </w:rPr>
        <w:t>分标2：http://zfcg.gxzf.gov.cn/reformColumn/ZcyAnnouncement10016/F0vM3N6THV8cb7H6pikwkA==.html</w:t>
      </w:r>
    </w:p>
    <w:p>
      <w:pPr>
        <w:keepNext w:val="0"/>
        <w:keepLines w:val="0"/>
        <w:pageBreakBefore w:val="0"/>
        <w:kinsoku/>
        <w:wordWrap/>
        <w:overflowPunct/>
        <w:topLinePunct w:val="0"/>
        <w:autoSpaceDE/>
        <w:autoSpaceDN/>
        <w:bidi w:val="0"/>
        <w:adjustRightInd/>
        <w:snapToGrid/>
        <w:spacing w:line="440" w:lineRule="exact"/>
        <w:ind w:firstLine="315" w:firstLineChars="150"/>
        <w:jc w:val="left"/>
        <w:textAlignment w:val="auto"/>
        <w:rPr>
          <w:rFonts w:ascii="宋体" w:hAnsi="宋体" w:cs="宋体"/>
          <w:color w:val="auto"/>
          <w:kern w:val="0"/>
          <w:szCs w:val="21"/>
        </w:rPr>
      </w:pPr>
      <w:r>
        <w:rPr>
          <w:rFonts w:hint="eastAsia" w:ascii="宋体" w:hAnsi="宋体" w:cs="宋体"/>
          <w:color w:val="auto"/>
          <w:kern w:val="0"/>
          <w:szCs w:val="21"/>
        </w:rPr>
        <w:t>3</w:t>
      </w:r>
      <w:r>
        <w:rPr>
          <w:rFonts w:ascii="宋体" w:hAnsi="宋体" w:cs="宋体"/>
          <w:color w:val="auto"/>
          <w:kern w:val="0"/>
          <w:szCs w:val="21"/>
        </w:rPr>
        <w:t>.</w:t>
      </w:r>
      <w:r>
        <w:rPr>
          <w:rFonts w:hint="eastAsia" w:ascii="宋体" w:hAnsi="宋体" w:cs="宋体"/>
          <w:color w:val="auto"/>
          <w:kern w:val="0"/>
          <w:szCs w:val="21"/>
        </w:rPr>
        <w:t>网上查询地址：</w:t>
      </w:r>
    </w:p>
    <w:p>
      <w:pPr>
        <w:keepNext w:val="0"/>
        <w:keepLines w:val="0"/>
        <w:pageBreakBefore w:val="0"/>
        <w:kinsoku/>
        <w:wordWrap/>
        <w:overflowPunct/>
        <w:topLinePunct w:val="0"/>
        <w:autoSpaceDE/>
        <w:autoSpaceDN/>
        <w:bidi w:val="0"/>
        <w:adjustRightInd/>
        <w:snapToGrid/>
        <w:spacing w:line="440" w:lineRule="exact"/>
        <w:ind w:firstLine="315" w:firstLineChars="150"/>
        <w:textAlignment w:val="auto"/>
        <w:rPr>
          <w:rFonts w:ascii="宋体" w:hAnsi="宋体" w:cs="宋体"/>
          <w:color w:val="auto"/>
          <w:kern w:val="0"/>
          <w:szCs w:val="21"/>
        </w:rPr>
      </w:pPr>
      <w:r>
        <w:rPr>
          <w:rFonts w:hint="eastAsia" w:ascii="宋体" w:hAnsi="宋体" w:cs="宋体"/>
          <w:color w:val="auto"/>
          <w:kern w:val="0"/>
          <w:szCs w:val="21"/>
        </w:rPr>
        <w:t>http://www.ccgp.gov.cn（中国政府采购网）、http://zfcg.gxzf.gov.cn（广西壮族自治区政府采购网）、http://gxggzy.gxzf.gov.cn（广西壮族自治区公共资源交易中心）</w:t>
      </w:r>
    </w:p>
    <w:bookmarkEnd w:id="38"/>
    <w:bookmarkEnd w:id="39"/>
    <w:p>
      <w:pPr>
        <w:keepNext w:val="0"/>
        <w:keepLines w:val="0"/>
        <w:pageBreakBefore w:val="0"/>
        <w:kinsoku/>
        <w:wordWrap/>
        <w:overflowPunct/>
        <w:topLinePunct w:val="0"/>
        <w:autoSpaceDE/>
        <w:autoSpaceDN/>
        <w:bidi w:val="0"/>
        <w:adjustRightInd/>
        <w:snapToGrid/>
        <w:spacing w:line="440" w:lineRule="exact"/>
        <w:ind w:firstLine="315" w:firstLineChars="150"/>
        <w:textAlignment w:val="auto"/>
        <w:rPr>
          <w:rFonts w:ascii="宋体" w:hAnsi="宋体" w:cs="宋体"/>
          <w:color w:val="auto"/>
          <w:kern w:val="0"/>
          <w:szCs w:val="21"/>
        </w:rPr>
      </w:pPr>
      <w:bookmarkStart w:id="40" w:name="_Hlk37429674"/>
      <w:r>
        <w:rPr>
          <w:rFonts w:hint="eastAsia" w:ascii="宋体" w:hAnsi="宋体"/>
          <w:color w:val="auto"/>
          <w:szCs w:val="21"/>
        </w:rPr>
        <w:t>4</w:t>
      </w:r>
      <w:r>
        <w:rPr>
          <w:rFonts w:ascii="宋体" w:hAnsi="宋体"/>
          <w:color w:val="auto"/>
          <w:szCs w:val="21"/>
        </w:rPr>
        <w:t>.</w:t>
      </w:r>
      <w:r>
        <w:rPr>
          <w:rFonts w:hint="eastAsia" w:ascii="宋体" w:hAnsi="宋体" w:cs="宋体"/>
          <w:color w:val="auto"/>
          <w:kern w:val="0"/>
          <w:szCs w:val="21"/>
        </w:rPr>
        <w:t>本项目需要落实的政府采购政策</w:t>
      </w:r>
    </w:p>
    <w:p>
      <w:pPr>
        <w:keepNext w:val="0"/>
        <w:keepLines w:val="0"/>
        <w:pageBreakBefore w:val="0"/>
        <w:kinsoku/>
        <w:wordWrap/>
        <w:overflowPunct/>
        <w:topLinePunct w:val="0"/>
        <w:autoSpaceDE/>
        <w:autoSpaceDN/>
        <w:bidi w:val="0"/>
        <w:adjustRightInd/>
        <w:snapToGrid/>
        <w:spacing w:line="440" w:lineRule="exact"/>
        <w:ind w:firstLine="315" w:firstLineChars="150"/>
        <w:textAlignment w:val="auto"/>
        <w:rPr>
          <w:rFonts w:ascii="宋体" w:hAnsi="宋体" w:cs="宋体"/>
          <w:color w:val="auto"/>
          <w:kern w:val="0"/>
          <w:szCs w:val="21"/>
        </w:rPr>
      </w:pPr>
      <w:r>
        <w:rPr>
          <w:rFonts w:hint="eastAsia" w:ascii="宋体" w:hAnsi="宋体" w:cs="宋体"/>
          <w:color w:val="auto"/>
          <w:kern w:val="0"/>
          <w:szCs w:val="21"/>
        </w:rPr>
        <w:t>（1）政府采购促进中小企业发展。</w:t>
      </w:r>
    </w:p>
    <w:p>
      <w:pPr>
        <w:keepNext w:val="0"/>
        <w:keepLines w:val="0"/>
        <w:pageBreakBefore w:val="0"/>
        <w:kinsoku/>
        <w:wordWrap/>
        <w:overflowPunct/>
        <w:topLinePunct w:val="0"/>
        <w:autoSpaceDE/>
        <w:autoSpaceDN/>
        <w:bidi w:val="0"/>
        <w:adjustRightInd/>
        <w:snapToGrid/>
        <w:spacing w:line="440" w:lineRule="exact"/>
        <w:ind w:firstLine="315" w:firstLineChars="150"/>
        <w:textAlignment w:val="auto"/>
        <w:rPr>
          <w:rFonts w:ascii="宋体" w:hAnsi="宋体" w:cs="宋体"/>
          <w:color w:val="auto"/>
          <w:kern w:val="0"/>
          <w:szCs w:val="21"/>
        </w:rPr>
      </w:pPr>
      <w:r>
        <w:rPr>
          <w:rFonts w:hint="eastAsia" w:ascii="宋体" w:hAnsi="宋体" w:cs="宋体"/>
          <w:color w:val="auto"/>
          <w:kern w:val="0"/>
          <w:szCs w:val="21"/>
        </w:rPr>
        <w:t>（2）政府采购支持采用本国产品的政策。</w:t>
      </w:r>
    </w:p>
    <w:p>
      <w:pPr>
        <w:keepNext w:val="0"/>
        <w:keepLines w:val="0"/>
        <w:pageBreakBefore w:val="0"/>
        <w:kinsoku/>
        <w:wordWrap/>
        <w:overflowPunct/>
        <w:topLinePunct w:val="0"/>
        <w:autoSpaceDE/>
        <w:autoSpaceDN/>
        <w:bidi w:val="0"/>
        <w:adjustRightInd/>
        <w:snapToGrid/>
        <w:spacing w:line="440" w:lineRule="exact"/>
        <w:ind w:firstLine="315" w:firstLineChars="150"/>
        <w:textAlignment w:val="auto"/>
        <w:rPr>
          <w:rFonts w:ascii="宋体" w:hAnsi="宋体" w:cs="宋体"/>
          <w:color w:val="auto"/>
          <w:kern w:val="0"/>
          <w:szCs w:val="21"/>
        </w:rPr>
      </w:pPr>
      <w:r>
        <w:rPr>
          <w:rFonts w:hint="eastAsia" w:ascii="宋体" w:hAnsi="宋体" w:cs="宋体"/>
          <w:color w:val="auto"/>
          <w:kern w:val="0"/>
          <w:szCs w:val="21"/>
        </w:rPr>
        <w:t>（3）强制采购节能产品；优先采购节能产品、环境标志产品。</w:t>
      </w:r>
    </w:p>
    <w:p>
      <w:pPr>
        <w:keepNext w:val="0"/>
        <w:keepLines w:val="0"/>
        <w:pageBreakBefore w:val="0"/>
        <w:kinsoku/>
        <w:wordWrap/>
        <w:overflowPunct/>
        <w:topLinePunct w:val="0"/>
        <w:autoSpaceDE/>
        <w:autoSpaceDN/>
        <w:bidi w:val="0"/>
        <w:adjustRightInd/>
        <w:snapToGrid/>
        <w:spacing w:line="440" w:lineRule="exact"/>
        <w:ind w:firstLine="315" w:firstLineChars="150"/>
        <w:textAlignment w:val="auto"/>
        <w:rPr>
          <w:rFonts w:ascii="宋体" w:hAnsi="宋体" w:cs="宋体"/>
          <w:color w:val="auto"/>
          <w:kern w:val="0"/>
          <w:szCs w:val="21"/>
        </w:rPr>
      </w:pPr>
      <w:r>
        <w:rPr>
          <w:rFonts w:hint="eastAsia" w:ascii="宋体" w:hAnsi="宋体" w:cs="宋体"/>
          <w:color w:val="auto"/>
          <w:kern w:val="0"/>
          <w:szCs w:val="21"/>
        </w:rPr>
        <w:t>（4）政府采购促进残疾人就业政策。</w:t>
      </w:r>
    </w:p>
    <w:p>
      <w:pPr>
        <w:keepNext w:val="0"/>
        <w:keepLines w:val="0"/>
        <w:pageBreakBefore w:val="0"/>
        <w:kinsoku/>
        <w:wordWrap/>
        <w:overflowPunct/>
        <w:topLinePunct w:val="0"/>
        <w:autoSpaceDE/>
        <w:autoSpaceDN/>
        <w:bidi w:val="0"/>
        <w:adjustRightInd/>
        <w:snapToGrid/>
        <w:spacing w:line="440" w:lineRule="exact"/>
        <w:ind w:firstLine="315" w:firstLineChars="150"/>
        <w:textAlignment w:val="auto"/>
        <w:rPr>
          <w:rFonts w:ascii="宋体" w:hAnsi="宋体" w:cs="宋体"/>
          <w:color w:val="auto"/>
          <w:kern w:val="0"/>
          <w:szCs w:val="21"/>
        </w:rPr>
      </w:pPr>
      <w:r>
        <w:rPr>
          <w:rFonts w:hint="eastAsia" w:ascii="宋体" w:hAnsi="宋体" w:cs="宋体"/>
          <w:color w:val="auto"/>
          <w:kern w:val="0"/>
          <w:szCs w:val="21"/>
        </w:rPr>
        <w:t>（5）政府采购支持监狱企业发展。</w:t>
      </w:r>
    </w:p>
    <w:bookmarkEnd w:id="40"/>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rPr>
      </w:pPr>
      <w:r>
        <w:rPr>
          <w:rFonts w:hint="eastAsia" w:ascii="宋体" w:hAnsi="宋体" w:cs="宋体"/>
          <w:color w:val="auto"/>
          <w:kern w:val="0"/>
          <w:szCs w:val="21"/>
        </w:rPr>
        <w:t>5</w:t>
      </w:r>
      <w:r>
        <w:rPr>
          <w:rFonts w:ascii="宋体" w:hAnsi="宋体" w:cs="宋体"/>
          <w:color w:val="auto"/>
          <w:kern w:val="0"/>
          <w:szCs w:val="21"/>
        </w:rPr>
        <w:t>.</w:t>
      </w:r>
      <w:r>
        <w:rPr>
          <w:rFonts w:hint="eastAsia" w:ascii="宋体" w:hAnsi="宋体" w:cs="宋体"/>
          <w:color w:val="auto"/>
          <w:szCs w:val="21"/>
        </w:rPr>
        <w:t>投标注意事项：</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ascii="宋体" w:hAnsi="宋体" w:cs="宋体"/>
          <w:bCs/>
          <w:color w:val="auto"/>
          <w:szCs w:val="21"/>
        </w:rPr>
      </w:pPr>
      <w:r>
        <w:rPr>
          <w:rFonts w:hint="eastAsia" w:ascii="宋体" w:hAnsi="宋体" w:cs="宋体"/>
          <w:color w:val="auto"/>
          <w:szCs w:val="21"/>
        </w:rPr>
        <w:t>（1）投标文件提交方式：本项目为全流程电子化政府采购项目，通过“政采云”平台（http：//www.zcygov.cn）实行在线电子投标，供应商应先安装“政采云电子交易客户端”（请自行前往“政采云”平台进行下载），并按照本项目招标文件和“政采云”平台的要求编制、加密后在投标截止时间前通过网络上传至“政采云”平台，</w:t>
      </w:r>
      <w:r>
        <w:rPr>
          <w:rFonts w:hint="eastAsia" w:ascii="宋体" w:hAnsi="宋体" w:cs="宋体"/>
          <w:b/>
          <w:color w:val="auto"/>
          <w:szCs w:val="21"/>
        </w:rPr>
        <w:t>供应商在“政采云”平台提交电子版投标文件时，请填写参加远程开标活动经办人联系方式。</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供应商应及时熟悉掌握电子标系统操作指南（见政采云电子卖场首页右上角—服务中心—帮助文档—项目采购）：</w:t>
      </w:r>
      <w:r>
        <w:rPr>
          <w:color w:val="auto"/>
        </w:rPr>
        <w:fldChar w:fldCharType="begin"/>
      </w:r>
      <w:r>
        <w:rPr>
          <w:color w:val="auto"/>
        </w:rPr>
        <w:instrText xml:space="preserve"> HYPERLINK "https://service.zcygov.cn/" \l "/knowledges/tree?tag=AG1DtGwBFdiHxlNdhY0r" </w:instrText>
      </w:r>
      <w:r>
        <w:rPr>
          <w:color w:val="auto"/>
        </w:rPr>
        <w:fldChar w:fldCharType="separate"/>
      </w:r>
      <w:r>
        <w:rPr>
          <w:rFonts w:ascii="宋体" w:hAnsi="宋体" w:cs="宋体"/>
          <w:color w:val="auto"/>
          <w:szCs w:val="21"/>
        </w:rPr>
        <w:t>https://service.zcygov.cn/#/knowledges/tree?tag=AG1DtGwBFdiHxlNdhY0r</w:t>
      </w:r>
      <w:r>
        <w:rPr>
          <w:rFonts w:ascii="宋体" w:hAnsi="宋体" w:cs="宋体"/>
          <w:color w:val="auto"/>
          <w:szCs w:val="21"/>
        </w:rPr>
        <w:fldChar w:fldCharType="end"/>
      </w:r>
      <w:r>
        <w:rPr>
          <w:rFonts w:hint="eastAsia" w:ascii="宋体" w:hAnsi="宋体" w:cs="宋体"/>
          <w:color w:val="auto"/>
          <w:szCs w:val="21"/>
        </w:rPr>
        <w:t>；</w:t>
      </w:r>
      <w:r>
        <w:rPr>
          <w:rFonts w:ascii="宋体" w:hAnsi="宋体" w:cs="宋体"/>
          <w:color w:val="auto"/>
          <w:szCs w:val="21"/>
        </w:rPr>
        <w:t>及时完成CA申领和绑定（见广西壮族自治区政府采购网—办事服务—下载专区-政采云CA证书办理操作指南）。</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rPr>
      </w:pPr>
      <w:r>
        <w:rPr>
          <w:rFonts w:hint="eastAsia" w:ascii="宋体" w:hAnsi="宋体" w:cs="宋体"/>
          <w:color w:val="auto"/>
          <w:szCs w:val="21"/>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rPr>
      </w:pPr>
      <w:r>
        <w:rPr>
          <w:rFonts w:hint="eastAsia" w:ascii="宋体" w:hAnsi="宋体" w:cs="宋体"/>
          <w:color w:val="auto"/>
          <w:szCs w:val="21"/>
        </w:rPr>
        <w:t>（4）为确保网上操作合法、有效和安全，请投标人确保在电子投标过程中能够对相关数据电文进行加密和使用电子签章，妥善保管CA数字证书并使用有效的CA数字证书参与整个采购活动。</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rPr>
      </w:pPr>
      <w:r>
        <w:rPr>
          <w:rStyle w:val="77"/>
          <w:rFonts w:hint="eastAsia" w:ascii="宋体" w:hAnsi="宋体" w:cs="宋体"/>
          <w:color w:val="auto"/>
          <w:szCs w:val="21"/>
        </w:rPr>
        <w:t>（5）因未注册入库、未办理CA数字证书、CA证书故障、操作不当等原因造成无法投标或投标失败等后果由供应商自行承担。</w:t>
      </w:r>
    </w:p>
    <w:p>
      <w:pPr>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ascii="宋体" w:hAnsi="宋体" w:cs="宋体"/>
          <w:b/>
          <w:bCs/>
          <w:color w:val="auto"/>
          <w:szCs w:val="21"/>
        </w:rPr>
      </w:pPr>
      <w:r>
        <w:rPr>
          <w:rFonts w:hint="eastAsia" w:ascii="宋体" w:hAnsi="宋体" w:cs="宋体"/>
          <w:b/>
          <w:bCs/>
          <w:color w:val="auto"/>
          <w:szCs w:val="21"/>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6</w:t>
      </w:r>
      <w:r>
        <w:rPr>
          <w:rFonts w:ascii="宋体" w:hAnsi="宋体" w:cs="宋体"/>
          <w:color w:val="auto"/>
          <w:kern w:val="0"/>
          <w:szCs w:val="21"/>
        </w:rPr>
        <w:t>.</w:t>
      </w:r>
      <w:r>
        <w:rPr>
          <w:rFonts w:hint="eastAsia" w:ascii="宋体" w:hAnsi="宋体" w:cs="宋体"/>
          <w:color w:val="auto"/>
          <w:kern w:val="0"/>
          <w:szCs w:val="21"/>
        </w:rPr>
        <w:t>CA证书在线解密：供应商投标时，需携带制作投标文件时用来加密的有效数字证书（CA认证）登录“政采云”平台电子开标大厅现场按规定时间对加密的投标文件进行解密，否则后果自负。</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7.若对项目采购电子交易系统操作有疑问，可登录“政采云”平台（https://www.zcygov.cn/），点击右侧咨询小采，获取采小蜜智能服务管家帮助，或拨打政采云服务热线400-881-7190获取热线服务帮助。</w:t>
      </w:r>
    </w:p>
    <w:p>
      <w:pPr>
        <w:keepNext w:val="0"/>
        <w:keepLines w:val="0"/>
        <w:pageBreakBefore w:val="0"/>
        <w:kinsoku/>
        <w:wordWrap/>
        <w:overflowPunct/>
        <w:topLinePunct w:val="0"/>
        <w:autoSpaceDE/>
        <w:autoSpaceDN/>
        <w:bidi w:val="0"/>
        <w:adjustRightInd/>
        <w:snapToGrid/>
        <w:spacing w:line="440" w:lineRule="exact"/>
        <w:ind w:firstLine="316" w:firstLineChars="150"/>
        <w:textAlignment w:val="auto"/>
        <w:rPr>
          <w:rFonts w:ascii="宋体" w:hAnsi="宋体" w:cs="宋体"/>
          <w:b/>
          <w:bCs/>
          <w:color w:val="auto"/>
          <w:kern w:val="0"/>
          <w:szCs w:val="21"/>
        </w:rPr>
      </w:pPr>
      <w:r>
        <w:rPr>
          <w:rFonts w:hint="eastAsia" w:ascii="宋体" w:hAnsi="宋体" w:cs="宋体"/>
          <w:b/>
          <w:bCs/>
          <w:color w:val="auto"/>
          <w:kern w:val="0"/>
          <w:szCs w:val="21"/>
        </w:rPr>
        <w:t>8</w:t>
      </w:r>
      <w:r>
        <w:rPr>
          <w:rFonts w:hint="eastAsia" w:ascii="宋体" w:hAnsi="宋体" w:cs="宋体"/>
          <w:b/>
          <w:bCs/>
          <w:color w:val="auto"/>
          <w:kern w:val="0"/>
          <w:szCs w:val="21"/>
          <w:lang w:val="en-US" w:eastAsia="zh-CN"/>
        </w:rPr>
        <w:t>.</w:t>
      </w:r>
      <w:r>
        <w:rPr>
          <w:rFonts w:hint="eastAsia" w:ascii="宋体" w:hAnsi="宋体" w:cs="宋体"/>
          <w:b/>
          <w:bCs/>
          <w:color w:val="auto"/>
          <w:kern w:val="0"/>
          <w:szCs w:val="21"/>
        </w:rPr>
        <w:t>本项目允许供应商参与多个分标投标，同时中标多个分标。</w:t>
      </w:r>
    </w:p>
    <w:p>
      <w:pPr>
        <w:keepNext w:val="0"/>
        <w:keepLines w:val="0"/>
        <w:pageBreakBefore w:val="0"/>
        <w:kinsoku/>
        <w:wordWrap/>
        <w:overflowPunct/>
        <w:topLinePunct w:val="0"/>
        <w:autoSpaceDE/>
        <w:autoSpaceDN/>
        <w:bidi w:val="0"/>
        <w:adjustRightInd/>
        <w:snapToGrid/>
        <w:spacing w:line="440" w:lineRule="exact"/>
        <w:textAlignment w:val="auto"/>
        <w:rPr>
          <w:rFonts w:ascii="黑体" w:hAnsi="黑体" w:eastAsia="黑体"/>
          <w:b/>
          <w:bCs/>
          <w:color w:val="auto"/>
          <w:sz w:val="24"/>
        </w:rPr>
      </w:pPr>
      <w:bookmarkStart w:id="41" w:name="_Toc28359085"/>
      <w:bookmarkStart w:id="42" w:name="_Toc35393796"/>
      <w:bookmarkStart w:id="43" w:name="_Toc35393627"/>
      <w:bookmarkStart w:id="44" w:name="_Toc28359008"/>
      <w:r>
        <w:rPr>
          <w:rFonts w:hint="eastAsia" w:ascii="黑体" w:hAnsi="黑体" w:eastAsia="黑体"/>
          <w:b/>
          <w:bCs/>
          <w:color w:val="auto"/>
          <w:sz w:val="24"/>
        </w:rPr>
        <w:t>七、对本次招标提出询问，请按</w:t>
      </w:r>
      <w:r>
        <w:rPr>
          <w:rFonts w:ascii="黑体" w:hAnsi="黑体" w:eastAsia="黑体"/>
          <w:b/>
          <w:bCs/>
          <w:color w:val="auto"/>
          <w:sz w:val="24"/>
        </w:rPr>
        <w:t>以下方式</w:t>
      </w:r>
      <w:r>
        <w:rPr>
          <w:rFonts w:hint="eastAsia" w:ascii="黑体" w:hAnsi="黑体" w:eastAsia="黑体"/>
          <w:b/>
          <w:bCs/>
          <w:color w:val="auto"/>
          <w:sz w:val="24"/>
        </w:rPr>
        <w:t>联系。</w:t>
      </w:r>
      <w:bookmarkEnd w:id="41"/>
      <w:bookmarkEnd w:id="42"/>
      <w:bookmarkEnd w:id="43"/>
      <w:bookmarkEnd w:id="44"/>
    </w:p>
    <w:p>
      <w:pPr>
        <w:keepNext w:val="0"/>
        <w:keepLines w:val="0"/>
        <w:pageBreakBefore w:val="0"/>
        <w:kinsoku/>
        <w:wordWrap/>
        <w:overflowPunct/>
        <w:topLinePunct w:val="0"/>
        <w:autoSpaceDE/>
        <w:autoSpaceDN/>
        <w:bidi w:val="0"/>
        <w:adjustRightInd/>
        <w:snapToGrid/>
        <w:spacing w:line="440" w:lineRule="exact"/>
        <w:jc w:val="left"/>
        <w:textAlignment w:val="auto"/>
        <w:rPr>
          <w:rFonts w:ascii="宋体" w:hAnsi="宋体" w:cs="宋体"/>
          <w:color w:val="auto"/>
          <w:szCs w:val="21"/>
        </w:rPr>
      </w:pPr>
      <w:r>
        <w:rPr>
          <w:rFonts w:hint="eastAsia" w:ascii="宋体" w:hAnsi="宋体" w:cs="宋体"/>
          <w:color w:val="auto"/>
          <w:szCs w:val="21"/>
        </w:rPr>
        <w:t>　　　1.采购人信息</w:t>
      </w:r>
    </w:p>
    <w:p>
      <w:pPr>
        <w:keepNext w:val="0"/>
        <w:keepLines w:val="0"/>
        <w:pageBreakBefore w:val="0"/>
        <w:kinsoku/>
        <w:wordWrap/>
        <w:overflowPunct/>
        <w:topLinePunct w:val="0"/>
        <w:autoSpaceDE/>
        <w:autoSpaceDN/>
        <w:bidi w:val="0"/>
        <w:adjustRightInd/>
        <w:snapToGrid/>
        <w:spacing w:line="440" w:lineRule="exact"/>
        <w:ind w:firstLine="630" w:firstLineChars="300"/>
        <w:jc w:val="left"/>
        <w:textAlignment w:val="auto"/>
        <w:rPr>
          <w:rFonts w:ascii="宋体" w:hAnsi="宋体"/>
          <w:color w:val="auto"/>
          <w:szCs w:val="21"/>
        </w:rPr>
      </w:pPr>
      <w:r>
        <w:rPr>
          <w:rFonts w:hint="eastAsia" w:ascii="宋体" w:hAnsi="宋体"/>
          <w:color w:val="auto"/>
          <w:szCs w:val="21"/>
        </w:rPr>
        <w:t>名 称：</w:t>
      </w:r>
      <w:r>
        <w:rPr>
          <w:rFonts w:hint="eastAsia" w:ascii="宋体" w:hAnsi="宋体" w:cs="宋体"/>
          <w:color w:val="auto"/>
          <w:szCs w:val="21"/>
          <w:u w:val="single"/>
        </w:rPr>
        <w:t>广西广播电视台</w:t>
      </w:r>
    </w:p>
    <w:p>
      <w:pPr>
        <w:keepNext w:val="0"/>
        <w:keepLines w:val="0"/>
        <w:pageBreakBefore w:val="0"/>
        <w:kinsoku/>
        <w:wordWrap/>
        <w:overflowPunct/>
        <w:topLinePunct w:val="0"/>
        <w:autoSpaceDE/>
        <w:autoSpaceDN/>
        <w:bidi w:val="0"/>
        <w:adjustRightInd/>
        <w:snapToGrid/>
        <w:spacing w:line="440" w:lineRule="exact"/>
        <w:ind w:firstLine="630" w:firstLineChars="300"/>
        <w:textAlignment w:val="auto"/>
        <w:rPr>
          <w:rFonts w:ascii="宋体" w:hAnsi="宋体"/>
          <w:color w:val="auto"/>
          <w:szCs w:val="21"/>
          <w:u w:val="single"/>
        </w:rPr>
      </w:pPr>
      <w:r>
        <w:rPr>
          <w:rFonts w:hint="eastAsia" w:ascii="宋体" w:hAnsi="宋体"/>
          <w:color w:val="auto"/>
          <w:szCs w:val="21"/>
        </w:rPr>
        <w:t>地址：</w:t>
      </w:r>
      <w:r>
        <w:rPr>
          <w:rFonts w:hint="eastAsia" w:ascii="宋体" w:hAnsi="宋体" w:cs="宋体"/>
          <w:color w:val="auto"/>
          <w:kern w:val="0"/>
          <w:szCs w:val="21"/>
        </w:rPr>
        <w:t xml:space="preserve"> </w:t>
      </w:r>
      <w:r>
        <w:rPr>
          <w:rFonts w:hint="eastAsia" w:ascii="宋体" w:hAnsi="宋体" w:cs="宋体"/>
          <w:color w:val="auto"/>
          <w:u w:val="single"/>
        </w:rPr>
        <w:t>广西壮族自治区南宁市民族大道73-75号</w:t>
      </w:r>
    </w:p>
    <w:p>
      <w:pPr>
        <w:keepNext w:val="0"/>
        <w:keepLines w:val="0"/>
        <w:pageBreakBefore w:val="0"/>
        <w:kinsoku/>
        <w:wordWrap/>
        <w:overflowPunct/>
        <w:topLinePunct w:val="0"/>
        <w:autoSpaceDE/>
        <w:autoSpaceDN/>
        <w:bidi w:val="0"/>
        <w:adjustRightInd/>
        <w:snapToGrid/>
        <w:spacing w:line="440" w:lineRule="exact"/>
        <w:ind w:firstLine="630" w:firstLineChars="300"/>
        <w:jc w:val="left"/>
        <w:textAlignment w:val="auto"/>
        <w:rPr>
          <w:rFonts w:ascii="宋体" w:hAnsi="宋体"/>
          <w:color w:val="auto"/>
          <w:szCs w:val="21"/>
          <w:u w:val="single"/>
        </w:rPr>
      </w:pPr>
      <w:r>
        <w:rPr>
          <w:rFonts w:hint="eastAsia" w:ascii="宋体" w:hAnsi="宋体"/>
          <w:color w:val="auto"/>
          <w:szCs w:val="21"/>
        </w:rPr>
        <w:t>联系方式：</w:t>
      </w:r>
      <w:bookmarkStart w:id="45" w:name="_Toc28359009"/>
      <w:bookmarkStart w:id="46" w:name="_Toc28359086"/>
      <w:r>
        <w:rPr>
          <w:rFonts w:hint="eastAsia" w:ascii="宋体" w:hAnsi="宋体"/>
          <w:color w:val="auto"/>
          <w:szCs w:val="21"/>
          <w:u w:val="single"/>
        </w:rPr>
        <w:t>杨为燕 13471191347， 蒋进 13878194741</w:t>
      </w:r>
    </w:p>
    <w:p>
      <w:pPr>
        <w:keepNext w:val="0"/>
        <w:keepLines w:val="0"/>
        <w:pageBreakBefore w:val="0"/>
        <w:kinsoku/>
        <w:wordWrap/>
        <w:overflowPunct/>
        <w:topLinePunct w:val="0"/>
        <w:autoSpaceDE/>
        <w:autoSpaceDN/>
        <w:bidi w:val="0"/>
        <w:adjustRightInd/>
        <w:snapToGrid/>
        <w:spacing w:line="440" w:lineRule="exact"/>
        <w:ind w:firstLine="630" w:firstLineChars="300"/>
        <w:jc w:val="left"/>
        <w:textAlignment w:val="auto"/>
        <w:rPr>
          <w:rFonts w:ascii="宋体" w:hAnsi="宋体"/>
          <w:color w:val="auto"/>
          <w:szCs w:val="21"/>
        </w:rPr>
      </w:pPr>
      <w:r>
        <w:rPr>
          <w:rFonts w:hint="eastAsia" w:ascii="宋体" w:hAnsi="宋体" w:cs="宋体"/>
          <w:color w:val="auto"/>
          <w:szCs w:val="21"/>
        </w:rPr>
        <w:t>2.采购代理机构信息</w:t>
      </w:r>
      <w:bookmarkEnd w:id="45"/>
      <w:bookmarkEnd w:id="46"/>
    </w:p>
    <w:p>
      <w:pPr>
        <w:keepNext w:val="0"/>
        <w:keepLines w:val="0"/>
        <w:pageBreakBefore w:val="0"/>
        <w:kinsoku/>
        <w:wordWrap/>
        <w:overflowPunct/>
        <w:topLinePunct w:val="0"/>
        <w:autoSpaceDE/>
        <w:autoSpaceDN/>
        <w:bidi w:val="0"/>
        <w:adjustRightInd/>
        <w:snapToGrid/>
        <w:spacing w:line="440" w:lineRule="exact"/>
        <w:ind w:firstLine="630" w:firstLineChars="300"/>
        <w:textAlignment w:val="auto"/>
        <w:rPr>
          <w:rFonts w:ascii="宋体" w:hAnsi="宋体"/>
          <w:color w:val="auto"/>
          <w:szCs w:val="21"/>
        </w:rPr>
      </w:pPr>
      <w:r>
        <w:rPr>
          <w:rFonts w:hint="eastAsia" w:ascii="宋体" w:hAnsi="宋体"/>
          <w:color w:val="auto"/>
          <w:szCs w:val="21"/>
        </w:rPr>
        <w:t>名 称：</w:t>
      </w:r>
      <w:r>
        <w:rPr>
          <w:rFonts w:hint="eastAsia" w:ascii="宋体" w:hAnsi="宋体" w:cs="宋体"/>
          <w:color w:val="auto"/>
          <w:szCs w:val="21"/>
          <w:u w:val="single"/>
        </w:rPr>
        <w:t>中资国际工程咨询集团有限责任公司</w:t>
      </w:r>
    </w:p>
    <w:p>
      <w:pPr>
        <w:keepNext w:val="0"/>
        <w:keepLines w:val="0"/>
        <w:pageBreakBefore w:val="0"/>
        <w:kinsoku/>
        <w:wordWrap/>
        <w:overflowPunct/>
        <w:topLinePunct w:val="0"/>
        <w:autoSpaceDE/>
        <w:autoSpaceDN/>
        <w:bidi w:val="0"/>
        <w:adjustRightInd/>
        <w:snapToGrid/>
        <w:spacing w:line="440" w:lineRule="exact"/>
        <w:ind w:firstLine="630" w:firstLineChars="300"/>
        <w:textAlignment w:val="auto"/>
        <w:rPr>
          <w:rFonts w:ascii="宋体" w:hAnsi="宋体"/>
          <w:color w:val="auto"/>
          <w:szCs w:val="21"/>
        </w:rPr>
      </w:pPr>
      <w:r>
        <w:rPr>
          <w:rFonts w:hint="eastAsia" w:ascii="宋体" w:hAnsi="宋体"/>
          <w:color w:val="auto"/>
          <w:szCs w:val="21"/>
        </w:rPr>
        <w:t>地　址：</w:t>
      </w:r>
      <w:r>
        <w:rPr>
          <w:rFonts w:hint="eastAsia" w:ascii="宋体" w:hAnsi="宋体" w:cs="宋体"/>
          <w:color w:val="auto"/>
          <w:szCs w:val="21"/>
          <w:u w:val="single"/>
        </w:rPr>
        <w:t>南宁市青秀区长园路8号大地华城S3-01号商场三楼</w:t>
      </w:r>
    </w:p>
    <w:p>
      <w:pPr>
        <w:keepNext w:val="0"/>
        <w:keepLines w:val="0"/>
        <w:pageBreakBefore w:val="0"/>
        <w:kinsoku/>
        <w:wordWrap/>
        <w:overflowPunct/>
        <w:topLinePunct w:val="0"/>
        <w:autoSpaceDE/>
        <w:autoSpaceDN/>
        <w:bidi w:val="0"/>
        <w:adjustRightInd/>
        <w:snapToGrid/>
        <w:spacing w:line="440" w:lineRule="exact"/>
        <w:ind w:firstLine="630" w:firstLineChars="300"/>
        <w:textAlignment w:val="auto"/>
        <w:rPr>
          <w:rFonts w:ascii="宋体" w:hAnsi="宋体" w:cs="宋体"/>
          <w:color w:val="auto"/>
          <w:szCs w:val="21"/>
        </w:rPr>
      </w:pPr>
      <w:r>
        <w:rPr>
          <w:rFonts w:hint="eastAsia" w:ascii="宋体" w:hAnsi="宋体" w:cs="宋体"/>
          <w:color w:val="auto"/>
          <w:szCs w:val="21"/>
        </w:rPr>
        <w:t>联系方式：</w:t>
      </w:r>
      <w:bookmarkStart w:id="47" w:name="_Toc28359087"/>
      <w:bookmarkStart w:id="48" w:name="_Toc28359010"/>
      <w:r>
        <w:rPr>
          <w:rFonts w:hint="eastAsia" w:ascii="宋体" w:hAnsi="宋体"/>
          <w:color w:val="auto"/>
          <w:szCs w:val="21"/>
          <w:u w:val="single"/>
        </w:rPr>
        <w:t>郭乃华，</w:t>
      </w:r>
      <w:r>
        <w:rPr>
          <w:rFonts w:hint="eastAsia" w:ascii="宋体" w:hAnsi="宋体" w:cs="宋体"/>
          <w:color w:val="auto"/>
          <w:szCs w:val="21"/>
          <w:u w:val="single"/>
        </w:rPr>
        <w:t>0771-5675006；0771-5823176</w:t>
      </w:r>
    </w:p>
    <w:p>
      <w:pPr>
        <w:keepNext w:val="0"/>
        <w:keepLines w:val="0"/>
        <w:pageBreakBefore w:val="0"/>
        <w:kinsoku/>
        <w:wordWrap/>
        <w:overflowPunct/>
        <w:topLinePunct w:val="0"/>
        <w:autoSpaceDE/>
        <w:autoSpaceDN/>
        <w:bidi w:val="0"/>
        <w:adjustRightInd/>
        <w:snapToGrid/>
        <w:spacing w:line="440" w:lineRule="exact"/>
        <w:ind w:firstLine="630" w:firstLineChars="300"/>
        <w:textAlignment w:val="auto"/>
        <w:rPr>
          <w:rFonts w:ascii="宋体" w:hAnsi="宋体" w:cs="宋体"/>
          <w:color w:val="auto"/>
          <w:szCs w:val="21"/>
          <w:u w:val="single"/>
        </w:rPr>
      </w:pPr>
      <w:r>
        <w:rPr>
          <w:rFonts w:hint="eastAsia" w:ascii="宋体" w:hAnsi="宋体" w:cs="宋体"/>
          <w:color w:val="auto"/>
          <w:szCs w:val="21"/>
        </w:rPr>
        <w:t>3.项目联系方式</w:t>
      </w:r>
      <w:bookmarkEnd w:id="47"/>
      <w:bookmarkEnd w:id="48"/>
    </w:p>
    <w:p>
      <w:pPr>
        <w:pStyle w:val="18"/>
        <w:keepNext w:val="0"/>
        <w:keepLines w:val="0"/>
        <w:pageBreakBefore w:val="0"/>
        <w:kinsoku/>
        <w:wordWrap/>
        <w:overflowPunct/>
        <w:topLinePunct w:val="0"/>
        <w:autoSpaceDE/>
        <w:autoSpaceDN/>
        <w:bidi w:val="0"/>
        <w:adjustRightInd/>
        <w:snapToGrid/>
        <w:spacing w:line="440" w:lineRule="exact"/>
        <w:ind w:firstLine="630" w:firstLineChars="300"/>
        <w:textAlignment w:val="auto"/>
        <w:rPr>
          <w:rFonts w:hAnsi="宋体" w:cs="宋体"/>
          <w:color w:val="auto"/>
          <w:szCs w:val="21"/>
        </w:rPr>
      </w:pPr>
      <w:r>
        <w:rPr>
          <w:rFonts w:hint="eastAsia" w:hAnsi="宋体" w:cs="宋体"/>
          <w:color w:val="auto"/>
          <w:szCs w:val="21"/>
        </w:rPr>
        <w:t>项目联系人：</w:t>
      </w:r>
      <w:r>
        <w:rPr>
          <w:rFonts w:hint="eastAsia" w:hAnsi="宋体" w:cs="宋体"/>
          <w:color w:val="auto"/>
          <w:szCs w:val="21"/>
          <w:u w:val="single"/>
        </w:rPr>
        <w:t xml:space="preserve"> 郭乃华 </w:t>
      </w:r>
    </w:p>
    <w:p>
      <w:pPr>
        <w:keepNext w:val="0"/>
        <w:keepLines w:val="0"/>
        <w:pageBreakBefore w:val="0"/>
        <w:kinsoku/>
        <w:wordWrap/>
        <w:overflowPunct/>
        <w:topLinePunct w:val="0"/>
        <w:autoSpaceDE/>
        <w:autoSpaceDN/>
        <w:bidi w:val="0"/>
        <w:adjustRightInd/>
        <w:snapToGrid/>
        <w:spacing w:line="440" w:lineRule="exact"/>
        <w:ind w:firstLine="630" w:firstLineChars="300"/>
        <w:textAlignment w:val="auto"/>
        <w:rPr>
          <w:rFonts w:ascii="宋体" w:hAnsi="宋体" w:cs="宋体"/>
          <w:color w:val="auto"/>
          <w:szCs w:val="21"/>
          <w:u w:val="single"/>
        </w:rPr>
      </w:pPr>
      <w:r>
        <w:rPr>
          <w:rFonts w:hint="eastAsia" w:ascii="宋体" w:hAnsi="宋体" w:cs="宋体"/>
          <w:color w:val="auto"/>
          <w:szCs w:val="21"/>
        </w:rPr>
        <w:t>电　话：</w:t>
      </w:r>
      <w:r>
        <w:rPr>
          <w:rFonts w:hint="eastAsia" w:ascii="宋体" w:hAnsi="宋体" w:cs="宋体"/>
          <w:color w:val="auto"/>
          <w:szCs w:val="21"/>
          <w:u w:val="single"/>
        </w:rPr>
        <w:t>0771-5675006；0771-5823176</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olor w:val="auto"/>
          <w:szCs w:val="21"/>
          <w:u w:val="single"/>
        </w:rPr>
      </w:pPr>
    </w:p>
    <w:p>
      <w:pPr>
        <w:keepNext w:val="0"/>
        <w:keepLines w:val="0"/>
        <w:pageBreakBefore w:val="0"/>
        <w:kinsoku/>
        <w:wordWrap/>
        <w:overflowPunct/>
        <w:topLinePunct w:val="0"/>
        <w:autoSpaceDE/>
        <w:autoSpaceDN/>
        <w:bidi w:val="0"/>
        <w:adjustRightInd/>
        <w:snapToGrid/>
        <w:spacing w:line="440" w:lineRule="exact"/>
        <w:jc w:val="right"/>
        <w:textAlignment w:val="auto"/>
        <w:rPr>
          <w:rFonts w:ascii="宋体" w:hAnsi="宋体"/>
          <w:color w:val="auto"/>
          <w:szCs w:val="21"/>
          <w:u w:val="single"/>
        </w:rPr>
      </w:pPr>
      <w:r>
        <w:rPr>
          <w:rFonts w:hint="eastAsia" w:ascii="宋体" w:hAnsi="宋体" w:cs="宋体"/>
          <w:color w:val="auto"/>
          <w:szCs w:val="21"/>
          <w:u w:val="single"/>
        </w:rPr>
        <w:t>中资国际工程咨询集团有限责任公司</w:t>
      </w:r>
    </w:p>
    <w:p>
      <w:pPr>
        <w:keepNext w:val="0"/>
        <w:keepLines w:val="0"/>
        <w:pageBreakBefore w:val="0"/>
        <w:kinsoku/>
        <w:wordWrap/>
        <w:overflowPunct/>
        <w:topLinePunct w:val="0"/>
        <w:autoSpaceDE/>
        <w:autoSpaceDN/>
        <w:bidi w:val="0"/>
        <w:adjustRightInd/>
        <w:snapToGrid/>
        <w:spacing w:line="440" w:lineRule="exact"/>
        <w:ind w:firstLine="210" w:firstLineChars="100"/>
        <w:jc w:val="right"/>
        <w:textAlignment w:val="auto"/>
        <w:rPr>
          <w:rFonts w:ascii="宋体" w:hAnsi="宋体"/>
          <w:color w:val="auto"/>
        </w:rPr>
      </w:pPr>
      <w:r>
        <w:rPr>
          <w:rFonts w:hint="eastAsia" w:ascii="宋体" w:hAnsi="宋体"/>
          <w:color w:val="auto"/>
          <w:szCs w:val="21"/>
          <w:u w:val="single"/>
        </w:rPr>
        <w:t>2022</w:t>
      </w:r>
      <w:r>
        <w:rPr>
          <w:rFonts w:hint="eastAsia" w:ascii="宋体" w:hAnsi="宋体"/>
          <w:color w:val="auto"/>
          <w:szCs w:val="21"/>
        </w:rPr>
        <w:t>年</w:t>
      </w:r>
      <w:r>
        <w:rPr>
          <w:rFonts w:hint="eastAsia" w:ascii="宋体" w:hAnsi="宋体"/>
          <w:color w:val="auto"/>
          <w:szCs w:val="21"/>
          <w:u w:val="single"/>
        </w:rPr>
        <w:t xml:space="preserve"> 10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u w:val="single"/>
          <w:lang w:val="en-US" w:eastAsia="zh-CN"/>
        </w:rPr>
        <w:t>26</w:t>
      </w:r>
      <w:r>
        <w:rPr>
          <w:rFonts w:hint="eastAsia" w:ascii="宋体" w:hAnsi="宋体"/>
          <w:color w:val="auto"/>
          <w:szCs w:val="21"/>
          <w:u w:val="single"/>
        </w:rPr>
        <w:t xml:space="preserve"> </w:t>
      </w:r>
      <w:r>
        <w:rPr>
          <w:rFonts w:hint="eastAsia" w:ascii="宋体" w:hAnsi="宋体"/>
          <w:color w:val="auto"/>
          <w:szCs w:val="21"/>
        </w:rPr>
        <w:t>日</w:t>
      </w:r>
    </w:p>
    <w:p>
      <w:pPr>
        <w:keepNext w:val="0"/>
        <w:keepLines w:val="0"/>
        <w:pageBreakBefore w:val="0"/>
        <w:kinsoku/>
        <w:wordWrap/>
        <w:overflowPunct/>
        <w:topLinePunct w:val="0"/>
        <w:autoSpaceDE/>
        <w:autoSpaceDN/>
        <w:bidi w:val="0"/>
        <w:adjustRightInd/>
        <w:snapToGrid/>
        <w:spacing w:line="440" w:lineRule="exact"/>
        <w:textAlignment w:val="auto"/>
        <w:rPr>
          <w:rFonts w:ascii="仿宋_GB2312" w:hAnsi="宋体" w:eastAsia="仿宋_GB2312"/>
          <w:color w:val="auto"/>
          <w:sz w:val="24"/>
          <w:szCs w:val="20"/>
        </w:rPr>
      </w:pPr>
    </w:p>
    <w:p>
      <w:pPr>
        <w:pStyle w:val="4"/>
        <w:keepNext w:val="0"/>
        <w:keepLines w:val="0"/>
        <w:jc w:val="center"/>
        <w:rPr>
          <w:color w:val="auto"/>
          <w:sz w:val="30"/>
          <w:szCs w:val="30"/>
        </w:rPr>
      </w:pPr>
      <w:bookmarkStart w:id="49" w:name="_Toc19686830"/>
      <w:r>
        <w:rPr>
          <w:rFonts w:hint="eastAsia"/>
          <w:color w:val="auto"/>
        </w:rPr>
        <w:br w:type="page"/>
      </w:r>
      <w:r>
        <w:rPr>
          <w:rFonts w:hint="eastAsia"/>
          <w:color w:val="auto"/>
        </w:rPr>
        <w:t>第二章  采购需求</w:t>
      </w:r>
      <w:bookmarkEnd w:id="49"/>
    </w:p>
    <w:p>
      <w:pPr>
        <w:spacing w:line="360" w:lineRule="auto"/>
        <w:ind w:firstLine="420" w:firstLineChars="200"/>
        <w:jc w:val="left"/>
        <w:rPr>
          <w:rFonts w:ascii="宋体" w:hAnsi="宋体" w:cs="宋体"/>
          <w:color w:val="auto"/>
          <w:szCs w:val="21"/>
        </w:rPr>
      </w:pPr>
      <w:bookmarkStart w:id="50" w:name="_Toc254970631"/>
      <w:bookmarkStart w:id="51" w:name="_Toc254970490"/>
      <w:r>
        <w:rPr>
          <w:rFonts w:hint="eastAsia" w:ascii="宋体" w:hAnsi="宋体" w:cs="宋体"/>
          <w:color w:val="auto"/>
          <w:szCs w:val="21"/>
        </w:rPr>
        <w:t>说明：</w:t>
      </w:r>
    </w:p>
    <w:p>
      <w:pPr>
        <w:spacing w:line="360" w:lineRule="auto"/>
        <w:ind w:firstLine="420" w:firstLineChars="200"/>
        <w:jc w:val="left"/>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货物属于品目清单内标注“★”的产品时，投标人的投标货物必须使用政府强制采购的节能产品，投标人必须在投标文件中提供所投标产品的节能产品认证证书复印件（加盖投标人公章），否则投标文件作无效处理。如本项目包含的货物属于品目清单内非标注“★”的产品时，应优先采购，具体详见“第四章 评标方法和评标标准”。</w:t>
      </w:r>
    </w:p>
    <w:p>
      <w:pPr>
        <w:spacing w:line="360" w:lineRule="auto"/>
        <w:ind w:firstLine="420" w:firstLineChars="200"/>
        <w:jc w:val="left"/>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.“实质性要求”是指招标文件中已经指明不满足则投标无效的条款，或者不能负偏离的条款，或者采购需求中带“▲”的条款。</w:t>
      </w:r>
    </w:p>
    <w:p>
      <w:pPr>
        <w:spacing w:line="360" w:lineRule="auto"/>
        <w:ind w:firstLine="420" w:firstLineChars="200"/>
        <w:jc w:val="left"/>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pPr>
        <w:spacing w:line="360" w:lineRule="auto"/>
        <w:ind w:firstLine="420" w:firstLineChars="200"/>
        <w:jc w:val="left"/>
        <w:rPr>
          <w:color w:val="auto"/>
        </w:rPr>
      </w:pPr>
      <w:r>
        <w:rPr>
          <w:rFonts w:hint="eastAsia" w:ascii="宋体" w:hAnsi="宋体" w:cs="宋体"/>
          <w:color w:val="auto"/>
          <w:szCs w:val="21"/>
        </w:rPr>
        <w:t>4.投标人应根据自身实际情况响应招标文件采购需求中的各项</w:t>
      </w:r>
      <w:r>
        <w:rPr>
          <w:rFonts w:hint="eastAsia" w:ascii="宋体" w:hAnsi="宋体"/>
          <w:color w:val="auto"/>
          <w:szCs w:val="21"/>
        </w:rPr>
        <w:t>需求，</w:t>
      </w:r>
      <w:r>
        <w:rPr>
          <w:rFonts w:hint="eastAsia"/>
          <w:color w:val="auto"/>
        </w:rPr>
        <w:t>对于重要技术条款或技术参数应当在投标文件中提供技术支持资料。技术支持资料以投标货物</w:t>
      </w:r>
      <w:r>
        <w:rPr>
          <w:rFonts w:hint="eastAsia" w:ascii="宋体" w:hAnsi="宋体" w:cs="宋体"/>
          <w:color w:val="auto"/>
          <w:szCs w:val="21"/>
        </w:rPr>
        <w:t>生产厂家</w:t>
      </w:r>
      <w:r>
        <w:rPr>
          <w:rFonts w:hint="eastAsia"/>
          <w:color w:val="auto"/>
        </w:rPr>
        <w:t>公开发布的印刷资料或检测机构出具的检测报告或招标文件中允许的其它形式为准。凡不符合上述要求的，将视为无效技术支持资料。</w:t>
      </w:r>
    </w:p>
    <w:p>
      <w:pPr>
        <w:spacing w:line="360" w:lineRule="auto"/>
        <w:ind w:firstLine="420" w:firstLineChars="200"/>
        <w:jc w:val="left"/>
        <w:rPr>
          <w:rFonts w:ascii="宋体" w:hAnsi="宋体"/>
          <w:color w:val="auto"/>
          <w:szCs w:val="21"/>
        </w:rPr>
      </w:pPr>
      <w:r>
        <w:rPr>
          <w:rFonts w:hint="eastAsia" w:ascii="宋体" w:hAnsi="宋体" w:cs="宋体"/>
          <w:color w:val="auto"/>
          <w:szCs w:val="21"/>
        </w:rPr>
        <w:t>5</w:t>
      </w:r>
      <w:r>
        <w:rPr>
          <w:rFonts w:ascii="宋体" w:hAnsi="宋体" w:cs="宋体"/>
          <w:color w:val="auto"/>
          <w:szCs w:val="21"/>
        </w:rPr>
        <w:t>.</w:t>
      </w:r>
      <w:r>
        <w:rPr>
          <w:color w:val="auto"/>
        </w:rPr>
        <w:t>供应商必须自行为其</w:t>
      </w:r>
      <w:r>
        <w:rPr>
          <w:rFonts w:hint="eastAsia"/>
          <w:color w:val="auto"/>
        </w:rPr>
        <w:t>投标</w:t>
      </w:r>
      <w:r>
        <w:rPr>
          <w:color w:val="auto"/>
        </w:rPr>
        <w:t>产品侵犯</w:t>
      </w:r>
      <w:r>
        <w:rPr>
          <w:rFonts w:hint="eastAsia"/>
          <w:color w:val="auto"/>
        </w:rPr>
        <w:t>他人的知识产权或者专利成果的行为</w:t>
      </w:r>
      <w:r>
        <w:rPr>
          <w:color w:val="auto"/>
        </w:rPr>
        <w:t>承担相应法律责任</w:t>
      </w:r>
      <w:r>
        <w:rPr>
          <w:rFonts w:hint="eastAsia"/>
          <w:color w:val="auto"/>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6.本采购需求中技术要求所使用的标准或应用标准如与供应商所执行的标准不一致时，按最新标准或较高标准执行。</w:t>
      </w:r>
    </w:p>
    <w:p>
      <w:pPr>
        <w:spacing w:line="360" w:lineRule="auto"/>
        <w:ind w:firstLine="422" w:firstLineChars="200"/>
        <w:jc w:val="left"/>
        <w:rPr>
          <w:rFonts w:ascii="宋体" w:hAnsi="宋体" w:cs="宋体"/>
          <w:b/>
          <w:bCs/>
          <w:color w:val="auto"/>
          <w:szCs w:val="21"/>
          <w:u w:val="single"/>
        </w:rPr>
      </w:pPr>
      <w:r>
        <w:rPr>
          <w:rFonts w:hint="eastAsia" w:ascii="宋体" w:hAnsi="宋体" w:cs="宋体"/>
          <w:b/>
          <w:bCs/>
          <w:color w:val="auto"/>
          <w:szCs w:val="21"/>
        </w:rPr>
        <w:t>7.本项目所属行业：</w:t>
      </w:r>
      <w:r>
        <w:rPr>
          <w:rFonts w:hint="eastAsia" w:ascii="宋体" w:hAnsi="宋体" w:cs="宋体"/>
          <w:b/>
          <w:bCs/>
          <w:color w:val="auto"/>
          <w:szCs w:val="21"/>
          <w:u w:val="single"/>
        </w:rPr>
        <w:t>信息传输业</w:t>
      </w:r>
      <w:r>
        <w:rPr>
          <w:rFonts w:hint="eastAsia" w:ascii="宋体" w:hAnsi="宋体" w:cs="宋体"/>
          <w:b/>
          <w:bCs/>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8.预算金额：</w:t>
      </w:r>
      <w:r>
        <w:rPr>
          <w:rFonts w:hint="eastAsia" w:ascii="宋体" w:hAnsi="宋体" w:cs="宋体"/>
          <w:b/>
          <w:bCs/>
          <w:color w:val="auto"/>
          <w:szCs w:val="21"/>
        </w:rPr>
        <w:t>人民币（大写）贰仟万元整（¥20,000,000.00元）</w:t>
      </w:r>
      <w:r>
        <w:rPr>
          <w:rFonts w:hint="eastAsia" w:ascii="宋体" w:hAnsi="宋体" w:cs="宋体"/>
          <w:color w:val="auto"/>
          <w:szCs w:val="21"/>
        </w:rPr>
        <w:t>（其中分标1预算金额为人民币（大写）壹仟叁佰万元整（¥13,000,000.00元）；分标2预算金额为人民币（大写）柒佰万元整（¥7,000,000.00元））。</w:t>
      </w:r>
    </w:p>
    <w:p>
      <w:pPr>
        <w:spacing w:line="360" w:lineRule="auto"/>
        <w:ind w:firstLine="420" w:firstLineChars="200"/>
        <w:rPr>
          <w:color w:val="auto"/>
        </w:rPr>
      </w:pPr>
      <w:r>
        <w:rPr>
          <w:rFonts w:hint="eastAsia" w:ascii="宋体" w:hAnsi="宋体" w:cs="宋体"/>
          <w:color w:val="auto"/>
          <w:szCs w:val="21"/>
        </w:rPr>
        <w:t>9.最高限价：</w:t>
      </w:r>
      <w:r>
        <w:rPr>
          <w:rFonts w:hint="eastAsia" w:ascii="宋体" w:hAnsi="宋体" w:cs="宋体"/>
          <w:b/>
          <w:bCs/>
          <w:color w:val="auto"/>
          <w:szCs w:val="21"/>
        </w:rPr>
        <w:t>人民币（大写）贰仟万元整（¥20,000,000.00元）</w:t>
      </w:r>
      <w:r>
        <w:rPr>
          <w:rFonts w:hint="eastAsia" w:ascii="宋体" w:hAnsi="宋体" w:cs="宋体"/>
          <w:color w:val="auto"/>
          <w:szCs w:val="21"/>
        </w:rPr>
        <w:t>（其中分标1最高限价为人民币（大写）壹仟叁佰万元整（¥13,000,000.00元）；分标2最高限价为人民币（大写）柒佰万元整（¥7,000,000.00元））。</w:t>
      </w:r>
    </w:p>
    <w:p>
      <w:pPr>
        <w:spacing w:line="360" w:lineRule="auto"/>
        <w:ind w:firstLine="219" w:firstLineChars="104"/>
        <w:jc w:val="left"/>
        <w:rPr>
          <w:rFonts w:ascii="宋体" w:hAnsi="宋体" w:cs="宋体"/>
          <w:b/>
          <w:bCs/>
          <w:color w:val="auto"/>
          <w:szCs w:val="21"/>
        </w:rPr>
      </w:pPr>
    </w:p>
    <w:p>
      <w:pPr>
        <w:spacing w:line="360" w:lineRule="auto"/>
        <w:ind w:firstLine="219" w:firstLineChars="104"/>
        <w:jc w:val="left"/>
        <w:rPr>
          <w:rFonts w:ascii="宋体" w:hAnsi="宋体" w:cs="宋体"/>
          <w:b/>
          <w:bCs/>
          <w:color w:val="auto"/>
          <w:szCs w:val="21"/>
        </w:rPr>
      </w:pPr>
      <w:r>
        <w:rPr>
          <w:rFonts w:hint="eastAsia" w:ascii="宋体" w:hAnsi="宋体" w:cs="宋体"/>
          <w:b/>
          <w:bCs/>
          <w:color w:val="auto"/>
          <w:szCs w:val="21"/>
        </w:rPr>
        <w:t>分标1：播出视频服务器系统</w:t>
      </w:r>
    </w:p>
    <w:tbl>
      <w:tblPr>
        <w:tblStyle w:val="35"/>
        <w:tblW w:w="102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8"/>
        <w:gridCol w:w="856"/>
        <w:gridCol w:w="930"/>
        <w:gridCol w:w="6435"/>
        <w:gridCol w:w="1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478" w:type="dxa"/>
            <w:vAlign w:val="center"/>
          </w:tcPr>
          <w:p>
            <w:pPr>
              <w:tabs>
                <w:tab w:val="left" w:pos="180"/>
                <w:tab w:val="left" w:pos="1620"/>
              </w:tabs>
              <w:spacing w:line="360" w:lineRule="exact"/>
              <w:jc w:val="center"/>
              <w:rPr>
                <w:rFonts w:ascii="宋体" w:hAnsi="宋体" w:cs="宋体"/>
                <w:b/>
                <w:bCs/>
                <w:color w:val="auto"/>
                <w:szCs w:val="21"/>
              </w:rPr>
            </w:pPr>
            <w:r>
              <w:rPr>
                <w:rFonts w:hint="eastAsia" w:ascii="宋体" w:hAnsi="宋体" w:cs="宋体"/>
                <w:b/>
                <w:bCs/>
                <w:color w:val="auto"/>
                <w:szCs w:val="21"/>
              </w:rPr>
              <w:t>序号</w:t>
            </w:r>
          </w:p>
        </w:tc>
        <w:tc>
          <w:tcPr>
            <w:tcW w:w="856" w:type="dxa"/>
            <w:vAlign w:val="center"/>
          </w:tcPr>
          <w:p>
            <w:pPr>
              <w:tabs>
                <w:tab w:val="left" w:pos="180"/>
                <w:tab w:val="left" w:pos="1620"/>
              </w:tabs>
              <w:spacing w:line="360" w:lineRule="exact"/>
              <w:jc w:val="center"/>
              <w:rPr>
                <w:rFonts w:ascii="宋体" w:hAnsi="宋体" w:cs="宋体"/>
                <w:b/>
                <w:bCs/>
                <w:color w:val="auto"/>
                <w:szCs w:val="21"/>
              </w:rPr>
            </w:pPr>
            <w:r>
              <w:rPr>
                <w:rFonts w:hint="eastAsia" w:ascii="宋体" w:hAnsi="宋体" w:cs="宋体"/>
                <w:b/>
                <w:bCs/>
                <w:color w:val="auto"/>
                <w:szCs w:val="21"/>
              </w:rPr>
              <w:t>标的的名称</w:t>
            </w:r>
          </w:p>
        </w:tc>
        <w:tc>
          <w:tcPr>
            <w:tcW w:w="930" w:type="dxa"/>
            <w:vAlign w:val="center"/>
          </w:tcPr>
          <w:p>
            <w:pPr>
              <w:tabs>
                <w:tab w:val="left" w:pos="180"/>
                <w:tab w:val="left" w:pos="1620"/>
              </w:tabs>
              <w:spacing w:line="360" w:lineRule="exact"/>
              <w:jc w:val="center"/>
              <w:rPr>
                <w:rFonts w:ascii="宋体" w:hAnsi="宋体" w:cs="宋体"/>
                <w:b/>
                <w:bCs/>
                <w:color w:val="auto"/>
                <w:szCs w:val="21"/>
              </w:rPr>
            </w:pPr>
            <w:r>
              <w:rPr>
                <w:rFonts w:hint="eastAsia" w:ascii="宋体" w:hAnsi="宋体" w:cs="宋体"/>
                <w:b/>
                <w:bCs/>
                <w:color w:val="auto"/>
                <w:szCs w:val="21"/>
              </w:rPr>
              <w:t>数量及</w:t>
            </w:r>
          </w:p>
          <w:p>
            <w:pPr>
              <w:tabs>
                <w:tab w:val="left" w:pos="180"/>
                <w:tab w:val="left" w:pos="1620"/>
              </w:tabs>
              <w:spacing w:line="360" w:lineRule="exact"/>
              <w:jc w:val="center"/>
              <w:rPr>
                <w:rFonts w:ascii="宋体" w:hAnsi="宋体" w:cs="宋体"/>
                <w:b/>
                <w:bCs/>
                <w:color w:val="auto"/>
                <w:szCs w:val="21"/>
              </w:rPr>
            </w:pPr>
            <w:r>
              <w:rPr>
                <w:rFonts w:hint="eastAsia" w:ascii="宋体" w:hAnsi="宋体" w:cs="宋体"/>
                <w:b/>
                <w:bCs/>
                <w:color w:val="auto"/>
                <w:szCs w:val="21"/>
              </w:rPr>
              <w:t>单位</w:t>
            </w:r>
          </w:p>
        </w:tc>
        <w:tc>
          <w:tcPr>
            <w:tcW w:w="6435" w:type="dxa"/>
            <w:vAlign w:val="center"/>
          </w:tcPr>
          <w:p>
            <w:pPr>
              <w:tabs>
                <w:tab w:val="left" w:pos="180"/>
                <w:tab w:val="left" w:pos="1620"/>
              </w:tabs>
              <w:spacing w:line="360" w:lineRule="exact"/>
              <w:jc w:val="center"/>
              <w:rPr>
                <w:rFonts w:ascii="宋体" w:hAnsi="宋体" w:cs="宋体"/>
                <w:b/>
                <w:bCs/>
                <w:color w:val="auto"/>
                <w:szCs w:val="21"/>
              </w:rPr>
            </w:pPr>
            <w:r>
              <w:rPr>
                <w:rFonts w:hint="eastAsia" w:ascii="宋体" w:hAnsi="宋体" w:cs="宋体"/>
                <w:b/>
                <w:bCs/>
                <w:color w:val="auto"/>
                <w:szCs w:val="21"/>
              </w:rPr>
              <w:t>技术需求</w:t>
            </w:r>
          </w:p>
        </w:tc>
        <w:tc>
          <w:tcPr>
            <w:tcW w:w="1505" w:type="dxa"/>
            <w:vAlign w:val="center"/>
          </w:tcPr>
          <w:p>
            <w:pPr>
              <w:tabs>
                <w:tab w:val="left" w:pos="180"/>
                <w:tab w:val="left" w:pos="1620"/>
              </w:tabs>
              <w:spacing w:line="360" w:lineRule="exact"/>
              <w:jc w:val="center"/>
              <w:rPr>
                <w:rFonts w:ascii="宋体" w:hAnsi="宋体" w:cs="宋体"/>
                <w:b/>
                <w:bCs/>
                <w:color w:val="auto"/>
                <w:szCs w:val="21"/>
              </w:rPr>
            </w:pPr>
            <w:r>
              <w:rPr>
                <w:rFonts w:hint="eastAsia" w:ascii="宋体" w:hAnsi="宋体" w:cs="宋体"/>
                <w:color w:val="auto"/>
                <w:szCs w:val="21"/>
              </w:rPr>
              <w:t>分项预算合计（万元）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478"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w:t>
            </w:r>
          </w:p>
        </w:tc>
        <w:tc>
          <w:tcPr>
            <w:tcW w:w="856" w:type="dxa"/>
            <w:vAlign w:val="center"/>
          </w:tcPr>
          <w:p>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视音频采集/播放器</w:t>
            </w:r>
          </w:p>
        </w:tc>
        <w:tc>
          <w:tcPr>
            <w:tcW w:w="930" w:type="dxa"/>
            <w:vAlign w:val="center"/>
          </w:tcPr>
          <w:p>
            <w:pPr>
              <w:pStyle w:val="12"/>
              <w:spacing w:line="360" w:lineRule="exact"/>
              <w:jc w:val="center"/>
              <w:rPr>
                <w:rFonts w:ascii="宋体" w:hAnsi="宋体" w:cs="宋体"/>
                <w:color w:val="auto"/>
                <w:szCs w:val="21"/>
              </w:rPr>
            </w:pPr>
            <w:r>
              <w:rPr>
                <w:rFonts w:hint="eastAsia" w:ascii="宋体" w:hAnsi="宋体" w:cs="宋体"/>
                <w:color w:val="auto"/>
                <w:szCs w:val="21"/>
              </w:rPr>
              <w:t>17台</w:t>
            </w:r>
          </w:p>
        </w:tc>
        <w:tc>
          <w:tcPr>
            <w:tcW w:w="6435" w:type="dxa"/>
            <w:vAlign w:val="center"/>
          </w:tcPr>
          <w:p>
            <w:pPr>
              <w:spacing w:line="420" w:lineRule="atLeast"/>
              <w:ind w:firstLine="422" w:firstLineChars="200"/>
              <w:jc w:val="left"/>
              <w:rPr>
                <w:rFonts w:ascii="宋体" w:hAnsi="宋体" w:cs="宋体"/>
                <w:b/>
                <w:bCs/>
                <w:color w:val="auto"/>
                <w:szCs w:val="21"/>
              </w:rPr>
            </w:pPr>
            <w:r>
              <w:rPr>
                <w:rFonts w:hint="eastAsia" w:ascii="宋体" w:hAnsi="宋体" w:cs="宋体"/>
                <w:b/>
                <w:bCs/>
                <w:color w:val="auto"/>
                <w:szCs w:val="21"/>
              </w:rPr>
              <w:t>配置要求：</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1）▲配置4路独立的高标清播放/采集通道，播放/采集采用全硬件编解码技术，确保长期运行中节目播放达到零帧精度，不出现静帧或停顿，声画不同步等异常现象；每个通道均具备双接口，支持镜像输出，支持上下变换和高标清同播；支持one by one播放方式，最小素材长度不大于5秒，最大素材长度可达12小时；</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2）安装原厂自主研发专用Linux操作系统，能够确保长期7*24小时稳定运行，无需定期关机/重启及其他系统维护操作；</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3）▲配置冗余电源，内置基于企业级高速SAS盘的素材存储，电源和硬盘均支持热插拔，全局数据RAID冗余校验保护，有效可用容量不少于16TB，可以在不影响在线播出的情况下进行安装和替换；</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4）▲配置2个千兆以太网接口用于素材传输，满负荷运行时素材文件稳定传输带宽不小于80MB/s，同时并发FTP连接数不低于20个，支持当前传输文件边传输边播放；素材存储文件系统采用开放式架构，不会对写入文件二次转码或转封装，确保与源文件完全一致性；配置2个千兆以太网接口用于设备管理。网口自带链路冗余保护机制；</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5）支持SNMP协议的Get和Trap功能，进行SNMP监控时，对服务器CPU、内存等设备资源无影响。监控信息包括电源、风扇、温度、硬盘、磁盘空间过低和编解码通道状态等基本项、设备事件、资源信息等；</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6）设备具有较好的电磁屏蔽性能，且自身的电磁辐射较低。</w:t>
            </w:r>
          </w:p>
          <w:p>
            <w:pPr>
              <w:spacing w:line="420" w:lineRule="atLeast"/>
              <w:ind w:firstLine="420" w:firstLineChars="200"/>
              <w:jc w:val="left"/>
              <w:rPr>
                <w:rFonts w:ascii="宋体" w:hAnsi="宋体" w:cs="宋体"/>
                <w:color w:val="auto"/>
                <w:szCs w:val="21"/>
              </w:rPr>
            </w:pPr>
          </w:p>
          <w:p>
            <w:pPr>
              <w:spacing w:line="420" w:lineRule="atLeast"/>
              <w:ind w:firstLine="422" w:firstLineChars="200"/>
              <w:jc w:val="left"/>
              <w:rPr>
                <w:rFonts w:ascii="宋体" w:hAnsi="宋体" w:cs="宋体"/>
                <w:b/>
                <w:bCs/>
                <w:color w:val="auto"/>
                <w:szCs w:val="21"/>
              </w:rPr>
            </w:pPr>
            <w:r>
              <w:rPr>
                <w:rFonts w:hint="eastAsia" w:ascii="宋体" w:hAnsi="宋体" w:cs="宋体"/>
                <w:b/>
                <w:bCs/>
                <w:color w:val="auto"/>
                <w:szCs w:val="21"/>
              </w:rPr>
              <w:t>现场升级：</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1）通过另外购买组件即可现场升级支持UHD素材播放/采集，且同时提供4*3G/12G/25G-SMPTE2110基带IP输入输出接口，便于适配各种UHD信号采集/播放需求，所有接口均为冗余配置；</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2）通过另外购买组件即可现场升级支持UHD SMPTE 2110及SMPTE 2022-7标准的UHD/HD基带IP播出及无缝保护切换；</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3）通过另外购买软授权即可支持实时外来信号输入，支持外来信号与文件播出之间的帧精度无缝切换；</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4)软硬件升级方式简便，并有相应的安全保护和检验措施。</w:t>
            </w:r>
          </w:p>
          <w:p>
            <w:pPr>
              <w:spacing w:line="420" w:lineRule="atLeast"/>
              <w:ind w:firstLine="420" w:firstLineChars="200"/>
              <w:jc w:val="left"/>
              <w:rPr>
                <w:rFonts w:ascii="宋体" w:hAnsi="宋体" w:cs="宋体"/>
                <w:color w:val="auto"/>
                <w:szCs w:val="21"/>
              </w:rPr>
            </w:pPr>
          </w:p>
          <w:p>
            <w:pPr>
              <w:spacing w:line="420" w:lineRule="atLeast"/>
              <w:ind w:firstLine="422" w:firstLineChars="200"/>
              <w:jc w:val="left"/>
              <w:rPr>
                <w:rFonts w:ascii="宋体" w:hAnsi="宋体" w:cs="宋体"/>
                <w:b/>
                <w:bCs/>
                <w:color w:val="auto"/>
                <w:szCs w:val="21"/>
              </w:rPr>
            </w:pPr>
            <w:r>
              <w:rPr>
                <w:rFonts w:hint="eastAsia" w:ascii="宋体" w:hAnsi="宋体" w:cs="宋体"/>
                <w:b/>
                <w:bCs/>
                <w:color w:val="auto"/>
                <w:szCs w:val="21"/>
              </w:rPr>
              <w:t>技术规格：</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1）输出的视音频信号指标符合广播级标准；</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2）支持MXF OP1A封装格式，标清视频格式支持MPEG2-IBBP，MP@ML，GOP=4，采样方式4：2：2，8bit量化，码率为8-25Mbps可调，高清视频格式支持MPEG-2-IBP，HP@HL，GOP=12，Ref=3，采样方式4：2：2，8bit量化，码率为50Mbps，通道输出的视音频信号指标符合广播级标准；</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3）HD播出文件格式支持：DVCPRO HD、XDCAM HD、AVC-Ultra (Panasonic：Class 50 和 Class 100，1920x1080i (25/29.97 Hz)，1280x720p (50/59.94 Hz))、XAVC-L（High 422，Level 4，25, 50 Mbps）、HD 3G (1080p 50/60)、AVC I-Frame XAVC-I, AVC-Intra , AVC-I RP 2027 Class 100 (Generic)；</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4）▲所购17台设备中其中3台每台须有一个通道配置响度处理授权，实现播出通道响度自动调整；满足国家广播电视局GY/T262-2012响度指标规范要求。</w:t>
            </w:r>
          </w:p>
          <w:p>
            <w:pPr>
              <w:pStyle w:val="2"/>
              <w:spacing w:line="420" w:lineRule="atLeast"/>
              <w:ind w:firstLine="420"/>
              <w:rPr>
                <w:rFonts w:ascii="宋体" w:hAnsi="宋体" w:cs="宋体"/>
                <w:color w:val="auto"/>
                <w:sz w:val="21"/>
                <w:szCs w:val="21"/>
              </w:rPr>
            </w:pPr>
            <w:r>
              <w:rPr>
                <w:rFonts w:hint="eastAsia" w:ascii="宋体" w:hAnsi="宋体" w:cs="宋体"/>
                <w:b w:val="0"/>
                <w:bCs w:val="0"/>
                <w:color w:val="auto"/>
                <w:sz w:val="21"/>
                <w:szCs w:val="21"/>
              </w:rPr>
              <w:t>5）▲支持中华人民共和国广播电影电视行业标准GY/T 270-2013 《数字电视隐藏字幕系统规范》。</w:t>
            </w:r>
          </w:p>
        </w:tc>
        <w:tc>
          <w:tcPr>
            <w:tcW w:w="150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776.90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478"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w:t>
            </w:r>
          </w:p>
        </w:tc>
        <w:tc>
          <w:tcPr>
            <w:tcW w:w="856" w:type="dxa"/>
            <w:vAlign w:val="center"/>
          </w:tcPr>
          <w:p>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超高清视音频采集器</w:t>
            </w:r>
          </w:p>
        </w:tc>
        <w:tc>
          <w:tcPr>
            <w:tcW w:w="930" w:type="dxa"/>
            <w:vAlign w:val="center"/>
          </w:tcPr>
          <w:p>
            <w:pPr>
              <w:pStyle w:val="12"/>
              <w:spacing w:line="360" w:lineRule="exact"/>
              <w:jc w:val="center"/>
              <w:rPr>
                <w:rFonts w:ascii="宋体" w:hAnsi="宋体" w:cs="宋体"/>
                <w:color w:val="auto"/>
                <w:szCs w:val="21"/>
              </w:rPr>
            </w:pPr>
            <w:r>
              <w:rPr>
                <w:rFonts w:hint="eastAsia" w:ascii="宋体" w:hAnsi="宋体" w:cs="宋体"/>
                <w:color w:val="auto"/>
                <w:szCs w:val="21"/>
              </w:rPr>
              <w:t>2套</w:t>
            </w:r>
          </w:p>
        </w:tc>
        <w:tc>
          <w:tcPr>
            <w:tcW w:w="6435" w:type="dxa"/>
            <w:vAlign w:val="center"/>
          </w:tcPr>
          <w:p>
            <w:pPr>
              <w:spacing w:line="420" w:lineRule="atLeast"/>
              <w:ind w:firstLine="422" w:firstLineChars="200"/>
              <w:jc w:val="left"/>
              <w:rPr>
                <w:rFonts w:ascii="宋体" w:hAnsi="宋体" w:cs="宋体"/>
                <w:b/>
                <w:bCs/>
                <w:color w:val="auto"/>
                <w:szCs w:val="21"/>
              </w:rPr>
            </w:pPr>
            <w:r>
              <w:rPr>
                <w:rFonts w:hint="eastAsia" w:ascii="宋体" w:hAnsi="宋体" w:cs="宋体"/>
                <w:b/>
                <w:bCs/>
                <w:color w:val="auto"/>
                <w:szCs w:val="21"/>
              </w:rPr>
              <w:t>配置要求：</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 xml:space="preserve">1）▲提供1路超高清播放/采集通道，播放/采集采用全硬件编解码技术，确保长期运行中节目播放达到零帧精度，不出现静帧或停顿，声画不同步等异常现象。配置4*3G/12G/25G-SMPTE2110基带IP输入输出接口，便于适配各种UHD信号采集/播放需求，所有接口均为冗余配置；UHD通道码率可达500-600Mbps，配置双路12G UHD节目同步输出；支持HD和UHD素材的上下变换及同步播出；支持多种主流HDR标准和HDR上下变换，能对没有HDR的素材播放同时进行实时HDR效果生成，同时加入HDR数据；支持one by one播放方式，最小素材长度不大于5秒，最大素材长度可达12小时； </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2）采用原厂自主研发专用Linux操作系统，抗病毒能力强，能够确保长期7*24小时稳定运行，无需定期关机/重启及其他系统维护操作；</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3）▲配置冗余电源，内置基于企业级高速SSD盘的素材存储，全局数据RAID冗余校验保护，有效可用容量不少于10TB；电源和硬盘均支持热插拔，可以在不影响在线播出的情况下进行安装和替换；</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4）▲能够和超高清专用外置存储连接，直接读取并实时播放外置存储中的UHD素材，或将正在采集的UHD素材实时写入专用外置存储，专用外置存储可用容量不低于600TB且自带安全保障处理机制，确保素材读取和写入时的完整和可用性；</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5）▲配置2个万兆以太光接口用于素材传输，全部编解码通道满负荷运行时，素材文件稳定传输带宽不小于120MB/s，同时并发FTP连接数不低于20个，支持当前传输文件边传输边播放；素材存储文件系统采用开放式架构，不会对写入文件二次转码或转封装，确保与源文件完全一致性；额外配置2个千兆以太网接口用于设备管理。网口自带链路冗余保护机制；</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6）支持SNMP协议的Get和Trap功能，进行SNMP监控时，对服务器CPU、内存等设备资源无影响。监控信息包括电源、风扇、温度、硬盘、磁盘空间过低和编解码通道状态等基本项、设备事件、资源信息等。</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7）可启用超高清和高清ST2110网络传输。</w:t>
            </w:r>
          </w:p>
          <w:p>
            <w:pPr>
              <w:spacing w:line="420" w:lineRule="atLeast"/>
              <w:ind w:firstLine="422" w:firstLineChars="200"/>
              <w:jc w:val="left"/>
              <w:rPr>
                <w:rFonts w:ascii="宋体" w:hAnsi="宋体" w:cs="宋体"/>
                <w:b/>
                <w:bCs/>
                <w:color w:val="auto"/>
                <w:szCs w:val="21"/>
              </w:rPr>
            </w:pPr>
          </w:p>
          <w:p>
            <w:pPr>
              <w:spacing w:line="420" w:lineRule="atLeast"/>
              <w:ind w:firstLine="422" w:firstLineChars="200"/>
              <w:jc w:val="left"/>
              <w:rPr>
                <w:rFonts w:ascii="宋体" w:hAnsi="宋体" w:cs="宋体"/>
                <w:b/>
                <w:bCs/>
                <w:color w:val="auto"/>
                <w:szCs w:val="21"/>
              </w:rPr>
            </w:pPr>
            <w:r>
              <w:rPr>
                <w:rFonts w:hint="eastAsia" w:ascii="宋体" w:hAnsi="宋体" w:cs="宋体"/>
                <w:b/>
                <w:bCs/>
                <w:color w:val="auto"/>
                <w:szCs w:val="21"/>
              </w:rPr>
              <w:t>现场升级：</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1）通过额外购买软授权即可支持广播级自动音量响度调整的节目输出；</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2）通过另外购买软授权即可支持每个播出通道至少8个图层的图文包装，支持支持静态、动态图像、台标、字幕等；</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3）▲通过另外购买软授权即可支持实时外来信号输入，支持外来信号与文件播出之间的帧精度无缝切换。</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4）软硬件升级方式简便，并有相应的安全保护和检验措施。</w:t>
            </w:r>
          </w:p>
          <w:p>
            <w:pPr>
              <w:spacing w:line="420" w:lineRule="atLeast"/>
              <w:ind w:firstLine="420" w:firstLineChars="200"/>
              <w:jc w:val="left"/>
              <w:rPr>
                <w:rFonts w:ascii="宋体" w:hAnsi="宋体" w:cs="宋体"/>
                <w:color w:val="auto"/>
                <w:szCs w:val="21"/>
              </w:rPr>
            </w:pPr>
          </w:p>
          <w:p>
            <w:pPr>
              <w:spacing w:line="420" w:lineRule="atLeast"/>
              <w:ind w:firstLine="422" w:firstLineChars="200"/>
              <w:jc w:val="left"/>
              <w:rPr>
                <w:rFonts w:ascii="宋体" w:hAnsi="宋体" w:cs="宋体"/>
                <w:b/>
                <w:bCs/>
                <w:color w:val="auto"/>
                <w:szCs w:val="21"/>
              </w:rPr>
            </w:pPr>
            <w:r>
              <w:rPr>
                <w:rFonts w:hint="eastAsia" w:ascii="宋体" w:hAnsi="宋体" w:cs="宋体"/>
                <w:b/>
                <w:bCs/>
                <w:color w:val="auto"/>
                <w:szCs w:val="21"/>
              </w:rPr>
              <w:t>技术规格：</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1）输出的视音频信号指标符合广播级标准；</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2）▲UHD支持MXF OP1A封装格式，支持XAVC（I-Frame, Class 300, 422, 10-bit, 50p/60p，L-Gop 10bit 4.2.2 200mbs 50p/60p ）、AVC Ultra（I-Frame, Level 5.2, 422, 10-bit, 50p/60p ）、ProRes（821 Mbps LT mode ）、VC-3（145-180 Mbps, LB mode ）等格式播出；</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 xml:space="preserve">3）HD播出文件格式支持：DVCPRO HD、XDCAM HD、AVC-Ultra (Panasonic：Class 50 和 Class 100，1920x1080i (25/29.97 Hz)，1280x720p (50/59.94 Hz))、XAVC-L（High 422，Level 4，25, 50 Mbps）、HD 3G (1080p 50/60)、AVC I-Frame XAVC-I, AVC-Intra , AVC-I RP 2027 Class 100 (Generic)；  </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4）▲支持中华人民共和国广播电影电视行业标准GY/T 270-2013 《数字电视隐藏字幕系统规范》。</w:t>
            </w:r>
          </w:p>
        </w:tc>
        <w:tc>
          <w:tcPr>
            <w:tcW w:w="150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126.60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478"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w:t>
            </w:r>
          </w:p>
        </w:tc>
        <w:tc>
          <w:tcPr>
            <w:tcW w:w="856" w:type="dxa"/>
            <w:vAlign w:val="center"/>
          </w:tcPr>
          <w:p>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节目文件综合处理机</w:t>
            </w:r>
          </w:p>
        </w:tc>
        <w:tc>
          <w:tcPr>
            <w:tcW w:w="930" w:type="dxa"/>
            <w:vAlign w:val="center"/>
          </w:tcPr>
          <w:p>
            <w:pPr>
              <w:pStyle w:val="12"/>
              <w:spacing w:line="360" w:lineRule="exact"/>
              <w:jc w:val="center"/>
              <w:rPr>
                <w:rFonts w:ascii="宋体" w:hAnsi="宋体" w:cs="宋体"/>
                <w:color w:val="auto"/>
                <w:szCs w:val="21"/>
              </w:rPr>
            </w:pPr>
            <w:r>
              <w:rPr>
                <w:rFonts w:hint="eastAsia" w:ascii="宋体" w:hAnsi="宋体" w:cs="宋体"/>
                <w:color w:val="auto"/>
                <w:szCs w:val="21"/>
              </w:rPr>
              <w:t>2台</w:t>
            </w:r>
          </w:p>
        </w:tc>
        <w:tc>
          <w:tcPr>
            <w:tcW w:w="6435" w:type="dxa"/>
            <w:vAlign w:val="center"/>
          </w:tcPr>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1）▲可完成新旧文件系统导入：将原播出系统素材文件及与素材文件描述相关的元数据导入到该接口单元，再从接口单元导出到新的播出系统。素材文件和元数据必须和新的上载、播控系统兼容；</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2）▲文件导入后，需要完成视音频压缩文件技审和检查：检查文件的合法性，若夹杂异常画面，如静帧、黑场、彩条、彩场、无伴音、响度异常、画面YUV/RGB超标等现象，应具有精确到帧的报警；</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3）文件编码或封装格式不能满足播出服务器播出解码要求的，需要转封装和转码；</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4）▲处理文件导入、技审、转码等，一个处理单元工作时，超高清素材不低于3倍速、高清素材不低于10倍速。</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5）完成上述流程后，该单元可设置为综合上载：支持两个HD/3G/12G-SDI上载通道，两个10G SFP+接口，36TB内置存储。双电源。可根据节目编单信息自动上载，文件上载后，可自动导入上载/存储系统、播控系统数据库。</w:t>
            </w:r>
          </w:p>
        </w:tc>
        <w:tc>
          <w:tcPr>
            <w:tcW w:w="150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64.00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478"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4</w:t>
            </w:r>
          </w:p>
        </w:tc>
        <w:tc>
          <w:tcPr>
            <w:tcW w:w="856" w:type="dxa"/>
            <w:vAlign w:val="center"/>
          </w:tcPr>
          <w:p>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共享存储</w:t>
            </w:r>
          </w:p>
        </w:tc>
        <w:tc>
          <w:tcPr>
            <w:tcW w:w="930" w:type="dxa"/>
            <w:vAlign w:val="center"/>
          </w:tcPr>
          <w:p>
            <w:pPr>
              <w:pStyle w:val="12"/>
              <w:spacing w:line="360" w:lineRule="exact"/>
              <w:jc w:val="center"/>
              <w:rPr>
                <w:rFonts w:ascii="宋体" w:hAnsi="宋体" w:cs="宋体"/>
                <w:color w:val="auto"/>
                <w:szCs w:val="21"/>
              </w:rPr>
            </w:pPr>
            <w:r>
              <w:rPr>
                <w:rFonts w:hint="eastAsia" w:ascii="宋体" w:hAnsi="宋体" w:cs="宋体"/>
                <w:color w:val="auto"/>
                <w:szCs w:val="21"/>
              </w:rPr>
              <w:t>1套</w:t>
            </w:r>
          </w:p>
        </w:tc>
        <w:tc>
          <w:tcPr>
            <w:tcW w:w="6435" w:type="dxa"/>
            <w:vAlign w:val="center"/>
          </w:tcPr>
          <w:p>
            <w:pPr>
              <w:spacing w:line="420" w:lineRule="atLeast"/>
              <w:ind w:firstLine="422" w:firstLineChars="200"/>
              <w:jc w:val="left"/>
              <w:rPr>
                <w:rFonts w:ascii="宋体" w:hAnsi="宋体" w:cs="宋体"/>
                <w:b/>
                <w:bCs/>
                <w:color w:val="auto"/>
                <w:szCs w:val="21"/>
              </w:rPr>
            </w:pPr>
            <w:r>
              <w:rPr>
                <w:rFonts w:hint="eastAsia" w:ascii="宋体" w:hAnsi="宋体" w:cs="宋体"/>
                <w:b/>
                <w:bCs/>
                <w:color w:val="auto"/>
                <w:szCs w:val="21"/>
              </w:rPr>
              <w:t>配置要求：</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1）▲为超高清和高清视音频业务专门设计的高带宽共享存储，满足媒体大文件读写性能要求，属于视音频专用存储而非常规应用的通用存储，在国内电视台播出系统有成功案例；</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2）▲配置100*8TB企业级SAS专用硬盘，提供600TB实际可用容量；采用多组基于RAID6或RAID4的数据安全保护机制，实际可用读写稳定带宽可达2.0GB/s；</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3）▲存储系统基于纯以太网架构，至少配置6个10GbE数据交互接口及10个千兆元数据及管理接口，接口可根据后续容量和带宽需要在线扩展。所有网络接口均采用Active-Active在线冗余和负载均衡方式，任意网口故障对当前业务没有任何影响；</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4）基于Linux平台，无需定期开关机、重启及文件系统清理等维护操作，能够长期7*24小时免维护运行；存储系统应具有本地建立文件系统的功能，不需要额外添加服务器硬件。</w:t>
            </w:r>
          </w:p>
          <w:p>
            <w:pPr>
              <w:spacing w:line="420" w:lineRule="atLeast"/>
              <w:ind w:firstLine="422" w:firstLineChars="200"/>
              <w:jc w:val="left"/>
              <w:rPr>
                <w:rFonts w:ascii="宋体" w:hAnsi="宋体" w:cs="宋体"/>
                <w:b/>
                <w:bCs/>
                <w:color w:val="auto"/>
                <w:szCs w:val="21"/>
              </w:rPr>
            </w:pPr>
          </w:p>
          <w:p>
            <w:pPr>
              <w:spacing w:line="420" w:lineRule="atLeast"/>
              <w:ind w:firstLine="422" w:firstLineChars="200"/>
              <w:jc w:val="left"/>
              <w:rPr>
                <w:rFonts w:ascii="宋体" w:hAnsi="宋体" w:cs="宋体"/>
                <w:b/>
                <w:bCs/>
                <w:color w:val="auto"/>
                <w:szCs w:val="21"/>
              </w:rPr>
            </w:pPr>
            <w:r>
              <w:rPr>
                <w:rFonts w:hint="eastAsia" w:ascii="宋体" w:hAnsi="宋体" w:cs="宋体"/>
                <w:b/>
                <w:bCs/>
                <w:color w:val="auto"/>
                <w:szCs w:val="21"/>
              </w:rPr>
              <w:t>功能要求：</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1）▲采用基于文件片的存储方式，所有客户端与各存储节点采用并发式访问以保证高带宽和低延时；支持自动化的数据读写效率优化，针对不同媒体文件类型自动设定从几百KB到几MB不等的文件片，以确保不同媒体文件读写最优效率；</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2）▲系统采用元数据服务端和数据存储节点硬件相互分立的架构，功能层次清晰。元数据服务端需为独立硬件并配置冗余电源，不与数据节点共用硬件设备，采用主备双机Active-Active热冗余工作方式，任何一台元数据服务端故障不会对整个存储系统性能和当前业务有任何影响；主备元数据服务端配置专用心跳和元数据同步网络接口，且为热冗余链路配置，以保证元数据交互安全及高效；</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3）▲业务层次分明，元数据和素材文件通过不同的物理网口和链路进行交互，且所有物理网络链路为1：1热冗余配置；</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4）元数据服务端和存储节点具有在线扩展能力，能够在不影响业务的情况下在线扩容，以满足后续冗余和更高性能的要求。单存储系统总容量可在线扩展至4PB以上，总带宽可扩展至10GB/s以上；</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5）▲支持同一文件系统下不同容量的存储节点盘箱混用，以保证今后系统扩容能够使用更大容量主流硬盘；</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6）存储节点中的电源，风扇，控制单元等核心硬件模块均为1：1在线冗余运行，任意模块故障时，系统内部能够实现无缝自动切换，不出现单点故障，对系统性能和当前业务无任何影响。核心组件，如硬盘，电源模块，控制模块均支持在线热插拔更换；</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7）存储节点采用“核心盘箱+扩展盘箱”的架构，核心盘箱配置万兆以太网接口，采用双路热冗余存储控制器。扩展盘箱通过冗余SAS链路与核心盘箱连接，提供更加经济的性能提升；存储节点支持在线增加，实现带宽和容量线性扩展，所有存储节点中数据能够自动均衡；</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8）▲同一文件系统下，支持2套同规格存储节点之间1+1自动数据同步及负载均衡的高等级镜像备份；</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9）▲为了减少UHD素材迁移所消耗的时间，提高制播效率，存储系统能够直接作为UHD节目采集/播放设备的在线素材存储，实现UHD节目实时采集、回放和边采集边编辑功能；</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10）存储访问客户端支持包括Windows、Apple、Linux等主流操作系统，支持包括NFS、CIFS、FTP和AFP等标准的开放协议；</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11）▲存储访问客户端必须为单独的软件并提供多种针对存储访问的优化设置，而非普通NAS简单直连的方式，以确保带宽稳定性和高效利用；存储访问客户端免费且没有数量限制，所有客户端可同时并发访问所有存储节点，实现自动动态带宽负载均衡；</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12）▲存储系统采用单一文件系统方式，并采用文件夹方式的管理。支持基于目录的读写访问权限控制及存储容量配额及存储空间预留限制；</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13）▲支持多个访问客户端之间的负载均衡，无论在线客户端数量如何变化，均能保证当前所有在线客户端最大化使用系统总带宽和容量；</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14）提供基于Web页面的图形化存储管理软件，实现存储系统的配置及日常设备监控。能够为所有核心部件提供实时监控并进行报警信息推送，报警信息涵盖且不限于硬盘读写错误/损坏，元数据服务器、存储节点控制器、电源模块运行状态，网络连接状态，带宽及容量超限提示。支持设备供应商远程故障诊断；</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15）支持通过现有的Active Directory（ADS）或LDAP认证服务器对用户身份验证，支持基于ACL对每个用户和每个文件夹的访问权限进行控制；</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16）支持包括FinalCut Pro, Avid Media Composer 和 Adobe Premier的非线性编辑系统，支持节目素材边传输边编辑和边采集边编辑；</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17）支持API并免费提供，以便第三方应用集成。</w:t>
            </w:r>
          </w:p>
        </w:tc>
        <w:tc>
          <w:tcPr>
            <w:tcW w:w="150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186.00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478"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5</w:t>
            </w:r>
          </w:p>
        </w:tc>
        <w:tc>
          <w:tcPr>
            <w:tcW w:w="856" w:type="dxa"/>
            <w:vAlign w:val="center"/>
          </w:tcPr>
          <w:p>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播出存储</w:t>
            </w:r>
          </w:p>
        </w:tc>
        <w:tc>
          <w:tcPr>
            <w:tcW w:w="930" w:type="dxa"/>
            <w:vAlign w:val="center"/>
          </w:tcPr>
          <w:p>
            <w:pPr>
              <w:pStyle w:val="12"/>
              <w:spacing w:line="360" w:lineRule="exact"/>
              <w:jc w:val="center"/>
              <w:rPr>
                <w:rFonts w:ascii="宋体" w:hAnsi="宋体" w:cs="宋体"/>
                <w:color w:val="auto"/>
                <w:szCs w:val="21"/>
              </w:rPr>
            </w:pPr>
            <w:r>
              <w:rPr>
                <w:rFonts w:hint="eastAsia" w:ascii="宋体" w:hAnsi="宋体" w:cs="宋体"/>
                <w:color w:val="auto"/>
                <w:szCs w:val="21"/>
              </w:rPr>
              <w:t>1套</w:t>
            </w:r>
          </w:p>
        </w:tc>
        <w:tc>
          <w:tcPr>
            <w:tcW w:w="6435" w:type="dxa"/>
            <w:vAlign w:val="center"/>
          </w:tcPr>
          <w:p>
            <w:pPr>
              <w:pStyle w:val="117"/>
              <w:widowControl/>
              <w:spacing w:line="420" w:lineRule="atLeast"/>
              <w:ind w:firstLine="422"/>
              <w:jc w:val="left"/>
              <w:rPr>
                <w:rFonts w:ascii="宋体" w:hAnsi="宋体"/>
                <w:b/>
                <w:bCs/>
                <w:color w:val="auto"/>
                <w:kern w:val="0"/>
                <w:szCs w:val="21"/>
              </w:rPr>
            </w:pPr>
            <w:r>
              <w:rPr>
                <w:rFonts w:hint="eastAsia" w:ascii="宋体" w:hAnsi="宋体"/>
                <w:b/>
                <w:bCs/>
                <w:color w:val="auto"/>
                <w:kern w:val="0"/>
                <w:szCs w:val="21"/>
              </w:rPr>
              <w:t>配置要求：</w:t>
            </w:r>
          </w:p>
          <w:p>
            <w:pPr>
              <w:pStyle w:val="117"/>
              <w:widowControl/>
              <w:numPr>
                <w:ilvl w:val="0"/>
                <w:numId w:val="2"/>
              </w:numPr>
              <w:spacing w:line="420" w:lineRule="atLeast"/>
              <w:ind w:left="0" w:firstLine="420"/>
              <w:jc w:val="left"/>
              <w:rPr>
                <w:rFonts w:ascii="宋体" w:hAnsi="宋体"/>
                <w:color w:val="auto"/>
                <w:kern w:val="0"/>
                <w:szCs w:val="21"/>
              </w:rPr>
            </w:pPr>
            <w:r>
              <w:rPr>
                <w:rFonts w:hint="eastAsia" w:ascii="宋体" w:hAnsi="宋体" w:cs="宋体"/>
                <w:color w:val="auto"/>
                <w:szCs w:val="21"/>
              </w:rPr>
              <w:t>▲</w:t>
            </w:r>
            <w:r>
              <w:rPr>
                <w:rFonts w:hint="eastAsia" w:ascii="宋体" w:hAnsi="宋体"/>
                <w:color w:val="auto"/>
                <w:kern w:val="0"/>
                <w:szCs w:val="21"/>
              </w:rPr>
              <w:t>为超高清和高清视音频业务专门设计的高带宽共享存储，满足媒体大文件读写性能要求，属于视音频专用存储而非常规应用的通用存储，在国内电视台播出系统有成功案例；</w:t>
            </w:r>
          </w:p>
          <w:p>
            <w:pPr>
              <w:pStyle w:val="117"/>
              <w:widowControl/>
              <w:numPr>
                <w:ilvl w:val="0"/>
                <w:numId w:val="2"/>
              </w:numPr>
              <w:spacing w:line="420" w:lineRule="atLeast"/>
              <w:ind w:left="0" w:firstLine="420"/>
              <w:jc w:val="left"/>
              <w:rPr>
                <w:rFonts w:ascii="宋体" w:hAnsi="宋体"/>
                <w:color w:val="auto"/>
                <w:kern w:val="0"/>
                <w:szCs w:val="21"/>
              </w:rPr>
            </w:pPr>
            <w:r>
              <w:rPr>
                <w:rFonts w:hint="eastAsia" w:ascii="宋体" w:hAnsi="宋体" w:cs="宋体"/>
                <w:color w:val="auto"/>
                <w:szCs w:val="21"/>
              </w:rPr>
              <w:t>▲</w:t>
            </w:r>
            <w:r>
              <w:rPr>
                <w:rFonts w:hint="eastAsia" w:ascii="宋体" w:hAnsi="宋体"/>
                <w:color w:val="auto"/>
                <w:kern w:val="0"/>
                <w:szCs w:val="21"/>
              </w:rPr>
              <w:t>配置</w:t>
            </w:r>
            <w:r>
              <w:rPr>
                <w:rFonts w:ascii="宋体" w:hAnsi="宋体"/>
                <w:color w:val="auto"/>
                <w:kern w:val="0"/>
                <w:szCs w:val="21"/>
              </w:rPr>
              <w:t>40</w:t>
            </w:r>
            <w:r>
              <w:rPr>
                <w:rFonts w:hint="eastAsia" w:ascii="宋体" w:hAnsi="宋体"/>
                <w:color w:val="auto"/>
                <w:kern w:val="0"/>
                <w:szCs w:val="21"/>
              </w:rPr>
              <w:t>*8TB企业级SAS专用硬盘，提供</w:t>
            </w:r>
            <w:r>
              <w:rPr>
                <w:rFonts w:ascii="宋体" w:hAnsi="宋体"/>
                <w:color w:val="auto"/>
                <w:kern w:val="0"/>
                <w:szCs w:val="21"/>
              </w:rPr>
              <w:t>2</w:t>
            </w:r>
            <w:r>
              <w:rPr>
                <w:rFonts w:hint="eastAsia" w:ascii="宋体" w:hAnsi="宋体"/>
                <w:color w:val="auto"/>
                <w:kern w:val="0"/>
                <w:szCs w:val="21"/>
              </w:rPr>
              <w:t>00TB实际可用容量；采用多组基于RAID6或RAID4的数据安全保护机制，实际可用读写稳定带宽可达9</w:t>
            </w:r>
            <w:r>
              <w:rPr>
                <w:rFonts w:ascii="宋体" w:hAnsi="宋体"/>
                <w:color w:val="auto"/>
                <w:kern w:val="0"/>
                <w:szCs w:val="21"/>
              </w:rPr>
              <w:t>00</w:t>
            </w:r>
            <w:r>
              <w:rPr>
                <w:rFonts w:hint="eastAsia" w:ascii="宋体" w:hAnsi="宋体"/>
                <w:color w:val="auto"/>
                <w:kern w:val="0"/>
                <w:szCs w:val="21"/>
              </w:rPr>
              <w:t>MB/s；</w:t>
            </w:r>
          </w:p>
          <w:p>
            <w:pPr>
              <w:pStyle w:val="117"/>
              <w:widowControl/>
              <w:numPr>
                <w:ilvl w:val="0"/>
                <w:numId w:val="2"/>
              </w:numPr>
              <w:spacing w:line="420" w:lineRule="atLeast"/>
              <w:ind w:left="0" w:firstLine="420"/>
              <w:jc w:val="left"/>
              <w:rPr>
                <w:rFonts w:ascii="宋体" w:hAnsi="宋体"/>
                <w:color w:val="auto"/>
                <w:kern w:val="0"/>
                <w:szCs w:val="21"/>
              </w:rPr>
            </w:pPr>
            <w:r>
              <w:rPr>
                <w:rFonts w:hint="eastAsia" w:ascii="宋体" w:hAnsi="宋体" w:cs="宋体"/>
                <w:color w:val="auto"/>
                <w:szCs w:val="21"/>
              </w:rPr>
              <w:t>▲</w:t>
            </w:r>
            <w:r>
              <w:rPr>
                <w:rFonts w:hint="eastAsia" w:ascii="宋体" w:hAnsi="宋体"/>
                <w:color w:val="auto"/>
                <w:kern w:val="0"/>
                <w:szCs w:val="21"/>
              </w:rPr>
              <w:t>存储系统基于纯以太网架构，至少配置6个10GbE数据交互接口及10个千兆元数据及管理接口，接口可根据后续容量和带宽需要在线扩展。所有网络接口均采用Active-Active在线冗余和负载均衡方式，任意网口故障对当前业务没有任何影响；</w:t>
            </w:r>
          </w:p>
          <w:p>
            <w:pPr>
              <w:pStyle w:val="117"/>
              <w:widowControl/>
              <w:numPr>
                <w:ilvl w:val="0"/>
                <w:numId w:val="2"/>
              </w:numPr>
              <w:spacing w:line="420" w:lineRule="atLeast"/>
              <w:ind w:left="0" w:firstLine="420"/>
              <w:jc w:val="left"/>
              <w:rPr>
                <w:rFonts w:ascii="宋体" w:hAnsi="宋体"/>
                <w:color w:val="auto"/>
                <w:kern w:val="0"/>
                <w:szCs w:val="21"/>
              </w:rPr>
            </w:pPr>
            <w:r>
              <w:rPr>
                <w:rFonts w:hint="eastAsia" w:ascii="宋体" w:hAnsi="宋体"/>
                <w:color w:val="auto"/>
                <w:kern w:val="0"/>
                <w:szCs w:val="21"/>
              </w:rPr>
              <w:t>基于Linux平台，无需定期开关机、重启及文件系统清理等维护操作，能够长期7*24小时免维护运行；存储系统应具有本地建立文件系统的功能，不需要额外添加服务器硬件。</w:t>
            </w:r>
          </w:p>
          <w:p>
            <w:pPr>
              <w:pStyle w:val="117"/>
              <w:widowControl/>
              <w:spacing w:line="420" w:lineRule="atLeast"/>
              <w:jc w:val="left"/>
              <w:rPr>
                <w:rFonts w:ascii="宋体" w:hAnsi="宋体"/>
                <w:color w:val="auto"/>
                <w:kern w:val="0"/>
                <w:szCs w:val="21"/>
              </w:rPr>
            </w:pPr>
          </w:p>
          <w:p>
            <w:pPr>
              <w:pStyle w:val="117"/>
              <w:widowControl/>
              <w:spacing w:line="420" w:lineRule="atLeast"/>
              <w:ind w:firstLine="422"/>
              <w:jc w:val="left"/>
              <w:rPr>
                <w:rFonts w:ascii="宋体" w:hAnsi="宋体"/>
                <w:b/>
                <w:bCs/>
                <w:color w:val="auto"/>
                <w:kern w:val="0"/>
                <w:szCs w:val="21"/>
              </w:rPr>
            </w:pPr>
            <w:r>
              <w:rPr>
                <w:rFonts w:hint="eastAsia" w:ascii="宋体" w:hAnsi="宋体"/>
                <w:b/>
                <w:bCs/>
                <w:color w:val="auto"/>
                <w:kern w:val="0"/>
                <w:szCs w:val="21"/>
              </w:rPr>
              <w:t>功能要求：</w:t>
            </w:r>
          </w:p>
          <w:p>
            <w:pPr>
              <w:pStyle w:val="117"/>
              <w:widowControl/>
              <w:numPr>
                <w:ilvl w:val="0"/>
                <w:numId w:val="3"/>
              </w:numPr>
              <w:spacing w:line="420" w:lineRule="atLeast"/>
              <w:ind w:left="0" w:firstLine="420"/>
              <w:jc w:val="left"/>
              <w:rPr>
                <w:rFonts w:ascii="宋体" w:hAnsi="宋体"/>
                <w:color w:val="auto"/>
                <w:kern w:val="0"/>
                <w:szCs w:val="21"/>
              </w:rPr>
            </w:pPr>
            <w:r>
              <w:rPr>
                <w:rFonts w:hint="eastAsia" w:ascii="宋体" w:hAnsi="宋体" w:cs="宋体"/>
                <w:color w:val="auto"/>
                <w:szCs w:val="21"/>
              </w:rPr>
              <w:t>▲</w:t>
            </w:r>
            <w:r>
              <w:rPr>
                <w:rFonts w:hint="eastAsia" w:ascii="宋体" w:hAnsi="宋体"/>
                <w:color w:val="auto"/>
                <w:kern w:val="0"/>
                <w:szCs w:val="21"/>
              </w:rPr>
              <w:t>采用基于文件片的存储方式，所有客户端与各存储节点采用并发式访问以保证高带宽和低延时；支持自动化的数据读写效率优化，针对不同媒体文件类型自动设定从几百KB到几MB不等的文件片，以确保不同媒体文件读写最优效率；</w:t>
            </w:r>
          </w:p>
          <w:p>
            <w:pPr>
              <w:pStyle w:val="117"/>
              <w:widowControl/>
              <w:numPr>
                <w:ilvl w:val="0"/>
                <w:numId w:val="3"/>
              </w:numPr>
              <w:spacing w:line="420" w:lineRule="atLeast"/>
              <w:ind w:left="0" w:firstLine="420"/>
              <w:jc w:val="left"/>
              <w:rPr>
                <w:rFonts w:ascii="宋体" w:hAnsi="宋体"/>
                <w:color w:val="auto"/>
                <w:kern w:val="0"/>
                <w:szCs w:val="21"/>
              </w:rPr>
            </w:pPr>
            <w:r>
              <w:rPr>
                <w:rFonts w:hint="eastAsia" w:ascii="宋体" w:hAnsi="宋体" w:cs="宋体"/>
                <w:color w:val="auto"/>
                <w:szCs w:val="21"/>
              </w:rPr>
              <w:t>▲</w:t>
            </w:r>
            <w:r>
              <w:rPr>
                <w:rFonts w:hint="eastAsia" w:ascii="宋体" w:hAnsi="宋体"/>
                <w:color w:val="auto"/>
                <w:kern w:val="0"/>
                <w:szCs w:val="21"/>
              </w:rPr>
              <w:t>系统采用元数据服务端和数据存储节点硬件相互分立的架构，功能层次清晰。元数据服务端需为独立硬件并配置冗余电源，不与数据节点共用硬件设备，采用主备双机Active-Active热冗余工作方式，任何一台元数据服务端故障不会对整个存储系统性能和当前业务有任何影响；主备元数据服务端配置专用心跳和元数据同步网络接口，且为热冗余链路配置，以保证元数据交互安全及高效；</w:t>
            </w:r>
          </w:p>
          <w:p>
            <w:pPr>
              <w:pStyle w:val="117"/>
              <w:widowControl/>
              <w:numPr>
                <w:ilvl w:val="0"/>
                <w:numId w:val="3"/>
              </w:numPr>
              <w:spacing w:line="420" w:lineRule="atLeast"/>
              <w:ind w:left="0" w:firstLine="420"/>
              <w:jc w:val="left"/>
              <w:rPr>
                <w:rFonts w:ascii="宋体" w:hAnsi="宋体"/>
                <w:color w:val="auto"/>
                <w:kern w:val="0"/>
                <w:szCs w:val="21"/>
              </w:rPr>
            </w:pPr>
            <w:r>
              <w:rPr>
                <w:rFonts w:hint="eastAsia" w:ascii="宋体" w:hAnsi="宋体" w:cs="宋体"/>
                <w:color w:val="auto"/>
                <w:szCs w:val="21"/>
              </w:rPr>
              <w:t>▲</w:t>
            </w:r>
            <w:r>
              <w:rPr>
                <w:rFonts w:hint="eastAsia" w:ascii="宋体" w:hAnsi="宋体"/>
                <w:color w:val="auto"/>
                <w:kern w:val="0"/>
                <w:szCs w:val="21"/>
              </w:rPr>
              <w:t>业务层次分明，元数据和素材文件通过不同的物理网口和链路进行交互，且所有物理网络链路为1：1热冗余配置；</w:t>
            </w:r>
          </w:p>
          <w:p>
            <w:pPr>
              <w:pStyle w:val="117"/>
              <w:widowControl/>
              <w:numPr>
                <w:ilvl w:val="0"/>
                <w:numId w:val="3"/>
              </w:numPr>
              <w:spacing w:line="420" w:lineRule="atLeast"/>
              <w:ind w:left="0" w:firstLine="420"/>
              <w:jc w:val="left"/>
              <w:rPr>
                <w:rFonts w:ascii="宋体" w:hAnsi="宋体"/>
                <w:color w:val="auto"/>
                <w:kern w:val="0"/>
                <w:szCs w:val="21"/>
              </w:rPr>
            </w:pPr>
            <w:r>
              <w:rPr>
                <w:rFonts w:hint="eastAsia" w:ascii="宋体" w:hAnsi="宋体"/>
                <w:color w:val="auto"/>
                <w:kern w:val="0"/>
                <w:szCs w:val="21"/>
              </w:rPr>
              <w:t>元数据服务端和存储节点具有在线扩展能力，能够在不影响业务的情况下在线扩容，以满足后续冗余和更高性能的要求。单存储系统总容量可在线扩展至4PB以上，总带宽可扩展至10GB/s以上；</w:t>
            </w:r>
          </w:p>
          <w:p>
            <w:pPr>
              <w:pStyle w:val="117"/>
              <w:widowControl/>
              <w:numPr>
                <w:ilvl w:val="0"/>
                <w:numId w:val="3"/>
              </w:numPr>
              <w:spacing w:line="420" w:lineRule="atLeast"/>
              <w:ind w:left="0" w:firstLine="420"/>
              <w:jc w:val="left"/>
              <w:rPr>
                <w:rFonts w:ascii="宋体" w:hAnsi="宋体"/>
                <w:color w:val="auto"/>
                <w:kern w:val="0"/>
                <w:szCs w:val="21"/>
              </w:rPr>
            </w:pPr>
            <w:r>
              <w:rPr>
                <w:rFonts w:hint="eastAsia" w:ascii="宋体" w:hAnsi="宋体" w:cs="宋体"/>
                <w:color w:val="auto"/>
                <w:szCs w:val="21"/>
              </w:rPr>
              <w:t>▲</w:t>
            </w:r>
            <w:r>
              <w:rPr>
                <w:rFonts w:hint="eastAsia" w:ascii="宋体" w:hAnsi="宋体"/>
                <w:color w:val="auto"/>
                <w:kern w:val="0"/>
                <w:szCs w:val="21"/>
              </w:rPr>
              <w:t>支持同一文件系统下不同容量的存储节点盘箱混用，以保证今后系统扩容能够使用更大容量主流硬盘；</w:t>
            </w:r>
          </w:p>
          <w:p>
            <w:pPr>
              <w:pStyle w:val="117"/>
              <w:widowControl/>
              <w:numPr>
                <w:ilvl w:val="0"/>
                <w:numId w:val="3"/>
              </w:numPr>
              <w:spacing w:line="420" w:lineRule="atLeast"/>
              <w:ind w:left="0" w:firstLine="420"/>
              <w:jc w:val="left"/>
              <w:rPr>
                <w:rFonts w:ascii="宋体" w:hAnsi="宋体"/>
                <w:color w:val="auto"/>
                <w:kern w:val="0"/>
                <w:szCs w:val="21"/>
              </w:rPr>
            </w:pPr>
            <w:r>
              <w:rPr>
                <w:rFonts w:hint="eastAsia" w:ascii="宋体" w:hAnsi="宋体"/>
                <w:color w:val="auto"/>
                <w:kern w:val="0"/>
                <w:szCs w:val="21"/>
              </w:rPr>
              <w:t>存储节点中的电源，风扇，控制单元等核心硬件模块均为1：1在线冗余运行，任意模块故障时，系统内部能够实现无缝自动切换，不出现单点故障，对系统性能和当前业务无任何影响。核心组件，如硬盘，电源模块，控制模块均支持在线热插拔更换；</w:t>
            </w:r>
          </w:p>
          <w:p>
            <w:pPr>
              <w:pStyle w:val="117"/>
              <w:widowControl/>
              <w:numPr>
                <w:ilvl w:val="0"/>
                <w:numId w:val="3"/>
              </w:numPr>
              <w:spacing w:line="420" w:lineRule="atLeast"/>
              <w:ind w:left="0" w:firstLine="420"/>
              <w:jc w:val="left"/>
              <w:rPr>
                <w:rFonts w:ascii="宋体" w:hAnsi="宋体"/>
                <w:color w:val="auto"/>
                <w:kern w:val="0"/>
                <w:szCs w:val="21"/>
              </w:rPr>
            </w:pPr>
            <w:r>
              <w:rPr>
                <w:rFonts w:hint="eastAsia" w:ascii="宋体" w:hAnsi="宋体"/>
                <w:color w:val="auto"/>
                <w:kern w:val="0"/>
                <w:szCs w:val="21"/>
              </w:rPr>
              <w:t>存储节点采用“核心盘箱+扩展盘箱”的架构，核心盘箱配置万兆以太网接口，采用双路热冗余存储控制器。扩展盘箱通过冗余SAS链路与核心盘箱连接，提供更加经济的性能提升；存储节点支持在线增加，实现带宽和容量线性扩展，所有存储节点中数据能够自动均衡；</w:t>
            </w:r>
          </w:p>
          <w:p>
            <w:pPr>
              <w:pStyle w:val="117"/>
              <w:widowControl/>
              <w:numPr>
                <w:ilvl w:val="0"/>
                <w:numId w:val="3"/>
              </w:numPr>
              <w:spacing w:line="420" w:lineRule="atLeast"/>
              <w:ind w:left="0" w:firstLine="420"/>
              <w:jc w:val="left"/>
              <w:rPr>
                <w:rFonts w:ascii="宋体" w:hAnsi="宋体"/>
                <w:color w:val="auto"/>
                <w:kern w:val="0"/>
                <w:szCs w:val="21"/>
              </w:rPr>
            </w:pPr>
            <w:r>
              <w:rPr>
                <w:rFonts w:hint="eastAsia" w:ascii="宋体" w:hAnsi="宋体" w:cs="宋体"/>
                <w:color w:val="auto"/>
                <w:szCs w:val="21"/>
              </w:rPr>
              <w:t>▲</w:t>
            </w:r>
            <w:r>
              <w:rPr>
                <w:rFonts w:hint="eastAsia" w:ascii="宋体" w:hAnsi="宋体"/>
                <w:color w:val="auto"/>
                <w:kern w:val="0"/>
                <w:szCs w:val="21"/>
              </w:rPr>
              <w:t>同一文件系统下，支持2套同规格存储节点之间1+1自动数据同步及负载均衡的高等级镜像备份；</w:t>
            </w:r>
          </w:p>
          <w:p>
            <w:pPr>
              <w:pStyle w:val="117"/>
              <w:widowControl/>
              <w:numPr>
                <w:ilvl w:val="0"/>
                <w:numId w:val="3"/>
              </w:numPr>
              <w:spacing w:line="420" w:lineRule="atLeast"/>
              <w:ind w:left="0" w:firstLine="420"/>
              <w:jc w:val="left"/>
              <w:rPr>
                <w:rFonts w:ascii="宋体" w:hAnsi="宋体"/>
                <w:color w:val="auto"/>
                <w:kern w:val="0"/>
                <w:szCs w:val="21"/>
              </w:rPr>
            </w:pPr>
            <w:r>
              <w:rPr>
                <w:rFonts w:hint="eastAsia" w:ascii="宋体" w:hAnsi="宋体" w:cs="宋体"/>
                <w:color w:val="auto"/>
                <w:szCs w:val="21"/>
              </w:rPr>
              <w:t>▲</w:t>
            </w:r>
            <w:r>
              <w:rPr>
                <w:rFonts w:hint="eastAsia" w:ascii="宋体" w:hAnsi="宋体"/>
                <w:color w:val="auto"/>
                <w:kern w:val="0"/>
                <w:szCs w:val="21"/>
              </w:rPr>
              <w:t>为了减少UHD素材迁移所消耗的时间，提高制播效率，存储系统能够直接作为UHD节目采集/播放设备的在线素材存储，实现UHD节目实时采集、回放和边采集边编辑功能；</w:t>
            </w:r>
          </w:p>
          <w:p>
            <w:pPr>
              <w:pStyle w:val="117"/>
              <w:widowControl/>
              <w:numPr>
                <w:ilvl w:val="0"/>
                <w:numId w:val="3"/>
              </w:numPr>
              <w:spacing w:line="420" w:lineRule="atLeast"/>
              <w:ind w:left="0" w:firstLine="420"/>
              <w:jc w:val="left"/>
              <w:rPr>
                <w:rFonts w:ascii="宋体" w:hAnsi="宋体"/>
                <w:color w:val="auto"/>
                <w:kern w:val="0"/>
                <w:szCs w:val="21"/>
              </w:rPr>
            </w:pPr>
            <w:r>
              <w:rPr>
                <w:rFonts w:hint="eastAsia" w:ascii="宋体" w:hAnsi="宋体"/>
                <w:color w:val="auto"/>
                <w:kern w:val="0"/>
                <w:szCs w:val="21"/>
              </w:rPr>
              <w:t>存储访问客户端支持包括Windows、Apple、Linux等主流操作系统，支持包括NFS、CIFS、FTP和AFP等标准的开放协议；</w:t>
            </w:r>
          </w:p>
          <w:p>
            <w:pPr>
              <w:pStyle w:val="117"/>
              <w:widowControl/>
              <w:numPr>
                <w:ilvl w:val="0"/>
                <w:numId w:val="3"/>
              </w:numPr>
              <w:spacing w:line="420" w:lineRule="atLeast"/>
              <w:ind w:left="0" w:firstLine="420"/>
              <w:jc w:val="left"/>
              <w:rPr>
                <w:rFonts w:ascii="宋体" w:hAnsi="宋体"/>
                <w:color w:val="auto"/>
                <w:kern w:val="0"/>
                <w:szCs w:val="21"/>
              </w:rPr>
            </w:pPr>
            <w:r>
              <w:rPr>
                <w:rFonts w:hint="eastAsia" w:ascii="宋体" w:hAnsi="宋体" w:cs="宋体"/>
                <w:color w:val="auto"/>
                <w:szCs w:val="21"/>
              </w:rPr>
              <w:t>▲</w:t>
            </w:r>
            <w:r>
              <w:rPr>
                <w:rFonts w:hint="eastAsia" w:ascii="宋体" w:hAnsi="宋体"/>
                <w:color w:val="auto"/>
                <w:kern w:val="0"/>
                <w:szCs w:val="21"/>
              </w:rPr>
              <w:t>存储访问客户端必须为单独的软件并提供多种针对存储访问的优化设置，而非普通NAS简单直连的方式，以确保带宽稳定性和高效利用；存储访问客户端免费且没有数量限制，所有客户端可同时并发访问所有存储节点，实现自动动态带宽负载均衡；</w:t>
            </w:r>
          </w:p>
          <w:p>
            <w:pPr>
              <w:pStyle w:val="117"/>
              <w:widowControl/>
              <w:numPr>
                <w:ilvl w:val="0"/>
                <w:numId w:val="3"/>
              </w:numPr>
              <w:spacing w:line="420" w:lineRule="atLeast"/>
              <w:ind w:left="0" w:firstLine="420"/>
              <w:jc w:val="left"/>
              <w:rPr>
                <w:rFonts w:ascii="宋体" w:hAnsi="宋体"/>
                <w:color w:val="auto"/>
                <w:kern w:val="0"/>
                <w:szCs w:val="21"/>
              </w:rPr>
            </w:pPr>
            <w:r>
              <w:rPr>
                <w:rFonts w:hint="eastAsia" w:ascii="宋体" w:hAnsi="宋体" w:cs="宋体"/>
                <w:color w:val="auto"/>
                <w:szCs w:val="21"/>
              </w:rPr>
              <w:t>▲</w:t>
            </w:r>
            <w:r>
              <w:rPr>
                <w:rFonts w:hint="eastAsia" w:ascii="宋体" w:hAnsi="宋体"/>
                <w:color w:val="auto"/>
                <w:kern w:val="0"/>
                <w:szCs w:val="21"/>
              </w:rPr>
              <w:t>存储系统采用单一文件系统方式，并采用文件夹方式的管理。支持基于目录的读写访问权限控制及存储容量配额及存储空间预留限制；</w:t>
            </w:r>
          </w:p>
          <w:p>
            <w:pPr>
              <w:pStyle w:val="117"/>
              <w:widowControl/>
              <w:numPr>
                <w:ilvl w:val="0"/>
                <w:numId w:val="3"/>
              </w:numPr>
              <w:spacing w:line="420" w:lineRule="atLeast"/>
              <w:ind w:left="0" w:firstLine="420"/>
              <w:jc w:val="left"/>
              <w:rPr>
                <w:rFonts w:ascii="宋体" w:hAnsi="宋体"/>
                <w:color w:val="auto"/>
                <w:kern w:val="0"/>
                <w:szCs w:val="21"/>
              </w:rPr>
            </w:pPr>
            <w:r>
              <w:rPr>
                <w:rFonts w:hint="eastAsia" w:ascii="宋体" w:hAnsi="宋体" w:cs="宋体"/>
                <w:color w:val="auto"/>
                <w:szCs w:val="21"/>
              </w:rPr>
              <w:t>▲</w:t>
            </w:r>
            <w:r>
              <w:rPr>
                <w:rFonts w:hint="eastAsia" w:ascii="宋体" w:hAnsi="宋体"/>
                <w:color w:val="auto"/>
                <w:kern w:val="0"/>
                <w:szCs w:val="21"/>
              </w:rPr>
              <w:t>支持多个访问客户端之间的负载均衡，无论在线客户端数量如何变化，均能保证当前所有在线客户端最大化使用系统总带宽和容量；</w:t>
            </w:r>
          </w:p>
          <w:p>
            <w:pPr>
              <w:pStyle w:val="117"/>
              <w:widowControl/>
              <w:numPr>
                <w:ilvl w:val="0"/>
                <w:numId w:val="3"/>
              </w:numPr>
              <w:spacing w:line="420" w:lineRule="atLeast"/>
              <w:ind w:left="0" w:firstLine="420"/>
              <w:jc w:val="left"/>
              <w:rPr>
                <w:rFonts w:ascii="宋体" w:hAnsi="宋体"/>
                <w:color w:val="auto"/>
                <w:kern w:val="0"/>
                <w:szCs w:val="21"/>
              </w:rPr>
            </w:pPr>
            <w:r>
              <w:rPr>
                <w:rFonts w:hint="eastAsia" w:ascii="宋体" w:hAnsi="宋体"/>
                <w:color w:val="auto"/>
                <w:kern w:val="0"/>
                <w:szCs w:val="21"/>
              </w:rPr>
              <w:t>提供基于Web页面的图形化存储管理软件，实现存储系统的配置及日常设备监控。能够为所有核心部件提供实时监控并进行报警信息推送，报警信息涵盖且不限于硬盘读写错误/损坏，元数据服务器、存储节点控制器、电源模块运行状态，网络连接状态，带宽及容量超限提示。支持设备供应商远程故障诊断；</w:t>
            </w:r>
          </w:p>
          <w:p>
            <w:pPr>
              <w:pStyle w:val="117"/>
              <w:widowControl/>
              <w:numPr>
                <w:ilvl w:val="0"/>
                <w:numId w:val="3"/>
              </w:numPr>
              <w:spacing w:line="420" w:lineRule="atLeast"/>
              <w:ind w:left="0" w:firstLine="420"/>
              <w:jc w:val="left"/>
              <w:rPr>
                <w:rFonts w:ascii="宋体" w:hAnsi="宋体"/>
                <w:color w:val="auto"/>
                <w:kern w:val="0"/>
                <w:szCs w:val="21"/>
              </w:rPr>
            </w:pPr>
            <w:r>
              <w:rPr>
                <w:rFonts w:hint="eastAsia" w:ascii="宋体" w:hAnsi="宋体"/>
                <w:color w:val="auto"/>
                <w:kern w:val="0"/>
                <w:szCs w:val="21"/>
              </w:rPr>
              <w:t>支持通过现有的Active Directory（ADS）或LDAP认证服务器对用户身份验证，支持基于ACL对每个用户和每个文件夹的访问权限进行控制；</w:t>
            </w:r>
          </w:p>
          <w:p>
            <w:pPr>
              <w:pStyle w:val="117"/>
              <w:widowControl/>
              <w:numPr>
                <w:ilvl w:val="0"/>
                <w:numId w:val="3"/>
              </w:numPr>
              <w:spacing w:line="420" w:lineRule="atLeast"/>
              <w:ind w:left="0" w:firstLine="420"/>
              <w:jc w:val="left"/>
              <w:rPr>
                <w:rFonts w:ascii="宋体" w:hAnsi="宋体"/>
                <w:color w:val="auto"/>
                <w:kern w:val="0"/>
                <w:szCs w:val="21"/>
              </w:rPr>
            </w:pPr>
            <w:r>
              <w:rPr>
                <w:rFonts w:hint="eastAsia" w:ascii="宋体" w:hAnsi="宋体"/>
                <w:color w:val="auto"/>
                <w:kern w:val="0"/>
                <w:szCs w:val="21"/>
              </w:rPr>
              <w:t>支持包括FinalCut Pro, Avid Media Composer 和 Adobe Premier的非线性编辑系统，支持节目素材边传输边编辑和边采集边编辑；</w:t>
            </w:r>
          </w:p>
          <w:p>
            <w:pPr>
              <w:pStyle w:val="117"/>
              <w:widowControl/>
              <w:numPr>
                <w:ilvl w:val="0"/>
                <w:numId w:val="3"/>
              </w:numPr>
              <w:spacing w:line="420" w:lineRule="atLeast"/>
              <w:ind w:left="0" w:firstLine="420"/>
              <w:jc w:val="left"/>
              <w:rPr>
                <w:rFonts w:ascii="宋体" w:hAnsi="宋体"/>
                <w:color w:val="auto"/>
                <w:kern w:val="0"/>
                <w:szCs w:val="21"/>
              </w:rPr>
            </w:pPr>
            <w:r>
              <w:rPr>
                <w:rFonts w:hint="eastAsia" w:ascii="宋体" w:hAnsi="宋体"/>
                <w:color w:val="auto"/>
                <w:kern w:val="0"/>
                <w:szCs w:val="21"/>
              </w:rPr>
              <w:t>支持API并免费提供，以便第三方应用集成。</w:t>
            </w:r>
          </w:p>
        </w:tc>
        <w:tc>
          <w:tcPr>
            <w:tcW w:w="150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478"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6</w:t>
            </w:r>
          </w:p>
        </w:tc>
        <w:tc>
          <w:tcPr>
            <w:tcW w:w="856" w:type="dxa"/>
            <w:vAlign w:val="center"/>
          </w:tcPr>
          <w:p>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6TB视音频处理专用硬盘</w:t>
            </w:r>
          </w:p>
        </w:tc>
        <w:tc>
          <w:tcPr>
            <w:tcW w:w="930" w:type="dxa"/>
            <w:vAlign w:val="center"/>
          </w:tcPr>
          <w:p>
            <w:pPr>
              <w:pStyle w:val="12"/>
              <w:spacing w:line="360" w:lineRule="exact"/>
              <w:jc w:val="center"/>
              <w:rPr>
                <w:rFonts w:ascii="宋体" w:hAnsi="宋体" w:cs="宋体"/>
                <w:color w:val="auto"/>
                <w:szCs w:val="21"/>
              </w:rPr>
            </w:pPr>
            <w:r>
              <w:rPr>
                <w:rFonts w:hint="eastAsia" w:ascii="宋体" w:hAnsi="宋体" w:cs="宋体"/>
                <w:color w:val="auto"/>
                <w:szCs w:val="21"/>
              </w:rPr>
              <w:t>8块</w:t>
            </w:r>
          </w:p>
        </w:tc>
        <w:tc>
          <w:tcPr>
            <w:tcW w:w="6435" w:type="dxa"/>
            <w:vAlign w:val="center"/>
          </w:tcPr>
          <w:p>
            <w:pPr>
              <w:pStyle w:val="117"/>
              <w:widowControl/>
              <w:spacing w:line="420" w:lineRule="atLeast"/>
              <w:ind w:left="420" w:leftChars="200" w:firstLine="0" w:firstLineChars="0"/>
              <w:jc w:val="left"/>
              <w:rPr>
                <w:rFonts w:ascii="宋体" w:hAnsi="宋体"/>
                <w:color w:val="auto"/>
                <w:kern w:val="0"/>
                <w:szCs w:val="21"/>
              </w:rPr>
            </w:pPr>
            <w:r>
              <w:rPr>
                <w:rFonts w:hint="eastAsia" w:ascii="宋体" w:hAnsi="宋体"/>
                <w:color w:val="auto"/>
                <w:kern w:val="0"/>
                <w:szCs w:val="21"/>
              </w:rPr>
              <w:t>6TB视音频文件采集播放器专用备份硬盘。</w:t>
            </w:r>
          </w:p>
        </w:tc>
        <w:tc>
          <w:tcPr>
            <w:tcW w:w="150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478"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7</w:t>
            </w:r>
          </w:p>
        </w:tc>
        <w:tc>
          <w:tcPr>
            <w:tcW w:w="856" w:type="dxa"/>
            <w:vAlign w:val="center"/>
          </w:tcPr>
          <w:p>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8TB视音频文件存储专用硬盘</w:t>
            </w:r>
          </w:p>
        </w:tc>
        <w:tc>
          <w:tcPr>
            <w:tcW w:w="930" w:type="dxa"/>
            <w:vAlign w:val="center"/>
          </w:tcPr>
          <w:p>
            <w:pPr>
              <w:pStyle w:val="12"/>
              <w:spacing w:line="360" w:lineRule="exact"/>
              <w:jc w:val="center"/>
              <w:rPr>
                <w:rFonts w:ascii="宋体" w:hAnsi="宋体" w:cs="宋体"/>
                <w:color w:val="auto"/>
                <w:szCs w:val="21"/>
              </w:rPr>
            </w:pPr>
            <w:r>
              <w:rPr>
                <w:rFonts w:hint="eastAsia" w:ascii="宋体" w:hAnsi="宋体" w:cs="宋体"/>
                <w:color w:val="auto"/>
                <w:szCs w:val="21"/>
              </w:rPr>
              <w:t>10块</w:t>
            </w:r>
          </w:p>
        </w:tc>
        <w:tc>
          <w:tcPr>
            <w:tcW w:w="6435" w:type="dxa"/>
            <w:vAlign w:val="center"/>
          </w:tcPr>
          <w:p>
            <w:pPr>
              <w:pStyle w:val="117"/>
              <w:widowControl/>
              <w:spacing w:line="420" w:lineRule="atLeast"/>
              <w:ind w:left="420" w:leftChars="200" w:firstLine="0" w:firstLineChars="0"/>
              <w:jc w:val="left"/>
              <w:rPr>
                <w:rFonts w:ascii="宋体" w:hAnsi="宋体"/>
                <w:color w:val="auto"/>
                <w:kern w:val="0"/>
                <w:szCs w:val="21"/>
              </w:rPr>
            </w:pPr>
            <w:r>
              <w:rPr>
                <w:rFonts w:hint="eastAsia" w:ascii="宋体" w:hAnsi="宋体"/>
                <w:color w:val="auto"/>
                <w:kern w:val="0"/>
                <w:szCs w:val="21"/>
              </w:rPr>
              <w:t>8TB视音频文件存储专用硬盘</w:t>
            </w:r>
          </w:p>
        </w:tc>
        <w:tc>
          <w:tcPr>
            <w:tcW w:w="150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478"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8</w:t>
            </w:r>
          </w:p>
        </w:tc>
        <w:tc>
          <w:tcPr>
            <w:tcW w:w="856" w:type="dxa"/>
            <w:vAlign w:val="center"/>
          </w:tcPr>
          <w:p>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系统管理软件</w:t>
            </w:r>
          </w:p>
        </w:tc>
        <w:tc>
          <w:tcPr>
            <w:tcW w:w="930" w:type="dxa"/>
            <w:vAlign w:val="center"/>
          </w:tcPr>
          <w:p>
            <w:pPr>
              <w:pStyle w:val="12"/>
              <w:spacing w:line="360" w:lineRule="exact"/>
              <w:jc w:val="center"/>
              <w:rPr>
                <w:rFonts w:ascii="宋体" w:hAnsi="宋体" w:cs="宋体"/>
                <w:color w:val="auto"/>
                <w:szCs w:val="21"/>
              </w:rPr>
            </w:pPr>
            <w:r>
              <w:rPr>
                <w:rFonts w:hint="eastAsia" w:ascii="宋体" w:hAnsi="宋体" w:cs="宋体"/>
                <w:color w:val="auto"/>
                <w:szCs w:val="21"/>
              </w:rPr>
              <w:t>1套</w:t>
            </w:r>
          </w:p>
        </w:tc>
        <w:tc>
          <w:tcPr>
            <w:tcW w:w="6435" w:type="dxa"/>
            <w:vAlign w:val="center"/>
          </w:tcPr>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系统管理软件实现上述超高清和高清采集/播放器、共享存储的配置，实现对设备状态的监控和管理。</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1）能够通过专用配置管理界面实现风扇转速、内部温度等硬件状态监控，提供硬盘、风扇、编解码板、电源等核心部件故障报警提示，信号源异常及同步信号丢失警告，系统日志搜集、记录和导出；</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2）能够读取采集/播放器主机，共享存储主机的状态，保存详细系统日志、故障日志、解码日志、受外控程序控制日志及报警，可以浏览、查看和到处日志文件。</w:t>
            </w:r>
          </w:p>
        </w:tc>
        <w:tc>
          <w:tcPr>
            <w:tcW w:w="150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478"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9</w:t>
            </w:r>
          </w:p>
        </w:tc>
        <w:tc>
          <w:tcPr>
            <w:tcW w:w="856" w:type="dxa"/>
            <w:vAlign w:val="center"/>
          </w:tcPr>
          <w:p>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原厂上门安装调试服务</w:t>
            </w:r>
          </w:p>
        </w:tc>
        <w:tc>
          <w:tcPr>
            <w:tcW w:w="930" w:type="dxa"/>
            <w:vAlign w:val="center"/>
          </w:tcPr>
          <w:p>
            <w:pPr>
              <w:pStyle w:val="12"/>
              <w:spacing w:line="360" w:lineRule="exact"/>
              <w:jc w:val="center"/>
              <w:rPr>
                <w:rFonts w:ascii="宋体" w:hAnsi="宋体" w:cs="宋体"/>
                <w:color w:val="auto"/>
                <w:szCs w:val="21"/>
              </w:rPr>
            </w:pPr>
            <w:r>
              <w:rPr>
                <w:rFonts w:hint="eastAsia" w:ascii="宋体" w:hAnsi="宋体" w:cs="宋体"/>
                <w:color w:val="auto"/>
                <w:szCs w:val="21"/>
              </w:rPr>
              <w:t>1项</w:t>
            </w:r>
          </w:p>
        </w:tc>
        <w:tc>
          <w:tcPr>
            <w:tcW w:w="6435" w:type="dxa"/>
            <w:vAlign w:val="center"/>
          </w:tcPr>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安装调试服务包含原厂上门安装调试服务和开播保障服务。</w:t>
            </w:r>
          </w:p>
          <w:p>
            <w:pPr>
              <w:spacing w:line="420" w:lineRule="atLeast"/>
              <w:ind w:firstLine="420" w:firstLineChars="200"/>
              <w:jc w:val="left"/>
              <w:rPr>
                <w:rFonts w:ascii="宋体" w:hAnsi="宋体" w:cs="宋体"/>
                <w:color w:val="auto"/>
                <w:szCs w:val="21"/>
              </w:rPr>
            </w:pPr>
            <w:r>
              <w:rPr>
                <w:rFonts w:hint="eastAsia" w:ascii="宋体" w:hAnsi="宋体" w:cs="宋体"/>
                <w:color w:val="auto"/>
                <w:szCs w:val="21"/>
              </w:rPr>
              <w:t>设备和软件系统的现场安装调试，含安装材料，调试期至少一年。</w:t>
            </w:r>
          </w:p>
        </w:tc>
        <w:tc>
          <w:tcPr>
            <w:tcW w:w="1505"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10204" w:type="dxa"/>
            <w:gridSpan w:val="5"/>
          </w:tcPr>
          <w:p>
            <w:pPr>
              <w:tabs>
                <w:tab w:val="left" w:pos="180"/>
                <w:tab w:val="left" w:pos="1620"/>
              </w:tabs>
              <w:spacing w:line="400" w:lineRule="exact"/>
              <w:rPr>
                <w:rFonts w:ascii="宋体" w:hAnsi="宋体" w:cs="宋体"/>
                <w:color w:val="auto"/>
                <w:szCs w:val="21"/>
              </w:rPr>
            </w:pPr>
            <w:r>
              <w:rPr>
                <w:rFonts w:hint="eastAsia" w:ascii="宋体" w:hAnsi="宋体" w:cs="宋体"/>
                <w:color w:val="auto"/>
                <w:szCs w:val="21"/>
              </w:rPr>
              <w:t>备注：</w:t>
            </w:r>
          </w:p>
          <w:p>
            <w:pPr>
              <w:tabs>
                <w:tab w:val="left" w:pos="180"/>
                <w:tab w:val="left" w:pos="1620"/>
              </w:tabs>
              <w:spacing w:line="400" w:lineRule="exact"/>
              <w:ind w:firstLine="420" w:firstLineChars="200"/>
              <w:rPr>
                <w:rFonts w:ascii="宋体" w:hAnsi="宋体" w:cs="宋体"/>
                <w:color w:val="auto"/>
                <w:szCs w:val="21"/>
              </w:rPr>
            </w:pPr>
            <w:r>
              <w:rPr>
                <w:rFonts w:hint="eastAsia" w:ascii="宋体" w:hAnsi="宋体" w:cs="宋体"/>
                <w:color w:val="auto"/>
                <w:szCs w:val="21"/>
              </w:rPr>
              <w:t>1.打“▲”的为实质性条款要求，必须满足，否则为不实质性响应招标文件要求，评审时投标文件将被作为无效文件处理；</w:t>
            </w:r>
          </w:p>
          <w:p>
            <w:pPr>
              <w:tabs>
                <w:tab w:val="left" w:pos="180"/>
                <w:tab w:val="left" w:pos="1620"/>
              </w:tabs>
              <w:spacing w:line="400" w:lineRule="exact"/>
              <w:ind w:firstLine="420" w:firstLineChars="200"/>
              <w:rPr>
                <w:rFonts w:ascii="宋体" w:hAnsi="宋体" w:cs="宋体"/>
                <w:color w:val="auto"/>
                <w:szCs w:val="21"/>
              </w:rPr>
            </w:pPr>
            <w:r>
              <w:rPr>
                <w:rFonts w:hint="eastAsia" w:ascii="宋体" w:hAnsi="宋体" w:cs="宋体"/>
                <w:color w:val="auto"/>
                <w:szCs w:val="21"/>
              </w:rPr>
              <w:t>2.经评审小组评审，商务或技术文件不实质性响应招标文件要求的，评审时投标文件将被作为无效文件处理。</w:t>
            </w:r>
          </w:p>
        </w:tc>
      </w:tr>
      <w:bookmarkEnd w:id="50"/>
      <w:bookmarkEnd w:id="51"/>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04" w:type="dxa"/>
            <w:gridSpan w:val="5"/>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auto"/>
                <w:szCs w:val="21"/>
              </w:rPr>
            </w:pPr>
            <w:r>
              <w:rPr>
                <w:rFonts w:hint="eastAsia" w:ascii="宋体" w:hAnsi="宋体" w:cs="宋体"/>
                <w:color w:val="auto"/>
                <w:szCs w:val="21"/>
              </w:rPr>
              <w:t>一、</w:t>
            </w:r>
            <w:r>
              <w:rPr>
                <w:rFonts w:hint="eastAsia" w:ascii="宋体" w:hAnsi="宋体" w:cs="宋体"/>
                <w:b/>
                <w:color w:val="auto"/>
                <w:szCs w:val="21"/>
              </w:rPr>
              <w:t>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6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▲报价要求</w:t>
            </w:r>
          </w:p>
        </w:tc>
        <w:tc>
          <w:tcPr>
            <w:tcW w:w="7940" w:type="dxa"/>
            <w:gridSpan w:val="2"/>
            <w:tcBorders>
              <w:top w:val="single" w:color="auto" w:sz="4" w:space="0"/>
              <w:left w:val="single" w:color="auto" w:sz="4" w:space="0"/>
              <w:bottom w:val="single" w:color="auto" w:sz="4" w:space="0"/>
              <w:right w:val="single" w:color="auto" w:sz="4" w:space="0"/>
            </w:tcBorders>
          </w:tcPr>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投标报价为采购人指定地点的现场交货价，包括但不限于：</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1.货物的价格；</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2.货物的标准附件、备品备件、专用工具的价格；</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3.运输、装卸、调试、培训、技术支持、售后服务等费用；</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4.必要的保险费用和各项税费；</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5.系统的安装材料费。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6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安装调试与验收</w:t>
            </w:r>
          </w:p>
        </w:tc>
        <w:tc>
          <w:tcPr>
            <w:tcW w:w="7940" w:type="dxa"/>
            <w:gridSpan w:val="2"/>
            <w:tcBorders>
              <w:top w:val="single" w:color="auto" w:sz="4" w:space="0"/>
              <w:left w:val="single" w:color="auto" w:sz="4" w:space="0"/>
              <w:bottom w:val="single" w:color="auto" w:sz="4" w:space="0"/>
              <w:right w:val="single" w:color="auto" w:sz="4" w:space="0"/>
            </w:tcBorders>
          </w:tcPr>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1.安装调试要求：</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（1）中标人应负责设备在安装和调试期间处理货物质量和数量短缺等问题，并对设备质量全面负责。</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2）中标人应在产品到货10个工作日内安排人员到场安装调试。调试内容按本技术规范的要求进行，调试记录经中标人整理后移交采购人，并作为验收依据。系统技术指标应满足国家广播电影电视总局的相关要求。</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2.验收：</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1）中标人提供全部的技术资料，技术文件应包括系统文件、软件系统支持文件、安装和测试文件、维护和操作文件及中标人认为必要的其他技术文件（为方便采购人进行维护操作，中标人应提供全套技术文件的电子版）。</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（2）提供设备和配套件的清单、技术参数及生产单位名录；</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（3）系统安装完成，流程调通后进行初验，按招标方程序进行。系统初验结束后，中标人应将初验记录整理后的文件完整移交给采购人。</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如发生采购人抽查测试结果与提供测试记录不符时，采购人应对中标人发现的质量缺陷做重新处理，处理后采购人仍需进行测试，直到满足技术规范的要求后，采购人给中标人开具初验证明，工程投入试运行。</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3.试运行</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试运行期为30天。在试运行期内，必要时中标人应派专业技术人员现场保障。如果发现由于中标方的责任造成任何设备系统的功能和性能不符合技术规范书的要求，或由于设备故障的发生导致设备停止运行，或与初验记录不一致的情况时，中标方应承诺在4小时内作出响应，并及时给予修复，所有费用亦由中标方承担，同时相应顺延试运行期。</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4.终验</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试运行期圆满结束后，系统无任何质量差错等情况下方可进行最终验收。并由双方确定终验时间。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6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yellow"/>
              </w:rPr>
            </w:pPr>
            <w:r>
              <w:rPr>
                <w:rFonts w:hint="eastAsia" w:ascii="宋体" w:hAnsi="宋体" w:cs="宋体"/>
                <w:color w:val="auto"/>
                <w:szCs w:val="21"/>
              </w:rPr>
              <w:t>▲</w:t>
            </w:r>
            <w:r>
              <w:rPr>
                <w:rFonts w:hint="eastAsia" w:ascii="宋体" w:hAnsi="宋体" w:cs="宋体"/>
                <w:bCs/>
                <w:color w:val="auto"/>
                <w:szCs w:val="21"/>
              </w:rPr>
              <w:t>质保期</w:t>
            </w:r>
          </w:p>
        </w:tc>
        <w:tc>
          <w:tcPr>
            <w:tcW w:w="7940" w:type="dxa"/>
            <w:gridSpan w:val="2"/>
            <w:tcBorders>
              <w:top w:val="single" w:color="auto" w:sz="4" w:space="0"/>
              <w:left w:val="single" w:color="auto" w:sz="4" w:space="0"/>
              <w:bottom w:val="single" w:color="auto" w:sz="4" w:space="0"/>
              <w:right w:val="single" w:color="auto" w:sz="4" w:space="0"/>
            </w:tcBorders>
          </w:tcPr>
          <w:p>
            <w:pPr>
              <w:spacing w:line="400" w:lineRule="exact"/>
              <w:ind w:firstLine="420" w:firstLineChars="200"/>
              <w:jc w:val="left"/>
              <w:rPr>
                <w:rFonts w:ascii="宋体" w:hAnsi="宋体" w:cs="宋体"/>
                <w:color w:val="auto"/>
                <w:szCs w:val="21"/>
                <w:highlight w:val="yellow"/>
              </w:rPr>
            </w:pPr>
            <w:r>
              <w:rPr>
                <w:rFonts w:hint="eastAsia" w:ascii="宋体" w:hAnsi="宋体" w:cs="宋体"/>
                <w:color w:val="auto"/>
                <w:szCs w:val="21"/>
              </w:rPr>
              <w:t>中标人应对系统硬件设备及系统软件提供至少1年的免费原厂质保，质保时间从终验合格之日起计算。在保修期内，对于系统内出现故障的硬件和软件，中标人应及时修复或更换，由此所发生的一切费用由中标方负责。免费保修期满前1个月内中标人应负责对设备进行一次免费全面检查，如发现潜在问题，应负责排除，保证设备正常运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6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yellow"/>
              </w:rPr>
            </w:pPr>
            <w:r>
              <w:rPr>
                <w:rFonts w:hint="eastAsia" w:ascii="宋体" w:hAnsi="宋体" w:cs="宋体"/>
                <w:color w:val="auto"/>
                <w:szCs w:val="21"/>
              </w:rPr>
              <w:t>售后服务要求</w:t>
            </w:r>
          </w:p>
        </w:tc>
        <w:tc>
          <w:tcPr>
            <w:tcW w:w="7940" w:type="dxa"/>
            <w:gridSpan w:val="2"/>
            <w:tcBorders>
              <w:top w:val="single" w:color="auto" w:sz="4" w:space="0"/>
              <w:left w:val="single" w:color="auto" w:sz="4" w:space="0"/>
              <w:bottom w:val="single" w:color="auto" w:sz="4" w:space="0"/>
              <w:right w:val="single" w:color="auto" w:sz="4" w:space="0"/>
            </w:tcBorders>
          </w:tcPr>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1.设备在运营期内，任何因设计、制造、安装工程等缺陷而发生的设备修改或更换，中标人应免费提供并负责修改工作。</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2.中标人提供的产品，在今后利用新技术方面有任何性能或功能的改进以及产品革新，中标人需免费书面通知采购人其改进和详细情况。若中标方的系统软件自然升级，中标方应免费提供给招标方。</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3.在保修期出现属设备质量问题，采购人则有权要求免费更换整机，更换产品的保修期从更换之日起相应顺延。</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4.中标人应提供7x24小时技术支持，在保修内系统设备运行发生故障时，接到故障通知2小时内响应，如电话支持不能解决，技术人员应4小时内到达事故现场，并应于24小时内完全解决故障，如不能在24小时内解决的，且属硬件故障原因而且48小时无法排除故障的，则应提供同等配置的备用设备以保证用户设备的正常运行。</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5.保修期内因维护、维修而产生的任何费用，均由中标人负责。</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6.在保修期外，对于系统内出现故障的硬件和软件，中标人也应能及时修复或更换，且只收取工件的成本费。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6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合同签订时间</w:t>
            </w:r>
          </w:p>
        </w:tc>
        <w:tc>
          <w:tcPr>
            <w:tcW w:w="794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Cs w:val="21"/>
              </w:rPr>
            </w:pPr>
            <w:r>
              <w:rPr>
                <w:rFonts w:hint="eastAsia" w:ascii="宋体" w:hAnsi="宋体" w:cs="宋体"/>
                <w:color w:val="auto"/>
                <w:szCs w:val="21"/>
              </w:rPr>
              <w:t>▲自中标通知书发出之日起</w:t>
            </w:r>
            <w:r>
              <w:rPr>
                <w:rFonts w:hint="eastAsia" w:ascii="宋体" w:hAnsi="宋体" w:cs="宋体"/>
                <w:color w:val="auto"/>
                <w:szCs w:val="21"/>
                <w:u w:val="single"/>
              </w:rPr>
              <w:t xml:space="preserve">  25  </w:t>
            </w:r>
            <w:r>
              <w:rPr>
                <w:rFonts w:hint="eastAsia" w:ascii="宋体" w:hAnsi="宋体" w:cs="宋体"/>
                <w:color w:val="auto"/>
                <w:szCs w:val="21"/>
              </w:rPr>
              <w:t>日内（最迟不能超过25日）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6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▲交货时间及地点</w:t>
            </w:r>
          </w:p>
        </w:tc>
        <w:tc>
          <w:tcPr>
            <w:tcW w:w="794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Cs w:val="21"/>
              </w:rPr>
            </w:pPr>
            <w:r>
              <w:rPr>
                <w:rFonts w:hint="eastAsia" w:ascii="宋体" w:hAnsi="宋体" w:cs="宋体"/>
                <w:color w:val="auto"/>
                <w:szCs w:val="21"/>
              </w:rPr>
              <w:t>1.交货时间：合同签订后90天内交货；</w:t>
            </w:r>
          </w:p>
          <w:p>
            <w:pPr>
              <w:spacing w:line="400" w:lineRule="exact"/>
              <w:jc w:val="left"/>
              <w:rPr>
                <w:rFonts w:ascii="宋体" w:hAnsi="宋体" w:cs="宋体"/>
                <w:color w:val="auto"/>
                <w:szCs w:val="21"/>
              </w:rPr>
            </w:pPr>
            <w:r>
              <w:rPr>
                <w:rFonts w:hint="eastAsia" w:ascii="宋体" w:hAnsi="宋体" w:cs="宋体"/>
                <w:color w:val="auto"/>
                <w:szCs w:val="21"/>
              </w:rPr>
              <w:t>2.交货地点：广西南宁市内用户指定地点。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6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yellow"/>
              </w:rPr>
            </w:pPr>
            <w:r>
              <w:rPr>
                <w:rFonts w:hint="eastAsia" w:ascii="宋体" w:hAnsi="宋体" w:cs="宋体"/>
                <w:color w:val="auto"/>
                <w:szCs w:val="21"/>
              </w:rPr>
              <w:t>付款条件</w:t>
            </w:r>
          </w:p>
        </w:tc>
        <w:tc>
          <w:tcPr>
            <w:tcW w:w="794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Cs w:val="21"/>
                <w:highlight w:val="yellow"/>
              </w:rPr>
            </w:pPr>
            <w:r>
              <w:rPr>
                <w:rFonts w:ascii="宋体" w:hAnsi="宋体" w:cs="宋体"/>
                <w:color w:val="auto"/>
                <w:szCs w:val="21"/>
                <w:highlight w:val="none"/>
              </w:rPr>
              <w:t>付款方式：合同签订后5个工作日内支付合同总额的 30 %，交付安装调试验收合格后5个工作日内支付合同总额的60 %，整体项目验收合格后一年内无质量问题的支付合同总额的10%。乙方每次收到货款之日起三个工作日内将正式合法有效的增值税专用发票开具给甲方。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6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r>
              <w:rPr>
                <w:color w:val="auto"/>
              </w:rPr>
              <w:t>履约保证金</w:t>
            </w:r>
          </w:p>
        </w:tc>
        <w:tc>
          <w:tcPr>
            <w:tcW w:w="79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left"/>
              <w:rPr>
                <w:rFonts w:hint="eastAsia" w:ascii="宋体" w:hAnsi="宋体" w:eastAsia="宋体" w:cs="宋体"/>
                <w:color w:val="auto"/>
                <w:highlight w:val="none"/>
              </w:rPr>
            </w:pPr>
            <w:r>
              <w:rPr>
                <w:rFonts w:hint="eastAsia" w:ascii="宋体" w:hAnsi="宋体" w:eastAsia="宋体" w:cs="宋体"/>
                <w:color w:val="auto"/>
                <w:highlight w:val="none"/>
              </w:rPr>
              <w:t>1.履约保证金金额：</w:t>
            </w:r>
            <w:r>
              <w:rPr>
                <w:rFonts w:hint="eastAsia" w:ascii="宋体" w:hAnsi="宋体" w:eastAsia="宋体" w:cs="宋体"/>
                <w:color w:val="auto"/>
                <w:szCs w:val="21"/>
                <w:highlight w:val="none"/>
              </w:rPr>
              <w:t>按中标金额的</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%收取，并于合同签订前提交至采购人指定账户。</w:t>
            </w:r>
          </w:p>
          <w:p>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2.履约保证金递交方式：支票、汇票、本票，或者银行、保险机构出具的保函等非现金方式。</w:t>
            </w:r>
          </w:p>
          <w:p>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3.履约保证金退付的方式、时间及条件：履约保证金在中标人按合同约定的项目验收交付正常运行一年后，由中标人向采购人提供《采购项目合同验收书》及《采购项目履约保证金退付意见书》（详见附件），甲方在收到合格材料后15个工作日内如数退还（不计利息）。采购人无故延期退付履约保证金的，每天向对方偿付未退付履约保证金3‰作为违约金。</w:t>
            </w:r>
          </w:p>
          <w:p>
            <w:pPr>
              <w:spacing w:line="360" w:lineRule="auto"/>
              <w:jc w:val="left"/>
              <w:rPr>
                <w:color w:val="auto"/>
                <w:highlight w:val="yellow"/>
              </w:rPr>
            </w:pPr>
            <w:r>
              <w:rPr>
                <w:rFonts w:hint="eastAsia" w:ascii="宋体" w:hAnsi="宋体" w:eastAsia="宋体" w:cs="宋体"/>
                <w:color w:val="auto"/>
                <w:highlight w:val="none"/>
              </w:rPr>
              <w:t>4.不予退还的情形：签订合同后，如中标人不按双方签订的合同规定履约，则其全部履约保证金不予退还。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6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Cs w:val="21"/>
              </w:rPr>
            </w:pPr>
            <w:r>
              <w:rPr>
                <w:rFonts w:hint="eastAsia" w:ascii="宋体" w:hAnsi="宋体" w:cs="宋体"/>
                <w:color w:val="auto"/>
                <w:szCs w:val="21"/>
              </w:rPr>
              <w:t>产品授权文件</w:t>
            </w:r>
          </w:p>
        </w:tc>
        <w:tc>
          <w:tcPr>
            <w:tcW w:w="794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Cs w:val="21"/>
              </w:rPr>
            </w:pPr>
            <w:r>
              <w:rPr>
                <w:rFonts w:hint="eastAsia" w:ascii="宋体" w:hAnsi="宋体" w:cs="宋体"/>
                <w:color w:val="auto"/>
                <w:szCs w:val="21"/>
              </w:rPr>
              <w:t>如有，请提供。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6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其他要求</w:t>
            </w:r>
          </w:p>
        </w:tc>
        <w:tc>
          <w:tcPr>
            <w:tcW w:w="794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Cs w:val="21"/>
              </w:rPr>
            </w:pPr>
            <w:r>
              <w:rPr>
                <w:rFonts w:hint="eastAsia" w:ascii="宋体" w:hAnsi="宋体" w:cs="宋体"/>
                <w:color w:val="auto"/>
                <w:szCs w:val="21"/>
              </w:rPr>
              <w:t>1.投标报价为采购人指定地点的现场交货价，包括：</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1.1 投标人就《货物需求一览表》中全部内容作完整唯一报价，不完整响应或拆分投标的将导致投标无效；</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1.2 本项目投标应以人民币报价；</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1.3 不论投标结果如何，投标人均应自行承担所有与投标有关的全部费用；</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1.4 本项目报价为产品送达采购人指定地点进行安装，经采购人验收合格所发生的一切费用，其包括但不限于以下费用：产品（含主要设备、配件、辅材）供应、运输装卸费、保险费、安装费、调试费、行政规费与税费、产品检验检测、操作人员培训费、管理费、验收费、质保期技术支持及运行维护费用、招标代理服务费等与本项目相关的一切费用；</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1.5 投标人漏报的单价或每单价报价中漏报、少报的费用，视为此项费用已隐含在投标报价中，中标后不得再向采购人收取任何费用。</w:t>
            </w:r>
          </w:p>
          <w:p>
            <w:pPr>
              <w:spacing w:line="400" w:lineRule="exact"/>
              <w:jc w:val="left"/>
              <w:rPr>
                <w:rFonts w:ascii="宋体" w:hAnsi="宋体" w:cs="宋体"/>
                <w:color w:val="auto"/>
                <w:szCs w:val="21"/>
              </w:rPr>
            </w:pPr>
            <w:r>
              <w:rPr>
                <w:rFonts w:hint="eastAsia" w:ascii="宋体" w:hAnsi="宋体" w:cs="宋体"/>
                <w:color w:val="auto"/>
                <w:szCs w:val="21"/>
              </w:rPr>
              <w:t>2.投标时请提供售后服务承诺书：明确保修期、故障响应时间、培训时间、售后服务技术人员名单和联系方式、不定期走访用户、保修期限外零配件若损坏，提供零配件优惠服务方案等。</w:t>
            </w:r>
          </w:p>
          <w:p>
            <w:pPr>
              <w:spacing w:line="400" w:lineRule="exact"/>
              <w:jc w:val="left"/>
              <w:rPr>
                <w:rFonts w:ascii="宋体" w:hAnsi="宋体" w:cs="宋体"/>
                <w:color w:val="auto"/>
                <w:szCs w:val="21"/>
              </w:rPr>
            </w:pPr>
            <w:r>
              <w:rPr>
                <w:rFonts w:hint="eastAsia" w:ascii="宋体" w:hAnsi="宋体" w:cs="宋体"/>
                <w:color w:val="auto"/>
                <w:szCs w:val="21"/>
              </w:rPr>
              <w:t>3.投标人必须承诺设备验收合格后免费对采购人的使用人员进行操作及相关知识的培训，并确保有1～2人能熟练使用设备，并能排除简单的软硬件故障。</w:t>
            </w:r>
          </w:p>
          <w:p>
            <w:pPr>
              <w:spacing w:line="400" w:lineRule="exact"/>
              <w:jc w:val="left"/>
              <w:rPr>
                <w:rFonts w:ascii="宋体" w:hAnsi="宋体" w:cs="宋体"/>
                <w:color w:val="auto"/>
                <w:szCs w:val="21"/>
              </w:rPr>
            </w:pPr>
            <w:r>
              <w:rPr>
                <w:rFonts w:hint="eastAsia" w:ascii="宋体" w:hAnsi="宋体" w:cs="宋体"/>
                <w:color w:val="auto"/>
                <w:szCs w:val="21"/>
              </w:rPr>
              <w:t>4.设备必须是全新、完整、未使用过的产品；设备到货后，供货商和购买方应在现场进行清点；清点过程中如果发现因包装或运输不当引起的设备外观或内部的损坏，供货商应负责更换；若发现错发/漏发情况，供货商应负责更换和补发。</w:t>
            </w:r>
          </w:p>
          <w:p>
            <w:pPr>
              <w:spacing w:line="400" w:lineRule="exact"/>
              <w:ind w:right="97" w:rightChars="46"/>
              <w:jc w:val="left"/>
              <w:rPr>
                <w:rFonts w:ascii="宋体" w:hAnsi="宋体" w:cs="宋体"/>
                <w:color w:val="auto"/>
                <w:szCs w:val="21"/>
              </w:rPr>
            </w:pPr>
            <w:r>
              <w:rPr>
                <w:rFonts w:hint="eastAsia" w:ascii="宋体" w:hAnsi="宋体" w:cs="宋体"/>
                <w:color w:val="auto"/>
                <w:szCs w:val="21"/>
              </w:rPr>
              <w:t>5.安装标准及验收标准：符合我国国家有关技术规范和技术标准；设备安装后，广西广播电视台按国际和国家标准及厂方标准进行质量验收；供应商应向采购人提供详细的验收收标准、验收手册。</w:t>
            </w:r>
          </w:p>
          <w:p>
            <w:pPr>
              <w:spacing w:line="400" w:lineRule="exact"/>
              <w:ind w:right="97" w:rightChars="46"/>
              <w:jc w:val="left"/>
              <w:rPr>
                <w:rFonts w:ascii="宋体" w:hAnsi="宋体" w:cs="宋体"/>
                <w:bCs/>
                <w:color w:val="auto"/>
                <w:szCs w:val="21"/>
              </w:rPr>
            </w:pPr>
            <w:r>
              <w:rPr>
                <w:rFonts w:hint="eastAsia" w:ascii="宋体" w:hAnsi="宋体" w:cs="宋体"/>
                <w:bCs/>
                <w:color w:val="auto"/>
                <w:szCs w:val="21"/>
              </w:rPr>
              <w:t>6.采购人设备主管科室对本合同质保服务内容进行全程对接和监督并对服务情况进行客观记录，在每个合同年度期结束时，由设备主管科室根据合同约定的服务内容、响应情况、服务态度及过程记录，对违反合同条款和不按合同要求履约的或被使用科室有效投诉2次，每事项每次扣罚履约金的10%。</w:t>
            </w:r>
          </w:p>
          <w:p>
            <w:pPr>
              <w:spacing w:line="400" w:lineRule="exact"/>
              <w:jc w:val="left"/>
              <w:rPr>
                <w:rFonts w:ascii="宋体" w:hAnsi="宋体" w:cs="宋体"/>
                <w:color w:val="auto"/>
                <w:szCs w:val="21"/>
              </w:rPr>
            </w:pPr>
            <w:r>
              <w:rPr>
                <w:rFonts w:hint="eastAsia" w:ascii="宋体" w:hAnsi="宋体" w:cs="宋体"/>
                <w:color w:val="auto"/>
                <w:szCs w:val="21"/>
              </w:rPr>
              <w:t>7.采购人在货物交货验收阶段发现货物的技术参数指标达不到招标文件该货物技术参数要求的，属虚假应标行为，采购人将终止合同拒收货物，追究该中标单位违约责任，赔偿采购人因采购时间延长造成采购人经济等方面损失，视情况采购人将违约情况上报政府采购监督管理部门。</w:t>
            </w:r>
          </w:p>
          <w:p>
            <w:pPr>
              <w:spacing w:line="400" w:lineRule="exact"/>
              <w:jc w:val="left"/>
              <w:rPr>
                <w:rFonts w:ascii="宋体" w:hAnsi="宋体" w:cs="宋体"/>
                <w:color w:val="auto"/>
                <w:szCs w:val="21"/>
              </w:rPr>
            </w:pPr>
            <w:r>
              <w:rPr>
                <w:rFonts w:hint="eastAsia" w:ascii="宋体" w:hAnsi="宋体" w:cs="宋体"/>
                <w:color w:val="auto"/>
                <w:szCs w:val="21"/>
              </w:rPr>
              <w:t>8.本章所列技术要求中，所有参数与性能均指满足使用需求的最低标准，投标人提供的货物或服务低于此标准的即视为负偏离并按评分标准进行相应打分；</w:t>
            </w:r>
          </w:p>
          <w:p>
            <w:pPr>
              <w:spacing w:line="400" w:lineRule="exact"/>
              <w:jc w:val="left"/>
              <w:rPr>
                <w:rFonts w:ascii="宋体" w:hAnsi="宋体" w:cs="宋体"/>
                <w:color w:val="auto"/>
                <w:szCs w:val="21"/>
              </w:rPr>
            </w:pPr>
            <w:r>
              <w:rPr>
                <w:rFonts w:hint="eastAsia" w:ascii="宋体" w:hAnsi="宋体" w:cs="宋体"/>
                <w:color w:val="auto"/>
                <w:szCs w:val="21"/>
              </w:rPr>
              <w:t>9.对于投标人不能满足的技术或服务要求，应在投标文件中详细载明，内容应包括不能完全满足的条款及投标人所能提供的替代响应方案等。未附相应偏离说明的条款或技术规格均视为满足采购需求，一旦中标，将按照招标文件载明的技术及服务需求进行验收，不能达到验收标准的，视为虚假应标；</w:t>
            </w:r>
          </w:p>
          <w:p>
            <w:pPr>
              <w:spacing w:line="400" w:lineRule="exact"/>
              <w:jc w:val="left"/>
              <w:rPr>
                <w:rFonts w:ascii="宋体" w:hAnsi="宋体" w:cs="宋体"/>
                <w:color w:val="auto"/>
                <w:szCs w:val="21"/>
              </w:rPr>
            </w:pPr>
            <w:r>
              <w:rPr>
                <w:rFonts w:hint="eastAsia" w:ascii="宋体" w:hAnsi="宋体" w:cs="宋体"/>
                <w:color w:val="auto"/>
                <w:szCs w:val="21"/>
              </w:rPr>
              <w:t>10.投标人制作的投标文件中应体现投标方案与招标文件技术、商务要求的符合程度，还应提供包括但不限于以下材料：</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获奖情况、类似业绩、售后服务方案、技术培训方案、系统总体设计能力的证明材料、系统执行能力的证明材料等；</w:t>
            </w:r>
          </w:p>
          <w:p>
            <w:pPr>
              <w:spacing w:line="400" w:lineRule="exact"/>
              <w:jc w:val="left"/>
              <w:rPr>
                <w:rFonts w:ascii="宋体" w:hAnsi="宋体" w:cs="宋体"/>
                <w:b/>
                <w:color w:val="auto"/>
                <w:szCs w:val="21"/>
              </w:rPr>
            </w:pPr>
            <w:r>
              <w:rPr>
                <w:rFonts w:hint="eastAsia" w:ascii="宋体" w:hAnsi="宋体" w:cs="宋体"/>
                <w:color w:val="auto"/>
                <w:szCs w:val="21"/>
              </w:rPr>
              <w:t>12.招标文件中的合同仅为合同的参考文本，最终以双方另行协商确认的合同版本为准。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04" w:type="dxa"/>
            <w:gridSpan w:val="5"/>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b/>
                <w:color w:val="auto"/>
                <w:szCs w:val="21"/>
              </w:rPr>
            </w:pPr>
            <w:r>
              <w:rPr>
                <w:rFonts w:hint="eastAsia" w:ascii="宋体" w:hAnsi="宋体" w:cs="宋体"/>
                <w:b/>
                <w:color w:val="auto"/>
                <w:szCs w:val="21"/>
              </w:rPr>
              <w:t>▲二、核心产品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04" w:type="dxa"/>
            <w:gridSpan w:val="5"/>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b/>
                <w:bCs/>
                <w:color w:val="auto"/>
                <w:szCs w:val="21"/>
              </w:rPr>
            </w:pPr>
            <w:r>
              <w:rPr>
                <w:rFonts w:hint="eastAsia" w:ascii="宋体" w:hAnsi="宋体" w:cs="宋体"/>
                <w:b/>
                <w:color w:val="auto"/>
                <w:szCs w:val="21"/>
              </w:rPr>
              <w:t>本表的核心产品为：第</w:t>
            </w:r>
            <w:r>
              <w:rPr>
                <w:rFonts w:hint="eastAsia" w:ascii="宋体" w:hAnsi="宋体" w:cs="宋体"/>
                <w:b/>
                <w:color w:val="auto"/>
                <w:szCs w:val="21"/>
                <w:u w:val="single"/>
              </w:rPr>
              <w:t xml:space="preserve"> 2 </w:t>
            </w:r>
            <w:r>
              <w:rPr>
                <w:rFonts w:hint="eastAsia" w:ascii="宋体" w:hAnsi="宋体" w:cs="宋体"/>
                <w:b/>
                <w:color w:val="auto"/>
                <w:szCs w:val="21"/>
              </w:rPr>
              <w:t>项产品，超高清视音频采集器。</w:t>
            </w:r>
            <w:r>
              <w:rPr>
                <w:rFonts w:hint="eastAsia" w:ascii="宋体" w:hAnsi="宋体" w:cs="宋体"/>
                <w:b/>
                <w:bCs/>
                <w:color w:val="auto"/>
                <w:szCs w:val="21"/>
              </w:rPr>
              <w:t>（核心产品品牌相同的，视为提供同品牌产品）</w:t>
            </w:r>
          </w:p>
          <w:p>
            <w:pPr>
              <w:spacing w:line="400" w:lineRule="exact"/>
              <w:rPr>
                <w:rFonts w:ascii="宋体" w:hAnsi="宋体" w:cs="宋体"/>
                <w:b/>
                <w:color w:val="auto"/>
                <w:szCs w:val="21"/>
              </w:rPr>
            </w:pPr>
            <w:r>
              <w:rPr>
                <w:rFonts w:hint="eastAsia" w:ascii="宋体" w:hAnsi="宋体" w:cs="宋体"/>
                <w:color w:val="auto"/>
                <w:szCs w:val="21"/>
              </w:rPr>
              <w:t>注：提供相同品牌产品且通过资格审查、符合性审查的不同投标人参加同一合同项下投标的，按一家投标人计算，评审后得分最高的同品牌投标人获得中标人推荐资格（评审得分相同的，以投标报价由低到高顺序排列；得分相同且投标报价相同的，按技术指标优劣顺序排列），其他同品牌投标人不作为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04"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
                <w:color w:val="auto"/>
                <w:szCs w:val="21"/>
              </w:rPr>
            </w:pPr>
            <w:r>
              <w:rPr>
                <w:rFonts w:hint="eastAsia" w:ascii="宋体" w:hAnsi="宋体" w:cs="宋体"/>
                <w:b/>
                <w:color w:val="auto"/>
                <w:szCs w:val="21"/>
              </w:rPr>
              <w:t>三、投标人的履约能力要求表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6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质量管理、企业信用要求</w:t>
            </w:r>
          </w:p>
        </w:tc>
        <w:tc>
          <w:tcPr>
            <w:tcW w:w="794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见本招标文件“评标办法及评分标准”。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6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能力或者业绩求</w:t>
            </w:r>
          </w:p>
        </w:tc>
        <w:tc>
          <w:tcPr>
            <w:tcW w:w="794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见本招标文件“评标办法及评分标准”。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04"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
                <w:color w:val="auto"/>
                <w:szCs w:val="21"/>
              </w:rPr>
            </w:pPr>
            <w:r>
              <w:rPr>
                <w:rFonts w:hint="eastAsia" w:ascii="宋体" w:hAnsi="宋体" w:cs="宋体"/>
                <w:b/>
                <w:color w:val="auto"/>
                <w:szCs w:val="21"/>
              </w:rPr>
              <w:t>四、政策性加分条件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6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政策性加分条件</w:t>
            </w:r>
          </w:p>
        </w:tc>
        <w:tc>
          <w:tcPr>
            <w:tcW w:w="794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符合节能环保等国家政策要求。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6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b/>
                <w:color w:val="auto"/>
                <w:szCs w:val="21"/>
              </w:rPr>
              <w:t>五、其他要求</w:t>
            </w:r>
          </w:p>
        </w:tc>
        <w:tc>
          <w:tcPr>
            <w:tcW w:w="794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04"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
                <w:color w:val="auto"/>
                <w:szCs w:val="21"/>
              </w:rPr>
            </w:pPr>
            <w:r>
              <w:rPr>
                <w:rFonts w:hint="eastAsia" w:ascii="宋体" w:hAnsi="宋体" w:cs="宋体"/>
                <w:b/>
                <w:color w:val="auto"/>
                <w:szCs w:val="21"/>
              </w:rPr>
              <w:t>六、进口产品说明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6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进口产品说明</w:t>
            </w:r>
          </w:p>
        </w:tc>
        <w:tc>
          <w:tcPr>
            <w:tcW w:w="794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b/>
                <w:color w:val="auto"/>
                <w:szCs w:val="21"/>
              </w:rPr>
              <w:t>☑</w:t>
            </w:r>
            <w:r>
              <w:rPr>
                <w:rFonts w:hint="eastAsia" w:ascii="宋体" w:hAnsi="宋体" w:cs="宋体"/>
                <w:color w:val="auto"/>
                <w:szCs w:val="21"/>
              </w:rPr>
              <w:t>本表货物第1项“视音频采集/播放器”、第2项“超高清视音频采集器”、第4项“共享存储”、第5项“播出存储”、第6项“6TB视音频处理专用硬盘”、第7项“8TB视音频文件存储专用硬盘”、第8项“系统管理软件”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Pr>
                <w:rFonts w:hint="eastAsia" w:ascii="宋体" w:hAnsi="宋体" w:cs="宋体"/>
                <w:b/>
                <w:color w:val="auto"/>
                <w:szCs w:val="21"/>
              </w:rPr>
              <w:t>否则作无效标处理。</w:t>
            </w:r>
          </w:p>
          <w:p>
            <w:pPr>
              <w:spacing w:line="400" w:lineRule="exact"/>
              <w:rPr>
                <w:rFonts w:ascii="宋体" w:hAnsi="宋体" w:cs="宋体"/>
                <w:color w:val="auto"/>
                <w:szCs w:val="21"/>
              </w:rPr>
            </w:pPr>
            <w:r>
              <w:rPr>
                <w:rFonts w:hint="eastAsia" w:ascii="宋体" w:hAnsi="宋体" w:cs="宋体"/>
                <w:color w:val="auto"/>
                <w:szCs w:val="21"/>
              </w:rPr>
              <w:t>□本分标货物不接受进口产品（即通过中国海关报关验放进入中国境内且产自关境外的产品）参与投标，</w:t>
            </w:r>
            <w:r>
              <w:rPr>
                <w:rFonts w:hint="eastAsia" w:ascii="宋体" w:hAnsi="宋体" w:cs="宋体"/>
                <w:b/>
                <w:color w:val="auto"/>
                <w:szCs w:val="21"/>
              </w:rPr>
              <w:t>如有进口产品参与投标的作无效标处理</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04"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
                <w:color w:val="auto"/>
                <w:szCs w:val="21"/>
              </w:rPr>
            </w:pPr>
            <w:r>
              <w:rPr>
                <w:rFonts w:hint="eastAsia" w:ascii="宋体" w:hAnsi="宋体" w:cs="宋体"/>
                <w:b/>
                <w:color w:val="auto"/>
                <w:szCs w:val="21"/>
              </w:rPr>
              <w:t>七、与本项目有关的设计图纸、技术规范、文件等附件资料及其获取方式（如有）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6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文件或者资料名称</w:t>
            </w:r>
          </w:p>
        </w:tc>
        <w:tc>
          <w:tcPr>
            <w:tcW w:w="794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公布渠道或者获取方式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6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无</w:t>
            </w:r>
          </w:p>
        </w:tc>
        <w:tc>
          <w:tcPr>
            <w:tcW w:w="7940" w:type="dxa"/>
            <w:gridSpan w:val="2"/>
            <w:tcBorders>
              <w:top w:val="single" w:color="auto" w:sz="4" w:space="0"/>
              <w:left w:val="single" w:color="auto" w:sz="4" w:space="0"/>
              <w:bottom w:val="single" w:color="auto" w:sz="4" w:space="0"/>
              <w:right w:val="single" w:color="auto" w:sz="4" w:space="0"/>
            </w:tcBorders>
            <w:vAlign w:val="center"/>
          </w:tcPr>
          <w:p>
            <w:pPr>
              <w:pStyle w:val="12"/>
              <w:spacing w:line="400" w:lineRule="exact"/>
              <w:jc w:val="center"/>
              <w:rPr>
                <w:rFonts w:ascii="宋体" w:hAnsi="宋体" w:cs="宋体"/>
                <w:color w:val="auto"/>
                <w:szCs w:val="21"/>
              </w:rPr>
            </w:pPr>
            <w:r>
              <w:rPr>
                <w:rFonts w:hint="eastAsia" w:ascii="宋体" w:hAnsi="宋体" w:cs="宋体"/>
                <w:color w:val="auto"/>
                <w:szCs w:val="21"/>
              </w:rPr>
              <w:t>无</w:t>
            </w:r>
          </w:p>
        </w:tc>
      </w:tr>
    </w:tbl>
    <w:p>
      <w:pPr>
        <w:pStyle w:val="108"/>
        <w:rPr>
          <w:rFonts w:ascii="宋体" w:hAnsi="宋体" w:cs="宋体"/>
          <w:color w:val="auto"/>
          <w:szCs w:val="21"/>
        </w:rPr>
      </w:pPr>
    </w:p>
    <w:p>
      <w:pPr>
        <w:spacing w:line="360" w:lineRule="auto"/>
        <w:ind w:firstLine="219" w:firstLineChars="104"/>
        <w:jc w:val="left"/>
        <w:rPr>
          <w:rFonts w:ascii="宋体" w:hAnsi="宋体" w:cs="宋体"/>
          <w:color w:val="auto"/>
          <w:szCs w:val="21"/>
        </w:rPr>
      </w:pPr>
      <w:r>
        <w:rPr>
          <w:rFonts w:hint="eastAsia" w:ascii="宋体" w:hAnsi="宋体" w:cs="宋体"/>
          <w:b/>
          <w:bCs/>
          <w:color w:val="auto"/>
          <w:szCs w:val="21"/>
        </w:rPr>
        <w:br w:type="page"/>
      </w:r>
      <w:r>
        <w:rPr>
          <w:rFonts w:hint="eastAsia" w:ascii="宋体" w:hAnsi="宋体" w:cs="宋体"/>
          <w:b/>
          <w:bCs/>
          <w:color w:val="auto"/>
          <w:szCs w:val="21"/>
        </w:rPr>
        <w:t>分标2：编码传输系统</w:t>
      </w:r>
    </w:p>
    <w:tbl>
      <w:tblPr>
        <w:tblStyle w:val="35"/>
        <w:tblW w:w="102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0"/>
        <w:gridCol w:w="744"/>
        <w:gridCol w:w="930"/>
        <w:gridCol w:w="6608"/>
        <w:gridCol w:w="1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590" w:type="dxa"/>
            <w:vAlign w:val="center"/>
          </w:tcPr>
          <w:p>
            <w:pPr>
              <w:tabs>
                <w:tab w:val="left" w:pos="180"/>
                <w:tab w:val="left" w:pos="1620"/>
              </w:tabs>
              <w:spacing w:line="360" w:lineRule="exact"/>
              <w:jc w:val="center"/>
              <w:rPr>
                <w:b/>
                <w:bCs/>
                <w:color w:val="auto"/>
                <w:szCs w:val="21"/>
              </w:rPr>
            </w:pPr>
            <w:r>
              <w:rPr>
                <w:b/>
                <w:bCs/>
                <w:color w:val="auto"/>
                <w:szCs w:val="21"/>
              </w:rPr>
              <w:t>序号</w:t>
            </w:r>
          </w:p>
        </w:tc>
        <w:tc>
          <w:tcPr>
            <w:tcW w:w="744" w:type="dxa"/>
            <w:vAlign w:val="center"/>
          </w:tcPr>
          <w:p>
            <w:pPr>
              <w:tabs>
                <w:tab w:val="left" w:pos="180"/>
                <w:tab w:val="left" w:pos="1620"/>
              </w:tabs>
              <w:spacing w:line="360" w:lineRule="exact"/>
              <w:jc w:val="center"/>
              <w:rPr>
                <w:b/>
                <w:bCs/>
                <w:color w:val="auto"/>
                <w:szCs w:val="21"/>
              </w:rPr>
            </w:pPr>
            <w:r>
              <w:rPr>
                <w:b/>
                <w:bCs/>
                <w:color w:val="auto"/>
                <w:szCs w:val="21"/>
              </w:rPr>
              <w:t>标的的名称</w:t>
            </w:r>
          </w:p>
        </w:tc>
        <w:tc>
          <w:tcPr>
            <w:tcW w:w="930" w:type="dxa"/>
            <w:vAlign w:val="center"/>
          </w:tcPr>
          <w:p>
            <w:pPr>
              <w:tabs>
                <w:tab w:val="left" w:pos="180"/>
                <w:tab w:val="left" w:pos="1620"/>
              </w:tabs>
              <w:spacing w:line="360" w:lineRule="exact"/>
              <w:jc w:val="center"/>
              <w:rPr>
                <w:b/>
                <w:bCs/>
                <w:color w:val="auto"/>
                <w:szCs w:val="21"/>
              </w:rPr>
            </w:pPr>
            <w:r>
              <w:rPr>
                <w:b/>
                <w:bCs/>
                <w:color w:val="auto"/>
                <w:szCs w:val="21"/>
              </w:rPr>
              <w:t>数量及</w:t>
            </w:r>
          </w:p>
          <w:p>
            <w:pPr>
              <w:tabs>
                <w:tab w:val="left" w:pos="180"/>
                <w:tab w:val="left" w:pos="1620"/>
              </w:tabs>
              <w:spacing w:line="360" w:lineRule="exact"/>
              <w:jc w:val="center"/>
              <w:rPr>
                <w:b/>
                <w:bCs/>
                <w:color w:val="auto"/>
                <w:szCs w:val="21"/>
              </w:rPr>
            </w:pPr>
            <w:r>
              <w:rPr>
                <w:b/>
                <w:bCs/>
                <w:color w:val="auto"/>
                <w:szCs w:val="21"/>
              </w:rPr>
              <w:t>单位</w:t>
            </w:r>
          </w:p>
        </w:tc>
        <w:tc>
          <w:tcPr>
            <w:tcW w:w="6608" w:type="dxa"/>
            <w:vAlign w:val="center"/>
          </w:tcPr>
          <w:p>
            <w:pPr>
              <w:tabs>
                <w:tab w:val="left" w:pos="180"/>
                <w:tab w:val="left" w:pos="1620"/>
              </w:tabs>
              <w:spacing w:line="360" w:lineRule="exact"/>
              <w:jc w:val="center"/>
              <w:rPr>
                <w:b/>
                <w:bCs/>
                <w:color w:val="auto"/>
                <w:szCs w:val="21"/>
              </w:rPr>
            </w:pPr>
            <w:r>
              <w:rPr>
                <w:b/>
                <w:bCs/>
                <w:color w:val="auto"/>
                <w:szCs w:val="21"/>
              </w:rPr>
              <w:t>技术需求</w:t>
            </w:r>
          </w:p>
        </w:tc>
        <w:tc>
          <w:tcPr>
            <w:tcW w:w="1332" w:type="dxa"/>
            <w:vAlign w:val="center"/>
          </w:tcPr>
          <w:p>
            <w:pPr>
              <w:tabs>
                <w:tab w:val="left" w:pos="180"/>
                <w:tab w:val="left" w:pos="1620"/>
              </w:tabs>
              <w:spacing w:line="360" w:lineRule="exact"/>
              <w:jc w:val="center"/>
              <w:rPr>
                <w:b/>
                <w:bCs/>
                <w:color w:val="auto"/>
                <w:szCs w:val="21"/>
              </w:rPr>
            </w:pPr>
            <w:r>
              <w:rPr>
                <w:color w:val="auto"/>
                <w:szCs w:val="21"/>
              </w:rPr>
              <w:t>分项预算合计（万元）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590" w:type="dxa"/>
            <w:vAlign w:val="center"/>
          </w:tcPr>
          <w:p>
            <w:pPr>
              <w:jc w:val="center"/>
              <w:rPr>
                <w:rFonts w:ascii="宋体" w:hAnsi="宋体" w:cs="宋体"/>
                <w:color w:val="auto"/>
                <w:szCs w:val="21"/>
              </w:rPr>
            </w:pPr>
            <w:r>
              <w:rPr>
                <w:rFonts w:hint="eastAsia"/>
                <w:color w:val="auto"/>
                <w:szCs w:val="21"/>
              </w:rPr>
              <w:t>1</w:t>
            </w:r>
          </w:p>
        </w:tc>
        <w:tc>
          <w:tcPr>
            <w:tcW w:w="744" w:type="dxa"/>
            <w:vAlign w:val="center"/>
          </w:tcPr>
          <w:p>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高标清编码器</w:t>
            </w:r>
          </w:p>
        </w:tc>
        <w:tc>
          <w:tcPr>
            <w:tcW w:w="930" w:type="dxa"/>
            <w:vAlign w:val="center"/>
          </w:tcPr>
          <w:p>
            <w:pPr>
              <w:pStyle w:val="12"/>
              <w:spacing w:line="360" w:lineRule="exact"/>
              <w:jc w:val="center"/>
              <w:rPr>
                <w:rFonts w:ascii="宋体" w:hAnsi="宋体" w:cs="宋体"/>
                <w:color w:val="auto"/>
                <w:szCs w:val="21"/>
                <w:highlight w:val="yellow"/>
              </w:rPr>
            </w:pPr>
            <w:r>
              <w:rPr>
                <w:rFonts w:hint="eastAsia" w:ascii="宋体" w:hAnsi="宋体" w:cs="宋体"/>
                <w:color w:val="auto"/>
                <w:szCs w:val="21"/>
                <w:highlight w:val="none"/>
              </w:rPr>
              <w:t>4台</w:t>
            </w:r>
          </w:p>
        </w:tc>
        <w:tc>
          <w:tcPr>
            <w:tcW w:w="6608" w:type="dxa"/>
            <w:vAlign w:val="center"/>
          </w:tcPr>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1.1RU标准机架设备，采用紧凑型模块化机框，双热冗余交流电源及国标电源线。</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2.视频输入：配置16路SD/HD/3G-SDI输入，DIN 1.0/2.3接口。配置16根BNC到DIN 1.0/2.3转换短线。</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3.音频输入：AES音频、嵌入音频，每路视频不少于2个伴音。</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4.</w:t>
            </w:r>
            <w:r>
              <w:rPr>
                <w:rFonts w:hint="eastAsia" w:ascii="宋体" w:hAnsi="宋体" w:cs="宋体"/>
                <w:color w:val="auto"/>
                <w:szCs w:val="21"/>
              </w:rPr>
              <w:t>▲</w:t>
            </w:r>
            <w:r>
              <w:rPr>
                <w:rFonts w:hint="eastAsia" w:ascii="宋体" w:hAnsi="宋体"/>
                <w:color w:val="auto"/>
                <w:kern w:val="0"/>
                <w:szCs w:val="21"/>
              </w:rPr>
              <w:t>每个编码通道均支持SD/HD MPEG-2、AVC、HEVC视频编码方式，可通过软件升级实现上述任意一种编码方式的扩展。编码码率可调。</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5.</w:t>
            </w:r>
            <w:r>
              <w:rPr>
                <w:rFonts w:hint="eastAsia" w:ascii="宋体" w:hAnsi="宋体"/>
                <w:b/>
                <w:bCs/>
                <w:color w:val="auto"/>
                <w:sz w:val="24"/>
              </w:rPr>
              <w:t>▲</w:t>
            </w:r>
            <w:r>
              <w:rPr>
                <w:rFonts w:hint="eastAsia" w:ascii="宋体" w:hAnsi="宋体"/>
                <w:color w:val="auto"/>
                <w:kern w:val="0"/>
                <w:szCs w:val="21"/>
              </w:rPr>
              <w:t>音频编码支持MPEG-1 Layer II，AC-3 (Dolby Digital）。</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6.同时支持8路高清SDI输入和8路标清SDI输入，配置8路高清H.264编码授权，8路标清MPEG2编码授权，每个高清通道配置LOGO插入授权。</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7.配置至少2个万兆以太网接口；配置至少2个千兆以太网接口，最多可扩展到8个千兆以太网接口。支持冗余TS OVER IP输出。</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8.将来可以向UHD编码过渡，通过购买新的授权，实现支持UHD动态统计复用、HDR处理技术、无压缩 IP输入流，支持UHD 10-bit 转码；支持SDR 与不同 HDR 格式和色域之间的转换，包括 HDR-10、HLG、BT.709、BT.2020；同时还支持标清和高清编码多码率输出。</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9.将来可以通过购买新的授权，实现每个编码通道的音频响度控制功能。</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10.</w:t>
            </w:r>
            <w:r>
              <w:rPr>
                <w:rFonts w:hint="eastAsia" w:ascii="宋体" w:hAnsi="宋体" w:cs="宋体"/>
                <w:color w:val="auto"/>
                <w:szCs w:val="21"/>
              </w:rPr>
              <w:t>▲</w:t>
            </w:r>
            <w:r>
              <w:rPr>
                <w:rFonts w:hint="eastAsia" w:ascii="宋体" w:hAnsi="宋体"/>
                <w:color w:val="auto"/>
                <w:kern w:val="0"/>
                <w:szCs w:val="21"/>
              </w:rPr>
              <w:t>支持WEB网管和统一网管的控制，能够实时监看到编码器的运行状态，配置编码参数。</w:t>
            </w:r>
          </w:p>
        </w:tc>
        <w:tc>
          <w:tcPr>
            <w:tcW w:w="133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143.60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590" w:type="dxa"/>
            <w:vAlign w:val="center"/>
          </w:tcPr>
          <w:p>
            <w:pPr>
              <w:jc w:val="center"/>
              <w:rPr>
                <w:rFonts w:ascii="宋体" w:hAnsi="宋体" w:cs="宋体"/>
                <w:color w:val="auto"/>
                <w:szCs w:val="21"/>
              </w:rPr>
            </w:pPr>
            <w:r>
              <w:rPr>
                <w:rFonts w:hint="eastAsia"/>
                <w:color w:val="auto"/>
                <w:szCs w:val="21"/>
              </w:rPr>
              <w:t>2</w:t>
            </w:r>
          </w:p>
        </w:tc>
        <w:tc>
          <w:tcPr>
            <w:tcW w:w="744" w:type="dxa"/>
            <w:vAlign w:val="center"/>
          </w:tcPr>
          <w:p>
            <w:pPr>
              <w:tabs>
                <w:tab w:val="left" w:pos="180"/>
                <w:tab w:val="left" w:pos="1620"/>
              </w:tabs>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标清AVS+编码器</w:t>
            </w:r>
          </w:p>
        </w:tc>
        <w:tc>
          <w:tcPr>
            <w:tcW w:w="930" w:type="dxa"/>
            <w:vAlign w:val="center"/>
          </w:tcPr>
          <w:p>
            <w:pPr>
              <w:pStyle w:val="12"/>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4台</w:t>
            </w:r>
          </w:p>
        </w:tc>
        <w:tc>
          <w:tcPr>
            <w:tcW w:w="6608" w:type="dxa"/>
            <w:vAlign w:val="center"/>
          </w:tcPr>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1.不超过2RU标准机架设备，双热冗余交流电源及国标电源线。</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2.支持8路SD-SDI输入，支持8套标清视音频节目的AVS+编码。</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3.支持双路IP 1000M、双路ASI输出。</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4.支持WEB网管和统一网管的控制，支持SNMP v1/v2的标准Mib库用于第三方集成。</w:t>
            </w:r>
          </w:p>
        </w:tc>
        <w:tc>
          <w:tcPr>
            <w:tcW w:w="133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54.16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590" w:type="dxa"/>
            <w:vAlign w:val="center"/>
          </w:tcPr>
          <w:p>
            <w:pPr>
              <w:jc w:val="center"/>
              <w:rPr>
                <w:rFonts w:ascii="宋体" w:hAnsi="宋体" w:cs="宋体"/>
                <w:color w:val="auto"/>
                <w:szCs w:val="21"/>
              </w:rPr>
            </w:pPr>
            <w:r>
              <w:rPr>
                <w:rFonts w:hint="eastAsia"/>
                <w:color w:val="auto"/>
                <w:szCs w:val="21"/>
              </w:rPr>
              <w:t>3</w:t>
            </w:r>
          </w:p>
        </w:tc>
        <w:tc>
          <w:tcPr>
            <w:tcW w:w="744" w:type="dxa"/>
            <w:vAlign w:val="center"/>
          </w:tcPr>
          <w:p>
            <w:pPr>
              <w:tabs>
                <w:tab w:val="left" w:pos="180"/>
                <w:tab w:val="left" w:pos="1620"/>
              </w:tabs>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高标清AVS+编码器</w:t>
            </w:r>
          </w:p>
        </w:tc>
        <w:tc>
          <w:tcPr>
            <w:tcW w:w="930" w:type="dxa"/>
            <w:vAlign w:val="center"/>
          </w:tcPr>
          <w:p>
            <w:pPr>
              <w:pStyle w:val="12"/>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3台</w:t>
            </w:r>
          </w:p>
        </w:tc>
        <w:tc>
          <w:tcPr>
            <w:tcW w:w="6608" w:type="dxa"/>
            <w:vAlign w:val="center"/>
          </w:tcPr>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1.1RU标准机架设备，双热冗余交流电源及国标电源线。</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2.支持1路HD/SD-SDI输入，支持高标清AVS+编码处理。</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3.视频输入接口：HD/SD-SDI输入接口。</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4.输出接口：2路IP 1000M及2路ASI。</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5.视频编码方式：AVS、AVS+。</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6.支持H.264编码方式扩展。</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7.音频编码方式MPEG、AC-3、DRA。</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8.</w:t>
            </w:r>
            <w:r>
              <w:rPr>
                <w:rFonts w:hint="eastAsia" w:ascii="宋体" w:hAnsi="宋体"/>
                <w:b/>
                <w:bCs/>
                <w:color w:val="auto"/>
                <w:sz w:val="24"/>
              </w:rPr>
              <w:t>▲</w:t>
            </w:r>
            <w:r>
              <w:rPr>
                <w:rFonts w:hint="eastAsia" w:ascii="宋体" w:hAnsi="宋体"/>
                <w:color w:val="auto"/>
                <w:kern w:val="0"/>
                <w:szCs w:val="21"/>
              </w:rPr>
              <w:t>采用Dual-Pass模式判断和码率控制技术。</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9.编码码率范围：4Mbps-15Mbps（高清）、1Mbps-6Mbps（标清）。</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10.支持系统故障自动恢复。</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11.IP输出协议支持TS over UDP。</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12.前面板提供控制按键及报警指示灯。</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13.支持统计复用的编码方式。</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14.支持WEB网管和统一网管的控制，支持SNMP v1/v2的标准Mib库用于第三方集成。</w:t>
            </w:r>
          </w:p>
        </w:tc>
        <w:tc>
          <w:tcPr>
            <w:tcW w:w="133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590" w:type="dxa"/>
            <w:vAlign w:val="center"/>
          </w:tcPr>
          <w:p>
            <w:pPr>
              <w:jc w:val="center"/>
              <w:rPr>
                <w:rFonts w:ascii="宋体" w:hAnsi="宋体" w:cs="宋体"/>
                <w:color w:val="auto"/>
                <w:szCs w:val="21"/>
              </w:rPr>
            </w:pPr>
            <w:r>
              <w:rPr>
                <w:rFonts w:hint="eastAsia"/>
                <w:color w:val="auto"/>
                <w:szCs w:val="21"/>
              </w:rPr>
              <w:t>4</w:t>
            </w:r>
          </w:p>
        </w:tc>
        <w:tc>
          <w:tcPr>
            <w:tcW w:w="744" w:type="dxa"/>
            <w:vAlign w:val="center"/>
          </w:tcPr>
          <w:p>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复用器</w:t>
            </w:r>
          </w:p>
        </w:tc>
        <w:tc>
          <w:tcPr>
            <w:tcW w:w="930" w:type="dxa"/>
            <w:vAlign w:val="center"/>
          </w:tcPr>
          <w:p>
            <w:pPr>
              <w:pStyle w:val="12"/>
              <w:spacing w:line="360" w:lineRule="exact"/>
              <w:jc w:val="center"/>
              <w:rPr>
                <w:rFonts w:ascii="宋体" w:hAnsi="宋体" w:cs="宋体"/>
                <w:color w:val="auto"/>
                <w:szCs w:val="21"/>
              </w:rPr>
            </w:pPr>
            <w:r>
              <w:rPr>
                <w:rFonts w:hint="eastAsia" w:ascii="宋体" w:hAnsi="宋体" w:cs="宋体"/>
                <w:color w:val="auto"/>
                <w:szCs w:val="21"/>
                <w:highlight w:val="none"/>
              </w:rPr>
              <w:t>4台</w:t>
            </w:r>
          </w:p>
        </w:tc>
        <w:tc>
          <w:tcPr>
            <w:tcW w:w="6608" w:type="dxa"/>
            <w:vAlign w:val="center"/>
          </w:tcPr>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1.1RU标准机架设备，双热冗余交流电源及国标电源线。</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2.配置16个ASI端口。ASI输入输出口特性要求：BNC接头；TS流包格式：188字节/204字节自适应；I/O处理：不小于213Mbps；ASI接口支持独立配置输入输出，支持端口镜像。</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3.▲配置至少4个双向万兆IP接口。IP输入输出特性要求：I/O支持处理不小于1000个组播流，每个组播流最大支持300Mbps，总处理带宽不小于1000Mbps；支持双向通信，即单个IP接口同时支持输入和输出；可以对每一路输入、输出码流进行错误监测并进行码率测量,同时也支持输入每套节目流量大小的测量，并且提供报警功能,报警路数可任意通过后台设置；所有输入接口支持MPTS与SPTS，包长188；支持对加密码流的分析，节目提取与透明复用。</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4.配置至少4个双向千兆IP接口，可用于输入输出码流、连接CA系统和网管。</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5.▲支持ASI及IP格式码流复用，支持节目和PID过滤、PID复用，针对加密流能够再复用，并且可以分析加密流的信息。复用节目数量可以达到128套。对PID进行自动搜索和随意的修改或复用。可以随意更改TS流的其他信息；具有通道的故障隔离能力，即当某路输入码流异常后，不能影响复用输出的其他通道的节目；支持PCR时钟调整功能，当输入码流正常的情况下,输出的PCR抖动增加值不大于±100ns；支持PAT/PMT/SDT/NIT/等表格的生成、编辑、删除、替换；支持EPG的插入；支持EPG的ASI和Ethernet接口方式插入。</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6.支持对输入码流的多级自动（复用器自主）、手动（包括由外部第三方软件的触发控制）切换，以保证输出码流的安全可靠。多级包括码流级（对输入端口成对的主备码流进行切换）和节目级（当输出码流中一个或多个节目出现异常或缺失时复用器可按照预定后备节目设置对其进行多重自动或手动替换）。</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7.支持WEB网管和统一网管的控制，能够实时监看到编码器的运行状态，配置编码参数。</w:t>
            </w:r>
          </w:p>
        </w:tc>
        <w:tc>
          <w:tcPr>
            <w:tcW w:w="133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73.00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590" w:type="dxa"/>
            <w:vAlign w:val="center"/>
          </w:tcPr>
          <w:p>
            <w:pPr>
              <w:jc w:val="center"/>
              <w:rPr>
                <w:rFonts w:ascii="宋体" w:hAnsi="宋体" w:cs="宋体"/>
                <w:color w:val="auto"/>
                <w:szCs w:val="21"/>
              </w:rPr>
            </w:pPr>
            <w:r>
              <w:rPr>
                <w:rFonts w:hint="eastAsia"/>
                <w:color w:val="auto"/>
                <w:szCs w:val="21"/>
              </w:rPr>
              <w:t>5</w:t>
            </w:r>
          </w:p>
        </w:tc>
        <w:tc>
          <w:tcPr>
            <w:tcW w:w="744" w:type="dxa"/>
            <w:vAlign w:val="center"/>
          </w:tcPr>
          <w:p>
            <w:pPr>
              <w:tabs>
                <w:tab w:val="left" w:pos="180"/>
                <w:tab w:val="left" w:pos="1620"/>
              </w:tabs>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核心数据交换机</w:t>
            </w:r>
          </w:p>
        </w:tc>
        <w:tc>
          <w:tcPr>
            <w:tcW w:w="930" w:type="dxa"/>
            <w:vAlign w:val="center"/>
          </w:tcPr>
          <w:p>
            <w:pPr>
              <w:pStyle w:val="12"/>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4台</w:t>
            </w:r>
          </w:p>
        </w:tc>
        <w:tc>
          <w:tcPr>
            <w:tcW w:w="6608" w:type="dxa"/>
            <w:vAlign w:val="center"/>
          </w:tcPr>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1.1RU标准机架设备，双热冗余交流电源及国标电源线。</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2.▲三层交换机。</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3.交换容量不低于1.28Tbps。</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4.包转发率不低于252M。</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5.48个千兆Base-T接口，4个10GE SFP+插槽，2个40GEQSFP+插槽。</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6.支持VLAN功能。</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7.网络标准：支持标准以太网IEEE802.3协议族。</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8.网络协议：支持STP，RSTP，MSTP，PVST。</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9.支持先进的、基于硬件的IP单播和组播路由，能为视频组播应用提供更高的效率。</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10.支持大型帧，为需要使用很大数据帧的高级数据和视频应用提供支持。</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11.▲支持对多个IP组播地址在指定端口输出。</w:t>
            </w:r>
          </w:p>
        </w:tc>
        <w:tc>
          <w:tcPr>
            <w:tcW w:w="133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8.31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590" w:type="dxa"/>
            <w:vAlign w:val="center"/>
          </w:tcPr>
          <w:p>
            <w:pPr>
              <w:jc w:val="center"/>
              <w:rPr>
                <w:rFonts w:ascii="宋体" w:hAnsi="宋体" w:cs="宋体"/>
                <w:color w:val="auto"/>
                <w:szCs w:val="21"/>
              </w:rPr>
            </w:pPr>
            <w:r>
              <w:rPr>
                <w:rFonts w:hint="eastAsia"/>
                <w:color w:val="auto"/>
                <w:szCs w:val="21"/>
              </w:rPr>
              <w:t>6</w:t>
            </w:r>
          </w:p>
        </w:tc>
        <w:tc>
          <w:tcPr>
            <w:tcW w:w="744" w:type="dxa"/>
            <w:vAlign w:val="center"/>
          </w:tcPr>
          <w:p>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多通道ASI切换器</w:t>
            </w:r>
          </w:p>
        </w:tc>
        <w:tc>
          <w:tcPr>
            <w:tcW w:w="930" w:type="dxa"/>
            <w:vAlign w:val="center"/>
          </w:tcPr>
          <w:p>
            <w:pPr>
              <w:pStyle w:val="12"/>
              <w:spacing w:line="360" w:lineRule="exact"/>
              <w:jc w:val="center"/>
              <w:rPr>
                <w:rFonts w:ascii="宋体" w:hAnsi="宋体" w:cs="宋体"/>
                <w:color w:val="auto"/>
                <w:szCs w:val="21"/>
              </w:rPr>
            </w:pPr>
            <w:r>
              <w:rPr>
                <w:rFonts w:hint="eastAsia" w:ascii="宋体" w:hAnsi="宋体" w:cs="宋体"/>
                <w:color w:val="auto"/>
                <w:szCs w:val="21"/>
              </w:rPr>
              <w:t>3台</w:t>
            </w:r>
          </w:p>
        </w:tc>
        <w:tc>
          <w:tcPr>
            <w:tcW w:w="6608" w:type="dxa"/>
            <w:vAlign w:val="center"/>
          </w:tcPr>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1.1RU标准机架设备，双热冗余交流电源及国标电源线。</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2.▲支持4组ASI码流信号输入（每组2路ASI码流信号），支持4组ASI码流独立执行2x1切换。输入和输出端口均为BNC接口。</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3.配置10个GPI输入和4个继电器触点， Ethernet 10/100 网络控制接口。</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4.▲ASI码流切换条件支持 TR101290  1/2/3 优先级。</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5.ASI码流切换条件对预期PID的模板检查、速率限制和/或各种关键节目部分的加扰状态检查。</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6.支持配置每个检测触发ASI码流切换的条件，及其关键报警级别以启动切换或记录报警。</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7.支持设置检测告警触发时间，避免瞬时事件下的不必要切换。</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8.支持同时分析存在延迟的输入流，提供延迟补偿功能，实现检测到一路输入故障，设备将补偿时间差异，并无缝切换为另一路正常的传输流。</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9.每组ASI码流切换配置至少2个输出端口，第一个输出端口为掉电直通端口。ASI输出的掉电直通端口，可保留用户选择的输入信号或上次的切换结果。</w:t>
            </w:r>
          </w:p>
        </w:tc>
        <w:tc>
          <w:tcPr>
            <w:tcW w:w="133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62.07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590" w:type="dxa"/>
            <w:vAlign w:val="center"/>
          </w:tcPr>
          <w:p>
            <w:pPr>
              <w:jc w:val="center"/>
              <w:rPr>
                <w:rFonts w:ascii="宋体" w:hAnsi="宋体" w:cs="宋体"/>
                <w:color w:val="auto"/>
                <w:szCs w:val="21"/>
              </w:rPr>
            </w:pPr>
            <w:r>
              <w:rPr>
                <w:rFonts w:hint="eastAsia"/>
                <w:color w:val="auto"/>
                <w:szCs w:val="21"/>
              </w:rPr>
              <w:t>7</w:t>
            </w:r>
          </w:p>
        </w:tc>
        <w:tc>
          <w:tcPr>
            <w:tcW w:w="744" w:type="dxa"/>
            <w:vAlign w:val="center"/>
          </w:tcPr>
          <w:p>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四通道ASI切换器控制面板</w:t>
            </w:r>
          </w:p>
        </w:tc>
        <w:tc>
          <w:tcPr>
            <w:tcW w:w="930" w:type="dxa"/>
            <w:vAlign w:val="center"/>
          </w:tcPr>
          <w:p>
            <w:pPr>
              <w:pStyle w:val="12"/>
              <w:spacing w:line="360" w:lineRule="exact"/>
              <w:jc w:val="center"/>
              <w:rPr>
                <w:rFonts w:ascii="宋体" w:hAnsi="宋体" w:cs="宋体"/>
                <w:color w:val="auto"/>
                <w:szCs w:val="21"/>
              </w:rPr>
            </w:pPr>
            <w:r>
              <w:rPr>
                <w:rFonts w:hint="eastAsia" w:ascii="宋体" w:hAnsi="宋体" w:cs="宋体"/>
                <w:color w:val="auto"/>
                <w:szCs w:val="21"/>
              </w:rPr>
              <w:t>3台</w:t>
            </w:r>
          </w:p>
        </w:tc>
        <w:tc>
          <w:tcPr>
            <w:tcW w:w="6608" w:type="dxa"/>
            <w:vAlign w:val="center"/>
          </w:tcPr>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1.支持远程手动控制多通道ASI切换器。</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2.1RU标准机架设备，双热冗余交流电源及国标电源线。</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3.▲支持4组2x1 GPI/O控制。采用按键控制切换信号。</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4.支持远距离控制多通道ASI切换器，距离大于50米。</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5.支持LED灯方式及时报告开关状态、切换和输出状态及切换动作。</w:t>
            </w:r>
          </w:p>
        </w:tc>
        <w:tc>
          <w:tcPr>
            <w:tcW w:w="133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5.71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590" w:type="dxa"/>
            <w:vAlign w:val="center"/>
          </w:tcPr>
          <w:p>
            <w:pPr>
              <w:jc w:val="center"/>
              <w:rPr>
                <w:rFonts w:ascii="宋体" w:hAnsi="宋体" w:cs="宋体"/>
                <w:color w:val="auto"/>
                <w:szCs w:val="21"/>
              </w:rPr>
            </w:pPr>
            <w:r>
              <w:rPr>
                <w:rFonts w:hint="eastAsia"/>
                <w:color w:val="auto"/>
                <w:szCs w:val="21"/>
              </w:rPr>
              <w:t>8</w:t>
            </w:r>
          </w:p>
        </w:tc>
        <w:tc>
          <w:tcPr>
            <w:tcW w:w="744" w:type="dxa"/>
            <w:vAlign w:val="center"/>
          </w:tcPr>
          <w:p>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单通道ASI切换器</w:t>
            </w:r>
          </w:p>
        </w:tc>
        <w:tc>
          <w:tcPr>
            <w:tcW w:w="930" w:type="dxa"/>
            <w:vAlign w:val="center"/>
          </w:tcPr>
          <w:p>
            <w:pPr>
              <w:pStyle w:val="12"/>
              <w:spacing w:line="360" w:lineRule="exact"/>
              <w:jc w:val="center"/>
              <w:rPr>
                <w:rFonts w:ascii="宋体" w:hAnsi="宋体" w:cs="宋体"/>
                <w:color w:val="auto"/>
                <w:szCs w:val="21"/>
              </w:rPr>
            </w:pPr>
            <w:r>
              <w:rPr>
                <w:rFonts w:hint="eastAsia" w:ascii="宋体" w:hAnsi="宋体" w:cs="宋体"/>
                <w:color w:val="auto"/>
                <w:szCs w:val="21"/>
              </w:rPr>
              <w:t>1台</w:t>
            </w:r>
          </w:p>
        </w:tc>
        <w:tc>
          <w:tcPr>
            <w:tcW w:w="6608" w:type="dxa"/>
            <w:vAlign w:val="center"/>
          </w:tcPr>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1.1RU标准机架设备，双热冗余交流电源及国标电源线。</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2.支持2个ASI（包括掉电直通端口）码流信号输入，支持2路ASI码流切换，具备掉电直通功能，支持8路ASI切换输出。</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3.配置10个GPI输入和4个继电器触点， Ethernet 10/100 网络控制接口。</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4.▲ASI码流切换条件支持 TR101290  1/2/3 优先级。</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5.ASI码流切换条件对预期PID的模板检查、速率限制和/或各种关键节目部分的加扰状态检查。</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6.支持配置每个检测触发ASI码流切换的条件，及其关键报警级别以启动切换或记录报警。</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7.支持设置检测告警触发时间，避免瞬时事件下的不必要切换。</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8.支持同时分析存在延迟的输入流，提供延迟补偿功能，实现检测到一路输入故障，设备将补偿时间差异，并无缝切换为另一路正常的传输流。</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9.▲每组ASI码流切换配置8个输出端口，第一个输出端口为掉电直通端口。ASI输出的掉电直通端口，可保留用户选择的输入信号或上次的切换结果。</w:t>
            </w:r>
          </w:p>
        </w:tc>
        <w:tc>
          <w:tcPr>
            <w:tcW w:w="133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12.93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590" w:type="dxa"/>
            <w:vAlign w:val="center"/>
          </w:tcPr>
          <w:p>
            <w:pPr>
              <w:jc w:val="center"/>
              <w:rPr>
                <w:rFonts w:ascii="宋体" w:hAnsi="宋体" w:cs="宋体"/>
                <w:color w:val="auto"/>
                <w:szCs w:val="21"/>
              </w:rPr>
            </w:pPr>
            <w:r>
              <w:rPr>
                <w:rFonts w:hint="eastAsia"/>
                <w:color w:val="auto"/>
                <w:szCs w:val="21"/>
              </w:rPr>
              <w:t>9</w:t>
            </w:r>
          </w:p>
        </w:tc>
        <w:tc>
          <w:tcPr>
            <w:tcW w:w="744" w:type="dxa"/>
            <w:vAlign w:val="center"/>
          </w:tcPr>
          <w:p>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双通道ASI切换器控制面板</w:t>
            </w:r>
          </w:p>
        </w:tc>
        <w:tc>
          <w:tcPr>
            <w:tcW w:w="930" w:type="dxa"/>
            <w:vAlign w:val="center"/>
          </w:tcPr>
          <w:p>
            <w:pPr>
              <w:pStyle w:val="12"/>
              <w:spacing w:line="360" w:lineRule="exact"/>
              <w:jc w:val="center"/>
              <w:rPr>
                <w:rFonts w:ascii="宋体" w:hAnsi="宋体" w:cs="宋体"/>
                <w:color w:val="auto"/>
                <w:szCs w:val="21"/>
              </w:rPr>
            </w:pPr>
            <w:r>
              <w:rPr>
                <w:rFonts w:hint="eastAsia" w:ascii="宋体" w:hAnsi="宋体" w:cs="宋体"/>
                <w:color w:val="auto"/>
                <w:szCs w:val="21"/>
              </w:rPr>
              <w:t>1台</w:t>
            </w:r>
          </w:p>
        </w:tc>
        <w:tc>
          <w:tcPr>
            <w:tcW w:w="6608" w:type="dxa"/>
            <w:vAlign w:val="center"/>
          </w:tcPr>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1.支持远程手动控制单通道ASI切换器。</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2.1RU标准机架设备，双热冗余交流电源及国标电源线。</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3.▲支持2组2x1 GPI/O控制。采用按键控制切换信号。</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4.支持远距离控制单通道ASI切换器，距离大于50米。</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5.支持LED灯方式及时报告开关状态、切换和输出状态及切换动作。</w:t>
            </w:r>
          </w:p>
        </w:tc>
        <w:tc>
          <w:tcPr>
            <w:tcW w:w="133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590" w:type="dxa"/>
            <w:vAlign w:val="center"/>
          </w:tcPr>
          <w:p>
            <w:pPr>
              <w:jc w:val="center"/>
              <w:rPr>
                <w:rFonts w:ascii="宋体" w:hAnsi="宋体" w:cs="宋体"/>
                <w:color w:val="auto"/>
                <w:szCs w:val="21"/>
              </w:rPr>
            </w:pPr>
            <w:r>
              <w:rPr>
                <w:rFonts w:hint="eastAsia"/>
                <w:color w:val="auto"/>
                <w:szCs w:val="21"/>
              </w:rPr>
              <w:t>10</w:t>
            </w:r>
          </w:p>
        </w:tc>
        <w:tc>
          <w:tcPr>
            <w:tcW w:w="744" w:type="dxa"/>
            <w:vAlign w:val="center"/>
          </w:tcPr>
          <w:p>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多通道IP切换器</w:t>
            </w:r>
          </w:p>
        </w:tc>
        <w:tc>
          <w:tcPr>
            <w:tcW w:w="930" w:type="dxa"/>
            <w:vAlign w:val="center"/>
          </w:tcPr>
          <w:p>
            <w:pPr>
              <w:pStyle w:val="12"/>
              <w:spacing w:line="360" w:lineRule="exact"/>
              <w:jc w:val="center"/>
              <w:rPr>
                <w:rFonts w:ascii="宋体" w:hAnsi="宋体" w:cs="宋体"/>
                <w:color w:val="auto"/>
                <w:szCs w:val="21"/>
              </w:rPr>
            </w:pPr>
            <w:r>
              <w:rPr>
                <w:rFonts w:hint="eastAsia" w:ascii="宋体" w:hAnsi="宋体" w:cs="宋体"/>
                <w:color w:val="auto"/>
                <w:szCs w:val="21"/>
              </w:rPr>
              <w:t>5台</w:t>
            </w:r>
          </w:p>
        </w:tc>
        <w:tc>
          <w:tcPr>
            <w:tcW w:w="6608" w:type="dxa"/>
            <w:vAlign w:val="center"/>
          </w:tcPr>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1.1RU标准机架设备，双热冗余交流电源及国标电源线。</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2.▲配置4个千兆网络端口（包括掉电直通端口），其中2端口输入，2个端口输出，具备掉电直通功能。</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3.配置8个IP UDP冗余切换授权，支持完成8组IP信号（16路IP信号）二切一切换功能。</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4.配置10个GPI输入和4个继电器触点， Ethernet 10/100 网络控制接口。</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5.▲TS码流切换条件支持 TR101290  1/2/3 优先级。</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6.TS码流切换条件对预期PID的模板检查、速率限制和/或各种关键节目部分的加扰状态检查。</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7.支持配置每个检测触发TS码流切换的条件，及其关键报警级别以启动切换或记录报警。</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8.支持设置检测告警触发时间，避免瞬时事件下的不必要切换。</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9.支持同时分析存在延迟的输入流，提供延迟补偿功能，实现检测到一路输入故障，设备将补偿时间差异，并无缝切换为另一路正常的传输流。</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10.▲IP流切换配置2个输出端口，第一个输出端口为掉电直通端口。</w:t>
            </w:r>
          </w:p>
        </w:tc>
        <w:tc>
          <w:tcPr>
            <w:tcW w:w="133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94.00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590" w:type="dxa"/>
            <w:vAlign w:val="center"/>
          </w:tcPr>
          <w:p>
            <w:pPr>
              <w:jc w:val="center"/>
              <w:rPr>
                <w:rFonts w:ascii="宋体" w:hAnsi="宋体" w:cs="宋体"/>
                <w:color w:val="auto"/>
                <w:szCs w:val="21"/>
              </w:rPr>
            </w:pPr>
            <w:r>
              <w:rPr>
                <w:rFonts w:hint="eastAsia"/>
                <w:color w:val="auto"/>
                <w:szCs w:val="21"/>
              </w:rPr>
              <w:t>11</w:t>
            </w:r>
          </w:p>
        </w:tc>
        <w:tc>
          <w:tcPr>
            <w:tcW w:w="744" w:type="dxa"/>
            <w:vAlign w:val="center"/>
          </w:tcPr>
          <w:p>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多通道IP切换器控制面板</w:t>
            </w:r>
          </w:p>
        </w:tc>
        <w:tc>
          <w:tcPr>
            <w:tcW w:w="930" w:type="dxa"/>
            <w:vAlign w:val="center"/>
          </w:tcPr>
          <w:p>
            <w:pPr>
              <w:pStyle w:val="12"/>
              <w:spacing w:line="360" w:lineRule="exact"/>
              <w:jc w:val="center"/>
              <w:rPr>
                <w:rFonts w:ascii="宋体" w:hAnsi="宋体" w:cs="宋体"/>
                <w:color w:val="auto"/>
                <w:szCs w:val="21"/>
              </w:rPr>
            </w:pPr>
            <w:r>
              <w:rPr>
                <w:rFonts w:hint="eastAsia" w:ascii="宋体" w:hAnsi="宋体" w:cs="宋体"/>
                <w:color w:val="auto"/>
                <w:szCs w:val="21"/>
              </w:rPr>
              <w:t>5台</w:t>
            </w:r>
          </w:p>
        </w:tc>
        <w:tc>
          <w:tcPr>
            <w:tcW w:w="6608" w:type="dxa"/>
            <w:vAlign w:val="center"/>
          </w:tcPr>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1.支持远程手动控制多通道IP切换器。</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2.1RU标准机架设备，双热冗余交流电源及国标电源线。</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3.▲支持8组2x1 GPI/O控制面板，采用按键控制切换信号。</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4.支持远距离控制多通道IP切换器，距离大于50米。</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5.支持LED灯方式及时报告开关状态、切换和输出状态及切换动作。</w:t>
            </w:r>
          </w:p>
        </w:tc>
        <w:tc>
          <w:tcPr>
            <w:tcW w:w="133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590" w:type="dxa"/>
            <w:vAlign w:val="center"/>
          </w:tcPr>
          <w:p>
            <w:pPr>
              <w:jc w:val="center"/>
              <w:rPr>
                <w:rFonts w:ascii="宋体" w:hAnsi="宋体" w:cs="宋体"/>
                <w:color w:val="auto"/>
                <w:szCs w:val="21"/>
              </w:rPr>
            </w:pPr>
            <w:r>
              <w:rPr>
                <w:rFonts w:hint="eastAsia"/>
                <w:color w:val="auto"/>
                <w:szCs w:val="21"/>
              </w:rPr>
              <w:t>12</w:t>
            </w:r>
          </w:p>
        </w:tc>
        <w:tc>
          <w:tcPr>
            <w:tcW w:w="744" w:type="dxa"/>
            <w:vAlign w:val="center"/>
          </w:tcPr>
          <w:p>
            <w:pPr>
              <w:tabs>
                <w:tab w:val="left" w:pos="180"/>
                <w:tab w:val="left" w:pos="1620"/>
              </w:tabs>
              <w:spacing w:line="360" w:lineRule="exact"/>
              <w:jc w:val="center"/>
              <w:rPr>
                <w:rFonts w:ascii="宋体" w:hAnsi="宋体" w:cs="宋体"/>
                <w:color w:val="auto"/>
                <w:szCs w:val="21"/>
                <w:highlight w:val="none"/>
              </w:rPr>
            </w:pPr>
            <w:r>
              <w:rPr>
                <w:rFonts w:hint="eastAsia" w:ascii="宋体" w:hAnsi="宋体" w:cs="宋体"/>
                <w:color w:val="auto"/>
                <w:szCs w:val="21"/>
                <w:highlight w:val="none"/>
              </w:rPr>
              <w:t>DS3适配器</w:t>
            </w:r>
          </w:p>
        </w:tc>
        <w:tc>
          <w:tcPr>
            <w:tcW w:w="930" w:type="dxa"/>
            <w:vAlign w:val="center"/>
          </w:tcPr>
          <w:p>
            <w:pPr>
              <w:pStyle w:val="12"/>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4台</w:t>
            </w:r>
          </w:p>
        </w:tc>
        <w:tc>
          <w:tcPr>
            <w:tcW w:w="6608" w:type="dxa"/>
            <w:vAlign w:val="center"/>
          </w:tcPr>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1.1RU标准机架设备，双热冗余交流电源及国标电源线。</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2.配置3路ASI码流信号输入端口，同时支持3路ASI码流信号分别转DS3/E3的适配功能，每路适配配置2路DS3/E3码流信号输出端口。整机满足3路DS3信号适配功能，能够完成3路ASI信号适配成为DS3信号输出。所有ASI及DS3端口均为75欧姆BNC接口。</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3.▲支持多协议，可与TANDBERG、数码视讯、环路网协议兼容。</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4.支持自适应码率与防止溢出。</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5.支持自动输入信号均衡。支持时钟抖动校正功能。</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6.ASI传输流204/188包长自适应。</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7.支持WEB网管控制。</w:t>
            </w:r>
          </w:p>
        </w:tc>
        <w:tc>
          <w:tcPr>
            <w:tcW w:w="133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44.00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590" w:type="dxa"/>
            <w:vAlign w:val="center"/>
          </w:tcPr>
          <w:p>
            <w:pPr>
              <w:jc w:val="center"/>
              <w:rPr>
                <w:rFonts w:ascii="宋体" w:hAnsi="宋体" w:cs="宋体"/>
                <w:color w:val="auto"/>
                <w:szCs w:val="21"/>
              </w:rPr>
            </w:pPr>
            <w:r>
              <w:rPr>
                <w:rFonts w:hint="eastAsia"/>
                <w:color w:val="auto"/>
                <w:szCs w:val="21"/>
              </w:rPr>
              <w:t>13</w:t>
            </w:r>
          </w:p>
        </w:tc>
        <w:tc>
          <w:tcPr>
            <w:tcW w:w="744" w:type="dxa"/>
            <w:vAlign w:val="center"/>
          </w:tcPr>
          <w:p>
            <w:pPr>
              <w:tabs>
                <w:tab w:val="left" w:pos="180"/>
                <w:tab w:val="left" w:pos="1620"/>
              </w:tabs>
              <w:spacing w:line="360" w:lineRule="exact"/>
              <w:jc w:val="center"/>
              <w:rPr>
                <w:rFonts w:ascii="宋体" w:hAnsi="宋体" w:cs="宋体"/>
                <w:color w:val="auto"/>
                <w:szCs w:val="21"/>
                <w:highlight w:val="none"/>
              </w:rPr>
            </w:pPr>
            <w:r>
              <w:rPr>
                <w:rFonts w:hint="eastAsia" w:ascii="宋体" w:hAnsi="宋体" w:cs="宋体"/>
                <w:color w:val="auto"/>
                <w:szCs w:val="21"/>
                <w:highlight w:val="none"/>
              </w:rPr>
              <w:t>DS3切换器</w:t>
            </w:r>
          </w:p>
        </w:tc>
        <w:tc>
          <w:tcPr>
            <w:tcW w:w="930" w:type="dxa"/>
            <w:vAlign w:val="center"/>
          </w:tcPr>
          <w:p>
            <w:pPr>
              <w:pStyle w:val="12"/>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3台</w:t>
            </w:r>
          </w:p>
        </w:tc>
        <w:tc>
          <w:tcPr>
            <w:tcW w:w="6608" w:type="dxa"/>
            <w:vAlign w:val="center"/>
          </w:tcPr>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1.DS3切换器不超过2RU的标准机架设备，双热冗余交流电源及国标电源线。</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2.▲同时支持3组DS3信号的输入（包括掉电直通端口），支持二选一自动和手动切换功能，具备掉电直通功能。</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3.配置网络控制模块，并提供设备的网络管理和远程面板控制。</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4.▲远程面板为1RU的标准机架设备，采用按键控制切换信号。每块远程面板至少含 3 组按键（每组三个键分别为主、备、自动/手动）。</w:t>
            </w:r>
          </w:p>
        </w:tc>
        <w:tc>
          <w:tcPr>
            <w:tcW w:w="133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90" w:type="dxa"/>
            <w:vAlign w:val="center"/>
          </w:tcPr>
          <w:p>
            <w:pPr>
              <w:jc w:val="center"/>
              <w:rPr>
                <w:rFonts w:ascii="宋体" w:hAnsi="宋体" w:cs="宋体"/>
                <w:color w:val="auto"/>
                <w:szCs w:val="21"/>
              </w:rPr>
            </w:pPr>
            <w:r>
              <w:rPr>
                <w:rFonts w:hint="eastAsia"/>
                <w:color w:val="auto"/>
                <w:szCs w:val="21"/>
              </w:rPr>
              <w:t>14</w:t>
            </w:r>
          </w:p>
        </w:tc>
        <w:tc>
          <w:tcPr>
            <w:tcW w:w="744" w:type="dxa"/>
            <w:vAlign w:val="center"/>
          </w:tcPr>
          <w:p>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网管系统</w:t>
            </w:r>
          </w:p>
        </w:tc>
        <w:tc>
          <w:tcPr>
            <w:tcW w:w="930" w:type="dxa"/>
            <w:vAlign w:val="center"/>
          </w:tcPr>
          <w:p>
            <w:pPr>
              <w:pStyle w:val="12"/>
              <w:spacing w:line="360" w:lineRule="exact"/>
              <w:jc w:val="center"/>
              <w:rPr>
                <w:rFonts w:ascii="宋体" w:hAnsi="宋体" w:cs="宋体"/>
                <w:color w:val="auto"/>
                <w:szCs w:val="21"/>
              </w:rPr>
            </w:pPr>
            <w:r>
              <w:rPr>
                <w:rFonts w:hint="eastAsia" w:ascii="宋体" w:hAnsi="宋体" w:cs="宋体"/>
                <w:color w:val="auto"/>
                <w:szCs w:val="21"/>
              </w:rPr>
              <w:t>1套</w:t>
            </w:r>
          </w:p>
        </w:tc>
        <w:tc>
          <w:tcPr>
            <w:tcW w:w="6608" w:type="dxa"/>
            <w:vAlign w:val="center"/>
          </w:tcPr>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1.网管系统含网管软硬件。硬件服务器为1RU标准机架设备，双热冗余交流电源及国标电源线。</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2.支持对编码器及复用器的远程集中管理，其功能包括：故障管理、性能管理、配置管理、安全管理，并能够显示全网设备的拓扑结构、能通过网管对系统软件进行远程升级，为便于维护人员进行正常的运行维护，设备应具备本地操作维护接口。应采用图形用户界面，模块化设计，容易维护、测试和修改，程序具有即读性、保护性和自诊断特性，能够测试其主要功能，发现错误并提供可闻可视告警，视频输入和数字音频输入丢失时要能告警。当软件出错或断电，系统能自举并恢复到断电前的状态。</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3.软件修改能够通过模块改变来增减功能，不影响其控制性和当前通道连接。软件版本更新和内部修改，可以通过更高级别的网络管理软件在线下载完成。</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4.▲在网管系统崩溃的情况下，必须保证编码系统的节目正常传输不受网管系统崩溃的影响。系统能够脱离网管仍然具备自动切换备份功能。</w:t>
            </w:r>
          </w:p>
        </w:tc>
        <w:tc>
          <w:tcPr>
            <w:tcW w:w="133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90" w:type="dxa"/>
            <w:vAlign w:val="center"/>
          </w:tcPr>
          <w:p>
            <w:pPr>
              <w:jc w:val="center"/>
              <w:rPr>
                <w:rFonts w:ascii="宋体" w:hAnsi="宋体" w:cs="宋体"/>
                <w:color w:val="auto"/>
                <w:szCs w:val="21"/>
              </w:rPr>
            </w:pPr>
            <w:r>
              <w:rPr>
                <w:rFonts w:hint="eastAsia"/>
                <w:color w:val="auto"/>
                <w:szCs w:val="21"/>
              </w:rPr>
              <w:t>15</w:t>
            </w:r>
          </w:p>
        </w:tc>
        <w:tc>
          <w:tcPr>
            <w:tcW w:w="744" w:type="dxa"/>
            <w:vAlign w:val="center"/>
          </w:tcPr>
          <w:p>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网管交换机</w:t>
            </w:r>
          </w:p>
        </w:tc>
        <w:tc>
          <w:tcPr>
            <w:tcW w:w="930" w:type="dxa"/>
            <w:vAlign w:val="center"/>
          </w:tcPr>
          <w:p>
            <w:pPr>
              <w:pStyle w:val="12"/>
              <w:spacing w:line="360" w:lineRule="exact"/>
              <w:jc w:val="center"/>
              <w:rPr>
                <w:rFonts w:ascii="宋体" w:hAnsi="宋体" w:cs="宋体"/>
                <w:color w:val="auto"/>
                <w:szCs w:val="21"/>
              </w:rPr>
            </w:pPr>
            <w:r>
              <w:rPr>
                <w:rFonts w:hint="eastAsia" w:ascii="宋体" w:hAnsi="宋体" w:cs="宋体"/>
                <w:color w:val="auto"/>
                <w:szCs w:val="21"/>
              </w:rPr>
              <w:t>1台</w:t>
            </w:r>
          </w:p>
        </w:tc>
        <w:tc>
          <w:tcPr>
            <w:tcW w:w="6608" w:type="dxa"/>
            <w:vAlign w:val="center"/>
          </w:tcPr>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1.1RU的标准机架设备，双热冗余交流电源及国标电源线。</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2.交换容量32Gbps，48个百兆Base-T接口，4个千兆上行接口。</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3.支持4K个VLAN；支持Guest VLAN、Voice VLAN；支持GVRP协议；支持MUX VLAN功能；支持基于MAC/协议/IP子网/策略/端口的VLAN；支持1：1和N：1 VLAN Mapping功能。</w:t>
            </w:r>
          </w:p>
        </w:tc>
        <w:tc>
          <w:tcPr>
            <w:tcW w:w="133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0.69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90" w:type="dxa"/>
            <w:vAlign w:val="center"/>
          </w:tcPr>
          <w:p>
            <w:pPr>
              <w:jc w:val="center"/>
              <w:rPr>
                <w:rFonts w:ascii="宋体" w:hAnsi="宋体" w:cs="宋体"/>
                <w:color w:val="auto"/>
                <w:szCs w:val="21"/>
              </w:rPr>
            </w:pPr>
            <w:r>
              <w:rPr>
                <w:rFonts w:hint="eastAsia"/>
                <w:color w:val="auto"/>
                <w:szCs w:val="21"/>
              </w:rPr>
              <w:t>16</w:t>
            </w:r>
          </w:p>
        </w:tc>
        <w:tc>
          <w:tcPr>
            <w:tcW w:w="744" w:type="dxa"/>
            <w:vAlign w:val="center"/>
          </w:tcPr>
          <w:p>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DS3转ASI适配器</w:t>
            </w:r>
          </w:p>
        </w:tc>
        <w:tc>
          <w:tcPr>
            <w:tcW w:w="930" w:type="dxa"/>
            <w:vAlign w:val="center"/>
          </w:tcPr>
          <w:p>
            <w:pPr>
              <w:pStyle w:val="12"/>
              <w:spacing w:line="360" w:lineRule="exact"/>
              <w:jc w:val="center"/>
              <w:rPr>
                <w:rFonts w:ascii="宋体" w:hAnsi="宋体" w:cs="宋体"/>
                <w:color w:val="auto"/>
                <w:szCs w:val="21"/>
              </w:rPr>
            </w:pPr>
            <w:r>
              <w:rPr>
                <w:rFonts w:hint="eastAsia" w:ascii="宋体" w:hAnsi="宋体" w:cs="宋体"/>
                <w:color w:val="auto"/>
                <w:szCs w:val="21"/>
              </w:rPr>
              <w:t>4台</w:t>
            </w:r>
          </w:p>
        </w:tc>
        <w:tc>
          <w:tcPr>
            <w:tcW w:w="6608" w:type="dxa"/>
            <w:vAlign w:val="center"/>
          </w:tcPr>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1.DS3切换器不超过2RU的标准机架设备，双热冗余交流电源及国标电源线。</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2.DS3网络下适配器，支持实现1路DS3/E3转ASI（1入2出）功能。支持中英文液晶显示，前面板按键操作和远程网管控制。</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3.▲支持多协议，可与TANDBERG、数码视讯、环路网协议兼容。</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4.支持自适应码率与防止溢出。</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5.支持自动输入信号均衡。支持时钟抖动校正功能。</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6.ASI传输流204/188包长自适应。</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7.支持WEB网管控制。</w:t>
            </w:r>
          </w:p>
        </w:tc>
        <w:tc>
          <w:tcPr>
            <w:tcW w:w="133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4.51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90" w:type="dxa"/>
            <w:vAlign w:val="center"/>
          </w:tcPr>
          <w:p>
            <w:pPr>
              <w:jc w:val="center"/>
              <w:rPr>
                <w:rFonts w:ascii="宋体" w:hAnsi="宋体" w:cs="宋体"/>
                <w:color w:val="auto"/>
                <w:szCs w:val="21"/>
              </w:rPr>
            </w:pPr>
            <w:r>
              <w:rPr>
                <w:rFonts w:hint="eastAsia"/>
                <w:color w:val="auto"/>
                <w:szCs w:val="21"/>
              </w:rPr>
              <w:t>17</w:t>
            </w:r>
          </w:p>
        </w:tc>
        <w:tc>
          <w:tcPr>
            <w:tcW w:w="744" w:type="dxa"/>
            <w:vAlign w:val="center"/>
          </w:tcPr>
          <w:p>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推流交换机</w:t>
            </w:r>
          </w:p>
        </w:tc>
        <w:tc>
          <w:tcPr>
            <w:tcW w:w="930" w:type="dxa"/>
            <w:vAlign w:val="center"/>
          </w:tcPr>
          <w:p>
            <w:pPr>
              <w:pStyle w:val="12"/>
              <w:spacing w:line="360" w:lineRule="exact"/>
              <w:jc w:val="center"/>
              <w:rPr>
                <w:rFonts w:ascii="宋体" w:hAnsi="宋体" w:cs="宋体"/>
                <w:color w:val="auto"/>
                <w:szCs w:val="21"/>
              </w:rPr>
            </w:pPr>
            <w:r>
              <w:rPr>
                <w:rFonts w:hint="eastAsia" w:ascii="宋体" w:hAnsi="宋体" w:cs="宋体"/>
                <w:color w:val="auto"/>
                <w:szCs w:val="21"/>
              </w:rPr>
              <w:t>2台</w:t>
            </w:r>
          </w:p>
        </w:tc>
        <w:tc>
          <w:tcPr>
            <w:tcW w:w="6608" w:type="dxa"/>
            <w:vAlign w:val="center"/>
          </w:tcPr>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1.1RU标准机架设备，双热冗余交流电源及国标电源线。</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2.▲三层交换机。</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3.交换容量不低于1.28Tbps。</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4.包转发率不低于252M。</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5.48个千兆Base-T接口，4个10GE SFP+插槽，2个40GEQSFP+插槽。</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6.支持VLAN功能。</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7.网络标准：支持标准以太网IEEE802.3协议族。</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8.网络协议：支持STP，RSTP，MSTP，PVST。</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9.支持先进的、基于硬件的IP单播和组播路由，能为视频组播应用提供更高的效率。</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10.支持大型帧，为需要使用很大数据帧的高级数据和视频应用提供支持。</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11.▲支持对多个IP组播地址映射到同一个组播地址，在指定端口输出。</w:t>
            </w:r>
          </w:p>
        </w:tc>
        <w:tc>
          <w:tcPr>
            <w:tcW w:w="133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90" w:type="dxa"/>
            <w:vAlign w:val="center"/>
          </w:tcPr>
          <w:p>
            <w:pPr>
              <w:jc w:val="center"/>
              <w:rPr>
                <w:rFonts w:ascii="宋体" w:hAnsi="宋体" w:cs="宋体"/>
                <w:color w:val="auto"/>
                <w:szCs w:val="21"/>
              </w:rPr>
            </w:pPr>
            <w:r>
              <w:rPr>
                <w:rFonts w:hint="eastAsia"/>
                <w:color w:val="auto"/>
                <w:szCs w:val="21"/>
              </w:rPr>
              <w:t>18</w:t>
            </w:r>
          </w:p>
        </w:tc>
        <w:tc>
          <w:tcPr>
            <w:tcW w:w="744" w:type="dxa"/>
            <w:vAlign w:val="center"/>
          </w:tcPr>
          <w:p>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高清解码器</w:t>
            </w:r>
          </w:p>
        </w:tc>
        <w:tc>
          <w:tcPr>
            <w:tcW w:w="930" w:type="dxa"/>
            <w:vAlign w:val="center"/>
          </w:tcPr>
          <w:p>
            <w:pPr>
              <w:pStyle w:val="12"/>
              <w:spacing w:line="360" w:lineRule="exact"/>
              <w:jc w:val="center"/>
              <w:rPr>
                <w:rFonts w:ascii="宋体" w:hAnsi="宋体" w:cs="宋体"/>
                <w:color w:val="auto"/>
                <w:szCs w:val="21"/>
              </w:rPr>
            </w:pPr>
            <w:r>
              <w:rPr>
                <w:rFonts w:hint="eastAsia" w:ascii="宋体" w:hAnsi="宋体" w:cs="宋体"/>
                <w:color w:val="auto"/>
                <w:szCs w:val="21"/>
                <w:highlight w:val="none"/>
              </w:rPr>
              <w:t>2台</w:t>
            </w:r>
          </w:p>
        </w:tc>
        <w:tc>
          <w:tcPr>
            <w:tcW w:w="6608" w:type="dxa"/>
            <w:vAlign w:val="center"/>
          </w:tcPr>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1.1RU的标准机架设备，双热冗余交流电源及国标电源线。</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2.接口：输入支持ASI（MPTS/SPTS）、IP 1000Mx2，输出支持 HD-SDI/SDI×2、HDMI×1、YPbPr×1、CVBS×1、ASI×2。</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3.视频解码格式支持AVS+、AVS1-P2、H.264/AVC、MPEG-2。</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4.音频解码格式支持DRA、AC-3、E-AC-3、MPEG-1 Audio Layer II。</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5.采用嵌入式架构和专业解码芯片。</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6.支持DVB-S/S2信号输入。</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7.支持多节目流（MPTS）和单节目流（SPTS）输入。</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8.支持ASI、IP码流输出。</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9.支持HD-SDI、HDMI、CVBS、YPbPr、XLR输出。</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10.配备两个DVB-CI插槽。</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11.支持多节目解扰。</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12.支持解码多路音频中的指定PID音频。</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13.支持解码音频输出音量调节。</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14.支持无信号时最后一帧配置：黑场、静帧、彩条。</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15.支持本机 LCD面板和WEB控制方式。</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16.支持系统故障自动恢复。</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17.▲高清解码器需采用与高标清AVS+编码器相同品牌产品。</w:t>
            </w:r>
          </w:p>
        </w:tc>
        <w:tc>
          <w:tcPr>
            <w:tcW w:w="133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590" w:type="dxa"/>
            <w:vAlign w:val="center"/>
          </w:tcPr>
          <w:p>
            <w:pPr>
              <w:jc w:val="center"/>
              <w:rPr>
                <w:rFonts w:ascii="宋体" w:hAnsi="宋体" w:cs="宋体"/>
                <w:color w:val="auto"/>
                <w:szCs w:val="21"/>
              </w:rPr>
            </w:pPr>
            <w:r>
              <w:rPr>
                <w:rFonts w:hint="eastAsia"/>
                <w:color w:val="auto"/>
                <w:szCs w:val="21"/>
              </w:rPr>
              <w:t>19</w:t>
            </w:r>
          </w:p>
        </w:tc>
        <w:tc>
          <w:tcPr>
            <w:tcW w:w="744" w:type="dxa"/>
            <w:vAlign w:val="center"/>
          </w:tcPr>
          <w:p>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跳线器</w:t>
            </w:r>
          </w:p>
        </w:tc>
        <w:tc>
          <w:tcPr>
            <w:tcW w:w="930" w:type="dxa"/>
            <w:vAlign w:val="center"/>
          </w:tcPr>
          <w:p>
            <w:pPr>
              <w:pStyle w:val="12"/>
              <w:spacing w:line="360" w:lineRule="exact"/>
              <w:jc w:val="center"/>
              <w:rPr>
                <w:rFonts w:ascii="宋体" w:hAnsi="宋体" w:cs="宋体"/>
                <w:color w:val="auto"/>
                <w:szCs w:val="21"/>
              </w:rPr>
            </w:pPr>
            <w:r>
              <w:rPr>
                <w:rFonts w:hint="eastAsia" w:ascii="宋体" w:hAnsi="宋体" w:cs="宋体"/>
                <w:color w:val="auto"/>
                <w:szCs w:val="21"/>
              </w:rPr>
              <w:t>4块</w:t>
            </w:r>
          </w:p>
        </w:tc>
        <w:tc>
          <w:tcPr>
            <w:tcW w:w="6608" w:type="dxa"/>
            <w:vAlign w:val="center"/>
          </w:tcPr>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w:t>
            </w:r>
            <w:r>
              <w:rPr>
                <w:rFonts w:hint="eastAsia" w:ascii="宋体" w:hAnsi="宋体"/>
                <w:color w:val="auto"/>
                <w:kern w:val="0"/>
                <w:szCs w:val="21"/>
                <w:lang w:val="en-US" w:eastAsia="zh-CN"/>
              </w:rPr>
              <w:t xml:space="preserve"> </w:t>
            </w:r>
            <w:r>
              <w:rPr>
                <w:rFonts w:hint="eastAsia" w:ascii="宋体" w:hAnsi="宋体"/>
                <w:color w:val="auto"/>
                <w:kern w:val="0"/>
                <w:szCs w:val="21"/>
              </w:rPr>
              <w:t>2×26路75Ω高清视频跳线盘，1RU标准机架设备。</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2.反射损耗≥20dB（0~2.4GHz），信道屏蔽特性≥20dB（0~2.4GHz），电压驻波比＜1.1（0~2GHz）。</w:t>
            </w:r>
          </w:p>
        </w:tc>
        <w:tc>
          <w:tcPr>
            <w:tcW w:w="133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3.31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90" w:type="dxa"/>
            <w:vAlign w:val="center"/>
          </w:tcPr>
          <w:p>
            <w:pPr>
              <w:jc w:val="center"/>
              <w:rPr>
                <w:rFonts w:ascii="宋体" w:hAnsi="宋体" w:cs="宋体"/>
                <w:color w:val="auto"/>
                <w:szCs w:val="21"/>
              </w:rPr>
            </w:pPr>
            <w:r>
              <w:rPr>
                <w:rFonts w:hint="eastAsia"/>
                <w:color w:val="auto"/>
                <w:szCs w:val="21"/>
              </w:rPr>
              <w:t>20</w:t>
            </w:r>
          </w:p>
        </w:tc>
        <w:tc>
          <w:tcPr>
            <w:tcW w:w="744" w:type="dxa"/>
            <w:vAlign w:val="center"/>
          </w:tcPr>
          <w:p>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智能光分发平台机框</w:t>
            </w:r>
          </w:p>
        </w:tc>
        <w:tc>
          <w:tcPr>
            <w:tcW w:w="930" w:type="dxa"/>
            <w:vAlign w:val="center"/>
          </w:tcPr>
          <w:p>
            <w:pPr>
              <w:pStyle w:val="12"/>
              <w:spacing w:line="360" w:lineRule="exact"/>
              <w:jc w:val="center"/>
              <w:rPr>
                <w:rFonts w:ascii="宋体" w:hAnsi="宋体" w:cs="宋体"/>
                <w:color w:val="auto"/>
                <w:szCs w:val="21"/>
              </w:rPr>
            </w:pPr>
            <w:r>
              <w:rPr>
                <w:rFonts w:hint="eastAsia" w:ascii="宋体" w:hAnsi="宋体" w:cs="宋体"/>
                <w:color w:val="auto"/>
                <w:szCs w:val="21"/>
              </w:rPr>
              <w:t>4台</w:t>
            </w:r>
          </w:p>
        </w:tc>
        <w:tc>
          <w:tcPr>
            <w:tcW w:w="6608" w:type="dxa"/>
            <w:vAlign w:val="center"/>
          </w:tcPr>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1.1RU模块化机箱mini HUB 1 RU 框架，支持插入4 个卡模块，2 个无源光模块，支持外同步接口。</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2.配置双热冗余交流电源及国标电源线，提供2个 24V 交流电源。</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3.要求支持：光学转换、CWDM光学链路、光学分布和传输、添加/删除/传递网络、IP转换、从1个到32个通道/帧、支持Tx、Rx和收发器SFP。</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4.支持各种视频、音频和数据标准，超高帧密度。</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5.要求内置控制器，支持软件升级，带系统报警日志功能。</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6.要求机箱支持内置SD卡存储，支持配置文件修改保存，内置用户手册，便于操作查看。</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7.支持软件升级功能。</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8.▲要求设备支持以太网 TCP/IP连接，支持WEB控制，控制界面支持仪表板，可进行信号传输模式的快速调整，支持光信号检测和电路监控功能。支持SNMP v1/v2的标准Mib库用于第三方集成</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9.具有电路内测量的卡监控和控制。</w:t>
            </w:r>
          </w:p>
        </w:tc>
        <w:tc>
          <w:tcPr>
            <w:tcW w:w="133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7.20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jc w:val="center"/>
        </w:trPr>
        <w:tc>
          <w:tcPr>
            <w:tcW w:w="590" w:type="dxa"/>
            <w:shd w:val="clear" w:color="auto" w:fill="auto"/>
            <w:vAlign w:val="center"/>
          </w:tcPr>
          <w:p>
            <w:pPr>
              <w:jc w:val="center"/>
              <w:rPr>
                <w:rFonts w:ascii="宋体" w:hAnsi="宋体" w:cs="宋体"/>
                <w:color w:val="auto"/>
                <w:szCs w:val="21"/>
              </w:rPr>
            </w:pPr>
            <w:r>
              <w:rPr>
                <w:rFonts w:hint="eastAsia"/>
                <w:color w:val="auto"/>
                <w:szCs w:val="21"/>
              </w:rPr>
              <w:t>21</w:t>
            </w:r>
          </w:p>
        </w:tc>
        <w:tc>
          <w:tcPr>
            <w:tcW w:w="744" w:type="dxa"/>
            <w:shd w:val="clear" w:color="auto" w:fill="auto"/>
            <w:vAlign w:val="center"/>
          </w:tcPr>
          <w:p>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4*3G HD-SDI板卡</w:t>
            </w:r>
          </w:p>
        </w:tc>
        <w:tc>
          <w:tcPr>
            <w:tcW w:w="930" w:type="dxa"/>
            <w:shd w:val="clear" w:color="auto" w:fill="auto"/>
            <w:vAlign w:val="center"/>
          </w:tcPr>
          <w:p>
            <w:pPr>
              <w:pStyle w:val="12"/>
              <w:spacing w:line="360" w:lineRule="exact"/>
              <w:jc w:val="center"/>
              <w:rPr>
                <w:rFonts w:ascii="宋体" w:hAnsi="宋体" w:cs="宋体"/>
                <w:color w:val="auto"/>
                <w:szCs w:val="21"/>
              </w:rPr>
            </w:pPr>
            <w:r>
              <w:rPr>
                <w:rFonts w:hint="eastAsia" w:ascii="宋体" w:hAnsi="宋体" w:cs="宋体"/>
                <w:color w:val="auto"/>
                <w:szCs w:val="21"/>
              </w:rPr>
              <w:t>12块</w:t>
            </w:r>
          </w:p>
        </w:tc>
        <w:tc>
          <w:tcPr>
            <w:tcW w:w="6608" w:type="dxa"/>
            <w:shd w:val="clear" w:color="auto" w:fill="auto"/>
            <w:vAlign w:val="center"/>
          </w:tcPr>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1.配合智能光分发平台机框使用。</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2.通过配置不同SFP，可支持3G-/HD-/SD-SDI、ASI、MADI、以太网、CWDM、HDMI、CVBS输入。</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3.支持4*3G/HD/SD-SD输入，均为BNC接口，输入自动均衡。</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4.输出信号至少支持2路3G/HD/SD-SDI信号，输出带再生时钟。</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5.支持Black Burst模拟同步信号传输。</w:t>
            </w:r>
          </w:p>
        </w:tc>
        <w:tc>
          <w:tcPr>
            <w:tcW w:w="1332" w:type="dxa"/>
            <w:shd w:val="clear" w:color="auto" w:fill="auto"/>
            <w:vAlign w:val="center"/>
          </w:tcPr>
          <w:p>
            <w:pPr>
              <w:spacing w:line="360" w:lineRule="auto"/>
              <w:jc w:val="center"/>
              <w:rPr>
                <w:rFonts w:ascii="宋体" w:hAnsi="宋体" w:cs="宋体"/>
                <w:color w:val="auto"/>
                <w:szCs w:val="21"/>
              </w:rPr>
            </w:pPr>
            <w:r>
              <w:rPr>
                <w:rFonts w:hint="eastAsia" w:ascii="宋体" w:hAnsi="宋体" w:cs="宋体"/>
                <w:color w:val="auto"/>
                <w:szCs w:val="21"/>
              </w:rPr>
              <w:t>21.88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jc w:val="center"/>
        </w:trPr>
        <w:tc>
          <w:tcPr>
            <w:tcW w:w="590" w:type="dxa"/>
            <w:shd w:val="clear" w:color="auto" w:fill="auto"/>
            <w:vAlign w:val="center"/>
          </w:tcPr>
          <w:p>
            <w:pPr>
              <w:jc w:val="center"/>
              <w:rPr>
                <w:rFonts w:ascii="宋体" w:hAnsi="宋体" w:cs="宋体"/>
                <w:color w:val="auto"/>
                <w:szCs w:val="21"/>
              </w:rPr>
            </w:pPr>
            <w:r>
              <w:rPr>
                <w:rFonts w:hint="eastAsia"/>
                <w:color w:val="auto"/>
                <w:szCs w:val="21"/>
              </w:rPr>
              <w:t>22</w:t>
            </w:r>
          </w:p>
        </w:tc>
        <w:tc>
          <w:tcPr>
            <w:tcW w:w="744" w:type="dxa"/>
            <w:shd w:val="clear" w:color="auto" w:fill="auto"/>
            <w:vAlign w:val="center"/>
          </w:tcPr>
          <w:p>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4*3G HD-SDI板卡接口板</w:t>
            </w:r>
          </w:p>
        </w:tc>
        <w:tc>
          <w:tcPr>
            <w:tcW w:w="930" w:type="dxa"/>
            <w:shd w:val="clear" w:color="auto" w:fill="auto"/>
            <w:vAlign w:val="center"/>
          </w:tcPr>
          <w:p>
            <w:pPr>
              <w:pStyle w:val="12"/>
              <w:spacing w:line="360" w:lineRule="exact"/>
              <w:jc w:val="center"/>
              <w:rPr>
                <w:rFonts w:ascii="宋体" w:hAnsi="宋体" w:cs="宋体"/>
                <w:color w:val="auto"/>
                <w:szCs w:val="21"/>
              </w:rPr>
            </w:pPr>
            <w:r>
              <w:rPr>
                <w:rFonts w:hint="eastAsia" w:ascii="宋体" w:hAnsi="宋体" w:cs="宋体"/>
                <w:color w:val="auto"/>
                <w:szCs w:val="21"/>
              </w:rPr>
              <w:t>12块</w:t>
            </w:r>
          </w:p>
        </w:tc>
        <w:tc>
          <w:tcPr>
            <w:tcW w:w="6608" w:type="dxa"/>
            <w:shd w:val="clear" w:color="auto" w:fill="auto"/>
            <w:vAlign w:val="center"/>
          </w:tcPr>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1.配合4*3G HD-SDI板卡使用。</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2.每路输入支持环路输出（LOOP）。</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3.配置至少4个输出端口。</w:t>
            </w:r>
          </w:p>
        </w:tc>
        <w:tc>
          <w:tcPr>
            <w:tcW w:w="1332" w:type="dxa"/>
            <w:shd w:val="clear" w:color="auto" w:fill="auto"/>
            <w:vAlign w:val="center"/>
          </w:tcPr>
          <w:p>
            <w:pPr>
              <w:spacing w:line="360" w:lineRule="auto"/>
              <w:jc w:val="center"/>
              <w:rPr>
                <w:rFonts w:ascii="宋体" w:hAnsi="宋体" w:cs="宋体"/>
                <w:color w:val="auto"/>
                <w:szCs w:val="21"/>
              </w:rPr>
            </w:pPr>
            <w:r>
              <w:rPr>
                <w:rFonts w:hint="eastAsia" w:ascii="宋体" w:hAnsi="宋体" w:cs="宋体"/>
                <w:color w:val="auto"/>
                <w:szCs w:val="21"/>
              </w:rPr>
              <w:t>4.34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jc w:val="center"/>
        </w:trPr>
        <w:tc>
          <w:tcPr>
            <w:tcW w:w="590" w:type="dxa"/>
            <w:shd w:val="clear" w:color="auto" w:fill="auto"/>
            <w:vAlign w:val="center"/>
          </w:tcPr>
          <w:p>
            <w:pPr>
              <w:jc w:val="center"/>
              <w:rPr>
                <w:rFonts w:ascii="宋体" w:hAnsi="宋体" w:cs="宋体"/>
                <w:color w:val="auto"/>
                <w:szCs w:val="21"/>
              </w:rPr>
            </w:pPr>
            <w:r>
              <w:rPr>
                <w:rFonts w:hint="eastAsia"/>
                <w:color w:val="auto"/>
                <w:szCs w:val="21"/>
              </w:rPr>
              <w:t>23</w:t>
            </w:r>
          </w:p>
        </w:tc>
        <w:tc>
          <w:tcPr>
            <w:tcW w:w="744" w:type="dxa"/>
            <w:shd w:val="clear" w:color="auto" w:fill="auto"/>
            <w:vAlign w:val="center"/>
          </w:tcPr>
          <w:p>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SFP双路光发模块</w:t>
            </w:r>
          </w:p>
        </w:tc>
        <w:tc>
          <w:tcPr>
            <w:tcW w:w="930" w:type="dxa"/>
            <w:shd w:val="clear" w:color="auto" w:fill="auto"/>
            <w:vAlign w:val="center"/>
          </w:tcPr>
          <w:p>
            <w:pPr>
              <w:pStyle w:val="12"/>
              <w:spacing w:line="360" w:lineRule="exact"/>
              <w:jc w:val="center"/>
              <w:rPr>
                <w:rFonts w:ascii="宋体" w:hAnsi="宋体" w:cs="宋体"/>
                <w:color w:val="auto"/>
                <w:szCs w:val="21"/>
              </w:rPr>
            </w:pPr>
            <w:r>
              <w:rPr>
                <w:rFonts w:hint="eastAsia" w:ascii="宋体" w:hAnsi="宋体" w:cs="宋体"/>
                <w:color w:val="auto"/>
                <w:szCs w:val="21"/>
              </w:rPr>
              <w:t>8块</w:t>
            </w:r>
          </w:p>
        </w:tc>
        <w:tc>
          <w:tcPr>
            <w:tcW w:w="6608" w:type="dxa"/>
            <w:shd w:val="clear" w:color="auto" w:fill="auto"/>
            <w:vAlign w:val="center"/>
          </w:tcPr>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1.配合4*3G HD-SDI板卡使用。</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2.支持AutoSFP，支持热插拔，符合SMPTE 297-2006，支持SFF-8472诊断功能，符合Class 1 21CFR and IEC60825-1 激光安全等级；支持DVB-ASI，支持标清/高清/3G-SDI信号传输。</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3.光输出波长1310nm。</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4.单模。</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5.光功率-6到0dBm，F-P 激光器。</w:t>
            </w:r>
          </w:p>
        </w:tc>
        <w:tc>
          <w:tcPr>
            <w:tcW w:w="1332" w:type="dxa"/>
            <w:shd w:val="clear" w:color="auto" w:fill="auto"/>
            <w:vAlign w:val="center"/>
          </w:tcPr>
          <w:p>
            <w:pPr>
              <w:spacing w:line="360" w:lineRule="auto"/>
              <w:jc w:val="center"/>
              <w:rPr>
                <w:rFonts w:ascii="宋体" w:hAnsi="宋体" w:cs="宋体"/>
                <w:color w:val="auto"/>
                <w:szCs w:val="21"/>
              </w:rPr>
            </w:pPr>
            <w:r>
              <w:rPr>
                <w:rFonts w:hint="eastAsia" w:ascii="宋体" w:hAnsi="宋体" w:cs="宋体"/>
                <w:color w:val="auto"/>
                <w:szCs w:val="21"/>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90" w:type="dxa"/>
            <w:shd w:val="clear" w:color="auto" w:fill="auto"/>
            <w:vAlign w:val="center"/>
          </w:tcPr>
          <w:p>
            <w:pPr>
              <w:jc w:val="center"/>
              <w:rPr>
                <w:rFonts w:ascii="宋体" w:hAnsi="宋体" w:cs="宋体"/>
                <w:color w:val="auto"/>
                <w:szCs w:val="21"/>
              </w:rPr>
            </w:pPr>
            <w:r>
              <w:rPr>
                <w:rFonts w:hint="eastAsia"/>
                <w:color w:val="auto"/>
                <w:szCs w:val="21"/>
              </w:rPr>
              <w:t>24</w:t>
            </w:r>
          </w:p>
        </w:tc>
        <w:tc>
          <w:tcPr>
            <w:tcW w:w="744" w:type="dxa"/>
            <w:shd w:val="clear" w:color="auto" w:fill="auto"/>
            <w:vAlign w:val="center"/>
          </w:tcPr>
          <w:p>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SFP双路光收模块</w:t>
            </w:r>
          </w:p>
        </w:tc>
        <w:tc>
          <w:tcPr>
            <w:tcW w:w="930" w:type="dxa"/>
            <w:shd w:val="clear" w:color="auto" w:fill="auto"/>
            <w:vAlign w:val="center"/>
          </w:tcPr>
          <w:p>
            <w:pPr>
              <w:pStyle w:val="12"/>
              <w:spacing w:line="360" w:lineRule="exact"/>
              <w:jc w:val="center"/>
              <w:rPr>
                <w:rFonts w:ascii="宋体" w:hAnsi="宋体" w:cs="宋体"/>
                <w:color w:val="auto"/>
                <w:szCs w:val="21"/>
              </w:rPr>
            </w:pPr>
            <w:r>
              <w:rPr>
                <w:rFonts w:hint="eastAsia" w:ascii="宋体" w:hAnsi="宋体" w:cs="宋体"/>
                <w:color w:val="auto"/>
                <w:szCs w:val="21"/>
              </w:rPr>
              <w:t>8块</w:t>
            </w:r>
          </w:p>
        </w:tc>
        <w:tc>
          <w:tcPr>
            <w:tcW w:w="6608" w:type="dxa"/>
            <w:shd w:val="clear" w:color="auto" w:fill="auto"/>
            <w:vAlign w:val="center"/>
          </w:tcPr>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1.配合4*3G HD-SDI板卡使用。</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2.对应上述的SFP双路光发模块，3G/HD/SD-SDI 长距离光收器模块，自动识别高/标清数字视频信号。</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3.光输入波长1260nm~1620nm。</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4.单模。</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5.光灵敏度-23到-20dBm。</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6.最大光输入0dBm。</w:t>
            </w:r>
          </w:p>
        </w:tc>
        <w:tc>
          <w:tcPr>
            <w:tcW w:w="1332" w:type="dxa"/>
            <w:shd w:val="clear" w:color="auto" w:fill="auto"/>
            <w:vAlign w:val="center"/>
          </w:tcPr>
          <w:p>
            <w:pPr>
              <w:spacing w:line="360" w:lineRule="auto"/>
              <w:jc w:val="center"/>
              <w:rPr>
                <w:rFonts w:ascii="宋体" w:hAnsi="宋体" w:cs="宋体"/>
                <w:color w:val="auto"/>
                <w:szCs w:val="21"/>
              </w:rPr>
            </w:pPr>
            <w:r>
              <w:rPr>
                <w:rFonts w:hint="eastAsia" w:ascii="宋体" w:hAnsi="宋体" w:cs="宋体"/>
                <w:color w:val="auto"/>
                <w:szCs w:val="21"/>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jc w:val="center"/>
        </w:trPr>
        <w:tc>
          <w:tcPr>
            <w:tcW w:w="590" w:type="dxa"/>
            <w:vAlign w:val="center"/>
          </w:tcPr>
          <w:p>
            <w:pPr>
              <w:jc w:val="center"/>
              <w:rPr>
                <w:rFonts w:ascii="宋体" w:hAnsi="宋体" w:cs="宋体"/>
                <w:color w:val="auto"/>
                <w:szCs w:val="21"/>
              </w:rPr>
            </w:pPr>
            <w:r>
              <w:rPr>
                <w:rFonts w:hint="eastAsia"/>
                <w:color w:val="auto"/>
                <w:szCs w:val="21"/>
              </w:rPr>
              <w:t>25</w:t>
            </w:r>
          </w:p>
        </w:tc>
        <w:tc>
          <w:tcPr>
            <w:tcW w:w="744" w:type="dxa"/>
            <w:vAlign w:val="center"/>
          </w:tcPr>
          <w:p>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4K双通道O/E转换模块</w:t>
            </w:r>
          </w:p>
        </w:tc>
        <w:tc>
          <w:tcPr>
            <w:tcW w:w="930" w:type="dxa"/>
            <w:vAlign w:val="center"/>
          </w:tcPr>
          <w:p>
            <w:pPr>
              <w:pStyle w:val="12"/>
              <w:spacing w:line="360" w:lineRule="exact"/>
              <w:jc w:val="center"/>
              <w:rPr>
                <w:rFonts w:ascii="宋体" w:hAnsi="宋体" w:cs="宋体"/>
                <w:color w:val="auto"/>
                <w:szCs w:val="21"/>
              </w:rPr>
            </w:pPr>
            <w:r>
              <w:rPr>
                <w:rFonts w:hint="eastAsia" w:ascii="宋体" w:hAnsi="宋体" w:cs="宋体"/>
                <w:color w:val="auto"/>
                <w:szCs w:val="21"/>
              </w:rPr>
              <w:t>1块</w:t>
            </w:r>
          </w:p>
        </w:tc>
        <w:tc>
          <w:tcPr>
            <w:tcW w:w="6608" w:type="dxa"/>
            <w:vAlign w:val="center"/>
          </w:tcPr>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1.配合智能光分发平台机框使用。</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2.支持双通道E/O（电/光）转换。</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▲3.支持12G-SDI / 4k 单链路。</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4.光输出波长1310nm。</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5.配置HD-BNC 接口，输入自动均衡。</w:t>
            </w:r>
          </w:p>
        </w:tc>
        <w:tc>
          <w:tcPr>
            <w:tcW w:w="133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4.98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590" w:type="dxa"/>
            <w:vAlign w:val="center"/>
          </w:tcPr>
          <w:p>
            <w:pPr>
              <w:jc w:val="center"/>
              <w:rPr>
                <w:rFonts w:ascii="宋体" w:hAnsi="宋体" w:cs="宋体"/>
                <w:color w:val="auto"/>
                <w:szCs w:val="21"/>
              </w:rPr>
            </w:pPr>
            <w:r>
              <w:rPr>
                <w:rFonts w:hint="eastAsia"/>
                <w:color w:val="auto"/>
                <w:szCs w:val="21"/>
              </w:rPr>
              <w:t>26</w:t>
            </w:r>
          </w:p>
        </w:tc>
        <w:tc>
          <w:tcPr>
            <w:tcW w:w="744" w:type="dxa"/>
            <w:vAlign w:val="center"/>
          </w:tcPr>
          <w:p>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4K双通道E/O转换模块</w:t>
            </w:r>
          </w:p>
        </w:tc>
        <w:tc>
          <w:tcPr>
            <w:tcW w:w="930" w:type="dxa"/>
            <w:vAlign w:val="center"/>
          </w:tcPr>
          <w:p>
            <w:pPr>
              <w:pStyle w:val="12"/>
              <w:spacing w:line="360" w:lineRule="exact"/>
              <w:jc w:val="center"/>
              <w:rPr>
                <w:rFonts w:ascii="宋体" w:hAnsi="宋体" w:cs="宋体"/>
                <w:color w:val="auto"/>
                <w:szCs w:val="21"/>
              </w:rPr>
            </w:pPr>
            <w:r>
              <w:rPr>
                <w:rFonts w:hint="eastAsia" w:ascii="宋体" w:hAnsi="宋体" w:cs="宋体"/>
                <w:color w:val="auto"/>
                <w:szCs w:val="21"/>
              </w:rPr>
              <w:t>1块</w:t>
            </w:r>
          </w:p>
        </w:tc>
        <w:tc>
          <w:tcPr>
            <w:tcW w:w="6608" w:type="dxa"/>
            <w:vAlign w:val="center"/>
          </w:tcPr>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1.配合智能光分发平台机框使用。</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2.支持双通道 O/E （光/电）转换。</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▲3.支持12G-SDI / 4k单链路。</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4.采用PIN receiver。</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5.配置HD-BNC 接口，输出带再生时钟。</w:t>
            </w:r>
          </w:p>
        </w:tc>
        <w:tc>
          <w:tcPr>
            <w:tcW w:w="133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5.20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5" w:hRule="atLeast"/>
          <w:jc w:val="center"/>
        </w:trPr>
        <w:tc>
          <w:tcPr>
            <w:tcW w:w="590" w:type="dxa"/>
            <w:vAlign w:val="center"/>
          </w:tcPr>
          <w:p>
            <w:pPr>
              <w:jc w:val="center"/>
              <w:rPr>
                <w:rFonts w:ascii="宋体" w:hAnsi="宋体" w:cs="宋体"/>
                <w:color w:val="auto"/>
                <w:szCs w:val="21"/>
              </w:rPr>
            </w:pPr>
            <w:r>
              <w:rPr>
                <w:rFonts w:hint="eastAsia"/>
                <w:color w:val="auto"/>
                <w:szCs w:val="21"/>
              </w:rPr>
              <w:t>27</w:t>
            </w:r>
          </w:p>
        </w:tc>
        <w:tc>
          <w:tcPr>
            <w:tcW w:w="744" w:type="dxa"/>
            <w:vAlign w:val="center"/>
          </w:tcPr>
          <w:p>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SFP 4K光发模块</w:t>
            </w:r>
          </w:p>
        </w:tc>
        <w:tc>
          <w:tcPr>
            <w:tcW w:w="930" w:type="dxa"/>
            <w:vAlign w:val="center"/>
          </w:tcPr>
          <w:p>
            <w:pPr>
              <w:pStyle w:val="12"/>
              <w:spacing w:line="360" w:lineRule="exact"/>
              <w:jc w:val="center"/>
              <w:rPr>
                <w:rFonts w:ascii="宋体" w:hAnsi="宋体" w:cs="宋体"/>
                <w:color w:val="auto"/>
                <w:szCs w:val="21"/>
              </w:rPr>
            </w:pPr>
            <w:r>
              <w:rPr>
                <w:rFonts w:hint="eastAsia" w:ascii="宋体" w:hAnsi="宋体" w:cs="宋体"/>
                <w:color w:val="auto"/>
                <w:szCs w:val="21"/>
              </w:rPr>
              <w:t>1块</w:t>
            </w:r>
          </w:p>
        </w:tc>
        <w:tc>
          <w:tcPr>
            <w:tcW w:w="6608" w:type="dxa"/>
            <w:vAlign w:val="center"/>
          </w:tcPr>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1.与4K双通道E/O转换模块配套使用。</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2.支持AutoSFP，支持热插拔，符合SMPTE ST 2082-1，ST 2081-1,424M，292M，297-2006，支持SFF-8472诊断功能，符合Class 1 21CFR and IEC60825-1 激光安全等级。</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3.▲支持标清/高清/3G/6G 和 12G-SDI信号传输，支持4k和8k的UHDTV信号传输。</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4.光输出波长1310nm。</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5.单模。</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6.光功率-8.2到2dBm，DFB激光器。</w:t>
            </w:r>
          </w:p>
        </w:tc>
        <w:tc>
          <w:tcPr>
            <w:tcW w:w="133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5" w:hRule="atLeast"/>
          <w:jc w:val="center"/>
        </w:trPr>
        <w:tc>
          <w:tcPr>
            <w:tcW w:w="590" w:type="dxa"/>
            <w:vAlign w:val="center"/>
          </w:tcPr>
          <w:p>
            <w:pPr>
              <w:jc w:val="center"/>
              <w:rPr>
                <w:rFonts w:ascii="宋体" w:hAnsi="宋体" w:cs="宋体"/>
                <w:color w:val="auto"/>
                <w:szCs w:val="21"/>
              </w:rPr>
            </w:pPr>
            <w:r>
              <w:rPr>
                <w:rFonts w:hint="eastAsia"/>
                <w:color w:val="auto"/>
                <w:szCs w:val="21"/>
              </w:rPr>
              <w:t>28</w:t>
            </w:r>
          </w:p>
        </w:tc>
        <w:tc>
          <w:tcPr>
            <w:tcW w:w="744" w:type="dxa"/>
            <w:vAlign w:val="center"/>
          </w:tcPr>
          <w:p>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SFP 4K光收模块</w:t>
            </w:r>
          </w:p>
        </w:tc>
        <w:tc>
          <w:tcPr>
            <w:tcW w:w="930" w:type="dxa"/>
            <w:vAlign w:val="center"/>
          </w:tcPr>
          <w:p>
            <w:pPr>
              <w:pStyle w:val="12"/>
              <w:spacing w:line="360" w:lineRule="exact"/>
              <w:jc w:val="center"/>
              <w:rPr>
                <w:rFonts w:ascii="宋体" w:hAnsi="宋体" w:cs="宋体"/>
                <w:color w:val="auto"/>
                <w:szCs w:val="21"/>
              </w:rPr>
            </w:pPr>
            <w:r>
              <w:rPr>
                <w:rFonts w:hint="eastAsia" w:ascii="宋体" w:hAnsi="宋体" w:cs="宋体"/>
                <w:color w:val="auto"/>
                <w:szCs w:val="21"/>
              </w:rPr>
              <w:t>1块</w:t>
            </w:r>
          </w:p>
        </w:tc>
        <w:tc>
          <w:tcPr>
            <w:tcW w:w="6608" w:type="dxa"/>
            <w:vAlign w:val="center"/>
          </w:tcPr>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1.与4K双通道 O/E 转换模块配套使用。</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2.支持标清/高清/3G/6G 和 12G-SDI信号传输。</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3、光输入波长1260nm~1620nm。</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4、单模。</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5、光灵敏度-18到-14dBm。</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6、最大光输入0dBm。</w:t>
            </w:r>
          </w:p>
        </w:tc>
        <w:tc>
          <w:tcPr>
            <w:tcW w:w="133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5" w:hRule="atLeast"/>
          <w:jc w:val="center"/>
        </w:trPr>
        <w:tc>
          <w:tcPr>
            <w:tcW w:w="590" w:type="dxa"/>
            <w:vAlign w:val="center"/>
          </w:tcPr>
          <w:p>
            <w:pPr>
              <w:jc w:val="center"/>
              <w:rPr>
                <w:rFonts w:ascii="宋体" w:hAnsi="宋体" w:cs="宋体"/>
                <w:color w:val="auto"/>
                <w:szCs w:val="21"/>
              </w:rPr>
            </w:pPr>
            <w:r>
              <w:rPr>
                <w:rFonts w:hint="eastAsia"/>
                <w:color w:val="auto"/>
                <w:szCs w:val="21"/>
              </w:rPr>
              <w:t>29</w:t>
            </w:r>
          </w:p>
        </w:tc>
        <w:tc>
          <w:tcPr>
            <w:tcW w:w="744" w:type="dxa"/>
            <w:vAlign w:val="center"/>
          </w:tcPr>
          <w:p>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SFP光收发模块</w:t>
            </w:r>
          </w:p>
        </w:tc>
        <w:tc>
          <w:tcPr>
            <w:tcW w:w="930" w:type="dxa"/>
            <w:vAlign w:val="center"/>
          </w:tcPr>
          <w:p>
            <w:pPr>
              <w:pStyle w:val="12"/>
              <w:spacing w:line="360" w:lineRule="exact"/>
              <w:jc w:val="center"/>
              <w:rPr>
                <w:rFonts w:ascii="宋体" w:hAnsi="宋体" w:cs="宋体"/>
                <w:color w:val="auto"/>
                <w:szCs w:val="21"/>
              </w:rPr>
            </w:pPr>
            <w:r>
              <w:rPr>
                <w:rFonts w:hint="eastAsia" w:ascii="宋体" w:hAnsi="宋体" w:cs="宋体"/>
                <w:color w:val="auto"/>
                <w:szCs w:val="21"/>
              </w:rPr>
              <w:t>2块</w:t>
            </w:r>
          </w:p>
        </w:tc>
        <w:tc>
          <w:tcPr>
            <w:tcW w:w="6608" w:type="dxa"/>
            <w:vAlign w:val="center"/>
          </w:tcPr>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1.支持传输Black Burst模拟同步信号。</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2.光输出波长1310nm，光输入波长1260nm~1620nm。</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3.单模。</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4.光功率-5到0dBm，F-P 激光器。</w:t>
            </w:r>
          </w:p>
        </w:tc>
        <w:tc>
          <w:tcPr>
            <w:tcW w:w="133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0.86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90" w:type="dxa"/>
            <w:vAlign w:val="center"/>
          </w:tcPr>
          <w:p>
            <w:pPr>
              <w:jc w:val="center"/>
              <w:rPr>
                <w:rFonts w:ascii="宋体" w:hAnsi="宋体" w:cs="宋体"/>
                <w:color w:val="auto"/>
                <w:szCs w:val="21"/>
              </w:rPr>
            </w:pPr>
            <w:r>
              <w:rPr>
                <w:rFonts w:hint="eastAsia"/>
                <w:color w:val="auto"/>
                <w:szCs w:val="21"/>
              </w:rPr>
              <w:t>30</w:t>
            </w:r>
          </w:p>
        </w:tc>
        <w:tc>
          <w:tcPr>
            <w:tcW w:w="744" w:type="dxa"/>
            <w:vAlign w:val="center"/>
          </w:tcPr>
          <w:p>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千兆以太网模块</w:t>
            </w:r>
          </w:p>
        </w:tc>
        <w:tc>
          <w:tcPr>
            <w:tcW w:w="930" w:type="dxa"/>
            <w:vAlign w:val="center"/>
          </w:tcPr>
          <w:p>
            <w:pPr>
              <w:pStyle w:val="12"/>
              <w:spacing w:line="360" w:lineRule="exact"/>
              <w:jc w:val="center"/>
              <w:rPr>
                <w:rFonts w:ascii="宋体" w:hAnsi="宋体" w:cs="宋体"/>
                <w:color w:val="auto"/>
                <w:szCs w:val="21"/>
              </w:rPr>
            </w:pPr>
            <w:r>
              <w:rPr>
                <w:rFonts w:hint="eastAsia" w:ascii="宋体" w:hAnsi="宋体" w:cs="宋体"/>
                <w:color w:val="auto"/>
                <w:szCs w:val="21"/>
              </w:rPr>
              <w:t>2块</w:t>
            </w:r>
          </w:p>
        </w:tc>
        <w:tc>
          <w:tcPr>
            <w:tcW w:w="6608" w:type="dxa"/>
            <w:vAlign w:val="center"/>
          </w:tcPr>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1.支持AutoSFP，支持热插拔。</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2.符合IEEE 802.3：2005。</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3.支持SFF-8472诊断功能。</w:t>
            </w:r>
          </w:p>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4.支持1000BASE-T/LX千兆以太网信号传输。</w:t>
            </w:r>
          </w:p>
        </w:tc>
        <w:tc>
          <w:tcPr>
            <w:tcW w:w="133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0.54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5" w:hRule="atLeast"/>
          <w:jc w:val="center"/>
        </w:trPr>
        <w:tc>
          <w:tcPr>
            <w:tcW w:w="590" w:type="dxa"/>
            <w:vAlign w:val="center"/>
          </w:tcPr>
          <w:p>
            <w:pPr>
              <w:jc w:val="center"/>
              <w:rPr>
                <w:rFonts w:ascii="宋体" w:hAnsi="宋体" w:cs="宋体"/>
                <w:color w:val="auto"/>
                <w:szCs w:val="21"/>
              </w:rPr>
            </w:pPr>
            <w:r>
              <w:rPr>
                <w:rFonts w:hint="eastAsia"/>
                <w:color w:val="auto"/>
                <w:szCs w:val="21"/>
              </w:rPr>
              <w:t>31</w:t>
            </w:r>
          </w:p>
        </w:tc>
        <w:tc>
          <w:tcPr>
            <w:tcW w:w="744" w:type="dxa"/>
            <w:vAlign w:val="center"/>
          </w:tcPr>
          <w:p>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系统集成及辅材</w:t>
            </w:r>
          </w:p>
        </w:tc>
        <w:tc>
          <w:tcPr>
            <w:tcW w:w="930" w:type="dxa"/>
            <w:vAlign w:val="center"/>
          </w:tcPr>
          <w:p>
            <w:pPr>
              <w:pStyle w:val="12"/>
              <w:spacing w:line="360" w:lineRule="exact"/>
              <w:jc w:val="center"/>
              <w:rPr>
                <w:rFonts w:ascii="宋体" w:hAnsi="宋体" w:cs="宋体"/>
                <w:color w:val="auto"/>
                <w:szCs w:val="21"/>
              </w:rPr>
            </w:pPr>
            <w:r>
              <w:rPr>
                <w:rFonts w:hint="eastAsia" w:ascii="宋体" w:hAnsi="宋体" w:cs="宋体"/>
                <w:color w:val="auto"/>
                <w:szCs w:val="21"/>
              </w:rPr>
              <w:t>1项</w:t>
            </w:r>
          </w:p>
        </w:tc>
        <w:tc>
          <w:tcPr>
            <w:tcW w:w="6608" w:type="dxa"/>
            <w:vAlign w:val="center"/>
          </w:tcPr>
          <w:p>
            <w:pPr>
              <w:pStyle w:val="117"/>
              <w:keepNext w:val="0"/>
              <w:keepLines w:val="0"/>
              <w:pageBreakBefore w:val="0"/>
              <w:widowControl/>
              <w:kinsoku/>
              <w:wordWrap/>
              <w:overflowPunct/>
              <w:topLinePunct w:val="0"/>
              <w:autoSpaceDE/>
              <w:autoSpaceDN/>
              <w:bidi w:val="0"/>
              <w:adjustRightInd/>
              <w:snapToGrid/>
              <w:spacing w:line="420" w:lineRule="atLeast"/>
              <w:ind w:firstLine="420" w:firstLineChars="200"/>
              <w:jc w:val="left"/>
              <w:textAlignment w:val="auto"/>
              <w:rPr>
                <w:rFonts w:ascii="宋体" w:hAnsi="宋体"/>
                <w:color w:val="auto"/>
                <w:kern w:val="0"/>
                <w:szCs w:val="21"/>
              </w:rPr>
            </w:pPr>
            <w:r>
              <w:rPr>
                <w:rFonts w:hint="eastAsia" w:ascii="宋体" w:hAnsi="宋体"/>
                <w:color w:val="auto"/>
                <w:kern w:val="0"/>
                <w:szCs w:val="21"/>
              </w:rPr>
              <w:t>包含完成此项工程的所有相关电缆，光纤尾缆，接口头，工具等，专业技术人员现场安装调试、系统集成的工作。</w:t>
            </w:r>
          </w:p>
        </w:tc>
        <w:tc>
          <w:tcPr>
            <w:tcW w:w="133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30.00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04" w:type="dxa"/>
            <w:gridSpan w:val="5"/>
            <w:tcBorders>
              <w:top w:val="single" w:color="auto" w:sz="4" w:space="0"/>
              <w:left w:val="single" w:color="auto" w:sz="4" w:space="0"/>
              <w:bottom w:val="single" w:color="auto" w:sz="4" w:space="0"/>
              <w:right w:val="single" w:color="auto" w:sz="4" w:space="0"/>
            </w:tcBorders>
          </w:tcPr>
          <w:p>
            <w:pPr>
              <w:spacing w:line="360" w:lineRule="auto"/>
              <w:rPr>
                <w:color w:val="auto"/>
                <w:szCs w:val="21"/>
              </w:rPr>
            </w:pPr>
            <w:r>
              <w:rPr>
                <w:color w:val="auto"/>
                <w:szCs w:val="21"/>
              </w:rPr>
              <w:t>一、</w:t>
            </w:r>
            <w:r>
              <w:rPr>
                <w:b/>
                <w:color w:val="auto"/>
                <w:szCs w:val="21"/>
              </w:rPr>
              <w:t>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6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color w:val="auto"/>
                <w:szCs w:val="21"/>
                <w:highlight w:val="none"/>
              </w:rPr>
              <w:t>售后服务要求</w:t>
            </w:r>
          </w:p>
        </w:tc>
        <w:tc>
          <w:tcPr>
            <w:tcW w:w="7940" w:type="dxa"/>
            <w:gridSpan w:val="2"/>
            <w:tcBorders>
              <w:top w:val="single" w:color="auto" w:sz="4" w:space="0"/>
              <w:left w:val="single" w:color="auto" w:sz="4" w:space="0"/>
              <w:bottom w:val="single" w:color="auto" w:sz="4" w:space="0"/>
              <w:right w:val="single" w:color="auto" w:sz="4" w:space="0"/>
            </w:tcBorders>
          </w:tcPr>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1.设备在运营期内，任何因设计、制造、安装工程等缺陷而发生的设备修改或更换，中标人应免费提供并负责修改工作。</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2.中标人提供的产品，在今后利用新技术方面有任何性能或功能的改进以及产品革新，中标人需免费书面通知采购人其改进和详细情况。若中标方的系统软件自然升级，中标方应免费提供给招标方。</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3.在保修期出现属设备质量问题，采购人则有权要求免费更换整机，更换产品的保修期从更换之日起相应顺延。</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4.中标人应提供7x24小时技术支持，在保修内系统设备运行发生故障时，接到故障通知2小时内响应，如电话支持不能解决，技术人员应4小时内到达事故现场，并应于24小时内完全解决故障，如不能在24小时内解决的，且属硬件故障原因而且48小时无法排除故障的，则应提供同等配置的备用设备以保证用户设备的正常运行。</w:t>
            </w:r>
          </w:p>
          <w:p>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5.保修期内因维护、维修而产生的任何费用，均由中标人负责。</w:t>
            </w:r>
          </w:p>
          <w:p>
            <w:pPr>
              <w:spacing w:line="360" w:lineRule="auto"/>
              <w:ind w:firstLine="420" w:firstLineChars="200"/>
              <w:jc w:val="left"/>
              <w:rPr>
                <w:bCs/>
                <w:color w:val="auto"/>
                <w:szCs w:val="21"/>
                <w:highlight w:val="yellow"/>
              </w:rPr>
            </w:pPr>
            <w:r>
              <w:rPr>
                <w:rFonts w:hint="eastAsia" w:ascii="宋体" w:hAnsi="宋体" w:cs="宋体"/>
                <w:bCs/>
                <w:color w:val="auto"/>
                <w:szCs w:val="21"/>
              </w:rPr>
              <w:t>6.在保修期外，对于系统内出现故障的硬件和软件，中标人也应能及时修复或更换，且只收取工件的成本费。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6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color w:val="auto"/>
                <w:szCs w:val="21"/>
              </w:rPr>
              <w:t>合同签订时间</w:t>
            </w:r>
          </w:p>
        </w:tc>
        <w:tc>
          <w:tcPr>
            <w:tcW w:w="79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szCs w:val="21"/>
                <w:highlight w:val="yellow"/>
              </w:rPr>
            </w:pPr>
            <w:r>
              <w:rPr>
                <w:color w:val="auto"/>
                <w:szCs w:val="21"/>
              </w:rPr>
              <w:t>自中标通知书发出之日起</w:t>
            </w:r>
            <w:r>
              <w:rPr>
                <w:color w:val="auto"/>
                <w:szCs w:val="21"/>
                <w:u w:val="single"/>
              </w:rPr>
              <w:t xml:space="preserve">  25  </w:t>
            </w:r>
            <w:r>
              <w:rPr>
                <w:color w:val="auto"/>
                <w:szCs w:val="21"/>
              </w:rPr>
              <w:t>日内（最迟不能超过25日）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6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color w:val="auto"/>
                <w:szCs w:val="21"/>
              </w:rPr>
              <w:t>交付时间及地点</w:t>
            </w:r>
          </w:p>
        </w:tc>
        <w:tc>
          <w:tcPr>
            <w:tcW w:w="79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▲1.交货期：合同签订后90天内交货。</w:t>
            </w:r>
          </w:p>
          <w:p>
            <w:pPr>
              <w:spacing w:line="360" w:lineRule="auto"/>
              <w:jc w:val="left"/>
              <w:rPr>
                <w:color w:val="auto"/>
                <w:szCs w:val="21"/>
                <w:highlight w:val="none"/>
              </w:rPr>
            </w:pPr>
            <w:r>
              <w:rPr>
                <w:rFonts w:hint="eastAsia" w:ascii="宋体" w:hAnsi="宋体" w:cs="宋体"/>
                <w:color w:val="auto"/>
                <w:szCs w:val="21"/>
                <w:highlight w:val="none"/>
              </w:rPr>
              <w:t>2.交付地点：</w:t>
            </w:r>
            <w:r>
              <w:rPr>
                <w:rFonts w:hint="eastAsia" w:ascii="宋体" w:hAnsi="宋体" w:cs="宋体"/>
                <w:color w:val="auto"/>
                <w:highlight w:val="none"/>
              </w:rPr>
              <w:t>南宁市内</w:t>
            </w:r>
            <w:r>
              <w:rPr>
                <w:rFonts w:hint="eastAsia" w:ascii="宋体" w:hAnsi="宋体" w:cs="宋体"/>
                <w:color w:val="auto"/>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6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color w:val="auto"/>
                <w:szCs w:val="21"/>
              </w:rPr>
              <w:t>付款条件</w:t>
            </w:r>
          </w:p>
        </w:tc>
        <w:tc>
          <w:tcPr>
            <w:tcW w:w="794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color w:val="auto"/>
                <w:highlight w:val="none"/>
              </w:rPr>
            </w:pPr>
            <w:r>
              <w:rPr>
                <w:rFonts w:hint="eastAsia" w:ascii="宋体" w:hAnsi="宋体" w:cs="宋体"/>
                <w:color w:val="auto"/>
                <w:szCs w:val="21"/>
                <w:highlight w:val="none"/>
              </w:rPr>
              <w:t>付款方式：合同签订后5个工作日内支付合同总额的 30 %，交付安装调试验收合格后5个工作日内支付合同总额的60 %，整体项目验收合格后一年内无质量问题的支付合同总额的10%。乙方每次收到货款之日起三个工作日内将正式合法有效的增值税专用发票开具给甲方。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6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r>
              <w:rPr>
                <w:color w:val="auto"/>
              </w:rPr>
              <w:t>履约保证金</w:t>
            </w:r>
          </w:p>
        </w:tc>
        <w:tc>
          <w:tcPr>
            <w:tcW w:w="79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left"/>
              <w:rPr>
                <w:color w:val="auto"/>
                <w:highlight w:val="none"/>
              </w:rPr>
            </w:pPr>
            <w:r>
              <w:rPr>
                <w:color w:val="auto"/>
                <w:highlight w:val="none"/>
              </w:rPr>
              <w:t>1.履约保证金金额：</w:t>
            </w:r>
            <w:r>
              <w:rPr>
                <w:color w:val="auto"/>
                <w:szCs w:val="21"/>
                <w:highlight w:val="none"/>
              </w:rPr>
              <w:t>按中标金额的</w:t>
            </w:r>
            <w:r>
              <w:rPr>
                <w:color w:val="auto"/>
                <w:szCs w:val="21"/>
                <w:highlight w:val="none"/>
                <w:u w:val="single"/>
              </w:rPr>
              <w:t xml:space="preserve"> 2 </w:t>
            </w:r>
            <w:r>
              <w:rPr>
                <w:color w:val="auto"/>
                <w:szCs w:val="21"/>
                <w:highlight w:val="none"/>
              </w:rPr>
              <w:t>%收取，并于合同签订前提交至采购人指定账户。</w:t>
            </w:r>
          </w:p>
          <w:p>
            <w:pPr>
              <w:spacing w:line="360" w:lineRule="auto"/>
              <w:jc w:val="left"/>
              <w:rPr>
                <w:color w:val="auto"/>
                <w:highlight w:val="none"/>
              </w:rPr>
            </w:pPr>
            <w:r>
              <w:rPr>
                <w:color w:val="auto"/>
                <w:highlight w:val="none"/>
              </w:rPr>
              <w:t>2.履约保证金递交方式：支票、汇票、本票，或者银行、保险机构出具的保函等非现金方式。</w:t>
            </w:r>
          </w:p>
          <w:p>
            <w:pPr>
              <w:spacing w:line="360" w:lineRule="auto"/>
              <w:jc w:val="left"/>
              <w:rPr>
                <w:color w:val="auto"/>
                <w:highlight w:val="none"/>
              </w:rPr>
            </w:pPr>
            <w:r>
              <w:rPr>
                <w:color w:val="auto"/>
                <w:highlight w:val="none"/>
              </w:rPr>
              <w:t>3.履约保证金退付的方式、时间及条件：</w:t>
            </w:r>
            <w:r>
              <w:rPr>
                <w:rFonts w:hint="eastAsia"/>
                <w:color w:val="auto"/>
                <w:highlight w:val="none"/>
              </w:rPr>
              <w:t>履约保证金在中标人按合同约定的项目验收交付正常运行一年后，由中标人向采购人提供《采购项目合同验收书》及《采购项目履约保证金退付意见书》（详见附件），甲方在收到合格材料后15个工作日内如数退还（不计利息）。采购人无故延期退付履约保证金的，每天向对方偿付未退付履约保证金3‰作为违约金。</w:t>
            </w:r>
          </w:p>
          <w:p>
            <w:pPr>
              <w:spacing w:line="360" w:lineRule="auto"/>
              <w:jc w:val="left"/>
              <w:rPr>
                <w:color w:val="auto"/>
                <w:highlight w:val="none"/>
              </w:rPr>
            </w:pPr>
            <w:r>
              <w:rPr>
                <w:color w:val="auto"/>
                <w:highlight w:val="none"/>
              </w:rPr>
              <w:t>4.不予退还的情形：签订合同后，如</w:t>
            </w:r>
            <w:r>
              <w:rPr>
                <w:rFonts w:hint="eastAsia"/>
                <w:color w:val="auto"/>
                <w:highlight w:val="none"/>
              </w:rPr>
              <w:t>中标人</w:t>
            </w:r>
            <w:r>
              <w:rPr>
                <w:color w:val="auto"/>
                <w:highlight w:val="none"/>
              </w:rPr>
              <w:t>不按双方签订的合同规定履约，则其全部履约保证金不予退还。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6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color w:val="auto"/>
                <w:szCs w:val="21"/>
              </w:rPr>
              <w:t>产品授权文件</w:t>
            </w:r>
          </w:p>
        </w:tc>
        <w:tc>
          <w:tcPr>
            <w:tcW w:w="79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szCs w:val="21"/>
                <w:highlight w:val="none"/>
              </w:rPr>
            </w:pPr>
            <w:r>
              <w:rPr>
                <w:color w:val="auto"/>
                <w:szCs w:val="21"/>
                <w:highlight w:val="none"/>
              </w:rPr>
              <w:t>如有，请提供。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6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color w:val="auto"/>
                <w:szCs w:val="21"/>
                <w:highlight w:val="none"/>
              </w:rPr>
              <w:t>验收标准</w:t>
            </w:r>
          </w:p>
        </w:tc>
        <w:tc>
          <w:tcPr>
            <w:tcW w:w="7940" w:type="dxa"/>
            <w:gridSpan w:val="2"/>
            <w:tcBorders>
              <w:top w:val="single" w:color="auto" w:sz="4" w:space="0"/>
              <w:left w:val="single" w:color="auto" w:sz="4" w:space="0"/>
              <w:bottom w:val="single" w:color="auto" w:sz="4" w:space="0"/>
              <w:right w:val="single" w:color="auto" w:sz="4" w:space="0"/>
            </w:tcBorders>
            <w:vAlign w:val="center"/>
          </w:tcPr>
          <w:p>
            <w:pPr>
              <w:pStyle w:val="111"/>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1.设备到货验收及安装、调试</w:t>
            </w:r>
          </w:p>
          <w:p>
            <w:pPr>
              <w:pStyle w:val="111"/>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相关硬件设备到货后，本项目中标人负责设备到货验收、初步调试，由本项目中标人负责上架安装及全部线缆的</w:t>
            </w:r>
            <w:r>
              <w:rPr>
                <w:rFonts w:hint="eastAsia" w:ascii="宋体" w:hAnsi="宋体" w:eastAsia="宋体" w:cs="宋体"/>
                <w:b w:val="0"/>
                <w:bCs/>
                <w:color w:val="auto"/>
                <w:sz w:val="21"/>
                <w:szCs w:val="21"/>
                <w:highlight w:val="none"/>
                <w:lang w:val="en-US" w:eastAsia="zh-CN"/>
              </w:rPr>
              <w:t>接入</w:t>
            </w:r>
            <w:r>
              <w:rPr>
                <w:rFonts w:hint="eastAsia" w:ascii="宋体" w:hAnsi="宋体" w:eastAsia="宋体" w:cs="宋体"/>
                <w:b w:val="0"/>
                <w:bCs/>
                <w:color w:val="auto"/>
                <w:sz w:val="21"/>
                <w:szCs w:val="21"/>
                <w:highlight w:val="none"/>
              </w:rPr>
              <w:t>。</w:t>
            </w:r>
          </w:p>
          <w:p>
            <w:pPr>
              <w:pStyle w:val="111"/>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2.设备验收、安装调试及测试</w:t>
            </w:r>
          </w:p>
          <w:p>
            <w:pPr>
              <w:pStyle w:val="111"/>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需完成到货验收，并负责安装调试及测试，主动提交测试所需的各类文档、样本样例或工具，主动配合整改。</w:t>
            </w:r>
          </w:p>
          <w:p>
            <w:pPr>
              <w:pStyle w:val="111"/>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3.测试与验收要求</w:t>
            </w:r>
          </w:p>
          <w:p>
            <w:pPr>
              <w:pStyle w:val="111"/>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ascii="Times New Roman" w:hAnsi="Times New Roman"/>
                <w:color w:val="auto"/>
                <w:szCs w:val="21"/>
                <w:highlight w:val="none"/>
              </w:rPr>
            </w:pPr>
            <w:r>
              <w:rPr>
                <w:rFonts w:hint="eastAsia" w:ascii="宋体" w:hAnsi="宋体" w:eastAsia="宋体" w:cs="宋体"/>
                <w:b w:val="0"/>
                <w:bCs/>
                <w:color w:val="auto"/>
                <w:sz w:val="21"/>
                <w:szCs w:val="21"/>
                <w:highlight w:val="none"/>
              </w:rPr>
              <w:t>系统试运行前须通过招标人指定的验收测试，包括软件测试、硬件测试、传输流和视音频相关测试、信息安全测试等。项目通过测试并在试运行合格后，提交工程竣工报告（包含要求的各类规划模块及施工等文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6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color w:val="auto"/>
                <w:szCs w:val="21"/>
              </w:rPr>
              <w:t>其他要求</w:t>
            </w:r>
          </w:p>
        </w:tc>
        <w:tc>
          <w:tcPr>
            <w:tcW w:w="79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1.投标报价为采购人指定地点的现场交货价，包括：</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 投标人就《货物需求一览表》中全部内容作完整唯一报价，不完整响应或拆分投标的将导致投标无效；</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1.2 本项目投标应以人民币报价；</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1.3 不论投标结果如何，投标人均应自行承担所有与投标有关的全部费用；</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1.4 本项目报价为产品送达采购人指定地点进行安装，经采购人验收合格所发生的一切费用，其包括但不限于以下费用：产品（含主要设备、配件、辅材）供应、运输装卸费、保险费、安装费、调试费、行政规费与税费、产品检验检测、操作人员培训费、管理费、验收费、质保期技术支持及运行维护费用、招标代理服务费等与本项目相关的一切费用；</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1.5 投标人漏报的单价或每单价报价中漏报、少报的费用，视为此项费用已隐含在投标报价中，中标后不得再向采购人收取任何费用。</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2.投标时请提供售后服务承诺书：明确保修期、故障响应时间、培训时间、售后服务技术人员名单和联系方式、不定期走访用户、保修期限外零配件若损坏，提供零配件优惠服务方案等。</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3.投标人必须承诺设备验收合格后免费对采购人的使用人员进行操作及相关知识的培训，并确保有1～2人能熟练使用设备，并能排除简单的软硬件故障。</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设备必须是全新、完整、未使用过的产品；设备到货后，供货商和购买方应在现场进行清点；清点过程中如果发现因包装或运输不当引起的设备外观或内部的损坏，供货商应负责更换；若发现错发/漏发情况，供货商应负责更换和补发。</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5.安装标准及验收标准：符合我国国家有关技术规范和技术标准；设备安装后，广西广播电视台按国际和国家标准及厂方标准进行质量验收；供应商应向采购人提供详细的验收收标准、验收手册。</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rPr>
                <w:rFonts w:ascii="宋体" w:hAnsi="宋体" w:cs="宋体"/>
                <w:bCs/>
                <w:color w:val="auto"/>
                <w:szCs w:val="21"/>
                <w:highlight w:val="none"/>
              </w:rPr>
            </w:pPr>
            <w:r>
              <w:rPr>
                <w:rFonts w:hint="eastAsia" w:ascii="宋体" w:hAnsi="宋体" w:cs="宋体"/>
                <w:bCs/>
                <w:color w:val="auto"/>
                <w:szCs w:val="21"/>
                <w:highlight w:val="none"/>
              </w:rPr>
              <w:t>6.采购人设备主管科室对本合同质保服务内容进行全程对接和监督并对服务情况进行客观记录，在每个合同年度期结束时，由设备主管科室根据合同约定的服务内容、响应情况、服务态度及过程记录，对违反合同条款和不按合同要求履约的或被使用科室有效投诉2次，每事项每次扣罚履约金的10%。</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采购人在货物交货验收阶段发现货物的技术参数指标达不到招标文件该货物技术参数要求的，属虚假应标行为，采购人将终止合同拒收货物，追究该中标单位违约责任，赔偿采购人因采购时间延长造成采购人经济等方面损失，视情况采购人将违约情况上报政府采购监督管理部门。</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8.本章所列技术要求中，所有参数与性能均指满足使用需求的最低标准，投标人提供的货物或服务低于此标准的即视为负偏离并按评分标准进行相应打分；</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9.对于投标人不能满足的技术或服务要求，应在投标文件中详细载明，内容应包括不能完全满足的条款及投标人所能提供的替代响应方案等。未附相应偏离说明的条款或技术规格均视为满足采购需求，一旦中标，将按照招标文件载明的技术及服务需求进行验收，不能达到验收标准的，视为虚假应标；</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10.投标人制作的投标文件中应体现投标方案与招标文件技术、商务要求的符合程度，还应提供包括但不限于以下材料：</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获奖情况、类似业绩、售后服务方案、技术培训方案、系统总体设计能力的证明材料、系统执行能力的证明材料等；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b/>
                <w:color w:val="auto"/>
                <w:szCs w:val="21"/>
                <w:highlight w:val="none"/>
              </w:rPr>
            </w:pPr>
            <w:r>
              <w:rPr>
                <w:rFonts w:hint="eastAsia" w:ascii="宋体" w:hAnsi="宋体" w:cs="宋体"/>
                <w:color w:val="auto"/>
                <w:szCs w:val="21"/>
                <w:highlight w:val="none"/>
              </w:rPr>
              <w:t>12.招标文件中的合同仅为合同的参考文本，最终以双方另行协商确认的合同版本为准。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04" w:type="dxa"/>
            <w:gridSpan w:val="5"/>
            <w:tcBorders>
              <w:top w:val="single" w:color="auto" w:sz="4" w:space="0"/>
              <w:left w:val="single" w:color="auto" w:sz="4" w:space="0"/>
              <w:bottom w:val="single" w:color="auto" w:sz="4" w:space="0"/>
              <w:right w:val="single" w:color="auto" w:sz="4" w:space="0"/>
            </w:tcBorders>
          </w:tcPr>
          <w:p>
            <w:pPr>
              <w:spacing w:line="360" w:lineRule="auto"/>
              <w:rPr>
                <w:b/>
                <w:color w:val="auto"/>
                <w:szCs w:val="21"/>
                <w:highlight w:val="none"/>
              </w:rPr>
            </w:pPr>
            <w:r>
              <w:rPr>
                <w:b/>
                <w:color w:val="auto"/>
                <w:szCs w:val="21"/>
                <w:highlight w:val="none"/>
              </w:rPr>
              <w:t>▲三、核心产品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04" w:type="dxa"/>
            <w:gridSpan w:val="5"/>
            <w:tcBorders>
              <w:top w:val="single" w:color="auto" w:sz="4" w:space="0"/>
              <w:left w:val="single" w:color="auto" w:sz="4" w:space="0"/>
              <w:bottom w:val="single" w:color="auto" w:sz="4" w:space="0"/>
              <w:right w:val="single" w:color="auto" w:sz="4" w:space="0"/>
            </w:tcBorders>
          </w:tcPr>
          <w:p>
            <w:pPr>
              <w:spacing w:line="360" w:lineRule="auto"/>
              <w:rPr>
                <w:b/>
                <w:bCs/>
                <w:color w:val="auto"/>
                <w:highlight w:val="none"/>
              </w:rPr>
            </w:pPr>
            <w:r>
              <w:rPr>
                <w:b/>
                <w:color w:val="auto"/>
                <w:szCs w:val="21"/>
                <w:highlight w:val="none"/>
              </w:rPr>
              <w:t>本表的核心产品为：</w:t>
            </w:r>
            <w:r>
              <w:rPr>
                <w:rFonts w:hint="eastAsia" w:ascii="宋体" w:hAnsi="宋体" w:cs="宋体"/>
                <w:b/>
                <w:color w:val="auto"/>
                <w:szCs w:val="21"/>
                <w:highlight w:val="none"/>
              </w:rPr>
              <w:t>第</w:t>
            </w:r>
            <w:r>
              <w:rPr>
                <w:rFonts w:hint="eastAsia" w:ascii="宋体" w:hAnsi="宋体" w:cs="宋体"/>
                <w:b/>
                <w:color w:val="auto"/>
                <w:szCs w:val="21"/>
                <w:highlight w:val="none"/>
                <w:u w:val="single"/>
              </w:rPr>
              <w:t xml:space="preserve"> 1 </w:t>
            </w:r>
            <w:r>
              <w:rPr>
                <w:rFonts w:hint="eastAsia" w:ascii="宋体" w:hAnsi="宋体" w:cs="宋体"/>
                <w:b/>
                <w:color w:val="auto"/>
                <w:szCs w:val="21"/>
                <w:highlight w:val="none"/>
              </w:rPr>
              <w:t>项产品：</w:t>
            </w:r>
            <w:r>
              <w:rPr>
                <w:rFonts w:hint="eastAsia"/>
                <w:b/>
                <w:color w:val="auto"/>
                <w:szCs w:val="21"/>
                <w:highlight w:val="none"/>
              </w:rPr>
              <w:t>高标清编码器、</w:t>
            </w:r>
            <w:r>
              <w:rPr>
                <w:rFonts w:hint="eastAsia" w:ascii="宋体" w:hAnsi="宋体" w:cs="宋体"/>
                <w:b/>
                <w:color w:val="auto"/>
                <w:szCs w:val="21"/>
                <w:highlight w:val="none"/>
              </w:rPr>
              <w:t>第</w:t>
            </w:r>
            <w:r>
              <w:rPr>
                <w:rFonts w:hint="eastAsia" w:ascii="宋体" w:hAnsi="宋体" w:cs="宋体"/>
                <w:b/>
                <w:color w:val="auto"/>
                <w:szCs w:val="21"/>
                <w:highlight w:val="none"/>
                <w:u w:val="single"/>
              </w:rPr>
              <w:t xml:space="preserve"> 4 </w:t>
            </w:r>
            <w:r>
              <w:rPr>
                <w:rFonts w:hint="eastAsia" w:ascii="宋体" w:hAnsi="宋体" w:cs="宋体"/>
                <w:b/>
                <w:color w:val="auto"/>
                <w:szCs w:val="21"/>
                <w:highlight w:val="none"/>
              </w:rPr>
              <w:t>项产品：</w:t>
            </w:r>
            <w:r>
              <w:rPr>
                <w:rFonts w:hint="eastAsia"/>
                <w:b/>
                <w:color w:val="auto"/>
                <w:szCs w:val="21"/>
                <w:highlight w:val="none"/>
              </w:rPr>
              <w:t>复用器、</w:t>
            </w:r>
            <w:r>
              <w:rPr>
                <w:rFonts w:hint="eastAsia" w:ascii="宋体" w:hAnsi="宋体" w:cs="宋体"/>
                <w:b/>
                <w:color w:val="auto"/>
                <w:szCs w:val="21"/>
                <w:highlight w:val="none"/>
              </w:rPr>
              <w:t>第</w:t>
            </w:r>
            <w:r>
              <w:rPr>
                <w:rFonts w:hint="eastAsia" w:ascii="宋体" w:hAnsi="宋体" w:cs="宋体"/>
                <w:b/>
                <w:color w:val="auto"/>
                <w:szCs w:val="21"/>
                <w:highlight w:val="none"/>
                <w:u w:val="single"/>
              </w:rPr>
              <w:t xml:space="preserve"> 14 </w:t>
            </w:r>
            <w:r>
              <w:rPr>
                <w:rFonts w:hint="eastAsia" w:ascii="宋体" w:hAnsi="宋体" w:cs="宋体"/>
                <w:b/>
                <w:color w:val="auto"/>
                <w:szCs w:val="21"/>
                <w:highlight w:val="none"/>
              </w:rPr>
              <w:t>项产品：</w:t>
            </w:r>
            <w:r>
              <w:rPr>
                <w:rFonts w:hint="eastAsia"/>
                <w:b/>
                <w:color w:val="auto"/>
                <w:szCs w:val="21"/>
                <w:highlight w:val="none"/>
              </w:rPr>
              <w:t>网管系统</w:t>
            </w:r>
            <w:r>
              <w:rPr>
                <w:b/>
                <w:color w:val="auto"/>
                <w:szCs w:val="21"/>
                <w:highlight w:val="none"/>
              </w:rPr>
              <w:t>。</w:t>
            </w:r>
            <w:r>
              <w:rPr>
                <w:b/>
                <w:bCs/>
                <w:color w:val="auto"/>
                <w:highlight w:val="none"/>
              </w:rPr>
              <w:t>（核心产品品牌相同的，视为提供同品牌产品）</w:t>
            </w:r>
          </w:p>
          <w:p>
            <w:pPr>
              <w:spacing w:line="360" w:lineRule="auto"/>
              <w:rPr>
                <w:b/>
                <w:color w:val="auto"/>
                <w:szCs w:val="21"/>
                <w:highlight w:val="none"/>
              </w:rPr>
            </w:pPr>
            <w:r>
              <w:rPr>
                <w:color w:val="auto"/>
                <w:highlight w:val="none"/>
              </w:rPr>
              <w:t>注：提供相同品牌产品且通过资格审查、符合性审查的不同投标人参加同一合同项下投标的，按一家投标人计算，评审后得分最高的同品牌投标人获得中标人推荐资格（评审得分相同的，以投标报价由低到高顺序排列；得分相同且投标报价相同的，按技术指标优劣顺序排列），其他同品牌投标人不作为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0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b/>
                <w:color w:val="auto"/>
                <w:szCs w:val="21"/>
              </w:rPr>
            </w:pPr>
            <w:r>
              <w:rPr>
                <w:b/>
                <w:color w:val="auto"/>
                <w:szCs w:val="21"/>
              </w:rPr>
              <w:t>四、投标人的履约能力要求表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6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rPr>
            </w:pPr>
            <w:r>
              <w:rPr>
                <w:color w:val="auto"/>
                <w:szCs w:val="21"/>
              </w:rPr>
              <w:t>质量管理、企业信用要求</w:t>
            </w:r>
          </w:p>
        </w:tc>
        <w:tc>
          <w:tcPr>
            <w:tcW w:w="79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rPr>
            </w:pPr>
            <w:r>
              <w:rPr>
                <w:color w:val="auto"/>
                <w:szCs w:val="21"/>
              </w:rPr>
              <w:t>见本招标文件</w:t>
            </w:r>
            <w:r>
              <w:rPr>
                <w:rFonts w:hint="eastAsia"/>
                <w:color w:val="auto"/>
                <w:szCs w:val="21"/>
                <w:lang w:eastAsia="zh-CN"/>
              </w:rPr>
              <w:t>“</w:t>
            </w:r>
            <w:r>
              <w:rPr>
                <w:color w:val="auto"/>
                <w:szCs w:val="21"/>
              </w:rPr>
              <w:t>评标办法及评分标准</w:t>
            </w:r>
            <w:r>
              <w:rPr>
                <w:rFonts w:hint="eastAsia"/>
                <w:color w:val="auto"/>
                <w:szCs w:val="21"/>
                <w:lang w:eastAsia="zh-CN"/>
              </w:rPr>
              <w:t>”</w:t>
            </w:r>
            <w:r>
              <w:rPr>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6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rPr>
            </w:pPr>
            <w:r>
              <w:rPr>
                <w:color w:val="auto"/>
                <w:szCs w:val="21"/>
              </w:rPr>
              <w:t>能力或者业绩要求</w:t>
            </w:r>
          </w:p>
        </w:tc>
        <w:tc>
          <w:tcPr>
            <w:tcW w:w="79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rPr>
            </w:pPr>
            <w:r>
              <w:rPr>
                <w:color w:val="auto"/>
                <w:szCs w:val="21"/>
              </w:rPr>
              <w:t>见本招标文件</w:t>
            </w:r>
            <w:r>
              <w:rPr>
                <w:rFonts w:hint="eastAsia"/>
                <w:color w:val="auto"/>
                <w:szCs w:val="21"/>
                <w:lang w:eastAsia="zh-CN"/>
              </w:rPr>
              <w:t>“</w:t>
            </w:r>
            <w:r>
              <w:rPr>
                <w:color w:val="auto"/>
                <w:szCs w:val="21"/>
              </w:rPr>
              <w:t>评标办法及评分标准</w:t>
            </w:r>
            <w:r>
              <w:rPr>
                <w:rFonts w:hint="eastAsia"/>
                <w:color w:val="auto"/>
                <w:szCs w:val="21"/>
                <w:lang w:eastAsia="zh-CN"/>
              </w:rPr>
              <w:t>”</w:t>
            </w:r>
            <w:r>
              <w:rPr>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0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b/>
                <w:color w:val="auto"/>
                <w:szCs w:val="21"/>
              </w:rPr>
            </w:pPr>
            <w:r>
              <w:rPr>
                <w:b/>
                <w:color w:val="auto"/>
                <w:szCs w:val="21"/>
              </w:rPr>
              <w:t>五、政策性加分条件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6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rPr>
            </w:pPr>
            <w:r>
              <w:rPr>
                <w:color w:val="auto"/>
                <w:szCs w:val="21"/>
              </w:rPr>
              <w:t>政策性加分条件</w:t>
            </w:r>
          </w:p>
        </w:tc>
        <w:tc>
          <w:tcPr>
            <w:tcW w:w="79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rPr>
            </w:pPr>
            <w:r>
              <w:rPr>
                <w:color w:val="auto"/>
                <w:szCs w:val="21"/>
              </w:rPr>
              <w:t>符合节能环保等国家政策要求。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6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rPr>
            </w:pPr>
            <w:r>
              <w:rPr>
                <w:b/>
                <w:color w:val="auto"/>
                <w:szCs w:val="21"/>
              </w:rPr>
              <w:t>六、其他要求</w:t>
            </w:r>
          </w:p>
        </w:tc>
        <w:tc>
          <w:tcPr>
            <w:tcW w:w="79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rPr>
            </w:pPr>
            <w:r>
              <w:rPr>
                <w:color w:val="auto"/>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0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b/>
                <w:color w:val="auto"/>
                <w:szCs w:val="21"/>
              </w:rPr>
            </w:pPr>
            <w:r>
              <w:rPr>
                <w:b/>
                <w:color w:val="auto"/>
                <w:szCs w:val="21"/>
              </w:rPr>
              <w:t>七、进口产品说明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6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rPr>
            </w:pPr>
            <w:r>
              <w:rPr>
                <w:color w:val="auto"/>
                <w:szCs w:val="21"/>
              </w:rPr>
              <w:t>进口产品说明</w:t>
            </w:r>
          </w:p>
        </w:tc>
        <w:tc>
          <w:tcPr>
            <w:tcW w:w="79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rPr>
            </w:pPr>
            <w:r>
              <w:rPr>
                <w:b/>
                <w:color w:val="auto"/>
                <w:szCs w:val="21"/>
              </w:rPr>
              <w:t>☑</w:t>
            </w:r>
            <w:r>
              <w:rPr>
                <w:color w:val="auto"/>
                <w:szCs w:val="21"/>
              </w:rPr>
              <w:t>本表</w:t>
            </w:r>
            <w:r>
              <w:rPr>
                <w:rFonts w:hint="eastAsia"/>
                <w:color w:val="auto"/>
                <w:szCs w:val="21"/>
              </w:rPr>
              <w:t>货物</w:t>
            </w:r>
          </w:p>
          <w:p>
            <w:pPr>
              <w:spacing w:line="360" w:lineRule="auto"/>
              <w:rPr>
                <w:color w:val="auto"/>
                <w:szCs w:val="21"/>
              </w:rPr>
            </w:pPr>
            <w:r>
              <w:rPr>
                <w:rFonts w:hint="eastAsia" w:ascii="宋体" w:hAnsi="宋体" w:cs="宋体"/>
                <w:color w:val="auto"/>
                <w:szCs w:val="21"/>
              </w:rPr>
              <w:t>第1项“高标清编码器”、第4项“复用器”、第6项“多通道ASI切换器”、第8项“单通道ASI切换器”、第10项“多通道IP切换器”、第14项“网管系统”、第19项“跳线器”、第20项“智能光分发平台机框”、第21项“4*3G HD-SDI板卡”、第22项“4*3G HD-SDI板卡接口板”、第23项“SFP双路光发模块”、第24项“SFP双路光收模块”、第25项“4K双通道O/E转换模块”、第26项“4K双通道E/O转换模块”、第27项“SFP 4K光发模块”、第28项“SFP 4K光收模块”、第29项“SFP光收发模块”、第30项“千兆以太网模块”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Pr>
                <w:color w:val="auto"/>
                <w:szCs w:val="21"/>
              </w:rPr>
              <w:t>，</w:t>
            </w:r>
            <w:r>
              <w:rPr>
                <w:b/>
                <w:color w:val="auto"/>
                <w:szCs w:val="21"/>
              </w:rPr>
              <w:t>否则作无效标处理。</w:t>
            </w:r>
          </w:p>
          <w:p>
            <w:pPr>
              <w:spacing w:line="360" w:lineRule="auto"/>
              <w:rPr>
                <w:color w:val="auto"/>
                <w:szCs w:val="21"/>
              </w:rPr>
            </w:pPr>
            <w:r>
              <w:rPr>
                <w:rFonts w:hint="eastAsia"/>
                <w:color w:val="auto"/>
                <w:szCs w:val="21"/>
                <w:lang w:eastAsia="zh-CN"/>
              </w:rPr>
              <w:t>□</w:t>
            </w:r>
            <w:r>
              <w:rPr>
                <w:color w:val="auto"/>
                <w:szCs w:val="21"/>
              </w:rPr>
              <w:t>本分标货物不接受进口产品（即通过中国海关报关验放进入中国境内且产自关境外的产品）参与投标，</w:t>
            </w:r>
            <w:r>
              <w:rPr>
                <w:b/>
                <w:color w:val="auto"/>
                <w:szCs w:val="21"/>
              </w:rPr>
              <w:t>如有进口产品参与投标的作无效标处理</w:t>
            </w:r>
            <w:r>
              <w:rPr>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0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b/>
                <w:color w:val="auto"/>
                <w:szCs w:val="21"/>
              </w:rPr>
            </w:pPr>
            <w:r>
              <w:rPr>
                <w:b/>
                <w:color w:val="auto"/>
                <w:szCs w:val="21"/>
              </w:rPr>
              <w:t>八、与本项目有关的设计图纸、技术规范、文件等附件资料及其获取方式（如有）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6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color w:val="auto"/>
                <w:szCs w:val="21"/>
              </w:rPr>
              <w:t>文件或者资料名称</w:t>
            </w:r>
          </w:p>
        </w:tc>
        <w:tc>
          <w:tcPr>
            <w:tcW w:w="79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color w:val="auto"/>
                <w:szCs w:val="21"/>
              </w:rPr>
              <w:t>公布渠道或者获取方式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6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rPr>
            </w:pPr>
            <w:r>
              <w:rPr>
                <w:color w:val="auto"/>
                <w:szCs w:val="21"/>
              </w:rPr>
              <w:t>无</w:t>
            </w:r>
          </w:p>
        </w:tc>
        <w:tc>
          <w:tcPr>
            <w:tcW w:w="7940" w:type="dxa"/>
            <w:gridSpan w:val="2"/>
            <w:tcBorders>
              <w:top w:val="single" w:color="auto" w:sz="4" w:space="0"/>
              <w:left w:val="single" w:color="auto" w:sz="4" w:space="0"/>
              <w:bottom w:val="single" w:color="auto" w:sz="4" w:space="0"/>
              <w:right w:val="single" w:color="auto" w:sz="4" w:space="0"/>
            </w:tcBorders>
            <w:vAlign w:val="center"/>
          </w:tcPr>
          <w:p>
            <w:pPr>
              <w:pStyle w:val="12"/>
              <w:spacing w:line="360" w:lineRule="auto"/>
              <w:jc w:val="center"/>
              <w:rPr>
                <w:color w:val="auto"/>
              </w:rPr>
            </w:pPr>
            <w:r>
              <w:rPr>
                <w:color w:val="auto"/>
              </w:rPr>
              <w:t>无</w:t>
            </w:r>
          </w:p>
        </w:tc>
      </w:tr>
    </w:tbl>
    <w:p>
      <w:pPr>
        <w:spacing w:line="360" w:lineRule="auto"/>
        <w:ind w:firstLine="219" w:firstLineChars="104"/>
        <w:jc w:val="left"/>
        <w:rPr>
          <w:rFonts w:ascii="宋体" w:hAnsi="宋体" w:cs="宋体"/>
          <w:b/>
          <w:bCs/>
          <w:color w:val="auto"/>
          <w:szCs w:val="21"/>
        </w:rPr>
      </w:pPr>
      <w:r>
        <w:rPr>
          <w:rFonts w:hint="eastAsia" w:ascii="宋体" w:hAnsi="宋体" w:cs="宋体"/>
          <w:b/>
          <w:bCs/>
          <w:color w:val="auto"/>
          <w:szCs w:val="21"/>
        </w:rPr>
        <w:br w:type="page"/>
      </w:r>
    </w:p>
    <w:p>
      <w:pPr>
        <w:pStyle w:val="4"/>
        <w:keepNext w:val="0"/>
        <w:keepLines w:val="0"/>
        <w:jc w:val="center"/>
        <w:rPr>
          <w:color w:val="auto"/>
        </w:rPr>
      </w:pPr>
      <w:bookmarkStart w:id="52" w:name="_Toc19686831"/>
      <w:r>
        <w:rPr>
          <w:rFonts w:hint="eastAsia"/>
          <w:color w:val="auto"/>
        </w:rPr>
        <w:t>第三章  投标人须知</w:t>
      </w:r>
      <w:bookmarkEnd w:id="52"/>
    </w:p>
    <w:p>
      <w:pPr>
        <w:jc w:val="center"/>
        <w:rPr>
          <w:color w:val="auto"/>
          <w:sz w:val="36"/>
          <w:szCs w:val="36"/>
        </w:rPr>
      </w:pPr>
      <w:bookmarkStart w:id="53" w:name="_Toc254970526"/>
      <w:bookmarkStart w:id="54" w:name="_Toc254970667"/>
      <w:r>
        <w:rPr>
          <w:rFonts w:hint="eastAsia"/>
          <w:color w:val="auto"/>
          <w:sz w:val="36"/>
          <w:szCs w:val="36"/>
        </w:rPr>
        <w:t>投标人须知前附表</w:t>
      </w:r>
      <w:bookmarkEnd w:id="53"/>
      <w:bookmarkEnd w:id="54"/>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88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rPr>
            </w:pPr>
            <w:r>
              <w:rPr>
                <w:rFonts w:hint="eastAsia" w:ascii="宋体" w:hAnsi="宋体"/>
                <w:color w:val="auto"/>
                <w:szCs w:val="21"/>
              </w:rPr>
              <w:t>条款号</w:t>
            </w:r>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rPr>
            </w:pPr>
            <w:r>
              <w:rPr>
                <w:rFonts w:hint="eastAsia" w:ascii="宋体" w:hAnsi="宋体"/>
                <w:color w:val="auto"/>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auto"/>
                <w:szCs w:val="21"/>
              </w:rPr>
            </w:pPr>
            <w:r>
              <w:rPr>
                <w:rFonts w:hint="eastAsia" w:ascii="宋体" w:hAnsi="宋体"/>
                <w:color w:val="auto"/>
                <w:szCs w:val="21"/>
              </w:rPr>
              <w:t>3</w:t>
            </w:r>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宋体" w:hAnsi="宋体"/>
                <w:color w:val="auto"/>
                <w:szCs w:val="21"/>
              </w:rPr>
            </w:pPr>
            <w:r>
              <w:rPr>
                <w:rFonts w:hint="eastAsia" w:ascii="宋体" w:hAnsi="宋体"/>
                <w:color w:val="auto"/>
                <w:szCs w:val="21"/>
              </w:rPr>
              <w:t>投标人的资格要求详见“招标公告”。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auto"/>
                <w:szCs w:val="21"/>
              </w:rPr>
            </w:pPr>
            <w:bookmarkStart w:id="55" w:name="_5"/>
            <w:bookmarkEnd w:id="55"/>
            <w:bookmarkStart w:id="56" w:name="_9.2"/>
            <w:bookmarkEnd w:id="56"/>
            <w:bookmarkStart w:id="57" w:name="_8.1"/>
            <w:bookmarkEnd w:id="57"/>
            <w:r>
              <w:rPr>
                <w:rFonts w:hint="eastAsia" w:ascii="宋体" w:hAnsi="宋体"/>
                <w:color w:val="auto"/>
                <w:szCs w:val="21"/>
              </w:rPr>
              <w:t>6.1</w:t>
            </w:r>
          </w:p>
        </w:tc>
        <w:tc>
          <w:tcPr>
            <w:tcW w:w="8890" w:type="dxa"/>
            <w:tcBorders>
              <w:top w:val="single" w:color="auto" w:sz="4" w:space="0"/>
              <w:left w:val="single" w:color="auto" w:sz="4" w:space="0"/>
              <w:bottom w:val="single" w:color="auto" w:sz="4" w:space="0"/>
              <w:right w:val="single" w:color="auto" w:sz="4" w:space="0"/>
            </w:tcBorders>
            <w:vAlign w:val="center"/>
          </w:tcPr>
          <w:p>
            <w:pPr>
              <w:pStyle w:val="12"/>
              <w:spacing w:line="360" w:lineRule="exact"/>
              <w:rPr>
                <w:rFonts w:ascii="宋体" w:hAnsi="宋体"/>
                <w:color w:val="auto"/>
                <w:szCs w:val="21"/>
              </w:rPr>
            </w:pPr>
            <w:r>
              <w:rPr>
                <w:rFonts w:hint="eastAsia" w:ascii="宋体" w:hAnsi="宋体"/>
                <w:color w:val="auto"/>
                <w:szCs w:val="21"/>
              </w:rPr>
              <w:t>本项目是否接受联合体投标：详见招标公告。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auto"/>
                <w:szCs w:val="21"/>
              </w:rPr>
            </w:pPr>
            <w:r>
              <w:rPr>
                <w:rFonts w:ascii="宋体" w:hAnsi="宋体"/>
                <w:color w:val="auto"/>
                <w:szCs w:val="21"/>
              </w:rPr>
              <w:t>6.2</w:t>
            </w:r>
          </w:p>
        </w:tc>
        <w:tc>
          <w:tcPr>
            <w:tcW w:w="8890" w:type="dxa"/>
            <w:tcBorders>
              <w:top w:val="single" w:color="auto" w:sz="4" w:space="0"/>
              <w:left w:val="single" w:color="auto" w:sz="4" w:space="0"/>
              <w:bottom w:val="single" w:color="auto" w:sz="4" w:space="0"/>
              <w:right w:val="single" w:color="auto" w:sz="4" w:space="0"/>
            </w:tcBorders>
            <w:vAlign w:val="center"/>
          </w:tcPr>
          <w:p>
            <w:pPr>
              <w:pStyle w:val="12"/>
              <w:spacing w:line="360" w:lineRule="exact"/>
              <w:rPr>
                <w:rFonts w:ascii="宋体" w:hAnsi="宋体"/>
                <w:color w:val="auto"/>
                <w:szCs w:val="21"/>
              </w:rPr>
            </w:pPr>
            <w:bookmarkStart w:id="58" w:name="_Hlk54105293"/>
            <w:r>
              <w:rPr>
                <w:rFonts w:hint="eastAsia" w:ascii="宋体" w:hAnsi="宋体"/>
                <w:color w:val="auto"/>
                <w:szCs w:val="21"/>
              </w:rPr>
              <w:t>如接受联合体投标，</w:t>
            </w:r>
            <w:bookmarkEnd w:id="58"/>
            <w:r>
              <w:rPr>
                <w:rFonts w:hint="eastAsia" w:ascii="宋体" w:hAnsi="宋体"/>
                <w:color w:val="auto"/>
                <w:szCs w:val="21"/>
              </w:rPr>
              <w:t>联合体投标要求如下：无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auto"/>
                <w:szCs w:val="21"/>
              </w:rPr>
            </w:pPr>
            <w:r>
              <w:rPr>
                <w:rFonts w:hint="eastAsia" w:ascii="宋体" w:hAnsi="宋体"/>
                <w:color w:val="auto"/>
                <w:szCs w:val="21"/>
              </w:rPr>
              <w:t>7.2</w:t>
            </w:r>
          </w:p>
        </w:tc>
        <w:tc>
          <w:tcPr>
            <w:tcW w:w="8890" w:type="dxa"/>
            <w:tcBorders>
              <w:top w:val="single" w:color="auto" w:sz="4" w:space="0"/>
              <w:left w:val="single" w:color="auto" w:sz="4" w:space="0"/>
              <w:bottom w:val="single" w:color="auto" w:sz="4" w:space="0"/>
              <w:right w:val="single" w:color="auto" w:sz="4" w:space="0"/>
            </w:tcBorders>
            <w:vAlign w:val="center"/>
          </w:tcPr>
          <w:p>
            <w:pPr>
              <w:pStyle w:val="12"/>
              <w:spacing w:line="360" w:lineRule="exact"/>
              <w:rPr>
                <w:rFonts w:ascii="宋体" w:hAnsi="宋体"/>
                <w:color w:val="auto"/>
                <w:szCs w:val="21"/>
                <w:u w:val="single"/>
              </w:rPr>
            </w:pPr>
            <w:r>
              <w:rPr>
                <w:rFonts w:hint="eastAsia" w:ascii="宋体" w:hAnsi="宋体"/>
                <w:b/>
                <w:color w:val="auto"/>
                <w:szCs w:val="21"/>
              </w:rPr>
              <w:t>☑</w:t>
            </w:r>
            <w:r>
              <w:rPr>
                <w:rFonts w:hint="eastAsia" w:ascii="宋体" w:hAnsi="宋体"/>
                <w:color w:val="auto"/>
                <w:szCs w:val="21"/>
              </w:rPr>
              <w:t>不允许分包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auto"/>
                <w:szCs w:val="21"/>
              </w:rPr>
            </w:pPr>
            <w:r>
              <w:rPr>
                <w:rFonts w:hint="eastAsia" w:ascii="宋体" w:hAnsi="宋体"/>
                <w:color w:val="auto"/>
                <w:szCs w:val="21"/>
              </w:rPr>
              <w:t>1</w:t>
            </w:r>
            <w:r>
              <w:rPr>
                <w:rFonts w:ascii="宋体" w:hAnsi="宋体"/>
                <w:color w:val="auto"/>
                <w:szCs w:val="21"/>
              </w:rPr>
              <w:t>1.2</w:t>
            </w:r>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Cs w:val="21"/>
              </w:rPr>
            </w:pPr>
            <w:r>
              <w:rPr>
                <w:rFonts w:hint="eastAsia" w:ascii="宋体" w:hAnsi="宋体"/>
                <w:b/>
                <w:color w:val="auto"/>
                <w:szCs w:val="21"/>
              </w:rPr>
              <w:t>☑</w:t>
            </w:r>
            <w:r>
              <w:rPr>
                <w:rFonts w:hint="eastAsia" w:ascii="宋体" w:hAnsi="宋体"/>
                <w:color w:val="auto"/>
                <w:szCs w:val="21"/>
              </w:rPr>
              <w:t>不组织现场考察</w:t>
            </w:r>
          </w:p>
          <w:p>
            <w:pPr>
              <w:snapToGrid w:val="0"/>
              <w:spacing w:line="360" w:lineRule="exact"/>
              <w:rPr>
                <w:rFonts w:ascii="宋体" w:hAnsi="宋体"/>
                <w:color w:val="auto"/>
                <w:szCs w:val="21"/>
              </w:rPr>
            </w:pPr>
            <w:r>
              <w:rPr>
                <w:rFonts w:hint="eastAsia" w:ascii="宋体" w:hAnsi="宋体"/>
                <w:b/>
                <w:color w:val="auto"/>
                <w:szCs w:val="21"/>
              </w:rPr>
              <w:t>☑</w:t>
            </w:r>
            <w:r>
              <w:rPr>
                <w:rFonts w:hint="eastAsia" w:ascii="宋体" w:hAnsi="宋体"/>
                <w:color w:val="auto"/>
                <w:szCs w:val="21"/>
              </w:rPr>
              <w:t>不组织召开开标前答疑会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center"/>
          </w:tcPr>
          <w:p>
            <w:pPr>
              <w:spacing w:line="360" w:lineRule="exact"/>
              <w:jc w:val="center"/>
              <w:rPr>
                <w:rFonts w:ascii="宋体" w:hAnsi="宋体"/>
                <w:color w:val="auto"/>
                <w:szCs w:val="21"/>
              </w:rPr>
            </w:pPr>
            <w:bookmarkStart w:id="59" w:name="_13.1"/>
            <w:bookmarkEnd w:id="59"/>
            <w:r>
              <w:rPr>
                <w:rFonts w:hint="eastAsia" w:ascii="宋体" w:hAnsi="宋体"/>
                <w:color w:val="auto"/>
                <w:szCs w:val="21"/>
              </w:rPr>
              <w:t>13.</w:t>
            </w:r>
            <w:bookmarkStart w:id="60" w:name="_Hlt19632543"/>
            <w:r>
              <w:rPr>
                <w:rFonts w:hint="eastAsia" w:ascii="宋体" w:hAnsi="宋体"/>
                <w:color w:val="auto"/>
                <w:szCs w:val="21"/>
              </w:rPr>
              <w:t>1</w:t>
            </w:r>
            <w:bookmarkEnd w:id="60"/>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宋体" w:hAnsi="宋体" w:cs="Courier New"/>
                <w:b/>
                <w:color w:val="auto"/>
                <w:szCs w:val="21"/>
              </w:rPr>
            </w:pPr>
            <w:r>
              <w:rPr>
                <w:rFonts w:hint="eastAsia" w:ascii="宋体" w:hAnsi="宋体" w:cs="Courier New"/>
                <w:b/>
                <w:color w:val="auto"/>
                <w:szCs w:val="21"/>
              </w:rPr>
              <w:t>报价文件【第1至3项为必须提供，否则作投标无效处理】：</w:t>
            </w:r>
          </w:p>
          <w:p>
            <w:pPr>
              <w:numPr>
                <w:ilvl w:val="0"/>
                <w:numId w:val="4"/>
              </w:numPr>
              <w:tabs>
                <w:tab w:val="left" w:pos="459"/>
              </w:tabs>
              <w:snapToGrid w:val="0"/>
              <w:spacing w:line="360" w:lineRule="exact"/>
              <w:ind w:left="0" w:firstLine="420" w:firstLineChars="200"/>
              <w:jc w:val="left"/>
              <w:rPr>
                <w:rFonts w:ascii="宋体" w:hAnsi="宋体"/>
                <w:color w:val="auto"/>
                <w:szCs w:val="21"/>
              </w:rPr>
            </w:pPr>
            <w:r>
              <w:rPr>
                <w:rFonts w:hint="eastAsia" w:ascii="宋体" w:hAnsi="宋体"/>
                <w:color w:val="auto"/>
                <w:szCs w:val="21"/>
              </w:rPr>
              <w:t>投标函（格式后附）；</w:t>
            </w:r>
            <w:r>
              <w:rPr>
                <w:rFonts w:hint="eastAsia" w:ascii="宋体" w:hAnsi="宋体"/>
                <w:b/>
                <w:color w:val="auto"/>
                <w:szCs w:val="21"/>
              </w:rPr>
              <w:t>（必须提供，否则作无效投标处理）</w:t>
            </w:r>
          </w:p>
          <w:p>
            <w:pPr>
              <w:numPr>
                <w:ilvl w:val="0"/>
                <w:numId w:val="4"/>
              </w:numPr>
              <w:tabs>
                <w:tab w:val="left" w:pos="459"/>
              </w:tabs>
              <w:snapToGrid w:val="0"/>
              <w:spacing w:line="360" w:lineRule="exact"/>
              <w:ind w:left="0" w:firstLine="420" w:firstLineChars="200"/>
              <w:jc w:val="left"/>
              <w:rPr>
                <w:rFonts w:ascii="宋体" w:hAnsi="宋体"/>
                <w:color w:val="auto"/>
                <w:szCs w:val="21"/>
              </w:rPr>
            </w:pPr>
            <w:r>
              <w:rPr>
                <w:rFonts w:hint="eastAsia" w:ascii="宋体" w:hAnsi="宋体"/>
                <w:color w:val="auto"/>
                <w:szCs w:val="21"/>
              </w:rPr>
              <w:t>投标报价明细表（格式见附件）；</w:t>
            </w:r>
            <w:r>
              <w:rPr>
                <w:rFonts w:hint="eastAsia" w:ascii="宋体" w:hAnsi="宋体"/>
                <w:b/>
                <w:color w:val="auto"/>
                <w:szCs w:val="21"/>
              </w:rPr>
              <w:t>（必须提供，否则作无效投标处理）</w:t>
            </w:r>
          </w:p>
          <w:p>
            <w:pPr>
              <w:numPr>
                <w:ilvl w:val="0"/>
                <w:numId w:val="4"/>
              </w:numPr>
              <w:tabs>
                <w:tab w:val="left" w:pos="459"/>
              </w:tabs>
              <w:snapToGrid w:val="0"/>
              <w:spacing w:line="360" w:lineRule="exact"/>
              <w:ind w:left="0" w:firstLine="420" w:firstLineChars="200"/>
              <w:jc w:val="left"/>
              <w:rPr>
                <w:rFonts w:ascii="宋体" w:hAnsi="宋体"/>
                <w:color w:val="auto"/>
                <w:szCs w:val="21"/>
              </w:rPr>
            </w:pPr>
            <w:r>
              <w:rPr>
                <w:rFonts w:hint="eastAsia" w:ascii="宋体" w:hAnsi="宋体"/>
                <w:color w:val="auto"/>
                <w:szCs w:val="21"/>
              </w:rPr>
              <w:t>开标一览表（格式后附）；（</w:t>
            </w:r>
            <w:r>
              <w:rPr>
                <w:rFonts w:hint="eastAsia" w:ascii="宋体" w:hAnsi="宋体"/>
                <w:b/>
                <w:color w:val="auto"/>
                <w:szCs w:val="21"/>
              </w:rPr>
              <w:t>必须提供，否则作无效投标处理</w:t>
            </w:r>
            <w:r>
              <w:rPr>
                <w:rFonts w:hint="eastAsia" w:ascii="宋体" w:hAnsi="宋体"/>
                <w:color w:val="auto"/>
                <w:szCs w:val="21"/>
              </w:rPr>
              <w:t>）</w:t>
            </w:r>
          </w:p>
          <w:p>
            <w:pPr>
              <w:numPr>
                <w:ilvl w:val="0"/>
                <w:numId w:val="4"/>
              </w:numPr>
              <w:tabs>
                <w:tab w:val="left" w:pos="459"/>
              </w:tabs>
              <w:snapToGrid w:val="0"/>
              <w:spacing w:line="360" w:lineRule="exact"/>
              <w:ind w:left="0" w:firstLine="420" w:firstLineChars="200"/>
              <w:jc w:val="left"/>
              <w:rPr>
                <w:rFonts w:ascii="宋体" w:hAnsi="宋体"/>
                <w:color w:val="auto"/>
                <w:szCs w:val="21"/>
              </w:rPr>
            </w:pPr>
            <w:r>
              <w:rPr>
                <w:rFonts w:hint="eastAsia" w:ascii="宋体" w:hAnsi="宋体"/>
                <w:color w:val="auto"/>
                <w:szCs w:val="21"/>
              </w:rPr>
              <w:t>投标人针对报价需要说明的其他文件和说明（格式自拟）。</w:t>
            </w:r>
          </w:p>
          <w:p>
            <w:pPr>
              <w:snapToGrid w:val="0"/>
              <w:spacing w:line="360" w:lineRule="exact"/>
              <w:ind w:firstLine="422" w:firstLineChars="200"/>
              <w:jc w:val="left"/>
              <w:rPr>
                <w:rFonts w:ascii="宋体" w:hAnsi="宋体"/>
                <w:color w:val="auto"/>
                <w:szCs w:val="21"/>
              </w:rPr>
            </w:pPr>
            <w:r>
              <w:rPr>
                <w:rFonts w:hint="eastAsia" w:ascii="宋体" w:hAnsi="宋体"/>
                <w:b/>
                <w:bCs/>
                <w:color w:val="auto"/>
                <w:szCs w:val="21"/>
              </w:rPr>
              <w:t>注：投标函、开标一览表必须由法定代表人或者委托代理人在规定签章处逐一签字并加盖投标人公章，否则</w:t>
            </w:r>
            <w:r>
              <w:rPr>
                <w:rFonts w:hint="eastAsia" w:ascii="宋体" w:hAnsi="宋体" w:cs="Courier New"/>
                <w:b/>
                <w:color w:val="auto"/>
                <w:szCs w:val="21"/>
              </w:rPr>
              <w:t>作无效投标处理</w:t>
            </w:r>
            <w:r>
              <w:rPr>
                <w:rFonts w:hint="eastAsia" w:ascii="宋体" w:hAnsi="宋体"/>
                <w:b/>
                <w:bCs/>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spacing w:line="360" w:lineRule="exact"/>
              <w:rPr>
                <w:rFonts w:ascii="宋体" w:hAnsi="宋体"/>
                <w:color w:val="auto"/>
                <w:szCs w:val="21"/>
              </w:rPr>
            </w:pPr>
            <w:bookmarkStart w:id="61" w:name="_13.2"/>
            <w:bookmarkEnd w:id="61"/>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宋体" w:hAnsi="宋体" w:cs="Courier New"/>
                <w:b/>
                <w:color w:val="auto"/>
                <w:szCs w:val="21"/>
              </w:rPr>
            </w:pPr>
            <w:r>
              <w:rPr>
                <w:rFonts w:hint="eastAsia" w:ascii="宋体" w:hAnsi="宋体" w:cs="Courier New"/>
                <w:b/>
                <w:color w:val="auto"/>
                <w:szCs w:val="21"/>
              </w:rPr>
              <w:t>资格证明文件</w:t>
            </w:r>
            <w:r>
              <w:rPr>
                <w:rFonts w:ascii="宋体" w:hAnsi="宋体"/>
                <w:b/>
                <w:color w:val="auto"/>
                <w:szCs w:val="21"/>
              </w:rPr>
              <w:t>【</w:t>
            </w:r>
            <w:r>
              <w:rPr>
                <w:rFonts w:ascii="宋体" w:hAnsi="宋体"/>
                <w:b/>
                <w:color w:val="auto"/>
                <w:szCs w:val="21"/>
                <w:u w:val="single"/>
              </w:rPr>
              <w:t>第1</w:t>
            </w:r>
            <w:r>
              <w:rPr>
                <w:rFonts w:hint="eastAsia" w:ascii="宋体" w:hAnsi="宋体"/>
                <w:b/>
                <w:color w:val="auto"/>
                <w:szCs w:val="21"/>
                <w:u w:val="single"/>
              </w:rPr>
              <w:t>至6</w:t>
            </w:r>
            <w:r>
              <w:rPr>
                <w:rFonts w:ascii="宋体" w:hAnsi="宋体"/>
                <w:b/>
                <w:color w:val="auto"/>
                <w:szCs w:val="21"/>
                <w:u w:val="single"/>
              </w:rPr>
              <w:t>项为必须提供</w:t>
            </w:r>
            <w:r>
              <w:rPr>
                <w:rFonts w:ascii="宋体" w:hAnsi="宋体"/>
                <w:b/>
                <w:color w:val="auto"/>
                <w:szCs w:val="21"/>
              </w:rPr>
              <w:t>，否则作投标无效处理】</w:t>
            </w:r>
            <w:r>
              <w:rPr>
                <w:rFonts w:hint="eastAsia" w:ascii="宋体" w:hAnsi="宋体"/>
                <w:b/>
                <w:color w:val="auto"/>
                <w:szCs w:val="21"/>
              </w:rPr>
              <w:t>：</w:t>
            </w:r>
          </w:p>
          <w:p>
            <w:pPr>
              <w:numPr>
                <w:ilvl w:val="0"/>
                <w:numId w:val="5"/>
              </w:numPr>
              <w:snapToGrid w:val="0"/>
              <w:spacing w:line="360" w:lineRule="exact"/>
              <w:ind w:left="0" w:firstLine="420" w:firstLineChars="200"/>
              <w:jc w:val="left"/>
              <w:rPr>
                <w:rFonts w:ascii="宋体" w:hAnsi="宋体"/>
                <w:color w:val="auto"/>
                <w:szCs w:val="21"/>
              </w:rPr>
            </w:pPr>
            <w:r>
              <w:rPr>
                <w:rFonts w:hint="eastAsia" w:ascii="宋体" w:hAnsi="宋体"/>
                <w:color w:val="auto"/>
                <w:szCs w:val="21"/>
              </w:rPr>
              <w:t>投标人为法人或者其他组织的，提供营业执照等证明文件</w:t>
            </w:r>
            <w:r>
              <w:rPr>
                <w:rFonts w:hint="eastAsia" w:ascii="宋体" w:hAnsi="宋体" w:cs="宋体"/>
                <w:color w:val="auto"/>
                <w:szCs w:val="21"/>
              </w:rPr>
              <w:t>（如营业执照或者事业单位法人证书或者</w:t>
            </w:r>
            <w:r>
              <w:rPr>
                <w:rStyle w:val="82"/>
                <w:color w:val="auto"/>
                <w:sz w:val="21"/>
                <w:szCs w:val="21"/>
              </w:rPr>
              <w:t>执业许可证</w:t>
            </w:r>
            <w:r>
              <w:rPr>
                <w:rFonts w:hint="eastAsia" w:ascii="宋体" w:hAnsi="宋体" w:cs="宋体"/>
                <w:color w:val="auto"/>
                <w:szCs w:val="21"/>
              </w:rPr>
              <w:t>等）</w:t>
            </w:r>
            <w:r>
              <w:rPr>
                <w:rFonts w:hint="eastAsia" w:ascii="宋体" w:hAnsi="宋体"/>
                <w:color w:val="auto"/>
                <w:szCs w:val="21"/>
              </w:rPr>
              <w:t>，（</w:t>
            </w:r>
            <w:r>
              <w:rPr>
                <w:rFonts w:hint="eastAsia" w:ascii="宋体" w:hAnsi="宋体"/>
                <w:b/>
                <w:color w:val="auto"/>
                <w:szCs w:val="21"/>
              </w:rPr>
              <w:t>必须提供，否则作无效投标处理</w:t>
            </w:r>
            <w:r>
              <w:rPr>
                <w:rFonts w:hint="eastAsia" w:ascii="宋体" w:hAnsi="宋体"/>
                <w:color w:val="auto"/>
                <w:szCs w:val="21"/>
              </w:rPr>
              <w:t>）</w:t>
            </w:r>
          </w:p>
          <w:p>
            <w:pPr>
              <w:numPr>
                <w:ilvl w:val="0"/>
                <w:numId w:val="5"/>
              </w:numPr>
              <w:snapToGrid w:val="0"/>
              <w:spacing w:line="360" w:lineRule="exact"/>
              <w:ind w:left="0" w:firstLine="420" w:firstLineChars="200"/>
              <w:jc w:val="left"/>
              <w:rPr>
                <w:rFonts w:ascii="宋体" w:hAnsi="宋体"/>
                <w:color w:val="auto"/>
                <w:szCs w:val="21"/>
              </w:rPr>
            </w:pPr>
            <w:r>
              <w:rPr>
                <w:rFonts w:hint="eastAsia" w:ascii="宋体" w:hAnsi="宋体" w:cs="宋体"/>
                <w:color w:val="auto"/>
                <w:szCs w:val="21"/>
              </w:rPr>
              <w:t>投标人依法缴纳税收的相关材料（</w:t>
            </w:r>
            <w:r>
              <w:rPr>
                <w:rFonts w:hint="eastAsia" w:ascii="宋体" w:hAnsi="宋体" w:cs="宋体"/>
                <w:color w:val="auto"/>
                <w:szCs w:val="21"/>
                <w:u w:val="single"/>
              </w:rPr>
              <w:t>2022</w:t>
            </w:r>
            <w:r>
              <w:rPr>
                <w:rFonts w:hint="eastAsia" w:ascii="宋体" w:hAnsi="宋体" w:cs="宋体"/>
                <w:color w:val="auto"/>
                <w:szCs w:val="21"/>
              </w:rPr>
              <w:t>年</w:t>
            </w:r>
            <w:r>
              <w:rPr>
                <w:rFonts w:hint="eastAsia" w:ascii="宋体" w:hAnsi="宋体" w:cs="宋体"/>
                <w:color w:val="auto"/>
                <w:szCs w:val="21"/>
                <w:u w:val="single"/>
              </w:rPr>
              <w:t>4</w:t>
            </w:r>
            <w:r>
              <w:rPr>
                <w:rFonts w:hint="eastAsia" w:ascii="宋体" w:hAnsi="宋体" w:cs="宋体"/>
                <w:color w:val="auto"/>
                <w:szCs w:val="21"/>
              </w:rPr>
              <w:t>月至</w:t>
            </w:r>
            <w:r>
              <w:rPr>
                <w:rFonts w:hint="eastAsia" w:ascii="宋体" w:hAnsi="宋体" w:cs="宋体"/>
                <w:color w:val="auto"/>
                <w:szCs w:val="21"/>
                <w:u w:val="single"/>
              </w:rPr>
              <w:t xml:space="preserve"> 2022 </w:t>
            </w:r>
            <w:r>
              <w:rPr>
                <w:rFonts w:hint="eastAsia" w:ascii="宋体" w:hAnsi="宋体" w:cs="宋体"/>
                <w:color w:val="auto"/>
                <w:szCs w:val="21"/>
              </w:rPr>
              <w:t>年</w:t>
            </w:r>
            <w:r>
              <w:rPr>
                <w:rFonts w:hint="eastAsia" w:ascii="宋体" w:hAnsi="宋体" w:cs="宋体"/>
                <w:color w:val="auto"/>
                <w:szCs w:val="21"/>
                <w:u w:val="single"/>
              </w:rPr>
              <w:t>9</w:t>
            </w:r>
            <w:r>
              <w:rPr>
                <w:rFonts w:hint="eastAsia" w:ascii="宋体" w:hAnsi="宋体" w:cs="宋体"/>
                <w:color w:val="auto"/>
                <w:szCs w:val="21"/>
              </w:rPr>
              <w:t>月内连续</w:t>
            </w:r>
            <w:r>
              <w:rPr>
                <w:rFonts w:hint="eastAsia" w:ascii="宋体" w:hAnsi="宋体" w:cs="宋体"/>
                <w:color w:val="auto"/>
                <w:szCs w:val="21"/>
                <w:u w:val="single"/>
              </w:rPr>
              <w:t xml:space="preserve"> 3 </w:t>
            </w:r>
            <w:r>
              <w:rPr>
                <w:rFonts w:hint="eastAsia" w:ascii="宋体" w:hAnsi="宋体" w:cs="宋体"/>
                <w:color w:val="auto"/>
                <w:szCs w:val="21"/>
              </w:rPr>
              <w:t>个月的依法缴纳税收的凭据复印件；</w:t>
            </w:r>
            <w:r>
              <w:rPr>
                <w:rFonts w:hint="eastAsia" w:ascii="宋体" w:hAnsi="宋体"/>
                <w:color w:val="auto"/>
                <w:szCs w:val="21"/>
              </w:rPr>
              <w:t>依法免税的供应商，必须提供相应文件证明其依法免税。</w:t>
            </w:r>
            <w:r>
              <w:rPr>
                <w:rFonts w:hint="eastAsia" w:ascii="宋体" w:hAnsi="宋体" w:cs="宋体"/>
                <w:color w:val="auto"/>
                <w:szCs w:val="21"/>
              </w:rPr>
              <w:t>从取得营业执照时间起到投标文件提交截止时间为止不足要求月数的，只需提供从取得营业执照起的依法缴纳税收</w:t>
            </w:r>
            <w:r>
              <w:rPr>
                <w:rFonts w:hint="eastAsia" w:ascii="宋体" w:hAnsi="宋体"/>
                <w:color w:val="auto"/>
                <w:szCs w:val="21"/>
              </w:rPr>
              <w:t>相应证明文件</w:t>
            </w:r>
            <w:r>
              <w:rPr>
                <w:rFonts w:hint="eastAsia" w:ascii="宋体" w:hAnsi="宋体" w:cs="宋体"/>
                <w:color w:val="auto"/>
                <w:szCs w:val="21"/>
              </w:rPr>
              <w:t>）</w:t>
            </w:r>
            <w:r>
              <w:rPr>
                <w:rFonts w:hint="eastAsia" w:ascii="宋体" w:hAnsi="宋体"/>
                <w:color w:val="auto"/>
                <w:szCs w:val="21"/>
              </w:rPr>
              <w:t>；（</w:t>
            </w:r>
            <w:r>
              <w:rPr>
                <w:rFonts w:hint="eastAsia" w:ascii="宋体" w:hAnsi="宋体"/>
                <w:b/>
                <w:color w:val="auto"/>
                <w:szCs w:val="21"/>
              </w:rPr>
              <w:t>必须提供，否则作无效投标处理</w:t>
            </w:r>
            <w:r>
              <w:rPr>
                <w:rFonts w:hint="eastAsia" w:ascii="宋体" w:hAnsi="宋体"/>
                <w:color w:val="auto"/>
                <w:szCs w:val="21"/>
              </w:rPr>
              <w:t>）</w:t>
            </w:r>
          </w:p>
          <w:p>
            <w:pPr>
              <w:numPr>
                <w:ilvl w:val="0"/>
                <w:numId w:val="5"/>
              </w:numPr>
              <w:snapToGrid w:val="0"/>
              <w:spacing w:line="360" w:lineRule="exact"/>
              <w:ind w:left="0" w:firstLine="420" w:firstLineChars="200"/>
              <w:jc w:val="left"/>
              <w:rPr>
                <w:rFonts w:ascii="宋体" w:hAnsi="宋体"/>
                <w:color w:val="auto"/>
                <w:szCs w:val="21"/>
              </w:rPr>
            </w:pPr>
            <w:r>
              <w:rPr>
                <w:rFonts w:hint="eastAsia" w:ascii="宋体" w:hAnsi="宋体" w:cs="宋体"/>
                <w:color w:val="auto"/>
                <w:szCs w:val="21"/>
              </w:rPr>
              <w:t>投标人依法缴纳社会保障资金的相关材料[</w:t>
            </w:r>
            <w:r>
              <w:rPr>
                <w:rFonts w:hint="eastAsia" w:ascii="宋体" w:hAnsi="宋体" w:cs="宋体"/>
                <w:color w:val="auto"/>
                <w:szCs w:val="21"/>
                <w:u w:val="single"/>
              </w:rPr>
              <w:t>2022</w:t>
            </w:r>
            <w:r>
              <w:rPr>
                <w:rFonts w:hint="eastAsia" w:ascii="宋体" w:hAnsi="宋体" w:cs="宋体"/>
                <w:color w:val="auto"/>
                <w:szCs w:val="21"/>
              </w:rPr>
              <w:t>年</w:t>
            </w:r>
            <w:r>
              <w:rPr>
                <w:rFonts w:hint="eastAsia" w:ascii="宋体" w:hAnsi="宋体" w:cs="宋体"/>
                <w:color w:val="auto"/>
                <w:szCs w:val="21"/>
                <w:u w:val="single"/>
              </w:rPr>
              <w:t>4</w:t>
            </w:r>
            <w:r>
              <w:rPr>
                <w:rFonts w:hint="eastAsia" w:ascii="宋体" w:hAnsi="宋体" w:cs="宋体"/>
                <w:color w:val="auto"/>
                <w:szCs w:val="21"/>
              </w:rPr>
              <w:t>月至</w:t>
            </w:r>
            <w:r>
              <w:rPr>
                <w:rFonts w:hint="eastAsia" w:ascii="宋体" w:hAnsi="宋体" w:cs="宋体"/>
                <w:color w:val="auto"/>
                <w:szCs w:val="21"/>
                <w:u w:val="single"/>
              </w:rPr>
              <w:t xml:space="preserve"> 2022 </w:t>
            </w:r>
            <w:r>
              <w:rPr>
                <w:rFonts w:hint="eastAsia" w:ascii="宋体" w:hAnsi="宋体" w:cs="宋体"/>
                <w:color w:val="auto"/>
                <w:szCs w:val="21"/>
              </w:rPr>
              <w:t>年</w:t>
            </w:r>
            <w:r>
              <w:rPr>
                <w:rFonts w:hint="eastAsia" w:ascii="宋体" w:hAnsi="宋体" w:cs="宋体"/>
                <w:color w:val="auto"/>
                <w:szCs w:val="21"/>
                <w:u w:val="single"/>
              </w:rPr>
              <w:t>9</w:t>
            </w:r>
            <w:r>
              <w:rPr>
                <w:rFonts w:hint="eastAsia" w:ascii="宋体" w:hAnsi="宋体" w:cs="宋体"/>
                <w:color w:val="auto"/>
                <w:szCs w:val="21"/>
              </w:rPr>
              <w:t>月内连续</w:t>
            </w:r>
            <w:r>
              <w:rPr>
                <w:rFonts w:hint="eastAsia" w:ascii="宋体" w:hAnsi="宋体" w:cs="宋体"/>
                <w:color w:val="auto"/>
                <w:szCs w:val="21"/>
                <w:u w:val="single"/>
              </w:rPr>
              <w:t xml:space="preserve"> 3 </w:t>
            </w:r>
            <w:r>
              <w:rPr>
                <w:rFonts w:hint="eastAsia" w:ascii="宋体" w:hAnsi="宋体" w:cs="宋体"/>
                <w:color w:val="auto"/>
                <w:szCs w:val="21"/>
              </w:rPr>
              <w:t>个月的依法缴纳社会保障资金的缴费凭证（专用收据或者社会保险缴纳清单）复印件；</w:t>
            </w:r>
            <w:r>
              <w:rPr>
                <w:rFonts w:hint="eastAsia" w:ascii="宋体" w:hAnsi="宋体"/>
                <w:color w:val="auto"/>
                <w:szCs w:val="21"/>
              </w:rPr>
              <w:t>依法不需要缴纳社会保障资金的供应商，必须提供相应文件证明不需要缴纳社会保障资金。</w:t>
            </w:r>
            <w:r>
              <w:rPr>
                <w:rFonts w:hint="eastAsia" w:ascii="宋体" w:hAnsi="宋体" w:cs="宋体"/>
                <w:color w:val="auto"/>
                <w:szCs w:val="21"/>
              </w:rPr>
              <w:t>从取得营业执照时间起到投标文件提交截止时间为止不足要求月数的只需提供从取得营业执照起的依法缴纳社会保障资金的</w:t>
            </w:r>
            <w:r>
              <w:rPr>
                <w:rFonts w:hint="eastAsia" w:ascii="宋体" w:hAnsi="宋体"/>
                <w:color w:val="auto"/>
                <w:szCs w:val="21"/>
              </w:rPr>
              <w:t>相应证明文件</w:t>
            </w:r>
            <w:r>
              <w:rPr>
                <w:rFonts w:hint="eastAsia" w:ascii="宋体" w:hAnsi="宋体" w:cs="宋体"/>
                <w:color w:val="auto"/>
                <w:szCs w:val="21"/>
              </w:rPr>
              <w:t>]</w:t>
            </w:r>
            <w:r>
              <w:rPr>
                <w:rFonts w:hint="eastAsia" w:ascii="宋体" w:hAnsi="宋体"/>
                <w:color w:val="auto"/>
                <w:szCs w:val="21"/>
              </w:rPr>
              <w:t>；（</w:t>
            </w:r>
            <w:r>
              <w:rPr>
                <w:rFonts w:hint="eastAsia" w:ascii="宋体" w:hAnsi="宋体"/>
                <w:b/>
                <w:color w:val="auto"/>
                <w:szCs w:val="21"/>
              </w:rPr>
              <w:t>必须提供，否则作无效投标处理</w:t>
            </w:r>
            <w:r>
              <w:rPr>
                <w:rFonts w:hint="eastAsia" w:ascii="宋体" w:hAnsi="宋体"/>
                <w:color w:val="auto"/>
                <w:szCs w:val="21"/>
              </w:rPr>
              <w:t>）</w:t>
            </w:r>
          </w:p>
          <w:p>
            <w:pPr>
              <w:numPr>
                <w:ilvl w:val="0"/>
                <w:numId w:val="5"/>
              </w:numPr>
              <w:snapToGrid w:val="0"/>
              <w:spacing w:line="360" w:lineRule="exact"/>
              <w:ind w:left="0" w:firstLine="420" w:firstLineChars="200"/>
              <w:jc w:val="left"/>
              <w:rPr>
                <w:rFonts w:ascii="宋体" w:hAnsi="宋体" w:cs="宋体"/>
                <w:color w:val="auto"/>
                <w:szCs w:val="21"/>
              </w:rPr>
            </w:pPr>
            <w:r>
              <w:rPr>
                <w:rFonts w:hint="eastAsia" w:ascii="宋体" w:hAnsi="宋体" w:cs="宋体"/>
                <w:color w:val="auto"/>
                <w:szCs w:val="21"/>
              </w:rPr>
              <w:t>投标人财务状况材料，应提供2020年度或2021年度经审计的完整的财务报告或者银行出具的资信证明。新成立不足一年的，提供成立以来的财务情况报告。（</w:t>
            </w:r>
            <w:r>
              <w:rPr>
                <w:rFonts w:hint="eastAsia" w:ascii="宋体" w:hAnsi="宋体" w:cs="宋体"/>
                <w:b/>
                <w:color w:val="auto"/>
                <w:szCs w:val="21"/>
              </w:rPr>
              <w:t>必须提供，否则作无效投标处理</w:t>
            </w:r>
            <w:r>
              <w:rPr>
                <w:rFonts w:hint="eastAsia" w:ascii="宋体" w:hAnsi="宋体" w:cs="宋体"/>
                <w:color w:val="auto"/>
                <w:szCs w:val="21"/>
              </w:rPr>
              <w:t>）</w:t>
            </w:r>
          </w:p>
          <w:p>
            <w:pPr>
              <w:numPr>
                <w:ilvl w:val="0"/>
                <w:numId w:val="5"/>
              </w:numPr>
              <w:snapToGrid w:val="0"/>
              <w:spacing w:line="360" w:lineRule="exact"/>
              <w:ind w:left="0" w:firstLine="420" w:firstLineChars="200"/>
              <w:jc w:val="left"/>
              <w:rPr>
                <w:rFonts w:ascii="宋体" w:hAnsi="宋体"/>
                <w:color w:val="auto"/>
                <w:szCs w:val="21"/>
              </w:rPr>
            </w:pPr>
            <w:r>
              <w:rPr>
                <w:rFonts w:hint="eastAsia" w:ascii="宋体" w:hAnsi="宋体"/>
                <w:color w:val="auto"/>
                <w:szCs w:val="21"/>
              </w:rPr>
              <w:t>投标人直接控股、管理关系信息表（格式后附）；（</w:t>
            </w:r>
            <w:r>
              <w:rPr>
                <w:rFonts w:hint="eastAsia" w:ascii="宋体" w:hAnsi="宋体"/>
                <w:b/>
                <w:color w:val="auto"/>
                <w:szCs w:val="21"/>
              </w:rPr>
              <w:t>必须提供，否则作无效投标处理</w:t>
            </w:r>
            <w:r>
              <w:rPr>
                <w:rFonts w:hint="eastAsia" w:ascii="宋体" w:hAnsi="宋体"/>
                <w:color w:val="auto"/>
                <w:szCs w:val="21"/>
              </w:rPr>
              <w:t>）</w:t>
            </w:r>
          </w:p>
          <w:p>
            <w:pPr>
              <w:numPr>
                <w:ilvl w:val="0"/>
                <w:numId w:val="5"/>
              </w:numPr>
              <w:snapToGrid w:val="0"/>
              <w:spacing w:line="360" w:lineRule="exact"/>
              <w:ind w:left="0" w:firstLine="420" w:firstLineChars="200"/>
              <w:jc w:val="left"/>
              <w:rPr>
                <w:rFonts w:ascii="宋体" w:hAnsi="宋体"/>
                <w:color w:val="auto"/>
                <w:szCs w:val="21"/>
              </w:rPr>
            </w:pPr>
            <w:r>
              <w:rPr>
                <w:rFonts w:hint="eastAsia" w:ascii="宋体" w:hAnsi="宋体"/>
                <w:color w:val="auto"/>
                <w:szCs w:val="21"/>
              </w:rPr>
              <w:t>投标声明（格式后附）；（</w:t>
            </w:r>
            <w:r>
              <w:rPr>
                <w:rFonts w:hint="eastAsia" w:ascii="宋体" w:hAnsi="宋体"/>
                <w:b/>
                <w:color w:val="auto"/>
                <w:szCs w:val="21"/>
              </w:rPr>
              <w:t>必须提供，否则作无效投标处理</w:t>
            </w:r>
            <w:r>
              <w:rPr>
                <w:rFonts w:hint="eastAsia" w:ascii="宋体" w:hAnsi="宋体"/>
                <w:color w:val="auto"/>
                <w:szCs w:val="21"/>
              </w:rPr>
              <w:t>）</w:t>
            </w:r>
          </w:p>
          <w:p>
            <w:pPr>
              <w:numPr>
                <w:ilvl w:val="0"/>
                <w:numId w:val="5"/>
              </w:numPr>
              <w:snapToGrid w:val="0"/>
              <w:spacing w:line="360" w:lineRule="exact"/>
              <w:ind w:left="0" w:firstLine="420" w:firstLineChars="200"/>
              <w:jc w:val="left"/>
              <w:rPr>
                <w:rFonts w:ascii="宋体" w:hAnsi="宋体"/>
                <w:color w:val="auto"/>
                <w:szCs w:val="21"/>
              </w:rPr>
            </w:pPr>
            <w:r>
              <w:rPr>
                <w:rFonts w:hint="eastAsia" w:ascii="宋体" w:hAnsi="宋体"/>
                <w:color w:val="auto"/>
                <w:szCs w:val="21"/>
              </w:rPr>
              <w:t>中小企业声明函；【</w:t>
            </w:r>
            <w:r>
              <w:rPr>
                <w:rFonts w:hint="eastAsia" w:ascii="宋体" w:hAnsi="宋体"/>
                <w:b/>
                <w:color w:val="auto"/>
                <w:szCs w:val="21"/>
              </w:rPr>
              <w:t>本项目如为专门面向中小企业（或者小型、微型企业）采购时必须提供，否则作无效投标处理</w:t>
            </w:r>
            <w:r>
              <w:rPr>
                <w:rFonts w:hint="eastAsia" w:ascii="宋体" w:hAnsi="宋体"/>
                <w:color w:val="auto"/>
                <w:szCs w:val="21"/>
              </w:rPr>
              <w:t>】</w:t>
            </w:r>
          </w:p>
          <w:p>
            <w:pPr>
              <w:numPr>
                <w:ilvl w:val="0"/>
                <w:numId w:val="5"/>
              </w:numPr>
              <w:snapToGrid w:val="0"/>
              <w:spacing w:line="360" w:lineRule="exact"/>
              <w:ind w:left="0" w:firstLine="420" w:firstLineChars="200"/>
              <w:jc w:val="left"/>
              <w:rPr>
                <w:rFonts w:ascii="宋体" w:hAnsi="宋体"/>
                <w:color w:val="auto"/>
                <w:szCs w:val="21"/>
              </w:rPr>
            </w:pPr>
            <w:r>
              <w:rPr>
                <w:rFonts w:hint="eastAsia" w:ascii="宋体" w:hAnsi="宋体"/>
                <w:color w:val="auto"/>
                <w:szCs w:val="21"/>
              </w:rPr>
              <w:t>除招标文件规定必须提供以外，投标人认为需要提供的其他证明材料。</w:t>
            </w:r>
          </w:p>
          <w:p>
            <w:pPr>
              <w:snapToGrid w:val="0"/>
              <w:spacing w:line="360" w:lineRule="exact"/>
              <w:ind w:firstLine="422" w:firstLineChars="200"/>
              <w:jc w:val="left"/>
              <w:rPr>
                <w:rFonts w:ascii="宋体" w:hAnsi="宋体"/>
                <w:b/>
                <w:bCs/>
                <w:color w:val="auto"/>
                <w:szCs w:val="21"/>
              </w:rPr>
            </w:pPr>
            <w:r>
              <w:rPr>
                <w:rFonts w:hint="eastAsia" w:ascii="宋体" w:hAnsi="宋体"/>
                <w:b/>
                <w:bCs/>
                <w:color w:val="auto"/>
                <w:szCs w:val="21"/>
              </w:rPr>
              <w:t>注：</w:t>
            </w:r>
          </w:p>
          <w:p>
            <w:pPr>
              <w:snapToGrid w:val="0"/>
              <w:spacing w:line="360" w:lineRule="exact"/>
              <w:ind w:firstLine="422" w:firstLineChars="200"/>
              <w:jc w:val="left"/>
              <w:rPr>
                <w:rFonts w:ascii="宋体" w:hAnsi="宋体" w:cs="Courier New"/>
                <w:b/>
                <w:color w:val="auto"/>
                <w:szCs w:val="21"/>
              </w:rPr>
            </w:pPr>
            <w:r>
              <w:rPr>
                <w:rFonts w:hint="eastAsia" w:ascii="宋体" w:hAnsi="宋体"/>
                <w:b/>
                <w:bCs/>
                <w:color w:val="auto"/>
                <w:szCs w:val="21"/>
              </w:rPr>
              <w:t>1.</w:t>
            </w:r>
            <w:r>
              <w:rPr>
                <w:rFonts w:hint="eastAsia" w:ascii="宋体" w:hAnsi="宋体"/>
                <w:color w:val="auto"/>
                <w:szCs w:val="21"/>
              </w:rPr>
              <w:t xml:space="preserve"> </w:t>
            </w:r>
            <w:r>
              <w:rPr>
                <w:rFonts w:hint="eastAsia" w:ascii="宋体" w:hAnsi="宋体"/>
                <w:b/>
                <w:bCs/>
                <w:color w:val="auto"/>
                <w:szCs w:val="21"/>
              </w:rPr>
              <w:t>以上标明“必须提供”的材料属于复印件的，必须加盖投标人公章，否则</w:t>
            </w:r>
            <w:r>
              <w:rPr>
                <w:rFonts w:hint="eastAsia" w:ascii="宋体" w:hAnsi="宋体" w:cs="Courier New"/>
                <w:b/>
                <w:color w:val="auto"/>
                <w:szCs w:val="21"/>
              </w:rPr>
              <w:t>作无效投标处理。</w:t>
            </w:r>
          </w:p>
          <w:p>
            <w:pPr>
              <w:snapToGrid w:val="0"/>
              <w:spacing w:line="360" w:lineRule="exact"/>
              <w:ind w:firstLine="422" w:firstLineChars="200"/>
              <w:jc w:val="left"/>
              <w:rPr>
                <w:rFonts w:ascii="宋体" w:hAnsi="宋体"/>
                <w:b/>
                <w:bCs/>
                <w:color w:val="auto"/>
                <w:szCs w:val="21"/>
              </w:rPr>
            </w:pPr>
            <w:r>
              <w:rPr>
                <w:rFonts w:hint="eastAsia" w:ascii="宋体" w:hAnsi="宋体" w:cs="Courier New"/>
                <w:b/>
                <w:color w:val="auto"/>
                <w:szCs w:val="21"/>
              </w:rPr>
              <w:t>2.</w:t>
            </w:r>
            <w:r>
              <w:rPr>
                <w:rFonts w:hint="eastAsia" w:ascii="宋体" w:hAnsi="宋体" w:cs="Courier New"/>
                <w:b/>
                <w:color w:val="auto"/>
                <w:szCs w:val="21"/>
                <w:lang w:val="en-US" w:eastAsia="zh-CN"/>
              </w:rPr>
              <w:t xml:space="preserve"> </w:t>
            </w:r>
            <w:r>
              <w:rPr>
                <w:rFonts w:hint="eastAsia" w:ascii="宋体" w:hAnsi="宋体"/>
                <w:b/>
                <w:bCs/>
                <w:color w:val="auto"/>
                <w:szCs w:val="21"/>
              </w:rPr>
              <w:t>投标声明必须由法定代表人在规定签章处签字并加盖投标人公章，否则作无效投标处理。</w:t>
            </w:r>
          </w:p>
          <w:p>
            <w:pPr>
              <w:snapToGrid w:val="0"/>
              <w:spacing w:line="360" w:lineRule="exact"/>
              <w:ind w:firstLine="422" w:firstLineChars="200"/>
              <w:jc w:val="left"/>
              <w:rPr>
                <w:rFonts w:ascii="宋体" w:hAnsi="宋体"/>
                <w:b/>
                <w:bCs/>
                <w:color w:val="auto"/>
                <w:szCs w:val="21"/>
              </w:rPr>
            </w:pPr>
            <w:r>
              <w:rPr>
                <w:rFonts w:hint="eastAsia" w:ascii="宋体" w:hAnsi="宋体"/>
                <w:b/>
                <w:bCs/>
                <w:color w:val="auto"/>
                <w:szCs w:val="21"/>
              </w:rPr>
              <w:t>3.</w:t>
            </w:r>
            <w:r>
              <w:rPr>
                <w:rFonts w:hint="eastAsia" w:ascii="宋体" w:hAnsi="宋体"/>
                <w:b/>
                <w:bCs/>
                <w:color w:val="auto"/>
                <w:szCs w:val="21"/>
                <w:lang w:val="en-US" w:eastAsia="zh-CN"/>
              </w:rPr>
              <w:t xml:space="preserve"> </w:t>
            </w:r>
            <w:r>
              <w:rPr>
                <w:rFonts w:hint="eastAsia" w:ascii="宋体" w:hAnsi="宋体"/>
                <w:b/>
                <w:bCs/>
                <w:color w:val="auto"/>
                <w:szCs w:val="21"/>
              </w:rPr>
              <w:t>投标人直接控股、管理关系信息表必须由法定代表人或者委托代理人在规定签章处签字并加盖投标人公章，否则</w:t>
            </w:r>
            <w:r>
              <w:rPr>
                <w:rFonts w:hint="eastAsia" w:ascii="宋体" w:hAnsi="宋体" w:cs="Courier New"/>
                <w:b/>
                <w:color w:val="auto"/>
                <w:szCs w:val="21"/>
              </w:rPr>
              <w:t>作无效投标处理</w:t>
            </w:r>
            <w:r>
              <w:rPr>
                <w:rFonts w:hint="eastAsia" w:ascii="宋体" w:hAnsi="宋体"/>
                <w:b/>
                <w:bCs/>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center"/>
          </w:tcPr>
          <w:p>
            <w:pPr>
              <w:spacing w:line="360" w:lineRule="exact"/>
              <w:rPr>
                <w:rFonts w:ascii="宋体" w:hAnsi="宋体"/>
                <w:color w:val="auto"/>
                <w:szCs w:val="21"/>
              </w:rPr>
            </w:pPr>
            <w:bookmarkStart w:id="62" w:name="_13.3"/>
            <w:bookmarkEnd w:id="62"/>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Courier New"/>
                <w:b/>
                <w:color w:val="auto"/>
                <w:szCs w:val="21"/>
              </w:rPr>
            </w:pPr>
            <w:r>
              <w:rPr>
                <w:rFonts w:hint="eastAsia" w:ascii="宋体" w:hAnsi="宋体" w:cs="Courier New"/>
                <w:b/>
                <w:color w:val="auto"/>
                <w:szCs w:val="21"/>
              </w:rPr>
              <w:t>商务文件</w:t>
            </w:r>
            <w:r>
              <w:rPr>
                <w:rFonts w:ascii="宋体" w:hAnsi="宋体"/>
                <w:b/>
                <w:color w:val="auto"/>
                <w:szCs w:val="21"/>
              </w:rPr>
              <w:t>【</w:t>
            </w:r>
            <w:r>
              <w:rPr>
                <w:rFonts w:ascii="宋体" w:hAnsi="宋体"/>
                <w:b/>
                <w:color w:val="auto"/>
                <w:szCs w:val="21"/>
                <w:u w:val="single"/>
              </w:rPr>
              <w:t>第1至</w:t>
            </w:r>
            <w:r>
              <w:rPr>
                <w:rFonts w:hint="eastAsia" w:ascii="宋体" w:hAnsi="宋体"/>
                <w:b/>
                <w:color w:val="auto"/>
                <w:szCs w:val="21"/>
                <w:u w:val="single"/>
              </w:rPr>
              <w:t>5</w:t>
            </w:r>
            <w:r>
              <w:rPr>
                <w:rFonts w:ascii="宋体" w:hAnsi="宋体"/>
                <w:b/>
                <w:color w:val="auto"/>
                <w:szCs w:val="21"/>
                <w:u w:val="single"/>
              </w:rPr>
              <w:t>项为必须提供</w:t>
            </w:r>
            <w:r>
              <w:rPr>
                <w:rFonts w:ascii="宋体" w:hAnsi="宋体"/>
                <w:b/>
                <w:color w:val="auto"/>
                <w:szCs w:val="21"/>
              </w:rPr>
              <w:t>，</w:t>
            </w:r>
            <w:r>
              <w:rPr>
                <w:rFonts w:hint="eastAsia" w:ascii="宋体" w:hAnsi="宋体"/>
                <w:b/>
                <w:color w:val="auto"/>
                <w:szCs w:val="21"/>
              </w:rPr>
              <w:t>其中</w:t>
            </w:r>
            <w:r>
              <w:rPr>
                <w:rFonts w:hint="eastAsia" w:ascii="宋体" w:hAnsi="宋体" w:cs="Courier New"/>
                <w:b/>
                <w:color w:val="auto"/>
                <w:szCs w:val="21"/>
              </w:rPr>
              <w:t>第3项为委托时必须提供，</w:t>
            </w:r>
            <w:r>
              <w:rPr>
                <w:rFonts w:ascii="宋体" w:hAnsi="宋体"/>
                <w:b/>
                <w:color w:val="auto"/>
                <w:szCs w:val="21"/>
              </w:rPr>
              <w:t>否则作投标无效处理。其他如有请提供】</w:t>
            </w:r>
            <w:r>
              <w:rPr>
                <w:rFonts w:hint="eastAsia" w:ascii="宋体" w:hAnsi="宋体" w:cs="Courier New"/>
                <w:b/>
                <w:color w:val="auto"/>
                <w:szCs w:val="21"/>
              </w:rPr>
              <w:t>：</w:t>
            </w:r>
          </w:p>
          <w:p>
            <w:pPr>
              <w:numPr>
                <w:ilvl w:val="0"/>
                <w:numId w:val="6"/>
              </w:numPr>
              <w:snapToGrid w:val="0"/>
              <w:spacing w:line="360" w:lineRule="exact"/>
              <w:ind w:firstLine="420" w:firstLineChars="200"/>
              <w:jc w:val="left"/>
              <w:rPr>
                <w:rFonts w:ascii="宋体" w:hAnsi="宋体"/>
                <w:color w:val="auto"/>
                <w:szCs w:val="21"/>
              </w:rPr>
            </w:pPr>
            <w:r>
              <w:rPr>
                <w:rFonts w:hint="eastAsia" w:ascii="宋体" w:hAnsi="宋体"/>
                <w:color w:val="auto"/>
                <w:szCs w:val="21"/>
              </w:rPr>
              <w:t>无串通投标行为的承诺函（格式后附）；（</w:t>
            </w:r>
            <w:r>
              <w:rPr>
                <w:rFonts w:hint="eastAsia" w:ascii="宋体" w:hAnsi="宋体"/>
                <w:b/>
                <w:color w:val="auto"/>
                <w:szCs w:val="21"/>
              </w:rPr>
              <w:t>必须提供，否则作无效投标处理</w:t>
            </w:r>
            <w:r>
              <w:rPr>
                <w:rFonts w:hint="eastAsia" w:ascii="宋体" w:hAnsi="宋体"/>
                <w:color w:val="auto"/>
                <w:szCs w:val="21"/>
              </w:rPr>
              <w:t>）</w:t>
            </w:r>
          </w:p>
          <w:p>
            <w:pPr>
              <w:numPr>
                <w:ilvl w:val="0"/>
                <w:numId w:val="6"/>
              </w:numPr>
              <w:snapToGrid w:val="0"/>
              <w:spacing w:line="360" w:lineRule="exact"/>
              <w:ind w:firstLine="420" w:firstLineChars="200"/>
              <w:jc w:val="left"/>
              <w:rPr>
                <w:rFonts w:ascii="宋体" w:hAnsi="宋体"/>
                <w:b/>
                <w:bCs/>
                <w:color w:val="auto"/>
                <w:szCs w:val="21"/>
              </w:rPr>
            </w:pPr>
            <w:r>
              <w:rPr>
                <w:rFonts w:hint="eastAsia" w:ascii="宋体" w:hAnsi="宋体"/>
                <w:color w:val="auto"/>
                <w:szCs w:val="21"/>
              </w:rPr>
              <w:t>投标保证金提交凭证；</w:t>
            </w:r>
            <w:r>
              <w:rPr>
                <w:rFonts w:hint="eastAsia" w:ascii="宋体" w:hAnsi="宋体"/>
                <w:b/>
                <w:bCs/>
                <w:color w:val="auto"/>
                <w:szCs w:val="21"/>
              </w:rPr>
              <w:t>（必须提供，否则作无效投标处理）</w:t>
            </w:r>
          </w:p>
          <w:p>
            <w:pPr>
              <w:numPr>
                <w:ilvl w:val="0"/>
                <w:numId w:val="6"/>
              </w:numPr>
              <w:snapToGrid w:val="0"/>
              <w:spacing w:line="360" w:lineRule="exact"/>
              <w:ind w:firstLine="420" w:firstLineChars="200"/>
              <w:jc w:val="left"/>
              <w:rPr>
                <w:rFonts w:ascii="宋体" w:hAnsi="宋体"/>
                <w:color w:val="auto"/>
                <w:szCs w:val="21"/>
              </w:rPr>
            </w:pPr>
            <w:r>
              <w:rPr>
                <w:rFonts w:hint="eastAsia" w:ascii="宋体" w:hAnsi="宋体"/>
                <w:color w:val="auto"/>
                <w:szCs w:val="21"/>
              </w:rPr>
              <w:t>法定代表人身份证明及法定代表人有效身份证正反面复印件（格式后附）；（</w:t>
            </w:r>
            <w:r>
              <w:rPr>
                <w:rFonts w:hint="eastAsia" w:ascii="宋体" w:hAnsi="宋体"/>
                <w:b/>
                <w:color w:val="auto"/>
                <w:szCs w:val="21"/>
              </w:rPr>
              <w:t>必须提供，否则作无效投标处理</w:t>
            </w:r>
            <w:r>
              <w:rPr>
                <w:rFonts w:hint="eastAsia" w:ascii="宋体" w:hAnsi="宋体"/>
                <w:color w:val="auto"/>
                <w:szCs w:val="21"/>
              </w:rPr>
              <w:t>）</w:t>
            </w:r>
          </w:p>
          <w:p>
            <w:pPr>
              <w:numPr>
                <w:ilvl w:val="0"/>
                <w:numId w:val="6"/>
              </w:numPr>
              <w:snapToGrid w:val="0"/>
              <w:spacing w:line="360" w:lineRule="exact"/>
              <w:ind w:firstLine="420" w:firstLineChars="200"/>
              <w:jc w:val="left"/>
              <w:rPr>
                <w:rFonts w:ascii="宋体" w:hAnsi="宋体"/>
                <w:color w:val="auto"/>
                <w:szCs w:val="21"/>
              </w:rPr>
            </w:pPr>
            <w:r>
              <w:rPr>
                <w:rFonts w:hint="eastAsia" w:ascii="宋体" w:hAnsi="宋体"/>
                <w:color w:val="auto"/>
                <w:szCs w:val="21"/>
              </w:rPr>
              <w:t>法定代表人授权委托书及委托代理人有效身份证正反面复印件（格式后附）；（</w:t>
            </w:r>
            <w:r>
              <w:rPr>
                <w:rFonts w:hint="eastAsia" w:ascii="宋体" w:hAnsi="宋体"/>
                <w:b/>
                <w:color w:val="auto"/>
                <w:szCs w:val="21"/>
              </w:rPr>
              <w:t>委托时必须提供，否则作无效投标处理</w:t>
            </w:r>
            <w:r>
              <w:rPr>
                <w:rFonts w:hint="eastAsia" w:ascii="宋体" w:hAnsi="宋体"/>
                <w:color w:val="auto"/>
                <w:szCs w:val="21"/>
              </w:rPr>
              <w:t>）</w:t>
            </w:r>
          </w:p>
          <w:p>
            <w:pPr>
              <w:numPr>
                <w:ilvl w:val="0"/>
                <w:numId w:val="6"/>
              </w:numPr>
              <w:snapToGrid w:val="0"/>
              <w:spacing w:line="360" w:lineRule="exact"/>
              <w:ind w:firstLine="420" w:firstLineChars="200"/>
              <w:jc w:val="left"/>
              <w:rPr>
                <w:rFonts w:ascii="宋体" w:hAnsi="宋体"/>
                <w:color w:val="auto"/>
                <w:szCs w:val="21"/>
              </w:rPr>
            </w:pPr>
            <w:r>
              <w:rPr>
                <w:rFonts w:hint="eastAsia" w:ascii="宋体" w:hAnsi="宋体"/>
                <w:color w:val="auto"/>
                <w:szCs w:val="21"/>
              </w:rPr>
              <w:t>商务条款偏离表（格式后附）；（</w:t>
            </w:r>
            <w:r>
              <w:rPr>
                <w:rFonts w:hint="eastAsia" w:ascii="宋体" w:hAnsi="宋体"/>
                <w:b/>
                <w:color w:val="auto"/>
                <w:szCs w:val="21"/>
              </w:rPr>
              <w:t>必须提供，否则作无效投标处理</w:t>
            </w:r>
            <w:r>
              <w:rPr>
                <w:rFonts w:hint="eastAsia" w:ascii="宋体" w:hAnsi="宋体"/>
                <w:color w:val="auto"/>
                <w:szCs w:val="21"/>
              </w:rPr>
              <w:t>）</w:t>
            </w:r>
          </w:p>
          <w:p>
            <w:pPr>
              <w:numPr>
                <w:ilvl w:val="0"/>
                <w:numId w:val="6"/>
              </w:numPr>
              <w:snapToGrid w:val="0"/>
              <w:spacing w:line="360" w:lineRule="exact"/>
              <w:ind w:firstLine="420" w:firstLineChars="200"/>
              <w:jc w:val="left"/>
              <w:rPr>
                <w:rFonts w:ascii="宋体" w:hAnsi="宋体"/>
                <w:color w:val="auto"/>
                <w:szCs w:val="21"/>
              </w:rPr>
            </w:pPr>
            <w:r>
              <w:rPr>
                <w:rFonts w:hint="eastAsia" w:ascii="宋体" w:hAnsi="宋体"/>
                <w:color w:val="auto"/>
                <w:szCs w:val="21"/>
              </w:rPr>
              <w:t>售后服务承诺（格式自拟）；（</w:t>
            </w:r>
            <w:r>
              <w:rPr>
                <w:rFonts w:hint="eastAsia" w:ascii="宋体" w:hAnsi="宋体"/>
                <w:b/>
                <w:color w:val="auto"/>
                <w:szCs w:val="21"/>
              </w:rPr>
              <w:t>必须提供，否则作无效投标处理</w:t>
            </w:r>
            <w:r>
              <w:rPr>
                <w:rFonts w:hint="eastAsia" w:ascii="宋体" w:hAnsi="宋体"/>
                <w:color w:val="auto"/>
                <w:szCs w:val="21"/>
              </w:rPr>
              <w:t>）</w:t>
            </w:r>
          </w:p>
          <w:p>
            <w:pPr>
              <w:numPr>
                <w:ilvl w:val="0"/>
                <w:numId w:val="6"/>
              </w:numPr>
              <w:snapToGrid w:val="0"/>
              <w:spacing w:line="360" w:lineRule="exact"/>
              <w:ind w:firstLine="420" w:firstLineChars="200"/>
              <w:jc w:val="left"/>
              <w:rPr>
                <w:rFonts w:ascii="宋体" w:hAnsi="宋体"/>
                <w:color w:val="auto"/>
                <w:szCs w:val="21"/>
              </w:rPr>
            </w:pPr>
            <w:r>
              <w:rPr>
                <w:rFonts w:hint="eastAsia" w:ascii="宋体" w:hAnsi="宋体"/>
                <w:color w:val="auto"/>
                <w:szCs w:val="21"/>
              </w:rPr>
              <w:t>投标人情况介绍（格式自拟）；</w:t>
            </w:r>
          </w:p>
          <w:p>
            <w:pPr>
              <w:numPr>
                <w:ilvl w:val="0"/>
                <w:numId w:val="6"/>
              </w:numPr>
              <w:snapToGrid w:val="0"/>
              <w:spacing w:line="360" w:lineRule="exact"/>
              <w:ind w:firstLine="420" w:firstLineChars="200"/>
              <w:jc w:val="left"/>
              <w:rPr>
                <w:rFonts w:ascii="宋体" w:hAnsi="宋体"/>
                <w:b/>
                <w:bCs/>
                <w:color w:val="auto"/>
                <w:szCs w:val="21"/>
              </w:rPr>
            </w:pPr>
            <w:r>
              <w:rPr>
                <w:rFonts w:hint="eastAsia" w:ascii="宋体" w:hAnsi="宋体"/>
                <w:color w:val="auto"/>
                <w:szCs w:val="21"/>
              </w:rPr>
              <w:t>联合体协议书（格式后附）；</w:t>
            </w:r>
            <w:r>
              <w:rPr>
                <w:rFonts w:hint="eastAsia" w:ascii="宋体" w:hAnsi="宋体"/>
                <w:b/>
                <w:bCs/>
                <w:color w:val="auto"/>
                <w:szCs w:val="21"/>
              </w:rPr>
              <w:t>（联合体投标时必须提供，否则作无效投标处理）</w:t>
            </w:r>
          </w:p>
          <w:p>
            <w:pPr>
              <w:numPr>
                <w:ilvl w:val="0"/>
                <w:numId w:val="6"/>
              </w:numPr>
              <w:snapToGrid w:val="0"/>
              <w:spacing w:line="360" w:lineRule="exact"/>
              <w:ind w:firstLine="420" w:firstLineChars="200"/>
              <w:jc w:val="left"/>
              <w:rPr>
                <w:rFonts w:ascii="宋体" w:hAnsi="宋体"/>
                <w:color w:val="auto"/>
                <w:szCs w:val="21"/>
              </w:rPr>
            </w:pPr>
            <w:r>
              <w:rPr>
                <w:rFonts w:hint="eastAsia" w:ascii="宋体" w:hAnsi="宋体"/>
                <w:color w:val="auto"/>
                <w:szCs w:val="21"/>
              </w:rPr>
              <w:t>除招标文件规定必须提供以外，投标人认为需要提供的其他证明材料（格式自拟）。（投标人根据“第二章 采购需求”及“第四章 评标方法及评标标准”提供有关证明材料）。</w:t>
            </w:r>
          </w:p>
          <w:p>
            <w:pPr>
              <w:snapToGrid w:val="0"/>
              <w:spacing w:line="360" w:lineRule="exact"/>
              <w:ind w:firstLine="422" w:firstLineChars="200"/>
              <w:jc w:val="left"/>
              <w:rPr>
                <w:rFonts w:ascii="宋体" w:hAnsi="宋体"/>
                <w:b/>
                <w:bCs/>
                <w:color w:val="auto"/>
                <w:szCs w:val="21"/>
              </w:rPr>
            </w:pPr>
            <w:r>
              <w:rPr>
                <w:rFonts w:hint="eastAsia" w:ascii="宋体" w:hAnsi="宋体"/>
                <w:b/>
                <w:bCs/>
                <w:color w:val="auto"/>
                <w:szCs w:val="21"/>
              </w:rPr>
              <w:t>注： 1.法定代表人授权委托书必须由法定代表人及委托代理人签字，并加盖投标人公章，否则作无效投标处理。</w:t>
            </w:r>
          </w:p>
          <w:p>
            <w:pPr>
              <w:snapToGrid w:val="0"/>
              <w:spacing w:line="360" w:lineRule="exact"/>
              <w:ind w:firstLine="422" w:firstLineChars="200"/>
              <w:jc w:val="left"/>
              <w:rPr>
                <w:rFonts w:ascii="宋体" w:hAnsi="宋体" w:cs="Courier New"/>
                <w:b/>
                <w:color w:val="auto"/>
                <w:szCs w:val="21"/>
              </w:rPr>
            </w:pPr>
            <w:r>
              <w:rPr>
                <w:rFonts w:hint="eastAsia" w:ascii="宋体" w:hAnsi="宋体"/>
                <w:b/>
                <w:bCs/>
                <w:color w:val="auto"/>
                <w:szCs w:val="21"/>
              </w:rPr>
              <w:t>2.</w:t>
            </w:r>
            <w:r>
              <w:rPr>
                <w:rFonts w:hint="eastAsia" w:ascii="宋体" w:hAnsi="宋体"/>
                <w:color w:val="auto"/>
                <w:szCs w:val="21"/>
              </w:rPr>
              <w:t xml:space="preserve"> </w:t>
            </w:r>
            <w:r>
              <w:rPr>
                <w:rFonts w:hint="eastAsia" w:ascii="宋体" w:hAnsi="宋体"/>
                <w:b/>
                <w:bCs/>
                <w:color w:val="auto"/>
                <w:szCs w:val="21"/>
              </w:rPr>
              <w:t>以上标明“必须提供”的材料属于复印件的，必须加盖投标人公章，否则</w:t>
            </w:r>
            <w:r>
              <w:rPr>
                <w:rFonts w:hint="eastAsia" w:ascii="宋体" w:hAnsi="宋体" w:cs="Courier New"/>
                <w:b/>
                <w:color w:val="auto"/>
                <w:szCs w:val="21"/>
              </w:rPr>
              <w:t>作无效投标处理</w:t>
            </w:r>
            <w:r>
              <w:rPr>
                <w:rFonts w:hint="eastAsia" w:ascii="宋体" w:hAnsi="宋体"/>
                <w:b/>
                <w:bCs/>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vAlign w:val="center"/>
          </w:tcPr>
          <w:p>
            <w:pPr>
              <w:spacing w:line="360" w:lineRule="exact"/>
              <w:rPr>
                <w:rFonts w:ascii="宋体" w:hAnsi="宋体"/>
                <w:color w:val="auto"/>
                <w:szCs w:val="21"/>
              </w:rPr>
            </w:pPr>
            <w:bookmarkStart w:id="63" w:name="_13.4"/>
            <w:bookmarkEnd w:id="63"/>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宋体" w:hAnsi="宋体" w:cs="Courier New"/>
                <w:b/>
                <w:color w:val="auto"/>
                <w:szCs w:val="21"/>
              </w:rPr>
            </w:pPr>
            <w:r>
              <w:rPr>
                <w:rFonts w:hint="eastAsia" w:ascii="宋体" w:hAnsi="宋体" w:cs="Courier New"/>
                <w:b/>
                <w:color w:val="auto"/>
                <w:szCs w:val="21"/>
              </w:rPr>
              <w:t>技术文件</w:t>
            </w:r>
            <w:r>
              <w:rPr>
                <w:rFonts w:ascii="宋体" w:hAnsi="宋体"/>
                <w:b/>
                <w:color w:val="auto"/>
                <w:szCs w:val="21"/>
              </w:rPr>
              <w:t>【</w:t>
            </w:r>
            <w:r>
              <w:rPr>
                <w:rFonts w:ascii="宋体" w:hAnsi="宋体"/>
                <w:b/>
                <w:color w:val="auto"/>
                <w:szCs w:val="21"/>
                <w:u w:val="single"/>
              </w:rPr>
              <w:t>第</w:t>
            </w:r>
            <w:r>
              <w:rPr>
                <w:rFonts w:hint="eastAsia" w:ascii="宋体" w:hAnsi="宋体"/>
                <w:b/>
                <w:color w:val="auto"/>
                <w:szCs w:val="21"/>
                <w:u w:val="single"/>
              </w:rPr>
              <w:t>1、2</w:t>
            </w:r>
            <w:r>
              <w:rPr>
                <w:rFonts w:ascii="宋体" w:hAnsi="宋体"/>
                <w:b/>
                <w:color w:val="auto"/>
                <w:szCs w:val="21"/>
                <w:u w:val="single"/>
              </w:rPr>
              <w:t>项为必须提供</w:t>
            </w:r>
            <w:r>
              <w:rPr>
                <w:rFonts w:ascii="宋体" w:hAnsi="宋体"/>
                <w:b/>
                <w:color w:val="auto"/>
                <w:szCs w:val="21"/>
              </w:rPr>
              <w:t>，否则作投标无效处理。其他如有请提供】</w:t>
            </w:r>
            <w:r>
              <w:rPr>
                <w:rFonts w:hint="eastAsia" w:ascii="宋体" w:hAnsi="宋体" w:cs="Courier New"/>
                <w:b/>
                <w:color w:val="auto"/>
                <w:szCs w:val="21"/>
              </w:rPr>
              <w:t>：</w:t>
            </w:r>
          </w:p>
          <w:p>
            <w:pPr>
              <w:numPr>
                <w:ilvl w:val="0"/>
                <w:numId w:val="7"/>
              </w:numPr>
              <w:snapToGrid w:val="0"/>
              <w:spacing w:line="360" w:lineRule="exact"/>
              <w:ind w:firstLine="420" w:firstLineChars="200"/>
              <w:jc w:val="left"/>
              <w:rPr>
                <w:rFonts w:ascii="宋体" w:hAnsi="宋体"/>
                <w:color w:val="auto"/>
                <w:szCs w:val="21"/>
              </w:rPr>
            </w:pPr>
            <w:r>
              <w:rPr>
                <w:rFonts w:hint="eastAsia" w:ascii="宋体" w:hAnsi="宋体"/>
                <w:color w:val="auto"/>
                <w:szCs w:val="21"/>
              </w:rPr>
              <w:t>设备性能配置清单（格式后附）；（</w:t>
            </w:r>
            <w:r>
              <w:rPr>
                <w:rFonts w:hint="eastAsia" w:ascii="宋体" w:hAnsi="宋体"/>
                <w:b/>
                <w:color w:val="auto"/>
                <w:szCs w:val="21"/>
              </w:rPr>
              <w:t>必须提供，否则作无效投标处理</w:t>
            </w:r>
            <w:r>
              <w:rPr>
                <w:rFonts w:hint="eastAsia" w:ascii="宋体" w:hAnsi="宋体"/>
                <w:color w:val="auto"/>
                <w:szCs w:val="21"/>
              </w:rPr>
              <w:t>）</w:t>
            </w:r>
          </w:p>
          <w:p>
            <w:pPr>
              <w:numPr>
                <w:ilvl w:val="0"/>
                <w:numId w:val="7"/>
              </w:numPr>
              <w:snapToGrid w:val="0"/>
              <w:spacing w:line="360" w:lineRule="exact"/>
              <w:ind w:firstLine="420" w:firstLineChars="200"/>
              <w:jc w:val="left"/>
              <w:rPr>
                <w:rFonts w:ascii="宋体" w:hAnsi="宋体"/>
                <w:color w:val="auto"/>
                <w:szCs w:val="21"/>
              </w:rPr>
            </w:pPr>
            <w:r>
              <w:rPr>
                <w:rFonts w:hint="eastAsia" w:ascii="宋体" w:hAnsi="宋体"/>
                <w:color w:val="auto"/>
                <w:szCs w:val="21"/>
              </w:rPr>
              <w:t>技术偏离表（格式后附）；（</w:t>
            </w:r>
            <w:r>
              <w:rPr>
                <w:rFonts w:hint="eastAsia" w:ascii="宋体" w:hAnsi="宋体"/>
                <w:b/>
                <w:color w:val="auto"/>
                <w:szCs w:val="21"/>
              </w:rPr>
              <w:t>必须提供，否则作无效投标处理</w:t>
            </w:r>
            <w:r>
              <w:rPr>
                <w:rFonts w:hint="eastAsia" w:ascii="宋体" w:hAnsi="宋体"/>
                <w:color w:val="auto"/>
                <w:szCs w:val="21"/>
              </w:rPr>
              <w:t>）</w:t>
            </w:r>
          </w:p>
          <w:p>
            <w:pPr>
              <w:numPr>
                <w:ilvl w:val="0"/>
                <w:numId w:val="7"/>
              </w:numPr>
              <w:snapToGrid w:val="0"/>
              <w:spacing w:line="360" w:lineRule="exact"/>
              <w:ind w:firstLine="420" w:firstLineChars="200"/>
              <w:jc w:val="left"/>
              <w:rPr>
                <w:rFonts w:ascii="宋体" w:hAnsi="宋体"/>
                <w:color w:val="auto"/>
                <w:szCs w:val="21"/>
              </w:rPr>
            </w:pPr>
            <w:r>
              <w:rPr>
                <w:rFonts w:hint="eastAsia" w:ascii="宋体" w:hAnsi="宋体"/>
                <w:color w:val="auto"/>
                <w:szCs w:val="21"/>
              </w:rPr>
              <w:t>项目实施方案（格式自拟）【项目前期准备、项目实施计划（项目实施人员一览表（格式后附）、技术服务、技术培训的内容和措施）】；</w:t>
            </w:r>
          </w:p>
          <w:p>
            <w:pPr>
              <w:numPr>
                <w:ilvl w:val="0"/>
                <w:numId w:val="7"/>
              </w:numPr>
              <w:snapToGrid w:val="0"/>
              <w:spacing w:line="360" w:lineRule="exact"/>
              <w:ind w:firstLine="420" w:firstLineChars="200"/>
              <w:jc w:val="left"/>
              <w:rPr>
                <w:rFonts w:ascii="宋体" w:hAnsi="宋体"/>
                <w:color w:val="auto"/>
                <w:szCs w:val="21"/>
              </w:rPr>
            </w:pPr>
            <w:r>
              <w:rPr>
                <w:rFonts w:hint="eastAsia" w:ascii="宋体" w:hAnsi="宋体"/>
                <w:color w:val="auto"/>
                <w:szCs w:val="21"/>
              </w:rPr>
              <w:t>对本项目系统总体要求的理解。包括：功能说明、性能指标及设备选型说明（质量、性能、价格、外观、体积等方面进行比较和选择的理由及过程，格式自拟）；</w:t>
            </w:r>
          </w:p>
          <w:p>
            <w:pPr>
              <w:numPr>
                <w:ilvl w:val="0"/>
                <w:numId w:val="7"/>
              </w:numPr>
              <w:snapToGrid w:val="0"/>
              <w:spacing w:line="360" w:lineRule="exact"/>
              <w:ind w:firstLine="420" w:firstLineChars="200"/>
              <w:jc w:val="left"/>
              <w:rPr>
                <w:rFonts w:ascii="宋体" w:hAnsi="宋体"/>
                <w:color w:val="auto"/>
                <w:szCs w:val="21"/>
              </w:rPr>
            </w:pPr>
            <w:r>
              <w:rPr>
                <w:rFonts w:hint="eastAsia" w:ascii="宋体" w:hAnsi="宋体"/>
                <w:color w:val="auto"/>
                <w:szCs w:val="21"/>
              </w:rPr>
              <w:t>产品出厂标准、质量检测报告</w:t>
            </w:r>
          </w:p>
          <w:p>
            <w:pPr>
              <w:numPr>
                <w:ilvl w:val="0"/>
                <w:numId w:val="7"/>
              </w:numPr>
              <w:snapToGrid w:val="0"/>
              <w:spacing w:line="360" w:lineRule="exact"/>
              <w:ind w:firstLine="420" w:firstLineChars="200"/>
              <w:jc w:val="left"/>
              <w:rPr>
                <w:rFonts w:ascii="宋体" w:hAnsi="宋体"/>
                <w:color w:val="auto"/>
                <w:szCs w:val="21"/>
              </w:rPr>
            </w:pPr>
            <w:r>
              <w:rPr>
                <w:rFonts w:hint="eastAsia" w:ascii="宋体" w:hAnsi="宋体"/>
                <w:color w:val="auto"/>
                <w:szCs w:val="21"/>
              </w:rPr>
              <w:t>优惠条件：投标人承诺给予招标人的各种优惠条件，包括售后服务、备品备件、专用耗材等方面的优惠；投标人不得给予赠品或者与采购无关的其他商品、服务；</w:t>
            </w:r>
          </w:p>
          <w:p>
            <w:pPr>
              <w:numPr>
                <w:ilvl w:val="0"/>
                <w:numId w:val="7"/>
              </w:numPr>
              <w:snapToGrid w:val="0"/>
              <w:spacing w:line="360" w:lineRule="exact"/>
              <w:ind w:firstLine="420" w:firstLineChars="200"/>
              <w:jc w:val="left"/>
              <w:rPr>
                <w:rFonts w:ascii="宋体" w:hAnsi="宋体"/>
                <w:color w:val="auto"/>
                <w:szCs w:val="21"/>
              </w:rPr>
            </w:pPr>
            <w:r>
              <w:rPr>
                <w:rFonts w:hint="eastAsia" w:ascii="宋体" w:hAnsi="宋体"/>
                <w:color w:val="auto"/>
                <w:szCs w:val="21"/>
              </w:rPr>
              <w:t>投标人对本项目的合理化建议和改进措施（格式自拟）；</w:t>
            </w:r>
          </w:p>
          <w:p>
            <w:pPr>
              <w:numPr>
                <w:ilvl w:val="0"/>
                <w:numId w:val="7"/>
              </w:numPr>
              <w:snapToGrid w:val="0"/>
              <w:spacing w:line="360" w:lineRule="exact"/>
              <w:ind w:firstLine="420" w:firstLineChars="200"/>
              <w:jc w:val="left"/>
              <w:rPr>
                <w:rFonts w:ascii="宋体" w:hAnsi="宋体"/>
                <w:bCs/>
                <w:color w:val="auto"/>
                <w:szCs w:val="21"/>
              </w:rPr>
            </w:pPr>
            <w:r>
              <w:rPr>
                <w:rFonts w:hint="eastAsia" w:ascii="宋体" w:hAnsi="宋体"/>
                <w:color w:val="auto"/>
                <w:szCs w:val="21"/>
              </w:rPr>
              <w:t>除招标文件规定必须提供以外，投标人需要说明的其他文件和说明（格式自拟）。</w:t>
            </w:r>
          </w:p>
          <w:p>
            <w:pPr>
              <w:snapToGrid w:val="0"/>
              <w:spacing w:line="360" w:lineRule="exact"/>
              <w:ind w:firstLine="422" w:firstLineChars="200"/>
              <w:jc w:val="left"/>
              <w:rPr>
                <w:rFonts w:ascii="宋体" w:hAnsi="宋体"/>
                <w:b/>
                <w:bCs/>
                <w:color w:val="auto"/>
                <w:szCs w:val="21"/>
              </w:rPr>
            </w:pPr>
            <w:r>
              <w:rPr>
                <w:rFonts w:hint="eastAsia" w:ascii="宋体" w:hAnsi="宋体"/>
                <w:b/>
                <w:bCs/>
                <w:color w:val="auto"/>
                <w:szCs w:val="21"/>
              </w:rPr>
              <w:t>注：以上标明“必须提供”的材料属于复印件的，必须加盖投标人公章，否则</w:t>
            </w:r>
            <w:r>
              <w:rPr>
                <w:rFonts w:hint="eastAsia" w:ascii="宋体" w:hAnsi="宋体" w:cs="Courier New"/>
                <w:b/>
                <w:color w:val="auto"/>
                <w:szCs w:val="21"/>
              </w:rPr>
              <w:t>作无效投标处理</w:t>
            </w:r>
            <w:r>
              <w:rPr>
                <w:rFonts w:hint="eastAsia" w:ascii="宋体" w:hAnsi="宋体"/>
                <w:b/>
                <w:bCs/>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rPr>
            </w:pPr>
            <w:bookmarkStart w:id="64" w:name="_13.5"/>
            <w:bookmarkEnd w:id="64"/>
            <w:bookmarkStart w:id="65" w:name="_16.2"/>
            <w:bookmarkEnd w:id="65"/>
            <w:r>
              <w:rPr>
                <w:rFonts w:hint="eastAsia" w:ascii="宋体" w:hAnsi="宋体"/>
                <w:color w:val="auto"/>
                <w:szCs w:val="21"/>
              </w:rPr>
              <w:t>16</w:t>
            </w:r>
            <w:bookmarkStart w:id="66" w:name="_Hlt19693759"/>
            <w:bookmarkStart w:id="67" w:name="_Hlt19194066"/>
            <w:bookmarkStart w:id="68" w:name="_Hlt19693758"/>
            <w:bookmarkStart w:id="69" w:name="_Hlt19194067"/>
            <w:r>
              <w:rPr>
                <w:rFonts w:hint="eastAsia" w:ascii="宋体" w:hAnsi="宋体"/>
                <w:color w:val="auto"/>
                <w:szCs w:val="21"/>
              </w:rPr>
              <w:t>.</w:t>
            </w:r>
            <w:bookmarkEnd w:id="66"/>
            <w:bookmarkEnd w:id="67"/>
            <w:bookmarkEnd w:id="68"/>
            <w:bookmarkEnd w:id="69"/>
            <w:r>
              <w:rPr>
                <w:rFonts w:hint="eastAsia" w:ascii="宋体" w:hAnsi="宋体"/>
                <w:color w:val="auto"/>
                <w:szCs w:val="21"/>
              </w:rPr>
              <w:t>2</w:t>
            </w:r>
          </w:p>
        </w:tc>
        <w:tc>
          <w:tcPr>
            <w:tcW w:w="8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b/>
                <w:color w:val="auto"/>
                <w:szCs w:val="21"/>
              </w:rPr>
            </w:pPr>
            <w:r>
              <w:rPr>
                <w:rFonts w:hint="eastAsia" w:ascii="宋体" w:hAnsi="宋体"/>
                <w:color w:val="auto"/>
                <w:szCs w:val="21"/>
              </w:rPr>
              <w:t>投标报价是履行合同的最终价格，即投标报价为采购人指定地点的现场交货价，包括：投标人就《货物需求一览表》中全部内容作完整唯一报价，不完整响应或拆分投标的将导致投标无效；本项目投标应以人民币报价；不论投标结果如何，投标人均应自行承担所有与投标有关的全部费用；本项目报价为产品送达采购人指定地点进行安装，经采购人验收合格所发生的一切费用，其包括但不限于以下费用：产品（含主要设备、配件、辅材）供应、运输装卸费、保险费、安装费、调试费、行政规费与税费、产品检验检测、操作人员培训费、管理费、验收费、质保期技术支持及运行维护费用、招标代理服务费等与本项目相关的一切费用；投标人漏报的单价或每单价报价中漏报、少报的费用，视为此项费用已隐含在投标报价中，中标后不得再向采购人收取任何费用</w:t>
            </w:r>
            <w:r>
              <w:rPr>
                <w:rFonts w:hint="eastAsia" w:ascii="宋体" w:hAnsi="宋体" w:cs="宋体"/>
                <w:color w:val="auto"/>
                <w:szCs w:val="21"/>
              </w:rPr>
              <w:t>。</w:t>
            </w:r>
          </w:p>
          <w:p>
            <w:pPr>
              <w:snapToGrid w:val="0"/>
              <w:spacing w:line="360" w:lineRule="auto"/>
              <w:rPr>
                <w:rFonts w:ascii="宋体" w:hAnsi="宋体"/>
                <w:b/>
                <w:color w:val="auto"/>
                <w:szCs w:val="21"/>
              </w:rPr>
            </w:pPr>
            <w:r>
              <w:rPr>
                <w:rFonts w:hint="eastAsia" w:ascii="宋体" w:hAnsi="宋体"/>
                <w:b/>
                <w:color w:val="auto"/>
                <w:szCs w:val="21"/>
              </w:rPr>
              <w:t>☑投标报价包含验收费用</w:t>
            </w:r>
          </w:p>
          <w:p>
            <w:pPr>
              <w:snapToGrid w:val="0"/>
              <w:spacing w:line="360" w:lineRule="exact"/>
              <w:rPr>
                <w:rFonts w:ascii="宋体" w:hAnsi="宋体"/>
                <w:b/>
                <w:color w:val="auto"/>
                <w:szCs w:val="21"/>
              </w:rPr>
            </w:pPr>
            <w:r>
              <w:rPr>
                <w:rFonts w:hint="eastAsia" w:ascii="宋体" w:hAnsi="宋体"/>
                <w:b/>
                <w:color w:val="auto"/>
                <w:szCs w:val="21"/>
              </w:rPr>
              <w:t>□投标报价不包含验收费用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rPr>
            </w:pPr>
            <w:bookmarkStart w:id="70" w:name="_17.1"/>
            <w:bookmarkEnd w:id="70"/>
            <w:r>
              <w:rPr>
                <w:rFonts w:hint="eastAsia" w:ascii="宋体" w:hAnsi="宋体"/>
                <w:color w:val="auto"/>
                <w:szCs w:val="21"/>
              </w:rPr>
              <w:t>17.</w:t>
            </w:r>
            <w:r>
              <w:rPr>
                <w:rFonts w:ascii="宋体" w:hAnsi="宋体"/>
                <w:color w:val="auto"/>
                <w:szCs w:val="21"/>
              </w:rPr>
              <w:t>2</w:t>
            </w:r>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Cs w:val="21"/>
              </w:rPr>
            </w:pPr>
            <w:r>
              <w:rPr>
                <w:rFonts w:hint="eastAsia" w:ascii="宋体" w:hAnsi="宋体"/>
                <w:color w:val="auto"/>
                <w:szCs w:val="21"/>
              </w:rPr>
              <w:t>投标有效期：自投标截止之日起</w:t>
            </w:r>
            <w:r>
              <w:rPr>
                <w:rFonts w:ascii="宋体" w:hAnsi="宋体"/>
                <w:color w:val="auto"/>
                <w:szCs w:val="21"/>
                <w:u w:val="single"/>
              </w:rPr>
              <w:t xml:space="preserve">  </w:t>
            </w:r>
            <w:r>
              <w:rPr>
                <w:rFonts w:hint="eastAsia" w:ascii="宋体" w:hAnsi="宋体"/>
                <w:color w:val="auto"/>
                <w:szCs w:val="21"/>
                <w:u w:val="single"/>
              </w:rPr>
              <w:t>60</w:t>
            </w:r>
            <w:r>
              <w:rPr>
                <w:rFonts w:ascii="宋体" w:hAnsi="宋体"/>
                <w:color w:val="auto"/>
                <w:szCs w:val="21"/>
                <w:u w:val="single"/>
              </w:rPr>
              <w:t xml:space="preserve">  </w:t>
            </w:r>
            <w:r>
              <w:rPr>
                <w:rFonts w:hint="eastAsia" w:ascii="宋体" w:hAnsi="宋体"/>
                <w:color w:val="auto"/>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rPr>
            </w:pPr>
            <w:bookmarkStart w:id="71" w:name="_18"/>
            <w:bookmarkEnd w:id="71"/>
            <w:r>
              <w:rPr>
                <w:rFonts w:hint="eastAsia" w:ascii="宋体" w:hAnsi="宋体"/>
                <w:color w:val="auto"/>
                <w:szCs w:val="21"/>
              </w:rPr>
              <w:t>18</w:t>
            </w:r>
            <w:r>
              <w:rPr>
                <w:rFonts w:ascii="宋体" w:hAnsi="宋体"/>
                <w:color w:val="auto"/>
                <w:szCs w:val="21"/>
              </w:rPr>
              <w:t>.1</w:t>
            </w:r>
          </w:p>
        </w:tc>
        <w:tc>
          <w:tcPr>
            <w:tcW w:w="889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color w:val="auto"/>
                <w:szCs w:val="21"/>
              </w:rPr>
            </w:pPr>
            <w:r>
              <w:rPr>
                <w:rFonts w:hint="eastAsia" w:ascii="宋体" w:hAnsi="宋体"/>
                <w:b/>
                <w:color w:val="auto"/>
                <w:szCs w:val="21"/>
              </w:rPr>
              <w:t>□</w:t>
            </w:r>
            <w:r>
              <w:rPr>
                <w:rFonts w:hint="eastAsia" w:ascii="宋体" w:hAnsi="宋体"/>
                <w:color w:val="auto"/>
                <w:szCs w:val="21"/>
              </w:rPr>
              <w:t>本项目不收取投标保证金。</w:t>
            </w:r>
          </w:p>
          <w:p>
            <w:pPr>
              <w:snapToGrid w:val="0"/>
              <w:spacing w:line="360" w:lineRule="exact"/>
              <w:rPr>
                <w:rFonts w:ascii="宋体" w:hAnsi="宋体"/>
                <w:color w:val="auto"/>
                <w:szCs w:val="21"/>
              </w:rPr>
            </w:pPr>
            <w:r>
              <w:rPr>
                <w:rFonts w:hint="eastAsia" w:ascii="宋体" w:hAnsi="宋体"/>
                <w:b/>
                <w:color w:val="auto"/>
                <w:szCs w:val="21"/>
              </w:rPr>
              <w:t>☑</w:t>
            </w:r>
            <w:r>
              <w:rPr>
                <w:rFonts w:hint="eastAsia" w:ascii="宋体" w:hAnsi="宋体"/>
                <w:color w:val="auto"/>
                <w:szCs w:val="21"/>
              </w:rPr>
              <w:t>本项目收取投标保证金，具体规定如下：</w:t>
            </w:r>
          </w:p>
          <w:p>
            <w:pPr>
              <w:snapToGrid w:val="0"/>
              <w:spacing w:line="360" w:lineRule="auto"/>
              <w:rPr>
                <w:rFonts w:ascii="宋体" w:hAnsi="宋体"/>
                <w:color w:val="auto"/>
                <w:szCs w:val="21"/>
              </w:rPr>
            </w:pPr>
            <w:r>
              <w:rPr>
                <w:rFonts w:hint="eastAsia" w:ascii="宋体" w:hAnsi="宋体"/>
                <w:color w:val="auto"/>
                <w:szCs w:val="21"/>
              </w:rPr>
              <w:t>投标保证金的交纳方式：</w:t>
            </w:r>
            <w:r>
              <w:rPr>
                <w:rFonts w:hint="eastAsia" w:ascii="宋体" w:hAnsi="宋体" w:cs="宋体"/>
                <w:color w:val="auto"/>
                <w:kern w:val="0"/>
                <w:szCs w:val="21"/>
              </w:rPr>
              <w:t>银行转账、</w:t>
            </w:r>
            <w:r>
              <w:rPr>
                <w:rFonts w:hint="eastAsia"/>
                <w:color w:val="auto"/>
              </w:rPr>
              <w:t>电汇、</w:t>
            </w:r>
            <w:r>
              <w:rPr>
                <w:rFonts w:hint="eastAsia" w:ascii="宋体" w:hAnsi="宋体" w:cs="宋体"/>
                <w:color w:val="auto"/>
                <w:kern w:val="0"/>
                <w:szCs w:val="21"/>
              </w:rPr>
              <w:t>支票、汇票、本票、保函等方式，禁止采用现金方式。采用银行转账或电汇方式的，在投标截止时间前交至采购代理机构指定账户并且到账（开户银行：</w:t>
            </w:r>
            <w:r>
              <w:rPr>
                <w:rFonts w:hint="eastAsia" w:ascii="宋体" w:hAnsi="宋体" w:cs="宋体"/>
                <w:color w:val="auto"/>
                <w:kern w:val="0"/>
                <w:szCs w:val="21"/>
                <w:u w:val="single"/>
              </w:rPr>
              <w:t>招商银行南宁分行东葛路支行</w:t>
            </w:r>
            <w:r>
              <w:rPr>
                <w:rFonts w:hint="eastAsia" w:ascii="宋体" w:hAnsi="宋体" w:cs="宋体"/>
                <w:color w:val="auto"/>
                <w:kern w:val="0"/>
                <w:szCs w:val="21"/>
              </w:rPr>
              <w:t>，开户名称：</w:t>
            </w:r>
            <w:r>
              <w:rPr>
                <w:rFonts w:hint="eastAsia" w:ascii="宋体" w:hAnsi="宋体" w:cs="宋体"/>
                <w:color w:val="auto"/>
                <w:kern w:val="0"/>
                <w:szCs w:val="21"/>
                <w:u w:val="single"/>
              </w:rPr>
              <w:t>中资国际工程咨询集团有限责任公司广西分公司</w:t>
            </w:r>
            <w:r>
              <w:rPr>
                <w:rFonts w:hint="eastAsia" w:ascii="宋体" w:hAnsi="宋体" w:cs="宋体"/>
                <w:color w:val="auto"/>
                <w:kern w:val="0"/>
                <w:szCs w:val="21"/>
              </w:rPr>
              <w:t>，银行账号：771901372110211）；采用支票、汇票等方式的，在投标截止时间前，投标人必须递交单独密封的支票、汇票、本票、保函原件。否则视为无效投标保证金</w:t>
            </w:r>
            <w:r>
              <w:rPr>
                <w:rFonts w:hint="eastAsia" w:ascii="宋体" w:hAnsi="宋体"/>
                <w:color w:val="auto"/>
                <w:szCs w:val="21"/>
              </w:rPr>
              <w:t>。</w:t>
            </w:r>
          </w:p>
          <w:p>
            <w:pPr>
              <w:snapToGrid w:val="0"/>
              <w:spacing w:line="360" w:lineRule="exact"/>
              <w:rPr>
                <w:rFonts w:ascii="宋体" w:hAnsi="宋体" w:cs="宋体"/>
                <w:color w:val="auto"/>
                <w:kern w:val="0"/>
                <w:szCs w:val="21"/>
              </w:rPr>
            </w:pPr>
            <w:r>
              <w:rPr>
                <w:rFonts w:hint="eastAsia" w:ascii="宋体" w:hAnsi="宋体"/>
                <w:color w:val="auto"/>
                <w:szCs w:val="21"/>
              </w:rPr>
              <w:t>投标保证金的金额：</w:t>
            </w:r>
            <w:r>
              <w:rPr>
                <w:rFonts w:hint="eastAsia" w:ascii="宋体" w:hAnsi="宋体" w:cs="宋体"/>
                <w:color w:val="auto"/>
                <w:kern w:val="0"/>
                <w:szCs w:val="21"/>
                <w:u w:val="single"/>
              </w:rPr>
              <w:t>分标1人民币（大写）壹拾叁万元整（¥130,000.00）；分标2人民币（大写）柒万元整（¥70,000.00）</w:t>
            </w:r>
            <w:r>
              <w:rPr>
                <w:rStyle w:val="77"/>
                <w:rFonts w:hint="eastAsia" w:ascii="宋体" w:hAnsi="宋体" w:cs="宋体"/>
                <w:color w:val="auto"/>
                <w:szCs w:val="21"/>
                <w:u w:val="single"/>
              </w:rPr>
              <w:t>。(必须足额交纳)</w:t>
            </w:r>
            <w:r>
              <w:rPr>
                <w:rFonts w:hint="eastAsia" w:ascii="宋体" w:hAnsi="宋体" w:cs="宋体"/>
                <w:color w:val="auto"/>
                <w:kern w:val="0"/>
                <w:szCs w:val="21"/>
              </w:rPr>
              <w:t>。</w:t>
            </w:r>
          </w:p>
          <w:p>
            <w:pPr>
              <w:snapToGrid w:val="0"/>
              <w:spacing w:line="360" w:lineRule="exact"/>
              <w:rPr>
                <w:rFonts w:ascii="宋体" w:hAnsi="宋体"/>
                <w:color w:val="auto"/>
                <w:szCs w:val="21"/>
              </w:rPr>
            </w:pPr>
            <w:r>
              <w:rPr>
                <w:rFonts w:hint="eastAsia" w:ascii="宋体" w:hAnsi="宋体"/>
                <w:color w:val="auto"/>
                <w:szCs w:val="21"/>
              </w:rPr>
              <w:t>相关要求：</w:t>
            </w:r>
          </w:p>
          <w:p>
            <w:pPr>
              <w:pStyle w:val="1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 xml:space="preserve"> </w:t>
            </w:r>
            <w:r>
              <w:rPr>
                <w:rFonts w:hint="eastAsia" w:ascii="宋体" w:hAnsi="宋体"/>
                <w:color w:val="auto"/>
                <w:szCs w:val="21"/>
              </w:rPr>
              <w:t>投标保证金采用银行转账交纳方式的，在投标截止时间前交至采购代理机构指定账户并且到账，投标人应将银行转账底单的复印件作为投标保证金提交凭证，</w:t>
            </w:r>
            <w:r>
              <w:rPr>
                <w:rFonts w:ascii="宋体" w:hAnsi="宋体"/>
                <w:color w:val="auto"/>
                <w:szCs w:val="21"/>
              </w:rPr>
              <w:t>放置于</w:t>
            </w:r>
            <w:r>
              <w:rPr>
                <w:rFonts w:hint="eastAsia" w:ascii="宋体" w:hAnsi="宋体"/>
                <w:color w:val="auto"/>
                <w:szCs w:val="21"/>
              </w:rPr>
              <w:t>商务文件</w:t>
            </w:r>
            <w:r>
              <w:rPr>
                <w:rFonts w:ascii="宋体" w:hAnsi="宋体"/>
                <w:color w:val="auto"/>
                <w:szCs w:val="21"/>
              </w:rPr>
              <w:t>中</w:t>
            </w:r>
            <w:r>
              <w:rPr>
                <w:rFonts w:hint="eastAsia" w:ascii="宋体" w:hAnsi="宋体"/>
                <w:color w:val="auto"/>
                <w:szCs w:val="21"/>
              </w:rPr>
              <w:t>，</w:t>
            </w:r>
            <w:r>
              <w:rPr>
                <w:rFonts w:hint="eastAsia" w:ascii="宋体" w:hAnsi="宋体"/>
                <w:b/>
                <w:color w:val="auto"/>
                <w:szCs w:val="21"/>
              </w:rPr>
              <w:t>否则投标无效</w:t>
            </w:r>
            <w:r>
              <w:rPr>
                <w:rFonts w:hint="eastAsia" w:ascii="宋体" w:hAnsi="宋体"/>
                <w:color w:val="auto"/>
                <w:szCs w:val="21"/>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 xml:space="preserve"> </w:t>
            </w:r>
            <w:r>
              <w:rPr>
                <w:rFonts w:hint="eastAsia" w:ascii="宋体" w:hAnsi="宋体"/>
                <w:color w:val="auto"/>
                <w:szCs w:val="21"/>
              </w:rPr>
              <w:t>投标保证金采用支票、汇票、本票、保函交纳方式的，投标人应将支票、汇票、本票、保函的复印件作为投标保证金提交凭证，放置于商务文件中，</w:t>
            </w:r>
            <w:r>
              <w:rPr>
                <w:rFonts w:hint="eastAsia" w:ascii="宋体" w:hAnsi="宋体"/>
                <w:b/>
                <w:color w:val="auto"/>
                <w:szCs w:val="21"/>
              </w:rPr>
              <w:t>否则投标无效</w:t>
            </w:r>
            <w:r>
              <w:rPr>
                <w:rFonts w:hint="eastAsia" w:ascii="宋体" w:hAnsi="宋体"/>
                <w:color w:val="auto"/>
                <w:szCs w:val="21"/>
              </w:rPr>
              <w:t>。投标人必须于递交投标文件时将支票、汇票、本票原件提交给采购人或者采购代理机构。</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 xml:space="preserve"> </w:t>
            </w:r>
            <w:r>
              <w:rPr>
                <w:rFonts w:hint="eastAsia" w:ascii="宋体" w:hAnsi="宋体" w:cs="宋体"/>
                <w:color w:val="auto"/>
                <w:szCs w:val="21"/>
              </w:rPr>
              <w:t>投标人为联合体的，可以由联合体中的一方或者多方共同交纳投标保证金，其交纳的保证金对联合体各方均具有约束力。</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ascii="宋体" w:hAnsi="宋体"/>
                <w:b/>
                <w:color w:val="auto"/>
                <w:szCs w:val="21"/>
              </w:rPr>
            </w:pPr>
            <w:r>
              <w:rPr>
                <w:rFonts w:hint="eastAsia" w:ascii="宋体" w:hAnsi="宋体"/>
                <w:b/>
                <w:color w:val="auto"/>
                <w:szCs w:val="21"/>
              </w:rPr>
              <w:t xml:space="preserve">备注： </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ascii="宋体" w:hAnsi="宋体"/>
                <w:b/>
                <w:color w:val="auto"/>
                <w:szCs w:val="21"/>
              </w:rPr>
            </w:pPr>
            <w:r>
              <w:rPr>
                <w:rFonts w:hint="eastAsia" w:ascii="宋体" w:hAnsi="宋体"/>
                <w:b/>
                <w:color w:val="auto"/>
                <w:szCs w:val="21"/>
              </w:rPr>
              <w:t>1. 投标保证金在投标截止时间后提交的，或者不按规定交纳方式交纳的，或者未足额交纳的（包含保函额度不足的），视为无效投标保证金。</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ascii="宋体" w:hAnsi="宋体"/>
                <w:b/>
                <w:color w:val="auto"/>
                <w:szCs w:val="21"/>
              </w:rPr>
            </w:pPr>
            <w:r>
              <w:rPr>
                <w:rFonts w:hint="eastAsia" w:ascii="宋体" w:hAnsi="宋体"/>
                <w:b/>
                <w:color w:val="auto"/>
                <w:szCs w:val="21"/>
              </w:rPr>
              <w:t>2.</w:t>
            </w:r>
            <w:r>
              <w:rPr>
                <w:rFonts w:hint="eastAsia" w:ascii="宋体" w:hAnsi="宋体"/>
                <w:b/>
                <w:color w:val="auto"/>
                <w:szCs w:val="21"/>
                <w:lang w:val="en-US" w:eastAsia="zh-CN"/>
              </w:rPr>
              <w:t xml:space="preserve"> </w:t>
            </w:r>
            <w:r>
              <w:rPr>
                <w:rFonts w:hint="eastAsia" w:ascii="宋体" w:hAnsi="宋体"/>
                <w:b/>
                <w:color w:val="auto"/>
                <w:szCs w:val="21"/>
              </w:rPr>
              <w:t>投标人采用现钞方式或者从个人账户（自然人投标除外）转出的投标保证金，视为无效投标保证金。</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ascii="宋体" w:hAnsi="宋体"/>
                <w:b/>
                <w:color w:val="auto"/>
                <w:szCs w:val="21"/>
              </w:rPr>
            </w:pPr>
            <w:r>
              <w:rPr>
                <w:rFonts w:hint="eastAsia" w:ascii="宋体" w:hAnsi="宋体"/>
                <w:b/>
                <w:color w:val="auto"/>
                <w:szCs w:val="21"/>
              </w:rPr>
              <w:t>3.</w:t>
            </w:r>
            <w:r>
              <w:rPr>
                <w:rFonts w:hint="eastAsia" w:ascii="宋体" w:hAnsi="宋体"/>
                <w:b/>
                <w:color w:val="auto"/>
                <w:szCs w:val="21"/>
                <w:lang w:val="en-US" w:eastAsia="zh-CN"/>
              </w:rPr>
              <w:t xml:space="preserve"> </w:t>
            </w:r>
            <w:r>
              <w:rPr>
                <w:rFonts w:hint="eastAsia" w:ascii="宋体" w:hAnsi="宋体"/>
                <w:b/>
                <w:color w:val="auto"/>
                <w:szCs w:val="21"/>
              </w:rPr>
              <w:t>支票、汇票或者本票出现无效或者背书情形的，视为无效投标保证金。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rPr>
            </w:pPr>
            <w:bookmarkStart w:id="72" w:name="_19.2"/>
            <w:bookmarkEnd w:id="72"/>
            <w:r>
              <w:rPr>
                <w:rFonts w:hint="eastAsia" w:ascii="宋体" w:hAnsi="宋体"/>
                <w:color w:val="auto"/>
                <w:szCs w:val="21"/>
              </w:rPr>
              <w:t>19.2</w:t>
            </w:r>
          </w:p>
        </w:tc>
        <w:tc>
          <w:tcPr>
            <w:tcW w:w="889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color w:val="auto"/>
                <w:szCs w:val="21"/>
              </w:rPr>
            </w:pPr>
            <w:r>
              <w:rPr>
                <w:rFonts w:hint="eastAsia" w:hAnsi="宋体"/>
                <w:color w:val="auto"/>
                <w:szCs w:val="21"/>
              </w:rPr>
              <w:t>投标文件应按报价文件、资格证明文件、商务文件、技术文件分别编制，</w:t>
            </w:r>
            <w:r>
              <w:rPr>
                <w:rFonts w:hint="eastAsia" w:ascii="宋体" w:hAnsi="宋体" w:cs="宋体"/>
                <w:color w:val="auto"/>
                <w:szCs w:val="21"/>
              </w:rPr>
              <w:t>并按“政采云”平台的要求编制、加密、上传。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20.1</w:t>
            </w:r>
          </w:p>
        </w:tc>
        <w:tc>
          <w:tcPr>
            <w:tcW w:w="889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auto"/>
                <w:szCs w:val="21"/>
              </w:rPr>
            </w:pPr>
            <w:r>
              <w:rPr>
                <w:rFonts w:hint="eastAsia" w:ascii="宋体" w:hAnsi="宋体"/>
                <w:color w:val="auto"/>
                <w:szCs w:val="21"/>
              </w:rPr>
              <w:t>电子投标文件应在制作完成后，投标人应按“政采云”平台的要求进行加密，并在规定时间内解密，否则，由此产生的后果由投标人自行负责。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rPr>
            </w:pPr>
            <w:bookmarkStart w:id="73" w:name="_21.1"/>
            <w:bookmarkEnd w:id="73"/>
            <w:r>
              <w:rPr>
                <w:rFonts w:hint="eastAsia" w:ascii="宋体" w:hAnsi="宋体"/>
                <w:color w:val="auto"/>
                <w:szCs w:val="21"/>
              </w:rPr>
              <w:t>21.1</w:t>
            </w:r>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Cs w:val="21"/>
                <w:u w:val="single"/>
              </w:rPr>
            </w:pPr>
            <w:r>
              <w:rPr>
                <w:rFonts w:hint="eastAsia" w:ascii="宋体" w:hAnsi="宋体"/>
                <w:color w:val="auto"/>
                <w:szCs w:val="21"/>
              </w:rPr>
              <w:t>1.投标截止时间：详见招标公告</w:t>
            </w:r>
          </w:p>
          <w:p>
            <w:pPr>
              <w:snapToGrid w:val="0"/>
              <w:spacing w:line="360" w:lineRule="exact"/>
              <w:rPr>
                <w:rFonts w:ascii="宋体" w:hAnsi="宋体"/>
                <w:color w:val="auto"/>
                <w:szCs w:val="21"/>
              </w:rPr>
            </w:pPr>
            <w:r>
              <w:rPr>
                <w:rFonts w:hint="eastAsia" w:ascii="宋体" w:hAnsi="宋体"/>
                <w:color w:val="auto"/>
                <w:szCs w:val="21"/>
              </w:rPr>
              <w:t>2.投标地点：详见招标公告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rPr>
            </w:pPr>
            <w:bookmarkStart w:id="74" w:name="_23"/>
            <w:bookmarkEnd w:id="74"/>
            <w:r>
              <w:rPr>
                <w:rFonts w:hint="eastAsia" w:ascii="宋体" w:hAnsi="宋体"/>
                <w:color w:val="auto"/>
                <w:szCs w:val="21"/>
              </w:rPr>
              <w:t>23</w:t>
            </w:r>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Cs w:val="21"/>
              </w:rPr>
            </w:pPr>
            <w:r>
              <w:rPr>
                <w:rFonts w:hint="eastAsia" w:ascii="宋体" w:hAnsi="宋体"/>
                <w:color w:val="auto"/>
                <w:szCs w:val="21"/>
              </w:rPr>
              <w:t>1.开标时间：详见招标公告</w:t>
            </w:r>
          </w:p>
          <w:p>
            <w:pPr>
              <w:snapToGrid w:val="0"/>
              <w:spacing w:line="360" w:lineRule="exact"/>
              <w:rPr>
                <w:rFonts w:ascii="宋体" w:hAnsi="宋体"/>
                <w:color w:val="auto"/>
                <w:szCs w:val="21"/>
              </w:rPr>
            </w:pPr>
            <w:r>
              <w:rPr>
                <w:rFonts w:hint="eastAsia" w:ascii="宋体" w:hAnsi="宋体"/>
                <w:color w:val="auto"/>
                <w:szCs w:val="21"/>
              </w:rPr>
              <w:t>2.开标地点：详见招标公告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bCs/>
                <w:color w:val="auto"/>
                <w:szCs w:val="21"/>
              </w:rPr>
              <w:t>24.2</w:t>
            </w:r>
          </w:p>
        </w:tc>
        <w:tc>
          <w:tcPr>
            <w:tcW w:w="88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color w:val="auto"/>
                <w:szCs w:val="21"/>
              </w:rPr>
            </w:pPr>
            <w:r>
              <w:rPr>
                <w:rFonts w:hint="eastAsia" w:ascii="宋体" w:hAnsi="宋体"/>
                <w:bCs/>
                <w:color w:val="auto"/>
                <w:szCs w:val="21"/>
              </w:rPr>
              <w:t>“政采云”平台按开标时间自动提取所有投标文件。采购代理机构依托“政采云”平台向各投标人发出电子加密投标文件【开始解密】通知，由投标人进行投标文件解密。</w:t>
            </w:r>
            <w:r>
              <w:rPr>
                <w:rFonts w:hint="eastAsia" w:ascii="宋体" w:hAnsi="宋体"/>
                <w:b/>
                <w:bCs/>
                <w:color w:val="auto"/>
                <w:szCs w:val="21"/>
              </w:rPr>
              <w:t>投标人的法定代表人或其委托代理人须携带加密时所用的CA锁准时登录到“政采云”平台电子开标大厅签到</w:t>
            </w:r>
            <w:r>
              <w:rPr>
                <w:rFonts w:hint="eastAsia" w:ascii="宋体" w:hAnsi="宋体" w:cs="宋体"/>
                <w:b/>
                <w:color w:val="auto"/>
                <w:szCs w:val="21"/>
              </w:rPr>
              <w:t>并在发起解密</w:t>
            </w:r>
            <w:r>
              <w:rPr>
                <w:rFonts w:hint="eastAsia" w:ascii="宋体" w:hAnsi="宋体"/>
                <w:b/>
                <w:bCs/>
                <w:color w:val="auto"/>
                <w:szCs w:val="21"/>
              </w:rPr>
              <w:t>通知</w:t>
            </w:r>
            <w:r>
              <w:rPr>
                <w:rFonts w:hint="eastAsia" w:ascii="宋体" w:hAnsi="宋体" w:cs="宋体"/>
                <w:b/>
                <w:color w:val="auto"/>
                <w:szCs w:val="21"/>
              </w:rPr>
              <w:t>之时起30分钟内完成</w:t>
            </w:r>
            <w:r>
              <w:rPr>
                <w:rFonts w:hint="eastAsia" w:ascii="宋体" w:hAnsi="宋体"/>
                <w:b/>
                <w:bCs/>
                <w:color w:val="auto"/>
                <w:szCs w:val="21"/>
              </w:rPr>
              <w:t>对电子投标文件解密。投标文件未按时解密的，视为无效投标。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rPr>
            </w:pPr>
            <w:bookmarkStart w:id="75" w:name="_25.3"/>
            <w:bookmarkEnd w:id="75"/>
            <w:r>
              <w:rPr>
                <w:rFonts w:hint="eastAsia" w:ascii="宋体" w:hAnsi="宋体"/>
                <w:color w:val="auto"/>
                <w:szCs w:val="21"/>
              </w:rPr>
              <w:t>25.3（2）</w:t>
            </w:r>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Cs w:val="21"/>
              </w:rPr>
            </w:pPr>
            <w:r>
              <w:rPr>
                <w:rFonts w:hint="eastAsia" w:ascii="宋体" w:hAnsi="宋体"/>
                <w:color w:val="auto"/>
                <w:szCs w:val="21"/>
              </w:rPr>
              <w:t>采购人或者采购代理机构在资格审查结束前，对投标人进行信用查询。</w:t>
            </w:r>
          </w:p>
          <w:p>
            <w:pPr>
              <w:snapToGrid w:val="0"/>
              <w:spacing w:line="360" w:lineRule="exact"/>
              <w:rPr>
                <w:rFonts w:ascii="宋体" w:hAnsi="宋体"/>
                <w:color w:val="auto"/>
                <w:szCs w:val="21"/>
              </w:rPr>
            </w:pPr>
            <w:r>
              <w:rPr>
                <w:rFonts w:hint="eastAsia" w:ascii="宋体" w:hAnsi="宋体"/>
                <w:color w:val="auto"/>
                <w:szCs w:val="21"/>
              </w:rPr>
              <w:t>查询渠道：“信用中国”网站(www.creditchina.gov.cn) 、中国政府采购网(www.ccgp.gov.cn)》。</w:t>
            </w:r>
          </w:p>
          <w:p>
            <w:pPr>
              <w:snapToGrid w:val="0"/>
              <w:spacing w:line="360" w:lineRule="exact"/>
              <w:rPr>
                <w:rFonts w:ascii="宋体" w:hAnsi="宋体"/>
                <w:color w:val="auto"/>
                <w:szCs w:val="21"/>
              </w:rPr>
            </w:pPr>
            <w:r>
              <w:rPr>
                <w:rFonts w:hint="eastAsia" w:ascii="宋体" w:hAnsi="宋体"/>
                <w:color w:val="auto"/>
                <w:szCs w:val="21"/>
              </w:rPr>
              <w:t>信用查询截止时点：资格审查结束前</w:t>
            </w:r>
          </w:p>
          <w:p>
            <w:pPr>
              <w:snapToGrid w:val="0"/>
              <w:spacing w:line="360" w:lineRule="exact"/>
              <w:rPr>
                <w:rFonts w:ascii="宋体" w:hAnsi="宋体"/>
                <w:color w:val="auto"/>
                <w:szCs w:val="21"/>
              </w:rPr>
            </w:pPr>
            <w:r>
              <w:rPr>
                <w:rFonts w:hint="eastAsia" w:ascii="宋体" w:hAnsi="宋体"/>
                <w:color w:val="auto"/>
                <w:szCs w:val="21"/>
              </w:rPr>
              <w:t>查询记录和证据留存方式：在查询网站中直接打印查询记录，打印材料作为评审资料保存。</w:t>
            </w:r>
          </w:p>
          <w:p>
            <w:pPr>
              <w:snapToGrid w:val="0"/>
              <w:spacing w:line="360" w:lineRule="exact"/>
              <w:rPr>
                <w:rFonts w:ascii="宋体" w:hAnsi="宋体"/>
                <w:b/>
                <w:color w:val="auto"/>
                <w:szCs w:val="21"/>
              </w:rPr>
            </w:pPr>
            <w:r>
              <w:rPr>
                <w:rFonts w:hint="eastAsia" w:ascii="宋体" w:hAnsi="宋体"/>
                <w:color w:val="auto"/>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rPr>
            </w:pPr>
            <w:bookmarkStart w:id="76" w:name="_26"/>
            <w:bookmarkEnd w:id="76"/>
            <w:r>
              <w:rPr>
                <w:rFonts w:hint="eastAsia" w:ascii="宋体" w:hAnsi="宋体"/>
                <w:color w:val="auto"/>
                <w:szCs w:val="21"/>
              </w:rPr>
              <w:t>26</w:t>
            </w:r>
          </w:p>
        </w:tc>
        <w:tc>
          <w:tcPr>
            <w:tcW w:w="889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color w:val="auto"/>
                <w:szCs w:val="21"/>
              </w:rPr>
            </w:pPr>
            <w:r>
              <w:rPr>
                <w:rFonts w:hint="eastAsia" w:ascii="宋体" w:hAnsi="宋体"/>
                <w:color w:val="auto"/>
                <w:szCs w:val="21"/>
              </w:rPr>
              <w:t>评标委员会的人数：</w:t>
            </w:r>
            <w:r>
              <w:rPr>
                <w:rFonts w:hint="eastAsia" w:ascii="宋体" w:hAnsi="宋体"/>
                <w:color w:val="auto"/>
                <w:szCs w:val="21"/>
                <w:u w:val="single"/>
              </w:rPr>
              <w:t xml:space="preserve"> 7 </w:t>
            </w:r>
            <w:r>
              <w:rPr>
                <w:rFonts w:hint="eastAsia" w:ascii="宋体" w:hAnsi="宋体"/>
                <w:color w:val="auto"/>
                <w:szCs w:val="21"/>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rPr>
            </w:pPr>
            <w:bookmarkStart w:id="77" w:name="_28.3"/>
            <w:bookmarkEnd w:id="77"/>
            <w:r>
              <w:rPr>
                <w:rFonts w:ascii="宋体" w:hAnsi="宋体"/>
                <w:color w:val="auto"/>
                <w:szCs w:val="21"/>
              </w:rPr>
              <w:t>29.1</w:t>
            </w:r>
          </w:p>
        </w:tc>
        <w:tc>
          <w:tcPr>
            <w:tcW w:w="889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color w:val="auto"/>
                <w:szCs w:val="21"/>
              </w:rPr>
            </w:pPr>
            <w:r>
              <w:rPr>
                <w:rFonts w:hint="eastAsia" w:ascii="宋体" w:hAnsi="宋体"/>
                <w:color w:val="auto"/>
                <w:szCs w:val="21"/>
              </w:rPr>
              <w:t>评标方法：</w:t>
            </w:r>
          </w:p>
          <w:p>
            <w:pPr>
              <w:autoSpaceDE w:val="0"/>
              <w:autoSpaceDN w:val="0"/>
              <w:snapToGrid w:val="0"/>
              <w:spacing w:line="360" w:lineRule="exact"/>
              <w:textAlignment w:val="bottom"/>
              <w:rPr>
                <w:rFonts w:ascii="宋体" w:hAnsi="宋体"/>
                <w:color w:val="auto"/>
                <w:szCs w:val="21"/>
              </w:rPr>
            </w:pPr>
            <w:r>
              <w:rPr>
                <w:rFonts w:hint="eastAsia" w:ascii="宋体" w:hAnsi="宋体"/>
                <w:color w:val="auto"/>
                <w:szCs w:val="21"/>
              </w:rPr>
              <w:t>☑综合评分法</w:t>
            </w:r>
          </w:p>
          <w:p>
            <w:pPr>
              <w:autoSpaceDE w:val="0"/>
              <w:autoSpaceDN w:val="0"/>
              <w:snapToGrid w:val="0"/>
              <w:spacing w:line="360" w:lineRule="exact"/>
              <w:textAlignment w:val="bottom"/>
              <w:rPr>
                <w:rFonts w:ascii="宋体" w:hAnsi="宋体"/>
                <w:color w:val="auto"/>
                <w:szCs w:val="21"/>
              </w:rPr>
            </w:pPr>
            <w:r>
              <w:rPr>
                <w:rFonts w:hint="eastAsia" w:ascii="宋体" w:hAnsi="宋体"/>
                <w:color w:val="auto"/>
                <w:szCs w:val="21"/>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right w:val="single" w:color="auto" w:sz="4" w:space="0"/>
            </w:tcBorders>
            <w:vAlign w:val="center"/>
          </w:tcPr>
          <w:p>
            <w:pPr>
              <w:spacing w:line="360" w:lineRule="exact"/>
              <w:rPr>
                <w:rFonts w:ascii="宋体" w:hAnsi="宋体"/>
                <w:color w:val="auto"/>
                <w:szCs w:val="21"/>
              </w:rPr>
            </w:pPr>
            <w:bookmarkStart w:id="78" w:name="_29.2.2（2）"/>
            <w:bookmarkEnd w:id="78"/>
            <w:r>
              <w:rPr>
                <w:rFonts w:hint="eastAsia" w:ascii="宋体" w:hAnsi="宋体"/>
                <w:color w:val="auto"/>
                <w:szCs w:val="21"/>
              </w:rPr>
              <w:t>29</w:t>
            </w:r>
            <w:r>
              <w:rPr>
                <w:rFonts w:ascii="宋体" w:hAnsi="宋体"/>
                <w:color w:val="auto"/>
                <w:szCs w:val="21"/>
              </w:rPr>
              <w:t>.2</w:t>
            </w:r>
          </w:p>
        </w:tc>
        <w:tc>
          <w:tcPr>
            <w:tcW w:w="8890" w:type="dxa"/>
            <w:tcBorders>
              <w:top w:val="single" w:color="auto" w:sz="4" w:space="0"/>
              <w:left w:val="single" w:color="auto" w:sz="4" w:space="0"/>
              <w:right w:val="single" w:color="auto" w:sz="4" w:space="0"/>
            </w:tcBorders>
            <w:vAlign w:val="center"/>
          </w:tcPr>
          <w:p>
            <w:pPr>
              <w:snapToGrid w:val="0"/>
              <w:spacing w:line="360" w:lineRule="exact"/>
              <w:rPr>
                <w:rFonts w:ascii="宋体" w:hAnsi="宋体"/>
                <w:color w:val="auto"/>
                <w:szCs w:val="21"/>
              </w:rPr>
            </w:pPr>
            <w:r>
              <w:rPr>
                <w:rFonts w:hint="eastAsia" w:ascii="宋体" w:hAnsi="宋体" w:cs="宋体"/>
                <w:color w:val="auto"/>
                <w:szCs w:val="21"/>
              </w:rPr>
              <w:t>商务条款</w:t>
            </w:r>
            <w:r>
              <w:rPr>
                <w:rFonts w:hint="eastAsia" w:ascii="宋体" w:hAnsi="宋体"/>
                <w:color w:val="auto"/>
                <w:szCs w:val="21"/>
              </w:rPr>
              <w:t>评审中允许负偏离的条款数为</w:t>
            </w:r>
            <w:r>
              <w:rPr>
                <w:rFonts w:hint="eastAsia" w:ascii="宋体" w:hAnsi="宋体"/>
                <w:color w:val="auto"/>
                <w:szCs w:val="21"/>
                <w:u w:val="single"/>
              </w:rPr>
              <w:t xml:space="preserve"> 0 </w:t>
            </w:r>
            <w:r>
              <w:rPr>
                <w:rFonts w:hint="eastAsia" w:ascii="宋体" w:hAnsi="宋体"/>
                <w:color w:val="auto"/>
                <w:szCs w:val="21"/>
              </w:rPr>
              <w:t>项。</w:t>
            </w:r>
          </w:p>
          <w:p>
            <w:pPr>
              <w:snapToGrid w:val="0"/>
              <w:spacing w:line="360" w:lineRule="exact"/>
              <w:rPr>
                <w:rFonts w:ascii="宋体" w:hAnsi="宋体"/>
                <w:color w:val="auto"/>
                <w:szCs w:val="21"/>
              </w:rPr>
            </w:pPr>
            <w:r>
              <w:rPr>
                <w:rFonts w:hint="eastAsia" w:ascii="宋体" w:hAnsi="宋体" w:cs="宋体"/>
                <w:color w:val="auto"/>
                <w:szCs w:val="21"/>
              </w:rPr>
              <w:t>技术需求</w:t>
            </w:r>
            <w:r>
              <w:rPr>
                <w:rFonts w:hint="eastAsia" w:ascii="宋体" w:hAnsi="宋体"/>
                <w:color w:val="auto"/>
                <w:szCs w:val="21"/>
              </w:rPr>
              <w:t>评审中允许负偏离的条款数：</w:t>
            </w:r>
            <w:r>
              <w:rPr>
                <w:rFonts w:hint="eastAsia" w:ascii="宋体" w:hAnsi="宋体"/>
                <w:b/>
                <w:bCs/>
                <w:color w:val="auto"/>
                <w:szCs w:val="21"/>
              </w:rPr>
              <w:t>详见第二章  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rPr>
            </w:pPr>
            <w:r>
              <w:rPr>
                <w:rFonts w:hint="eastAsia" w:ascii="宋体" w:hAnsi="宋体"/>
                <w:color w:val="auto"/>
                <w:szCs w:val="21"/>
              </w:rPr>
              <w:t>30</w:t>
            </w:r>
            <w:r>
              <w:rPr>
                <w:rFonts w:ascii="宋体" w:hAnsi="宋体"/>
                <w:color w:val="auto"/>
                <w:szCs w:val="21"/>
              </w:rPr>
              <w:t>.1</w:t>
            </w:r>
          </w:p>
        </w:tc>
        <w:tc>
          <w:tcPr>
            <w:tcW w:w="889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auto"/>
                <w:szCs w:val="21"/>
              </w:rPr>
            </w:pPr>
            <w:r>
              <w:rPr>
                <w:rFonts w:hint="eastAsia" w:ascii="宋体" w:hAnsi="宋体"/>
                <w:b/>
                <w:color w:val="auto"/>
                <w:szCs w:val="21"/>
              </w:rPr>
              <w:t>☑</w:t>
            </w:r>
            <w:r>
              <w:rPr>
                <w:rFonts w:hint="eastAsia" w:ascii="宋体" w:hAnsi="宋体"/>
                <w:color w:val="auto"/>
                <w:szCs w:val="21"/>
              </w:rPr>
              <w:t>采用综合评分法的采购项目，采购人确定中标供应商时，出现中标候选人并列的情形，采购人按以下的方式确定中标供应商：按综合评分中技术、商务、政策功能得分高低依次确定。</w:t>
            </w:r>
          </w:p>
          <w:p>
            <w:pPr>
              <w:autoSpaceDE w:val="0"/>
              <w:autoSpaceDN w:val="0"/>
              <w:snapToGrid w:val="0"/>
              <w:spacing w:line="360" w:lineRule="exact"/>
              <w:textAlignment w:val="bottom"/>
              <w:rPr>
                <w:rFonts w:ascii="宋体" w:hAnsi="宋体"/>
                <w:b/>
                <w:color w:val="auto"/>
                <w:szCs w:val="21"/>
              </w:rPr>
            </w:pPr>
            <w:r>
              <w:rPr>
                <w:rFonts w:hint="eastAsia" w:ascii="宋体" w:hAnsi="宋体"/>
                <w:color w:val="auto"/>
                <w:szCs w:val="21"/>
              </w:rPr>
              <w:t>□采用最低评标价法的采购项目，采购人确定中标供应商时，出现中标候选人并列的情形，采购人按以下的方式确定中标供应商：</w:t>
            </w:r>
            <w:r>
              <w:rPr>
                <w:rFonts w:hint="eastAsia" w:ascii="宋体" w:hAnsi="宋体" w:cs="宋体"/>
                <w:color w:val="auto"/>
                <w:szCs w:val="21"/>
              </w:rPr>
              <w:t>按</w:t>
            </w:r>
            <w:r>
              <w:rPr>
                <w:rFonts w:ascii="宋体" w:hAnsi="Courier New"/>
                <w:color w:val="auto"/>
                <w:szCs w:val="21"/>
              </w:rPr>
              <w:t>节能环保优先、技术指标高优先、质保期长优先、交货期短优先、故障响应时间短优先的</w:t>
            </w:r>
            <w:r>
              <w:rPr>
                <w:rFonts w:hint="eastAsia" w:ascii="宋体" w:hAnsi="宋体" w:cs="宋体"/>
                <w:color w:val="auto"/>
                <w:szCs w:val="21"/>
              </w:rPr>
              <w:t>顺序依次确定。</w:t>
            </w:r>
            <w:r>
              <w:rPr>
                <w:rFonts w:hint="eastAsia" w:ascii="宋体"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rPr>
            </w:pPr>
            <w:bookmarkStart w:id="79" w:name="_39.1"/>
            <w:bookmarkEnd w:id="79"/>
            <w:r>
              <w:rPr>
                <w:rFonts w:hint="eastAsia" w:ascii="宋体" w:hAnsi="宋体"/>
                <w:color w:val="auto"/>
                <w:szCs w:val="21"/>
              </w:rPr>
              <w:t>35</w:t>
            </w:r>
            <w:r>
              <w:rPr>
                <w:rFonts w:ascii="宋体" w:hAnsi="宋体"/>
                <w:color w:val="auto"/>
                <w:szCs w:val="21"/>
              </w:rPr>
              <w:t>.1</w:t>
            </w:r>
          </w:p>
        </w:tc>
        <w:tc>
          <w:tcPr>
            <w:tcW w:w="8890" w:type="dxa"/>
            <w:tcBorders>
              <w:top w:val="single" w:color="auto" w:sz="4" w:space="0"/>
              <w:left w:val="single" w:color="auto" w:sz="4" w:space="0"/>
              <w:bottom w:val="single" w:color="auto" w:sz="4" w:space="0"/>
              <w:right w:val="single" w:color="auto" w:sz="4" w:space="0"/>
            </w:tcBorders>
            <w:vAlign w:val="center"/>
          </w:tcPr>
          <w:p>
            <w:pPr>
              <w:spacing w:line="340" w:lineRule="exact"/>
              <w:contextualSpacing/>
              <w:jc w:val="left"/>
              <w:rPr>
                <w:rFonts w:ascii="宋体" w:hAnsi="宋体"/>
                <w:color w:val="auto"/>
                <w:szCs w:val="21"/>
                <w:highlight w:val="none"/>
              </w:rPr>
            </w:pPr>
            <w:r>
              <w:rPr>
                <w:rFonts w:hint="eastAsia" w:ascii="宋体" w:hAnsi="宋体"/>
                <w:color w:val="auto"/>
                <w:szCs w:val="21"/>
                <w:highlight w:val="none"/>
              </w:rPr>
              <w:t>履约保证金金额：每分标</w:t>
            </w:r>
            <w:r>
              <w:rPr>
                <w:rFonts w:hint="eastAsia" w:ascii="宋体" w:hAnsi="宋体" w:cs="宋体"/>
                <w:color w:val="auto"/>
                <w:szCs w:val="21"/>
                <w:highlight w:val="none"/>
              </w:rPr>
              <w:t>按中标金额的</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%收取，并于合同签订前提交至采购人指定账户。</w:t>
            </w:r>
          </w:p>
          <w:p>
            <w:pPr>
              <w:spacing w:line="340" w:lineRule="exact"/>
              <w:jc w:val="left"/>
              <w:rPr>
                <w:rFonts w:ascii="宋体" w:hAnsi="宋体"/>
                <w:color w:val="auto"/>
                <w:szCs w:val="21"/>
                <w:highlight w:val="none"/>
              </w:rPr>
            </w:pPr>
            <w:r>
              <w:rPr>
                <w:rFonts w:hint="eastAsia" w:ascii="宋体" w:hAnsi="宋体"/>
                <w:color w:val="auto"/>
                <w:szCs w:val="21"/>
                <w:highlight w:val="none"/>
              </w:rPr>
              <w:t>履约保证金递交方式：支票、汇票、本票，或者银行、保险机构出具的保函等非现金方式。</w:t>
            </w:r>
          </w:p>
          <w:p>
            <w:pPr>
              <w:spacing w:line="340" w:lineRule="exact"/>
              <w:jc w:val="left"/>
              <w:rPr>
                <w:color w:val="auto"/>
                <w:highlight w:val="none"/>
              </w:rPr>
            </w:pPr>
            <w:r>
              <w:rPr>
                <w:rFonts w:hint="eastAsia" w:ascii="宋体" w:hAnsi="宋体"/>
                <w:color w:val="auto"/>
                <w:szCs w:val="21"/>
                <w:highlight w:val="none"/>
              </w:rPr>
              <w:t>履约保证金退付的方式、时间及条件：</w:t>
            </w:r>
            <w:r>
              <w:rPr>
                <w:rFonts w:hint="eastAsia"/>
                <w:color w:val="auto"/>
                <w:highlight w:val="none"/>
              </w:rPr>
              <w:t>履约保证金在中标人按合同约定的项目验收交付正常运行一年后，由中标人向采购人提供《采购项目合同验收书》及《采购项目履约保证金退付意见书》（详见附件），甲方在收到合格材料后15个工作日内如数退还（不计利息）。采购人无故延期退付履约保证金的，每天向对方偿付未退付履约保证金3‰作为违约金。</w:t>
            </w:r>
          </w:p>
          <w:p>
            <w:pPr>
              <w:spacing w:line="340" w:lineRule="exact"/>
              <w:jc w:val="left"/>
              <w:rPr>
                <w:rFonts w:ascii="宋体" w:hAnsi="宋体" w:cs="宋体"/>
                <w:color w:val="auto"/>
                <w:kern w:val="0"/>
                <w:szCs w:val="21"/>
              </w:rPr>
            </w:pPr>
            <w:r>
              <w:rPr>
                <w:rFonts w:hint="eastAsia" w:ascii="宋体" w:hAnsi="宋体"/>
                <w:color w:val="auto"/>
                <w:szCs w:val="21"/>
                <w:highlight w:val="none"/>
              </w:rPr>
              <w:t>不予退还的情形：签订合同后，如中标人不按双方签订的合同规定履约，则其全部履约保证金不予退还。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rPr>
            </w:pPr>
            <w:bookmarkStart w:id="80" w:name="_40.1"/>
            <w:bookmarkEnd w:id="80"/>
            <w:r>
              <w:rPr>
                <w:rFonts w:hint="eastAsia" w:ascii="宋体" w:hAnsi="宋体"/>
                <w:color w:val="auto"/>
                <w:szCs w:val="21"/>
              </w:rPr>
              <w:t>36.1</w:t>
            </w:r>
          </w:p>
        </w:tc>
        <w:tc>
          <w:tcPr>
            <w:tcW w:w="889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color w:val="auto"/>
                <w:szCs w:val="21"/>
              </w:rPr>
            </w:pPr>
            <w:r>
              <w:rPr>
                <w:rFonts w:hint="eastAsia" w:ascii="宋体" w:hAnsi="宋体"/>
                <w:color w:val="auto"/>
                <w:szCs w:val="21"/>
              </w:rPr>
              <w:t>签订合同携带的证明材料：</w:t>
            </w:r>
          </w:p>
          <w:p>
            <w:pPr>
              <w:autoSpaceDE w:val="0"/>
              <w:autoSpaceDN w:val="0"/>
              <w:snapToGrid w:val="0"/>
              <w:spacing w:line="360" w:lineRule="exact"/>
              <w:textAlignment w:val="bottom"/>
              <w:rPr>
                <w:rFonts w:ascii="宋体" w:hAnsi="宋体"/>
                <w:color w:val="auto"/>
                <w:szCs w:val="21"/>
              </w:rPr>
            </w:pPr>
            <w:r>
              <w:rPr>
                <w:rFonts w:hint="eastAsia" w:ascii="宋体" w:hAnsi="宋体"/>
                <w:color w:val="auto"/>
                <w:szCs w:val="21"/>
              </w:rPr>
              <w:t>委托代理人负责签订合同的，须携带授权委托书及委托代理人身份证原件等其他资格证件。</w:t>
            </w:r>
          </w:p>
          <w:p>
            <w:pPr>
              <w:autoSpaceDE w:val="0"/>
              <w:autoSpaceDN w:val="0"/>
              <w:snapToGrid w:val="0"/>
              <w:spacing w:line="360" w:lineRule="exact"/>
              <w:textAlignment w:val="bottom"/>
              <w:rPr>
                <w:rFonts w:ascii="宋体" w:hAnsi="宋体"/>
                <w:color w:val="auto"/>
                <w:szCs w:val="21"/>
              </w:rPr>
            </w:pPr>
            <w:r>
              <w:rPr>
                <w:rFonts w:hint="eastAsia" w:ascii="宋体" w:hAnsi="宋体"/>
                <w:color w:val="auto"/>
                <w:szCs w:val="21"/>
              </w:rPr>
              <w:t>法定代表人负责签订合同的，须携带法定代表人</w:t>
            </w:r>
            <w:r>
              <w:rPr>
                <w:rFonts w:ascii="宋体" w:hAnsi="宋体"/>
                <w:color w:val="auto"/>
                <w:szCs w:val="21"/>
              </w:rPr>
              <w:t>身份证明原件</w:t>
            </w:r>
            <w:r>
              <w:rPr>
                <w:rFonts w:hint="eastAsia" w:ascii="宋体" w:hAnsi="宋体"/>
                <w:color w:val="auto"/>
                <w:szCs w:val="21"/>
              </w:rPr>
              <w:t>及</w:t>
            </w:r>
            <w:r>
              <w:rPr>
                <w:rFonts w:ascii="宋体" w:hAnsi="宋体"/>
                <w:color w:val="auto"/>
                <w:szCs w:val="21"/>
              </w:rPr>
              <w:t>身份证原件</w:t>
            </w:r>
            <w:r>
              <w:rPr>
                <w:rFonts w:hint="eastAsia" w:ascii="宋体" w:hAnsi="宋体"/>
                <w:color w:val="auto"/>
                <w:szCs w:val="21"/>
              </w:rPr>
              <w:t>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rPr>
            </w:pPr>
            <w:r>
              <w:rPr>
                <w:rFonts w:hint="eastAsia" w:ascii="宋体" w:hAnsi="宋体"/>
                <w:color w:val="auto"/>
                <w:szCs w:val="21"/>
              </w:rPr>
              <w:t>3</w:t>
            </w:r>
            <w:r>
              <w:rPr>
                <w:rFonts w:ascii="宋体" w:hAnsi="宋体"/>
                <w:color w:val="auto"/>
                <w:szCs w:val="21"/>
              </w:rPr>
              <w:t>8.2</w:t>
            </w:r>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Cs w:val="21"/>
              </w:rPr>
            </w:pPr>
            <w:r>
              <w:rPr>
                <w:rFonts w:hint="eastAsia" w:ascii="宋体" w:hAnsi="宋体"/>
                <w:color w:val="auto"/>
                <w:szCs w:val="21"/>
              </w:rPr>
              <w:t>接收质疑函方式：以书面形式</w:t>
            </w:r>
          </w:p>
          <w:p>
            <w:pPr>
              <w:snapToGrid w:val="0"/>
              <w:spacing w:line="360" w:lineRule="auto"/>
              <w:rPr>
                <w:rFonts w:ascii="宋体" w:hAnsi="宋体"/>
                <w:color w:val="auto"/>
                <w:szCs w:val="21"/>
              </w:rPr>
            </w:pPr>
            <w:r>
              <w:rPr>
                <w:rFonts w:hint="eastAsia" w:ascii="宋体" w:hAnsi="宋体"/>
                <w:color w:val="auto"/>
                <w:szCs w:val="21"/>
              </w:rPr>
              <w:t>质疑联系部门及联系方式：</w:t>
            </w:r>
            <w:r>
              <w:rPr>
                <w:rFonts w:hint="eastAsia" w:ascii="宋体" w:hAnsi="宋体" w:cs="宋体"/>
                <w:color w:val="auto"/>
                <w:szCs w:val="21"/>
                <w:u w:val="single"/>
              </w:rPr>
              <w:t>中资国际工程咨询集团有限责任公司项目一部</w:t>
            </w:r>
            <w:r>
              <w:rPr>
                <w:rFonts w:hint="eastAsia" w:ascii="宋体" w:hAnsi="宋体"/>
                <w:color w:val="auto"/>
                <w:szCs w:val="21"/>
                <w:u w:val="single"/>
              </w:rPr>
              <w:t xml:space="preserve"> </w:t>
            </w:r>
            <w:r>
              <w:rPr>
                <w:rFonts w:hint="eastAsia" w:ascii="宋体" w:hAnsi="宋体"/>
                <w:color w:val="auto"/>
                <w:szCs w:val="21"/>
              </w:rPr>
              <w:t>部门，质疑联系人：</w:t>
            </w:r>
            <w:r>
              <w:rPr>
                <w:rFonts w:hint="eastAsia" w:ascii="宋体" w:hAnsi="宋体"/>
                <w:color w:val="auto"/>
                <w:szCs w:val="21"/>
                <w:u w:val="single"/>
              </w:rPr>
              <w:t>郭乃华</w:t>
            </w:r>
            <w:r>
              <w:rPr>
                <w:rFonts w:hint="eastAsia" w:ascii="宋体" w:hAnsi="宋体"/>
                <w:color w:val="auto"/>
                <w:szCs w:val="21"/>
              </w:rPr>
              <w:t>，</w:t>
            </w:r>
            <w:r>
              <w:rPr>
                <w:rFonts w:ascii="宋体" w:hAnsi="宋体"/>
                <w:color w:val="auto"/>
                <w:szCs w:val="21"/>
              </w:rPr>
              <w:t>联系电话</w:t>
            </w:r>
            <w:r>
              <w:rPr>
                <w:rFonts w:hint="eastAsia" w:ascii="宋体" w:hAnsi="宋体"/>
                <w:color w:val="auto"/>
                <w:szCs w:val="21"/>
              </w:rPr>
              <w:t>：</w:t>
            </w:r>
            <w:r>
              <w:rPr>
                <w:rFonts w:hint="eastAsia" w:ascii="宋体" w:hAnsi="宋体" w:cs="宋体"/>
                <w:color w:val="auto"/>
                <w:szCs w:val="21"/>
                <w:u w:val="single"/>
              </w:rPr>
              <w:t>0771-5675006</w:t>
            </w:r>
            <w:r>
              <w:rPr>
                <w:rFonts w:hint="eastAsia" w:ascii="宋体" w:hAnsi="宋体"/>
                <w:color w:val="auto"/>
                <w:szCs w:val="21"/>
              </w:rPr>
              <w:t>，</w:t>
            </w:r>
            <w:r>
              <w:rPr>
                <w:rFonts w:ascii="宋体" w:hAnsi="宋体"/>
                <w:color w:val="auto"/>
                <w:szCs w:val="21"/>
              </w:rPr>
              <w:t>通讯地址</w:t>
            </w:r>
            <w:r>
              <w:rPr>
                <w:rFonts w:hint="eastAsia" w:ascii="宋体" w:hAnsi="宋体" w:cs="Helvetica"/>
                <w:color w:val="auto"/>
                <w:szCs w:val="21"/>
              </w:rPr>
              <w:t>：</w:t>
            </w:r>
            <w:r>
              <w:rPr>
                <w:rFonts w:hint="eastAsia" w:ascii="宋体" w:hAnsi="宋体" w:cs="宋体"/>
                <w:color w:val="auto"/>
                <w:szCs w:val="21"/>
                <w:u w:val="single"/>
              </w:rPr>
              <w:t>南宁市青秀区长园路8号大地华城S3-01号商场三楼。</w:t>
            </w:r>
          </w:p>
          <w:p>
            <w:pPr>
              <w:autoSpaceDE w:val="0"/>
              <w:autoSpaceDN w:val="0"/>
              <w:snapToGrid w:val="0"/>
              <w:spacing w:line="360" w:lineRule="exact"/>
              <w:textAlignment w:val="bottom"/>
              <w:rPr>
                <w:rFonts w:ascii="宋体" w:hAnsi="宋体"/>
                <w:color w:val="auto"/>
                <w:szCs w:val="21"/>
              </w:rPr>
            </w:pPr>
            <w:r>
              <w:rPr>
                <w:rFonts w:hint="eastAsia" w:hAnsi="宋体"/>
                <w:color w:val="auto"/>
              </w:rPr>
              <w:t>现场提交质疑办理业务时</w:t>
            </w:r>
            <w:r>
              <w:rPr>
                <w:rFonts w:hint="eastAsia" w:ascii="宋体" w:hAnsi="宋体" w:cs="宋体"/>
                <w:color w:val="auto"/>
              </w:rPr>
              <w:t>间：每天8时30分到12时00分，15时00分到18时00分，业务时间以外、双休日和法定节假日不办理业务。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rPr>
            </w:pPr>
            <w:bookmarkStart w:id="81" w:name="_41"/>
            <w:bookmarkEnd w:id="81"/>
            <w:bookmarkStart w:id="82" w:name="_42"/>
            <w:bookmarkEnd w:id="82"/>
            <w:bookmarkStart w:id="83" w:name="_Hlt17709148"/>
            <w:r>
              <w:rPr>
                <w:rFonts w:hint="eastAsia" w:ascii="宋体" w:hAnsi="宋体"/>
                <w:color w:val="auto"/>
                <w:szCs w:val="21"/>
              </w:rPr>
              <w:t>3</w:t>
            </w:r>
            <w:bookmarkEnd w:id="83"/>
            <w:r>
              <w:rPr>
                <w:rFonts w:ascii="宋体" w:hAnsi="宋体"/>
                <w:color w:val="auto"/>
                <w:szCs w:val="21"/>
              </w:rPr>
              <w:t>9.1</w:t>
            </w:r>
          </w:p>
        </w:tc>
        <w:tc>
          <w:tcPr>
            <w:tcW w:w="8890" w:type="dxa"/>
            <w:tcBorders>
              <w:top w:val="single" w:color="auto" w:sz="4" w:space="0"/>
              <w:left w:val="single" w:color="auto" w:sz="4" w:space="0"/>
              <w:bottom w:val="single" w:color="auto" w:sz="4" w:space="0"/>
              <w:right w:val="single" w:color="auto" w:sz="4" w:space="0"/>
            </w:tcBorders>
            <w:vAlign w:val="center"/>
          </w:tcPr>
          <w:p>
            <w:pPr>
              <w:pStyle w:val="18"/>
              <w:snapToGrid w:val="0"/>
              <w:spacing w:line="340" w:lineRule="exact"/>
              <w:rPr>
                <w:rFonts w:hAnsi="宋体" w:cs="宋体"/>
                <w:color w:val="auto"/>
              </w:rPr>
            </w:pPr>
            <w:r>
              <w:rPr>
                <w:rFonts w:hint="eastAsia" w:hAnsi="宋体" w:cs="宋体"/>
                <w:color w:val="auto"/>
              </w:rPr>
              <w:t>1.采购代理费支付方式：</w:t>
            </w:r>
          </w:p>
          <w:p>
            <w:pPr>
              <w:pStyle w:val="18"/>
              <w:snapToGrid w:val="0"/>
              <w:spacing w:line="340" w:lineRule="exact"/>
              <w:rPr>
                <w:rFonts w:hAnsi="宋体" w:cs="宋体"/>
                <w:color w:val="auto"/>
              </w:rPr>
            </w:pPr>
            <w:r>
              <w:rPr>
                <w:rFonts w:hint="eastAsia" w:hAnsi="宋体"/>
                <w:b/>
                <w:color w:val="auto"/>
                <w:szCs w:val="21"/>
              </w:rPr>
              <w:t>☑</w:t>
            </w:r>
            <w:r>
              <w:rPr>
                <w:rFonts w:hint="eastAsia" w:hAnsi="宋体" w:cs="宋体"/>
                <w:color w:val="auto"/>
              </w:rPr>
              <w:t>本项目代理服务费由</w:t>
            </w:r>
            <w:r>
              <w:rPr>
                <w:rFonts w:hint="eastAsia" w:hAnsi="宋体" w:cs="宋体"/>
                <w:color w:val="auto"/>
                <w:u w:val="single"/>
              </w:rPr>
              <w:t>中标供应商</w:t>
            </w:r>
            <w:r>
              <w:rPr>
                <w:rFonts w:hint="eastAsia" w:hAnsi="宋体" w:cs="宋体"/>
                <w:color w:val="auto"/>
              </w:rPr>
              <w:t>在领取中标通知书前，一次性向采购代理机构支付。</w:t>
            </w:r>
          </w:p>
          <w:p>
            <w:pPr>
              <w:pStyle w:val="18"/>
              <w:snapToGrid w:val="0"/>
              <w:spacing w:line="340" w:lineRule="exact"/>
              <w:rPr>
                <w:rFonts w:hAnsi="宋体" w:cs="宋体"/>
                <w:color w:val="auto"/>
              </w:rPr>
            </w:pPr>
            <w:r>
              <w:rPr>
                <w:rFonts w:hint="eastAsia" w:hAnsi="宋体" w:cs="宋体"/>
                <w:color w:val="auto"/>
              </w:rPr>
              <w:t>2.采购代理费收取标准：</w:t>
            </w:r>
          </w:p>
          <w:p>
            <w:pPr>
              <w:pStyle w:val="18"/>
              <w:snapToGrid w:val="0"/>
              <w:spacing w:line="340" w:lineRule="exact"/>
              <w:rPr>
                <w:rFonts w:hAnsi="宋体" w:cs="宋体"/>
                <w:color w:val="auto"/>
              </w:rPr>
            </w:pPr>
            <w:r>
              <w:rPr>
                <w:rFonts w:hint="eastAsia" w:hAnsi="宋体" w:cs="宋体"/>
                <w:color w:val="auto"/>
              </w:rPr>
              <w:t>根据国家现行取费政策，参照国家发展计划委员会《招标代理服务费管理暂行办法》计价格（2002）1980号号收费标准、《国家发展改革委关于降低部分建设项目收费标准规范收费行为等有关问题的通知》（发改价格〔2011〕534号）货物类收费标准向中标人收取。</w:t>
            </w:r>
          </w:p>
          <w:p>
            <w:pPr>
              <w:pStyle w:val="18"/>
              <w:snapToGrid w:val="0"/>
              <w:spacing w:line="340" w:lineRule="exact"/>
              <w:rPr>
                <w:rFonts w:hAnsi="宋体" w:cs="宋体"/>
                <w:color w:val="auto"/>
              </w:rPr>
            </w:pPr>
            <w:r>
              <w:rPr>
                <w:rFonts w:hint="eastAsia" w:hAnsi="宋体" w:cs="宋体"/>
                <w:color w:val="auto"/>
              </w:rPr>
              <w:t>3</w:t>
            </w:r>
            <w:r>
              <w:rPr>
                <w:rFonts w:hAnsi="宋体" w:cs="宋体"/>
                <w:color w:val="auto"/>
              </w:rPr>
              <w:t>.</w:t>
            </w:r>
            <w:r>
              <w:rPr>
                <w:rFonts w:hint="eastAsia" w:hAnsi="宋体" w:cs="宋体"/>
                <w:color w:val="auto"/>
              </w:rPr>
              <w:t>账户名称：中资国际工程咨询集团有限责任公司广西分公司</w:t>
            </w:r>
          </w:p>
          <w:p>
            <w:pPr>
              <w:pStyle w:val="18"/>
              <w:snapToGrid w:val="0"/>
              <w:spacing w:line="340" w:lineRule="exact"/>
              <w:rPr>
                <w:rFonts w:hAnsi="宋体" w:cs="宋体"/>
                <w:color w:val="auto"/>
                <w:u w:val="single"/>
              </w:rPr>
            </w:pPr>
            <w:r>
              <w:rPr>
                <w:rFonts w:hint="eastAsia" w:hAnsi="宋体" w:cs="宋体"/>
                <w:color w:val="auto"/>
              </w:rPr>
              <w:t>税号：</w:t>
            </w:r>
            <w:r>
              <w:rPr>
                <w:rFonts w:hint="eastAsia" w:hAnsi="宋体" w:cs="宋体"/>
                <w:color w:val="auto"/>
                <w:u w:val="single"/>
              </w:rPr>
              <w:t>91450103310109108R</w:t>
            </w:r>
          </w:p>
          <w:p>
            <w:pPr>
              <w:pStyle w:val="18"/>
              <w:snapToGrid w:val="0"/>
              <w:spacing w:line="340" w:lineRule="exact"/>
              <w:rPr>
                <w:rFonts w:hAnsi="宋体" w:cs="宋体"/>
                <w:color w:val="auto"/>
              </w:rPr>
            </w:pPr>
            <w:r>
              <w:rPr>
                <w:rFonts w:hint="eastAsia" w:hAnsi="宋体" w:cs="宋体"/>
                <w:color w:val="auto"/>
              </w:rPr>
              <w:t>开户行：</w:t>
            </w:r>
            <w:r>
              <w:rPr>
                <w:rFonts w:hint="eastAsia" w:hAnsi="宋体" w:cs="宋体"/>
                <w:color w:val="auto"/>
                <w:kern w:val="0"/>
                <w:szCs w:val="21"/>
                <w:u w:val="single"/>
              </w:rPr>
              <w:t>招商银行南宁分行东葛路支行</w:t>
            </w:r>
          </w:p>
          <w:p>
            <w:pPr>
              <w:pStyle w:val="18"/>
              <w:snapToGrid w:val="0"/>
              <w:spacing w:line="340" w:lineRule="exact"/>
              <w:rPr>
                <w:rFonts w:hAnsi="宋体"/>
                <w:color w:val="auto"/>
              </w:rPr>
            </w:pPr>
            <w:r>
              <w:rPr>
                <w:rFonts w:hint="eastAsia" w:hAnsi="宋体" w:cs="宋体"/>
                <w:color w:val="auto"/>
              </w:rPr>
              <w:t>银行账号：</w:t>
            </w:r>
            <w:r>
              <w:rPr>
                <w:rFonts w:hint="eastAsia" w:hAnsi="宋体" w:cs="宋体"/>
                <w:color w:val="auto"/>
                <w:kern w:val="0"/>
                <w:szCs w:val="21"/>
                <w:u w:val="single"/>
              </w:rPr>
              <w:t>771901372110211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rPr>
            </w:pPr>
            <w:r>
              <w:rPr>
                <w:rFonts w:ascii="宋体" w:hAnsi="宋体"/>
                <w:color w:val="auto"/>
                <w:szCs w:val="21"/>
              </w:rPr>
              <w:t>40.1</w:t>
            </w:r>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rPr>
                <w:rFonts w:ascii="宋体" w:hAnsi="宋体"/>
                <w:color w:val="auto"/>
                <w:szCs w:val="21"/>
              </w:rPr>
            </w:pPr>
            <w:r>
              <w:rPr>
                <w:rFonts w:hint="eastAsia" w:ascii="宋体" w:hAnsi="宋体"/>
                <w:color w:val="auto"/>
                <w:szCs w:val="21"/>
              </w:rPr>
              <w:t>解释：</w:t>
            </w:r>
            <w:r>
              <w:rPr>
                <w:rFonts w:ascii="宋体" w:hAnsi="宋体"/>
                <w:color w:val="auto"/>
                <w:szCs w:val="21"/>
              </w:rPr>
              <w:t>构成本招标文件的各个组成文件应互为解释，互为说明；除招标文件中有特别规定外，仅适用于招标投标阶段的规定，按</w:t>
            </w:r>
            <w:r>
              <w:rPr>
                <w:rFonts w:hint="eastAsia" w:ascii="宋体" w:hAnsi="宋体"/>
                <w:color w:val="auto"/>
                <w:szCs w:val="21"/>
              </w:rPr>
              <w:t>更正公告（澄清公告）</w:t>
            </w:r>
            <w:r>
              <w:rPr>
                <w:rFonts w:ascii="宋体" w:hAnsi="宋体"/>
                <w:color w:val="auto"/>
                <w:szCs w:val="21"/>
              </w:rPr>
              <w:t>、招标公告、</w:t>
            </w:r>
            <w:r>
              <w:rPr>
                <w:rFonts w:hint="eastAsia" w:ascii="宋体" w:hAnsi="宋体"/>
                <w:color w:val="auto"/>
                <w:szCs w:val="21"/>
              </w:rPr>
              <w:t>采购需求、</w:t>
            </w:r>
            <w:r>
              <w:rPr>
                <w:rFonts w:ascii="宋体" w:hAnsi="宋体"/>
                <w:color w:val="auto"/>
                <w:szCs w:val="21"/>
              </w:rPr>
              <w:t>投标人须知、</w:t>
            </w:r>
            <w:r>
              <w:rPr>
                <w:rFonts w:hint="eastAsia" w:ascii="宋体" w:hAnsi="宋体"/>
                <w:color w:val="auto"/>
                <w:szCs w:val="21"/>
              </w:rPr>
              <w:t>评标方法及评标标准</w:t>
            </w:r>
            <w:r>
              <w:rPr>
                <w:rFonts w:ascii="宋体" w:hAnsi="宋体"/>
                <w:color w:val="auto"/>
                <w:szCs w:val="21"/>
              </w:rPr>
              <w:t>、</w:t>
            </w:r>
            <w:r>
              <w:rPr>
                <w:rFonts w:hint="eastAsia" w:ascii="宋体" w:hAnsi="宋体"/>
                <w:color w:val="auto"/>
                <w:szCs w:val="21"/>
              </w:rPr>
              <w:t>拟签订的合同文本、</w:t>
            </w:r>
            <w:r>
              <w:rPr>
                <w:rFonts w:ascii="宋体" w:hAnsi="宋体"/>
                <w:color w:val="auto"/>
                <w:szCs w:val="21"/>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szCs w:val="21"/>
              </w:rPr>
              <w:t>更正公告（澄清公告）</w:t>
            </w:r>
            <w:r>
              <w:rPr>
                <w:rFonts w:ascii="宋体" w:hAnsi="宋体"/>
                <w:color w:val="auto"/>
                <w:szCs w:val="21"/>
              </w:rPr>
              <w:t>与同步更新的招标文件不一致时以</w:t>
            </w:r>
            <w:r>
              <w:rPr>
                <w:rFonts w:hint="eastAsia" w:ascii="宋体" w:hAnsi="宋体"/>
                <w:color w:val="auto"/>
                <w:szCs w:val="21"/>
              </w:rPr>
              <w:t>更正公告（澄清公告）</w:t>
            </w:r>
            <w:r>
              <w:rPr>
                <w:rFonts w:ascii="宋体" w:hAnsi="宋体"/>
                <w:color w:val="auto"/>
                <w:szCs w:val="21"/>
              </w:rPr>
              <w:t>为准。按本款前述规定仍不能形成结论的，由</w:t>
            </w:r>
            <w:r>
              <w:rPr>
                <w:rFonts w:hint="eastAsia" w:ascii="宋体" w:hAnsi="宋体"/>
                <w:color w:val="auto"/>
                <w:szCs w:val="21"/>
              </w:rPr>
              <w:t>采购</w:t>
            </w:r>
            <w:r>
              <w:rPr>
                <w:rFonts w:ascii="宋体" w:hAnsi="宋体"/>
                <w:color w:val="auto"/>
                <w:szCs w:val="21"/>
              </w:rPr>
              <w:t>人</w:t>
            </w:r>
            <w:r>
              <w:rPr>
                <w:rFonts w:hint="eastAsia" w:ascii="宋体" w:hAnsi="宋体"/>
                <w:color w:val="auto"/>
                <w:szCs w:val="21"/>
              </w:rPr>
              <w:t>或者采购代理机构</w:t>
            </w:r>
            <w:r>
              <w:rPr>
                <w:rFonts w:ascii="宋体" w:hAnsi="宋体"/>
                <w:color w:val="auto"/>
                <w:szCs w:val="21"/>
              </w:rPr>
              <w:t>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rPr>
            </w:pPr>
            <w:r>
              <w:rPr>
                <w:rFonts w:ascii="宋体" w:hAnsi="宋体"/>
                <w:color w:val="auto"/>
                <w:szCs w:val="21"/>
              </w:rPr>
              <w:t>40.2</w:t>
            </w:r>
          </w:p>
        </w:tc>
        <w:tc>
          <w:tcPr>
            <w:tcW w:w="8890" w:type="dxa"/>
            <w:tcBorders>
              <w:top w:val="single" w:color="auto" w:sz="4" w:space="0"/>
              <w:left w:val="single" w:color="auto" w:sz="4" w:space="0"/>
              <w:bottom w:val="single" w:color="auto" w:sz="4" w:space="0"/>
              <w:right w:val="single" w:color="auto" w:sz="4" w:space="0"/>
            </w:tcBorders>
            <w:vAlign w:val="center"/>
          </w:tcPr>
          <w:p>
            <w:pPr>
              <w:pStyle w:val="18"/>
              <w:snapToGrid w:val="0"/>
              <w:spacing w:line="360" w:lineRule="auto"/>
              <w:rPr>
                <w:rFonts w:hAnsi="宋体" w:cs="宋体"/>
                <w:b/>
                <w:bCs/>
                <w:color w:val="auto"/>
              </w:rPr>
            </w:pPr>
            <w:r>
              <w:rPr>
                <w:rFonts w:hint="eastAsia" w:hAnsi="宋体" w:cs="宋体"/>
                <w:b/>
                <w:bCs/>
                <w:color w:val="auto"/>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pPr>
              <w:pStyle w:val="18"/>
              <w:snapToGrid w:val="0"/>
              <w:spacing w:line="360" w:lineRule="auto"/>
              <w:rPr>
                <w:rFonts w:hAnsi="宋体" w:cs="宋体"/>
                <w:b/>
                <w:bCs/>
                <w:color w:val="auto"/>
              </w:rPr>
            </w:pPr>
            <w:r>
              <w:rPr>
                <w:rFonts w:hint="eastAsia" w:hAnsi="宋体" w:cs="宋体"/>
                <w:b/>
                <w:bCs/>
                <w:color w:val="auto"/>
              </w:rPr>
              <w:t>2.投标人为其他组织或者自然人时，本招标文件规定的法定代表人指负责人或者自然人。本招标文件所称负责人是指参加投标的其他组织营业执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pPr>
              <w:pStyle w:val="18"/>
              <w:snapToGrid w:val="0"/>
              <w:spacing w:line="360" w:lineRule="auto"/>
              <w:rPr>
                <w:rFonts w:hAnsi="宋体" w:cs="宋体"/>
                <w:b/>
                <w:bCs/>
                <w:color w:val="auto"/>
              </w:rPr>
            </w:pPr>
            <w:r>
              <w:rPr>
                <w:rFonts w:hint="eastAsia" w:hAnsi="宋体" w:cs="宋体"/>
                <w:b/>
                <w:bCs/>
                <w:color w:val="auto"/>
              </w:rPr>
              <w:t>3.本招标文件中描述投标人的“签字”是指投标人的法定代表人或者委托代理人亲自在文件规定签署处亲笔写上个人的名字的行为，私章、签字章、印鉴、影印等其他形式均不能代替亲笔签字。</w:t>
            </w:r>
          </w:p>
          <w:p>
            <w:pPr>
              <w:pStyle w:val="18"/>
              <w:snapToGrid w:val="0"/>
              <w:spacing w:line="360" w:lineRule="auto"/>
              <w:rPr>
                <w:rFonts w:hAnsi="宋体" w:cs="宋体"/>
                <w:b/>
                <w:bCs/>
                <w:color w:val="auto"/>
              </w:rPr>
            </w:pPr>
            <w:r>
              <w:rPr>
                <w:rFonts w:hint="eastAsia" w:hAnsi="宋体" w:cs="宋体"/>
                <w:b/>
                <w:bCs/>
                <w:color w:val="auto"/>
              </w:rPr>
              <w:t>4.自然人投标的，招标文件规定盖公章处由自然人摁手指指印。</w:t>
            </w:r>
          </w:p>
          <w:p>
            <w:pPr>
              <w:spacing w:line="340" w:lineRule="exact"/>
              <w:jc w:val="left"/>
              <w:rPr>
                <w:rFonts w:ascii="宋体" w:hAnsi="宋体"/>
                <w:color w:val="auto"/>
                <w:szCs w:val="21"/>
              </w:rPr>
            </w:pPr>
            <w:r>
              <w:rPr>
                <w:rFonts w:hint="eastAsia" w:ascii="宋体" w:hAnsi="宋体" w:cs="宋体"/>
                <w:b/>
                <w:bCs/>
                <w:color w:val="auto"/>
                <w:szCs w:val="21"/>
              </w:rPr>
              <w:t>5.本招标文件所称的“以上”“以下”“以内”“届满”，包括本数；所称的“不满”“超过”“以外”，不包括本数。</w:t>
            </w:r>
          </w:p>
        </w:tc>
      </w:tr>
    </w:tbl>
    <w:p>
      <w:pPr>
        <w:snapToGrid w:val="0"/>
        <w:rPr>
          <w:rFonts w:ascii="宋体" w:hAnsi="宋体"/>
          <w:color w:val="auto"/>
          <w:sz w:val="24"/>
          <w:szCs w:val="20"/>
        </w:rPr>
      </w:pPr>
    </w:p>
    <w:p>
      <w:pPr>
        <w:pStyle w:val="2"/>
        <w:keepNext w:val="0"/>
        <w:keepLines w:val="0"/>
        <w:jc w:val="center"/>
        <w:rPr>
          <w:color w:val="auto"/>
        </w:rPr>
      </w:pPr>
      <w:r>
        <w:rPr>
          <w:color w:val="auto"/>
        </w:rPr>
        <w:br w:type="page"/>
      </w:r>
      <w:r>
        <w:rPr>
          <w:rFonts w:hint="eastAsia"/>
          <w:color w:val="auto"/>
        </w:rPr>
        <w:t>投标人须知正文</w:t>
      </w:r>
    </w:p>
    <w:p>
      <w:pPr>
        <w:rPr>
          <w:color w:val="auto"/>
        </w:rPr>
      </w:pPr>
    </w:p>
    <w:p>
      <w:pPr>
        <w:pStyle w:val="2"/>
        <w:keepNext w:val="0"/>
        <w:keepLines w:val="0"/>
        <w:numPr>
          <w:ilvl w:val="0"/>
          <w:numId w:val="8"/>
        </w:numPr>
        <w:jc w:val="center"/>
        <w:rPr>
          <w:color w:val="auto"/>
        </w:rPr>
      </w:pPr>
      <w:r>
        <w:rPr>
          <w:rFonts w:hint="eastAsia"/>
          <w:color w:val="auto"/>
        </w:rPr>
        <w:t>总  则</w:t>
      </w:r>
    </w:p>
    <w:p>
      <w:pPr>
        <w:rPr>
          <w:color w:val="auto"/>
        </w:rPr>
      </w:pPr>
    </w:p>
    <w:p>
      <w:pPr>
        <w:pStyle w:val="6"/>
        <w:keepNext w:val="0"/>
        <w:keepLines w:val="0"/>
        <w:spacing w:before="0" w:after="0" w:line="360" w:lineRule="auto"/>
        <w:ind w:left="420" w:leftChars="200"/>
        <w:rPr>
          <w:rFonts w:ascii="黑体" w:hAnsi="黑体" w:eastAsia="黑体"/>
          <w:color w:val="auto"/>
          <w:sz w:val="24"/>
        </w:rPr>
      </w:pPr>
      <w:bookmarkStart w:id="84" w:name="_Toc254970668"/>
      <w:bookmarkStart w:id="85" w:name="_Toc254970527"/>
      <w:r>
        <w:rPr>
          <w:rFonts w:hint="eastAsia" w:ascii="黑体" w:hAnsi="黑体" w:eastAsia="黑体"/>
          <w:color w:val="auto"/>
          <w:sz w:val="24"/>
        </w:rPr>
        <w:t>1.适用范围</w:t>
      </w:r>
      <w:bookmarkEnd w:id="84"/>
      <w:bookmarkEnd w:id="85"/>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1.2本招标文件</w:t>
      </w:r>
      <w:r>
        <w:rPr>
          <w:rFonts w:hint="eastAsia" w:ascii="宋体" w:hAnsi="宋体" w:cs="宋体"/>
          <w:color w:val="auto"/>
          <w:spacing w:val="-6"/>
          <w:szCs w:val="21"/>
        </w:rPr>
        <w:t>适用于本项目的所有采购程序和环节（法律、法规另有规定的，从其规定）。</w:t>
      </w:r>
    </w:p>
    <w:p>
      <w:pPr>
        <w:pStyle w:val="6"/>
        <w:keepNext w:val="0"/>
        <w:keepLines w:val="0"/>
        <w:spacing w:before="0" w:after="0" w:line="360" w:lineRule="auto"/>
        <w:ind w:left="420" w:leftChars="200"/>
        <w:rPr>
          <w:rFonts w:ascii="黑体" w:hAnsi="黑体" w:eastAsia="黑体"/>
          <w:color w:val="auto"/>
          <w:sz w:val="24"/>
        </w:rPr>
      </w:pPr>
      <w:bookmarkStart w:id="86" w:name="_Toc254970669"/>
      <w:bookmarkStart w:id="87" w:name="_Toc254970528"/>
      <w:r>
        <w:rPr>
          <w:rFonts w:hint="eastAsia" w:ascii="黑体" w:hAnsi="黑体" w:eastAsia="黑体"/>
          <w:color w:val="auto"/>
          <w:sz w:val="24"/>
        </w:rPr>
        <w:t>2.定义</w:t>
      </w:r>
      <w:bookmarkEnd w:id="86"/>
      <w:bookmarkEnd w:id="87"/>
    </w:p>
    <w:p>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2.1“采购人”是指依法进行政府采购的国家机关、事业单位、团体组织。</w:t>
      </w:r>
    </w:p>
    <w:p>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2.2“采购代理机构”是指政府采购代理机构（以下简称采购代理机构）是指集中采购机构以外、受采购人委托从事政府采购代理业务的社会中介机构。</w:t>
      </w:r>
    </w:p>
    <w:p>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2.3“供应商”是指向采购人提供货物、工程或者服务的法人、其他组织或者自然人。</w:t>
      </w:r>
    </w:p>
    <w:p>
      <w:pPr>
        <w:pStyle w:val="7"/>
        <w:spacing w:line="360" w:lineRule="auto"/>
        <w:ind w:firstLineChars="200"/>
        <w:rPr>
          <w:rFonts w:ascii="宋体" w:hAnsi="宋体"/>
          <w:color w:val="auto"/>
          <w:szCs w:val="21"/>
        </w:rPr>
      </w:pPr>
      <w:r>
        <w:rPr>
          <w:rFonts w:hint="eastAsia" w:ascii="宋体" w:hAnsi="宋体"/>
          <w:color w:val="auto"/>
          <w:szCs w:val="21"/>
        </w:rPr>
        <w:t>2.4“投标人”是指响应招标、参加投标竞争的法人、非法人组织或者自然人。</w:t>
      </w:r>
    </w:p>
    <w:p>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2.5“货物”是指各种形态和种类的物品，包括原材料、燃料、设备、产品等。</w:t>
      </w:r>
    </w:p>
    <w:p>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2.6“售后服务” 是指商品出售以后所提供的各种服务，包含但不限于投标人须承担的备品备件、包装、运输、装卸、保险、货到就位以及安装、调试、培训、保修以及其他各种服务。</w:t>
      </w:r>
    </w:p>
    <w:p>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2.7“书面形式”是指合同书、信件和数据电文（包括电报、电传、传真、电子数据交换和电子邮件）等可以有形地表现所载内容的形式。</w:t>
      </w:r>
    </w:p>
    <w:p>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2.8“实质性要求”是指招标文件中已经指明不满足则投标无效的条款，或者不能负偏离的条款，或者采购需求中带“▲”的条款。</w:t>
      </w:r>
    </w:p>
    <w:p>
      <w:pPr>
        <w:snapToGrid w:val="0"/>
        <w:spacing w:line="360" w:lineRule="auto"/>
        <w:ind w:firstLine="420" w:firstLineChars="200"/>
        <w:jc w:val="left"/>
        <w:rPr>
          <w:rFonts w:ascii="宋体" w:hAnsi="宋体" w:cs="宋体"/>
          <w:color w:val="auto"/>
          <w:szCs w:val="21"/>
        </w:rPr>
      </w:pPr>
      <w:r>
        <w:rPr>
          <w:rFonts w:hint="eastAsia" w:ascii="宋体" w:hAnsi="宋体"/>
          <w:color w:val="auto"/>
          <w:szCs w:val="21"/>
        </w:rPr>
        <w:t xml:space="preserve">2.9 </w:t>
      </w:r>
      <w:r>
        <w:rPr>
          <w:rFonts w:hint="eastAsia" w:ascii="宋体" w:hAnsi="宋体" w:cs="宋体"/>
          <w:color w:val="auto"/>
          <w:szCs w:val="21"/>
        </w:rPr>
        <w:t>“正偏离”，是指投标文件对招标文件“采购需求”中有关条款作出的响应优于条款要求并有利于采购人的情形。</w:t>
      </w:r>
    </w:p>
    <w:p>
      <w:pPr>
        <w:snapToGrid w:val="0"/>
        <w:spacing w:line="360" w:lineRule="auto"/>
        <w:ind w:firstLine="420" w:firstLineChars="200"/>
        <w:jc w:val="left"/>
        <w:rPr>
          <w:rFonts w:ascii="宋体" w:hAnsi="宋体" w:cs="宋体"/>
          <w:color w:val="auto"/>
          <w:szCs w:val="21"/>
        </w:rPr>
      </w:pPr>
      <w:r>
        <w:rPr>
          <w:rFonts w:ascii="宋体" w:hAnsi="宋体" w:cs="宋体"/>
          <w:color w:val="auto"/>
          <w:szCs w:val="21"/>
        </w:rPr>
        <w:t>2.10</w:t>
      </w:r>
      <w:r>
        <w:rPr>
          <w:rFonts w:hint="eastAsia" w:ascii="宋体" w:hAnsi="宋体" w:cs="宋体"/>
          <w:color w:val="auto"/>
          <w:szCs w:val="21"/>
        </w:rPr>
        <w:t>“负偏离”，是指投标文件对招标文件“采购需求”中有关条款作出的响应不满足条款要求，导致采购人要求不能得到满足的情形。</w:t>
      </w:r>
    </w:p>
    <w:p>
      <w:pPr>
        <w:snapToGrid w:val="0"/>
        <w:spacing w:line="360" w:lineRule="auto"/>
        <w:ind w:firstLine="420" w:firstLineChars="200"/>
        <w:jc w:val="left"/>
        <w:rPr>
          <w:rFonts w:ascii="宋体" w:hAnsi="宋体" w:cs="宋体"/>
          <w:color w:val="auto"/>
          <w:szCs w:val="21"/>
        </w:rPr>
      </w:pPr>
      <w:r>
        <w:rPr>
          <w:rFonts w:hint="eastAsia" w:ascii="宋体" w:hAnsi="宋体"/>
          <w:color w:val="auto"/>
          <w:szCs w:val="21"/>
        </w:rPr>
        <w:t>2.1</w:t>
      </w:r>
      <w:r>
        <w:rPr>
          <w:rFonts w:ascii="宋体" w:hAnsi="宋体"/>
          <w:color w:val="auto"/>
          <w:szCs w:val="21"/>
        </w:rPr>
        <w:t>1</w:t>
      </w:r>
      <w:r>
        <w:rPr>
          <w:rFonts w:hint="eastAsia" w:ascii="宋体" w:hAnsi="宋体" w:cs="宋体"/>
          <w:color w:val="auto"/>
          <w:szCs w:val="21"/>
        </w:rPr>
        <w:t>“允许负偏离的条款”是指采购需求中的不属于“实质性要求”的条款。</w:t>
      </w:r>
      <w:bookmarkStart w:id="88" w:name="_Toc254970529"/>
      <w:bookmarkStart w:id="89" w:name="_Toc254970670"/>
    </w:p>
    <w:p>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w:t>
      </w:r>
      <w:bookmarkEnd w:id="88"/>
      <w:bookmarkEnd w:id="89"/>
      <w:r>
        <w:rPr>
          <w:rFonts w:hint="eastAsia" w:ascii="黑体" w:hAnsi="黑体" w:eastAsia="黑体"/>
          <w:color w:val="auto"/>
          <w:sz w:val="24"/>
        </w:rPr>
        <w:t>投标人的资格要求</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投标人的资格要求详见“投标人须知前附表”。</w:t>
      </w:r>
    </w:p>
    <w:p>
      <w:pPr>
        <w:pStyle w:val="6"/>
        <w:keepNext w:val="0"/>
        <w:keepLines w:val="0"/>
        <w:spacing w:before="0" w:after="0" w:line="360" w:lineRule="auto"/>
        <w:ind w:left="420" w:leftChars="200"/>
        <w:rPr>
          <w:rFonts w:ascii="黑体" w:hAnsi="黑体" w:eastAsia="黑体"/>
          <w:color w:val="auto"/>
          <w:sz w:val="24"/>
        </w:rPr>
      </w:pPr>
      <w:bookmarkStart w:id="90" w:name="_Toc254970671"/>
      <w:bookmarkStart w:id="91" w:name="_Toc254970530"/>
      <w:r>
        <w:rPr>
          <w:rFonts w:hint="eastAsia" w:ascii="黑体" w:hAnsi="黑体" w:eastAsia="黑体"/>
          <w:color w:val="auto"/>
          <w:sz w:val="24"/>
        </w:rPr>
        <w:t>4.投标委托</w:t>
      </w:r>
      <w:bookmarkEnd w:id="90"/>
      <w:bookmarkEnd w:id="91"/>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投标人代表参加投标活动过程中必须携带个人有效身份证件。如投标人代表不是法定代表人，须持有授权委托书（按第六章要求格式填写）。</w:t>
      </w:r>
    </w:p>
    <w:p>
      <w:pPr>
        <w:pStyle w:val="6"/>
        <w:keepNext w:val="0"/>
        <w:keepLines w:val="0"/>
        <w:spacing w:before="0" w:after="0" w:line="360" w:lineRule="auto"/>
        <w:ind w:left="420" w:leftChars="200"/>
        <w:rPr>
          <w:rFonts w:ascii="黑体" w:hAnsi="黑体" w:eastAsia="黑体"/>
          <w:color w:val="auto"/>
          <w:sz w:val="24"/>
        </w:rPr>
      </w:pPr>
      <w:bookmarkStart w:id="92" w:name="_5.投标费用"/>
      <w:bookmarkEnd w:id="92"/>
      <w:bookmarkStart w:id="93" w:name="_Toc254970672"/>
      <w:bookmarkStart w:id="94" w:name="_Toc254970531"/>
      <w:r>
        <w:rPr>
          <w:rFonts w:hint="eastAsia" w:ascii="黑体" w:hAnsi="黑体" w:eastAsia="黑体"/>
          <w:color w:val="auto"/>
          <w:sz w:val="24"/>
        </w:rPr>
        <w:t>5.投标费用</w:t>
      </w:r>
      <w:bookmarkEnd w:id="93"/>
      <w:bookmarkEnd w:id="94"/>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投标费用：投标人应承担参与本次采购活动有关的所有费用，包括但不限于获取招标文件、勘查现场、编制和提交投标文件、参加澄清说明、签订合同等，不论投标结果如何，均应自行承担。</w:t>
      </w:r>
    </w:p>
    <w:p>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6.联合体投标</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6.1本项目是否接受联合体投标，详见“投标人须知前附表”。</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6.2如接受联合体投标，联合体投标要求详见“投标人须知前附表”。</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6.3根据《政府采购促进中小企业发展管理办法》（财库[2020]46号）第九条、《广西壮族自治区财政厅关于进一步发挥政府采购政策功能促进企业发展的通知》（桂财采〔2022〕30号）及《广西壮族自治区财政厅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7.转包与分包</w:t>
      </w:r>
    </w:p>
    <w:p>
      <w:pPr>
        <w:snapToGrid w:val="0"/>
        <w:spacing w:line="360" w:lineRule="auto"/>
        <w:ind w:firstLine="420" w:firstLineChars="200"/>
        <w:jc w:val="left"/>
        <w:rPr>
          <w:rFonts w:ascii="宋体" w:hAnsi="宋体"/>
          <w:bCs/>
          <w:color w:val="auto"/>
          <w:szCs w:val="21"/>
        </w:rPr>
      </w:pPr>
      <w:r>
        <w:rPr>
          <w:rFonts w:hint="eastAsia" w:ascii="宋体" w:hAnsi="宋体"/>
          <w:bCs/>
          <w:color w:val="auto"/>
          <w:szCs w:val="21"/>
        </w:rPr>
        <w:t>7.1本项目不允许转包。</w:t>
      </w:r>
    </w:p>
    <w:p>
      <w:pPr>
        <w:snapToGrid w:val="0"/>
        <w:spacing w:line="360" w:lineRule="auto"/>
        <w:ind w:firstLine="420" w:firstLineChars="200"/>
        <w:jc w:val="left"/>
        <w:rPr>
          <w:rFonts w:ascii="宋体" w:hAnsi="宋体"/>
          <w:bCs/>
          <w:color w:val="auto"/>
          <w:szCs w:val="21"/>
        </w:rPr>
      </w:pPr>
      <w:r>
        <w:rPr>
          <w:rFonts w:hint="eastAsia" w:ascii="宋体" w:hAnsi="宋体"/>
          <w:bCs/>
          <w:color w:val="auto"/>
          <w:szCs w:val="21"/>
        </w:rPr>
        <w:t>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pPr>
        <w:snapToGrid w:val="0"/>
        <w:spacing w:line="360" w:lineRule="auto"/>
        <w:ind w:firstLine="420" w:firstLineChars="200"/>
        <w:jc w:val="left"/>
        <w:rPr>
          <w:rFonts w:ascii="宋体" w:hAnsi="宋体"/>
          <w:bCs/>
          <w:color w:val="auto"/>
          <w:szCs w:val="21"/>
        </w:rPr>
      </w:pPr>
      <w:r>
        <w:rPr>
          <w:rFonts w:hint="eastAsia" w:ascii="宋体" w:hAnsi="宋体"/>
          <w:bCs/>
          <w:color w:val="auto"/>
          <w:szCs w:val="21"/>
        </w:rPr>
        <w:t>7.3投标人根据招标文件的规定和采购项目的实际情况，拟在中标后将中标项目的非主体、非关键性工作分包的，应当在投标文件中载明分包承担主体，分包承担主体应当具备相应资质条件且不得再次分包。</w:t>
      </w:r>
    </w:p>
    <w:p>
      <w:pPr>
        <w:snapToGrid w:val="0"/>
        <w:spacing w:line="360" w:lineRule="auto"/>
        <w:ind w:firstLine="420" w:firstLineChars="200"/>
        <w:jc w:val="left"/>
        <w:rPr>
          <w:rFonts w:ascii="宋体" w:hAnsi="宋体"/>
          <w:bCs/>
          <w:color w:val="auto"/>
          <w:szCs w:val="21"/>
        </w:rPr>
      </w:pPr>
      <w:r>
        <w:rPr>
          <w:rFonts w:hint="eastAsia" w:ascii="宋体" w:hAnsi="宋体"/>
          <w:bCs/>
          <w:color w:val="auto"/>
          <w:szCs w:val="21"/>
        </w:rPr>
        <w:t>7.4根据《政府采购促进中小企业发展管理办法》（财库[2020]46号）第九条及《广西壮族自治区财政厅关于进一步发挥政府采购政策功能促进企业发展的通知》（桂财采〔2022〕30号）、《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pPr>
        <w:pStyle w:val="6"/>
        <w:keepNext w:val="0"/>
        <w:keepLines w:val="0"/>
        <w:spacing w:before="0" w:after="0" w:line="360" w:lineRule="auto"/>
        <w:ind w:left="420" w:leftChars="200"/>
        <w:rPr>
          <w:rFonts w:ascii="黑体" w:hAnsi="黑体" w:eastAsia="黑体"/>
          <w:color w:val="auto"/>
          <w:sz w:val="24"/>
        </w:rPr>
      </w:pPr>
      <w:bookmarkStart w:id="95" w:name="_Toc254970532"/>
      <w:bookmarkStart w:id="96" w:name="_Toc254970673"/>
      <w:r>
        <w:rPr>
          <w:rFonts w:hint="eastAsia" w:ascii="黑体" w:hAnsi="黑体" w:eastAsia="黑体"/>
          <w:color w:val="auto"/>
          <w:sz w:val="24"/>
        </w:rPr>
        <w:t>8.特别说明：</w:t>
      </w:r>
      <w:bookmarkEnd w:id="95"/>
      <w:bookmarkEnd w:id="96"/>
    </w:p>
    <w:p>
      <w:pPr>
        <w:pStyle w:val="6"/>
        <w:keepNext w:val="0"/>
        <w:keepLines w:val="0"/>
        <w:spacing w:before="0" w:after="0" w:line="360" w:lineRule="auto"/>
        <w:ind w:firstLine="422" w:firstLineChars="200"/>
        <w:rPr>
          <w:rFonts w:ascii="宋体" w:hAnsi="宋体"/>
          <w:color w:val="auto"/>
          <w:sz w:val="21"/>
          <w:szCs w:val="21"/>
        </w:rPr>
      </w:pPr>
      <w:bookmarkStart w:id="97" w:name="_8.1提供相同品牌产品且通过资格审查、符合性审查的不同投标人参加同一合"/>
      <w:bookmarkEnd w:id="97"/>
      <w:r>
        <w:rPr>
          <w:rFonts w:ascii="宋体" w:hAnsi="宋体"/>
          <w:color w:val="auto"/>
          <w:sz w:val="21"/>
          <w:szCs w:val="21"/>
        </w:rPr>
        <w:fldChar w:fldCharType="begin"/>
      </w:r>
      <w:r>
        <w:rPr>
          <w:rFonts w:ascii="宋体" w:hAnsi="宋体"/>
          <w:color w:val="auto"/>
          <w:sz w:val="21"/>
          <w:szCs w:val="21"/>
        </w:rPr>
        <w:instrText xml:space="preserve"> HYPERLINK  \l "_8.1" </w:instrText>
      </w:r>
      <w:r>
        <w:rPr>
          <w:rFonts w:ascii="宋体" w:hAnsi="宋体"/>
          <w:color w:val="auto"/>
          <w:sz w:val="21"/>
          <w:szCs w:val="21"/>
        </w:rPr>
        <w:fldChar w:fldCharType="separate"/>
      </w:r>
      <w:r>
        <w:rPr>
          <w:rFonts w:hint="eastAsia" w:ascii="宋体" w:hAnsi="宋体"/>
          <w:color w:val="auto"/>
          <w:sz w:val="21"/>
          <w:szCs w:val="21"/>
        </w:rPr>
        <w:t>8.1</w:t>
      </w:r>
      <w:r>
        <w:rPr>
          <w:rFonts w:ascii="宋体" w:hAnsi="宋体"/>
          <w:color w:val="auto"/>
          <w:sz w:val="21"/>
          <w:szCs w:val="21"/>
        </w:rPr>
        <w:fldChar w:fldCharType="end"/>
      </w:r>
      <w:r>
        <w:rPr>
          <w:rFonts w:hint="eastAsia" w:ascii="宋体" w:hAnsi="宋体"/>
          <w:color w:val="auto"/>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的方式确定一个投标人获得中标人推荐资格，其他同品牌投标人不作为中标候选人。</w:t>
      </w:r>
    </w:p>
    <w:p>
      <w:pPr>
        <w:pStyle w:val="18"/>
        <w:snapToGrid w:val="0"/>
        <w:spacing w:line="360" w:lineRule="auto"/>
        <w:ind w:left="2" w:leftChars="1" w:firstLine="422" w:firstLineChars="200"/>
        <w:rPr>
          <w:rFonts w:hAnsi="宋体"/>
          <w:b/>
          <w:color w:val="auto"/>
        </w:rPr>
      </w:pPr>
      <w:r>
        <w:rPr>
          <w:rFonts w:hint="eastAsia" w:hAnsi="宋体"/>
          <w:b/>
          <w:color w:val="auto"/>
        </w:rPr>
        <w:t>非单一产品采购项目，多家投标人提供的核心产品品牌相同的，按前款规定处理。</w:t>
      </w:r>
    </w:p>
    <w:p>
      <w:pPr>
        <w:pStyle w:val="6"/>
        <w:keepNext w:val="0"/>
        <w:keepLines w:val="0"/>
        <w:spacing w:before="0" w:after="0" w:line="360" w:lineRule="auto"/>
        <w:ind w:firstLine="369" w:firstLineChars="175"/>
        <w:rPr>
          <w:rFonts w:ascii="宋体" w:hAnsi="宋体"/>
          <w:color w:val="auto"/>
          <w:sz w:val="21"/>
          <w:szCs w:val="21"/>
        </w:rPr>
      </w:pPr>
      <w:r>
        <w:rPr>
          <w:rFonts w:hint="eastAsia" w:ascii="宋体" w:hAnsi="宋体"/>
          <w:color w:val="auto"/>
          <w:sz w:val="21"/>
          <w:szCs w:val="21"/>
        </w:rPr>
        <w:t>8.2如果本招标文件要求投标人提供资格、信誉、荣誉、业绩与企业认证等材料的，则投标人所提供的以上材料必须为投标人所拥有。</w:t>
      </w:r>
    </w:p>
    <w:p>
      <w:pPr>
        <w:pStyle w:val="6"/>
        <w:keepNext w:val="0"/>
        <w:keepLines w:val="0"/>
        <w:spacing w:before="0" w:after="0" w:line="360" w:lineRule="auto"/>
        <w:ind w:firstLine="369" w:firstLineChars="175"/>
        <w:rPr>
          <w:rFonts w:ascii="宋体" w:hAnsi="宋体"/>
          <w:color w:val="auto"/>
          <w:sz w:val="21"/>
          <w:szCs w:val="21"/>
        </w:rPr>
      </w:pPr>
      <w:r>
        <w:rPr>
          <w:rFonts w:hint="eastAsia" w:ascii="宋体" w:hAnsi="宋体"/>
          <w:color w:val="auto"/>
          <w:sz w:val="21"/>
          <w:szCs w:val="21"/>
        </w:rPr>
        <w:t>8.3投标人应仔细阅读招标文件的所有内容，按照招标文件的要求提交投标文件，并对所提供的全部资料的真实性承担法律责任。</w:t>
      </w:r>
    </w:p>
    <w:p>
      <w:pPr>
        <w:pStyle w:val="6"/>
        <w:keepNext w:val="0"/>
        <w:keepLines w:val="0"/>
        <w:spacing w:before="0" w:after="0" w:line="360" w:lineRule="auto"/>
        <w:ind w:firstLine="369" w:firstLineChars="175"/>
        <w:rPr>
          <w:rFonts w:ascii="宋体" w:hAnsi="宋体"/>
          <w:color w:val="auto"/>
          <w:sz w:val="21"/>
          <w:szCs w:val="21"/>
        </w:rPr>
      </w:pPr>
      <w:r>
        <w:rPr>
          <w:rFonts w:hint="eastAsia" w:ascii="宋体" w:hAnsi="宋体"/>
          <w:color w:val="auto"/>
          <w:sz w:val="21"/>
          <w:szCs w:val="21"/>
        </w:rPr>
        <w:t>8.4投标人在投标活动中提供任何虚假材料，将报监管部门查处；中标后发现的，中标人须依照《中华人民共和国消费者权益保护法》规定赔偿采购人，且民事赔偿并不免除违法投标人的行政与刑事责任。</w:t>
      </w:r>
    </w:p>
    <w:p>
      <w:pPr>
        <w:pStyle w:val="6"/>
        <w:keepNext w:val="0"/>
        <w:keepLines w:val="0"/>
        <w:spacing w:before="0" w:after="0" w:line="360" w:lineRule="auto"/>
        <w:ind w:left="420" w:leftChars="200"/>
        <w:rPr>
          <w:rFonts w:ascii="黑体" w:hAnsi="黑体" w:eastAsia="黑体"/>
          <w:color w:val="auto"/>
          <w:sz w:val="24"/>
        </w:rPr>
      </w:pPr>
      <w:r>
        <w:rPr>
          <w:rFonts w:ascii="黑体" w:hAnsi="黑体" w:eastAsia="黑体"/>
          <w:color w:val="auto"/>
          <w:sz w:val="24"/>
        </w:rPr>
        <w:t>9.</w:t>
      </w:r>
      <w:r>
        <w:rPr>
          <w:rFonts w:hint="eastAsia" w:ascii="黑体" w:hAnsi="黑体" w:eastAsia="黑体"/>
          <w:color w:val="auto"/>
          <w:sz w:val="24"/>
        </w:rPr>
        <w:t>回避与串通投标</w:t>
      </w:r>
    </w:p>
    <w:p>
      <w:pPr>
        <w:pStyle w:val="6"/>
        <w:keepNext w:val="0"/>
        <w:keepLines w:val="0"/>
        <w:spacing w:before="0" w:after="0" w:line="360" w:lineRule="auto"/>
        <w:ind w:firstLine="369" w:firstLineChars="175"/>
        <w:rPr>
          <w:rFonts w:ascii="宋体" w:hAnsi="宋体"/>
          <w:color w:val="auto"/>
          <w:sz w:val="21"/>
          <w:szCs w:val="21"/>
        </w:rPr>
      </w:pPr>
      <w:r>
        <w:rPr>
          <w:rFonts w:hint="eastAsia" w:ascii="宋体" w:hAnsi="宋体"/>
          <w:color w:val="auto"/>
          <w:sz w:val="21"/>
          <w:szCs w:val="21"/>
        </w:rPr>
        <w:t>9</w:t>
      </w:r>
      <w:r>
        <w:rPr>
          <w:rFonts w:ascii="宋体" w:hAnsi="宋体"/>
          <w:color w:val="auto"/>
          <w:sz w:val="21"/>
          <w:szCs w:val="21"/>
        </w:rPr>
        <w:t>.1在政府采购活动中，采购人员及相关人员与</w:t>
      </w:r>
      <w:r>
        <w:rPr>
          <w:rFonts w:hint="eastAsia" w:ascii="宋体" w:hAnsi="宋体"/>
          <w:color w:val="auto"/>
          <w:sz w:val="21"/>
          <w:szCs w:val="21"/>
        </w:rPr>
        <w:t>供应商</w:t>
      </w:r>
      <w:r>
        <w:rPr>
          <w:rFonts w:ascii="宋体" w:hAnsi="宋体"/>
          <w:color w:val="auto"/>
          <w:sz w:val="21"/>
          <w:szCs w:val="21"/>
        </w:rPr>
        <w:t>有下列利害关系之一的，应当回避：</w:t>
      </w:r>
    </w:p>
    <w:p>
      <w:pPr>
        <w:pStyle w:val="18"/>
        <w:snapToGrid w:val="0"/>
        <w:spacing w:line="360" w:lineRule="auto"/>
        <w:ind w:left="2" w:leftChars="1" w:firstLine="422" w:firstLineChars="200"/>
        <w:rPr>
          <w:rFonts w:hAnsi="宋体"/>
          <w:b/>
          <w:color w:val="auto"/>
        </w:rPr>
      </w:pPr>
      <w:r>
        <w:rPr>
          <w:rFonts w:hAnsi="宋体"/>
          <w:b/>
          <w:color w:val="auto"/>
        </w:rPr>
        <w:t>（</w:t>
      </w:r>
      <w:r>
        <w:rPr>
          <w:rFonts w:hint="eastAsia" w:hAnsi="宋体"/>
          <w:b/>
          <w:color w:val="auto"/>
        </w:rPr>
        <w:t>1</w:t>
      </w:r>
      <w:r>
        <w:rPr>
          <w:rFonts w:hAnsi="宋体"/>
          <w:b/>
          <w:color w:val="auto"/>
        </w:rPr>
        <w:t>）参加采购活动前3年内与</w:t>
      </w:r>
      <w:r>
        <w:rPr>
          <w:rFonts w:hint="eastAsia" w:hAnsi="宋体"/>
          <w:b/>
          <w:color w:val="auto"/>
        </w:rPr>
        <w:t>供应商</w:t>
      </w:r>
      <w:r>
        <w:rPr>
          <w:rFonts w:hAnsi="宋体"/>
          <w:b/>
          <w:color w:val="auto"/>
        </w:rPr>
        <w:t>存在劳动关系；</w:t>
      </w:r>
    </w:p>
    <w:p>
      <w:pPr>
        <w:pStyle w:val="18"/>
        <w:snapToGrid w:val="0"/>
        <w:spacing w:line="360" w:lineRule="auto"/>
        <w:ind w:left="2" w:leftChars="1" w:firstLine="422" w:firstLineChars="200"/>
        <w:rPr>
          <w:rFonts w:hAnsi="宋体"/>
          <w:b/>
          <w:color w:val="auto"/>
        </w:rPr>
      </w:pPr>
      <w:r>
        <w:rPr>
          <w:rFonts w:hAnsi="宋体"/>
          <w:b/>
          <w:color w:val="auto"/>
        </w:rPr>
        <w:t>（</w:t>
      </w:r>
      <w:r>
        <w:rPr>
          <w:rFonts w:hint="eastAsia" w:hAnsi="宋体"/>
          <w:b/>
          <w:color w:val="auto"/>
        </w:rPr>
        <w:t>2</w:t>
      </w:r>
      <w:r>
        <w:rPr>
          <w:rFonts w:hAnsi="宋体"/>
          <w:b/>
          <w:color w:val="auto"/>
        </w:rPr>
        <w:t>）参加采购活动前3年内担任</w:t>
      </w:r>
      <w:r>
        <w:rPr>
          <w:rFonts w:hint="eastAsia" w:hAnsi="宋体"/>
          <w:b/>
          <w:color w:val="auto"/>
        </w:rPr>
        <w:t>供应商</w:t>
      </w:r>
      <w:r>
        <w:rPr>
          <w:rFonts w:hAnsi="宋体"/>
          <w:b/>
          <w:color w:val="auto"/>
        </w:rPr>
        <w:t>的董事、监事；</w:t>
      </w:r>
    </w:p>
    <w:p>
      <w:pPr>
        <w:pStyle w:val="18"/>
        <w:snapToGrid w:val="0"/>
        <w:spacing w:line="360" w:lineRule="auto"/>
        <w:ind w:left="2" w:leftChars="1" w:firstLine="422" w:firstLineChars="200"/>
        <w:rPr>
          <w:rFonts w:hAnsi="宋体"/>
          <w:b/>
          <w:color w:val="auto"/>
        </w:rPr>
      </w:pPr>
      <w:r>
        <w:rPr>
          <w:rFonts w:hAnsi="宋体"/>
          <w:b/>
          <w:color w:val="auto"/>
        </w:rPr>
        <w:t>（</w:t>
      </w:r>
      <w:r>
        <w:rPr>
          <w:rFonts w:hint="eastAsia" w:hAnsi="宋体"/>
          <w:b/>
          <w:color w:val="auto"/>
        </w:rPr>
        <w:t>3</w:t>
      </w:r>
      <w:r>
        <w:rPr>
          <w:rFonts w:hAnsi="宋体"/>
          <w:b/>
          <w:color w:val="auto"/>
        </w:rPr>
        <w:t>）参加采购活动前3年内是</w:t>
      </w:r>
      <w:r>
        <w:rPr>
          <w:rFonts w:hint="eastAsia" w:hAnsi="宋体"/>
          <w:b/>
          <w:color w:val="auto"/>
        </w:rPr>
        <w:t>供应商</w:t>
      </w:r>
      <w:r>
        <w:rPr>
          <w:rFonts w:hAnsi="宋体"/>
          <w:b/>
          <w:color w:val="auto"/>
        </w:rPr>
        <w:t>的控股股东或者实际控制人；</w:t>
      </w:r>
    </w:p>
    <w:p>
      <w:pPr>
        <w:pStyle w:val="18"/>
        <w:snapToGrid w:val="0"/>
        <w:spacing w:line="360" w:lineRule="auto"/>
        <w:ind w:left="2" w:leftChars="1" w:firstLine="422" w:firstLineChars="200"/>
        <w:rPr>
          <w:rFonts w:hAnsi="宋体"/>
          <w:b/>
          <w:color w:val="auto"/>
        </w:rPr>
      </w:pPr>
      <w:r>
        <w:rPr>
          <w:rFonts w:hAnsi="宋体"/>
          <w:b/>
          <w:color w:val="auto"/>
        </w:rPr>
        <w:t>（</w:t>
      </w:r>
      <w:r>
        <w:rPr>
          <w:rFonts w:hint="eastAsia" w:hAnsi="宋体"/>
          <w:b/>
          <w:color w:val="auto"/>
        </w:rPr>
        <w:t>4</w:t>
      </w:r>
      <w:r>
        <w:rPr>
          <w:rFonts w:hAnsi="宋体"/>
          <w:b/>
          <w:color w:val="auto"/>
        </w:rPr>
        <w:t>）与</w:t>
      </w:r>
      <w:r>
        <w:rPr>
          <w:rFonts w:hint="eastAsia" w:hAnsi="宋体"/>
          <w:b/>
          <w:color w:val="auto"/>
        </w:rPr>
        <w:t>供应商</w:t>
      </w:r>
      <w:r>
        <w:rPr>
          <w:rFonts w:hAnsi="宋体"/>
          <w:b/>
          <w:color w:val="auto"/>
        </w:rPr>
        <w:t>的法定代表人或者负责人有夫妻、直系血亲、三代以内旁系血亲或者近姻亲关系；</w:t>
      </w:r>
    </w:p>
    <w:p>
      <w:pPr>
        <w:pStyle w:val="18"/>
        <w:snapToGrid w:val="0"/>
        <w:spacing w:line="360" w:lineRule="auto"/>
        <w:ind w:left="2" w:leftChars="1" w:firstLine="422" w:firstLineChars="200"/>
        <w:rPr>
          <w:rFonts w:hAnsi="宋体"/>
          <w:b/>
          <w:color w:val="auto"/>
        </w:rPr>
      </w:pPr>
      <w:r>
        <w:rPr>
          <w:rFonts w:hAnsi="宋体"/>
          <w:b/>
          <w:color w:val="auto"/>
        </w:rPr>
        <w:t>（</w:t>
      </w:r>
      <w:r>
        <w:rPr>
          <w:rFonts w:hint="eastAsia" w:hAnsi="宋体"/>
          <w:b/>
          <w:color w:val="auto"/>
        </w:rPr>
        <w:t>5</w:t>
      </w:r>
      <w:r>
        <w:rPr>
          <w:rFonts w:hAnsi="宋体"/>
          <w:b/>
          <w:color w:val="auto"/>
        </w:rPr>
        <w:t>）与</w:t>
      </w:r>
      <w:r>
        <w:rPr>
          <w:rFonts w:hint="eastAsia" w:hAnsi="宋体"/>
          <w:b/>
          <w:color w:val="auto"/>
        </w:rPr>
        <w:t>供应商</w:t>
      </w:r>
      <w:r>
        <w:rPr>
          <w:rFonts w:hAnsi="宋体"/>
          <w:b/>
          <w:color w:val="auto"/>
        </w:rPr>
        <w:t>有其他可能影响政府采购活动公平、公正进行的关系。</w:t>
      </w:r>
    </w:p>
    <w:p>
      <w:pPr>
        <w:pStyle w:val="18"/>
        <w:snapToGrid w:val="0"/>
        <w:spacing w:line="360" w:lineRule="auto"/>
        <w:ind w:left="2" w:leftChars="1" w:firstLine="422" w:firstLineChars="200"/>
        <w:rPr>
          <w:rFonts w:hAnsi="宋体"/>
          <w:b/>
          <w:color w:val="auto"/>
        </w:rPr>
      </w:pPr>
      <w:r>
        <w:rPr>
          <w:rFonts w:hint="eastAsia" w:hAnsi="宋体"/>
          <w:b/>
          <w:color w:val="auto"/>
        </w:rPr>
        <w:t>供应商</w:t>
      </w:r>
      <w:r>
        <w:rPr>
          <w:rFonts w:hAnsi="宋体"/>
          <w:b/>
          <w:color w:val="auto"/>
        </w:rPr>
        <w:t>认为采购人员及相关人员与其他</w:t>
      </w:r>
      <w:r>
        <w:rPr>
          <w:rFonts w:hint="eastAsia" w:hAnsi="宋体"/>
          <w:b/>
          <w:color w:val="auto"/>
        </w:rPr>
        <w:t>供应商</w:t>
      </w:r>
      <w:r>
        <w:rPr>
          <w:rFonts w:hAnsi="宋体"/>
          <w:b/>
          <w:color w:val="auto"/>
        </w:rPr>
        <w:t>有利害关系的，可以向采购人或者采购代理机构书面提出回避申请，并说明理由。采购人或者采购代理机构应当及时询问被申请回避人员，有利害关系的被申请回避人员应当回避。</w:t>
      </w:r>
    </w:p>
    <w:p>
      <w:pPr>
        <w:pStyle w:val="6"/>
        <w:keepNext w:val="0"/>
        <w:keepLines w:val="0"/>
        <w:spacing w:before="0" w:after="0" w:line="360" w:lineRule="auto"/>
        <w:ind w:left="420" w:leftChars="200"/>
        <w:rPr>
          <w:rFonts w:ascii="宋体" w:hAnsi="宋体"/>
          <w:color w:val="auto"/>
          <w:sz w:val="21"/>
          <w:szCs w:val="21"/>
        </w:rPr>
      </w:pPr>
      <w:r>
        <w:rPr>
          <w:rFonts w:ascii="宋体" w:hAnsi="宋体"/>
          <w:color w:val="auto"/>
          <w:sz w:val="21"/>
          <w:szCs w:val="21"/>
        </w:rPr>
        <w:t>9.2</w:t>
      </w:r>
      <w:r>
        <w:rPr>
          <w:rFonts w:hint="eastAsia" w:ascii="宋体" w:hAnsi="宋体"/>
          <w:color w:val="auto"/>
          <w:sz w:val="21"/>
          <w:szCs w:val="21"/>
        </w:rPr>
        <w:t>有下列情形之一的视为投标人相互串通投标，投标文件将被视为无效：</w:t>
      </w:r>
    </w:p>
    <w:p>
      <w:pPr>
        <w:pStyle w:val="18"/>
        <w:snapToGrid w:val="0"/>
        <w:spacing w:line="360" w:lineRule="auto"/>
        <w:ind w:left="2" w:leftChars="1" w:firstLine="422" w:firstLineChars="200"/>
        <w:rPr>
          <w:rFonts w:hAnsi="宋体"/>
          <w:b/>
          <w:color w:val="auto"/>
        </w:rPr>
      </w:pPr>
      <w:r>
        <w:rPr>
          <w:rFonts w:hint="eastAsia" w:hAnsi="宋体"/>
          <w:b/>
          <w:color w:val="auto"/>
        </w:rPr>
        <w:t>（1）不同投标人的投标文件由同一单位或者个人编制；或者不同投标人报名的IP地址一致的；或者编制标书硬件设备CPU编号、硬盘编号、网卡地址一致的情况；</w:t>
      </w:r>
    </w:p>
    <w:p>
      <w:pPr>
        <w:pStyle w:val="18"/>
        <w:snapToGrid w:val="0"/>
        <w:spacing w:line="360" w:lineRule="auto"/>
        <w:ind w:left="2" w:leftChars="1" w:firstLine="422" w:firstLineChars="200"/>
        <w:rPr>
          <w:rFonts w:hAnsi="宋体"/>
          <w:b/>
          <w:color w:val="auto"/>
        </w:rPr>
      </w:pPr>
      <w:r>
        <w:rPr>
          <w:rFonts w:hint="eastAsia" w:hAnsi="宋体"/>
          <w:b/>
          <w:color w:val="auto"/>
        </w:rPr>
        <w:t>（2）不同投标人委托同一单位或者个人办理投标事宜；</w:t>
      </w:r>
    </w:p>
    <w:p>
      <w:pPr>
        <w:pStyle w:val="18"/>
        <w:snapToGrid w:val="0"/>
        <w:spacing w:line="360" w:lineRule="auto"/>
        <w:ind w:left="2" w:leftChars="1" w:firstLine="422" w:firstLineChars="200"/>
        <w:rPr>
          <w:rFonts w:hAnsi="宋体"/>
          <w:b/>
          <w:color w:val="auto"/>
        </w:rPr>
      </w:pPr>
      <w:r>
        <w:rPr>
          <w:rFonts w:hint="eastAsia" w:hAnsi="宋体"/>
          <w:b/>
          <w:color w:val="auto"/>
        </w:rPr>
        <w:t>（3）不同的投标人的投标文件载明的项目管理员为同一个人；</w:t>
      </w:r>
    </w:p>
    <w:p>
      <w:pPr>
        <w:pStyle w:val="18"/>
        <w:snapToGrid w:val="0"/>
        <w:spacing w:line="360" w:lineRule="auto"/>
        <w:ind w:left="2" w:leftChars="1" w:firstLine="422" w:firstLineChars="200"/>
        <w:rPr>
          <w:rFonts w:hAnsi="宋体"/>
          <w:b/>
          <w:color w:val="auto"/>
        </w:rPr>
      </w:pPr>
      <w:r>
        <w:rPr>
          <w:rFonts w:hint="eastAsia" w:hAnsi="宋体"/>
          <w:b/>
          <w:color w:val="auto"/>
        </w:rPr>
        <w:t>（4）不同投标人的投标文件异常一致或者投标报价呈规律性差异；</w:t>
      </w:r>
    </w:p>
    <w:p>
      <w:pPr>
        <w:pStyle w:val="18"/>
        <w:snapToGrid w:val="0"/>
        <w:spacing w:line="360" w:lineRule="auto"/>
        <w:ind w:left="2" w:leftChars="1" w:firstLine="422" w:firstLineChars="200"/>
        <w:rPr>
          <w:rFonts w:hAnsi="宋体"/>
          <w:b/>
          <w:color w:val="auto"/>
        </w:rPr>
      </w:pPr>
      <w:r>
        <w:rPr>
          <w:rFonts w:hint="eastAsia" w:hAnsi="宋体"/>
          <w:b/>
          <w:color w:val="auto"/>
        </w:rPr>
        <w:t>（5）不同投标人的投标文件相互混装；</w:t>
      </w:r>
    </w:p>
    <w:p>
      <w:pPr>
        <w:pStyle w:val="18"/>
        <w:snapToGrid w:val="0"/>
        <w:spacing w:line="360" w:lineRule="auto"/>
        <w:ind w:left="2" w:leftChars="1" w:firstLine="422" w:firstLineChars="200"/>
        <w:rPr>
          <w:rFonts w:hAnsi="宋体"/>
          <w:b/>
          <w:color w:val="auto"/>
        </w:rPr>
      </w:pPr>
      <w:r>
        <w:rPr>
          <w:rFonts w:hint="eastAsia" w:hAnsi="宋体"/>
          <w:b/>
          <w:color w:val="auto"/>
        </w:rPr>
        <w:t>（6）不同投标人的投标保证金从同一单位或者个人账户转出。</w:t>
      </w:r>
    </w:p>
    <w:p>
      <w:pPr>
        <w:pStyle w:val="6"/>
        <w:keepNext w:val="0"/>
        <w:keepLines w:val="0"/>
        <w:spacing w:before="0" w:after="0" w:line="360" w:lineRule="auto"/>
        <w:ind w:left="420" w:leftChars="200"/>
        <w:rPr>
          <w:rFonts w:ascii="宋体" w:hAnsi="宋体"/>
          <w:color w:val="auto"/>
          <w:sz w:val="21"/>
          <w:szCs w:val="21"/>
        </w:rPr>
      </w:pPr>
      <w:r>
        <w:rPr>
          <w:rFonts w:ascii="宋体" w:hAnsi="宋体"/>
          <w:color w:val="auto"/>
          <w:sz w:val="21"/>
          <w:szCs w:val="21"/>
        </w:rPr>
        <w:t>9.3</w:t>
      </w:r>
      <w:r>
        <w:rPr>
          <w:rFonts w:hint="eastAsia" w:ascii="宋体" w:hAnsi="宋体"/>
          <w:color w:val="auto"/>
          <w:sz w:val="21"/>
          <w:szCs w:val="21"/>
        </w:rPr>
        <w:t>供应商有下列情形之一的，属于恶意串通行为，将报同级监督管理部门：</w:t>
      </w:r>
    </w:p>
    <w:p>
      <w:pPr>
        <w:pStyle w:val="18"/>
        <w:snapToGrid w:val="0"/>
        <w:spacing w:line="360" w:lineRule="auto"/>
        <w:ind w:left="2" w:leftChars="1" w:firstLine="422" w:firstLineChars="200"/>
        <w:rPr>
          <w:rFonts w:hAnsi="宋体"/>
          <w:b/>
          <w:color w:val="auto"/>
        </w:rPr>
      </w:pPr>
      <w:r>
        <w:rPr>
          <w:rFonts w:hint="eastAsia" w:hAnsi="宋体"/>
          <w:b/>
          <w:color w:val="auto"/>
        </w:rPr>
        <w:t>（1）供应商直接或者间接从采购人或者采购代理机构处获得其他供应商的相关信息并修改其投标文件或者响应文件；</w:t>
      </w:r>
    </w:p>
    <w:p>
      <w:pPr>
        <w:pStyle w:val="18"/>
        <w:snapToGrid w:val="0"/>
        <w:spacing w:line="360" w:lineRule="auto"/>
        <w:ind w:left="2" w:leftChars="1" w:firstLine="422" w:firstLineChars="200"/>
        <w:rPr>
          <w:rFonts w:hAnsi="宋体"/>
          <w:b/>
          <w:color w:val="auto"/>
        </w:rPr>
      </w:pPr>
      <w:r>
        <w:rPr>
          <w:rFonts w:hint="eastAsia" w:hAnsi="宋体"/>
          <w:b/>
          <w:color w:val="auto"/>
        </w:rPr>
        <w:t>（2）供应商按照采购人或者采购代理机构的授意撤换、修改投标文件或者响应文件；</w:t>
      </w:r>
    </w:p>
    <w:p>
      <w:pPr>
        <w:pStyle w:val="18"/>
        <w:snapToGrid w:val="0"/>
        <w:spacing w:line="360" w:lineRule="auto"/>
        <w:ind w:left="2" w:leftChars="1" w:firstLine="422" w:firstLineChars="200"/>
        <w:rPr>
          <w:rFonts w:hAnsi="宋体"/>
          <w:b/>
          <w:color w:val="auto"/>
        </w:rPr>
      </w:pPr>
      <w:r>
        <w:rPr>
          <w:rFonts w:hint="eastAsia" w:hAnsi="宋体"/>
          <w:b/>
          <w:color w:val="auto"/>
        </w:rPr>
        <w:t>（3）供应商之间协商报价、技术方案等投标文件或者响应文件的实质性内容；</w:t>
      </w:r>
    </w:p>
    <w:p>
      <w:pPr>
        <w:pStyle w:val="18"/>
        <w:snapToGrid w:val="0"/>
        <w:spacing w:line="360" w:lineRule="auto"/>
        <w:ind w:left="2" w:leftChars="1" w:firstLine="422" w:firstLineChars="200"/>
        <w:rPr>
          <w:rFonts w:hAnsi="宋体"/>
          <w:b/>
          <w:color w:val="auto"/>
        </w:rPr>
      </w:pPr>
      <w:r>
        <w:rPr>
          <w:rFonts w:hint="eastAsia" w:hAnsi="宋体"/>
          <w:b/>
          <w:color w:val="auto"/>
        </w:rPr>
        <w:t>（4）属于同一集团、协会、商会等组织成员的供应商按照该组织要求协同参加政府采购活动；</w:t>
      </w:r>
    </w:p>
    <w:p>
      <w:pPr>
        <w:pStyle w:val="18"/>
        <w:snapToGrid w:val="0"/>
        <w:spacing w:line="360" w:lineRule="auto"/>
        <w:ind w:left="2" w:leftChars="1" w:firstLine="422" w:firstLineChars="200"/>
        <w:rPr>
          <w:rFonts w:hAnsi="宋体"/>
          <w:b/>
          <w:color w:val="auto"/>
        </w:rPr>
      </w:pPr>
      <w:r>
        <w:rPr>
          <w:rFonts w:hint="eastAsia" w:hAnsi="宋体"/>
          <w:b/>
          <w:color w:val="auto"/>
        </w:rPr>
        <w:t>（5）供应商之间事先约定一致抬高或者压低投标报价，或者在招标项目中事先约定轮流以高价位或者低价位中标，或者事先约定由某一特定供应商中标，然后再参加投标；</w:t>
      </w:r>
    </w:p>
    <w:p>
      <w:pPr>
        <w:pStyle w:val="18"/>
        <w:snapToGrid w:val="0"/>
        <w:spacing w:line="360" w:lineRule="auto"/>
        <w:ind w:left="2" w:leftChars="1" w:firstLine="422" w:firstLineChars="200"/>
        <w:rPr>
          <w:rFonts w:hAnsi="宋体"/>
          <w:b/>
          <w:color w:val="auto"/>
        </w:rPr>
      </w:pPr>
      <w:r>
        <w:rPr>
          <w:rFonts w:hint="eastAsia" w:hAnsi="宋体"/>
          <w:b/>
          <w:color w:val="auto"/>
        </w:rPr>
        <w:t>（6）供应商之间商定部分供应商放弃参加政府采购活动或者放弃中标；</w:t>
      </w:r>
    </w:p>
    <w:p>
      <w:pPr>
        <w:pStyle w:val="18"/>
        <w:snapToGrid w:val="0"/>
        <w:spacing w:line="360" w:lineRule="auto"/>
        <w:ind w:left="2" w:leftChars="1" w:firstLine="422" w:firstLineChars="200"/>
        <w:rPr>
          <w:rFonts w:hAnsi="宋体"/>
          <w:b/>
          <w:color w:val="auto"/>
        </w:rPr>
      </w:pPr>
      <w:r>
        <w:rPr>
          <w:rFonts w:hint="eastAsia" w:hAnsi="宋体"/>
          <w:b/>
          <w:color w:val="auto"/>
        </w:rPr>
        <w:t>（7）供应商与采购人或者采购代理机构之间、供应商相互之间，为谋求特定供应商中标或者排斥其他供应商的其他串通行为。</w:t>
      </w:r>
    </w:p>
    <w:p>
      <w:pPr>
        <w:pStyle w:val="18"/>
        <w:snapToGrid w:val="0"/>
        <w:spacing w:line="360" w:lineRule="auto"/>
        <w:ind w:left="2" w:leftChars="1" w:firstLine="422" w:firstLineChars="200"/>
        <w:rPr>
          <w:rFonts w:hAnsi="宋体"/>
          <w:b/>
          <w:color w:val="auto"/>
        </w:rPr>
      </w:pPr>
    </w:p>
    <w:p>
      <w:pPr>
        <w:pStyle w:val="2"/>
        <w:keepNext w:val="0"/>
        <w:keepLines w:val="0"/>
        <w:jc w:val="center"/>
        <w:rPr>
          <w:color w:val="auto"/>
        </w:rPr>
      </w:pPr>
      <w:bookmarkStart w:id="98" w:name="_Toc254970534"/>
      <w:bookmarkStart w:id="99" w:name="_Toc254970675"/>
      <w:r>
        <w:rPr>
          <w:rFonts w:hint="eastAsia"/>
          <w:color w:val="auto"/>
        </w:rPr>
        <w:t>二、招标文件</w:t>
      </w:r>
      <w:bookmarkEnd w:id="98"/>
      <w:bookmarkEnd w:id="99"/>
    </w:p>
    <w:p>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10.招标文件的组成</w:t>
      </w:r>
    </w:p>
    <w:p>
      <w:pPr>
        <w:snapToGrid w:val="0"/>
        <w:spacing w:line="360" w:lineRule="auto"/>
        <w:ind w:firstLine="420"/>
        <w:jc w:val="left"/>
        <w:rPr>
          <w:rFonts w:ascii="宋体" w:hAnsi="宋体"/>
          <w:color w:val="auto"/>
          <w:szCs w:val="21"/>
        </w:rPr>
      </w:pPr>
      <w:r>
        <w:rPr>
          <w:rFonts w:hint="eastAsia" w:ascii="宋体" w:hAnsi="宋体"/>
          <w:color w:val="auto"/>
          <w:szCs w:val="21"/>
        </w:rPr>
        <w:t>（1）招标公告；</w:t>
      </w:r>
    </w:p>
    <w:p>
      <w:pPr>
        <w:snapToGrid w:val="0"/>
        <w:spacing w:line="360" w:lineRule="auto"/>
        <w:ind w:firstLine="420"/>
        <w:jc w:val="left"/>
        <w:rPr>
          <w:rFonts w:ascii="宋体" w:hAnsi="宋体"/>
          <w:color w:val="auto"/>
          <w:szCs w:val="21"/>
        </w:rPr>
      </w:pPr>
      <w:r>
        <w:rPr>
          <w:rFonts w:hint="eastAsia" w:ascii="宋体" w:hAnsi="宋体"/>
          <w:color w:val="auto"/>
          <w:szCs w:val="21"/>
        </w:rPr>
        <w:t xml:space="preserve">（2）采购需求； </w:t>
      </w:r>
    </w:p>
    <w:p>
      <w:pPr>
        <w:snapToGrid w:val="0"/>
        <w:spacing w:line="360" w:lineRule="auto"/>
        <w:ind w:firstLine="420"/>
        <w:jc w:val="left"/>
        <w:rPr>
          <w:rFonts w:ascii="宋体" w:hAnsi="宋体"/>
          <w:color w:val="auto"/>
          <w:szCs w:val="21"/>
        </w:rPr>
      </w:pPr>
      <w:r>
        <w:rPr>
          <w:rFonts w:hint="eastAsia" w:ascii="宋体" w:hAnsi="宋体"/>
          <w:color w:val="auto"/>
          <w:szCs w:val="21"/>
        </w:rPr>
        <w:t>（3）投标人须知；</w:t>
      </w:r>
    </w:p>
    <w:p>
      <w:pPr>
        <w:snapToGrid w:val="0"/>
        <w:spacing w:line="360" w:lineRule="auto"/>
        <w:ind w:firstLine="420"/>
        <w:jc w:val="left"/>
        <w:rPr>
          <w:rFonts w:ascii="宋体" w:hAnsi="宋体"/>
          <w:color w:val="auto"/>
          <w:szCs w:val="21"/>
        </w:rPr>
      </w:pPr>
      <w:r>
        <w:rPr>
          <w:rFonts w:hint="eastAsia" w:ascii="宋体" w:hAnsi="宋体"/>
          <w:color w:val="auto"/>
          <w:szCs w:val="21"/>
        </w:rPr>
        <w:t>（4）评标方法及评标标准；</w:t>
      </w:r>
    </w:p>
    <w:p>
      <w:pPr>
        <w:snapToGrid w:val="0"/>
        <w:spacing w:line="360" w:lineRule="auto"/>
        <w:ind w:firstLine="420"/>
        <w:jc w:val="left"/>
        <w:rPr>
          <w:rFonts w:ascii="宋体" w:hAnsi="宋体"/>
          <w:color w:val="auto"/>
          <w:szCs w:val="21"/>
        </w:rPr>
      </w:pPr>
      <w:r>
        <w:rPr>
          <w:rFonts w:hint="eastAsia" w:ascii="宋体" w:hAnsi="宋体"/>
          <w:color w:val="auto"/>
          <w:szCs w:val="21"/>
        </w:rPr>
        <w:t>（5）拟签订的合同文本；</w:t>
      </w:r>
    </w:p>
    <w:p>
      <w:pPr>
        <w:snapToGrid w:val="0"/>
        <w:spacing w:line="360" w:lineRule="auto"/>
        <w:ind w:firstLine="420"/>
        <w:jc w:val="left"/>
        <w:rPr>
          <w:rFonts w:ascii="宋体" w:hAnsi="宋体"/>
          <w:color w:val="auto"/>
          <w:szCs w:val="21"/>
        </w:rPr>
      </w:pPr>
      <w:r>
        <w:rPr>
          <w:rFonts w:hint="eastAsia" w:ascii="宋体" w:hAnsi="宋体"/>
          <w:color w:val="auto"/>
          <w:szCs w:val="21"/>
        </w:rPr>
        <w:t>（6）投标文件格式。</w:t>
      </w:r>
    </w:p>
    <w:p>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11.招标文件的澄清、修改、现场考察和答疑会</w:t>
      </w:r>
    </w:p>
    <w:p>
      <w:pPr>
        <w:pStyle w:val="6"/>
        <w:keepNext w:val="0"/>
        <w:keepLines w:val="0"/>
        <w:spacing w:before="0" w:after="0" w:line="360" w:lineRule="auto"/>
        <w:ind w:firstLine="315" w:firstLineChars="150"/>
        <w:rPr>
          <w:rFonts w:ascii="宋体" w:hAnsi="宋体"/>
          <w:b w:val="0"/>
          <w:color w:val="auto"/>
          <w:sz w:val="21"/>
          <w:szCs w:val="21"/>
        </w:rPr>
      </w:pPr>
      <w:bookmarkStart w:id="100" w:name="_Hlk53134511"/>
      <w:r>
        <w:rPr>
          <w:rFonts w:hint="eastAsia" w:ascii="宋体" w:hAnsi="宋体"/>
          <w:b w:val="0"/>
          <w:color w:val="auto"/>
          <w:sz w:val="21"/>
          <w:szCs w:val="21"/>
        </w:rPr>
        <w:t>11.1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pPr>
        <w:pStyle w:val="6"/>
        <w:keepNext w:val="0"/>
        <w:keepLines w:val="0"/>
        <w:spacing w:before="0" w:after="0" w:line="360" w:lineRule="auto"/>
        <w:ind w:firstLine="420" w:firstLineChars="200"/>
        <w:rPr>
          <w:rFonts w:ascii="宋体" w:hAnsi="宋体"/>
          <w:color w:val="auto"/>
        </w:rPr>
      </w:pPr>
      <w:r>
        <w:rPr>
          <w:rFonts w:hint="eastAsia" w:ascii="宋体" w:hAnsi="宋体"/>
          <w:b w:val="0"/>
          <w:color w:val="auto"/>
          <w:sz w:val="21"/>
          <w:szCs w:val="21"/>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pPr>
        <w:spacing w:line="360" w:lineRule="auto"/>
        <w:ind w:firstLine="420" w:firstLineChars="200"/>
        <w:rPr>
          <w:rFonts w:ascii="宋体" w:hAnsi="宋体"/>
          <w:color w:val="auto"/>
          <w:szCs w:val="21"/>
        </w:rPr>
      </w:pPr>
      <w:r>
        <w:rPr>
          <w:rFonts w:hint="eastAsia" w:ascii="宋体" w:hAnsi="宋体"/>
          <w:color w:val="auto"/>
        </w:rPr>
        <w:t>11.3采购人和采购代理机构可以视采购具体情况，变更投标截止时间和开标时间，并</w:t>
      </w:r>
      <w:r>
        <w:rPr>
          <w:rFonts w:hint="eastAsia" w:ascii="宋体" w:hAnsi="宋体"/>
          <w:color w:val="auto"/>
          <w:szCs w:val="21"/>
        </w:rPr>
        <w:t>在原公告发布媒体上发布更正公告。</w:t>
      </w:r>
    </w:p>
    <w:p>
      <w:pPr>
        <w:spacing w:line="360" w:lineRule="auto"/>
        <w:ind w:firstLine="420" w:firstLineChars="200"/>
        <w:rPr>
          <w:rFonts w:hAnsi="宋体"/>
          <w:color w:val="auto"/>
        </w:rPr>
      </w:pPr>
      <w:r>
        <w:rPr>
          <w:rFonts w:hint="eastAsia" w:ascii="宋体" w:hAnsi="宋体"/>
          <w:color w:val="auto"/>
          <w:szCs w:val="21"/>
        </w:rPr>
        <w:t>11.4招标文件澄清、答复、修改、补充的内容为招标文件的组成部分。</w:t>
      </w:r>
      <w:r>
        <w:rPr>
          <w:rFonts w:hint="eastAsia" w:ascii="宋体" w:hAnsi="宋体"/>
          <w:b/>
          <w:color w:val="auto"/>
          <w:szCs w:val="21"/>
        </w:rPr>
        <w:t>当招标文件与招标文件的澄清、答复、修改、补充通知就同一内容的表述不一致时，以最后发出的文件为准。</w:t>
      </w:r>
    </w:p>
    <w:p>
      <w:pPr>
        <w:pStyle w:val="18"/>
        <w:snapToGrid w:val="0"/>
        <w:spacing w:line="360" w:lineRule="auto"/>
        <w:ind w:firstLine="420" w:firstLineChars="200"/>
        <w:rPr>
          <w:rFonts w:hAnsi="宋体"/>
          <w:color w:val="auto"/>
        </w:rPr>
      </w:pPr>
      <w:r>
        <w:rPr>
          <w:rFonts w:hint="eastAsia" w:hAnsi="宋体"/>
          <w:color w:val="auto"/>
        </w:rPr>
        <w:t>1</w:t>
      </w:r>
      <w:r>
        <w:rPr>
          <w:rFonts w:hAnsi="宋体"/>
          <w:color w:val="auto"/>
        </w:rPr>
        <w:t>1.</w:t>
      </w:r>
      <w:r>
        <w:rPr>
          <w:rFonts w:hint="eastAsia" w:hAnsi="宋体"/>
          <w:color w:val="auto"/>
        </w:rPr>
        <w:t>5采购人或者采购代理机构可以在招标文件提供期限截止后，组织已获取招标文件的潜在投标人现场考察或者召开开标前答疑会，具体详见“投标人须知前附表”。</w:t>
      </w:r>
    </w:p>
    <w:bookmarkEnd w:id="100"/>
    <w:p>
      <w:pPr>
        <w:pStyle w:val="2"/>
        <w:keepNext w:val="0"/>
        <w:keepLines w:val="0"/>
        <w:jc w:val="center"/>
        <w:rPr>
          <w:color w:val="auto"/>
        </w:rPr>
      </w:pPr>
      <w:bookmarkStart w:id="101" w:name="_Toc254970535"/>
      <w:bookmarkStart w:id="102" w:name="_Toc254970676"/>
      <w:r>
        <w:rPr>
          <w:rFonts w:hint="eastAsia"/>
          <w:color w:val="auto"/>
        </w:rPr>
        <w:t>三、投标文件的编制</w:t>
      </w:r>
      <w:bookmarkEnd w:id="101"/>
      <w:bookmarkEnd w:id="102"/>
    </w:p>
    <w:p>
      <w:pPr>
        <w:pStyle w:val="6"/>
        <w:keepNext w:val="0"/>
        <w:keepLines w:val="0"/>
        <w:spacing w:before="0" w:after="0" w:line="360" w:lineRule="auto"/>
        <w:ind w:left="420" w:leftChars="200"/>
        <w:rPr>
          <w:rFonts w:ascii="黑体" w:hAnsi="黑体" w:eastAsia="黑体"/>
          <w:color w:val="auto"/>
          <w:sz w:val="24"/>
        </w:rPr>
      </w:pPr>
      <w:bookmarkStart w:id="103" w:name="_Toc254970536"/>
      <w:bookmarkStart w:id="104" w:name="_Toc254970677"/>
      <w:r>
        <w:rPr>
          <w:rFonts w:hint="eastAsia" w:ascii="黑体" w:hAnsi="黑体" w:eastAsia="黑体"/>
          <w:color w:val="auto"/>
          <w:sz w:val="24"/>
        </w:rPr>
        <w:t>12.投标文件的编制原则</w:t>
      </w:r>
    </w:p>
    <w:p>
      <w:pPr>
        <w:snapToGrid w:val="0"/>
        <w:spacing w:line="360" w:lineRule="auto"/>
        <w:ind w:firstLine="420"/>
        <w:jc w:val="left"/>
        <w:rPr>
          <w:rFonts w:ascii="宋体" w:hAnsi="宋体" w:cs="Courier New"/>
          <w:color w:val="auto"/>
          <w:szCs w:val="21"/>
        </w:rPr>
      </w:pPr>
      <w:r>
        <w:rPr>
          <w:rFonts w:ascii="宋体" w:hAnsi="宋体"/>
          <w:color w:val="auto"/>
          <w:szCs w:val="21"/>
        </w:rPr>
        <w:t>投标人必须按照招标文件的要求编制投标文件。投标文件必须对招标文件提出的要求和条件作出明确响应。</w:t>
      </w:r>
    </w:p>
    <w:p>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13.投标文件的组成</w:t>
      </w:r>
      <w:bookmarkEnd w:id="103"/>
      <w:bookmarkEnd w:id="104"/>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1</w:t>
      </w:r>
      <w:r>
        <w:rPr>
          <w:rFonts w:ascii="宋体" w:hAnsi="宋体"/>
          <w:color w:val="auto"/>
          <w:szCs w:val="21"/>
        </w:rPr>
        <w:t>3.1</w:t>
      </w:r>
      <w:r>
        <w:rPr>
          <w:rFonts w:hint="eastAsia" w:ascii="宋体" w:hAnsi="宋体"/>
          <w:color w:val="auto"/>
          <w:szCs w:val="21"/>
        </w:rPr>
        <w:t>投标文件由报价文件、资格证明文件、商务文件、技术文件四部分组成。</w:t>
      </w:r>
    </w:p>
    <w:p>
      <w:pPr>
        <w:pStyle w:val="6"/>
        <w:keepNext w:val="0"/>
        <w:keepLines w:val="0"/>
        <w:spacing w:before="0" w:after="0" w:line="360" w:lineRule="auto"/>
        <w:ind w:left="420" w:leftChars="200"/>
        <w:rPr>
          <w:rFonts w:ascii="宋体" w:hAnsi="宋体"/>
          <w:b w:val="0"/>
          <w:color w:val="auto"/>
          <w:sz w:val="21"/>
          <w:szCs w:val="21"/>
        </w:rPr>
      </w:pPr>
      <w:bookmarkStart w:id="105" w:name="_13.1报价文件:_具体材料见“投标人须知前附表”。"/>
      <w:bookmarkEnd w:id="105"/>
      <w:r>
        <w:rPr>
          <w:rFonts w:hint="eastAsia" w:ascii="宋体" w:hAnsi="宋体"/>
          <w:b w:val="0"/>
          <w:color w:val="auto"/>
          <w:sz w:val="21"/>
          <w:szCs w:val="21"/>
        </w:rPr>
        <w:t>（1）报价文件：</w:t>
      </w:r>
      <w:r>
        <w:rPr>
          <w:rFonts w:ascii="宋体" w:hAnsi="宋体"/>
          <w:b w:val="0"/>
          <w:color w:val="auto"/>
          <w:sz w:val="21"/>
          <w:szCs w:val="21"/>
        </w:rPr>
        <w:t xml:space="preserve"> 具体材料见“投标人须知前附表”</w:t>
      </w:r>
      <w:r>
        <w:rPr>
          <w:rFonts w:hint="eastAsia" w:ascii="宋体" w:hAnsi="宋体"/>
          <w:b w:val="0"/>
          <w:color w:val="auto"/>
          <w:sz w:val="21"/>
          <w:szCs w:val="21"/>
        </w:rPr>
        <w:t>。</w:t>
      </w:r>
    </w:p>
    <w:p>
      <w:pPr>
        <w:pStyle w:val="6"/>
        <w:keepNext w:val="0"/>
        <w:keepLines w:val="0"/>
        <w:spacing w:before="0" w:after="0" w:line="360" w:lineRule="auto"/>
        <w:ind w:left="420" w:leftChars="200"/>
        <w:rPr>
          <w:rFonts w:ascii="宋体" w:hAnsi="宋体"/>
          <w:b w:val="0"/>
          <w:color w:val="auto"/>
          <w:sz w:val="21"/>
          <w:szCs w:val="21"/>
        </w:rPr>
      </w:pPr>
      <w:bookmarkStart w:id="106" w:name="_13.2资格证明文件：具体材料见“投标人须知前附表”。"/>
      <w:bookmarkEnd w:id="106"/>
      <w:r>
        <w:rPr>
          <w:rFonts w:hint="eastAsia" w:ascii="宋体" w:hAnsi="宋体"/>
          <w:b w:val="0"/>
          <w:color w:val="auto"/>
          <w:sz w:val="21"/>
          <w:szCs w:val="21"/>
        </w:rPr>
        <w:t>（</w:t>
      </w:r>
      <w:r>
        <w:rPr>
          <w:rFonts w:ascii="宋体" w:hAnsi="宋体"/>
          <w:b w:val="0"/>
          <w:color w:val="auto"/>
          <w:sz w:val="21"/>
          <w:szCs w:val="21"/>
        </w:rPr>
        <w:t>2</w:t>
      </w:r>
      <w:r>
        <w:rPr>
          <w:rFonts w:hint="eastAsia" w:ascii="宋体" w:hAnsi="宋体"/>
          <w:b w:val="0"/>
          <w:color w:val="auto"/>
          <w:sz w:val="21"/>
          <w:szCs w:val="21"/>
        </w:rPr>
        <w:t>）资格证明文件：</w:t>
      </w:r>
      <w:r>
        <w:rPr>
          <w:rFonts w:ascii="宋体" w:hAnsi="宋体"/>
          <w:b w:val="0"/>
          <w:color w:val="auto"/>
          <w:sz w:val="21"/>
          <w:szCs w:val="21"/>
        </w:rPr>
        <w:t>具体材料见“投标人须知前附表”</w:t>
      </w:r>
      <w:r>
        <w:rPr>
          <w:rFonts w:hint="eastAsia" w:ascii="宋体" w:hAnsi="宋体"/>
          <w:b w:val="0"/>
          <w:color w:val="auto"/>
          <w:sz w:val="21"/>
          <w:szCs w:val="21"/>
        </w:rPr>
        <w:t>。</w:t>
      </w:r>
    </w:p>
    <w:p>
      <w:pPr>
        <w:pStyle w:val="6"/>
        <w:keepNext w:val="0"/>
        <w:keepLines w:val="0"/>
        <w:spacing w:before="0" w:after="0" w:line="360" w:lineRule="auto"/>
        <w:ind w:left="420" w:leftChars="200"/>
        <w:rPr>
          <w:rFonts w:ascii="宋体" w:hAnsi="宋体"/>
          <w:b w:val="0"/>
          <w:color w:val="auto"/>
          <w:sz w:val="21"/>
          <w:szCs w:val="21"/>
        </w:rPr>
      </w:pPr>
      <w:bookmarkStart w:id="107" w:name="_13.3商务文件:_具体材料见“投标人须知前附表”。"/>
      <w:bookmarkEnd w:id="107"/>
      <w:r>
        <w:rPr>
          <w:rFonts w:hint="eastAsia" w:ascii="宋体" w:hAnsi="宋体"/>
          <w:b w:val="0"/>
          <w:color w:val="auto"/>
          <w:sz w:val="21"/>
          <w:szCs w:val="21"/>
        </w:rPr>
        <w:t>（</w:t>
      </w:r>
      <w:r>
        <w:rPr>
          <w:rFonts w:ascii="宋体" w:hAnsi="宋体"/>
          <w:b w:val="0"/>
          <w:color w:val="auto"/>
          <w:sz w:val="21"/>
          <w:szCs w:val="21"/>
        </w:rPr>
        <w:t>3</w:t>
      </w:r>
      <w:r>
        <w:rPr>
          <w:rFonts w:hint="eastAsia" w:ascii="宋体" w:hAnsi="宋体"/>
          <w:b w:val="0"/>
          <w:color w:val="auto"/>
          <w:sz w:val="21"/>
          <w:szCs w:val="21"/>
        </w:rPr>
        <w:t>）商务文件：</w:t>
      </w:r>
      <w:r>
        <w:rPr>
          <w:rFonts w:ascii="宋体" w:hAnsi="宋体"/>
          <w:b w:val="0"/>
          <w:color w:val="auto"/>
          <w:sz w:val="21"/>
          <w:szCs w:val="21"/>
        </w:rPr>
        <w:t>具体材料见“投标人须知前附表”</w:t>
      </w:r>
      <w:r>
        <w:rPr>
          <w:rFonts w:hint="eastAsia" w:ascii="宋体" w:hAnsi="宋体"/>
          <w:b w:val="0"/>
          <w:color w:val="auto"/>
          <w:sz w:val="21"/>
          <w:szCs w:val="21"/>
        </w:rPr>
        <w:t>。</w:t>
      </w:r>
    </w:p>
    <w:p>
      <w:pPr>
        <w:pStyle w:val="6"/>
        <w:keepNext w:val="0"/>
        <w:keepLines w:val="0"/>
        <w:spacing w:before="0" w:after="0" w:line="360" w:lineRule="auto"/>
        <w:ind w:left="420" w:leftChars="200"/>
        <w:rPr>
          <w:rFonts w:ascii="宋体" w:hAnsi="宋体"/>
          <w:b w:val="0"/>
          <w:color w:val="auto"/>
          <w:sz w:val="21"/>
          <w:szCs w:val="21"/>
        </w:rPr>
      </w:pPr>
      <w:bookmarkStart w:id="108" w:name="_13.4技术文件：具体材料见“投标人须知前附表”。"/>
      <w:bookmarkEnd w:id="108"/>
      <w:r>
        <w:rPr>
          <w:rFonts w:hint="eastAsia" w:ascii="宋体" w:hAnsi="宋体"/>
          <w:b w:val="0"/>
          <w:color w:val="auto"/>
          <w:sz w:val="21"/>
          <w:szCs w:val="21"/>
        </w:rPr>
        <w:t>（</w:t>
      </w:r>
      <w:r>
        <w:rPr>
          <w:rFonts w:ascii="宋体" w:hAnsi="宋体"/>
          <w:b w:val="0"/>
          <w:color w:val="auto"/>
          <w:sz w:val="21"/>
          <w:szCs w:val="21"/>
        </w:rPr>
        <w:t>4</w:t>
      </w:r>
      <w:r>
        <w:rPr>
          <w:rFonts w:hint="eastAsia" w:ascii="宋体" w:hAnsi="宋体"/>
          <w:b w:val="0"/>
          <w:color w:val="auto"/>
          <w:sz w:val="21"/>
          <w:szCs w:val="21"/>
        </w:rPr>
        <w:t>）技术文件：</w:t>
      </w:r>
      <w:r>
        <w:rPr>
          <w:rFonts w:ascii="宋体" w:hAnsi="宋体"/>
          <w:b w:val="0"/>
          <w:color w:val="auto"/>
          <w:sz w:val="21"/>
          <w:szCs w:val="21"/>
        </w:rPr>
        <w:t>具体材料见“投标人须知前附表”</w:t>
      </w:r>
      <w:r>
        <w:rPr>
          <w:rFonts w:hint="eastAsia" w:ascii="宋体" w:hAnsi="宋体"/>
          <w:b w:val="0"/>
          <w:color w:val="auto"/>
          <w:sz w:val="21"/>
          <w:szCs w:val="21"/>
        </w:rPr>
        <w:t>。</w:t>
      </w:r>
    </w:p>
    <w:p>
      <w:pPr>
        <w:pStyle w:val="6"/>
        <w:keepNext w:val="0"/>
        <w:keepLines w:val="0"/>
        <w:spacing w:before="0" w:after="0" w:line="360" w:lineRule="auto"/>
        <w:ind w:left="420" w:leftChars="200"/>
        <w:rPr>
          <w:rFonts w:ascii="黑体" w:hAnsi="黑体" w:eastAsia="黑体"/>
          <w:color w:val="auto"/>
          <w:sz w:val="24"/>
        </w:rPr>
      </w:pPr>
      <w:bookmarkStart w:id="109" w:name="_13.5投标文件电子版：具体材料见“投标人须知前附表”。"/>
      <w:bookmarkEnd w:id="109"/>
      <w:bookmarkStart w:id="110" w:name="_Toc254970537"/>
      <w:bookmarkStart w:id="111" w:name="_Toc254970678"/>
      <w:r>
        <w:rPr>
          <w:rFonts w:hint="eastAsia" w:ascii="黑体" w:hAnsi="黑体" w:eastAsia="黑体"/>
          <w:color w:val="auto"/>
          <w:sz w:val="24"/>
        </w:rPr>
        <w:t>14.投标文件的语言及计量</w:t>
      </w:r>
      <w:bookmarkEnd w:id="110"/>
      <w:bookmarkEnd w:id="111"/>
    </w:p>
    <w:p>
      <w:pPr>
        <w:pStyle w:val="6"/>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14.1语言文字</w:t>
      </w:r>
    </w:p>
    <w:p>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14.2投标计量单位</w:t>
      </w:r>
    </w:p>
    <w:p>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招标文件已有明确规定的，使用招标文件规定的计量单位；招标文件没有规定的，应采用中华人民共和国法定计量单位，货币种类为人民币，否则视同未响应。</w:t>
      </w:r>
    </w:p>
    <w:p>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15.投标的风险</w:t>
      </w:r>
    </w:p>
    <w:p>
      <w:pPr>
        <w:pStyle w:val="18"/>
        <w:snapToGrid w:val="0"/>
        <w:spacing w:line="360" w:lineRule="auto"/>
        <w:ind w:firstLine="420" w:firstLineChars="200"/>
        <w:jc w:val="left"/>
        <w:rPr>
          <w:rFonts w:hAnsi="宋体"/>
          <w:color w:val="auto"/>
        </w:rPr>
      </w:pPr>
      <w:r>
        <w:rPr>
          <w:rFonts w:hint="eastAsia" w:hAnsi="宋体"/>
          <w:color w:val="auto"/>
        </w:rPr>
        <w:t>投标人没有按照招标文件要求提供全部资料，或者投标人没有对招标文件作出实质性响应是投标人的风险，并可能导致其投标被拒绝。</w:t>
      </w:r>
    </w:p>
    <w:p>
      <w:pPr>
        <w:pStyle w:val="6"/>
        <w:keepNext w:val="0"/>
        <w:keepLines w:val="0"/>
        <w:spacing w:before="0" w:after="0" w:line="360" w:lineRule="auto"/>
        <w:ind w:left="420" w:leftChars="200"/>
        <w:rPr>
          <w:rFonts w:ascii="黑体" w:hAnsi="黑体" w:eastAsia="黑体"/>
          <w:color w:val="auto"/>
          <w:sz w:val="24"/>
        </w:rPr>
      </w:pPr>
      <w:bookmarkStart w:id="112" w:name="_Toc254970679"/>
      <w:bookmarkStart w:id="113" w:name="_Toc254970538"/>
      <w:r>
        <w:rPr>
          <w:rFonts w:hint="eastAsia" w:ascii="黑体" w:hAnsi="黑体" w:eastAsia="黑体"/>
          <w:color w:val="auto"/>
          <w:sz w:val="24"/>
        </w:rPr>
        <w:t>16.投标报价</w:t>
      </w:r>
      <w:bookmarkEnd w:id="112"/>
      <w:bookmarkEnd w:id="113"/>
    </w:p>
    <w:p>
      <w:pPr>
        <w:pStyle w:val="6"/>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16.1投标报价应按“第六章　投标文件格式”中“开标一览表”格式填写。</w:t>
      </w:r>
    </w:p>
    <w:p>
      <w:pPr>
        <w:pStyle w:val="6"/>
        <w:keepNext w:val="0"/>
        <w:keepLines w:val="0"/>
        <w:spacing w:before="0" w:after="0" w:line="360" w:lineRule="auto"/>
        <w:ind w:left="420" w:leftChars="200"/>
        <w:rPr>
          <w:rFonts w:ascii="宋体" w:hAnsi="宋体"/>
          <w:b w:val="0"/>
          <w:color w:val="auto"/>
          <w:sz w:val="21"/>
          <w:szCs w:val="21"/>
        </w:rPr>
      </w:pPr>
      <w:bookmarkStart w:id="114" w:name="_16.2投标报价具体定义见投标人须知前附表。"/>
      <w:bookmarkEnd w:id="114"/>
      <w:r>
        <w:rPr>
          <w:rFonts w:hint="eastAsia" w:ascii="宋体" w:hAnsi="宋体"/>
          <w:b w:val="0"/>
          <w:color w:val="auto"/>
          <w:sz w:val="21"/>
          <w:szCs w:val="21"/>
        </w:rPr>
        <w:t>16.2投标报价具体包括内容详见“投标人须知前附表”。</w:t>
      </w:r>
    </w:p>
    <w:p>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16.3投标人必须就所投货物的全部内容作完整唯一总价报价，不得存在漏项报价；投标人必须就所投的单项内容作唯一报价。</w:t>
      </w:r>
    </w:p>
    <w:p>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17.投标有效期</w:t>
      </w:r>
    </w:p>
    <w:p>
      <w:pPr>
        <w:pStyle w:val="6"/>
        <w:keepNext w:val="0"/>
        <w:keepLines w:val="0"/>
        <w:spacing w:before="0" w:after="0" w:line="360" w:lineRule="auto"/>
        <w:ind w:left="420" w:leftChars="200"/>
        <w:rPr>
          <w:rFonts w:ascii="宋体" w:hAnsi="宋体"/>
          <w:b w:val="0"/>
          <w:color w:val="auto"/>
          <w:sz w:val="21"/>
          <w:szCs w:val="21"/>
        </w:rPr>
      </w:pPr>
      <w:bookmarkStart w:id="115" w:name="_17.1投标有效期应按“投标人须知中的前附表”规定的期限。"/>
      <w:bookmarkEnd w:id="115"/>
      <w:r>
        <w:rPr>
          <w:rFonts w:hint="eastAsia" w:ascii="宋体" w:hAnsi="宋体"/>
          <w:b w:val="0"/>
          <w:color w:val="auto"/>
          <w:sz w:val="21"/>
          <w:szCs w:val="21"/>
        </w:rPr>
        <w:t>17.1投标有效期是指为保证采购人有足够的时间在开标后完成评标、定标、合同签订等工作而要求投标人提交的投标文件在一定时间内保持有效的期限。</w:t>
      </w:r>
    </w:p>
    <w:p>
      <w:pPr>
        <w:pStyle w:val="6"/>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17.2</w:t>
      </w:r>
      <w:bookmarkStart w:id="116" w:name="_Toc254970681"/>
      <w:bookmarkStart w:id="117" w:name="_Toc254970540"/>
      <w:r>
        <w:rPr>
          <w:rFonts w:hint="eastAsia" w:ascii="宋体" w:hAnsi="宋体"/>
          <w:b w:val="0"/>
          <w:color w:val="auto"/>
          <w:sz w:val="21"/>
          <w:szCs w:val="21"/>
        </w:rPr>
        <w:t xml:space="preserve"> 投标有效期应按规定的期限作出承诺，具体详见“投标人须知前附表”。</w:t>
      </w:r>
    </w:p>
    <w:p>
      <w:pPr>
        <w:pStyle w:val="6"/>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17.3投标人的投标文件在投标有效期内均保持有效。</w:t>
      </w:r>
      <w:bookmarkEnd w:id="116"/>
      <w:bookmarkEnd w:id="117"/>
    </w:p>
    <w:p>
      <w:pPr>
        <w:pStyle w:val="6"/>
        <w:keepNext w:val="0"/>
        <w:keepLines w:val="0"/>
        <w:spacing w:before="0" w:after="0" w:line="360" w:lineRule="auto"/>
        <w:ind w:left="420" w:leftChars="200"/>
        <w:rPr>
          <w:rFonts w:ascii="黑体" w:hAnsi="黑体" w:eastAsia="黑体"/>
          <w:color w:val="auto"/>
          <w:sz w:val="24"/>
        </w:rPr>
      </w:pPr>
      <w:bookmarkStart w:id="118" w:name="_18.投标保证金"/>
      <w:bookmarkEnd w:id="118"/>
      <w:bookmarkStart w:id="119" w:name="_Toc254970682"/>
      <w:bookmarkStart w:id="120" w:name="_Toc254970541"/>
      <w:r>
        <w:rPr>
          <w:rFonts w:hint="eastAsia" w:ascii="黑体" w:hAnsi="黑体" w:eastAsia="黑体"/>
          <w:color w:val="auto"/>
          <w:sz w:val="24"/>
        </w:rPr>
        <w:t>18.投标保证金</w:t>
      </w:r>
      <w:bookmarkEnd w:id="119"/>
      <w:bookmarkEnd w:id="120"/>
    </w:p>
    <w:p>
      <w:pPr>
        <w:pStyle w:val="6"/>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18.1投标人须按“投标人须知前附表” 的规定提交投标保证金。</w:t>
      </w:r>
    </w:p>
    <w:p>
      <w:pPr>
        <w:pStyle w:val="6"/>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18.2投标保证金的退还</w:t>
      </w:r>
    </w:p>
    <w:p>
      <w:pPr>
        <w:pStyle w:val="6"/>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18.2.1未中标人的投标保证金自中标通知书发出之日起5个工作日内退还，退还方式如下：</w:t>
      </w:r>
    </w:p>
    <w:p>
      <w:pPr>
        <w:pStyle w:val="6"/>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（1）采用银行转账方式的，以转账方式退回到投标人银行账户。</w:t>
      </w:r>
    </w:p>
    <w:p>
      <w:pPr>
        <w:pStyle w:val="7"/>
        <w:spacing w:line="360" w:lineRule="auto"/>
        <w:ind w:firstLine="315" w:firstLineChars="150"/>
        <w:rPr>
          <w:rFonts w:ascii="宋体" w:hAnsi="宋体"/>
          <w:color w:val="auto"/>
          <w:szCs w:val="21"/>
        </w:rPr>
      </w:pPr>
      <w:r>
        <w:rPr>
          <w:rFonts w:hint="eastAsia" w:ascii="宋体" w:hAnsi="宋体"/>
          <w:color w:val="auto"/>
          <w:szCs w:val="21"/>
        </w:rPr>
        <w:t xml:space="preserve">（2）采用支票、汇票、本票或者金融、担保机构出具的保函方式的，由投标人代表持相关授权证明材料至采购人或者采购代理机构办理支票、汇票、本票或者金融、担保机构出具的保函原件退还手续。 </w:t>
      </w:r>
    </w:p>
    <w:p>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18.2.2中标人的投标保证金自采购合同签订之日起5个工作日内退还，退还方式同本须知正文第1</w:t>
      </w:r>
      <w:r>
        <w:rPr>
          <w:rFonts w:ascii="宋体" w:hAnsi="宋体"/>
          <w:b w:val="0"/>
          <w:color w:val="auto"/>
          <w:sz w:val="21"/>
          <w:szCs w:val="21"/>
        </w:rPr>
        <w:t>8.2.1</w:t>
      </w:r>
      <w:r>
        <w:rPr>
          <w:rFonts w:hint="eastAsia" w:ascii="宋体" w:hAnsi="宋体"/>
          <w:b w:val="0"/>
          <w:color w:val="auto"/>
          <w:sz w:val="21"/>
          <w:szCs w:val="21"/>
        </w:rPr>
        <w:t xml:space="preserve">。 </w:t>
      </w:r>
    </w:p>
    <w:p>
      <w:pPr>
        <w:pStyle w:val="6"/>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18.3除逾期退还投标保证金和终止招标的情形以外，投标保证金不计息。</w:t>
      </w:r>
    </w:p>
    <w:p>
      <w:pPr>
        <w:pStyle w:val="6"/>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 xml:space="preserve">18.4投标人有下列情形之一的，投标保证金将不予退还： </w:t>
      </w:r>
    </w:p>
    <w:p>
      <w:pPr>
        <w:snapToGrid w:val="0"/>
        <w:spacing w:line="360" w:lineRule="auto"/>
        <w:ind w:firstLine="411" w:firstLineChars="196"/>
        <w:jc w:val="left"/>
        <w:rPr>
          <w:rFonts w:ascii="宋体" w:hAnsi="宋体"/>
          <w:color w:val="auto"/>
          <w:szCs w:val="21"/>
        </w:rPr>
      </w:pPr>
      <w:r>
        <w:rPr>
          <w:rFonts w:hint="eastAsia" w:ascii="宋体" w:hAnsi="宋体"/>
          <w:color w:val="auto"/>
          <w:szCs w:val="21"/>
        </w:rPr>
        <w:t>（1）投标人在投标有效期内撤销投标文件的；</w:t>
      </w:r>
    </w:p>
    <w:p>
      <w:pPr>
        <w:snapToGrid w:val="0"/>
        <w:spacing w:line="360" w:lineRule="auto"/>
        <w:ind w:firstLine="411" w:firstLineChars="196"/>
        <w:jc w:val="left"/>
        <w:rPr>
          <w:rFonts w:ascii="宋体" w:hAnsi="宋体"/>
          <w:color w:val="auto"/>
          <w:szCs w:val="21"/>
        </w:rPr>
      </w:pPr>
      <w:r>
        <w:rPr>
          <w:rFonts w:hint="eastAsia" w:ascii="宋体" w:hAnsi="宋体"/>
          <w:color w:val="auto"/>
          <w:szCs w:val="21"/>
        </w:rPr>
        <w:t>（2）未按规定提交履约保证金的；</w:t>
      </w:r>
    </w:p>
    <w:p>
      <w:pPr>
        <w:snapToGrid w:val="0"/>
        <w:spacing w:line="360" w:lineRule="auto"/>
        <w:ind w:firstLine="411" w:firstLineChars="196"/>
        <w:jc w:val="left"/>
        <w:rPr>
          <w:rFonts w:ascii="宋体" w:hAnsi="宋体"/>
          <w:color w:val="auto"/>
          <w:szCs w:val="21"/>
        </w:rPr>
      </w:pPr>
      <w:r>
        <w:rPr>
          <w:rFonts w:hint="eastAsia" w:ascii="宋体" w:hAnsi="宋体"/>
          <w:color w:val="auto"/>
          <w:szCs w:val="21"/>
        </w:rPr>
        <w:t>（3）投标人在投标过程中弄虚作假，提供虚假材料的；</w:t>
      </w:r>
    </w:p>
    <w:p>
      <w:pPr>
        <w:snapToGrid w:val="0"/>
        <w:spacing w:line="360" w:lineRule="auto"/>
        <w:ind w:firstLine="411" w:firstLineChars="196"/>
        <w:rPr>
          <w:rFonts w:ascii="宋体" w:hAnsi="宋体"/>
          <w:color w:val="auto"/>
          <w:szCs w:val="21"/>
        </w:rPr>
      </w:pPr>
      <w:r>
        <w:rPr>
          <w:rFonts w:hint="eastAsia" w:ascii="宋体" w:hAnsi="宋体"/>
          <w:color w:val="auto"/>
          <w:szCs w:val="21"/>
        </w:rPr>
        <w:t>（4）中标人无正当理由不与采购人签订合同的；</w:t>
      </w:r>
    </w:p>
    <w:p>
      <w:pPr>
        <w:snapToGrid w:val="0"/>
        <w:spacing w:line="360" w:lineRule="auto"/>
        <w:ind w:firstLine="420" w:firstLineChars="200"/>
        <w:rPr>
          <w:rFonts w:ascii="宋体" w:hAnsi="宋体"/>
          <w:color w:val="auto"/>
          <w:szCs w:val="21"/>
        </w:rPr>
      </w:pPr>
      <w:r>
        <w:rPr>
          <w:rFonts w:hint="eastAsia" w:ascii="宋体" w:hAnsi="宋体"/>
          <w:color w:val="auto"/>
          <w:szCs w:val="21"/>
        </w:rPr>
        <w:t>（5）投标人出现本章第9.2、9.3情形的；</w:t>
      </w:r>
    </w:p>
    <w:p>
      <w:pPr>
        <w:snapToGrid w:val="0"/>
        <w:spacing w:line="360" w:lineRule="auto"/>
        <w:ind w:firstLine="420" w:firstLineChars="200"/>
        <w:rPr>
          <w:rFonts w:ascii="宋体" w:hAnsi="宋体"/>
          <w:color w:val="auto"/>
          <w:szCs w:val="21"/>
        </w:rPr>
      </w:pPr>
      <w:r>
        <w:rPr>
          <w:rFonts w:hint="eastAsia" w:ascii="宋体" w:hAnsi="宋体"/>
          <w:color w:val="auto"/>
          <w:szCs w:val="21"/>
        </w:rPr>
        <w:t>（6）其他严重扰乱招投标程序的。</w:t>
      </w:r>
    </w:p>
    <w:p>
      <w:pPr>
        <w:pStyle w:val="6"/>
        <w:keepNext w:val="0"/>
        <w:keepLines w:val="0"/>
        <w:spacing w:before="0" w:after="0" w:line="360" w:lineRule="auto"/>
        <w:ind w:left="420" w:leftChars="200"/>
        <w:rPr>
          <w:rFonts w:ascii="黑体" w:hAnsi="黑体" w:eastAsia="黑体"/>
          <w:color w:val="auto"/>
          <w:sz w:val="24"/>
        </w:rPr>
      </w:pPr>
      <w:bookmarkStart w:id="121" w:name="_Toc254970683"/>
      <w:bookmarkStart w:id="122" w:name="_Toc254970542"/>
      <w:r>
        <w:rPr>
          <w:rFonts w:hint="eastAsia" w:ascii="黑体" w:hAnsi="黑体" w:eastAsia="黑体"/>
          <w:color w:val="auto"/>
          <w:sz w:val="24"/>
        </w:rPr>
        <w:t>19.投标文件的</w:t>
      </w:r>
      <w:bookmarkEnd w:id="121"/>
      <w:bookmarkEnd w:id="122"/>
      <w:r>
        <w:rPr>
          <w:rFonts w:hint="eastAsia" w:ascii="黑体" w:hAnsi="黑体" w:eastAsia="黑体"/>
          <w:color w:val="auto"/>
          <w:sz w:val="24"/>
        </w:rPr>
        <w:t>编制</w:t>
      </w:r>
    </w:p>
    <w:p>
      <w:pPr>
        <w:pStyle w:val="6"/>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19.1投标人应按本招标文件规定的格式和顺序编制、装订投标文件并标注页码，投标文件内容不完整、编排混乱导致投标文件被误读、漏读或者查找不到相关内容的，由此引发的后果由投标人承担。</w:t>
      </w:r>
    </w:p>
    <w:p>
      <w:pPr>
        <w:pStyle w:val="6"/>
        <w:keepNext w:val="0"/>
        <w:keepLines w:val="0"/>
        <w:spacing w:before="0" w:after="0" w:line="360" w:lineRule="auto"/>
        <w:ind w:firstLine="420" w:firstLineChars="200"/>
        <w:rPr>
          <w:rFonts w:ascii="宋体" w:hAnsi="宋体"/>
          <w:b w:val="0"/>
          <w:color w:val="auto"/>
          <w:sz w:val="21"/>
          <w:szCs w:val="21"/>
        </w:rPr>
      </w:pPr>
      <w:bookmarkStart w:id="123" w:name="_19.2投标文件应按报价文件、资格证明文件、商务文件、技术文件分别编制"/>
      <w:bookmarkEnd w:id="123"/>
      <w:r>
        <w:rPr>
          <w:rFonts w:hint="eastAsia" w:ascii="宋体" w:hAnsi="宋体"/>
          <w:b w:val="0"/>
          <w:color w:val="auto"/>
          <w:sz w:val="21"/>
          <w:szCs w:val="21"/>
        </w:rPr>
        <w:t>19.2投标文件应按报价文件、资格证明文件、商务文件、技术文件分别编制电子文件，并按“政采云”平台的要求编制、加密、上传。</w:t>
      </w:r>
    </w:p>
    <w:p>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19.</w:t>
      </w:r>
      <w:bookmarkStart w:id="124" w:name="_Hlk65832616"/>
      <w:r>
        <w:rPr>
          <w:rFonts w:hint="eastAsia" w:ascii="宋体" w:hAnsi="宋体"/>
          <w:b w:val="0"/>
          <w:color w:val="auto"/>
          <w:sz w:val="21"/>
          <w:szCs w:val="21"/>
        </w:rPr>
        <w:t>3投标文件须由投标人在规定位置盖公章并签字</w:t>
      </w:r>
      <w:bookmarkStart w:id="125" w:name="_Hlk65832569"/>
      <w:r>
        <w:rPr>
          <w:rFonts w:hint="eastAsia" w:ascii="宋体" w:hAnsi="宋体"/>
          <w:b w:val="0"/>
          <w:color w:val="auto"/>
          <w:sz w:val="21"/>
          <w:szCs w:val="21"/>
        </w:rPr>
        <w:t>（具体以投标人须知前附表或投标文件格式规定为准）</w:t>
      </w:r>
      <w:bookmarkEnd w:id="124"/>
      <w:bookmarkEnd w:id="125"/>
      <w:r>
        <w:rPr>
          <w:rFonts w:hint="eastAsia" w:ascii="宋体" w:hAnsi="宋体"/>
          <w:b w:val="0"/>
          <w:color w:val="auto"/>
          <w:sz w:val="21"/>
          <w:szCs w:val="21"/>
        </w:rPr>
        <w:t>，</w:t>
      </w:r>
      <w:r>
        <w:rPr>
          <w:rFonts w:hint="eastAsia" w:ascii="宋体" w:hAnsi="宋体"/>
          <w:color w:val="auto"/>
          <w:sz w:val="21"/>
          <w:szCs w:val="21"/>
        </w:rPr>
        <w:t>否则按无效投标处理</w:t>
      </w:r>
      <w:r>
        <w:rPr>
          <w:rFonts w:hint="eastAsia" w:ascii="宋体" w:hAnsi="宋体"/>
          <w:b w:val="0"/>
          <w:color w:val="auto"/>
          <w:sz w:val="21"/>
          <w:szCs w:val="21"/>
        </w:rPr>
        <w:t>。</w:t>
      </w:r>
    </w:p>
    <w:p>
      <w:pPr>
        <w:pStyle w:val="6"/>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19.4投标文件中标注的投标人名称应与主体资格证明（如营业执照、事业单位法人证书、执业许可证、自然人身份证等）及公章一致，</w:t>
      </w:r>
      <w:r>
        <w:rPr>
          <w:rFonts w:hint="eastAsia" w:ascii="宋体" w:hAnsi="宋体"/>
          <w:color w:val="auto"/>
          <w:sz w:val="21"/>
          <w:szCs w:val="21"/>
        </w:rPr>
        <w:t>否则按无效投标处理</w:t>
      </w:r>
      <w:r>
        <w:rPr>
          <w:rFonts w:hint="eastAsia" w:ascii="宋体" w:hAnsi="宋体"/>
          <w:b w:val="0"/>
          <w:color w:val="auto"/>
          <w:sz w:val="21"/>
          <w:szCs w:val="21"/>
        </w:rPr>
        <w:t>。</w:t>
      </w:r>
    </w:p>
    <w:p>
      <w:pPr>
        <w:pStyle w:val="6"/>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20.投标文件的加密、解密</w:t>
      </w:r>
    </w:p>
    <w:p>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20.1电子投标文件编制完成后，投标人应按“政采云”平台的要求进行加密，并在规定时间内解密，否则，由此产生的后果由投标人自行负责。</w:t>
      </w:r>
    </w:p>
    <w:p>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21.投标文件的提交</w:t>
      </w:r>
    </w:p>
    <w:p>
      <w:pPr>
        <w:pStyle w:val="6"/>
        <w:keepNext w:val="0"/>
        <w:keepLines w:val="0"/>
        <w:spacing w:before="0" w:after="0" w:line="360" w:lineRule="auto"/>
        <w:ind w:firstLine="420" w:firstLineChars="200"/>
        <w:rPr>
          <w:rFonts w:ascii="宋体" w:hAnsi="宋体"/>
          <w:b w:val="0"/>
          <w:color w:val="auto"/>
          <w:sz w:val="21"/>
          <w:szCs w:val="21"/>
        </w:rPr>
      </w:pPr>
      <w:bookmarkStart w:id="126" w:name="_21.1投标人必须在“投标人须知中的前附表”规定的投标文件接收时间和投"/>
      <w:bookmarkEnd w:id="126"/>
      <w:r>
        <w:rPr>
          <w:rFonts w:hint="eastAsia" w:ascii="宋体" w:hAnsi="宋体"/>
          <w:b w:val="0"/>
          <w:color w:val="auto"/>
          <w:sz w:val="21"/>
          <w:szCs w:val="21"/>
        </w:rPr>
        <w:t>21.1投标人必须在“投标人须知前附表”规定的投标文件接收时间和投标地点提交投标文件。</w:t>
      </w:r>
    </w:p>
    <w:p>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21.2本项目为全流程电子化政府采购项目，通过“政采云”平台（http：//www.zcygov.cn）实行在线电子投标。投标人必须在“投标人须知前附表”规定的投标文件接收时间内通过网络将电子投标文件上传至“政采云”平台，供应商在“政采云”平台提交电子版投标文件时，请填写参加远程开标活动经办人联系方式。</w:t>
      </w:r>
    </w:p>
    <w:p>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21.3未在规定时间内上传或者未按“政采云”平台的要求编制、加密的电子投标文件，“政采云”平台将拒收。</w:t>
      </w:r>
    </w:p>
    <w:p>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21.4电子投标文件提交方式见“招标公告”中“四、提交投标文件截止时间、开标时间和地点”。</w:t>
      </w:r>
    </w:p>
    <w:p>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22. 投标文件的补充、修改、撤回与退回</w:t>
      </w:r>
    </w:p>
    <w:p>
      <w:pPr>
        <w:snapToGrid w:val="0"/>
        <w:spacing w:line="360" w:lineRule="auto"/>
        <w:ind w:firstLine="420"/>
        <w:jc w:val="left"/>
        <w:rPr>
          <w:rFonts w:ascii="宋体" w:hAnsi="宋体"/>
          <w:color w:val="auto"/>
          <w:szCs w:val="21"/>
        </w:rPr>
      </w:pPr>
      <w:bookmarkStart w:id="127" w:name="_Toc254970543"/>
      <w:bookmarkStart w:id="128" w:name="_Toc254970684"/>
      <w:r>
        <w:rPr>
          <w:rFonts w:hint="eastAsia" w:ascii="宋体" w:hAnsi="宋体"/>
          <w:color w:val="auto"/>
          <w:szCs w:val="21"/>
        </w:rPr>
        <w:t>2</w:t>
      </w:r>
      <w:r>
        <w:rPr>
          <w:rFonts w:ascii="宋体" w:hAnsi="宋体"/>
          <w:color w:val="auto"/>
          <w:szCs w:val="21"/>
        </w:rPr>
        <w:t>2.1</w:t>
      </w:r>
      <w:r>
        <w:rPr>
          <w:rFonts w:hint="eastAsia" w:ascii="宋体" w:hAnsi="宋体"/>
          <w:color w:val="auto"/>
          <w:szCs w:val="21"/>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bookmarkEnd w:id="127"/>
    <w:bookmarkEnd w:id="128"/>
    <w:p>
      <w:pPr>
        <w:snapToGrid w:val="0"/>
        <w:spacing w:line="360" w:lineRule="auto"/>
        <w:ind w:firstLine="420"/>
        <w:jc w:val="left"/>
        <w:rPr>
          <w:rFonts w:ascii="宋体" w:hAnsi="宋体"/>
          <w:color w:val="auto"/>
          <w:szCs w:val="21"/>
        </w:rPr>
      </w:pPr>
      <w:r>
        <w:rPr>
          <w:rFonts w:hint="eastAsia" w:ascii="宋体" w:hAnsi="宋体"/>
          <w:color w:val="auto"/>
          <w:szCs w:val="21"/>
        </w:rPr>
        <w:t>22.</w:t>
      </w:r>
      <w:r>
        <w:rPr>
          <w:rFonts w:ascii="宋体" w:hAnsi="宋体"/>
          <w:color w:val="auto"/>
          <w:szCs w:val="21"/>
        </w:rPr>
        <w:t>2</w:t>
      </w:r>
      <w:r>
        <w:rPr>
          <w:rFonts w:hint="eastAsia" w:ascii="宋体" w:hAnsi="宋体"/>
          <w:color w:val="auto"/>
          <w:szCs w:val="21"/>
        </w:rPr>
        <w:t>在投标截止时间止提交投标文件的投标人不足3家时，不得开标，采购代理机构将根据“政采云”平台的操作将电子版投标文件退回，除此之外采购人和采购代理机构对已提交的投标文件概不退回。</w:t>
      </w:r>
    </w:p>
    <w:p>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2.3</w:t>
      </w:r>
      <w:r>
        <w:rPr>
          <w:rFonts w:hint="eastAsia" w:ascii="宋体" w:hAnsi="宋体" w:cs="宋体"/>
          <w:color w:val="auto"/>
          <w:szCs w:val="21"/>
        </w:rPr>
        <w:t xml:space="preserve"> 投标人在投标截止时间后书面通知采购人、采购代理机构撤销投标文件的，将根据本须知正文1</w:t>
      </w:r>
      <w:r>
        <w:rPr>
          <w:rFonts w:ascii="宋体" w:hAnsi="宋体" w:cs="宋体"/>
          <w:color w:val="auto"/>
          <w:szCs w:val="21"/>
        </w:rPr>
        <w:t>8</w:t>
      </w:r>
      <w:r>
        <w:rPr>
          <w:rFonts w:hint="eastAsia" w:ascii="宋体" w:hAnsi="宋体" w:cs="宋体"/>
          <w:color w:val="auto"/>
          <w:szCs w:val="21"/>
        </w:rPr>
        <w:t>.4的规定不予退还其投标保证金。</w:t>
      </w:r>
    </w:p>
    <w:p>
      <w:pPr>
        <w:pStyle w:val="15"/>
        <w:snapToGrid w:val="0"/>
        <w:spacing w:line="360" w:lineRule="auto"/>
        <w:ind w:firstLine="739"/>
        <w:rPr>
          <w:rFonts w:hAnsi="宋体"/>
          <w:snapToGrid w:val="0"/>
          <w:color w:val="auto"/>
          <w:sz w:val="21"/>
          <w:szCs w:val="21"/>
        </w:rPr>
      </w:pPr>
    </w:p>
    <w:p>
      <w:pPr>
        <w:pStyle w:val="2"/>
        <w:keepNext w:val="0"/>
        <w:keepLines w:val="0"/>
        <w:jc w:val="center"/>
        <w:rPr>
          <w:color w:val="auto"/>
        </w:rPr>
      </w:pPr>
      <w:bookmarkStart w:id="129" w:name="_Toc254970544"/>
      <w:bookmarkStart w:id="130" w:name="_Toc254970685"/>
      <w:r>
        <w:rPr>
          <w:rFonts w:hint="eastAsia"/>
          <w:color w:val="auto"/>
        </w:rPr>
        <w:t>四、开    标</w:t>
      </w:r>
      <w:bookmarkEnd w:id="129"/>
      <w:bookmarkEnd w:id="130"/>
    </w:p>
    <w:p>
      <w:pPr>
        <w:pStyle w:val="6"/>
        <w:keepNext w:val="0"/>
        <w:keepLines w:val="0"/>
        <w:spacing w:before="0" w:after="0" w:line="360" w:lineRule="auto"/>
        <w:ind w:firstLine="482" w:firstLineChars="200"/>
        <w:rPr>
          <w:rFonts w:ascii="黑体" w:hAnsi="黑体" w:eastAsia="黑体"/>
          <w:color w:val="auto"/>
          <w:sz w:val="24"/>
        </w:rPr>
      </w:pPr>
      <w:bookmarkStart w:id="131" w:name="_23.开标时间和地点"/>
      <w:bookmarkEnd w:id="131"/>
      <w:r>
        <w:rPr>
          <w:rFonts w:hint="eastAsia" w:ascii="黑体" w:hAnsi="黑体" w:eastAsia="黑体"/>
          <w:color w:val="auto"/>
          <w:sz w:val="24"/>
        </w:rPr>
        <w:t>23.开标时间和地点</w:t>
      </w:r>
    </w:p>
    <w:p>
      <w:pPr>
        <w:pStyle w:val="18"/>
        <w:snapToGrid w:val="0"/>
        <w:spacing w:line="360" w:lineRule="auto"/>
        <w:ind w:firstLine="420" w:firstLineChars="200"/>
        <w:rPr>
          <w:rFonts w:hAnsi="宋体"/>
          <w:bCs/>
          <w:color w:val="auto"/>
        </w:rPr>
      </w:pPr>
      <w:r>
        <w:rPr>
          <w:rFonts w:hint="eastAsia" w:hAnsi="宋体"/>
          <w:bCs/>
          <w:color w:val="auto"/>
        </w:rPr>
        <w:t>23.1开标时间及地点详见“投标人须知前附表”</w:t>
      </w:r>
    </w:p>
    <w:p>
      <w:pPr>
        <w:pStyle w:val="18"/>
        <w:snapToGrid w:val="0"/>
        <w:spacing w:line="360" w:lineRule="auto"/>
        <w:ind w:firstLine="420" w:firstLineChars="200"/>
        <w:rPr>
          <w:rFonts w:hAnsi="宋体"/>
          <w:bCs/>
          <w:color w:val="auto"/>
        </w:rPr>
      </w:pPr>
      <w:r>
        <w:rPr>
          <w:rFonts w:hint="eastAsia" w:hAnsi="宋体"/>
          <w:bCs/>
          <w:color w:val="auto"/>
        </w:rPr>
        <w:t>23.2如投标人成功解密投标文件，但未在“政采云”电子开标大厅参加开标的，视同认可开标过程和结果，由此产生的后果由投标人自行负责。成功解密投标文件的投标人不足3家的，不得开标。</w:t>
      </w:r>
    </w:p>
    <w:p>
      <w:pPr>
        <w:pStyle w:val="6"/>
        <w:keepNext w:val="0"/>
        <w:keepLines w:val="0"/>
        <w:spacing w:before="0" w:after="0" w:line="360" w:lineRule="auto"/>
        <w:ind w:firstLine="482" w:firstLineChars="200"/>
        <w:rPr>
          <w:rFonts w:ascii="黑体" w:hAnsi="黑体" w:eastAsia="黑体"/>
          <w:color w:val="auto"/>
          <w:sz w:val="24"/>
        </w:rPr>
      </w:pPr>
      <w:r>
        <w:rPr>
          <w:rFonts w:hint="eastAsia" w:ascii="黑体" w:hAnsi="黑体" w:eastAsia="黑体"/>
          <w:color w:val="auto"/>
          <w:sz w:val="24"/>
        </w:rPr>
        <w:t>24.开标程序</w:t>
      </w:r>
    </w:p>
    <w:p>
      <w:pPr>
        <w:autoSpaceDE w:val="0"/>
        <w:autoSpaceDN w:val="0"/>
        <w:adjustRightInd w:val="0"/>
        <w:spacing w:line="360" w:lineRule="auto"/>
        <w:ind w:firstLine="420" w:firstLineChars="200"/>
        <w:rPr>
          <w:rFonts w:ascii="宋体" w:hAnsi="宋体"/>
          <w:color w:val="auto"/>
          <w:kern w:val="0"/>
          <w:szCs w:val="21"/>
        </w:rPr>
      </w:pPr>
      <w:r>
        <w:rPr>
          <w:rFonts w:hint="eastAsia" w:ascii="宋体" w:hAnsi="宋体"/>
          <w:bCs/>
          <w:color w:val="auto"/>
          <w:szCs w:val="21"/>
        </w:rPr>
        <w:t>24.1</w:t>
      </w:r>
      <w:r>
        <w:rPr>
          <w:rFonts w:hint="eastAsia" w:ascii="宋体" w:hAnsi="宋体"/>
          <w:color w:val="auto"/>
          <w:kern w:val="0"/>
          <w:szCs w:val="21"/>
        </w:rPr>
        <w:t>开标形式：</w:t>
      </w:r>
    </w:p>
    <w:p>
      <w:pPr>
        <w:autoSpaceDE w:val="0"/>
        <w:autoSpaceDN w:val="0"/>
        <w:adjustRightInd w:val="0"/>
        <w:spacing w:line="360" w:lineRule="auto"/>
        <w:ind w:firstLine="420" w:firstLineChars="200"/>
        <w:rPr>
          <w:rFonts w:ascii="宋体" w:hAnsi="宋体"/>
          <w:bCs/>
          <w:color w:val="auto"/>
          <w:szCs w:val="21"/>
        </w:rPr>
      </w:pPr>
      <w:r>
        <w:rPr>
          <w:rFonts w:hint="eastAsia" w:ascii="宋体" w:hAnsi="宋体"/>
          <w:bCs/>
          <w:color w:val="auto"/>
          <w:szCs w:val="21"/>
        </w:rPr>
        <w:t>采购代理机构将按照招标文件规定的时间通过“政采云”平台组织线上开标活动、开启投标文件，所有供应商均应当准时在线参加。投标人</w:t>
      </w:r>
      <w:r>
        <w:rPr>
          <w:rFonts w:ascii="宋体" w:hAnsi="宋体"/>
          <w:bCs/>
          <w:color w:val="auto"/>
          <w:szCs w:val="21"/>
        </w:rPr>
        <w:t>如不</w:t>
      </w:r>
      <w:r>
        <w:rPr>
          <w:rFonts w:hint="eastAsia" w:ascii="宋体" w:hAnsi="宋体"/>
          <w:bCs/>
          <w:color w:val="auto"/>
          <w:szCs w:val="21"/>
        </w:rPr>
        <w:t>参加</w:t>
      </w:r>
      <w:r>
        <w:rPr>
          <w:rFonts w:ascii="宋体" w:hAnsi="宋体"/>
          <w:bCs/>
          <w:color w:val="auto"/>
          <w:szCs w:val="21"/>
        </w:rPr>
        <w:t>开标大会的，</w:t>
      </w:r>
      <w:r>
        <w:rPr>
          <w:rFonts w:hint="eastAsia" w:ascii="宋体" w:hAnsi="宋体"/>
          <w:bCs/>
          <w:color w:val="auto"/>
          <w:szCs w:val="21"/>
        </w:rPr>
        <w:t>视同认可开标结果，</w:t>
      </w:r>
      <w:r>
        <w:rPr>
          <w:rFonts w:ascii="宋体" w:hAnsi="宋体"/>
          <w:bCs/>
          <w:color w:val="auto"/>
          <w:szCs w:val="21"/>
        </w:rPr>
        <w:t>事后不得对采购相关人员、开标过程和开标结果提出异议</w:t>
      </w:r>
      <w:r>
        <w:rPr>
          <w:rFonts w:hint="eastAsia" w:ascii="宋体" w:hAnsi="宋体"/>
          <w:bCs/>
          <w:color w:val="auto"/>
          <w:szCs w:val="21"/>
        </w:rPr>
        <w:t>，同时投标人因未在线参加开标而导致投标文件无法按时解密等一切后果由投标人自己承担。</w:t>
      </w:r>
    </w:p>
    <w:p>
      <w:pPr>
        <w:autoSpaceDE w:val="0"/>
        <w:autoSpaceDN w:val="0"/>
        <w:adjustRightInd w:val="0"/>
        <w:spacing w:line="360" w:lineRule="auto"/>
        <w:ind w:firstLine="420" w:firstLineChars="200"/>
        <w:rPr>
          <w:rFonts w:ascii="宋体" w:hAnsi="宋体"/>
          <w:bCs/>
          <w:color w:val="auto"/>
          <w:szCs w:val="21"/>
        </w:rPr>
      </w:pPr>
      <w:r>
        <w:rPr>
          <w:rFonts w:hint="eastAsia" w:ascii="宋体" w:hAnsi="宋体"/>
          <w:bCs/>
          <w:color w:val="auto"/>
          <w:szCs w:val="21"/>
        </w:rPr>
        <w:t>24.2</w:t>
      </w:r>
      <w:r>
        <w:rPr>
          <w:rFonts w:ascii="宋体" w:hAnsi="宋体"/>
          <w:bCs/>
          <w:color w:val="auto"/>
          <w:szCs w:val="21"/>
        </w:rPr>
        <w:t>开</w:t>
      </w:r>
      <w:r>
        <w:rPr>
          <w:rFonts w:hint="eastAsia" w:ascii="宋体" w:hAnsi="宋体"/>
          <w:bCs/>
          <w:color w:val="auto"/>
          <w:szCs w:val="21"/>
        </w:rPr>
        <w:t>标</w:t>
      </w:r>
      <w:r>
        <w:rPr>
          <w:rFonts w:ascii="宋体" w:hAnsi="宋体"/>
          <w:bCs/>
          <w:color w:val="auto"/>
          <w:szCs w:val="21"/>
        </w:rPr>
        <w:t>程序：</w:t>
      </w:r>
    </w:p>
    <w:p>
      <w:pPr>
        <w:autoSpaceDE w:val="0"/>
        <w:autoSpaceDN w:val="0"/>
        <w:adjustRightInd w:val="0"/>
        <w:spacing w:line="360" w:lineRule="auto"/>
        <w:ind w:firstLine="420" w:firstLineChars="200"/>
        <w:rPr>
          <w:rFonts w:ascii="宋体" w:hAnsi="宋体"/>
          <w:bCs/>
          <w:color w:val="auto"/>
          <w:szCs w:val="21"/>
        </w:rPr>
      </w:pPr>
      <w:r>
        <w:rPr>
          <w:rFonts w:hint="eastAsia" w:ascii="宋体" w:hAnsi="宋体"/>
          <w:bCs/>
          <w:color w:val="auto"/>
          <w:szCs w:val="21"/>
        </w:rPr>
        <w:t>（1）解密电子投标文件。“政采云”平台按开标时间自动提取所有投标文件。采购代理机构依托“政采云”平台向各投标人发出电子加密投标文件【开始解密】通知，由投标人进行投标文件解密。</w:t>
      </w:r>
      <w:r>
        <w:rPr>
          <w:rFonts w:hint="eastAsia" w:ascii="宋体" w:hAnsi="宋体"/>
          <w:b/>
          <w:bCs/>
          <w:color w:val="auto"/>
          <w:szCs w:val="21"/>
        </w:rPr>
        <w:t>投标人的法定代表人或其委托代理人须携带加密时所用的CA锁准时登录到“政采云”平台电子开标大厅签到</w:t>
      </w:r>
      <w:r>
        <w:rPr>
          <w:rFonts w:hint="eastAsia" w:ascii="宋体" w:hAnsi="宋体" w:cs="宋体"/>
          <w:b/>
          <w:color w:val="auto"/>
          <w:szCs w:val="21"/>
        </w:rPr>
        <w:t>并在发起解密</w:t>
      </w:r>
      <w:r>
        <w:rPr>
          <w:rFonts w:hint="eastAsia" w:ascii="宋体" w:hAnsi="宋体"/>
          <w:b/>
          <w:bCs/>
          <w:color w:val="auto"/>
          <w:szCs w:val="21"/>
        </w:rPr>
        <w:t>通知</w:t>
      </w:r>
      <w:r>
        <w:rPr>
          <w:rFonts w:hint="eastAsia" w:ascii="宋体" w:hAnsi="宋体" w:cs="宋体"/>
          <w:b/>
          <w:color w:val="auto"/>
          <w:szCs w:val="21"/>
        </w:rPr>
        <w:t>之时起30分钟内完成</w:t>
      </w:r>
      <w:r>
        <w:rPr>
          <w:rFonts w:hint="eastAsia" w:ascii="宋体" w:hAnsi="宋体"/>
          <w:b/>
          <w:bCs/>
          <w:color w:val="auto"/>
          <w:szCs w:val="21"/>
        </w:rPr>
        <w:t>对电子投标文件解密。投标文件未按时解密的，视为无效投标。</w:t>
      </w:r>
      <w:r>
        <w:rPr>
          <w:rFonts w:hint="eastAsia" w:ascii="宋体" w:hAnsi="宋体"/>
          <w:bCs/>
          <w:color w:val="auto"/>
          <w:szCs w:val="21"/>
        </w:rPr>
        <w:t>（解密异常情况处理：详见本章29.4 电子交易活动的中止。</w:t>
      </w:r>
    </w:p>
    <w:p>
      <w:pPr>
        <w:autoSpaceDE w:val="0"/>
        <w:autoSpaceDN w:val="0"/>
        <w:adjustRightInd w:val="0"/>
        <w:spacing w:line="360" w:lineRule="auto"/>
        <w:ind w:firstLine="420" w:firstLineChars="200"/>
        <w:rPr>
          <w:rFonts w:ascii="宋体" w:hAnsi="宋体"/>
          <w:bCs/>
          <w:color w:val="auto"/>
          <w:szCs w:val="21"/>
        </w:rPr>
      </w:pPr>
      <w:r>
        <w:rPr>
          <w:rFonts w:hint="eastAsia" w:ascii="宋体" w:hAnsi="宋体"/>
          <w:bCs/>
          <w:color w:val="auto"/>
          <w:szCs w:val="21"/>
        </w:rPr>
        <w:t>（2）电子唱标。投标文件解密结束，各投标供应商报价均在“政采云”平台远程不见面开标大厅展示；</w:t>
      </w:r>
    </w:p>
    <w:p>
      <w:pPr>
        <w:autoSpaceDE w:val="0"/>
        <w:autoSpaceDN w:val="0"/>
        <w:adjustRightInd w:val="0"/>
        <w:spacing w:line="360" w:lineRule="auto"/>
        <w:ind w:firstLine="420" w:firstLineChars="200"/>
        <w:rPr>
          <w:rFonts w:ascii="宋体" w:hAnsi="宋体"/>
          <w:bCs/>
          <w:color w:val="auto"/>
          <w:szCs w:val="21"/>
        </w:rPr>
      </w:pPr>
      <w:r>
        <w:rPr>
          <w:rFonts w:hint="eastAsia" w:ascii="宋体" w:hAnsi="宋体"/>
          <w:bCs/>
          <w:color w:val="auto"/>
          <w:szCs w:val="21"/>
        </w:rPr>
        <w:t>（3）开标过程由采购代理机构如实记录，并电子留痕，由参加电子开标的各投标人代表对电子开标记录在开标记录公布后15分钟内进行当场校核及勘误，并线上确认，未确认的视同认可开标结果。</w:t>
      </w:r>
    </w:p>
    <w:p>
      <w:pPr>
        <w:autoSpaceDE w:val="0"/>
        <w:autoSpaceDN w:val="0"/>
        <w:adjustRightInd w:val="0"/>
        <w:spacing w:line="360" w:lineRule="auto"/>
        <w:ind w:firstLine="420" w:firstLineChars="200"/>
        <w:rPr>
          <w:rFonts w:ascii="宋体" w:hAnsi="宋体"/>
          <w:bCs/>
          <w:color w:val="auto"/>
          <w:szCs w:val="21"/>
        </w:rPr>
      </w:pPr>
      <w:r>
        <w:rPr>
          <w:rFonts w:hint="eastAsia" w:ascii="宋体" w:hAnsi="宋体"/>
          <w:bCs/>
          <w:color w:val="auto"/>
          <w:szCs w:val="21"/>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autoSpaceDE w:val="0"/>
        <w:autoSpaceDN w:val="0"/>
        <w:adjustRightInd w:val="0"/>
        <w:spacing w:line="360" w:lineRule="auto"/>
        <w:ind w:firstLine="420" w:firstLineChars="200"/>
        <w:rPr>
          <w:rFonts w:ascii="宋体" w:hAnsi="宋体"/>
          <w:bCs/>
          <w:color w:val="auto"/>
          <w:szCs w:val="21"/>
        </w:rPr>
      </w:pPr>
      <w:r>
        <w:rPr>
          <w:rFonts w:hint="eastAsia" w:ascii="宋体" w:hAnsi="宋体"/>
          <w:bCs/>
          <w:color w:val="auto"/>
          <w:szCs w:val="21"/>
        </w:rPr>
        <w:t>（5）开标结束。</w:t>
      </w:r>
    </w:p>
    <w:p>
      <w:pPr>
        <w:pStyle w:val="7"/>
        <w:spacing w:line="360" w:lineRule="auto"/>
        <w:ind w:firstLine="422" w:firstLineChars="200"/>
        <w:rPr>
          <w:rFonts w:hAnsi="宋体"/>
          <w:b/>
          <w:bCs/>
          <w:color w:val="auto"/>
        </w:rPr>
      </w:pPr>
      <w:r>
        <w:rPr>
          <w:rFonts w:hint="eastAsia" w:hAnsi="宋体"/>
          <w:b/>
          <w:bCs/>
          <w:color w:val="auto"/>
        </w:rPr>
        <w:t>特别说明：如遇“政采云”平台电子化开标或评审程序调整的，按调整后执行。</w:t>
      </w:r>
    </w:p>
    <w:p>
      <w:pPr>
        <w:pStyle w:val="18"/>
        <w:snapToGrid w:val="0"/>
        <w:spacing w:line="360" w:lineRule="auto"/>
        <w:ind w:firstLine="420" w:firstLineChars="200"/>
        <w:rPr>
          <w:rFonts w:hAnsi="宋体"/>
          <w:color w:val="auto"/>
        </w:rPr>
      </w:pPr>
    </w:p>
    <w:p>
      <w:pPr>
        <w:pStyle w:val="18"/>
        <w:snapToGrid w:val="0"/>
        <w:spacing w:line="360" w:lineRule="auto"/>
        <w:ind w:left="689" w:leftChars="228" w:hanging="210" w:hangingChars="100"/>
        <w:rPr>
          <w:rFonts w:hAnsi="宋体"/>
          <w:color w:val="auto"/>
        </w:rPr>
      </w:pPr>
    </w:p>
    <w:p>
      <w:pPr>
        <w:pStyle w:val="2"/>
        <w:keepNext w:val="0"/>
        <w:keepLines w:val="0"/>
        <w:jc w:val="center"/>
        <w:rPr>
          <w:color w:val="auto"/>
        </w:rPr>
      </w:pPr>
      <w:r>
        <w:rPr>
          <w:rFonts w:hint="eastAsia"/>
          <w:color w:val="auto"/>
        </w:rPr>
        <w:t>五、资格审查</w:t>
      </w:r>
    </w:p>
    <w:p>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25.资格审查</w:t>
      </w:r>
    </w:p>
    <w:p>
      <w:pPr>
        <w:pStyle w:val="6"/>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25.1</w:t>
      </w:r>
      <w:r>
        <w:rPr>
          <w:rFonts w:ascii="宋体" w:hAnsi="宋体"/>
          <w:b w:val="0"/>
          <w:color w:val="auto"/>
          <w:sz w:val="21"/>
          <w:szCs w:val="21"/>
        </w:rPr>
        <w:t>开标结束后，</w:t>
      </w:r>
      <w:r>
        <w:rPr>
          <w:rFonts w:hint="eastAsia" w:ascii="宋体" w:hAnsi="宋体"/>
          <w:b w:val="0"/>
          <w:color w:val="auto"/>
          <w:sz w:val="21"/>
          <w:szCs w:val="21"/>
        </w:rPr>
        <w:t>采购人或者采购代理机构</w:t>
      </w:r>
      <w:r>
        <w:rPr>
          <w:rFonts w:ascii="宋体" w:hAnsi="宋体"/>
          <w:b w:val="0"/>
          <w:color w:val="auto"/>
          <w:sz w:val="21"/>
          <w:szCs w:val="21"/>
        </w:rPr>
        <w:t>依法对投标人的资格进行审查。</w:t>
      </w:r>
    </w:p>
    <w:p>
      <w:pPr>
        <w:pStyle w:val="6"/>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25.2资格审查标准为本招标文件中载明对投标人资格要求的条件。本项目资格审查采用合格制，凡符合招标文件规定的投标人资格要求的投标人均通过资格审查。</w:t>
      </w:r>
    </w:p>
    <w:p>
      <w:pPr>
        <w:pStyle w:val="6"/>
        <w:keepNext w:val="0"/>
        <w:keepLines w:val="0"/>
        <w:spacing w:before="0" w:after="0" w:line="360" w:lineRule="auto"/>
        <w:ind w:firstLine="422" w:firstLineChars="200"/>
        <w:rPr>
          <w:rFonts w:ascii="宋体" w:hAnsi="宋体"/>
          <w:color w:val="auto"/>
          <w:sz w:val="21"/>
          <w:szCs w:val="21"/>
        </w:rPr>
      </w:pPr>
      <w:r>
        <w:rPr>
          <w:rFonts w:hint="eastAsia" w:ascii="宋体" w:hAnsi="宋体"/>
          <w:color w:val="auto"/>
          <w:sz w:val="21"/>
          <w:szCs w:val="21"/>
        </w:rPr>
        <w:t>25.3 投标人有下列情形之一的，资格审查不通过，作无效投标处理：</w:t>
      </w:r>
    </w:p>
    <w:p>
      <w:pPr>
        <w:pStyle w:val="18"/>
        <w:snapToGrid w:val="0"/>
        <w:spacing w:line="360" w:lineRule="auto"/>
        <w:ind w:firstLine="422" w:firstLineChars="200"/>
        <w:rPr>
          <w:rFonts w:hAnsi="宋体"/>
          <w:b/>
          <w:color w:val="auto"/>
        </w:rPr>
      </w:pPr>
      <w:r>
        <w:rPr>
          <w:rFonts w:hint="eastAsia" w:hAnsi="宋体"/>
          <w:b/>
          <w:color w:val="auto"/>
        </w:rPr>
        <w:t>（1）未按招标文件规定的方式获取本招标文件的投标人；</w:t>
      </w:r>
    </w:p>
    <w:p>
      <w:pPr>
        <w:pStyle w:val="18"/>
        <w:snapToGrid w:val="0"/>
        <w:spacing w:line="360" w:lineRule="auto"/>
        <w:ind w:firstLine="422" w:firstLineChars="200"/>
        <w:rPr>
          <w:rFonts w:hAnsi="宋体"/>
          <w:b/>
          <w:color w:val="auto"/>
        </w:rPr>
      </w:pPr>
      <w:r>
        <w:rPr>
          <w:rFonts w:hint="eastAsia" w:hAnsi="宋体"/>
          <w:b/>
          <w:color w:val="auto"/>
        </w:rPr>
        <w:t>（2）不具备招标文件中规定的资格要求的；</w:t>
      </w:r>
    </w:p>
    <w:p>
      <w:pPr>
        <w:pStyle w:val="18"/>
        <w:snapToGrid w:val="0"/>
        <w:spacing w:line="360" w:lineRule="auto"/>
        <w:ind w:firstLine="422" w:firstLineChars="200"/>
        <w:rPr>
          <w:rFonts w:hAnsi="宋体"/>
          <w:b/>
          <w:color w:val="auto"/>
        </w:rPr>
      </w:pPr>
      <w:r>
        <w:rPr>
          <w:rFonts w:hint="eastAsia" w:hAnsi="宋体"/>
          <w:b/>
          <w:color w:val="auto"/>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pPr>
        <w:pStyle w:val="18"/>
        <w:snapToGrid w:val="0"/>
        <w:spacing w:line="360" w:lineRule="auto"/>
        <w:ind w:firstLine="422" w:firstLineChars="200"/>
        <w:rPr>
          <w:rFonts w:hAnsi="宋体"/>
          <w:b/>
          <w:color w:val="auto"/>
        </w:rPr>
      </w:pPr>
      <w:r>
        <w:rPr>
          <w:rFonts w:hint="eastAsia" w:hAnsi="宋体"/>
          <w:b/>
          <w:color w:val="auto"/>
        </w:rPr>
        <w:t>（4）同一合同项下的不同投标人，单位负责人为同一人或者存在直接控股、管理关系的；为本项目提供过整体设计、规范编制或者项目管理、监理、检测等服务的供应商，再参加该采购项目的其他采购活动的；</w:t>
      </w:r>
    </w:p>
    <w:p>
      <w:pPr>
        <w:pStyle w:val="18"/>
        <w:snapToGrid w:val="0"/>
        <w:spacing w:line="360" w:lineRule="auto"/>
        <w:ind w:firstLine="422" w:firstLineChars="200"/>
        <w:rPr>
          <w:rFonts w:hAnsi="宋体"/>
          <w:b/>
          <w:color w:val="auto"/>
        </w:rPr>
      </w:pPr>
      <w:r>
        <w:rPr>
          <w:rFonts w:hint="eastAsia" w:hAnsi="宋体"/>
          <w:b/>
          <w:color w:val="auto"/>
        </w:rPr>
        <w:t>（</w:t>
      </w:r>
      <w:r>
        <w:rPr>
          <w:rFonts w:hAnsi="宋体"/>
          <w:b/>
          <w:color w:val="auto"/>
        </w:rPr>
        <w:t>5</w:t>
      </w:r>
      <w:r>
        <w:rPr>
          <w:rFonts w:hint="eastAsia" w:hAnsi="宋体"/>
          <w:b/>
          <w:color w:val="auto"/>
        </w:rPr>
        <w:t>）投标文件中的资格证明文件缺少任一项“投标人须知前附表”资格证明文件规定“必须提供”的文件资料的；</w:t>
      </w:r>
    </w:p>
    <w:p>
      <w:pPr>
        <w:pStyle w:val="18"/>
        <w:snapToGrid w:val="0"/>
        <w:spacing w:line="360" w:lineRule="auto"/>
        <w:ind w:firstLine="422" w:firstLineChars="200"/>
        <w:rPr>
          <w:rFonts w:hAnsi="宋体"/>
          <w:b/>
          <w:color w:val="auto"/>
        </w:rPr>
      </w:pPr>
      <w:r>
        <w:rPr>
          <w:rFonts w:hint="eastAsia" w:hAnsi="宋体"/>
          <w:b/>
          <w:color w:val="auto"/>
        </w:rPr>
        <w:t>（</w:t>
      </w:r>
      <w:r>
        <w:rPr>
          <w:rFonts w:hAnsi="宋体"/>
          <w:b/>
          <w:color w:val="auto"/>
        </w:rPr>
        <w:t>6</w:t>
      </w:r>
      <w:r>
        <w:rPr>
          <w:rFonts w:hint="eastAsia" w:hAnsi="宋体"/>
          <w:b/>
          <w:color w:val="auto"/>
        </w:rPr>
        <w:t>）投标文件中的资格证明文件出现任一项不符合“投标人须知前附表”资格证明文件规定“必须提供”的文件资料要求或者无效的。</w:t>
      </w:r>
    </w:p>
    <w:p>
      <w:pPr>
        <w:pStyle w:val="6"/>
        <w:keepNext w:val="0"/>
        <w:keepLines w:val="0"/>
        <w:spacing w:before="0" w:after="0" w:line="360" w:lineRule="auto"/>
        <w:ind w:firstLine="316" w:firstLineChars="150"/>
        <w:rPr>
          <w:rFonts w:ascii="宋体" w:hAnsi="宋体"/>
          <w:b w:val="0"/>
          <w:color w:val="auto"/>
          <w:sz w:val="21"/>
          <w:szCs w:val="21"/>
        </w:rPr>
      </w:pPr>
      <w:r>
        <w:rPr>
          <w:rFonts w:hint="eastAsia" w:ascii="宋体" w:hAnsi="宋体"/>
          <w:color w:val="auto"/>
          <w:sz w:val="21"/>
          <w:szCs w:val="21"/>
        </w:rPr>
        <w:t>25.4</w:t>
      </w:r>
      <w:r>
        <w:rPr>
          <w:rFonts w:ascii="宋体" w:hAnsi="宋体"/>
          <w:color w:val="auto"/>
          <w:sz w:val="21"/>
          <w:szCs w:val="21"/>
        </w:rPr>
        <w:t>合格投标人不足3家的，不得评标</w:t>
      </w:r>
    </w:p>
    <w:p>
      <w:pPr>
        <w:pStyle w:val="6"/>
        <w:keepNext w:val="0"/>
        <w:keepLines w:val="0"/>
        <w:spacing w:before="0" w:after="0" w:line="360" w:lineRule="auto"/>
        <w:ind w:left="420" w:leftChars="200"/>
        <w:rPr>
          <w:rFonts w:ascii="宋体" w:hAnsi="宋体"/>
          <w:b w:val="0"/>
          <w:color w:val="auto"/>
          <w:sz w:val="21"/>
          <w:szCs w:val="21"/>
        </w:rPr>
      </w:pPr>
    </w:p>
    <w:p>
      <w:pPr>
        <w:pStyle w:val="18"/>
        <w:snapToGrid w:val="0"/>
        <w:spacing w:line="360" w:lineRule="auto"/>
        <w:ind w:left="689" w:leftChars="228" w:hanging="210" w:hangingChars="100"/>
        <w:rPr>
          <w:rFonts w:hAnsi="宋体"/>
          <w:color w:val="auto"/>
        </w:rPr>
      </w:pPr>
    </w:p>
    <w:p>
      <w:pPr>
        <w:pStyle w:val="2"/>
        <w:keepNext w:val="0"/>
        <w:keepLines w:val="0"/>
        <w:jc w:val="center"/>
        <w:rPr>
          <w:color w:val="auto"/>
        </w:rPr>
      </w:pPr>
      <w:r>
        <w:rPr>
          <w:rFonts w:hint="eastAsia"/>
          <w:color w:val="auto"/>
        </w:rPr>
        <w:t>六、评   标</w:t>
      </w:r>
    </w:p>
    <w:p>
      <w:pPr>
        <w:pStyle w:val="6"/>
        <w:keepNext w:val="0"/>
        <w:keepLines w:val="0"/>
        <w:spacing w:before="0" w:after="0" w:line="360" w:lineRule="auto"/>
        <w:ind w:left="420" w:leftChars="200"/>
        <w:rPr>
          <w:rFonts w:ascii="黑体" w:hAnsi="黑体" w:eastAsia="黑体"/>
          <w:color w:val="auto"/>
          <w:sz w:val="24"/>
        </w:rPr>
      </w:pPr>
      <w:bookmarkStart w:id="132" w:name="_26.组建评标委员会"/>
      <w:bookmarkEnd w:id="132"/>
      <w:r>
        <w:rPr>
          <w:rFonts w:hint="eastAsia" w:ascii="黑体" w:hAnsi="黑体" w:eastAsia="黑体"/>
          <w:color w:val="auto"/>
          <w:sz w:val="24"/>
        </w:rPr>
        <w:t>26.组建评标委员会</w:t>
      </w:r>
    </w:p>
    <w:p>
      <w:pPr>
        <w:pStyle w:val="18"/>
        <w:snapToGrid w:val="0"/>
        <w:spacing w:line="360" w:lineRule="auto"/>
        <w:ind w:firstLine="420" w:firstLineChars="200"/>
        <w:rPr>
          <w:rFonts w:hAnsi="宋体"/>
          <w:color w:val="auto"/>
        </w:rPr>
      </w:pPr>
      <w:r>
        <w:rPr>
          <w:rFonts w:hint="eastAsia" w:hAnsi="宋体"/>
          <w:color w:val="auto"/>
        </w:rPr>
        <w:t>评标委员会由采购人代表和评审专家组成，具体人数详见“投标人须知前附表”，其中评审专家不得少于成员总数的三分之二。</w:t>
      </w:r>
    </w:p>
    <w:p>
      <w:pPr>
        <w:pStyle w:val="18"/>
        <w:snapToGrid w:val="0"/>
        <w:spacing w:line="360" w:lineRule="auto"/>
        <w:ind w:left="2" w:leftChars="1" w:firstLine="420" w:firstLineChars="200"/>
        <w:rPr>
          <w:rFonts w:hAnsi="宋体"/>
          <w:color w:val="auto"/>
        </w:rPr>
      </w:pPr>
      <w:r>
        <w:rPr>
          <w:rFonts w:hint="eastAsia" w:hAnsi="宋体"/>
          <w:color w:val="auto"/>
        </w:rPr>
        <w:t>参加过采购项目前期咨询论证的专家，不得参加该采购项目的评审活动。</w:t>
      </w:r>
    </w:p>
    <w:p>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27.评标的依据</w:t>
      </w:r>
    </w:p>
    <w:p>
      <w:pPr>
        <w:pStyle w:val="18"/>
        <w:snapToGrid w:val="0"/>
        <w:spacing w:line="360" w:lineRule="auto"/>
        <w:ind w:firstLine="420" w:firstLineChars="200"/>
        <w:rPr>
          <w:rFonts w:hAnsi="宋体"/>
          <w:color w:val="auto"/>
        </w:rPr>
      </w:pPr>
      <w:r>
        <w:rPr>
          <w:rFonts w:hint="eastAsia" w:hAnsi="宋体"/>
          <w:color w:val="auto"/>
        </w:rPr>
        <w:t>评标委员会以招标文件为依据对投标文件进行评审，</w:t>
      </w:r>
      <w:r>
        <w:rPr>
          <w:rFonts w:hint="eastAsia" w:hAnsi="宋体" w:cs="宋体"/>
          <w:color w:val="auto"/>
        </w:rPr>
        <w:t>“第四章 评标方法和评标标准”</w:t>
      </w:r>
      <w:r>
        <w:rPr>
          <w:rFonts w:hAnsi="宋体"/>
          <w:color w:val="auto"/>
        </w:rPr>
        <w:t>没有规定的方法、评审因素和标准，不作为评标依据。</w:t>
      </w:r>
    </w:p>
    <w:p>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28.评标原则</w:t>
      </w:r>
    </w:p>
    <w:p>
      <w:pPr>
        <w:pStyle w:val="18"/>
        <w:snapToGrid w:val="0"/>
        <w:spacing w:line="360" w:lineRule="auto"/>
        <w:ind w:firstLine="420" w:firstLineChars="200"/>
        <w:rPr>
          <w:rFonts w:hAnsi="宋体"/>
          <w:color w:val="auto"/>
        </w:rPr>
      </w:pPr>
      <w:r>
        <w:rPr>
          <w:rFonts w:hint="eastAsia" w:hAnsi="宋体"/>
          <w:color w:val="auto"/>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18"/>
        <w:snapToGrid w:val="0"/>
        <w:spacing w:line="360" w:lineRule="auto"/>
        <w:ind w:firstLine="420" w:firstLineChars="200"/>
        <w:rPr>
          <w:rFonts w:hAnsi="宋体"/>
          <w:color w:val="auto"/>
        </w:rPr>
      </w:pPr>
      <w:r>
        <w:rPr>
          <w:rFonts w:hint="eastAsia" w:hAnsi="宋体"/>
          <w:color w:val="auto"/>
        </w:rPr>
        <w:t>28.2</w:t>
      </w:r>
      <w:bookmarkStart w:id="133" w:name="_28.3评标方法。本项目将按须知前附表规定的评标办法进行评标，具体评标"/>
      <w:bookmarkEnd w:id="133"/>
      <w:r>
        <w:rPr>
          <w:rFonts w:hint="eastAsia" w:hAnsi="宋体"/>
          <w:color w:val="auto"/>
        </w:rPr>
        <w:t>评委表决。评标委员会成员对需要共同认定的事项存在争议的，应当按照少数服从多数的原则作出结论。</w:t>
      </w:r>
    </w:p>
    <w:p>
      <w:pPr>
        <w:pStyle w:val="18"/>
        <w:snapToGrid w:val="0"/>
        <w:spacing w:line="360" w:lineRule="auto"/>
        <w:ind w:firstLine="420" w:firstLineChars="200"/>
        <w:rPr>
          <w:rFonts w:hAnsi="宋体"/>
          <w:color w:val="auto"/>
        </w:rPr>
      </w:pPr>
      <w:r>
        <w:rPr>
          <w:rFonts w:hint="eastAsia" w:hAnsi="宋体"/>
          <w:color w:val="auto"/>
        </w:rPr>
        <w:t>28.</w:t>
      </w:r>
      <w:r>
        <w:rPr>
          <w:rFonts w:hAnsi="宋体"/>
          <w:color w:val="auto"/>
        </w:rPr>
        <w:t>3</w:t>
      </w:r>
      <w:r>
        <w:rPr>
          <w:rFonts w:hint="eastAsia" w:hAnsi="宋体"/>
          <w:color w:val="auto"/>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18"/>
        <w:snapToGrid w:val="0"/>
        <w:spacing w:line="360" w:lineRule="auto"/>
        <w:ind w:firstLine="420" w:firstLineChars="200"/>
        <w:rPr>
          <w:rFonts w:hAnsi="宋体"/>
          <w:color w:val="auto"/>
        </w:rPr>
      </w:pPr>
      <w:r>
        <w:rPr>
          <w:rFonts w:hint="eastAsia" w:hAnsi="宋体"/>
          <w:color w:val="auto"/>
        </w:rPr>
        <w:t>2</w:t>
      </w:r>
      <w:r>
        <w:rPr>
          <w:rFonts w:hAnsi="宋体"/>
          <w:color w:val="auto"/>
        </w:rPr>
        <w:t>8.4</w:t>
      </w:r>
      <w:r>
        <w:rPr>
          <w:rFonts w:hint="eastAsia" w:hAnsi="宋体"/>
          <w:color w:val="auto"/>
        </w:rPr>
        <w:t>评标过程的监控。本项目评标过程实行全程录音、录像监控，</w:t>
      </w:r>
      <w:r>
        <w:rPr>
          <w:rFonts w:hint="eastAsia" w:hAnsi="宋体"/>
          <w:b/>
          <w:bCs/>
          <w:color w:val="auto"/>
        </w:rPr>
        <w:t>投标人在评标过程中所进行的试图影响评标结果的不公正活动，可能导致其投标无效</w:t>
      </w:r>
      <w:r>
        <w:rPr>
          <w:rFonts w:hint="eastAsia" w:hAnsi="宋体"/>
          <w:color w:val="auto"/>
        </w:rPr>
        <w:t>。</w:t>
      </w:r>
    </w:p>
    <w:p>
      <w:pPr>
        <w:pStyle w:val="18"/>
        <w:snapToGrid w:val="0"/>
        <w:spacing w:line="360" w:lineRule="auto"/>
        <w:ind w:firstLine="420" w:firstLineChars="200"/>
        <w:rPr>
          <w:rFonts w:hAnsi="宋体"/>
          <w:color w:val="auto"/>
        </w:rPr>
      </w:pPr>
      <w:r>
        <w:rPr>
          <w:rFonts w:hint="eastAsia" w:hAnsi="宋体"/>
          <w:color w:val="auto"/>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29.评标方法及评标标准</w:t>
      </w:r>
    </w:p>
    <w:p>
      <w:pPr>
        <w:pStyle w:val="18"/>
        <w:snapToGrid w:val="0"/>
        <w:spacing w:line="360" w:lineRule="auto"/>
        <w:ind w:firstLine="420" w:firstLineChars="200"/>
        <w:rPr>
          <w:rFonts w:hAnsi="宋体"/>
          <w:color w:val="auto"/>
        </w:rPr>
      </w:pPr>
      <w:r>
        <w:rPr>
          <w:rFonts w:hint="eastAsia" w:hAnsi="宋体"/>
          <w:color w:val="auto"/>
        </w:rPr>
        <w:t>2</w:t>
      </w:r>
      <w:r>
        <w:rPr>
          <w:rFonts w:hAnsi="宋体"/>
          <w:color w:val="auto"/>
        </w:rPr>
        <w:t>9.1</w:t>
      </w:r>
      <w:r>
        <w:rPr>
          <w:rFonts w:hint="eastAsia" w:hAnsi="宋体"/>
          <w:color w:val="auto"/>
        </w:rPr>
        <w:t>本项目的评标方法详见“投标人须知前附表”。</w:t>
      </w:r>
    </w:p>
    <w:p>
      <w:pPr>
        <w:pStyle w:val="18"/>
        <w:snapToGrid w:val="0"/>
        <w:spacing w:line="360" w:lineRule="auto"/>
        <w:ind w:firstLine="420" w:firstLineChars="200"/>
        <w:rPr>
          <w:rFonts w:hAnsi="宋体"/>
          <w:color w:val="auto"/>
        </w:rPr>
      </w:pPr>
      <w:r>
        <w:rPr>
          <w:rFonts w:hint="eastAsia" w:hAnsi="宋体"/>
          <w:color w:val="auto"/>
        </w:rPr>
        <w:t>2</w:t>
      </w:r>
      <w:r>
        <w:rPr>
          <w:rFonts w:hAnsi="宋体"/>
          <w:color w:val="auto"/>
        </w:rPr>
        <w:t>9.2</w:t>
      </w:r>
      <w:r>
        <w:rPr>
          <w:rFonts w:hAnsi="宋体" w:cs="宋体"/>
          <w:color w:val="auto"/>
        </w:rPr>
        <w:t xml:space="preserve"> </w:t>
      </w:r>
      <w:r>
        <w:rPr>
          <w:rFonts w:hAnsi="宋体"/>
          <w:color w:val="auto"/>
        </w:rPr>
        <w:t>评标委员会按照</w:t>
      </w:r>
      <w:r>
        <w:rPr>
          <w:rFonts w:hint="eastAsia" w:hAnsi="宋体" w:cs="宋体"/>
          <w:color w:val="auto"/>
        </w:rPr>
        <w:t>“第四章 评标方法和评标标准”</w:t>
      </w:r>
      <w:r>
        <w:rPr>
          <w:rFonts w:hAnsi="宋体"/>
          <w:color w:val="auto"/>
        </w:rPr>
        <w:t>规定的方法、评审因素、标准和程序对投标文件进行评审。</w:t>
      </w:r>
    </w:p>
    <w:p>
      <w:pPr>
        <w:pStyle w:val="18"/>
        <w:snapToGrid w:val="0"/>
        <w:spacing w:line="360" w:lineRule="auto"/>
        <w:ind w:firstLine="420" w:firstLineChars="200"/>
        <w:rPr>
          <w:rFonts w:hAnsi="宋体"/>
          <w:color w:val="auto"/>
        </w:rPr>
      </w:pPr>
      <w:r>
        <w:rPr>
          <w:rFonts w:hint="eastAsia" w:hAnsi="宋体"/>
          <w:color w:val="auto"/>
        </w:rPr>
        <w:t>29.3电子交易活动的中止。采购过程中出现以下情形，导致电子交易平台无法正常运行，或者无法保证电子交易的公平、公正和安全时，采购代理机构可中止电子交易活动：</w:t>
      </w:r>
    </w:p>
    <w:p>
      <w:pPr>
        <w:pStyle w:val="18"/>
        <w:snapToGrid w:val="0"/>
        <w:spacing w:line="360" w:lineRule="auto"/>
        <w:ind w:firstLine="420" w:firstLineChars="200"/>
        <w:rPr>
          <w:rFonts w:hAnsi="宋体"/>
          <w:color w:val="auto"/>
        </w:rPr>
      </w:pPr>
      <w:r>
        <w:rPr>
          <w:rFonts w:hint="eastAsia" w:hAnsi="宋体"/>
          <w:color w:val="auto"/>
        </w:rPr>
        <w:t xml:space="preserve">（1）电子交易平台发生故障而无法登录访问的； </w:t>
      </w:r>
    </w:p>
    <w:p>
      <w:pPr>
        <w:pStyle w:val="18"/>
        <w:snapToGrid w:val="0"/>
        <w:spacing w:line="360" w:lineRule="auto"/>
        <w:ind w:firstLine="420" w:firstLineChars="200"/>
        <w:rPr>
          <w:rFonts w:hAnsi="宋体"/>
          <w:color w:val="auto"/>
        </w:rPr>
      </w:pPr>
      <w:r>
        <w:rPr>
          <w:rFonts w:hint="eastAsia" w:hAnsi="宋体"/>
          <w:color w:val="auto"/>
        </w:rPr>
        <w:t>（2）电子交易平台应用或数据库出现错误，不能进行正常操作的；</w:t>
      </w:r>
    </w:p>
    <w:p>
      <w:pPr>
        <w:pStyle w:val="18"/>
        <w:snapToGrid w:val="0"/>
        <w:spacing w:line="360" w:lineRule="auto"/>
        <w:ind w:firstLine="420" w:firstLineChars="200"/>
        <w:rPr>
          <w:rFonts w:hAnsi="宋体"/>
          <w:color w:val="auto"/>
        </w:rPr>
      </w:pPr>
      <w:r>
        <w:rPr>
          <w:rFonts w:hint="eastAsia" w:hAnsi="宋体"/>
          <w:color w:val="auto"/>
        </w:rPr>
        <w:t>（3）电子交易平台发现严重安全漏洞，有潜在泄密危险的；</w:t>
      </w:r>
    </w:p>
    <w:p>
      <w:pPr>
        <w:pStyle w:val="18"/>
        <w:snapToGrid w:val="0"/>
        <w:spacing w:line="360" w:lineRule="auto"/>
        <w:ind w:firstLine="420" w:firstLineChars="200"/>
        <w:rPr>
          <w:rFonts w:hAnsi="宋体"/>
          <w:color w:val="auto"/>
        </w:rPr>
      </w:pPr>
      <w:r>
        <w:rPr>
          <w:rFonts w:hint="eastAsia" w:hAnsi="宋体"/>
          <w:color w:val="auto"/>
        </w:rPr>
        <w:t xml:space="preserve">（4）病毒发作导致不能进行正常操作的； </w:t>
      </w:r>
    </w:p>
    <w:p>
      <w:pPr>
        <w:pStyle w:val="18"/>
        <w:snapToGrid w:val="0"/>
        <w:spacing w:line="360" w:lineRule="auto"/>
        <w:ind w:firstLine="420" w:firstLineChars="200"/>
        <w:rPr>
          <w:rFonts w:hAnsi="宋体"/>
          <w:color w:val="auto"/>
        </w:rPr>
      </w:pPr>
      <w:r>
        <w:rPr>
          <w:rFonts w:hint="eastAsia" w:hAnsi="宋体"/>
          <w:color w:val="auto"/>
        </w:rPr>
        <w:t>（4）其他无法保证电子交易的公平、公正和安全的情况。</w:t>
      </w:r>
    </w:p>
    <w:p>
      <w:pPr>
        <w:pStyle w:val="18"/>
        <w:snapToGrid w:val="0"/>
        <w:spacing w:line="360" w:lineRule="auto"/>
        <w:ind w:firstLine="420" w:firstLineChars="200"/>
        <w:rPr>
          <w:rFonts w:hAnsi="宋体" w:cs="宋体"/>
          <w:color w:val="auto"/>
        </w:rPr>
      </w:pPr>
      <w:r>
        <w:rPr>
          <w:rFonts w:hint="eastAsia" w:hAnsi="宋体"/>
          <w:color w:val="auto"/>
        </w:rPr>
        <w:t>29.4出现以上情形，不影响采购公平、公正性的，采购代理机构可以待上述情形消除后继续组织电子交易活动；影响或可能影响采购公平、公正性的，经采购代理机构确认后，应当重新采购</w:t>
      </w:r>
      <w:r>
        <w:rPr>
          <w:rFonts w:hAnsi="宋体"/>
          <w:color w:val="auto"/>
        </w:rPr>
        <w:t>。</w:t>
      </w:r>
    </w:p>
    <w:p>
      <w:pPr>
        <w:pStyle w:val="18"/>
        <w:snapToGrid w:val="0"/>
        <w:spacing w:line="360" w:lineRule="auto"/>
        <w:rPr>
          <w:rFonts w:hAnsi="宋体"/>
          <w:color w:val="auto"/>
        </w:rPr>
      </w:pPr>
    </w:p>
    <w:p>
      <w:pPr>
        <w:pStyle w:val="2"/>
        <w:keepNext w:val="0"/>
        <w:keepLines w:val="0"/>
        <w:jc w:val="center"/>
        <w:rPr>
          <w:color w:val="auto"/>
        </w:rPr>
      </w:pPr>
      <w:bookmarkStart w:id="134" w:name="_Toc254970687"/>
      <w:bookmarkStart w:id="135" w:name="_Toc254970546"/>
      <w:r>
        <w:rPr>
          <w:rFonts w:hint="eastAsia"/>
          <w:color w:val="auto"/>
        </w:rPr>
        <w:t>七、</w:t>
      </w:r>
      <w:bookmarkEnd w:id="134"/>
      <w:bookmarkEnd w:id="135"/>
      <w:r>
        <w:rPr>
          <w:rFonts w:hint="eastAsia"/>
          <w:color w:val="auto"/>
        </w:rPr>
        <w:t>中标和合同</w:t>
      </w:r>
    </w:p>
    <w:p>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30</w:t>
      </w:r>
      <w:r>
        <w:rPr>
          <w:rFonts w:ascii="黑体" w:hAnsi="黑体" w:eastAsia="黑体"/>
          <w:color w:val="auto"/>
          <w:sz w:val="24"/>
        </w:rPr>
        <w:t xml:space="preserve"> </w:t>
      </w:r>
      <w:r>
        <w:rPr>
          <w:rFonts w:hint="eastAsia" w:ascii="黑体" w:hAnsi="黑体" w:eastAsia="黑体"/>
          <w:color w:val="auto"/>
          <w:sz w:val="24"/>
        </w:rPr>
        <w:t>确定中标人</w:t>
      </w:r>
    </w:p>
    <w:p>
      <w:pPr>
        <w:pStyle w:val="6"/>
        <w:keepNext w:val="0"/>
        <w:keepLines w:val="0"/>
        <w:spacing w:before="0" w:after="0" w:line="360" w:lineRule="auto"/>
        <w:ind w:firstLine="420" w:firstLineChars="200"/>
        <w:rPr>
          <w:rFonts w:ascii="宋体" w:hAnsi="宋体"/>
          <w:b w:val="0"/>
          <w:color w:val="auto"/>
          <w:sz w:val="21"/>
          <w:szCs w:val="21"/>
        </w:rPr>
      </w:pPr>
      <w:r>
        <w:rPr>
          <w:rFonts w:ascii="宋体" w:hAnsi="宋体"/>
          <w:b w:val="0"/>
          <w:color w:val="auto"/>
          <w:sz w:val="21"/>
          <w:szCs w:val="21"/>
        </w:rPr>
        <w:t>30.1</w:t>
      </w:r>
      <w:r>
        <w:rPr>
          <w:rFonts w:hint="eastAsia" w:ascii="宋体" w:hAnsi="宋体"/>
          <w:b w:val="0"/>
          <w:color w:val="auto"/>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pPr>
        <w:snapToGrid w:val="0"/>
        <w:spacing w:line="360" w:lineRule="auto"/>
        <w:ind w:firstLine="420" w:firstLineChars="200"/>
        <w:rPr>
          <w:rFonts w:ascii="宋体" w:hAnsi="宋体" w:cs="Courier New"/>
          <w:color w:val="auto"/>
          <w:szCs w:val="21"/>
        </w:rPr>
      </w:pPr>
      <w:r>
        <w:rPr>
          <w:rFonts w:ascii="宋体" w:hAnsi="宋体" w:cs="Courier New"/>
          <w:color w:val="auto"/>
          <w:szCs w:val="21"/>
        </w:rPr>
        <w:t>30.2</w:t>
      </w:r>
      <w:r>
        <w:rPr>
          <w:rFonts w:hint="eastAsia" w:ascii="宋体" w:hAnsi="宋体" w:cs="Courier New"/>
          <w:color w:val="auto"/>
          <w:szCs w:val="21"/>
        </w:rPr>
        <w:t>采购人在收到评标报告5个工作日内未按评标报告推荐的中标候选人顺序确定中标人，又不能说明合法理由的，视同按评标报告推荐的顺序确定排名第一的中标候选人为中标人。</w:t>
      </w:r>
    </w:p>
    <w:p>
      <w:pPr>
        <w:snapToGrid w:val="0"/>
        <w:spacing w:line="360" w:lineRule="auto"/>
        <w:ind w:firstLine="420" w:firstLineChars="200"/>
        <w:rPr>
          <w:rFonts w:ascii="宋体" w:hAnsi="宋体" w:cs="Courier New"/>
          <w:color w:val="auto"/>
          <w:szCs w:val="21"/>
        </w:rPr>
      </w:pPr>
      <w:r>
        <w:rPr>
          <w:rFonts w:ascii="宋体" w:hAnsi="宋体" w:cs="Courier New"/>
          <w:color w:val="auto"/>
          <w:szCs w:val="21"/>
        </w:rPr>
        <w:t>30.3</w:t>
      </w:r>
      <w:r>
        <w:rPr>
          <w:rFonts w:hint="eastAsia" w:ascii="宋体" w:hAnsi="宋体" w:cs="Courier New"/>
          <w:color w:val="auto"/>
          <w:szCs w:val="21"/>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napToGrid w:val="0"/>
        <w:spacing w:line="360" w:lineRule="auto"/>
        <w:ind w:firstLine="420" w:firstLineChars="200"/>
        <w:rPr>
          <w:rFonts w:ascii="宋体" w:hAnsi="宋体" w:cs="Courier New"/>
          <w:color w:val="auto"/>
          <w:szCs w:val="21"/>
        </w:rPr>
      </w:pPr>
      <w:r>
        <w:rPr>
          <w:rFonts w:ascii="宋体" w:hAnsi="宋体" w:cs="Courier New"/>
          <w:color w:val="auto"/>
          <w:szCs w:val="21"/>
        </w:rPr>
        <w:t>30.4</w:t>
      </w:r>
      <w:r>
        <w:rPr>
          <w:rFonts w:hint="eastAsia" w:ascii="宋体" w:hAnsi="宋体" w:cs="Courier New"/>
          <w:color w:val="auto"/>
          <w:szCs w:val="21"/>
        </w:rPr>
        <w:t>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31. 结果公告</w:t>
      </w:r>
    </w:p>
    <w:p>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3</w:t>
      </w:r>
      <w:r>
        <w:rPr>
          <w:rFonts w:ascii="宋体" w:hAnsi="宋体"/>
          <w:b w:val="0"/>
          <w:color w:val="auto"/>
          <w:sz w:val="21"/>
          <w:szCs w:val="21"/>
        </w:rPr>
        <w:t>1.1</w:t>
      </w:r>
      <w:r>
        <w:rPr>
          <w:rFonts w:hint="eastAsia" w:ascii="宋体" w:hAnsi="宋体"/>
          <w:b w:val="0"/>
          <w:color w:val="auto"/>
          <w:sz w:val="21"/>
          <w:szCs w:val="21"/>
        </w:rPr>
        <w:t>采购人或者采购代理机构应当自中标人确定之日起2个工作日内，在省级以上财政部门指定的媒体上公告中标结果，招标文件应当随中标结果同时公告。</w:t>
      </w:r>
      <w:r>
        <w:rPr>
          <w:rFonts w:hint="eastAsia" w:ascii="宋体" w:hAnsi="宋体"/>
          <w:color w:val="auto"/>
          <w:sz w:val="21"/>
          <w:szCs w:val="21"/>
        </w:rPr>
        <w:t>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宋体" w:hAnsi="宋体"/>
          <w:b w:val="0"/>
          <w:color w:val="auto"/>
          <w:sz w:val="21"/>
          <w:szCs w:val="21"/>
        </w:rPr>
        <w:t>排名第二的中标候选人因前款规定的同样原因被取消中标资格的，采购人可以确定排名第三的中标候选人为中标人，以此类推。以上信息查询记录及相关证据与采购文件一并保存。</w:t>
      </w:r>
    </w:p>
    <w:p>
      <w:pPr>
        <w:snapToGrid w:val="0"/>
        <w:spacing w:line="360" w:lineRule="auto"/>
        <w:ind w:firstLine="420" w:firstLineChars="200"/>
        <w:rPr>
          <w:rFonts w:ascii="宋体" w:hAnsi="宋体" w:cs="Courier New"/>
          <w:color w:val="auto"/>
          <w:szCs w:val="21"/>
        </w:rPr>
      </w:pPr>
      <w:r>
        <w:rPr>
          <w:rFonts w:hint="eastAsia" w:ascii="宋体" w:hAnsi="宋体"/>
          <w:color w:val="auto"/>
          <w:szCs w:val="21"/>
        </w:rPr>
        <w:t>31.2中标供应商享受《政府采购促进中小企业发展管理办法》（财库〔2020〕46号）规定的中小企业扶持政策的，采购人、采购代理机构应当随中标结果公开中标供应商的《中小企业声明函》</w:t>
      </w:r>
      <w:r>
        <w:rPr>
          <w:rFonts w:hint="eastAsia" w:ascii="宋体" w:hAnsi="宋体" w:cs="Courier New"/>
          <w:color w:val="auto"/>
          <w:szCs w:val="21"/>
        </w:rPr>
        <w:t>。</w:t>
      </w:r>
    </w:p>
    <w:p>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32.发出中标通知书</w:t>
      </w:r>
    </w:p>
    <w:p>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在发布中标公告的同时，采购代理机构向中标人发出中标通知书。对未通过资格审查的投标人，应当告知其未通过的原因；采用综合评分办法评审的，还应当告知未中标人本人的评审得分与排序。</w:t>
      </w:r>
    </w:p>
    <w:p>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33. 无义务解释未中标原因</w:t>
      </w:r>
    </w:p>
    <w:p>
      <w:pPr>
        <w:pStyle w:val="6"/>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采购代理机构无义务向未中标的投标人解释未中标原因和退还投标文件。</w:t>
      </w:r>
    </w:p>
    <w:p>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34.合同授予标准</w:t>
      </w:r>
    </w:p>
    <w:p>
      <w:pPr>
        <w:snapToGrid w:val="0"/>
        <w:spacing w:line="360" w:lineRule="auto"/>
        <w:ind w:firstLine="420" w:firstLineChars="200"/>
        <w:rPr>
          <w:rFonts w:ascii="宋体" w:hAnsi="宋体"/>
          <w:color w:val="auto"/>
          <w:szCs w:val="21"/>
        </w:rPr>
      </w:pPr>
      <w:r>
        <w:rPr>
          <w:rFonts w:hint="eastAsia" w:ascii="宋体" w:hAnsi="宋体" w:cs="Courier New"/>
          <w:color w:val="auto"/>
          <w:szCs w:val="21"/>
        </w:rPr>
        <w:t>合同将授予被确定实质上响应招标文件要求，具备履行合同能力的中标人（招标文件另有约定多名中标人的除外）。</w:t>
      </w:r>
    </w:p>
    <w:p>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35.履约保证金</w:t>
      </w:r>
    </w:p>
    <w:p>
      <w:pPr>
        <w:pStyle w:val="6"/>
        <w:keepNext w:val="0"/>
        <w:keepLines w:val="0"/>
        <w:spacing w:before="0" w:after="0" w:line="360" w:lineRule="auto"/>
        <w:ind w:firstLine="315" w:firstLineChars="150"/>
        <w:rPr>
          <w:rFonts w:ascii="宋体" w:hAnsi="宋体"/>
          <w:b w:val="0"/>
          <w:color w:val="auto"/>
          <w:sz w:val="21"/>
          <w:szCs w:val="21"/>
        </w:rPr>
      </w:pPr>
      <w:bookmarkStart w:id="136" w:name="_39.1中标人须于签订合同前按本须知前附表规定的金额转账或电汇到指定账"/>
      <w:bookmarkEnd w:id="136"/>
      <w:r>
        <w:rPr>
          <w:rFonts w:ascii="宋体" w:hAnsi="宋体"/>
          <w:b w:val="0"/>
          <w:color w:val="auto"/>
          <w:sz w:val="21"/>
          <w:szCs w:val="21"/>
        </w:rPr>
        <w:t xml:space="preserve"> </w:t>
      </w:r>
      <w:r>
        <w:rPr>
          <w:rFonts w:hint="eastAsia" w:ascii="宋体" w:hAnsi="宋体"/>
          <w:b w:val="0"/>
          <w:color w:val="auto"/>
          <w:sz w:val="21"/>
          <w:szCs w:val="21"/>
        </w:rPr>
        <w:t>3</w:t>
      </w:r>
      <w:r>
        <w:rPr>
          <w:rFonts w:ascii="宋体" w:hAnsi="宋体"/>
          <w:b w:val="0"/>
          <w:color w:val="auto"/>
          <w:sz w:val="21"/>
          <w:szCs w:val="21"/>
        </w:rPr>
        <w:t>5</w:t>
      </w:r>
      <w:r>
        <w:rPr>
          <w:rFonts w:hint="eastAsia" w:ascii="宋体" w:hAnsi="宋体"/>
          <w:b w:val="0"/>
          <w:color w:val="auto"/>
          <w:sz w:val="21"/>
          <w:szCs w:val="21"/>
        </w:rPr>
        <w:t>.1 履约保证金的金额、提交方式、退付的时间和条件详见 “投标人须知前附表”。中标人未按规定提交履约保证金的，视为拒绝与采购人签订合同，采购人可以按照评标报告推荐的中标候选人名单排序，确定下一候选人为中标人，也可以重新开展政府采购活动。</w:t>
      </w:r>
    </w:p>
    <w:p>
      <w:pPr>
        <w:pStyle w:val="6"/>
        <w:keepNext w:val="0"/>
        <w:keepLines w:val="0"/>
        <w:spacing w:before="0" w:after="0" w:line="360" w:lineRule="auto"/>
        <w:ind w:firstLine="315" w:firstLineChars="150"/>
        <w:rPr>
          <w:rFonts w:ascii="宋体" w:hAnsi="宋体"/>
          <w:b w:val="0"/>
          <w:color w:val="auto"/>
          <w:sz w:val="21"/>
          <w:szCs w:val="21"/>
        </w:rPr>
      </w:pPr>
      <w:r>
        <w:rPr>
          <w:rFonts w:ascii="宋体" w:hAnsi="宋体"/>
          <w:b w:val="0"/>
          <w:color w:val="auto"/>
          <w:sz w:val="21"/>
          <w:szCs w:val="21"/>
        </w:rPr>
        <w:t xml:space="preserve"> </w:t>
      </w:r>
      <w:r>
        <w:rPr>
          <w:rFonts w:hint="eastAsia" w:ascii="宋体" w:hAnsi="宋体"/>
          <w:b w:val="0"/>
          <w:color w:val="auto"/>
          <w:sz w:val="21"/>
          <w:szCs w:val="21"/>
        </w:rPr>
        <w:t>3</w:t>
      </w:r>
      <w:r>
        <w:rPr>
          <w:rFonts w:ascii="宋体" w:hAnsi="宋体"/>
          <w:b w:val="0"/>
          <w:color w:val="auto"/>
          <w:sz w:val="21"/>
          <w:szCs w:val="21"/>
        </w:rPr>
        <w:t>5</w:t>
      </w:r>
      <w:r>
        <w:rPr>
          <w:rFonts w:hint="eastAsia" w:ascii="宋体" w:hAnsi="宋体"/>
          <w:b w:val="0"/>
          <w:color w:val="auto"/>
          <w:sz w:val="21"/>
          <w:szCs w:val="21"/>
        </w:rPr>
        <w:t>.2签订合同后，如中标人不按双方签订的合同规定履约，则没收其全部履约保证金，履约保证金不足以赔偿损失的，按实际损失赔偿。</w:t>
      </w:r>
    </w:p>
    <w:p>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3</w:t>
      </w:r>
      <w:r>
        <w:rPr>
          <w:rFonts w:ascii="宋体" w:hAnsi="宋体"/>
          <w:b w:val="0"/>
          <w:color w:val="auto"/>
          <w:sz w:val="21"/>
          <w:szCs w:val="21"/>
        </w:rPr>
        <w:t>5</w:t>
      </w:r>
      <w:r>
        <w:rPr>
          <w:rFonts w:hint="eastAsia" w:ascii="宋体" w:hAnsi="宋体"/>
          <w:b w:val="0"/>
          <w:color w:val="auto"/>
          <w:sz w:val="21"/>
          <w:szCs w:val="21"/>
        </w:rPr>
        <w:t>.3在履约保证金退还日期前，若中标人的开户名称、开户银行、帐号有变动的，请以书面形式通知履约保证金收取单位，否则由此产生的后果由中标人自行承担。</w:t>
      </w:r>
    </w:p>
    <w:p>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36.签订合同</w:t>
      </w:r>
    </w:p>
    <w:p>
      <w:pPr>
        <w:pStyle w:val="6"/>
        <w:keepNext w:val="0"/>
        <w:keepLines w:val="0"/>
        <w:spacing w:before="0" w:after="0" w:line="360" w:lineRule="auto"/>
        <w:ind w:firstLine="315" w:firstLineChars="150"/>
        <w:rPr>
          <w:rFonts w:ascii="宋体" w:hAnsi="宋体"/>
          <w:b w:val="0"/>
          <w:color w:val="auto"/>
          <w:sz w:val="21"/>
          <w:szCs w:val="21"/>
        </w:rPr>
      </w:pPr>
      <w:bookmarkStart w:id="137" w:name="_40.1投标人接到中标通知书后，按须知前附表规定向采购人出示相关资格证"/>
      <w:bookmarkEnd w:id="137"/>
      <w:r>
        <w:rPr>
          <w:rFonts w:hint="eastAsia" w:ascii="宋体" w:hAnsi="宋体"/>
          <w:b w:val="0"/>
          <w:color w:val="auto"/>
          <w:sz w:val="21"/>
          <w:szCs w:val="21"/>
        </w:rPr>
        <w:t xml:space="preserve"> 36.1投标人领取中标通知书（书面或电子）后，按“投标人须知前附表”规定向采购人出示相关证明材料，经采购人核验合格后方可签订采购合同（书面或电子）。如中标人为联合体的，</w:t>
      </w:r>
      <w:r>
        <w:rPr>
          <w:rFonts w:ascii="宋体" w:hAnsi="宋体"/>
          <w:b w:val="0"/>
          <w:color w:val="auto"/>
          <w:sz w:val="21"/>
          <w:szCs w:val="21"/>
        </w:rPr>
        <w:t>联合体各方应当共同与采购人签订采购合同，就采购合同约定的事项对采购人承担连带责任。</w:t>
      </w:r>
    </w:p>
    <w:p>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36.2签订合同时间：按中标通知书规定的时间与采购人签订合同（最长不能超过25日）。</w:t>
      </w:r>
    </w:p>
    <w:p>
      <w:pPr>
        <w:pStyle w:val="6"/>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36.</w:t>
      </w:r>
      <w:r>
        <w:rPr>
          <w:rFonts w:ascii="宋体" w:hAnsi="宋体"/>
          <w:b w:val="0"/>
          <w:color w:val="auto"/>
          <w:sz w:val="21"/>
          <w:szCs w:val="21"/>
        </w:rPr>
        <w:t>3</w:t>
      </w:r>
      <w:r>
        <w:rPr>
          <w:rFonts w:hint="eastAsia" w:ascii="宋体" w:hAnsi="宋体"/>
          <w:b w:val="0"/>
          <w:color w:val="auto"/>
          <w:sz w:val="21"/>
          <w:szCs w:val="21"/>
        </w:rPr>
        <w:t>中标人拒绝与采购人签订合同的，按照本须知正文第3</w:t>
      </w:r>
      <w:r>
        <w:rPr>
          <w:rFonts w:ascii="宋体" w:hAnsi="宋体"/>
          <w:b w:val="0"/>
          <w:color w:val="auto"/>
          <w:sz w:val="21"/>
          <w:szCs w:val="21"/>
        </w:rPr>
        <w:t>0.4条</w:t>
      </w:r>
      <w:r>
        <w:rPr>
          <w:rFonts w:hint="eastAsia" w:ascii="宋体" w:hAnsi="宋体"/>
          <w:b w:val="0"/>
          <w:color w:val="auto"/>
          <w:sz w:val="21"/>
          <w:szCs w:val="21"/>
        </w:rPr>
        <w:t>的规定执行。</w:t>
      </w:r>
    </w:p>
    <w:p>
      <w:pPr>
        <w:pStyle w:val="6"/>
        <w:keepNext w:val="0"/>
        <w:keepLines w:val="0"/>
        <w:spacing w:before="0" w:after="0" w:line="360" w:lineRule="auto"/>
        <w:ind w:left="420" w:leftChars="200"/>
        <w:rPr>
          <w:rFonts w:ascii="黑体" w:hAnsi="黑体" w:eastAsia="黑体"/>
          <w:color w:val="auto"/>
          <w:sz w:val="24"/>
        </w:rPr>
      </w:pPr>
      <w:bookmarkStart w:id="138" w:name="_41.政府采购合同公告"/>
      <w:bookmarkEnd w:id="138"/>
      <w:r>
        <w:rPr>
          <w:rFonts w:hint="eastAsia" w:ascii="黑体" w:hAnsi="黑体" w:eastAsia="黑体"/>
          <w:color w:val="auto"/>
          <w:sz w:val="24"/>
        </w:rPr>
        <w:t>37.政府采购合同公告</w:t>
      </w:r>
    </w:p>
    <w:p>
      <w:pPr>
        <w:pStyle w:val="18"/>
        <w:snapToGrid w:val="0"/>
        <w:spacing w:line="360" w:lineRule="auto"/>
        <w:ind w:firstLine="420" w:firstLineChars="200"/>
        <w:rPr>
          <w:rFonts w:hAnsi="宋体"/>
          <w:color w:val="auto"/>
        </w:rPr>
      </w:pPr>
      <w:r>
        <w:rPr>
          <w:rFonts w:hint="eastAsia" w:hAnsi="宋体"/>
          <w:color w:val="auto"/>
        </w:rPr>
        <w:t>采购人或者受托采购代理机构应当自政府采购合同签订之日起2个工作日内，将政府采购合同在省级以上人民政府财政部门指定的媒体上公告，</w:t>
      </w:r>
      <w:r>
        <w:rPr>
          <w:rFonts w:hAnsi="宋体"/>
          <w:color w:val="auto"/>
        </w:rPr>
        <w:t>但政府采购合同中涉及国家秘密、商业秘密的内容除外。</w:t>
      </w:r>
    </w:p>
    <w:p>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w:t>
      </w:r>
      <w:r>
        <w:rPr>
          <w:rFonts w:ascii="黑体" w:hAnsi="黑体" w:eastAsia="黑体"/>
          <w:color w:val="auto"/>
          <w:sz w:val="24"/>
        </w:rPr>
        <w:t>8.</w:t>
      </w:r>
      <w:r>
        <w:rPr>
          <w:rFonts w:hint="eastAsia" w:ascii="黑体" w:hAnsi="黑体" w:eastAsia="黑体"/>
          <w:color w:val="auto"/>
          <w:sz w:val="24"/>
        </w:rPr>
        <w:t xml:space="preserve"> 询问、质疑和投诉</w:t>
      </w:r>
    </w:p>
    <w:p>
      <w:pPr>
        <w:pStyle w:val="7"/>
        <w:spacing w:line="360" w:lineRule="auto"/>
        <w:rPr>
          <w:rFonts w:ascii="宋体" w:hAnsi="宋体"/>
          <w:color w:val="auto"/>
          <w:szCs w:val="21"/>
        </w:rPr>
      </w:pPr>
      <w:r>
        <w:rPr>
          <w:rFonts w:ascii="宋体" w:hAnsi="宋体"/>
          <w:color w:val="auto"/>
          <w:szCs w:val="21"/>
        </w:rPr>
        <w:t>38.1</w:t>
      </w:r>
      <w:r>
        <w:rPr>
          <w:rFonts w:hint="eastAsia" w:ascii="宋体" w:hAnsi="宋体"/>
          <w:color w:val="auto"/>
          <w:szCs w:val="21"/>
        </w:rPr>
        <w:t>供应商对政府采购活动事项有疑问的，可以向采购人提出询问，采购人应当及时作出答复，但答复的内容不得涉及商业秘密。</w:t>
      </w:r>
    </w:p>
    <w:p>
      <w:pPr>
        <w:pStyle w:val="6"/>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w:t>
      </w:r>
      <w:r>
        <w:rPr>
          <w:rFonts w:ascii="宋体" w:hAnsi="宋体"/>
          <w:b w:val="0"/>
          <w:color w:val="auto"/>
          <w:sz w:val="21"/>
          <w:szCs w:val="21"/>
        </w:rPr>
        <w:t>38</w:t>
      </w:r>
      <w:r>
        <w:rPr>
          <w:rFonts w:hint="eastAsia" w:ascii="宋体" w:hAnsi="宋体"/>
          <w:b w:val="0"/>
          <w:color w:val="auto"/>
          <w:sz w:val="21"/>
          <w:szCs w:val="21"/>
        </w:rPr>
        <w:t>.</w:t>
      </w:r>
      <w:r>
        <w:rPr>
          <w:rFonts w:ascii="宋体" w:hAnsi="宋体"/>
          <w:b w:val="0"/>
          <w:color w:val="auto"/>
          <w:sz w:val="21"/>
          <w:szCs w:val="21"/>
        </w:rPr>
        <w:t>2</w:t>
      </w:r>
      <w:r>
        <w:rPr>
          <w:rFonts w:hint="eastAsia" w:ascii="宋体" w:hAnsi="宋体"/>
          <w:b w:val="0"/>
          <w:color w:val="auto"/>
          <w:sz w:val="21"/>
          <w:szCs w:val="21"/>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pPr>
        <w:pStyle w:val="18"/>
        <w:snapToGrid w:val="0"/>
        <w:spacing w:line="360" w:lineRule="auto"/>
        <w:ind w:firstLine="420" w:firstLineChars="200"/>
        <w:rPr>
          <w:rFonts w:hAnsi="宋体"/>
          <w:color w:val="auto"/>
        </w:rPr>
      </w:pPr>
      <w:r>
        <w:rPr>
          <w:rFonts w:hAnsi="宋体"/>
          <w:color w:val="auto"/>
        </w:rPr>
        <w:t>（</w:t>
      </w:r>
      <w:r>
        <w:rPr>
          <w:rFonts w:hint="eastAsia" w:hAnsi="宋体"/>
          <w:color w:val="auto"/>
        </w:rPr>
        <w:t>1</w:t>
      </w:r>
      <w:r>
        <w:rPr>
          <w:rFonts w:hAnsi="宋体"/>
          <w:color w:val="auto"/>
        </w:rPr>
        <w:t>）对可以质疑的</w:t>
      </w:r>
      <w:r>
        <w:rPr>
          <w:rFonts w:hint="eastAsia" w:hAnsi="宋体"/>
          <w:color w:val="auto"/>
        </w:rPr>
        <w:t>招标</w:t>
      </w:r>
      <w:r>
        <w:rPr>
          <w:rFonts w:hAnsi="宋体"/>
          <w:color w:val="auto"/>
        </w:rPr>
        <w:t>文件提出质疑的，为收到</w:t>
      </w:r>
      <w:r>
        <w:rPr>
          <w:rFonts w:hint="eastAsia" w:hAnsi="宋体"/>
          <w:color w:val="auto"/>
        </w:rPr>
        <w:t>招标</w:t>
      </w:r>
      <w:r>
        <w:rPr>
          <w:rFonts w:hAnsi="宋体"/>
          <w:color w:val="auto"/>
        </w:rPr>
        <w:t>文件之日</w:t>
      </w:r>
      <w:r>
        <w:rPr>
          <w:rFonts w:hint="eastAsia" w:hAnsi="宋体"/>
          <w:color w:val="auto"/>
        </w:rPr>
        <w:t>或者招标文件公告期限届满之日</w:t>
      </w:r>
      <w:r>
        <w:rPr>
          <w:rFonts w:hAnsi="宋体"/>
          <w:color w:val="auto"/>
        </w:rPr>
        <w:t>；</w:t>
      </w:r>
    </w:p>
    <w:p>
      <w:pPr>
        <w:pStyle w:val="18"/>
        <w:snapToGrid w:val="0"/>
        <w:spacing w:line="360" w:lineRule="auto"/>
        <w:ind w:firstLine="420" w:firstLineChars="200"/>
        <w:rPr>
          <w:rFonts w:hAnsi="宋体"/>
          <w:color w:val="auto"/>
        </w:rPr>
      </w:pPr>
      <w:r>
        <w:rPr>
          <w:rFonts w:hAnsi="宋体"/>
          <w:color w:val="auto"/>
        </w:rPr>
        <w:t>（</w:t>
      </w:r>
      <w:r>
        <w:rPr>
          <w:rFonts w:hint="eastAsia" w:hAnsi="宋体"/>
          <w:color w:val="auto"/>
        </w:rPr>
        <w:t>2</w:t>
      </w:r>
      <w:r>
        <w:rPr>
          <w:rFonts w:hAnsi="宋体"/>
          <w:color w:val="auto"/>
        </w:rPr>
        <w:t>）对</w:t>
      </w:r>
      <w:r>
        <w:rPr>
          <w:rFonts w:hint="eastAsia" w:hAnsi="宋体"/>
          <w:color w:val="auto"/>
        </w:rPr>
        <w:t>采购</w:t>
      </w:r>
      <w:r>
        <w:rPr>
          <w:rFonts w:hAnsi="宋体"/>
          <w:color w:val="auto"/>
        </w:rPr>
        <w:t>过程提出质疑的，为各采购程序环节结束之日；</w:t>
      </w:r>
    </w:p>
    <w:p>
      <w:pPr>
        <w:pStyle w:val="18"/>
        <w:snapToGrid w:val="0"/>
        <w:spacing w:line="360" w:lineRule="auto"/>
        <w:ind w:firstLine="420" w:firstLineChars="200"/>
        <w:rPr>
          <w:rFonts w:hAnsi="宋体"/>
          <w:bCs/>
          <w:color w:val="auto"/>
        </w:rPr>
      </w:pPr>
      <w:r>
        <w:rPr>
          <w:rFonts w:hAnsi="宋体"/>
          <w:color w:val="auto"/>
        </w:rPr>
        <w:t>（</w:t>
      </w:r>
      <w:r>
        <w:rPr>
          <w:rFonts w:hint="eastAsia" w:hAnsi="宋体"/>
          <w:color w:val="auto"/>
        </w:rPr>
        <w:t>3</w:t>
      </w:r>
      <w:r>
        <w:rPr>
          <w:rFonts w:hAnsi="宋体"/>
          <w:color w:val="auto"/>
        </w:rPr>
        <w:t>）对中标结果提出质疑的，为中标结果公告期限届满之日。</w:t>
      </w:r>
    </w:p>
    <w:p>
      <w:pPr>
        <w:pStyle w:val="18"/>
        <w:snapToGrid w:val="0"/>
        <w:spacing w:line="360" w:lineRule="auto"/>
        <w:ind w:firstLine="420" w:firstLineChars="200"/>
        <w:rPr>
          <w:rFonts w:hAnsi="宋体"/>
          <w:bCs/>
          <w:color w:val="auto"/>
        </w:rPr>
      </w:pPr>
      <w:r>
        <w:rPr>
          <w:rFonts w:hint="eastAsia" w:hAnsi="宋体"/>
          <w:color w:val="auto"/>
        </w:rPr>
        <w:t>供应商对采购人、采购代理机构的质疑答复不满意，或者采购人、采购代理机构未在规定时间内作出答复的，可以在答复期满后十五个工作日内向同级政府采购监管部门投诉。</w:t>
      </w:r>
    </w:p>
    <w:p>
      <w:pPr>
        <w:pStyle w:val="6"/>
        <w:keepNext w:val="0"/>
        <w:keepLines w:val="0"/>
        <w:spacing w:before="0" w:after="0" w:line="360" w:lineRule="auto"/>
        <w:ind w:firstLine="315" w:firstLineChars="150"/>
        <w:rPr>
          <w:rFonts w:ascii="宋体" w:hAnsi="宋体"/>
          <w:b w:val="0"/>
          <w:color w:val="auto"/>
          <w:sz w:val="21"/>
          <w:szCs w:val="21"/>
        </w:rPr>
      </w:pPr>
      <w:bookmarkStart w:id="139" w:name="_9.2质疑、投诉应当采用书面形式，质疑函、投诉书均应明确阐述招标文件、"/>
      <w:bookmarkEnd w:id="139"/>
      <w:r>
        <w:rPr>
          <w:rFonts w:hint="eastAsia" w:ascii="宋体" w:hAnsi="宋体"/>
          <w:b w:val="0"/>
          <w:color w:val="auto"/>
          <w:sz w:val="21"/>
          <w:szCs w:val="21"/>
        </w:rPr>
        <w:t xml:space="preserve"> </w:t>
      </w:r>
      <w:r>
        <w:rPr>
          <w:rFonts w:ascii="宋体" w:hAnsi="宋体"/>
          <w:b w:val="0"/>
          <w:color w:val="auto"/>
          <w:sz w:val="21"/>
          <w:szCs w:val="21"/>
        </w:rPr>
        <w:t>38</w:t>
      </w:r>
      <w:r>
        <w:rPr>
          <w:rFonts w:hint="eastAsia" w:ascii="宋体" w:hAnsi="宋体"/>
          <w:b w:val="0"/>
          <w:color w:val="auto"/>
          <w:sz w:val="21"/>
          <w:szCs w:val="21"/>
        </w:rPr>
        <w:t>.</w:t>
      </w:r>
      <w:r>
        <w:rPr>
          <w:rFonts w:ascii="宋体" w:hAnsi="宋体"/>
          <w:b w:val="0"/>
          <w:color w:val="auto"/>
          <w:sz w:val="21"/>
          <w:szCs w:val="21"/>
        </w:rPr>
        <w:t>3</w:t>
      </w:r>
      <w:r>
        <w:rPr>
          <w:rFonts w:hint="eastAsia" w:ascii="宋体" w:hAnsi="宋体"/>
          <w:b w:val="0"/>
          <w:color w:val="auto"/>
          <w:sz w:val="21"/>
          <w:szCs w:val="21"/>
        </w:rPr>
        <w:t xml:space="preserve"> </w:t>
      </w:r>
      <w:r>
        <w:rPr>
          <w:rFonts w:hAnsi="宋体"/>
          <w:color w:val="auto"/>
          <w:sz w:val="21"/>
        </w:rPr>
        <w:t>供应商提出质疑应当提交质疑函和必要的证明材料</w:t>
      </w:r>
      <w:r>
        <w:rPr>
          <w:rFonts w:hint="eastAsia" w:hAnsi="宋体"/>
          <w:color w:val="auto"/>
          <w:sz w:val="21"/>
        </w:rPr>
        <w:t>，</w:t>
      </w:r>
      <w:r>
        <w:rPr>
          <w:rFonts w:hAnsi="宋体"/>
          <w:color w:val="auto"/>
          <w:sz w:val="21"/>
        </w:rPr>
        <w:t>针对同一采购程序环节的质疑</w:t>
      </w:r>
      <w:r>
        <w:rPr>
          <w:rFonts w:hint="eastAsia" w:hAnsi="宋体"/>
          <w:color w:val="auto"/>
          <w:sz w:val="21"/>
        </w:rPr>
        <w:t>必须</w:t>
      </w:r>
      <w:r>
        <w:rPr>
          <w:rFonts w:hAnsi="宋体"/>
          <w:color w:val="auto"/>
          <w:sz w:val="21"/>
        </w:rPr>
        <w:t>在法定质疑期内一次性提出。质疑函应当包括下列内容</w:t>
      </w:r>
      <w:r>
        <w:rPr>
          <w:rFonts w:hint="eastAsia" w:hAnsi="宋体"/>
          <w:color w:val="auto"/>
          <w:sz w:val="21"/>
        </w:rPr>
        <w:t>（质疑函格式后附）</w:t>
      </w:r>
      <w:r>
        <w:rPr>
          <w:rFonts w:hAnsi="宋体"/>
          <w:color w:val="auto"/>
          <w:sz w:val="21"/>
        </w:rPr>
        <w:t>：</w:t>
      </w:r>
    </w:p>
    <w:p>
      <w:pPr>
        <w:pStyle w:val="18"/>
        <w:snapToGrid w:val="0"/>
        <w:spacing w:line="360" w:lineRule="auto"/>
        <w:ind w:firstLine="420" w:firstLineChars="200"/>
        <w:rPr>
          <w:rFonts w:hAnsi="宋体"/>
          <w:bCs/>
          <w:color w:val="auto"/>
        </w:rPr>
      </w:pPr>
      <w:r>
        <w:rPr>
          <w:rFonts w:hAnsi="宋体"/>
          <w:bCs/>
          <w:color w:val="auto"/>
        </w:rPr>
        <w:t>（</w:t>
      </w:r>
      <w:r>
        <w:rPr>
          <w:rFonts w:hint="eastAsia" w:hAnsi="宋体"/>
          <w:bCs/>
          <w:color w:val="auto"/>
        </w:rPr>
        <w:t>1</w:t>
      </w:r>
      <w:r>
        <w:rPr>
          <w:rFonts w:hAnsi="宋体"/>
          <w:bCs/>
          <w:color w:val="auto"/>
        </w:rPr>
        <w:t>）供应商的姓名或者名称、地址、邮编、联系人及联系电话；</w:t>
      </w:r>
    </w:p>
    <w:p>
      <w:pPr>
        <w:pStyle w:val="18"/>
        <w:snapToGrid w:val="0"/>
        <w:spacing w:line="360" w:lineRule="auto"/>
        <w:ind w:firstLine="420" w:firstLineChars="200"/>
        <w:rPr>
          <w:rFonts w:hAnsi="宋体"/>
          <w:bCs/>
          <w:color w:val="auto"/>
        </w:rPr>
      </w:pPr>
      <w:r>
        <w:rPr>
          <w:rFonts w:hAnsi="宋体"/>
          <w:bCs/>
          <w:color w:val="auto"/>
        </w:rPr>
        <w:t>（</w:t>
      </w:r>
      <w:r>
        <w:rPr>
          <w:rFonts w:hint="eastAsia" w:hAnsi="宋体"/>
          <w:bCs/>
          <w:color w:val="auto"/>
        </w:rPr>
        <w:t>2</w:t>
      </w:r>
      <w:r>
        <w:rPr>
          <w:rFonts w:hAnsi="宋体"/>
          <w:bCs/>
          <w:color w:val="auto"/>
        </w:rPr>
        <w:t>）质疑项目的名称、编号；</w:t>
      </w:r>
    </w:p>
    <w:p>
      <w:pPr>
        <w:pStyle w:val="18"/>
        <w:snapToGrid w:val="0"/>
        <w:spacing w:line="360" w:lineRule="auto"/>
        <w:ind w:firstLine="420" w:firstLineChars="200"/>
        <w:rPr>
          <w:rFonts w:hAnsi="宋体"/>
          <w:bCs/>
          <w:color w:val="auto"/>
        </w:rPr>
      </w:pPr>
      <w:r>
        <w:rPr>
          <w:rFonts w:hAnsi="宋体"/>
          <w:bCs/>
          <w:color w:val="auto"/>
        </w:rPr>
        <w:t>（</w:t>
      </w:r>
      <w:r>
        <w:rPr>
          <w:rFonts w:hint="eastAsia" w:hAnsi="宋体"/>
          <w:bCs/>
          <w:color w:val="auto"/>
        </w:rPr>
        <w:t>3</w:t>
      </w:r>
      <w:r>
        <w:rPr>
          <w:rFonts w:hAnsi="宋体"/>
          <w:bCs/>
          <w:color w:val="auto"/>
        </w:rPr>
        <w:t>）具体、明确的质疑事项和与质疑事项相关的请求；</w:t>
      </w:r>
    </w:p>
    <w:p>
      <w:pPr>
        <w:pStyle w:val="18"/>
        <w:snapToGrid w:val="0"/>
        <w:spacing w:line="360" w:lineRule="auto"/>
        <w:ind w:firstLine="420" w:firstLineChars="200"/>
        <w:rPr>
          <w:rFonts w:hAnsi="宋体"/>
          <w:bCs/>
          <w:color w:val="auto"/>
        </w:rPr>
      </w:pPr>
      <w:r>
        <w:rPr>
          <w:rFonts w:hAnsi="宋体"/>
          <w:bCs/>
          <w:color w:val="auto"/>
        </w:rPr>
        <w:t>（</w:t>
      </w:r>
      <w:r>
        <w:rPr>
          <w:rFonts w:hint="eastAsia" w:hAnsi="宋体"/>
          <w:bCs/>
          <w:color w:val="auto"/>
        </w:rPr>
        <w:t>4</w:t>
      </w:r>
      <w:r>
        <w:rPr>
          <w:rFonts w:hAnsi="宋体"/>
          <w:bCs/>
          <w:color w:val="auto"/>
        </w:rPr>
        <w:t>）事实依据；</w:t>
      </w:r>
    </w:p>
    <w:p>
      <w:pPr>
        <w:pStyle w:val="18"/>
        <w:snapToGrid w:val="0"/>
        <w:spacing w:line="360" w:lineRule="auto"/>
        <w:ind w:firstLine="420" w:firstLineChars="200"/>
        <w:rPr>
          <w:rFonts w:hAnsi="宋体"/>
          <w:bCs/>
          <w:color w:val="auto"/>
        </w:rPr>
      </w:pPr>
      <w:r>
        <w:rPr>
          <w:rFonts w:hAnsi="宋体"/>
          <w:bCs/>
          <w:color w:val="auto"/>
        </w:rPr>
        <w:t>（</w:t>
      </w:r>
      <w:r>
        <w:rPr>
          <w:rFonts w:hint="eastAsia" w:hAnsi="宋体"/>
          <w:bCs/>
          <w:color w:val="auto"/>
        </w:rPr>
        <w:t>5</w:t>
      </w:r>
      <w:r>
        <w:rPr>
          <w:rFonts w:hAnsi="宋体"/>
          <w:bCs/>
          <w:color w:val="auto"/>
        </w:rPr>
        <w:t>）必要的法律依据；</w:t>
      </w:r>
    </w:p>
    <w:p>
      <w:pPr>
        <w:pStyle w:val="18"/>
        <w:snapToGrid w:val="0"/>
        <w:spacing w:line="360" w:lineRule="auto"/>
        <w:ind w:firstLine="420" w:firstLineChars="200"/>
        <w:rPr>
          <w:rFonts w:hAnsi="宋体"/>
          <w:bCs/>
          <w:color w:val="auto"/>
        </w:rPr>
      </w:pPr>
      <w:r>
        <w:rPr>
          <w:rFonts w:hAnsi="宋体"/>
          <w:bCs/>
          <w:color w:val="auto"/>
        </w:rPr>
        <w:t>（</w:t>
      </w:r>
      <w:r>
        <w:rPr>
          <w:rFonts w:hint="eastAsia" w:hAnsi="宋体"/>
          <w:bCs/>
          <w:color w:val="auto"/>
        </w:rPr>
        <w:t>6</w:t>
      </w:r>
      <w:r>
        <w:rPr>
          <w:rFonts w:hAnsi="宋体"/>
          <w:bCs/>
          <w:color w:val="auto"/>
        </w:rPr>
        <w:t>）提出质疑的日期。</w:t>
      </w:r>
    </w:p>
    <w:p>
      <w:pPr>
        <w:pStyle w:val="18"/>
        <w:snapToGrid w:val="0"/>
        <w:spacing w:line="360" w:lineRule="auto"/>
        <w:ind w:firstLine="420" w:firstLineChars="200"/>
        <w:rPr>
          <w:rFonts w:hAnsi="宋体"/>
          <w:bCs/>
          <w:color w:val="auto"/>
        </w:rPr>
      </w:pPr>
      <w:r>
        <w:rPr>
          <w:rFonts w:hAnsi="宋体"/>
          <w:bCs/>
          <w:color w:val="auto"/>
        </w:rPr>
        <w:t>供应商为自然人的，应当由本人签字；供应商为法人或者其他组织的，应当由法定代表人、主要负责人，或者其委托代理人签字或者盖章，并加盖公章</w:t>
      </w:r>
      <w:r>
        <w:rPr>
          <w:rFonts w:hint="eastAsia" w:hAnsi="宋体"/>
          <w:bCs/>
          <w:color w:val="auto"/>
        </w:rPr>
        <w:t>。</w:t>
      </w:r>
    </w:p>
    <w:p>
      <w:pPr>
        <w:pStyle w:val="6"/>
        <w:keepNext w:val="0"/>
        <w:keepLines w:val="0"/>
        <w:snapToGrid w:val="0"/>
        <w:spacing w:before="0" w:after="0" w:line="360" w:lineRule="auto"/>
        <w:ind w:firstLine="422" w:firstLineChars="200"/>
        <w:rPr>
          <w:rFonts w:ascii="宋体" w:hAnsi="宋体"/>
          <w:color w:val="auto"/>
          <w:sz w:val="21"/>
          <w:szCs w:val="21"/>
        </w:rPr>
      </w:pPr>
      <w:r>
        <w:rPr>
          <w:rFonts w:ascii="宋体" w:hAnsi="宋体"/>
          <w:color w:val="auto"/>
          <w:sz w:val="21"/>
          <w:szCs w:val="21"/>
        </w:rPr>
        <w:t>38.4</w:t>
      </w:r>
      <w:r>
        <w:rPr>
          <w:rFonts w:hint="eastAsia" w:ascii="宋体" w:hAnsi="宋体"/>
          <w:color w:val="auto"/>
          <w:sz w:val="21"/>
          <w:szCs w:val="21"/>
        </w:rPr>
        <w:t>采购人、采购代理机构认为供应商质疑不成立，或者成立但未对中标结果构成影响的，继续开展采购活动；认为供应商质疑成立且影响或者可能影响中标结果的，按照下列情况处理：</w:t>
      </w:r>
    </w:p>
    <w:p>
      <w:pPr>
        <w:pStyle w:val="18"/>
        <w:snapToGrid w:val="0"/>
        <w:spacing w:line="360" w:lineRule="auto"/>
        <w:ind w:firstLine="420" w:firstLineChars="200"/>
        <w:rPr>
          <w:rFonts w:hAnsi="宋体"/>
          <w:bCs/>
          <w:color w:val="auto"/>
        </w:rPr>
      </w:pPr>
      <w:r>
        <w:rPr>
          <w:rFonts w:hint="eastAsia" w:hAnsi="宋体"/>
          <w:bCs/>
          <w:color w:val="auto"/>
        </w:rPr>
        <w:t>（一）对招标文件提出的质疑，依法通过澄清或者修改可以继续开展采购活动的，澄清或者修改招标文件后继续开展采购活动；否则应当修改招标文件后重新开展采购活动。</w:t>
      </w:r>
    </w:p>
    <w:p>
      <w:pPr>
        <w:pStyle w:val="18"/>
        <w:snapToGrid w:val="0"/>
        <w:spacing w:line="360" w:lineRule="auto"/>
        <w:ind w:firstLine="420" w:firstLineChars="200"/>
        <w:rPr>
          <w:rFonts w:hAnsi="宋体"/>
          <w:bCs/>
          <w:color w:val="auto"/>
        </w:rPr>
      </w:pPr>
      <w:r>
        <w:rPr>
          <w:rFonts w:hint="eastAsia" w:hAnsi="宋体"/>
          <w:bCs/>
          <w:color w:val="auto"/>
        </w:rPr>
        <w:t>（二）对采购过程、中标结果提出的质疑，合格供应商符合法定数量时，可以从合格的中标候选人中另行确定中标供应商的，应当依法另行确定中标供应商；否则应当重新开展采购活动。</w:t>
      </w:r>
    </w:p>
    <w:p>
      <w:pPr>
        <w:pStyle w:val="18"/>
        <w:snapToGrid w:val="0"/>
        <w:spacing w:line="360" w:lineRule="auto"/>
        <w:ind w:firstLine="420"/>
        <w:rPr>
          <w:rFonts w:hAnsi="宋体"/>
          <w:bCs/>
          <w:color w:val="auto"/>
        </w:rPr>
      </w:pPr>
      <w:r>
        <w:rPr>
          <w:rFonts w:hint="eastAsia" w:hAnsi="宋体"/>
          <w:bCs/>
          <w:color w:val="auto"/>
        </w:rPr>
        <w:t>质疑答复导致中标结果改变的，采购人或者采购代理机构应当将有关情况书面报告本级财政部门。</w:t>
      </w:r>
    </w:p>
    <w:p>
      <w:pPr>
        <w:pStyle w:val="18"/>
        <w:snapToGrid w:val="0"/>
        <w:spacing w:line="360" w:lineRule="auto"/>
        <w:ind w:firstLine="420" w:firstLineChars="200"/>
        <w:rPr>
          <w:rFonts w:hAnsi="宋体"/>
          <w:color w:val="auto"/>
        </w:rPr>
      </w:pPr>
      <w:r>
        <w:rPr>
          <w:rFonts w:hAnsi="宋体"/>
          <w:color w:val="auto"/>
        </w:rPr>
        <w:t>38</w:t>
      </w:r>
      <w:r>
        <w:rPr>
          <w:rFonts w:hint="eastAsia" w:hAnsi="宋体"/>
          <w:color w:val="auto"/>
        </w:rPr>
        <w:t>.</w:t>
      </w:r>
      <w:r>
        <w:rPr>
          <w:rFonts w:hAnsi="宋体"/>
          <w:color w:val="auto"/>
        </w:rPr>
        <w:t>5</w:t>
      </w:r>
      <w:r>
        <w:rPr>
          <w:rFonts w:hint="eastAsia" w:hAnsi="宋体"/>
          <w:b/>
          <w:color w:val="auto"/>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pStyle w:val="18"/>
        <w:snapToGrid w:val="0"/>
        <w:spacing w:line="360" w:lineRule="auto"/>
        <w:ind w:firstLine="420" w:firstLineChars="200"/>
        <w:rPr>
          <w:rFonts w:hAnsi="宋体"/>
          <w:color w:val="auto"/>
        </w:rPr>
      </w:pPr>
    </w:p>
    <w:p>
      <w:pPr>
        <w:pStyle w:val="2"/>
        <w:keepNext w:val="0"/>
        <w:keepLines w:val="0"/>
        <w:jc w:val="center"/>
        <w:rPr>
          <w:color w:val="auto"/>
        </w:rPr>
      </w:pPr>
      <w:bookmarkStart w:id="140" w:name="_八、其他事项"/>
      <w:bookmarkEnd w:id="140"/>
      <w:r>
        <w:rPr>
          <w:rFonts w:hint="eastAsia"/>
          <w:color w:val="auto"/>
        </w:rPr>
        <w:t>八、其他事项</w:t>
      </w:r>
    </w:p>
    <w:p>
      <w:pPr>
        <w:pStyle w:val="6"/>
        <w:keepNext w:val="0"/>
        <w:keepLines w:val="0"/>
        <w:spacing w:before="0" w:after="0" w:line="360" w:lineRule="auto"/>
        <w:ind w:left="420" w:leftChars="200"/>
        <w:rPr>
          <w:rFonts w:ascii="黑体" w:hAnsi="黑体" w:eastAsia="黑体"/>
          <w:color w:val="auto"/>
          <w:sz w:val="24"/>
        </w:rPr>
      </w:pPr>
      <w:bookmarkStart w:id="141" w:name="_42.代理服务费"/>
      <w:bookmarkEnd w:id="141"/>
      <w:r>
        <w:rPr>
          <w:rFonts w:hint="eastAsia" w:ascii="黑体" w:hAnsi="黑体" w:eastAsia="黑体"/>
          <w:color w:val="auto"/>
          <w:sz w:val="24"/>
        </w:rPr>
        <w:t>3</w:t>
      </w:r>
      <w:r>
        <w:rPr>
          <w:rFonts w:ascii="黑体" w:hAnsi="黑体" w:eastAsia="黑体"/>
          <w:color w:val="auto"/>
          <w:sz w:val="24"/>
        </w:rPr>
        <w:t>9</w:t>
      </w:r>
      <w:r>
        <w:rPr>
          <w:rFonts w:hint="eastAsia" w:ascii="黑体" w:hAnsi="黑体" w:eastAsia="黑体"/>
          <w:color w:val="auto"/>
          <w:sz w:val="24"/>
        </w:rPr>
        <w:t>.代理服务费</w:t>
      </w:r>
    </w:p>
    <w:p>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3</w:t>
      </w:r>
      <w:r>
        <w:rPr>
          <w:rFonts w:ascii="宋体" w:hAnsi="宋体"/>
          <w:b w:val="0"/>
          <w:color w:val="auto"/>
          <w:sz w:val="21"/>
          <w:szCs w:val="21"/>
        </w:rPr>
        <w:t>9</w:t>
      </w:r>
      <w:r>
        <w:rPr>
          <w:rFonts w:hint="eastAsia" w:ascii="宋体" w:hAnsi="宋体"/>
          <w:b w:val="0"/>
          <w:color w:val="auto"/>
          <w:sz w:val="21"/>
          <w:szCs w:val="21"/>
        </w:rPr>
        <w:t>.1代理服务收费标准及缴费账户详见“投标人须知前附表”，投标人为联合体的，可以由联合体中的一方或者多方共同交纳代理服务费。</w:t>
      </w:r>
    </w:p>
    <w:p>
      <w:pPr>
        <w:pStyle w:val="6"/>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3</w:t>
      </w:r>
      <w:r>
        <w:rPr>
          <w:rFonts w:ascii="宋体" w:hAnsi="宋体"/>
          <w:b w:val="0"/>
          <w:color w:val="auto"/>
          <w:sz w:val="21"/>
          <w:szCs w:val="21"/>
        </w:rPr>
        <w:t>9</w:t>
      </w:r>
      <w:r>
        <w:rPr>
          <w:rFonts w:hint="eastAsia" w:ascii="宋体" w:hAnsi="宋体"/>
          <w:b w:val="0"/>
          <w:color w:val="auto"/>
          <w:sz w:val="21"/>
          <w:szCs w:val="21"/>
        </w:rPr>
        <w:t>.2代理服务收费标准：</w:t>
      </w:r>
    </w:p>
    <w:p>
      <w:pPr>
        <w:spacing w:line="360" w:lineRule="auto"/>
        <w:rPr>
          <w:rFonts w:ascii="宋体" w:hAnsi="宋体"/>
          <w:color w:val="auto"/>
          <w:szCs w:val="21"/>
        </w:rPr>
      </w:pPr>
    </w:p>
    <w:tbl>
      <w:tblPr>
        <w:tblStyle w:val="3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pPr>
              <w:spacing w:line="360" w:lineRule="auto"/>
              <w:rPr>
                <w:rFonts w:ascii="宋体" w:hAnsi="宋体"/>
                <w:color w:val="auto"/>
                <w:szCs w:val="21"/>
              </w:rPr>
            </w:pPr>
            <w:r>
              <w:rPr>
                <w:rFonts w:hint="eastAsia" w:ascii="宋体" w:hAnsi="宋体"/>
                <w:color w:val="auto"/>
                <w:szCs w:val="21"/>
              </w:rPr>
              <w:t xml:space="preserve">               费率</w:t>
            </w:r>
          </w:p>
          <w:p>
            <w:pPr>
              <w:spacing w:line="360" w:lineRule="auto"/>
              <w:rPr>
                <w:rFonts w:ascii="宋体" w:hAnsi="宋体"/>
                <w:color w:val="auto"/>
                <w:szCs w:val="21"/>
              </w:rPr>
            </w:pPr>
            <w:r>
              <w:rPr>
                <w:rFonts w:hint="eastAsia" w:ascii="宋体" w:hAnsi="宋体"/>
                <w:color w:val="auto"/>
                <w:szCs w:val="21"/>
              </w:rPr>
              <w:t>中标金额</w:t>
            </w:r>
          </w:p>
        </w:tc>
        <w:tc>
          <w:tcPr>
            <w:tcW w:w="1659" w:type="dxa"/>
            <w:vAlign w:val="center"/>
          </w:tcPr>
          <w:p>
            <w:pPr>
              <w:spacing w:line="360" w:lineRule="auto"/>
              <w:ind w:firstLine="105" w:firstLineChars="50"/>
              <w:jc w:val="center"/>
              <w:rPr>
                <w:rFonts w:ascii="宋体" w:hAnsi="宋体"/>
                <w:color w:val="auto"/>
                <w:szCs w:val="21"/>
              </w:rPr>
            </w:pPr>
            <w:r>
              <w:rPr>
                <w:rFonts w:hint="eastAsia" w:ascii="宋体" w:hAnsi="宋体"/>
                <w:color w:val="auto"/>
                <w:szCs w:val="21"/>
              </w:rPr>
              <w:t>货物招标</w:t>
            </w:r>
          </w:p>
        </w:tc>
        <w:tc>
          <w:tcPr>
            <w:tcW w:w="1687" w:type="dxa"/>
            <w:vAlign w:val="center"/>
          </w:tcPr>
          <w:p>
            <w:pPr>
              <w:spacing w:line="360" w:lineRule="auto"/>
              <w:jc w:val="center"/>
              <w:rPr>
                <w:rFonts w:ascii="宋体" w:hAnsi="宋体"/>
                <w:color w:val="auto"/>
                <w:szCs w:val="21"/>
              </w:rPr>
            </w:pPr>
            <w:r>
              <w:rPr>
                <w:rFonts w:hint="eastAsia" w:ascii="宋体" w:hAnsi="宋体"/>
                <w:color w:val="auto"/>
                <w:szCs w:val="21"/>
              </w:rPr>
              <w:t>服务招标</w:t>
            </w:r>
          </w:p>
        </w:tc>
        <w:tc>
          <w:tcPr>
            <w:tcW w:w="1659" w:type="dxa"/>
            <w:vAlign w:val="center"/>
          </w:tcPr>
          <w:p>
            <w:pPr>
              <w:spacing w:line="360" w:lineRule="auto"/>
              <w:jc w:val="center"/>
              <w:rPr>
                <w:rFonts w:ascii="宋体" w:hAnsi="宋体"/>
                <w:color w:val="auto"/>
                <w:szCs w:val="21"/>
              </w:rPr>
            </w:pPr>
            <w:r>
              <w:rPr>
                <w:rFonts w:hint="eastAsia" w:ascii="宋体" w:hAnsi="宋体"/>
                <w:color w:val="auto"/>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rPr>
            </w:pPr>
            <w:r>
              <w:rPr>
                <w:rFonts w:hint="eastAsia" w:ascii="宋体" w:hAnsi="宋体"/>
                <w:color w:val="auto"/>
                <w:szCs w:val="21"/>
              </w:rPr>
              <w:t>100万元以下</w:t>
            </w:r>
          </w:p>
        </w:tc>
        <w:tc>
          <w:tcPr>
            <w:tcW w:w="1659" w:type="dxa"/>
          </w:tcPr>
          <w:p>
            <w:pPr>
              <w:spacing w:line="360" w:lineRule="auto"/>
              <w:rPr>
                <w:rFonts w:ascii="宋体" w:hAnsi="宋体"/>
                <w:color w:val="auto"/>
                <w:szCs w:val="21"/>
              </w:rPr>
            </w:pPr>
            <w:r>
              <w:rPr>
                <w:rFonts w:hint="eastAsia" w:ascii="宋体" w:hAnsi="宋体" w:cs="宋体"/>
                <w:color w:val="auto"/>
                <w:kern w:val="0"/>
                <w:szCs w:val="21"/>
              </w:rPr>
              <w:t xml:space="preserve">  </w:t>
            </w:r>
            <w:r>
              <w:rPr>
                <w:rFonts w:ascii="宋体" w:hAnsi="宋体" w:cs="宋体"/>
                <w:color w:val="auto"/>
                <w:kern w:val="0"/>
                <w:szCs w:val="21"/>
              </w:rPr>
              <w:t xml:space="preserve">1.5% </w:t>
            </w:r>
            <w:r>
              <w:rPr>
                <w:rFonts w:hint="eastAsia" w:ascii="宋体" w:hAnsi="宋体" w:cs="宋体"/>
                <w:color w:val="auto"/>
                <w:kern w:val="0"/>
                <w:szCs w:val="21"/>
              </w:rPr>
              <w:t xml:space="preserve">          </w:t>
            </w:r>
            <w:r>
              <w:rPr>
                <w:rFonts w:ascii="宋体" w:hAnsi="宋体" w:cs="宋体"/>
                <w:color w:val="auto"/>
                <w:kern w:val="0"/>
                <w:szCs w:val="21"/>
              </w:rPr>
              <w:t xml:space="preserve"> </w:t>
            </w:r>
            <w:r>
              <w:rPr>
                <w:rFonts w:hint="eastAsia" w:ascii="宋体" w:hAnsi="宋体" w:cs="宋体"/>
                <w:color w:val="auto"/>
                <w:kern w:val="0"/>
                <w:szCs w:val="21"/>
              </w:rPr>
              <w:t xml:space="preserve">    </w:t>
            </w:r>
          </w:p>
        </w:tc>
        <w:tc>
          <w:tcPr>
            <w:tcW w:w="1687" w:type="dxa"/>
          </w:tcPr>
          <w:p>
            <w:pPr>
              <w:spacing w:line="360" w:lineRule="auto"/>
              <w:ind w:firstLine="210" w:firstLineChars="100"/>
              <w:rPr>
                <w:rFonts w:ascii="宋体" w:hAnsi="宋体"/>
                <w:color w:val="auto"/>
                <w:szCs w:val="21"/>
              </w:rPr>
            </w:pPr>
            <w:r>
              <w:rPr>
                <w:rFonts w:ascii="宋体" w:hAnsi="宋体" w:cs="宋体"/>
                <w:color w:val="auto"/>
                <w:kern w:val="0"/>
                <w:szCs w:val="21"/>
              </w:rPr>
              <w:t>1.5%</w:t>
            </w:r>
          </w:p>
        </w:tc>
        <w:tc>
          <w:tcPr>
            <w:tcW w:w="1659" w:type="dxa"/>
          </w:tcPr>
          <w:p>
            <w:pPr>
              <w:spacing w:line="360" w:lineRule="auto"/>
              <w:ind w:firstLine="210" w:firstLineChars="100"/>
              <w:rPr>
                <w:rFonts w:ascii="宋体" w:hAnsi="宋体"/>
                <w:color w:val="auto"/>
                <w:szCs w:val="21"/>
              </w:rPr>
            </w:pPr>
            <w:r>
              <w:rPr>
                <w:rFonts w:ascii="宋体" w:hAnsi="宋体" w:cs="宋体"/>
                <w:color w:val="auto"/>
                <w:kern w:val="0"/>
                <w:szCs w:val="21"/>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rPr>
            </w:pPr>
            <w:r>
              <w:rPr>
                <w:rFonts w:hint="eastAsia" w:ascii="宋体" w:hAnsi="宋体"/>
                <w:color w:val="auto"/>
                <w:szCs w:val="21"/>
              </w:rPr>
              <w:t>100～500万元</w:t>
            </w:r>
          </w:p>
        </w:tc>
        <w:tc>
          <w:tcPr>
            <w:tcW w:w="1659" w:type="dxa"/>
          </w:tcPr>
          <w:p>
            <w:pPr>
              <w:spacing w:line="360" w:lineRule="auto"/>
              <w:ind w:firstLine="210" w:firstLineChars="100"/>
              <w:rPr>
                <w:rFonts w:ascii="宋体" w:hAnsi="宋体"/>
                <w:color w:val="auto"/>
                <w:szCs w:val="21"/>
              </w:rPr>
            </w:pPr>
            <w:r>
              <w:rPr>
                <w:rFonts w:ascii="宋体" w:hAnsi="宋体" w:cs="宋体"/>
                <w:color w:val="auto"/>
                <w:kern w:val="0"/>
                <w:szCs w:val="21"/>
              </w:rPr>
              <w:t xml:space="preserve">1.1% </w:t>
            </w:r>
            <w:r>
              <w:rPr>
                <w:rFonts w:hint="eastAsia" w:ascii="宋体" w:hAnsi="宋体" w:cs="宋体"/>
                <w:color w:val="auto"/>
                <w:kern w:val="0"/>
                <w:szCs w:val="21"/>
              </w:rPr>
              <w:t xml:space="preserve">                </w:t>
            </w:r>
          </w:p>
        </w:tc>
        <w:tc>
          <w:tcPr>
            <w:tcW w:w="1687" w:type="dxa"/>
          </w:tcPr>
          <w:p>
            <w:pPr>
              <w:spacing w:line="360" w:lineRule="auto"/>
              <w:ind w:firstLine="210" w:firstLineChars="100"/>
              <w:rPr>
                <w:rFonts w:ascii="宋体" w:hAnsi="宋体"/>
                <w:color w:val="auto"/>
                <w:szCs w:val="21"/>
              </w:rPr>
            </w:pPr>
            <w:r>
              <w:rPr>
                <w:rFonts w:ascii="宋体" w:hAnsi="宋体" w:cs="宋体"/>
                <w:color w:val="auto"/>
                <w:kern w:val="0"/>
                <w:szCs w:val="21"/>
              </w:rPr>
              <w:t>0.8%</w:t>
            </w:r>
          </w:p>
        </w:tc>
        <w:tc>
          <w:tcPr>
            <w:tcW w:w="1659" w:type="dxa"/>
          </w:tcPr>
          <w:p>
            <w:pPr>
              <w:spacing w:line="360" w:lineRule="auto"/>
              <w:ind w:firstLine="210" w:firstLineChars="100"/>
              <w:rPr>
                <w:rFonts w:ascii="宋体" w:hAnsi="宋体"/>
                <w:color w:val="auto"/>
                <w:szCs w:val="21"/>
              </w:rPr>
            </w:pPr>
            <w:r>
              <w:rPr>
                <w:rFonts w:ascii="宋体" w:hAnsi="宋体" w:cs="宋体"/>
                <w:color w:val="auto"/>
                <w:kern w:val="0"/>
                <w:szCs w:val="21"/>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rPr>
            </w:pPr>
            <w:r>
              <w:rPr>
                <w:rFonts w:hint="eastAsia" w:ascii="宋体" w:hAnsi="宋体"/>
                <w:color w:val="auto"/>
                <w:szCs w:val="21"/>
              </w:rPr>
              <w:t>500～1000万元</w:t>
            </w:r>
          </w:p>
        </w:tc>
        <w:tc>
          <w:tcPr>
            <w:tcW w:w="1659" w:type="dxa"/>
          </w:tcPr>
          <w:p>
            <w:pPr>
              <w:spacing w:line="360" w:lineRule="auto"/>
              <w:rPr>
                <w:rFonts w:ascii="宋体" w:hAnsi="宋体"/>
                <w:color w:val="auto"/>
                <w:szCs w:val="21"/>
              </w:rPr>
            </w:pPr>
            <w:r>
              <w:rPr>
                <w:rFonts w:hint="eastAsia" w:ascii="宋体" w:hAnsi="宋体" w:cs="宋体"/>
                <w:color w:val="auto"/>
                <w:kern w:val="0"/>
                <w:szCs w:val="21"/>
              </w:rPr>
              <w:t xml:space="preserve">  </w:t>
            </w:r>
            <w:r>
              <w:rPr>
                <w:rFonts w:ascii="宋体" w:hAnsi="宋体" w:cs="宋体"/>
                <w:color w:val="auto"/>
                <w:kern w:val="0"/>
                <w:szCs w:val="21"/>
              </w:rPr>
              <w:t xml:space="preserve">0.8% </w:t>
            </w:r>
            <w:r>
              <w:rPr>
                <w:rFonts w:hint="eastAsia" w:ascii="宋体" w:hAnsi="宋体" w:cs="宋体"/>
                <w:color w:val="auto"/>
                <w:kern w:val="0"/>
                <w:szCs w:val="21"/>
              </w:rPr>
              <w:t xml:space="preserve">               </w:t>
            </w:r>
          </w:p>
        </w:tc>
        <w:tc>
          <w:tcPr>
            <w:tcW w:w="1687" w:type="dxa"/>
          </w:tcPr>
          <w:p>
            <w:pPr>
              <w:spacing w:line="360" w:lineRule="auto"/>
              <w:ind w:firstLine="210" w:firstLineChars="100"/>
              <w:rPr>
                <w:rFonts w:ascii="宋体" w:hAnsi="宋体"/>
                <w:color w:val="auto"/>
                <w:szCs w:val="21"/>
              </w:rPr>
            </w:pPr>
            <w:r>
              <w:rPr>
                <w:rFonts w:ascii="宋体" w:hAnsi="宋体" w:cs="宋体"/>
                <w:color w:val="auto"/>
                <w:kern w:val="0"/>
                <w:szCs w:val="21"/>
              </w:rPr>
              <w:t>0.45%</w:t>
            </w:r>
          </w:p>
        </w:tc>
        <w:tc>
          <w:tcPr>
            <w:tcW w:w="1659" w:type="dxa"/>
          </w:tcPr>
          <w:p>
            <w:pPr>
              <w:spacing w:line="360" w:lineRule="auto"/>
              <w:ind w:firstLine="210" w:firstLineChars="100"/>
              <w:rPr>
                <w:rFonts w:ascii="宋体" w:hAnsi="宋体"/>
                <w:color w:val="auto"/>
                <w:szCs w:val="21"/>
              </w:rPr>
            </w:pPr>
            <w:r>
              <w:rPr>
                <w:rFonts w:ascii="宋体" w:hAnsi="宋体" w:cs="宋体"/>
                <w:color w:val="auto"/>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rPr>
            </w:pPr>
            <w:r>
              <w:rPr>
                <w:rFonts w:hint="eastAsia" w:ascii="宋体" w:hAnsi="宋体"/>
                <w:color w:val="auto"/>
                <w:szCs w:val="21"/>
              </w:rPr>
              <w:t>1000～5000万元</w:t>
            </w:r>
          </w:p>
        </w:tc>
        <w:tc>
          <w:tcPr>
            <w:tcW w:w="1659" w:type="dxa"/>
          </w:tcPr>
          <w:p>
            <w:pPr>
              <w:spacing w:line="360" w:lineRule="auto"/>
              <w:ind w:firstLine="210" w:firstLineChars="100"/>
              <w:rPr>
                <w:rFonts w:ascii="宋体" w:hAnsi="宋体"/>
                <w:color w:val="auto"/>
                <w:szCs w:val="21"/>
              </w:rPr>
            </w:pPr>
            <w:r>
              <w:rPr>
                <w:rFonts w:ascii="宋体" w:hAnsi="宋体" w:cs="宋体"/>
                <w:color w:val="auto"/>
                <w:kern w:val="0"/>
                <w:szCs w:val="21"/>
              </w:rPr>
              <w:t xml:space="preserve">0.5% </w:t>
            </w:r>
            <w:r>
              <w:rPr>
                <w:rFonts w:hint="eastAsia" w:ascii="宋体" w:hAnsi="宋体" w:cs="宋体"/>
                <w:color w:val="auto"/>
                <w:kern w:val="0"/>
                <w:szCs w:val="21"/>
              </w:rPr>
              <w:t xml:space="preserve">               </w:t>
            </w:r>
          </w:p>
        </w:tc>
        <w:tc>
          <w:tcPr>
            <w:tcW w:w="1687" w:type="dxa"/>
          </w:tcPr>
          <w:p>
            <w:pPr>
              <w:spacing w:line="360" w:lineRule="auto"/>
              <w:ind w:firstLine="210" w:firstLineChars="100"/>
              <w:rPr>
                <w:rFonts w:ascii="宋体" w:hAnsi="宋体"/>
                <w:color w:val="auto"/>
                <w:szCs w:val="21"/>
              </w:rPr>
            </w:pPr>
            <w:r>
              <w:rPr>
                <w:rFonts w:ascii="宋体" w:hAnsi="宋体" w:cs="宋体"/>
                <w:color w:val="auto"/>
                <w:kern w:val="0"/>
                <w:szCs w:val="21"/>
              </w:rPr>
              <w:t>0.25%</w:t>
            </w:r>
          </w:p>
        </w:tc>
        <w:tc>
          <w:tcPr>
            <w:tcW w:w="1659" w:type="dxa"/>
          </w:tcPr>
          <w:p>
            <w:pPr>
              <w:spacing w:line="360" w:lineRule="auto"/>
              <w:ind w:firstLine="210" w:firstLineChars="100"/>
              <w:rPr>
                <w:rFonts w:ascii="宋体" w:hAnsi="宋体"/>
                <w:color w:val="auto"/>
                <w:szCs w:val="21"/>
              </w:rPr>
            </w:pPr>
            <w:r>
              <w:rPr>
                <w:rFonts w:ascii="宋体" w:hAnsi="宋体" w:cs="宋体"/>
                <w:color w:val="auto"/>
                <w:kern w:val="0"/>
                <w:szCs w:val="21"/>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rPr>
            </w:pPr>
            <w:r>
              <w:rPr>
                <w:rFonts w:hint="eastAsia" w:ascii="宋体" w:hAnsi="宋体"/>
                <w:color w:val="auto"/>
                <w:szCs w:val="21"/>
              </w:rPr>
              <w:t>5000万元～1亿元</w:t>
            </w:r>
          </w:p>
        </w:tc>
        <w:tc>
          <w:tcPr>
            <w:tcW w:w="1659" w:type="dxa"/>
          </w:tcPr>
          <w:p>
            <w:pPr>
              <w:spacing w:line="360" w:lineRule="auto"/>
              <w:ind w:firstLine="210" w:firstLineChars="100"/>
              <w:rPr>
                <w:rFonts w:ascii="宋体" w:hAnsi="宋体"/>
                <w:color w:val="auto"/>
                <w:szCs w:val="21"/>
              </w:rPr>
            </w:pPr>
            <w:r>
              <w:rPr>
                <w:rFonts w:ascii="宋体" w:hAnsi="宋体" w:cs="宋体"/>
                <w:color w:val="auto"/>
                <w:kern w:val="0"/>
                <w:szCs w:val="21"/>
              </w:rPr>
              <w:t xml:space="preserve">0.25% </w:t>
            </w:r>
            <w:r>
              <w:rPr>
                <w:rFonts w:hint="eastAsia" w:ascii="宋体" w:hAnsi="宋体" w:cs="宋体"/>
                <w:color w:val="auto"/>
                <w:kern w:val="0"/>
                <w:szCs w:val="21"/>
              </w:rPr>
              <w:t xml:space="preserve">      </w:t>
            </w:r>
            <w:r>
              <w:rPr>
                <w:rFonts w:ascii="宋体" w:hAnsi="宋体" w:cs="宋体"/>
                <w:color w:val="auto"/>
                <w:kern w:val="0"/>
                <w:szCs w:val="21"/>
              </w:rPr>
              <w:t xml:space="preserve"> </w:t>
            </w:r>
            <w:r>
              <w:rPr>
                <w:rFonts w:hint="eastAsia" w:ascii="宋体" w:hAnsi="宋体" w:cs="宋体"/>
                <w:color w:val="auto"/>
                <w:kern w:val="0"/>
                <w:szCs w:val="21"/>
              </w:rPr>
              <w:t xml:space="preserve">         </w:t>
            </w:r>
          </w:p>
        </w:tc>
        <w:tc>
          <w:tcPr>
            <w:tcW w:w="1687" w:type="dxa"/>
          </w:tcPr>
          <w:p>
            <w:pPr>
              <w:spacing w:line="360" w:lineRule="auto"/>
              <w:ind w:firstLine="210" w:firstLineChars="100"/>
              <w:rPr>
                <w:rFonts w:ascii="宋体" w:hAnsi="宋体"/>
                <w:color w:val="auto"/>
                <w:szCs w:val="21"/>
              </w:rPr>
            </w:pPr>
            <w:r>
              <w:rPr>
                <w:rFonts w:ascii="宋体" w:hAnsi="宋体" w:cs="宋体"/>
                <w:color w:val="auto"/>
                <w:kern w:val="0"/>
                <w:szCs w:val="21"/>
              </w:rPr>
              <w:t>0.1%</w:t>
            </w:r>
          </w:p>
        </w:tc>
        <w:tc>
          <w:tcPr>
            <w:tcW w:w="1659" w:type="dxa"/>
          </w:tcPr>
          <w:p>
            <w:pPr>
              <w:spacing w:line="360" w:lineRule="auto"/>
              <w:ind w:firstLine="210" w:firstLineChars="100"/>
              <w:rPr>
                <w:rFonts w:ascii="宋体" w:hAnsi="宋体"/>
                <w:color w:val="auto"/>
                <w:szCs w:val="21"/>
              </w:rPr>
            </w:pPr>
            <w:r>
              <w:rPr>
                <w:rFonts w:ascii="宋体" w:hAnsi="宋体" w:cs="宋体"/>
                <w:color w:val="auto"/>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rPr>
            </w:pPr>
            <w:r>
              <w:rPr>
                <w:rFonts w:hint="eastAsia" w:ascii="宋体" w:hAnsi="宋体"/>
                <w:color w:val="auto"/>
                <w:szCs w:val="21"/>
              </w:rPr>
              <w:t>1～5亿元</w:t>
            </w:r>
          </w:p>
        </w:tc>
        <w:tc>
          <w:tcPr>
            <w:tcW w:w="1659" w:type="dxa"/>
          </w:tcPr>
          <w:p>
            <w:pPr>
              <w:spacing w:line="360" w:lineRule="auto"/>
              <w:ind w:firstLine="210" w:firstLineChars="100"/>
              <w:rPr>
                <w:rFonts w:ascii="宋体" w:hAnsi="宋体"/>
                <w:color w:val="auto"/>
                <w:szCs w:val="21"/>
              </w:rPr>
            </w:pPr>
            <w:r>
              <w:rPr>
                <w:rFonts w:hint="eastAsia" w:ascii="宋体" w:hAnsi="宋体"/>
                <w:color w:val="auto"/>
                <w:szCs w:val="21"/>
              </w:rPr>
              <w:t>0.05%</w:t>
            </w:r>
          </w:p>
        </w:tc>
        <w:tc>
          <w:tcPr>
            <w:tcW w:w="1687" w:type="dxa"/>
          </w:tcPr>
          <w:p>
            <w:pPr>
              <w:spacing w:line="360" w:lineRule="auto"/>
              <w:rPr>
                <w:rFonts w:ascii="宋体" w:hAnsi="宋体"/>
                <w:color w:val="auto"/>
                <w:szCs w:val="21"/>
              </w:rPr>
            </w:pPr>
            <w:r>
              <w:rPr>
                <w:rFonts w:hint="eastAsia" w:ascii="宋体" w:hAnsi="宋体"/>
                <w:color w:val="auto"/>
                <w:szCs w:val="21"/>
              </w:rPr>
              <w:t xml:space="preserve">  0.05%</w:t>
            </w:r>
          </w:p>
        </w:tc>
        <w:tc>
          <w:tcPr>
            <w:tcW w:w="1659" w:type="dxa"/>
          </w:tcPr>
          <w:p>
            <w:pPr>
              <w:spacing w:line="360" w:lineRule="auto"/>
              <w:rPr>
                <w:rFonts w:ascii="宋体" w:hAnsi="宋体"/>
                <w:color w:val="auto"/>
                <w:szCs w:val="21"/>
              </w:rPr>
            </w:pPr>
            <w:r>
              <w:rPr>
                <w:rFonts w:hint="eastAsia" w:ascii="宋体" w:hAnsi="宋体"/>
                <w:color w:val="auto"/>
                <w:szCs w:val="21"/>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rPr>
            </w:pPr>
            <w:r>
              <w:rPr>
                <w:rFonts w:hint="eastAsia" w:ascii="宋体" w:hAnsi="宋体"/>
                <w:color w:val="auto"/>
                <w:szCs w:val="21"/>
              </w:rPr>
              <w:t>5～10亿元</w:t>
            </w:r>
          </w:p>
        </w:tc>
        <w:tc>
          <w:tcPr>
            <w:tcW w:w="1659" w:type="dxa"/>
          </w:tcPr>
          <w:p>
            <w:pPr>
              <w:spacing w:line="360" w:lineRule="auto"/>
              <w:ind w:firstLine="105" w:firstLineChars="50"/>
              <w:rPr>
                <w:rFonts w:ascii="宋体" w:hAnsi="宋体"/>
                <w:color w:val="auto"/>
                <w:szCs w:val="21"/>
              </w:rPr>
            </w:pPr>
            <w:r>
              <w:rPr>
                <w:rFonts w:hint="eastAsia" w:ascii="宋体" w:hAnsi="宋体"/>
                <w:color w:val="auto"/>
                <w:szCs w:val="21"/>
              </w:rPr>
              <w:t>0.035%</w:t>
            </w:r>
          </w:p>
        </w:tc>
        <w:tc>
          <w:tcPr>
            <w:tcW w:w="1687" w:type="dxa"/>
          </w:tcPr>
          <w:p>
            <w:pPr>
              <w:spacing w:line="360" w:lineRule="auto"/>
              <w:rPr>
                <w:rFonts w:ascii="宋体" w:hAnsi="宋体"/>
                <w:color w:val="auto"/>
                <w:szCs w:val="21"/>
              </w:rPr>
            </w:pPr>
            <w:r>
              <w:rPr>
                <w:rFonts w:hint="eastAsia" w:ascii="宋体" w:hAnsi="宋体"/>
                <w:color w:val="auto"/>
                <w:szCs w:val="21"/>
              </w:rPr>
              <w:t xml:space="preserve">  0.035%</w:t>
            </w:r>
          </w:p>
        </w:tc>
        <w:tc>
          <w:tcPr>
            <w:tcW w:w="1659" w:type="dxa"/>
          </w:tcPr>
          <w:p>
            <w:pPr>
              <w:spacing w:line="360" w:lineRule="auto"/>
              <w:ind w:firstLine="105" w:firstLineChars="50"/>
              <w:rPr>
                <w:rFonts w:ascii="宋体" w:hAnsi="宋体"/>
                <w:color w:val="auto"/>
                <w:szCs w:val="21"/>
              </w:rPr>
            </w:pPr>
            <w:r>
              <w:rPr>
                <w:rFonts w:hint="eastAsia" w:ascii="宋体" w:hAnsi="宋体"/>
                <w:color w:val="auto"/>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rPr>
            </w:pPr>
            <w:r>
              <w:rPr>
                <w:rFonts w:hint="eastAsia" w:ascii="宋体" w:hAnsi="宋体"/>
                <w:color w:val="auto"/>
                <w:szCs w:val="21"/>
              </w:rPr>
              <w:t>10～50亿元</w:t>
            </w:r>
          </w:p>
        </w:tc>
        <w:tc>
          <w:tcPr>
            <w:tcW w:w="1659" w:type="dxa"/>
          </w:tcPr>
          <w:p>
            <w:pPr>
              <w:spacing w:line="360" w:lineRule="auto"/>
              <w:ind w:firstLine="105" w:firstLineChars="50"/>
              <w:rPr>
                <w:rFonts w:ascii="宋体" w:hAnsi="宋体"/>
                <w:color w:val="auto"/>
                <w:szCs w:val="21"/>
              </w:rPr>
            </w:pPr>
            <w:r>
              <w:rPr>
                <w:rFonts w:hint="eastAsia" w:ascii="宋体" w:hAnsi="宋体"/>
                <w:color w:val="auto"/>
                <w:szCs w:val="21"/>
              </w:rPr>
              <w:t>0.008%</w:t>
            </w:r>
          </w:p>
        </w:tc>
        <w:tc>
          <w:tcPr>
            <w:tcW w:w="1687" w:type="dxa"/>
          </w:tcPr>
          <w:p>
            <w:pPr>
              <w:spacing w:line="360" w:lineRule="auto"/>
              <w:ind w:firstLine="210" w:firstLineChars="100"/>
              <w:rPr>
                <w:rFonts w:ascii="宋体" w:hAnsi="宋体"/>
                <w:color w:val="auto"/>
                <w:szCs w:val="21"/>
              </w:rPr>
            </w:pPr>
            <w:r>
              <w:rPr>
                <w:rFonts w:hint="eastAsia" w:ascii="宋体" w:hAnsi="宋体"/>
                <w:color w:val="auto"/>
                <w:szCs w:val="21"/>
              </w:rPr>
              <w:t>0.008%</w:t>
            </w:r>
          </w:p>
        </w:tc>
        <w:tc>
          <w:tcPr>
            <w:tcW w:w="1659" w:type="dxa"/>
          </w:tcPr>
          <w:p>
            <w:pPr>
              <w:spacing w:line="360" w:lineRule="auto"/>
              <w:ind w:firstLine="105" w:firstLineChars="50"/>
              <w:rPr>
                <w:rFonts w:ascii="宋体" w:hAnsi="宋体"/>
                <w:color w:val="auto"/>
                <w:szCs w:val="21"/>
              </w:rPr>
            </w:pPr>
            <w:r>
              <w:rPr>
                <w:rFonts w:hint="eastAsia" w:ascii="宋体" w:hAnsi="宋体"/>
                <w:color w:val="auto"/>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rPr>
            </w:pPr>
            <w:r>
              <w:rPr>
                <w:rFonts w:hint="eastAsia" w:ascii="宋体" w:hAnsi="宋体"/>
                <w:color w:val="auto"/>
                <w:szCs w:val="21"/>
              </w:rPr>
              <w:t>50～100亿元</w:t>
            </w:r>
          </w:p>
        </w:tc>
        <w:tc>
          <w:tcPr>
            <w:tcW w:w="1659" w:type="dxa"/>
          </w:tcPr>
          <w:p>
            <w:pPr>
              <w:spacing w:line="360" w:lineRule="auto"/>
              <w:rPr>
                <w:rFonts w:ascii="宋体" w:hAnsi="宋体"/>
                <w:color w:val="auto"/>
                <w:szCs w:val="21"/>
              </w:rPr>
            </w:pPr>
            <w:r>
              <w:rPr>
                <w:rFonts w:hint="eastAsia" w:ascii="宋体" w:hAnsi="宋体"/>
                <w:color w:val="auto"/>
                <w:szCs w:val="21"/>
              </w:rPr>
              <w:t xml:space="preserve"> 0.006%</w:t>
            </w:r>
          </w:p>
        </w:tc>
        <w:tc>
          <w:tcPr>
            <w:tcW w:w="1687" w:type="dxa"/>
          </w:tcPr>
          <w:p>
            <w:pPr>
              <w:spacing w:line="360" w:lineRule="auto"/>
              <w:ind w:firstLine="210" w:firstLineChars="100"/>
              <w:rPr>
                <w:rFonts w:ascii="宋体" w:hAnsi="宋体"/>
                <w:color w:val="auto"/>
                <w:szCs w:val="21"/>
              </w:rPr>
            </w:pPr>
            <w:r>
              <w:rPr>
                <w:rFonts w:hint="eastAsia" w:ascii="宋体" w:hAnsi="宋体"/>
                <w:color w:val="auto"/>
                <w:szCs w:val="21"/>
              </w:rPr>
              <w:t>0.006%</w:t>
            </w:r>
          </w:p>
        </w:tc>
        <w:tc>
          <w:tcPr>
            <w:tcW w:w="1659" w:type="dxa"/>
          </w:tcPr>
          <w:p>
            <w:pPr>
              <w:spacing w:line="360" w:lineRule="auto"/>
              <w:ind w:firstLine="105" w:firstLineChars="50"/>
              <w:rPr>
                <w:rFonts w:ascii="宋体" w:hAnsi="宋体"/>
                <w:color w:val="auto"/>
                <w:szCs w:val="21"/>
              </w:rPr>
            </w:pPr>
            <w:r>
              <w:rPr>
                <w:rFonts w:hint="eastAsia" w:ascii="宋体" w:hAnsi="宋体"/>
                <w:color w:val="auto"/>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rPr>
            </w:pPr>
            <w:r>
              <w:rPr>
                <w:rFonts w:hint="eastAsia" w:ascii="宋体" w:hAnsi="宋体"/>
                <w:color w:val="auto"/>
                <w:szCs w:val="21"/>
              </w:rPr>
              <w:t>100亿以上</w:t>
            </w:r>
          </w:p>
        </w:tc>
        <w:tc>
          <w:tcPr>
            <w:tcW w:w="1659" w:type="dxa"/>
          </w:tcPr>
          <w:p>
            <w:pPr>
              <w:spacing w:line="360" w:lineRule="auto"/>
              <w:rPr>
                <w:rFonts w:ascii="宋体" w:hAnsi="宋体"/>
                <w:color w:val="auto"/>
                <w:szCs w:val="21"/>
              </w:rPr>
            </w:pPr>
            <w:r>
              <w:rPr>
                <w:rFonts w:hint="eastAsia" w:ascii="宋体" w:hAnsi="宋体"/>
                <w:color w:val="auto"/>
                <w:szCs w:val="21"/>
              </w:rPr>
              <w:t xml:space="preserve"> 0.004%</w:t>
            </w:r>
          </w:p>
        </w:tc>
        <w:tc>
          <w:tcPr>
            <w:tcW w:w="1687" w:type="dxa"/>
          </w:tcPr>
          <w:p>
            <w:pPr>
              <w:spacing w:line="360" w:lineRule="auto"/>
              <w:ind w:firstLine="210" w:firstLineChars="100"/>
              <w:rPr>
                <w:rFonts w:ascii="宋体" w:hAnsi="宋体"/>
                <w:color w:val="auto"/>
                <w:szCs w:val="21"/>
              </w:rPr>
            </w:pPr>
            <w:r>
              <w:rPr>
                <w:rFonts w:hint="eastAsia" w:ascii="宋体" w:hAnsi="宋体"/>
                <w:color w:val="auto"/>
                <w:szCs w:val="21"/>
              </w:rPr>
              <w:t>0.004%</w:t>
            </w:r>
          </w:p>
        </w:tc>
        <w:tc>
          <w:tcPr>
            <w:tcW w:w="1659" w:type="dxa"/>
          </w:tcPr>
          <w:p>
            <w:pPr>
              <w:spacing w:line="360" w:lineRule="auto"/>
              <w:ind w:firstLine="105" w:firstLineChars="50"/>
              <w:rPr>
                <w:rFonts w:ascii="宋体" w:hAnsi="宋体"/>
                <w:color w:val="auto"/>
                <w:szCs w:val="21"/>
              </w:rPr>
            </w:pPr>
            <w:r>
              <w:rPr>
                <w:rFonts w:hint="eastAsia" w:ascii="宋体" w:hAnsi="宋体"/>
                <w:color w:val="auto"/>
                <w:szCs w:val="21"/>
              </w:rPr>
              <w:t>0.004%</w:t>
            </w:r>
          </w:p>
        </w:tc>
      </w:tr>
    </w:tbl>
    <w:p>
      <w:pPr>
        <w:spacing w:line="360" w:lineRule="auto"/>
        <w:ind w:firstLine="420" w:firstLineChars="200"/>
        <w:rPr>
          <w:rFonts w:ascii="宋体" w:hAnsi="宋体" w:cs="宋体"/>
          <w:color w:val="auto"/>
          <w:szCs w:val="21"/>
        </w:rPr>
      </w:pPr>
      <w:r>
        <w:rPr>
          <w:rFonts w:hint="eastAsia" w:ascii="宋体" w:hAnsi="宋体"/>
          <w:color w:val="auto"/>
          <w:szCs w:val="21"/>
        </w:rPr>
        <w:t>注:</w:t>
      </w:r>
      <w:r>
        <w:rPr>
          <w:rFonts w:ascii="宋体" w:hAnsi="宋体" w:cs="宋体"/>
          <w:color w:val="auto"/>
          <w:szCs w:val="21"/>
        </w:rPr>
        <w:t xml:space="preserve"> </w:t>
      </w:r>
    </w:p>
    <w:p>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按本表费率计算的收费为</w:t>
      </w:r>
      <w:r>
        <w:rPr>
          <w:rFonts w:hint="eastAsia" w:ascii="宋体" w:hAnsi="宋体" w:cs="宋体"/>
          <w:color w:val="auto"/>
          <w:szCs w:val="21"/>
        </w:rPr>
        <w:t>采购</w:t>
      </w:r>
      <w:r>
        <w:rPr>
          <w:rFonts w:ascii="宋体" w:hAnsi="宋体" w:cs="宋体"/>
          <w:color w:val="auto"/>
          <w:szCs w:val="21"/>
        </w:rPr>
        <w:t>代理的收费基准价格</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（2）采购</w:t>
      </w:r>
      <w:r>
        <w:rPr>
          <w:rFonts w:ascii="宋体" w:hAnsi="宋体" w:cs="宋体"/>
          <w:color w:val="auto"/>
          <w:szCs w:val="21"/>
        </w:rPr>
        <w:t>代理收费按差额定率累进法计算。</w:t>
      </w:r>
    </w:p>
    <w:p>
      <w:pPr>
        <w:spacing w:line="360" w:lineRule="auto"/>
        <w:ind w:firstLine="420" w:firstLineChars="200"/>
        <w:rPr>
          <w:rFonts w:ascii="宋体" w:hAnsi="宋体" w:cs="宋体"/>
          <w:color w:val="auto"/>
          <w:szCs w:val="21"/>
        </w:rPr>
      </w:pPr>
      <w:r>
        <w:rPr>
          <w:rFonts w:ascii="宋体" w:hAnsi="宋体" w:cs="宋体"/>
          <w:color w:val="auto"/>
          <w:szCs w:val="21"/>
        </w:rPr>
        <w:t>例如：某</w:t>
      </w:r>
      <w:r>
        <w:rPr>
          <w:rFonts w:hint="eastAsia" w:ascii="宋体" w:hAnsi="宋体" w:cs="宋体"/>
          <w:color w:val="auto"/>
          <w:szCs w:val="21"/>
        </w:rPr>
        <w:t>货物采购</w:t>
      </w:r>
      <w:r>
        <w:rPr>
          <w:rFonts w:ascii="宋体" w:hAnsi="宋体" w:cs="宋体"/>
          <w:color w:val="auto"/>
          <w:szCs w:val="21"/>
        </w:rPr>
        <w:t>代理业务</w:t>
      </w:r>
      <w:r>
        <w:rPr>
          <w:rFonts w:hint="eastAsia" w:ascii="宋体" w:hAnsi="宋体" w:cs="宋体"/>
          <w:color w:val="auto"/>
          <w:szCs w:val="21"/>
        </w:rPr>
        <w:t>中标</w:t>
      </w:r>
      <w:r>
        <w:rPr>
          <w:rFonts w:ascii="宋体" w:hAnsi="宋体" w:cs="宋体"/>
          <w:color w:val="auto"/>
          <w:szCs w:val="21"/>
        </w:rPr>
        <w:t>金额</w:t>
      </w:r>
      <w:r>
        <w:rPr>
          <w:rFonts w:hint="eastAsia" w:ascii="宋体" w:hAnsi="宋体" w:cs="宋体"/>
          <w:color w:val="auto"/>
          <w:szCs w:val="21"/>
        </w:rPr>
        <w:t>或者暂定价</w:t>
      </w:r>
      <w:r>
        <w:rPr>
          <w:rFonts w:ascii="宋体" w:hAnsi="宋体" w:cs="宋体"/>
          <w:color w:val="auto"/>
          <w:szCs w:val="21"/>
        </w:rPr>
        <w:t>为200万元，计算</w:t>
      </w:r>
      <w:r>
        <w:rPr>
          <w:rFonts w:hint="eastAsia" w:ascii="宋体" w:hAnsi="宋体" w:cs="宋体"/>
          <w:color w:val="auto"/>
          <w:szCs w:val="21"/>
        </w:rPr>
        <w:t>采购</w:t>
      </w:r>
      <w:r>
        <w:rPr>
          <w:rFonts w:ascii="宋体" w:hAnsi="宋体" w:cs="宋体"/>
          <w:color w:val="auto"/>
          <w:szCs w:val="21"/>
        </w:rPr>
        <w:t>代理收费额如下：</w:t>
      </w:r>
    </w:p>
    <w:p>
      <w:pPr>
        <w:spacing w:line="360" w:lineRule="auto"/>
        <w:ind w:firstLine="420" w:firstLineChars="200"/>
        <w:rPr>
          <w:rFonts w:ascii="宋体" w:hAnsi="宋体" w:cs="宋体"/>
          <w:color w:val="auto"/>
          <w:szCs w:val="21"/>
        </w:rPr>
      </w:pPr>
      <w:r>
        <w:rPr>
          <w:rFonts w:ascii="宋体" w:hAnsi="宋体" w:cs="宋体"/>
          <w:color w:val="auto"/>
          <w:szCs w:val="21"/>
        </w:rPr>
        <w:t>100 万元×l.5 ％＝ 1.5 万元</w:t>
      </w:r>
    </w:p>
    <w:p>
      <w:pPr>
        <w:spacing w:line="360" w:lineRule="auto"/>
        <w:ind w:firstLine="420" w:firstLineChars="200"/>
        <w:rPr>
          <w:rFonts w:ascii="宋体" w:hAnsi="宋体" w:cs="宋体"/>
          <w:color w:val="auto"/>
          <w:szCs w:val="21"/>
        </w:rPr>
      </w:pPr>
      <w:r>
        <w:rPr>
          <w:rFonts w:ascii="宋体" w:hAnsi="宋体" w:cs="宋体"/>
          <w:color w:val="auto"/>
          <w:szCs w:val="21"/>
        </w:rPr>
        <w:t>（ 200 － 100 ）万元 ×1.1％＝1.1万元</w:t>
      </w:r>
    </w:p>
    <w:p>
      <w:pPr>
        <w:pStyle w:val="18"/>
        <w:snapToGrid w:val="0"/>
        <w:spacing w:before="120" w:after="120" w:line="360" w:lineRule="auto"/>
        <w:ind w:firstLine="420" w:firstLineChars="200"/>
        <w:rPr>
          <w:rFonts w:hAnsi="宋体" w:cs="宋体"/>
          <w:color w:val="auto"/>
        </w:rPr>
      </w:pPr>
      <w:r>
        <w:rPr>
          <w:rFonts w:hAnsi="宋体" w:cs="宋体"/>
          <w:color w:val="auto"/>
        </w:rPr>
        <w:t>合计收费＝ 1.5</w:t>
      </w:r>
      <w:r>
        <w:rPr>
          <w:rFonts w:hint="eastAsia" w:hAnsi="宋体" w:cs="宋体"/>
          <w:color w:val="auto"/>
        </w:rPr>
        <w:t>+</w:t>
      </w:r>
      <w:r>
        <w:rPr>
          <w:rFonts w:hAnsi="宋体" w:cs="宋体"/>
          <w:color w:val="auto"/>
        </w:rPr>
        <w:t>1.1＝ 2.6 （万元）</w:t>
      </w:r>
    </w:p>
    <w:p>
      <w:pPr>
        <w:pStyle w:val="6"/>
        <w:keepNext w:val="0"/>
        <w:keepLines w:val="0"/>
        <w:spacing w:before="0" w:after="0" w:line="360" w:lineRule="auto"/>
        <w:ind w:left="420" w:leftChars="200"/>
        <w:rPr>
          <w:rFonts w:ascii="黑体" w:hAnsi="黑体" w:eastAsia="黑体"/>
          <w:color w:val="auto"/>
          <w:sz w:val="24"/>
        </w:rPr>
      </w:pPr>
      <w:r>
        <w:rPr>
          <w:rFonts w:ascii="黑体" w:hAnsi="黑体" w:eastAsia="黑体"/>
          <w:color w:val="auto"/>
          <w:sz w:val="24"/>
        </w:rPr>
        <w:t>40. 需要补充的其他内容</w:t>
      </w:r>
    </w:p>
    <w:p>
      <w:pPr>
        <w:pStyle w:val="18"/>
        <w:snapToGrid w:val="0"/>
        <w:spacing w:before="120" w:after="120" w:line="360" w:lineRule="auto"/>
        <w:ind w:firstLine="420" w:firstLineChars="200"/>
        <w:rPr>
          <w:rFonts w:hAnsi="宋体"/>
          <w:color w:val="auto"/>
        </w:rPr>
      </w:pPr>
      <w:r>
        <w:rPr>
          <w:rFonts w:hAnsi="宋体"/>
          <w:color w:val="auto"/>
        </w:rPr>
        <w:t>40.1</w:t>
      </w:r>
      <w:r>
        <w:rPr>
          <w:rFonts w:hint="eastAsia" w:hAnsi="宋体" w:cs="宋体"/>
          <w:color w:val="auto"/>
        </w:rPr>
        <w:t>本招标文件解释规则详见</w:t>
      </w:r>
      <w:r>
        <w:rPr>
          <w:rFonts w:hint="eastAsia" w:hAnsi="宋体"/>
          <w:color w:val="auto"/>
        </w:rPr>
        <w:t>“投标人须知前附表”。</w:t>
      </w:r>
    </w:p>
    <w:p>
      <w:pPr>
        <w:pStyle w:val="18"/>
        <w:spacing w:before="120" w:after="120" w:line="360" w:lineRule="auto"/>
        <w:ind w:firstLine="420" w:firstLineChars="200"/>
        <w:contextualSpacing/>
        <w:rPr>
          <w:rFonts w:hAnsi="宋体"/>
          <w:color w:val="auto"/>
        </w:rPr>
      </w:pPr>
      <w:r>
        <w:rPr>
          <w:rFonts w:hAnsi="宋体" w:cs="宋体"/>
          <w:color w:val="auto"/>
        </w:rPr>
        <w:t>40.2</w:t>
      </w:r>
      <w:r>
        <w:rPr>
          <w:rFonts w:hint="eastAsia" w:hAnsi="宋体" w:cs="宋体"/>
          <w:color w:val="auto"/>
        </w:rPr>
        <w:t xml:space="preserve"> </w:t>
      </w:r>
      <w:r>
        <w:rPr>
          <w:rFonts w:hint="eastAsia" w:hAnsi="宋体"/>
          <w:color w:val="auto"/>
        </w:rPr>
        <w:t>其他事项详见“投标人须知前附表”。</w:t>
      </w:r>
    </w:p>
    <w:p>
      <w:pPr>
        <w:pStyle w:val="18"/>
        <w:spacing w:before="120" w:after="120" w:line="360" w:lineRule="auto"/>
        <w:ind w:firstLine="420" w:firstLineChars="200"/>
        <w:contextualSpacing/>
        <w:rPr>
          <w:rFonts w:hAnsi="宋体" w:cs="宋体"/>
          <w:color w:val="auto"/>
        </w:rPr>
      </w:pPr>
      <w:r>
        <w:rPr>
          <w:rFonts w:hint="eastAsia" w:hAnsi="宋体" w:cs="宋体"/>
          <w:color w:val="auto"/>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pPr>
        <w:pStyle w:val="18"/>
        <w:spacing w:before="120" w:after="120" w:line="360" w:lineRule="auto"/>
        <w:ind w:firstLine="420" w:firstLineChars="200"/>
        <w:contextualSpacing/>
        <w:rPr>
          <w:rFonts w:hAnsi="宋体" w:cs="宋体"/>
          <w:color w:val="auto"/>
        </w:rPr>
      </w:pPr>
      <w:r>
        <w:rPr>
          <w:rFonts w:hint="eastAsia" w:hAnsi="宋体" w:cs="宋体"/>
          <w:color w:val="auto"/>
        </w:rPr>
        <w:t>（1）在货物采购项目中，货物由中小企业制造，即货物由中小企业生产且使用该中小企业商号或者注册商标，不对其中涉及的工程承建商和服务的承接商作出要求；</w:t>
      </w:r>
    </w:p>
    <w:p>
      <w:pPr>
        <w:pStyle w:val="18"/>
        <w:spacing w:before="120" w:after="120" w:line="360" w:lineRule="auto"/>
        <w:ind w:firstLine="420" w:firstLineChars="200"/>
        <w:contextualSpacing/>
        <w:rPr>
          <w:rFonts w:hAnsi="宋体" w:cs="宋体"/>
          <w:color w:val="auto"/>
        </w:rPr>
      </w:pPr>
      <w:r>
        <w:rPr>
          <w:rFonts w:hint="eastAsia" w:hAnsi="宋体" w:cs="宋体"/>
          <w:color w:val="auto"/>
        </w:rPr>
        <w:t>（2）在工程采购项目中，工程由中小企业承建，即工程施工单位为中小企业，不对其中涉及的货物的制造商和服务的承接商作出要求；</w:t>
      </w:r>
    </w:p>
    <w:p>
      <w:pPr>
        <w:pStyle w:val="18"/>
        <w:spacing w:before="120" w:after="120" w:line="360" w:lineRule="auto"/>
        <w:ind w:firstLine="420" w:firstLineChars="200"/>
        <w:contextualSpacing/>
        <w:rPr>
          <w:rFonts w:hAnsi="宋体" w:cs="宋体"/>
          <w:color w:val="auto"/>
        </w:rPr>
      </w:pPr>
      <w:r>
        <w:rPr>
          <w:rFonts w:hint="eastAsia" w:hAnsi="宋体" w:cs="宋体"/>
          <w:color w:val="auto"/>
        </w:rPr>
        <w:t>（3）在服务采购项目中，服务由中小企业承接，即提供服务的人员为中小企业依照《中华人民共和国劳动合同法》订立劳动合同的从业人员，不对其中涉及的货物的制造商和工程承建商作出要求。</w:t>
      </w:r>
    </w:p>
    <w:p>
      <w:pPr>
        <w:pStyle w:val="18"/>
        <w:spacing w:before="120" w:after="120" w:line="360" w:lineRule="auto"/>
        <w:ind w:firstLine="420" w:firstLineChars="200"/>
        <w:contextualSpacing/>
        <w:rPr>
          <w:rFonts w:hAnsi="宋体" w:cs="宋体"/>
          <w:color w:val="auto"/>
        </w:rPr>
      </w:pPr>
      <w:r>
        <w:rPr>
          <w:rFonts w:hint="eastAsia" w:hAnsi="宋体" w:cs="宋体"/>
          <w:color w:val="auto"/>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pPr>
        <w:spacing w:line="360" w:lineRule="auto"/>
        <w:ind w:firstLine="420" w:firstLineChars="200"/>
        <w:rPr>
          <w:rFonts w:hAnsi="宋体"/>
          <w:color w:val="auto"/>
        </w:rPr>
      </w:pPr>
      <w:r>
        <w:rPr>
          <w:rFonts w:hint="eastAsia" w:hAnsi="宋体" w:cs="宋体"/>
          <w:color w:val="auto"/>
        </w:rPr>
        <w:t>依据本招标文件规定享受扶持政策获得政府采购合同的，小微企业不得将合同分包给大中型企业，中型企业不得将合同分包给大型企业</w:t>
      </w:r>
      <w:r>
        <w:rPr>
          <w:rFonts w:hint="eastAsia" w:hAnsi="宋体"/>
          <w:color w:val="auto"/>
        </w:rPr>
        <w:t>。</w:t>
      </w:r>
    </w:p>
    <w:p>
      <w:pPr>
        <w:pStyle w:val="6"/>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41. 政采贷相关说明</w:t>
      </w:r>
    </w:p>
    <w:p>
      <w:pPr>
        <w:spacing w:line="360" w:lineRule="auto"/>
        <w:ind w:firstLine="420" w:firstLineChars="200"/>
        <w:rPr>
          <w:rFonts w:hAnsi="宋体" w:cs="宋体"/>
          <w:color w:val="auto"/>
        </w:rPr>
      </w:pPr>
      <w:r>
        <w:rPr>
          <w:rFonts w:hint="eastAsia" w:hAnsi="宋体" w:cs="宋体"/>
          <w:color w:val="auto"/>
        </w:rPr>
        <w:t>为优化政府采购营商环境，缓解供应商资金难题，南宁市政府采购试行政府采购信用融资制度，中标供应商如有融资需求，可凭政府采购合同通过以下方式申请政府采购信用融资贷款：</w:t>
      </w:r>
    </w:p>
    <w:p>
      <w:pPr>
        <w:spacing w:line="360" w:lineRule="auto"/>
        <w:ind w:firstLine="420" w:firstLineChars="200"/>
        <w:rPr>
          <w:rFonts w:hAnsi="宋体" w:cs="宋体"/>
          <w:color w:val="auto"/>
        </w:rPr>
      </w:pPr>
      <w:r>
        <w:rPr>
          <w:rFonts w:hint="eastAsia" w:hAnsi="宋体" w:cs="宋体"/>
          <w:color w:val="auto"/>
        </w:rPr>
        <w:t>线下渠道：在“南宁市公共资源交易中心”官网（网址：</w:t>
      </w:r>
      <w:r>
        <w:rPr>
          <w:color w:val="auto"/>
        </w:rPr>
        <w:fldChar w:fldCharType="begin"/>
      </w:r>
      <w:r>
        <w:rPr>
          <w:color w:val="auto"/>
        </w:rPr>
        <w:instrText xml:space="preserve"> HYPERLINK "http://www.nnggzy.org.cn）" </w:instrText>
      </w:r>
      <w:r>
        <w:rPr>
          <w:color w:val="auto"/>
        </w:rPr>
        <w:fldChar w:fldCharType="separate"/>
      </w:r>
      <w:r>
        <w:rPr>
          <w:rFonts w:hint="eastAsia" w:hAnsi="宋体" w:cs="宋体"/>
          <w:color w:val="auto"/>
        </w:rPr>
        <w:t>http://www.nnggzy.org.cn）“交易信息-政府采购-政府采购信用融资”中融资银行和南宁市企业融资货物中心专栏信息申请政府采购信用融资。</w:t>
      </w:r>
      <w:r>
        <w:rPr>
          <w:rFonts w:hint="eastAsia" w:hAnsi="宋体" w:cs="宋体"/>
          <w:color w:val="auto"/>
        </w:rPr>
        <w:fldChar w:fldCharType="end"/>
      </w:r>
    </w:p>
    <w:p>
      <w:pPr>
        <w:spacing w:line="360" w:lineRule="auto"/>
        <w:ind w:firstLine="420" w:firstLineChars="200"/>
        <w:rPr>
          <w:rFonts w:hAnsi="宋体"/>
          <w:color w:val="auto"/>
        </w:rPr>
      </w:pPr>
      <w:r>
        <w:rPr>
          <w:rFonts w:hint="eastAsia" w:hAnsi="宋体" w:cs="宋体"/>
          <w:color w:val="auto"/>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Ansi="宋体"/>
          <w:color w:val="auto"/>
        </w:rPr>
        <w:br w:type="page"/>
      </w:r>
      <w:r>
        <w:rPr>
          <w:rFonts w:hint="eastAsia" w:hAnsi="宋体"/>
          <w:color w:val="auto"/>
        </w:rPr>
        <w:t>附件1：</w:t>
      </w:r>
    </w:p>
    <w:p>
      <w:pPr>
        <w:spacing w:line="480" w:lineRule="atLeast"/>
        <w:jc w:val="center"/>
        <w:rPr>
          <w:rFonts w:ascii="仿宋" w:hAnsi="仿宋" w:eastAsia="仿宋" w:cs="宋体"/>
          <w:color w:val="auto"/>
          <w:kern w:val="0"/>
          <w:sz w:val="32"/>
          <w:szCs w:val="32"/>
        </w:rPr>
      </w:pPr>
      <w:r>
        <w:rPr>
          <w:rFonts w:hint="eastAsia" w:ascii="黑体" w:hAnsi="黑体" w:eastAsia="黑体" w:cs="黑体"/>
          <w:color w:val="auto"/>
          <w:kern w:val="0"/>
          <w:sz w:val="32"/>
          <w:szCs w:val="32"/>
        </w:rPr>
        <w:t>广西壮族自治区政府采购项目合同验收书</w:t>
      </w:r>
      <w:r>
        <w:rPr>
          <w:rFonts w:hint="eastAsia" w:ascii="仿宋" w:hAnsi="仿宋" w:eastAsia="仿宋" w:cs="宋体"/>
          <w:color w:val="auto"/>
          <w:kern w:val="0"/>
          <w:sz w:val="32"/>
          <w:szCs w:val="32"/>
        </w:rPr>
        <w:t>（格式）</w:t>
      </w:r>
    </w:p>
    <w:p>
      <w:pPr>
        <w:spacing w:line="480" w:lineRule="atLeast"/>
        <w:jc w:val="center"/>
        <w:rPr>
          <w:rFonts w:ascii="仿宋" w:hAnsi="仿宋" w:eastAsia="仿宋" w:cs="宋体"/>
          <w:color w:val="auto"/>
          <w:kern w:val="0"/>
          <w:sz w:val="32"/>
          <w:szCs w:val="32"/>
        </w:rPr>
      </w:pPr>
    </w:p>
    <w:p>
      <w:pPr>
        <w:snapToGrid w:val="0"/>
        <w:spacing w:line="320" w:lineRule="atLeast"/>
        <w:ind w:firstLine="480"/>
        <w:jc w:val="left"/>
        <w:rPr>
          <w:rFonts w:ascii="宋体" w:hAnsi="宋体" w:cs="宋体"/>
          <w:color w:val="auto"/>
          <w:kern w:val="0"/>
          <w:szCs w:val="21"/>
        </w:rPr>
      </w:pPr>
      <w:r>
        <w:rPr>
          <w:rFonts w:hint="eastAsia" w:ascii="宋体" w:hAnsi="宋体" w:cs="宋体"/>
          <w:color w:val="auto"/>
          <w:kern w:val="0"/>
          <w:szCs w:val="21"/>
        </w:rPr>
        <w:t>根据政府采购项目（</w:t>
      </w:r>
      <w:r>
        <w:rPr>
          <w:rFonts w:hint="eastAsia" w:ascii="宋体" w:hAnsi="宋体" w:cs="宋体"/>
          <w:color w:val="auto"/>
          <w:kern w:val="0"/>
          <w:szCs w:val="21"/>
          <w:u w:val="single"/>
        </w:rPr>
        <w:t>采购合同编号：</w:t>
      </w:r>
      <w:r>
        <w:rPr>
          <w:rFonts w:hint="eastAsia" w:ascii="宋体" w:hAnsi="宋体" w:cs="宋体"/>
          <w:color w:val="auto"/>
          <w:kern w:val="0"/>
          <w:szCs w:val="21"/>
          <w:u w:val="single"/>
        </w:rPr>
        <w:softHyphen/>
      </w:r>
      <w:r>
        <w:rPr>
          <w:rFonts w:hint="eastAsia" w:ascii="宋体" w:hAnsi="宋体" w:cs="宋体"/>
          <w:color w:val="auto"/>
          <w:kern w:val="0"/>
          <w:szCs w:val="21"/>
          <w:u w:val="single"/>
        </w:rPr>
        <w:t xml:space="preserve"> </w:t>
      </w:r>
      <w:r>
        <w:rPr>
          <w:rFonts w:hint="eastAsia" w:ascii="宋体" w:hAnsi="宋体" w:cs="宋体"/>
          <w:color w:val="auto"/>
          <w:kern w:val="0"/>
          <w:szCs w:val="21"/>
        </w:rPr>
        <w:t>）的约定，我单位对（</w:t>
      </w:r>
      <w:r>
        <w:rPr>
          <w:rFonts w:hint="eastAsia" w:ascii="宋体" w:hAnsi="宋体" w:cs="宋体"/>
          <w:color w:val="auto"/>
          <w:kern w:val="0"/>
          <w:szCs w:val="21"/>
          <w:u w:val="single"/>
        </w:rPr>
        <w:t xml:space="preserve"> 项目名称 </w:t>
      </w:r>
      <w:r>
        <w:rPr>
          <w:rFonts w:hint="eastAsia" w:ascii="宋体" w:hAnsi="宋体" w:cs="宋体"/>
          <w:color w:val="auto"/>
          <w:kern w:val="0"/>
          <w:szCs w:val="21"/>
        </w:rPr>
        <w:t>） 政府采购项目中标（或者成交）投标人（</w:t>
      </w:r>
      <w:r>
        <w:rPr>
          <w:rFonts w:hint="eastAsia" w:ascii="宋体" w:hAnsi="宋体" w:cs="宋体"/>
          <w:color w:val="auto"/>
          <w:kern w:val="0"/>
          <w:szCs w:val="21"/>
          <w:u w:val="single"/>
        </w:rPr>
        <w:t xml:space="preserve"> 公司名称 </w:t>
      </w:r>
      <w:r>
        <w:rPr>
          <w:rFonts w:hint="eastAsia" w:ascii="宋体" w:hAnsi="宋体" w:cs="宋体"/>
          <w:color w:val="auto"/>
          <w:kern w:val="0"/>
          <w:szCs w:val="21"/>
        </w:rPr>
        <w:t>） 提供的货物（或者工程、服务）进行了验收，验收情况如下：</w:t>
      </w:r>
    </w:p>
    <w:tbl>
      <w:tblPr>
        <w:tblStyle w:val="35"/>
        <w:tblW w:w="0" w:type="auto"/>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5"/>
              <w:jc w:val="center"/>
              <w:rPr>
                <w:rFonts w:ascii="Verdana" w:hAnsi="Verdana" w:cs="宋体"/>
                <w:color w:val="auto"/>
                <w:kern w:val="0"/>
                <w:szCs w:val="21"/>
              </w:rPr>
            </w:pPr>
            <w:r>
              <w:rPr>
                <w:rFonts w:ascii="Verdana" w:hAnsi="Verdana" w:cs="宋体"/>
                <w:color w:val="auto"/>
                <w:kern w:val="0"/>
                <w:szCs w:val="21"/>
              </w:rPr>
              <w:t>验收方式：</w:t>
            </w:r>
          </w:p>
        </w:tc>
        <w:tc>
          <w:tcPr>
            <w:tcW w:w="6119" w:type="dxa"/>
            <w:gridSpan w:val="6"/>
            <w:tcBorders>
              <w:top w:val="single" w:color="auto" w:sz="8" w:space="0"/>
              <w:left w:val="nil"/>
              <w:bottom w:val="single" w:color="auto" w:sz="8" w:space="0"/>
              <w:right w:val="single" w:color="auto" w:sz="8" w:space="0"/>
            </w:tcBorders>
            <w:vAlign w:val="center"/>
          </w:tcPr>
          <w:p>
            <w:pPr>
              <w:snapToGrid w:val="0"/>
              <w:spacing w:before="100" w:beforeAutospacing="1" w:after="100" w:afterAutospacing="1" w:line="320" w:lineRule="atLeast"/>
              <w:ind w:firstLine="480"/>
              <w:jc w:val="center"/>
              <w:rPr>
                <w:rFonts w:ascii="Verdana" w:hAnsi="Verdana" w:cs="宋体"/>
                <w:color w:val="auto"/>
                <w:kern w:val="0"/>
                <w:szCs w:val="21"/>
              </w:rPr>
            </w:pPr>
            <w:r>
              <w:rPr>
                <w:rFonts w:ascii="Verdana" w:hAnsi="Verdana" w:cs="宋体"/>
                <w:color w:val="auto"/>
                <w:kern w:val="0"/>
                <w:szCs w:val="21"/>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序号</w:t>
            </w:r>
          </w:p>
        </w:tc>
        <w:tc>
          <w:tcPr>
            <w:tcW w:w="1921" w:type="dxa"/>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名 称</w:t>
            </w:r>
          </w:p>
        </w:tc>
        <w:tc>
          <w:tcPr>
            <w:tcW w:w="2902" w:type="dxa"/>
            <w:gridSpan w:val="3"/>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jc w:val="center"/>
              <w:rPr>
                <w:rFonts w:ascii="Verdana" w:hAnsi="Verdana" w:cs="宋体"/>
                <w:color w:val="auto"/>
                <w:kern w:val="0"/>
                <w:szCs w:val="21"/>
              </w:rPr>
            </w:pPr>
            <w:r>
              <w:rPr>
                <w:rFonts w:ascii="Verdana" w:hAnsi="Verdana" w:cs="宋体"/>
                <w:color w:val="auto"/>
                <w:kern w:val="0"/>
                <w:szCs w:val="21"/>
              </w:rPr>
              <w:t>数量</w:t>
            </w:r>
          </w:p>
        </w:tc>
        <w:tc>
          <w:tcPr>
            <w:tcW w:w="2354" w:type="dxa"/>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5"/>
              <w:jc w:val="center"/>
              <w:rPr>
                <w:rFonts w:ascii="Verdana" w:hAnsi="Verdana" w:cs="宋体"/>
                <w:color w:val="auto"/>
                <w:kern w:val="0"/>
                <w:szCs w:val="21"/>
              </w:rPr>
            </w:pPr>
            <w:r>
              <w:rPr>
                <w:rFonts w:ascii="Verdana" w:hAnsi="Verdana" w:cs="宋体"/>
                <w:color w:val="auto"/>
                <w:kern w:val="0"/>
                <w:szCs w:val="21"/>
              </w:rPr>
              <w:t>合 计</w:t>
            </w: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rPr>
            </w:pPr>
          </w:p>
        </w:tc>
      </w:tr>
      <w:tr>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left"/>
              <w:rPr>
                <w:rFonts w:ascii="Verdana" w:hAnsi="Verdana" w:cs="宋体"/>
                <w:color w:val="auto"/>
                <w:kern w:val="0"/>
                <w:szCs w:val="21"/>
              </w:rPr>
            </w:pPr>
            <w:r>
              <w:rPr>
                <w:rFonts w:ascii="Verdana" w:hAnsi="Verdana" w:cs="宋体"/>
                <w:color w:val="auto"/>
                <w:kern w:val="0"/>
                <w:szCs w:val="21"/>
              </w:rPr>
              <w:t xml:space="preserve">合计大写金额： </w:t>
            </w:r>
            <w:r>
              <w:rPr>
                <w:rFonts w:hint="eastAsia" w:ascii="Verdana" w:hAnsi="Verdana" w:cs="宋体"/>
                <w:color w:val="auto"/>
                <w:kern w:val="0"/>
                <w:szCs w:val="21"/>
              </w:rPr>
              <w:t xml:space="preserve">亿 </w:t>
            </w:r>
            <w:r>
              <w:rPr>
                <w:rFonts w:ascii="Verdana" w:hAnsi="Verdana" w:cs="宋体"/>
                <w:color w:val="auto"/>
                <w:kern w:val="0"/>
                <w:szCs w:val="21"/>
              </w:rPr>
              <w:t>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实际供货日期</w:t>
            </w:r>
          </w:p>
        </w:tc>
        <w:tc>
          <w:tcPr>
            <w:tcW w:w="271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rPr>
            </w:pPr>
          </w:p>
        </w:tc>
        <w:tc>
          <w:tcPr>
            <w:tcW w:w="2282" w:type="dxa"/>
            <w:gridSpan w:val="3"/>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46"/>
              <w:jc w:val="center"/>
              <w:rPr>
                <w:rFonts w:ascii="Verdana" w:hAnsi="Verdana" w:cs="宋体"/>
                <w:color w:val="auto"/>
                <w:kern w:val="0"/>
                <w:szCs w:val="21"/>
              </w:rPr>
            </w:pPr>
            <w:r>
              <w:rPr>
                <w:rFonts w:ascii="Verdana" w:hAnsi="Verdana" w:cs="宋体"/>
                <w:color w:val="auto"/>
                <w:kern w:val="0"/>
                <w:szCs w:val="21"/>
              </w:rPr>
              <w:t>合同交货验收日期</w:t>
            </w:r>
          </w:p>
        </w:tc>
        <w:tc>
          <w:tcPr>
            <w:tcW w:w="303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rPr>
            </w:pPr>
          </w:p>
        </w:tc>
        <w:tc>
          <w:tcPr>
            <w:tcW w:w="271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rPr>
            </w:pPr>
          </w:p>
        </w:tc>
        <w:tc>
          <w:tcPr>
            <w:tcW w:w="228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rPr>
            </w:pPr>
          </w:p>
        </w:tc>
        <w:tc>
          <w:tcPr>
            <w:tcW w:w="303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Verdana" w:hAnsi="Verdana" w:cs="宋体"/>
                <w:color w:val="auto"/>
                <w:kern w:val="0"/>
                <w:szCs w:val="21"/>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验收小组意见</w:t>
            </w:r>
          </w:p>
        </w:tc>
        <w:tc>
          <w:tcPr>
            <w:tcW w:w="8040"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pPr>
              <w:jc w:val="left"/>
              <w:rPr>
                <w:rFonts w:ascii="Verdana" w:hAnsi="Verdana" w:cs="宋体"/>
                <w:color w:val="auto"/>
                <w:kern w:val="0"/>
                <w:szCs w:val="21"/>
              </w:rPr>
            </w:pPr>
          </w:p>
        </w:tc>
        <w:tc>
          <w:tcPr>
            <w:tcW w:w="8040"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ind w:firstLine="96"/>
              <w:jc w:val="left"/>
              <w:rPr>
                <w:rFonts w:ascii="Verdana" w:hAnsi="Verdana" w:cs="宋体"/>
                <w:color w:val="auto"/>
                <w:kern w:val="0"/>
                <w:szCs w:val="21"/>
              </w:rPr>
            </w:pPr>
            <w:r>
              <w:rPr>
                <w:rFonts w:ascii="Verdana" w:hAnsi="Verdana" w:cs="宋体"/>
                <w:color w:val="auto"/>
                <w:kern w:val="0"/>
                <w:szCs w:val="21"/>
              </w:rPr>
              <w:t>有异议的意见和说明理由：</w:t>
            </w:r>
          </w:p>
          <w:p>
            <w:pPr>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签字：</w:t>
            </w:r>
          </w:p>
        </w:tc>
      </w:tr>
      <w:tr>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验收小组成员签字：</w:t>
            </w:r>
          </w:p>
        </w:tc>
      </w:tr>
      <w:tr>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监督人员或者其他相关人员签字：</w:t>
            </w:r>
          </w:p>
          <w:p>
            <w:pPr>
              <w:spacing w:before="100" w:beforeAutospacing="1" w:after="100" w:afterAutospacing="1" w:line="320" w:lineRule="atLeast"/>
              <w:ind w:firstLine="74"/>
              <w:jc w:val="left"/>
              <w:rPr>
                <w:rFonts w:ascii="Verdana" w:hAnsi="Verdana" w:cs="宋体"/>
                <w:color w:val="auto"/>
                <w:kern w:val="0"/>
                <w:szCs w:val="21"/>
              </w:rPr>
            </w:pPr>
            <w:r>
              <w:rPr>
                <w:rFonts w:ascii="Verdana" w:hAnsi="Verdana" w:cs="宋体"/>
                <w:color w:val="auto"/>
                <w:kern w:val="0"/>
                <w:szCs w:val="21"/>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pPr>
              <w:spacing w:before="100" w:beforeAutospacing="1" w:after="100" w:afterAutospacing="1" w:line="320" w:lineRule="atLeast"/>
              <w:ind w:firstLine="74"/>
              <w:jc w:val="left"/>
              <w:rPr>
                <w:rFonts w:ascii="Verdana" w:hAnsi="Verdana" w:cs="宋体"/>
                <w:color w:val="auto"/>
                <w:kern w:val="0"/>
                <w:szCs w:val="21"/>
              </w:rPr>
            </w:pPr>
            <w:r>
              <w:rPr>
                <w:rFonts w:ascii="Verdana" w:hAnsi="Verdana" w:cs="宋体"/>
                <w:color w:val="auto"/>
                <w:kern w:val="0"/>
                <w:szCs w:val="21"/>
              </w:rPr>
              <w:t>中标或者成交人负责人签字或者盖章：</w:t>
            </w:r>
          </w:p>
          <w:p>
            <w:pPr>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联系电话： 年 月 日</w:t>
            </w:r>
          </w:p>
        </w:tc>
        <w:tc>
          <w:tcPr>
            <w:tcW w:w="5219" w:type="dxa"/>
            <w:gridSpan w:val="4"/>
            <w:tcBorders>
              <w:top w:val="nil"/>
              <w:left w:val="nil"/>
              <w:bottom w:val="single" w:color="auto" w:sz="8" w:space="0"/>
              <w:right w:val="single" w:color="auto" w:sz="8" w:space="0"/>
            </w:tcBorders>
            <w:vAlign w:val="center"/>
          </w:tcPr>
          <w:p>
            <w:pPr>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采购人或者受托机构的意见（盖章）：</w:t>
            </w:r>
          </w:p>
          <w:p>
            <w:pPr>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联系电话： 年 月 日</w:t>
            </w:r>
          </w:p>
        </w:tc>
      </w:tr>
    </w:tbl>
    <w:p>
      <w:pPr>
        <w:jc w:val="left"/>
        <w:rPr>
          <w:rFonts w:hAnsi="宋体"/>
          <w:color w:val="auto"/>
        </w:rPr>
      </w:pPr>
      <w:r>
        <w:rPr>
          <w:rFonts w:hAnsi="宋体"/>
          <w:color w:val="auto"/>
        </w:rPr>
        <w:br w:type="page"/>
      </w:r>
      <w:r>
        <w:rPr>
          <w:rFonts w:hint="eastAsia" w:hAnsi="宋体"/>
          <w:color w:val="auto"/>
        </w:rPr>
        <w:t>附件2：</w:t>
      </w:r>
    </w:p>
    <w:p>
      <w:pPr>
        <w:jc w:val="center"/>
        <w:rPr>
          <w:rFonts w:ascii="黑体" w:hAnsi="黑体" w:eastAsia="黑体"/>
          <w:color w:val="auto"/>
          <w:sz w:val="32"/>
          <w:szCs w:val="32"/>
        </w:rPr>
      </w:pPr>
      <w:r>
        <w:rPr>
          <w:rFonts w:hint="eastAsia" w:ascii="黑体" w:hAnsi="黑体" w:eastAsia="黑体"/>
          <w:color w:val="auto"/>
          <w:sz w:val="32"/>
          <w:szCs w:val="32"/>
        </w:rPr>
        <w:t>政府采购项目履约保证金退付意见书（参考）</w:t>
      </w:r>
    </w:p>
    <w:p>
      <w:pPr>
        <w:jc w:val="center"/>
        <w:rPr>
          <w:rFonts w:ascii="黑体" w:hAnsi="黑体" w:eastAsia="黑体"/>
          <w:color w:val="auto"/>
          <w:sz w:val="36"/>
          <w:szCs w:val="36"/>
        </w:rPr>
      </w:pPr>
    </w:p>
    <w:tbl>
      <w:tblPr>
        <w:tblStyle w:val="3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pPr>
              <w:jc w:val="center"/>
              <w:rPr>
                <w:color w:val="auto"/>
                <w:sz w:val="24"/>
              </w:rPr>
            </w:pPr>
            <w:r>
              <w:rPr>
                <w:rFonts w:hint="eastAsia"/>
                <w:color w:val="auto"/>
                <w:sz w:val="24"/>
              </w:rPr>
              <w:t>供</w:t>
            </w:r>
          </w:p>
          <w:p>
            <w:pPr>
              <w:jc w:val="center"/>
              <w:rPr>
                <w:color w:val="auto"/>
                <w:sz w:val="24"/>
              </w:rPr>
            </w:pPr>
            <w:r>
              <w:rPr>
                <w:rFonts w:hint="eastAsia"/>
                <w:color w:val="auto"/>
                <w:sz w:val="24"/>
              </w:rPr>
              <w:t>应</w:t>
            </w:r>
          </w:p>
          <w:p>
            <w:pPr>
              <w:jc w:val="center"/>
              <w:rPr>
                <w:color w:val="auto"/>
                <w:sz w:val="24"/>
              </w:rPr>
            </w:pPr>
            <w:r>
              <w:rPr>
                <w:rFonts w:hint="eastAsia"/>
                <w:color w:val="auto"/>
                <w:sz w:val="24"/>
              </w:rPr>
              <w:t>商</w:t>
            </w:r>
          </w:p>
          <w:p>
            <w:pPr>
              <w:jc w:val="center"/>
              <w:rPr>
                <w:color w:val="auto"/>
                <w:sz w:val="24"/>
              </w:rPr>
            </w:pPr>
            <w:r>
              <w:rPr>
                <w:rFonts w:hint="eastAsia"/>
                <w:color w:val="auto"/>
                <w:sz w:val="24"/>
              </w:rPr>
              <w:t>申</w:t>
            </w:r>
          </w:p>
          <w:p>
            <w:pPr>
              <w:jc w:val="center"/>
              <w:rPr>
                <w:color w:val="auto"/>
                <w:sz w:val="24"/>
              </w:rPr>
            </w:pPr>
            <w:r>
              <w:rPr>
                <w:rFonts w:hint="eastAsia"/>
                <w:color w:val="auto"/>
                <w:sz w:val="24"/>
              </w:rPr>
              <w:t>请</w:t>
            </w:r>
          </w:p>
        </w:tc>
        <w:tc>
          <w:tcPr>
            <w:tcW w:w="8456" w:type="dxa"/>
            <w:vAlign w:val="center"/>
          </w:tcPr>
          <w:p>
            <w:pPr>
              <w:rPr>
                <w:color w:val="auto"/>
                <w:sz w:val="24"/>
              </w:rPr>
            </w:pPr>
            <w:r>
              <w:rPr>
                <w:rFonts w:hint="eastAsia"/>
                <w:color w:val="auto"/>
                <w:sz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pPr>
              <w:rPr>
                <w:color w:val="auto"/>
                <w:sz w:val="24"/>
              </w:rPr>
            </w:pPr>
          </w:p>
        </w:tc>
        <w:tc>
          <w:tcPr>
            <w:tcW w:w="8456" w:type="dxa"/>
            <w:vAlign w:val="center"/>
          </w:tcPr>
          <w:p>
            <w:pPr>
              <w:rPr>
                <w:color w:val="auto"/>
                <w:sz w:val="24"/>
              </w:rPr>
            </w:pPr>
            <w:r>
              <w:rPr>
                <w:rFonts w:hint="eastAsia"/>
                <w:color w:val="auto"/>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rPr>
                <w:color w:val="auto"/>
                <w:sz w:val="24"/>
              </w:rPr>
            </w:pPr>
          </w:p>
        </w:tc>
        <w:tc>
          <w:tcPr>
            <w:tcW w:w="8456" w:type="dxa"/>
          </w:tcPr>
          <w:p>
            <w:pPr>
              <w:rPr>
                <w:color w:val="auto"/>
                <w:sz w:val="24"/>
              </w:rPr>
            </w:pPr>
            <w:r>
              <w:rPr>
                <w:rFonts w:hint="eastAsia"/>
                <w:color w:val="auto"/>
                <w:sz w:val="24"/>
              </w:rPr>
              <w:t xml:space="preserve">  </w:t>
            </w:r>
          </w:p>
          <w:p>
            <w:pPr>
              <w:spacing w:line="400" w:lineRule="exact"/>
              <w:ind w:firstLine="480" w:firstLineChars="200"/>
              <w:rPr>
                <w:color w:val="auto"/>
                <w:sz w:val="24"/>
              </w:rPr>
            </w:pPr>
            <w:r>
              <w:rPr>
                <w:rFonts w:hint="eastAsia"/>
                <w:color w:val="auto"/>
                <w:sz w:val="24"/>
              </w:rPr>
              <w:t>该项目已于</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日验收并交付使用。根据合同规定，该项目的履约保证金期限于</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日已满，请将履约保证金</w:t>
            </w:r>
          </w:p>
          <w:p>
            <w:pPr>
              <w:spacing w:line="400" w:lineRule="exact"/>
              <w:rPr>
                <w:color w:val="auto"/>
                <w:sz w:val="24"/>
              </w:rPr>
            </w:pPr>
            <w:r>
              <w:rPr>
                <w:rFonts w:hint="eastAsia"/>
                <w:color w:val="auto"/>
                <w:sz w:val="24"/>
                <w:u w:val="single"/>
              </w:rPr>
              <w:t xml:space="preserve">                                        </w:t>
            </w:r>
            <w:r>
              <w:rPr>
                <w:rFonts w:hint="eastAsia"/>
                <w:color w:val="auto"/>
                <w:sz w:val="24"/>
              </w:rPr>
              <w:t>（大写）￥</w:t>
            </w:r>
            <w:r>
              <w:rPr>
                <w:rFonts w:hint="eastAsia"/>
                <w:color w:val="auto"/>
                <w:sz w:val="24"/>
                <w:u w:val="single"/>
              </w:rPr>
              <w:t xml:space="preserve">          </w:t>
            </w:r>
            <w:r>
              <w:rPr>
                <w:rFonts w:hint="eastAsia"/>
                <w:color w:val="auto"/>
                <w:sz w:val="24"/>
              </w:rPr>
              <w:t>（小写）退付到达以下帐户。</w:t>
            </w:r>
          </w:p>
          <w:p>
            <w:pPr>
              <w:spacing w:line="400" w:lineRule="exact"/>
              <w:ind w:firstLine="705"/>
              <w:rPr>
                <w:color w:val="auto"/>
                <w:sz w:val="24"/>
              </w:rPr>
            </w:pPr>
            <w:r>
              <w:rPr>
                <w:rFonts w:hint="eastAsia"/>
                <w:color w:val="auto"/>
                <w:sz w:val="24"/>
              </w:rPr>
              <w:t>单位名称：</w:t>
            </w:r>
          </w:p>
          <w:p>
            <w:pPr>
              <w:spacing w:line="400" w:lineRule="exact"/>
              <w:ind w:firstLine="705"/>
              <w:rPr>
                <w:color w:val="auto"/>
                <w:sz w:val="24"/>
              </w:rPr>
            </w:pPr>
            <w:r>
              <w:rPr>
                <w:rFonts w:hint="eastAsia"/>
                <w:color w:val="auto"/>
                <w:sz w:val="24"/>
              </w:rPr>
              <w:t>开户银行：</w:t>
            </w:r>
          </w:p>
          <w:p>
            <w:pPr>
              <w:spacing w:line="400" w:lineRule="exact"/>
              <w:ind w:firstLine="705"/>
              <w:rPr>
                <w:color w:val="auto"/>
                <w:sz w:val="24"/>
              </w:rPr>
            </w:pPr>
            <w:r>
              <w:rPr>
                <w:rFonts w:hint="eastAsia"/>
                <w:color w:val="auto"/>
                <w:sz w:val="24"/>
              </w:rPr>
              <w:t>帐   号：</w:t>
            </w:r>
          </w:p>
          <w:p>
            <w:pPr>
              <w:spacing w:line="400" w:lineRule="exact"/>
              <w:rPr>
                <w:color w:val="auto"/>
                <w:sz w:val="24"/>
              </w:rPr>
            </w:pPr>
            <w:r>
              <w:rPr>
                <w:rFonts w:hint="eastAsia"/>
                <w:color w:val="auto"/>
                <w:sz w:val="24"/>
              </w:rPr>
              <w:t>联系人及电话：</w:t>
            </w:r>
          </w:p>
          <w:p>
            <w:pPr>
              <w:spacing w:line="400" w:lineRule="exact"/>
              <w:rPr>
                <w:color w:val="auto"/>
                <w:sz w:val="24"/>
              </w:rPr>
            </w:pPr>
          </w:p>
          <w:p>
            <w:pPr>
              <w:spacing w:line="520" w:lineRule="exact"/>
              <w:jc w:val="center"/>
              <w:rPr>
                <w:color w:val="auto"/>
                <w:sz w:val="24"/>
              </w:rPr>
            </w:pPr>
            <w:r>
              <w:rPr>
                <w:rFonts w:hint="eastAsia"/>
                <w:color w:val="auto"/>
                <w:sz w:val="24"/>
              </w:rPr>
              <w:t xml:space="preserve">         投标人签章：</w:t>
            </w:r>
          </w:p>
          <w:p>
            <w:pPr>
              <w:spacing w:line="520" w:lineRule="exact"/>
              <w:jc w:val="center"/>
              <w:rPr>
                <w:color w:val="auto"/>
                <w:sz w:val="24"/>
              </w:rPr>
            </w:pPr>
            <w:r>
              <w:rPr>
                <w:rFonts w:hint="eastAsia"/>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vAlign w:val="center"/>
          </w:tcPr>
          <w:p>
            <w:pPr>
              <w:jc w:val="center"/>
              <w:rPr>
                <w:color w:val="auto"/>
                <w:sz w:val="24"/>
              </w:rPr>
            </w:pPr>
            <w:r>
              <w:rPr>
                <w:rFonts w:hint="eastAsia"/>
                <w:color w:val="auto"/>
                <w:sz w:val="24"/>
              </w:rPr>
              <w:t>采</w:t>
            </w:r>
          </w:p>
          <w:p>
            <w:pPr>
              <w:jc w:val="center"/>
              <w:rPr>
                <w:color w:val="auto"/>
                <w:sz w:val="24"/>
              </w:rPr>
            </w:pPr>
            <w:r>
              <w:rPr>
                <w:rFonts w:hint="eastAsia"/>
                <w:color w:val="auto"/>
                <w:sz w:val="24"/>
              </w:rPr>
              <w:t>购</w:t>
            </w:r>
          </w:p>
          <w:p>
            <w:pPr>
              <w:jc w:val="center"/>
              <w:rPr>
                <w:color w:val="auto"/>
                <w:sz w:val="24"/>
              </w:rPr>
            </w:pPr>
            <w:r>
              <w:rPr>
                <w:rFonts w:hint="eastAsia"/>
                <w:color w:val="auto"/>
                <w:sz w:val="24"/>
              </w:rPr>
              <w:t>人</w:t>
            </w:r>
          </w:p>
          <w:p>
            <w:pPr>
              <w:jc w:val="center"/>
              <w:rPr>
                <w:color w:val="auto"/>
                <w:sz w:val="24"/>
              </w:rPr>
            </w:pPr>
            <w:r>
              <w:rPr>
                <w:rFonts w:hint="eastAsia"/>
                <w:color w:val="auto"/>
                <w:sz w:val="24"/>
              </w:rPr>
              <w:t>意</w:t>
            </w:r>
          </w:p>
          <w:p>
            <w:pPr>
              <w:jc w:val="center"/>
              <w:rPr>
                <w:color w:val="auto"/>
                <w:sz w:val="24"/>
              </w:rPr>
            </w:pPr>
            <w:r>
              <w:rPr>
                <w:rFonts w:hint="eastAsia"/>
                <w:color w:val="auto"/>
                <w:sz w:val="24"/>
              </w:rPr>
              <w:t>见</w:t>
            </w:r>
          </w:p>
        </w:tc>
        <w:tc>
          <w:tcPr>
            <w:tcW w:w="8456" w:type="dxa"/>
          </w:tcPr>
          <w:p>
            <w:pPr>
              <w:rPr>
                <w:color w:val="auto"/>
                <w:sz w:val="24"/>
              </w:rPr>
            </w:pPr>
          </w:p>
          <w:p>
            <w:pPr>
              <w:rPr>
                <w:color w:val="auto"/>
                <w:sz w:val="24"/>
              </w:rPr>
            </w:pPr>
            <w:r>
              <w:rPr>
                <w:rFonts w:hint="eastAsia"/>
                <w:color w:val="auto"/>
                <w:sz w:val="24"/>
              </w:rPr>
              <w:t>退付意见：（是否同意退付履约保证金及退付金额）</w:t>
            </w:r>
          </w:p>
          <w:p>
            <w:pPr>
              <w:rPr>
                <w:color w:val="auto"/>
                <w:sz w:val="24"/>
              </w:rPr>
            </w:pPr>
          </w:p>
          <w:p>
            <w:pPr>
              <w:rPr>
                <w:color w:val="auto"/>
                <w:sz w:val="24"/>
              </w:rPr>
            </w:pPr>
          </w:p>
          <w:p>
            <w:pPr>
              <w:rPr>
                <w:color w:val="auto"/>
                <w:sz w:val="24"/>
              </w:rPr>
            </w:pPr>
          </w:p>
          <w:p>
            <w:pPr>
              <w:rPr>
                <w:color w:val="auto"/>
                <w:sz w:val="24"/>
              </w:rPr>
            </w:pPr>
          </w:p>
          <w:p>
            <w:pPr>
              <w:spacing w:line="520" w:lineRule="exact"/>
              <w:rPr>
                <w:color w:val="auto"/>
                <w:sz w:val="24"/>
              </w:rPr>
            </w:pPr>
            <w:r>
              <w:rPr>
                <w:rFonts w:hint="eastAsia"/>
                <w:color w:val="auto"/>
                <w:sz w:val="24"/>
              </w:rPr>
              <w:t>联系人及电话：                         采购人签章</w:t>
            </w:r>
          </w:p>
          <w:p>
            <w:pPr>
              <w:spacing w:line="520" w:lineRule="exact"/>
              <w:jc w:val="center"/>
              <w:rPr>
                <w:color w:val="auto"/>
                <w:sz w:val="24"/>
              </w:rPr>
            </w:pPr>
            <w:r>
              <w:rPr>
                <w:rFonts w:hint="eastAsia"/>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vAlign w:val="center"/>
          </w:tcPr>
          <w:p>
            <w:pPr>
              <w:jc w:val="center"/>
              <w:rPr>
                <w:color w:val="auto"/>
                <w:sz w:val="24"/>
              </w:rPr>
            </w:pPr>
            <w:r>
              <w:rPr>
                <w:rFonts w:hint="eastAsia"/>
                <w:color w:val="auto"/>
                <w:sz w:val="24"/>
              </w:rPr>
              <w:t>备注</w:t>
            </w:r>
          </w:p>
        </w:tc>
        <w:tc>
          <w:tcPr>
            <w:tcW w:w="8456" w:type="dxa"/>
          </w:tcPr>
          <w:p>
            <w:pPr>
              <w:rPr>
                <w:color w:val="auto"/>
                <w:sz w:val="24"/>
              </w:rPr>
            </w:pPr>
          </w:p>
        </w:tc>
      </w:tr>
    </w:tbl>
    <w:p>
      <w:pPr>
        <w:pStyle w:val="14"/>
        <w:ind w:left="420" w:leftChars="114" w:hanging="181" w:hangingChars="100"/>
        <w:rPr>
          <w:rFonts w:ascii="宋体"/>
          <w:b/>
          <w:bCs/>
          <w:color w:val="auto"/>
          <w:sz w:val="18"/>
        </w:rPr>
      </w:pPr>
      <w:r>
        <w:rPr>
          <w:rFonts w:hint="eastAsia" w:ascii="宋体"/>
          <w:b/>
          <w:bCs/>
          <w:color w:val="auto"/>
          <w:sz w:val="18"/>
        </w:rPr>
        <w:t>注：投标人凭经采购人审批的退付意见书到保证金收取单位办理履约保证金退付事宜。</w:t>
      </w:r>
    </w:p>
    <w:p>
      <w:pPr>
        <w:pStyle w:val="18"/>
        <w:snapToGrid w:val="0"/>
        <w:spacing w:before="120" w:after="120"/>
        <w:rPr>
          <w:rFonts w:hAnsi="宋体"/>
          <w:color w:val="auto"/>
        </w:rPr>
      </w:pPr>
    </w:p>
    <w:p>
      <w:pPr>
        <w:jc w:val="left"/>
        <w:rPr>
          <w:rFonts w:hAnsi="宋体"/>
          <w:color w:val="auto"/>
        </w:rPr>
      </w:pPr>
      <w:r>
        <w:rPr>
          <w:rFonts w:hAnsi="宋体"/>
          <w:color w:val="auto"/>
        </w:rPr>
        <w:br w:type="page"/>
      </w:r>
      <w:r>
        <w:rPr>
          <w:rFonts w:hint="eastAsia" w:hAnsi="宋体"/>
          <w:color w:val="auto"/>
        </w:rPr>
        <w:t>附件3：</w:t>
      </w:r>
    </w:p>
    <w:p>
      <w:pPr>
        <w:spacing w:line="528" w:lineRule="exact"/>
        <w:ind w:left="1871"/>
        <w:rPr>
          <w:rFonts w:ascii="Arial Unicode MS" w:hAnsi="Arial Unicode MS" w:eastAsia="Arial Unicode MS" w:cs="Arial Unicode MS"/>
          <w:color w:val="auto"/>
          <w:sz w:val="40"/>
          <w:szCs w:val="40"/>
        </w:rPr>
      </w:pPr>
      <w:r>
        <w:rPr>
          <w:rFonts w:hint="eastAsia" w:ascii="Arial Unicode MS" w:hAnsi="Arial Unicode MS" w:eastAsia="Arial Unicode MS" w:cs="Arial Unicode MS"/>
          <w:color w:val="auto"/>
          <w:sz w:val="40"/>
          <w:szCs w:val="40"/>
        </w:rPr>
        <w:t>节能产品政府采购品目清单</w:t>
      </w:r>
    </w:p>
    <w:tbl>
      <w:tblPr>
        <w:tblStyle w:val="35"/>
        <w:tblW w:w="0" w:type="auto"/>
        <w:tblInd w:w="93" w:type="dxa"/>
        <w:tblLayout w:type="fixed"/>
        <w:tblCellMar>
          <w:top w:w="0" w:type="dxa"/>
          <w:left w:w="108" w:type="dxa"/>
          <w:bottom w:w="0" w:type="dxa"/>
          <w:right w:w="108" w:type="dxa"/>
        </w:tblCellMar>
      </w:tblPr>
      <w:tblGrid>
        <w:gridCol w:w="660"/>
        <w:gridCol w:w="1080"/>
        <w:gridCol w:w="1320"/>
        <w:gridCol w:w="1620"/>
        <w:gridCol w:w="4540"/>
      </w:tblGrid>
      <w:tr>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品目序号</w:t>
            </w:r>
          </w:p>
        </w:tc>
        <w:tc>
          <w:tcPr>
            <w:tcW w:w="4020" w:type="dxa"/>
            <w:gridSpan w:val="3"/>
            <w:tcBorders>
              <w:top w:val="single" w:color="000000" w:sz="8" w:space="0"/>
              <w:left w:val="nil"/>
              <w:bottom w:val="single" w:color="000000" w:sz="8" w:space="0"/>
              <w:right w:val="single" w:color="000000" w:sz="8" w:space="0"/>
            </w:tcBorders>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名称</w:t>
            </w:r>
          </w:p>
        </w:tc>
        <w:tc>
          <w:tcPr>
            <w:tcW w:w="4540" w:type="dxa"/>
            <w:tcBorders>
              <w:top w:val="single" w:color="000000" w:sz="8" w:space="0"/>
              <w:left w:val="nil"/>
              <w:bottom w:val="single" w:color="000000" w:sz="8" w:space="0"/>
              <w:right w:val="single" w:color="000000" w:sz="8" w:space="0"/>
            </w:tcBorders>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依据的标准</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w:t>
            </w:r>
          </w:p>
        </w:tc>
        <w:tc>
          <w:tcPr>
            <w:tcW w:w="108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A020101计算机设备</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★A02010104台式计算机</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《微型计算机能效限定值及能效等级》（GB28380）</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★A02010105便携式计算机</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《微型计算机能效限定值及能效等级》（GB28380）</w:t>
            </w:r>
          </w:p>
        </w:tc>
      </w:tr>
      <w:tr>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★A02010107平板式微型计算机</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《微型计算机能效限定值及能效等级》（GB28380）</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108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A02010601打印设备</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A0201060101喷墨打印机</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★A0201060102激光打印机</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★A0201060104针式打印机</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A02010604显示设备</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★A0201060401液晶显示器</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《计算机显示器能效限定值及能效等级》（GB21520）</w:t>
            </w:r>
          </w:p>
        </w:tc>
      </w:tr>
      <w:tr>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A02010609图形图像输入设备</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A0201060901扫描仪</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参照《复印机、打印机和传真机能效限定值及能效等级》（GB21521中打印速度为15页/分的针式打印机相关要求中打印速度为15页/分的针式打印机相关要求</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w:t>
            </w:r>
          </w:p>
        </w:tc>
        <w:tc>
          <w:tcPr>
            <w:tcW w:w="108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A020202投影仪</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《投影机能效限定值及能效等级》（GB32028）</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w:t>
            </w:r>
          </w:p>
        </w:tc>
        <w:tc>
          <w:tcPr>
            <w:tcW w:w="108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A020204多功能一体机</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w:t>
            </w:r>
          </w:p>
        </w:tc>
        <w:tc>
          <w:tcPr>
            <w:tcW w:w="108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A020519泵</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A02051901离心泵</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《清水离心泵能效限定值及节能评价值》（GB19762）</w:t>
            </w:r>
          </w:p>
        </w:tc>
      </w:tr>
      <w:tr>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6</w:t>
            </w:r>
          </w:p>
        </w:tc>
        <w:tc>
          <w:tcPr>
            <w:tcW w:w="108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★A02052301制冷压缩机</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冷水机组</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《冷水机组能效限定值及能效等级》（GB19577），《低环境温度空气源热泵（冷水）机组能效限定值及能效等级》（GB37480）</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水源热泵机组</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《水（地）源热泵机组能效限定值及能效等级》（GB30721）</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溴化锂吸收式冷水机组</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《溴化锂吸收式冷水机组能效限定值及能效等级》（GB29540）</w:t>
            </w:r>
          </w:p>
        </w:tc>
      </w:tr>
      <w:tr>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★A02052305空调机组</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多联式空调（热泵）机组(制冷量&gt;14000W)</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单元式空气调节机(制冷量&gt;14000W</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《单元式空气调节机能效限定值及能效等级》（GB19576）《风管送风式空调机组能效限定值及能效等级》（GB37479）</w:t>
            </w:r>
          </w:p>
        </w:tc>
      </w:tr>
      <w:tr>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★A02052309专用制冷、空调设备</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机房空调</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《单元式空气调节机能效限定值及能效等级》（GB19576）</w:t>
            </w:r>
          </w:p>
        </w:tc>
      </w:tr>
      <w:tr>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A02052399其他制冷空调设备</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冷却塔</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《机械通风冷却塔第1部分：中小型开式冷却塔》（GB/T7190.1）；《机械通风冷却塔第2部分：大型开式冷却塔》（GB/T7190.2）</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7</w:t>
            </w:r>
          </w:p>
        </w:tc>
        <w:tc>
          <w:tcPr>
            <w:tcW w:w="108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A020601电机</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《中小型三相异步电动机能效限定值及能效等级》（GB18613）</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8</w:t>
            </w:r>
          </w:p>
        </w:tc>
        <w:tc>
          <w:tcPr>
            <w:tcW w:w="108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A020602变压器</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配电变压器</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《三相配电变压器能效限定值及能效等级》（GB20052）</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9</w:t>
            </w:r>
          </w:p>
        </w:tc>
        <w:tc>
          <w:tcPr>
            <w:tcW w:w="108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★A020609镇流器</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管型荧光灯镇流器</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《管形荧光灯镇流器能效限定值及能效等级》（GB17896）</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w:t>
            </w:r>
          </w:p>
        </w:tc>
        <w:tc>
          <w:tcPr>
            <w:tcW w:w="108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A020618生活用电器</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A0206180101电冰箱</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《家用电冰箱耗电量限定值及能效等级》（GB 12021.2）</w:t>
            </w:r>
          </w:p>
        </w:tc>
      </w:tr>
      <w:tr>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★A0206180203空调机</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房间空气调节器</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《转速可控型房间空气调节器能效限定值及能效等级》（GB21455-2013），待2019年修订发布后，按《房间空气调节器能效限定值及能效等级》（GB21455-2019实施。</w:t>
            </w:r>
          </w:p>
        </w:tc>
      </w:tr>
      <w:tr>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多联式空调（热泵）机组（制冷量≤ 14000W）</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单元式空气调节机(制冷量≤14000W)</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《单元式空气调节机能效限定值及能源效率等级》（GB19576）《风管送风式空调机组能效限定值及能效等级》（GB37479）</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A0206180301洗衣机</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《电动洗衣机能效水效限定值及等级》（GB12021.4）</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A02061808热水器</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★电热水器</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《储水式电热水器能效限定值及能效等级》（GB21519）</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燃气热水器</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《家用燃气快速热水器和燃气采暖热水炉能效限定值及能效等级》（GB20665）</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热泵热水器</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《热泵热水机（器）能效限定值及能效等级》（GB29541）</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太阳能热水系统</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《家用太阳能热水系统能效限定值及能效等级》（GB26969）</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11</w:t>
            </w:r>
          </w:p>
        </w:tc>
        <w:tc>
          <w:tcPr>
            <w:tcW w:w="108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A020619照明设备</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★普通照明用双端荧光灯</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《普通照明用双端荧光灯能效限定值及能效等级》（GB19043）</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LED道路/隧道照明产品</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《道路和隧道照明用LED灯具能效限定值及能效等级》（GB37478）</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LED筒灯</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《室内照明用LED产品能效限定值及能效等级》（GB30255）</w:t>
            </w:r>
          </w:p>
        </w:tc>
      </w:tr>
      <w:tr>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普通照明用非定向自镇流LED灯</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《室内照明用LED产品能效限定值及能效等级》（GB30255）</w:t>
            </w:r>
          </w:p>
        </w:tc>
      </w:tr>
      <w:tr>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12</w:t>
            </w:r>
          </w:p>
        </w:tc>
        <w:tc>
          <w:tcPr>
            <w:tcW w:w="108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★A020910电视设备</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A02091001普通电视设备（电视机）</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《平板电视能效限定值及能效等级》（GB24850）</w:t>
            </w:r>
          </w:p>
        </w:tc>
      </w:tr>
      <w:tr>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13</w:t>
            </w:r>
          </w:p>
        </w:tc>
        <w:tc>
          <w:tcPr>
            <w:tcW w:w="108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★A020911视频设备</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A02091107视频监控设备</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监视器</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14</w:t>
            </w:r>
          </w:p>
        </w:tc>
        <w:tc>
          <w:tcPr>
            <w:tcW w:w="108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A031210饮食炊事机械</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商用燃气灶具</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《商用燃气灶具能效限定值及能效等级》（GB30531）</w:t>
            </w:r>
          </w:p>
        </w:tc>
      </w:tr>
      <w:tr>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15</w:t>
            </w:r>
          </w:p>
        </w:tc>
        <w:tc>
          <w:tcPr>
            <w:tcW w:w="1080"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★A060805便器</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坐便器</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《坐便器水效限定值及水效等级》（GB25502）</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蹲便器</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《蹲便器用水效率限定值及用水效率等级》（GB30717）</w:t>
            </w:r>
          </w:p>
        </w:tc>
      </w:tr>
      <w:tr>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小便器</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《小便器用水效率限定值及用水效率等级》（GB28377）</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16</w:t>
            </w:r>
          </w:p>
        </w:tc>
        <w:tc>
          <w:tcPr>
            <w:tcW w:w="108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★A060806水嘴</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《水嘴用水效率限定值及用水效率等级》（GB 25501）</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17</w:t>
            </w:r>
          </w:p>
        </w:tc>
        <w:tc>
          <w:tcPr>
            <w:tcW w:w="108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A060807便器冲洗阀</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《便器冲洗阀用水效率限定值及用水效率等级》（GB28379）</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18</w:t>
            </w:r>
          </w:p>
        </w:tc>
        <w:tc>
          <w:tcPr>
            <w:tcW w:w="108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A060810淋浴器</w:t>
            </w:r>
          </w:p>
        </w:tc>
        <w:tc>
          <w:tcPr>
            <w:tcW w:w="13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《淋浴器用水效率限定值及用水效率等级》（GB28378）</w:t>
            </w:r>
          </w:p>
        </w:tc>
      </w:tr>
    </w:tbl>
    <w:p>
      <w:pPr>
        <w:pStyle w:val="14"/>
        <w:spacing w:line="360" w:lineRule="auto"/>
        <w:rPr>
          <w:rFonts w:ascii="宋体" w:hAnsi="宋体"/>
          <w:color w:val="auto"/>
          <w:szCs w:val="21"/>
        </w:rPr>
      </w:pPr>
      <w:r>
        <w:rPr>
          <w:rFonts w:hint="eastAsia"/>
          <w:color w:val="auto"/>
          <w:spacing w:val="-3"/>
          <w:szCs w:val="21"/>
        </w:rPr>
        <w:t>注：</w:t>
      </w:r>
      <w:r>
        <w:rPr>
          <w:color w:val="auto"/>
          <w:spacing w:val="-3"/>
          <w:szCs w:val="21"/>
        </w:rPr>
        <w:t>1.</w:t>
      </w:r>
      <w:r>
        <w:rPr>
          <w:rFonts w:hint="eastAsia"/>
          <w:color w:val="auto"/>
          <w:spacing w:val="-3"/>
          <w:szCs w:val="21"/>
        </w:rPr>
        <w:t>节能产品认证应依据相关国家标准的最新版本，依据国家标准中二级能效（水效）</w:t>
      </w:r>
      <w:r>
        <w:rPr>
          <w:rFonts w:hint="eastAsia"/>
          <w:color w:val="auto"/>
          <w:szCs w:val="21"/>
        </w:rPr>
        <w:t>指标。</w:t>
      </w:r>
    </w:p>
    <w:p>
      <w:pPr>
        <w:pStyle w:val="18"/>
        <w:jc w:val="left"/>
        <w:rPr>
          <w:rFonts w:ascii="Times New Roman" w:hAnsi="宋体"/>
          <w:color w:val="auto"/>
          <w:szCs w:val="24"/>
        </w:rPr>
      </w:pPr>
      <w:r>
        <w:rPr>
          <w:rFonts w:hint="eastAsia" w:hAnsi="宋体"/>
          <w:color w:val="auto"/>
        </w:rPr>
        <w:t xml:space="preserve">    </w:t>
      </w:r>
      <w:r>
        <w:rPr>
          <w:color w:val="auto"/>
        </w:rPr>
        <w:t>2.</w:t>
      </w:r>
      <w:r>
        <w:rPr>
          <w:rFonts w:hint="eastAsia"/>
          <w:color w:val="auto"/>
        </w:rPr>
        <w:t>以</w:t>
      </w:r>
      <w:r>
        <w:rPr>
          <w:color w:val="auto"/>
        </w:rPr>
        <w:t>“</w:t>
      </w:r>
      <w:r>
        <w:rPr>
          <w:rFonts w:hint="eastAsia"/>
          <w:color w:val="auto"/>
        </w:rPr>
        <w:t>★</w:t>
      </w:r>
      <w:r>
        <w:rPr>
          <w:color w:val="auto"/>
        </w:rPr>
        <w:t>”</w:t>
      </w:r>
      <w:r>
        <w:rPr>
          <w:rFonts w:hint="eastAsia"/>
          <w:color w:val="auto"/>
        </w:rPr>
        <w:t>标注的为政府强制采购产品。</w:t>
      </w:r>
      <w:r>
        <w:rPr>
          <w:color w:val="auto"/>
        </w:rPr>
        <w:br w:type="page"/>
      </w:r>
      <w:r>
        <w:rPr>
          <w:rFonts w:hint="eastAsia" w:ascii="Times New Roman" w:hAnsi="宋体"/>
          <w:color w:val="auto"/>
          <w:szCs w:val="24"/>
        </w:rPr>
        <w:t>附件4：</w:t>
      </w:r>
    </w:p>
    <w:p>
      <w:pPr>
        <w:spacing w:line="528" w:lineRule="exact"/>
        <w:ind w:left="1871"/>
        <w:jc w:val="center"/>
        <w:rPr>
          <w:rFonts w:ascii="Arial Unicode MS" w:hAnsi="Arial Unicode MS" w:eastAsia="Arial Unicode MS" w:cs="Arial Unicode MS"/>
          <w:color w:val="auto"/>
          <w:sz w:val="40"/>
          <w:szCs w:val="40"/>
        </w:rPr>
      </w:pPr>
      <w:r>
        <w:rPr>
          <w:rFonts w:hint="eastAsia" w:ascii="Arial Unicode MS" w:hAnsi="Arial Unicode MS" w:eastAsia="Arial Unicode MS" w:cs="Arial Unicode MS"/>
          <w:color w:val="auto"/>
          <w:sz w:val="40"/>
          <w:szCs w:val="40"/>
        </w:rPr>
        <w:t>中小微企业划型标准</w:t>
      </w:r>
    </w:p>
    <w:tbl>
      <w:tblPr>
        <w:tblStyle w:val="35"/>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kern w:val="0"/>
                <w:sz w:val="24"/>
              </w:rPr>
            </w:pPr>
            <w:r>
              <w:rPr>
                <w:rFonts w:hint="eastAsia" w:ascii="宋体" w:hAnsi="宋体" w:cs="宋体"/>
                <w:b/>
                <w:color w:val="auto"/>
                <w:kern w:val="0"/>
                <w:sz w:val="24"/>
              </w:rPr>
              <w:t>行业名称</w:t>
            </w:r>
          </w:p>
        </w:tc>
        <w:tc>
          <w:tcPr>
            <w:tcW w:w="198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auto"/>
                <w:kern w:val="0"/>
                <w:sz w:val="24"/>
              </w:rPr>
            </w:pPr>
            <w:r>
              <w:rPr>
                <w:rFonts w:hint="eastAsia" w:ascii="宋体" w:hAnsi="宋体" w:cs="宋体"/>
                <w:b/>
                <w:color w:val="auto"/>
                <w:kern w:val="0"/>
                <w:sz w:val="24"/>
              </w:rPr>
              <w:t>指标名称</w:t>
            </w:r>
          </w:p>
        </w:tc>
        <w:tc>
          <w:tcPr>
            <w:tcW w:w="85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auto"/>
                <w:kern w:val="0"/>
                <w:sz w:val="24"/>
              </w:rPr>
            </w:pPr>
            <w:r>
              <w:rPr>
                <w:rFonts w:hint="eastAsia" w:ascii="宋体" w:hAnsi="宋体" w:cs="宋体"/>
                <w:b/>
                <w:color w:val="auto"/>
                <w:kern w:val="0"/>
                <w:sz w:val="24"/>
              </w:rPr>
              <w:t>计量单位</w:t>
            </w:r>
          </w:p>
        </w:tc>
        <w:tc>
          <w:tcPr>
            <w:tcW w:w="184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auto"/>
                <w:kern w:val="0"/>
                <w:sz w:val="24"/>
              </w:rPr>
            </w:pPr>
            <w:r>
              <w:rPr>
                <w:rFonts w:hint="eastAsia" w:ascii="宋体" w:hAnsi="宋体" w:cs="宋体"/>
                <w:b/>
                <w:color w:val="auto"/>
                <w:kern w:val="0"/>
                <w:sz w:val="24"/>
              </w:rPr>
              <w:t>中型</w:t>
            </w:r>
          </w:p>
        </w:tc>
        <w:tc>
          <w:tcPr>
            <w:tcW w:w="170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auto"/>
                <w:kern w:val="0"/>
                <w:sz w:val="24"/>
              </w:rPr>
            </w:pPr>
            <w:r>
              <w:rPr>
                <w:rFonts w:hint="eastAsia" w:ascii="宋体" w:hAnsi="宋体" w:cs="宋体"/>
                <w:b/>
                <w:color w:val="auto"/>
                <w:kern w:val="0"/>
                <w:sz w:val="24"/>
              </w:rPr>
              <w:t>小型</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auto"/>
                <w:kern w:val="0"/>
                <w:sz w:val="24"/>
              </w:rPr>
            </w:pPr>
            <w:r>
              <w:rPr>
                <w:rFonts w:hint="eastAsia" w:ascii="宋体" w:hAnsi="宋体" w:cs="宋体"/>
                <w:b/>
                <w:color w:val="auto"/>
                <w:kern w:val="0"/>
                <w:sz w:val="24"/>
              </w:rPr>
              <w:t>微型</w:t>
            </w:r>
          </w:p>
        </w:tc>
      </w:tr>
      <w:tr>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农、林、牧、渔</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500≤Y＜20000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50≤Y＜500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Y＜50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工业</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300≤X＜1000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20≤X＜300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2000≤Y＜40000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300≤Y＜2000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Y＜300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建筑业</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6000≤Y＜80000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300≤Y＜6000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Y＜300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5000≤Z＜80000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300≤Z＜5000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Z＜300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批发业</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20≤X＜200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5≤X＜20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X＜5</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5000≤Y＜40000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1000≤Y＜5000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Y＜1000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零售业</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50≤X＜300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10≤X＜50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500≤Y＜20000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100≤Y＜500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交通运输业</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300≤X＜1000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20≤X＜300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3000≤Y＜30000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200≤Y＜3000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Y＜200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仓储业</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100≤X＜200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20≤X＜100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1000≤Y＜30000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100≤Y＜1000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邮政业</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300≤X＜1000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20≤X＜300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2000≤Y＜30000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100≤Y＜2000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住宿业</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2000≤Y＜10000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100≤Y＜2000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餐饮业</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2000≤Y＜10000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100≤Y＜2000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信息传输业</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100≤X＜2000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1000≤Y＜100000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100≤Y＜1000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软件和信息技术服务业</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1000≤Y＜10000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50≤Y＜1000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Y＜50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房地产开发经营</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1000≤Y＜200000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100≤X＜1000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X＜100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5000≤Z＜10000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2000≤Y＜5000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Y＜2000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物业管理</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300≤X＜1000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X＜100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1000≤Y＜5000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500≤Y＜1000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Y＜500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租赁和商务服务业</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rPr>
            </w:pP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8000≤Z＜120000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100≤Z＜8000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其他未列明行业</w:t>
            </w:r>
          </w:p>
        </w:tc>
        <w:tc>
          <w:tcPr>
            <w:tcW w:w="198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bl>
    <w:p>
      <w:pPr>
        <w:spacing w:line="560" w:lineRule="exact"/>
        <w:ind w:firstLine="525" w:firstLineChars="250"/>
        <w:rPr>
          <w:rFonts w:ascii="宋体" w:hAnsi="宋体" w:cs="宋体"/>
          <w:color w:val="auto"/>
        </w:rPr>
        <w:sectPr>
          <w:footerReference r:id="rId4" w:type="default"/>
          <w:pgSz w:w="11906" w:h="16838"/>
          <w:pgMar w:top="1134" w:right="1134" w:bottom="1134" w:left="1134" w:header="720" w:footer="720" w:gutter="0"/>
          <w:pgNumType w:start="1"/>
          <w:cols w:space="720" w:num="1"/>
          <w:docGrid w:type="lines" w:linePitch="331" w:charSpace="0"/>
        </w:sectPr>
      </w:pPr>
      <w:r>
        <w:rPr>
          <w:rFonts w:hint="eastAsia" w:ascii="宋体" w:hAnsi="宋体" w:cs="宋体"/>
          <w:color w:val="auto"/>
          <w:szCs w:val="21"/>
        </w:rPr>
        <w:t>说明：上述标准参照《关于印发中小企业划型标准规定的通知》（工信部联企业[2011]300号），大型、中型和小型企业须同时满足所列指标的下限，否则下划一档；微型企业只须满足所列指标中的一项即可。</w:t>
      </w:r>
    </w:p>
    <w:p>
      <w:pPr>
        <w:pStyle w:val="18"/>
        <w:snapToGrid w:val="0"/>
        <w:spacing w:before="120" w:after="120"/>
        <w:rPr>
          <w:rFonts w:hAnsi="宋体"/>
          <w:color w:val="auto"/>
        </w:rPr>
      </w:pPr>
    </w:p>
    <w:p>
      <w:pPr>
        <w:pStyle w:val="18"/>
        <w:snapToGrid w:val="0"/>
        <w:spacing w:before="120" w:after="120"/>
        <w:rPr>
          <w:rFonts w:hAnsi="宋体"/>
          <w:color w:val="auto"/>
        </w:rPr>
      </w:pPr>
    </w:p>
    <w:p>
      <w:pPr>
        <w:pStyle w:val="18"/>
        <w:snapToGrid w:val="0"/>
        <w:spacing w:before="120" w:after="120"/>
        <w:rPr>
          <w:rFonts w:hAnsi="宋体"/>
          <w:color w:val="auto"/>
        </w:rPr>
      </w:pPr>
    </w:p>
    <w:p>
      <w:pPr>
        <w:pStyle w:val="18"/>
        <w:snapToGrid w:val="0"/>
        <w:spacing w:before="120" w:after="120"/>
        <w:rPr>
          <w:rFonts w:hAnsi="宋体"/>
          <w:color w:val="auto"/>
        </w:rPr>
      </w:pPr>
    </w:p>
    <w:p>
      <w:pPr>
        <w:pStyle w:val="18"/>
        <w:snapToGrid w:val="0"/>
        <w:spacing w:before="120" w:after="120"/>
        <w:rPr>
          <w:rFonts w:hAnsi="宋体"/>
          <w:color w:val="auto"/>
        </w:rPr>
      </w:pPr>
    </w:p>
    <w:p>
      <w:pPr>
        <w:pStyle w:val="18"/>
        <w:snapToGrid w:val="0"/>
        <w:spacing w:before="120" w:after="120"/>
        <w:rPr>
          <w:rFonts w:hAnsi="宋体"/>
          <w:color w:val="auto"/>
        </w:rPr>
      </w:pPr>
    </w:p>
    <w:p>
      <w:pPr>
        <w:pStyle w:val="18"/>
        <w:snapToGrid w:val="0"/>
        <w:spacing w:before="120" w:after="120"/>
        <w:rPr>
          <w:rFonts w:hAnsi="宋体"/>
          <w:color w:val="auto"/>
        </w:rPr>
      </w:pPr>
    </w:p>
    <w:p>
      <w:pPr>
        <w:pStyle w:val="18"/>
        <w:snapToGrid w:val="0"/>
        <w:spacing w:before="120" w:after="120"/>
        <w:rPr>
          <w:rFonts w:hAnsi="宋体"/>
          <w:color w:val="auto"/>
        </w:rPr>
      </w:pPr>
    </w:p>
    <w:p>
      <w:pPr>
        <w:pStyle w:val="18"/>
        <w:snapToGrid w:val="0"/>
        <w:spacing w:before="120" w:after="120"/>
        <w:rPr>
          <w:rFonts w:hAnsi="宋体"/>
          <w:color w:val="auto"/>
        </w:rPr>
      </w:pPr>
    </w:p>
    <w:p>
      <w:pPr>
        <w:pStyle w:val="18"/>
        <w:snapToGrid w:val="0"/>
        <w:spacing w:before="120" w:after="120"/>
        <w:rPr>
          <w:rFonts w:hAnsi="宋体"/>
          <w:color w:val="auto"/>
        </w:rPr>
      </w:pPr>
    </w:p>
    <w:p>
      <w:pPr>
        <w:pStyle w:val="18"/>
        <w:snapToGrid w:val="0"/>
        <w:spacing w:before="120" w:after="120"/>
        <w:rPr>
          <w:rFonts w:hAnsi="宋体"/>
          <w:color w:val="auto"/>
        </w:rPr>
      </w:pPr>
    </w:p>
    <w:p>
      <w:pPr>
        <w:pStyle w:val="18"/>
        <w:snapToGrid w:val="0"/>
        <w:spacing w:before="120" w:after="120"/>
        <w:rPr>
          <w:rFonts w:hAnsi="宋体"/>
          <w:color w:val="auto"/>
        </w:rPr>
      </w:pPr>
    </w:p>
    <w:p>
      <w:pPr>
        <w:pStyle w:val="18"/>
        <w:snapToGrid w:val="0"/>
        <w:spacing w:before="120" w:after="120"/>
        <w:rPr>
          <w:rFonts w:hAnsi="宋体"/>
          <w:color w:val="auto"/>
        </w:rPr>
      </w:pPr>
    </w:p>
    <w:p>
      <w:pPr>
        <w:pStyle w:val="18"/>
        <w:snapToGrid w:val="0"/>
        <w:spacing w:before="120" w:after="120"/>
        <w:rPr>
          <w:rFonts w:hAnsi="宋体"/>
          <w:color w:val="auto"/>
        </w:rPr>
      </w:pPr>
    </w:p>
    <w:p>
      <w:pPr>
        <w:pStyle w:val="4"/>
        <w:keepNext w:val="0"/>
        <w:keepLines w:val="0"/>
        <w:jc w:val="center"/>
        <w:rPr>
          <w:color w:val="auto"/>
        </w:rPr>
      </w:pPr>
      <w:bookmarkStart w:id="142" w:name="_Toc19686832"/>
      <w:bookmarkStart w:id="143" w:name="_Toc330456896"/>
      <w:bookmarkStart w:id="144" w:name="_Toc254970548"/>
      <w:bookmarkStart w:id="145" w:name="_Toc254970689"/>
      <w:r>
        <w:rPr>
          <w:rFonts w:hint="eastAsia"/>
          <w:color w:val="auto"/>
        </w:rPr>
        <w:t>第四章  评标方法及评标标准</w:t>
      </w:r>
      <w:bookmarkEnd w:id="142"/>
      <w:bookmarkEnd w:id="143"/>
      <w:bookmarkEnd w:id="144"/>
      <w:bookmarkEnd w:id="145"/>
    </w:p>
    <w:p>
      <w:pPr>
        <w:pStyle w:val="18"/>
        <w:spacing w:before="120" w:after="120"/>
        <w:outlineLvl w:val="0"/>
        <w:rPr>
          <w:rFonts w:hAnsi="宋体"/>
          <w:b/>
          <w:color w:val="auto"/>
        </w:rPr>
      </w:pPr>
      <w:bookmarkStart w:id="146" w:name="_Toc254970549"/>
      <w:bookmarkStart w:id="147" w:name="_Toc254970690"/>
    </w:p>
    <w:bookmarkEnd w:id="146"/>
    <w:bookmarkEnd w:id="147"/>
    <w:p>
      <w:pPr>
        <w:pStyle w:val="18"/>
        <w:spacing w:before="120" w:after="120"/>
        <w:outlineLvl w:val="0"/>
        <w:rPr>
          <w:rFonts w:hAnsi="宋体"/>
          <w:bCs/>
          <w:color w:val="auto"/>
          <w:sz w:val="32"/>
          <w:szCs w:val="32"/>
        </w:rPr>
      </w:pPr>
    </w:p>
    <w:p>
      <w:pPr>
        <w:rPr>
          <w:color w:val="auto"/>
        </w:rPr>
      </w:pPr>
      <w:r>
        <w:rPr>
          <w:rFonts w:hint="eastAsia"/>
          <w:color w:val="auto"/>
        </w:rPr>
        <w:br w:type="page"/>
      </w:r>
    </w:p>
    <w:p>
      <w:pPr>
        <w:pStyle w:val="2"/>
        <w:keepNext w:val="0"/>
        <w:keepLines w:val="0"/>
        <w:jc w:val="center"/>
        <w:rPr>
          <w:color w:val="auto"/>
        </w:rPr>
      </w:pPr>
      <w:r>
        <w:rPr>
          <w:rFonts w:hint="eastAsia"/>
          <w:color w:val="auto"/>
        </w:rPr>
        <w:t>一、评标方法</w:t>
      </w:r>
    </w:p>
    <w:p>
      <w:pPr>
        <w:pStyle w:val="18"/>
        <w:spacing w:line="360" w:lineRule="auto"/>
        <w:ind w:firstLine="420"/>
        <w:rPr>
          <w:rFonts w:hAnsi="宋体"/>
          <w:color w:val="auto"/>
        </w:rPr>
      </w:pPr>
      <w:r>
        <w:rPr>
          <w:rFonts w:hint="eastAsia" w:hAnsi="宋体"/>
          <w:color w:val="auto"/>
        </w:rPr>
        <w:t>综合评分法，是指投标文件满足招标文件全部实质性要求，且按照评审因素的量化指标评审得分最高的投标人为中标候选人的评标方法。</w:t>
      </w:r>
    </w:p>
    <w:p>
      <w:pPr>
        <w:pStyle w:val="18"/>
        <w:spacing w:line="360" w:lineRule="auto"/>
        <w:ind w:firstLine="420"/>
        <w:rPr>
          <w:rFonts w:hAnsi="宋体"/>
          <w:color w:val="auto"/>
        </w:rPr>
      </w:pPr>
      <w:r>
        <w:rPr>
          <w:rFonts w:hint="eastAsia" w:hAnsi="宋体"/>
          <w:color w:val="auto"/>
        </w:rPr>
        <w:t>最低评标价法，是指投标文件满足招标文件全部实质性要求，且投标报价最低的投标人为中标候选人的评标方法。</w:t>
      </w:r>
    </w:p>
    <w:p>
      <w:pPr>
        <w:pStyle w:val="2"/>
        <w:keepNext w:val="0"/>
        <w:keepLines w:val="0"/>
        <w:jc w:val="center"/>
        <w:rPr>
          <w:color w:val="auto"/>
        </w:rPr>
      </w:pPr>
      <w:r>
        <w:rPr>
          <w:rFonts w:hint="eastAsia"/>
          <w:color w:val="auto"/>
        </w:rPr>
        <w:t>二、评标程序</w:t>
      </w:r>
    </w:p>
    <w:p>
      <w:pPr>
        <w:pStyle w:val="6"/>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1.符合性审查</w:t>
      </w:r>
    </w:p>
    <w:p>
      <w:pPr>
        <w:pStyle w:val="18"/>
        <w:snapToGrid w:val="0"/>
        <w:spacing w:line="360" w:lineRule="auto"/>
        <w:ind w:left="1" w:firstLine="420"/>
        <w:rPr>
          <w:rFonts w:hAnsi="宋体"/>
          <w:b/>
          <w:color w:val="auto"/>
        </w:rPr>
      </w:pPr>
      <w:r>
        <w:rPr>
          <w:rFonts w:hint="eastAsia" w:hAnsi="宋体"/>
          <w:b/>
          <w:color w:val="auto"/>
        </w:rPr>
        <w:t>评标委员会应当对符合资格的投标人的投标文件进行投标报价、商务、技术等实质性内容符合性审查，以确定其是否满足招标文件的实质性要求。</w:t>
      </w:r>
    </w:p>
    <w:p>
      <w:pPr>
        <w:pStyle w:val="6"/>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2</w:t>
      </w:r>
      <w:r>
        <w:rPr>
          <w:rFonts w:ascii="宋体" w:hAnsi="宋体"/>
          <w:color w:val="auto"/>
          <w:sz w:val="21"/>
          <w:szCs w:val="21"/>
        </w:rPr>
        <w:t>.</w:t>
      </w:r>
      <w:r>
        <w:rPr>
          <w:rFonts w:hint="eastAsia" w:ascii="宋体" w:hAnsi="宋体"/>
          <w:color w:val="auto"/>
          <w:sz w:val="21"/>
          <w:szCs w:val="21"/>
        </w:rPr>
        <w:t>符合性审查不通过而导致投标无效的情形</w:t>
      </w:r>
    </w:p>
    <w:p>
      <w:pPr>
        <w:snapToGrid w:val="0"/>
        <w:spacing w:line="360" w:lineRule="auto"/>
        <w:ind w:firstLine="422" w:firstLineChars="200"/>
        <w:rPr>
          <w:rFonts w:ascii="宋体" w:hAnsi="宋体"/>
          <w:b/>
          <w:color w:val="auto"/>
          <w:szCs w:val="21"/>
        </w:rPr>
      </w:pPr>
      <w:r>
        <w:rPr>
          <w:rFonts w:hint="eastAsia" w:ascii="宋体" w:hAnsi="宋体"/>
          <w:b/>
          <w:color w:val="auto"/>
          <w:szCs w:val="21"/>
        </w:rPr>
        <w:t>投标人的投标文件中存在对招标文件的任何实质性要求和条件的负偏离，将被视为投标无效。</w:t>
      </w:r>
    </w:p>
    <w:p>
      <w:pPr>
        <w:pStyle w:val="6"/>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2.1在报价评审时，如发现下列情形之一的，将被视为投标无效：</w:t>
      </w:r>
    </w:p>
    <w:p>
      <w:pPr>
        <w:pStyle w:val="7"/>
        <w:numPr>
          <w:ilvl w:val="0"/>
          <w:numId w:val="9"/>
        </w:numPr>
        <w:spacing w:line="360" w:lineRule="auto"/>
        <w:ind w:firstLine="422"/>
        <w:rPr>
          <w:rFonts w:ascii="宋体" w:hAnsi="宋体"/>
          <w:b/>
          <w:color w:val="auto"/>
          <w:szCs w:val="21"/>
        </w:rPr>
      </w:pPr>
      <w:r>
        <w:rPr>
          <w:rFonts w:hint="eastAsia" w:ascii="宋体" w:hAnsi="宋体"/>
          <w:b/>
          <w:color w:val="auto"/>
          <w:spacing w:val="-6"/>
          <w:szCs w:val="21"/>
        </w:rPr>
        <w:t>报价文件</w:t>
      </w:r>
      <w:r>
        <w:rPr>
          <w:rFonts w:hint="eastAsia" w:ascii="宋体" w:hAnsi="宋体"/>
          <w:b/>
          <w:color w:val="auto"/>
          <w:szCs w:val="21"/>
        </w:rPr>
        <w:t>未提供“投标人须知前附表”第13.1条规定中“必须提供”的文件资料的；</w:t>
      </w:r>
    </w:p>
    <w:p>
      <w:pPr>
        <w:pStyle w:val="7"/>
        <w:numPr>
          <w:ilvl w:val="0"/>
          <w:numId w:val="9"/>
        </w:numPr>
        <w:spacing w:line="360" w:lineRule="auto"/>
        <w:ind w:firstLine="422"/>
        <w:rPr>
          <w:rFonts w:ascii="宋体" w:hAnsi="宋体"/>
          <w:b/>
          <w:color w:val="auto"/>
          <w:szCs w:val="21"/>
        </w:rPr>
      </w:pPr>
      <w:r>
        <w:rPr>
          <w:rFonts w:hint="eastAsia" w:ascii="宋体" w:hAnsi="宋体"/>
          <w:b/>
          <w:color w:val="auto"/>
          <w:szCs w:val="21"/>
        </w:rPr>
        <w:t>未采用人民币报价或者未按照招标文件标明的币种报价的；</w:t>
      </w:r>
    </w:p>
    <w:p>
      <w:pPr>
        <w:pStyle w:val="7"/>
        <w:numPr>
          <w:ilvl w:val="0"/>
          <w:numId w:val="9"/>
        </w:numPr>
        <w:spacing w:line="360" w:lineRule="auto"/>
        <w:ind w:firstLine="422"/>
        <w:rPr>
          <w:rFonts w:ascii="宋体" w:hAnsi="宋体"/>
          <w:b/>
          <w:color w:val="auto"/>
          <w:szCs w:val="21"/>
        </w:rPr>
      </w:pPr>
      <w:r>
        <w:rPr>
          <w:rFonts w:hint="eastAsia" w:ascii="宋体" w:hAnsi="宋体"/>
          <w:b/>
          <w:color w:val="auto"/>
          <w:szCs w:val="21"/>
        </w:rPr>
        <w:t>各分标报价超出招标文件相应分标规定最高限价，或者超出相应分标采购预算金额的；</w:t>
      </w:r>
    </w:p>
    <w:p>
      <w:pPr>
        <w:pStyle w:val="7"/>
        <w:numPr>
          <w:ilvl w:val="0"/>
          <w:numId w:val="9"/>
        </w:numPr>
        <w:spacing w:line="360" w:lineRule="auto"/>
        <w:ind w:firstLine="422"/>
        <w:rPr>
          <w:rFonts w:ascii="宋体" w:hAnsi="宋体"/>
          <w:b/>
          <w:color w:val="auto"/>
          <w:szCs w:val="21"/>
        </w:rPr>
      </w:pPr>
      <w:r>
        <w:rPr>
          <w:rFonts w:hint="eastAsia" w:ascii="宋体" w:hAnsi="宋体"/>
          <w:b/>
          <w:color w:val="auto"/>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pPr>
        <w:pStyle w:val="7"/>
        <w:numPr>
          <w:ilvl w:val="0"/>
          <w:numId w:val="9"/>
        </w:numPr>
        <w:spacing w:line="360" w:lineRule="auto"/>
        <w:ind w:firstLine="422"/>
        <w:rPr>
          <w:rFonts w:ascii="宋体" w:hAnsi="宋体"/>
          <w:b/>
          <w:color w:val="auto"/>
          <w:szCs w:val="21"/>
        </w:rPr>
      </w:pPr>
      <w:r>
        <w:rPr>
          <w:rFonts w:hint="eastAsia" w:ascii="宋体" w:hAnsi="宋体"/>
          <w:b/>
          <w:color w:val="auto"/>
          <w:szCs w:val="21"/>
        </w:rPr>
        <w:t>修正后的报价，投标人不确认的；</w:t>
      </w:r>
    </w:p>
    <w:p>
      <w:pPr>
        <w:pStyle w:val="7"/>
        <w:numPr>
          <w:ilvl w:val="0"/>
          <w:numId w:val="9"/>
        </w:numPr>
        <w:spacing w:line="360" w:lineRule="auto"/>
        <w:ind w:firstLine="422"/>
        <w:rPr>
          <w:rFonts w:ascii="宋体" w:hAnsi="宋体"/>
          <w:b/>
          <w:color w:val="auto"/>
          <w:szCs w:val="21"/>
        </w:rPr>
      </w:pPr>
      <w:r>
        <w:rPr>
          <w:rFonts w:hint="eastAsia" w:ascii="宋体" w:hAnsi="宋体"/>
          <w:b/>
          <w:color w:val="auto"/>
          <w:szCs w:val="21"/>
        </w:rPr>
        <w:t>投标人属于本章第</w:t>
      </w:r>
      <w:r>
        <w:rPr>
          <w:rFonts w:ascii="宋体" w:hAnsi="宋体"/>
          <w:b/>
          <w:color w:val="auto"/>
          <w:szCs w:val="21"/>
        </w:rPr>
        <w:t>5.1</w:t>
      </w:r>
      <w:r>
        <w:rPr>
          <w:rFonts w:hint="eastAsia" w:ascii="宋体" w:hAnsi="宋体"/>
          <w:b/>
          <w:color w:val="auto"/>
          <w:szCs w:val="21"/>
        </w:rPr>
        <w:t>条（2）或者第5</w:t>
      </w:r>
      <w:r>
        <w:rPr>
          <w:rFonts w:ascii="宋体" w:hAnsi="宋体"/>
          <w:b/>
          <w:color w:val="auto"/>
          <w:szCs w:val="21"/>
        </w:rPr>
        <w:t>.2条</w:t>
      </w:r>
      <w:r>
        <w:rPr>
          <w:rFonts w:hint="eastAsia" w:ascii="宋体" w:hAnsi="宋体"/>
          <w:b/>
          <w:color w:val="auto"/>
          <w:szCs w:val="21"/>
        </w:rPr>
        <w:t>（2）项情形的；</w:t>
      </w:r>
    </w:p>
    <w:p>
      <w:pPr>
        <w:pStyle w:val="7"/>
        <w:numPr>
          <w:ilvl w:val="0"/>
          <w:numId w:val="9"/>
        </w:numPr>
        <w:spacing w:line="360" w:lineRule="auto"/>
        <w:ind w:firstLine="422"/>
        <w:rPr>
          <w:rFonts w:ascii="宋体" w:hAnsi="宋体"/>
          <w:b/>
          <w:color w:val="auto"/>
          <w:szCs w:val="21"/>
        </w:rPr>
      </w:pPr>
      <w:r>
        <w:rPr>
          <w:rFonts w:hint="eastAsia" w:ascii="宋体" w:hAnsi="宋体"/>
          <w:b/>
          <w:color w:val="auto"/>
          <w:spacing w:val="-6"/>
          <w:szCs w:val="21"/>
        </w:rPr>
        <w:t>报价文件</w:t>
      </w:r>
      <w:r>
        <w:rPr>
          <w:rFonts w:hint="eastAsia" w:ascii="宋体" w:hAnsi="宋体"/>
          <w:b/>
          <w:color w:val="auto"/>
          <w:szCs w:val="21"/>
        </w:rPr>
        <w:t>响应的标的数量及单位与招标文件要求实质性不一致的。</w:t>
      </w:r>
    </w:p>
    <w:p>
      <w:pPr>
        <w:pStyle w:val="6"/>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2.2在商务评审时，如发现下列情形之一的，将被视为投标无效：</w:t>
      </w:r>
    </w:p>
    <w:p>
      <w:pPr>
        <w:numPr>
          <w:ilvl w:val="0"/>
          <w:numId w:val="10"/>
        </w:numPr>
        <w:snapToGrid w:val="0"/>
        <w:spacing w:line="360" w:lineRule="auto"/>
        <w:ind w:firstLine="422" w:firstLineChars="200"/>
        <w:rPr>
          <w:rFonts w:ascii="宋体" w:hAnsi="宋体"/>
          <w:b/>
          <w:color w:val="auto"/>
          <w:szCs w:val="21"/>
        </w:rPr>
      </w:pPr>
      <w:r>
        <w:rPr>
          <w:rFonts w:hint="eastAsia" w:ascii="宋体" w:hAnsi="宋体"/>
          <w:b/>
          <w:color w:val="auto"/>
          <w:szCs w:val="21"/>
        </w:rPr>
        <w:t>投标文件未按招标文件要求签署、盖章的；</w:t>
      </w:r>
    </w:p>
    <w:p>
      <w:pPr>
        <w:numPr>
          <w:ilvl w:val="0"/>
          <w:numId w:val="10"/>
        </w:numPr>
        <w:snapToGrid w:val="0"/>
        <w:spacing w:line="360" w:lineRule="auto"/>
        <w:ind w:firstLine="422" w:firstLineChars="200"/>
        <w:rPr>
          <w:rFonts w:ascii="宋体" w:hAnsi="宋体"/>
          <w:b/>
          <w:color w:val="auto"/>
          <w:szCs w:val="21"/>
        </w:rPr>
      </w:pPr>
      <w:r>
        <w:rPr>
          <w:rFonts w:hint="eastAsia" w:ascii="宋体" w:hAnsi="宋体"/>
          <w:b/>
          <w:color w:val="auto"/>
          <w:szCs w:val="21"/>
        </w:rPr>
        <w:t>委托代理人未能出具有效身份证或者出具的身份证与授权委托书中的信息不符的；</w:t>
      </w:r>
    </w:p>
    <w:p>
      <w:pPr>
        <w:numPr>
          <w:ilvl w:val="0"/>
          <w:numId w:val="10"/>
        </w:numPr>
        <w:snapToGrid w:val="0"/>
        <w:spacing w:line="360" w:lineRule="auto"/>
        <w:ind w:firstLine="422" w:firstLineChars="200"/>
        <w:rPr>
          <w:rFonts w:ascii="宋体" w:hAnsi="宋体"/>
          <w:b/>
          <w:color w:val="auto"/>
          <w:szCs w:val="21"/>
        </w:rPr>
      </w:pPr>
      <w:r>
        <w:rPr>
          <w:rFonts w:hint="eastAsia" w:ascii="宋体" w:hAnsi="宋体"/>
          <w:b/>
          <w:color w:val="auto"/>
          <w:szCs w:val="21"/>
        </w:rPr>
        <w:t>为无效投标保证金的或者未按照招标文件的规定提交投标保证金的；</w:t>
      </w:r>
    </w:p>
    <w:p>
      <w:pPr>
        <w:numPr>
          <w:ilvl w:val="0"/>
          <w:numId w:val="10"/>
        </w:numPr>
        <w:snapToGrid w:val="0"/>
        <w:spacing w:line="360" w:lineRule="auto"/>
        <w:ind w:firstLine="422" w:firstLineChars="200"/>
        <w:rPr>
          <w:rFonts w:ascii="宋体" w:hAnsi="宋体"/>
          <w:b/>
          <w:color w:val="auto"/>
          <w:szCs w:val="21"/>
        </w:rPr>
      </w:pPr>
      <w:r>
        <w:rPr>
          <w:rFonts w:hint="eastAsia" w:ascii="宋体" w:hAnsi="宋体"/>
          <w:b/>
          <w:color w:val="auto"/>
          <w:szCs w:val="21"/>
        </w:rPr>
        <w:t>投标文件未提供“投标人须知前附表”第13.</w:t>
      </w:r>
      <w:r>
        <w:rPr>
          <w:rFonts w:ascii="宋体" w:hAnsi="宋体"/>
          <w:b/>
          <w:color w:val="auto"/>
          <w:szCs w:val="21"/>
        </w:rPr>
        <w:t>1</w:t>
      </w:r>
      <w:r>
        <w:rPr>
          <w:rFonts w:hint="eastAsia" w:ascii="宋体" w:hAnsi="宋体"/>
          <w:b/>
          <w:color w:val="auto"/>
          <w:szCs w:val="21"/>
        </w:rPr>
        <w:t>条规定中“必须提供”或者“委托时必须提供”的文件资料的；</w:t>
      </w:r>
    </w:p>
    <w:p>
      <w:pPr>
        <w:numPr>
          <w:ilvl w:val="0"/>
          <w:numId w:val="10"/>
        </w:numPr>
        <w:snapToGrid w:val="0"/>
        <w:spacing w:line="360" w:lineRule="auto"/>
        <w:ind w:firstLine="422" w:firstLineChars="200"/>
        <w:rPr>
          <w:rFonts w:ascii="宋体" w:hAnsi="宋体"/>
          <w:b/>
          <w:color w:val="auto"/>
          <w:szCs w:val="21"/>
        </w:rPr>
      </w:pPr>
      <w:r>
        <w:rPr>
          <w:rFonts w:hint="eastAsia" w:ascii="宋体" w:hAnsi="宋体"/>
          <w:b/>
          <w:color w:val="auto"/>
          <w:szCs w:val="21"/>
        </w:rPr>
        <w:t>商务要求评审允许负偏离的条款数超过“投标人须知前附表”规定项数的；</w:t>
      </w:r>
    </w:p>
    <w:p>
      <w:pPr>
        <w:numPr>
          <w:ilvl w:val="0"/>
          <w:numId w:val="10"/>
        </w:numPr>
        <w:snapToGrid w:val="0"/>
        <w:spacing w:line="360" w:lineRule="auto"/>
        <w:ind w:firstLine="422" w:firstLineChars="200"/>
        <w:rPr>
          <w:rFonts w:ascii="宋体" w:hAnsi="宋体"/>
          <w:b/>
          <w:color w:val="auto"/>
          <w:szCs w:val="21"/>
        </w:rPr>
      </w:pPr>
      <w:r>
        <w:rPr>
          <w:rFonts w:hint="eastAsia" w:ascii="宋体" w:hAnsi="宋体"/>
          <w:b/>
          <w:color w:val="auto"/>
          <w:szCs w:val="21"/>
        </w:rPr>
        <w:t>投标文件的实质性内容未使用中文表述、使用计量单位不符合招标文件要求的；</w:t>
      </w:r>
    </w:p>
    <w:p>
      <w:pPr>
        <w:numPr>
          <w:ilvl w:val="0"/>
          <w:numId w:val="10"/>
        </w:numPr>
        <w:snapToGrid w:val="0"/>
        <w:spacing w:line="360" w:lineRule="auto"/>
        <w:ind w:firstLine="422" w:firstLineChars="200"/>
        <w:rPr>
          <w:rFonts w:ascii="宋体" w:hAnsi="宋体"/>
          <w:b/>
          <w:color w:val="auto"/>
          <w:szCs w:val="21"/>
        </w:rPr>
      </w:pPr>
      <w:r>
        <w:rPr>
          <w:rFonts w:hint="eastAsia" w:ascii="宋体" w:hAnsi="宋体"/>
          <w:b/>
          <w:color w:val="auto"/>
          <w:szCs w:val="21"/>
        </w:rPr>
        <w:t>投标文件中的文件资料因填写不齐全或者内容虚假或者出现其他情形而导致被评标委员会认定无效的；</w:t>
      </w:r>
    </w:p>
    <w:p>
      <w:pPr>
        <w:numPr>
          <w:ilvl w:val="0"/>
          <w:numId w:val="10"/>
        </w:numPr>
        <w:snapToGrid w:val="0"/>
        <w:spacing w:line="360" w:lineRule="auto"/>
        <w:ind w:firstLine="422" w:firstLineChars="200"/>
        <w:rPr>
          <w:rFonts w:ascii="宋体" w:hAnsi="宋体"/>
          <w:b/>
          <w:color w:val="auto"/>
          <w:szCs w:val="21"/>
        </w:rPr>
      </w:pPr>
      <w:r>
        <w:rPr>
          <w:rFonts w:hint="eastAsia" w:ascii="宋体" w:hAnsi="宋体"/>
          <w:b/>
          <w:color w:val="auto"/>
          <w:szCs w:val="21"/>
        </w:rPr>
        <w:t>投标文件含有采购人不能接受的附加条件的；</w:t>
      </w:r>
    </w:p>
    <w:p>
      <w:pPr>
        <w:numPr>
          <w:ilvl w:val="0"/>
          <w:numId w:val="10"/>
        </w:numPr>
        <w:snapToGrid w:val="0"/>
        <w:spacing w:line="360" w:lineRule="auto"/>
        <w:ind w:firstLine="422" w:firstLineChars="200"/>
        <w:rPr>
          <w:rFonts w:ascii="宋体" w:hAnsi="宋体"/>
          <w:b/>
          <w:color w:val="auto"/>
          <w:szCs w:val="21"/>
        </w:rPr>
      </w:pPr>
      <w:r>
        <w:rPr>
          <w:rFonts w:hint="eastAsia" w:ascii="宋体" w:hAnsi="宋体"/>
          <w:b/>
          <w:color w:val="auto"/>
          <w:szCs w:val="21"/>
        </w:rPr>
        <w:t>属于投标人须知正文第</w:t>
      </w:r>
      <w:r>
        <w:rPr>
          <w:rFonts w:ascii="宋体" w:hAnsi="宋体"/>
          <w:b/>
          <w:color w:val="auto"/>
          <w:szCs w:val="21"/>
        </w:rPr>
        <w:t>9.2</w:t>
      </w:r>
      <w:r>
        <w:rPr>
          <w:rFonts w:hint="eastAsia" w:ascii="宋体" w:hAnsi="宋体"/>
          <w:b/>
          <w:color w:val="auto"/>
          <w:szCs w:val="21"/>
        </w:rPr>
        <w:t>条情形的；</w:t>
      </w:r>
    </w:p>
    <w:p>
      <w:pPr>
        <w:numPr>
          <w:ilvl w:val="0"/>
          <w:numId w:val="10"/>
        </w:numPr>
        <w:snapToGrid w:val="0"/>
        <w:spacing w:line="360" w:lineRule="auto"/>
        <w:ind w:firstLine="422" w:firstLineChars="200"/>
        <w:rPr>
          <w:rFonts w:ascii="宋体" w:hAnsi="宋体"/>
          <w:b/>
          <w:color w:val="auto"/>
          <w:szCs w:val="21"/>
        </w:rPr>
      </w:pPr>
      <w:r>
        <w:rPr>
          <w:rFonts w:hint="eastAsia" w:ascii="宋体" w:hAnsi="宋体"/>
          <w:b/>
          <w:color w:val="auto"/>
          <w:szCs w:val="21"/>
        </w:rPr>
        <w:t>投标文件标注的项目名称或者项目编号与招标文件标注的项目名称或者项目编号不一致的；</w:t>
      </w:r>
    </w:p>
    <w:p>
      <w:pPr>
        <w:numPr>
          <w:ilvl w:val="0"/>
          <w:numId w:val="10"/>
        </w:numPr>
        <w:snapToGrid w:val="0"/>
        <w:spacing w:line="360" w:lineRule="auto"/>
        <w:ind w:firstLine="422" w:firstLineChars="200"/>
        <w:rPr>
          <w:rFonts w:ascii="宋体" w:hAnsi="宋体"/>
          <w:b/>
          <w:color w:val="auto"/>
          <w:szCs w:val="21"/>
        </w:rPr>
      </w:pPr>
      <w:r>
        <w:rPr>
          <w:rFonts w:hint="eastAsia" w:ascii="宋体" w:hAnsi="宋体"/>
          <w:b/>
          <w:color w:val="auto"/>
          <w:szCs w:val="21"/>
        </w:rPr>
        <w:t>招标文件明确不允许分包，投标文件拟分包的；</w:t>
      </w:r>
    </w:p>
    <w:p>
      <w:pPr>
        <w:numPr>
          <w:ilvl w:val="0"/>
          <w:numId w:val="10"/>
        </w:numPr>
        <w:snapToGrid w:val="0"/>
        <w:spacing w:line="360" w:lineRule="auto"/>
        <w:ind w:firstLine="422" w:firstLineChars="200"/>
        <w:rPr>
          <w:rFonts w:ascii="宋体" w:hAnsi="宋体"/>
          <w:b/>
          <w:color w:val="auto"/>
          <w:szCs w:val="21"/>
        </w:rPr>
      </w:pPr>
      <w:r>
        <w:rPr>
          <w:rFonts w:hint="eastAsia" w:ascii="宋体" w:hAnsi="宋体"/>
          <w:b/>
          <w:color w:val="auto"/>
          <w:szCs w:val="21"/>
        </w:rPr>
        <w:t>未响应招标文件实质性要求的；</w:t>
      </w:r>
    </w:p>
    <w:p>
      <w:pPr>
        <w:numPr>
          <w:ilvl w:val="0"/>
          <w:numId w:val="10"/>
        </w:numPr>
        <w:snapToGrid w:val="0"/>
        <w:spacing w:line="360" w:lineRule="auto"/>
        <w:ind w:firstLine="422" w:firstLineChars="200"/>
        <w:rPr>
          <w:rFonts w:ascii="宋体" w:hAnsi="宋体"/>
          <w:b/>
          <w:color w:val="auto"/>
          <w:szCs w:val="21"/>
        </w:rPr>
      </w:pPr>
      <w:r>
        <w:rPr>
          <w:rFonts w:hint="eastAsia" w:ascii="宋体" w:hAnsi="宋体"/>
          <w:b/>
          <w:color w:val="auto"/>
          <w:szCs w:val="21"/>
        </w:rPr>
        <w:t>法律、法规和招标文件规定的其他无效情形。</w:t>
      </w:r>
    </w:p>
    <w:p>
      <w:pPr>
        <w:pStyle w:val="6"/>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2.3在技术评审时，如发现下列情形之一的，将被视为投标无效：</w:t>
      </w:r>
    </w:p>
    <w:p>
      <w:pPr>
        <w:pStyle w:val="15"/>
        <w:snapToGrid w:val="0"/>
        <w:spacing w:line="360" w:lineRule="auto"/>
        <w:ind w:firstLine="398" w:firstLineChars="196"/>
        <w:rPr>
          <w:rFonts w:hAnsi="宋体"/>
          <w:b/>
          <w:color w:val="auto"/>
          <w:sz w:val="21"/>
          <w:szCs w:val="21"/>
        </w:rPr>
      </w:pPr>
      <w:r>
        <w:rPr>
          <w:rFonts w:hint="eastAsia" w:hAnsi="宋体"/>
          <w:b/>
          <w:color w:val="auto"/>
          <w:sz w:val="21"/>
          <w:szCs w:val="21"/>
        </w:rPr>
        <w:t>（1）技术要求评审允许负偏离的条款数超过“投标人须知前附表”规定项数的；</w:t>
      </w:r>
    </w:p>
    <w:p>
      <w:pPr>
        <w:pStyle w:val="15"/>
        <w:snapToGrid w:val="0"/>
        <w:spacing w:line="360" w:lineRule="auto"/>
        <w:ind w:firstLine="398" w:firstLineChars="196"/>
        <w:rPr>
          <w:rFonts w:hAnsi="宋体"/>
          <w:b/>
          <w:color w:val="auto"/>
          <w:sz w:val="21"/>
          <w:szCs w:val="21"/>
        </w:rPr>
      </w:pPr>
      <w:r>
        <w:rPr>
          <w:rFonts w:hint="eastAsia" w:hAnsi="宋体"/>
          <w:b/>
          <w:color w:val="auto"/>
          <w:sz w:val="21"/>
          <w:szCs w:val="21"/>
        </w:rPr>
        <w:t>（2）投标文件未提供“投标人须知前附表”第13.</w:t>
      </w:r>
      <w:r>
        <w:rPr>
          <w:rFonts w:hAnsi="宋体"/>
          <w:b/>
          <w:color w:val="auto"/>
          <w:sz w:val="21"/>
          <w:szCs w:val="21"/>
        </w:rPr>
        <w:t>1</w:t>
      </w:r>
      <w:r>
        <w:rPr>
          <w:rFonts w:hint="eastAsia" w:hAnsi="宋体"/>
          <w:b/>
          <w:color w:val="auto"/>
          <w:sz w:val="21"/>
          <w:szCs w:val="21"/>
        </w:rPr>
        <w:t>条规定中“必须提供”的文件资料的；</w:t>
      </w:r>
    </w:p>
    <w:p>
      <w:pPr>
        <w:pStyle w:val="15"/>
        <w:snapToGrid w:val="0"/>
        <w:spacing w:line="360" w:lineRule="auto"/>
        <w:ind w:firstLine="398" w:firstLineChars="196"/>
        <w:rPr>
          <w:rFonts w:hAnsi="宋体"/>
          <w:b/>
          <w:color w:val="auto"/>
          <w:sz w:val="21"/>
          <w:szCs w:val="21"/>
        </w:rPr>
      </w:pPr>
      <w:r>
        <w:rPr>
          <w:rFonts w:hint="eastAsia" w:hAnsi="宋体"/>
          <w:b/>
          <w:color w:val="auto"/>
          <w:sz w:val="21"/>
          <w:szCs w:val="21"/>
        </w:rPr>
        <w:t>（3）虚假投标，或者出现其他情形而导致被评标委员会认定无效的；</w:t>
      </w:r>
    </w:p>
    <w:p>
      <w:pPr>
        <w:pStyle w:val="15"/>
        <w:snapToGrid w:val="0"/>
        <w:spacing w:line="360" w:lineRule="auto"/>
        <w:ind w:firstLine="398" w:firstLineChars="196"/>
        <w:rPr>
          <w:rFonts w:hAnsi="宋体"/>
          <w:b/>
          <w:color w:val="auto"/>
          <w:sz w:val="21"/>
          <w:szCs w:val="21"/>
        </w:rPr>
      </w:pPr>
      <w:r>
        <w:rPr>
          <w:rFonts w:hint="eastAsia" w:hAnsi="宋体"/>
          <w:b/>
          <w:color w:val="auto"/>
          <w:sz w:val="21"/>
          <w:szCs w:val="21"/>
        </w:rPr>
        <w:t>（4）</w:t>
      </w:r>
      <w:bookmarkStart w:id="148" w:name="_Hlk71706244"/>
      <w:r>
        <w:rPr>
          <w:rFonts w:hint="eastAsia" w:hAnsi="宋体"/>
          <w:b/>
          <w:color w:val="auto"/>
          <w:sz w:val="21"/>
          <w:szCs w:val="21"/>
        </w:rPr>
        <w:t>招标文件未载明允许提供备选（替代）投标方案或明确不允许提供备选（替代）投标方案时，投标人提供了备选（替代）投标方案的；</w:t>
      </w:r>
      <w:bookmarkEnd w:id="148"/>
    </w:p>
    <w:p>
      <w:pPr>
        <w:pStyle w:val="15"/>
        <w:snapToGrid w:val="0"/>
        <w:spacing w:line="360" w:lineRule="auto"/>
        <w:ind w:firstLine="398" w:firstLineChars="196"/>
        <w:rPr>
          <w:rFonts w:hAnsi="宋体"/>
          <w:b/>
          <w:color w:val="auto"/>
          <w:sz w:val="21"/>
          <w:szCs w:val="21"/>
        </w:rPr>
      </w:pPr>
      <w:r>
        <w:rPr>
          <w:rFonts w:hint="eastAsia" w:hAnsi="宋体"/>
          <w:b/>
          <w:color w:val="auto"/>
          <w:sz w:val="21"/>
          <w:szCs w:val="21"/>
        </w:rPr>
        <w:t>（5）未响应招标文件实质性要求的。</w:t>
      </w:r>
    </w:p>
    <w:p>
      <w:pPr>
        <w:pStyle w:val="15"/>
        <w:snapToGrid w:val="0"/>
        <w:spacing w:line="360" w:lineRule="auto"/>
        <w:ind w:firstLine="398" w:firstLineChars="196"/>
        <w:rPr>
          <w:rFonts w:hAnsi="宋体"/>
          <w:b/>
          <w:color w:val="auto"/>
          <w:sz w:val="21"/>
          <w:szCs w:val="21"/>
        </w:rPr>
      </w:pPr>
      <w:r>
        <w:rPr>
          <w:rFonts w:hint="eastAsia" w:hAnsi="宋体"/>
          <w:b/>
          <w:color w:val="auto"/>
          <w:sz w:val="21"/>
          <w:szCs w:val="21"/>
        </w:rPr>
        <w:t>2.4通过符合性审查的投标人不足3家，评标委员会不得继续评标，并出具评标报告。</w:t>
      </w:r>
    </w:p>
    <w:p>
      <w:pPr>
        <w:pStyle w:val="6"/>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3</w:t>
      </w:r>
      <w:r>
        <w:rPr>
          <w:rFonts w:ascii="宋体" w:hAnsi="宋体"/>
          <w:color w:val="auto"/>
          <w:sz w:val="21"/>
          <w:szCs w:val="21"/>
        </w:rPr>
        <w:t>.</w:t>
      </w:r>
      <w:r>
        <w:rPr>
          <w:rFonts w:hint="eastAsia" w:ascii="宋体" w:hAnsi="宋体"/>
          <w:color w:val="auto"/>
          <w:sz w:val="21"/>
          <w:szCs w:val="21"/>
        </w:rPr>
        <w:t>澄清补正</w:t>
      </w:r>
    </w:p>
    <w:p>
      <w:pPr>
        <w:snapToGrid w:val="0"/>
        <w:spacing w:line="360" w:lineRule="auto"/>
        <w:ind w:firstLine="420" w:firstLineChars="200"/>
        <w:rPr>
          <w:rFonts w:ascii="宋体" w:hAnsi="宋体" w:cs="Courier New"/>
          <w:color w:val="auto"/>
          <w:szCs w:val="21"/>
        </w:rPr>
      </w:pPr>
      <w:r>
        <w:rPr>
          <w:rFonts w:hint="eastAsia" w:ascii="宋体" w:hAnsi="宋体" w:cs="Courier New"/>
          <w:color w:val="auto"/>
          <w:szCs w:val="21"/>
        </w:rPr>
        <w:t>对投标文件中含义不明确、同类问题表述不一致或者有明显文字和计算错误的内容，评标委员会以</w:t>
      </w:r>
      <w:r>
        <w:rPr>
          <w:rFonts w:hint="eastAsia" w:ascii="宋体" w:hAnsi="宋体" w:cs="宋体"/>
          <w:color w:val="auto"/>
          <w:szCs w:val="21"/>
        </w:rPr>
        <w:t>电子澄清函形式</w:t>
      </w:r>
      <w:r>
        <w:rPr>
          <w:rFonts w:hint="eastAsia" w:ascii="宋体" w:hAnsi="宋体" w:cs="Courier New"/>
          <w:color w:val="auto"/>
          <w:szCs w:val="21"/>
        </w:rPr>
        <w:t>要求投标人在规定时间内作出必要的澄清、说明或者纠正。投标人的澄清、说明或者补正必须采用</w:t>
      </w:r>
      <w:r>
        <w:rPr>
          <w:rFonts w:hint="eastAsia" w:ascii="宋体" w:hAnsi="宋体" w:cs="宋体"/>
          <w:color w:val="auto"/>
          <w:szCs w:val="21"/>
        </w:rPr>
        <w:t>电子回函形式</w:t>
      </w:r>
      <w:r>
        <w:rPr>
          <w:rFonts w:hint="eastAsia" w:ascii="宋体" w:hAnsi="宋体" w:cs="Courier New"/>
          <w:color w:val="auto"/>
          <w:szCs w:val="21"/>
        </w:rPr>
        <w:t>，并加盖投标人公章，或者由法定代表人或者其授权的代表签字。投标人的澄清、说明或者补正不得超出投标文件的范围或者改变投标文件的实质性内容。</w:t>
      </w:r>
    </w:p>
    <w:p>
      <w:pPr>
        <w:pStyle w:val="6"/>
        <w:keepNext w:val="0"/>
        <w:keepLines w:val="0"/>
        <w:spacing w:before="0" w:after="0" w:line="360" w:lineRule="auto"/>
        <w:ind w:left="420" w:left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投标文件修正</w:t>
      </w:r>
    </w:p>
    <w:p>
      <w:pPr>
        <w:pStyle w:val="6"/>
        <w:keepNext w:val="0"/>
        <w:keepLines w:val="0"/>
        <w:spacing w:before="0" w:after="0" w:line="360" w:lineRule="auto"/>
        <w:ind w:left="420" w:leftChars="200"/>
        <w:rPr>
          <w:rFonts w:ascii="宋体" w:hAnsi="宋体"/>
          <w:b w:val="0"/>
          <w:color w:val="auto"/>
          <w:sz w:val="21"/>
          <w:szCs w:val="21"/>
        </w:rPr>
      </w:pPr>
      <w:r>
        <w:rPr>
          <w:rFonts w:ascii="宋体" w:hAnsi="宋体"/>
          <w:b w:val="0"/>
          <w:color w:val="auto"/>
          <w:sz w:val="21"/>
          <w:szCs w:val="21"/>
        </w:rPr>
        <w:t>4</w:t>
      </w:r>
      <w:r>
        <w:rPr>
          <w:rFonts w:hint="eastAsia" w:ascii="宋体" w:hAnsi="宋体"/>
          <w:b w:val="0"/>
          <w:color w:val="auto"/>
          <w:sz w:val="21"/>
          <w:szCs w:val="21"/>
        </w:rPr>
        <w:t xml:space="preserve">.1投标文件报价出现前后不一致的，按照下列规定修正： </w:t>
      </w:r>
    </w:p>
    <w:p>
      <w:pPr>
        <w:pStyle w:val="18"/>
        <w:snapToGrid w:val="0"/>
        <w:spacing w:line="360" w:lineRule="auto"/>
        <w:ind w:firstLine="420" w:firstLineChars="200"/>
        <w:rPr>
          <w:rFonts w:hAnsi="宋体"/>
          <w:color w:val="auto"/>
        </w:rPr>
      </w:pPr>
      <w:r>
        <w:rPr>
          <w:rFonts w:hint="eastAsia" w:hAnsi="宋体"/>
          <w:color w:val="auto"/>
        </w:rPr>
        <w:t>（1）投标文件中开标一览表（报价表）内容与投标文件中相应内容不一致的，以开标一览表（报价表）为准；</w:t>
      </w:r>
    </w:p>
    <w:p>
      <w:pPr>
        <w:pStyle w:val="18"/>
        <w:snapToGrid w:val="0"/>
        <w:spacing w:line="360" w:lineRule="auto"/>
        <w:ind w:firstLine="420" w:firstLineChars="200"/>
        <w:rPr>
          <w:rFonts w:hAnsi="宋体"/>
          <w:color w:val="auto"/>
        </w:rPr>
      </w:pPr>
      <w:r>
        <w:rPr>
          <w:rFonts w:hint="eastAsia" w:hAnsi="宋体"/>
          <w:color w:val="auto"/>
        </w:rPr>
        <w:t>（2）大写金额和小写金额不一致的，以大写金额为准；</w:t>
      </w:r>
    </w:p>
    <w:p>
      <w:pPr>
        <w:pStyle w:val="18"/>
        <w:snapToGrid w:val="0"/>
        <w:spacing w:line="360" w:lineRule="auto"/>
        <w:ind w:firstLine="420" w:firstLineChars="200"/>
        <w:rPr>
          <w:rFonts w:hAnsi="宋体"/>
          <w:color w:val="auto"/>
        </w:rPr>
      </w:pPr>
      <w:r>
        <w:rPr>
          <w:rFonts w:hint="eastAsia" w:hAnsi="宋体"/>
          <w:color w:val="auto"/>
        </w:rPr>
        <w:t>（3）单价金额小数点或者百分比有明显错位的，以开标一览表的总价为准，并修改单价；</w:t>
      </w:r>
    </w:p>
    <w:p>
      <w:pPr>
        <w:pStyle w:val="18"/>
        <w:snapToGrid w:val="0"/>
        <w:spacing w:line="360" w:lineRule="auto"/>
        <w:ind w:firstLine="420" w:firstLineChars="200"/>
        <w:rPr>
          <w:rFonts w:hAnsi="宋体"/>
          <w:color w:val="auto"/>
        </w:rPr>
      </w:pPr>
      <w:r>
        <w:rPr>
          <w:rFonts w:hint="eastAsia" w:hAnsi="宋体"/>
          <w:color w:val="auto"/>
        </w:rPr>
        <w:t>（4）总价金额与按单价汇总金额不一致的，以单价金额计算结果为准。</w:t>
      </w:r>
    </w:p>
    <w:p>
      <w:pPr>
        <w:pStyle w:val="18"/>
        <w:snapToGrid w:val="0"/>
        <w:spacing w:line="360" w:lineRule="auto"/>
        <w:ind w:firstLine="420" w:firstLineChars="200"/>
        <w:rPr>
          <w:rFonts w:hAnsi="宋体"/>
          <w:color w:val="auto"/>
        </w:rPr>
      </w:pPr>
      <w:r>
        <w:rPr>
          <w:rFonts w:hint="eastAsia" w:hAnsi="宋体"/>
          <w:color w:val="auto"/>
        </w:rPr>
        <w:t>同时出现两种以上不一致的，按照以上（1）-（4）规定的顺序修正。修正后的报价经投标人确认后产生约束力，投标人不确认的，</w:t>
      </w:r>
      <w:r>
        <w:rPr>
          <w:rFonts w:hint="eastAsia" w:hAnsi="宋体"/>
          <w:b/>
          <w:color w:val="auto"/>
        </w:rPr>
        <w:t>其投标无效</w:t>
      </w:r>
      <w:r>
        <w:rPr>
          <w:rFonts w:hint="eastAsia" w:hAnsi="宋体"/>
          <w:color w:val="auto"/>
        </w:rPr>
        <w:t>。</w:t>
      </w:r>
    </w:p>
    <w:p>
      <w:pPr>
        <w:pStyle w:val="6"/>
        <w:keepNext w:val="0"/>
        <w:keepLines w:val="0"/>
        <w:spacing w:before="0" w:after="0" w:line="360" w:lineRule="auto"/>
        <w:rPr>
          <w:rFonts w:ascii="宋体" w:hAnsi="宋体"/>
          <w:b w:val="0"/>
          <w:color w:val="auto"/>
          <w:sz w:val="21"/>
          <w:szCs w:val="21"/>
        </w:rPr>
      </w:pPr>
      <w:r>
        <w:rPr>
          <w:rFonts w:ascii="宋体" w:hAnsi="宋体"/>
          <w:b w:val="0"/>
          <w:color w:val="auto"/>
          <w:sz w:val="21"/>
          <w:szCs w:val="21"/>
        </w:rPr>
        <w:t xml:space="preserve">    4</w:t>
      </w:r>
      <w:r>
        <w:rPr>
          <w:rFonts w:hint="eastAsia" w:ascii="宋体" w:hAnsi="宋体"/>
          <w:b w:val="0"/>
          <w:color w:val="auto"/>
          <w:sz w:val="21"/>
          <w:szCs w:val="21"/>
        </w:rPr>
        <w:t>.2经投标人确认修正后的报价若超过采购预算金额或者最高限价，</w:t>
      </w:r>
      <w:r>
        <w:rPr>
          <w:rFonts w:hint="eastAsia" w:ascii="宋体" w:hAnsi="宋体"/>
          <w:color w:val="auto"/>
          <w:sz w:val="21"/>
          <w:szCs w:val="21"/>
        </w:rPr>
        <w:t>投标人的投标文件作无效投标处理</w:t>
      </w:r>
      <w:r>
        <w:rPr>
          <w:rFonts w:hint="eastAsia" w:ascii="宋体" w:hAnsi="宋体"/>
          <w:b w:val="0"/>
          <w:color w:val="auto"/>
          <w:sz w:val="21"/>
          <w:szCs w:val="21"/>
        </w:rPr>
        <w:t>。</w:t>
      </w:r>
    </w:p>
    <w:p>
      <w:pPr>
        <w:snapToGrid w:val="0"/>
        <w:spacing w:line="360" w:lineRule="auto"/>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.3经投标人确认修正后的报价作为签订合同的依据，并以此报价计算价格分。</w:t>
      </w:r>
    </w:p>
    <w:p>
      <w:pPr>
        <w:pStyle w:val="6"/>
        <w:keepNext w:val="0"/>
        <w:keepLines w:val="0"/>
        <w:spacing w:before="0" w:after="0" w:line="360" w:lineRule="auto"/>
        <w:ind w:left="420" w:leftChars="200"/>
        <w:rPr>
          <w:rFonts w:ascii="宋体" w:hAnsi="宋体"/>
          <w:color w:val="auto"/>
          <w:sz w:val="21"/>
          <w:szCs w:val="21"/>
        </w:rPr>
      </w:pPr>
      <w:r>
        <w:rPr>
          <w:rFonts w:ascii="宋体" w:hAnsi="宋体"/>
          <w:color w:val="auto"/>
          <w:sz w:val="21"/>
          <w:szCs w:val="21"/>
        </w:rPr>
        <w:t>5.</w:t>
      </w:r>
      <w:r>
        <w:rPr>
          <w:rFonts w:hint="eastAsia" w:ascii="宋体" w:hAnsi="宋体"/>
          <w:color w:val="auto"/>
          <w:sz w:val="21"/>
          <w:szCs w:val="21"/>
        </w:rPr>
        <w:t>比较与评价</w:t>
      </w:r>
    </w:p>
    <w:p>
      <w:pPr>
        <w:snapToGrid w:val="0"/>
        <w:spacing w:line="360" w:lineRule="auto"/>
        <w:ind w:firstLine="420" w:firstLineChars="200"/>
        <w:rPr>
          <w:rFonts w:ascii="宋体" w:hAnsi="宋体"/>
          <w:color w:val="auto"/>
          <w:szCs w:val="21"/>
        </w:rPr>
      </w:pPr>
      <w:r>
        <w:rPr>
          <w:rFonts w:hint="eastAsia" w:ascii="宋体" w:hAnsi="宋体"/>
          <w:color w:val="auto"/>
          <w:szCs w:val="21"/>
        </w:rPr>
        <w:t>5.1采用综合评分法的</w:t>
      </w:r>
    </w:p>
    <w:p>
      <w:pPr>
        <w:snapToGrid w:val="0"/>
        <w:spacing w:line="360" w:lineRule="auto"/>
        <w:ind w:firstLine="420" w:firstLineChars="200"/>
        <w:rPr>
          <w:rFonts w:ascii="宋体" w:hAnsi="宋体"/>
          <w:color w:val="auto"/>
          <w:szCs w:val="21"/>
        </w:rPr>
      </w:pPr>
      <w:r>
        <w:rPr>
          <w:rFonts w:hint="eastAsia" w:ascii="宋体" w:hAnsi="宋体"/>
          <w:color w:val="auto"/>
          <w:szCs w:val="21"/>
        </w:rPr>
        <w:t>（1）评标委员会按照招标文件中规定的评标方法及评标标准，对符合性审查合格的投标文件进行商务和技术评估，综合比较与评价。</w:t>
      </w:r>
    </w:p>
    <w:p>
      <w:pPr>
        <w:snapToGrid w:val="0"/>
        <w:spacing w:line="360" w:lineRule="auto"/>
        <w:ind w:firstLine="420" w:firstLineChars="200"/>
        <w:rPr>
          <w:rFonts w:ascii="宋体" w:hAnsi="宋体"/>
          <w:color w:val="auto"/>
          <w:szCs w:val="21"/>
        </w:rPr>
      </w:pPr>
      <w:r>
        <w:rPr>
          <w:rFonts w:hint="eastAsia" w:ascii="宋体" w:hAnsi="宋体"/>
          <w:color w:val="auto"/>
          <w:szCs w:val="21"/>
        </w:rPr>
        <w:t>（2）评标委员会独立对每个投标人的投标文件进行评价，并汇总每个投标人的得分。</w:t>
      </w:r>
    </w:p>
    <w:p>
      <w:pPr>
        <w:snapToGrid w:val="0"/>
        <w:spacing w:line="360" w:lineRule="auto"/>
        <w:ind w:firstLine="420" w:firstLineChars="200"/>
        <w:rPr>
          <w:rFonts w:ascii="宋体" w:hAnsi="宋体"/>
          <w:color w:val="auto"/>
          <w:szCs w:val="21"/>
        </w:rPr>
      </w:pPr>
      <w:r>
        <w:rPr>
          <w:rFonts w:hint="eastAsia" w:ascii="宋体" w:hAnsi="宋体"/>
          <w:color w:val="auto"/>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zCs w:val="21"/>
        </w:rPr>
        <w:t>投标人不能证明其报价合理性的，评标委员会将其作为无效投标处理</w:t>
      </w:r>
      <w:r>
        <w:rPr>
          <w:rFonts w:hint="eastAsia" w:ascii="宋体" w:hAnsi="宋体"/>
          <w:color w:val="auto"/>
          <w:szCs w:val="21"/>
        </w:rPr>
        <w:t>。</w:t>
      </w:r>
    </w:p>
    <w:p>
      <w:pPr>
        <w:snapToGrid w:val="0"/>
        <w:spacing w:line="360" w:lineRule="auto"/>
        <w:ind w:firstLine="420" w:firstLineChars="200"/>
        <w:rPr>
          <w:rFonts w:ascii="宋体" w:hAnsi="宋体"/>
          <w:color w:val="auto"/>
          <w:szCs w:val="21"/>
        </w:rPr>
      </w:pPr>
      <w:r>
        <w:rPr>
          <w:rFonts w:hint="eastAsia" w:ascii="宋体" w:hAnsi="宋体"/>
          <w:color w:val="auto"/>
          <w:szCs w:val="21"/>
        </w:rPr>
        <w:t>（3）评标委员会按照招标文件中规定的评标方法和标准计算各投标人的报价得分。在计算过程中，不得去掉最高报价或者最低报价。</w:t>
      </w:r>
    </w:p>
    <w:p>
      <w:pPr>
        <w:snapToGrid w:val="0"/>
        <w:spacing w:line="360" w:lineRule="auto"/>
        <w:ind w:firstLine="420" w:firstLineChars="200"/>
        <w:rPr>
          <w:rFonts w:ascii="宋体" w:hAnsi="宋体"/>
          <w:color w:val="auto"/>
          <w:szCs w:val="21"/>
        </w:rPr>
      </w:pPr>
      <w:r>
        <w:rPr>
          <w:rFonts w:hint="eastAsia" w:ascii="宋体" w:hAnsi="宋体"/>
          <w:color w:val="auto"/>
          <w:szCs w:val="21"/>
        </w:rPr>
        <w:t>（4）各投标人的得分为所有评委的有效评分的算术平均数。</w:t>
      </w:r>
    </w:p>
    <w:p>
      <w:pPr>
        <w:snapToGrid w:val="0"/>
        <w:spacing w:line="360" w:lineRule="auto"/>
        <w:ind w:firstLine="420" w:firstLineChars="200"/>
        <w:rPr>
          <w:rFonts w:ascii="宋体" w:hAnsi="宋体"/>
          <w:color w:val="auto"/>
          <w:szCs w:val="21"/>
        </w:rPr>
      </w:pPr>
      <w:r>
        <w:rPr>
          <w:rFonts w:hint="eastAsia" w:ascii="宋体" w:hAnsi="宋体"/>
          <w:color w:val="auto"/>
          <w:szCs w:val="21"/>
        </w:rPr>
        <w:t>（5）评标委员会按照招标文件中的规定推荐中标候选人。</w:t>
      </w:r>
    </w:p>
    <w:p>
      <w:pPr>
        <w:snapToGrid w:val="0"/>
        <w:spacing w:line="360" w:lineRule="auto"/>
        <w:ind w:firstLine="420" w:firstLineChars="200"/>
        <w:rPr>
          <w:rFonts w:ascii="宋体" w:hAnsi="宋体"/>
          <w:color w:val="auto"/>
          <w:szCs w:val="21"/>
        </w:rPr>
      </w:pPr>
      <w:r>
        <w:rPr>
          <w:rFonts w:hint="eastAsia" w:ascii="宋体" w:hAnsi="宋体"/>
          <w:color w:val="auto"/>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snapToGrid w:val="0"/>
        <w:spacing w:line="360" w:lineRule="auto"/>
        <w:ind w:firstLine="420" w:firstLineChars="200"/>
        <w:rPr>
          <w:rFonts w:ascii="宋体" w:hAnsi="宋体"/>
          <w:color w:val="auto"/>
          <w:szCs w:val="21"/>
        </w:rPr>
      </w:pPr>
      <w:r>
        <w:rPr>
          <w:rFonts w:hint="eastAsia" w:ascii="宋体" w:hAnsi="宋体"/>
          <w:color w:val="auto"/>
          <w:szCs w:val="21"/>
        </w:rPr>
        <w:t>5.2采用</w:t>
      </w:r>
      <w:r>
        <w:rPr>
          <w:rFonts w:hint="eastAsia" w:hAnsi="宋体"/>
          <w:color w:val="auto"/>
        </w:rPr>
        <w:t>最低评标价法</w:t>
      </w:r>
      <w:r>
        <w:rPr>
          <w:rFonts w:hint="eastAsia" w:ascii="宋体" w:hAnsi="宋体"/>
          <w:color w:val="auto"/>
          <w:szCs w:val="21"/>
        </w:rPr>
        <w:t>的</w:t>
      </w:r>
    </w:p>
    <w:p>
      <w:pPr>
        <w:snapToGrid w:val="0"/>
        <w:spacing w:line="360" w:lineRule="auto"/>
        <w:ind w:firstLine="424" w:firstLineChars="202"/>
        <w:jc w:val="left"/>
        <w:rPr>
          <w:rFonts w:ascii="宋体" w:hAnsi="宋体"/>
          <w:color w:val="auto"/>
          <w:szCs w:val="21"/>
        </w:rPr>
      </w:pPr>
      <w:r>
        <w:rPr>
          <w:rFonts w:hint="eastAsia" w:ascii="宋体" w:hAnsi="宋体"/>
          <w:color w:val="auto"/>
          <w:szCs w:val="21"/>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pPr>
        <w:snapToGrid w:val="0"/>
        <w:spacing w:line="360" w:lineRule="auto"/>
        <w:ind w:firstLine="399" w:firstLineChars="202"/>
        <w:jc w:val="left"/>
        <w:rPr>
          <w:rFonts w:ascii="宋体" w:hAnsi="宋体"/>
          <w:color w:val="auto"/>
          <w:spacing w:val="-6"/>
          <w:szCs w:val="21"/>
        </w:rPr>
      </w:pPr>
      <w:r>
        <w:rPr>
          <w:rFonts w:hint="eastAsia" w:ascii="宋体" w:hAnsi="宋体"/>
          <w:color w:val="auto"/>
          <w:spacing w:val="-6"/>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pacing w:val="-6"/>
          <w:szCs w:val="21"/>
        </w:rPr>
        <w:t>投标人不能证明其报价合理性的，评标委员会将其作为无效投标处理</w:t>
      </w:r>
      <w:r>
        <w:rPr>
          <w:rFonts w:hint="eastAsia" w:ascii="宋体" w:hAnsi="宋体"/>
          <w:color w:val="auto"/>
          <w:spacing w:val="-6"/>
          <w:szCs w:val="21"/>
        </w:rPr>
        <w:t>。</w:t>
      </w:r>
    </w:p>
    <w:p>
      <w:pPr>
        <w:snapToGrid w:val="0"/>
        <w:spacing w:line="360" w:lineRule="auto"/>
        <w:ind w:firstLine="424" w:firstLineChars="202"/>
        <w:jc w:val="left"/>
        <w:rPr>
          <w:rFonts w:ascii="宋体" w:hAnsi="宋体"/>
          <w:color w:val="auto"/>
          <w:szCs w:val="21"/>
        </w:rPr>
      </w:pPr>
      <w:r>
        <w:rPr>
          <w:rFonts w:hint="eastAsia" w:ascii="宋体" w:hAnsi="宋体"/>
          <w:color w:val="auto"/>
          <w:szCs w:val="21"/>
        </w:rPr>
        <w:t>（3）评标委员会按照招标文件中的规定推荐中标候选人。</w:t>
      </w:r>
    </w:p>
    <w:p>
      <w:pPr>
        <w:snapToGrid w:val="0"/>
        <w:spacing w:line="360" w:lineRule="auto"/>
        <w:ind w:firstLine="424" w:firstLineChars="202"/>
        <w:jc w:val="left"/>
        <w:rPr>
          <w:rFonts w:ascii="宋体" w:hAnsi="宋体"/>
          <w:color w:val="auto"/>
          <w:szCs w:val="21"/>
        </w:rPr>
      </w:pPr>
      <w:r>
        <w:rPr>
          <w:rFonts w:hint="eastAsia" w:ascii="宋体" w:hAnsi="宋体"/>
          <w:color w:val="auto"/>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pStyle w:val="6"/>
        <w:keepNext w:val="0"/>
        <w:keepLines w:val="0"/>
        <w:spacing w:before="0" w:after="0" w:line="240" w:lineRule="auto"/>
        <w:ind w:left="420" w:leftChars="200"/>
        <w:rPr>
          <w:rFonts w:ascii="宋体" w:hAnsi="宋体"/>
          <w:b w:val="0"/>
          <w:color w:val="auto"/>
          <w:sz w:val="21"/>
          <w:szCs w:val="21"/>
        </w:rPr>
      </w:pPr>
    </w:p>
    <w:p>
      <w:pPr>
        <w:pStyle w:val="2"/>
        <w:keepNext w:val="0"/>
        <w:keepLines w:val="0"/>
        <w:jc w:val="center"/>
        <w:rPr>
          <w:color w:val="auto"/>
        </w:rPr>
      </w:pPr>
      <w:r>
        <w:rPr>
          <w:rFonts w:hAnsi="宋体"/>
          <w:color w:val="auto"/>
        </w:rPr>
        <w:br w:type="page"/>
      </w:r>
      <w:r>
        <w:rPr>
          <w:rFonts w:hint="eastAsia"/>
          <w:color w:val="auto"/>
        </w:rPr>
        <w:t>三、评标标准（综合评分法，计分方法按四舍五入取至百分位）</w:t>
      </w:r>
    </w:p>
    <w:p>
      <w:pPr>
        <w:rPr>
          <w:color w:val="auto"/>
        </w:rPr>
      </w:pPr>
    </w:p>
    <w:tbl>
      <w:tblPr>
        <w:tblStyle w:val="35"/>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062"/>
        <w:gridCol w:w="1155"/>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620" w:type="dxa"/>
            <w:gridSpan w:val="2"/>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center"/>
              <w:textAlignment w:val="baseline"/>
              <w:rPr>
                <w:rFonts w:ascii="宋体" w:hAnsi="宋体"/>
                <w:b/>
                <w:color w:val="auto"/>
                <w:szCs w:val="21"/>
              </w:rPr>
            </w:pPr>
            <w:r>
              <w:rPr>
                <w:rFonts w:hint="eastAsia" w:ascii="宋体" w:hAnsi="宋体"/>
                <w:b/>
                <w:color w:val="auto"/>
                <w:szCs w:val="21"/>
              </w:rPr>
              <w:t>序号</w:t>
            </w:r>
          </w:p>
        </w:tc>
        <w:tc>
          <w:tcPr>
            <w:tcW w:w="1155"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center"/>
              <w:textAlignment w:val="baseline"/>
              <w:rPr>
                <w:rFonts w:ascii="宋体" w:hAnsi="宋体"/>
                <w:color w:val="auto"/>
                <w:szCs w:val="21"/>
              </w:rPr>
            </w:pPr>
            <w:r>
              <w:rPr>
                <w:rFonts w:hint="eastAsia" w:ascii="宋体" w:hAnsi="宋体"/>
                <w:b/>
                <w:color w:val="auto"/>
                <w:szCs w:val="21"/>
              </w:rPr>
              <w:t>评审因素</w:t>
            </w:r>
          </w:p>
        </w:tc>
        <w:tc>
          <w:tcPr>
            <w:tcW w:w="7183"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center"/>
              <w:textAlignment w:val="baseline"/>
              <w:rPr>
                <w:rFonts w:ascii="宋体" w:hAnsi="宋体"/>
                <w:color w:val="auto"/>
                <w:szCs w:val="21"/>
              </w:rPr>
            </w:pPr>
            <w:r>
              <w:rPr>
                <w:rFonts w:hint="eastAsia" w:ascii="宋体" w:hAnsi="宋体"/>
                <w:b/>
                <w:color w:val="auto"/>
                <w:szCs w:val="21"/>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center"/>
              <w:textAlignment w:val="baseline"/>
              <w:rPr>
                <w:rFonts w:ascii="宋体" w:hAnsi="宋体"/>
                <w:color w:val="auto"/>
                <w:szCs w:val="21"/>
              </w:rPr>
            </w:pPr>
            <w:r>
              <w:rPr>
                <w:rFonts w:hint="eastAsia" w:ascii="宋体" w:hAnsi="宋体"/>
                <w:color w:val="auto"/>
                <w:szCs w:val="21"/>
              </w:rPr>
              <w:t>1</w:t>
            </w:r>
          </w:p>
        </w:tc>
        <w:tc>
          <w:tcPr>
            <w:tcW w:w="1062"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center"/>
              <w:textAlignment w:val="baseline"/>
              <w:rPr>
                <w:rFonts w:ascii="宋体" w:hAnsi="宋体"/>
                <w:b/>
                <w:color w:val="auto"/>
                <w:szCs w:val="21"/>
              </w:rPr>
            </w:pPr>
            <w:r>
              <w:rPr>
                <w:rFonts w:hint="eastAsia" w:ascii="宋体" w:hAnsi="宋体"/>
                <w:b/>
                <w:color w:val="auto"/>
                <w:szCs w:val="21"/>
              </w:rPr>
              <w:t>价格分</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center"/>
              <w:textAlignment w:val="baseline"/>
              <w:rPr>
                <w:rFonts w:ascii="宋体" w:hAnsi="宋体"/>
                <w:color w:val="auto"/>
                <w:szCs w:val="21"/>
              </w:rPr>
            </w:pPr>
            <w:r>
              <w:rPr>
                <w:rFonts w:hint="eastAsia" w:ascii="宋体" w:hAnsi="宋体"/>
                <w:color w:val="auto"/>
                <w:szCs w:val="21"/>
              </w:rPr>
              <w:t>（满分</w:t>
            </w:r>
            <w:r>
              <w:rPr>
                <w:rFonts w:hint="eastAsia" w:ascii="宋体" w:hAnsi="宋体"/>
                <w:color w:val="auto"/>
                <w:szCs w:val="21"/>
                <w:u w:val="single"/>
              </w:rPr>
              <w:t>50</w:t>
            </w:r>
            <w:r>
              <w:rPr>
                <w:rFonts w:hint="eastAsia" w:ascii="宋体" w:hAnsi="宋体"/>
                <w:color w:val="auto"/>
                <w:szCs w:val="21"/>
              </w:rPr>
              <w:t>分）</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center"/>
              <w:textAlignment w:val="baseline"/>
              <w:rPr>
                <w:rFonts w:ascii="宋体" w:hAnsi="宋体"/>
                <w:color w:val="auto"/>
                <w:szCs w:val="21"/>
              </w:rPr>
            </w:pPr>
          </w:p>
        </w:tc>
        <w:tc>
          <w:tcPr>
            <w:tcW w:w="1155"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center"/>
              <w:textAlignment w:val="baseline"/>
              <w:rPr>
                <w:rFonts w:ascii="宋体" w:hAnsi="宋体"/>
                <w:b/>
                <w:color w:val="auto"/>
                <w:szCs w:val="21"/>
              </w:rPr>
            </w:pPr>
            <w:r>
              <w:rPr>
                <w:rFonts w:hint="eastAsia" w:ascii="宋体" w:hAnsi="宋体"/>
                <w:b/>
                <w:color w:val="auto"/>
                <w:szCs w:val="21"/>
              </w:rPr>
              <w:t>投标报价</w:t>
            </w:r>
          </w:p>
        </w:tc>
        <w:tc>
          <w:tcPr>
            <w:tcW w:w="7183"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20" w:firstLineChars="200"/>
              <w:contextualSpacing/>
              <w:textAlignment w:val="auto"/>
              <w:rPr>
                <w:rFonts w:ascii="宋体" w:hAnsi="宋体" w:cs="宋体"/>
                <w:bCs/>
                <w:color w:val="auto"/>
                <w:kern w:val="0"/>
                <w:szCs w:val="21"/>
              </w:rPr>
            </w:pPr>
            <w:r>
              <w:rPr>
                <w:rFonts w:hint="eastAsia" w:ascii="宋体" w:hAnsi="宋体" w:cs="宋体"/>
                <w:bCs/>
                <w:color w:val="auto"/>
                <w:kern w:val="0"/>
                <w:szCs w:val="21"/>
              </w:rPr>
              <w:t>（1）以进入综合评分的最低评标报价为50分。</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20" w:firstLineChars="200"/>
              <w:contextualSpacing/>
              <w:textAlignment w:val="auto"/>
              <w:rPr>
                <w:rFonts w:ascii="宋体" w:hAnsi="宋体" w:cs="宋体"/>
                <w:bCs/>
                <w:color w:val="auto"/>
                <w:kern w:val="0"/>
                <w:szCs w:val="21"/>
              </w:rPr>
            </w:pPr>
            <w:r>
              <w:rPr>
                <w:rFonts w:hint="eastAsia" w:ascii="宋体" w:hAnsi="宋体" w:cs="宋体"/>
                <w:bCs/>
                <w:color w:val="auto"/>
                <w:kern w:val="0"/>
                <w:szCs w:val="21"/>
              </w:rPr>
              <w:t>（2）按照《政府采购促进中小企业发展暂行办法》（财库[2011]181号），投标单位认定为小型和微型企业的（以投标文件提供的符合规定的有关证明材料为准)，并提供本企业制造的货物，由本企业承担工程、提供服务，或者提供其他小型、微型企业制造的货物的（不包括使用大型企业注册商标的货物），对投标价给予6%的扣除，扣除后的价格为评标报价，即评标报价=投标价×（1-6%）；大中型企业与小型、微型企业组成联合体投标，其中小型、微型企业的协议合同金额占到联合体协议合同总金额30%以上的，联合体投标价给予2%的扣除，扣除后的价格为评标价，即评标报价=投标价×（1-2%）；</w:t>
            </w:r>
          </w:p>
          <w:p>
            <w:pPr>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ascii="宋体" w:hAnsi="宋体"/>
                <w:color w:val="auto"/>
                <w:szCs w:val="21"/>
              </w:rPr>
            </w:pPr>
            <w:r>
              <w:rPr>
                <w:rFonts w:hint="eastAsia" w:ascii="宋体" w:hAnsi="宋体"/>
                <w:color w:val="auto"/>
                <w:szCs w:val="21"/>
              </w:rPr>
              <w:t>投标产品提供企业按《关于政府采购支持监狱企业发展有关问题的通知》</w:t>
            </w:r>
            <w:r>
              <w:rPr>
                <w:rFonts w:ascii="宋体" w:hAnsi="宋体"/>
                <w:color w:val="auto"/>
                <w:szCs w:val="21"/>
              </w:rPr>
              <w:t>(</w:t>
            </w:r>
            <w:r>
              <w:rPr>
                <w:rFonts w:hint="eastAsia" w:ascii="宋体" w:hAnsi="宋体"/>
                <w:color w:val="auto"/>
                <w:szCs w:val="21"/>
              </w:rPr>
              <w:t>财库</w:t>
            </w:r>
            <w:r>
              <w:rPr>
                <w:rFonts w:ascii="宋体" w:hAnsi="宋体"/>
                <w:color w:val="auto"/>
                <w:szCs w:val="21"/>
              </w:rPr>
              <w:t>[2014]68</w:t>
            </w:r>
            <w:r>
              <w:rPr>
                <w:rFonts w:hint="eastAsia" w:ascii="宋体" w:hAnsi="宋体"/>
                <w:color w:val="auto"/>
                <w:szCs w:val="21"/>
              </w:rPr>
              <w:t>号</w:t>
            </w:r>
            <w:r>
              <w:rPr>
                <w:rFonts w:ascii="宋体" w:hAnsi="宋体"/>
                <w:color w:val="auto"/>
                <w:szCs w:val="21"/>
              </w:rPr>
              <w:t>)</w:t>
            </w:r>
            <w:r>
              <w:rPr>
                <w:rFonts w:hint="eastAsia" w:ascii="宋体" w:hAnsi="宋体"/>
                <w:color w:val="auto"/>
                <w:szCs w:val="21"/>
              </w:rPr>
              <w:t>认定为监狱企业的，在政府采购活动中，监狱企业视同小型、微型企业。监狱企业参加政府采购活动时，应当提供由省级以上监狱管理局、戒毒管理局（含新疆生产建设兵团）出具的属于监狱企业的证明文件；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20" w:firstLineChars="200"/>
              <w:contextualSpacing/>
              <w:textAlignment w:val="auto"/>
              <w:rPr>
                <w:rFonts w:ascii="宋体" w:hAnsi="宋体" w:cs="宋体"/>
                <w:bCs/>
                <w:color w:val="auto"/>
                <w:kern w:val="0"/>
                <w:szCs w:val="21"/>
              </w:rPr>
            </w:pPr>
            <w:r>
              <w:rPr>
                <w:rFonts w:hint="eastAsia" w:ascii="宋体" w:hAnsi="宋体" w:cs="宋体"/>
                <w:bCs/>
                <w:color w:val="auto"/>
                <w:kern w:val="0"/>
                <w:szCs w:val="21"/>
              </w:rPr>
              <w:t>投标产品提供单位按《</w:t>
            </w:r>
            <w:r>
              <w:rPr>
                <w:rFonts w:ascii="宋体" w:hAnsi="宋体" w:cs="宋体"/>
                <w:bCs/>
                <w:color w:val="auto"/>
                <w:kern w:val="0"/>
                <w:szCs w:val="21"/>
              </w:rPr>
              <w:t>关于促进残疾人就业政府采购政策的通知</w:t>
            </w:r>
            <w:r>
              <w:rPr>
                <w:rFonts w:hint="eastAsia" w:ascii="宋体" w:hAnsi="宋体" w:cs="宋体"/>
                <w:bCs/>
                <w:color w:val="auto"/>
                <w:kern w:val="0"/>
                <w:szCs w:val="21"/>
              </w:rPr>
              <w:t>》</w:t>
            </w:r>
            <w:r>
              <w:rPr>
                <w:rFonts w:ascii="宋体" w:hAnsi="宋体" w:cs="宋体"/>
                <w:bCs/>
                <w:color w:val="auto"/>
                <w:kern w:val="0"/>
                <w:szCs w:val="21"/>
              </w:rPr>
              <w:t>(</w:t>
            </w:r>
            <w:r>
              <w:rPr>
                <w:rFonts w:hint="eastAsia" w:ascii="宋体" w:hAnsi="宋体" w:cs="宋体"/>
                <w:bCs/>
                <w:color w:val="auto"/>
                <w:kern w:val="0"/>
                <w:szCs w:val="21"/>
              </w:rPr>
              <w:t>财库〔2019〕141号</w:t>
            </w:r>
            <w:r>
              <w:rPr>
                <w:rFonts w:ascii="宋体" w:hAnsi="宋体" w:cs="宋体"/>
                <w:bCs/>
                <w:color w:val="auto"/>
                <w:kern w:val="0"/>
                <w:szCs w:val="21"/>
              </w:rPr>
              <w:t>)</w:t>
            </w:r>
            <w:r>
              <w:rPr>
                <w:rFonts w:hint="eastAsia" w:ascii="宋体" w:hAnsi="宋体" w:cs="宋体"/>
                <w:bCs/>
                <w:color w:val="auto"/>
                <w:kern w:val="0"/>
                <w:szCs w:val="21"/>
              </w:rPr>
              <w:t>认定为残疾人福利性单位的，在政府采购活动中，残疾人福利性单位视同小型、微型企业。符合条件的残疾人福利性单位在参加政府采购活动时，应当提供本通知规定的《残疾人福利性单位声明函》，并对声明的真实性负责。</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20" w:firstLineChars="200"/>
              <w:contextualSpacing/>
              <w:textAlignment w:val="auto"/>
              <w:rPr>
                <w:rFonts w:ascii="宋体" w:hAnsi="宋体" w:cs="宋体"/>
                <w:bCs/>
                <w:color w:val="auto"/>
                <w:kern w:val="0"/>
                <w:szCs w:val="21"/>
              </w:rPr>
            </w:pPr>
            <w:r>
              <w:rPr>
                <w:rFonts w:hint="eastAsia" w:ascii="宋体" w:hAnsi="宋体" w:cs="宋体"/>
                <w:bCs/>
                <w:color w:val="auto"/>
                <w:kern w:val="0"/>
                <w:szCs w:val="21"/>
              </w:rPr>
              <w:t>除上述情况外，评标报价=投标价。</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20" w:firstLineChars="200"/>
              <w:contextualSpacing/>
              <w:textAlignment w:val="auto"/>
              <w:rPr>
                <w:rFonts w:hAnsi="宋体" w:cs="Courier New"/>
                <w:bCs/>
                <w:color w:val="auto"/>
              </w:rPr>
            </w:pPr>
            <w:r>
              <w:rPr>
                <w:rFonts w:hint="eastAsia" w:ascii="宋体" w:hAnsi="宋体" w:cs="宋体"/>
                <w:bCs/>
                <w:color w:val="auto"/>
                <w:kern w:val="0"/>
                <w:szCs w:val="21"/>
              </w:rPr>
              <w:t>（3）某投标人价格分 =（投标人最低评标报价÷某投标人评标报价）×50分。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58" w:type="dxa"/>
            <w:vMerge w:val="restart"/>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center"/>
              <w:textAlignment w:val="baseline"/>
              <w:rPr>
                <w:rFonts w:ascii="宋体" w:hAnsi="宋体" w:cs="宋体"/>
                <w:bCs/>
                <w:color w:val="auto"/>
                <w:szCs w:val="21"/>
              </w:rPr>
            </w:pPr>
            <w:r>
              <w:rPr>
                <w:rFonts w:hint="eastAsia" w:ascii="宋体" w:hAnsi="宋体" w:cs="宋体"/>
                <w:bCs/>
                <w:color w:val="auto"/>
                <w:szCs w:val="21"/>
              </w:rPr>
              <w:t>2</w:t>
            </w:r>
          </w:p>
        </w:tc>
        <w:tc>
          <w:tcPr>
            <w:tcW w:w="1062" w:type="dxa"/>
            <w:vMerge w:val="restart"/>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center"/>
              <w:textAlignment w:val="baseline"/>
              <w:rPr>
                <w:rFonts w:ascii="宋体" w:hAnsi="宋体" w:cs="宋体"/>
                <w:b/>
                <w:bCs/>
                <w:color w:val="auto"/>
                <w:szCs w:val="21"/>
              </w:rPr>
            </w:pPr>
            <w:r>
              <w:rPr>
                <w:rFonts w:hint="eastAsia" w:ascii="宋体" w:hAnsi="宋体" w:cs="宋体"/>
                <w:b/>
                <w:bCs/>
                <w:color w:val="auto"/>
                <w:szCs w:val="21"/>
              </w:rPr>
              <w:t>技术分</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center"/>
              <w:textAlignment w:val="baseline"/>
              <w:rPr>
                <w:rFonts w:ascii="宋体" w:hAnsi="宋体" w:cs="宋体"/>
                <w:color w:val="auto"/>
                <w:spacing w:val="-18"/>
                <w:szCs w:val="21"/>
              </w:rPr>
            </w:pPr>
            <w:r>
              <w:rPr>
                <w:rFonts w:hint="eastAsia" w:ascii="宋体" w:hAnsi="宋体" w:cs="宋体"/>
                <w:bCs/>
                <w:color w:val="auto"/>
                <w:szCs w:val="21"/>
              </w:rPr>
              <w:t>（</w:t>
            </w:r>
            <w:r>
              <w:rPr>
                <w:rFonts w:hint="eastAsia" w:ascii="宋体" w:hAnsi="宋体" w:cs="宋体"/>
                <w:color w:val="auto"/>
                <w:szCs w:val="21"/>
              </w:rPr>
              <w:t>满分</w:t>
            </w:r>
            <w:r>
              <w:rPr>
                <w:rFonts w:hint="eastAsia" w:ascii="宋体" w:hAnsi="宋体" w:cs="宋体"/>
                <w:color w:val="auto"/>
                <w:szCs w:val="21"/>
                <w:u w:val="single"/>
              </w:rPr>
              <w:t xml:space="preserve"> 27</w:t>
            </w:r>
            <w:r>
              <w:rPr>
                <w:rFonts w:hint="eastAsia" w:ascii="宋体" w:hAnsi="宋体" w:cs="宋体"/>
                <w:bCs/>
                <w:color w:val="auto"/>
                <w:szCs w:val="21"/>
              </w:rPr>
              <w:t>分）</w:t>
            </w:r>
          </w:p>
        </w:tc>
        <w:tc>
          <w:tcPr>
            <w:tcW w:w="1155"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center"/>
              <w:textAlignment w:val="baseline"/>
              <w:rPr>
                <w:rFonts w:ascii="宋体" w:hAnsi="宋体" w:cs="宋体"/>
                <w:color w:val="auto"/>
                <w:szCs w:val="21"/>
                <w:u w:val="single"/>
              </w:rPr>
            </w:pPr>
            <w:r>
              <w:rPr>
                <w:rFonts w:hint="eastAsia" w:ascii="宋体" w:hAnsi="宋体" w:cs="宋体"/>
                <w:b/>
                <w:bCs/>
                <w:color w:val="auto"/>
                <w:szCs w:val="21"/>
              </w:rPr>
              <w:t>设备性能及配置分</w:t>
            </w:r>
            <w:r>
              <w:rPr>
                <w:rFonts w:hint="eastAsia" w:ascii="宋体" w:hAnsi="宋体" w:cs="宋体"/>
                <w:color w:val="auto"/>
                <w:szCs w:val="21"/>
              </w:rPr>
              <w:t>（满分12分）</w:t>
            </w:r>
          </w:p>
        </w:tc>
        <w:tc>
          <w:tcPr>
            <w:tcW w:w="7183"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20" w:firstLineChars="200"/>
              <w:contextualSpacing/>
              <w:textAlignment w:val="auto"/>
              <w:rPr>
                <w:rFonts w:ascii="宋体" w:hAnsi="宋体"/>
                <w:color w:val="auto"/>
              </w:rPr>
            </w:pPr>
            <w:r>
              <w:rPr>
                <w:rFonts w:hint="eastAsia" w:ascii="宋体" w:hAnsi="宋体" w:cs="宋体"/>
                <w:bCs/>
                <w:color w:val="auto"/>
                <w:kern w:val="0"/>
                <w:szCs w:val="21"/>
              </w:rPr>
              <w:t>（1）</w:t>
            </w:r>
            <w:r>
              <w:rPr>
                <w:rFonts w:hint="eastAsia" w:ascii="宋体" w:hAnsi="宋体" w:cs="宋体"/>
                <w:bCs/>
                <w:color w:val="auto"/>
              </w:rPr>
              <w:t>货物性能、配置完全满足招标文件要求且无负偏离的，得4分。未带“</w:t>
            </w:r>
            <w:r>
              <w:rPr>
                <w:rFonts w:hint="eastAsia"/>
                <w:color w:val="auto"/>
              </w:rPr>
              <w:t>▲</w:t>
            </w:r>
            <w:r>
              <w:rPr>
                <w:rFonts w:hint="eastAsia" w:ascii="宋体" w:hAnsi="宋体" w:cs="宋体"/>
                <w:bCs/>
                <w:color w:val="auto"/>
              </w:rPr>
              <w:t>”号货物性能、配置有负偏离的（在招标文件允许的项数内）得0分。</w:t>
            </w:r>
          </w:p>
          <w:p>
            <w:pPr>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ascii="宋体" w:hAnsi="宋体"/>
                <w:color w:val="auto"/>
                <w:szCs w:val="21"/>
              </w:rPr>
            </w:pPr>
            <w:r>
              <w:rPr>
                <w:rFonts w:hint="eastAsia" w:ascii="宋体" w:hAnsi="宋体"/>
                <w:color w:val="auto"/>
                <w:szCs w:val="21"/>
              </w:rPr>
              <w:t>（2）带“</w:t>
            </w:r>
            <w:r>
              <w:rPr>
                <w:rFonts w:hint="eastAsia"/>
                <w:color w:val="auto"/>
              </w:rPr>
              <w:t>▲</w:t>
            </w:r>
            <w:r>
              <w:rPr>
                <w:rFonts w:hint="eastAsia" w:ascii="宋体" w:hAnsi="宋体"/>
                <w:color w:val="auto"/>
                <w:szCs w:val="21"/>
              </w:rPr>
              <w:t>”号的技术性能及</w:t>
            </w:r>
            <w:r>
              <w:rPr>
                <w:rFonts w:hint="eastAsia" w:ascii="宋体" w:hAnsi="宋体" w:cs="宋体"/>
                <w:bCs/>
                <w:color w:val="auto"/>
              </w:rPr>
              <w:t>配置</w:t>
            </w:r>
            <w:r>
              <w:rPr>
                <w:rFonts w:hint="eastAsia" w:ascii="宋体" w:hAnsi="宋体"/>
                <w:color w:val="auto"/>
                <w:szCs w:val="21"/>
              </w:rPr>
              <w:t>：主要设备有优于招标文件要求，且对用户的使用有实质性的帮助与提高的，每有1项加1.5分，满分6分。</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20" w:firstLineChars="200"/>
              <w:contextualSpacing/>
              <w:textAlignment w:val="auto"/>
              <w:rPr>
                <w:rFonts w:hAnsi="宋体" w:cs="宋体"/>
                <w:color w:val="auto"/>
                <w:szCs w:val="21"/>
              </w:rPr>
            </w:pPr>
            <w:r>
              <w:rPr>
                <w:rFonts w:hint="eastAsia" w:ascii="宋体" w:hAnsi="宋体"/>
                <w:color w:val="auto"/>
                <w:szCs w:val="21"/>
              </w:rPr>
              <w:t>（3）未带“</w:t>
            </w:r>
            <w:r>
              <w:rPr>
                <w:rFonts w:hint="eastAsia"/>
                <w:color w:val="auto"/>
              </w:rPr>
              <w:t>▲</w:t>
            </w:r>
            <w:r>
              <w:rPr>
                <w:rFonts w:hint="eastAsia" w:ascii="宋体" w:hAnsi="宋体"/>
                <w:color w:val="auto"/>
                <w:szCs w:val="21"/>
              </w:rPr>
              <w:t>”号的技术性能及</w:t>
            </w:r>
            <w:r>
              <w:rPr>
                <w:rFonts w:hint="eastAsia" w:ascii="宋体" w:hAnsi="宋体" w:cs="宋体"/>
                <w:bCs/>
                <w:color w:val="auto"/>
              </w:rPr>
              <w:t>配置</w:t>
            </w:r>
            <w:r>
              <w:rPr>
                <w:rFonts w:hint="eastAsia" w:ascii="宋体" w:hAnsi="宋体"/>
                <w:color w:val="auto"/>
                <w:szCs w:val="21"/>
              </w:rPr>
              <w:t>：主要设备有优于招标文件要求，且对用户的使用有实质性的帮助与提高的，每有1项加0.5分，满分2分。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58"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center"/>
              <w:textAlignment w:val="baseline"/>
              <w:rPr>
                <w:rFonts w:ascii="宋体" w:hAnsi="宋体" w:cs="宋体"/>
                <w:bCs/>
                <w:color w:val="auto"/>
                <w:szCs w:val="21"/>
              </w:rPr>
            </w:pPr>
          </w:p>
        </w:tc>
        <w:tc>
          <w:tcPr>
            <w:tcW w:w="1062"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center"/>
              <w:textAlignment w:val="baseline"/>
              <w:rPr>
                <w:rFonts w:ascii="宋体" w:hAnsi="宋体" w:cs="宋体"/>
                <w:bCs/>
                <w:color w:val="auto"/>
                <w:szCs w:val="21"/>
              </w:rPr>
            </w:pPr>
          </w:p>
        </w:tc>
        <w:tc>
          <w:tcPr>
            <w:tcW w:w="1155"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center"/>
              <w:textAlignment w:val="baseline"/>
              <w:rPr>
                <w:rFonts w:ascii="宋体" w:hAnsi="宋体" w:cs="宋体"/>
                <w:color w:val="auto"/>
                <w:szCs w:val="21"/>
              </w:rPr>
            </w:pPr>
            <w:r>
              <w:rPr>
                <w:rFonts w:hint="eastAsia" w:ascii="宋体" w:hAnsi="宋体" w:cs="宋体"/>
                <w:b/>
                <w:bCs w:val="0"/>
                <w:color w:val="auto"/>
                <w:kern w:val="0"/>
                <w:szCs w:val="21"/>
              </w:rPr>
              <w:t>技术及项目实施方案分</w:t>
            </w:r>
            <w:r>
              <w:rPr>
                <w:rFonts w:hint="eastAsia" w:ascii="宋体" w:hAnsi="宋体" w:cs="宋体"/>
                <w:bCs/>
                <w:color w:val="auto"/>
                <w:kern w:val="0"/>
                <w:szCs w:val="21"/>
              </w:rPr>
              <w:t>（满分15分）</w:t>
            </w:r>
          </w:p>
        </w:tc>
        <w:tc>
          <w:tcPr>
            <w:tcW w:w="7183" w:type="dxa"/>
            <w:vAlign w:val="center"/>
          </w:tcPr>
          <w:p>
            <w:pPr>
              <w:pStyle w:val="18"/>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hint="eastAsia" w:hAnsi="宋体" w:cs="宋体"/>
                <w:color w:val="auto"/>
                <w:szCs w:val="21"/>
              </w:rPr>
            </w:pPr>
            <w:r>
              <w:rPr>
                <w:rFonts w:hint="eastAsia" w:hAnsi="宋体" w:cs="宋体"/>
                <w:color w:val="auto"/>
                <w:szCs w:val="21"/>
              </w:rPr>
              <w:t>评标委员会依据投标人提供的项目安装、调试施工组织方案酌情评审：</w:t>
            </w:r>
          </w:p>
          <w:p>
            <w:pPr>
              <w:pStyle w:val="18"/>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hint="eastAsia" w:ascii="宋体" w:hAnsi="宋体" w:cs="宋体"/>
                <w:color w:val="auto"/>
                <w:szCs w:val="21"/>
              </w:rPr>
            </w:pPr>
            <w:r>
              <w:rPr>
                <w:rFonts w:hint="eastAsia" w:hAnsi="宋体" w:cs="宋体"/>
                <w:color w:val="auto"/>
                <w:szCs w:val="21"/>
                <w:lang w:eastAsia="zh-CN"/>
              </w:rPr>
              <w:t>一档：</w:t>
            </w:r>
            <w:r>
              <w:rPr>
                <w:rFonts w:hint="eastAsia" w:ascii="宋体" w:hAnsi="宋体" w:cs="宋体"/>
                <w:color w:val="auto"/>
                <w:szCs w:val="21"/>
              </w:rPr>
              <w:t>技术及项目实施方案简单、不符合实际情况，得</w:t>
            </w:r>
            <w:r>
              <w:rPr>
                <w:rFonts w:hint="eastAsia" w:ascii="宋体" w:hAnsi="宋体"/>
                <w:color w:val="auto"/>
                <w:szCs w:val="21"/>
              </w:rPr>
              <w:t>4</w:t>
            </w:r>
            <w:r>
              <w:rPr>
                <w:rFonts w:hint="eastAsia" w:ascii="宋体" w:hAnsi="宋体" w:cs="宋体"/>
                <w:color w:val="auto"/>
                <w:szCs w:val="21"/>
              </w:rPr>
              <w:t>分；</w:t>
            </w:r>
          </w:p>
          <w:p>
            <w:pPr>
              <w:pStyle w:val="18"/>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ascii="宋体" w:hAnsi="宋体" w:cs="宋体"/>
                <w:color w:val="auto"/>
                <w:szCs w:val="21"/>
              </w:rPr>
            </w:pPr>
            <w:r>
              <w:rPr>
                <w:rFonts w:hint="eastAsia" w:hAnsi="宋体" w:cs="宋体"/>
                <w:color w:val="auto"/>
                <w:szCs w:val="21"/>
                <w:lang w:eastAsia="zh-CN"/>
              </w:rPr>
              <w:t>二档：</w:t>
            </w:r>
            <w:r>
              <w:rPr>
                <w:rFonts w:hint="eastAsia" w:ascii="宋体" w:hAnsi="宋体" w:cs="宋体"/>
                <w:color w:val="auto"/>
                <w:szCs w:val="21"/>
              </w:rPr>
              <w:t>技术及项目实施方案较详细、合理、可行性较强，具有一定的针对性，得8分；</w:t>
            </w:r>
          </w:p>
          <w:p>
            <w:pPr>
              <w:pStyle w:val="18"/>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hAnsi="宋体" w:cs="宋体"/>
                <w:color w:val="auto"/>
                <w:szCs w:val="21"/>
              </w:rPr>
            </w:pPr>
            <w:r>
              <w:rPr>
                <w:rFonts w:hint="eastAsia" w:hAnsi="宋体" w:cs="宋体"/>
                <w:color w:val="auto"/>
                <w:szCs w:val="21"/>
                <w:lang w:eastAsia="zh-CN"/>
              </w:rPr>
              <w:t>三档：</w:t>
            </w:r>
            <w:r>
              <w:rPr>
                <w:rFonts w:hint="eastAsia" w:hAnsi="宋体" w:cs="宋体"/>
                <w:color w:val="auto"/>
                <w:szCs w:val="21"/>
              </w:rPr>
              <w:t>技术及项目实施方案完整、合理、内容详细，针对性强、可行性高，得15分。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558" w:type="dxa"/>
            <w:vMerge w:val="restart"/>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center"/>
              <w:textAlignment w:val="baseline"/>
              <w:rPr>
                <w:rFonts w:ascii="宋体" w:hAnsi="宋体"/>
                <w:color w:val="auto"/>
                <w:szCs w:val="21"/>
                <w:u w:val="single"/>
              </w:rPr>
            </w:pPr>
            <w:r>
              <w:rPr>
                <w:rFonts w:hint="eastAsia" w:hAnsi="宋体" w:cs="Courier New"/>
                <w:color w:val="auto"/>
              </w:rPr>
              <w:t>3</w:t>
            </w:r>
          </w:p>
        </w:tc>
        <w:tc>
          <w:tcPr>
            <w:tcW w:w="1062" w:type="dxa"/>
            <w:vMerge w:val="restart"/>
            <w:vAlign w:val="center"/>
          </w:tcPr>
          <w:p>
            <w:pPr>
              <w:keepNext w:val="0"/>
              <w:keepLines w:val="0"/>
              <w:pageBreakBefore w:val="0"/>
              <w:widowControl w:val="0"/>
              <w:kinsoku/>
              <w:wordWrap/>
              <w:overflowPunct/>
              <w:topLinePunct w:val="0"/>
              <w:autoSpaceDE/>
              <w:autoSpaceDN/>
              <w:bidi w:val="0"/>
              <w:snapToGrid/>
              <w:spacing w:line="360" w:lineRule="auto"/>
              <w:ind w:left="0" w:leftChars="0" w:right="0" w:rightChars="0"/>
              <w:jc w:val="center"/>
              <w:rPr>
                <w:rFonts w:ascii="宋体" w:hAnsi="宋体"/>
                <w:color w:val="auto"/>
                <w:szCs w:val="21"/>
              </w:rPr>
            </w:pPr>
            <w:r>
              <w:rPr>
                <w:rFonts w:hint="eastAsia" w:ascii="宋体" w:hAnsi="宋体"/>
                <w:b/>
                <w:color w:val="auto"/>
                <w:szCs w:val="21"/>
              </w:rPr>
              <w:t>商务分</w:t>
            </w:r>
            <w:r>
              <w:rPr>
                <w:rFonts w:hint="eastAsia" w:ascii="宋体" w:hAnsi="宋体"/>
                <w:color w:val="auto"/>
                <w:szCs w:val="21"/>
              </w:rPr>
              <w:t>（满分</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center"/>
              <w:textAlignment w:val="baseline"/>
              <w:rPr>
                <w:rFonts w:ascii="宋体" w:hAnsi="宋体"/>
                <w:b/>
                <w:color w:val="auto"/>
                <w:szCs w:val="21"/>
                <w:highlight w:val="yellow"/>
              </w:rPr>
            </w:pPr>
            <w:r>
              <w:rPr>
                <w:rFonts w:hint="eastAsia" w:ascii="宋体" w:hAnsi="宋体"/>
                <w:color w:val="auto"/>
                <w:szCs w:val="21"/>
                <w:u w:val="single"/>
                <w:lang w:val="en-US" w:eastAsia="zh-CN"/>
              </w:rPr>
              <w:t>22</w:t>
            </w:r>
            <w:r>
              <w:rPr>
                <w:rFonts w:hint="eastAsia" w:ascii="宋体" w:hAnsi="宋体"/>
                <w:color w:val="auto"/>
                <w:szCs w:val="21"/>
              </w:rPr>
              <w:t>分</w:t>
            </w:r>
          </w:p>
        </w:tc>
        <w:tc>
          <w:tcPr>
            <w:tcW w:w="1155" w:type="dxa"/>
            <w:vAlign w:val="center"/>
          </w:tcPr>
          <w:p>
            <w:pPr>
              <w:pStyle w:val="18"/>
              <w:keepNext w:val="0"/>
              <w:keepLines w:val="0"/>
              <w:pageBreakBefore w:val="0"/>
              <w:widowControl w:val="0"/>
              <w:kinsoku/>
              <w:wordWrap/>
              <w:overflowPunct/>
              <w:topLinePunct w:val="0"/>
              <w:autoSpaceDE/>
              <w:autoSpaceDN/>
              <w:bidi w:val="0"/>
              <w:snapToGrid/>
              <w:spacing w:line="360" w:lineRule="auto"/>
              <w:ind w:left="0" w:leftChars="0" w:right="0" w:rightChars="0"/>
              <w:jc w:val="center"/>
              <w:rPr>
                <w:rFonts w:hAnsi="宋体" w:cs="Courier New"/>
                <w:b/>
                <w:bCs/>
                <w:color w:val="auto"/>
              </w:rPr>
            </w:pPr>
            <w:r>
              <w:rPr>
                <w:rFonts w:hint="eastAsia" w:hAnsi="宋体" w:cs="Courier New"/>
                <w:b/>
                <w:bCs/>
                <w:color w:val="auto"/>
              </w:rPr>
              <w:t>售后服务方案</w:t>
            </w:r>
          </w:p>
          <w:p>
            <w:pPr>
              <w:keepNext w:val="0"/>
              <w:keepLines w:val="0"/>
              <w:pageBreakBefore w:val="0"/>
              <w:widowControl w:val="0"/>
              <w:kinsoku/>
              <w:wordWrap/>
              <w:overflowPunct/>
              <w:topLinePunct w:val="0"/>
              <w:autoSpaceDE/>
              <w:autoSpaceDN/>
              <w:bidi w:val="0"/>
              <w:snapToGrid/>
              <w:spacing w:line="360" w:lineRule="auto"/>
              <w:ind w:left="0" w:leftChars="0" w:right="0" w:rightChars="0"/>
              <w:jc w:val="center"/>
              <w:rPr>
                <w:rFonts w:ascii="宋体" w:hAnsi="宋体"/>
                <w:b/>
                <w:color w:val="auto"/>
                <w:szCs w:val="21"/>
                <w:highlight w:val="yellow"/>
              </w:rPr>
            </w:pPr>
            <w:r>
              <w:rPr>
                <w:rFonts w:hint="eastAsia" w:hAnsi="宋体" w:cs="Courier New"/>
                <w:color w:val="auto"/>
              </w:rPr>
              <w:t>（满分</w:t>
            </w:r>
            <w:r>
              <w:rPr>
                <w:rFonts w:hint="eastAsia" w:hAnsi="宋体"/>
                <w:color w:val="auto"/>
                <w:u w:val="single"/>
              </w:rPr>
              <w:t xml:space="preserve"> 16 </w:t>
            </w:r>
            <w:r>
              <w:rPr>
                <w:rFonts w:hint="eastAsia" w:hAnsi="宋体" w:cs="Courier New"/>
                <w:color w:val="auto"/>
              </w:rPr>
              <w:t>分）</w:t>
            </w:r>
          </w:p>
        </w:tc>
        <w:tc>
          <w:tcPr>
            <w:tcW w:w="7183" w:type="dxa"/>
            <w:tcMar>
              <w:left w:w="57" w:type="dxa"/>
              <w:right w:w="57" w:type="dxa"/>
            </w:tcMar>
            <w:vAlign w:val="center"/>
          </w:tcPr>
          <w:p>
            <w:pPr>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ascii="宋体" w:hAnsi="宋体"/>
                <w:color w:val="auto"/>
                <w:szCs w:val="21"/>
              </w:rPr>
            </w:pPr>
            <w:r>
              <w:rPr>
                <w:rFonts w:hint="eastAsia" w:ascii="宋体" w:hAnsi="宋体"/>
                <w:color w:val="auto"/>
                <w:szCs w:val="21"/>
                <w:lang w:eastAsia="zh-CN"/>
              </w:rPr>
              <w:t>一档：</w:t>
            </w:r>
            <w:r>
              <w:rPr>
                <w:rFonts w:hint="eastAsia" w:ascii="宋体" w:hAnsi="宋体"/>
                <w:color w:val="auto"/>
                <w:szCs w:val="21"/>
              </w:rPr>
              <w:t>提供了售后服务方案，方案简单、粗略、不完整，得4分；</w:t>
            </w:r>
          </w:p>
          <w:p>
            <w:pPr>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ascii="宋体" w:hAnsi="宋体"/>
                <w:color w:val="auto"/>
                <w:szCs w:val="21"/>
              </w:rPr>
            </w:pPr>
            <w:r>
              <w:rPr>
                <w:rFonts w:hint="eastAsia" w:ascii="宋体" w:hAnsi="宋体"/>
                <w:color w:val="auto"/>
                <w:szCs w:val="21"/>
                <w:lang w:eastAsia="zh-CN"/>
              </w:rPr>
              <w:t>二档：</w:t>
            </w:r>
            <w:r>
              <w:rPr>
                <w:rFonts w:hint="eastAsia" w:ascii="宋体" w:hAnsi="宋体"/>
                <w:color w:val="auto"/>
                <w:szCs w:val="21"/>
              </w:rPr>
              <w:t>质保期满足招标文件要求，售后服务方案描述详细、具有一定的可行性、针对性，应急保障措施较详细、合理，培训内容符合采购需求且有详细描述，得10分；</w:t>
            </w:r>
          </w:p>
          <w:p>
            <w:pPr>
              <w:keepNext w:val="0"/>
              <w:keepLines w:val="0"/>
              <w:pageBreakBefore w:val="0"/>
              <w:widowControl w:val="0"/>
              <w:kinsoku/>
              <w:wordWrap/>
              <w:overflowPunct/>
              <w:topLinePunct w:val="0"/>
              <w:autoSpaceDE/>
              <w:autoSpaceDN/>
              <w:bidi w:val="0"/>
              <w:snapToGrid/>
              <w:spacing w:line="360" w:lineRule="auto"/>
              <w:ind w:left="0" w:leftChars="0" w:right="0" w:rightChars="0" w:firstLine="420" w:firstLineChars="200"/>
              <w:textAlignment w:val="auto"/>
              <w:rPr>
                <w:rFonts w:hAnsi="宋体" w:cs="宋体"/>
                <w:color w:val="auto"/>
                <w:szCs w:val="21"/>
              </w:rPr>
            </w:pPr>
            <w:r>
              <w:rPr>
                <w:rFonts w:hint="eastAsia" w:ascii="宋体" w:hAnsi="宋体"/>
                <w:color w:val="auto"/>
                <w:szCs w:val="21"/>
                <w:lang w:eastAsia="zh-CN"/>
              </w:rPr>
              <w:t>三档：</w:t>
            </w:r>
            <w:r>
              <w:rPr>
                <w:rFonts w:hint="eastAsia" w:ascii="宋体" w:hAnsi="宋体"/>
                <w:color w:val="auto"/>
                <w:szCs w:val="21"/>
              </w:rPr>
              <w:t>质保期满足或优于招标文件要求，售后服务方案详细、可行性强、针对性强，应急保障措施详细、合理、得力，且提出了对用户有用的售后服务措施，培训内容完全符合采购需求，且有详细描述、具备较强的针对性，得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558"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center"/>
              <w:textAlignment w:val="baseline"/>
              <w:rPr>
                <w:rFonts w:ascii="宋体" w:hAnsi="宋体"/>
                <w:color w:val="auto"/>
                <w:szCs w:val="21"/>
                <w:u w:val="single"/>
              </w:rPr>
            </w:pPr>
          </w:p>
        </w:tc>
        <w:tc>
          <w:tcPr>
            <w:tcW w:w="1062"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center"/>
              <w:textAlignment w:val="baseline"/>
              <w:rPr>
                <w:rFonts w:ascii="宋体" w:hAnsi="宋体"/>
                <w:b/>
                <w:color w:val="auto"/>
                <w:szCs w:val="21"/>
                <w:highlight w:val="yellow"/>
              </w:rPr>
            </w:pPr>
          </w:p>
        </w:tc>
        <w:tc>
          <w:tcPr>
            <w:tcW w:w="1155" w:type="dxa"/>
            <w:vAlign w:val="center"/>
          </w:tcPr>
          <w:p>
            <w:pPr>
              <w:pStyle w:val="18"/>
              <w:keepNext w:val="0"/>
              <w:keepLines w:val="0"/>
              <w:pageBreakBefore w:val="0"/>
              <w:widowControl w:val="0"/>
              <w:kinsoku/>
              <w:wordWrap/>
              <w:overflowPunct/>
              <w:topLinePunct w:val="0"/>
              <w:autoSpaceDE/>
              <w:autoSpaceDN/>
              <w:bidi w:val="0"/>
              <w:snapToGrid/>
              <w:spacing w:line="360" w:lineRule="auto"/>
              <w:ind w:left="0" w:leftChars="0" w:right="0" w:rightChars="0"/>
              <w:jc w:val="center"/>
              <w:rPr>
                <w:rFonts w:hint="eastAsia" w:hAnsi="宋体" w:eastAsia="宋体"/>
                <w:bCs/>
                <w:color w:val="auto"/>
                <w:szCs w:val="21"/>
                <w:highlight w:val="yellow"/>
                <w:lang w:eastAsia="zh-CN"/>
              </w:rPr>
            </w:pPr>
            <w:r>
              <w:rPr>
                <w:rFonts w:hint="eastAsia" w:hAnsi="宋体"/>
                <w:b/>
                <w:bCs w:val="0"/>
                <w:color w:val="auto"/>
                <w:szCs w:val="21"/>
                <w:highlight w:val="none"/>
                <w:lang w:eastAsia="zh-CN"/>
              </w:rPr>
              <w:t>资信业绩分</w:t>
            </w:r>
            <w:r>
              <w:rPr>
                <w:rFonts w:hint="eastAsia" w:hAnsi="宋体" w:cs="Courier New"/>
                <w:color w:val="auto"/>
                <w:highlight w:val="none"/>
              </w:rPr>
              <w:t>（满分</w:t>
            </w:r>
            <w:r>
              <w:rPr>
                <w:rFonts w:hint="eastAsia" w:hAnsi="宋体"/>
                <w:color w:val="auto"/>
                <w:highlight w:val="none"/>
                <w:u w:val="single"/>
              </w:rPr>
              <w:t xml:space="preserve"> 6 </w:t>
            </w:r>
            <w:r>
              <w:rPr>
                <w:rFonts w:hint="eastAsia" w:hAnsi="宋体" w:cs="Courier New"/>
                <w:color w:val="auto"/>
                <w:highlight w:val="none"/>
              </w:rPr>
              <w:t>分</w:t>
            </w:r>
            <w:r>
              <w:rPr>
                <w:rFonts w:hint="eastAsia" w:hAnsi="宋体" w:cs="Courier New"/>
                <w:color w:val="auto"/>
              </w:rPr>
              <w:t>）</w:t>
            </w:r>
          </w:p>
        </w:tc>
        <w:tc>
          <w:tcPr>
            <w:tcW w:w="71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20" w:firstLineChars="200"/>
              <w:textAlignment w:val="auto"/>
              <w:rPr>
                <w:rFonts w:ascii="宋体" w:hAnsi="宋体" w:cs="宋体"/>
                <w:color w:val="auto"/>
                <w:szCs w:val="21"/>
              </w:rPr>
            </w:pPr>
            <w:r>
              <w:rPr>
                <w:rFonts w:hint="eastAsia" w:ascii="宋体" w:hAnsi="宋体" w:cs="宋体"/>
                <w:color w:val="auto"/>
                <w:szCs w:val="21"/>
              </w:rPr>
              <w:t>(1)投标人提供了经审计的最近两年财务报表且盈利（须提供加盖公章的复印件）得1分；</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20" w:firstLineChars="200"/>
              <w:textAlignment w:val="auto"/>
              <w:rPr>
                <w:rFonts w:hAnsi="宋体" w:cs="宋体"/>
                <w:color w:val="auto"/>
                <w:szCs w:val="21"/>
              </w:rPr>
            </w:pPr>
            <w:r>
              <w:rPr>
                <w:rFonts w:hint="eastAsia" w:ascii="宋体" w:hAnsi="宋体" w:cs="宋体"/>
                <w:color w:val="auto"/>
                <w:szCs w:val="21"/>
              </w:rPr>
              <w:t>(2)投标人在所投主要设备（采集、播放或存储设备）在广播电视领域有同类型案例（必须提供加盖公章的合同或验收文件的扫描件），每一个得1分，满分5分；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center"/>
              <w:textAlignment w:val="baseline"/>
              <w:rPr>
                <w:rFonts w:hint="eastAsia" w:ascii="宋体" w:hAnsi="宋体" w:eastAsia="宋体"/>
                <w:color w:val="auto"/>
                <w:szCs w:val="21"/>
                <w:u w:val="single"/>
                <w:lang w:eastAsia="zh-CN"/>
              </w:rPr>
            </w:pPr>
            <w:r>
              <w:rPr>
                <w:rFonts w:hint="eastAsia" w:ascii="宋体" w:hAnsi="宋体"/>
                <w:color w:val="auto"/>
                <w:szCs w:val="21"/>
                <w:u w:val="none"/>
                <w:lang w:val="en-US" w:eastAsia="zh-CN"/>
              </w:rPr>
              <w:t>4</w:t>
            </w:r>
          </w:p>
        </w:tc>
        <w:tc>
          <w:tcPr>
            <w:tcW w:w="2217" w:type="dxa"/>
            <w:gridSpan w:val="2"/>
            <w:vAlign w:val="center"/>
          </w:tcPr>
          <w:p>
            <w:pPr>
              <w:keepNext w:val="0"/>
              <w:keepLines w:val="0"/>
              <w:pageBreakBefore w:val="0"/>
              <w:widowControl w:val="0"/>
              <w:kinsoku/>
              <w:wordWrap/>
              <w:overflowPunct/>
              <w:topLinePunct w:val="0"/>
              <w:autoSpaceDE/>
              <w:autoSpaceDN/>
              <w:bidi w:val="0"/>
              <w:snapToGrid/>
              <w:spacing w:line="360" w:lineRule="auto"/>
              <w:ind w:left="0" w:leftChars="0" w:right="0" w:rightChars="0"/>
              <w:jc w:val="center"/>
              <w:rPr>
                <w:rFonts w:ascii="宋体" w:hAnsi="宋体"/>
                <w:color w:val="auto"/>
                <w:szCs w:val="21"/>
              </w:rPr>
            </w:pPr>
            <w:r>
              <w:rPr>
                <w:rFonts w:hint="eastAsia" w:ascii="宋体" w:hAnsi="宋体"/>
                <w:b/>
                <w:color w:val="auto"/>
                <w:szCs w:val="21"/>
              </w:rPr>
              <w:t>政策分</w:t>
            </w:r>
            <w:r>
              <w:rPr>
                <w:rFonts w:hint="eastAsia" w:ascii="宋体" w:hAnsi="宋体"/>
                <w:color w:val="auto"/>
                <w:szCs w:val="21"/>
              </w:rPr>
              <w:t>（满分</w:t>
            </w:r>
          </w:p>
          <w:p>
            <w:pPr>
              <w:keepNext w:val="0"/>
              <w:keepLines w:val="0"/>
              <w:pageBreakBefore w:val="0"/>
              <w:widowControl w:val="0"/>
              <w:kinsoku/>
              <w:wordWrap/>
              <w:overflowPunct/>
              <w:topLinePunct w:val="0"/>
              <w:autoSpaceDE/>
              <w:autoSpaceDN/>
              <w:bidi w:val="0"/>
              <w:snapToGrid/>
              <w:spacing w:line="360" w:lineRule="auto"/>
              <w:ind w:left="0" w:leftChars="0" w:right="0" w:rightChars="0"/>
              <w:jc w:val="center"/>
              <w:rPr>
                <w:rFonts w:ascii="宋体" w:hAnsi="宋体"/>
                <w:b/>
                <w:color w:val="auto"/>
                <w:szCs w:val="21"/>
              </w:rPr>
            </w:pPr>
            <w:r>
              <w:rPr>
                <w:rFonts w:hint="eastAsia" w:ascii="宋体" w:hAnsi="宋体"/>
                <w:color w:val="auto"/>
                <w:szCs w:val="21"/>
                <w:u w:val="single"/>
              </w:rPr>
              <w:t>1</w:t>
            </w:r>
            <w:r>
              <w:rPr>
                <w:rFonts w:hint="eastAsia" w:ascii="宋体" w:hAnsi="宋体"/>
                <w:color w:val="auto"/>
                <w:szCs w:val="21"/>
              </w:rPr>
              <w:t>分</w:t>
            </w:r>
          </w:p>
        </w:tc>
        <w:tc>
          <w:tcPr>
            <w:tcW w:w="7183"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20" w:firstLineChars="200"/>
              <w:contextualSpacing/>
              <w:textAlignment w:val="auto"/>
              <w:rPr>
                <w:rFonts w:hAnsi="宋体" w:cs="Courier New"/>
                <w:bCs/>
                <w:color w:val="auto"/>
              </w:rPr>
            </w:pPr>
            <w:r>
              <w:rPr>
                <w:rFonts w:hint="eastAsia" w:ascii="宋体" w:hAnsi="宋体" w:cs="宋体"/>
                <w:bCs/>
                <w:color w:val="auto"/>
                <w:kern w:val="0"/>
                <w:szCs w:val="21"/>
              </w:rPr>
              <w:t>投标产品列入财政部、国家发展和改革委员会制定和公布的</w:t>
            </w:r>
            <w:r>
              <w:rPr>
                <w:rFonts w:hint="eastAsia" w:ascii="宋体" w:hAnsi="宋体" w:cs="宋体"/>
                <w:color w:val="auto"/>
                <w:kern w:val="0"/>
                <w:szCs w:val="21"/>
              </w:rPr>
              <w:t>政府采购节能产品、环境标志产品品目清单内，且具</w:t>
            </w:r>
            <w:r>
              <w:rPr>
                <w:rFonts w:hint="eastAsia" w:ascii="宋体" w:hAnsi="宋体" w:cs="宋体"/>
                <w:bCs/>
                <w:color w:val="auto"/>
                <w:kern w:val="0"/>
                <w:szCs w:val="21"/>
              </w:rPr>
              <w:t>有有效期之内的节能产品、环境标志产品认证证书的。每项得0.5分（适用于非强制采购的产品，以品目清单复印件及产品证书为准，投标产品需清晰反映在品目清单上），满分1分。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8" w:type="dxa"/>
            <w:gridSpan w:val="4"/>
            <w:vAlign w:val="center"/>
          </w:tcPr>
          <w:p>
            <w:pPr>
              <w:pStyle w:val="18"/>
              <w:keepNext w:val="0"/>
              <w:keepLines w:val="0"/>
              <w:pageBreakBefore w:val="0"/>
              <w:widowControl w:val="0"/>
              <w:kinsoku/>
              <w:wordWrap/>
              <w:overflowPunct/>
              <w:topLinePunct w:val="0"/>
              <w:autoSpaceDE/>
              <w:autoSpaceDN/>
              <w:bidi w:val="0"/>
              <w:snapToGrid/>
              <w:spacing w:line="360" w:lineRule="auto"/>
              <w:ind w:left="0" w:leftChars="0" w:right="0" w:rightChars="0" w:firstLine="420"/>
              <w:rPr>
                <w:rFonts w:hAnsi="宋体" w:cs="Courier New"/>
                <w:b/>
                <w:bCs/>
                <w:color w:val="auto"/>
              </w:rPr>
            </w:pPr>
            <w:r>
              <w:rPr>
                <w:rFonts w:hint="eastAsia" w:hAnsi="宋体" w:cs="Courier New"/>
                <w:b/>
                <w:bCs/>
                <w:color w:val="auto"/>
              </w:rPr>
              <w:t>总得分=1+2+3+4。</w:t>
            </w:r>
          </w:p>
        </w:tc>
      </w:tr>
    </w:tbl>
    <w:p>
      <w:pPr>
        <w:adjustRightInd w:val="0"/>
        <w:spacing w:line="360" w:lineRule="auto"/>
        <w:jc w:val="left"/>
        <w:textAlignment w:val="baseline"/>
        <w:rPr>
          <w:rFonts w:ascii="宋体" w:hAnsi="宋体"/>
          <w:b/>
          <w:color w:val="auto"/>
          <w:szCs w:val="21"/>
        </w:rPr>
      </w:pPr>
    </w:p>
    <w:p>
      <w:pPr>
        <w:adjustRightInd w:val="0"/>
        <w:spacing w:line="360" w:lineRule="auto"/>
        <w:jc w:val="left"/>
        <w:textAlignment w:val="baseline"/>
        <w:rPr>
          <w:rFonts w:ascii="宋体" w:hAnsi="宋体"/>
          <w:b/>
          <w:color w:val="auto"/>
          <w:szCs w:val="21"/>
        </w:rPr>
      </w:pPr>
      <w:r>
        <w:rPr>
          <w:rFonts w:hint="eastAsia" w:ascii="宋体" w:hAnsi="宋体"/>
          <w:b/>
          <w:color w:val="auto"/>
          <w:szCs w:val="21"/>
        </w:rPr>
        <w:br w:type="page"/>
      </w:r>
    </w:p>
    <w:p>
      <w:pPr>
        <w:pStyle w:val="2"/>
        <w:keepNext w:val="0"/>
        <w:keepLines w:val="0"/>
        <w:ind w:firstLine="602"/>
        <w:jc w:val="center"/>
        <w:rPr>
          <w:color w:val="auto"/>
          <w:sz w:val="30"/>
          <w:szCs w:val="30"/>
        </w:rPr>
      </w:pPr>
      <w:r>
        <w:rPr>
          <w:rFonts w:hint="eastAsia"/>
          <w:color w:val="auto"/>
          <w:sz w:val="30"/>
          <w:szCs w:val="30"/>
        </w:rPr>
        <w:t>四、中标候选人推荐</w:t>
      </w:r>
    </w:p>
    <w:p>
      <w:pPr>
        <w:pStyle w:val="18"/>
        <w:spacing w:line="360" w:lineRule="auto"/>
        <w:ind w:firstLine="420" w:firstLineChars="200"/>
        <w:contextualSpacing/>
        <w:rPr>
          <w:rFonts w:hAnsi="宋体"/>
          <w:color w:val="auto"/>
        </w:rPr>
      </w:pPr>
      <w:r>
        <w:rPr>
          <w:rFonts w:hint="eastAsia" w:hAnsi="宋体"/>
          <w:color w:val="auto"/>
        </w:rPr>
        <w:t>1</w:t>
      </w:r>
      <w:r>
        <w:rPr>
          <w:rFonts w:hAnsi="宋体"/>
          <w:color w:val="auto"/>
        </w:rPr>
        <w:t>.</w:t>
      </w:r>
      <w:r>
        <w:rPr>
          <w:rFonts w:hint="eastAsia" w:hAnsi="宋体"/>
          <w:color w:val="auto"/>
        </w:rPr>
        <w:t>评标委员会根据原始评标记录和评标结果编写评标报告，并通过电子交易平台向采购人、采购代理机构提交。</w:t>
      </w:r>
    </w:p>
    <w:p>
      <w:pPr>
        <w:pStyle w:val="18"/>
        <w:spacing w:line="360" w:lineRule="auto"/>
        <w:ind w:firstLine="420" w:firstLineChars="200"/>
        <w:contextualSpacing/>
        <w:rPr>
          <w:rFonts w:hAnsi="宋体"/>
          <w:color w:val="auto"/>
        </w:rPr>
      </w:pPr>
      <w:r>
        <w:rPr>
          <w:rFonts w:hint="eastAsia" w:hAnsi="宋体"/>
          <w:color w:val="auto"/>
        </w:rPr>
        <w:t>2</w:t>
      </w:r>
      <w:r>
        <w:rPr>
          <w:rFonts w:hAnsi="宋体"/>
          <w:color w:val="auto"/>
        </w:rPr>
        <w:t>.</w:t>
      </w:r>
      <w:r>
        <w:rPr>
          <w:rFonts w:hint="eastAsia" w:hAnsi="宋体"/>
          <w:color w:val="auto"/>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pPr>
        <w:spacing w:line="360" w:lineRule="auto"/>
        <w:ind w:firstLine="420" w:firstLineChars="200"/>
        <w:jc w:val="left"/>
        <w:rPr>
          <w:rFonts w:ascii="ˎ̥" w:hAnsi="ˎ̥" w:cs="宋体"/>
          <w:bCs/>
          <w:color w:val="auto"/>
          <w:szCs w:val="21"/>
        </w:rPr>
      </w:pPr>
      <w:r>
        <w:rPr>
          <w:rFonts w:hint="eastAsia" w:ascii="ˎ̥" w:hAnsi="ˎ̥" w:cs="宋体"/>
          <w:bCs/>
          <w:color w:val="auto"/>
          <w:szCs w:val="21"/>
        </w:rPr>
        <w:t xml:space="preserve">注：特别说明 </w:t>
      </w:r>
    </w:p>
    <w:p>
      <w:pPr>
        <w:spacing w:line="360" w:lineRule="auto"/>
        <w:ind w:firstLine="420" w:firstLineChars="200"/>
        <w:jc w:val="left"/>
        <w:rPr>
          <w:rFonts w:ascii="ˎ̥" w:hAnsi="ˎ̥" w:cs="宋体"/>
          <w:bCs/>
          <w:color w:val="auto"/>
          <w:kern w:val="0"/>
          <w:szCs w:val="21"/>
        </w:rPr>
      </w:pPr>
      <w:r>
        <w:rPr>
          <w:rFonts w:hint="eastAsia" w:ascii="ˎ̥" w:hAnsi="ˎ̥" w:cs="宋体"/>
          <w:bCs/>
          <w:color w:val="auto"/>
          <w:szCs w:val="21"/>
        </w:rPr>
        <w:t>评标委员会认为投标人的投标报价明显低于其他通过符合性审查投标人的投标报价，有可能影响产品质量或者不能诚信履约的，应当要求其在评标现场合理的时间内提供书面说明，必要时提交相关证明材料；投标人不能证明其投标报价合理性的，评标委员会应当将其作为无效投标处理。</w:t>
      </w:r>
    </w:p>
    <w:p>
      <w:pPr>
        <w:pStyle w:val="18"/>
        <w:spacing w:line="360" w:lineRule="auto"/>
        <w:rPr>
          <w:rFonts w:hAnsi="宋体"/>
          <w:color w:val="auto"/>
        </w:rPr>
      </w:pPr>
      <w:r>
        <w:rPr>
          <w:rFonts w:hAnsi="宋体"/>
          <w:b/>
          <w:color w:val="auto"/>
          <w:sz w:val="24"/>
        </w:rPr>
        <w:br w:type="page"/>
      </w:r>
    </w:p>
    <w:p>
      <w:pPr>
        <w:spacing w:beforeLines="50" w:afterLines="50" w:line="400" w:lineRule="exact"/>
        <w:rPr>
          <w:rFonts w:ascii="宋体" w:hAnsi="宋体"/>
          <w:b/>
          <w:color w:val="auto"/>
          <w:sz w:val="24"/>
        </w:rPr>
      </w:pPr>
    </w:p>
    <w:p>
      <w:pPr>
        <w:spacing w:beforeLines="50" w:afterLines="50" w:line="400" w:lineRule="exact"/>
        <w:rPr>
          <w:rFonts w:ascii="宋体" w:hAnsi="宋体"/>
          <w:b/>
          <w:color w:val="auto"/>
          <w:sz w:val="24"/>
        </w:rPr>
      </w:pPr>
    </w:p>
    <w:p>
      <w:pPr>
        <w:spacing w:beforeLines="50" w:afterLines="50" w:line="400" w:lineRule="exact"/>
        <w:rPr>
          <w:rFonts w:ascii="宋体" w:hAnsi="宋体"/>
          <w:b/>
          <w:color w:val="auto"/>
          <w:sz w:val="24"/>
        </w:rPr>
      </w:pPr>
    </w:p>
    <w:p>
      <w:pPr>
        <w:spacing w:beforeLines="50" w:afterLines="50" w:line="400" w:lineRule="exact"/>
        <w:rPr>
          <w:rFonts w:ascii="宋体" w:hAnsi="宋体"/>
          <w:b/>
          <w:color w:val="auto"/>
          <w:sz w:val="24"/>
        </w:rPr>
      </w:pPr>
    </w:p>
    <w:p>
      <w:pPr>
        <w:spacing w:beforeLines="50" w:afterLines="50" w:line="400" w:lineRule="exact"/>
        <w:rPr>
          <w:rFonts w:ascii="宋体" w:hAnsi="宋体"/>
          <w:b/>
          <w:color w:val="auto"/>
          <w:sz w:val="24"/>
        </w:rPr>
      </w:pPr>
    </w:p>
    <w:p>
      <w:pPr>
        <w:spacing w:beforeLines="50" w:afterLines="50" w:line="400" w:lineRule="exact"/>
        <w:rPr>
          <w:rFonts w:ascii="宋体" w:hAnsi="宋体"/>
          <w:b/>
          <w:color w:val="auto"/>
          <w:sz w:val="24"/>
        </w:rPr>
      </w:pPr>
    </w:p>
    <w:p>
      <w:pPr>
        <w:spacing w:beforeLines="50" w:afterLines="50" w:line="400" w:lineRule="exact"/>
        <w:rPr>
          <w:rFonts w:ascii="宋体" w:hAnsi="宋体"/>
          <w:b/>
          <w:color w:val="auto"/>
          <w:sz w:val="24"/>
        </w:rPr>
      </w:pPr>
    </w:p>
    <w:p>
      <w:pPr>
        <w:spacing w:beforeLines="50" w:afterLines="50" w:line="400" w:lineRule="exact"/>
        <w:rPr>
          <w:rFonts w:ascii="宋体" w:hAnsi="宋体"/>
          <w:b/>
          <w:color w:val="auto"/>
          <w:sz w:val="24"/>
        </w:rPr>
      </w:pPr>
    </w:p>
    <w:p>
      <w:pPr>
        <w:spacing w:beforeLines="50" w:afterLines="50" w:line="400" w:lineRule="exact"/>
        <w:rPr>
          <w:rFonts w:ascii="宋体" w:hAnsi="宋体"/>
          <w:b/>
          <w:color w:val="auto"/>
          <w:sz w:val="24"/>
        </w:rPr>
      </w:pPr>
    </w:p>
    <w:p>
      <w:pPr>
        <w:spacing w:beforeLines="50" w:afterLines="50" w:line="400" w:lineRule="exact"/>
        <w:rPr>
          <w:rFonts w:ascii="宋体" w:hAnsi="宋体"/>
          <w:b/>
          <w:color w:val="auto"/>
          <w:sz w:val="24"/>
        </w:rPr>
      </w:pPr>
    </w:p>
    <w:p>
      <w:pPr>
        <w:spacing w:beforeLines="50" w:afterLines="50" w:line="400" w:lineRule="exact"/>
        <w:rPr>
          <w:rFonts w:ascii="宋体" w:hAnsi="宋体"/>
          <w:b/>
          <w:color w:val="auto"/>
          <w:sz w:val="24"/>
        </w:rPr>
      </w:pPr>
    </w:p>
    <w:p>
      <w:pPr>
        <w:pStyle w:val="4"/>
        <w:keepNext w:val="0"/>
        <w:keepLines w:val="0"/>
        <w:jc w:val="center"/>
        <w:rPr>
          <w:color w:val="auto"/>
        </w:rPr>
      </w:pPr>
      <w:bookmarkStart w:id="149" w:name="_Toc19686833"/>
      <w:r>
        <w:rPr>
          <w:rFonts w:hint="eastAsia"/>
          <w:color w:val="auto"/>
        </w:rPr>
        <w:t>第五章  拟签订的合同文本</w:t>
      </w:r>
      <w:bookmarkEnd w:id="149"/>
    </w:p>
    <w:p>
      <w:pPr>
        <w:snapToGrid w:val="0"/>
        <w:jc w:val="center"/>
        <w:rPr>
          <w:rFonts w:ascii="宋体" w:hAnsi="宋体"/>
          <w:bCs/>
          <w:color w:val="auto"/>
          <w:sz w:val="32"/>
          <w:szCs w:val="32"/>
        </w:rPr>
      </w:pPr>
    </w:p>
    <w:p>
      <w:pPr>
        <w:snapToGrid w:val="0"/>
        <w:jc w:val="center"/>
        <w:rPr>
          <w:rFonts w:ascii="宋体" w:hAnsi="宋体"/>
          <w:bCs/>
          <w:color w:val="auto"/>
          <w:sz w:val="32"/>
          <w:szCs w:val="32"/>
        </w:rPr>
      </w:pPr>
    </w:p>
    <w:p>
      <w:pPr>
        <w:snapToGrid w:val="0"/>
        <w:jc w:val="center"/>
        <w:rPr>
          <w:rFonts w:ascii="宋体" w:hAnsi="宋体"/>
          <w:bCs/>
          <w:color w:val="auto"/>
          <w:sz w:val="32"/>
          <w:szCs w:val="32"/>
        </w:rPr>
      </w:pPr>
    </w:p>
    <w:p>
      <w:pPr>
        <w:snapToGrid w:val="0"/>
        <w:jc w:val="center"/>
        <w:rPr>
          <w:rFonts w:ascii="宋体" w:hAnsi="宋体"/>
          <w:bCs/>
          <w:color w:val="auto"/>
          <w:sz w:val="32"/>
          <w:szCs w:val="32"/>
        </w:rPr>
      </w:pPr>
    </w:p>
    <w:p>
      <w:pPr>
        <w:snapToGrid w:val="0"/>
        <w:jc w:val="center"/>
        <w:rPr>
          <w:rFonts w:ascii="宋体" w:hAnsi="宋体"/>
          <w:bCs/>
          <w:color w:val="auto"/>
          <w:sz w:val="32"/>
          <w:szCs w:val="32"/>
        </w:rPr>
      </w:pPr>
    </w:p>
    <w:p>
      <w:pPr>
        <w:snapToGrid w:val="0"/>
        <w:spacing w:line="400" w:lineRule="exact"/>
        <w:jc w:val="center"/>
        <w:rPr>
          <w:rFonts w:ascii="微软雅黑" w:hAnsi="微软雅黑" w:eastAsia="微软雅黑"/>
          <w:b/>
          <w:bCs/>
          <w:color w:val="auto"/>
          <w:sz w:val="32"/>
          <w:szCs w:val="32"/>
        </w:rPr>
      </w:pPr>
      <w:r>
        <w:rPr>
          <w:rFonts w:ascii="宋体" w:hAnsi="宋体"/>
          <w:bCs/>
          <w:color w:val="auto"/>
          <w:sz w:val="32"/>
          <w:szCs w:val="32"/>
        </w:rPr>
        <w:br w:type="page"/>
      </w:r>
      <w:bookmarkStart w:id="150" w:name="_Hlk55381736"/>
      <w:r>
        <w:rPr>
          <w:rFonts w:hint="eastAsia" w:ascii="微软雅黑" w:hAnsi="微软雅黑" w:eastAsia="微软雅黑"/>
          <w:b/>
          <w:bCs/>
          <w:color w:val="auto"/>
          <w:sz w:val="32"/>
          <w:szCs w:val="32"/>
        </w:rPr>
        <w:t>《广西壮族自治区政府采购合同》</w:t>
      </w:r>
    </w:p>
    <w:p>
      <w:pPr>
        <w:snapToGrid w:val="0"/>
        <w:spacing w:line="400" w:lineRule="exact"/>
        <w:ind w:right="480" w:firstLine="5250" w:firstLineChars="2500"/>
        <w:rPr>
          <w:rFonts w:ascii="微软雅黑" w:hAnsi="微软雅黑" w:eastAsia="微软雅黑"/>
          <w:bCs/>
          <w:color w:val="auto"/>
          <w:szCs w:val="21"/>
        </w:rPr>
      </w:pPr>
    </w:p>
    <w:p>
      <w:pPr>
        <w:snapToGrid w:val="0"/>
        <w:spacing w:line="360" w:lineRule="auto"/>
        <w:rPr>
          <w:rFonts w:ascii="宋体" w:hAnsi="宋体" w:cs="宋体"/>
          <w:color w:val="auto"/>
          <w:szCs w:val="21"/>
          <w:u w:val="single"/>
        </w:rPr>
      </w:pPr>
      <w:r>
        <w:rPr>
          <w:rFonts w:hint="eastAsia" w:ascii="宋体" w:hAnsi="宋体" w:cs="宋体"/>
          <w:color w:val="auto"/>
          <w:szCs w:val="21"/>
        </w:rPr>
        <w:t>采购单位（甲方）</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napToGrid w:val="0"/>
        <w:spacing w:line="360" w:lineRule="auto"/>
        <w:rPr>
          <w:rFonts w:ascii="宋体" w:hAnsi="宋体" w:cs="宋体"/>
          <w:color w:val="auto"/>
          <w:szCs w:val="21"/>
          <w:u w:val="single"/>
        </w:rPr>
      </w:pPr>
      <w:r>
        <w:rPr>
          <w:rFonts w:hint="eastAsia" w:ascii="宋体" w:hAnsi="宋体" w:cs="宋体"/>
          <w:color w:val="auto"/>
          <w:szCs w:val="21"/>
        </w:rPr>
        <w:t>供 应 商（乙方）</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pacing w:val="-20"/>
          <w:szCs w:val="21"/>
        </w:rPr>
        <w:t>招  标  编  号</w:t>
      </w:r>
      <w:r>
        <w:rPr>
          <w:rFonts w:hint="eastAsia" w:ascii="宋体" w:hAnsi="宋体" w:cs="宋体"/>
          <w:color w:val="auto"/>
          <w:szCs w:val="21"/>
          <w:u w:val="single"/>
        </w:rPr>
        <w:t xml:space="preserve">                     </w:t>
      </w:r>
    </w:p>
    <w:p>
      <w:pPr>
        <w:snapToGrid w:val="0"/>
        <w:spacing w:line="360" w:lineRule="auto"/>
        <w:rPr>
          <w:rFonts w:ascii="宋体" w:hAnsi="宋体" w:cs="宋体"/>
          <w:color w:val="auto"/>
          <w:szCs w:val="21"/>
          <w:u w:val="single"/>
        </w:rPr>
      </w:pPr>
      <w:r>
        <w:rPr>
          <w:rFonts w:hint="eastAsia" w:ascii="宋体" w:hAnsi="宋体" w:cs="宋体"/>
          <w:color w:val="auto"/>
          <w:szCs w:val="21"/>
        </w:rPr>
        <w:t xml:space="preserve">签  订  地  点  </w:t>
      </w:r>
      <w:r>
        <w:rPr>
          <w:rFonts w:hint="eastAsia" w:ascii="宋体" w:hAnsi="宋体" w:cs="宋体"/>
          <w:color w:val="auto"/>
          <w:szCs w:val="21"/>
          <w:u w:val="single"/>
        </w:rPr>
        <w:t xml:space="preserve">                             </w:t>
      </w:r>
      <w:r>
        <w:rPr>
          <w:rFonts w:hint="eastAsia" w:ascii="宋体" w:hAnsi="宋体" w:cs="宋体"/>
          <w:color w:val="auto"/>
          <w:szCs w:val="21"/>
        </w:rPr>
        <w:t xml:space="preserve">  签 订 时 间</w:t>
      </w:r>
      <w:r>
        <w:rPr>
          <w:rFonts w:hint="eastAsia" w:ascii="宋体" w:hAnsi="宋体" w:cs="宋体"/>
          <w:color w:val="auto"/>
          <w:szCs w:val="21"/>
          <w:u w:val="single"/>
        </w:rPr>
        <w:t xml:space="preserve">                    </w:t>
      </w:r>
    </w:p>
    <w:p>
      <w:pPr>
        <w:snapToGrid w:val="0"/>
        <w:spacing w:line="360" w:lineRule="auto"/>
        <w:ind w:firstLine="420" w:firstLineChars="200"/>
        <w:rPr>
          <w:rFonts w:ascii="宋体" w:hAnsi="宋体" w:cs="宋体"/>
          <w:color w:val="auto"/>
          <w:szCs w:val="21"/>
        </w:rPr>
      </w:pP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根据《中华人民共和国政府采购法》、《中华人民共和国民法典》等法律、法规规定，按照采购文件规定条款和中标供应商承诺，甲乙双方签订本合同。</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第一条 合同标的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kern w:val="1"/>
          <w:szCs w:val="21"/>
          <w:lang w:eastAsia="ar-SA"/>
        </w:rPr>
        <w:t>.</w:t>
      </w:r>
      <w:r>
        <w:rPr>
          <w:rFonts w:hint="eastAsia" w:ascii="宋体" w:hAnsi="宋体" w:cs="宋体"/>
          <w:color w:val="auto"/>
          <w:kern w:val="1"/>
          <w:szCs w:val="21"/>
        </w:rPr>
        <w:t xml:space="preserve"> </w:t>
      </w:r>
      <w:r>
        <w:rPr>
          <w:rFonts w:hint="eastAsia" w:ascii="宋体" w:hAnsi="宋体" w:cs="宋体"/>
          <w:color w:val="auto"/>
          <w:szCs w:val="21"/>
        </w:rPr>
        <w:t>供货一览表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247"/>
        <w:gridCol w:w="1248"/>
        <w:gridCol w:w="1571"/>
        <w:gridCol w:w="1230"/>
        <w:gridCol w:w="1208"/>
        <w:gridCol w:w="1228"/>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6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序号</w:t>
            </w:r>
          </w:p>
        </w:tc>
        <w:tc>
          <w:tcPr>
            <w:tcW w:w="1247"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产品名称</w:t>
            </w:r>
          </w:p>
        </w:tc>
        <w:tc>
          <w:tcPr>
            <w:tcW w:w="1248"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商标品牌</w:t>
            </w:r>
          </w:p>
        </w:tc>
        <w:tc>
          <w:tcPr>
            <w:tcW w:w="1571"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规格型号</w:t>
            </w:r>
          </w:p>
        </w:tc>
        <w:tc>
          <w:tcPr>
            <w:tcW w:w="123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生产厂家</w:t>
            </w:r>
          </w:p>
        </w:tc>
        <w:tc>
          <w:tcPr>
            <w:tcW w:w="1208"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数量</w:t>
            </w:r>
          </w:p>
          <w:p>
            <w:pPr>
              <w:spacing w:line="360" w:lineRule="auto"/>
              <w:jc w:val="center"/>
              <w:rPr>
                <w:rFonts w:ascii="宋体" w:hAnsi="宋体" w:cs="宋体"/>
                <w:color w:val="auto"/>
                <w:szCs w:val="21"/>
              </w:rPr>
            </w:pPr>
            <w:r>
              <w:rPr>
                <w:rFonts w:hint="eastAsia" w:ascii="宋体" w:hAnsi="宋体" w:cs="宋体"/>
                <w:color w:val="auto"/>
                <w:szCs w:val="21"/>
              </w:rPr>
              <w:t>单位</w:t>
            </w:r>
          </w:p>
        </w:tc>
        <w:tc>
          <w:tcPr>
            <w:tcW w:w="1228"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单价(元)</w:t>
            </w:r>
          </w:p>
        </w:tc>
        <w:tc>
          <w:tcPr>
            <w:tcW w:w="136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6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w:t>
            </w:r>
          </w:p>
        </w:tc>
        <w:tc>
          <w:tcPr>
            <w:tcW w:w="1247" w:type="dxa"/>
            <w:vAlign w:val="center"/>
          </w:tcPr>
          <w:p>
            <w:pPr>
              <w:spacing w:line="360" w:lineRule="auto"/>
              <w:jc w:val="center"/>
              <w:rPr>
                <w:rFonts w:ascii="宋体" w:hAnsi="宋体" w:cs="宋体"/>
                <w:color w:val="auto"/>
                <w:szCs w:val="21"/>
              </w:rPr>
            </w:pPr>
          </w:p>
        </w:tc>
        <w:tc>
          <w:tcPr>
            <w:tcW w:w="1248" w:type="dxa"/>
            <w:vAlign w:val="center"/>
          </w:tcPr>
          <w:p>
            <w:pPr>
              <w:spacing w:line="360" w:lineRule="auto"/>
              <w:rPr>
                <w:rFonts w:ascii="宋体" w:hAnsi="宋体" w:cs="宋体"/>
                <w:color w:val="auto"/>
                <w:szCs w:val="21"/>
              </w:rPr>
            </w:pPr>
          </w:p>
        </w:tc>
        <w:tc>
          <w:tcPr>
            <w:tcW w:w="1571" w:type="dxa"/>
            <w:vAlign w:val="center"/>
          </w:tcPr>
          <w:p>
            <w:pPr>
              <w:spacing w:line="360" w:lineRule="auto"/>
              <w:jc w:val="center"/>
              <w:rPr>
                <w:rFonts w:ascii="宋体" w:hAnsi="宋体" w:cs="宋体"/>
                <w:color w:val="auto"/>
                <w:szCs w:val="21"/>
              </w:rPr>
            </w:pPr>
          </w:p>
        </w:tc>
        <w:tc>
          <w:tcPr>
            <w:tcW w:w="1230" w:type="dxa"/>
            <w:vAlign w:val="center"/>
          </w:tcPr>
          <w:p>
            <w:pPr>
              <w:spacing w:line="360" w:lineRule="auto"/>
              <w:jc w:val="center"/>
              <w:rPr>
                <w:rFonts w:ascii="宋体" w:hAnsi="宋体" w:cs="宋体"/>
                <w:color w:val="auto"/>
                <w:szCs w:val="21"/>
              </w:rPr>
            </w:pPr>
          </w:p>
        </w:tc>
        <w:tc>
          <w:tcPr>
            <w:tcW w:w="1208" w:type="dxa"/>
            <w:vAlign w:val="center"/>
          </w:tcPr>
          <w:p>
            <w:pPr>
              <w:spacing w:line="360" w:lineRule="auto"/>
              <w:jc w:val="center"/>
              <w:rPr>
                <w:rFonts w:ascii="宋体" w:hAnsi="宋体" w:cs="宋体"/>
                <w:color w:val="auto"/>
                <w:szCs w:val="21"/>
              </w:rPr>
            </w:pPr>
          </w:p>
        </w:tc>
        <w:tc>
          <w:tcPr>
            <w:tcW w:w="1228" w:type="dxa"/>
            <w:vAlign w:val="center"/>
          </w:tcPr>
          <w:p>
            <w:pPr>
              <w:spacing w:line="360" w:lineRule="auto"/>
              <w:jc w:val="center"/>
              <w:rPr>
                <w:rFonts w:ascii="宋体" w:hAnsi="宋体" w:cs="宋体"/>
                <w:color w:val="auto"/>
                <w:szCs w:val="21"/>
              </w:rPr>
            </w:pPr>
          </w:p>
        </w:tc>
        <w:tc>
          <w:tcPr>
            <w:tcW w:w="1360" w:type="dxa"/>
            <w:vAlign w:val="center"/>
          </w:tcPr>
          <w:p>
            <w:pPr>
              <w:spacing w:line="360"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854" w:type="dxa"/>
            <w:gridSpan w:val="8"/>
            <w:vAlign w:val="center"/>
          </w:tcPr>
          <w:p>
            <w:pPr>
              <w:spacing w:line="360" w:lineRule="auto"/>
              <w:rPr>
                <w:rFonts w:ascii="宋体" w:hAnsi="宋体" w:cs="宋体"/>
                <w:color w:val="auto"/>
                <w:szCs w:val="21"/>
              </w:rPr>
            </w:pPr>
            <w:r>
              <w:rPr>
                <w:rFonts w:hint="eastAsia" w:ascii="宋体" w:hAnsi="宋体" w:cs="宋体"/>
                <w:color w:val="auto"/>
                <w:szCs w:val="21"/>
              </w:rPr>
              <w:t xml:space="preserve">人民币合计金额(大写)                    (小写)               </w:t>
            </w:r>
          </w:p>
        </w:tc>
      </w:tr>
    </w:tbl>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kern w:val="1"/>
          <w:szCs w:val="21"/>
          <w:lang w:eastAsia="ar-SA"/>
        </w:rPr>
        <w:t>.</w:t>
      </w:r>
      <w:r>
        <w:rPr>
          <w:rFonts w:hint="eastAsia" w:ascii="宋体" w:hAnsi="宋体" w:cs="宋体"/>
          <w:color w:val="auto"/>
          <w:kern w:val="1"/>
          <w:szCs w:val="21"/>
        </w:rPr>
        <w:t xml:space="preserve"> </w:t>
      </w:r>
      <w:r>
        <w:rPr>
          <w:rFonts w:hint="eastAsia" w:ascii="宋体" w:hAnsi="宋体" w:cs="宋体"/>
          <w:color w:val="auto"/>
          <w:szCs w:val="21"/>
        </w:rPr>
        <w:t>合同合计金额是履行合同的最终价格，即投标报价为采购人指定地点的现场交货价，包括：投标人就《货物需求一览表》中全部内容作完整唯一报价，不完整响应或拆分投标的将导致投标无效；本项目投标应以人民币报价；不论投标结果如何，投标人均应自行承担所有与投标有关的全部费用；本项目报价为产品送达采购人指定地点进行安装，经采购人验收合格所发生的一切费用，其包括但不限于以下费用：产品（含主要设备、配件、辅材）供应、运输装卸费、保险费、安装费、调试费、行政规费与税费、产品检验检测、操作人员培训费、管理费、验收费、质保期技术支持及运行维护费用、招标代理服务费等与本项目相关的一切费用；投标人漏报的单价或每单价报价中漏报、少报的费用，视为此项费用已隐含在投标报价中，中标后不得再向采购人收取任何费用。。</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第二条 质量保证</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kern w:val="1"/>
          <w:szCs w:val="21"/>
          <w:lang w:eastAsia="ar-SA"/>
        </w:rPr>
        <w:t>.</w:t>
      </w:r>
      <w:r>
        <w:rPr>
          <w:rFonts w:hint="eastAsia" w:ascii="宋体" w:hAnsi="宋体" w:cs="宋体"/>
          <w:color w:val="auto"/>
          <w:kern w:val="1"/>
          <w:szCs w:val="21"/>
        </w:rPr>
        <w:t xml:space="preserve"> </w:t>
      </w:r>
      <w:r>
        <w:rPr>
          <w:rFonts w:hint="eastAsia" w:ascii="宋体" w:hAnsi="宋体" w:cs="宋体"/>
          <w:color w:val="auto"/>
          <w:szCs w:val="21"/>
        </w:rPr>
        <w:t>乙方所提供的货物型号、技术规格、技术参数等应符合国家标准、行业标准、地方标准等标准、规范（上述标准、规范有出入的，以较严格为准），并与公告规定、采购文件及投标文件承诺的质量相一致，以确保使用过程的安全有效，如采购文件中明确对货物提出更高的技术要求的，乙方还应当确保符合采购文件提出的技术要求。</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kern w:val="1"/>
          <w:szCs w:val="21"/>
          <w:lang w:eastAsia="ar-SA"/>
        </w:rPr>
        <w:t>.</w:t>
      </w:r>
      <w:r>
        <w:rPr>
          <w:rFonts w:hint="eastAsia" w:ascii="宋体" w:hAnsi="宋体" w:cs="宋体"/>
          <w:color w:val="auto"/>
          <w:kern w:val="1"/>
          <w:szCs w:val="21"/>
        </w:rPr>
        <w:t xml:space="preserve"> </w:t>
      </w:r>
      <w:r>
        <w:rPr>
          <w:rFonts w:hint="eastAsia" w:ascii="宋体" w:hAnsi="宋体" w:cs="宋体"/>
          <w:color w:val="auto"/>
          <w:szCs w:val="21"/>
        </w:rPr>
        <w:t>乙方所提供的货物必须是全新、未使用的原装产品，且在正常安装、使用和保养条件下，其使用寿命期内各项指标均达到公告规定、采购文件或投标文件承诺的质量要求。</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第三条 权利保证</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kern w:val="1"/>
          <w:szCs w:val="21"/>
          <w:lang w:eastAsia="ar-SA"/>
        </w:rPr>
        <w:t>.</w:t>
      </w:r>
      <w:r>
        <w:rPr>
          <w:rFonts w:hint="eastAsia" w:ascii="宋体" w:hAnsi="宋体" w:cs="宋体"/>
          <w:color w:val="auto"/>
          <w:kern w:val="1"/>
          <w:szCs w:val="21"/>
        </w:rPr>
        <w:t xml:space="preserve"> </w:t>
      </w:r>
      <w:r>
        <w:rPr>
          <w:rFonts w:hint="eastAsia" w:ascii="宋体" w:hAnsi="宋体" w:cs="宋体"/>
          <w:color w:val="auto"/>
          <w:szCs w:val="21"/>
        </w:rPr>
        <w:t>乙方应保证所提供货物在使用时不会侵犯任何第三方的专利权、商标权、工业设计权或其他权利。</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kern w:val="1"/>
          <w:szCs w:val="21"/>
          <w:lang w:eastAsia="ar-SA"/>
        </w:rPr>
        <w:t>.</w:t>
      </w:r>
      <w:r>
        <w:rPr>
          <w:rFonts w:hint="eastAsia" w:ascii="宋体" w:hAnsi="宋体" w:cs="宋体"/>
          <w:color w:val="auto"/>
          <w:kern w:val="1"/>
          <w:szCs w:val="21"/>
        </w:rPr>
        <w:t xml:space="preserve"> </w:t>
      </w:r>
      <w:r>
        <w:rPr>
          <w:rFonts w:hint="eastAsia" w:ascii="宋体" w:hAnsi="宋体" w:cs="宋体"/>
          <w:color w:val="auto"/>
          <w:szCs w:val="21"/>
        </w:rPr>
        <w:t>乙方应按公告规定、采购文件或投标文件承诺的时间向甲方提供使用货物的有关技术资料。</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kern w:val="1"/>
          <w:szCs w:val="21"/>
          <w:lang w:eastAsia="ar-SA"/>
        </w:rPr>
        <w:t>.</w:t>
      </w:r>
      <w:r>
        <w:rPr>
          <w:rFonts w:hint="eastAsia" w:ascii="宋体" w:hAnsi="宋体" w:cs="宋体"/>
          <w:color w:val="auto"/>
          <w:kern w:val="1"/>
          <w:szCs w:val="21"/>
        </w:rPr>
        <w:t xml:space="preserve"> </w:t>
      </w:r>
      <w:r>
        <w:rPr>
          <w:rFonts w:hint="eastAsia" w:ascii="宋体" w:hAnsi="宋体" w:cs="宋体"/>
          <w:color w:val="auto"/>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kern w:val="1"/>
          <w:szCs w:val="21"/>
          <w:lang w:eastAsia="ar-SA"/>
        </w:rPr>
        <w:t>.</w:t>
      </w:r>
      <w:r>
        <w:rPr>
          <w:rFonts w:hint="eastAsia" w:ascii="宋体" w:hAnsi="宋体" w:cs="宋体"/>
          <w:color w:val="auto"/>
          <w:kern w:val="1"/>
          <w:szCs w:val="21"/>
        </w:rPr>
        <w:t xml:space="preserve"> </w:t>
      </w:r>
      <w:r>
        <w:rPr>
          <w:rFonts w:hint="eastAsia" w:ascii="宋体" w:hAnsi="宋体" w:cs="宋体"/>
          <w:color w:val="auto"/>
          <w:szCs w:val="21"/>
        </w:rPr>
        <w:t>乙方保证将要交付的货物的所有权完全属于乙方，且无任何抵押、质押、查封等产权瑕疵。</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第四条 包装和运输</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kern w:val="1"/>
          <w:szCs w:val="21"/>
          <w:lang w:eastAsia="ar-SA"/>
        </w:rPr>
        <w:t>.</w:t>
      </w:r>
      <w:r>
        <w:rPr>
          <w:rFonts w:hint="eastAsia" w:ascii="宋体" w:hAnsi="宋体" w:cs="宋体"/>
          <w:color w:val="auto"/>
          <w:kern w:val="1"/>
          <w:szCs w:val="21"/>
        </w:rPr>
        <w:t xml:space="preserve"> </w:t>
      </w:r>
      <w:r>
        <w:rPr>
          <w:rFonts w:hint="eastAsia" w:ascii="宋体" w:hAnsi="宋体" w:cs="宋体"/>
          <w:color w:val="auto"/>
          <w:szCs w:val="21"/>
        </w:rPr>
        <w:t>乙方提供的货物均应按照公告规定、采购文件或投标文件承诺的包装材料、包装标准、包装方式进行包装，每一包装单元内应附详细的装箱单和质量合格证。</w:t>
      </w:r>
    </w:p>
    <w:p>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kern w:val="1"/>
          <w:szCs w:val="21"/>
          <w:lang w:eastAsia="ar-SA"/>
        </w:rPr>
        <w:t>.</w:t>
      </w:r>
      <w:r>
        <w:rPr>
          <w:rFonts w:hint="eastAsia" w:ascii="宋体" w:hAnsi="宋体" w:cs="宋体"/>
          <w:color w:val="auto"/>
          <w:kern w:val="1"/>
          <w:szCs w:val="21"/>
        </w:rPr>
        <w:t xml:space="preserve"> </w:t>
      </w:r>
      <w:r>
        <w:rPr>
          <w:rFonts w:hint="eastAsia" w:ascii="宋体" w:hAnsi="宋体" w:cs="宋体"/>
          <w:color w:val="auto"/>
          <w:szCs w:val="21"/>
        </w:rPr>
        <w:t>货物的运输方式：</w:t>
      </w:r>
      <w:r>
        <w:rPr>
          <w:rFonts w:hint="eastAsia" w:ascii="宋体" w:hAnsi="宋体" w:cs="宋体"/>
          <w:color w:val="auto"/>
          <w:szCs w:val="21"/>
          <w:u w:val="single"/>
        </w:rPr>
        <w:t xml:space="preserve">  </w:t>
      </w:r>
      <w:r>
        <w:rPr>
          <w:rFonts w:hint="eastAsia" w:ascii="宋体" w:hAnsi="宋体" w:cs="宋体"/>
          <w:color w:val="auto"/>
          <w:kern w:val="1"/>
          <w:szCs w:val="21"/>
          <w:u w:val="single"/>
          <w:lang w:eastAsia="ar-SA"/>
        </w:rPr>
        <w:t>不限</w:t>
      </w:r>
      <w:r>
        <w:rPr>
          <w:rFonts w:hint="eastAsia" w:ascii="宋体" w:hAnsi="宋体" w:cs="宋体"/>
          <w:color w:val="auto"/>
          <w:szCs w:val="21"/>
          <w:u w:val="single"/>
        </w:rPr>
        <w:t xml:space="preserve">  </w:t>
      </w:r>
    </w:p>
    <w:p>
      <w:pPr>
        <w:spacing w:line="360" w:lineRule="auto"/>
        <w:ind w:firstLine="420" w:firstLineChars="200"/>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kern w:val="1"/>
          <w:szCs w:val="21"/>
          <w:lang w:eastAsia="ar-SA"/>
        </w:rPr>
        <w:t>.</w:t>
      </w:r>
      <w:r>
        <w:rPr>
          <w:rFonts w:hint="eastAsia" w:ascii="宋体" w:hAnsi="宋体" w:cs="宋体"/>
          <w:color w:val="auto"/>
          <w:kern w:val="1"/>
          <w:szCs w:val="21"/>
        </w:rPr>
        <w:t xml:space="preserve"> </w:t>
      </w:r>
      <w:r>
        <w:rPr>
          <w:rFonts w:hint="eastAsia" w:ascii="宋体" w:hAnsi="宋体" w:cs="宋体"/>
          <w:color w:val="auto"/>
          <w:szCs w:val="21"/>
        </w:rPr>
        <w:t>乙方负责货物运输及相关费用，货物运输合理损耗及计算方法：</w:t>
      </w:r>
      <w:r>
        <w:rPr>
          <w:rFonts w:hint="eastAsia" w:ascii="宋体" w:hAnsi="宋体" w:cs="宋体"/>
          <w:color w:val="auto"/>
          <w:szCs w:val="21"/>
          <w:u w:val="single"/>
        </w:rPr>
        <w:t>货物运输保险费已包含在合同总价中，乙方须确保货物安全无损地运抵安装地点</w:t>
      </w:r>
      <w:r>
        <w:rPr>
          <w:rFonts w:hint="eastAsia" w:ascii="宋体" w:hAnsi="宋体" w:cs="宋体"/>
          <w:color w:val="auto"/>
          <w:szCs w:val="21"/>
        </w:rPr>
        <w:t>。</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第五条 交付和验收</w:t>
      </w:r>
    </w:p>
    <w:p>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kern w:val="1"/>
          <w:szCs w:val="21"/>
          <w:lang w:eastAsia="ar-SA"/>
        </w:rPr>
        <w:t>.</w:t>
      </w:r>
      <w:r>
        <w:rPr>
          <w:rFonts w:hint="eastAsia" w:ascii="宋体" w:hAnsi="宋体" w:cs="宋体"/>
          <w:color w:val="auto"/>
          <w:kern w:val="1"/>
          <w:szCs w:val="21"/>
        </w:rPr>
        <w:t xml:space="preserve"> </w:t>
      </w:r>
      <w:r>
        <w:rPr>
          <w:rFonts w:hint="eastAsia" w:ascii="宋体" w:hAnsi="宋体" w:cs="宋体"/>
          <w:color w:val="auto"/>
          <w:szCs w:val="21"/>
        </w:rPr>
        <w:t>交货时间：</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630" w:firstLineChars="300"/>
        <w:rPr>
          <w:rFonts w:ascii="宋体" w:hAnsi="宋体" w:cs="宋体"/>
          <w:color w:val="auto"/>
          <w:szCs w:val="21"/>
        </w:rPr>
      </w:pPr>
      <w:r>
        <w:rPr>
          <w:rFonts w:hint="eastAsia" w:ascii="宋体" w:hAnsi="宋体" w:cs="宋体"/>
          <w:color w:val="auto"/>
          <w:szCs w:val="21"/>
        </w:rPr>
        <w:t xml:space="preserve"> 交货地点：</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kern w:val="1"/>
          <w:szCs w:val="21"/>
          <w:lang w:eastAsia="ar-SA"/>
        </w:rPr>
        <w:t>.</w:t>
      </w:r>
      <w:r>
        <w:rPr>
          <w:rFonts w:hint="eastAsia" w:ascii="宋体" w:hAnsi="宋体" w:cs="宋体"/>
          <w:color w:val="auto"/>
          <w:kern w:val="1"/>
          <w:szCs w:val="21"/>
        </w:rPr>
        <w:t xml:space="preserve"> </w:t>
      </w:r>
      <w:r>
        <w:rPr>
          <w:rFonts w:hint="eastAsia" w:ascii="宋体" w:hAnsi="宋体" w:cs="宋体"/>
          <w:color w:val="auto"/>
          <w:szCs w:val="21"/>
        </w:rPr>
        <w:t>乙方提供不符合公告规定的、采购文件、投标文件承诺的或本合同规定的货物，甲方有权拒绝接受。</w:t>
      </w:r>
    </w:p>
    <w:p>
      <w:pPr>
        <w:spacing w:line="360" w:lineRule="auto"/>
        <w:ind w:firstLine="420" w:firstLineChars="200"/>
        <w:rPr>
          <w:rFonts w:ascii="宋体" w:hAnsi="宋体" w:cs="宋体"/>
          <w:color w:val="auto"/>
          <w:szCs w:val="21"/>
        </w:rPr>
      </w:pPr>
      <w:r>
        <w:rPr>
          <w:rFonts w:hint="eastAsia" w:ascii="宋体" w:hAnsi="宋体" w:cs="宋体"/>
          <w:color w:val="auto"/>
          <w:szCs w:val="21"/>
        </w:rPr>
        <w:t>3. 乙方应将所提供货物的装箱清单、用户手册、原厂保修卡、随机资料、工具和备品、备件等交付给甲方，如有缺失应在甲方要求的合理时间内及时补齐，否则视为逾期交货。</w:t>
      </w:r>
    </w:p>
    <w:p>
      <w:pPr>
        <w:spacing w:line="360" w:lineRule="auto"/>
        <w:ind w:firstLine="420" w:firstLineChars="200"/>
        <w:rPr>
          <w:rFonts w:ascii="宋体" w:hAnsi="宋体" w:cs="宋体"/>
          <w:color w:val="auto"/>
          <w:szCs w:val="21"/>
        </w:rPr>
      </w:pPr>
      <w:r>
        <w:rPr>
          <w:rFonts w:hint="eastAsia" w:ascii="宋体" w:hAnsi="宋体" w:cs="宋体"/>
          <w:color w:val="auto"/>
          <w:szCs w:val="21"/>
        </w:rPr>
        <w:t>4. 甲方应当在到货并安装、调试完后</w:t>
      </w:r>
      <w:bookmarkStart w:id="151" w:name="OLE_LINK12"/>
      <w:bookmarkStart w:id="152" w:name="OLE_LINK11"/>
      <w:r>
        <w:rPr>
          <w:rFonts w:hint="eastAsia" w:ascii="宋体" w:hAnsi="宋体" w:cs="宋体"/>
          <w:color w:val="auto"/>
          <w:szCs w:val="21"/>
        </w:rPr>
        <w:t>一个月内进行验收</w:t>
      </w:r>
      <w:bookmarkEnd w:id="151"/>
      <w:bookmarkEnd w:id="152"/>
      <w:r>
        <w:rPr>
          <w:rFonts w:hint="eastAsia" w:ascii="宋体" w:hAnsi="宋体" w:cs="宋体"/>
          <w:color w:val="auto"/>
          <w:szCs w:val="21"/>
        </w:rPr>
        <w:t>，逾期不验收的，乙方可视同验收合格。验收合格后由甲乙双方签署货物验收单并加盖采购单位公章，甲乙双方各执一份。</w:t>
      </w:r>
    </w:p>
    <w:p>
      <w:pPr>
        <w:spacing w:line="360" w:lineRule="auto"/>
        <w:ind w:firstLine="420" w:firstLineChars="200"/>
        <w:rPr>
          <w:rFonts w:ascii="宋体" w:hAnsi="宋体" w:cs="宋体"/>
          <w:color w:val="auto"/>
          <w:szCs w:val="21"/>
        </w:rPr>
      </w:pPr>
      <w:r>
        <w:rPr>
          <w:rFonts w:hint="eastAsia" w:ascii="宋体" w:hAnsi="宋体" w:cs="宋体"/>
          <w:color w:val="auto"/>
          <w:szCs w:val="21"/>
        </w:rPr>
        <w:t>5. 若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pPr>
        <w:spacing w:line="360" w:lineRule="auto"/>
        <w:ind w:firstLine="420" w:firstLineChars="200"/>
        <w:rPr>
          <w:rFonts w:ascii="宋体" w:hAnsi="宋体" w:cs="宋体"/>
          <w:color w:val="auto"/>
          <w:szCs w:val="21"/>
        </w:rPr>
      </w:pPr>
      <w:r>
        <w:rPr>
          <w:rFonts w:hint="eastAsia" w:ascii="宋体" w:hAnsi="宋体" w:cs="宋体"/>
          <w:color w:val="auto"/>
          <w:szCs w:val="21"/>
        </w:rPr>
        <w:t>6. 甲方对验收有异议的，在验收后五个工作日内以书面形式向乙方提出，乙方应自收到甲方书面异议后五日内及时予以解决。</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第六条 安装和培训</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kern w:val="1"/>
          <w:szCs w:val="21"/>
          <w:lang w:eastAsia="ar-SA"/>
        </w:rPr>
        <w:t>.</w:t>
      </w:r>
      <w:r>
        <w:rPr>
          <w:rFonts w:hint="eastAsia" w:ascii="宋体" w:hAnsi="宋体" w:cs="宋体"/>
          <w:color w:val="auto"/>
          <w:kern w:val="1"/>
          <w:szCs w:val="21"/>
        </w:rPr>
        <w:t xml:space="preserve"> </w:t>
      </w:r>
      <w:r>
        <w:rPr>
          <w:rFonts w:hint="eastAsia" w:ascii="宋体" w:hAnsi="宋体" w:cs="宋体"/>
          <w:color w:val="auto"/>
          <w:szCs w:val="21"/>
        </w:rPr>
        <w:t>甲方应提供必要安装条件（如场地、电源、水源等）。乙方应在到货之日起</w:t>
      </w:r>
      <w:r>
        <w:rPr>
          <w:rFonts w:hint="eastAsia" w:ascii="宋体" w:hAnsi="宋体" w:cs="宋体"/>
          <w:color w:val="auto"/>
          <w:szCs w:val="21"/>
          <w:u w:val="single"/>
        </w:rPr>
        <w:t xml:space="preserve">  </w:t>
      </w:r>
      <w:r>
        <w:rPr>
          <w:rFonts w:hint="eastAsia" w:ascii="宋体" w:hAnsi="宋体" w:cs="宋体"/>
          <w:color w:val="auto"/>
          <w:szCs w:val="21"/>
        </w:rPr>
        <w:t xml:space="preserve"> 个工作日内对货物进行安装、调试。</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kern w:val="1"/>
          <w:szCs w:val="21"/>
          <w:lang w:eastAsia="ar-SA"/>
        </w:rPr>
        <w:t>.</w:t>
      </w:r>
      <w:r>
        <w:rPr>
          <w:rFonts w:hint="eastAsia" w:ascii="宋体" w:hAnsi="宋体" w:cs="宋体"/>
          <w:color w:val="auto"/>
          <w:kern w:val="1"/>
          <w:szCs w:val="21"/>
        </w:rPr>
        <w:t xml:space="preserve"> </w:t>
      </w:r>
      <w:r>
        <w:rPr>
          <w:rFonts w:hint="eastAsia" w:ascii="宋体" w:hAnsi="宋体" w:cs="宋体"/>
          <w:color w:val="auto"/>
          <w:szCs w:val="21"/>
        </w:rPr>
        <w:t>乙方负责甲方有关人员的培训，具体培训时间由甲方予以确定。</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第七条 售后服务、质保期</w:t>
      </w:r>
    </w:p>
    <w:p>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kern w:val="1"/>
          <w:szCs w:val="21"/>
          <w:lang w:eastAsia="ar-SA"/>
        </w:rPr>
        <w:t>.</w:t>
      </w:r>
      <w:r>
        <w:rPr>
          <w:rFonts w:hint="eastAsia" w:ascii="宋体" w:hAnsi="宋体" w:cs="宋体"/>
          <w:color w:val="auto"/>
          <w:kern w:val="1"/>
          <w:szCs w:val="21"/>
        </w:rPr>
        <w:t xml:space="preserve"> </w:t>
      </w:r>
      <w:r>
        <w:rPr>
          <w:rFonts w:hint="eastAsia" w:ascii="宋体" w:hAnsi="宋体" w:cs="宋体"/>
          <w:color w:val="auto"/>
          <w:szCs w:val="21"/>
        </w:rPr>
        <w:t>乙方应按照国家有关法律法规和“三包”规定以及公告、采购文件投标文件和本合同所附的《服务承诺》，为甲方提供售后服务。</w:t>
      </w:r>
    </w:p>
    <w:p>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kern w:val="1"/>
          <w:szCs w:val="21"/>
          <w:lang w:eastAsia="ar-SA"/>
        </w:rPr>
        <w:t>.</w:t>
      </w:r>
      <w:r>
        <w:rPr>
          <w:rFonts w:hint="eastAsia" w:ascii="宋体" w:hAnsi="宋体" w:cs="宋体"/>
          <w:color w:val="auto"/>
          <w:kern w:val="1"/>
          <w:szCs w:val="21"/>
        </w:rPr>
        <w:t xml:space="preserve"> </w:t>
      </w:r>
      <w:r>
        <w:rPr>
          <w:rFonts w:hint="eastAsia" w:ascii="宋体" w:hAnsi="宋体" w:cs="宋体"/>
          <w:color w:val="auto"/>
          <w:szCs w:val="21"/>
        </w:rPr>
        <w:t>货物保修期：</w:t>
      </w:r>
      <w:r>
        <w:rPr>
          <w:rFonts w:hint="eastAsia" w:ascii="宋体" w:hAnsi="宋体" w:cs="宋体"/>
          <w:color w:val="auto"/>
          <w:szCs w:val="21"/>
          <w:u w:val="single"/>
        </w:rPr>
        <w:t xml:space="preserve">                                                         。</w:t>
      </w:r>
    </w:p>
    <w:p>
      <w:pPr>
        <w:spacing w:line="360" w:lineRule="auto"/>
        <w:ind w:firstLine="420" w:firstLineChars="200"/>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kern w:val="1"/>
          <w:szCs w:val="21"/>
          <w:lang w:eastAsia="ar-SA"/>
        </w:rPr>
        <w:t>.</w:t>
      </w:r>
      <w:r>
        <w:rPr>
          <w:rFonts w:hint="eastAsia" w:ascii="宋体" w:hAnsi="宋体" w:cs="宋体"/>
          <w:color w:val="auto"/>
          <w:kern w:val="1"/>
          <w:szCs w:val="21"/>
        </w:rPr>
        <w:t xml:space="preserve"> </w:t>
      </w:r>
      <w:r>
        <w:rPr>
          <w:rFonts w:hint="eastAsia" w:ascii="宋体" w:hAnsi="宋体" w:cs="宋体"/>
          <w:color w:val="auto"/>
          <w:szCs w:val="21"/>
        </w:rPr>
        <w:t>乙方提供的服务承诺和售后服务及质保期责任等其它具体约定事项（见合同附件)。</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第八条 付款方式和履约保证金</w:t>
      </w:r>
    </w:p>
    <w:p>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kern w:val="1"/>
          <w:szCs w:val="21"/>
          <w:lang w:eastAsia="ar-SA"/>
        </w:rPr>
        <w:t>.</w:t>
      </w:r>
      <w:r>
        <w:rPr>
          <w:rFonts w:hint="eastAsia" w:ascii="宋体" w:hAnsi="宋体" w:cs="宋体"/>
          <w:color w:val="auto"/>
          <w:kern w:val="1"/>
          <w:szCs w:val="21"/>
        </w:rPr>
        <w:t xml:space="preserve"> </w:t>
      </w:r>
      <w:r>
        <w:rPr>
          <w:rFonts w:hint="eastAsia" w:ascii="宋体" w:hAnsi="宋体" w:cs="宋体"/>
          <w:color w:val="auto"/>
          <w:szCs w:val="21"/>
        </w:rPr>
        <w:t>当采购数量与实际使用数量不一致时，乙方应根据实际使用量供货，合同的最终结算金额按实际使用量乘以中标单价进行计算。</w:t>
      </w:r>
    </w:p>
    <w:p>
      <w:pPr>
        <w:suppressAutoHyphens/>
        <w:spacing w:line="360" w:lineRule="auto"/>
        <w:ind w:firstLine="420" w:firstLineChars="200"/>
        <w:rPr>
          <w:rFonts w:ascii="宋体" w:hAnsi="宋体" w:cs="宋体"/>
          <w:color w:val="auto"/>
          <w:kern w:val="1"/>
          <w:szCs w:val="21"/>
        </w:rPr>
      </w:pPr>
      <w:r>
        <w:rPr>
          <w:rFonts w:hint="eastAsia" w:ascii="宋体" w:hAnsi="宋体" w:cs="宋体"/>
          <w:color w:val="auto"/>
          <w:kern w:val="1"/>
          <w:szCs w:val="21"/>
        </w:rPr>
        <w:t>2</w:t>
      </w:r>
      <w:r>
        <w:rPr>
          <w:rFonts w:hint="eastAsia" w:ascii="宋体" w:hAnsi="宋体" w:cs="宋体"/>
          <w:color w:val="auto"/>
          <w:kern w:val="1"/>
          <w:szCs w:val="21"/>
          <w:lang w:eastAsia="ar-SA"/>
        </w:rPr>
        <w:t>.</w:t>
      </w:r>
      <w:r>
        <w:rPr>
          <w:rFonts w:hint="eastAsia" w:ascii="宋体" w:hAnsi="宋体" w:cs="宋体"/>
          <w:color w:val="auto"/>
          <w:kern w:val="1"/>
          <w:szCs w:val="21"/>
        </w:rPr>
        <w:t xml:space="preserve"> 资金性质：</w:t>
      </w:r>
      <w:r>
        <w:rPr>
          <w:rFonts w:hint="eastAsia" w:ascii="宋体" w:hAnsi="宋体" w:cs="宋体"/>
          <w:color w:val="auto"/>
          <w:kern w:val="1"/>
          <w:szCs w:val="21"/>
          <w:u w:val="single"/>
        </w:rPr>
        <w:t xml:space="preserve"> 财政性资金   </w:t>
      </w:r>
      <w:r>
        <w:rPr>
          <w:rFonts w:hint="eastAsia" w:ascii="宋体" w:hAnsi="宋体" w:cs="宋体"/>
          <w:color w:val="auto"/>
          <w:kern w:val="1"/>
          <w:szCs w:val="21"/>
        </w:rPr>
        <w:t>。</w:t>
      </w:r>
    </w:p>
    <w:p>
      <w:pPr>
        <w:suppressAutoHyphens/>
        <w:spacing w:line="360" w:lineRule="auto"/>
        <w:ind w:firstLine="420" w:firstLineChars="200"/>
        <w:rPr>
          <w:rFonts w:ascii="宋体" w:hAnsi="宋体" w:cs="宋体"/>
          <w:color w:val="auto"/>
          <w:kern w:val="1"/>
          <w:szCs w:val="21"/>
          <w:u w:val="single"/>
        </w:rPr>
      </w:pPr>
      <w:r>
        <w:rPr>
          <w:rFonts w:hint="eastAsia" w:ascii="宋体" w:hAnsi="宋体" w:cs="宋体"/>
          <w:color w:val="auto"/>
          <w:kern w:val="1"/>
          <w:szCs w:val="21"/>
        </w:rPr>
        <w:t>3</w:t>
      </w:r>
      <w:r>
        <w:rPr>
          <w:rFonts w:hint="eastAsia" w:ascii="宋体" w:hAnsi="宋体" w:cs="宋体"/>
          <w:color w:val="auto"/>
          <w:kern w:val="1"/>
          <w:szCs w:val="21"/>
          <w:lang w:eastAsia="ar-SA"/>
        </w:rPr>
        <w:t>.</w:t>
      </w:r>
      <w:r>
        <w:rPr>
          <w:rFonts w:hint="eastAsia" w:ascii="宋体" w:hAnsi="宋体" w:cs="宋体"/>
          <w:color w:val="auto"/>
          <w:kern w:val="1"/>
          <w:szCs w:val="21"/>
        </w:rPr>
        <w:t xml:space="preserve"> 付款方式：</w:t>
      </w:r>
      <w:r>
        <w:rPr>
          <w:rFonts w:hint="eastAsia" w:ascii="宋体" w:hAnsi="宋体" w:cs="宋体"/>
          <w:color w:val="auto"/>
          <w:kern w:val="1"/>
          <w:szCs w:val="21"/>
          <w:u w:val="single"/>
        </w:rPr>
        <w:t xml:space="preserve">                                       。</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第九条 履约保证金</w:t>
      </w:r>
    </w:p>
    <w:p>
      <w:pPr>
        <w:autoSpaceDE w:val="0"/>
        <w:autoSpaceDN w:val="0"/>
        <w:snapToGrid w:val="0"/>
        <w:spacing w:line="360" w:lineRule="auto"/>
        <w:ind w:firstLine="424" w:firstLineChars="202"/>
        <w:textAlignment w:val="bottom"/>
        <w:rPr>
          <w:rFonts w:ascii="宋体" w:hAnsi="宋体" w:cs="宋体"/>
          <w:color w:val="auto"/>
          <w:kern w:val="1"/>
          <w:szCs w:val="21"/>
          <w:lang w:eastAsia="ar-SA"/>
        </w:rPr>
      </w:pPr>
      <w:r>
        <w:rPr>
          <w:rFonts w:hint="eastAsia" w:ascii="宋体" w:hAnsi="宋体" w:cs="宋体"/>
          <w:color w:val="auto"/>
          <w:kern w:val="1"/>
          <w:szCs w:val="21"/>
          <w:lang w:eastAsia="ar-SA"/>
        </w:rPr>
        <w:t>履约保证金：</w:t>
      </w:r>
    </w:p>
    <w:p>
      <w:pPr>
        <w:spacing w:line="360" w:lineRule="auto"/>
        <w:ind w:firstLine="420" w:firstLineChars="200"/>
        <w:contextualSpacing/>
        <w:rPr>
          <w:rFonts w:ascii="宋体" w:hAnsi="宋体"/>
          <w:color w:val="auto"/>
        </w:rPr>
      </w:pPr>
      <w:r>
        <w:rPr>
          <w:rFonts w:hint="eastAsia" w:ascii="宋体" w:hAnsi="宋体" w:cs="宋体"/>
          <w:color w:val="auto"/>
          <w:szCs w:val="21"/>
        </w:rPr>
        <w:t>1.履约保证金金额：按中标金额的</w:t>
      </w:r>
      <w:r>
        <w:rPr>
          <w:rFonts w:hint="eastAsia" w:ascii="宋体" w:hAnsi="宋体" w:cs="宋体"/>
          <w:color w:val="auto"/>
          <w:szCs w:val="21"/>
          <w:u w:val="single"/>
        </w:rPr>
        <w:t xml:space="preserve"> 2 </w:t>
      </w:r>
      <w:r>
        <w:rPr>
          <w:rFonts w:hint="eastAsia" w:ascii="宋体" w:hAnsi="宋体" w:cs="宋体"/>
          <w:color w:val="auto"/>
          <w:szCs w:val="21"/>
        </w:rPr>
        <w:t>%收取，并于合同签订前提交至采购人指定账户。</w:t>
      </w:r>
    </w:p>
    <w:p>
      <w:pPr>
        <w:autoSpaceDE w:val="0"/>
        <w:autoSpaceDN w:val="0"/>
        <w:snapToGrid w:val="0"/>
        <w:spacing w:line="360" w:lineRule="auto"/>
        <w:ind w:firstLine="424" w:firstLineChars="202"/>
        <w:textAlignment w:val="bottom"/>
        <w:rPr>
          <w:rFonts w:ascii="宋体" w:hAnsi="宋体" w:cs="宋体"/>
          <w:color w:val="auto"/>
          <w:szCs w:val="21"/>
        </w:rPr>
      </w:pPr>
      <w:r>
        <w:rPr>
          <w:rFonts w:hint="eastAsia" w:ascii="宋体" w:hAnsi="宋体" w:cs="宋体"/>
          <w:color w:val="auto"/>
          <w:szCs w:val="21"/>
        </w:rPr>
        <w:t>2.履约保证金递交方式：支票、汇票、本票，或者银行、保险机构出具的保函等非现金方式。</w:t>
      </w:r>
    </w:p>
    <w:p>
      <w:pPr>
        <w:spacing w:line="360" w:lineRule="auto"/>
        <w:ind w:firstLine="420" w:firstLineChars="200"/>
        <w:jc w:val="left"/>
        <w:rPr>
          <w:color w:val="auto"/>
        </w:rPr>
      </w:pPr>
      <w:r>
        <w:rPr>
          <w:rFonts w:hint="eastAsia" w:ascii="宋体" w:hAnsi="宋体" w:cs="宋体"/>
          <w:color w:val="auto"/>
          <w:szCs w:val="21"/>
        </w:rPr>
        <w:t>3.履约保证金退付的方式、时间及条件：</w:t>
      </w:r>
      <w:r>
        <w:rPr>
          <w:rFonts w:hint="eastAsia"/>
          <w:color w:val="auto"/>
        </w:rPr>
        <w:t>履约保证金在中标人按合同约定的项目验收交付正常运行一年后，由中标人向采购人提供《采购项目合同验收书》及《采购项目履约保证金退付意见书》（详见附件），甲方在收到合格材料后15个工作日内如数退还（不计利息）。采购人无故延期退付履约保证金的，每天向对方偿付未退付履约保证金3‰作为违约金。</w:t>
      </w:r>
    </w:p>
    <w:p>
      <w:pPr>
        <w:suppressAutoHyphens/>
        <w:autoSpaceDE w:val="0"/>
        <w:autoSpaceDN w:val="0"/>
        <w:snapToGrid w:val="0"/>
        <w:spacing w:line="360" w:lineRule="auto"/>
        <w:ind w:firstLine="424" w:firstLineChars="202"/>
        <w:textAlignment w:val="bottom"/>
        <w:rPr>
          <w:rFonts w:ascii="宋体" w:hAnsi="宋体" w:cs="宋体"/>
          <w:color w:val="auto"/>
          <w:kern w:val="1"/>
          <w:szCs w:val="21"/>
        </w:rPr>
      </w:pPr>
      <w:r>
        <w:rPr>
          <w:rFonts w:hint="eastAsia" w:ascii="宋体" w:hAnsi="宋体" w:cs="宋体"/>
          <w:color w:val="auto"/>
          <w:szCs w:val="21"/>
        </w:rPr>
        <w:t>4.不予退还的情形：签订合同后，如乙方不按双方签订的合同规定履约，则其全部履约保证金不予退还。</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第十条 税费</w:t>
      </w:r>
    </w:p>
    <w:p>
      <w:pPr>
        <w:spacing w:line="360" w:lineRule="auto"/>
        <w:ind w:firstLine="420" w:firstLineChars="200"/>
        <w:rPr>
          <w:rFonts w:ascii="宋体" w:hAnsi="宋体" w:cs="宋体"/>
          <w:color w:val="auto"/>
          <w:szCs w:val="21"/>
        </w:rPr>
      </w:pPr>
      <w:r>
        <w:rPr>
          <w:rFonts w:hint="eastAsia" w:ascii="宋体" w:hAnsi="宋体" w:cs="宋体"/>
          <w:color w:val="auto"/>
          <w:szCs w:val="21"/>
        </w:rPr>
        <w:t>本合同执行中相关的一切税费均由乙方负担。</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第十一条 质量保证及售后服务</w:t>
      </w:r>
    </w:p>
    <w:p>
      <w:pPr>
        <w:suppressAutoHyphens/>
        <w:snapToGrid w:val="0"/>
        <w:spacing w:line="360" w:lineRule="auto"/>
        <w:ind w:firstLine="420" w:firstLineChars="200"/>
        <w:rPr>
          <w:rFonts w:ascii="宋体" w:hAnsi="宋体" w:cs="宋体"/>
          <w:color w:val="auto"/>
          <w:kern w:val="1"/>
          <w:szCs w:val="21"/>
          <w:lang w:eastAsia="ar-SA"/>
        </w:rPr>
      </w:pPr>
      <w:r>
        <w:rPr>
          <w:rFonts w:hint="eastAsia" w:ascii="宋体" w:hAnsi="宋体" w:cs="宋体"/>
          <w:color w:val="auto"/>
          <w:kern w:val="1"/>
          <w:szCs w:val="21"/>
          <w:lang w:eastAsia="ar-SA"/>
        </w:rPr>
        <w:t>1. 乙方应按采购文件规定的货物性能、技术要求、质量标准向甲方提供未经使用的全新产品。乙方提供货物的质量保证期按交货验收合格之日起计（期限见《采购需求》中的要求）。在保证期内因货物本身的质量问题发生故障，乙方应负责免费修理和更换零部件。对达不到技术要求者，根据实际情况，经双方协商，可按以下办法处理：</w:t>
      </w:r>
    </w:p>
    <w:p>
      <w:pPr>
        <w:suppressAutoHyphens/>
        <w:snapToGrid w:val="0"/>
        <w:spacing w:line="360" w:lineRule="auto"/>
        <w:ind w:firstLine="420" w:firstLineChars="200"/>
        <w:rPr>
          <w:rFonts w:ascii="宋体" w:hAnsi="宋体" w:cs="宋体"/>
          <w:color w:val="auto"/>
          <w:kern w:val="1"/>
          <w:szCs w:val="21"/>
          <w:lang w:eastAsia="ar-SA"/>
        </w:rPr>
      </w:pPr>
      <w:r>
        <w:rPr>
          <w:rFonts w:hint="eastAsia" w:ascii="宋体" w:hAnsi="宋体" w:cs="宋体"/>
          <w:color w:val="auto"/>
          <w:kern w:val="1"/>
          <w:szCs w:val="21"/>
          <w:lang w:eastAsia="ar-SA"/>
        </w:rPr>
        <w:t>（1）更换：产品出现质量问题、经乙方</w:t>
      </w:r>
      <w:r>
        <w:rPr>
          <w:rFonts w:hint="eastAsia" w:ascii="宋体" w:hAnsi="宋体" w:cs="宋体"/>
          <w:color w:val="auto"/>
          <w:kern w:val="1"/>
          <w:szCs w:val="21"/>
          <w:u w:val="single"/>
          <w:lang w:eastAsia="ar-SA"/>
        </w:rPr>
        <w:t>1</w:t>
      </w:r>
      <w:r>
        <w:rPr>
          <w:rFonts w:hint="eastAsia" w:ascii="宋体" w:hAnsi="宋体" w:cs="宋体"/>
          <w:color w:val="auto"/>
          <w:kern w:val="1"/>
          <w:szCs w:val="21"/>
          <w:lang w:eastAsia="ar-SA"/>
        </w:rPr>
        <w:t>次维修仍不能达到合同约定的质量标准的，甲方有权更换，并由乙方承担所发生的全部费用。</w:t>
      </w:r>
    </w:p>
    <w:p>
      <w:pPr>
        <w:suppressAutoHyphens/>
        <w:snapToGrid w:val="0"/>
        <w:spacing w:line="360" w:lineRule="auto"/>
        <w:ind w:firstLine="420" w:firstLineChars="200"/>
        <w:rPr>
          <w:rFonts w:ascii="宋体" w:hAnsi="宋体" w:cs="宋体"/>
          <w:color w:val="auto"/>
          <w:kern w:val="1"/>
          <w:szCs w:val="21"/>
          <w:lang w:eastAsia="ar-SA"/>
        </w:rPr>
      </w:pPr>
      <w:r>
        <w:rPr>
          <w:rFonts w:hint="eastAsia" w:ascii="宋体" w:hAnsi="宋体" w:cs="宋体"/>
          <w:color w:val="auto"/>
          <w:kern w:val="1"/>
          <w:szCs w:val="21"/>
          <w:lang w:eastAsia="ar-SA"/>
        </w:rPr>
        <w:t>（2）贬值处理：</w:t>
      </w:r>
      <w:r>
        <w:rPr>
          <w:rFonts w:hint="eastAsia" w:ascii="宋体" w:hAnsi="宋体" w:cs="宋体"/>
          <w:color w:val="auto"/>
          <w:kern w:val="1"/>
          <w:szCs w:val="21"/>
        </w:rPr>
        <w:t>因乙方</w:t>
      </w:r>
      <w:r>
        <w:rPr>
          <w:rFonts w:hint="eastAsia" w:ascii="宋体" w:hAnsi="宋体" w:cs="宋体"/>
          <w:color w:val="auto"/>
          <w:kern w:val="1"/>
          <w:szCs w:val="21"/>
          <w:lang w:eastAsia="ar-SA"/>
        </w:rPr>
        <w:t>产品出现质量问题</w:t>
      </w:r>
      <w:r>
        <w:rPr>
          <w:rFonts w:hint="eastAsia" w:ascii="宋体" w:hAnsi="宋体" w:cs="宋体"/>
          <w:color w:val="auto"/>
          <w:kern w:val="1"/>
          <w:szCs w:val="21"/>
        </w:rPr>
        <w:t>造成退换货产生的贬值由乙方自行承担</w:t>
      </w:r>
      <w:r>
        <w:rPr>
          <w:rFonts w:hint="eastAsia" w:ascii="宋体" w:hAnsi="宋体" w:cs="宋体"/>
          <w:color w:val="auto"/>
          <w:kern w:val="1"/>
          <w:szCs w:val="21"/>
          <w:lang w:eastAsia="ar-SA"/>
        </w:rPr>
        <w:t>。</w:t>
      </w:r>
    </w:p>
    <w:p>
      <w:pPr>
        <w:suppressAutoHyphens/>
        <w:snapToGrid w:val="0"/>
        <w:spacing w:line="360" w:lineRule="auto"/>
        <w:ind w:firstLine="420" w:firstLineChars="200"/>
        <w:rPr>
          <w:rFonts w:ascii="宋体" w:hAnsi="宋体" w:cs="宋体"/>
          <w:color w:val="auto"/>
          <w:kern w:val="1"/>
          <w:szCs w:val="21"/>
          <w:lang w:eastAsia="ar-SA"/>
        </w:rPr>
      </w:pPr>
      <w:r>
        <w:rPr>
          <w:rFonts w:hint="eastAsia" w:ascii="宋体" w:hAnsi="宋体" w:cs="宋体"/>
          <w:color w:val="auto"/>
          <w:kern w:val="1"/>
          <w:szCs w:val="21"/>
          <w:lang w:eastAsia="ar-SA"/>
        </w:rPr>
        <w:t>（3）退货处理：产品出现严重质量问题的，甲方有权退货，乙方应退还甲方支付的合同款，同时承担退货所发生的所有费用（运输、保险、检验、货款利息及银行手续费等），并视作乙方不能交付货物而须支付违约赔偿金给甲方，甲方还可依法追究乙方的违约责任，且甲方有权终止合同，由此造成的损失由乙方负责。</w:t>
      </w:r>
    </w:p>
    <w:p>
      <w:pPr>
        <w:snapToGrid w:val="0"/>
        <w:spacing w:line="360" w:lineRule="auto"/>
        <w:ind w:firstLine="420" w:firstLineChars="200"/>
        <w:rPr>
          <w:rFonts w:ascii="宋体" w:hAnsi="宋体" w:cs="宋体"/>
          <w:color w:val="auto"/>
          <w:szCs w:val="21"/>
          <w:u w:val="single"/>
        </w:rPr>
      </w:pPr>
      <w:r>
        <w:rPr>
          <w:rFonts w:hint="eastAsia" w:ascii="宋体" w:hAnsi="宋体" w:cs="宋体"/>
          <w:color w:val="auto"/>
          <w:szCs w:val="21"/>
        </w:rPr>
        <w:t>2. 如在使用过程中出现故障，乙方应在接到甲方通知后</w:t>
      </w:r>
      <w:r>
        <w:rPr>
          <w:rFonts w:hint="eastAsia" w:ascii="宋体" w:hAnsi="宋体" w:cs="宋体"/>
          <w:color w:val="auto"/>
          <w:szCs w:val="21"/>
          <w:u w:val="single"/>
        </w:rPr>
        <w:t xml:space="preserve">    小时内响应，   小时内解决故障，否则须在           内提供与原设备技术参数要求相同或高于原设备技术参数要求的备用产品，以保证甲方的正常工作。</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 在质保期内，乙方应对货物出现的质量及安全问题负责处理解决并承担一切费用。如有产品质量争议，则按照国家相关法律法规及行业标准、地方标准等标准、规范解决（上述标准、规范有出入的，以较严格为准），如采购文件中明确对货物提出更高的技术要求的，乙方还应当确保符合采购文件提出的技术要求。</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4.上述的货物因人为因素出现的故障不在免费保修范围内。超过质保期的机器设备，终生维修，维修时只收取部件成本费。</w:t>
      </w:r>
    </w:p>
    <w:p>
      <w:pPr>
        <w:snapToGrid w:val="0"/>
        <w:spacing w:line="360" w:lineRule="auto"/>
        <w:ind w:firstLine="422" w:firstLineChars="200"/>
        <w:rPr>
          <w:rFonts w:ascii="宋体" w:hAnsi="宋体" w:cs="宋体"/>
          <w:color w:val="auto"/>
          <w:szCs w:val="21"/>
        </w:rPr>
      </w:pPr>
      <w:r>
        <w:rPr>
          <w:rFonts w:hint="eastAsia" w:ascii="宋体" w:hAnsi="宋体" w:cs="宋体"/>
          <w:b/>
          <w:color w:val="auto"/>
          <w:szCs w:val="21"/>
        </w:rPr>
        <w:t>第十二条 货物包装、发运及运输</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 乙方应在货物发运前对其进行满足运输距离、防潮、防震、防锈和防破损装卸等要求包装，以保证货物安全运达甲方指定地点。</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 使用说明书、质量检验证明书、随配附件和工具以及清单一并附于货物内。</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3. 乙方在货物发运手续办理完毕后二十四小时内或货到甲方四十八小时前通知甲方，以准备接货。</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4. 货物在交付甲方前发生的风险均由乙方负责。</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5. 货物在规定的交付期限内由乙方送达甲方指定的地点。</w:t>
      </w:r>
    </w:p>
    <w:p>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第十三条 交货及验收要求</w:t>
      </w:r>
    </w:p>
    <w:p>
      <w:pPr>
        <w:snapToGrid w:val="0"/>
        <w:spacing w:line="360" w:lineRule="auto"/>
        <w:ind w:firstLine="420" w:firstLineChars="200"/>
        <w:jc w:val="left"/>
        <w:rPr>
          <w:rFonts w:ascii="宋体" w:hAnsi="宋体" w:cs="宋体"/>
          <w:bCs/>
          <w:color w:val="auto"/>
          <w:szCs w:val="21"/>
        </w:rPr>
      </w:pPr>
      <w:r>
        <w:rPr>
          <w:rFonts w:hint="eastAsia" w:ascii="宋体" w:hAnsi="宋体" w:cs="宋体"/>
          <w:color w:val="auto"/>
          <w:szCs w:val="21"/>
        </w:rPr>
        <w:t>1. 甲方对乙方提交的货物依据采购文件上的技术规格要求和国家有关质量标准进行现</w:t>
      </w:r>
      <w:r>
        <w:rPr>
          <w:rFonts w:hint="eastAsia" w:ascii="宋体" w:hAnsi="宋体" w:cs="宋体"/>
          <w:bCs/>
          <w:color w:val="auto"/>
          <w:szCs w:val="21"/>
        </w:rPr>
        <w:t>场签收，外观、说明书符合采购文件技术要求的，给予签收，不合格的不予签收。</w:t>
      </w:r>
    </w:p>
    <w:p>
      <w:pPr>
        <w:snapToGrid w:val="0"/>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2.乙方交货前应对产品作出全面检查和对验收文件进行整理，并列出清单，作为甲方收货验收和使用的技术条件依据，检验的结果应随货物交甲方。乙方不能完整交付货物及本款规定的单证和工具的，必须负责补齐，否则视为未按合同约定交货。</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 乙方需负责安装、调试，并培训甲方的使用操作人员，直到设备运行符合技术要求，甲方方可验收。</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 甲方组织验收，</w:t>
      </w:r>
      <w:r>
        <w:rPr>
          <w:rFonts w:hint="eastAsia" w:ascii="宋体" w:hAnsi="宋体" w:cs="宋体"/>
          <w:bCs/>
          <w:color w:val="auto"/>
          <w:szCs w:val="21"/>
        </w:rPr>
        <w:t>乙方必须到场</w:t>
      </w:r>
      <w:r>
        <w:rPr>
          <w:rFonts w:hint="eastAsia" w:ascii="宋体" w:hAnsi="宋体" w:cs="宋体"/>
          <w:color w:val="auto"/>
          <w:szCs w:val="21"/>
        </w:rPr>
        <w:t>配合，</w:t>
      </w:r>
      <w:r>
        <w:rPr>
          <w:rFonts w:hint="eastAsia" w:ascii="宋体" w:hAnsi="宋体" w:cs="宋体"/>
          <w:bCs/>
          <w:color w:val="auto"/>
          <w:szCs w:val="21"/>
        </w:rPr>
        <w:t>验收合格后双方签署验收合格凭证。</w:t>
      </w:r>
      <w:r>
        <w:rPr>
          <w:rFonts w:hint="eastAsia" w:ascii="宋体" w:hAnsi="宋体" w:cs="宋体"/>
          <w:color w:val="auto"/>
          <w:szCs w:val="21"/>
        </w:rPr>
        <w:t>对技术复杂的货物，甲方可请国家认可的专业检测机构参与验收，费用由乙方承担。</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5.其他未尽事宜应严格叁照《关于印发广西壮族自治区政府采购项目履约验收管理办法的通知》[桂财采〔2015〕22号]以及《财政部关于进一步加强政府采购需求和履约验收管理的指导意见》[财库〔2016〕205号]规定执行。</w:t>
      </w:r>
    </w:p>
    <w:p>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第十四条 违约责任</w:t>
      </w:r>
    </w:p>
    <w:p>
      <w:pPr>
        <w:suppressAutoHyphens/>
        <w:snapToGrid w:val="0"/>
        <w:spacing w:line="360" w:lineRule="auto"/>
        <w:ind w:firstLine="420" w:firstLineChars="200"/>
        <w:rPr>
          <w:rFonts w:ascii="宋体" w:hAnsi="宋体" w:cs="宋体"/>
          <w:color w:val="auto"/>
          <w:kern w:val="1"/>
          <w:szCs w:val="21"/>
          <w:lang w:eastAsia="ar-SA"/>
        </w:rPr>
      </w:pPr>
      <w:r>
        <w:rPr>
          <w:rFonts w:hint="eastAsia" w:ascii="宋体" w:hAnsi="宋体" w:cs="宋体"/>
          <w:color w:val="auto"/>
          <w:kern w:val="1"/>
          <w:szCs w:val="21"/>
          <w:lang w:eastAsia="ar-SA"/>
        </w:rPr>
        <w:t>1.乙方所提供的货物规格、技术标准、材料等质量不合格的，应在甲方要求的合理时间内及时更换，更换不及时的按逾期交货处罚；因质量问题甲方不同意接收的或</w:t>
      </w:r>
      <w:r>
        <w:rPr>
          <w:rFonts w:hint="eastAsia" w:ascii="宋体" w:hAnsi="宋体" w:cs="宋体"/>
          <w:color w:val="auto"/>
          <w:kern w:val="1"/>
          <w:szCs w:val="21"/>
        </w:rPr>
        <w:t>即便存在质量问题但</w:t>
      </w:r>
      <w:r>
        <w:rPr>
          <w:rFonts w:hint="eastAsia" w:ascii="宋体" w:hAnsi="宋体" w:cs="宋体"/>
          <w:color w:val="auto"/>
          <w:kern w:val="1"/>
          <w:szCs w:val="21"/>
          <w:lang w:eastAsia="ar-SA"/>
        </w:rPr>
        <w:t>特殊情况甲方同意接收的，乙方应向甲方支付违约货款额</w:t>
      </w:r>
      <w:r>
        <w:rPr>
          <w:rFonts w:hint="eastAsia" w:ascii="宋体" w:hAnsi="宋体" w:cs="宋体"/>
          <w:color w:val="auto"/>
          <w:kern w:val="1"/>
          <w:szCs w:val="21"/>
          <w:u w:val="single"/>
          <w:lang w:eastAsia="ar-SA"/>
        </w:rPr>
        <w:t>5%</w:t>
      </w:r>
      <w:r>
        <w:rPr>
          <w:rFonts w:hint="eastAsia" w:ascii="宋体" w:hAnsi="宋体" w:cs="宋体"/>
          <w:color w:val="auto"/>
          <w:kern w:val="1"/>
          <w:szCs w:val="21"/>
        </w:rPr>
        <w:t>的</w:t>
      </w:r>
      <w:r>
        <w:rPr>
          <w:rFonts w:hint="eastAsia" w:ascii="宋体" w:hAnsi="宋体" w:cs="宋体"/>
          <w:color w:val="auto"/>
          <w:kern w:val="1"/>
          <w:szCs w:val="21"/>
          <w:lang w:eastAsia="ar-SA"/>
        </w:rPr>
        <w:t>违约金并赔偿甲方经济损失。</w:t>
      </w:r>
    </w:p>
    <w:p>
      <w:pPr>
        <w:suppressAutoHyphens/>
        <w:snapToGrid w:val="0"/>
        <w:spacing w:line="360" w:lineRule="auto"/>
        <w:ind w:firstLine="420" w:firstLineChars="200"/>
        <w:rPr>
          <w:rFonts w:ascii="宋体" w:hAnsi="宋体" w:cs="宋体"/>
          <w:color w:val="auto"/>
          <w:kern w:val="1"/>
          <w:szCs w:val="21"/>
          <w:lang w:eastAsia="ar-SA"/>
        </w:rPr>
      </w:pPr>
      <w:r>
        <w:rPr>
          <w:rFonts w:hint="eastAsia" w:ascii="宋体" w:hAnsi="宋体" w:cs="宋体"/>
          <w:color w:val="auto"/>
          <w:kern w:val="1"/>
          <w:szCs w:val="21"/>
          <w:lang w:eastAsia="ar-SA"/>
        </w:rPr>
        <w:t>2.乙方提供的货物如侵犯了第三方合法权益而引发的任何纠纷或诉讼，均由乙方负责交涉并承担全部责任。</w:t>
      </w:r>
    </w:p>
    <w:p>
      <w:pPr>
        <w:suppressAutoHyphens/>
        <w:snapToGrid w:val="0"/>
        <w:spacing w:line="360" w:lineRule="auto"/>
        <w:ind w:firstLine="420" w:firstLineChars="200"/>
        <w:rPr>
          <w:rFonts w:ascii="宋体" w:hAnsi="宋体" w:cs="宋体"/>
          <w:color w:val="auto"/>
          <w:kern w:val="1"/>
          <w:szCs w:val="21"/>
          <w:lang w:eastAsia="ar-SA"/>
        </w:rPr>
      </w:pPr>
      <w:r>
        <w:rPr>
          <w:rFonts w:hint="eastAsia" w:ascii="宋体" w:hAnsi="宋体" w:cs="宋体"/>
          <w:color w:val="auto"/>
          <w:kern w:val="1"/>
          <w:szCs w:val="21"/>
          <w:lang w:eastAsia="ar-SA"/>
        </w:rPr>
        <w:t>3.因包装、运输引起的货物损坏，</w:t>
      </w:r>
      <w:r>
        <w:rPr>
          <w:rFonts w:hint="eastAsia" w:ascii="宋体" w:hAnsi="宋体" w:cs="宋体"/>
          <w:color w:val="auto"/>
          <w:kern w:val="1"/>
          <w:szCs w:val="21"/>
        </w:rPr>
        <w:t>甲方有权选择不予接收或</w:t>
      </w:r>
      <w:r>
        <w:rPr>
          <w:rFonts w:hint="eastAsia" w:ascii="宋体" w:hAnsi="宋体" w:cs="宋体"/>
          <w:color w:val="auto"/>
          <w:kern w:val="1"/>
          <w:szCs w:val="21"/>
          <w:lang w:eastAsia="ar-SA"/>
        </w:rPr>
        <w:t>按质量不合格处罚。</w:t>
      </w:r>
    </w:p>
    <w:p>
      <w:pPr>
        <w:suppressAutoHyphens/>
        <w:snapToGrid w:val="0"/>
        <w:spacing w:line="360" w:lineRule="auto"/>
        <w:ind w:firstLine="420" w:firstLineChars="200"/>
        <w:rPr>
          <w:rFonts w:ascii="宋体" w:hAnsi="宋体" w:cs="宋体"/>
          <w:color w:val="auto"/>
          <w:kern w:val="1"/>
          <w:szCs w:val="21"/>
          <w:lang w:eastAsia="ar-SA"/>
        </w:rPr>
      </w:pPr>
      <w:r>
        <w:rPr>
          <w:rFonts w:hint="eastAsia" w:ascii="宋体" w:hAnsi="宋体" w:cs="宋体"/>
          <w:color w:val="auto"/>
          <w:kern w:val="1"/>
          <w:szCs w:val="21"/>
          <w:lang w:eastAsia="ar-SA"/>
        </w:rPr>
        <w:t>4.甲方无故延期接收货物、乙方逾期交货的，每天向对方偿付违约货款额3‰</w:t>
      </w:r>
      <w:r>
        <w:rPr>
          <w:rFonts w:hint="eastAsia" w:ascii="宋体" w:hAnsi="宋体" w:cs="宋体"/>
          <w:color w:val="auto"/>
          <w:kern w:val="1"/>
          <w:szCs w:val="21"/>
        </w:rPr>
        <w:t>的</w:t>
      </w:r>
      <w:r>
        <w:rPr>
          <w:rFonts w:hint="eastAsia" w:ascii="宋体" w:hAnsi="宋体" w:cs="宋体"/>
          <w:color w:val="auto"/>
          <w:kern w:val="1"/>
          <w:szCs w:val="21"/>
          <w:lang w:eastAsia="ar-SA"/>
        </w:rPr>
        <w:t>违约金，但违约金累计不得超过违约货款额</w:t>
      </w:r>
      <w:r>
        <w:rPr>
          <w:rFonts w:hint="eastAsia" w:ascii="宋体" w:hAnsi="宋体" w:cs="宋体"/>
          <w:color w:val="auto"/>
          <w:kern w:val="1"/>
          <w:szCs w:val="21"/>
          <w:u w:val="single"/>
          <w:lang w:eastAsia="ar-SA"/>
        </w:rPr>
        <w:t>5%</w:t>
      </w:r>
      <w:r>
        <w:rPr>
          <w:rFonts w:hint="eastAsia" w:ascii="宋体" w:hAnsi="宋体" w:cs="宋体"/>
          <w:color w:val="auto"/>
          <w:kern w:val="1"/>
          <w:szCs w:val="21"/>
          <w:lang w:eastAsia="ar-SA"/>
        </w:rPr>
        <w:t>，超过</w:t>
      </w:r>
      <w:r>
        <w:rPr>
          <w:rFonts w:hint="eastAsia" w:ascii="宋体" w:hAnsi="宋体" w:cs="宋体"/>
          <w:color w:val="auto"/>
          <w:kern w:val="1"/>
          <w:szCs w:val="21"/>
          <w:u w:val="single"/>
          <w:lang w:eastAsia="ar-SA"/>
        </w:rPr>
        <w:t>30</w:t>
      </w:r>
      <w:r>
        <w:rPr>
          <w:rFonts w:hint="eastAsia" w:ascii="宋体" w:hAnsi="宋体" w:cs="宋体"/>
          <w:color w:val="auto"/>
          <w:kern w:val="1"/>
          <w:szCs w:val="21"/>
          <w:lang w:eastAsia="ar-SA"/>
        </w:rPr>
        <w:t>天对方有权解除合同，违约方承担因此给对方造成的经济损失；甲方延期付货款的，每天向乙方偿付延期货款额</w:t>
      </w:r>
      <w:r>
        <w:rPr>
          <w:rFonts w:hint="eastAsia" w:ascii="宋体" w:hAnsi="宋体" w:cs="宋体"/>
          <w:color w:val="auto"/>
          <w:kern w:val="1"/>
          <w:szCs w:val="21"/>
          <w:u w:val="single"/>
          <w:lang w:eastAsia="ar-SA"/>
        </w:rPr>
        <w:t xml:space="preserve">3‰ </w:t>
      </w:r>
      <w:r>
        <w:rPr>
          <w:rFonts w:hint="eastAsia" w:ascii="宋体" w:hAnsi="宋体" w:cs="宋体"/>
          <w:color w:val="auto"/>
          <w:kern w:val="1"/>
          <w:szCs w:val="21"/>
          <w:lang w:eastAsia="ar-SA"/>
        </w:rPr>
        <w:t>滞纳金，但滞纳金累计不得超过延期货款额</w:t>
      </w:r>
      <w:r>
        <w:rPr>
          <w:rFonts w:hint="eastAsia" w:ascii="宋体" w:hAnsi="宋体" w:cs="宋体"/>
          <w:color w:val="auto"/>
          <w:kern w:val="1"/>
          <w:szCs w:val="21"/>
          <w:u w:val="single"/>
          <w:lang w:eastAsia="ar-SA"/>
        </w:rPr>
        <w:t>5%</w:t>
      </w:r>
      <w:r>
        <w:rPr>
          <w:rFonts w:hint="eastAsia" w:ascii="宋体" w:hAnsi="宋体" w:cs="宋体"/>
          <w:color w:val="auto"/>
          <w:kern w:val="1"/>
          <w:szCs w:val="21"/>
          <w:lang w:eastAsia="ar-SA"/>
        </w:rPr>
        <w:t>。</w:t>
      </w:r>
    </w:p>
    <w:p>
      <w:pPr>
        <w:suppressAutoHyphens/>
        <w:snapToGrid w:val="0"/>
        <w:spacing w:line="360" w:lineRule="auto"/>
        <w:ind w:firstLine="420" w:firstLineChars="200"/>
        <w:rPr>
          <w:rFonts w:ascii="宋体" w:hAnsi="宋体" w:cs="宋体"/>
          <w:color w:val="auto"/>
          <w:kern w:val="1"/>
          <w:szCs w:val="21"/>
          <w:lang w:eastAsia="ar-SA"/>
        </w:rPr>
      </w:pPr>
      <w:r>
        <w:rPr>
          <w:rFonts w:hint="eastAsia" w:ascii="宋体" w:hAnsi="宋体" w:cs="宋体"/>
          <w:color w:val="auto"/>
          <w:kern w:val="1"/>
          <w:szCs w:val="21"/>
          <w:lang w:eastAsia="ar-SA"/>
        </w:rPr>
        <w:t>5.乙方未按本合同和投标文件中规定的服务承诺提供售后服务的，乙方应按本合同合计金额</w:t>
      </w:r>
      <w:r>
        <w:rPr>
          <w:rFonts w:hint="eastAsia" w:ascii="宋体" w:hAnsi="宋体" w:cs="宋体"/>
          <w:color w:val="auto"/>
          <w:kern w:val="1"/>
          <w:szCs w:val="21"/>
        </w:rPr>
        <w:t>的</w:t>
      </w:r>
      <w:r>
        <w:rPr>
          <w:rFonts w:hint="eastAsia" w:ascii="宋体" w:hAnsi="宋体" w:cs="宋体"/>
          <w:color w:val="auto"/>
          <w:kern w:val="1"/>
          <w:szCs w:val="21"/>
          <w:u w:val="single"/>
          <w:lang w:eastAsia="ar-SA"/>
        </w:rPr>
        <w:t xml:space="preserve"> 5%</w:t>
      </w:r>
      <w:r>
        <w:rPr>
          <w:rFonts w:hint="eastAsia" w:ascii="宋体" w:hAnsi="宋体" w:cs="宋体"/>
          <w:color w:val="auto"/>
          <w:kern w:val="1"/>
          <w:szCs w:val="21"/>
          <w:lang w:eastAsia="ar-SA"/>
        </w:rPr>
        <w:t>向甲方支付违约金。</w:t>
      </w:r>
    </w:p>
    <w:p>
      <w:pPr>
        <w:suppressAutoHyphens/>
        <w:snapToGrid w:val="0"/>
        <w:spacing w:line="360" w:lineRule="auto"/>
        <w:ind w:firstLine="420" w:firstLineChars="200"/>
        <w:rPr>
          <w:rFonts w:ascii="宋体" w:hAnsi="宋体" w:cs="宋体"/>
          <w:color w:val="auto"/>
          <w:kern w:val="1"/>
          <w:szCs w:val="21"/>
          <w:lang w:eastAsia="ar-SA"/>
        </w:rPr>
      </w:pPr>
      <w:r>
        <w:rPr>
          <w:rFonts w:hint="eastAsia" w:ascii="宋体" w:hAnsi="宋体" w:cs="宋体"/>
          <w:color w:val="auto"/>
          <w:kern w:val="1"/>
          <w:szCs w:val="21"/>
          <w:lang w:eastAsia="ar-SA"/>
        </w:rPr>
        <w:t>6.乙方提供的货物在质量保证期内，因设计、工艺或材料的缺陷和其它质量原因造成的问题，由乙方负责，费用从履约保证金中扣除，履约保证金不足以支付的，由乙方另行支付。</w:t>
      </w:r>
    </w:p>
    <w:p>
      <w:pPr>
        <w:suppressAutoHyphens/>
        <w:snapToGrid w:val="0"/>
        <w:spacing w:line="360" w:lineRule="auto"/>
        <w:ind w:firstLine="420" w:firstLineChars="200"/>
        <w:rPr>
          <w:rFonts w:ascii="宋体" w:hAnsi="宋体" w:cs="宋体"/>
          <w:color w:val="auto"/>
          <w:kern w:val="1"/>
          <w:szCs w:val="21"/>
          <w:lang w:eastAsia="ar-SA"/>
        </w:rPr>
      </w:pPr>
      <w:r>
        <w:rPr>
          <w:rFonts w:hint="eastAsia" w:ascii="宋体" w:hAnsi="宋体" w:cs="宋体"/>
          <w:color w:val="auto"/>
          <w:kern w:val="1"/>
          <w:szCs w:val="21"/>
          <w:lang w:eastAsia="ar-SA"/>
        </w:rPr>
        <w:t>7.其它违约行为按违约货款额5%收取违约金并赔偿经济损失。</w:t>
      </w:r>
    </w:p>
    <w:p>
      <w:pPr>
        <w:suppressAutoHyphens/>
        <w:snapToGrid w:val="0"/>
        <w:spacing w:line="360" w:lineRule="auto"/>
        <w:ind w:firstLine="420" w:firstLineChars="200"/>
        <w:rPr>
          <w:rFonts w:ascii="宋体" w:hAnsi="宋体" w:cs="宋体"/>
          <w:color w:val="auto"/>
          <w:kern w:val="1"/>
          <w:szCs w:val="21"/>
          <w:lang w:eastAsia="ar-SA"/>
        </w:rPr>
      </w:pPr>
      <w:r>
        <w:rPr>
          <w:rFonts w:hint="eastAsia" w:ascii="宋体" w:hAnsi="宋体" w:cs="宋体"/>
          <w:color w:val="auto"/>
          <w:kern w:val="1"/>
          <w:szCs w:val="21"/>
          <w:lang w:eastAsia="ar-SA"/>
        </w:rPr>
        <w:t>8.</w:t>
      </w:r>
      <w:r>
        <w:rPr>
          <w:rFonts w:hint="eastAsia" w:ascii="宋体" w:hAnsi="宋体" w:cs="宋体"/>
          <w:color w:val="auto"/>
          <w:kern w:val="1"/>
          <w:szCs w:val="21"/>
        </w:rPr>
        <w:t>任何一方违约，均应当赔偿由此给守约方造成的全部经济损失，包括但不限于案件受理费、律师费、评估费、鉴定费、差旅费等。</w:t>
      </w:r>
    </w:p>
    <w:p>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第十五条 不可抗力事件处理</w:t>
      </w:r>
    </w:p>
    <w:p>
      <w:pPr>
        <w:suppressAutoHyphens/>
        <w:snapToGrid w:val="0"/>
        <w:spacing w:line="360" w:lineRule="auto"/>
        <w:ind w:firstLine="420" w:firstLineChars="200"/>
        <w:rPr>
          <w:rFonts w:ascii="宋体" w:hAnsi="宋体" w:cs="宋体"/>
          <w:color w:val="auto"/>
          <w:kern w:val="1"/>
          <w:szCs w:val="21"/>
          <w:lang w:eastAsia="ar-SA"/>
        </w:rPr>
      </w:pPr>
      <w:r>
        <w:rPr>
          <w:rFonts w:hint="eastAsia" w:ascii="宋体" w:hAnsi="宋体" w:cs="宋体"/>
          <w:color w:val="auto"/>
          <w:kern w:val="1"/>
          <w:szCs w:val="21"/>
          <w:lang w:eastAsia="ar-SA"/>
        </w:rPr>
        <w:t>1. 在合同有效期内，任何一方因不可抗力事件导致不能履行合同，则合同履行期可延长，其延长期与不可抗力影响期相同。</w:t>
      </w:r>
    </w:p>
    <w:p>
      <w:pPr>
        <w:suppressAutoHyphens/>
        <w:snapToGrid w:val="0"/>
        <w:spacing w:line="360" w:lineRule="auto"/>
        <w:ind w:firstLine="420" w:firstLineChars="200"/>
        <w:rPr>
          <w:rFonts w:ascii="宋体" w:hAnsi="宋体" w:cs="宋体"/>
          <w:color w:val="auto"/>
          <w:kern w:val="1"/>
          <w:szCs w:val="21"/>
          <w:lang w:eastAsia="ar-SA"/>
        </w:rPr>
      </w:pPr>
      <w:r>
        <w:rPr>
          <w:rFonts w:hint="eastAsia" w:ascii="宋体" w:hAnsi="宋体" w:cs="宋体"/>
          <w:color w:val="auto"/>
          <w:kern w:val="1"/>
          <w:szCs w:val="21"/>
          <w:lang w:eastAsia="ar-SA"/>
        </w:rPr>
        <w:t>2. 不可抗力事件发生后，应立即通知对方，并寄送有关权威机构出具的证明。</w:t>
      </w:r>
    </w:p>
    <w:p>
      <w:pPr>
        <w:suppressAutoHyphens/>
        <w:snapToGrid w:val="0"/>
        <w:spacing w:line="360" w:lineRule="auto"/>
        <w:ind w:firstLine="420" w:firstLineChars="200"/>
        <w:rPr>
          <w:rFonts w:ascii="宋体" w:hAnsi="宋体" w:cs="宋体"/>
          <w:color w:val="auto"/>
          <w:kern w:val="1"/>
          <w:szCs w:val="21"/>
          <w:lang w:eastAsia="ar-SA"/>
        </w:rPr>
      </w:pPr>
      <w:r>
        <w:rPr>
          <w:rFonts w:hint="eastAsia" w:ascii="宋体" w:hAnsi="宋体" w:cs="宋体"/>
          <w:color w:val="auto"/>
          <w:kern w:val="1"/>
          <w:szCs w:val="21"/>
          <w:lang w:eastAsia="ar-SA"/>
        </w:rPr>
        <w:t>3. 不可抗力事件延续一百二十天以上，双方应通过友好协商，确定是否继续履行合同。</w:t>
      </w:r>
    </w:p>
    <w:p>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第十六条 合同争议解决</w:t>
      </w:r>
    </w:p>
    <w:p>
      <w:pPr>
        <w:suppressAutoHyphens/>
        <w:snapToGrid w:val="0"/>
        <w:spacing w:line="360" w:lineRule="auto"/>
        <w:ind w:firstLine="420" w:firstLineChars="200"/>
        <w:rPr>
          <w:rFonts w:ascii="宋体" w:hAnsi="宋体" w:cs="宋体"/>
          <w:color w:val="auto"/>
          <w:kern w:val="1"/>
          <w:szCs w:val="21"/>
          <w:lang w:eastAsia="ar-SA"/>
        </w:rPr>
      </w:pPr>
      <w:r>
        <w:rPr>
          <w:rFonts w:hint="eastAsia" w:ascii="宋体" w:hAnsi="宋体" w:cs="宋体"/>
          <w:color w:val="auto"/>
          <w:kern w:val="1"/>
          <w:szCs w:val="21"/>
          <w:lang w:eastAsia="ar-SA"/>
        </w:rPr>
        <w:t>1. 因货物质量问题发生争议的，应邀请国家认可的质量检测机构按照国家标准对货物质量进行</w:t>
      </w:r>
      <w:r>
        <w:rPr>
          <w:rFonts w:hint="eastAsia" w:ascii="宋体" w:hAnsi="宋体" w:cs="宋体"/>
          <w:color w:val="auto"/>
          <w:kern w:val="1"/>
          <w:szCs w:val="21"/>
        </w:rPr>
        <w:t>鉴定</w:t>
      </w:r>
      <w:r>
        <w:rPr>
          <w:rFonts w:hint="eastAsia" w:ascii="宋体" w:hAnsi="宋体" w:cs="宋体"/>
          <w:color w:val="auto"/>
          <w:kern w:val="1"/>
          <w:szCs w:val="21"/>
          <w:lang w:eastAsia="ar-SA"/>
        </w:rPr>
        <w:t>。货物符合国家标准的，鉴定费由甲方承担；货物不符合国家标准的，鉴定费由乙方承担。</w:t>
      </w:r>
    </w:p>
    <w:p>
      <w:pPr>
        <w:suppressAutoHyphens/>
        <w:snapToGrid w:val="0"/>
        <w:spacing w:line="360" w:lineRule="auto"/>
        <w:ind w:firstLine="420" w:firstLineChars="200"/>
        <w:rPr>
          <w:rFonts w:ascii="宋体" w:hAnsi="宋体" w:cs="宋体"/>
          <w:color w:val="auto"/>
          <w:kern w:val="1"/>
          <w:szCs w:val="21"/>
          <w:lang w:eastAsia="ar-SA"/>
        </w:rPr>
      </w:pPr>
      <w:r>
        <w:rPr>
          <w:rFonts w:hint="eastAsia" w:ascii="宋体" w:hAnsi="宋体" w:cs="宋体"/>
          <w:color w:val="auto"/>
          <w:kern w:val="1"/>
          <w:szCs w:val="21"/>
          <w:lang w:eastAsia="ar-SA"/>
        </w:rPr>
        <w:t>2. 因履行本合同引起的或与本合同有关的争议，甲乙双方应首先通过友好协商解决，如果协商不能解决，可向甲方所在地人民法院提起诉讼。</w:t>
      </w:r>
    </w:p>
    <w:p>
      <w:pPr>
        <w:suppressAutoHyphens/>
        <w:snapToGrid w:val="0"/>
        <w:spacing w:line="360" w:lineRule="auto"/>
        <w:ind w:firstLine="420" w:firstLineChars="200"/>
        <w:rPr>
          <w:rFonts w:ascii="宋体" w:hAnsi="宋体" w:cs="宋体"/>
          <w:color w:val="auto"/>
          <w:kern w:val="1"/>
          <w:szCs w:val="21"/>
          <w:lang w:eastAsia="ar-SA"/>
        </w:rPr>
      </w:pPr>
      <w:r>
        <w:rPr>
          <w:rFonts w:hint="eastAsia" w:ascii="宋体" w:hAnsi="宋体" w:cs="宋体"/>
          <w:color w:val="auto"/>
          <w:kern w:val="1"/>
          <w:szCs w:val="21"/>
          <w:lang w:eastAsia="ar-SA"/>
        </w:rPr>
        <w:t>3. 诉讼期间，本合同继续履行。</w:t>
      </w:r>
    </w:p>
    <w:p>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第十七条 合同生效及其它</w:t>
      </w:r>
    </w:p>
    <w:p>
      <w:pPr>
        <w:suppressAutoHyphens/>
        <w:snapToGrid w:val="0"/>
        <w:spacing w:line="360" w:lineRule="auto"/>
        <w:ind w:firstLine="420" w:firstLineChars="200"/>
        <w:rPr>
          <w:rFonts w:ascii="宋体" w:hAnsi="宋体" w:cs="宋体"/>
          <w:color w:val="auto"/>
          <w:kern w:val="1"/>
          <w:szCs w:val="21"/>
          <w:lang w:eastAsia="ar-SA"/>
        </w:rPr>
      </w:pPr>
      <w:r>
        <w:rPr>
          <w:rFonts w:hint="eastAsia" w:ascii="宋体" w:hAnsi="宋体" w:cs="宋体"/>
          <w:color w:val="auto"/>
          <w:kern w:val="1"/>
          <w:szCs w:val="21"/>
          <w:lang w:eastAsia="ar-SA"/>
        </w:rPr>
        <w:t>1.合同履行地点为：</w:t>
      </w:r>
      <w:r>
        <w:rPr>
          <w:rFonts w:hint="eastAsia" w:ascii="宋体" w:hAnsi="宋体" w:cs="宋体"/>
          <w:color w:val="auto"/>
          <w:szCs w:val="21"/>
          <w:u w:val="single"/>
        </w:rPr>
        <w:t>广西广播电视台</w:t>
      </w:r>
      <w:r>
        <w:rPr>
          <w:rFonts w:hint="eastAsia" w:ascii="宋体" w:hAnsi="宋体" w:cs="宋体"/>
          <w:color w:val="auto"/>
          <w:kern w:val="1"/>
          <w:szCs w:val="21"/>
          <w:lang w:eastAsia="ar-SA"/>
        </w:rPr>
        <w:t>；合同履行的方式：</w:t>
      </w:r>
      <w:r>
        <w:rPr>
          <w:rFonts w:hint="eastAsia" w:ascii="宋体" w:hAnsi="宋体" w:cs="宋体"/>
          <w:color w:val="auto"/>
          <w:kern w:val="1"/>
          <w:szCs w:val="21"/>
          <w:u w:val="single"/>
          <w:lang w:eastAsia="ar-SA"/>
        </w:rPr>
        <w:t>按照本合同约定</w:t>
      </w:r>
      <w:r>
        <w:rPr>
          <w:rFonts w:hint="eastAsia" w:ascii="宋体" w:hAnsi="宋体" w:cs="宋体"/>
          <w:color w:val="auto"/>
          <w:kern w:val="1"/>
          <w:szCs w:val="21"/>
          <w:lang w:eastAsia="ar-SA"/>
        </w:rPr>
        <w:t>。</w:t>
      </w:r>
    </w:p>
    <w:p>
      <w:pPr>
        <w:suppressAutoHyphens/>
        <w:snapToGrid w:val="0"/>
        <w:spacing w:line="360" w:lineRule="auto"/>
        <w:ind w:firstLine="420" w:firstLineChars="200"/>
        <w:rPr>
          <w:rFonts w:ascii="宋体" w:hAnsi="宋体" w:cs="宋体"/>
          <w:color w:val="auto"/>
          <w:kern w:val="1"/>
          <w:szCs w:val="21"/>
          <w:lang w:eastAsia="ar-SA"/>
        </w:rPr>
      </w:pPr>
      <w:r>
        <w:rPr>
          <w:rFonts w:hint="eastAsia" w:ascii="宋体" w:hAnsi="宋体" w:cs="宋体"/>
          <w:color w:val="auto"/>
          <w:kern w:val="1"/>
          <w:szCs w:val="21"/>
          <w:lang w:eastAsia="ar-SA"/>
        </w:rPr>
        <w:t>2.</w:t>
      </w:r>
      <w:r>
        <w:rPr>
          <w:rFonts w:hint="eastAsia" w:ascii="宋体" w:hAnsi="宋体" w:cs="宋体"/>
          <w:color w:val="auto"/>
          <w:kern w:val="1"/>
          <w:szCs w:val="21"/>
        </w:rPr>
        <w:t xml:space="preserve"> </w:t>
      </w:r>
      <w:r>
        <w:rPr>
          <w:rFonts w:hint="eastAsia" w:ascii="宋体" w:hAnsi="宋体" w:cs="宋体"/>
          <w:color w:val="auto"/>
          <w:kern w:val="1"/>
          <w:szCs w:val="21"/>
          <w:lang w:eastAsia="ar-SA"/>
        </w:rPr>
        <w:t>合同经双方法定代表人或授权代表签字并加盖单位公章后生效。</w:t>
      </w:r>
    </w:p>
    <w:p>
      <w:pPr>
        <w:suppressAutoHyphens/>
        <w:snapToGrid w:val="0"/>
        <w:spacing w:line="360" w:lineRule="auto"/>
        <w:ind w:firstLine="420" w:firstLineChars="200"/>
        <w:rPr>
          <w:rFonts w:ascii="宋体" w:hAnsi="宋体" w:cs="宋体"/>
          <w:color w:val="auto"/>
          <w:kern w:val="1"/>
          <w:szCs w:val="21"/>
          <w:lang w:eastAsia="ar-SA"/>
        </w:rPr>
      </w:pPr>
      <w:r>
        <w:rPr>
          <w:rFonts w:hint="eastAsia" w:ascii="宋体" w:hAnsi="宋体" w:cs="宋体"/>
          <w:color w:val="auto"/>
          <w:kern w:val="1"/>
          <w:szCs w:val="21"/>
          <w:lang w:eastAsia="ar-SA"/>
        </w:rPr>
        <w:t>3.</w:t>
      </w:r>
      <w:r>
        <w:rPr>
          <w:rFonts w:hint="eastAsia" w:ascii="宋体" w:hAnsi="宋体" w:cs="宋体"/>
          <w:color w:val="auto"/>
          <w:kern w:val="1"/>
          <w:szCs w:val="21"/>
        </w:rPr>
        <w:t xml:space="preserve"> </w:t>
      </w:r>
      <w:r>
        <w:rPr>
          <w:rFonts w:hint="eastAsia" w:ascii="宋体" w:hAnsi="宋体" w:cs="宋体"/>
          <w:color w:val="auto"/>
          <w:szCs w:val="21"/>
        </w:rPr>
        <w:t>合同执行中涉及采购内容修改或补充的，按政府采购相关规定要求签订书面补充协议，并作为主合同不可分割的一部分</w:t>
      </w:r>
      <w:r>
        <w:rPr>
          <w:rFonts w:hint="eastAsia" w:ascii="宋体" w:hAnsi="宋体" w:cs="宋体"/>
          <w:color w:val="auto"/>
          <w:kern w:val="1"/>
          <w:szCs w:val="21"/>
          <w:lang w:eastAsia="ar-SA"/>
        </w:rPr>
        <w:t>。</w:t>
      </w:r>
    </w:p>
    <w:p>
      <w:pPr>
        <w:suppressAutoHyphens/>
        <w:snapToGrid w:val="0"/>
        <w:spacing w:line="360" w:lineRule="auto"/>
        <w:ind w:firstLine="420" w:firstLineChars="200"/>
        <w:rPr>
          <w:rFonts w:ascii="宋体" w:hAnsi="宋体" w:cs="宋体"/>
          <w:color w:val="auto"/>
          <w:kern w:val="1"/>
          <w:szCs w:val="21"/>
          <w:lang w:eastAsia="ar-SA"/>
        </w:rPr>
      </w:pPr>
      <w:r>
        <w:rPr>
          <w:rFonts w:hint="eastAsia" w:ascii="宋体" w:hAnsi="宋体" w:cs="宋体"/>
          <w:color w:val="auto"/>
          <w:kern w:val="1"/>
          <w:szCs w:val="21"/>
          <w:lang w:eastAsia="ar-SA"/>
        </w:rPr>
        <w:t>4.</w:t>
      </w:r>
      <w:r>
        <w:rPr>
          <w:rFonts w:hint="eastAsia" w:ascii="宋体" w:hAnsi="宋体" w:cs="宋体"/>
          <w:color w:val="auto"/>
          <w:kern w:val="1"/>
          <w:szCs w:val="21"/>
        </w:rPr>
        <w:t xml:space="preserve"> </w:t>
      </w:r>
      <w:r>
        <w:rPr>
          <w:rFonts w:hint="eastAsia" w:ascii="宋体" w:hAnsi="宋体" w:cs="宋体"/>
          <w:color w:val="auto"/>
          <w:kern w:val="1"/>
          <w:szCs w:val="21"/>
          <w:lang w:eastAsia="ar-SA"/>
        </w:rPr>
        <w:t>本合同未尽事宜，遵照《</w:t>
      </w:r>
      <w:r>
        <w:rPr>
          <w:rFonts w:hint="eastAsia" w:ascii="宋体" w:hAnsi="宋体" w:cs="宋体"/>
          <w:color w:val="auto"/>
          <w:kern w:val="1"/>
          <w:szCs w:val="21"/>
        </w:rPr>
        <w:t>中华人民共和国民法典</w:t>
      </w:r>
      <w:r>
        <w:rPr>
          <w:rFonts w:hint="eastAsia" w:ascii="宋体" w:hAnsi="宋体" w:cs="宋体"/>
          <w:color w:val="auto"/>
          <w:kern w:val="1"/>
          <w:szCs w:val="21"/>
          <w:lang w:eastAsia="ar-SA"/>
        </w:rPr>
        <w:t>》有关条文执行。</w:t>
      </w:r>
    </w:p>
    <w:p>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第十八条 合同的变更、终止与转让</w:t>
      </w:r>
    </w:p>
    <w:p>
      <w:pPr>
        <w:suppressAutoHyphens/>
        <w:snapToGrid w:val="0"/>
        <w:spacing w:line="360" w:lineRule="auto"/>
        <w:ind w:firstLine="420" w:firstLineChars="200"/>
        <w:rPr>
          <w:rFonts w:ascii="宋体" w:hAnsi="宋体" w:cs="宋体"/>
          <w:color w:val="auto"/>
          <w:kern w:val="1"/>
          <w:szCs w:val="21"/>
          <w:lang w:eastAsia="ar-SA"/>
        </w:rPr>
      </w:pPr>
      <w:r>
        <w:rPr>
          <w:rFonts w:hint="eastAsia" w:ascii="宋体" w:hAnsi="宋体" w:cs="宋体"/>
          <w:color w:val="auto"/>
          <w:kern w:val="1"/>
          <w:szCs w:val="21"/>
          <w:lang w:eastAsia="ar-SA"/>
        </w:rPr>
        <w:t>1.本合同一经签订，甲乙双方不得擅自变更、中止或终止。</w:t>
      </w:r>
    </w:p>
    <w:p>
      <w:pPr>
        <w:suppressAutoHyphens/>
        <w:snapToGrid w:val="0"/>
        <w:spacing w:line="360" w:lineRule="auto"/>
        <w:ind w:firstLine="420" w:firstLineChars="200"/>
        <w:rPr>
          <w:rFonts w:ascii="宋体" w:hAnsi="宋体" w:cs="宋体"/>
          <w:color w:val="auto"/>
          <w:kern w:val="1"/>
          <w:szCs w:val="21"/>
          <w:lang w:eastAsia="ar-SA"/>
        </w:rPr>
      </w:pPr>
      <w:r>
        <w:rPr>
          <w:rFonts w:hint="eastAsia" w:ascii="宋体" w:hAnsi="宋体" w:cs="宋体"/>
          <w:color w:val="auto"/>
          <w:kern w:val="1"/>
          <w:szCs w:val="21"/>
          <w:lang w:eastAsia="ar-SA"/>
        </w:rPr>
        <w:t>2.未经甲方书面同意，乙方不得擅自转让</w:t>
      </w:r>
      <w:r>
        <w:rPr>
          <w:rFonts w:hint="eastAsia" w:ascii="宋体" w:hAnsi="宋体" w:cs="宋体"/>
          <w:color w:val="auto"/>
          <w:kern w:val="1"/>
          <w:szCs w:val="21"/>
        </w:rPr>
        <w:t>、分包</w:t>
      </w:r>
      <w:r>
        <w:rPr>
          <w:rFonts w:hint="eastAsia" w:ascii="宋体" w:hAnsi="宋体" w:cs="宋体"/>
          <w:color w:val="auto"/>
          <w:kern w:val="1"/>
          <w:szCs w:val="21"/>
          <w:lang w:eastAsia="ar-SA"/>
        </w:rPr>
        <w:t>（无进口资格的乙方委托进口货物除外）其应履行的合同义务。</w:t>
      </w:r>
    </w:p>
    <w:p>
      <w:pPr>
        <w:spacing w:line="360" w:lineRule="auto"/>
        <w:ind w:firstLine="422" w:firstLineChars="200"/>
        <w:rPr>
          <w:rFonts w:ascii="宋体" w:hAnsi="宋体" w:cs="宋体"/>
          <w:b/>
          <w:color w:val="auto"/>
          <w:kern w:val="1"/>
          <w:szCs w:val="21"/>
        </w:rPr>
      </w:pPr>
      <w:r>
        <w:rPr>
          <w:rFonts w:hint="eastAsia" w:ascii="宋体" w:hAnsi="宋体" w:cs="宋体"/>
          <w:b/>
          <w:color w:val="auto"/>
          <w:kern w:val="1"/>
          <w:szCs w:val="21"/>
          <w:lang w:eastAsia="ar-SA"/>
        </w:rPr>
        <w:t>第十九条 签订本合同依据</w:t>
      </w:r>
    </w:p>
    <w:p>
      <w:pPr>
        <w:spacing w:line="360" w:lineRule="auto"/>
        <w:ind w:firstLine="420" w:firstLineChars="200"/>
        <w:rPr>
          <w:rFonts w:ascii="宋体" w:hAnsi="宋体" w:cs="宋体"/>
          <w:color w:val="auto"/>
          <w:szCs w:val="21"/>
        </w:rPr>
      </w:pPr>
      <w:r>
        <w:rPr>
          <w:rFonts w:hint="eastAsia" w:ascii="宋体" w:hAnsi="宋体" w:cs="宋体"/>
          <w:color w:val="auto"/>
          <w:kern w:val="1"/>
          <w:szCs w:val="21"/>
        </w:rPr>
        <w:t>1</w:t>
      </w:r>
      <w:r>
        <w:rPr>
          <w:rFonts w:hint="eastAsia" w:ascii="宋体" w:hAnsi="宋体" w:cs="宋体"/>
          <w:color w:val="auto"/>
          <w:kern w:val="1"/>
          <w:szCs w:val="21"/>
          <w:lang w:eastAsia="ar-SA"/>
        </w:rPr>
        <w:t>.</w:t>
      </w:r>
      <w:r>
        <w:rPr>
          <w:rFonts w:hint="eastAsia" w:ascii="宋体" w:hAnsi="宋体" w:cs="宋体"/>
          <w:color w:val="auto"/>
          <w:kern w:val="1"/>
          <w:szCs w:val="21"/>
        </w:rPr>
        <w:t xml:space="preserve"> </w:t>
      </w:r>
      <w:r>
        <w:rPr>
          <w:rFonts w:hint="eastAsia" w:ascii="宋体" w:hAnsi="宋体" w:cs="宋体"/>
          <w:color w:val="auto"/>
          <w:kern w:val="1"/>
          <w:szCs w:val="21"/>
          <w:lang w:eastAsia="ar-SA"/>
        </w:rPr>
        <w:t>采购文件；</w:t>
      </w:r>
    </w:p>
    <w:p>
      <w:pPr>
        <w:suppressAutoHyphens/>
        <w:spacing w:line="360" w:lineRule="auto"/>
        <w:ind w:firstLine="420" w:firstLineChars="200"/>
        <w:rPr>
          <w:rFonts w:ascii="宋体" w:hAnsi="宋体" w:cs="宋体"/>
          <w:color w:val="auto"/>
          <w:kern w:val="1"/>
          <w:szCs w:val="21"/>
        </w:rPr>
      </w:pPr>
      <w:r>
        <w:rPr>
          <w:rFonts w:hint="eastAsia" w:ascii="宋体" w:hAnsi="宋体" w:cs="宋体"/>
          <w:color w:val="auto"/>
          <w:kern w:val="1"/>
          <w:szCs w:val="21"/>
        </w:rPr>
        <w:t>2</w:t>
      </w:r>
      <w:r>
        <w:rPr>
          <w:rFonts w:hint="eastAsia" w:ascii="宋体" w:hAnsi="宋体" w:cs="宋体"/>
          <w:color w:val="auto"/>
          <w:kern w:val="1"/>
          <w:szCs w:val="21"/>
          <w:lang w:eastAsia="ar-SA"/>
        </w:rPr>
        <w:t>.</w:t>
      </w:r>
      <w:r>
        <w:rPr>
          <w:rFonts w:hint="eastAsia" w:ascii="宋体" w:hAnsi="宋体" w:cs="宋体"/>
          <w:color w:val="auto"/>
          <w:kern w:val="1"/>
          <w:szCs w:val="21"/>
        </w:rPr>
        <w:t xml:space="preserve"> </w:t>
      </w:r>
      <w:r>
        <w:rPr>
          <w:rFonts w:hint="eastAsia" w:ascii="宋体" w:hAnsi="宋体" w:cs="宋体"/>
          <w:color w:val="auto"/>
          <w:kern w:val="1"/>
          <w:szCs w:val="21"/>
          <w:lang w:eastAsia="ar-SA"/>
        </w:rPr>
        <w:t>乙方提供的投标文件</w:t>
      </w:r>
      <w:r>
        <w:rPr>
          <w:rFonts w:hint="eastAsia" w:ascii="宋体" w:hAnsi="宋体" w:cs="宋体"/>
          <w:color w:val="auto"/>
          <w:kern w:val="1"/>
          <w:szCs w:val="21"/>
        </w:rPr>
        <w:t>；</w:t>
      </w:r>
    </w:p>
    <w:p>
      <w:pPr>
        <w:suppressAutoHyphens/>
        <w:spacing w:line="360" w:lineRule="auto"/>
        <w:ind w:firstLine="420" w:firstLineChars="200"/>
        <w:rPr>
          <w:rFonts w:ascii="宋体" w:hAnsi="宋体" w:cs="宋体"/>
          <w:color w:val="auto"/>
          <w:kern w:val="1"/>
          <w:szCs w:val="21"/>
        </w:rPr>
      </w:pPr>
      <w:r>
        <w:rPr>
          <w:rFonts w:hint="eastAsia" w:ascii="宋体" w:hAnsi="宋体" w:cs="宋体"/>
          <w:color w:val="auto"/>
          <w:kern w:val="1"/>
          <w:szCs w:val="21"/>
        </w:rPr>
        <w:t>3</w:t>
      </w:r>
      <w:r>
        <w:rPr>
          <w:rFonts w:hint="eastAsia" w:ascii="宋体" w:hAnsi="宋体" w:cs="宋体"/>
          <w:color w:val="auto"/>
          <w:kern w:val="1"/>
          <w:szCs w:val="21"/>
          <w:lang w:eastAsia="ar-SA"/>
        </w:rPr>
        <w:t>.</w:t>
      </w:r>
      <w:r>
        <w:rPr>
          <w:rFonts w:hint="eastAsia" w:ascii="宋体" w:hAnsi="宋体" w:cs="宋体"/>
          <w:color w:val="auto"/>
          <w:kern w:val="1"/>
          <w:szCs w:val="21"/>
        </w:rPr>
        <w:t xml:space="preserve"> </w:t>
      </w:r>
      <w:r>
        <w:rPr>
          <w:rFonts w:hint="eastAsia" w:ascii="宋体" w:hAnsi="宋体" w:cs="宋体"/>
          <w:color w:val="auto"/>
          <w:kern w:val="1"/>
          <w:szCs w:val="21"/>
          <w:lang w:eastAsia="ar-SA"/>
        </w:rPr>
        <w:t>中标通知书</w:t>
      </w:r>
      <w:r>
        <w:rPr>
          <w:rFonts w:hint="eastAsia" w:ascii="宋体" w:hAnsi="宋体" w:cs="宋体"/>
          <w:color w:val="auto"/>
          <w:kern w:val="1"/>
          <w:szCs w:val="21"/>
        </w:rPr>
        <w:t>。</w:t>
      </w:r>
    </w:p>
    <w:p>
      <w:pPr>
        <w:snapToGrid w:val="0"/>
        <w:spacing w:line="360" w:lineRule="auto"/>
        <w:ind w:firstLine="422" w:firstLineChars="200"/>
        <w:rPr>
          <w:rFonts w:ascii="宋体" w:hAnsi="宋体" w:cs="宋体"/>
          <w:color w:val="auto"/>
          <w:kern w:val="1"/>
          <w:szCs w:val="21"/>
          <w:lang w:eastAsia="ar-SA"/>
        </w:rPr>
      </w:pPr>
      <w:r>
        <w:rPr>
          <w:rFonts w:hint="eastAsia" w:ascii="宋体" w:hAnsi="宋体" w:cs="宋体"/>
          <w:b/>
          <w:color w:val="auto"/>
          <w:szCs w:val="21"/>
        </w:rPr>
        <w:t xml:space="preserve">第二十条 </w:t>
      </w:r>
      <w:r>
        <w:rPr>
          <w:rFonts w:hint="eastAsia" w:ascii="宋体" w:hAnsi="宋体" w:cs="宋体"/>
          <w:color w:val="auto"/>
          <w:kern w:val="1"/>
          <w:szCs w:val="21"/>
          <w:lang w:eastAsia="ar-SA"/>
        </w:rPr>
        <w:t>本合同一式</w:t>
      </w:r>
      <w:r>
        <w:rPr>
          <w:rFonts w:hint="eastAsia" w:ascii="宋体" w:hAnsi="宋体" w:cs="宋体"/>
          <w:color w:val="auto"/>
          <w:kern w:val="1"/>
          <w:szCs w:val="21"/>
        </w:rPr>
        <w:t>陆</w:t>
      </w:r>
      <w:r>
        <w:rPr>
          <w:rFonts w:hint="eastAsia" w:ascii="宋体" w:hAnsi="宋体" w:cs="宋体"/>
          <w:color w:val="auto"/>
          <w:kern w:val="1"/>
          <w:szCs w:val="21"/>
          <w:lang w:eastAsia="ar-SA"/>
        </w:rPr>
        <w:t>份，具有同等法律效力。甲方</w:t>
      </w:r>
      <w:r>
        <w:rPr>
          <w:rFonts w:hint="eastAsia" w:ascii="宋体" w:hAnsi="宋体" w:cs="宋体"/>
          <w:color w:val="auto"/>
          <w:kern w:val="1"/>
          <w:szCs w:val="21"/>
        </w:rPr>
        <w:t>贰</w:t>
      </w:r>
      <w:r>
        <w:rPr>
          <w:rFonts w:hint="eastAsia" w:ascii="宋体" w:hAnsi="宋体" w:cs="宋体"/>
          <w:color w:val="auto"/>
          <w:kern w:val="1"/>
          <w:szCs w:val="21"/>
          <w:lang w:eastAsia="ar-SA"/>
        </w:rPr>
        <w:t>份，乙方</w:t>
      </w:r>
      <w:r>
        <w:rPr>
          <w:rFonts w:hint="eastAsia" w:ascii="宋体" w:hAnsi="宋体" w:cs="宋体"/>
          <w:color w:val="auto"/>
          <w:kern w:val="1"/>
          <w:szCs w:val="21"/>
        </w:rPr>
        <w:t>贰</w:t>
      </w:r>
      <w:r>
        <w:rPr>
          <w:rFonts w:hint="eastAsia" w:ascii="宋体" w:hAnsi="宋体" w:cs="宋体"/>
          <w:color w:val="auto"/>
          <w:kern w:val="1"/>
          <w:szCs w:val="21"/>
          <w:lang w:eastAsia="ar-SA"/>
        </w:rPr>
        <w:t>份，采购代理机构</w:t>
      </w:r>
      <w:r>
        <w:rPr>
          <w:rFonts w:hint="eastAsia" w:ascii="宋体" w:hAnsi="宋体" w:cs="宋体"/>
          <w:color w:val="auto"/>
          <w:kern w:val="1"/>
          <w:szCs w:val="21"/>
        </w:rPr>
        <w:t>贰</w:t>
      </w:r>
      <w:r>
        <w:rPr>
          <w:rFonts w:hint="eastAsia" w:ascii="宋体" w:hAnsi="宋体" w:cs="宋体"/>
          <w:color w:val="auto"/>
          <w:kern w:val="1"/>
          <w:szCs w:val="21"/>
          <w:lang w:eastAsia="ar-SA"/>
        </w:rPr>
        <w:t>份</w:t>
      </w:r>
      <w:r>
        <w:rPr>
          <w:rFonts w:hint="eastAsia" w:ascii="宋体" w:hAnsi="宋体" w:cs="宋体"/>
          <w:color w:val="auto"/>
          <w:kern w:val="1"/>
          <w:szCs w:val="21"/>
        </w:rPr>
        <w:t>，本合同经甲乙双方法定代表人或授权代表签字并加盖单位公章后生效</w:t>
      </w:r>
      <w:r>
        <w:rPr>
          <w:rFonts w:hint="eastAsia" w:ascii="宋体" w:hAnsi="宋体" w:cs="宋体"/>
          <w:color w:val="auto"/>
          <w:kern w:val="1"/>
          <w:szCs w:val="21"/>
          <w:lang w:eastAsia="ar-SA"/>
        </w:rPr>
        <w:t>。合同附件是合同的不可分割的组成部分，与合同具有同等法律效力。</w:t>
      </w:r>
    </w:p>
    <w:p>
      <w:pPr>
        <w:rPr>
          <w:rFonts w:ascii="宋体" w:hAnsi="宋体" w:cs="宋体"/>
          <w:color w:val="auto"/>
          <w:kern w:val="1"/>
          <w:szCs w:val="21"/>
          <w:lang w:eastAsia="ar-SA"/>
        </w:rPr>
      </w:pPr>
      <w:r>
        <w:rPr>
          <w:rFonts w:hint="eastAsia" w:ascii="宋体" w:hAnsi="宋体" w:cs="宋体"/>
          <w:color w:val="auto"/>
          <w:kern w:val="1"/>
          <w:szCs w:val="21"/>
          <w:lang w:eastAsia="ar-SA"/>
        </w:rPr>
        <w:br w:type="page"/>
      </w:r>
    </w:p>
    <w:p>
      <w:pPr>
        <w:rPr>
          <w:color w:val="auto"/>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927" w:type="dxa"/>
            <w:vAlign w:val="center"/>
          </w:tcPr>
          <w:p>
            <w:pPr>
              <w:snapToGrid w:val="0"/>
              <w:spacing w:line="360" w:lineRule="exact"/>
              <w:rPr>
                <w:rFonts w:ascii="宋体" w:hAnsi="宋体" w:cs="宋体"/>
                <w:color w:val="auto"/>
                <w:szCs w:val="21"/>
              </w:rPr>
            </w:pPr>
            <w:r>
              <w:rPr>
                <w:rFonts w:hint="eastAsia" w:ascii="宋体" w:hAnsi="宋体" w:cs="宋体"/>
                <w:color w:val="auto"/>
                <w:szCs w:val="21"/>
              </w:rPr>
              <w:t xml:space="preserve">甲方（章）  </w:t>
            </w:r>
          </w:p>
          <w:p>
            <w:pPr>
              <w:snapToGrid w:val="0"/>
              <w:spacing w:line="360" w:lineRule="exact"/>
              <w:rPr>
                <w:rFonts w:ascii="宋体" w:hAnsi="宋体" w:cs="宋体"/>
                <w:color w:val="auto"/>
                <w:szCs w:val="21"/>
              </w:rPr>
            </w:pPr>
          </w:p>
          <w:p>
            <w:pPr>
              <w:snapToGrid w:val="0"/>
              <w:spacing w:line="360" w:lineRule="exact"/>
              <w:ind w:firstLine="945" w:firstLineChars="450"/>
              <w:jc w:val="right"/>
              <w:rPr>
                <w:rFonts w:ascii="宋体" w:hAnsi="宋体" w:cs="宋体"/>
                <w:color w:val="auto"/>
                <w:szCs w:val="21"/>
              </w:rPr>
            </w:pPr>
            <w:r>
              <w:rPr>
                <w:rFonts w:hint="eastAsia" w:ascii="宋体" w:hAnsi="宋体" w:cs="宋体"/>
                <w:color w:val="auto"/>
                <w:szCs w:val="21"/>
              </w:rPr>
              <w:t>2022年   月   日</w:t>
            </w:r>
          </w:p>
        </w:tc>
        <w:tc>
          <w:tcPr>
            <w:tcW w:w="4927" w:type="dxa"/>
            <w:vAlign w:val="center"/>
          </w:tcPr>
          <w:p>
            <w:pPr>
              <w:snapToGrid w:val="0"/>
              <w:spacing w:line="360" w:lineRule="exact"/>
              <w:rPr>
                <w:rFonts w:ascii="宋体" w:hAnsi="宋体" w:cs="宋体"/>
                <w:color w:val="auto"/>
                <w:szCs w:val="21"/>
              </w:rPr>
            </w:pPr>
            <w:r>
              <w:rPr>
                <w:rFonts w:hint="eastAsia" w:ascii="宋体" w:hAnsi="宋体" w:cs="宋体"/>
                <w:color w:val="auto"/>
                <w:szCs w:val="21"/>
              </w:rPr>
              <w:t xml:space="preserve">乙方（章）               </w:t>
            </w:r>
          </w:p>
          <w:p>
            <w:pPr>
              <w:snapToGrid w:val="0"/>
              <w:spacing w:line="360" w:lineRule="exact"/>
              <w:rPr>
                <w:rFonts w:ascii="宋体" w:hAnsi="宋体" w:cs="宋体"/>
                <w:color w:val="auto"/>
                <w:szCs w:val="21"/>
              </w:rPr>
            </w:pPr>
          </w:p>
          <w:p>
            <w:pPr>
              <w:snapToGrid w:val="0"/>
              <w:spacing w:line="360" w:lineRule="exact"/>
              <w:jc w:val="right"/>
              <w:rPr>
                <w:rFonts w:ascii="宋体" w:hAnsi="宋体" w:cs="宋体"/>
                <w:color w:val="auto"/>
                <w:szCs w:val="21"/>
              </w:rPr>
            </w:pPr>
            <w:r>
              <w:rPr>
                <w:rFonts w:hint="eastAsia" w:ascii="宋体" w:hAnsi="宋体" w:cs="宋体"/>
                <w:color w:val="auto"/>
                <w:szCs w:val="21"/>
              </w:rPr>
              <w:t xml:space="preserve"> 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27" w:type="dxa"/>
            <w:vAlign w:val="center"/>
          </w:tcPr>
          <w:p>
            <w:pPr>
              <w:snapToGrid w:val="0"/>
              <w:spacing w:line="360" w:lineRule="exact"/>
              <w:rPr>
                <w:rFonts w:ascii="宋体" w:hAnsi="宋体" w:cs="宋体"/>
                <w:color w:val="auto"/>
                <w:szCs w:val="21"/>
              </w:rPr>
            </w:pPr>
            <w:r>
              <w:rPr>
                <w:rFonts w:hint="eastAsia" w:ascii="宋体" w:hAnsi="宋体" w:cs="宋体"/>
                <w:color w:val="auto"/>
                <w:szCs w:val="21"/>
              </w:rPr>
              <w:t xml:space="preserve">单位地址： </w:t>
            </w:r>
          </w:p>
        </w:tc>
        <w:tc>
          <w:tcPr>
            <w:tcW w:w="4927" w:type="dxa"/>
            <w:vAlign w:val="center"/>
          </w:tcPr>
          <w:p>
            <w:pPr>
              <w:snapToGrid w:val="0"/>
              <w:spacing w:line="360" w:lineRule="exact"/>
              <w:rPr>
                <w:rFonts w:ascii="宋体" w:hAnsi="宋体" w:cs="宋体"/>
                <w:color w:val="auto"/>
                <w:szCs w:val="21"/>
              </w:rPr>
            </w:pPr>
            <w:r>
              <w:rPr>
                <w:rFonts w:hint="eastAsia" w:ascii="宋体" w:hAnsi="宋体" w:cs="宋体"/>
                <w:color w:val="auto"/>
                <w:szCs w:val="21"/>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27" w:type="dxa"/>
            <w:vAlign w:val="center"/>
          </w:tcPr>
          <w:p>
            <w:pPr>
              <w:snapToGrid w:val="0"/>
              <w:spacing w:line="360" w:lineRule="exact"/>
              <w:rPr>
                <w:rFonts w:ascii="宋体" w:hAnsi="宋体" w:cs="宋体"/>
                <w:color w:val="auto"/>
                <w:szCs w:val="21"/>
              </w:rPr>
            </w:pPr>
            <w:r>
              <w:rPr>
                <w:rFonts w:hint="eastAsia" w:ascii="宋体" w:hAnsi="宋体" w:cs="宋体"/>
                <w:color w:val="auto"/>
                <w:szCs w:val="21"/>
              </w:rPr>
              <w:t>法定代表人：</w:t>
            </w:r>
          </w:p>
        </w:tc>
        <w:tc>
          <w:tcPr>
            <w:tcW w:w="4927" w:type="dxa"/>
            <w:vAlign w:val="center"/>
          </w:tcPr>
          <w:p>
            <w:pPr>
              <w:snapToGrid w:val="0"/>
              <w:spacing w:line="360" w:lineRule="exact"/>
              <w:rPr>
                <w:rFonts w:ascii="宋体" w:hAnsi="宋体" w:cs="宋体"/>
                <w:color w:val="auto"/>
                <w:szCs w:val="21"/>
              </w:rPr>
            </w:pPr>
            <w:r>
              <w:rPr>
                <w:rFonts w:hint="eastAsia" w:ascii="宋体" w:hAnsi="宋体" w:cs="宋体"/>
                <w:color w:val="auto"/>
                <w:szCs w:val="21"/>
              </w:rPr>
              <w:t>法定代表人（负责人或自然人）：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27" w:type="dxa"/>
            <w:vAlign w:val="center"/>
          </w:tcPr>
          <w:p>
            <w:pPr>
              <w:snapToGrid w:val="0"/>
              <w:spacing w:line="360" w:lineRule="exact"/>
              <w:rPr>
                <w:rFonts w:ascii="宋体" w:hAnsi="宋体" w:cs="宋体"/>
                <w:color w:val="auto"/>
                <w:szCs w:val="21"/>
              </w:rPr>
            </w:pPr>
            <w:r>
              <w:rPr>
                <w:rFonts w:hint="eastAsia" w:ascii="宋体" w:hAnsi="宋体" w:cs="宋体"/>
                <w:color w:val="auto"/>
                <w:szCs w:val="21"/>
              </w:rPr>
              <w:t>委托代理人：</w:t>
            </w:r>
          </w:p>
        </w:tc>
        <w:tc>
          <w:tcPr>
            <w:tcW w:w="4927" w:type="dxa"/>
            <w:vAlign w:val="center"/>
          </w:tcPr>
          <w:p>
            <w:pPr>
              <w:snapToGrid w:val="0"/>
              <w:spacing w:line="360" w:lineRule="exact"/>
              <w:rPr>
                <w:rFonts w:ascii="宋体" w:hAnsi="宋体" w:cs="宋体"/>
                <w:color w:val="auto"/>
                <w:szCs w:val="21"/>
              </w:rPr>
            </w:pPr>
            <w:r>
              <w:rPr>
                <w:rFonts w:hint="eastAsia" w:ascii="宋体" w:hAnsi="宋体" w:cs="宋体"/>
                <w:color w:val="auto"/>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27" w:type="dxa"/>
            <w:vAlign w:val="center"/>
          </w:tcPr>
          <w:p>
            <w:pPr>
              <w:snapToGrid w:val="0"/>
              <w:spacing w:line="360" w:lineRule="exact"/>
              <w:rPr>
                <w:rFonts w:ascii="宋体" w:hAnsi="宋体" w:cs="宋体"/>
                <w:color w:val="auto"/>
                <w:szCs w:val="21"/>
              </w:rPr>
            </w:pPr>
            <w:r>
              <w:rPr>
                <w:rFonts w:hint="eastAsia" w:ascii="宋体" w:hAnsi="宋体" w:cs="宋体"/>
                <w:color w:val="auto"/>
                <w:szCs w:val="21"/>
              </w:rPr>
              <w:t xml:space="preserve">电话： </w:t>
            </w:r>
          </w:p>
        </w:tc>
        <w:tc>
          <w:tcPr>
            <w:tcW w:w="4927" w:type="dxa"/>
            <w:vAlign w:val="center"/>
          </w:tcPr>
          <w:p>
            <w:pPr>
              <w:snapToGrid w:val="0"/>
              <w:spacing w:line="360" w:lineRule="exact"/>
              <w:rPr>
                <w:rFonts w:ascii="宋体" w:hAnsi="宋体" w:cs="宋体"/>
                <w:color w:val="auto"/>
                <w:szCs w:val="21"/>
              </w:rPr>
            </w:pPr>
            <w:r>
              <w:rPr>
                <w:rFonts w:hint="eastAsia" w:ascii="宋体" w:hAnsi="宋体" w:cs="宋体"/>
                <w:color w:val="auto"/>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27" w:type="dxa"/>
            <w:vAlign w:val="center"/>
          </w:tcPr>
          <w:p>
            <w:pPr>
              <w:snapToGrid w:val="0"/>
              <w:spacing w:line="360" w:lineRule="exact"/>
              <w:rPr>
                <w:rFonts w:ascii="宋体" w:hAnsi="宋体" w:cs="宋体"/>
                <w:color w:val="auto"/>
                <w:szCs w:val="21"/>
              </w:rPr>
            </w:pPr>
            <w:r>
              <w:rPr>
                <w:rFonts w:hint="eastAsia" w:ascii="宋体" w:hAnsi="宋体" w:cs="宋体"/>
                <w:color w:val="auto"/>
                <w:szCs w:val="21"/>
              </w:rPr>
              <w:t xml:space="preserve">电子邮箱： </w:t>
            </w:r>
          </w:p>
        </w:tc>
        <w:tc>
          <w:tcPr>
            <w:tcW w:w="4927" w:type="dxa"/>
            <w:vAlign w:val="center"/>
          </w:tcPr>
          <w:p>
            <w:pPr>
              <w:snapToGrid w:val="0"/>
              <w:spacing w:line="360" w:lineRule="exact"/>
              <w:rPr>
                <w:rFonts w:ascii="宋体" w:hAnsi="宋体" w:cs="宋体"/>
                <w:color w:val="auto"/>
                <w:szCs w:val="21"/>
              </w:rPr>
            </w:pPr>
            <w:r>
              <w:rPr>
                <w:rFonts w:hint="eastAsia" w:ascii="宋体" w:hAnsi="宋体" w:cs="宋体"/>
                <w:color w:val="auto"/>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27" w:type="dxa"/>
            <w:vAlign w:val="center"/>
          </w:tcPr>
          <w:p>
            <w:pPr>
              <w:snapToGrid w:val="0"/>
              <w:spacing w:line="360" w:lineRule="exact"/>
              <w:rPr>
                <w:rFonts w:ascii="宋体" w:hAnsi="宋体" w:cs="宋体"/>
                <w:color w:val="auto"/>
                <w:szCs w:val="21"/>
              </w:rPr>
            </w:pPr>
            <w:r>
              <w:rPr>
                <w:rFonts w:hint="eastAsia" w:ascii="宋体" w:hAnsi="宋体" w:cs="宋体"/>
                <w:color w:val="auto"/>
                <w:szCs w:val="21"/>
              </w:rPr>
              <w:t xml:space="preserve">开户银行： </w:t>
            </w:r>
          </w:p>
        </w:tc>
        <w:tc>
          <w:tcPr>
            <w:tcW w:w="4927" w:type="dxa"/>
            <w:vAlign w:val="center"/>
          </w:tcPr>
          <w:p>
            <w:pPr>
              <w:snapToGrid w:val="0"/>
              <w:spacing w:line="360" w:lineRule="exact"/>
              <w:rPr>
                <w:rFonts w:ascii="宋体" w:hAnsi="宋体" w:cs="宋体"/>
                <w:color w:val="auto"/>
                <w:szCs w:val="21"/>
              </w:rPr>
            </w:pPr>
            <w:r>
              <w:rPr>
                <w:rFonts w:hint="eastAsia" w:ascii="宋体" w:hAnsi="宋体" w:cs="宋体"/>
                <w:color w:val="auto"/>
                <w:szCs w:val="21"/>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27" w:type="dxa"/>
            <w:vAlign w:val="center"/>
          </w:tcPr>
          <w:p>
            <w:pPr>
              <w:spacing w:line="360" w:lineRule="exact"/>
              <w:rPr>
                <w:rFonts w:ascii="宋体" w:hAnsi="宋体" w:cs="宋体"/>
                <w:color w:val="auto"/>
                <w:szCs w:val="21"/>
              </w:rPr>
            </w:pPr>
            <w:r>
              <w:rPr>
                <w:rFonts w:hint="eastAsia" w:ascii="宋体" w:hAnsi="宋体" w:cs="宋体"/>
                <w:color w:val="auto"/>
                <w:szCs w:val="21"/>
              </w:rPr>
              <w:t xml:space="preserve">账号： </w:t>
            </w:r>
          </w:p>
        </w:tc>
        <w:tc>
          <w:tcPr>
            <w:tcW w:w="4927" w:type="dxa"/>
            <w:vAlign w:val="center"/>
          </w:tcPr>
          <w:p>
            <w:pPr>
              <w:snapToGrid w:val="0"/>
              <w:spacing w:line="360" w:lineRule="exact"/>
              <w:rPr>
                <w:rFonts w:ascii="宋体" w:hAnsi="宋体" w:cs="宋体"/>
                <w:color w:val="auto"/>
                <w:szCs w:val="21"/>
              </w:rPr>
            </w:pPr>
            <w:r>
              <w:rPr>
                <w:rFonts w:hint="eastAsia" w:ascii="宋体" w:hAnsi="宋体" w:cs="宋体"/>
                <w:color w:val="auto"/>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27" w:type="dxa"/>
            <w:vAlign w:val="center"/>
          </w:tcPr>
          <w:p>
            <w:pPr>
              <w:snapToGrid w:val="0"/>
              <w:spacing w:line="360" w:lineRule="exact"/>
              <w:rPr>
                <w:rFonts w:ascii="宋体" w:hAnsi="宋体" w:cs="宋体"/>
                <w:color w:val="auto"/>
                <w:szCs w:val="21"/>
              </w:rPr>
            </w:pPr>
            <w:r>
              <w:rPr>
                <w:rFonts w:hint="eastAsia" w:ascii="宋体" w:hAnsi="宋体" w:cs="宋体"/>
                <w:color w:val="auto"/>
                <w:szCs w:val="21"/>
              </w:rPr>
              <w:t>纳税人识别号或统一社会信用代码：</w:t>
            </w:r>
          </w:p>
          <w:p>
            <w:pPr>
              <w:snapToGrid w:val="0"/>
              <w:spacing w:line="360" w:lineRule="exact"/>
              <w:rPr>
                <w:rFonts w:ascii="宋体" w:hAnsi="宋体" w:cs="宋体"/>
                <w:color w:val="auto"/>
                <w:szCs w:val="21"/>
              </w:rPr>
            </w:pPr>
            <w:r>
              <w:rPr>
                <w:rFonts w:hint="eastAsia" w:ascii="宋体" w:hAnsi="宋体" w:cs="宋体"/>
                <w:color w:val="auto"/>
                <w:szCs w:val="21"/>
              </w:rPr>
              <w:t xml:space="preserve"> </w:t>
            </w:r>
          </w:p>
        </w:tc>
        <w:tc>
          <w:tcPr>
            <w:tcW w:w="4927" w:type="dxa"/>
            <w:vAlign w:val="center"/>
          </w:tcPr>
          <w:p>
            <w:pPr>
              <w:snapToGrid w:val="0"/>
              <w:spacing w:line="360" w:lineRule="exact"/>
              <w:rPr>
                <w:rFonts w:ascii="宋体" w:hAnsi="宋体" w:cs="宋体"/>
                <w:color w:val="auto"/>
                <w:szCs w:val="21"/>
              </w:rPr>
            </w:pPr>
            <w:r>
              <w:rPr>
                <w:rFonts w:hint="eastAsia" w:ascii="宋体" w:hAnsi="宋体" w:cs="宋体"/>
                <w:color w:val="auto"/>
                <w:szCs w:val="21"/>
              </w:rPr>
              <w:t>纳税人识别号或统一社会信用代码：</w:t>
            </w:r>
          </w:p>
          <w:p>
            <w:pPr>
              <w:snapToGrid w:val="0"/>
              <w:spacing w:line="36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27" w:type="dxa"/>
            <w:vAlign w:val="center"/>
          </w:tcPr>
          <w:p>
            <w:pPr>
              <w:snapToGrid w:val="0"/>
              <w:spacing w:line="360" w:lineRule="exact"/>
              <w:rPr>
                <w:rFonts w:ascii="宋体" w:hAnsi="宋体" w:cs="宋体"/>
                <w:color w:val="auto"/>
                <w:szCs w:val="21"/>
              </w:rPr>
            </w:pPr>
            <w:r>
              <w:rPr>
                <w:rFonts w:hint="eastAsia" w:ascii="宋体" w:hAnsi="宋体" w:cs="宋体"/>
                <w:color w:val="auto"/>
                <w:szCs w:val="21"/>
              </w:rPr>
              <w:t xml:space="preserve">邮政编码： </w:t>
            </w:r>
          </w:p>
        </w:tc>
        <w:tc>
          <w:tcPr>
            <w:tcW w:w="4927" w:type="dxa"/>
            <w:vAlign w:val="center"/>
          </w:tcPr>
          <w:p>
            <w:pPr>
              <w:snapToGrid w:val="0"/>
              <w:spacing w:line="360" w:lineRule="exact"/>
              <w:rPr>
                <w:rFonts w:ascii="宋体" w:hAnsi="宋体" w:cs="宋体"/>
                <w:color w:val="auto"/>
                <w:szCs w:val="21"/>
              </w:rPr>
            </w:pPr>
            <w:r>
              <w:rPr>
                <w:rFonts w:hint="eastAsia" w:ascii="宋体" w:hAnsi="宋体" w:cs="宋体"/>
                <w:color w:val="auto"/>
                <w:szCs w:val="21"/>
              </w:rPr>
              <w:t>邮政编码：</w:t>
            </w:r>
          </w:p>
        </w:tc>
      </w:tr>
    </w:tbl>
    <w:p>
      <w:pPr>
        <w:rPr>
          <w:color w:val="auto"/>
        </w:rPr>
      </w:pPr>
    </w:p>
    <w:p>
      <w:pPr>
        <w:rPr>
          <w:color w:val="auto"/>
        </w:rPr>
      </w:pPr>
    </w:p>
    <w:p>
      <w:pPr>
        <w:snapToGrid w:val="0"/>
        <w:jc w:val="center"/>
        <w:rPr>
          <w:rFonts w:ascii="宋体" w:hAnsi="宋体"/>
          <w:bCs/>
          <w:color w:val="auto"/>
          <w:sz w:val="32"/>
          <w:szCs w:val="32"/>
        </w:rPr>
      </w:pPr>
    </w:p>
    <w:bookmarkEnd w:id="150"/>
    <w:p>
      <w:pPr>
        <w:rPr>
          <w:rFonts w:ascii="宋体" w:hAnsi="宋体"/>
          <w:bCs/>
          <w:color w:val="auto"/>
          <w:sz w:val="32"/>
          <w:szCs w:val="32"/>
        </w:rPr>
      </w:pPr>
      <w:r>
        <w:rPr>
          <w:rFonts w:hint="eastAsia" w:ascii="宋体" w:hAnsi="宋体"/>
          <w:bCs/>
          <w:color w:val="auto"/>
          <w:sz w:val="32"/>
          <w:szCs w:val="32"/>
        </w:rPr>
        <w:br w:type="page"/>
      </w:r>
    </w:p>
    <w:p>
      <w:pPr>
        <w:rPr>
          <w:color w:val="auto"/>
        </w:rPr>
      </w:pPr>
    </w:p>
    <w:p>
      <w:pPr>
        <w:rPr>
          <w:rFonts w:ascii="宋体" w:hAnsi="宋体"/>
          <w:bCs/>
          <w:color w:val="auto"/>
          <w:sz w:val="32"/>
          <w:szCs w:val="32"/>
        </w:rPr>
      </w:pPr>
    </w:p>
    <w:p>
      <w:pPr>
        <w:pStyle w:val="14"/>
        <w:rPr>
          <w:rFonts w:ascii="宋体" w:hAnsi="宋体"/>
          <w:bCs/>
          <w:color w:val="auto"/>
          <w:sz w:val="32"/>
          <w:szCs w:val="32"/>
        </w:rPr>
      </w:pPr>
    </w:p>
    <w:p>
      <w:pPr>
        <w:rPr>
          <w:rFonts w:ascii="宋体" w:hAnsi="宋体"/>
          <w:bCs/>
          <w:color w:val="auto"/>
          <w:sz w:val="32"/>
          <w:szCs w:val="32"/>
        </w:rPr>
      </w:pPr>
    </w:p>
    <w:p>
      <w:pPr>
        <w:pStyle w:val="14"/>
        <w:rPr>
          <w:rFonts w:ascii="宋体" w:hAnsi="宋体"/>
          <w:bCs/>
          <w:color w:val="auto"/>
          <w:sz w:val="32"/>
          <w:szCs w:val="32"/>
        </w:rPr>
      </w:pPr>
    </w:p>
    <w:p>
      <w:pPr>
        <w:rPr>
          <w:rFonts w:ascii="宋体" w:hAnsi="宋体"/>
          <w:bCs/>
          <w:color w:val="auto"/>
          <w:sz w:val="32"/>
          <w:szCs w:val="32"/>
        </w:rPr>
      </w:pPr>
    </w:p>
    <w:p>
      <w:pPr>
        <w:pStyle w:val="14"/>
        <w:rPr>
          <w:rFonts w:ascii="宋体" w:hAnsi="宋体"/>
          <w:bCs/>
          <w:color w:val="auto"/>
          <w:sz w:val="32"/>
          <w:szCs w:val="32"/>
        </w:rPr>
      </w:pPr>
    </w:p>
    <w:p>
      <w:pPr>
        <w:rPr>
          <w:rFonts w:ascii="宋体" w:hAnsi="宋体"/>
          <w:bCs/>
          <w:color w:val="auto"/>
          <w:sz w:val="32"/>
          <w:szCs w:val="32"/>
        </w:rPr>
      </w:pPr>
    </w:p>
    <w:p>
      <w:pPr>
        <w:pStyle w:val="14"/>
        <w:rPr>
          <w:rFonts w:ascii="宋体" w:hAnsi="宋体"/>
          <w:bCs/>
          <w:color w:val="auto"/>
          <w:sz w:val="32"/>
          <w:szCs w:val="32"/>
        </w:rPr>
      </w:pPr>
    </w:p>
    <w:p>
      <w:pPr>
        <w:rPr>
          <w:color w:val="auto"/>
        </w:rPr>
      </w:pPr>
    </w:p>
    <w:p>
      <w:pPr>
        <w:snapToGrid w:val="0"/>
        <w:rPr>
          <w:rFonts w:ascii="宋体" w:hAnsi="宋体"/>
          <w:bCs/>
          <w:color w:val="auto"/>
          <w:sz w:val="32"/>
          <w:szCs w:val="32"/>
        </w:rPr>
      </w:pPr>
    </w:p>
    <w:p>
      <w:pPr>
        <w:snapToGrid w:val="0"/>
        <w:jc w:val="center"/>
        <w:rPr>
          <w:rFonts w:ascii="宋体" w:hAnsi="宋体"/>
          <w:bCs/>
          <w:color w:val="auto"/>
          <w:sz w:val="32"/>
          <w:szCs w:val="32"/>
        </w:rPr>
      </w:pPr>
    </w:p>
    <w:p>
      <w:pPr>
        <w:snapToGrid w:val="0"/>
        <w:jc w:val="center"/>
        <w:rPr>
          <w:rFonts w:ascii="宋体" w:hAnsi="宋体"/>
          <w:bCs/>
          <w:color w:val="auto"/>
          <w:sz w:val="32"/>
          <w:szCs w:val="32"/>
        </w:rPr>
      </w:pPr>
    </w:p>
    <w:p>
      <w:pPr>
        <w:snapToGrid w:val="0"/>
        <w:jc w:val="center"/>
        <w:rPr>
          <w:rFonts w:ascii="宋体" w:hAnsi="宋体"/>
          <w:bCs/>
          <w:color w:val="auto"/>
          <w:sz w:val="32"/>
          <w:szCs w:val="32"/>
        </w:rPr>
      </w:pPr>
    </w:p>
    <w:p>
      <w:pPr>
        <w:pStyle w:val="4"/>
        <w:keepNext w:val="0"/>
        <w:keepLines w:val="0"/>
        <w:jc w:val="center"/>
        <w:rPr>
          <w:color w:val="auto"/>
        </w:rPr>
      </w:pPr>
      <w:bookmarkStart w:id="153" w:name="_Toc19686834"/>
      <w:r>
        <w:rPr>
          <w:rFonts w:hint="eastAsia"/>
          <w:color w:val="auto"/>
        </w:rPr>
        <w:t>第六章　投标文件格式</w:t>
      </w:r>
      <w:bookmarkEnd w:id="153"/>
    </w:p>
    <w:p>
      <w:pPr>
        <w:snapToGrid w:val="0"/>
        <w:spacing w:before="50" w:after="50"/>
        <w:outlineLvl w:val="1"/>
        <w:rPr>
          <w:rFonts w:ascii="宋体" w:hAnsi="宋体"/>
          <w:color w:val="auto"/>
          <w:sz w:val="32"/>
          <w:szCs w:val="20"/>
        </w:rPr>
      </w:pPr>
    </w:p>
    <w:p>
      <w:pPr>
        <w:snapToGrid w:val="0"/>
        <w:spacing w:before="50" w:after="50"/>
        <w:outlineLvl w:val="1"/>
        <w:rPr>
          <w:rFonts w:ascii="宋体" w:hAnsi="宋体"/>
          <w:color w:val="auto"/>
          <w:sz w:val="32"/>
          <w:szCs w:val="20"/>
        </w:rPr>
      </w:pPr>
    </w:p>
    <w:p>
      <w:pPr>
        <w:snapToGrid w:val="0"/>
        <w:spacing w:before="50" w:after="50"/>
        <w:outlineLvl w:val="1"/>
        <w:rPr>
          <w:rFonts w:ascii="宋体" w:hAnsi="宋体"/>
          <w:color w:val="auto"/>
          <w:sz w:val="32"/>
          <w:szCs w:val="20"/>
        </w:rPr>
      </w:pPr>
    </w:p>
    <w:p>
      <w:pPr>
        <w:snapToGrid w:val="0"/>
        <w:spacing w:before="50" w:after="50"/>
        <w:outlineLvl w:val="1"/>
        <w:rPr>
          <w:rFonts w:ascii="宋体" w:hAnsi="宋体"/>
          <w:color w:val="auto"/>
          <w:sz w:val="32"/>
          <w:szCs w:val="20"/>
        </w:rPr>
      </w:pPr>
    </w:p>
    <w:p>
      <w:pPr>
        <w:snapToGrid w:val="0"/>
        <w:spacing w:before="50" w:after="50"/>
        <w:outlineLvl w:val="1"/>
        <w:rPr>
          <w:rFonts w:ascii="宋体" w:hAnsi="宋体"/>
          <w:color w:val="auto"/>
          <w:sz w:val="32"/>
          <w:szCs w:val="20"/>
        </w:rPr>
      </w:pPr>
    </w:p>
    <w:p>
      <w:pPr>
        <w:snapToGrid w:val="0"/>
        <w:spacing w:before="50" w:after="50"/>
        <w:outlineLvl w:val="1"/>
        <w:rPr>
          <w:rFonts w:ascii="宋体" w:hAnsi="宋体"/>
          <w:color w:val="auto"/>
          <w:sz w:val="32"/>
          <w:szCs w:val="20"/>
        </w:rPr>
      </w:pPr>
    </w:p>
    <w:p>
      <w:pPr>
        <w:snapToGrid w:val="0"/>
        <w:spacing w:before="50" w:after="50"/>
        <w:outlineLvl w:val="1"/>
        <w:rPr>
          <w:rFonts w:ascii="宋体" w:hAnsi="宋体"/>
          <w:color w:val="auto"/>
          <w:sz w:val="32"/>
          <w:szCs w:val="20"/>
        </w:rPr>
      </w:pPr>
    </w:p>
    <w:p>
      <w:pPr>
        <w:snapToGrid w:val="0"/>
        <w:spacing w:before="50" w:after="50"/>
        <w:outlineLvl w:val="1"/>
        <w:rPr>
          <w:rFonts w:ascii="宋体" w:hAnsi="宋体"/>
          <w:color w:val="auto"/>
          <w:sz w:val="32"/>
          <w:szCs w:val="20"/>
        </w:rPr>
      </w:pPr>
    </w:p>
    <w:p>
      <w:pPr>
        <w:snapToGrid w:val="0"/>
        <w:spacing w:before="50" w:after="50"/>
        <w:outlineLvl w:val="1"/>
        <w:rPr>
          <w:rFonts w:ascii="宋体" w:hAnsi="宋体"/>
          <w:color w:val="auto"/>
          <w:sz w:val="32"/>
          <w:szCs w:val="20"/>
        </w:rPr>
      </w:pPr>
    </w:p>
    <w:p>
      <w:pPr>
        <w:snapToGrid w:val="0"/>
        <w:spacing w:beforeLines="50" w:after="50" w:line="360" w:lineRule="auto"/>
        <w:outlineLvl w:val="1"/>
        <w:rPr>
          <w:rFonts w:ascii="宋体" w:hAnsi="宋体"/>
          <w:b/>
          <w:bCs/>
          <w:color w:val="auto"/>
          <w:sz w:val="28"/>
          <w:szCs w:val="28"/>
        </w:rPr>
      </w:pPr>
      <w:r>
        <w:rPr>
          <w:rFonts w:ascii="宋体" w:hAnsi="宋体"/>
          <w:color w:val="auto"/>
          <w:sz w:val="32"/>
          <w:szCs w:val="20"/>
        </w:rPr>
        <w:br w:type="page"/>
      </w:r>
      <w:bookmarkStart w:id="154" w:name="_Toc254970556"/>
      <w:bookmarkStart w:id="155" w:name="_Toc254970697"/>
      <w:bookmarkStart w:id="156" w:name="_Toc19686835"/>
      <w:bookmarkStart w:id="157" w:name="_Toc254970698"/>
      <w:bookmarkStart w:id="158" w:name="_Toc254970557"/>
      <w:r>
        <w:rPr>
          <w:rFonts w:hint="eastAsia" w:ascii="宋体" w:hAnsi="宋体"/>
          <w:b/>
          <w:bCs/>
          <w:color w:val="auto"/>
          <w:sz w:val="28"/>
          <w:szCs w:val="28"/>
        </w:rPr>
        <w:t>一</w:t>
      </w:r>
      <w:bookmarkEnd w:id="154"/>
      <w:bookmarkEnd w:id="155"/>
      <w:bookmarkEnd w:id="156"/>
      <w:bookmarkStart w:id="159" w:name="_Toc19686836"/>
      <w:r>
        <w:rPr>
          <w:rFonts w:hint="eastAsia" w:ascii="宋体" w:hAnsi="宋体"/>
          <w:b/>
          <w:bCs/>
          <w:color w:val="auto"/>
          <w:sz w:val="28"/>
          <w:szCs w:val="28"/>
        </w:rPr>
        <w:t>、报价文件格式</w:t>
      </w:r>
      <w:bookmarkEnd w:id="159"/>
    </w:p>
    <w:p>
      <w:pPr>
        <w:snapToGrid w:val="0"/>
        <w:spacing w:beforeLines="50" w:after="50" w:line="360" w:lineRule="auto"/>
        <w:ind w:left="142"/>
        <w:jc w:val="left"/>
        <w:rPr>
          <w:rFonts w:ascii="宋体" w:hAnsi="宋体"/>
          <w:color w:val="auto"/>
          <w:sz w:val="24"/>
          <w:szCs w:val="20"/>
        </w:rPr>
      </w:pPr>
      <w:r>
        <w:rPr>
          <w:rFonts w:hint="eastAsia" w:ascii="宋体" w:hAnsi="宋体"/>
          <w:b/>
          <w:color w:val="auto"/>
          <w:sz w:val="24"/>
        </w:rPr>
        <w:t xml:space="preserve">1. 报价文件封面格式： </w:t>
      </w:r>
    </w:p>
    <w:p>
      <w:pPr>
        <w:snapToGrid w:val="0"/>
        <w:spacing w:beforeLines="50" w:after="50" w:line="400" w:lineRule="exact"/>
        <w:rPr>
          <w:rFonts w:ascii="宋体" w:hAnsi="宋体"/>
          <w:bCs/>
          <w:color w:val="auto"/>
          <w:sz w:val="32"/>
          <w:szCs w:val="20"/>
        </w:rPr>
      </w:pPr>
      <w:r>
        <w:rPr>
          <w:rFonts w:hint="eastAsia" w:ascii="宋体" w:hAnsi="宋体"/>
          <w:color w:val="auto"/>
          <w:sz w:val="24"/>
        </w:rPr>
        <w:t xml:space="preserve">                                                    </w:t>
      </w:r>
    </w:p>
    <w:p>
      <w:pPr>
        <w:snapToGrid w:val="0"/>
        <w:spacing w:beforeLines="50" w:after="50" w:line="400" w:lineRule="exact"/>
        <w:jc w:val="center"/>
        <w:rPr>
          <w:rFonts w:ascii="宋体" w:hAnsi="宋体"/>
          <w:bCs/>
          <w:color w:val="auto"/>
          <w:sz w:val="24"/>
          <w:szCs w:val="20"/>
        </w:rPr>
      </w:pPr>
    </w:p>
    <w:p>
      <w:pPr>
        <w:snapToGrid w:val="0"/>
        <w:spacing w:beforeLines="50" w:after="50" w:line="480" w:lineRule="auto"/>
        <w:jc w:val="center"/>
        <w:rPr>
          <w:rFonts w:ascii="宋体" w:hAnsi="宋体" w:cs="宋体"/>
          <w:color w:val="auto"/>
          <w:sz w:val="84"/>
          <w:szCs w:val="84"/>
        </w:rPr>
      </w:pPr>
      <w:r>
        <w:rPr>
          <w:rFonts w:hint="eastAsia" w:ascii="宋体" w:hAnsi="宋体" w:cs="宋体"/>
          <w:color w:val="auto"/>
          <w:sz w:val="84"/>
          <w:szCs w:val="84"/>
        </w:rPr>
        <w:t>投  标  文  件</w:t>
      </w:r>
    </w:p>
    <w:p>
      <w:pPr>
        <w:snapToGrid w:val="0"/>
        <w:spacing w:beforeLines="50" w:after="50" w:line="360" w:lineRule="auto"/>
        <w:jc w:val="center"/>
        <w:rPr>
          <w:rFonts w:ascii="宋体" w:hAnsi="宋体"/>
          <w:b/>
          <w:bCs/>
          <w:color w:val="auto"/>
          <w:sz w:val="56"/>
          <w:szCs w:val="56"/>
        </w:rPr>
      </w:pPr>
      <w:r>
        <w:rPr>
          <w:rFonts w:hint="eastAsia" w:ascii="宋体" w:hAnsi="宋体"/>
          <w:b/>
          <w:bCs/>
          <w:color w:val="auto"/>
          <w:sz w:val="56"/>
          <w:szCs w:val="56"/>
        </w:rPr>
        <w:t>报价文件</w:t>
      </w:r>
    </w:p>
    <w:p>
      <w:pPr>
        <w:snapToGrid w:val="0"/>
        <w:spacing w:beforeLines="50" w:after="50" w:line="400" w:lineRule="exact"/>
        <w:rPr>
          <w:rFonts w:ascii="宋体" w:hAnsi="宋体"/>
          <w:bCs/>
          <w:color w:val="auto"/>
          <w:sz w:val="24"/>
          <w:szCs w:val="20"/>
        </w:rPr>
      </w:pPr>
    </w:p>
    <w:p>
      <w:pPr>
        <w:snapToGrid w:val="0"/>
        <w:spacing w:beforeLines="50" w:after="50" w:line="400" w:lineRule="exact"/>
        <w:rPr>
          <w:rFonts w:ascii="宋体" w:hAnsi="宋体"/>
          <w:bCs/>
          <w:color w:val="auto"/>
          <w:sz w:val="24"/>
          <w:szCs w:val="20"/>
        </w:rPr>
      </w:pPr>
    </w:p>
    <w:p>
      <w:pPr>
        <w:snapToGrid w:val="0"/>
        <w:spacing w:beforeLines="50" w:after="50" w:line="400" w:lineRule="exact"/>
        <w:rPr>
          <w:rFonts w:ascii="宋体" w:hAnsi="宋体"/>
          <w:bCs/>
          <w:color w:val="auto"/>
          <w:sz w:val="24"/>
          <w:szCs w:val="20"/>
        </w:rPr>
      </w:pPr>
    </w:p>
    <w:p>
      <w:pPr>
        <w:snapToGrid w:val="0"/>
        <w:spacing w:beforeLines="50" w:after="50" w:line="400" w:lineRule="exact"/>
        <w:ind w:firstLine="360" w:firstLineChars="150"/>
        <w:rPr>
          <w:rFonts w:ascii="宋体" w:hAnsi="宋体"/>
          <w:bCs/>
          <w:color w:val="auto"/>
          <w:sz w:val="24"/>
        </w:rPr>
      </w:pPr>
      <w:r>
        <w:rPr>
          <w:rFonts w:hint="eastAsia" w:ascii="宋体" w:hAnsi="宋体"/>
          <w:bCs/>
          <w:color w:val="auto"/>
          <w:sz w:val="24"/>
        </w:rPr>
        <w:t xml:space="preserve">项目名称： </w:t>
      </w:r>
    </w:p>
    <w:p>
      <w:pPr>
        <w:snapToGrid w:val="0"/>
        <w:spacing w:beforeLines="50" w:after="50" w:line="400" w:lineRule="exact"/>
        <w:ind w:firstLine="360" w:firstLineChars="150"/>
        <w:rPr>
          <w:rFonts w:ascii="宋体" w:hAnsi="宋体"/>
          <w:bCs/>
          <w:color w:val="auto"/>
          <w:sz w:val="24"/>
        </w:rPr>
      </w:pPr>
    </w:p>
    <w:p>
      <w:pPr>
        <w:snapToGrid w:val="0"/>
        <w:spacing w:beforeLines="50" w:after="50" w:line="400" w:lineRule="exact"/>
        <w:ind w:firstLine="360" w:firstLineChars="150"/>
        <w:rPr>
          <w:rFonts w:ascii="宋体" w:hAnsi="宋体"/>
          <w:bCs/>
          <w:color w:val="auto"/>
          <w:sz w:val="24"/>
        </w:rPr>
      </w:pPr>
      <w:r>
        <w:rPr>
          <w:rFonts w:hint="eastAsia" w:ascii="宋体" w:hAnsi="宋体"/>
          <w:bCs/>
          <w:color w:val="auto"/>
          <w:sz w:val="24"/>
        </w:rPr>
        <w:t xml:space="preserve">项目编号： </w:t>
      </w:r>
    </w:p>
    <w:p>
      <w:pPr>
        <w:snapToGrid w:val="0"/>
        <w:spacing w:beforeLines="50" w:after="50" w:line="400" w:lineRule="exact"/>
        <w:ind w:firstLine="360" w:firstLineChars="150"/>
        <w:rPr>
          <w:rFonts w:ascii="宋体" w:hAnsi="宋体"/>
          <w:bCs/>
          <w:color w:val="auto"/>
          <w:sz w:val="24"/>
        </w:rPr>
      </w:pPr>
    </w:p>
    <w:p>
      <w:pPr>
        <w:snapToGrid w:val="0"/>
        <w:spacing w:beforeLines="50" w:after="50" w:line="400" w:lineRule="exact"/>
        <w:ind w:firstLine="360" w:firstLineChars="150"/>
        <w:rPr>
          <w:rFonts w:ascii="宋体" w:hAnsi="宋体"/>
          <w:bCs/>
          <w:color w:val="auto"/>
          <w:sz w:val="24"/>
        </w:rPr>
      </w:pPr>
      <w:r>
        <w:rPr>
          <w:rFonts w:hint="eastAsia" w:ascii="宋体" w:hAnsi="宋体"/>
          <w:bCs/>
          <w:color w:val="auto"/>
          <w:sz w:val="24"/>
        </w:rPr>
        <w:t>所投分标：</w:t>
      </w:r>
    </w:p>
    <w:p>
      <w:pPr>
        <w:snapToGrid w:val="0"/>
        <w:spacing w:beforeLines="50" w:after="50" w:line="400" w:lineRule="exact"/>
        <w:ind w:firstLine="360" w:firstLineChars="150"/>
        <w:rPr>
          <w:rFonts w:ascii="宋体" w:hAnsi="宋体"/>
          <w:bCs/>
          <w:color w:val="auto"/>
          <w:sz w:val="24"/>
        </w:rPr>
      </w:pPr>
    </w:p>
    <w:p>
      <w:pPr>
        <w:snapToGrid w:val="0"/>
        <w:spacing w:beforeLines="50" w:after="50" w:line="400" w:lineRule="exact"/>
        <w:ind w:firstLine="360" w:firstLineChars="150"/>
        <w:rPr>
          <w:rFonts w:ascii="宋体" w:hAnsi="宋体"/>
          <w:bCs/>
          <w:color w:val="auto"/>
          <w:sz w:val="24"/>
        </w:rPr>
      </w:pPr>
      <w:r>
        <w:rPr>
          <w:rFonts w:hint="eastAsia" w:ascii="宋体" w:hAnsi="宋体"/>
          <w:bCs/>
          <w:color w:val="auto"/>
          <w:sz w:val="24"/>
        </w:rPr>
        <w:t>投标人名称：</w:t>
      </w:r>
    </w:p>
    <w:p>
      <w:pPr>
        <w:snapToGrid w:val="0"/>
        <w:spacing w:beforeLines="50" w:after="50" w:line="400" w:lineRule="exact"/>
        <w:ind w:firstLine="360" w:firstLineChars="150"/>
        <w:rPr>
          <w:rFonts w:ascii="宋体" w:hAnsi="宋体"/>
          <w:bCs/>
          <w:color w:val="auto"/>
          <w:sz w:val="24"/>
        </w:rPr>
      </w:pPr>
    </w:p>
    <w:p>
      <w:pPr>
        <w:snapToGrid w:val="0"/>
        <w:spacing w:beforeLines="50" w:after="50" w:line="400" w:lineRule="exact"/>
        <w:ind w:firstLine="360" w:firstLineChars="150"/>
        <w:rPr>
          <w:rFonts w:ascii="宋体" w:hAnsi="宋体"/>
          <w:bCs/>
          <w:color w:val="auto"/>
          <w:sz w:val="24"/>
        </w:rPr>
      </w:pPr>
      <w:r>
        <w:rPr>
          <w:rFonts w:hint="eastAsia" w:ascii="宋体" w:hAnsi="宋体"/>
          <w:bCs/>
          <w:color w:val="auto"/>
          <w:sz w:val="24"/>
        </w:rPr>
        <w:t>投标人地址：</w:t>
      </w:r>
    </w:p>
    <w:p>
      <w:pPr>
        <w:pStyle w:val="7"/>
        <w:snapToGrid w:val="0"/>
        <w:spacing w:before="50" w:after="50" w:line="400" w:lineRule="exact"/>
        <w:ind w:firstLine="960" w:firstLineChars="400"/>
        <w:rPr>
          <w:rFonts w:ascii="宋体" w:hAnsi="宋体"/>
          <w:bCs/>
          <w:color w:val="auto"/>
          <w:sz w:val="24"/>
          <w:szCs w:val="24"/>
        </w:rPr>
      </w:pPr>
    </w:p>
    <w:p>
      <w:pPr>
        <w:snapToGrid w:val="0"/>
        <w:spacing w:beforeLines="50" w:after="50" w:line="400" w:lineRule="exact"/>
        <w:rPr>
          <w:rFonts w:ascii="宋体" w:hAnsi="宋体"/>
          <w:color w:val="auto"/>
          <w:sz w:val="30"/>
          <w:szCs w:val="20"/>
        </w:rPr>
      </w:pPr>
      <w:r>
        <w:rPr>
          <w:rFonts w:hint="eastAsia" w:ascii="宋体" w:hAnsi="宋体"/>
          <w:color w:val="auto"/>
          <w:sz w:val="24"/>
        </w:rPr>
        <w:t xml:space="preserve">                                   年  月  日</w:t>
      </w:r>
    </w:p>
    <w:p>
      <w:pPr>
        <w:snapToGrid w:val="0"/>
        <w:spacing w:beforeLines="50" w:after="50" w:line="360" w:lineRule="auto"/>
        <w:jc w:val="left"/>
        <w:rPr>
          <w:rFonts w:ascii="宋体" w:hAnsi="宋体"/>
          <w:color w:val="auto"/>
          <w:sz w:val="24"/>
          <w:szCs w:val="20"/>
        </w:rPr>
      </w:pPr>
      <w:r>
        <w:rPr>
          <w:rFonts w:ascii="宋体" w:hAnsi="宋体"/>
          <w:b/>
          <w:color w:val="auto"/>
          <w:sz w:val="24"/>
        </w:rPr>
        <w:br w:type="page"/>
      </w:r>
      <w:r>
        <w:rPr>
          <w:rFonts w:hint="eastAsia" w:ascii="宋体" w:hAnsi="宋体"/>
          <w:b/>
          <w:color w:val="auto"/>
          <w:sz w:val="24"/>
        </w:rPr>
        <w:t>2.</w:t>
      </w:r>
      <w:r>
        <w:rPr>
          <w:rFonts w:hint="eastAsia" w:ascii="宋体" w:hAnsi="宋体"/>
          <w:b/>
          <w:bCs/>
          <w:color w:val="auto"/>
          <w:sz w:val="24"/>
        </w:rPr>
        <w:t>报价文件目录</w:t>
      </w:r>
    </w:p>
    <w:p>
      <w:pPr>
        <w:snapToGrid w:val="0"/>
        <w:spacing w:before="50" w:afterLines="50" w:line="360" w:lineRule="auto"/>
        <w:jc w:val="left"/>
        <w:rPr>
          <w:rFonts w:ascii="宋体" w:hAnsi="宋体"/>
          <w:b/>
          <w:color w:val="auto"/>
          <w:sz w:val="24"/>
        </w:rPr>
      </w:pPr>
      <w:r>
        <w:rPr>
          <w:rFonts w:hint="eastAsia" w:ascii="宋体" w:hAnsi="宋体"/>
          <w:color w:val="auto"/>
          <w:szCs w:val="21"/>
        </w:rPr>
        <w:t>根据招标文件规定及投标人提供的材料自行编写目录。</w:t>
      </w:r>
    </w:p>
    <w:p>
      <w:pPr>
        <w:snapToGrid w:val="0"/>
        <w:spacing w:beforeLines="50" w:after="50"/>
        <w:rPr>
          <w:rFonts w:ascii="宋体" w:hAnsi="宋体"/>
          <w:b/>
          <w:color w:val="auto"/>
          <w:sz w:val="24"/>
        </w:rPr>
      </w:pPr>
    </w:p>
    <w:p>
      <w:pPr>
        <w:snapToGrid w:val="0"/>
        <w:spacing w:beforeLines="50" w:after="50"/>
        <w:rPr>
          <w:rFonts w:ascii="宋体" w:hAnsi="宋体"/>
          <w:b/>
          <w:color w:val="auto"/>
          <w:sz w:val="24"/>
        </w:rPr>
      </w:pPr>
    </w:p>
    <w:p>
      <w:pPr>
        <w:snapToGrid w:val="0"/>
        <w:spacing w:beforeLines="50" w:after="50"/>
        <w:rPr>
          <w:rFonts w:ascii="宋体" w:hAnsi="宋体"/>
          <w:b/>
          <w:color w:val="auto"/>
          <w:sz w:val="24"/>
        </w:rPr>
      </w:pPr>
    </w:p>
    <w:p>
      <w:pPr>
        <w:snapToGrid w:val="0"/>
        <w:spacing w:beforeLines="50" w:after="50"/>
        <w:ind w:left="142"/>
        <w:jc w:val="left"/>
        <w:rPr>
          <w:rFonts w:ascii="宋体" w:hAnsi="宋体"/>
          <w:b/>
          <w:color w:val="auto"/>
          <w:sz w:val="24"/>
        </w:rPr>
      </w:pPr>
      <w:r>
        <w:rPr>
          <w:rFonts w:ascii="宋体" w:hAnsi="宋体"/>
          <w:b/>
          <w:color w:val="auto"/>
          <w:sz w:val="24"/>
        </w:rPr>
        <w:br w:type="page"/>
      </w:r>
      <w:r>
        <w:rPr>
          <w:rFonts w:hint="eastAsia" w:ascii="宋体" w:hAnsi="宋体"/>
          <w:b/>
          <w:color w:val="auto"/>
          <w:sz w:val="24"/>
        </w:rPr>
        <w:t>3. 投标函格式：</w:t>
      </w:r>
    </w:p>
    <w:p>
      <w:pPr>
        <w:snapToGrid w:val="0"/>
        <w:spacing w:beforeLines="50" w:after="50" w:line="320" w:lineRule="exact"/>
        <w:jc w:val="center"/>
        <w:rPr>
          <w:rFonts w:ascii="宋体" w:hAnsi="宋体"/>
          <w:b/>
          <w:color w:val="auto"/>
          <w:sz w:val="32"/>
          <w:szCs w:val="32"/>
        </w:rPr>
      </w:pPr>
      <w:r>
        <w:rPr>
          <w:rFonts w:hint="eastAsia" w:ascii="宋体" w:hAnsi="宋体"/>
          <w:b/>
          <w:color w:val="auto"/>
          <w:sz w:val="32"/>
          <w:szCs w:val="32"/>
        </w:rPr>
        <w:t>投 标 函</w:t>
      </w:r>
    </w:p>
    <w:p>
      <w:pPr>
        <w:snapToGrid w:val="0"/>
        <w:spacing w:beforeLines="50" w:after="50" w:line="320" w:lineRule="exact"/>
        <w:rPr>
          <w:rFonts w:ascii="宋体" w:hAnsi="宋体"/>
          <w:b/>
          <w:color w:val="auto"/>
          <w:sz w:val="24"/>
          <w:szCs w:val="20"/>
        </w:rPr>
      </w:pPr>
    </w:p>
    <w:p>
      <w:pPr>
        <w:snapToGrid w:val="0"/>
        <w:spacing w:line="440" w:lineRule="exact"/>
        <w:rPr>
          <w:rFonts w:ascii="宋体" w:hAnsi="宋体"/>
          <w:color w:val="auto"/>
          <w:sz w:val="24"/>
        </w:rPr>
      </w:pPr>
      <w:r>
        <w:rPr>
          <w:rFonts w:hint="eastAsia" w:ascii="宋体" w:hAnsi="宋体"/>
          <w:color w:val="auto"/>
          <w:sz w:val="24"/>
        </w:rPr>
        <w:t>致：</w:t>
      </w:r>
      <w:r>
        <w:rPr>
          <w:rFonts w:hint="eastAsia" w:ascii="宋体" w:hAnsi="宋体"/>
          <w:color w:val="auto"/>
          <w:sz w:val="24"/>
          <w:u w:val="single"/>
        </w:rPr>
        <w:t>采购人名称</w:t>
      </w:r>
      <w:r>
        <w:rPr>
          <w:rFonts w:hint="eastAsia" w:ascii="宋体" w:hAnsi="宋体"/>
          <w:color w:val="auto"/>
          <w:sz w:val="24"/>
        </w:rPr>
        <w:t>：</w:t>
      </w:r>
    </w:p>
    <w:p>
      <w:pPr>
        <w:snapToGrid w:val="0"/>
        <w:spacing w:line="440" w:lineRule="exact"/>
        <w:ind w:firstLine="480"/>
        <w:rPr>
          <w:rFonts w:ascii="宋体" w:hAnsi="宋体"/>
          <w:color w:val="auto"/>
          <w:sz w:val="24"/>
        </w:rPr>
      </w:pPr>
      <w:r>
        <w:rPr>
          <w:rFonts w:hint="eastAsia" w:ascii="宋体" w:hAnsi="宋体"/>
          <w:color w:val="auto"/>
          <w:sz w:val="24"/>
        </w:rPr>
        <w:t>根据贵方</w:t>
      </w:r>
      <w:r>
        <w:rPr>
          <w:rFonts w:hint="eastAsia" w:ascii="宋体" w:hAnsi="宋体"/>
          <w:color w:val="auto"/>
          <w:sz w:val="24"/>
          <w:u w:val="single"/>
        </w:rPr>
        <w:t xml:space="preserve"> 项目名称</w:t>
      </w:r>
      <w:r>
        <w:rPr>
          <w:rFonts w:hint="eastAsia" w:ascii="宋体" w:hAnsi="宋体"/>
          <w:color w:val="auto"/>
          <w:sz w:val="24"/>
        </w:rPr>
        <w:t>（项目编号：</w:t>
      </w:r>
      <w:r>
        <w:rPr>
          <w:rFonts w:hint="eastAsia" w:ascii="宋体" w:hAnsi="宋体"/>
          <w:color w:val="auto"/>
          <w:sz w:val="24"/>
          <w:u w:val="single"/>
        </w:rPr>
        <w:t>_____     _</w:t>
      </w:r>
      <w:r>
        <w:rPr>
          <w:rFonts w:hint="eastAsia" w:ascii="宋体" w:hAnsi="宋体"/>
          <w:color w:val="auto"/>
          <w:sz w:val="24"/>
        </w:rPr>
        <w:t>_）的招标公告，签字代表______</w:t>
      </w:r>
      <w:r>
        <w:rPr>
          <w:rFonts w:hint="eastAsia" w:ascii="宋体" w:hAnsi="宋体"/>
          <w:color w:val="auto"/>
          <w:sz w:val="24"/>
          <w:u w:val="single"/>
        </w:rPr>
        <w:t xml:space="preserve">_     </w:t>
      </w:r>
      <w:r>
        <w:rPr>
          <w:rFonts w:hint="eastAsia" w:ascii="宋体" w:hAnsi="宋体"/>
          <w:color w:val="auto"/>
          <w:sz w:val="24"/>
        </w:rPr>
        <w:t>（姓名）经正式授权并代表投标人</w:t>
      </w:r>
      <w:r>
        <w:rPr>
          <w:rFonts w:hint="eastAsia" w:ascii="宋体" w:hAnsi="宋体"/>
          <w:color w:val="auto"/>
          <w:sz w:val="24"/>
          <w:u w:val="single"/>
        </w:rPr>
        <w:t>_______                  __</w:t>
      </w:r>
      <w:r>
        <w:rPr>
          <w:rFonts w:hint="eastAsia" w:ascii="宋体" w:hAnsi="宋体"/>
          <w:color w:val="auto"/>
          <w:sz w:val="24"/>
        </w:rPr>
        <w:t>（投标人名称）提交投标文件。</w:t>
      </w:r>
    </w:p>
    <w:p>
      <w:pPr>
        <w:snapToGrid w:val="0"/>
        <w:spacing w:line="440" w:lineRule="exact"/>
        <w:ind w:firstLine="480" w:firstLineChars="200"/>
        <w:rPr>
          <w:rFonts w:ascii="宋体" w:hAnsi="宋体"/>
          <w:color w:val="auto"/>
          <w:sz w:val="24"/>
        </w:rPr>
      </w:pPr>
      <w:r>
        <w:rPr>
          <w:rFonts w:hint="eastAsia" w:ascii="宋体" w:hAnsi="宋体"/>
          <w:color w:val="auto"/>
          <w:sz w:val="24"/>
        </w:rPr>
        <w:t>据此函，我方宣布同意如下：</w:t>
      </w:r>
    </w:p>
    <w:p>
      <w:pPr>
        <w:snapToGrid w:val="0"/>
        <w:spacing w:line="440" w:lineRule="exact"/>
        <w:ind w:firstLine="480" w:firstLineChars="200"/>
        <w:rPr>
          <w:rFonts w:ascii="宋体" w:hAnsi="宋体"/>
          <w:color w:val="auto"/>
          <w:sz w:val="24"/>
        </w:rPr>
      </w:pPr>
      <w:r>
        <w:rPr>
          <w:rFonts w:hint="eastAsia" w:ascii="宋体" w:hAnsi="宋体"/>
          <w:color w:val="auto"/>
          <w:sz w:val="24"/>
        </w:rPr>
        <w:t>1.我方已详细审查全部“招标文件”，包括修改文件（如有的话）以及全部参考资料和有关附件，已经了解我方对于招标文件、采购过程、采购结果有依法进行询问、质疑、投诉的权利及相关渠道和要求。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440" w:lineRule="exact"/>
        <w:ind w:firstLine="480" w:firstLineChars="200"/>
        <w:rPr>
          <w:rFonts w:ascii="宋体" w:hAnsi="宋体"/>
          <w:color w:val="auto"/>
          <w:sz w:val="24"/>
        </w:rPr>
      </w:pPr>
      <w:r>
        <w:rPr>
          <w:rFonts w:hint="eastAsia" w:ascii="宋体" w:hAnsi="宋体"/>
          <w:color w:val="auto"/>
          <w:sz w:val="24"/>
        </w:rPr>
        <w:t>2.我方在投标之前已经完全理解并接受招标文件的各项规定和要求，对招标文件的合理性、合法性不再有异议。</w:t>
      </w:r>
    </w:p>
    <w:p>
      <w:pPr>
        <w:snapToGrid w:val="0"/>
        <w:spacing w:line="440" w:lineRule="exact"/>
        <w:ind w:firstLine="480" w:firstLineChars="200"/>
        <w:rPr>
          <w:rFonts w:ascii="宋体" w:hAnsi="宋体"/>
          <w:color w:val="auto"/>
          <w:sz w:val="24"/>
        </w:rPr>
      </w:pPr>
      <w:r>
        <w:rPr>
          <w:rFonts w:hint="eastAsia" w:ascii="宋体" w:hAnsi="宋体"/>
          <w:color w:val="auto"/>
          <w:sz w:val="24"/>
        </w:rPr>
        <w:t>3.本投标有效期自投标截止之日起</w:t>
      </w:r>
      <w:r>
        <w:rPr>
          <w:rFonts w:ascii="宋体" w:hAnsi="宋体"/>
          <w:color w:val="auto"/>
          <w:sz w:val="24"/>
          <w:u w:val="single"/>
        </w:rPr>
        <w:t xml:space="preserve">    </w:t>
      </w:r>
      <w:r>
        <w:rPr>
          <w:rFonts w:hint="eastAsia" w:ascii="宋体" w:hAnsi="宋体"/>
          <w:color w:val="auto"/>
          <w:sz w:val="24"/>
        </w:rPr>
        <w:t>日。</w:t>
      </w:r>
    </w:p>
    <w:p>
      <w:pPr>
        <w:snapToGrid w:val="0"/>
        <w:spacing w:line="440" w:lineRule="exact"/>
        <w:ind w:firstLine="480" w:firstLineChars="200"/>
        <w:rPr>
          <w:rFonts w:ascii="宋体" w:hAnsi="宋体"/>
          <w:color w:val="auto"/>
          <w:sz w:val="24"/>
        </w:rPr>
      </w:pPr>
      <w:r>
        <w:rPr>
          <w:rFonts w:hint="eastAsia" w:ascii="宋体" w:hAnsi="宋体"/>
          <w:color w:val="auto"/>
          <w:sz w:val="24"/>
        </w:rPr>
        <w:t>4.如中标，本投标文件至本项目合同履行完毕止均保持有效，我方将按“招标文件”及政府采购法律、法规的规定履行合同责任和义务。</w:t>
      </w:r>
    </w:p>
    <w:p>
      <w:pPr>
        <w:snapToGrid w:val="0"/>
        <w:spacing w:line="440" w:lineRule="exact"/>
        <w:ind w:firstLine="480" w:firstLineChars="200"/>
        <w:rPr>
          <w:rFonts w:ascii="宋体" w:hAnsi="宋体"/>
          <w:color w:val="auto"/>
          <w:sz w:val="24"/>
        </w:rPr>
      </w:pPr>
      <w:r>
        <w:rPr>
          <w:rFonts w:hint="eastAsia" w:ascii="宋体" w:hAnsi="宋体"/>
          <w:color w:val="auto"/>
          <w:sz w:val="24"/>
        </w:rPr>
        <w:t>5.我方同意按照贵方要求提供与投标有关的一切数据或者资料。</w:t>
      </w:r>
    </w:p>
    <w:p>
      <w:pPr>
        <w:snapToGrid w:val="0"/>
        <w:spacing w:line="440" w:lineRule="exact"/>
        <w:ind w:firstLine="480" w:firstLineChars="200"/>
        <w:rPr>
          <w:rFonts w:ascii="宋体" w:hAnsi="宋体"/>
          <w:color w:val="auto"/>
          <w:sz w:val="24"/>
        </w:rPr>
      </w:pPr>
      <w:r>
        <w:rPr>
          <w:rFonts w:hint="eastAsia" w:ascii="宋体" w:hAnsi="宋体"/>
          <w:color w:val="auto"/>
          <w:sz w:val="24"/>
        </w:rPr>
        <w:t>6.我方向贵方提交的所有投标文件、资料都是准确的和真实的。</w:t>
      </w:r>
    </w:p>
    <w:p>
      <w:pPr>
        <w:snapToGrid w:val="0"/>
        <w:spacing w:line="440" w:lineRule="exact"/>
        <w:ind w:firstLine="480" w:firstLineChars="200"/>
        <w:rPr>
          <w:rFonts w:ascii="宋体" w:hAnsi="宋体"/>
          <w:color w:val="auto"/>
          <w:sz w:val="24"/>
        </w:rPr>
      </w:pPr>
      <w:r>
        <w:rPr>
          <w:rFonts w:hint="eastAsia" w:ascii="宋体" w:hAnsi="宋体"/>
          <w:color w:val="auto"/>
          <w:sz w:val="24"/>
        </w:rPr>
        <w:t>7.以上事项如有虚假或者隐瞒，我方愿意承担一切后果，并不再寻求任何旨在减轻或者免除法律责任的辩解。</w:t>
      </w:r>
    </w:p>
    <w:p>
      <w:pPr>
        <w:spacing w:line="440" w:lineRule="exact"/>
        <w:ind w:firstLine="480" w:firstLineChars="200"/>
        <w:rPr>
          <w:rFonts w:ascii="宋体" w:hAnsi="宋体"/>
          <w:color w:val="auto"/>
          <w:sz w:val="24"/>
        </w:rPr>
      </w:pPr>
      <w:r>
        <w:rPr>
          <w:rFonts w:hint="eastAsia" w:ascii="宋体" w:hAnsi="宋体"/>
          <w:color w:val="auto"/>
          <w:sz w:val="24"/>
        </w:rPr>
        <w:t>8.根据</w:t>
      </w:r>
      <w:r>
        <w:rPr>
          <w:rFonts w:ascii="宋体" w:hAnsi="宋体"/>
          <w:color w:val="auto"/>
          <w:sz w:val="24"/>
        </w:rPr>
        <w:t>《中华人民共和国政府采购法实施条例》第五十条要求对政府采购合同进行公告</w:t>
      </w:r>
      <w:r>
        <w:rPr>
          <w:rFonts w:hint="eastAsia" w:ascii="宋体" w:hAnsi="宋体"/>
          <w:color w:val="auto"/>
          <w:sz w:val="24"/>
        </w:rPr>
        <w:t>，</w:t>
      </w:r>
      <w:r>
        <w:rPr>
          <w:rFonts w:ascii="宋体" w:hAnsi="宋体"/>
          <w:color w:val="auto"/>
          <w:sz w:val="24"/>
        </w:rPr>
        <w:t>但政府采购合同中涉及国家秘密、商业秘密的内容除外。</w:t>
      </w:r>
      <w:r>
        <w:rPr>
          <w:rFonts w:hint="eastAsia" w:ascii="宋体" w:hAnsi="宋体"/>
          <w:color w:val="auto"/>
          <w:sz w:val="24"/>
        </w:rPr>
        <w:t>我方就对本次投标文件进行注明如下：（两项内容中必须选择一项）</w:t>
      </w:r>
    </w:p>
    <w:p>
      <w:pPr>
        <w:spacing w:line="440" w:lineRule="exact"/>
        <w:ind w:firstLine="480" w:firstLineChars="200"/>
        <w:rPr>
          <w:rFonts w:ascii="宋体" w:hAnsi="宋体"/>
          <w:color w:val="auto"/>
          <w:sz w:val="24"/>
        </w:rPr>
      </w:pPr>
      <w:r>
        <w:rPr>
          <w:rFonts w:hint="eastAsia" w:ascii="宋体" w:hAnsi="宋体"/>
          <w:color w:val="auto"/>
          <w:sz w:val="24"/>
        </w:rPr>
        <w:t>□我方本次投标文件</w:t>
      </w:r>
      <w:r>
        <w:rPr>
          <w:rFonts w:ascii="宋体" w:hAnsi="宋体" w:cs="宋体"/>
          <w:color w:val="auto"/>
          <w:kern w:val="0"/>
          <w:sz w:val="24"/>
        </w:rPr>
        <w:t>内容中</w:t>
      </w:r>
      <w:r>
        <w:rPr>
          <w:rFonts w:hint="eastAsia" w:ascii="宋体" w:hAnsi="宋体"/>
          <w:color w:val="auto"/>
          <w:sz w:val="24"/>
        </w:rPr>
        <w:t>未</w:t>
      </w:r>
      <w:r>
        <w:rPr>
          <w:rFonts w:ascii="宋体" w:hAnsi="宋体" w:cs="宋体"/>
          <w:color w:val="auto"/>
          <w:kern w:val="0"/>
          <w:sz w:val="24"/>
        </w:rPr>
        <w:t>涉及商业秘密</w:t>
      </w:r>
      <w:r>
        <w:rPr>
          <w:rFonts w:hint="eastAsia" w:ascii="宋体" w:hAnsi="宋体" w:cs="宋体"/>
          <w:color w:val="auto"/>
          <w:kern w:val="0"/>
          <w:sz w:val="24"/>
        </w:rPr>
        <w:t>；</w:t>
      </w:r>
    </w:p>
    <w:p>
      <w:pPr>
        <w:snapToGrid w:val="0"/>
        <w:spacing w:line="440" w:lineRule="exact"/>
        <w:ind w:firstLine="480" w:firstLineChars="200"/>
        <w:rPr>
          <w:rFonts w:ascii="宋体" w:hAnsi="宋体"/>
          <w:color w:val="auto"/>
          <w:sz w:val="24"/>
        </w:rPr>
      </w:pPr>
      <w:r>
        <w:rPr>
          <w:rFonts w:hint="eastAsia" w:ascii="宋体" w:hAnsi="宋体"/>
          <w:color w:val="auto"/>
          <w:sz w:val="24"/>
        </w:rPr>
        <w:t>□我方本次投标文件</w:t>
      </w:r>
      <w:r>
        <w:rPr>
          <w:rFonts w:ascii="宋体" w:hAnsi="宋体" w:cs="宋体"/>
          <w:color w:val="auto"/>
          <w:kern w:val="0"/>
          <w:sz w:val="24"/>
        </w:rPr>
        <w:t>涉及商业秘密</w:t>
      </w:r>
      <w:r>
        <w:rPr>
          <w:rFonts w:hint="eastAsia" w:ascii="宋体" w:hAnsi="宋体" w:cs="宋体"/>
          <w:color w:val="auto"/>
          <w:kern w:val="0"/>
          <w:sz w:val="24"/>
        </w:rPr>
        <w:t>的</w:t>
      </w:r>
      <w:r>
        <w:rPr>
          <w:rFonts w:ascii="宋体" w:hAnsi="宋体" w:cs="宋体"/>
          <w:color w:val="auto"/>
          <w:kern w:val="0"/>
          <w:sz w:val="24"/>
        </w:rPr>
        <w:t>内容</w:t>
      </w:r>
      <w:r>
        <w:rPr>
          <w:rFonts w:hint="eastAsia" w:ascii="宋体" w:hAnsi="宋体" w:cs="宋体"/>
          <w:color w:val="auto"/>
          <w:kern w:val="0"/>
          <w:sz w:val="24"/>
        </w:rPr>
        <w:t>有：</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snapToGrid w:val="0"/>
        <w:spacing w:line="440" w:lineRule="exact"/>
        <w:ind w:firstLine="480" w:firstLineChars="200"/>
        <w:rPr>
          <w:rFonts w:ascii="宋体" w:hAnsi="宋体"/>
          <w:color w:val="auto"/>
          <w:sz w:val="24"/>
        </w:rPr>
      </w:pPr>
      <w:r>
        <w:rPr>
          <w:rFonts w:hint="eastAsia" w:ascii="宋体" w:hAnsi="宋体"/>
          <w:color w:val="auto"/>
          <w:sz w:val="24"/>
        </w:rPr>
        <w:t>9.与本投标有关的一切正式往来信函请寄：</w:t>
      </w:r>
    </w:p>
    <w:p>
      <w:pPr>
        <w:snapToGrid w:val="0"/>
        <w:spacing w:line="440" w:lineRule="exact"/>
        <w:rPr>
          <w:rFonts w:ascii="宋体" w:hAnsi="宋体"/>
          <w:color w:val="auto"/>
          <w:sz w:val="24"/>
          <w:u w:val="single"/>
        </w:rPr>
      </w:pPr>
      <w:r>
        <w:rPr>
          <w:rFonts w:hint="eastAsia" w:ascii="宋体" w:hAnsi="宋体"/>
          <w:color w:val="auto"/>
          <w:sz w:val="24"/>
        </w:rPr>
        <w:t>地址：</w:t>
      </w:r>
      <w:r>
        <w:rPr>
          <w:rFonts w:hint="eastAsia" w:ascii="宋体" w:hAnsi="宋体"/>
          <w:color w:val="auto"/>
          <w:sz w:val="24"/>
          <w:u w:val="single"/>
        </w:rPr>
        <w:t xml:space="preserve">          </w:t>
      </w:r>
      <w:r>
        <w:rPr>
          <w:rFonts w:hint="eastAsia" w:ascii="宋体" w:hAnsi="宋体"/>
          <w:color w:val="auto"/>
          <w:sz w:val="24"/>
        </w:rPr>
        <w:t>邮编：</w:t>
      </w:r>
      <w:r>
        <w:rPr>
          <w:rFonts w:hint="eastAsia" w:ascii="宋体" w:hAnsi="宋体"/>
          <w:color w:val="auto"/>
          <w:sz w:val="24"/>
          <w:u w:val="single"/>
        </w:rPr>
        <w:t xml:space="preserve">            </w:t>
      </w:r>
    </w:p>
    <w:p>
      <w:pPr>
        <w:snapToGrid w:val="0"/>
        <w:spacing w:line="440" w:lineRule="exact"/>
        <w:rPr>
          <w:rFonts w:ascii="宋体" w:hAnsi="宋体"/>
          <w:color w:val="auto"/>
          <w:sz w:val="24"/>
        </w:rPr>
      </w:pPr>
      <w:r>
        <w:rPr>
          <w:rFonts w:hint="eastAsia" w:ascii="宋体" w:hAnsi="宋体"/>
          <w:color w:val="auto"/>
          <w:sz w:val="24"/>
        </w:rPr>
        <w:t>电话：</w:t>
      </w:r>
      <w:r>
        <w:rPr>
          <w:rFonts w:hint="eastAsia" w:ascii="宋体" w:hAnsi="宋体"/>
          <w:color w:val="auto"/>
          <w:sz w:val="24"/>
          <w:u w:val="single"/>
        </w:rPr>
        <w:t xml:space="preserve">        </w:t>
      </w:r>
      <w:r>
        <w:rPr>
          <w:rFonts w:hint="eastAsia" w:ascii="宋体" w:hAnsi="宋体"/>
          <w:color w:val="auto"/>
          <w:sz w:val="24"/>
        </w:rPr>
        <w:t>传真：</w:t>
      </w:r>
      <w:r>
        <w:rPr>
          <w:rFonts w:hint="eastAsia" w:ascii="宋体" w:hAnsi="宋体"/>
          <w:color w:val="auto"/>
          <w:sz w:val="24"/>
          <w:u w:val="single"/>
        </w:rPr>
        <w:t xml:space="preserve">          </w:t>
      </w:r>
    </w:p>
    <w:p>
      <w:pPr>
        <w:snapToGrid w:val="0"/>
        <w:spacing w:line="440" w:lineRule="exact"/>
        <w:rPr>
          <w:rFonts w:ascii="宋体" w:hAnsi="宋体"/>
          <w:color w:val="auto"/>
          <w:sz w:val="24"/>
        </w:rPr>
      </w:pPr>
      <w:r>
        <w:rPr>
          <w:rFonts w:hint="eastAsia" w:ascii="宋体" w:hAnsi="宋体"/>
          <w:color w:val="auto"/>
          <w:sz w:val="24"/>
        </w:rPr>
        <w:t>投标人名称:</w:t>
      </w:r>
      <w:r>
        <w:rPr>
          <w:rFonts w:hint="eastAsia" w:ascii="宋体" w:hAnsi="宋体"/>
          <w:color w:val="auto"/>
          <w:sz w:val="24"/>
          <w:u w:val="single"/>
        </w:rPr>
        <w:t xml:space="preserve">                </w:t>
      </w:r>
    </w:p>
    <w:p>
      <w:pPr>
        <w:snapToGrid w:val="0"/>
        <w:spacing w:line="440" w:lineRule="exact"/>
        <w:jc w:val="left"/>
        <w:rPr>
          <w:rFonts w:ascii="宋体" w:hAnsi="宋体"/>
          <w:color w:val="auto"/>
          <w:sz w:val="24"/>
        </w:rPr>
      </w:pPr>
      <w:r>
        <w:rPr>
          <w:rFonts w:hint="eastAsia" w:ascii="宋体" w:hAnsi="宋体"/>
          <w:color w:val="auto"/>
          <w:sz w:val="24"/>
        </w:rPr>
        <w:t>开户银行：</w:t>
      </w:r>
      <w:r>
        <w:rPr>
          <w:rFonts w:hint="eastAsia" w:ascii="宋体" w:hAnsi="宋体"/>
          <w:color w:val="auto"/>
          <w:sz w:val="24"/>
          <w:u w:val="single"/>
        </w:rPr>
        <w:t xml:space="preserve">                      </w:t>
      </w:r>
      <w:r>
        <w:rPr>
          <w:rFonts w:hint="eastAsia" w:ascii="宋体" w:hAnsi="宋体"/>
          <w:color w:val="auto"/>
          <w:sz w:val="24"/>
        </w:rPr>
        <w:t xml:space="preserve">   银行帐号：</w:t>
      </w:r>
      <w:r>
        <w:rPr>
          <w:rFonts w:hint="eastAsia" w:ascii="宋体" w:hAnsi="宋体"/>
          <w:color w:val="auto"/>
          <w:sz w:val="24"/>
          <w:u w:val="single"/>
        </w:rPr>
        <w:t xml:space="preserve">                    </w:t>
      </w:r>
      <w:r>
        <w:rPr>
          <w:rFonts w:hint="eastAsia" w:ascii="宋体" w:hAnsi="宋体"/>
          <w:color w:val="auto"/>
          <w:sz w:val="24"/>
        </w:rPr>
        <w:t xml:space="preserve"> </w:t>
      </w:r>
    </w:p>
    <w:p>
      <w:pPr>
        <w:snapToGrid w:val="0"/>
        <w:spacing w:line="440" w:lineRule="exact"/>
        <w:jc w:val="left"/>
        <w:rPr>
          <w:rFonts w:ascii="宋体" w:hAnsi="宋体"/>
          <w:color w:val="auto"/>
          <w:sz w:val="24"/>
        </w:rPr>
      </w:pPr>
      <w:r>
        <w:rPr>
          <w:rFonts w:hint="eastAsia" w:ascii="宋体" w:hAnsi="宋体"/>
          <w:color w:val="auto"/>
          <w:sz w:val="24"/>
        </w:rPr>
        <w:t xml:space="preserve">法定代表人或者委托代理人签字:___________ </w:t>
      </w:r>
    </w:p>
    <w:p>
      <w:pPr>
        <w:pStyle w:val="18"/>
        <w:snapToGrid w:val="0"/>
        <w:spacing w:line="440" w:lineRule="exact"/>
        <w:jc w:val="center"/>
        <w:rPr>
          <w:rFonts w:hAnsi="宋体"/>
          <w:color w:val="auto"/>
          <w:sz w:val="24"/>
          <w:szCs w:val="24"/>
          <w:u w:val="single"/>
        </w:rPr>
      </w:pPr>
      <w:r>
        <w:rPr>
          <w:rFonts w:hint="eastAsia" w:hAnsi="宋体"/>
          <w:color w:val="auto"/>
          <w:sz w:val="24"/>
        </w:rPr>
        <w:t xml:space="preserve"> </w:t>
      </w:r>
      <w:r>
        <w:rPr>
          <w:rFonts w:hAnsi="宋体"/>
          <w:color w:val="auto"/>
          <w:sz w:val="24"/>
        </w:rPr>
        <w:t xml:space="preserve">                              </w:t>
      </w:r>
      <w:r>
        <w:rPr>
          <w:rFonts w:hint="eastAsia" w:hAnsi="宋体"/>
          <w:color w:val="auto"/>
          <w:sz w:val="24"/>
        </w:rPr>
        <w:t>投标人名称（电子签章）：</w:t>
      </w:r>
    </w:p>
    <w:p>
      <w:pPr>
        <w:pStyle w:val="18"/>
        <w:snapToGrid w:val="0"/>
        <w:spacing w:line="440" w:lineRule="exact"/>
        <w:rPr>
          <w:rFonts w:hAnsi="宋体"/>
          <w:color w:val="auto"/>
          <w:sz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snapToGrid w:val="0"/>
        <w:spacing w:beforeLines="50" w:after="50"/>
        <w:jc w:val="left"/>
        <w:rPr>
          <w:rFonts w:hAnsi="宋体"/>
          <w:color w:val="auto"/>
          <w:u w:val="single"/>
        </w:rPr>
        <w:sectPr>
          <w:footerReference r:id="rId8" w:type="first"/>
          <w:headerReference r:id="rId5" w:type="default"/>
          <w:footerReference r:id="rId6" w:type="default"/>
          <w:footerReference r:id="rId7" w:type="even"/>
          <w:pgSz w:w="11906" w:h="16838"/>
          <w:pgMar w:top="1134" w:right="1134" w:bottom="1134" w:left="1134" w:header="851" w:footer="992" w:gutter="0"/>
          <w:cols w:space="720" w:num="1"/>
          <w:titlePg/>
          <w:docGrid w:linePitch="312" w:charSpace="0"/>
        </w:sectPr>
      </w:pPr>
    </w:p>
    <w:p>
      <w:pPr>
        <w:snapToGrid w:val="0"/>
        <w:spacing w:beforeLines="50" w:after="50"/>
        <w:jc w:val="left"/>
        <w:rPr>
          <w:rFonts w:ascii="宋体" w:hAnsi="宋体"/>
          <w:b/>
          <w:color w:val="auto"/>
          <w:sz w:val="24"/>
          <w:szCs w:val="20"/>
        </w:rPr>
      </w:pPr>
      <w:r>
        <w:rPr>
          <w:rFonts w:hint="eastAsia" w:ascii="宋体" w:hAnsi="宋体"/>
          <w:b/>
          <w:color w:val="auto"/>
          <w:sz w:val="24"/>
        </w:rPr>
        <w:t>4. 投标报价明细表（货物类格式）</w:t>
      </w:r>
    </w:p>
    <w:p>
      <w:pPr>
        <w:jc w:val="center"/>
        <w:rPr>
          <w:rFonts w:ascii="宋体" w:hAnsi="宋体"/>
          <w:b/>
          <w:color w:val="auto"/>
          <w:sz w:val="36"/>
          <w:szCs w:val="36"/>
        </w:rPr>
      </w:pPr>
    </w:p>
    <w:p>
      <w:pPr>
        <w:jc w:val="center"/>
        <w:rPr>
          <w:rFonts w:ascii="宋体" w:hAnsi="宋体"/>
          <w:b/>
          <w:color w:val="auto"/>
          <w:sz w:val="36"/>
          <w:szCs w:val="36"/>
        </w:rPr>
      </w:pPr>
    </w:p>
    <w:p>
      <w:pPr>
        <w:jc w:val="center"/>
        <w:rPr>
          <w:rFonts w:ascii="宋体" w:hAnsi="宋体"/>
          <w:b/>
          <w:color w:val="auto"/>
          <w:sz w:val="36"/>
          <w:szCs w:val="36"/>
        </w:rPr>
      </w:pPr>
      <w:r>
        <w:rPr>
          <w:rFonts w:hint="eastAsia" w:ascii="宋体" w:hAnsi="宋体"/>
          <w:b/>
          <w:color w:val="auto"/>
          <w:sz w:val="36"/>
          <w:szCs w:val="36"/>
        </w:rPr>
        <w:t>投标报价明细表</w:t>
      </w:r>
    </w:p>
    <w:p>
      <w:pPr>
        <w:rPr>
          <w:rFonts w:ascii="宋体" w:hAnsi="宋体"/>
          <w:color w:val="auto"/>
          <w:sz w:val="24"/>
        </w:rPr>
      </w:pPr>
      <w:r>
        <w:rPr>
          <w:rFonts w:hint="eastAsia" w:ascii="宋体" w:hAnsi="宋体"/>
          <w:color w:val="auto"/>
          <w:sz w:val="24"/>
        </w:rPr>
        <w:t xml:space="preserve">  分标号：  </w:t>
      </w:r>
      <w:r>
        <w:rPr>
          <w:rFonts w:hint="eastAsia" w:ascii="宋体" w:hAnsi="宋体"/>
          <w:color w:val="auto"/>
          <w:sz w:val="24"/>
          <w:u w:val="single"/>
        </w:rPr>
        <w:t xml:space="preserve">           </w:t>
      </w:r>
      <w:r>
        <w:rPr>
          <w:rFonts w:hint="eastAsia" w:ascii="宋体" w:hAnsi="宋体"/>
          <w:color w:val="auto"/>
          <w:sz w:val="24"/>
        </w:rPr>
        <w:t xml:space="preserve">                            金额单位：人民币（元）</w:t>
      </w:r>
    </w:p>
    <w:p>
      <w:pPr>
        <w:rPr>
          <w:rFonts w:ascii="宋体" w:hAnsi="宋体"/>
          <w:color w:val="auto"/>
          <w:sz w:val="24"/>
        </w:rPr>
      </w:pP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1"/>
        <w:gridCol w:w="1418"/>
        <w:gridCol w:w="1559"/>
        <w:gridCol w:w="709"/>
        <w:gridCol w:w="1417"/>
        <w:gridCol w:w="1558"/>
        <w:gridCol w:w="727"/>
        <w:gridCol w:w="13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7"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rPr>
            </w:pPr>
            <w:r>
              <w:rPr>
                <w:rFonts w:hint="eastAsia" w:ascii="宋体" w:hAnsi="宋体"/>
                <w:b/>
                <w:color w:val="auto"/>
                <w:sz w:val="24"/>
              </w:rPr>
              <w:t>项号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rPr>
            </w:pPr>
            <w:r>
              <w:rPr>
                <w:rFonts w:hint="eastAsia" w:ascii="宋体" w:hAnsi="宋体"/>
                <w:b/>
                <w:color w:val="auto"/>
                <w:sz w:val="24"/>
              </w:rPr>
              <w:t>货物名称</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rPr>
            </w:pPr>
            <w:r>
              <w:rPr>
                <w:rFonts w:hint="eastAsia" w:ascii="宋体" w:hAnsi="宋体"/>
                <w:b/>
                <w:color w:val="auto"/>
                <w:sz w:val="24"/>
              </w:rPr>
              <w:t>数量（单位）</w:t>
            </w:r>
          </w:p>
          <w:p>
            <w:pPr>
              <w:jc w:val="center"/>
              <w:rPr>
                <w:rFonts w:ascii="宋体" w:hAnsi="宋体"/>
                <w:b/>
                <w:color w:val="auto"/>
                <w:sz w:val="24"/>
              </w:rPr>
            </w:pPr>
            <w:r>
              <w:rPr>
                <w:rFonts w:hint="eastAsia" w:ascii="宋体" w:hAnsi="宋体"/>
                <w:b/>
                <w:color w:val="auto"/>
                <w:sz w:val="24"/>
              </w:rPr>
              <w:t>①</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rPr>
            </w:pPr>
            <w:r>
              <w:rPr>
                <w:rFonts w:hint="eastAsia" w:ascii="宋体" w:hAnsi="宋体"/>
                <w:b/>
                <w:color w:val="auto"/>
                <w:sz w:val="24"/>
              </w:rPr>
              <w:t>产地</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rPr>
            </w:pPr>
            <w:r>
              <w:rPr>
                <w:rFonts w:hint="eastAsia" w:ascii="宋体" w:hAnsi="宋体"/>
                <w:b/>
                <w:color w:val="auto"/>
                <w:sz w:val="24"/>
              </w:rPr>
              <w:t>品牌、</w:t>
            </w:r>
          </w:p>
          <w:p>
            <w:pPr>
              <w:jc w:val="center"/>
              <w:rPr>
                <w:rFonts w:ascii="宋体" w:hAnsi="宋体"/>
                <w:b/>
                <w:color w:val="auto"/>
                <w:sz w:val="24"/>
              </w:rPr>
            </w:pPr>
            <w:r>
              <w:rPr>
                <w:rFonts w:hint="eastAsia" w:ascii="宋体" w:hAnsi="宋体"/>
                <w:b/>
                <w:color w:val="auto"/>
                <w:sz w:val="24"/>
              </w:rPr>
              <w:t>规格型号</w:t>
            </w: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rPr>
            </w:pPr>
            <w:r>
              <w:rPr>
                <w:rFonts w:hint="eastAsia" w:ascii="宋体" w:hAnsi="宋体"/>
                <w:b/>
                <w:color w:val="auto"/>
                <w:sz w:val="24"/>
              </w:rPr>
              <w:t>生产厂家</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rPr>
            </w:pPr>
            <w:r>
              <w:rPr>
                <w:rFonts w:hint="eastAsia" w:ascii="宋体" w:hAnsi="宋体"/>
                <w:b/>
                <w:color w:val="auto"/>
                <w:sz w:val="24"/>
              </w:rPr>
              <w:t>单价</w:t>
            </w:r>
          </w:p>
          <w:p>
            <w:pPr>
              <w:jc w:val="center"/>
              <w:rPr>
                <w:rFonts w:ascii="宋体" w:hAnsi="宋体"/>
                <w:b/>
                <w:color w:val="auto"/>
                <w:sz w:val="24"/>
              </w:rPr>
            </w:pPr>
            <w:r>
              <w:rPr>
                <w:rFonts w:hint="eastAsia" w:ascii="宋体" w:hAnsi="宋体"/>
                <w:b/>
                <w:color w:val="auto"/>
                <w:sz w:val="24"/>
              </w:rPr>
              <w:t>②</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rPr>
            </w:pPr>
            <w:r>
              <w:rPr>
                <w:rFonts w:hint="eastAsia" w:ascii="宋体" w:hAnsi="宋体"/>
                <w:b/>
                <w:color w:val="auto"/>
                <w:sz w:val="24"/>
              </w:rPr>
              <w:t>投标报价</w:t>
            </w:r>
          </w:p>
          <w:p>
            <w:pPr>
              <w:jc w:val="center"/>
              <w:rPr>
                <w:rFonts w:ascii="宋体" w:hAnsi="宋体"/>
                <w:b/>
                <w:color w:val="auto"/>
                <w:sz w:val="24"/>
              </w:rPr>
            </w:pPr>
            <w:r>
              <w:rPr>
                <w:rFonts w:hint="eastAsia" w:ascii="宋体" w:hAnsi="宋体"/>
                <w:b/>
                <w:color w:val="auto"/>
                <w:sz w:val="24"/>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Cs w:val="21"/>
              </w:rPr>
            </w:pPr>
            <w:r>
              <w:rPr>
                <w:rFonts w:hint="eastAsia" w:ascii="宋体" w:hAnsi="宋体" w:cs="宋体"/>
                <w:color w:val="auto"/>
                <w:kern w:val="0"/>
                <w:szCs w:val="21"/>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rPr>
            </w:pPr>
          </w:p>
        </w:tc>
        <w:tc>
          <w:tcPr>
            <w:tcW w:w="155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rPr>
            </w:pPr>
          </w:p>
        </w:tc>
        <w:tc>
          <w:tcPr>
            <w:tcW w:w="7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rPr>
            </w:pPr>
          </w:p>
        </w:tc>
        <w:tc>
          <w:tcPr>
            <w:tcW w:w="138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Cs w:val="21"/>
              </w:rPr>
            </w:pPr>
            <w:r>
              <w:rPr>
                <w:rFonts w:hint="eastAsia" w:ascii="宋体" w:hAnsi="宋体" w:cs="宋体"/>
                <w:color w:val="auto"/>
                <w:kern w:val="0"/>
                <w:szCs w:val="21"/>
              </w:rPr>
              <w:t>2</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rPr>
            </w:pPr>
          </w:p>
        </w:tc>
        <w:tc>
          <w:tcPr>
            <w:tcW w:w="155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rPr>
            </w:pPr>
          </w:p>
        </w:tc>
        <w:tc>
          <w:tcPr>
            <w:tcW w:w="7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rPr>
            </w:pPr>
          </w:p>
        </w:tc>
        <w:tc>
          <w:tcPr>
            <w:tcW w:w="138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Cs w:val="21"/>
              </w:rPr>
            </w:pPr>
            <w:r>
              <w:rPr>
                <w:rFonts w:hint="eastAsia" w:ascii="宋体" w:hAnsi="宋体" w:cs="宋体"/>
                <w:color w:val="auto"/>
                <w:kern w:val="0"/>
                <w:szCs w:val="21"/>
              </w:rPr>
              <w:t>3</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rPr>
            </w:pPr>
          </w:p>
        </w:tc>
        <w:tc>
          <w:tcPr>
            <w:tcW w:w="155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rPr>
            </w:pPr>
          </w:p>
        </w:tc>
        <w:tc>
          <w:tcPr>
            <w:tcW w:w="7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rPr>
            </w:pPr>
          </w:p>
        </w:tc>
        <w:tc>
          <w:tcPr>
            <w:tcW w:w="138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Cs w:val="21"/>
              </w:rPr>
            </w:pPr>
            <w:r>
              <w:rPr>
                <w:rFonts w:ascii="宋体" w:hAnsi="宋体" w:cs="宋体"/>
                <w:color w:val="auto"/>
                <w:kern w:val="0"/>
                <w:szCs w:val="21"/>
              </w:rPr>
              <w:t>……</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rPr>
            </w:pPr>
          </w:p>
        </w:tc>
        <w:tc>
          <w:tcPr>
            <w:tcW w:w="155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rPr>
            </w:pPr>
          </w:p>
        </w:tc>
        <w:tc>
          <w:tcPr>
            <w:tcW w:w="7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rPr>
            </w:pPr>
          </w:p>
        </w:tc>
        <w:tc>
          <w:tcPr>
            <w:tcW w:w="138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Cs w:val="21"/>
              </w:rPr>
            </w:pPr>
            <w:r>
              <w:rPr>
                <w:rFonts w:hint="eastAsia" w:ascii="宋体" w:hAnsi="宋体" w:cs="宋体"/>
                <w:color w:val="auto"/>
                <w:kern w:val="0"/>
                <w:szCs w:val="21"/>
              </w:rPr>
              <w:t>N</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rPr>
            </w:pPr>
          </w:p>
        </w:tc>
        <w:tc>
          <w:tcPr>
            <w:tcW w:w="155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rPr>
            </w:pPr>
          </w:p>
        </w:tc>
        <w:tc>
          <w:tcPr>
            <w:tcW w:w="7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rPr>
            </w:pPr>
          </w:p>
        </w:tc>
        <w:tc>
          <w:tcPr>
            <w:tcW w:w="138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618"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color w:val="auto"/>
                <w:spacing w:val="20"/>
                <w:sz w:val="24"/>
              </w:rPr>
            </w:pPr>
            <w:r>
              <w:rPr>
                <w:rFonts w:hint="eastAsia" w:ascii="宋体" w:hAnsi="宋体"/>
                <w:color w:val="auto"/>
                <w:sz w:val="24"/>
              </w:rPr>
              <w:t>合计总金额</w:t>
            </w:r>
            <w:r>
              <w:rPr>
                <w:rFonts w:hint="eastAsia" w:ascii="宋体" w:hAnsi="宋体"/>
                <w:color w:val="auto"/>
                <w:spacing w:val="20"/>
                <w:sz w:val="24"/>
              </w:rPr>
              <w:t>（</w:t>
            </w:r>
            <w:r>
              <w:rPr>
                <w:rFonts w:hint="eastAsia" w:ascii="宋体" w:hAnsi="宋体"/>
                <w:color w:val="auto"/>
                <w:sz w:val="24"/>
              </w:rPr>
              <w:t>大写）：</w:t>
            </w:r>
            <w:r>
              <w:rPr>
                <w:rFonts w:hint="eastAsia" w:ascii="宋体" w:hAnsi="宋体"/>
                <w:color w:val="auto"/>
                <w:spacing w:val="20"/>
                <w:sz w:val="24"/>
                <w:u w:val="single"/>
              </w:rPr>
              <w:t>人民币</w:t>
            </w:r>
            <w:r>
              <w:rPr>
                <w:rFonts w:hint="eastAsia" w:ascii="宋体" w:hAnsi="宋体"/>
                <w:color w:val="auto"/>
                <w:sz w:val="24"/>
                <w:u w:val="single"/>
              </w:rPr>
              <w:t xml:space="preserve">                     元整</w:t>
            </w:r>
            <w:r>
              <w:rPr>
                <w:rFonts w:hint="eastAsia" w:ascii="宋体" w:hAnsi="宋体"/>
                <w:color w:val="auto"/>
                <w:spacing w:val="20"/>
                <w:sz w:val="24"/>
                <w:u w:val="single"/>
              </w:rPr>
              <w:t xml:space="preserve">（¥               </w:t>
            </w:r>
            <w:r>
              <w:rPr>
                <w:rFonts w:hint="eastAsia" w:ascii="宋体" w:hAnsi="宋体"/>
                <w:color w:val="auto"/>
                <w:spacing w:val="2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618"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rPr>
            </w:pPr>
            <w:r>
              <w:rPr>
                <w:rFonts w:hint="eastAsia" w:ascii="宋体" w:hAnsi="宋体"/>
                <w:bCs/>
                <w:color w:val="auto"/>
                <w:kern w:val="0"/>
                <w:sz w:val="24"/>
              </w:rPr>
              <w:t>交货时间</w:t>
            </w:r>
            <w:r>
              <w:rPr>
                <w:rFonts w:hint="eastAsia" w:ascii="宋体" w:hAnsi="宋体"/>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618"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bCs/>
                <w:color w:val="auto"/>
                <w:kern w:val="0"/>
                <w:sz w:val="24"/>
                <w:lang w:eastAsia="zh-CN"/>
              </w:rPr>
            </w:pPr>
            <w:r>
              <w:rPr>
                <w:rFonts w:hint="eastAsia" w:ascii="宋体" w:hAnsi="宋体"/>
                <w:bCs/>
                <w:color w:val="auto"/>
                <w:kern w:val="0"/>
                <w:sz w:val="24"/>
                <w:lang w:eastAsia="zh-CN"/>
              </w:rPr>
              <w:t>交货地点：</w:t>
            </w:r>
          </w:p>
        </w:tc>
      </w:tr>
    </w:tbl>
    <w:p>
      <w:pPr>
        <w:rPr>
          <w:rFonts w:ascii="宋体" w:hAnsi="宋体" w:cs="Courier New"/>
          <w:color w:val="auto"/>
          <w:sz w:val="24"/>
        </w:rPr>
      </w:pPr>
    </w:p>
    <w:p>
      <w:pPr>
        <w:rPr>
          <w:rFonts w:ascii="宋体" w:hAnsi="宋体"/>
          <w:color w:val="auto"/>
          <w:spacing w:val="20"/>
          <w:sz w:val="24"/>
          <w:u w:val="single"/>
        </w:rPr>
      </w:pPr>
    </w:p>
    <w:p>
      <w:pPr>
        <w:rPr>
          <w:rFonts w:ascii="宋体" w:hAnsi="宋体"/>
          <w:color w:val="auto"/>
          <w:spacing w:val="20"/>
          <w:sz w:val="24"/>
          <w:u w:val="single"/>
        </w:rPr>
      </w:pPr>
    </w:p>
    <w:p>
      <w:pPr>
        <w:snapToGrid w:val="0"/>
        <w:spacing w:before="50" w:after="50" w:line="360" w:lineRule="auto"/>
        <w:ind w:left="-2" w:leftChars="-1" w:right="-817" w:rightChars="-389"/>
        <w:rPr>
          <w:rFonts w:ascii="宋体" w:hAnsi="宋体"/>
          <w:color w:val="auto"/>
          <w:sz w:val="24"/>
        </w:rPr>
      </w:pPr>
      <w:r>
        <w:rPr>
          <w:rFonts w:hint="eastAsia" w:ascii="宋体" w:hAnsi="宋体"/>
          <w:color w:val="auto"/>
          <w:sz w:val="24"/>
        </w:rPr>
        <w:t xml:space="preserve">法定代表人或者委托代理人（签字/电子签名）：                    </w:t>
      </w:r>
    </w:p>
    <w:p>
      <w:pPr>
        <w:snapToGrid w:val="0"/>
        <w:spacing w:before="50" w:after="50" w:line="360" w:lineRule="auto"/>
        <w:ind w:left="-2" w:leftChars="-1" w:right="-817" w:rightChars="-389"/>
        <w:rPr>
          <w:rFonts w:ascii="宋体" w:hAnsi="宋体"/>
          <w:color w:val="auto"/>
          <w:sz w:val="24"/>
        </w:rPr>
      </w:pPr>
      <w:r>
        <w:rPr>
          <w:rFonts w:hint="eastAsia" w:ascii="宋体" w:hAnsi="宋体"/>
          <w:color w:val="auto"/>
          <w:sz w:val="24"/>
        </w:rPr>
        <w:t xml:space="preserve">投标人名称（电子签章）：                   </w:t>
      </w:r>
    </w:p>
    <w:p>
      <w:pPr>
        <w:snapToGrid w:val="0"/>
        <w:spacing w:before="50" w:after="50" w:line="360" w:lineRule="auto"/>
        <w:ind w:left="-2" w:leftChars="-1" w:right="-817" w:rightChars="-389"/>
        <w:rPr>
          <w:rFonts w:ascii="宋体" w:hAnsi="宋体"/>
          <w:color w:val="auto"/>
          <w:sz w:val="24"/>
        </w:rPr>
      </w:pPr>
      <w:r>
        <w:rPr>
          <w:rFonts w:hint="eastAsia" w:ascii="宋体" w:hAnsi="宋体"/>
          <w:color w:val="auto"/>
          <w:sz w:val="24"/>
        </w:rPr>
        <w:t>日期：    年   月   日</w:t>
      </w:r>
    </w:p>
    <w:p>
      <w:pPr>
        <w:snapToGrid w:val="0"/>
        <w:spacing w:before="50" w:after="50" w:line="360" w:lineRule="auto"/>
        <w:ind w:left="-2" w:leftChars="-1" w:right="-817" w:rightChars="-389"/>
        <w:rPr>
          <w:rFonts w:ascii="宋体" w:hAnsi="宋体"/>
          <w:color w:val="auto"/>
          <w:sz w:val="24"/>
        </w:rPr>
        <w:sectPr>
          <w:pgSz w:w="11906" w:h="16838"/>
          <w:pgMar w:top="1134" w:right="1247" w:bottom="1560" w:left="1247" w:header="851" w:footer="992" w:gutter="0"/>
          <w:cols w:space="720" w:num="1"/>
          <w:titlePg/>
          <w:docGrid w:linePitch="312" w:charSpace="0"/>
        </w:sectPr>
      </w:pPr>
    </w:p>
    <w:p>
      <w:pPr>
        <w:snapToGrid w:val="0"/>
        <w:spacing w:beforeLines="50" w:after="50"/>
        <w:jc w:val="left"/>
        <w:rPr>
          <w:rFonts w:ascii="宋体" w:hAnsi="宋体"/>
          <w:b/>
          <w:color w:val="auto"/>
          <w:sz w:val="24"/>
          <w:szCs w:val="20"/>
        </w:rPr>
      </w:pPr>
      <w:r>
        <w:rPr>
          <w:rFonts w:hint="eastAsia" w:ascii="宋体" w:hAnsi="宋体"/>
          <w:b/>
          <w:color w:val="auto"/>
          <w:sz w:val="24"/>
        </w:rPr>
        <w:t>5. 开标一览表（货物类格式）</w:t>
      </w:r>
    </w:p>
    <w:p>
      <w:pPr>
        <w:snapToGrid w:val="0"/>
        <w:spacing w:before="50" w:after="50"/>
        <w:jc w:val="center"/>
        <w:rPr>
          <w:rFonts w:ascii="宋体" w:hAnsi="宋体"/>
          <w:b/>
          <w:color w:val="auto"/>
          <w:sz w:val="30"/>
        </w:rPr>
      </w:pPr>
      <w:r>
        <w:rPr>
          <w:rFonts w:hint="eastAsia" w:ascii="宋体" w:hAnsi="宋体"/>
          <w:b/>
          <w:color w:val="auto"/>
          <w:sz w:val="30"/>
        </w:rPr>
        <w:t>开标一览表</w:t>
      </w:r>
    </w:p>
    <w:p>
      <w:pPr>
        <w:snapToGrid w:val="0"/>
        <w:spacing w:before="50" w:after="50"/>
        <w:jc w:val="center"/>
        <w:rPr>
          <w:rFonts w:ascii="宋体" w:hAnsi="宋体"/>
          <w:b/>
          <w:color w:val="auto"/>
          <w:sz w:val="30"/>
          <w:szCs w:val="20"/>
        </w:rPr>
      </w:pPr>
    </w:p>
    <w:p>
      <w:pPr>
        <w:snapToGrid w:val="0"/>
        <w:spacing w:before="50" w:after="50" w:line="360" w:lineRule="auto"/>
        <w:rPr>
          <w:rFonts w:ascii="宋体" w:hAnsi="宋体"/>
          <w:color w:val="auto"/>
          <w:sz w:val="24"/>
          <w:u w:val="single"/>
        </w:rPr>
      </w:pPr>
      <w:r>
        <w:rPr>
          <w:rFonts w:hint="eastAsia" w:ascii="宋体" w:hAnsi="宋体"/>
          <w:color w:val="auto"/>
          <w:sz w:val="24"/>
        </w:rPr>
        <w:t>项目名称：</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项目编号：</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 xml:space="preserve">         分标：</w:t>
      </w:r>
      <w:r>
        <w:rPr>
          <w:rFonts w:hint="eastAsia" w:ascii="宋体" w:hAnsi="宋体"/>
          <w:color w:val="auto"/>
          <w:sz w:val="24"/>
          <w:u w:val="single"/>
        </w:rPr>
        <w:t xml:space="preserve">           </w:t>
      </w:r>
    </w:p>
    <w:p>
      <w:pPr>
        <w:snapToGrid w:val="0"/>
        <w:spacing w:before="50" w:after="50" w:line="360" w:lineRule="auto"/>
        <w:rPr>
          <w:rFonts w:ascii="宋体" w:hAnsi="宋体"/>
          <w:color w:val="auto"/>
          <w:sz w:val="24"/>
        </w:rPr>
      </w:pPr>
      <w:r>
        <w:rPr>
          <w:rFonts w:hint="eastAsia" w:ascii="宋体" w:hAnsi="宋体"/>
          <w:color w:val="auto"/>
          <w:sz w:val="24"/>
        </w:rPr>
        <w:t>投标人名称：</w:t>
      </w:r>
      <w:r>
        <w:rPr>
          <w:rFonts w:hint="eastAsia" w:ascii="宋体" w:hAnsi="宋体"/>
          <w:color w:val="auto"/>
          <w:sz w:val="24"/>
          <w:u w:val="single"/>
        </w:rPr>
        <w:t xml:space="preserve">                     </w:t>
      </w:r>
      <w:r>
        <w:rPr>
          <w:rFonts w:hint="eastAsia" w:ascii="宋体" w:hAnsi="宋体"/>
          <w:color w:val="auto"/>
          <w:sz w:val="24"/>
        </w:rPr>
        <w:t xml:space="preserve">                       单位：元</w:t>
      </w: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9"/>
        <w:gridCol w:w="2810"/>
        <w:gridCol w:w="869"/>
        <w:gridCol w:w="1027"/>
        <w:gridCol w:w="1027"/>
        <w:gridCol w:w="33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rPr>
            </w:pPr>
            <w:r>
              <w:rPr>
                <w:rFonts w:hint="eastAsia" w:ascii="宋体" w:hAnsi="宋体"/>
                <w:b/>
                <w:color w:val="auto"/>
                <w:sz w:val="24"/>
              </w:rPr>
              <w:t>序号</w:t>
            </w:r>
          </w:p>
        </w:tc>
        <w:tc>
          <w:tcPr>
            <w:tcW w:w="28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rPr>
            </w:pPr>
            <w:r>
              <w:rPr>
                <w:rFonts w:hint="eastAsia" w:ascii="宋体" w:hAnsi="宋体"/>
                <w:b/>
                <w:color w:val="auto"/>
                <w:sz w:val="24"/>
              </w:rPr>
              <w:t>货物名称</w:t>
            </w:r>
          </w:p>
        </w:tc>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rPr>
            </w:pPr>
            <w:r>
              <w:rPr>
                <w:rFonts w:hint="eastAsia" w:ascii="宋体" w:hAnsi="宋体"/>
                <w:b/>
                <w:color w:val="auto"/>
                <w:sz w:val="24"/>
              </w:rPr>
              <w:t>品牌</w:t>
            </w:r>
          </w:p>
        </w:tc>
        <w:tc>
          <w:tcPr>
            <w:tcW w:w="10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rPr>
            </w:pPr>
            <w:r>
              <w:rPr>
                <w:rFonts w:hint="eastAsia" w:ascii="宋体" w:hAnsi="宋体"/>
                <w:b/>
                <w:color w:val="auto"/>
                <w:sz w:val="24"/>
              </w:rPr>
              <w:t>数量及单位①</w:t>
            </w:r>
          </w:p>
        </w:tc>
        <w:tc>
          <w:tcPr>
            <w:tcW w:w="10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rPr>
            </w:pPr>
            <w:r>
              <w:rPr>
                <w:rFonts w:hint="eastAsia" w:ascii="宋体" w:hAnsi="宋体"/>
                <w:b/>
                <w:color w:val="auto"/>
                <w:sz w:val="24"/>
              </w:rPr>
              <w:t>单价</w:t>
            </w:r>
          </w:p>
          <w:p>
            <w:pPr>
              <w:snapToGrid w:val="0"/>
              <w:spacing w:before="50" w:after="50" w:line="360" w:lineRule="auto"/>
              <w:jc w:val="center"/>
              <w:rPr>
                <w:rFonts w:ascii="宋体" w:hAnsi="宋体"/>
                <w:b/>
                <w:color w:val="auto"/>
                <w:sz w:val="24"/>
              </w:rPr>
            </w:pPr>
            <w:r>
              <w:rPr>
                <w:rFonts w:hint="eastAsia" w:ascii="宋体" w:hAnsi="宋体"/>
                <w:b/>
                <w:color w:val="auto"/>
                <w:sz w:val="24"/>
              </w:rPr>
              <w:t>②</w:t>
            </w:r>
          </w:p>
        </w:tc>
        <w:tc>
          <w:tcPr>
            <w:tcW w:w="33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rPr>
            </w:pPr>
            <w:r>
              <w:rPr>
                <w:rFonts w:hint="eastAsia" w:ascii="宋体" w:hAnsi="宋体"/>
                <w:b/>
                <w:color w:val="auto"/>
                <w:sz w:val="24"/>
              </w:rPr>
              <w:t>投标报价</w:t>
            </w:r>
          </w:p>
          <w:p>
            <w:pPr>
              <w:snapToGrid w:val="0"/>
              <w:spacing w:before="50" w:after="50" w:line="360" w:lineRule="auto"/>
              <w:jc w:val="center"/>
              <w:rPr>
                <w:rFonts w:ascii="宋体" w:hAnsi="宋体"/>
                <w:b/>
                <w:color w:val="auto"/>
                <w:sz w:val="24"/>
              </w:rPr>
            </w:pPr>
            <w:r>
              <w:rPr>
                <w:rFonts w:ascii="宋体" w:hAnsi="宋体"/>
                <w:b/>
                <w:color w:val="auto"/>
                <w:sz w:val="24"/>
              </w:rPr>
              <w:t>③</w:t>
            </w:r>
            <w:r>
              <w:rPr>
                <w:rFonts w:hint="eastAsia" w:ascii="宋体" w:hAnsi="宋体"/>
                <w:b/>
                <w:color w:val="auto"/>
                <w:sz w:val="24"/>
              </w:rPr>
              <w:t>=①×②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rPr>
            </w:pPr>
            <w:r>
              <w:rPr>
                <w:rFonts w:hint="eastAsia" w:ascii="宋体" w:hAnsi="宋体"/>
                <w:b/>
                <w:color w:val="auto"/>
                <w:sz w:val="24"/>
              </w:rPr>
              <w:t>1</w:t>
            </w:r>
          </w:p>
        </w:tc>
        <w:tc>
          <w:tcPr>
            <w:tcW w:w="28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rPr>
            </w:pPr>
          </w:p>
        </w:tc>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rPr>
            </w:pPr>
          </w:p>
        </w:tc>
        <w:tc>
          <w:tcPr>
            <w:tcW w:w="10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rPr>
            </w:pPr>
          </w:p>
        </w:tc>
        <w:tc>
          <w:tcPr>
            <w:tcW w:w="10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rPr>
            </w:pPr>
          </w:p>
        </w:tc>
        <w:tc>
          <w:tcPr>
            <w:tcW w:w="33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rPr>
            </w:pPr>
            <w:r>
              <w:rPr>
                <w:rFonts w:hint="eastAsia" w:ascii="宋体" w:hAnsi="宋体"/>
                <w:b/>
                <w:color w:val="auto"/>
                <w:sz w:val="24"/>
              </w:rPr>
              <w:t>2</w:t>
            </w:r>
          </w:p>
        </w:tc>
        <w:tc>
          <w:tcPr>
            <w:tcW w:w="28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rPr>
            </w:pPr>
          </w:p>
        </w:tc>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rPr>
            </w:pPr>
          </w:p>
        </w:tc>
        <w:tc>
          <w:tcPr>
            <w:tcW w:w="10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rPr>
            </w:pPr>
          </w:p>
        </w:tc>
        <w:tc>
          <w:tcPr>
            <w:tcW w:w="10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rPr>
            </w:pPr>
          </w:p>
        </w:tc>
        <w:tc>
          <w:tcPr>
            <w:tcW w:w="33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rPr>
            </w:pPr>
            <w:r>
              <w:rPr>
                <w:rFonts w:hint="eastAsia" w:ascii="宋体" w:hAnsi="宋体"/>
                <w:b/>
                <w:color w:val="auto"/>
                <w:sz w:val="24"/>
              </w:rPr>
              <w:t>3</w:t>
            </w:r>
          </w:p>
        </w:tc>
        <w:tc>
          <w:tcPr>
            <w:tcW w:w="28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rPr>
            </w:pPr>
          </w:p>
        </w:tc>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rPr>
            </w:pPr>
          </w:p>
        </w:tc>
        <w:tc>
          <w:tcPr>
            <w:tcW w:w="10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rPr>
            </w:pPr>
          </w:p>
        </w:tc>
        <w:tc>
          <w:tcPr>
            <w:tcW w:w="10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rPr>
            </w:pPr>
          </w:p>
        </w:tc>
        <w:tc>
          <w:tcPr>
            <w:tcW w:w="33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rPr>
            </w:pPr>
            <w:r>
              <w:rPr>
                <w:rFonts w:hint="eastAsia" w:ascii="宋体" w:hAnsi="宋体"/>
                <w:b/>
                <w:color w:val="auto"/>
                <w:sz w:val="24"/>
              </w:rPr>
              <w:t>……</w:t>
            </w:r>
          </w:p>
        </w:tc>
        <w:tc>
          <w:tcPr>
            <w:tcW w:w="28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rPr>
            </w:pPr>
            <w:r>
              <w:rPr>
                <w:rFonts w:hint="eastAsia" w:ascii="宋体" w:hAnsi="宋体"/>
                <w:b/>
                <w:color w:val="auto"/>
                <w:sz w:val="24"/>
              </w:rPr>
              <w:t>……</w:t>
            </w:r>
          </w:p>
        </w:tc>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rPr>
            </w:pPr>
          </w:p>
        </w:tc>
        <w:tc>
          <w:tcPr>
            <w:tcW w:w="10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rPr>
            </w:pPr>
          </w:p>
        </w:tc>
        <w:tc>
          <w:tcPr>
            <w:tcW w:w="10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rPr>
            </w:pPr>
          </w:p>
        </w:tc>
        <w:tc>
          <w:tcPr>
            <w:tcW w:w="33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9854"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rPr>
            </w:pPr>
            <w:r>
              <w:rPr>
                <w:rFonts w:hint="eastAsia" w:ascii="宋体" w:hAnsi="宋体"/>
                <w:color w:val="auto"/>
                <w:sz w:val="24"/>
              </w:rPr>
              <w:t>合计总金额</w:t>
            </w:r>
            <w:r>
              <w:rPr>
                <w:rFonts w:hint="eastAsia" w:ascii="宋体" w:hAnsi="宋体"/>
                <w:color w:val="auto"/>
                <w:spacing w:val="20"/>
                <w:sz w:val="24"/>
              </w:rPr>
              <w:t>（</w:t>
            </w:r>
            <w:r>
              <w:rPr>
                <w:rFonts w:hint="eastAsia" w:ascii="宋体" w:hAnsi="宋体"/>
                <w:color w:val="auto"/>
                <w:sz w:val="24"/>
              </w:rPr>
              <w:t>大写）：</w:t>
            </w:r>
            <w:r>
              <w:rPr>
                <w:rFonts w:hint="eastAsia" w:ascii="宋体" w:hAnsi="宋体"/>
                <w:color w:val="auto"/>
                <w:spacing w:val="20"/>
                <w:sz w:val="24"/>
                <w:u w:val="single"/>
              </w:rPr>
              <w:t>人民币</w:t>
            </w:r>
            <w:r>
              <w:rPr>
                <w:rFonts w:hint="eastAsia" w:ascii="宋体" w:hAnsi="宋体"/>
                <w:color w:val="auto"/>
                <w:sz w:val="24"/>
                <w:u w:val="single"/>
              </w:rPr>
              <w:t xml:space="preserve">                     元整</w:t>
            </w:r>
            <w:r>
              <w:rPr>
                <w:rFonts w:hint="eastAsia" w:ascii="宋体" w:hAnsi="宋体"/>
                <w:color w:val="auto"/>
                <w:spacing w:val="20"/>
                <w:sz w:val="24"/>
                <w:u w:val="single"/>
              </w:rPr>
              <w:t xml:space="preserve">（¥               </w:t>
            </w:r>
            <w:r>
              <w:rPr>
                <w:rFonts w:hint="eastAsia" w:ascii="宋体" w:hAnsi="宋体"/>
                <w:color w:val="auto"/>
                <w:spacing w:val="2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9854"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rPr>
            </w:pPr>
            <w:r>
              <w:rPr>
                <w:rFonts w:hint="eastAsia" w:ascii="宋体" w:hAnsi="宋体"/>
                <w:bCs/>
                <w:color w:val="auto"/>
                <w:kern w:val="0"/>
                <w:sz w:val="24"/>
              </w:rPr>
              <w:t>交货时间</w:t>
            </w:r>
            <w:r>
              <w:rPr>
                <w:rFonts w:hint="eastAsia" w:ascii="宋体" w:hAnsi="宋体"/>
                <w:color w:val="auto"/>
                <w:sz w:val="24"/>
              </w:rPr>
              <w:t>：</w:t>
            </w:r>
          </w:p>
        </w:tc>
      </w:tr>
    </w:tbl>
    <w:p>
      <w:pPr>
        <w:snapToGrid w:val="0"/>
        <w:spacing w:before="50" w:after="50" w:line="360" w:lineRule="auto"/>
        <w:jc w:val="left"/>
        <w:rPr>
          <w:rFonts w:ascii="宋体" w:hAnsi="宋体"/>
          <w:color w:val="auto"/>
          <w:sz w:val="24"/>
        </w:rPr>
      </w:pPr>
      <w:r>
        <w:rPr>
          <w:rFonts w:hint="eastAsia" w:ascii="宋体" w:hAnsi="宋体"/>
          <w:color w:val="auto"/>
          <w:sz w:val="24"/>
        </w:rPr>
        <w:t xml:space="preserve">注: </w:t>
      </w:r>
    </w:p>
    <w:p>
      <w:pPr>
        <w:snapToGrid w:val="0"/>
        <w:spacing w:before="50" w:after="50" w:line="360" w:lineRule="auto"/>
        <w:ind w:firstLine="480" w:firstLineChars="200"/>
        <w:rPr>
          <w:rFonts w:ascii="宋体" w:hAnsi="宋体"/>
          <w:b/>
          <w:color w:val="auto"/>
          <w:sz w:val="24"/>
        </w:rPr>
      </w:pPr>
      <w:r>
        <w:rPr>
          <w:rFonts w:hint="eastAsia" w:ascii="宋体" w:hAnsi="宋体"/>
          <w:bCs/>
          <w:color w:val="auto"/>
          <w:sz w:val="24"/>
        </w:rPr>
        <w:t>1.投标人的开标一览表必须加盖投标人电子签章并由法定代表人或者委托代理人签字或者电子签名，</w:t>
      </w:r>
      <w:r>
        <w:rPr>
          <w:rFonts w:hint="eastAsia" w:ascii="宋体" w:hAnsi="宋体"/>
          <w:b/>
          <w:color w:val="auto"/>
          <w:sz w:val="24"/>
        </w:rPr>
        <w:t>否则其投标作无效标处理。</w:t>
      </w:r>
    </w:p>
    <w:p>
      <w:pPr>
        <w:snapToGrid w:val="0"/>
        <w:spacing w:before="50" w:after="50" w:line="360" w:lineRule="auto"/>
        <w:ind w:firstLine="480" w:firstLineChars="200"/>
        <w:rPr>
          <w:rFonts w:ascii="宋体" w:hAnsi="宋体"/>
          <w:b/>
          <w:color w:val="auto"/>
          <w:sz w:val="24"/>
        </w:rPr>
      </w:pPr>
      <w:r>
        <w:rPr>
          <w:rFonts w:hint="eastAsia" w:ascii="宋体" w:hAnsi="宋体"/>
          <w:bCs/>
          <w:color w:val="auto"/>
          <w:sz w:val="24"/>
        </w:rPr>
        <w:t>2.报价一经涂改，应在涂改处加盖投标人公章或者由法定代表人或者委托代理人签字（或者电子签名）或者盖章，</w:t>
      </w:r>
      <w:r>
        <w:rPr>
          <w:rFonts w:hint="eastAsia" w:ascii="宋体" w:hAnsi="宋体"/>
          <w:b/>
          <w:color w:val="auto"/>
          <w:sz w:val="24"/>
        </w:rPr>
        <w:t>否则其投标作无效标处理。</w:t>
      </w:r>
    </w:p>
    <w:p>
      <w:pPr>
        <w:snapToGrid w:val="0"/>
        <w:spacing w:before="50" w:after="50" w:line="360" w:lineRule="auto"/>
        <w:ind w:firstLine="480" w:firstLineChars="200"/>
        <w:rPr>
          <w:rFonts w:ascii="宋体" w:hAnsi="宋体"/>
          <w:bCs/>
          <w:color w:val="auto"/>
          <w:sz w:val="24"/>
        </w:rPr>
      </w:pPr>
      <w:r>
        <w:rPr>
          <w:rFonts w:hint="eastAsia" w:ascii="宋体" w:hAnsi="宋体"/>
          <w:bCs/>
          <w:color w:val="auto"/>
          <w:sz w:val="24"/>
        </w:rPr>
        <w:t>3.招标文件中列明采购专用耗材的，应按招标文件规定的耗材量或者按耗材的常规试用量提供报价。</w:t>
      </w:r>
    </w:p>
    <w:p>
      <w:pPr>
        <w:snapToGrid w:val="0"/>
        <w:spacing w:before="50" w:after="50" w:line="360" w:lineRule="auto"/>
        <w:ind w:firstLine="480" w:firstLineChars="200"/>
        <w:rPr>
          <w:rFonts w:ascii="宋体" w:hAnsi="宋体"/>
          <w:b/>
          <w:color w:val="auto"/>
          <w:sz w:val="24"/>
        </w:rPr>
      </w:pPr>
      <w:r>
        <w:rPr>
          <w:rFonts w:hint="eastAsia" w:ascii="宋体" w:hAnsi="宋体"/>
          <w:bCs/>
          <w:color w:val="auto"/>
          <w:sz w:val="24"/>
        </w:rPr>
        <w:t>4.如为联合体投标，“投标人名称”处必须列明联合体各方名称，并标注联合体牵头人名称，</w:t>
      </w:r>
      <w:r>
        <w:rPr>
          <w:rFonts w:hint="eastAsia" w:ascii="宋体" w:hAnsi="宋体"/>
          <w:b/>
          <w:color w:val="auto"/>
          <w:sz w:val="24"/>
        </w:rPr>
        <w:t>否则其投标作无效标处理。</w:t>
      </w:r>
    </w:p>
    <w:p>
      <w:pPr>
        <w:snapToGrid w:val="0"/>
        <w:spacing w:before="50" w:after="50" w:line="360" w:lineRule="auto"/>
        <w:ind w:firstLine="480" w:firstLineChars="200"/>
        <w:rPr>
          <w:rFonts w:ascii="宋体" w:hAnsi="宋体"/>
          <w:b/>
          <w:color w:val="auto"/>
          <w:sz w:val="24"/>
        </w:rPr>
      </w:pPr>
      <w:r>
        <w:rPr>
          <w:rFonts w:hint="eastAsia" w:ascii="宋体" w:hAnsi="宋体"/>
          <w:bCs/>
          <w:color w:val="auto"/>
          <w:sz w:val="24"/>
        </w:rPr>
        <w:t>5.如为联合体投标，盖章处须加盖联合体牵头人电子签章，</w:t>
      </w:r>
      <w:r>
        <w:rPr>
          <w:rFonts w:hint="eastAsia" w:ascii="宋体" w:hAnsi="宋体"/>
          <w:b/>
          <w:color w:val="auto"/>
          <w:sz w:val="24"/>
        </w:rPr>
        <w:t>否则其投标作无效标处理。</w:t>
      </w:r>
    </w:p>
    <w:p>
      <w:pPr>
        <w:snapToGrid w:val="0"/>
        <w:spacing w:before="50" w:after="50" w:line="360" w:lineRule="auto"/>
        <w:ind w:firstLine="480" w:firstLineChars="200"/>
        <w:rPr>
          <w:rFonts w:ascii="宋体" w:hAnsi="宋体"/>
          <w:color w:val="auto"/>
          <w:sz w:val="24"/>
        </w:rPr>
      </w:pPr>
      <w:r>
        <w:rPr>
          <w:rFonts w:hint="eastAsia" w:ascii="宋体" w:hAnsi="宋体"/>
          <w:bCs/>
          <w:color w:val="auto"/>
          <w:sz w:val="24"/>
        </w:rPr>
        <w:t>6.如有多分标，按分标分别提供开标一览表，</w:t>
      </w:r>
      <w:r>
        <w:rPr>
          <w:rFonts w:hint="eastAsia" w:ascii="宋体" w:hAnsi="宋体"/>
          <w:b/>
          <w:color w:val="auto"/>
          <w:sz w:val="24"/>
        </w:rPr>
        <w:t>否则投标无效。</w:t>
      </w:r>
    </w:p>
    <w:p>
      <w:pPr>
        <w:snapToGrid w:val="0"/>
        <w:spacing w:before="50" w:after="50" w:line="360" w:lineRule="auto"/>
        <w:ind w:left="-2" w:leftChars="-1" w:right="-817" w:rightChars="-389" w:firstLine="480" w:firstLineChars="200"/>
        <w:rPr>
          <w:rFonts w:ascii="宋体" w:hAnsi="宋体"/>
          <w:color w:val="auto"/>
          <w:sz w:val="24"/>
        </w:rPr>
      </w:pPr>
      <w:r>
        <w:rPr>
          <w:rFonts w:hint="eastAsia" w:ascii="宋体" w:hAnsi="宋体"/>
          <w:color w:val="auto"/>
          <w:sz w:val="24"/>
        </w:rPr>
        <w:t xml:space="preserve">法定代表人或者委托代理人（签字/电子签名）：                    </w:t>
      </w:r>
    </w:p>
    <w:p>
      <w:pPr>
        <w:snapToGrid w:val="0"/>
        <w:spacing w:beforeLines="50" w:after="50" w:line="360" w:lineRule="auto"/>
        <w:ind w:firstLine="480" w:firstLineChars="200"/>
        <w:outlineLvl w:val="1"/>
        <w:rPr>
          <w:rFonts w:ascii="宋体" w:hAnsi="宋体"/>
          <w:color w:val="auto"/>
          <w:sz w:val="24"/>
        </w:rPr>
      </w:pPr>
      <w:r>
        <w:rPr>
          <w:rFonts w:hint="eastAsia" w:ascii="宋体" w:hAnsi="宋体"/>
          <w:color w:val="auto"/>
          <w:sz w:val="24"/>
        </w:rPr>
        <w:t xml:space="preserve">投标人名称（电子签章）：                                 </w:t>
      </w:r>
    </w:p>
    <w:p>
      <w:pPr>
        <w:snapToGrid w:val="0"/>
        <w:spacing w:beforeLines="50" w:after="50" w:line="360" w:lineRule="auto"/>
        <w:ind w:firstLine="480" w:firstLineChars="200"/>
        <w:outlineLvl w:val="1"/>
        <w:rPr>
          <w:rFonts w:ascii="宋体" w:hAnsi="宋体"/>
          <w:color w:val="auto"/>
          <w:sz w:val="24"/>
        </w:rPr>
      </w:pPr>
      <w:r>
        <w:rPr>
          <w:rFonts w:hint="eastAsia" w:ascii="宋体" w:hAnsi="宋体"/>
          <w:color w:val="auto"/>
          <w:sz w:val="24"/>
        </w:rPr>
        <w:t>日期：    年   月   日</w:t>
      </w:r>
      <w:bookmarkStart w:id="160" w:name="_Toc19686837"/>
    </w:p>
    <w:bookmarkEnd w:id="157"/>
    <w:bookmarkEnd w:id="158"/>
    <w:bookmarkEnd w:id="160"/>
    <w:p>
      <w:pPr>
        <w:snapToGrid w:val="0"/>
        <w:spacing w:beforeLines="50" w:after="50" w:line="360" w:lineRule="auto"/>
        <w:outlineLvl w:val="1"/>
        <w:rPr>
          <w:rFonts w:ascii="宋体" w:hAnsi="宋体"/>
          <w:b/>
          <w:bCs/>
          <w:color w:val="auto"/>
          <w:sz w:val="28"/>
          <w:szCs w:val="28"/>
        </w:rPr>
      </w:pPr>
      <w:r>
        <w:rPr>
          <w:rFonts w:hint="eastAsia" w:ascii="宋体" w:hAnsi="宋体"/>
          <w:b/>
          <w:bCs/>
          <w:color w:val="auto"/>
          <w:sz w:val="28"/>
          <w:szCs w:val="28"/>
        </w:rPr>
        <w:t>二、资格证明文件格式</w:t>
      </w:r>
    </w:p>
    <w:p>
      <w:pPr>
        <w:numPr>
          <w:ilvl w:val="2"/>
          <w:numId w:val="11"/>
        </w:numPr>
        <w:snapToGrid w:val="0"/>
        <w:spacing w:beforeLines="50" w:after="50" w:line="360" w:lineRule="auto"/>
        <w:ind w:left="0" w:firstLine="0"/>
        <w:jc w:val="left"/>
        <w:rPr>
          <w:rFonts w:ascii="宋体" w:hAnsi="宋体"/>
          <w:b/>
          <w:color w:val="auto"/>
          <w:sz w:val="24"/>
        </w:rPr>
      </w:pPr>
      <w:r>
        <w:rPr>
          <w:rFonts w:hint="eastAsia" w:ascii="宋体" w:hAnsi="宋体"/>
          <w:b/>
          <w:color w:val="auto"/>
          <w:sz w:val="24"/>
        </w:rPr>
        <w:t xml:space="preserve">资格证明文件封面格式： </w:t>
      </w:r>
    </w:p>
    <w:p>
      <w:pPr>
        <w:snapToGrid w:val="0"/>
        <w:spacing w:beforeLines="50" w:after="50"/>
        <w:jc w:val="center"/>
        <w:rPr>
          <w:rFonts w:ascii="方正小标宋简体" w:hAnsi="方正小标宋简体" w:eastAsia="方正小标宋简体" w:cs="方正小标宋简体"/>
          <w:color w:val="auto"/>
          <w:sz w:val="84"/>
          <w:szCs w:val="84"/>
        </w:rPr>
      </w:pPr>
    </w:p>
    <w:p>
      <w:pPr>
        <w:snapToGrid w:val="0"/>
        <w:spacing w:beforeLines="50" w:after="50"/>
        <w:jc w:val="center"/>
        <w:rPr>
          <w:rFonts w:ascii="宋体" w:hAnsi="宋体" w:cs="宋体"/>
          <w:color w:val="auto"/>
          <w:sz w:val="84"/>
          <w:szCs w:val="84"/>
        </w:rPr>
      </w:pPr>
      <w:r>
        <w:rPr>
          <w:rFonts w:hint="eastAsia" w:ascii="宋体" w:hAnsi="宋体" w:cs="宋体"/>
          <w:color w:val="auto"/>
          <w:sz w:val="84"/>
          <w:szCs w:val="84"/>
        </w:rPr>
        <w:t>投  标  文  件</w:t>
      </w:r>
    </w:p>
    <w:p>
      <w:pPr>
        <w:snapToGrid w:val="0"/>
        <w:spacing w:beforeLines="50" w:after="50"/>
        <w:rPr>
          <w:rFonts w:ascii="宋体" w:hAnsi="宋体"/>
          <w:bCs/>
          <w:color w:val="auto"/>
          <w:sz w:val="32"/>
          <w:szCs w:val="20"/>
        </w:rPr>
      </w:pPr>
    </w:p>
    <w:p>
      <w:pPr>
        <w:snapToGrid w:val="0"/>
        <w:spacing w:beforeLines="50" w:after="50"/>
        <w:rPr>
          <w:rFonts w:ascii="宋体" w:hAnsi="宋体"/>
          <w:color w:val="auto"/>
          <w:sz w:val="24"/>
          <w:szCs w:val="20"/>
        </w:rPr>
      </w:pPr>
    </w:p>
    <w:p>
      <w:pPr>
        <w:snapToGrid w:val="0"/>
        <w:spacing w:beforeLines="50" w:after="50"/>
        <w:jc w:val="center"/>
        <w:rPr>
          <w:rFonts w:ascii="宋体" w:hAnsi="宋体"/>
          <w:b/>
          <w:color w:val="auto"/>
          <w:sz w:val="44"/>
          <w:szCs w:val="32"/>
        </w:rPr>
      </w:pPr>
      <w:r>
        <w:rPr>
          <w:rFonts w:hint="eastAsia" w:ascii="宋体" w:hAnsi="宋体"/>
          <w:b/>
          <w:color w:val="auto"/>
          <w:sz w:val="52"/>
          <w:szCs w:val="52"/>
        </w:rPr>
        <w:t>资格证明文件</w:t>
      </w:r>
    </w:p>
    <w:p>
      <w:pPr>
        <w:snapToGrid w:val="0"/>
        <w:spacing w:beforeLines="50" w:after="50"/>
        <w:rPr>
          <w:rFonts w:ascii="宋体" w:hAnsi="宋体"/>
          <w:bCs/>
          <w:color w:val="auto"/>
          <w:sz w:val="24"/>
          <w:szCs w:val="20"/>
        </w:rPr>
      </w:pPr>
    </w:p>
    <w:p>
      <w:pPr>
        <w:snapToGrid w:val="0"/>
        <w:spacing w:beforeLines="50" w:after="50"/>
        <w:rPr>
          <w:rFonts w:ascii="宋体" w:hAnsi="宋体"/>
          <w:bCs/>
          <w:color w:val="auto"/>
          <w:sz w:val="24"/>
          <w:szCs w:val="20"/>
        </w:rPr>
      </w:pPr>
    </w:p>
    <w:p>
      <w:pPr>
        <w:snapToGrid w:val="0"/>
        <w:spacing w:beforeLines="50" w:after="50"/>
        <w:rPr>
          <w:rFonts w:ascii="宋体" w:hAnsi="宋体"/>
          <w:bCs/>
          <w:color w:val="auto"/>
          <w:sz w:val="24"/>
          <w:szCs w:val="20"/>
        </w:rPr>
      </w:pPr>
    </w:p>
    <w:p>
      <w:pPr>
        <w:snapToGrid w:val="0"/>
        <w:spacing w:beforeLines="50" w:after="50"/>
        <w:rPr>
          <w:rFonts w:ascii="宋体" w:hAnsi="宋体"/>
          <w:bCs/>
          <w:color w:val="auto"/>
          <w:sz w:val="24"/>
          <w:szCs w:val="20"/>
        </w:rPr>
      </w:pPr>
    </w:p>
    <w:p>
      <w:pPr>
        <w:snapToGrid w:val="0"/>
        <w:spacing w:beforeLines="50" w:after="50"/>
        <w:rPr>
          <w:rFonts w:ascii="宋体" w:hAnsi="宋体"/>
          <w:bCs/>
          <w:color w:val="auto"/>
          <w:sz w:val="24"/>
          <w:szCs w:val="20"/>
        </w:rPr>
      </w:pPr>
    </w:p>
    <w:p>
      <w:pPr>
        <w:snapToGrid w:val="0"/>
        <w:spacing w:beforeLines="50" w:after="50"/>
        <w:rPr>
          <w:rFonts w:ascii="宋体" w:hAnsi="宋体"/>
          <w:bCs/>
          <w:color w:val="auto"/>
          <w:sz w:val="24"/>
          <w:szCs w:val="20"/>
        </w:rPr>
      </w:pPr>
    </w:p>
    <w:p>
      <w:pPr>
        <w:snapToGrid w:val="0"/>
        <w:spacing w:beforeLines="50" w:after="50"/>
        <w:ind w:firstLine="540" w:firstLineChars="225"/>
        <w:rPr>
          <w:rFonts w:ascii="宋体" w:hAnsi="宋体"/>
          <w:bCs/>
          <w:color w:val="auto"/>
          <w:sz w:val="24"/>
        </w:rPr>
      </w:pPr>
      <w:r>
        <w:rPr>
          <w:rFonts w:hint="eastAsia" w:ascii="宋体" w:hAnsi="宋体"/>
          <w:bCs/>
          <w:color w:val="auto"/>
          <w:sz w:val="24"/>
        </w:rPr>
        <w:t>项目名称：</w:t>
      </w:r>
    </w:p>
    <w:p>
      <w:pPr>
        <w:snapToGrid w:val="0"/>
        <w:spacing w:beforeLines="50" w:after="50"/>
        <w:ind w:firstLine="540" w:firstLineChars="225"/>
        <w:rPr>
          <w:rFonts w:ascii="宋体" w:hAnsi="宋体"/>
          <w:bCs/>
          <w:color w:val="auto"/>
          <w:sz w:val="24"/>
          <w:szCs w:val="20"/>
        </w:rPr>
      </w:pPr>
    </w:p>
    <w:p>
      <w:pPr>
        <w:snapToGrid w:val="0"/>
        <w:spacing w:beforeLines="50" w:after="50"/>
        <w:ind w:firstLine="540" w:firstLineChars="225"/>
        <w:rPr>
          <w:rFonts w:ascii="宋体" w:hAnsi="宋体"/>
          <w:bCs/>
          <w:color w:val="auto"/>
          <w:sz w:val="24"/>
        </w:rPr>
      </w:pPr>
      <w:r>
        <w:rPr>
          <w:rFonts w:hint="eastAsia" w:ascii="宋体" w:hAnsi="宋体"/>
          <w:bCs/>
          <w:color w:val="auto"/>
          <w:sz w:val="24"/>
        </w:rPr>
        <w:t>项目编号：</w:t>
      </w:r>
    </w:p>
    <w:p>
      <w:pPr>
        <w:snapToGrid w:val="0"/>
        <w:spacing w:beforeLines="50" w:after="50"/>
        <w:ind w:firstLine="540" w:firstLineChars="225"/>
        <w:rPr>
          <w:rFonts w:ascii="宋体" w:hAnsi="宋体"/>
          <w:bCs/>
          <w:color w:val="auto"/>
          <w:sz w:val="24"/>
          <w:szCs w:val="20"/>
        </w:rPr>
      </w:pPr>
      <w:r>
        <w:rPr>
          <w:rFonts w:hint="eastAsia" w:ascii="宋体" w:hAnsi="宋体"/>
          <w:bCs/>
          <w:color w:val="auto"/>
          <w:sz w:val="24"/>
        </w:rPr>
        <w:t xml:space="preserve"> </w:t>
      </w:r>
    </w:p>
    <w:p>
      <w:pPr>
        <w:snapToGrid w:val="0"/>
        <w:spacing w:beforeLines="50" w:after="50"/>
        <w:ind w:firstLine="540" w:firstLineChars="225"/>
        <w:rPr>
          <w:rFonts w:ascii="宋体" w:hAnsi="宋体"/>
          <w:bCs/>
          <w:color w:val="auto"/>
          <w:sz w:val="24"/>
        </w:rPr>
      </w:pPr>
      <w:r>
        <w:rPr>
          <w:rFonts w:hint="eastAsia" w:ascii="宋体" w:hAnsi="宋体"/>
          <w:bCs/>
          <w:color w:val="auto"/>
          <w:sz w:val="24"/>
        </w:rPr>
        <w:t>所投分标：</w:t>
      </w:r>
    </w:p>
    <w:p>
      <w:pPr>
        <w:pStyle w:val="7"/>
        <w:snapToGrid w:val="0"/>
        <w:spacing w:before="50" w:after="50"/>
        <w:ind w:firstLine="540" w:firstLineChars="225"/>
        <w:rPr>
          <w:rFonts w:ascii="宋体" w:hAnsi="宋体"/>
          <w:bCs/>
          <w:color w:val="auto"/>
          <w:sz w:val="24"/>
          <w:szCs w:val="24"/>
        </w:rPr>
      </w:pPr>
    </w:p>
    <w:p>
      <w:pPr>
        <w:pStyle w:val="7"/>
        <w:snapToGrid w:val="0"/>
        <w:spacing w:before="50" w:after="50"/>
        <w:ind w:firstLine="540" w:firstLineChars="225"/>
        <w:rPr>
          <w:rFonts w:ascii="宋体" w:hAnsi="宋体"/>
          <w:bCs/>
          <w:color w:val="auto"/>
          <w:sz w:val="24"/>
          <w:szCs w:val="24"/>
        </w:rPr>
      </w:pPr>
      <w:r>
        <w:rPr>
          <w:rFonts w:hint="eastAsia" w:ascii="宋体" w:hAnsi="宋体"/>
          <w:bCs/>
          <w:color w:val="auto"/>
          <w:sz w:val="24"/>
          <w:szCs w:val="24"/>
        </w:rPr>
        <w:t>投标人名称：</w:t>
      </w:r>
    </w:p>
    <w:p>
      <w:pPr>
        <w:pStyle w:val="7"/>
        <w:snapToGrid w:val="0"/>
        <w:spacing w:before="50" w:after="50"/>
        <w:ind w:firstLine="540" w:firstLineChars="225"/>
        <w:rPr>
          <w:rFonts w:ascii="宋体" w:hAnsi="宋体"/>
          <w:bCs/>
          <w:color w:val="auto"/>
          <w:sz w:val="24"/>
          <w:szCs w:val="24"/>
        </w:rPr>
      </w:pPr>
    </w:p>
    <w:p>
      <w:pPr>
        <w:pStyle w:val="7"/>
        <w:snapToGrid w:val="0"/>
        <w:spacing w:before="50" w:after="50"/>
        <w:ind w:firstLine="960" w:firstLineChars="400"/>
        <w:rPr>
          <w:rFonts w:ascii="宋体" w:hAnsi="宋体"/>
          <w:bCs/>
          <w:color w:val="auto"/>
          <w:sz w:val="24"/>
          <w:szCs w:val="24"/>
        </w:rPr>
      </w:pPr>
    </w:p>
    <w:p>
      <w:pPr>
        <w:snapToGrid w:val="0"/>
        <w:spacing w:beforeLines="50" w:after="50"/>
        <w:ind w:firstLine="645"/>
        <w:jc w:val="center"/>
        <w:rPr>
          <w:rFonts w:ascii="宋体" w:hAnsi="宋体"/>
          <w:color w:val="auto"/>
          <w:sz w:val="24"/>
        </w:rPr>
      </w:pPr>
      <w:r>
        <w:rPr>
          <w:rFonts w:hint="eastAsia" w:ascii="宋体" w:hAnsi="宋体"/>
          <w:color w:val="auto"/>
          <w:sz w:val="24"/>
        </w:rPr>
        <w:t>年  月  日</w:t>
      </w:r>
    </w:p>
    <w:p>
      <w:pPr>
        <w:snapToGrid w:val="0"/>
        <w:spacing w:beforeLines="50" w:after="50"/>
        <w:rPr>
          <w:rFonts w:ascii="宋体" w:hAnsi="宋体"/>
          <w:color w:val="auto"/>
          <w:sz w:val="24"/>
          <w:szCs w:val="20"/>
        </w:rPr>
      </w:pPr>
      <w:r>
        <w:rPr>
          <w:rFonts w:ascii="宋体" w:hAnsi="宋体"/>
          <w:color w:val="auto"/>
          <w:sz w:val="24"/>
          <w:szCs w:val="20"/>
        </w:rPr>
        <w:t xml:space="preserve"> </w:t>
      </w:r>
    </w:p>
    <w:p>
      <w:pPr>
        <w:snapToGrid w:val="0"/>
        <w:spacing w:beforeLines="50" w:after="50"/>
        <w:rPr>
          <w:rFonts w:ascii="宋体" w:hAnsi="宋体"/>
          <w:color w:val="auto"/>
          <w:sz w:val="24"/>
          <w:szCs w:val="20"/>
        </w:rPr>
      </w:pPr>
    </w:p>
    <w:p>
      <w:pPr>
        <w:snapToGrid w:val="0"/>
        <w:spacing w:beforeLines="50" w:after="50"/>
        <w:rPr>
          <w:rFonts w:ascii="宋体" w:hAnsi="宋体"/>
          <w:color w:val="auto"/>
          <w:sz w:val="24"/>
          <w:szCs w:val="20"/>
        </w:rPr>
      </w:pPr>
      <w:r>
        <w:rPr>
          <w:rFonts w:ascii="宋体" w:hAnsi="宋体"/>
          <w:color w:val="auto"/>
          <w:sz w:val="24"/>
          <w:szCs w:val="20"/>
        </w:rPr>
        <w:t xml:space="preserve"> </w:t>
      </w:r>
    </w:p>
    <w:p>
      <w:pPr>
        <w:snapToGrid w:val="0"/>
        <w:spacing w:beforeLines="50" w:after="50"/>
        <w:rPr>
          <w:rFonts w:ascii="宋体" w:hAnsi="宋体"/>
          <w:color w:val="auto"/>
          <w:sz w:val="24"/>
          <w:szCs w:val="20"/>
        </w:rPr>
      </w:pPr>
    </w:p>
    <w:p>
      <w:pPr>
        <w:snapToGrid w:val="0"/>
        <w:spacing w:beforeLines="50" w:after="50" w:line="360" w:lineRule="auto"/>
        <w:jc w:val="left"/>
        <w:rPr>
          <w:rFonts w:ascii="宋体" w:hAnsi="宋体"/>
          <w:color w:val="auto"/>
          <w:sz w:val="24"/>
          <w:szCs w:val="20"/>
        </w:rPr>
      </w:pPr>
      <w:r>
        <w:rPr>
          <w:rFonts w:ascii="宋体" w:hAnsi="宋体"/>
          <w:b/>
          <w:bCs/>
          <w:color w:val="auto"/>
          <w:sz w:val="24"/>
        </w:rPr>
        <w:br w:type="page"/>
      </w:r>
      <w:r>
        <w:rPr>
          <w:rFonts w:hint="eastAsia" w:ascii="宋体" w:hAnsi="宋体"/>
          <w:b/>
          <w:bCs/>
          <w:color w:val="auto"/>
          <w:sz w:val="24"/>
        </w:rPr>
        <w:t>2. 资格证明文件目录</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根据招标文件规定及投标人提供的材料自行编写目录。</w:t>
      </w:r>
    </w:p>
    <w:p>
      <w:pPr>
        <w:snapToGrid w:val="0"/>
        <w:spacing w:before="50" w:afterLines="50"/>
        <w:jc w:val="left"/>
        <w:rPr>
          <w:rFonts w:ascii="宋体" w:hAnsi="宋体"/>
          <w:color w:val="auto"/>
          <w:sz w:val="24"/>
        </w:rPr>
      </w:pPr>
    </w:p>
    <w:p>
      <w:pPr>
        <w:snapToGrid w:val="0"/>
        <w:spacing w:before="50" w:afterLines="50"/>
        <w:jc w:val="left"/>
        <w:rPr>
          <w:rFonts w:ascii="宋体" w:hAnsi="宋体"/>
          <w:color w:val="auto"/>
          <w:sz w:val="24"/>
        </w:rPr>
      </w:pPr>
    </w:p>
    <w:p>
      <w:pPr>
        <w:numPr>
          <w:ilvl w:val="2"/>
          <w:numId w:val="12"/>
        </w:numPr>
        <w:snapToGrid w:val="0"/>
        <w:spacing w:beforeLines="50" w:after="50"/>
        <w:ind w:left="0" w:firstLine="0"/>
        <w:jc w:val="left"/>
        <w:rPr>
          <w:rFonts w:ascii="宋体" w:hAnsi="宋体"/>
          <w:b/>
          <w:color w:val="auto"/>
          <w:sz w:val="24"/>
        </w:rPr>
      </w:pPr>
      <w:r>
        <w:rPr>
          <w:rFonts w:ascii="宋体" w:hAnsi="宋体"/>
          <w:b/>
          <w:color w:val="auto"/>
          <w:sz w:val="24"/>
        </w:rPr>
        <w:br w:type="page"/>
      </w:r>
      <w:r>
        <w:rPr>
          <w:rFonts w:hint="eastAsia" w:ascii="宋体" w:hAnsi="宋体"/>
          <w:b/>
          <w:color w:val="auto"/>
          <w:sz w:val="28"/>
          <w:szCs w:val="28"/>
        </w:rPr>
        <w:t>投标人直接控股、管理关系信息表</w:t>
      </w:r>
    </w:p>
    <w:p>
      <w:pPr>
        <w:snapToGrid w:val="0"/>
        <w:spacing w:before="50" w:afterLines="50"/>
        <w:jc w:val="center"/>
        <w:rPr>
          <w:rFonts w:ascii="宋体" w:hAnsi="宋体"/>
          <w:b/>
          <w:color w:val="auto"/>
          <w:sz w:val="28"/>
          <w:szCs w:val="28"/>
        </w:rPr>
      </w:pPr>
    </w:p>
    <w:p>
      <w:pPr>
        <w:snapToGrid w:val="0"/>
        <w:spacing w:before="50" w:afterLines="50" w:line="360" w:lineRule="auto"/>
        <w:jc w:val="center"/>
        <w:rPr>
          <w:rFonts w:ascii="宋体" w:hAnsi="宋体"/>
          <w:b/>
          <w:color w:val="auto"/>
          <w:sz w:val="32"/>
          <w:szCs w:val="32"/>
        </w:rPr>
      </w:pPr>
      <w:r>
        <w:rPr>
          <w:rFonts w:hint="eastAsia" w:ascii="宋体" w:hAnsi="宋体"/>
          <w:b/>
          <w:color w:val="auto"/>
          <w:sz w:val="32"/>
          <w:szCs w:val="32"/>
        </w:rPr>
        <w:t>投标人直接控股股东信息表</w:t>
      </w:r>
    </w:p>
    <w:tbl>
      <w:tblPr>
        <w:tblStyle w:val="35"/>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rPr>
            </w:pPr>
            <w:r>
              <w:rPr>
                <w:rFonts w:hint="eastAsia" w:ascii="宋体" w:hAnsi="宋体" w:cs="宋体"/>
                <w:b/>
                <w:bCs/>
                <w:color w:val="auto"/>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r>
    </w:tbl>
    <w:p>
      <w:pPr>
        <w:snapToGrid w:val="0"/>
        <w:spacing w:line="360" w:lineRule="auto"/>
        <w:jc w:val="left"/>
        <w:rPr>
          <w:rFonts w:ascii="宋体" w:hAnsi="宋体"/>
          <w:color w:val="auto"/>
          <w:sz w:val="24"/>
        </w:rPr>
      </w:pPr>
      <w:r>
        <w:rPr>
          <w:rFonts w:hint="eastAsia" w:ascii="宋体" w:hAnsi="宋体"/>
          <w:color w:val="auto"/>
          <w:sz w:val="24"/>
        </w:rPr>
        <w:t>注：</w:t>
      </w:r>
    </w:p>
    <w:p>
      <w:pPr>
        <w:snapToGrid w:val="0"/>
        <w:spacing w:line="360" w:lineRule="auto"/>
        <w:jc w:val="left"/>
        <w:rPr>
          <w:rFonts w:ascii="宋体" w:hAnsi="宋体"/>
          <w:color w:val="auto"/>
          <w:sz w:val="24"/>
        </w:rPr>
      </w:pPr>
      <w:r>
        <w:rPr>
          <w:rFonts w:hint="eastAsia" w:ascii="宋体" w:hAnsi="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宋体" w:hAnsi="宋体"/>
          <w:color w:val="auto"/>
          <w:sz w:val="24"/>
        </w:rPr>
      </w:pPr>
      <w:r>
        <w:rPr>
          <w:rFonts w:hint="eastAsia" w:ascii="宋体" w:hAnsi="宋体"/>
          <w:color w:val="auto"/>
          <w:sz w:val="24"/>
        </w:rPr>
        <w:t>2.本表所指的控股关系仅限于直接控股关系，不包括间接的控股关系。公司实际控制人与公司之间的关系不属于本表所指的直接控股关系。</w:t>
      </w:r>
    </w:p>
    <w:p>
      <w:pPr>
        <w:snapToGrid w:val="0"/>
        <w:spacing w:line="360" w:lineRule="auto"/>
        <w:jc w:val="left"/>
        <w:rPr>
          <w:rFonts w:ascii="宋体" w:hAnsi="宋体"/>
          <w:color w:val="auto"/>
          <w:sz w:val="24"/>
        </w:rPr>
      </w:pPr>
      <w:r>
        <w:rPr>
          <w:rFonts w:hint="eastAsia" w:ascii="宋体" w:hAnsi="宋体"/>
          <w:color w:val="auto"/>
          <w:sz w:val="24"/>
        </w:rPr>
        <w:t>3.供应商不存在直接控股股东的，则填“无”。</w:t>
      </w:r>
    </w:p>
    <w:p>
      <w:pPr>
        <w:snapToGrid w:val="0"/>
        <w:spacing w:line="360" w:lineRule="auto"/>
        <w:jc w:val="left"/>
        <w:rPr>
          <w:rFonts w:ascii="宋体" w:hAnsi="宋体"/>
          <w:color w:val="auto"/>
          <w:sz w:val="24"/>
        </w:rPr>
      </w:pPr>
    </w:p>
    <w:p>
      <w:pPr>
        <w:snapToGrid w:val="0"/>
        <w:spacing w:line="360" w:lineRule="auto"/>
        <w:jc w:val="left"/>
        <w:rPr>
          <w:rFonts w:ascii="宋体" w:hAnsi="宋体"/>
          <w:color w:val="auto"/>
          <w:sz w:val="24"/>
        </w:rPr>
      </w:pPr>
    </w:p>
    <w:p>
      <w:pPr>
        <w:snapToGrid w:val="0"/>
        <w:spacing w:line="360" w:lineRule="auto"/>
        <w:jc w:val="left"/>
        <w:rPr>
          <w:rFonts w:ascii="宋体" w:hAnsi="宋体"/>
          <w:color w:val="auto"/>
          <w:sz w:val="24"/>
        </w:rPr>
      </w:pPr>
    </w:p>
    <w:p>
      <w:pPr>
        <w:snapToGrid w:val="0"/>
        <w:spacing w:line="360" w:lineRule="auto"/>
        <w:jc w:val="left"/>
        <w:rPr>
          <w:rFonts w:ascii="宋体" w:hAnsi="宋体"/>
          <w:color w:val="auto"/>
          <w:sz w:val="24"/>
        </w:rPr>
      </w:pPr>
    </w:p>
    <w:p>
      <w:pPr>
        <w:snapToGrid w:val="0"/>
        <w:spacing w:line="360" w:lineRule="auto"/>
        <w:jc w:val="left"/>
        <w:rPr>
          <w:rFonts w:ascii="宋体" w:hAnsi="宋体"/>
          <w:color w:val="auto"/>
          <w:sz w:val="24"/>
        </w:rPr>
      </w:pPr>
    </w:p>
    <w:p>
      <w:pPr>
        <w:snapToGrid w:val="0"/>
        <w:spacing w:beforeLines="50" w:line="360" w:lineRule="auto"/>
        <w:ind w:right="480"/>
        <w:rPr>
          <w:rFonts w:ascii="宋体" w:hAnsi="宋体"/>
          <w:color w:val="auto"/>
          <w:sz w:val="24"/>
          <w:u w:val="single"/>
        </w:rPr>
      </w:pPr>
      <w:r>
        <w:rPr>
          <w:rFonts w:hint="eastAsia" w:ascii="宋体" w:hAnsi="宋体"/>
          <w:color w:val="auto"/>
          <w:sz w:val="24"/>
        </w:rPr>
        <w:t>法定代表人或者委托代理人（签字/电子签名）：</w:t>
      </w:r>
      <w:r>
        <w:rPr>
          <w:rFonts w:hint="eastAsia" w:ascii="宋体" w:hAnsi="宋体"/>
          <w:color w:val="auto"/>
          <w:sz w:val="24"/>
          <w:u w:val="single"/>
        </w:rPr>
        <w:t xml:space="preserve">                  </w:t>
      </w:r>
    </w:p>
    <w:p>
      <w:pPr>
        <w:snapToGrid w:val="0"/>
        <w:spacing w:beforeLines="50" w:after="50" w:line="360" w:lineRule="auto"/>
        <w:ind w:right="480"/>
        <w:rPr>
          <w:rFonts w:ascii="宋体" w:hAnsi="宋体"/>
          <w:color w:val="auto"/>
          <w:sz w:val="24"/>
          <w:u w:val="single"/>
        </w:rPr>
      </w:pPr>
      <w:r>
        <w:rPr>
          <w:rFonts w:hint="eastAsia" w:ascii="宋体" w:hAnsi="宋体"/>
          <w:color w:val="auto"/>
          <w:sz w:val="24"/>
        </w:rPr>
        <w:t>投标人名称（电子签章）：</w:t>
      </w:r>
      <w:r>
        <w:rPr>
          <w:rFonts w:hint="eastAsia" w:ascii="宋体" w:hAnsi="宋体"/>
          <w:color w:val="auto"/>
          <w:sz w:val="24"/>
          <w:u w:val="single"/>
        </w:rPr>
        <w:t xml:space="preserve">                 </w:t>
      </w:r>
    </w:p>
    <w:p>
      <w:pPr>
        <w:snapToGrid w:val="0"/>
        <w:spacing w:beforeLines="50" w:after="50" w:line="360" w:lineRule="auto"/>
        <w:ind w:right="480" w:firstLine="5520" w:firstLineChars="2300"/>
        <w:rPr>
          <w:rFonts w:ascii="宋体" w:hAnsi="宋体"/>
          <w:color w:val="auto"/>
          <w:szCs w:val="21"/>
        </w:rPr>
      </w:pPr>
      <w:r>
        <w:rPr>
          <w:rFonts w:hint="eastAsia" w:ascii="宋体" w:hAnsi="宋体"/>
          <w:color w:val="auto"/>
          <w:sz w:val="24"/>
        </w:rPr>
        <w:t>年    月    日</w:t>
      </w:r>
    </w:p>
    <w:p>
      <w:pPr>
        <w:snapToGrid w:val="0"/>
        <w:jc w:val="center"/>
        <w:rPr>
          <w:rFonts w:ascii="宋体" w:hAnsi="宋体"/>
          <w:b/>
          <w:color w:val="auto"/>
          <w:sz w:val="28"/>
          <w:szCs w:val="28"/>
        </w:rPr>
      </w:pPr>
      <w:r>
        <w:rPr>
          <w:rFonts w:ascii="宋体" w:hAnsi="宋体"/>
          <w:b/>
          <w:color w:val="auto"/>
          <w:sz w:val="28"/>
          <w:szCs w:val="28"/>
        </w:rPr>
        <w:br w:type="page"/>
      </w:r>
    </w:p>
    <w:p>
      <w:pPr>
        <w:snapToGrid w:val="0"/>
        <w:spacing w:line="360" w:lineRule="auto"/>
        <w:jc w:val="center"/>
        <w:rPr>
          <w:rFonts w:ascii="宋体" w:hAnsi="宋体"/>
          <w:color w:val="auto"/>
          <w:sz w:val="32"/>
          <w:szCs w:val="32"/>
        </w:rPr>
      </w:pPr>
      <w:r>
        <w:rPr>
          <w:rFonts w:hint="eastAsia" w:ascii="宋体" w:hAnsi="宋体"/>
          <w:b/>
          <w:color w:val="auto"/>
          <w:sz w:val="32"/>
          <w:szCs w:val="32"/>
        </w:rPr>
        <w:t>投标人直接管理关系信息表</w:t>
      </w:r>
    </w:p>
    <w:tbl>
      <w:tblPr>
        <w:tblStyle w:val="35"/>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r>
    </w:tbl>
    <w:p>
      <w:pPr>
        <w:snapToGrid w:val="0"/>
        <w:spacing w:line="360" w:lineRule="auto"/>
        <w:jc w:val="left"/>
        <w:rPr>
          <w:rFonts w:ascii="宋体" w:hAnsi="宋体"/>
          <w:color w:val="auto"/>
          <w:sz w:val="24"/>
        </w:rPr>
      </w:pPr>
      <w:r>
        <w:rPr>
          <w:rFonts w:hint="eastAsia" w:ascii="宋体" w:hAnsi="宋体"/>
          <w:color w:val="auto"/>
          <w:sz w:val="24"/>
        </w:rPr>
        <w:t>注：</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2.</w:t>
      </w:r>
      <w:r>
        <w:rPr>
          <w:rFonts w:hint="eastAsia" w:ascii="宋体" w:hAnsi="宋体"/>
          <w:color w:val="auto"/>
          <w:spacing w:val="-6"/>
          <w:sz w:val="24"/>
        </w:rPr>
        <w:t>本表所指的管理关系仅限于直接管理关系，不包括间接的管理关系。</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3.供应商不存在直接管理关系的，则填“无”。</w:t>
      </w:r>
    </w:p>
    <w:p>
      <w:pPr>
        <w:snapToGrid w:val="0"/>
        <w:spacing w:line="360" w:lineRule="auto"/>
        <w:jc w:val="left"/>
        <w:rPr>
          <w:rFonts w:ascii="宋体" w:hAnsi="宋体"/>
          <w:color w:val="auto"/>
          <w:sz w:val="24"/>
        </w:rPr>
      </w:pPr>
    </w:p>
    <w:p>
      <w:pPr>
        <w:snapToGrid w:val="0"/>
        <w:spacing w:line="360" w:lineRule="auto"/>
        <w:jc w:val="left"/>
        <w:rPr>
          <w:rFonts w:ascii="宋体" w:hAnsi="宋体"/>
          <w:color w:val="auto"/>
          <w:sz w:val="24"/>
        </w:rPr>
      </w:pPr>
    </w:p>
    <w:p>
      <w:pPr>
        <w:snapToGrid w:val="0"/>
        <w:spacing w:line="360" w:lineRule="auto"/>
        <w:jc w:val="left"/>
        <w:rPr>
          <w:rFonts w:ascii="宋体" w:hAnsi="宋体"/>
          <w:color w:val="auto"/>
          <w:sz w:val="24"/>
        </w:rPr>
      </w:pPr>
    </w:p>
    <w:p>
      <w:pPr>
        <w:snapToGrid w:val="0"/>
        <w:spacing w:line="360" w:lineRule="auto"/>
        <w:jc w:val="left"/>
        <w:rPr>
          <w:color w:val="auto"/>
          <w:sz w:val="24"/>
        </w:rPr>
      </w:pPr>
    </w:p>
    <w:p>
      <w:pPr>
        <w:snapToGrid w:val="0"/>
        <w:spacing w:line="360" w:lineRule="auto"/>
        <w:jc w:val="left"/>
        <w:rPr>
          <w:color w:val="auto"/>
          <w:sz w:val="24"/>
        </w:rPr>
      </w:pPr>
    </w:p>
    <w:p>
      <w:pPr>
        <w:snapToGrid w:val="0"/>
        <w:spacing w:line="360" w:lineRule="auto"/>
        <w:jc w:val="left"/>
        <w:rPr>
          <w:rFonts w:ascii="宋体" w:hAnsi="宋体"/>
          <w:color w:val="auto"/>
          <w:sz w:val="24"/>
        </w:rPr>
      </w:pPr>
    </w:p>
    <w:p>
      <w:pPr>
        <w:snapToGrid w:val="0"/>
        <w:spacing w:beforeLines="50" w:line="360" w:lineRule="auto"/>
        <w:ind w:right="480"/>
        <w:jc w:val="left"/>
        <w:rPr>
          <w:rFonts w:ascii="宋体" w:hAnsi="宋体"/>
          <w:color w:val="auto"/>
          <w:sz w:val="24"/>
          <w:u w:val="single"/>
        </w:rPr>
      </w:pPr>
      <w:r>
        <w:rPr>
          <w:rFonts w:hint="eastAsia" w:ascii="宋体" w:hAnsi="宋体"/>
          <w:color w:val="auto"/>
          <w:sz w:val="24"/>
        </w:rPr>
        <w:t>法定代表人或者委托代理人（签字/电子签名）：</w:t>
      </w:r>
      <w:r>
        <w:rPr>
          <w:rFonts w:hint="eastAsia" w:ascii="宋体" w:hAnsi="宋体"/>
          <w:color w:val="auto"/>
          <w:sz w:val="24"/>
          <w:u w:val="single"/>
        </w:rPr>
        <w:t xml:space="preserve">             </w:t>
      </w:r>
    </w:p>
    <w:p>
      <w:pPr>
        <w:snapToGrid w:val="0"/>
        <w:spacing w:beforeLines="50" w:after="50" w:line="360" w:lineRule="auto"/>
        <w:ind w:right="480"/>
        <w:jc w:val="left"/>
        <w:rPr>
          <w:rFonts w:ascii="宋体" w:hAnsi="宋体"/>
          <w:color w:val="auto"/>
          <w:sz w:val="24"/>
        </w:rPr>
      </w:pPr>
      <w:r>
        <w:rPr>
          <w:rFonts w:hint="eastAsia" w:ascii="宋体" w:hAnsi="宋体"/>
          <w:color w:val="auto"/>
          <w:sz w:val="24"/>
        </w:rPr>
        <w:t>投标人名称（电子签章）：</w:t>
      </w:r>
      <w:r>
        <w:rPr>
          <w:rFonts w:hint="eastAsia" w:ascii="宋体" w:hAnsi="宋体"/>
          <w:color w:val="auto"/>
          <w:sz w:val="24"/>
          <w:u w:val="single"/>
        </w:rPr>
        <w:t xml:space="preserve">                 </w:t>
      </w:r>
    </w:p>
    <w:p>
      <w:pPr>
        <w:snapToGrid w:val="0"/>
        <w:spacing w:beforeLines="50" w:after="50" w:line="360" w:lineRule="auto"/>
        <w:ind w:right="480" w:firstLine="240" w:firstLineChars="100"/>
        <w:jc w:val="left"/>
        <w:rPr>
          <w:rFonts w:ascii="宋体" w:hAnsi="宋体"/>
          <w:color w:val="auto"/>
          <w:sz w:val="24"/>
        </w:rPr>
      </w:pPr>
      <w:r>
        <w:rPr>
          <w:rFonts w:hint="eastAsia" w:ascii="宋体" w:hAnsi="宋体"/>
          <w:color w:val="auto"/>
          <w:sz w:val="24"/>
        </w:rPr>
        <w:t xml:space="preserve"> </w:t>
      </w:r>
    </w:p>
    <w:p>
      <w:pPr>
        <w:snapToGrid w:val="0"/>
        <w:spacing w:beforeLines="50" w:after="50" w:line="360" w:lineRule="auto"/>
        <w:ind w:right="480" w:firstLine="6960" w:firstLineChars="2900"/>
        <w:jc w:val="left"/>
        <w:rPr>
          <w:rFonts w:ascii="宋体" w:hAnsi="宋体"/>
          <w:color w:val="auto"/>
          <w:sz w:val="24"/>
        </w:rPr>
      </w:pPr>
      <w:r>
        <w:rPr>
          <w:rFonts w:hint="eastAsia" w:ascii="宋体" w:hAnsi="宋体"/>
          <w:color w:val="auto"/>
          <w:sz w:val="24"/>
        </w:rPr>
        <w:t>年    月    日</w:t>
      </w:r>
    </w:p>
    <w:p>
      <w:pPr>
        <w:snapToGrid w:val="0"/>
        <w:spacing w:before="50" w:afterLines="50"/>
        <w:jc w:val="left"/>
        <w:rPr>
          <w:rFonts w:ascii="宋体" w:hAnsi="宋体"/>
          <w:color w:val="auto"/>
          <w:szCs w:val="21"/>
        </w:rPr>
      </w:pPr>
    </w:p>
    <w:p>
      <w:pPr>
        <w:snapToGrid w:val="0"/>
        <w:spacing w:beforeLines="50" w:after="50"/>
        <w:jc w:val="left"/>
        <w:rPr>
          <w:rFonts w:ascii="宋体" w:hAnsi="宋体"/>
          <w:b/>
          <w:color w:val="auto"/>
          <w:sz w:val="24"/>
          <w:szCs w:val="20"/>
        </w:rPr>
      </w:pPr>
    </w:p>
    <w:p>
      <w:pPr>
        <w:numPr>
          <w:ilvl w:val="2"/>
          <w:numId w:val="12"/>
        </w:numPr>
        <w:snapToGrid w:val="0"/>
        <w:spacing w:beforeLines="50" w:after="50"/>
        <w:ind w:left="0" w:firstLine="0"/>
        <w:jc w:val="left"/>
        <w:rPr>
          <w:rFonts w:ascii="宋体" w:hAnsi="宋体"/>
          <w:color w:val="auto"/>
        </w:rPr>
      </w:pPr>
      <w:r>
        <w:rPr>
          <w:rFonts w:ascii="宋体" w:hAnsi="宋体"/>
          <w:b/>
          <w:color w:val="auto"/>
          <w:sz w:val="24"/>
        </w:rPr>
        <w:br w:type="page"/>
      </w:r>
      <w:r>
        <w:rPr>
          <w:rFonts w:hint="eastAsia" w:ascii="宋体" w:hAnsi="宋体"/>
          <w:b/>
          <w:color w:val="auto"/>
          <w:sz w:val="24"/>
        </w:rPr>
        <w:t>投标声明</w:t>
      </w:r>
    </w:p>
    <w:p>
      <w:pPr>
        <w:snapToGrid w:val="0"/>
        <w:spacing w:before="50" w:afterLines="50"/>
        <w:jc w:val="center"/>
        <w:rPr>
          <w:rFonts w:ascii="宋体" w:hAnsi="宋体"/>
          <w:b/>
          <w:color w:val="auto"/>
          <w:sz w:val="28"/>
          <w:szCs w:val="28"/>
        </w:rPr>
      </w:pPr>
      <w:r>
        <w:rPr>
          <w:rFonts w:hint="eastAsia" w:ascii="宋体" w:hAnsi="宋体"/>
          <w:b/>
          <w:color w:val="auto"/>
          <w:sz w:val="32"/>
          <w:szCs w:val="32"/>
        </w:rPr>
        <w:t>投标声明</w:t>
      </w:r>
    </w:p>
    <w:p>
      <w:pPr>
        <w:snapToGrid w:val="0"/>
        <w:spacing w:before="50" w:afterLines="50" w:line="400" w:lineRule="exact"/>
        <w:jc w:val="left"/>
        <w:rPr>
          <w:color w:val="auto"/>
          <w:sz w:val="24"/>
        </w:rPr>
      </w:pPr>
      <w:r>
        <w:rPr>
          <w:rFonts w:hint="eastAsia"/>
          <w:color w:val="auto"/>
          <w:sz w:val="24"/>
        </w:rPr>
        <w:t>（采购人名称）：</w:t>
      </w:r>
    </w:p>
    <w:p>
      <w:pPr>
        <w:snapToGrid w:val="0"/>
        <w:spacing w:before="50" w:afterLines="50" w:line="400" w:lineRule="exact"/>
        <w:ind w:firstLine="405"/>
        <w:jc w:val="left"/>
        <w:rPr>
          <w:rFonts w:ascii="宋体" w:hAnsi="宋体"/>
          <w:color w:val="auto"/>
          <w:sz w:val="24"/>
        </w:rPr>
      </w:pPr>
      <w:r>
        <w:rPr>
          <w:rFonts w:hint="eastAsia" w:ascii="宋体" w:hAnsi="宋体"/>
          <w:color w:val="auto"/>
          <w:sz w:val="24"/>
        </w:rPr>
        <w:t>我方参加贵单位组织</w:t>
      </w:r>
      <w:r>
        <w:rPr>
          <w:rFonts w:hint="eastAsia" w:ascii="宋体" w:hAnsi="宋体"/>
          <w:color w:val="auto"/>
          <w:sz w:val="24"/>
          <w:u w:val="single"/>
        </w:rPr>
        <w:t xml:space="preserve">             </w:t>
      </w:r>
      <w:r>
        <w:rPr>
          <w:rFonts w:hint="eastAsia" w:ascii="宋体" w:hAnsi="宋体"/>
          <w:color w:val="auto"/>
          <w:sz w:val="24"/>
        </w:rPr>
        <w:t>项目（项目编号：</w:t>
      </w:r>
      <w:r>
        <w:rPr>
          <w:rFonts w:hint="eastAsia" w:ascii="宋体" w:hAnsi="宋体"/>
          <w:color w:val="auto"/>
          <w:sz w:val="24"/>
          <w:u w:val="single"/>
        </w:rPr>
        <w:t xml:space="preserve">       </w:t>
      </w:r>
      <w:r>
        <w:rPr>
          <w:rFonts w:hint="eastAsia" w:ascii="宋体" w:hAnsi="宋体"/>
          <w:color w:val="auto"/>
          <w:sz w:val="24"/>
        </w:rPr>
        <w:t>）的政府采购活动。我方在此郑重声明：</w:t>
      </w:r>
    </w:p>
    <w:p>
      <w:pPr>
        <w:snapToGrid w:val="0"/>
        <w:spacing w:before="50" w:afterLines="50" w:line="400" w:lineRule="exact"/>
        <w:ind w:firstLine="480" w:firstLineChars="200"/>
        <w:jc w:val="left"/>
        <w:rPr>
          <w:rFonts w:ascii="宋体" w:hAnsi="宋体"/>
          <w:color w:val="auto"/>
          <w:sz w:val="24"/>
        </w:rPr>
      </w:pPr>
      <w:r>
        <w:rPr>
          <w:rFonts w:hint="eastAsia" w:ascii="宋体" w:hAnsi="宋体"/>
          <w:color w:val="auto"/>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before="50" w:afterLines="50" w:line="400" w:lineRule="exact"/>
        <w:ind w:firstLine="480" w:firstLineChars="200"/>
        <w:jc w:val="left"/>
        <w:rPr>
          <w:rFonts w:ascii="宋体" w:hAnsi="宋体"/>
          <w:color w:val="auto"/>
          <w:sz w:val="24"/>
        </w:rPr>
      </w:pPr>
      <w:r>
        <w:rPr>
          <w:rFonts w:hint="eastAsia" w:ascii="宋体" w:hAnsi="宋体"/>
          <w:color w:val="auto"/>
          <w:sz w:val="24"/>
        </w:rPr>
        <w:t>2.</w:t>
      </w:r>
      <w:r>
        <w:rPr>
          <w:rFonts w:hint="eastAsia"/>
          <w:color w:val="auto"/>
        </w:rPr>
        <w:t xml:space="preserve"> </w:t>
      </w:r>
      <w:r>
        <w:rPr>
          <w:rFonts w:hint="eastAsia" w:ascii="宋体" w:hAnsi="宋体"/>
          <w:color w:val="auto"/>
          <w:sz w:val="24"/>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napToGrid w:val="0"/>
        <w:spacing w:before="50" w:afterLines="50" w:line="400" w:lineRule="exact"/>
        <w:ind w:firstLine="480" w:firstLineChars="200"/>
        <w:jc w:val="left"/>
        <w:rPr>
          <w:rFonts w:ascii="宋体" w:hAnsi="宋体"/>
          <w:color w:val="auto"/>
          <w:sz w:val="24"/>
        </w:rPr>
      </w:pPr>
      <w:r>
        <w:rPr>
          <w:rFonts w:hint="eastAsia" w:ascii="宋体" w:hAnsi="宋体"/>
          <w:color w:val="auto"/>
          <w:sz w:val="24"/>
        </w:rPr>
        <w:t>3. 我方承诺符合《中华人民共和国政府采购法》第二十二条规定：</w:t>
      </w:r>
    </w:p>
    <w:p>
      <w:pPr>
        <w:snapToGrid w:val="0"/>
        <w:spacing w:before="50" w:afterLines="50" w:line="400" w:lineRule="exact"/>
        <w:ind w:firstLine="480" w:firstLineChars="200"/>
        <w:jc w:val="left"/>
        <w:rPr>
          <w:rFonts w:ascii="宋体" w:hAnsi="宋体"/>
          <w:color w:val="auto"/>
          <w:sz w:val="24"/>
        </w:rPr>
      </w:pPr>
      <w:r>
        <w:rPr>
          <w:rFonts w:hint="eastAsia" w:ascii="宋体" w:hAnsi="宋体"/>
          <w:color w:val="auto"/>
          <w:sz w:val="24"/>
        </w:rPr>
        <w:t>（一）具有独立承担民事责任的能力；</w:t>
      </w:r>
    </w:p>
    <w:p>
      <w:pPr>
        <w:snapToGrid w:val="0"/>
        <w:spacing w:before="50" w:afterLines="50" w:line="400" w:lineRule="exact"/>
        <w:ind w:firstLine="480" w:firstLineChars="200"/>
        <w:jc w:val="left"/>
        <w:rPr>
          <w:rFonts w:ascii="宋体" w:hAnsi="宋体"/>
          <w:color w:val="auto"/>
          <w:sz w:val="24"/>
        </w:rPr>
      </w:pPr>
      <w:r>
        <w:rPr>
          <w:rFonts w:hint="eastAsia" w:ascii="宋体" w:hAnsi="宋体"/>
          <w:color w:val="auto"/>
          <w:sz w:val="24"/>
        </w:rPr>
        <w:t>（二）具有良好的商业信誉和健全的财务会计制度；</w:t>
      </w:r>
    </w:p>
    <w:p>
      <w:pPr>
        <w:snapToGrid w:val="0"/>
        <w:spacing w:before="50" w:afterLines="50" w:line="400" w:lineRule="exact"/>
        <w:ind w:firstLine="480" w:firstLineChars="200"/>
        <w:jc w:val="left"/>
        <w:rPr>
          <w:rFonts w:ascii="宋体" w:hAnsi="宋体"/>
          <w:color w:val="auto"/>
          <w:sz w:val="24"/>
        </w:rPr>
      </w:pPr>
      <w:r>
        <w:rPr>
          <w:rFonts w:hint="eastAsia" w:ascii="宋体" w:hAnsi="宋体"/>
          <w:color w:val="auto"/>
          <w:sz w:val="24"/>
        </w:rPr>
        <w:t>（三）具有履行合同所必需的设备和专业技术能力；</w:t>
      </w:r>
    </w:p>
    <w:p>
      <w:pPr>
        <w:snapToGrid w:val="0"/>
        <w:spacing w:before="50" w:afterLines="50" w:line="400" w:lineRule="exact"/>
        <w:ind w:firstLine="480" w:firstLineChars="200"/>
        <w:jc w:val="left"/>
        <w:rPr>
          <w:rFonts w:ascii="宋体" w:hAnsi="宋体"/>
          <w:color w:val="auto"/>
          <w:sz w:val="24"/>
        </w:rPr>
      </w:pPr>
      <w:r>
        <w:rPr>
          <w:rFonts w:hint="eastAsia" w:ascii="宋体" w:hAnsi="宋体"/>
          <w:color w:val="auto"/>
          <w:sz w:val="24"/>
        </w:rPr>
        <w:t>（四）有依法缴纳税收和社会保障资金的良好记录；</w:t>
      </w:r>
    </w:p>
    <w:p>
      <w:pPr>
        <w:snapToGrid w:val="0"/>
        <w:spacing w:before="50" w:afterLines="50" w:line="400" w:lineRule="exact"/>
        <w:ind w:firstLine="480" w:firstLineChars="200"/>
        <w:jc w:val="left"/>
        <w:rPr>
          <w:rFonts w:ascii="宋体" w:hAnsi="宋体"/>
          <w:color w:val="auto"/>
          <w:sz w:val="24"/>
        </w:rPr>
      </w:pPr>
      <w:r>
        <w:rPr>
          <w:rFonts w:hint="eastAsia" w:ascii="宋体" w:hAnsi="宋体"/>
          <w:color w:val="auto"/>
          <w:sz w:val="24"/>
        </w:rPr>
        <w:t>（五）参加政府采购活动前三年内，在经营活动中没有重大违法记录；</w:t>
      </w:r>
    </w:p>
    <w:p>
      <w:pPr>
        <w:snapToGrid w:val="0"/>
        <w:spacing w:before="50" w:afterLines="50" w:line="400" w:lineRule="exact"/>
        <w:ind w:firstLine="480" w:firstLineChars="200"/>
        <w:jc w:val="left"/>
        <w:rPr>
          <w:rFonts w:ascii="宋体" w:hAnsi="宋体"/>
          <w:color w:val="auto"/>
          <w:sz w:val="24"/>
        </w:rPr>
      </w:pPr>
      <w:r>
        <w:rPr>
          <w:rFonts w:hint="eastAsia" w:ascii="宋体" w:hAnsi="宋体"/>
          <w:color w:val="auto"/>
          <w:sz w:val="24"/>
        </w:rPr>
        <w:t>（六）法律、行政法规规定的其他条件。</w:t>
      </w:r>
    </w:p>
    <w:p>
      <w:pPr>
        <w:snapToGrid w:val="0"/>
        <w:spacing w:before="50" w:afterLines="50" w:line="400" w:lineRule="exact"/>
        <w:ind w:firstLine="480" w:firstLineChars="200"/>
        <w:jc w:val="left"/>
        <w:rPr>
          <w:rFonts w:ascii="宋体" w:hAnsi="宋体"/>
          <w:color w:val="auto"/>
          <w:sz w:val="24"/>
        </w:rPr>
      </w:pPr>
      <w:r>
        <w:rPr>
          <w:rFonts w:hint="eastAsia" w:ascii="宋体" w:hAnsi="宋体"/>
          <w:color w:val="auto"/>
          <w:sz w:val="24"/>
        </w:rPr>
        <w:t>4.以上事项如有虚假或者隐瞒，我方愿意承担一切后果，并不再寻求任何旨在减轻或者免除法律责任的辩解。</w:t>
      </w:r>
    </w:p>
    <w:p>
      <w:pPr>
        <w:snapToGrid w:val="0"/>
        <w:spacing w:before="50" w:afterLines="50" w:line="400" w:lineRule="exact"/>
        <w:jc w:val="left"/>
        <w:rPr>
          <w:rFonts w:ascii="宋体" w:hAnsi="宋体"/>
          <w:color w:val="auto"/>
          <w:sz w:val="24"/>
        </w:rPr>
      </w:pPr>
      <w:r>
        <w:rPr>
          <w:rFonts w:hint="eastAsia" w:ascii="宋体" w:hAnsi="宋体"/>
          <w:color w:val="auto"/>
          <w:sz w:val="24"/>
        </w:rPr>
        <w:t xml:space="preserve">    特此承诺。</w:t>
      </w:r>
    </w:p>
    <w:p>
      <w:pPr>
        <w:spacing w:line="440" w:lineRule="exact"/>
        <w:contextualSpacing/>
        <w:rPr>
          <w:rFonts w:ascii="宋体" w:hAnsi="宋体" w:cs="宋体"/>
          <w:b/>
          <w:color w:val="auto"/>
          <w:sz w:val="24"/>
        </w:rPr>
      </w:pPr>
      <w:r>
        <w:rPr>
          <w:rFonts w:hint="eastAsia" w:ascii="宋体" w:hAnsi="宋体"/>
          <w:b/>
          <w:color w:val="auto"/>
          <w:sz w:val="24"/>
        </w:rPr>
        <w:t>注：</w:t>
      </w:r>
      <w:r>
        <w:rPr>
          <w:rFonts w:hint="eastAsia" w:ascii="宋体" w:hAnsi="宋体" w:cs="宋体"/>
          <w:b/>
          <w:color w:val="auto"/>
          <w:sz w:val="24"/>
        </w:rPr>
        <w:t>1.如为联合体投标，盖章处须加盖联合体牵头人电子签章并由联合体各方法定代表人分别签字或者电子签名，否则投标无效。</w:t>
      </w:r>
    </w:p>
    <w:p>
      <w:pPr>
        <w:spacing w:line="440" w:lineRule="exact"/>
        <w:contextualSpacing/>
        <w:jc w:val="left"/>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sz w:val="24"/>
        </w:rPr>
        <w:t>.法定代表人必须在授权委托书上亲笔签字或者盖章或者电子签名，</w:t>
      </w:r>
      <w:r>
        <w:rPr>
          <w:rFonts w:hint="eastAsia" w:ascii="宋体" w:hAnsi="宋体" w:cs="宋体"/>
          <w:b/>
          <w:bCs/>
          <w:color w:val="auto"/>
          <w:sz w:val="24"/>
        </w:rPr>
        <w:t>否则按无效投标处理</w:t>
      </w:r>
      <w:r>
        <w:rPr>
          <w:rFonts w:hint="eastAsia" w:ascii="宋体" w:hAnsi="宋体" w:cs="宋体"/>
          <w:b/>
          <w:color w:val="auto"/>
          <w:sz w:val="24"/>
        </w:rPr>
        <w:t>。</w:t>
      </w:r>
    </w:p>
    <w:p>
      <w:pPr>
        <w:snapToGrid w:val="0"/>
        <w:spacing w:before="50" w:afterLines="50" w:line="400" w:lineRule="exact"/>
        <w:jc w:val="left"/>
        <w:rPr>
          <w:rFonts w:ascii="宋体" w:hAnsi="宋体"/>
          <w:b/>
          <w:color w:val="auto"/>
          <w:sz w:val="24"/>
        </w:rPr>
      </w:pPr>
    </w:p>
    <w:p>
      <w:pPr>
        <w:snapToGrid w:val="0"/>
        <w:spacing w:before="50" w:afterLines="50" w:line="400" w:lineRule="exact"/>
        <w:jc w:val="left"/>
        <w:rPr>
          <w:rFonts w:ascii="宋体" w:hAnsi="宋体"/>
          <w:color w:val="auto"/>
          <w:sz w:val="24"/>
        </w:rPr>
      </w:pPr>
      <w:r>
        <w:rPr>
          <w:rFonts w:hint="eastAsia" w:ascii="宋体" w:hAnsi="宋体"/>
          <w:color w:val="auto"/>
          <w:sz w:val="24"/>
        </w:rPr>
        <w:t xml:space="preserve">                                  法定代表人（签字或者盖章或者电子签名）：</w:t>
      </w:r>
      <w:r>
        <w:rPr>
          <w:rFonts w:hint="eastAsia" w:ascii="宋体" w:hAnsi="宋体"/>
          <w:color w:val="auto"/>
          <w:sz w:val="24"/>
          <w:u w:val="single"/>
        </w:rPr>
        <w:t xml:space="preserve">             </w:t>
      </w:r>
    </w:p>
    <w:p>
      <w:pPr>
        <w:snapToGrid w:val="0"/>
        <w:spacing w:before="50" w:afterLines="50" w:line="400" w:lineRule="exact"/>
        <w:jc w:val="left"/>
        <w:rPr>
          <w:rFonts w:ascii="宋体" w:hAnsi="宋体"/>
          <w:color w:val="auto"/>
          <w:sz w:val="24"/>
        </w:rPr>
      </w:pPr>
      <w:r>
        <w:rPr>
          <w:rFonts w:hint="eastAsia" w:ascii="宋体" w:hAnsi="宋体"/>
          <w:color w:val="auto"/>
          <w:sz w:val="24"/>
        </w:rPr>
        <w:t xml:space="preserve">                                       投标人名称（电子签章）：</w:t>
      </w:r>
      <w:r>
        <w:rPr>
          <w:rFonts w:hint="eastAsia" w:ascii="宋体" w:hAnsi="宋体"/>
          <w:color w:val="auto"/>
          <w:sz w:val="24"/>
          <w:u w:val="single"/>
        </w:rPr>
        <w:t xml:space="preserve">                 </w:t>
      </w:r>
    </w:p>
    <w:p>
      <w:pPr>
        <w:snapToGrid w:val="0"/>
        <w:spacing w:before="50" w:afterLines="50" w:line="400" w:lineRule="exact"/>
        <w:jc w:val="left"/>
        <w:rPr>
          <w:rFonts w:ascii="宋体" w:hAnsi="宋体"/>
          <w:color w:val="auto"/>
        </w:rPr>
      </w:pPr>
      <w:r>
        <w:rPr>
          <w:rFonts w:hint="eastAsia" w:ascii="宋体" w:hAnsi="宋体"/>
          <w:color w:val="auto"/>
          <w:sz w:val="24"/>
        </w:rPr>
        <w:t xml:space="preserve">                                                  年    月    日</w:t>
      </w:r>
    </w:p>
    <w:p>
      <w:pPr>
        <w:snapToGrid w:val="0"/>
        <w:spacing w:beforeLines="50" w:after="50" w:line="360" w:lineRule="auto"/>
        <w:outlineLvl w:val="1"/>
        <w:rPr>
          <w:rFonts w:ascii="宋体" w:hAnsi="宋体"/>
          <w:b/>
          <w:bCs/>
          <w:color w:val="auto"/>
          <w:sz w:val="28"/>
          <w:szCs w:val="28"/>
        </w:rPr>
      </w:pPr>
      <w:r>
        <w:rPr>
          <w:rFonts w:ascii="宋体" w:hAnsi="宋体"/>
          <w:color w:val="auto"/>
          <w:sz w:val="24"/>
        </w:rPr>
        <w:br w:type="page"/>
      </w:r>
      <w:bookmarkStart w:id="161" w:name="_Toc19686838"/>
      <w:r>
        <w:rPr>
          <w:rFonts w:hint="eastAsia" w:ascii="宋体" w:hAnsi="宋体"/>
          <w:b/>
          <w:bCs/>
          <w:color w:val="auto"/>
          <w:sz w:val="28"/>
          <w:szCs w:val="28"/>
        </w:rPr>
        <w:t>三、商务文件格式</w:t>
      </w:r>
      <w:bookmarkEnd w:id="161"/>
    </w:p>
    <w:p>
      <w:pPr>
        <w:snapToGrid w:val="0"/>
        <w:spacing w:beforeLines="50" w:after="50" w:line="360" w:lineRule="auto"/>
        <w:jc w:val="left"/>
        <w:rPr>
          <w:rFonts w:ascii="宋体" w:hAnsi="宋体"/>
          <w:b/>
          <w:color w:val="auto"/>
          <w:sz w:val="24"/>
        </w:rPr>
      </w:pPr>
      <w:r>
        <w:rPr>
          <w:rFonts w:hint="eastAsia" w:ascii="宋体" w:hAnsi="宋体"/>
          <w:b/>
          <w:color w:val="auto"/>
          <w:sz w:val="24"/>
        </w:rPr>
        <w:t xml:space="preserve">1.商务文件封面格式： </w:t>
      </w:r>
    </w:p>
    <w:p>
      <w:pPr>
        <w:snapToGrid w:val="0"/>
        <w:spacing w:beforeLines="50" w:after="50"/>
        <w:rPr>
          <w:rFonts w:ascii="宋体" w:hAnsi="宋体"/>
          <w:bCs/>
          <w:color w:val="auto"/>
          <w:sz w:val="32"/>
          <w:szCs w:val="20"/>
        </w:rPr>
      </w:pPr>
      <w:r>
        <w:rPr>
          <w:rFonts w:hint="eastAsia" w:ascii="宋体" w:hAnsi="宋体"/>
          <w:color w:val="auto"/>
          <w:sz w:val="24"/>
        </w:rPr>
        <w:t xml:space="preserve">                                                    </w:t>
      </w:r>
    </w:p>
    <w:p>
      <w:pPr>
        <w:snapToGrid w:val="0"/>
        <w:spacing w:beforeLines="50" w:after="50"/>
        <w:jc w:val="center"/>
        <w:rPr>
          <w:rFonts w:ascii="宋体" w:hAnsi="宋体" w:cs="宋体"/>
          <w:color w:val="auto"/>
          <w:sz w:val="84"/>
          <w:szCs w:val="84"/>
        </w:rPr>
      </w:pPr>
      <w:r>
        <w:rPr>
          <w:rFonts w:hint="eastAsia" w:ascii="宋体" w:hAnsi="宋体" w:cs="宋体"/>
          <w:color w:val="auto"/>
          <w:sz w:val="84"/>
          <w:szCs w:val="84"/>
        </w:rPr>
        <w:t>投  标  文  件</w:t>
      </w:r>
    </w:p>
    <w:p>
      <w:pPr>
        <w:snapToGrid w:val="0"/>
        <w:spacing w:beforeLines="50" w:after="50"/>
        <w:rPr>
          <w:rFonts w:ascii="宋体" w:hAnsi="宋体"/>
          <w:color w:val="auto"/>
          <w:sz w:val="24"/>
          <w:szCs w:val="20"/>
        </w:rPr>
      </w:pPr>
    </w:p>
    <w:p>
      <w:pPr>
        <w:snapToGrid w:val="0"/>
        <w:spacing w:beforeLines="50" w:after="50"/>
        <w:jc w:val="center"/>
        <w:rPr>
          <w:rFonts w:ascii="宋体" w:hAnsi="宋体"/>
          <w:b/>
          <w:color w:val="auto"/>
          <w:sz w:val="44"/>
          <w:szCs w:val="32"/>
        </w:rPr>
      </w:pPr>
      <w:r>
        <w:rPr>
          <w:rFonts w:hint="eastAsia" w:ascii="宋体" w:hAnsi="宋体"/>
          <w:b/>
          <w:color w:val="auto"/>
          <w:sz w:val="52"/>
          <w:szCs w:val="52"/>
        </w:rPr>
        <w:t>商务文件</w:t>
      </w:r>
    </w:p>
    <w:p>
      <w:pPr>
        <w:snapToGrid w:val="0"/>
        <w:spacing w:beforeLines="50" w:after="50"/>
        <w:rPr>
          <w:rFonts w:ascii="宋体" w:hAnsi="宋体"/>
          <w:bCs/>
          <w:color w:val="auto"/>
          <w:sz w:val="24"/>
          <w:szCs w:val="20"/>
        </w:rPr>
      </w:pPr>
    </w:p>
    <w:p>
      <w:pPr>
        <w:snapToGrid w:val="0"/>
        <w:spacing w:beforeLines="50" w:after="50"/>
        <w:ind w:firstLine="540" w:firstLineChars="225"/>
        <w:rPr>
          <w:rFonts w:ascii="宋体" w:hAnsi="宋体"/>
          <w:bCs/>
          <w:color w:val="auto"/>
          <w:sz w:val="24"/>
        </w:rPr>
      </w:pPr>
      <w:r>
        <w:rPr>
          <w:rFonts w:hint="eastAsia" w:ascii="宋体" w:hAnsi="宋体"/>
          <w:bCs/>
          <w:color w:val="auto"/>
          <w:sz w:val="24"/>
        </w:rPr>
        <w:t>项目名称：</w:t>
      </w:r>
    </w:p>
    <w:p>
      <w:pPr>
        <w:snapToGrid w:val="0"/>
        <w:spacing w:beforeLines="50" w:after="50"/>
        <w:ind w:firstLine="540" w:firstLineChars="225"/>
        <w:rPr>
          <w:rFonts w:ascii="宋体" w:hAnsi="宋体"/>
          <w:bCs/>
          <w:color w:val="auto"/>
          <w:sz w:val="24"/>
          <w:szCs w:val="20"/>
        </w:rPr>
      </w:pPr>
    </w:p>
    <w:p>
      <w:pPr>
        <w:snapToGrid w:val="0"/>
        <w:spacing w:beforeLines="50" w:after="50"/>
        <w:ind w:firstLine="540" w:firstLineChars="225"/>
        <w:rPr>
          <w:rFonts w:ascii="宋体" w:hAnsi="宋体"/>
          <w:bCs/>
          <w:color w:val="auto"/>
          <w:sz w:val="24"/>
        </w:rPr>
      </w:pPr>
      <w:r>
        <w:rPr>
          <w:rFonts w:hint="eastAsia" w:ascii="宋体" w:hAnsi="宋体"/>
          <w:bCs/>
          <w:color w:val="auto"/>
          <w:sz w:val="24"/>
        </w:rPr>
        <w:t>项目编号：</w:t>
      </w:r>
    </w:p>
    <w:p>
      <w:pPr>
        <w:snapToGrid w:val="0"/>
        <w:spacing w:beforeLines="50" w:after="50"/>
        <w:ind w:firstLine="540" w:firstLineChars="225"/>
        <w:rPr>
          <w:rFonts w:ascii="宋体" w:hAnsi="宋体"/>
          <w:bCs/>
          <w:color w:val="auto"/>
          <w:sz w:val="24"/>
          <w:szCs w:val="20"/>
        </w:rPr>
      </w:pPr>
      <w:r>
        <w:rPr>
          <w:rFonts w:hint="eastAsia" w:ascii="宋体" w:hAnsi="宋体"/>
          <w:bCs/>
          <w:color w:val="auto"/>
          <w:sz w:val="24"/>
        </w:rPr>
        <w:t xml:space="preserve"> </w:t>
      </w:r>
    </w:p>
    <w:p>
      <w:pPr>
        <w:snapToGrid w:val="0"/>
        <w:spacing w:beforeLines="50" w:after="50"/>
        <w:ind w:firstLine="540" w:firstLineChars="225"/>
        <w:rPr>
          <w:rFonts w:ascii="宋体" w:hAnsi="宋体"/>
          <w:bCs/>
          <w:color w:val="auto"/>
          <w:sz w:val="24"/>
        </w:rPr>
      </w:pPr>
      <w:r>
        <w:rPr>
          <w:rFonts w:hint="eastAsia" w:ascii="宋体" w:hAnsi="宋体"/>
          <w:bCs/>
          <w:color w:val="auto"/>
          <w:sz w:val="24"/>
        </w:rPr>
        <w:t>所投分标：</w:t>
      </w:r>
    </w:p>
    <w:p>
      <w:pPr>
        <w:snapToGrid w:val="0"/>
        <w:spacing w:beforeLines="50" w:after="50"/>
        <w:ind w:firstLine="540" w:firstLineChars="225"/>
        <w:rPr>
          <w:rFonts w:ascii="宋体" w:hAnsi="宋体"/>
          <w:bCs/>
          <w:color w:val="auto"/>
          <w:sz w:val="24"/>
          <w:szCs w:val="20"/>
        </w:rPr>
      </w:pPr>
    </w:p>
    <w:p>
      <w:pPr>
        <w:pStyle w:val="7"/>
        <w:snapToGrid w:val="0"/>
        <w:spacing w:before="50" w:after="50"/>
        <w:ind w:firstLine="540" w:firstLineChars="225"/>
        <w:rPr>
          <w:rFonts w:ascii="宋体" w:hAnsi="宋体"/>
          <w:bCs/>
          <w:color w:val="auto"/>
          <w:sz w:val="24"/>
          <w:szCs w:val="24"/>
        </w:rPr>
      </w:pPr>
      <w:r>
        <w:rPr>
          <w:rFonts w:hint="eastAsia" w:ascii="宋体" w:hAnsi="宋体"/>
          <w:bCs/>
          <w:color w:val="auto"/>
          <w:sz w:val="24"/>
          <w:szCs w:val="24"/>
        </w:rPr>
        <w:t>投标人名称：</w:t>
      </w:r>
    </w:p>
    <w:p>
      <w:pPr>
        <w:pStyle w:val="7"/>
        <w:snapToGrid w:val="0"/>
        <w:spacing w:before="50" w:after="50"/>
        <w:ind w:firstLine="540" w:firstLineChars="225"/>
        <w:rPr>
          <w:rFonts w:ascii="宋体" w:hAnsi="宋体"/>
          <w:bCs/>
          <w:color w:val="auto"/>
          <w:sz w:val="24"/>
          <w:szCs w:val="24"/>
        </w:rPr>
      </w:pPr>
    </w:p>
    <w:p>
      <w:pPr>
        <w:pStyle w:val="7"/>
        <w:snapToGrid w:val="0"/>
        <w:spacing w:before="50" w:after="50"/>
        <w:ind w:firstLine="540" w:firstLineChars="225"/>
        <w:rPr>
          <w:rFonts w:ascii="宋体" w:hAnsi="宋体"/>
          <w:bCs/>
          <w:color w:val="auto"/>
          <w:sz w:val="24"/>
          <w:szCs w:val="24"/>
        </w:rPr>
      </w:pPr>
      <w:r>
        <w:rPr>
          <w:rFonts w:hint="eastAsia" w:ascii="宋体" w:hAnsi="宋体"/>
          <w:bCs/>
          <w:color w:val="auto"/>
          <w:sz w:val="24"/>
          <w:szCs w:val="24"/>
        </w:rPr>
        <w:t>投标人地址：</w:t>
      </w:r>
    </w:p>
    <w:p>
      <w:pPr>
        <w:pStyle w:val="7"/>
        <w:snapToGrid w:val="0"/>
        <w:spacing w:before="50" w:after="50"/>
        <w:ind w:firstLine="960" w:firstLineChars="400"/>
        <w:rPr>
          <w:rFonts w:ascii="宋体" w:hAnsi="宋体"/>
          <w:bCs/>
          <w:color w:val="auto"/>
          <w:sz w:val="24"/>
          <w:szCs w:val="24"/>
        </w:rPr>
      </w:pPr>
    </w:p>
    <w:p>
      <w:pPr>
        <w:snapToGrid w:val="0"/>
        <w:spacing w:beforeLines="50" w:after="50"/>
        <w:ind w:firstLine="645"/>
        <w:rPr>
          <w:rFonts w:ascii="宋体" w:hAnsi="宋体"/>
          <w:color w:val="auto"/>
          <w:sz w:val="24"/>
        </w:rPr>
      </w:pPr>
      <w:r>
        <w:rPr>
          <w:rFonts w:hint="eastAsia" w:ascii="宋体" w:hAnsi="宋体"/>
          <w:color w:val="auto"/>
          <w:sz w:val="24"/>
        </w:rPr>
        <w:t xml:space="preserve">                        年  月  日</w:t>
      </w:r>
    </w:p>
    <w:p>
      <w:pPr>
        <w:snapToGrid w:val="0"/>
        <w:spacing w:beforeLines="50" w:after="50"/>
        <w:rPr>
          <w:rFonts w:ascii="宋体" w:hAnsi="宋体"/>
          <w:color w:val="auto"/>
          <w:sz w:val="24"/>
          <w:szCs w:val="20"/>
        </w:rPr>
      </w:pPr>
      <w:r>
        <w:rPr>
          <w:rFonts w:ascii="宋体" w:hAnsi="宋体"/>
          <w:color w:val="auto"/>
          <w:sz w:val="24"/>
          <w:szCs w:val="20"/>
        </w:rPr>
        <w:t xml:space="preserve"> </w:t>
      </w:r>
    </w:p>
    <w:p>
      <w:pPr>
        <w:snapToGrid w:val="0"/>
        <w:spacing w:line="360" w:lineRule="auto"/>
        <w:jc w:val="left"/>
        <w:rPr>
          <w:rFonts w:ascii="宋体" w:hAnsi="宋体"/>
          <w:b/>
          <w:bCs/>
          <w:color w:val="auto"/>
          <w:sz w:val="28"/>
          <w:szCs w:val="28"/>
        </w:rPr>
      </w:pPr>
      <w:r>
        <w:rPr>
          <w:rFonts w:ascii="宋体" w:hAnsi="宋体"/>
          <w:color w:val="auto"/>
          <w:sz w:val="24"/>
          <w:szCs w:val="20"/>
        </w:rPr>
        <w:br w:type="page"/>
      </w:r>
      <w:r>
        <w:rPr>
          <w:rFonts w:hint="eastAsia" w:ascii="宋体" w:hAnsi="宋体"/>
          <w:b/>
          <w:bCs/>
          <w:color w:val="auto"/>
          <w:sz w:val="28"/>
          <w:szCs w:val="28"/>
        </w:rPr>
        <w:t>2.商务文件目录</w:t>
      </w:r>
    </w:p>
    <w:p>
      <w:pPr>
        <w:snapToGrid w:val="0"/>
        <w:spacing w:before="50" w:afterLines="50" w:line="360" w:lineRule="auto"/>
        <w:jc w:val="left"/>
        <w:rPr>
          <w:rFonts w:ascii="微软雅黑" w:hAnsi="微软雅黑" w:eastAsia="微软雅黑"/>
          <w:b/>
          <w:bCs/>
          <w:color w:val="auto"/>
          <w:sz w:val="24"/>
        </w:rPr>
      </w:pPr>
      <w:r>
        <w:rPr>
          <w:rFonts w:hint="eastAsia" w:ascii="宋体" w:hAnsi="宋体"/>
          <w:color w:val="auto"/>
          <w:szCs w:val="21"/>
        </w:rPr>
        <w:t>根据招标文件规定及投标人提供的材料自行编写目录。</w:t>
      </w:r>
    </w:p>
    <w:p>
      <w:pPr>
        <w:snapToGrid w:val="0"/>
        <w:spacing w:before="50" w:afterLines="50"/>
        <w:jc w:val="left"/>
        <w:rPr>
          <w:rFonts w:ascii="宋体" w:hAnsi="宋体"/>
          <w:color w:val="auto"/>
        </w:rPr>
      </w:pPr>
    </w:p>
    <w:p>
      <w:pPr>
        <w:snapToGrid w:val="0"/>
        <w:spacing w:beforeLines="50" w:after="50"/>
        <w:jc w:val="left"/>
        <w:rPr>
          <w:rFonts w:ascii="宋体" w:hAnsi="宋体"/>
          <w:b/>
          <w:color w:val="auto"/>
          <w:sz w:val="24"/>
        </w:rPr>
      </w:pPr>
      <w:r>
        <w:rPr>
          <w:rFonts w:ascii="宋体" w:hAnsi="宋体"/>
          <w:b/>
          <w:color w:val="auto"/>
          <w:sz w:val="24"/>
        </w:rPr>
        <w:br w:type="page"/>
      </w:r>
      <w:r>
        <w:rPr>
          <w:rFonts w:hint="eastAsia" w:ascii="宋体" w:hAnsi="宋体"/>
          <w:b/>
          <w:color w:val="auto"/>
          <w:sz w:val="24"/>
        </w:rPr>
        <w:t>1.投标人参加本项目无围标串标行为的承诺</w:t>
      </w:r>
    </w:p>
    <w:p>
      <w:pPr>
        <w:snapToGrid w:val="0"/>
        <w:spacing w:beforeLines="50" w:after="50"/>
        <w:jc w:val="left"/>
        <w:rPr>
          <w:rFonts w:ascii="宋体" w:hAnsi="宋体"/>
          <w:b/>
          <w:color w:val="auto"/>
          <w:sz w:val="24"/>
        </w:rPr>
      </w:pPr>
    </w:p>
    <w:p>
      <w:pPr>
        <w:snapToGrid w:val="0"/>
        <w:spacing w:beforeLines="50" w:after="50"/>
        <w:ind w:left="420"/>
        <w:jc w:val="center"/>
        <w:rPr>
          <w:rFonts w:ascii="宋体" w:hAnsi="宋体"/>
          <w:b/>
          <w:color w:val="auto"/>
          <w:sz w:val="32"/>
          <w:szCs w:val="32"/>
        </w:rPr>
      </w:pPr>
      <w:r>
        <w:rPr>
          <w:rFonts w:hint="eastAsia" w:ascii="宋体" w:hAnsi="宋体"/>
          <w:b/>
          <w:color w:val="auto"/>
          <w:sz w:val="32"/>
          <w:szCs w:val="32"/>
        </w:rPr>
        <w:t>投标人参加本项目无围标串标行为的承诺函</w:t>
      </w:r>
    </w:p>
    <w:p>
      <w:pPr>
        <w:snapToGrid w:val="0"/>
        <w:spacing w:beforeLines="50" w:after="50"/>
        <w:rPr>
          <w:rFonts w:ascii="宋体" w:hAnsi="宋体"/>
          <w:b/>
          <w:color w:val="auto"/>
          <w:sz w:val="24"/>
        </w:rPr>
      </w:pPr>
    </w:p>
    <w:p>
      <w:pPr>
        <w:snapToGrid w:val="0"/>
        <w:spacing w:beforeLines="50" w:after="50" w:line="380" w:lineRule="exact"/>
        <w:jc w:val="left"/>
        <w:rPr>
          <w:rFonts w:ascii="宋体" w:hAnsi="宋体"/>
          <w:b/>
          <w:color w:val="auto"/>
          <w:sz w:val="24"/>
        </w:rPr>
      </w:pPr>
      <w:r>
        <w:rPr>
          <w:rFonts w:hint="eastAsia" w:ascii="宋体" w:hAnsi="宋体"/>
          <w:b/>
          <w:color w:val="auto"/>
          <w:sz w:val="24"/>
        </w:rPr>
        <w:t>一、我方承诺无下列相互串通投标的情形：</w:t>
      </w:r>
    </w:p>
    <w:p>
      <w:pPr>
        <w:snapToGrid w:val="0"/>
        <w:spacing w:beforeLines="50" w:after="50" w:line="380" w:lineRule="exact"/>
        <w:ind w:firstLine="470" w:firstLineChars="196"/>
        <w:jc w:val="left"/>
        <w:rPr>
          <w:rFonts w:ascii="宋体" w:hAnsi="宋体"/>
          <w:color w:val="auto"/>
          <w:sz w:val="24"/>
        </w:rPr>
      </w:pPr>
      <w:r>
        <w:rPr>
          <w:rFonts w:hint="eastAsia" w:ascii="宋体" w:hAnsi="宋体"/>
          <w:color w:val="auto"/>
          <w:sz w:val="24"/>
        </w:rPr>
        <w:t>1.不同投标人的投标文件由同一单位或者个人编制；或者不同投标人报名的IP地址一致的；或者编制标书硬件设备CPU编号、硬盘编号、网卡地址一致的情况；</w:t>
      </w:r>
    </w:p>
    <w:p>
      <w:pPr>
        <w:snapToGrid w:val="0"/>
        <w:spacing w:beforeLines="50" w:after="50" w:line="380" w:lineRule="exact"/>
        <w:ind w:firstLine="470" w:firstLineChars="196"/>
        <w:jc w:val="left"/>
        <w:rPr>
          <w:rFonts w:ascii="宋体" w:hAnsi="宋体"/>
          <w:color w:val="auto"/>
          <w:sz w:val="24"/>
        </w:rPr>
      </w:pPr>
      <w:r>
        <w:rPr>
          <w:rFonts w:hint="eastAsia" w:ascii="宋体" w:hAnsi="宋体"/>
          <w:color w:val="auto"/>
          <w:sz w:val="24"/>
        </w:rPr>
        <w:t>2.不同投标人委托同一单位或者个人办理投标事宜；</w:t>
      </w:r>
    </w:p>
    <w:p>
      <w:pPr>
        <w:snapToGrid w:val="0"/>
        <w:spacing w:beforeLines="50" w:after="50" w:line="380" w:lineRule="exact"/>
        <w:ind w:firstLine="470" w:firstLineChars="196"/>
        <w:jc w:val="left"/>
        <w:rPr>
          <w:rFonts w:ascii="宋体" w:hAnsi="宋体"/>
          <w:color w:val="auto"/>
          <w:sz w:val="24"/>
        </w:rPr>
      </w:pPr>
      <w:r>
        <w:rPr>
          <w:rFonts w:hint="eastAsia" w:ascii="宋体" w:hAnsi="宋体"/>
          <w:color w:val="auto"/>
          <w:sz w:val="24"/>
        </w:rPr>
        <w:t>3.不同的投标人的投标文件载明的项目管理员为同一个人；</w:t>
      </w:r>
    </w:p>
    <w:p>
      <w:pPr>
        <w:snapToGrid w:val="0"/>
        <w:spacing w:beforeLines="50" w:after="50" w:line="380" w:lineRule="exact"/>
        <w:ind w:firstLine="470" w:firstLineChars="196"/>
        <w:jc w:val="left"/>
        <w:rPr>
          <w:rFonts w:ascii="宋体" w:hAnsi="宋体"/>
          <w:color w:val="auto"/>
          <w:sz w:val="24"/>
        </w:rPr>
      </w:pPr>
      <w:r>
        <w:rPr>
          <w:rFonts w:hint="eastAsia" w:ascii="宋体" w:hAnsi="宋体"/>
          <w:color w:val="auto"/>
          <w:sz w:val="24"/>
        </w:rPr>
        <w:t>4.不同投标人的投标文件异常一致或者投标报价呈规律性差异；</w:t>
      </w:r>
    </w:p>
    <w:p>
      <w:pPr>
        <w:snapToGrid w:val="0"/>
        <w:spacing w:beforeLines="50" w:after="50" w:line="380" w:lineRule="exact"/>
        <w:ind w:firstLine="470" w:firstLineChars="196"/>
        <w:jc w:val="left"/>
        <w:rPr>
          <w:rFonts w:ascii="宋体" w:hAnsi="宋体"/>
          <w:color w:val="auto"/>
          <w:sz w:val="24"/>
        </w:rPr>
      </w:pPr>
      <w:r>
        <w:rPr>
          <w:rFonts w:hint="eastAsia" w:ascii="宋体" w:hAnsi="宋体"/>
          <w:color w:val="auto"/>
          <w:sz w:val="24"/>
        </w:rPr>
        <w:t>5.不同投标人的投标文件相互混装；</w:t>
      </w:r>
    </w:p>
    <w:p>
      <w:pPr>
        <w:snapToGrid w:val="0"/>
        <w:spacing w:beforeLines="50" w:after="50" w:line="380" w:lineRule="exact"/>
        <w:ind w:firstLine="470" w:firstLineChars="196"/>
        <w:jc w:val="left"/>
        <w:rPr>
          <w:rFonts w:ascii="宋体" w:hAnsi="宋体"/>
          <w:color w:val="auto"/>
          <w:sz w:val="24"/>
        </w:rPr>
      </w:pPr>
      <w:r>
        <w:rPr>
          <w:rFonts w:hint="eastAsia" w:ascii="宋体" w:hAnsi="宋体"/>
          <w:color w:val="auto"/>
          <w:sz w:val="24"/>
        </w:rPr>
        <w:t>6.不同投标人的投标保证金从同一单位或者个人账户转出。</w:t>
      </w:r>
    </w:p>
    <w:p>
      <w:pPr>
        <w:snapToGrid w:val="0"/>
        <w:spacing w:beforeLines="50" w:after="50" w:line="380" w:lineRule="exact"/>
        <w:jc w:val="left"/>
        <w:rPr>
          <w:rFonts w:ascii="宋体" w:hAnsi="宋体"/>
          <w:color w:val="auto"/>
          <w:sz w:val="24"/>
        </w:rPr>
      </w:pPr>
      <w:r>
        <w:rPr>
          <w:rFonts w:hint="eastAsia" w:ascii="宋体" w:hAnsi="宋体"/>
          <w:b/>
          <w:color w:val="auto"/>
          <w:sz w:val="24"/>
        </w:rPr>
        <w:t>二、我方承诺无下列恶意串通的情形：</w:t>
      </w:r>
    </w:p>
    <w:p>
      <w:pPr>
        <w:snapToGrid w:val="0"/>
        <w:spacing w:beforeLines="50" w:after="50" w:line="380" w:lineRule="exact"/>
        <w:ind w:firstLine="470" w:firstLineChars="196"/>
        <w:jc w:val="left"/>
        <w:rPr>
          <w:rFonts w:ascii="宋体" w:hAnsi="宋体"/>
          <w:color w:val="auto"/>
          <w:sz w:val="24"/>
        </w:rPr>
      </w:pPr>
      <w:r>
        <w:rPr>
          <w:rFonts w:hint="eastAsia" w:ascii="宋体" w:hAnsi="宋体"/>
          <w:color w:val="auto"/>
          <w:sz w:val="24"/>
        </w:rPr>
        <w:t>1.投标人直接或者间接从采购人或者采购代理机构处获得其他投标人的相关信息并修改其投标文件或者响应文件；</w:t>
      </w:r>
    </w:p>
    <w:p>
      <w:pPr>
        <w:snapToGrid w:val="0"/>
        <w:spacing w:beforeLines="50" w:after="50" w:line="380" w:lineRule="exact"/>
        <w:ind w:firstLine="470" w:firstLineChars="196"/>
        <w:jc w:val="left"/>
        <w:rPr>
          <w:rFonts w:ascii="宋体" w:hAnsi="宋体"/>
          <w:color w:val="auto"/>
          <w:sz w:val="24"/>
        </w:rPr>
      </w:pPr>
      <w:r>
        <w:rPr>
          <w:rFonts w:hint="eastAsia" w:ascii="宋体" w:hAnsi="宋体"/>
          <w:color w:val="auto"/>
          <w:sz w:val="24"/>
        </w:rPr>
        <w:t>2.投标人按照采购人或者采购代理机构的授意撤换、修改投标文件或者响应文件；</w:t>
      </w:r>
    </w:p>
    <w:p>
      <w:pPr>
        <w:snapToGrid w:val="0"/>
        <w:spacing w:beforeLines="50" w:after="50" w:line="380" w:lineRule="exact"/>
        <w:ind w:firstLine="470" w:firstLineChars="196"/>
        <w:jc w:val="left"/>
        <w:rPr>
          <w:rFonts w:ascii="宋体" w:hAnsi="宋体"/>
          <w:color w:val="auto"/>
          <w:sz w:val="24"/>
        </w:rPr>
      </w:pPr>
      <w:r>
        <w:rPr>
          <w:rFonts w:hint="eastAsia" w:ascii="宋体" w:hAnsi="宋体"/>
          <w:color w:val="auto"/>
          <w:sz w:val="24"/>
        </w:rPr>
        <w:t>3.投标人之间协商报价、技术方案等投标文件或者响应文件的实质性内容；</w:t>
      </w:r>
    </w:p>
    <w:p>
      <w:pPr>
        <w:snapToGrid w:val="0"/>
        <w:spacing w:beforeLines="50" w:after="50" w:line="380" w:lineRule="exact"/>
        <w:ind w:firstLine="470" w:firstLineChars="196"/>
        <w:jc w:val="left"/>
        <w:rPr>
          <w:rFonts w:ascii="宋体" w:hAnsi="宋体"/>
          <w:color w:val="auto"/>
          <w:sz w:val="24"/>
        </w:rPr>
      </w:pPr>
      <w:r>
        <w:rPr>
          <w:rFonts w:hint="eastAsia" w:ascii="宋体" w:hAnsi="宋体"/>
          <w:color w:val="auto"/>
          <w:sz w:val="24"/>
        </w:rPr>
        <w:t>4.属于同一集团、协会、商会等组织成员的投标人按照该组织要求协同参加政府采购活动；</w:t>
      </w:r>
    </w:p>
    <w:p>
      <w:pPr>
        <w:snapToGrid w:val="0"/>
        <w:spacing w:beforeLines="50" w:after="50" w:line="380" w:lineRule="exact"/>
        <w:ind w:firstLine="470" w:firstLineChars="196"/>
        <w:jc w:val="left"/>
        <w:rPr>
          <w:rFonts w:ascii="宋体" w:hAnsi="宋体"/>
          <w:color w:val="auto"/>
          <w:sz w:val="24"/>
        </w:rPr>
      </w:pPr>
      <w:r>
        <w:rPr>
          <w:rFonts w:hint="eastAsia" w:ascii="宋体" w:hAnsi="宋体"/>
          <w:color w:val="auto"/>
          <w:sz w:val="24"/>
        </w:rPr>
        <w:t>5.投标人之间事先约定一致抬高或者压低投标报价，或者在招标项目中事先约定轮流以高价位或者低价位中标，或者事先约定由某一特定投标人中标，然后再参加投标；</w:t>
      </w:r>
    </w:p>
    <w:p>
      <w:pPr>
        <w:snapToGrid w:val="0"/>
        <w:spacing w:beforeLines="50" w:after="50" w:line="380" w:lineRule="exact"/>
        <w:ind w:firstLine="470" w:firstLineChars="196"/>
        <w:jc w:val="left"/>
        <w:rPr>
          <w:rFonts w:ascii="宋体" w:hAnsi="宋体"/>
          <w:color w:val="auto"/>
          <w:sz w:val="24"/>
        </w:rPr>
      </w:pPr>
      <w:r>
        <w:rPr>
          <w:rFonts w:hint="eastAsia" w:ascii="宋体" w:hAnsi="宋体"/>
          <w:color w:val="auto"/>
          <w:sz w:val="24"/>
        </w:rPr>
        <w:t>6.投标人之间商定部分投标人放弃参加政府采购活动或者放弃中标；</w:t>
      </w:r>
    </w:p>
    <w:p>
      <w:pPr>
        <w:snapToGrid w:val="0"/>
        <w:spacing w:beforeLines="50" w:after="50" w:line="380" w:lineRule="exact"/>
        <w:ind w:firstLine="470" w:firstLineChars="196"/>
        <w:jc w:val="left"/>
        <w:rPr>
          <w:rFonts w:ascii="宋体" w:hAnsi="宋体"/>
          <w:color w:val="auto"/>
          <w:sz w:val="24"/>
        </w:rPr>
      </w:pPr>
      <w:r>
        <w:rPr>
          <w:rFonts w:hint="eastAsia" w:ascii="宋体" w:hAnsi="宋体"/>
          <w:color w:val="auto"/>
          <w:sz w:val="24"/>
        </w:rPr>
        <w:t>7.投标人与采购人或者采购代理机构之间、投标人相互之间，为谋求特定投标人中标或者排斥其他投标人的其他串通行为。</w:t>
      </w:r>
    </w:p>
    <w:p>
      <w:pPr>
        <w:snapToGrid w:val="0"/>
        <w:spacing w:beforeLines="50" w:after="50" w:line="380" w:lineRule="exact"/>
        <w:ind w:firstLine="470" w:firstLineChars="196"/>
        <w:jc w:val="left"/>
        <w:rPr>
          <w:rFonts w:ascii="宋体" w:hAnsi="宋体"/>
          <w:color w:val="auto"/>
          <w:sz w:val="24"/>
        </w:rPr>
      </w:pPr>
    </w:p>
    <w:p>
      <w:pPr>
        <w:snapToGrid w:val="0"/>
        <w:spacing w:beforeLines="50" w:after="50" w:line="380" w:lineRule="exact"/>
        <w:ind w:firstLine="472" w:firstLineChars="196"/>
        <w:jc w:val="left"/>
        <w:rPr>
          <w:rFonts w:ascii="宋体" w:hAnsi="宋体"/>
          <w:b/>
          <w:color w:val="auto"/>
          <w:sz w:val="24"/>
        </w:rPr>
      </w:pPr>
      <w:r>
        <w:rPr>
          <w:rFonts w:hint="eastAsia" w:ascii="宋体" w:hAnsi="宋体"/>
          <w:b/>
          <w:color w:val="auto"/>
          <w:sz w:val="24"/>
        </w:rPr>
        <w:t>以上情形一经核查属实，接受政府采购监管部门对我方认定存在围标串标行为，我方愿意承担一切后果，并不再寻求任何旨在减轻或者免除法律责任的辩解。</w:t>
      </w:r>
    </w:p>
    <w:p>
      <w:pPr>
        <w:pStyle w:val="18"/>
        <w:snapToGrid w:val="0"/>
        <w:spacing w:before="295" w:after="295" w:line="380" w:lineRule="exact"/>
        <w:jc w:val="center"/>
        <w:rPr>
          <w:rFonts w:hAnsi="宋体"/>
          <w:color w:val="auto"/>
          <w:sz w:val="24"/>
          <w:szCs w:val="24"/>
        </w:rPr>
      </w:pPr>
      <w:r>
        <w:rPr>
          <w:rFonts w:hint="eastAsia" w:hAnsi="宋体"/>
          <w:color w:val="auto"/>
          <w:sz w:val="24"/>
          <w:szCs w:val="24"/>
        </w:rPr>
        <w:t xml:space="preserve"> </w:t>
      </w:r>
      <w:r>
        <w:rPr>
          <w:rFonts w:hAnsi="宋体"/>
          <w:color w:val="auto"/>
          <w:sz w:val="24"/>
          <w:szCs w:val="24"/>
        </w:rPr>
        <w:t xml:space="preserve">                                   </w:t>
      </w:r>
      <w:r>
        <w:rPr>
          <w:rFonts w:hint="eastAsia" w:hAnsi="宋体"/>
          <w:color w:val="auto"/>
          <w:sz w:val="24"/>
          <w:szCs w:val="24"/>
        </w:rPr>
        <w:t>投标人名称（电子签章）</w:t>
      </w:r>
    </w:p>
    <w:p>
      <w:pPr>
        <w:pStyle w:val="18"/>
        <w:snapToGrid w:val="0"/>
        <w:spacing w:before="295" w:after="295" w:line="400" w:lineRule="exact"/>
        <w:rPr>
          <w:rFonts w:hAnsi="宋体"/>
          <w:color w:val="auto"/>
          <w:sz w:val="24"/>
        </w:rPr>
      </w:pPr>
      <w:r>
        <w:rPr>
          <w:rFonts w:hint="eastAsia" w:hAnsi="宋体"/>
          <w:color w:val="auto"/>
          <w:sz w:val="24"/>
        </w:rPr>
        <w:t xml:space="preserve">                                                </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pPr>
        <w:snapToGrid w:val="0"/>
        <w:spacing w:beforeLines="50" w:after="50"/>
        <w:ind w:firstLine="472" w:firstLineChars="196"/>
        <w:jc w:val="left"/>
        <w:rPr>
          <w:rFonts w:ascii="宋体" w:hAnsi="宋体"/>
          <w:b/>
          <w:color w:val="auto"/>
          <w:sz w:val="24"/>
          <w:szCs w:val="20"/>
        </w:rPr>
      </w:pPr>
      <w:r>
        <w:rPr>
          <w:rFonts w:ascii="宋体" w:hAnsi="宋体"/>
          <w:b/>
          <w:color w:val="auto"/>
          <w:sz w:val="24"/>
        </w:rPr>
        <w:br w:type="page"/>
      </w:r>
      <w:r>
        <w:rPr>
          <w:rFonts w:hint="eastAsia" w:ascii="宋体" w:hAnsi="宋体"/>
          <w:b/>
          <w:color w:val="auto"/>
          <w:sz w:val="24"/>
        </w:rPr>
        <w:t>2.法定代表人身份证明</w:t>
      </w:r>
    </w:p>
    <w:p>
      <w:pPr>
        <w:spacing w:beforeLines="100" w:afterLines="50"/>
        <w:ind w:left="540"/>
        <w:jc w:val="center"/>
        <w:rPr>
          <w:rFonts w:ascii="宋体" w:hAnsi="Courier New"/>
          <w:b/>
          <w:color w:val="auto"/>
          <w:sz w:val="32"/>
          <w:szCs w:val="32"/>
        </w:rPr>
      </w:pPr>
    </w:p>
    <w:p>
      <w:pPr>
        <w:spacing w:beforeLines="100" w:afterLines="50"/>
        <w:ind w:left="540"/>
        <w:jc w:val="center"/>
        <w:rPr>
          <w:rFonts w:ascii="黑体" w:hAnsi="宋体" w:eastAsia="黑体"/>
          <w:color w:val="auto"/>
          <w:sz w:val="32"/>
          <w:szCs w:val="32"/>
        </w:rPr>
      </w:pPr>
      <w:r>
        <w:rPr>
          <w:rFonts w:hint="eastAsia" w:ascii="宋体" w:hAnsi="Courier New"/>
          <w:b/>
          <w:color w:val="auto"/>
          <w:sz w:val="32"/>
          <w:szCs w:val="32"/>
        </w:rPr>
        <w:t>法定代表人身份证明</w:t>
      </w:r>
    </w:p>
    <w:p>
      <w:pPr>
        <w:spacing w:line="500" w:lineRule="exact"/>
        <w:ind w:left="540"/>
        <w:rPr>
          <w:rFonts w:ascii="宋体" w:hAnsi="宋体"/>
          <w:color w:val="auto"/>
          <w:sz w:val="24"/>
        </w:rPr>
      </w:pPr>
      <w:r>
        <w:rPr>
          <w:rFonts w:hint="eastAsia" w:ascii="宋体" w:hAnsi="宋体"/>
          <w:color w:val="auto"/>
          <w:sz w:val="24"/>
        </w:rPr>
        <w:t>投 标 人：</w:t>
      </w:r>
      <w:r>
        <w:rPr>
          <w:rFonts w:hint="eastAsia" w:ascii="宋体" w:hAnsi="宋体"/>
          <w:color w:val="auto"/>
          <w:sz w:val="24"/>
          <w:u w:val="single"/>
        </w:rPr>
        <w:t xml:space="preserve">                                                        </w:t>
      </w:r>
    </w:p>
    <w:p>
      <w:pPr>
        <w:spacing w:line="500" w:lineRule="exact"/>
        <w:ind w:left="540"/>
        <w:rPr>
          <w:rFonts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p>
    <w:p>
      <w:pPr>
        <w:spacing w:line="500" w:lineRule="exact"/>
        <w:ind w:left="540"/>
        <w:rPr>
          <w:rFonts w:ascii="宋体" w:hAnsi="宋体"/>
          <w:color w:val="auto"/>
          <w:sz w:val="24"/>
        </w:rPr>
      </w:pPr>
      <w:r>
        <w:rPr>
          <w:rFonts w:hint="eastAsia" w:ascii="宋体" w:hAnsi="宋体"/>
          <w:color w:val="auto"/>
          <w:sz w:val="24"/>
        </w:rPr>
        <w:t>姓    名：</w:t>
      </w:r>
      <w:r>
        <w:rPr>
          <w:rFonts w:hint="eastAsia" w:ascii="宋体" w:hAnsi="宋体"/>
          <w:color w:val="auto"/>
          <w:sz w:val="24"/>
          <w:u w:val="single"/>
        </w:rPr>
        <w:t xml:space="preserve">                          </w:t>
      </w:r>
      <w:r>
        <w:rPr>
          <w:rFonts w:hint="eastAsia" w:ascii="宋体" w:hAnsi="宋体"/>
          <w:color w:val="auto"/>
          <w:sz w:val="24"/>
        </w:rPr>
        <w:t>性      别：</w:t>
      </w:r>
      <w:r>
        <w:rPr>
          <w:rFonts w:hint="eastAsia" w:ascii="宋体" w:hAnsi="宋体"/>
          <w:color w:val="auto"/>
          <w:sz w:val="24"/>
          <w:u w:val="single"/>
        </w:rPr>
        <w:t xml:space="preserve">                </w:t>
      </w:r>
    </w:p>
    <w:p>
      <w:pPr>
        <w:spacing w:line="500" w:lineRule="exact"/>
        <w:ind w:left="540"/>
        <w:rPr>
          <w:rFonts w:ascii="宋体" w:hAnsi="宋体"/>
          <w:color w:val="auto"/>
          <w:sz w:val="24"/>
          <w:u w:val="single"/>
        </w:rPr>
      </w:pPr>
      <w:r>
        <w:rPr>
          <w:rFonts w:hint="eastAsia" w:ascii="宋体" w:hAnsi="宋体"/>
          <w:color w:val="auto"/>
          <w:sz w:val="24"/>
        </w:rPr>
        <w:t>年    龄：</w:t>
      </w:r>
      <w:r>
        <w:rPr>
          <w:rFonts w:hint="eastAsia" w:ascii="宋体" w:hAnsi="宋体"/>
          <w:color w:val="auto"/>
          <w:sz w:val="24"/>
          <w:u w:val="single"/>
        </w:rPr>
        <w:t xml:space="preserve">                          </w:t>
      </w:r>
      <w:r>
        <w:rPr>
          <w:rFonts w:hint="eastAsia" w:ascii="宋体" w:hAnsi="宋体"/>
          <w:color w:val="auto"/>
          <w:sz w:val="24"/>
        </w:rPr>
        <w:t>职      务：</w:t>
      </w:r>
      <w:r>
        <w:rPr>
          <w:rFonts w:hint="eastAsia" w:ascii="宋体" w:hAnsi="宋体"/>
          <w:color w:val="auto"/>
          <w:sz w:val="24"/>
          <w:u w:val="single"/>
        </w:rPr>
        <w:t xml:space="preserve">                </w:t>
      </w:r>
    </w:p>
    <w:p>
      <w:pPr>
        <w:spacing w:line="500" w:lineRule="exact"/>
        <w:ind w:left="540"/>
        <w:rPr>
          <w:rFonts w:ascii="宋体" w:hAnsi="宋体"/>
          <w:color w:val="auto"/>
          <w:sz w:val="24"/>
        </w:rPr>
      </w:pPr>
      <w:r>
        <w:rPr>
          <w:rFonts w:hint="eastAsia" w:ascii="宋体" w:hAnsi="宋体"/>
          <w:color w:val="auto"/>
          <w:sz w:val="24"/>
        </w:rPr>
        <w:t>身份证</w:t>
      </w:r>
      <w:r>
        <w:rPr>
          <w:rFonts w:hint="eastAsia"/>
          <w:color w:val="auto"/>
          <w:sz w:val="24"/>
        </w:rPr>
        <w:t>号码：</w:t>
      </w:r>
      <w:r>
        <w:rPr>
          <w:rFonts w:hint="eastAsia"/>
          <w:color w:val="auto"/>
          <w:sz w:val="24"/>
          <w:u w:val="single"/>
        </w:rPr>
        <w:t xml:space="preserve">                                 </w:t>
      </w:r>
    </w:p>
    <w:p>
      <w:pPr>
        <w:spacing w:line="500" w:lineRule="exact"/>
        <w:ind w:left="540"/>
        <w:rPr>
          <w:rFonts w:ascii="宋体" w:hAnsi="宋体"/>
          <w:color w:val="auto"/>
          <w:sz w:val="24"/>
        </w:rPr>
      </w:pPr>
      <w:r>
        <w:rPr>
          <w:rFonts w:hint="eastAsia" w:ascii="宋体" w:hAnsi="宋体"/>
          <w:color w:val="auto"/>
          <w:sz w:val="24"/>
        </w:rPr>
        <w:t>系</w:t>
      </w:r>
      <w:r>
        <w:rPr>
          <w:rFonts w:hint="eastAsia" w:ascii="宋体" w:hAnsi="宋体"/>
          <w:color w:val="auto"/>
          <w:sz w:val="24"/>
          <w:u w:val="single"/>
        </w:rPr>
        <w:t xml:space="preserve">            （投标人名称）              </w:t>
      </w:r>
      <w:r>
        <w:rPr>
          <w:rFonts w:hint="eastAsia" w:ascii="宋体" w:hAnsi="宋体"/>
          <w:color w:val="auto"/>
          <w:sz w:val="24"/>
        </w:rPr>
        <w:t>的法定代表人。</w:t>
      </w:r>
    </w:p>
    <w:p>
      <w:pPr>
        <w:spacing w:line="500" w:lineRule="exact"/>
        <w:ind w:left="540"/>
        <w:rPr>
          <w:rFonts w:ascii="宋体" w:hAnsi="宋体"/>
          <w:color w:val="auto"/>
          <w:sz w:val="24"/>
        </w:rPr>
      </w:pPr>
      <w:r>
        <w:rPr>
          <w:rFonts w:hint="eastAsia" w:ascii="宋体" w:hAnsi="宋体"/>
          <w:color w:val="auto"/>
          <w:sz w:val="24"/>
        </w:rPr>
        <w:t>特此证明。</w:t>
      </w:r>
    </w:p>
    <w:p>
      <w:pPr>
        <w:spacing w:line="500" w:lineRule="exact"/>
        <w:ind w:left="540"/>
        <w:rPr>
          <w:rFonts w:ascii="宋体" w:hAnsi="宋体"/>
          <w:color w:val="auto"/>
          <w:sz w:val="24"/>
        </w:rPr>
      </w:pPr>
    </w:p>
    <w:p>
      <w:pPr>
        <w:spacing w:line="500" w:lineRule="exact"/>
        <w:ind w:left="540"/>
        <w:rPr>
          <w:rFonts w:ascii="宋体" w:hAnsi="宋体"/>
          <w:color w:val="auto"/>
          <w:sz w:val="24"/>
        </w:rPr>
      </w:pPr>
    </w:p>
    <w:p>
      <w:pPr>
        <w:spacing w:line="500" w:lineRule="exact"/>
        <w:ind w:left="540"/>
        <w:rPr>
          <w:rFonts w:ascii="宋体" w:hAnsi="宋体"/>
          <w:color w:val="auto"/>
          <w:sz w:val="24"/>
        </w:rPr>
      </w:pPr>
      <w:r>
        <w:rPr>
          <w:rFonts w:hint="eastAsia" w:ascii="宋体" w:hAnsi="宋体"/>
          <w:color w:val="auto"/>
          <w:sz w:val="24"/>
        </w:rPr>
        <w:t>附件：法定代表人有效身份证正反面复印件</w:t>
      </w:r>
    </w:p>
    <w:p>
      <w:pPr>
        <w:spacing w:line="500" w:lineRule="exact"/>
        <w:ind w:left="540"/>
        <w:rPr>
          <w:rFonts w:ascii="宋体" w:hAnsi="宋体"/>
          <w:color w:val="auto"/>
          <w:sz w:val="24"/>
        </w:rPr>
      </w:pPr>
    </w:p>
    <w:p>
      <w:pPr>
        <w:spacing w:line="500" w:lineRule="exact"/>
        <w:ind w:left="540"/>
        <w:jc w:val="center"/>
        <w:rPr>
          <w:rFonts w:ascii="宋体" w:hAnsi="宋体"/>
          <w:color w:val="auto"/>
          <w:sz w:val="24"/>
        </w:rPr>
      </w:pPr>
      <w:r>
        <w:rPr>
          <w:rFonts w:hint="eastAsia" w:ascii="宋体" w:hAnsi="宋体"/>
          <w:color w:val="auto"/>
          <w:sz w:val="24"/>
        </w:rPr>
        <w:t xml:space="preserve">                                   投标人名称（电子签章）：</w:t>
      </w:r>
    </w:p>
    <w:p>
      <w:pPr>
        <w:snapToGrid w:val="0"/>
        <w:spacing w:beforeLines="50" w:after="50"/>
        <w:ind w:left="540"/>
        <w:jc w:val="center"/>
        <w:rPr>
          <w:rFonts w:ascii="宋体" w:hAnsi="宋体"/>
          <w:color w:val="auto"/>
          <w:sz w:val="24"/>
        </w:rPr>
      </w:pPr>
      <w:r>
        <w:rPr>
          <w:rFonts w:hint="eastAsia" w:ascii="宋体" w:hAnsi="宋体"/>
          <w:color w:val="auto"/>
          <w:sz w:val="24"/>
        </w:rPr>
        <w:t xml:space="preserve">                                      </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napToGrid w:val="0"/>
        <w:spacing w:beforeLines="50" w:after="50"/>
        <w:jc w:val="center"/>
        <w:rPr>
          <w:rFonts w:ascii="宋体" w:hAnsi="宋体"/>
          <w:b/>
          <w:color w:val="auto"/>
          <w:sz w:val="24"/>
        </w:rPr>
      </w:pPr>
    </w:p>
    <w:p>
      <w:pPr>
        <w:snapToGrid w:val="0"/>
        <w:spacing w:beforeLines="50" w:after="50"/>
        <w:jc w:val="left"/>
        <w:rPr>
          <w:rFonts w:ascii="宋体" w:hAnsi="宋体"/>
          <w:b/>
          <w:color w:val="auto"/>
          <w:sz w:val="24"/>
          <w:szCs w:val="20"/>
        </w:rPr>
      </w:pPr>
      <w:r>
        <w:rPr>
          <w:rFonts w:hint="eastAsia" w:ascii="宋体" w:hAnsi="宋体"/>
          <w:color w:val="auto"/>
          <w:sz w:val="24"/>
        </w:rPr>
        <w:t>注：自然人投标的无需提供</w:t>
      </w:r>
    </w:p>
    <w:p>
      <w:pPr>
        <w:snapToGrid w:val="0"/>
        <w:spacing w:beforeLines="50" w:after="50"/>
        <w:jc w:val="left"/>
        <w:rPr>
          <w:rFonts w:ascii="宋体" w:hAnsi="宋体"/>
          <w:b/>
          <w:color w:val="auto"/>
          <w:sz w:val="24"/>
          <w:szCs w:val="20"/>
        </w:rPr>
      </w:pPr>
      <w:r>
        <w:rPr>
          <w:rFonts w:ascii="宋体" w:hAnsi="宋体"/>
          <w:b/>
          <w:color w:val="auto"/>
          <w:sz w:val="24"/>
        </w:rPr>
        <w:br w:type="page"/>
      </w:r>
      <w:r>
        <w:rPr>
          <w:rFonts w:hint="eastAsia" w:ascii="宋体" w:hAnsi="宋体"/>
          <w:b/>
          <w:color w:val="auto"/>
          <w:sz w:val="24"/>
        </w:rPr>
        <w:t>3.法定代表人授权委托书格式</w:t>
      </w:r>
    </w:p>
    <w:p>
      <w:pPr>
        <w:snapToGrid w:val="0"/>
        <w:spacing w:beforeLines="50" w:after="50"/>
        <w:jc w:val="center"/>
        <w:rPr>
          <w:rFonts w:ascii="宋体" w:hAnsi="宋体"/>
          <w:b/>
          <w:color w:val="auto"/>
          <w:sz w:val="32"/>
          <w:szCs w:val="32"/>
        </w:rPr>
      </w:pPr>
      <w:r>
        <w:rPr>
          <w:rFonts w:hint="eastAsia" w:ascii="宋体" w:hAnsi="宋体"/>
          <w:b/>
          <w:color w:val="auto"/>
          <w:sz w:val="32"/>
          <w:szCs w:val="32"/>
        </w:rPr>
        <w:t>法定代表人授权委托书</w:t>
      </w:r>
    </w:p>
    <w:p>
      <w:pPr>
        <w:snapToGrid w:val="0"/>
        <w:spacing w:beforeLines="50" w:after="50"/>
        <w:jc w:val="center"/>
        <w:rPr>
          <w:rFonts w:ascii="宋体" w:hAnsi="宋体"/>
          <w:b/>
          <w:color w:val="auto"/>
          <w:sz w:val="32"/>
          <w:szCs w:val="32"/>
        </w:rPr>
      </w:pPr>
      <w:r>
        <w:rPr>
          <w:rFonts w:hint="eastAsia" w:ascii="宋体" w:hAnsi="宋体"/>
          <w:b/>
          <w:color w:val="auto"/>
          <w:sz w:val="32"/>
          <w:szCs w:val="32"/>
        </w:rPr>
        <w:t>（非联合体投标格式）</w:t>
      </w:r>
    </w:p>
    <w:p>
      <w:pPr>
        <w:snapToGrid w:val="0"/>
        <w:spacing w:beforeLines="50" w:after="50"/>
        <w:jc w:val="center"/>
        <w:rPr>
          <w:rFonts w:ascii="宋体" w:hAnsi="宋体"/>
          <w:b/>
          <w:color w:val="auto"/>
          <w:sz w:val="24"/>
        </w:rPr>
      </w:pPr>
      <w:r>
        <w:rPr>
          <w:rFonts w:hint="eastAsia" w:ascii="宋体" w:hAnsi="宋体"/>
          <w:b/>
          <w:color w:val="auto"/>
          <w:sz w:val="32"/>
          <w:szCs w:val="32"/>
        </w:rPr>
        <w:t>（如有委托时）</w:t>
      </w:r>
    </w:p>
    <w:p>
      <w:pPr>
        <w:snapToGrid w:val="0"/>
        <w:spacing w:beforeLines="50" w:after="50"/>
        <w:jc w:val="center"/>
        <w:rPr>
          <w:rFonts w:ascii="宋体" w:hAnsi="宋体"/>
          <w:b/>
          <w:color w:val="auto"/>
          <w:sz w:val="24"/>
        </w:rPr>
      </w:pPr>
    </w:p>
    <w:p>
      <w:pPr>
        <w:snapToGrid w:val="0"/>
        <w:spacing w:beforeLines="50" w:after="50"/>
        <w:rPr>
          <w:rFonts w:ascii="宋体" w:hAnsi="宋体"/>
          <w:b/>
          <w:bCs/>
          <w:color w:val="auto"/>
          <w:sz w:val="24"/>
        </w:rPr>
      </w:pPr>
      <w:r>
        <w:rPr>
          <w:rFonts w:hint="eastAsia" w:ascii="宋体" w:hAnsi="宋体"/>
          <w:bCs/>
          <w:color w:val="auto"/>
          <w:sz w:val="24"/>
        </w:rPr>
        <w:t>致：</w:t>
      </w:r>
      <w:r>
        <w:rPr>
          <w:rFonts w:hint="eastAsia" w:ascii="宋体" w:hAnsi="宋体"/>
          <w:color w:val="auto"/>
          <w:sz w:val="24"/>
          <w:u w:val="single"/>
        </w:rPr>
        <w:t>采购人名称</w:t>
      </w:r>
      <w:r>
        <w:rPr>
          <w:rFonts w:hint="eastAsia" w:ascii="宋体" w:hAnsi="宋体"/>
          <w:color w:val="auto"/>
          <w:sz w:val="24"/>
        </w:rPr>
        <w:t>：</w:t>
      </w:r>
    </w:p>
    <w:p>
      <w:pPr>
        <w:snapToGrid w:val="0"/>
        <w:spacing w:beforeLines="50" w:after="50"/>
        <w:ind w:firstLine="566" w:firstLineChars="236"/>
        <w:rPr>
          <w:rFonts w:ascii="宋体" w:hAnsi="宋体"/>
          <w:color w:val="auto"/>
          <w:sz w:val="24"/>
        </w:rPr>
      </w:pPr>
      <w:r>
        <w:rPr>
          <w:rFonts w:hint="eastAsia" w:ascii="宋体" w:hAnsi="宋体"/>
          <w:color w:val="auto"/>
          <w:sz w:val="24"/>
        </w:rPr>
        <w:t>我</w:t>
      </w:r>
      <w:r>
        <w:rPr>
          <w:rFonts w:hint="eastAsia" w:ascii="宋体" w:hAnsi="宋体"/>
          <w:color w:val="auto"/>
          <w:sz w:val="24"/>
          <w:u w:val="single"/>
        </w:rPr>
        <w:t xml:space="preserve">       </w:t>
      </w:r>
      <w:r>
        <w:rPr>
          <w:rFonts w:hint="eastAsia" w:ascii="宋体" w:hAnsi="宋体"/>
          <w:color w:val="auto"/>
          <w:sz w:val="24"/>
        </w:rPr>
        <w:t>（姓名）系</w:t>
      </w:r>
      <w:r>
        <w:rPr>
          <w:rFonts w:hint="eastAsia" w:ascii="宋体" w:hAnsi="宋体"/>
          <w:color w:val="auto"/>
          <w:sz w:val="24"/>
          <w:u w:val="single"/>
        </w:rPr>
        <w:t xml:space="preserve">      </w:t>
      </w:r>
      <w:r>
        <w:rPr>
          <w:rFonts w:hint="eastAsia" w:ascii="宋体" w:hAnsi="宋体"/>
          <w:color w:val="auto"/>
          <w:sz w:val="24"/>
        </w:rPr>
        <w:t>（投标人名称）的法定代表人，现授权委托</w:t>
      </w:r>
      <w:r>
        <w:rPr>
          <w:rFonts w:hint="eastAsia" w:ascii="宋体" w:hAnsi="宋体"/>
          <w:color w:val="auto"/>
          <w:sz w:val="24"/>
          <w:u w:val="single"/>
        </w:rPr>
        <w:t xml:space="preserve">              （姓名）</w:t>
      </w:r>
      <w:r>
        <w:rPr>
          <w:rFonts w:hint="eastAsia" w:ascii="宋体" w:hAnsi="宋体"/>
          <w:color w:val="auto"/>
          <w:sz w:val="24"/>
        </w:rPr>
        <w:t>以我方的名义参加</w:t>
      </w:r>
      <w:r>
        <w:rPr>
          <w:rFonts w:hint="eastAsia" w:ascii="宋体" w:hAnsi="宋体"/>
          <w:color w:val="auto"/>
          <w:sz w:val="24"/>
          <w:u w:val="single"/>
        </w:rPr>
        <w:t xml:space="preserve">              </w:t>
      </w:r>
      <w:r>
        <w:rPr>
          <w:rFonts w:hint="eastAsia" w:ascii="宋体" w:hAnsi="宋体"/>
          <w:color w:val="auto"/>
          <w:sz w:val="24"/>
        </w:rPr>
        <w:t>项目的投标活动，并代表我方全权办理针对上述项目的所有采购程序和环节的具体事务和签署相关文件。</w:t>
      </w:r>
    </w:p>
    <w:p>
      <w:pPr>
        <w:snapToGrid w:val="0"/>
        <w:spacing w:beforeLines="50" w:after="50"/>
        <w:rPr>
          <w:rFonts w:ascii="宋体" w:hAnsi="宋体"/>
          <w:color w:val="auto"/>
          <w:sz w:val="24"/>
        </w:rPr>
      </w:pPr>
      <w:r>
        <w:rPr>
          <w:rFonts w:hint="eastAsia" w:ascii="宋体" w:hAnsi="宋体"/>
          <w:color w:val="auto"/>
          <w:sz w:val="24"/>
        </w:rPr>
        <w:t xml:space="preserve">    我方对委托代理人的签字事项负全部责任。</w:t>
      </w:r>
    </w:p>
    <w:p>
      <w:pPr>
        <w:snapToGrid w:val="0"/>
        <w:spacing w:beforeLines="50" w:after="50"/>
        <w:ind w:firstLine="480"/>
        <w:rPr>
          <w:rFonts w:ascii="宋体" w:hAnsi="宋体"/>
          <w:color w:val="auto"/>
          <w:sz w:val="24"/>
        </w:rPr>
      </w:pPr>
      <w:r>
        <w:rPr>
          <w:rFonts w:hint="eastAsia" w:ascii="宋体" w:hAnsi="宋体"/>
          <w:color w:val="auto"/>
          <w:sz w:val="24"/>
          <w:u w:val="single"/>
        </w:rPr>
        <w:t>本授权书自签署之日起生效，在撤销授权的书面通知以前，本授权书一直有效。委托代理人在授权书有效期内签署的所有文件不因授权的撤销而失效。</w:t>
      </w:r>
    </w:p>
    <w:p>
      <w:pPr>
        <w:snapToGrid w:val="0"/>
        <w:spacing w:beforeLines="50" w:after="50"/>
        <w:ind w:firstLine="480"/>
        <w:rPr>
          <w:rFonts w:ascii="宋体" w:hAnsi="宋体"/>
          <w:color w:val="auto"/>
          <w:sz w:val="24"/>
        </w:rPr>
      </w:pPr>
      <w:r>
        <w:rPr>
          <w:rFonts w:hint="eastAsia" w:ascii="宋体" w:hAnsi="宋体"/>
          <w:color w:val="auto"/>
          <w:sz w:val="24"/>
        </w:rPr>
        <w:t>委托代理人无转委托权，特此委托。</w:t>
      </w:r>
    </w:p>
    <w:p>
      <w:pPr>
        <w:snapToGrid w:val="0"/>
        <w:spacing w:beforeLines="50" w:after="50"/>
        <w:ind w:firstLine="480"/>
        <w:rPr>
          <w:rFonts w:ascii="宋体" w:hAnsi="宋体"/>
          <w:color w:val="auto"/>
          <w:sz w:val="24"/>
        </w:rPr>
      </w:pPr>
      <w:r>
        <w:rPr>
          <w:rFonts w:hint="eastAsia" w:ascii="宋体" w:hAnsi="宋体"/>
          <w:color w:val="auto"/>
          <w:sz w:val="24"/>
        </w:rPr>
        <w:t>附：法定代表人身份证明及委托代理人有效身份证正反面复印件</w:t>
      </w:r>
    </w:p>
    <w:p>
      <w:pPr>
        <w:snapToGrid w:val="0"/>
        <w:spacing w:beforeLines="50" w:after="50"/>
        <w:rPr>
          <w:rFonts w:ascii="宋体" w:hAnsi="宋体"/>
          <w:color w:val="auto"/>
          <w:sz w:val="24"/>
        </w:rPr>
      </w:pPr>
    </w:p>
    <w:p>
      <w:pPr>
        <w:snapToGrid w:val="0"/>
        <w:spacing w:beforeLines="50" w:after="50"/>
        <w:rPr>
          <w:rFonts w:ascii="宋体" w:hAnsi="宋体"/>
          <w:color w:val="auto"/>
          <w:sz w:val="24"/>
        </w:rPr>
      </w:pPr>
      <w:r>
        <w:rPr>
          <w:rFonts w:hint="eastAsia" w:ascii="宋体" w:hAnsi="宋体"/>
          <w:color w:val="auto"/>
          <w:sz w:val="24"/>
        </w:rPr>
        <w:t>委托代理人（签字/电子签名）：</w:t>
      </w:r>
      <w:r>
        <w:rPr>
          <w:rFonts w:hint="eastAsia" w:ascii="宋体" w:hAnsi="宋体"/>
          <w:color w:val="auto"/>
          <w:sz w:val="24"/>
          <w:u w:val="single"/>
        </w:rPr>
        <w:t xml:space="preserve">               </w:t>
      </w:r>
      <w:r>
        <w:rPr>
          <w:rFonts w:hint="eastAsia" w:ascii="宋体" w:hAnsi="宋体"/>
          <w:color w:val="auto"/>
          <w:sz w:val="24"/>
        </w:rPr>
        <w:t xml:space="preserve">            </w:t>
      </w:r>
    </w:p>
    <w:p>
      <w:pPr>
        <w:snapToGrid w:val="0"/>
        <w:spacing w:beforeLines="50" w:after="50"/>
        <w:rPr>
          <w:rFonts w:ascii="宋体" w:hAnsi="宋体"/>
          <w:color w:val="auto"/>
          <w:sz w:val="24"/>
        </w:rPr>
      </w:pPr>
      <w:r>
        <w:rPr>
          <w:rFonts w:hint="eastAsia" w:ascii="宋体" w:hAnsi="宋体"/>
          <w:color w:val="auto"/>
          <w:sz w:val="24"/>
        </w:rPr>
        <w:t>所在部门职务：</w:t>
      </w:r>
      <w:r>
        <w:rPr>
          <w:rFonts w:hint="eastAsia" w:ascii="宋体" w:hAnsi="宋体"/>
          <w:color w:val="auto"/>
          <w:sz w:val="24"/>
          <w:u w:val="single"/>
        </w:rPr>
        <w:t xml:space="preserve">               </w:t>
      </w:r>
      <w:r>
        <w:rPr>
          <w:rFonts w:hint="eastAsia" w:ascii="宋体" w:hAnsi="宋体"/>
          <w:color w:val="auto"/>
          <w:sz w:val="24"/>
        </w:rPr>
        <w:t xml:space="preserve">                      </w:t>
      </w:r>
    </w:p>
    <w:p>
      <w:pPr>
        <w:snapToGrid w:val="0"/>
        <w:spacing w:beforeLines="50" w:after="50"/>
        <w:rPr>
          <w:rFonts w:ascii="宋体" w:hAnsi="宋体"/>
          <w:color w:val="auto"/>
          <w:sz w:val="24"/>
        </w:rPr>
      </w:pPr>
      <w:r>
        <w:rPr>
          <w:rFonts w:hint="eastAsia" w:ascii="宋体" w:hAnsi="宋体"/>
          <w:color w:val="auto"/>
          <w:sz w:val="24"/>
        </w:rPr>
        <w:t>职务：</w:t>
      </w:r>
      <w:r>
        <w:rPr>
          <w:rFonts w:hint="eastAsia" w:ascii="宋体" w:hAnsi="宋体"/>
          <w:color w:val="auto"/>
          <w:sz w:val="24"/>
          <w:u w:val="single"/>
        </w:rPr>
        <w:t xml:space="preserve">                  </w:t>
      </w:r>
    </w:p>
    <w:p>
      <w:pPr>
        <w:snapToGrid w:val="0"/>
        <w:spacing w:beforeLines="50" w:after="50"/>
        <w:rPr>
          <w:rFonts w:ascii="宋体" w:hAnsi="宋体"/>
          <w:color w:val="auto"/>
          <w:sz w:val="24"/>
        </w:rPr>
      </w:pPr>
      <w:r>
        <w:rPr>
          <w:rFonts w:hint="eastAsia" w:ascii="宋体" w:hAnsi="宋体"/>
          <w:color w:val="auto"/>
          <w:sz w:val="24"/>
        </w:rPr>
        <w:t>委托代理人身份证号码：</w:t>
      </w:r>
      <w:r>
        <w:rPr>
          <w:rFonts w:hint="eastAsia" w:ascii="宋体" w:hAnsi="宋体"/>
          <w:color w:val="auto"/>
          <w:sz w:val="24"/>
          <w:u w:val="single"/>
        </w:rPr>
        <w:t xml:space="preserve">                             </w:t>
      </w:r>
      <w:r>
        <w:rPr>
          <w:rFonts w:hint="eastAsia" w:ascii="宋体" w:hAnsi="宋体"/>
          <w:color w:val="auto"/>
          <w:sz w:val="24"/>
        </w:rPr>
        <w:t xml:space="preserve"> </w:t>
      </w:r>
    </w:p>
    <w:p>
      <w:pPr>
        <w:snapToGrid w:val="0"/>
        <w:spacing w:beforeLines="50" w:after="50"/>
        <w:rPr>
          <w:rFonts w:ascii="宋体" w:hAnsi="宋体"/>
          <w:color w:val="auto"/>
          <w:sz w:val="24"/>
          <w:u w:val="single"/>
        </w:rPr>
      </w:pPr>
      <w:r>
        <w:rPr>
          <w:rFonts w:hint="eastAsia" w:ascii="宋体" w:hAnsi="宋体"/>
          <w:color w:val="auto"/>
          <w:sz w:val="24"/>
        </w:rPr>
        <w:t>法定代表人（签字或者盖章或者电子签名）：</w:t>
      </w:r>
      <w:r>
        <w:rPr>
          <w:rFonts w:hint="eastAsia" w:ascii="宋体" w:hAnsi="宋体"/>
          <w:color w:val="auto"/>
          <w:sz w:val="24"/>
          <w:u w:val="single"/>
        </w:rPr>
        <w:t xml:space="preserve">              </w:t>
      </w:r>
    </w:p>
    <w:p>
      <w:pPr>
        <w:pStyle w:val="14"/>
        <w:rPr>
          <w:color w:val="auto"/>
        </w:rPr>
      </w:pPr>
    </w:p>
    <w:p>
      <w:pPr>
        <w:snapToGrid w:val="0"/>
        <w:spacing w:beforeLines="50" w:after="50"/>
        <w:jc w:val="center"/>
        <w:rPr>
          <w:rFonts w:ascii="宋体" w:hAnsi="宋体"/>
          <w:color w:val="auto"/>
          <w:sz w:val="24"/>
        </w:rPr>
      </w:pPr>
      <w:r>
        <w:rPr>
          <w:rFonts w:hint="eastAsia" w:ascii="宋体" w:hAnsi="宋体"/>
          <w:color w:val="auto"/>
          <w:sz w:val="24"/>
        </w:rPr>
        <w:t xml:space="preserve">                                                </w:t>
      </w:r>
    </w:p>
    <w:p>
      <w:pPr>
        <w:snapToGrid w:val="0"/>
        <w:spacing w:beforeLines="50" w:after="50"/>
        <w:jc w:val="center"/>
        <w:rPr>
          <w:rFonts w:ascii="宋体" w:hAnsi="宋体"/>
          <w:color w:val="auto"/>
          <w:sz w:val="24"/>
        </w:rPr>
      </w:pPr>
    </w:p>
    <w:p>
      <w:pPr>
        <w:snapToGrid w:val="0"/>
        <w:spacing w:beforeLines="50" w:after="50"/>
        <w:jc w:val="center"/>
        <w:rPr>
          <w:rFonts w:ascii="宋体" w:hAnsi="宋体"/>
          <w:color w:val="auto"/>
          <w:sz w:val="24"/>
        </w:rPr>
      </w:pPr>
      <w:r>
        <w:rPr>
          <w:rFonts w:hint="eastAsia" w:ascii="宋体" w:hAnsi="宋体"/>
          <w:color w:val="auto"/>
          <w:sz w:val="24"/>
        </w:rPr>
        <w:t xml:space="preserve">                                             投标人名称（电子签章）：</w:t>
      </w:r>
    </w:p>
    <w:p>
      <w:pPr>
        <w:snapToGrid w:val="0"/>
        <w:spacing w:beforeLines="50" w:after="50"/>
        <w:jc w:val="center"/>
        <w:rPr>
          <w:rFonts w:ascii="宋体" w:hAnsi="宋体"/>
          <w:color w:val="auto"/>
          <w:sz w:val="24"/>
        </w:rPr>
      </w:pPr>
      <w:r>
        <w:rPr>
          <w:rFonts w:hint="eastAsia" w:ascii="宋体" w:hAnsi="宋体"/>
          <w:color w:val="auto"/>
          <w:sz w:val="24"/>
        </w:rPr>
        <w:t xml:space="preserve">                                              年    月    日</w:t>
      </w:r>
    </w:p>
    <w:p>
      <w:pPr>
        <w:snapToGrid w:val="0"/>
        <w:spacing w:beforeLines="50" w:after="50"/>
        <w:rPr>
          <w:rFonts w:ascii="宋体" w:hAnsi="宋体"/>
          <w:color w:val="auto"/>
          <w:sz w:val="24"/>
        </w:rPr>
      </w:pPr>
    </w:p>
    <w:p>
      <w:pPr>
        <w:spacing w:line="440" w:lineRule="exact"/>
        <w:contextualSpacing/>
        <w:rPr>
          <w:rFonts w:ascii="宋体" w:hAnsi="宋体" w:cs="宋体"/>
          <w:color w:val="auto"/>
          <w:sz w:val="24"/>
        </w:rPr>
      </w:pPr>
      <w:r>
        <w:rPr>
          <w:rFonts w:hint="eastAsia" w:ascii="宋体" w:hAnsi="宋体" w:cs="宋体"/>
          <w:color w:val="auto"/>
          <w:sz w:val="24"/>
        </w:rPr>
        <w:t>注：1.</w:t>
      </w:r>
      <w:bookmarkStart w:id="162" w:name="_Hlk65851555"/>
      <w:bookmarkStart w:id="163" w:name="_Hlk65851620"/>
      <w:r>
        <w:rPr>
          <w:rFonts w:hint="eastAsia" w:ascii="宋体" w:hAnsi="宋体" w:cs="宋体"/>
          <w:color w:val="auto"/>
          <w:sz w:val="24"/>
        </w:rPr>
        <w:t>法定代表人必须在授权委托书上亲笔签字或者盖章或者电子签名，</w:t>
      </w:r>
      <w:bookmarkEnd w:id="162"/>
      <w:r>
        <w:rPr>
          <w:rFonts w:hint="eastAsia" w:ascii="宋体" w:hAnsi="宋体" w:cs="宋体"/>
          <w:color w:val="auto"/>
          <w:sz w:val="24"/>
        </w:rPr>
        <w:t>委托代理人必须在授权委托书上亲笔签字或者电子签名，</w:t>
      </w:r>
      <w:r>
        <w:rPr>
          <w:rFonts w:hint="eastAsia" w:ascii="宋体" w:hAnsi="宋体" w:cs="宋体"/>
          <w:b/>
          <w:bCs/>
          <w:color w:val="auto"/>
          <w:sz w:val="24"/>
        </w:rPr>
        <w:t>否则按无效投标处理</w:t>
      </w:r>
      <w:r>
        <w:rPr>
          <w:rFonts w:hint="eastAsia" w:ascii="宋体" w:hAnsi="宋体" w:cs="宋体"/>
          <w:color w:val="auto"/>
          <w:sz w:val="24"/>
        </w:rPr>
        <w:t>；</w:t>
      </w:r>
      <w:bookmarkEnd w:id="163"/>
    </w:p>
    <w:p>
      <w:pPr>
        <w:snapToGrid w:val="0"/>
        <w:spacing w:before="50" w:afterLines="50"/>
        <w:ind w:firstLine="480" w:firstLineChars="200"/>
        <w:jc w:val="left"/>
        <w:rPr>
          <w:rFonts w:ascii="宋体" w:hAnsi="宋体" w:cs="宋体"/>
          <w:color w:val="auto"/>
          <w:sz w:val="24"/>
        </w:rPr>
      </w:pPr>
      <w:r>
        <w:rPr>
          <w:rFonts w:hint="eastAsia" w:ascii="宋体" w:hAnsi="宋体" w:cs="宋体"/>
          <w:color w:val="auto"/>
          <w:sz w:val="24"/>
        </w:rPr>
        <w:t>2.法人、其他组织投标时“我方”是指“我单位”，自然人投标时“我方”是指“本人”。</w:t>
      </w:r>
    </w:p>
    <w:p>
      <w:pPr>
        <w:snapToGrid w:val="0"/>
        <w:spacing w:beforeLines="50" w:after="50"/>
        <w:ind w:firstLine="566" w:firstLineChars="236"/>
        <w:jc w:val="center"/>
        <w:rPr>
          <w:rFonts w:ascii="宋体" w:hAnsi="宋体"/>
          <w:b/>
          <w:bCs/>
          <w:color w:val="auto"/>
          <w:sz w:val="32"/>
          <w:szCs w:val="32"/>
        </w:rPr>
      </w:pPr>
      <w:r>
        <w:rPr>
          <w:rFonts w:ascii="宋体" w:hAnsi="宋体"/>
          <w:color w:val="auto"/>
          <w:sz w:val="24"/>
        </w:rPr>
        <w:br w:type="page"/>
      </w:r>
      <w:r>
        <w:rPr>
          <w:rFonts w:hint="eastAsia" w:ascii="宋体" w:hAnsi="宋体"/>
          <w:b/>
          <w:bCs/>
          <w:color w:val="auto"/>
          <w:sz w:val="32"/>
          <w:szCs w:val="32"/>
        </w:rPr>
        <w:t>法定代表人授权委托书</w:t>
      </w:r>
    </w:p>
    <w:p>
      <w:pPr>
        <w:snapToGrid w:val="0"/>
        <w:spacing w:beforeLines="50" w:after="50"/>
        <w:ind w:firstLine="758" w:firstLineChars="236"/>
        <w:jc w:val="center"/>
        <w:rPr>
          <w:rFonts w:ascii="宋体" w:hAnsi="宋体"/>
          <w:b/>
          <w:bCs/>
          <w:color w:val="auto"/>
          <w:sz w:val="32"/>
          <w:szCs w:val="32"/>
        </w:rPr>
      </w:pPr>
      <w:r>
        <w:rPr>
          <w:rFonts w:hint="eastAsia" w:ascii="宋体" w:hAnsi="宋体"/>
          <w:b/>
          <w:bCs/>
          <w:color w:val="auto"/>
          <w:sz w:val="32"/>
          <w:szCs w:val="32"/>
        </w:rPr>
        <w:t>（联合体投标格式）</w:t>
      </w:r>
    </w:p>
    <w:p>
      <w:pPr>
        <w:snapToGrid w:val="0"/>
        <w:spacing w:beforeLines="50" w:after="50"/>
        <w:ind w:firstLine="758" w:firstLineChars="236"/>
        <w:jc w:val="center"/>
        <w:rPr>
          <w:rFonts w:ascii="宋体" w:hAnsi="宋体"/>
          <w:color w:val="auto"/>
          <w:sz w:val="24"/>
        </w:rPr>
      </w:pPr>
      <w:r>
        <w:rPr>
          <w:rFonts w:hint="eastAsia" w:ascii="宋体" w:hAnsi="宋体"/>
          <w:b/>
          <w:bCs/>
          <w:color w:val="auto"/>
          <w:sz w:val="32"/>
          <w:szCs w:val="32"/>
        </w:rPr>
        <w:t>（如有委托时）</w:t>
      </w:r>
    </w:p>
    <w:p>
      <w:pPr>
        <w:snapToGrid w:val="0"/>
        <w:spacing w:beforeLines="50" w:after="50"/>
        <w:jc w:val="left"/>
        <w:rPr>
          <w:rFonts w:ascii="宋体" w:hAnsi="宋体"/>
          <w:color w:val="auto"/>
          <w:sz w:val="24"/>
        </w:rPr>
      </w:pPr>
      <w:r>
        <w:rPr>
          <w:rFonts w:hint="eastAsia" w:ascii="宋体" w:hAnsi="宋体"/>
          <w:bCs/>
          <w:color w:val="auto"/>
          <w:sz w:val="24"/>
        </w:rPr>
        <w:t>致：</w:t>
      </w:r>
      <w:r>
        <w:rPr>
          <w:rFonts w:hint="eastAsia" w:ascii="宋体" w:hAnsi="宋体"/>
          <w:color w:val="auto"/>
          <w:sz w:val="24"/>
          <w:u w:val="single"/>
        </w:rPr>
        <w:t>采购人名称</w:t>
      </w:r>
      <w:r>
        <w:rPr>
          <w:rFonts w:hint="eastAsia" w:ascii="宋体" w:hAnsi="宋体"/>
          <w:color w:val="auto"/>
          <w:sz w:val="24"/>
        </w:rPr>
        <w:t>：</w:t>
      </w:r>
    </w:p>
    <w:p>
      <w:pPr>
        <w:snapToGrid w:val="0"/>
        <w:spacing w:beforeLines="50" w:after="50"/>
        <w:ind w:firstLine="566" w:firstLineChars="236"/>
        <w:rPr>
          <w:rFonts w:ascii="宋体" w:hAnsi="宋体"/>
          <w:color w:val="auto"/>
          <w:sz w:val="24"/>
        </w:rPr>
      </w:pPr>
      <w:r>
        <w:rPr>
          <w:rFonts w:hint="eastAsia" w:ascii="宋体" w:hAnsi="宋体"/>
          <w:color w:val="auto"/>
          <w:sz w:val="24"/>
        </w:rPr>
        <w:t xml:space="preserve">根据 </w:t>
      </w:r>
      <w:r>
        <w:rPr>
          <w:rFonts w:hint="eastAsia" w:ascii="宋体" w:hAnsi="宋体"/>
          <w:color w:val="auto"/>
          <w:sz w:val="24"/>
          <w:u w:val="single"/>
        </w:rPr>
        <w:t xml:space="preserve"> （牵头人名称）</w:t>
      </w:r>
      <w:r>
        <w:rPr>
          <w:rFonts w:hint="eastAsia" w:ascii="宋体" w:hAnsi="宋体"/>
          <w:color w:val="auto"/>
          <w:sz w:val="24"/>
        </w:rPr>
        <w:t>与</w:t>
      </w:r>
      <w:r>
        <w:rPr>
          <w:rFonts w:hint="eastAsia" w:ascii="宋体" w:hAnsi="宋体"/>
          <w:color w:val="auto"/>
          <w:sz w:val="24"/>
          <w:u w:val="single"/>
        </w:rPr>
        <w:t>（联合体其他成员名称）</w:t>
      </w:r>
      <w:r>
        <w:rPr>
          <w:rFonts w:hint="eastAsia" w:ascii="宋体" w:hAnsi="宋体"/>
          <w:color w:val="auto"/>
          <w:sz w:val="24"/>
        </w:rPr>
        <w:t>签订的《联合体投标协议书》的内容，</w:t>
      </w:r>
      <w:r>
        <w:rPr>
          <w:rFonts w:hint="eastAsia" w:ascii="宋体" w:hAnsi="宋体"/>
          <w:color w:val="auto"/>
          <w:sz w:val="24"/>
          <w:u w:val="single"/>
        </w:rPr>
        <w:t>（牵头人名称）</w:t>
      </w:r>
      <w:r>
        <w:rPr>
          <w:rFonts w:hint="eastAsia" w:ascii="宋体" w:hAnsi="宋体"/>
          <w:color w:val="auto"/>
          <w:sz w:val="24"/>
        </w:rPr>
        <w:t>的法定代表人</w:t>
      </w:r>
      <w:r>
        <w:rPr>
          <w:rFonts w:hint="eastAsia" w:ascii="宋体" w:hAnsi="宋体"/>
          <w:color w:val="auto"/>
          <w:sz w:val="24"/>
          <w:u w:val="single"/>
        </w:rPr>
        <w:t>（姓名）</w:t>
      </w:r>
      <w:r>
        <w:rPr>
          <w:rFonts w:hint="eastAsia" w:ascii="宋体" w:hAnsi="宋体"/>
          <w:color w:val="auto"/>
          <w:sz w:val="24"/>
        </w:rPr>
        <w:t>现授权委托</w:t>
      </w:r>
      <w:r>
        <w:rPr>
          <w:rFonts w:hint="eastAsia" w:ascii="宋体" w:hAnsi="宋体"/>
          <w:color w:val="auto"/>
          <w:sz w:val="24"/>
          <w:u w:val="single"/>
        </w:rPr>
        <w:t xml:space="preserve">              （姓名）</w:t>
      </w:r>
      <w:r>
        <w:rPr>
          <w:rFonts w:hint="eastAsia" w:ascii="宋体" w:hAnsi="宋体"/>
          <w:color w:val="auto"/>
          <w:sz w:val="24"/>
        </w:rPr>
        <w:t>以我方的名义参加</w:t>
      </w:r>
      <w:r>
        <w:rPr>
          <w:rFonts w:hint="eastAsia" w:ascii="宋体" w:hAnsi="宋体"/>
          <w:color w:val="auto"/>
          <w:sz w:val="24"/>
          <w:u w:val="single"/>
        </w:rPr>
        <w:t xml:space="preserve">              </w:t>
      </w:r>
      <w:r>
        <w:rPr>
          <w:rFonts w:hint="eastAsia" w:ascii="宋体" w:hAnsi="宋体"/>
          <w:color w:val="auto"/>
          <w:sz w:val="24"/>
        </w:rPr>
        <w:t>项目的投标活动，并代表我方全权办理针对上述项目的所有采购程序和环节的具体事务和签署相关文件。</w:t>
      </w:r>
    </w:p>
    <w:p>
      <w:pPr>
        <w:snapToGrid w:val="0"/>
        <w:spacing w:beforeLines="50" w:after="50"/>
        <w:ind w:firstLine="566" w:firstLineChars="236"/>
        <w:rPr>
          <w:rFonts w:ascii="宋体" w:hAnsi="宋体"/>
          <w:color w:val="auto"/>
          <w:sz w:val="24"/>
        </w:rPr>
      </w:pPr>
      <w:r>
        <w:rPr>
          <w:rFonts w:hint="eastAsia" w:ascii="宋体" w:hAnsi="宋体"/>
          <w:color w:val="auto"/>
          <w:sz w:val="24"/>
        </w:rPr>
        <w:t>我方对委托代理人的签字事项负全部责任。</w:t>
      </w:r>
    </w:p>
    <w:p>
      <w:pPr>
        <w:snapToGrid w:val="0"/>
        <w:spacing w:beforeLines="50" w:after="50"/>
        <w:ind w:firstLine="566" w:firstLineChars="236"/>
        <w:rPr>
          <w:rFonts w:ascii="宋体" w:hAnsi="宋体"/>
          <w:color w:val="auto"/>
          <w:sz w:val="24"/>
        </w:rPr>
      </w:pPr>
      <w:r>
        <w:rPr>
          <w:rFonts w:hint="eastAsia" w:ascii="宋体" w:hAnsi="宋体"/>
          <w:color w:val="auto"/>
          <w:sz w:val="24"/>
        </w:rPr>
        <w:t>本授权书自签署之日起生效，在撤销授权的书面通知以前，本授权书一直有效。委托代理人在授权书有效期内签署的所有文件不因授权的撤销而失效。</w:t>
      </w:r>
    </w:p>
    <w:p>
      <w:pPr>
        <w:snapToGrid w:val="0"/>
        <w:spacing w:beforeLines="50" w:after="50"/>
        <w:ind w:firstLine="566" w:firstLineChars="236"/>
        <w:rPr>
          <w:rFonts w:ascii="宋体" w:hAnsi="宋体"/>
          <w:color w:val="auto"/>
          <w:sz w:val="24"/>
        </w:rPr>
      </w:pPr>
      <w:r>
        <w:rPr>
          <w:rFonts w:hint="eastAsia" w:ascii="宋体" w:hAnsi="宋体"/>
          <w:color w:val="auto"/>
          <w:sz w:val="24"/>
        </w:rPr>
        <w:t>委托代理人无转委托权，特此委托。</w:t>
      </w:r>
    </w:p>
    <w:p>
      <w:pPr>
        <w:snapToGrid w:val="0"/>
        <w:spacing w:beforeLines="50" w:after="50"/>
        <w:ind w:firstLine="566" w:firstLineChars="236"/>
        <w:rPr>
          <w:rFonts w:ascii="宋体" w:hAnsi="宋体"/>
          <w:color w:val="auto"/>
          <w:sz w:val="24"/>
        </w:rPr>
      </w:pPr>
      <w:r>
        <w:rPr>
          <w:rFonts w:hint="eastAsia" w:ascii="宋体" w:hAnsi="宋体"/>
          <w:color w:val="auto"/>
          <w:sz w:val="24"/>
        </w:rPr>
        <w:t>附：牵头人法定代表人身份证明及委托代理人有效身份证正反面复印件</w:t>
      </w:r>
    </w:p>
    <w:p>
      <w:pPr>
        <w:snapToGrid w:val="0"/>
        <w:spacing w:beforeLines="50" w:after="50"/>
        <w:ind w:firstLine="566" w:firstLineChars="236"/>
        <w:rPr>
          <w:rFonts w:ascii="宋体" w:hAnsi="宋体"/>
          <w:color w:val="auto"/>
          <w:sz w:val="24"/>
        </w:rPr>
      </w:pPr>
    </w:p>
    <w:p>
      <w:pPr>
        <w:snapToGrid w:val="0"/>
        <w:spacing w:beforeLines="50" w:after="50"/>
        <w:ind w:firstLine="566" w:firstLineChars="236"/>
        <w:rPr>
          <w:rFonts w:ascii="宋体" w:hAnsi="宋体"/>
          <w:color w:val="auto"/>
          <w:sz w:val="24"/>
        </w:rPr>
      </w:pPr>
      <w:r>
        <w:rPr>
          <w:rFonts w:hint="eastAsia" w:ascii="宋体" w:hAnsi="宋体"/>
          <w:color w:val="auto"/>
          <w:sz w:val="24"/>
        </w:rPr>
        <w:t>牵头人法定代表人（签字或者盖章或者电子签名）：</w:t>
      </w:r>
    </w:p>
    <w:p>
      <w:pPr>
        <w:snapToGrid w:val="0"/>
        <w:spacing w:beforeLines="50" w:after="50"/>
        <w:ind w:firstLine="566" w:firstLineChars="236"/>
        <w:rPr>
          <w:rFonts w:ascii="宋体" w:hAnsi="宋体"/>
          <w:color w:val="auto"/>
          <w:sz w:val="24"/>
        </w:rPr>
      </w:pPr>
      <w:r>
        <w:rPr>
          <w:rFonts w:hint="eastAsia" w:ascii="宋体" w:hAnsi="宋体"/>
          <w:color w:val="auto"/>
          <w:sz w:val="24"/>
        </w:rPr>
        <w:t>牵头人（电子签章）：</w:t>
      </w:r>
    </w:p>
    <w:p>
      <w:pPr>
        <w:snapToGrid w:val="0"/>
        <w:spacing w:beforeLines="50" w:after="50"/>
        <w:ind w:firstLine="566" w:firstLineChars="236"/>
        <w:rPr>
          <w:rFonts w:ascii="宋体" w:hAnsi="宋体"/>
          <w:color w:val="auto"/>
          <w:sz w:val="24"/>
        </w:rPr>
      </w:pPr>
      <w:r>
        <w:rPr>
          <w:rFonts w:hint="eastAsia" w:ascii="宋体" w:hAnsi="宋体"/>
          <w:color w:val="auto"/>
          <w:sz w:val="24"/>
        </w:rPr>
        <w:t>日期：    年   月   日</w:t>
      </w:r>
    </w:p>
    <w:p>
      <w:pPr>
        <w:snapToGrid w:val="0"/>
        <w:spacing w:beforeLines="50" w:after="50"/>
        <w:ind w:firstLine="566" w:firstLineChars="236"/>
        <w:rPr>
          <w:rFonts w:ascii="宋体" w:hAnsi="宋体"/>
          <w:color w:val="auto"/>
          <w:sz w:val="24"/>
        </w:rPr>
      </w:pPr>
    </w:p>
    <w:p>
      <w:pPr>
        <w:snapToGrid w:val="0"/>
        <w:spacing w:beforeLines="50" w:after="50"/>
        <w:ind w:firstLine="566" w:firstLineChars="236"/>
        <w:rPr>
          <w:rFonts w:ascii="宋体" w:hAnsi="宋体"/>
          <w:color w:val="auto"/>
          <w:sz w:val="24"/>
        </w:rPr>
      </w:pPr>
      <w:r>
        <w:rPr>
          <w:rFonts w:hint="eastAsia" w:ascii="宋体" w:hAnsi="宋体"/>
          <w:color w:val="auto"/>
          <w:sz w:val="24"/>
        </w:rPr>
        <w:t>被授权人（签字/电子签名）：</w:t>
      </w:r>
    </w:p>
    <w:p>
      <w:pPr>
        <w:snapToGrid w:val="0"/>
        <w:spacing w:beforeLines="50" w:after="50"/>
        <w:ind w:firstLine="566" w:firstLineChars="236"/>
        <w:rPr>
          <w:rFonts w:ascii="仿宋_GB2312" w:hAnsi="仿宋_GB2312" w:eastAsia="仿宋_GB2312" w:cs="仿宋_GB2312"/>
          <w:color w:val="auto"/>
          <w:sz w:val="32"/>
          <w:szCs w:val="32"/>
        </w:rPr>
      </w:pPr>
      <w:r>
        <w:rPr>
          <w:rFonts w:hint="eastAsia" w:ascii="宋体" w:hAnsi="宋体"/>
          <w:color w:val="auto"/>
          <w:sz w:val="24"/>
        </w:rPr>
        <w:t>日期：    年   月   日</w:t>
      </w:r>
    </w:p>
    <w:p>
      <w:pPr>
        <w:spacing w:line="440" w:lineRule="exact"/>
        <w:ind w:firstLine="480" w:firstLineChars="200"/>
        <w:contextualSpacing/>
        <w:rPr>
          <w:rFonts w:ascii="宋体" w:hAnsi="宋体" w:cs="宋体"/>
          <w:color w:val="auto"/>
          <w:sz w:val="24"/>
        </w:rPr>
      </w:pPr>
    </w:p>
    <w:p>
      <w:pPr>
        <w:spacing w:line="440" w:lineRule="exact"/>
        <w:ind w:firstLine="480" w:firstLineChars="200"/>
        <w:contextualSpacing/>
        <w:rPr>
          <w:rFonts w:ascii="宋体" w:hAnsi="宋体" w:cs="宋体"/>
          <w:color w:val="auto"/>
          <w:sz w:val="24"/>
        </w:rPr>
      </w:pPr>
    </w:p>
    <w:p>
      <w:pPr>
        <w:spacing w:line="440" w:lineRule="exact"/>
        <w:ind w:firstLine="480" w:firstLineChars="200"/>
        <w:contextualSpacing/>
        <w:jc w:val="left"/>
        <w:rPr>
          <w:rFonts w:ascii="宋体" w:hAnsi="宋体" w:cs="宋体"/>
          <w:color w:val="auto"/>
          <w:sz w:val="24"/>
        </w:rPr>
      </w:pPr>
      <w:r>
        <w:rPr>
          <w:rFonts w:hint="eastAsia" w:ascii="宋体" w:hAnsi="宋体" w:cs="宋体"/>
          <w:color w:val="auto"/>
          <w:sz w:val="24"/>
        </w:rPr>
        <w:t>注：1. 法定代表人必须在授权委托书上亲笔签字或者盖章或者电子签名，委托代理人必须在授权委托书上亲笔签字或者电子签名，</w:t>
      </w:r>
      <w:r>
        <w:rPr>
          <w:rFonts w:hint="eastAsia" w:ascii="宋体" w:hAnsi="宋体" w:cs="宋体"/>
          <w:b/>
          <w:bCs/>
          <w:color w:val="auto"/>
          <w:sz w:val="24"/>
        </w:rPr>
        <w:t>否则按无效投标处理</w:t>
      </w:r>
      <w:r>
        <w:rPr>
          <w:rFonts w:hint="eastAsia" w:ascii="宋体" w:hAnsi="宋体" w:cs="宋体"/>
          <w:color w:val="auto"/>
          <w:sz w:val="24"/>
        </w:rPr>
        <w:t>；</w:t>
      </w:r>
    </w:p>
    <w:p>
      <w:pPr>
        <w:spacing w:line="440" w:lineRule="exact"/>
        <w:ind w:firstLine="480" w:firstLineChars="200"/>
        <w:contextualSpacing/>
        <w:jc w:val="left"/>
        <w:rPr>
          <w:rFonts w:ascii="宋体" w:hAnsi="宋体" w:cs="宋体"/>
          <w:color w:val="auto"/>
          <w:sz w:val="24"/>
        </w:rPr>
      </w:pPr>
      <w:r>
        <w:rPr>
          <w:rFonts w:hint="eastAsia" w:ascii="宋体" w:hAnsi="宋体" w:cs="宋体"/>
          <w:color w:val="auto"/>
          <w:sz w:val="24"/>
        </w:rPr>
        <w:t>2.本授权委托书应由联合体牵头人的法定代表人按上述规定签字或者盖章或者电子签名。</w:t>
      </w:r>
    </w:p>
    <w:p>
      <w:pPr>
        <w:spacing w:line="500" w:lineRule="exact"/>
        <w:ind w:firstLine="480" w:firstLineChars="200"/>
        <w:jc w:val="left"/>
        <w:rPr>
          <w:rFonts w:ascii="宋体" w:hAnsi="宋体" w:cs="宋体"/>
          <w:color w:val="auto"/>
          <w:sz w:val="24"/>
        </w:rPr>
      </w:pPr>
      <w:r>
        <w:rPr>
          <w:rFonts w:hint="eastAsia" w:ascii="宋体" w:hAnsi="宋体" w:cs="宋体"/>
          <w:color w:val="auto"/>
          <w:sz w:val="24"/>
        </w:rPr>
        <w:t>3.法人、其他组织投标时“我方”是指“我单位”，自然人投标时“我方”是指“本人”1.法定代表人必须在授权委托书上亲笔签字或者盖章，委托代理人必须在授权委托书上亲笔签字，</w:t>
      </w:r>
      <w:r>
        <w:rPr>
          <w:rFonts w:hint="eastAsia" w:ascii="宋体" w:hAnsi="宋体" w:cs="宋体"/>
          <w:b/>
          <w:bCs/>
          <w:color w:val="auto"/>
          <w:sz w:val="24"/>
        </w:rPr>
        <w:t>否则按无效投标处理</w:t>
      </w:r>
      <w:r>
        <w:rPr>
          <w:rFonts w:hint="eastAsia" w:ascii="宋体" w:hAnsi="宋体" w:cs="宋体"/>
          <w:color w:val="auto"/>
          <w:sz w:val="24"/>
        </w:rPr>
        <w:t>；</w:t>
      </w:r>
    </w:p>
    <w:p>
      <w:pPr>
        <w:rPr>
          <w:rFonts w:ascii="宋体" w:hAnsi="宋体"/>
          <w:color w:val="auto"/>
          <w:sz w:val="24"/>
        </w:rPr>
      </w:pPr>
    </w:p>
    <w:p>
      <w:pPr>
        <w:pStyle w:val="14"/>
        <w:rPr>
          <w:rFonts w:ascii="宋体" w:hAnsi="宋体"/>
          <w:color w:val="auto"/>
          <w:sz w:val="24"/>
        </w:rPr>
      </w:pPr>
    </w:p>
    <w:p>
      <w:pPr>
        <w:rPr>
          <w:rFonts w:ascii="宋体" w:hAnsi="宋体"/>
          <w:color w:val="auto"/>
          <w:sz w:val="24"/>
        </w:rPr>
      </w:pPr>
    </w:p>
    <w:p>
      <w:pPr>
        <w:rPr>
          <w:rFonts w:ascii="宋体" w:hAnsi="宋体"/>
          <w:b/>
          <w:color w:val="auto"/>
          <w:sz w:val="24"/>
          <w:szCs w:val="20"/>
        </w:rPr>
      </w:pPr>
      <w:r>
        <w:rPr>
          <w:rFonts w:hint="eastAsia" w:ascii="宋体" w:hAnsi="宋体"/>
          <w:b/>
          <w:color w:val="auto"/>
          <w:sz w:val="24"/>
        </w:rPr>
        <w:t>4.商务条款偏离表格式(注：按项目需求表具体项目修改)</w:t>
      </w:r>
    </w:p>
    <w:p>
      <w:pPr>
        <w:snapToGrid w:val="0"/>
        <w:spacing w:before="50"/>
        <w:jc w:val="left"/>
        <w:rPr>
          <w:rFonts w:ascii="宋体" w:hAnsi="宋体"/>
          <w:color w:val="auto"/>
          <w:sz w:val="24"/>
        </w:rPr>
      </w:pPr>
    </w:p>
    <w:p>
      <w:pPr>
        <w:pStyle w:val="18"/>
        <w:rPr>
          <w:rFonts w:hAnsi="宋体"/>
          <w:color w:val="auto"/>
          <w:sz w:val="24"/>
          <w:szCs w:val="24"/>
        </w:rPr>
      </w:pPr>
      <w:r>
        <w:rPr>
          <w:rFonts w:hint="eastAsia" w:hAnsi="宋体"/>
          <w:color w:val="auto"/>
          <w:sz w:val="24"/>
          <w:szCs w:val="24"/>
        </w:rPr>
        <w:t>所投分标：</w:t>
      </w:r>
      <w:r>
        <w:rPr>
          <w:rFonts w:hint="eastAsia" w:hAnsi="宋体"/>
          <w:color w:val="auto"/>
          <w:sz w:val="24"/>
          <w:szCs w:val="24"/>
          <w:u w:val="single"/>
        </w:rPr>
        <w:t xml:space="preserve">     </w:t>
      </w:r>
      <w:r>
        <w:rPr>
          <w:rFonts w:hint="eastAsia" w:hAnsi="宋体"/>
          <w:color w:val="auto"/>
          <w:sz w:val="24"/>
          <w:szCs w:val="24"/>
        </w:rPr>
        <w:t>分标</w:t>
      </w:r>
    </w:p>
    <w:p>
      <w:pPr>
        <w:snapToGrid w:val="0"/>
        <w:spacing w:before="50"/>
        <w:jc w:val="left"/>
        <w:rPr>
          <w:rFonts w:ascii="宋体" w:hAnsi="宋体"/>
          <w:color w:val="auto"/>
          <w:sz w:val="24"/>
          <w:u w:val="single"/>
        </w:rPr>
      </w:pPr>
    </w:p>
    <w:tbl>
      <w:tblPr>
        <w:tblStyle w:val="35"/>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olor w:val="auto"/>
                <w:sz w:val="24"/>
              </w:rPr>
            </w:pPr>
            <w:r>
              <w:rPr>
                <w:rFonts w:hint="eastAsia" w:ascii="宋体" w:hAnsi="宋体"/>
                <w:color w:val="auto"/>
                <w:sz w:val="24"/>
              </w:rPr>
              <w:t>项目</w:t>
            </w:r>
          </w:p>
        </w:tc>
        <w:tc>
          <w:tcPr>
            <w:tcW w:w="3336"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olor w:val="auto"/>
                <w:sz w:val="24"/>
              </w:rPr>
            </w:pPr>
            <w:r>
              <w:rPr>
                <w:rFonts w:hint="eastAsia" w:ascii="宋体" w:hAnsi="宋体"/>
                <w:color w:val="auto"/>
                <w:sz w:val="24"/>
              </w:rPr>
              <w:t>招标文件商务条款要求</w:t>
            </w:r>
          </w:p>
        </w:tc>
        <w:tc>
          <w:tcPr>
            <w:tcW w:w="176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olor w:val="auto"/>
                <w:sz w:val="24"/>
              </w:rPr>
            </w:pPr>
            <w:r>
              <w:rPr>
                <w:rFonts w:hint="eastAsia" w:ascii="宋体" w:hAnsi="宋体"/>
                <w:color w:val="auto"/>
                <w:sz w:val="24"/>
              </w:rPr>
              <w:t>投标人的承诺</w:t>
            </w:r>
          </w:p>
        </w:tc>
        <w:tc>
          <w:tcPr>
            <w:tcW w:w="2035"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olor w:val="auto"/>
                <w:sz w:val="24"/>
              </w:rPr>
            </w:pPr>
            <w:r>
              <w:rPr>
                <w:rFonts w:hint="eastAsia" w:ascii="宋体" w:hAnsi="宋体"/>
                <w:color w:val="auto"/>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3336"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olor w:val="auto"/>
                <w:sz w:val="24"/>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olor w:val="auto"/>
                <w:sz w:val="24"/>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3336"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auto"/>
                <w:sz w:val="24"/>
                <w:u w:val="single"/>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Lines="50"/>
              <w:ind w:left="43"/>
              <w:jc w:val="center"/>
              <w:rPr>
                <w:rFonts w:ascii="宋体" w:hAnsi="宋体"/>
                <w:color w:val="auto"/>
                <w:sz w:val="24"/>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Lines="50"/>
              <w:ind w:left="43"/>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rPr>
            </w:pPr>
          </w:p>
        </w:tc>
        <w:tc>
          <w:tcPr>
            <w:tcW w:w="3336"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auto"/>
                <w:sz w:val="24"/>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olor w:val="auto"/>
                <w:sz w:val="24"/>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olor w:val="auto"/>
                <w:sz w:val="24"/>
              </w:rPr>
            </w:pPr>
            <w:r>
              <w:rPr>
                <w:rFonts w:hint="eastAsia" w:ascii="宋体" w:hAnsi="宋体"/>
                <w:color w:val="auto"/>
                <w:sz w:val="24"/>
              </w:rPr>
              <w:t>…</w:t>
            </w:r>
          </w:p>
        </w:tc>
        <w:tc>
          <w:tcPr>
            <w:tcW w:w="3336"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olor w:val="auto"/>
                <w:sz w:val="24"/>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olor w:val="auto"/>
                <w:sz w:val="24"/>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olor w:val="auto"/>
                <w:sz w:val="24"/>
              </w:rPr>
            </w:pPr>
          </w:p>
        </w:tc>
      </w:tr>
    </w:tbl>
    <w:p>
      <w:pPr>
        <w:pStyle w:val="13"/>
        <w:rPr>
          <w:rFonts w:ascii="宋体" w:hAnsi="宋体"/>
          <w:color w:val="auto"/>
          <w:sz w:val="21"/>
          <w:szCs w:val="21"/>
        </w:rPr>
      </w:pPr>
      <w:r>
        <w:rPr>
          <w:rFonts w:hint="eastAsia" w:ascii="宋体" w:hAnsi="宋体"/>
          <w:color w:val="auto"/>
          <w:sz w:val="21"/>
          <w:szCs w:val="21"/>
        </w:rPr>
        <w:t>注：</w:t>
      </w:r>
    </w:p>
    <w:p>
      <w:pPr>
        <w:pStyle w:val="15"/>
        <w:spacing w:line="520" w:lineRule="exact"/>
        <w:ind w:firstLine="0"/>
        <w:rPr>
          <w:rFonts w:hAnsi="仿宋_GB2312" w:cs="仿宋_GB2312"/>
          <w:color w:val="auto"/>
          <w:sz w:val="21"/>
          <w:szCs w:val="21"/>
        </w:rPr>
      </w:pPr>
      <w:r>
        <w:rPr>
          <w:rFonts w:hint="eastAsia" w:hAnsi="宋体"/>
          <w:color w:val="auto"/>
          <w:sz w:val="21"/>
          <w:szCs w:val="21"/>
        </w:rPr>
        <w:t>1. 说明：应对照招标文件“第二章 采购需求”中的商务条款逐条实质性响应，并作出偏离说明。</w:t>
      </w:r>
    </w:p>
    <w:p>
      <w:pPr>
        <w:pStyle w:val="13"/>
        <w:rPr>
          <w:rFonts w:ascii="宋体" w:hAnsi="宋体"/>
          <w:color w:val="auto"/>
          <w:sz w:val="21"/>
          <w:szCs w:val="21"/>
        </w:rPr>
      </w:pPr>
      <w:r>
        <w:rPr>
          <w:rFonts w:ascii="宋体" w:hAnsi="宋体"/>
          <w:color w:val="auto"/>
          <w:sz w:val="21"/>
          <w:szCs w:val="21"/>
        </w:rPr>
        <w:t>2.</w:t>
      </w:r>
      <w:r>
        <w:rPr>
          <w:rFonts w:hint="eastAsia" w:ascii="宋体" w:hAnsi="宋体"/>
          <w:color w:val="auto"/>
          <w:sz w:val="21"/>
          <w:szCs w:val="21"/>
        </w:rPr>
        <w:t>投标人应根据自身的承诺，对照招标文件要求在“偏离说明”中注明“正偏离”、“负偏离”或者“无偏离”。既不属于“正偏离”也不属于“负偏离”即为“无偏离”。</w:t>
      </w:r>
    </w:p>
    <w:p>
      <w:pPr>
        <w:snapToGrid w:val="0"/>
        <w:spacing w:before="50" w:after="50"/>
        <w:rPr>
          <w:rFonts w:ascii="宋体" w:hAnsi="宋体"/>
          <w:color w:val="auto"/>
          <w:sz w:val="24"/>
        </w:rPr>
      </w:pPr>
    </w:p>
    <w:p>
      <w:pPr>
        <w:snapToGrid w:val="0"/>
        <w:spacing w:before="50" w:after="50"/>
        <w:rPr>
          <w:rFonts w:ascii="宋体" w:hAnsi="宋体"/>
          <w:color w:val="auto"/>
          <w:spacing w:val="20"/>
          <w:sz w:val="24"/>
          <w:u w:val="single"/>
        </w:rPr>
      </w:pPr>
      <w:r>
        <w:rPr>
          <w:rFonts w:hint="eastAsia" w:ascii="宋体" w:hAnsi="宋体"/>
          <w:color w:val="auto"/>
          <w:sz w:val="24"/>
        </w:rPr>
        <w:t>法定代表人或者委托代理人（签字/电子签名）</w:t>
      </w:r>
      <w:r>
        <w:rPr>
          <w:rFonts w:hint="eastAsia" w:ascii="宋体" w:hAnsi="宋体"/>
          <w:color w:val="auto"/>
          <w:spacing w:val="20"/>
          <w:sz w:val="24"/>
        </w:rPr>
        <w:t>：</w:t>
      </w:r>
      <w:r>
        <w:rPr>
          <w:rFonts w:hint="eastAsia" w:ascii="宋体" w:hAnsi="宋体"/>
          <w:color w:val="auto"/>
          <w:spacing w:val="20"/>
          <w:sz w:val="24"/>
          <w:u w:val="single"/>
        </w:rPr>
        <w:t xml:space="preserve">        </w:t>
      </w:r>
    </w:p>
    <w:p>
      <w:pPr>
        <w:snapToGrid w:val="0"/>
        <w:spacing w:beforeLines="50"/>
        <w:rPr>
          <w:rFonts w:ascii="宋体" w:hAnsi="宋体"/>
          <w:color w:val="auto"/>
          <w:spacing w:val="20"/>
          <w:sz w:val="24"/>
        </w:rPr>
      </w:pPr>
      <w:r>
        <w:rPr>
          <w:rFonts w:hint="eastAsia" w:ascii="宋体" w:hAnsi="宋体"/>
          <w:color w:val="auto"/>
          <w:spacing w:val="20"/>
          <w:sz w:val="24"/>
        </w:rPr>
        <w:t>投标人名称（电子签章）：</w:t>
      </w:r>
      <w:r>
        <w:rPr>
          <w:rFonts w:hint="eastAsia" w:ascii="宋体" w:hAnsi="宋体"/>
          <w:color w:val="auto"/>
          <w:spacing w:val="20"/>
          <w:sz w:val="24"/>
          <w:u w:val="single"/>
        </w:rPr>
        <w:t xml:space="preserve">            </w:t>
      </w:r>
      <w:r>
        <w:rPr>
          <w:rFonts w:hint="eastAsia" w:ascii="宋体" w:hAnsi="宋体"/>
          <w:color w:val="auto"/>
          <w:spacing w:val="20"/>
          <w:sz w:val="24"/>
        </w:rPr>
        <w:t xml:space="preserve">   </w:t>
      </w:r>
    </w:p>
    <w:p>
      <w:pPr>
        <w:snapToGrid w:val="0"/>
        <w:spacing w:beforeLines="50"/>
        <w:rPr>
          <w:rFonts w:ascii="宋体" w:hAnsi="宋体"/>
          <w:color w:val="auto"/>
          <w:sz w:val="24"/>
          <w:szCs w:val="20"/>
        </w:rPr>
      </w:pPr>
      <w:r>
        <w:rPr>
          <w:rFonts w:hint="eastAsia" w:ascii="宋体" w:hAnsi="宋体"/>
          <w:color w:val="auto"/>
          <w:spacing w:val="20"/>
          <w:sz w:val="24"/>
        </w:rPr>
        <w:t>日  期：</w:t>
      </w:r>
      <w:r>
        <w:rPr>
          <w:rFonts w:hint="eastAsia" w:ascii="宋体" w:hAnsi="宋体"/>
          <w:color w:val="auto"/>
          <w:spacing w:val="20"/>
          <w:sz w:val="24"/>
          <w:u w:val="single"/>
        </w:rPr>
        <w:t xml:space="preserve">         </w:t>
      </w:r>
    </w:p>
    <w:p>
      <w:pPr>
        <w:snapToGrid w:val="0"/>
        <w:spacing w:beforeLines="50"/>
        <w:rPr>
          <w:rFonts w:ascii="宋体" w:hAnsi="宋体"/>
          <w:color w:val="auto"/>
          <w:sz w:val="24"/>
          <w:szCs w:val="20"/>
        </w:rPr>
      </w:pPr>
    </w:p>
    <w:p>
      <w:pPr>
        <w:snapToGrid w:val="0"/>
        <w:spacing w:beforeLines="50" w:after="50"/>
        <w:jc w:val="left"/>
        <w:rPr>
          <w:rFonts w:ascii="宋体" w:hAnsi="宋体"/>
          <w:color w:val="auto"/>
          <w:sz w:val="24"/>
          <w:szCs w:val="20"/>
        </w:rPr>
        <w:sectPr>
          <w:footerReference r:id="rId12" w:type="first"/>
          <w:headerReference r:id="rId9" w:type="default"/>
          <w:footerReference r:id="rId10" w:type="default"/>
          <w:footerReference r:id="rId11" w:type="even"/>
          <w:pgSz w:w="11906" w:h="16838"/>
          <w:pgMar w:top="1134" w:right="1134" w:bottom="1134" w:left="1134" w:header="851" w:footer="992" w:gutter="0"/>
          <w:cols w:space="720" w:num="1"/>
          <w:docGrid w:linePitch="312" w:charSpace="0"/>
        </w:sectPr>
      </w:pPr>
    </w:p>
    <w:p>
      <w:pPr>
        <w:snapToGrid w:val="0"/>
        <w:spacing w:beforeLines="50" w:after="50"/>
        <w:jc w:val="left"/>
        <w:rPr>
          <w:rFonts w:ascii="宋体" w:hAnsi="宋体"/>
          <w:b/>
          <w:color w:val="auto"/>
          <w:sz w:val="24"/>
        </w:rPr>
      </w:pPr>
      <w:r>
        <w:rPr>
          <w:rFonts w:ascii="宋体" w:hAnsi="宋体"/>
          <w:b/>
          <w:color w:val="auto"/>
          <w:sz w:val="24"/>
        </w:rPr>
        <w:t>6</w:t>
      </w:r>
      <w:r>
        <w:rPr>
          <w:rFonts w:hint="eastAsia" w:ascii="宋体" w:hAnsi="宋体"/>
          <w:b/>
          <w:color w:val="auto"/>
          <w:sz w:val="24"/>
        </w:rPr>
        <w:t>.投标人类似的业绩证明文件</w:t>
      </w:r>
    </w:p>
    <w:p>
      <w:pPr>
        <w:pStyle w:val="27"/>
        <w:snapToGrid w:val="0"/>
        <w:ind w:left="480" w:hanging="480"/>
        <w:rPr>
          <w:rFonts w:ascii="宋体" w:hAnsi="宋体"/>
          <w:color w:val="auto"/>
          <w:sz w:val="24"/>
        </w:rPr>
      </w:pPr>
    </w:p>
    <w:p>
      <w:pPr>
        <w:pStyle w:val="27"/>
        <w:snapToGrid w:val="0"/>
        <w:ind w:left="480" w:hanging="480"/>
        <w:rPr>
          <w:rFonts w:ascii="宋体" w:hAnsi="宋体"/>
          <w:color w:val="auto"/>
          <w:sz w:val="24"/>
        </w:rPr>
      </w:pPr>
      <w:r>
        <w:rPr>
          <w:rFonts w:hint="eastAsia" w:ascii="宋体" w:hAnsi="宋体"/>
          <w:color w:val="auto"/>
          <w:sz w:val="24"/>
        </w:rPr>
        <w:t>投标人同类项目情况一览表格式：（投标人同类项目中标通知书或用户验收报告等格式自拟）</w:t>
      </w: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0"/>
        <w:gridCol w:w="1845"/>
        <w:gridCol w:w="1111"/>
        <w:gridCol w:w="1834"/>
        <w:gridCol w:w="1781"/>
        <w:gridCol w:w="12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11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rPr>
            </w:pPr>
            <w:r>
              <w:rPr>
                <w:rFonts w:hint="eastAsia" w:ascii="宋体" w:hAnsi="宋体"/>
                <w:color w:val="auto"/>
                <w:sz w:val="24"/>
              </w:rPr>
              <w:t>采购人名称</w:t>
            </w:r>
          </w:p>
        </w:tc>
        <w:tc>
          <w:tcPr>
            <w:tcW w:w="184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rPr>
            </w:pPr>
            <w:r>
              <w:rPr>
                <w:rFonts w:hint="eastAsia" w:ascii="宋体" w:hAnsi="宋体"/>
                <w:color w:val="auto"/>
                <w:sz w:val="24"/>
              </w:rPr>
              <w:t>项目名称</w:t>
            </w:r>
          </w:p>
        </w:tc>
        <w:tc>
          <w:tcPr>
            <w:tcW w:w="111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rPr>
            </w:pPr>
            <w:r>
              <w:rPr>
                <w:rFonts w:hint="eastAsia" w:ascii="宋体" w:hAnsi="宋体"/>
                <w:color w:val="auto"/>
                <w:sz w:val="24"/>
              </w:rPr>
              <w:t>合同</w:t>
            </w:r>
          </w:p>
          <w:p>
            <w:pPr>
              <w:snapToGrid w:val="0"/>
              <w:spacing w:line="240" w:lineRule="exact"/>
              <w:jc w:val="center"/>
              <w:rPr>
                <w:rFonts w:ascii="宋体" w:hAnsi="宋体"/>
                <w:color w:val="auto"/>
                <w:sz w:val="24"/>
              </w:rPr>
            </w:pPr>
            <w:r>
              <w:rPr>
                <w:rFonts w:hint="eastAsia" w:ascii="宋体" w:hAnsi="宋体"/>
                <w:color w:val="auto"/>
                <w:sz w:val="24"/>
              </w:rPr>
              <w:t>金额</w:t>
            </w:r>
          </w:p>
          <w:p>
            <w:pPr>
              <w:snapToGrid w:val="0"/>
              <w:spacing w:line="240" w:lineRule="exact"/>
              <w:jc w:val="center"/>
              <w:rPr>
                <w:rFonts w:ascii="宋体" w:hAnsi="宋体"/>
                <w:color w:val="auto"/>
                <w:sz w:val="24"/>
              </w:rPr>
            </w:pPr>
            <w:r>
              <w:rPr>
                <w:rFonts w:hint="eastAsia" w:ascii="宋体" w:hAnsi="宋体"/>
                <w:color w:val="auto"/>
                <w:sz w:val="24"/>
              </w:rPr>
              <w:t>（万元）</w:t>
            </w:r>
          </w:p>
        </w:tc>
        <w:tc>
          <w:tcPr>
            <w:tcW w:w="361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rPr>
            </w:pPr>
            <w:r>
              <w:rPr>
                <w:rFonts w:hint="eastAsia" w:ascii="宋体" w:hAnsi="宋体"/>
                <w:color w:val="auto"/>
                <w:sz w:val="24"/>
              </w:rPr>
              <w:t>附件在投标文件中页码</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rPr>
            </w:pPr>
            <w:r>
              <w:rPr>
                <w:rFonts w:hint="eastAsia" w:ascii="宋体" w:hAnsi="宋体"/>
                <w:color w:val="auto"/>
                <w:sz w:val="24"/>
              </w:rPr>
              <w:t>采购人联系人及</w:t>
            </w:r>
          </w:p>
          <w:p>
            <w:pPr>
              <w:snapToGrid w:val="0"/>
              <w:spacing w:line="240" w:lineRule="exact"/>
              <w:jc w:val="center"/>
              <w:rPr>
                <w:rFonts w:ascii="宋体" w:hAnsi="宋体"/>
                <w:color w:val="auto"/>
                <w:sz w:val="24"/>
              </w:rPr>
            </w:pPr>
            <w:r>
              <w:rPr>
                <w:rFonts w:hint="eastAsia" w:ascii="宋体" w:hAnsi="宋体"/>
                <w:color w:val="auto"/>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11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rPr>
            </w:pPr>
          </w:p>
        </w:tc>
        <w:tc>
          <w:tcPr>
            <w:tcW w:w="184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rPr>
            </w:pPr>
          </w:p>
        </w:tc>
        <w:tc>
          <w:tcPr>
            <w:tcW w:w="111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rPr>
            </w:pPr>
          </w:p>
        </w:tc>
        <w:tc>
          <w:tcPr>
            <w:tcW w:w="183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rPr>
            </w:pPr>
            <w:r>
              <w:rPr>
                <w:rFonts w:hint="eastAsia" w:ascii="宋体" w:hAnsi="宋体"/>
                <w:color w:val="auto"/>
                <w:sz w:val="24"/>
              </w:rPr>
              <w:t>合同</w:t>
            </w:r>
          </w:p>
        </w:tc>
        <w:tc>
          <w:tcPr>
            <w:tcW w:w="178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rPr>
            </w:pPr>
            <w:r>
              <w:rPr>
                <w:rFonts w:hint="eastAsia" w:ascii="宋体" w:hAnsi="宋体"/>
                <w:color w:val="auto"/>
                <w:sz w:val="24"/>
              </w:rPr>
              <w:t>验收报告</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11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rPr>
            </w:pPr>
          </w:p>
        </w:tc>
        <w:tc>
          <w:tcPr>
            <w:tcW w:w="184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rPr>
            </w:pPr>
          </w:p>
        </w:tc>
        <w:tc>
          <w:tcPr>
            <w:tcW w:w="111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rPr>
            </w:pPr>
          </w:p>
        </w:tc>
        <w:tc>
          <w:tcPr>
            <w:tcW w:w="183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rPr>
            </w:pPr>
          </w:p>
        </w:tc>
        <w:tc>
          <w:tcPr>
            <w:tcW w:w="178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rPr>
            </w:pPr>
          </w:p>
        </w:tc>
        <w:tc>
          <w:tcPr>
            <w:tcW w:w="121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1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rPr>
            </w:pPr>
          </w:p>
        </w:tc>
        <w:tc>
          <w:tcPr>
            <w:tcW w:w="184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rPr>
            </w:pPr>
          </w:p>
        </w:tc>
        <w:tc>
          <w:tcPr>
            <w:tcW w:w="111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rPr>
            </w:pPr>
          </w:p>
        </w:tc>
        <w:tc>
          <w:tcPr>
            <w:tcW w:w="183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rPr>
            </w:pPr>
          </w:p>
        </w:tc>
        <w:tc>
          <w:tcPr>
            <w:tcW w:w="178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rPr>
            </w:pPr>
          </w:p>
        </w:tc>
        <w:tc>
          <w:tcPr>
            <w:tcW w:w="121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11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rPr>
            </w:pPr>
          </w:p>
        </w:tc>
        <w:tc>
          <w:tcPr>
            <w:tcW w:w="184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rPr>
            </w:pPr>
          </w:p>
        </w:tc>
        <w:tc>
          <w:tcPr>
            <w:tcW w:w="111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rPr>
            </w:pPr>
          </w:p>
        </w:tc>
        <w:tc>
          <w:tcPr>
            <w:tcW w:w="183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rPr>
            </w:pPr>
          </w:p>
        </w:tc>
        <w:tc>
          <w:tcPr>
            <w:tcW w:w="178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rPr>
            </w:pPr>
          </w:p>
        </w:tc>
        <w:tc>
          <w:tcPr>
            <w:tcW w:w="121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1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rPr>
            </w:pPr>
          </w:p>
        </w:tc>
        <w:tc>
          <w:tcPr>
            <w:tcW w:w="184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rPr>
            </w:pPr>
          </w:p>
        </w:tc>
        <w:tc>
          <w:tcPr>
            <w:tcW w:w="111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rPr>
            </w:pPr>
          </w:p>
        </w:tc>
        <w:tc>
          <w:tcPr>
            <w:tcW w:w="183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rPr>
            </w:pPr>
          </w:p>
        </w:tc>
        <w:tc>
          <w:tcPr>
            <w:tcW w:w="178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rPr>
            </w:pPr>
          </w:p>
        </w:tc>
        <w:tc>
          <w:tcPr>
            <w:tcW w:w="121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1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rPr>
            </w:pPr>
          </w:p>
        </w:tc>
        <w:tc>
          <w:tcPr>
            <w:tcW w:w="184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rPr>
            </w:pPr>
          </w:p>
        </w:tc>
        <w:tc>
          <w:tcPr>
            <w:tcW w:w="111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rPr>
            </w:pPr>
          </w:p>
        </w:tc>
        <w:tc>
          <w:tcPr>
            <w:tcW w:w="183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rPr>
            </w:pPr>
          </w:p>
        </w:tc>
        <w:tc>
          <w:tcPr>
            <w:tcW w:w="178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rPr>
            </w:pPr>
          </w:p>
        </w:tc>
        <w:tc>
          <w:tcPr>
            <w:tcW w:w="121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olor w:val="auto"/>
                <w:sz w:val="24"/>
              </w:rPr>
            </w:pPr>
          </w:p>
        </w:tc>
      </w:tr>
    </w:tbl>
    <w:p>
      <w:pPr>
        <w:pStyle w:val="10"/>
        <w:snapToGrid w:val="0"/>
        <w:rPr>
          <w:rFonts w:ascii="宋体" w:hAnsi="宋体" w:eastAsia="宋体"/>
          <w:color w:val="auto"/>
          <w:sz w:val="24"/>
          <w:szCs w:val="24"/>
        </w:rPr>
      </w:pPr>
    </w:p>
    <w:p>
      <w:pPr>
        <w:pStyle w:val="10"/>
        <w:snapToGrid w:val="0"/>
        <w:rPr>
          <w:rFonts w:ascii="宋体" w:hAnsi="宋体" w:eastAsia="宋体"/>
          <w:color w:val="auto"/>
          <w:sz w:val="24"/>
          <w:szCs w:val="24"/>
        </w:rPr>
      </w:pPr>
      <w:r>
        <w:rPr>
          <w:rFonts w:hint="eastAsia" w:ascii="宋体" w:hAnsi="宋体" w:eastAsia="宋体"/>
          <w:color w:val="auto"/>
          <w:sz w:val="24"/>
          <w:szCs w:val="24"/>
        </w:rPr>
        <w:t>注：投标人可根据评标标准具体要求附业绩证明材料。</w:t>
      </w:r>
    </w:p>
    <w:p>
      <w:pPr>
        <w:pStyle w:val="10"/>
        <w:snapToGrid w:val="0"/>
        <w:jc w:val="left"/>
        <w:rPr>
          <w:rFonts w:ascii="宋体" w:hAnsi="宋体" w:eastAsia="宋体"/>
          <w:color w:val="auto"/>
          <w:sz w:val="24"/>
          <w:szCs w:val="24"/>
        </w:rPr>
      </w:pPr>
    </w:p>
    <w:p>
      <w:pPr>
        <w:pStyle w:val="10"/>
        <w:snapToGrid w:val="0"/>
        <w:jc w:val="left"/>
        <w:rPr>
          <w:rFonts w:ascii="宋体" w:hAnsi="宋体" w:eastAsia="宋体"/>
          <w:color w:val="auto"/>
          <w:sz w:val="24"/>
          <w:szCs w:val="24"/>
          <w:u w:val="single"/>
        </w:rPr>
      </w:pPr>
      <w:r>
        <w:rPr>
          <w:rFonts w:hint="eastAsia" w:ascii="宋体" w:hAnsi="宋体" w:eastAsia="宋体"/>
          <w:color w:val="auto"/>
          <w:sz w:val="24"/>
          <w:szCs w:val="24"/>
        </w:rPr>
        <w:t>法定代表人或者委托代理人（签字/电子签名）：</w:t>
      </w:r>
      <w:r>
        <w:rPr>
          <w:rFonts w:hint="eastAsia" w:ascii="宋体" w:hAnsi="宋体" w:eastAsia="宋体"/>
          <w:color w:val="auto"/>
          <w:sz w:val="24"/>
          <w:szCs w:val="24"/>
          <w:u w:val="single"/>
        </w:rPr>
        <w:t>　　　　　</w:t>
      </w:r>
    </w:p>
    <w:p>
      <w:pPr>
        <w:snapToGrid w:val="0"/>
        <w:spacing w:before="50"/>
        <w:ind w:right="480"/>
        <w:jc w:val="left"/>
        <w:rPr>
          <w:rFonts w:ascii="宋体" w:hAnsi="宋体"/>
          <w:color w:val="auto"/>
          <w:sz w:val="24"/>
        </w:rPr>
      </w:pPr>
      <w:r>
        <w:rPr>
          <w:rFonts w:hint="eastAsia" w:ascii="宋体" w:hAnsi="宋体" w:cs="Arial"/>
          <w:color w:val="auto"/>
          <w:sz w:val="24"/>
        </w:rPr>
        <w:t xml:space="preserve">投标人名称（电子签章）： </w:t>
      </w:r>
      <w:r>
        <w:rPr>
          <w:rFonts w:hint="eastAsia" w:ascii="宋体" w:hAnsi="宋体"/>
          <w:color w:val="auto"/>
          <w:sz w:val="24"/>
          <w:u w:val="single"/>
        </w:rPr>
        <w:t xml:space="preserve">                </w:t>
      </w:r>
      <w:r>
        <w:rPr>
          <w:rFonts w:hint="eastAsia" w:ascii="宋体" w:hAnsi="宋体"/>
          <w:color w:val="auto"/>
          <w:sz w:val="24"/>
        </w:rPr>
        <w:t xml:space="preserve">                       </w:t>
      </w:r>
    </w:p>
    <w:p>
      <w:pPr>
        <w:snapToGrid w:val="0"/>
        <w:spacing w:before="50"/>
        <w:ind w:right="480"/>
        <w:jc w:val="left"/>
        <w:rPr>
          <w:rFonts w:ascii="宋体" w:hAnsi="宋体"/>
          <w:color w:val="auto"/>
          <w:sz w:val="24"/>
        </w:rPr>
      </w:pPr>
      <w:r>
        <w:rPr>
          <w:rFonts w:hint="eastAsia" w:ascii="宋体" w:hAnsi="宋体"/>
          <w:color w:val="auto"/>
          <w:sz w:val="24"/>
        </w:rPr>
        <w:t xml:space="preserve"> </w:t>
      </w:r>
    </w:p>
    <w:p>
      <w:pPr>
        <w:snapToGrid w:val="0"/>
        <w:spacing w:before="50"/>
        <w:ind w:right="480"/>
        <w:jc w:val="left"/>
        <w:rPr>
          <w:rFonts w:ascii="宋体" w:hAnsi="宋体"/>
          <w:color w:val="auto"/>
          <w:sz w:val="24"/>
          <w:szCs w:val="20"/>
        </w:rPr>
      </w:pPr>
      <w:r>
        <w:rPr>
          <w:rFonts w:hint="eastAsia" w:ascii="宋体" w:hAnsi="宋体"/>
          <w:color w:val="auto"/>
          <w:sz w:val="24"/>
        </w:rPr>
        <w:t>年    月    日</w:t>
      </w:r>
    </w:p>
    <w:p>
      <w:pPr>
        <w:snapToGrid w:val="0"/>
        <w:spacing w:before="50"/>
        <w:jc w:val="left"/>
        <w:rPr>
          <w:rFonts w:ascii="宋体" w:hAnsi="宋体"/>
          <w:color w:val="auto"/>
          <w:sz w:val="24"/>
        </w:rPr>
      </w:pPr>
    </w:p>
    <w:p>
      <w:pPr>
        <w:snapToGrid w:val="0"/>
        <w:spacing w:beforeLines="50"/>
        <w:rPr>
          <w:rFonts w:ascii="宋体" w:hAnsi="宋体"/>
          <w:color w:val="auto"/>
          <w:sz w:val="24"/>
          <w:szCs w:val="20"/>
        </w:rPr>
        <w:sectPr>
          <w:pgSz w:w="11906" w:h="16838"/>
          <w:pgMar w:top="1440" w:right="1797" w:bottom="1440" w:left="1797" w:header="851" w:footer="992" w:gutter="0"/>
          <w:cols w:space="720" w:num="1"/>
          <w:docGrid w:linePitch="312" w:charSpace="0"/>
        </w:sectPr>
      </w:pPr>
    </w:p>
    <w:p>
      <w:pPr>
        <w:snapToGrid w:val="0"/>
        <w:spacing w:beforeLines="50" w:after="50"/>
        <w:outlineLvl w:val="1"/>
        <w:rPr>
          <w:rFonts w:ascii="宋体" w:hAnsi="宋体"/>
          <w:b/>
          <w:color w:val="auto"/>
          <w:sz w:val="28"/>
          <w:szCs w:val="28"/>
        </w:rPr>
      </w:pPr>
      <w:bookmarkStart w:id="164" w:name="_Toc19686839"/>
      <w:r>
        <w:rPr>
          <w:rFonts w:hint="eastAsia" w:ascii="宋体" w:hAnsi="宋体"/>
          <w:b/>
          <w:color w:val="auto"/>
          <w:sz w:val="28"/>
          <w:szCs w:val="28"/>
        </w:rPr>
        <w:t>四、技术文件格式</w:t>
      </w:r>
      <w:bookmarkEnd w:id="164"/>
    </w:p>
    <w:p>
      <w:pPr>
        <w:snapToGrid w:val="0"/>
        <w:spacing w:beforeLines="50" w:after="50"/>
        <w:ind w:left="142"/>
        <w:jc w:val="left"/>
        <w:rPr>
          <w:rFonts w:ascii="宋体" w:hAnsi="宋体"/>
          <w:b/>
          <w:color w:val="auto"/>
          <w:sz w:val="24"/>
        </w:rPr>
      </w:pPr>
      <w:r>
        <w:rPr>
          <w:rFonts w:hint="eastAsia" w:ascii="宋体" w:hAnsi="宋体"/>
          <w:b/>
          <w:color w:val="auto"/>
          <w:sz w:val="24"/>
        </w:rPr>
        <w:t xml:space="preserve">1. 技术文件封面格式： </w:t>
      </w:r>
    </w:p>
    <w:p>
      <w:pPr>
        <w:snapToGrid w:val="0"/>
        <w:spacing w:beforeLines="50" w:after="50"/>
        <w:rPr>
          <w:rFonts w:ascii="宋体" w:hAnsi="宋体"/>
          <w:b/>
          <w:bCs/>
          <w:color w:val="auto"/>
          <w:sz w:val="32"/>
          <w:szCs w:val="20"/>
        </w:rPr>
      </w:pPr>
      <w:r>
        <w:rPr>
          <w:rFonts w:hint="eastAsia" w:ascii="宋体" w:hAnsi="宋体"/>
          <w:color w:val="auto"/>
          <w:sz w:val="24"/>
        </w:rPr>
        <w:t xml:space="preserve">                                                 </w:t>
      </w:r>
    </w:p>
    <w:p>
      <w:pPr>
        <w:snapToGrid w:val="0"/>
        <w:spacing w:beforeLines="50" w:after="50"/>
        <w:jc w:val="center"/>
        <w:rPr>
          <w:rFonts w:ascii="宋体" w:hAnsi="宋体" w:cs="宋体"/>
          <w:color w:val="auto"/>
          <w:sz w:val="84"/>
          <w:szCs w:val="84"/>
        </w:rPr>
      </w:pPr>
      <w:r>
        <w:rPr>
          <w:rFonts w:hint="eastAsia" w:ascii="宋体" w:hAnsi="宋体" w:cs="宋体"/>
          <w:color w:val="auto"/>
          <w:sz w:val="84"/>
          <w:szCs w:val="84"/>
        </w:rPr>
        <w:t>投  标  文  件</w:t>
      </w:r>
    </w:p>
    <w:p>
      <w:pPr>
        <w:snapToGrid w:val="0"/>
        <w:spacing w:beforeLines="50" w:after="50"/>
        <w:rPr>
          <w:rFonts w:ascii="宋体" w:hAnsi="宋体"/>
          <w:color w:val="auto"/>
          <w:sz w:val="24"/>
          <w:szCs w:val="20"/>
        </w:rPr>
      </w:pPr>
    </w:p>
    <w:p>
      <w:pPr>
        <w:snapToGrid w:val="0"/>
        <w:spacing w:beforeLines="50" w:after="50"/>
        <w:jc w:val="center"/>
        <w:rPr>
          <w:rFonts w:ascii="宋体" w:hAnsi="宋体"/>
          <w:b/>
          <w:bCs/>
          <w:color w:val="auto"/>
          <w:sz w:val="56"/>
          <w:szCs w:val="56"/>
        </w:rPr>
      </w:pPr>
      <w:r>
        <w:rPr>
          <w:rFonts w:hint="eastAsia" w:ascii="宋体" w:hAnsi="宋体"/>
          <w:b/>
          <w:bCs/>
          <w:color w:val="auto"/>
          <w:sz w:val="56"/>
          <w:szCs w:val="56"/>
        </w:rPr>
        <w:t>技术文件</w:t>
      </w:r>
    </w:p>
    <w:p>
      <w:pPr>
        <w:snapToGrid w:val="0"/>
        <w:spacing w:beforeLines="50" w:after="50"/>
        <w:rPr>
          <w:rFonts w:ascii="宋体" w:hAnsi="宋体"/>
          <w:bCs/>
          <w:color w:val="auto"/>
          <w:sz w:val="24"/>
          <w:szCs w:val="20"/>
        </w:rPr>
      </w:pPr>
    </w:p>
    <w:p>
      <w:pPr>
        <w:snapToGrid w:val="0"/>
        <w:spacing w:beforeLines="50" w:after="50" w:line="400" w:lineRule="exact"/>
        <w:ind w:firstLine="360" w:firstLineChars="150"/>
        <w:rPr>
          <w:rFonts w:ascii="宋体" w:hAnsi="宋体"/>
          <w:bCs/>
          <w:color w:val="auto"/>
          <w:sz w:val="24"/>
        </w:rPr>
      </w:pPr>
    </w:p>
    <w:p>
      <w:pPr>
        <w:snapToGrid w:val="0"/>
        <w:spacing w:beforeLines="50" w:after="50" w:line="400" w:lineRule="exact"/>
        <w:ind w:firstLine="360" w:firstLineChars="150"/>
        <w:rPr>
          <w:rFonts w:ascii="宋体" w:hAnsi="宋体"/>
          <w:bCs/>
          <w:color w:val="auto"/>
          <w:sz w:val="24"/>
        </w:rPr>
      </w:pPr>
    </w:p>
    <w:p>
      <w:pPr>
        <w:snapToGrid w:val="0"/>
        <w:spacing w:beforeLines="50" w:after="50" w:line="400" w:lineRule="exact"/>
        <w:ind w:firstLine="360" w:firstLineChars="150"/>
        <w:rPr>
          <w:rFonts w:ascii="宋体" w:hAnsi="宋体"/>
          <w:bCs/>
          <w:color w:val="auto"/>
          <w:sz w:val="24"/>
        </w:rPr>
      </w:pPr>
    </w:p>
    <w:p>
      <w:pPr>
        <w:snapToGrid w:val="0"/>
        <w:spacing w:beforeLines="50" w:after="50" w:line="400" w:lineRule="exact"/>
        <w:ind w:firstLine="360" w:firstLineChars="150"/>
        <w:rPr>
          <w:rFonts w:ascii="宋体" w:hAnsi="宋体"/>
          <w:bCs/>
          <w:color w:val="auto"/>
          <w:sz w:val="24"/>
          <w:szCs w:val="20"/>
        </w:rPr>
      </w:pPr>
      <w:r>
        <w:rPr>
          <w:rFonts w:hint="eastAsia" w:ascii="宋体" w:hAnsi="宋体"/>
          <w:bCs/>
          <w:color w:val="auto"/>
          <w:sz w:val="24"/>
        </w:rPr>
        <w:t xml:space="preserve">项目名称： </w:t>
      </w:r>
    </w:p>
    <w:p>
      <w:pPr>
        <w:snapToGrid w:val="0"/>
        <w:spacing w:beforeLines="50" w:after="50" w:line="400" w:lineRule="exact"/>
        <w:ind w:firstLine="360" w:firstLineChars="150"/>
        <w:rPr>
          <w:rFonts w:ascii="宋体" w:hAnsi="宋体"/>
          <w:bCs/>
          <w:color w:val="auto"/>
          <w:sz w:val="24"/>
        </w:rPr>
      </w:pPr>
      <w:r>
        <w:rPr>
          <w:rFonts w:hint="eastAsia" w:ascii="宋体" w:hAnsi="宋体"/>
          <w:bCs/>
          <w:color w:val="auto"/>
          <w:sz w:val="24"/>
        </w:rPr>
        <w:t xml:space="preserve">项目编号： </w:t>
      </w:r>
    </w:p>
    <w:p>
      <w:pPr>
        <w:snapToGrid w:val="0"/>
        <w:spacing w:beforeLines="50" w:after="50" w:line="400" w:lineRule="exact"/>
        <w:ind w:firstLine="360" w:firstLineChars="150"/>
        <w:rPr>
          <w:rFonts w:ascii="宋体" w:hAnsi="宋体"/>
          <w:bCs/>
          <w:color w:val="auto"/>
          <w:sz w:val="24"/>
        </w:rPr>
      </w:pPr>
      <w:r>
        <w:rPr>
          <w:rFonts w:hint="eastAsia" w:ascii="宋体" w:hAnsi="宋体"/>
          <w:bCs/>
          <w:color w:val="auto"/>
          <w:sz w:val="24"/>
        </w:rPr>
        <w:t>所投分标：</w:t>
      </w:r>
    </w:p>
    <w:p>
      <w:pPr>
        <w:snapToGrid w:val="0"/>
        <w:spacing w:beforeLines="50" w:after="50" w:line="400" w:lineRule="exact"/>
        <w:ind w:firstLine="360" w:firstLineChars="150"/>
        <w:rPr>
          <w:rFonts w:ascii="宋体" w:hAnsi="宋体"/>
          <w:bCs/>
          <w:color w:val="auto"/>
          <w:sz w:val="24"/>
        </w:rPr>
      </w:pPr>
      <w:r>
        <w:rPr>
          <w:rFonts w:hint="eastAsia" w:ascii="宋体" w:hAnsi="宋体"/>
          <w:bCs/>
          <w:color w:val="auto"/>
          <w:sz w:val="24"/>
        </w:rPr>
        <w:t>投标人名称：</w:t>
      </w:r>
    </w:p>
    <w:p>
      <w:pPr>
        <w:snapToGrid w:val="0"/>
        <w:spacing w:beforeLines="50" w:after="50" w:line="400" w:lineRule="exact"/>
        <w:ind w:firstLine="360" w:firstLineChars="150"/>
        <w:rPr>
          <w:rFonts w:ascii="宋体" w:hAnsi="宋体"/>
          <w:bCs/>
          <w:color w:val="auto"/>
          <w:sz w:val="24"/>
        </w:rPr>
      </w:pPr>
      <w:r>
        <w:rPr>
          <w:rFonts w:hint="eastAsia" w:ascii="宋体" w:hAnsi="宋体"/>
          <w:bCs/>
          <w:color w:val="auto"/>
          <w:sz w:val="24"/>
        </w:rPr>
        <w:t>投标人地址：</w:t>
      </w:r>
    </w:p>
    <w:p>
      <w:pPr>
        <w:snapToGrid w:val="0"/>
        <w:spacing w:beforeLines="50" w:after="50"/>
        <w:ind w:firstLine="645"/>
        <w:jc w:val="center"/>
        <w:rPr>
          <w:rFonts w:ascii="宋体" w:hAnsi="宋体"/>
          <w:color w:val="auto"/>
          <w:sz w:val="24"/>
        </w:rPr>
      </w:pPr>
      <w:r>
        <w:rPr>
          <w:rFonts w:hint="eastAsia" w:ascii="宋体" w:hAnsi="宋体"/>
          <w:color w:val="auto"/>
          <w:sz w:val="24"/>
        </w:rPr>
        <w:t xml:space="preserve">                        年    月    日</w:t>
      </w:r>
    </w:p>
    <w:p>
      <w:pPr>
        <w:snapToGrid w:val="0"/>
        <w:spacing w:beforeLines="50" w:after="50"/>
        <w:ind w:firstLine="645"/>
        <w:jc w:val="center"/>
        <w:rPr>
          <w:rFonts w:ascii="宋体" w:hAnsi="宋体"/>
          <w:color w:val="auto"/>
          <w:sz w:val="24"/>
          <w:szCs w:val="20"/>
        </w:rPr>
      </w:pPr>
    </w:p>
    <w:p>
      <w:pPr>
        <w:snapToGrid w:val="0"/>
        <w:spacing w:beforeLines="50" w:after="50"/>
        <w:ind w:left="142"/>
        <w:jc w:val="left"/>
        <w:rPr>
          <w:rFonts w:ascii="宋体" w:hAnsi="宋体"/>
          <w:b/>
          <w:bCs/>
          <w:color w:val="auto"/>
          <w:sz w:val="24"/>
        </w:rPr>
      </w:pPr>
      <w:r>
        <w:rPr>
          <w:rFonts w:ascii="宋体" w:hAnsi="宋体"/>
          <w:b/>
          <w:bCs/>
          <w:color w:val="auto"/>
          <w:sz w:val="24"/>
        </w:rPr>
        <w:br w:type="page"/>
      </w:r>
      <w:r>
        <w:rPr>
          <w:rFonts w:hint="eastAsia" w:ascii="宋体" w:hAnsi="宋体"/>
          <w:b/>
          <w:bCs/>
          <w:color w:val="auto"/>
          <w:sz w:val="24"/>
        </w:rPr>
        <w:t>2. 技术文件目录</w:t>
      </w:r>
    </w:p>
    <w:p>
      <w:pPr>
        <w:snapToGrid w:val="0"/>
        <w:spacing w:before="50" w:afterLines="50" w:line="280" w:lineRule="exact"/>
        <w:ind w:left="283" w:leftChars="135"/>
        <w:jc w:val="left"/>
        <w:rPr>
          <w:rFonts w:ascii="宋体" w:hAnsi="宋体"/>
          <w:color w:val="auto"/>
          <w:sz w:val="24"/>
          <w:szCs w:val="20"/>
        </w:rPr>
      </w:pPr>
      <w:r>
        <w:rPr>
          <w:rFonts w:hint="eastAsia" w:ascii="宋体" w:hAnsi="宋体"/>
          <w:color w:val="auto"/>
          <w:szCs w:val="21"/>
        </w:rPr>
        <w:t>根据招标文件规定及投标人提供的材料自行编写目录。</w:t>
      </w:r>
    </w:p>
    <w:p>
      <w:pPr>
        <w:snapToGrid w:val="0"/>
        <w:spacing w:beforeLines="50" w:after="50"/>
        <w:ind w:left="142"/>
        <w:jc w:val="left"/>
        <w:rPr>
          <w:rFonts w:ascii="宋体" w:hAnsi="宋体"/>
          <w:b/>
          <w:color w:val="auto"/>
          <w:sz w:val="24"/>
        </w:rPr>
      </w:pPr>
      <w:r>
        <w:rPr>
          <w:rFonts w:ascii="宋体" w:hAnsi="宋体"/>
          <w:b/>
          <w:color w:val="auto"/>
          <w:sz w:val="24"/>
        </w:rPr>
        <w:br w:type="page"/>
      </w:r>
      <w:r>
        <w:rPr>
          <w:rFonts w:hint="eastAsia" w:ascii="宋体" w:hAnsi="宋体"/>
          <w:b/>
          <w:color w:val="auto"/>
          <w:sz w:val="24"/>
        </w:rPr>
        <w:t>1. 设备性能配置清单格式</w:t>
      </w:r>
    </w:p>
    <w:p>
      <w:pPr>
        <w:snapToGrid w:val="0"/>
        <w:spacing w:beforeLines="50" w:after="50"/>
        <w:ind w:left="142"/>
        <w:jc w:val="left"/>
        <w:rPr>
          <w:rFonts w:ascii="宋体" w:hAnsi="宋体"/>
          <w:b/>
          <w:color w:val="auto"/>
          <w:sz w:val="24"/>
        </w:rPr>
      </w:pPr>
    </w:p>
    <w:p>
      <w:pPr>
        <w:snapToGrid w:val="0"/>
        <w:spacing w:beforeLines="50" w:after="50"/>
        <w:ind w:left="142"/>
        <w:jc w:val="center"/>
        <w:rPr>
          <w:rFonts w:ascii="宋体" w:hAnsi="宋体"/>
          <w:b/>
          <w:color w:val="auto"/>
          <w:sz w:val="32"/>
          <w:szCs w:val="32"/>
        </w:rPr>
      </w:pPr>
      <w:r>
        <w:rPr>
          <w:rFonts w:hint="eastAsia" w:ascii="宋体" w:hAnsi="宋体"/>
          <w:b/>
          <w:color w:val="auto"/>
          <w:sz w:val="32"/>
          <w:szCs w:val="32"/>
        </w:rPr>
        <w:t>设备性能配置清单</w:t>
      </w:r>
    </w:p>
    <w:p>
      <w:pPr>
        <w:pStyle w:val="18"/>
        <w:rPr>
          <w:color w:val="auto"/>
          <w:sz w:val="24"/>
          <w:szCs w:val="24"/>
        </w:rPr>
      </w:pPr>
      <w:r>
        <w:rPr>
          <w:rFonts w:hint="eastAsia"/>
          <w:color w:val="auto"/>
          <w:sz w:val="24"/>
          <w:szCs w:val="24"/>
        </w:rPr>
        <w:t>所投分标：</w:t>
      </w:r>
      <w:r>
        <w:rPr>
          <w:rFonts w:hint="eastAsia"/>
          <w:color w:val="auto"/>
          <w:sz w:val="24"/>
          <w:szCs w:val="24"/>
          <w:u w:val="single"/>
        </w:rPr>
        <w:t xml:space="preserve">     </w:t>
      </w:r>
      <w:r>
        <w:rPr>
          <w:rFonts w:hint="eastAsia"/>
          <w:color w:val="auto"/>
          <w:sz w:val="24"/>
          <w:szCs w:val="24"/>
        </w:rPr>
        <w:t>分标</w:t>
      </w: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3"/>
        <w:gridCol w:w="1372"/>
        <w:gridCol w:w="885"/>
        <w:gridCol w:w="985"/>
        <w:gridCol w:w="1967"/>
        <w:gridCol w:w="1372"/>
        <w:gridCol w:w="812"/>
        <w:gridCol w:w="16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r>
              <w:rPr>
                <w:rFonts w:hint="eastAsia" w:ascii="宋体" w:hAnsi="宋体"/>
                <w:color w:val="auto"/>
                <w:sz w:val="24"/>
              </w:rPr>
              <w:t>序号</w:t>
            </w: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r>
              <w:rPr>
                <w:rFonts w:hint="eastAsia" w:ascii="宋体" w:hAnsi="宋体"/>
                <w:color w:val="auto"/>
                <w:sz w:val="24"/>
              </w:rPr>
              <w:t>货物名称</w:t>
            </w:r>
          </w:p>
        </w:tc>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r>
              <w:rPr>
                <w:rFonts w:hint="eastAsia" w:ascii="宋体" w:hAnsi="宋体"/>
                <w:color w:val="auto"/>
                <w:sz w:val="24"/>
              </w:rPr>
              <w:t>数量及单位</w:t>
            </w:r>
          </w:p>
        </w:tc>
        <w:tc>
          <w:tcPr>
            <w:tcW w:w="98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r>
              <w:rPr>
                <w:rFonts w:hint="eastAsia" w:ascii="宋体" w:hAnsi="宋体"/>
                <w:color w:val="auto"/>
                <w:sz w:val="24"/>
              </w:rPr>
              <w:t>品牌</w:t>
            </w:r>
          </w:p>
        </w:tc>
        <w:tc>
          <w:tcPr>
            <w:tcW w:w="1967"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24"/>
              </w:rPr>
            </w:pPr>
          </w:p>
          <w:p>
            <w:pPr>
              <w:snapToGrid w:val="0"/>
              <w:spacing w:before="50" w:after="50"/>
              <w:jc w:val="center"/>
              <w:rPr>
                <w:rFonts w:ascii="宋体" w:hAnsi="宋体"/>
                <w:color w:val="auto"/>
                <w:sz w:val="24"/>
              </w:rPr>
            </w:pPr>
            <w:r>
              <w:rPr>
                <w:rFonts w:hint="eastAsia" w:ascii="宋体" w:hAnsi="宋体"/>
                <w:color w:val="auto"/>
                <w:sz w:val="24"/>
              </w:rPr>
              <w:t>规格型号</w:t>
            </w: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r>
              <w:rPr>
                <w:rFonts w:hint="eastAsia" w:ascii="宋体" w:hAnsi="宋体"/>
                <w:color w:val="auto"/>
                <w:sz w:val="24"/>
              </w:rPr>
              <w:t>制造商</w:t>
            </w:r>
          </w:p>
        </w:tc>
        <w:tc>
          <w:tcPr>
            <w:tcW w:w="8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r>
              <w:rPr>
                <w:rFonts w:hint="eastAsia" w:ascii="宋体" w:hAnsi="宋体"/>
                <w:color w:val="auto"/>
                <w:sz w:val="24"/>
              </w:rPr>
              <w:t>原产地</w:t>
            </w:r>
          </w:p>
        </w:tc>
        <w:tc>
          <w:tcPr>
            <w:tcW w:w="16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r>
              <w:rPr>
                <w:rFonts w:hint="eastAsia" w:ascii="宋体" w:hAnsi="宋体"/>
                <w:color w:val="auto"/>
                <w:sz w:val="24"/>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p>
        </w:tc>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p>
        </w:tc>
        <w:tc>
          <w:tcPr>
            <w:tcW w:w="98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p>
        </w:tc>
        <w:tc>
          <w:tcPr>
            <w:tcW w:w="1967"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24"/>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p>
        </w:tc>
        <w:tc>
          <w:tcPr>
            <w:tcW w:w="8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p>
        </w:tc>
        <w:tc>
          <w:tcPr>
            <w:tcW w:w="16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p>
        </w:tc>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p>
        </w:tc>
        <w:tc>
          <w:tcPr>
            <w:tcW w:w="98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p>
        </w:tc>
        <w:tc>
          <w:tcPr>
            <w:tcW w:w="1967"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24"/>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p>
        </w:tc>
        <w:tc>
          <w:tcPr>
            <w:tcW w:w="8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p>
        </w:tc>
        <w:tc>
          <w:tcPr>
            <w:tcW w:w="16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p>
        </w:tc>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p>
        </w:tc>
        <w:tc>
          <w:tcPr>
            <w:tcW w:w="98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p>
        </w:tc>
        <w:tc>
          <w:tcPr>
            <w:tcW w:w="1967"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24"/>
              </w:rPr>
            </w:pPr>
          </w:p>
        </w:tc>
        <w:tc>
          <w:tcPr>
            <w:tcW w:w="137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p>
        </w:tc>
        <w:tc>
          <w:tcPr>
            <w:tcW w:w="8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p>
        </w:tc>
        <w:tc>
          <w:tcPr>
            <w:tcW w:w="16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rPr>
            </w:pPr>
          </w:p>
        </w:tc>
      </w:tr>
    </w:tbl>
    <w:p>
      <w:pPr>
        <w:snapToGrid w:val="0"/>
        <w:spacing w:before="50" w:after="50"/>
        <w:rPr>
          <w:rFonts w:ascii="宋体" w:hAnsi="宋体"/>
          <w:color w:val="auto"/>
          <w:sz w:val="24"/>
        </w:rPr>
      </w:pPr>
      <w:r>
        <w:rPr>
          <w:rFonts w:hint="eastAsia" w:ascii="宋体" w:hAnsi="宋体"/>
          <w:color w:val="auto"/>
          <w:sz w:val="24"/>
        </w:rPr>
        <w:t>备注：</w:t>
      </w:r>
    </w:p>
    <w:p>
      <w:pPr>
        <w:snapToGrid w:val="0"/>
        <w:spacing w:before="50" w:after="50"/>
        <w:rPr>
          <w:rFonts w:ascii="宋体" w:hAnsi="宋体"/>
          <w:color w:val="auto"/>
          <w:sz w:val="24"/>
        </w:rPr>
      </w:pPr>
      <w:r>
        <w:rPr>
          <w:rFonts w:hint="eastAsia" w:ascii="宋体" w:hAnsi="宋体"/>
          <w:color w:val="auto"/>
          <w:sz w:val="24"/>
        </w:rPr>
        <w:t>以上性能配置清单中“货物名称、数量及单位、品牌、规格型号、制造商、原产地、参数性能、指标及配置”必须如实填写完整，品牌、规格型号没有则填无，填写有缺漏</w:t>
      </w:r>
      <w:r>
        <w:rPr>
          <w:rFonts w:hint="eastAsia" w:ascii="宋体" w:hAnsi="宋体"/>
          <w:bCs/>
          <w:color w:val="auto"/>
          <w:sz w:val="24"/>
        </w:rPr>
        <w:t>的，</w:t>
      </w:r>
      <w:r>
        <w:rPr>
          <w:rFonts w:hint="eastAsia" w:ascii="宋体" w:hAnsi="宋体"/>
          <w:b/>
          <w:color w:val="auto"/>
          <w:sz w:val="24"/>
        </w:rPr>
        <w:t>作无效投标处理。</w:t>
      </w:r>
      <w:r>
        <w:rPr>
          <w:rFonts w:hint="eastAsia" w:ascii="宋体" w:hAnsi="宋体"/>
          <w:color w:val="auto"/>
          <w:sz w:val="24"/>
        </w:rPr>
        <w:t>货物名称、数量及单位、品牌必须与“开标一览表”一致，</w:t>
      </w:r>
      <w:r>
        <w:rPr>
          <w:rFonts w:hint="eastAsia" w:ascii="宋体" w:hAnsi="宋体"/>
          <w:b/>
          <w:color w:val="auto"/>
          <w:sz w:val="24"/>
        </w:rPr>
        <w:t>否则作无效投标处理。</w:t>
      </w:r>
    </w:p>
    <w:p>
      <w:pPr>
        <w:snapToGrid w:val="0"/>
        <w:spacing w:before="50" w:after="50"/>
        <w:rPr>
          <w:rFonts w:ascii="宋体" w:hAnsi="宋体"/>
          <w:color w:val="auto"/>
          <w:sz w:val="24"/>
        </w:rPr>
      </w:pPr>
    </w:p>
    <w:p>
      <w:pPr>
        <w:snapToGrid w:val="0"/>
        <w:spacing w:before="50" w:after="50"/>
        <w:rPr>
          <w:rFonts w:ascii="宋体" w:hAnsi="宋体"/>
          <w:color w:val="auto"/>
          <w:sz w:val="24"/>
        </w:rPr>
      </w:pPr>
    </w:p>
    <w:p>
      <w:pPr>
        <w:snapToGrid w:val="0"/>
        <w:spacing w:before="50" w:after="50"/>
        <w:rPr>
          <w:rFonts w:ascii="宋体" w:hAnsi="宋体"/>
          <w:color w:val="auto"/>
          <w:spacing w:val="20"/>
          <w:sz w:val="24"/>
          <w:u w:val="single"/>
        </w:rPr>
      </w:pPr>
      <w:r>
        <w:rPr>
          <w:rFonts w:hint="eastAsia" w:ascii="宋体" w:hAnsi="宋体"/>
          <w:color w:val="auto"/>
          <w:sz w:val="24"/>
        </w:rPr>
        <w:t>法定代表人或者委托代理人（签字/电子签名）</w:t>
      </w:r>
      <w:r>
        <w:rPr>
          <w:rFonts w:hint="eastAsia" w:ascii="宋体" w:hAnsi="宋体"/>
          <w:color w:val="auto"/>
          <w:spacing w:val="20"/>
          <w:sz w:val="24"/>
        </w:rPr>
        <w:t>：</w:t>
      </w:r>
      <w:r>
        <w:rPr>
          <w:rFonts w:hint="eastAsia" w:ascii="宋体" w:hAnsi="宋体"/>
          <w:color w:val="auto"/>
          <w:spacing w:val="20"/>
          <w:sz w:val="24"/>
          <w:u w:val="single"/>
        </w:rPr>
        <w:t xml:space="preserve">        </w:t>
      </w:r>
    </w:p>
    <w:p>
      <w:pPr>
        <w:snapToGrid w:val="0"/>
        <w:spacing w:before="50" w:after="50"/>
        <w:rPr>
          <w:rFonts w:ascii="宋体" w:hAnsi="宋体"/>
          <w:color w:val="auto"/>
          <w:spacing w:val="20"/>
          <w:sz w:val="24"/>
        </w:rPr>
      </w:pPr>
      <w:r>
        <w:rPr>
          <w:rFonts w:hint="eastAsia" w:ascii="宋体" w:hAnsi="宋体"/>
          <w:color w:val="auto"/>
          <w:spacing w:val="20"/>
          <w:sz w:val="24"/>
        </w:rPr>
        <w:t>投标人名称（电子签章）：</w:t>
      </w:r>
      <w:r>
        <w:rPr>
          <w:rFonts w:hint="eastAsia" w:ascii="宋体" w:hAnsi="宋体"/>
          <w:color w:val="auto"/>
          <w:spacing w:val="20"/>
          <w:sz w:val="24"/>
          <w:u w:val="single"/>
        </w:rPr>
        <w:t xml:space="preserve">            </w:t>
      </w:r>
      <w:r>
        <w:rPr>
          <w:rFonts w:hint="eastAsia" w:ascii="宋体" w:hAnsi="宋体"/>
          <w:color w:val="auto"/>
          <w:spacing w:val="20"/>
          <w:sz w:val="24"/>
        </w:rPr>
        <w:t xml:space="preserve">              </w:t>
      </w:r>
    </w:p>
    <w:p>
      <w:pPr>
        <w:snapToGrid w:val="0"/>
        <w:spacing w:before="50" w:after="50"/>
        <w:rPr>
          <w:rFonts w:ascii="宋体" w:hAnsi="宋体"/>
          <w:color w:val="auto"/>
          <w:sz w:val="24"/>
          <w:szCs w:val="20"/>
        </w:rPr>
      </w:pPr>
      <w:r>
        <w:rPr>
          <w:rFonts w:hint="eastAsia" w:ascii="宋体" w:hAnsi="宋体"/>
          <w:color w:val="auto"/>
          <w:spacing w:val="20"/>
          <w:sz w:val="24"/>
        </w:rPr>
        <w:t>日  期：</w:t>
      </w:r>
      <w:r>
        <w:rPr>
          <w:rFonts w:hint="eastAsia" w:ascii="宋体" w:hAnsi="宋体"/>
          <w:color w:val="auto"/>
          <w:spacing w:val="20"/>
          <w:sz w:val="24"/>
          <w:u w:val="single"/>
        </w:rPr>
        <w:t xml:space="preserve">          </w:t>
      </w:r>
    </w:p>
    <w:p>
      <w:pPr>
        <w:snapToGrid w:val="0"/>
        <w:spacing w:before="50" w:afterLines="50"/>
        <w:jc w:val="left"/>
        <w:rPr>
          <w:rFonts w:ascii="宋体" w:hAnsi="宋体"/>
          <w:color w:val="auto"/>
          <w:sz w:val="24"/>
          <w:szCs w:val="20"/>
        </w:rPr>
      </w:pPr>
    </w:p>
    <w:p>
      <w:pPr>
        <w:snapToGrid w:val="0"/>
        <w:spacing w:before="50" w:afterLines="50"/>
        <w:jc w:val="left"/>
        <w:rPr>
          <w:rFonts w:ascii="宋体" w:hAnsi="宋体"/>
          <w:color w:val="auto"/>
          <w:sz w:val="24"/>
          <w:szCs w:val="20"/>
        </w:rPr>
      </w:pPr>
    </w:p>
    <w:p>
      <w:pPr>
        <w:snapToGrid w:val="0"/>
        <w:spacing w:beforeLines="50" w:after="50"/>
        <w:ind w:left="142"/>
        <w:jc w:val="left"/>
        <w:rPr>
          <w:rFonts w:ascii="宋体" w:hAnsi="宋体"/>
          <w:b/>
          <w:color w:val="auto"/>
          <w:sz w:val="24"/>
        </w:rPr>
      </w:pPr>
      <w:r>
        <w:rPr>
          <w:rFonts w:ascii="宋体" w:hAnsi="宋体"/>
          <w:b/>
          <w:color w:val="auto"/>
          <w:sz w:val="24"/>
        </w:rPr>
        <w:br w:type="page"/>
      </w:r>
      <w:r>
        <w:rPr>
          <w:rFonts w:hint="eastAsia" w:ascii="宋体" w:hAnsi="宋体"/>
          <w:b/>
          <w:color w:val="auto"/>
          <w:sz w:val="24"/>
        </w:rPr>
        <w:t>2. 技术偏离表格式</w:t>
      </w:r>
    </w:p>
    <w:p>
      <w:pPr>
        <w:snapToGrid w:val="0"/>
        <w:spacing w:beforeLines="50" w:after="50"/>
        <w:ind w:left="142"/>
        <w:jc w:val="left"/>
        <w:rPr>
          <w:rFonts w:ascii="宋体" w:hAnsi="宋体"/>
          <w:b/>
          <w:color w:val="auto"/>
          <w:sz w:val="24"/>
        </w:rPr>
      </w:pPr>
    </w:p>
    <w:p>
      <w:pPr>
        <w:snapToGrid w:val="0"/>
        <w:spacing w:beforeLines="50" w:after="50"/>
        <w:ind w:left="142"/>
        <w:jc w:val="center"/>
        <w:rPr>
          <w:rFonts w:ascii="宋体" w:hAnsi="宋体"/>
          <w:b/>
          <w:color w:val="auto"/>
          <w:sz w:val="32"/>
          <w:szCs w:val="32"/>
        </w:rPr>
      </w:pPr>
      <w:r>
        <w:rPr>
          <w:rFonts w:hint="eastAsia" w:ascii="宋体" w:hAnsi="宋体"/>
          <w:b/>
          <w:color w:val="auto"/>
          <w:sz w:val="32"/>
          <w:szCs w:val="32"/>
        </w:rPr>
        <w:t>技术偏离表</w:t>
      </w:r>
    </w:p>
    <w:p>
      <w:pPr>
        <w:pStyle w:val="18"/>
        <w:rPr>
          <w:rFonts w:hAnsi="宋体"/>
          <w:color w:val="auto"/>
          <w:sz w:val="24"/>
          <w:szCs w:val="24"/>
        </w:rPr>
      </w:pPr>
      <w:r>
        <w:rPr>
          <w:rFonts w:hint="eastAsia" w:hAnsi="宋体"/>
          <w:color w:val="auto"/>
          <w:sz w:val="24"/>
          <w:szCs w:val="24"/>
        </w:rPr>
        <w:t>所投分标：</w:t>
      </w:r>
      <w:r>
        <w:rPr>
          <w:rFonts w:hint="eastAsia" w:hAnsi="宋体"/>
          <w:color w:val="auto"/>
          <w:sz w:val="24"/>
          <w:szCs w:val="24"/>
          <w:u w:val="single"/>
        </w:rPr>
        <w:t xml:space="preserve">     </w:t>
      </w:r>
      <w:r>
        <w:rPr>
          <w:rFonts w:hint="eastAsia" w:hAnsi="宋体"/>
          <w:color w:val="auto"/>
          <w:sz w:val="24"/>
          <w:szCs w:val="24"/>
        </w:rPr>
        <w:t>分标</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pPr>
              <w:pStyle w:val="18"/>
              <w:spacing w:line="400" w:lineRule="exact"/>
              <w:jc w:val="center"/>
              <w:rPr>
                <w:rFonts w:hAnsi="宋体" w:cs="Courier New"/>
                <w:color w:val="auto"/>
                <w:sz w:val="24"/>
                <w:szCs w:val="24"/>
              </w:rPr>
            </w:pPr>
            <w:r>
              <w:rPr>
                <w:rFonts w:hint="eastAsia" w:hAnsi="宋体" w:cs="Courier New"/>
                <w:color w:val="auto"/>
                <w:sz w:val="24"/>
                <w:szCs w:val="24"/>
              </w:rPr>
              <w:t>项号</w:t>
            </w:r>
          </w:p>
        </w:tc>
        <w:tc>
          <w:tcPr>
            <w:tcW w:w="2143" w:type="dxa"/>
            <w:vAlign w:val="center"/>
          </w:tcPr>
          <w:p>
            <w:pPr>
              <w:pStyle w:val="18"/>
              <w:spacing w:line="400" w:lineRule="exact"/>
              <w:jc w:val="center"/>
              <w:rPr>
                <w:rFonts w:hAnsi="宋体" w:cs="Courier New"/>
                <w:color w:val="auto"/>
                <w:sz w:val="24"/>
                <w:szCs w:val="24"/>
              </w:rPr>
            </w:pPr>
            <w:r>
              <w:rPr>
                <w:rFonts w:hint="eastAsia" w:hAnsi="宋体" w:cs="Courier New"/>
                <w:color w:val="auto"/>
                <w:sz w:val="24"/>
                <w:szCs w:val="24"/>
              </w:rPr>
              <w:t>标的的名称</w:t>
            </w:r>
          </w:p>
        </w:tc>
        <w:tc>
          <w:tcPr>
            <w:tcW w:w="1834" w:type="dxa"/>
            <w:vAlign w:val="center"/>
          </w:tcPr>
          <w:p>
            <w:pPr>
              <w:pStyle w:val="18"/>
              <w:spacing w:line="400" w:lineRule="exact"/>
              <w:jc w:val="center"/>
              <w:rPr>
                <w:rFonts w:hAnsi="宋体" w:cs="Courier New"/>
                <w:color w:val="auto"/>
                <w:sz w:val="24"/>
                <w:szCs w:val="24"/>
              </w:rPr>
            </w:pPr>
            <w:r>
              <w:rPr>
                <w:rFonts w:hint="eastAsia" w:hAnsi="宋体" w:cs="Courier New"/>
                <w:color w:val="auto"/>
                <w:sz w:val="24"/>
                <w:szCs w:val="24"/>
              </w:rPr>
              <w:t>招标要求</w:t>
            </w:r>
          </w:p>
        </w:tc>
        <w:tc>
          <w:tcPr>
            <w:tcW w:w="2181" w:type="dxa"/>
            <w:vAlign w:val="center"/>
          </w:tcPr>
          <w:p>
            <w:pPr>
              <w:pStyle w:val="18"/>
              <w:spacing w:line="400" w:lineRule="exact"/>
              <w:jc w:val="center"/>
              <w:rPr>
                <w:rFonts w:hAnsi="宋体" w:cs="Courier New"/>
                <w:color w:val="auto"/>
                <w:sz w:val="24"/>
                <w:szCs w:val="24"/>
              </w:rPr>
            </w:pPr>
            <w:r>
              <w:rPr>
                <w:rFonts w:hint="eastAsia" w:hAnsi="宋体" w:cs="Courier New"/>
                <w:color w:val="auto"/>
                <w:sz w:val="24"/>
                <w:szCs w:val="24"/>
              </w:rPr>
              <w:t>投标响应</w:t>
            </w:r>
          </w:p>
        </w:tc>
        <w:tc>
          <w:tcPr>
            <w:tcW w:w="1934" w:type="dxa"/>
            <w:vAlign w:val="center"/>
          </w:tcPr>
          <w:p>
            <w:pPr>
              <w:pStyle w:val="18"/>
              <w:spacing w:line="400" w:lineRule="exact"/>
              <w:jc w:val="center"/>
              <w:rPr>
                <w:rFonts w:hAnsi="宋体" w:cs="Courier New"/>
                <w:color w:val="auto"/>
                <w:sz w:val="24"/>
                <w:szCs w:val="24"/>
              </w:rPr>
            </w:pPr>
            <w:r>
              <w:rPr>
                <w:rFonts w:hint="eastAsia" w:hAnsi="宋体" w:cs="Courier New"/>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8"/>
              <w:spacing w:line="600" w:lineRule="exact"/>
              <w:jc w:val="center"/>
              <w:rPr>
                <w:rFonts w:hAnsi="宋体" w:cs="Courier New"/>
                <w:color w:val="auto"/>
                <w:sz w:val="24"/>
                <w:szCs w:val="24"/>
              </w:rPr>
            </w:pPr>
          </w:p>
        </w:tc>
        <w:tc>
          <w:tcPr>
            <w:tcW w:w="2143" w:type="dxa"/>
            <w:vAlign w:val="center"/>
          </w:tcPr>
          <w:p>
            <w:pPr>
              <w:pStyle w:val="18"/>
              <w:spacing w:line="600" w:lineRule="exact"/>
              <w:jc w:val="center"/>
              <w:rPr>
                <w:rFonts w:hAnsi="宋体" w:cs="Courier New"/>
                <w:color w:val="auto"/>
                <w:sz w:val="24"/>
                <w:szCs w:val="24"/>
              </w:rPr>
            </w:pPr>
          </w:p>
        </w:tc>
        <w:tc>
          <w:tcPr>
            <w:tcW w:w="1834" w:type="dxa"/>
            <w:vAlign w:val="center"/>
          </w:tcPr>
          <w:p>
            <w:pPr>
              <w:pStyle w:val="18"/>
              <w:spacing w:line="600" w:lineRule="exact"/>
              <w:jc w:val="center"/>
              <w:rPr>
                <w:rFonts w:hAnsi="宋体" w:cs="Courier New"/>
                <w:color w:val="auto"/>
                <w:sz w:val="24"/>
                <w:szCs w:val="24"/>
              </w:rPr>
            </w:pPr>
          </w:p>
        </w:tc>
        <w:tc>
          <w:tcPr>
            <w:tcW w:w="2181" w:type="dxa"/>
            <w:vAlign w:val="center"/>
          </w:tcPr>
          <w:p>
            <w:pPr>
              <w:pStyle w:val="18"/>
              <w:spacing w:line="600" w:lineRule="exact"/>
              <w:jc w:val="center"/>
              <w:rPr>
                <w:rFonts w:hAnsi="宋体" w:cs="Courier New"/>
                <w:color w:val="auto"/>
                <w:sz w:val="24"/>
                <w:szCs w:val="24"/>
              </w:rPr>
            </w:pPr>
          </w:p>
        </w:tc>
        <w:tc>
          <w:tcPr>
            <w:tcW w:w="1934" w:type="dxa"/>
            <w:vAlign w:val="center"/>
          </w:tcPr>
          <w:p>
            <w:pPr>
              <w:pStyle w:val="18"/>
              <w:spacing w:line="600" w:lineRule="exact"/>
              <w:jc w:val="center"/>
              <w:rPr>
                <w:rFonts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8"/>
              <w:spacing w:line="600" w:lineRule="exact"/>
              <w:rPr>
                <w:rFonts w:hAnsi="宋体" w:cs="Courier New"/>
                <w:color w:val="auto"/>
                <w:sz w:val="24"/>
                <w:szCs w:val="24"/>
              </w:rPr>
            </w:pPr>
          </w:p>
        </w:tc>
        <w:tc>
          <w:tcPr>
            <w:tcW w:w="2143" w:type="dxa"/>
          </w:tcPr>
          <w:p>
            <w:pPr>
              <w:pStyle w:val="18"/>
              <w:spacing w:line="600" w:lineRule="exact"/>
              <w:rPr>
                <w:rFonts w:hAnsi="宋体" w:cs="Courier New"/>
                <w:color w:val="auto"/>
                <w:sz w:val="24"/>
                <w:szCs w:val="24"/>
              </w:rPr>
            </w:pPr>
          </w:p>
        </w:tc>
        <w:tc>
          <w:tcPr>
            <w:tcW w:w="1834" w:type="dxa"/>
          </w:tcPr>
          <w:p>
            <w:pPr>
              <w:pStyle w:val="18"/>
              <w:spacing w:line="600" w:lineRule="exact"/>
              <w:rPr>
                <w:rFonts w:hAnsi="宋体" w:cs="Courier New"/>
                <w:color w:val="auto"/>
                <w:sz w:val="24"/>
                <w:szCs w:val="24"/>
              </w:rPr>
            </w:pPr>
          </w:p>
        </w:tc>
        <w:tc>
          <w:tcPr>
            <w:tcW w:w="2181" w:type="dxa"/>
          </w:tcPr>
          <w:p>
            <w:pPr>
              <w:pStyle w:val="18"/>
              <w:spacing w:line="600" w:lineRule="exact"/>
              <w:rPr>
                <w:rFonts w:hAnsi="宋体" w:cs="Courier New"/>
                <w:color w:val="auto"/>
                <w:sz w:val="24"/>
                <w:szCs w:val="24"/>
              </w:rPr>
            </w:pPr>
          </w:p>
        </w:tc>
        <w:tc>
          <w:tcPr>
            <w:tcW w:w="1934" w:type="dxa"/>
          </w:tcPr>
          <w:p>
            <w:pPr>
              <w:pStyle w:val="18"/>
              <w:spacing w:line="600" w:lineRule="exact"/>
              <w:rPr>
                <w:rFonts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8"/>
              <w:spacing w:line="600" w:lineRule="exact"/>
              <w:rPr>
                <w:rFonts w:hAnsi="宋体" w:cs="Courier New"/>
                <w:color w:val="auto"/>
                <w:sz w:val="24"/>
                <w:szCs w:val="24"/>
              </w:rPr>
            </w:pPr>
          </w:p>
        </w:tc>
        <w:tc>
          <w:tcPr>
            <w:tcW w:w="2143" w:type="dxa"/>
          </w:tcPr>
          <w:p>
            <w:pPr>
              <w:pStyle w:val="18"/>
              <w:spacing w:line="600" w:lineRule="exact"/>
              <w:rPr>
                <w:rFonts w:hAnsi="宋体" w:cs="Courier New"/>
                <w:color w:val="auto"/>
                <w:sz w:val="24"/>
                <w:szCs w:val="24"/>
              </w:rPr>
            </w:pPr>
          </w:p>
        </w:tc>
        <w:tc>
          <w:tcPr>
            <w:tcW w:w="1834" w:type="dxa"/>
          </w:tcPr>
          <w:p>
            <w:pPr>
              <w:pStyle w:val="18"/>
              <w:spacing w:line="600" w:lineRule="exact"/>
              <w:rPr>
                <w:rFonts w:hAnsi="宋体" w:cs="Courier New"/>
                <w:color w:val="auto"/>
                <w:sz w:val="24"/>
                <w:szCs w:val="24"/>
              </w:rPr>
            </w:pPr>
          </w:p>
        </w:tc>
        <w:tc>
          <w:tcPr>
            <w:tcW w:w="2181" w:type="dxa"/>
          </w:tcPr>
          <w:p>
            <w:pPr>
              <w:pStyle w:val="18"/>
              <w:spacing w:line="600" w:lineRule="exact"/>
              <w:rPr>
                <w:rFonts w:hAnsi="宋体" w:cs="Courier New"/>
                <w:color w:val="auto"/>
                <w:sz w:val="24"/>
                <w:szCs w:val="24"/>
              </w:rPr>
            </w:pPr>
          </w:p>
        </w:tc>
        <w:tc>
          <w:tcPr>
            <w:tcW w:w="1934" w:type="dxa"/>
          </w:tcPr>
          <w:p>
            <w:pPr>
              <w:pStyle w:val="18"/>
              <w:spacing w:line="600" w:lineRule="exact"/>
              <w:rPr>
                <w:rFonts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8"/>
              <w:spacing w:line="600" w:lineRule="exact"/>
              <w:rPr>
                <w:rFonts w:hAnsi="宋体" w:cs="Courier New"/>
                <w:color w:val="auto"/>
                <w:sz w:val="24"/>
                <w:szCs w:val="24"/>
              </w:rPr>
            </w:pPr>
          </w:p>
        </w:tc>
        <w:tc>
          <w:tcPr>
            <w:tcW w:w="2143" w:type="dxa"/>
          </w:tcPr>
          <w:p>
            <w:pPr>
              <w:pStyle w:val="18"/>
              <w:spacing w:line="600" w:lineRule="exact"/>
              <w:rPr>
                <w:rFonts w:hAnsi="宋体" w:cs="Courier New"/>
                <w:color w:val="auto"/>
                <w:sz w:val="24"/>
                <w:szCs w:val="24"/>
              </w:rPr>
            </w:pPr>
          </w:p>
        </w:tc>
        <w:tc>
          <w:tcPr>
            <w:tcW w:w="1834" w:type="dxa"/>
          </w:tcPr>
          <w:p>
            <w:pPr>
              <w:pStyle w:val="18"/>
              <w:spacing w:line="600" w:lineRule="exact"/>
              <w:rPr>
                <w:rFonts w:hAnsi="宋体" w:cs="Courier New"/>
                <w:color w:val="auto"/>
                <w:sz w:val="24"/>
                <w:szCs w:val="24"/>
              </w:rPr>
            </w:pPr>
          </w:p>
        </w:tc>
        <w:tc>
          <w:tcPr>
            <w:tcW w:w="2181" w:type="dxa"/>
          </w:tcPr>
          <w:p>
            <w:pPr>
              <w:pStyle w:val="18"/>
              <w:spacing w:line="600" w:lineRule="exact"/>
              <w:rPr>
                <w:rFonts w:hAnsi="宋体" w:cs="Courier New"/>
                <w:color w:val="auto"/>
                <w:sz w:val="24"/>
                <w:szCs w:val="24"/>
              </w:rPr>
            </w:pPr>
          </w:p>
        </w:tc>
        <w:tc>
          <w:tcPr>
            <w:tcW w:w="1934" w:type="dxa"/>
          </w:tcPr>
          <w:p>
            <w:pPr>
              <w:pStyle w:val="18"/>
              <w:spacing w:line="600" w:lineRule="exact"/>
              <w:rPr>
                <w:rFonts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8"/>
              <w:spacing w:line="600" w:lineRule="exact"/>
              <w:rPr>
                <w:rFonts w:hAnsi="宋体" w:cs="Courier New"/>
                <w:color w:val="auto"/>
                <w:sz w:val="24"/>
                <w:szCs w:val="24"/>
              </w:rPr>
            </w:pPr>
          </w:p>
        </w:tc>
        <w:tc>
          <w:tcPr>
            <w:tcW w:w="2143" w:type="dxa"/>
          </w:tcPr>
          <w:p>
            <w:pPr>
              <w:pStyle w:val="18"/>
              <w:spacing w:line="600" w:lineRule="exact"/>
              <w:rPr>
                <w:rFonts w:hAnsi="宋体" w:cs="Courier New"/>
                <w:color w:val="auto"/>
                <w:sz w:val="24"/>
                <w:szCs w:val="24"/>
              </w:rPr>
            </w:pPr>
          </w:p>
        </w:tc>
        <w:tc>
          <w:tcPr>
            <w:tcW w:w="1834" w:type="dxa"/>
          </w:tcPr>
          <w:p>
            <w:pPr>
              <w:pStyle w:val="18"/>
              <w:spacing w:line="600" w:lineRule="exact"/>
              <w:rPr>
                <w:rFonts w:hAnsi="宋体" w:cs="Courier New"/>
                <w:color w:val="auto"/>
                <w:sz w:val="24"/>
                <w:szCs w:val="24"/>
              </w:rPr>
            </w:pPr>
          </w:p>
        </w:tc>
        <w:tc>
          <w:tcPr>
            <w:tcW w:w="2181" w:type="dxa"/>
          </w:tcPr>
          <w:p>
            <w:pPr>
              <w:pStyle w:val="18"/>
              <w:spacing w:line="600" w:lineRule="exact"/>
              <w:rPr>
                <w:rFonts w:hAnsi="宋体" w:cs="Courier New"/>
                <w:color w:val="auto"/>
                <w:sz w:val="24"/>
                <w:szCs w:val="24"/>
              </w:rPr>
            </w:pPr>
          </w:p>
        </w:tc>
        <w:tc>
          <w:tcPr>
            <w:tcW w:w="1934" w:type="dxa"/>
          </w:tcPr>
          <w:p>
            <w:pPr>
              <w:pStyle w:val="18"/>
              <w:spacing w:line="600" w:lineRule="exact"/>
              <w:rPr>
                <w:rFonts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8"/>
              <w:spacing w:line="600" w:lineRule="exact"/>
              <w:rPr>
                <w:rFonts w:hAnsi="宋体" w:cs="Courier New"/>
                <w:color w:val="auto"/>
                <w:sz w:val="24"/>
                <w:szCs w:val="24"/>
              </w:rPr>
            </w:pPr>
          </w:p>
        </w:tc>
        <w:tc>
          <w:tcPr>
            <w:tcW w:w="2143" w:type="dxa"/>
          </w:tcPr>
          <w:p>
            <w:pPr>
              <w:pStyle w:val="18"/>
              <w:spacing w:line="600" w:lineRule="exact"/>
              <w:rPr>
                <w:rFonts w:hAnsi="宋体" w:cs="Courier New"/>
                <w:color w:val="auto"/>
                <w:sz w:val="24"/>
                <w:szCs w:val="24"/>
              </w:rPr>
            </w:pPr>
          </w:p>
        </w:tc>
        <w:tc>
          <w:tcPr>
            <w:tcW w:w="1834" w:type="dxa"/>
          </w:tcPr>
          <w:p>
            <w:pPr>
              <w:pStyle w:val="18"/>
              <w:spacing w:line="600" w:lineRule="exact"/>
              <w:rPr>
                <w:rFonts w:hAnsi="宋体" w:cs="Courier New"/>
                <w:color w:val="auto"/>
                <w:sz w:val="24"/>
                <w:szCs w:val="24"/>
              </w:rPr>
            </w:pPr>
          </w:p>
        </w:tc>
        <w:tc>
          <w:tcPr>
            <w:tcW w:w="2181" w:type="dxa"/>
          </w:tcPr>
          <w:p>
            <w:pPr>
              <w:pStyle w:val="18"/>
              <w:spacing w:line="600" w:lineRule="exact"/>
              <w:rPr>
                <w:rFonts w:hAnsi="宋体" w:cs="Courier New"/>
                <w:color w:val="auto"/>
                <w:sz w:val="24"/>
                <w:szCs w:val="24"/>
              </w:rPr>
            </w:pPr>
          </w:p>
        </w:tc>
        <w:tc>
          <w:tcPr>
            <w:tcW w:w="1934" w:type="dxa"/>
          </w:tcPr>
          <w:p>
            <w:pPr>
              <w:pStyle w:val="18"/>
              <w:spacing w:line="600" w:lineRule="exact"/>
              <w:rPr>
                <w:rFonts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8"/>
              <w:spacing w:line="600" w:lineRule="exact"/>
              <w:rPr>
                <w:rFonts w:hAnsi="宋体" w:cs="Courier New"/>
                <w:color w:val="auto"/>
                <w:sz w:val="24"/>
                <w:szCs w:val="24"/>
              </w:rPr>
            </w:pPr>
          </w:p>
        </w:tc>
        <w:tc>
          <w:tcPr>
            <w:tcW w:w="2143" w:type="dxa"/>
          </w:tcPr>
          <w:p>
            <w:pPr>
              <w:pStyle w:val="18"/>
              <w:spacing w:line="600" w:lineRule="exact"/>
              <w:rPr>
                <w:rFonts w:hAnsi="宋体" w:cs="Courier New"/>
                <w:color w:val="auto"/>
                <w:sz w:val="24"/>
                <w:szCs w:val="24"/>
              </w:rPr>
            </w:pPr>
          </w:p>
        </w:tc>
        <w:tc>
          <w:tcPr>
            <w:tcW w:w="1834" w:type="dxa"/>
          </w:tcPr>
          <w:p>
            <w:pPr>
              <w:pStyle w:val="18"/>
              <w:spacing w:line="600" w:lineRule="exact"/>
              <w:rPr>
                <w:rFonts w:hAnsi="宋体" w:cs="Courier New"/>
                <w:color w:val="auto"/>
                <w:sz w:val="24"/>
                <w:szCs w:val="24"/>
              </w:rPr>
            </w:pPr>
          </w:p>
        </w:tc>
        <w:tc>
          <w:tcPr>
            <w:tcW w:w="2181" w:type="dxa"/>
          </w:tcPr>
          <w:p>
            <w:pPr>
              <w:pStyle w:val="18"/>
              <w:spacing w:line="600" w:lineRule="exact"/>
              <w:rPr>
                <w:rFonts w:hAnsi="宋体" w:cs="Courier New"/>
                <w:color w:val="auto"/>
                <w:sz w:val="24"/>
                <w:szCs w:val="24"/>
              </w:rPr>
            </w:pPr>
          </w:p>
        </w:tc>
        <w:tc>
          <w:tcPr>
            <w:tcW w:w="1934" w:type="dxa"/>
          </w:tcPr>
          <w:p>
            <w:pPr>
              <w:pStyle w:val="18"/>
              <w:spacing w:line="600" w:lineRule="exact"/>
              <w:rPr>
                <w:rFonts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8"/>
              <w:spacing w:line="600" w:lineRule="exact"/>
              <w:rPr>
                <w:rFonts w:hAnsi="宋体" w:cs="Courier New"/>
                <w:color w:val="auto"/>
                <w:sz w:val="24"/>
                <w:szCs w:val="24"/>
              </w:rPr>
            </w:pPr>
          </w:p>
        </w:tc>
        <w:tc>
          <w:tcPr>
            <w:tcW w:w="2143" w:type="dxa"/>
          </w:tcPr>
          <w:p>
            <w:pPr>
              <w:pStyle w:val="18"/>
              <w:spacing w:line="600" w:lineRule="exact"/>
              <w:rPr>
                <w:rFonts w:hAnsi="宋体" w:cs="Courier New"/>
                <w:color w:val="auto"/>
                <w:sz w:val="24"/>
                <w:szCs w:val="24"/>
              </w:rPr>
            </w:pPr>
          </w:p>
        </w:tc>
        <w:tc>
          <w:tcPr>
            <w:tcW w:w="1834" w:type="dxa"/>
          </w:tcPr>
          <w:p>
            <w:pPr>
              <w:pStyle w:val="18"/>
              <w:spacing w:line="600" w:lineRule="exact"/>
              <w:rPr>
                <w:rFonts w:hAnsi="宋体" w:cs="Courier New"/>
                <w:color w:val="auto"/>
                <w:sz w:val="24"/>
                <w:szCs w:val="24"/>
              </w:rPr>
            </w:pPr>
          </w:p>
        </w:tc>
        <w:tc>
          <w:tcPr>
            <w:tcW w:w="2181" w:type="dxa"/>
          </w:tcPr>
          <w:p>
            <w:pPr>
              <w:pStyle w:val="18"/>
              <w:spacing w:line="600" w:lineRule="exact"/>
              <w:rPr>
                <w:rFonts w:hAnsi="宋体" w:cs="Courier New"/>
                <w:color w:val="auto"/>
                <w:sz w:val="24"/>
                <w:szCs w:val="24"/>
              </w:rPr>
            </w:pPr>
          </w:p>
        </w:tc>
        <w:tc>
          <w:tcPr>
            <w:tcW w:w="1934" w:type="dxa"/>
          </w:tcPr>
          <w:p>
            <w:pPr>
              <w:pStyle w:val="18"/>
              <w:spacing w:line="600" w:lineRule="exact"/>
              <w:rPr>
                <w:rFonts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8"/>
              <w:spacing w:line="600" w:lineRule="exact"/>
              <w:rPr>
                <w:rFonts w:hAnsi="宋体" w:cs="Courier New"/>
                <w:color w:val="auto"/>
                <w:sz w:val="24"/>
                <w:szCs w:val="24"/>
              </w:rPr>
            </w:pPr>
          </w:p>
        </w:tc>
        <w:tc>
          <w:tcPr>
            <w:tcW w:w="2143" w:type="dxa"/>
          </w:tcPr>
          <w:p>
            <w:pPr>
              <w:pStyle w:val="18"/>
              <w:spacing w:line="600" w:lineRule="exact"/>
              <w:rPr>
                <w:rFonts w:hAnsi="宋体" w:cs="Courier New"/>
                <w:color w:val="auto"/>
                <w:sz w:val="24"/>
                <w:szCs w:val="24"/>
              </w:rPr>
            </w:pPr>
          </w:p>
        </w:tc>
        <w:tc>
          <w:tcPr>
            <w:tcW w:w="1834" w:type="dxa"/>
          </w:tcPr>
          <w:p>
            <w:pPr>
              <w:pStyle w:val="18"/>
              <w:spacing w:line="600" w:lineRule="exact"/>
              <w:rPr>
                <w:rFonts w:hAnsi="宋体" w:cs="Courier New"/>
                <w:color w:val="auto"/>
                <w:sz w:val="24"/>
                <w:szCs w:val="24"/>
              </w:rPr>
            </w:pPr>
          </w:p>
        </w:tc>
        <w:tc>
          <w:tcPr>
            <w:tcW w:w="2181" w:type="dxa"/>
          </w:tcPr>
          <w:p>
            <w:pPr>
              <w:pStyle w:val="18"/>
              <w:spacing w:line="600" w:lineRule="exact"/>
              <w:rPr>
                <w:rFonts w:hAnsi="宋体" w:cs="Courier New"/>
                <w:color w:val="auto"/>
                <w:sz w:val="24"/>
                <w:szCs w:val="24"/>
              </w:rPr>
            </w:pPr>
          </w:p>
        </w:tc>
        <w:tc>
          <w:tcPr>
            <w:tcW w:w="1934" w:type="dxa"/>
          </w:tcPr>
          <w:p>
            <w:pPr>
              <w:pStyle w:val="18"/>
              <w:spacing w:line="600" w:lineRule="exact"/>
              <w:rPr>
                <w:rFonts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8"/>
              <w:spacing w:line="600" w:lineRule="exact"/>
              <w:rPr>
                <w:rFonts w:hAnsi="宋体" w:cs="Courier New"/>
                <w:color w:val="auto"/>
                <w:sz w:val="24"/>
                <w:szCs w:val="24"/>
              </w:rPr>
            </w:pPr>
          </w:p>
        </w:tc>
        <w:tc>
          <w:tcPr>
            <w:tcW w:w="2143" w:type="dxa"/>
          </w:tcPr>
          <w:p>
            <w:pPr>
              <w:pStyle w:val="18"/>
              <w:spacing w:line="600" w:lineRule="exact"/>
              <w:rPr>
                <w:rFonts w:hAnsi="宋体" w:cs="Courier New"/>
                <w:color w:val="auto"/>
                <w:sz w:val="24"/>
                <w:szCs w:val="24"/>
              </w:rPr>
            </w:pPr>
          </w:p>
        </w:tc>
        <w:tc>
          <w:tcPr>
            <w:tcW w:w="1834" w:type="dxa"/>
          </w:tcPr>
          <w:p>
            <w:pPr>
              <w:pStyle w:val="18"/>
              <w:spacing w:line="600" w:lineRule="exact"/>
              <w:rPr>
                <w:rFonts w:hAnsi="宋体" w:cs="Courier New"/>
                <w:color w:val="auto"/>
                <w:sz w:val="24"/>
                <w:szCs w:val="24"/>
              </w:rPr>
            </w:pPr>
          </w:p>
        </w:tc>
        <w:tc>
          <w:tcPr>
            <w:tcW w:w="2181" w:type="dxa"/>
          </w:tcPr>
          <w:p>
            <w:pPr>
              <w:pStyle w:val="18"/>
              <w:spacing w:line="600" w:lineRule="exact"/>
              <w:rPr>
                <w:rFonts w:hAnsi="宋体" w:cs="Courier New"/>
                <w:color w:val="auto"/>
                <w:sz w:val="24"/>
                <w:szCs w:val="24"/>
              </w:rPr>
            </w:pPr>
          </w:p>
        </w:tc>
        <w:tc>
          <w:tcPr>
            <w:tcW w:w="1934" w:type="dxa"/>
          </w:tcPr>
          <w:p>
            <w:pPr>
              <w:pStyle w:val="18"/>
              <w:spacing w:line="600" w:lineRule="exact"/>
              <w:rPr>
                <w:rFonts w:hAnsi="宋体" w:cs="Courier New"/>
                <w:color w:val="auto"/>
                <w:sz w:val="24"/>
                <w:szCs w:val="24"/>
              </w:rPr>
            </w:pPr>
          </w:p>
        </w:tc>
      </w:tr>
    </w:tbl>
    <w:p>
      <w:pPr>
        <w:pStyle w:val="13"/>
        <w:rPr>
          <w:rFonts w:ascii="宋体" w:hAnsi="宋体"/>
          <w:color w:val="auto"/>
        </w:rPr>
      </w:pPr>
      <w:r>
        <w:rPr>
          <w:rFonts w:hint="eastAsia" w:ascii="宋体" w:hAnsi="宋体"/>
          <w:color w:val="auto"/>
        </w:rPr>
        <w:t>注：</w:t>
      </w:r>
    </w:p>
    <w:p>
      <w:pPr>
        <w:pStyle w:val="15"/>
        <w:spacing w:line="520" w:lineRule="exact"/>
        <w:ind w:firstLine="0"/>
        <w:rPr>
          <w:rFonts w:hAnsi="仿宋_GB2312" w:cs="仿宋_GB2312"/>
          <w:color w:val="auto"/>
          <w:sz w:val="21"/>
          <w:szCs w:val="21"/>
        </w:rPr>
      </w:pPr>
      <w:r>
        <w:rPr>
          <w:rFonts w:hint="eastAsia" w:hAnsi="宋体"/>
          <w:color w:val="auto"/>
          <w:sz w:val="21"/>
          <w:szCs w:val="21"/>
        </w:rPr>
        <w:t>1. 说明：应对照招标文件“第二章 采购需求”中的技术需求逐条实质性响应，并作出偏离说明。</w:t>
      </w:r>
    </w:p>
    <w:p>
      <w:pPr>
        <w:pStyle w:val="13"/>
        <w:rPr>
          <w:rFonts w:ascii="宋体" w:hAnsi="宋体"/>
          <w:color w:val="auto"/>
          <w:sz w:val="21"/>
          <w:szCs w:val="21"/>
        </w:rPr>
      </w:pPr>
      <w:r>
        <w:rPr>
          <w:rFonts w:ascii="宋体" w:hAnsi="宋体"/>
          <w:color w:val="auto"/>
          <w:sz w:val="21"/>
          <w:szCs w:val="21"/>
        </w:rPr>
        <w:t>2.</w:t>
      </w:r>
      <w:r>
        <w:rPr>
          <w:rFonts w:hint="eastAsia" w:ascii="宋体" w:hAnsi="宋体"/>
          <w:color w:val="auto"/>
          <w:sz w:val="21"/>
          <w:szCs w:val="21"/>
        </w:rPr>
        <w:t>投标人应根据投标设备的性能指标，对照招标文件要求，在“偏离说明”中注明“正偏离”、“负偏离”或者“无偏离”。既不属于“正偏离”也不属于“负偏离”即为“无偏离”。</w:t>
      </w:r>
    </w:p>
    <w:p>
      <w:pPr>
        <w:pStyle w:val="13"/>
        <w:rPr>
          <w:rFonts w:ascii="宋体" w:hAnsi="宋体"/>
          <w:color w:val="auto"/>
          <w:spacing w:val="20"/>
        </w:rPr>
      </w:pPr>
    </w:p>
    <w:p>
      <w:pPr>
        <w:snapToGrid w:val="0"/>
        <w:spacing w:before="50" w:after="50"/>
        <w:rPr>
          <w:rFonts w:ascii="宋体" w:hAnsi="宋体"/>
          <w:color w:val="auto"/>
          <w:spacing w:val="20"/>
          <w:sz w:val="24"/>
          <w:u w:val="single"/>
        </w:rPr>
      </w:pPr>
      <w:r>
        <w:rPr>
          <w:rFonts w:hint="eastAsia" w:ascii="宋体" w:hAnsi="宋体"/>
          <w:color w:val="auto"/>
          <w:sz w:val="24"/>
        </w:rPr>
        <w:t>法定代表人或者委托代理人（签字/电子签名）</w:t>
      </w:r>
      <w:r>
        <w:rPr>
          <w:rFonts w:hint="eastAsia" w:ascii="宋体" w:hAnsi="宋体"/>
          <w:color w:val="auto"/>
          <w:spacing w:val="20"/>
          <w:sz w:val="24"/>
        </w:rPr>
        <w:t>：</w:t>
      </w:r>
      <w:r>
        <w:rPr>
          <w:rFonts w:hint="eastAsia" w:ascii="宋体" w:hAnsi="宋体"/>
          <w:color w:val="auto"/>
          <w:spacing w:val="20"/>
          <w:sz w:val="24"/>
          <w:u w:val="single"/>
        </w:rPr>
        <w:t xml:space="preserve">        </w:t>
      </w:r>
    </w:p>
    <w:p>
      <w:pPr>
        <w:snapToGrid w:val="0"/>
        <w:spacing w:before="50" w:after="50"/>
        <w:rPr>
          <w:rFonts w:ascii="宋体" w:hAnsi="宋体"/>
          <w:color w:val="auto"/>
          <w:spacing w:val="20"/>
          <w:sz w:val="24"/>
        </w:rPr>
      </w:pPr>
      <w:r>
        <w:rPr>
          <w:rFonts w:hint="eastAsia" w:ascii="宋体" w:hAnsi="宋体"/>
          <w:color w:val="auto"/>
          <w:spacing w:val="20"/>
          <w:sz w:val="24"/>
        </w:rPr>
        <w:t>投标人名称（电子签章）：</w:t>
      </w:r>
      <w:r>
        <w:rPr>
          <w:rFonts w:hint="eastAsia" w:ascii="宋体" w:hAnsi="宋体"/>
          <w:color w:val="auto"/>
          <w:spacing w:val="20"/>
          <w:sz w:val="24"/>
          <w:u w:val="single"/>
        </w:rPr>
        <w:t xml:space="preserve">            </w:t>
      </w:r>
      <w:r>
        <w:rPr>
          <w:rFonts w:hint="eastAsia" w:ascii="宋体" w:hAnsi="宋体"/>
          <w:color w:val="auto"/>
          <w:spacing w:val="20"/>
          <w:sz w:val="24"/>
        </w:rPr>
        <w:t xml:space="preserve">              </w:t>
      </w:r>
    </w:p>
    <w:p>
      <w:pPr>
        <w:snapToGrid w:val="0"/>
        <w:spacing w:before="50" w:after="50"/>
        <w:rPr>
          <w:rFonts w:ascii="宋体" w:hAnsi="宋体"/>
          <w:color w:val="auto"/>
          <w:spacing w:val="20"/>
          <w:sz w:val="24"/>
          <w:u w:val="single"/>
        </w:rPr>
      </w:pPr>
      <w:r>
        <w:rPr>
          <w:rFonts w:hint="eastAsia" w:ascii="宋体" w:hAnsi="宋体"/>
          <w:color w:val="auto"/>
          <w:spacing w:val="20"/>
          <w:sz w:val="24"/>
        </w:rPr>
        <w:t>日 期：</w:t>
      </w:r>
      <w:r>
        <w:rPr>
          <w:rFonts w:hint="eastAsia" w:ascii="宋体" w:hAnsi="宋体"/>
          <w:color w:val="auto"/>
          <w:spacing w:val="20"/>
          <w:sz w:val="24"/>
          <w:u w:val="single"/>
        </w:rPr>
        <w:t xml:space="preserve">        </w:t>
      </w:r>
    </w:p>
    <w:p>
      <w:pPr>
        <w:snapToGrid w:val="0"/>
        <w:spacing w:before="50" w:after="50"/>
        <w:rPr>
          <w:rFonts w:ascii="宋体" w:hAnsi="宋体"/>
          <w:color w:val="auto"/>
          <w:sz w:val="24"/>
          <w:szCs w:val="20"/>
        </w:rPr>
      </w:pPr>
    </w:p>
    <w:p>
      <w:pPr>
        <w:snapToGrid w:val="0"/>
        <w:spacing w:beforeLines="50" w:after="50"/>
        <w:ind w:left="142"/>
        <w:jc w:val="left"/>
        <w:rPr>
          <w:rFonts w:ascii="宋体" w:hAnsi="宋体"/>
          <w:b/>
          <w:color w:val="auto"/>
          <w:sz w:val="24"/>
        </w:rPr>
      </w:pPr>
      <w:r>
        <w:rPr>
          <w:rFonts w:ascii="宋体" w:hAnsi="宋体"/>
          <w:b/>
          <w:color w:val="auto"/>
          <w:sz w:val="24"/>
        </w:rPr>
        <w:br w:type="page"/>
      </w:r>
      <w:r>
        <w:rPr>
          <w:rFonts w:hint="eastAsia" w:ascii="宋体" w:hAnsi="宋体"/>
          <w:b/>
          <w:color w:val="auto"/>
          <w:sz w:val="24"/>
        </w:rPr>
        <w:t>3. 项目实施人员一览表格式</w:t>
      </w:r>
    </w:p>
    <w:p>
      <w:pPr>
        <w:snapToGrid w:val="0"/>
        <w:spacing w:beforeLines="50" w:after="50"/>
        <w:ind w:left="142"/>
        <w:jc w:val="left"/>
        <w:rPr>
          <w:rFonts w:ascii="宋体" w:hAnsi="宋体"/>
          <w:b/>
          <w:color w:val="auto"/>
          <w:sz w:val="24"/>
        </w:rPr>
      </w:pPr>
    </w:p>
    <w:p>
      <w:pPr>
        <w:snapToGrid w:val="0"/>
        <w:spacing w:beforeLines="50" w:after="50"/>
        <w:ind w:left="142"/>
        <w:jc w:val="center"/>
        <w:rPr>
          <w:rFonts w:ascii="宋体" w:hAnsi="宋体"/>
          <w:b/>
          <w:color w:val="auto"/>
          <w:sz w:val="32"/>
          <w:szCs w:val="32"/>
        </w:rPr>
      </w:pPr>
      <w:r>
        <w:rPr>
          <w:rFonts w:hint="eastAsia" w:ascii="宋体" w:hAnsi="宋体"/>
          <w:b/>
          <w:color w:val="auto"/>
          <w:sz w:val="32"/>
          <w:szCs w:val="32"/>
        </w:rPr>
        <w:t>项目实施人员一览表</w:t>
      </w:r>
    </w:p>
    <w:p>
      <w:pPr>
        <w:pStyle w:val="18"/>
        <w:rPr>
          <w:color w:val="auto"/>
          <w:sz w:val="24"/>
          <w:szCs w:val="24"/>
        </w:rPr>
      </w:pPr>
      <w:r>
        <w:rPr>
          <w:rFonts w:hint="eastAsia"/>
          <w:color w:val="auto"/>
          <w:sz w:val="24"/>
          <w:szCs w:val="24"/>
        </w:rPr>
        <w:t>所投分标：</w:t>
      </w:r>
      <w:r>
        <w:rPr>
          <w:rFonts w:hint="eastAsia"/>
          <w:color w:val="auto"/>
          <w:sz w:val="24"/>
          <w:szCs w:val="24"/>
          <w:u w:val="single"/>
        </w:rPr>
        <w:t xml:space="preserve">     </w:t>
      </w:r>
      <w:r>
        <w:rPr>
          <w:rFonts w:hint="eastAsia"/>
          <w:color w:val="auto"/>
          <w:sz w:val="24"/>
          <w:szCs w:val="24"/>
        </w:rPr>
        <w:t>分标</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Lines="50"/>
              <w:jc w:val="center"/>
              <w:rPr>
                <w:rFonts w:ascii="宋体" w:hAnsi="宋体"/>
                <w:color w:val="auto"/>
                <w:sz w:val="24"/>
                <w:szCs w:val="20"/>
              </w:rPr>
            </w:pPr>
            <w:r>
              <w:rPr>
                <w:rFonts w:hint="eastAsia" w:ascii="宋体" w:hAnsi="宋体"/>
                <w:color w:val="auto"/>
                <w:sz w:val="24"/>
                <w:szCs w:val="20"/>
              </w:rPr>
              <w:t>姓名</w:t>
            </w:r>
          </w:p>
        </w:tc>
        <w:tc>
          <w:tcPr>
            <w:tcW w:w="709" w:type="dxa"/>
            <w:vAlign w:val="center"/>
          </w:tcPr>
          <w:p>
            <w:pPr>
              <w:snapToGrid w:val="0"/>
              <w:spacing w:before="50" w:afterLines="50"/>
              <w:jc w:val="center"/>
              <w:rPr>
                <w:rFonts w:ascii="宋体" w:hAnsi="宋体"/>
                <w:color w:val="auto"/>
                <w:sz w:val="24"/>
                <w:szCs w:val="20"/>
              </w:rPr>
            </w:pPr>
            <w:r>
              <w:rPr>
                <w:rFonts w:hint="eastAsia" w:ascii="宋体" w:hAnsi="宋体"/>
                <w:color w:val="auto"/>
                <w:sz w:val="24"/>
                <w:szCs w:val="20"/>
              </w:rPr>
              <w:t>职务</w:t>
            </w:r>
          </w:p>
        </w:tc>
        <w:tc>
          <w:tcPr>
            <w:tcW w:w="1701" w:type="dxa"/>
            <w:vAlign w:val="center"/>
          </w:tcPr>
          <w:p>
            <w:pPr>
              <w:snapToGrid w:val="0"/>
              <w:spacing w:before="50" w:afterLines="50"/>
              <w:jc w:val="center"/>
              <w:rPr>
                <w:rFonts w:ascii="宋体" w:hAnsi="宋体"/>
                <w:color w:val="auto"/>
                <w:sz w:val="24"/>
                <w:szCs w:val="20"/>
              </w:rPr>
            </w:pPr>
            <w:r>
              <w:rPr>
                <w:rFonts w:hint="eastAsia" w:ascii="宋体" w:hAnsi="宋体"/>
                <w:color w:val="auto"/>
                <w:sz w:val="24"/>
                <w:szCs w:val="20"/>
              </w:rPr>
              <w:t>专业技术资格（职称）或者职业资格或者执业资格证或者其他证书</w:t>
            </w:r>
          </w:p>
        </w:tc>
        <w:tc>
          <w:tcPr>
            <w:tcW w:w="1420" w:type="dxa"/>
            <w:vAlign w:val="center"/>
          </w:tcPr>
          <w:p>
            <w:pPr>
              <w:snapToGrid w:val="0"/>
              <w:spacing w:before="50" w:afterLines="50"/>
              <w:jc w:val="center"/>
              <w:rPr>
                <w:rFonts w:ascii="宋体" w:hAnsi="宋体"/>
                <w:color w:val="auto"/>
                <w:sz w:val="24"/>
                <w:szCs w:val="20"/>
              </w:rPr>
            </w:pPr>
            <w:r>
              <w:rPr>
                <w:rFonts w:hint="eastAsia" w:ascii="宋体" w:hAnsi="宋体"/>
                <w:color w:val="auto"/>
                <w:sz w:val="24"/>
                <w:szCs w:val="20"/>
              </w:rPr>
              <w:t>证书编号</w:t>
            </w:r>
          </w:p>
        </w:tc>
        <w:tc>
          <w:tcPr>
            <w:tcW w:w="1698" w:type="dxa"/>
            <w:vAlign w:val="center"/>
          </w:tcPr>
          <w:p>
            <w:pPr>
              <w:snapToGrid w:val="0"/>
              <w:spacing w:before="50" w:afterLines="50"/>
              <w:jc w:val="center"/>
              <w:rPr>
                <w:rFonts w:ascii="宋体" w:hAnsi="宋体"/>
                <w:color w:val="auto"/>
                <w:sz w:val="24"/>
                <w:szCs w:val="20"/>
              </w:rPr>
            </w:pPr>
            <w:r>
              <w:rPr>
                <w:rFonts w:hint="eastAsia" w:ascii="宋体" w:hAnsi="宋体"/>
                <w:color w:val="auto"/>
                <w:sz w:val="24"/>
                <w:szCs w:val="20"/>
              </w:rPr>
              <w:t>参加本单位</w:t>
            </w:r>
          </w:p>
          <w:p>
            <w:pPr>
              <w:snapToGrid w:val="0"/>
              <w:spacing w:before="50" w:afterLines="50"/>
              <w:jc w:val="center"/>
              <w:rPr>
                <w:rFonts w:ascii="宋体" w:hAnsi="宋体"/>
                <w:color w:val="auto"/>
                <w:sz w:val="24"/>
                <w:szCs w:val="20"/>
              </w:rPr>
            </w:pPr>
            <w:r>
              <w:rPr>
                <w:rFonts w:hint="eastAsia" w:ascii="宋体" w:hAnsi="宋体"/>
                <w:color w:val="auto"/>
                <w:sz w:val="24"/>
                <w:szCs w:val="20"/>
              </w:rPr>
              <w:t>工作时间</w:t>
            </w:r>
          </w:p>
        </w:tc>
        <w:tc>
          <w:tcPr>
            <w:tcW w:w="3175" w:type="dxa"/>
            <w:vAlign w:val="center"/>
          </w:tcPr>
          <w:p>
            <w:pPr>
              <w:snapToGrid w:val="0"/>
              <w:spacing w:before="50" w:afterLines="50"/>
              <w:jc w:val="center"/>
              <w:rPr>
                <w:rFonts w:ascii="宋体" w:hAnsi="宋体"/>
                <w:color w:val="auto"/>
                <w:sz w:val="24"/>
                <w:szCs w:val="20"/>
              </w:rPr>
            </w:pPr>
            <w:r>
              <w:rPr>
                <w:rFonts w:hint="eastAsia" w:ascii="宋体" w:hAnsi="宋体"/>
                <w:color w:val="auto"/>
                <w:sz w:val="24"/>
                <w:szCs w:val="20"/>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Lines="50"/>
              <w:jc w:val="center"/>
              <w:rPr>
                <w:rFonts w:ascii="宋体" w:hAnsi="宋体"/>
                <w:color w:val="auto"/>
                <w:sz w:val="24"/>
                <w:szCs w:val="20"/>
              </w:rPr>
            </w:pPr>
          </w:p>
        </w:tc>
        <w:tc>
          <w:tcPr>
            <w:tcW w:w="709" w:type="dxa"/>
            <w:vAlign w:val="center"/>
          </w:tcPr>
          <w:p>
            <w:pPr>
              <w:snapToGrid w:val="0"/>
              <w:spacing w:before="50" w:afterLines="50"/>
              <w:jc w:val="center"/>
              <w:rPr>
                <w:rFonts w:ascii="宋体" w:hAnsi="宋体"/>
                <w:color w:val="auto"/>
                <w:sz w:val="24"/>
                <w:szCs w:val="20"/>
              </w:rPr>
            </w:pPr>
          </w:p>
        </w:tc>
        <w:tc>
          <w:tcPr>
            <w:tcW w:w="1701" w:type="dxa"/>
            <w:vAlign w:val="center"/>
          </w:tcPr>
          <w:p>
            <w:pPr>
              <w:snapToGrid w:val="0"/>
              <w:spacing w:before="50" w:afterLines="50"/>
              <w:jc w:val="center"/>
              <w:rPr>
                <w:rFonts w:ascii="宋体" w:hAnsi="宋体"/>
                <w:color w:val="auto"/>
                <w:sz w:val="24"/>
                <w:szCs w:val="20"/>
              </w:rPr>
            </w:pPr>
          </w:p>
        </w:tc>
        <w:tc>
          <w:tcPr>
            <w:tcW w:w="1420" w:type="dxa"/>
            <w:vAlign w:val="center"/>
          </w:tcPr>
          <w:p>
            <w:pPr>
              <w:snapToGrid w:val="0"/>
              <w:spacing w:before="50" w:afterLines="50"/>
              <w:jc w:val="center"/>
              <w:rPr>
                <w:rFonts w:ascii="宋体" w:hAnsi="宋体"/>
                <w:color w:val="auto"/>
                <w:sz w:val="24"/>
                <w:szCs w:val="20"/>
              </w:rPr>
            </w:pPr>
          </w:p>
        </w:tc>
        <w:tc>
          <w:tcPr>
            <w:tcW w:w="1698" w:type="dxa"/>
            <w:vAlign w:val="center"/>
          </w:tcPr>
          <w:p>
            <w:pPr>
              <w:snapToGrid w:val="0"/>
              <w:spacing w:before="50" w:afterLines="50"/>
              <w:jc w:val="center"/>
              <w:rPr>
                <w:rFonts w:ascii="宋体" w:hAnsi="宋体"/>
                <w:color w:val="auto"/>
                <w:sz w:val="24"/>
                <w:szCs w:val="20"/>
              </w:rPr>
            </w:pPr>
          </w:p>
        </w:tc>
        <w:tc>
          <w:tcPr>
            <w:tcW w:w="3175" w:type="dxa"/>
            <w:vAlign w:val="center"/>
          </w:tcPr>
          <w:p>
            <w:pPr>
              <w:snapToGrid w:val="0"/>
              <w:spacing w:before="50" w:afterLines="50"/>
              <w:jc w:val="center"/>
              <w:rPr>
                <w:rFonts w:ascii="宋体" w:hAnsi="宋体"/>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Lines="50"/>
              <w:jc w:val="center"/>
              <w:rPr>
                <w:rFonts w:ascii="宋体" w:hAnsi="宋体"/>
                <w:color w:val="auto"/>
                <w:sz w:val="24"/>
                <w:szCs w:val="20"/>
              </w:rPr>
            </w:pPr>
          </w:p>
        </w:tc>
        <w:tc>
          <w:tcPr>
            <w:tcW w:w="709" w:type="dxa"/>
            <w:vAlign w:val="center"/>
          </w:tcPr>
          <w:p>
            <w:pPr>
              <w:snapToGrid w:val="0"/>
              <w:spacing w:before="50" w:afterLines="50"/>
              <w:jc w:val="center"/>
              <w:rPr>
                <w:rFonts w:ascii="宋体" w:hAnsi="宋体"/>
                <w:color w:val="auto"/>
                <w:sz w:val="24"/>
                <w:szCs w:val="20"/>
              </w:rPr>
            </w:pPr>
          </w:p>
        </w:tc>
        <w:tc>
          <w:tcPr>
            <w:tcW w:w="1701" w:type="dxa"/>
            <w:vAlign w:val="center"/>
          </w:tcPr>
          <w:p>
            <w:pPr>
              <w:snapToGrid w:val="0"/>
              <w:spacing w:before="50" w:afterLines="50"/>
              <w:jc w:val="center"/>
              <w:rPr>
                <w:rFonts w:ascii="宋体" w:hAnsi="宋体"/>
                <w:color w:val="auto"/>
                <w:sz w:val="24"/>
                <w:szCs w:val="20"/>
              </w:rPr>
            </w:pPr>
          </w:p>
        </w:tc>
        <w:tc>
          <w:tcPr>
            <w:tcW w:w="1420" w:type="dxa"/>
            <w:vAlign w:val="center"/>
          </w:tcPr>
          <w:p>
            <w:pPr>
              <w:snapToGrid w:val="0"/>
              <w:spacing w:before="50" w:afterLines="50"/>
              <w:jc w:val="center"/>
              <w:rPr>
                <w:rFonts w:ascii="宋体" w:hAnsi="宋体"/>
                <w:color w:val="auto"/>
                <w:sz w:val="24"/>
                <w:szCs w:val="20"/>
              </w:rPr>
            </w:pPr>
          </w:p>
        </w:tc>
        <w:tc>
          <w:tcPr>
            <w:tcW w:w="1698" w:type="dxa"/>
            <w:vAlign w:val="center"/>
          </w:tcPr>
          <w:p>
            <w:pPr>
              <w:snapToGrid w:val="0"/>
              <w:spacing w:before="50" w:afterLines="50"/>
              <w:jc w:val="center"/>
              <w:rPr>
                <w:rFonts w:ascii="宋体" w:hAnsi="宋体"/>
                <w:color w:val="auto"/>
                <w:sz w:val="24"/>
                <w:szCs w:val="20"/>
              </w:rPr>
            </w:pPr>
          </w:p>
        </w:tc>
        <w:tc>
          <w:tcPr>
            <w:tcW w:w="3175" w:type="dxa"/>
            <w:vAlign w:val="center"/>
          </w:tcPr>
          <w:p>
            <w:pPr>
              <w:snapToGrid w:val="0"/>
              <w:spacing w:before="50" w:afterLines="50"/>
              <w:jc w:val="center"/>
              <w:rPr>
                <w:rFonts w:ascii="宋体" w:hAnsi="宋体"/>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snapToGrid w:val="0"/>
              <w:spacing w:before="50" w:afterLines="50"/>
              <w:jc w:val="center"/>
              <w:rPr>
                <w:rFonts w:ascii="宋体" w:hAnsi="宋体"/>
                <w:color w:val="auto"/>
                <w:sz w:val="24"/>
                <w:szCs w:val="20"/>
              </w:rPr>
            </w:pPr>
          </w:p>
        </w:tc>
        <w:tc>
          <w:tcPr>
            <w:tcW w:w="709" w:type="dxa"/>
            <w:vAlign w:val="center"/>
          </w:tcPr>
          <w:p>
            <w:pPr>
              <w:snapToGrid w:val="0"/>
              <w:spacing w:before="50" w:afterLines="50"/>
              <w:jc w:val="center"/>
              <w:rPr>
                <w:rFonts w:ascii="宋体" w:hAnsi="宋体"/>
                <w:color w:val="auto"/>
                <w:sz w:val="24"/>
                <w:szCs w:val="20"/>
              </w:rPr>
            </w:pPr>
          </w:p>
        </w:tc>
        <w:tc>
          <w:tcPr>
            <w:tcW w:w="1701" w:type="dxa"/>
            <w:vAlign w:val="center"/>
          </w:tcPr>
          <w:p>
            <w:pPr>
              <w:snapToGrid w:val="0"/>
              <w:spacing w:before="50" w:afterLines="50"/>
              <w:jc w:val="center"/>
              <w:rPr>
                <w:rFonts w:ascii="宋体" w:hAnsi="宋体"/>
                <w:color w:val="auto"/>
                <w:sz w:val="24"/>
                <w:szCs w:val="20"/>
              </w:rPr>
            </w:pPr>
          </w:p>
        </w:tc>
        <w:tc>
          <w:tcPr>
            <w:tcW w:w="1420" w:type="dxa"/>
            <w:vAlign w:val="center"/>
          </w:tcPr>
          <w:p>
            <w:pPr>
              <w:snapToGrid w:val="0"/>
              <w:spacing w:before="50" w:afterLines="50"/>
              <w:jc w:val="center"/>
              <w:rPr>
                <w:rFonts w:ascii="宋体" w:hAnsi="宋体"/>
                <w:color w:val="auto"/>
                <w:sz w:val="24"/>
                <w:szCs w:val="20"/>
              </w:rPr>
            </w:pPr>
          </w:p>
        </w:tc>
        <w:tc>
          <w:tcPr>
            <w:tcW w:w="1698" w:type="dxa"/>
            <w:vAlign w:val="center"/>
          </w:tcPr>
          <w:p>
            <w:pPr>
              <w:snapToGrid w:val="0"/>
              <w:spacing w:before="50" w:afterLines="50"/>
              <w:jc w:val="center"/>
              <w:rPr>
                <w:rFonts w:ascii="宋体" w:hAnsi="宋体"/>
                <w:color w:val="auto"/>
                <w:sz w:val="24"/>
                <w:szCs w:val="20"/>
              </w:rPr>
            </w:pPr>
          </w:p>
        </w:tc>
        <w:tc>
          <w:tcPr>
            <w:tcW w:w="3175" w:type="dxa"/>
            <w:vAlign w:val="center"/>
          </w:tcPr>
          <w:p>
            <w:pPr>
              <w:snapToGrid w:val="0"/>
              <w:spacing w:before="50" w:afterLines="50"/>
              <w:jc w:val="center"/>
              <w:rPr>
                <w:rFonts w:ascii="宋体" w:hAnsi="宋体"/>
                <w:color w:val="auto"/>
                <w:sz w:val="24"/>
                <w:szCs w:val="20"/>
              </w:rPr>
            </w:pPr>
          </w:p>
        </w:tc>
      </w:tr>
    </w:tbl>
    <w:p>
      <w:pPr>
        <w:snapToGrid w:val="0"/>
        <w:spacing w:before="50" w:afterLines="50"/>
        <w:jc w:val="left"/>
        <w:rPr>
          <w:rFonts w:ascii="宋体" w:hAnsi="宋体"/>
          <w:color w:val="auto"/>
          <w:sz w:val="24"/>
          <w:szCs w:val="20"/>
        </w:rPr>
      </w:pPr>
      <w:r>
        <w:rPr>
          <w:rFonts w:hint="eastAsia" w:ascii="宋体" w:hAnsi="宋体"/>
          <w:color w:val="auto"/>
          <w:sz w:val="24"/>
          <w:szCs w:val="20"/>
        </w:rPr>
        <w:t>注：在填写时，如本表格不适合投标单位的实际情况，可根据本表格式自行制表填写。</w:t>
      </w:r>
    </w:p>
    <w:p>
      <w:pPr>
        <w:snapToGrid w:val="0"/>
        <w:spacing w:before="50" w:after="50"/>
        <w:rPr>
          <w:rFonts w:ascii="宋体" w:hAnsi="宋体"/>
          <w:color w:val="auto"/>
          <w:sz w:val="24"/>
        </w:rPr>
      </w:pPr>
    </w:p>
    <w:p>
      <w:pPr>
        <w:snapToGrid w:val="0"/>
        <w:spacing w:before="50" w:after="50"/>
        <w:rPr>
          <w:rFonts w:ascii="宋体" w:hAnsi="宋体"/>
          <w:color w:val="auto"/>
          <w:sz w:val="24"/>
        </w:rPr>
      </w:pPr>
    </w:p>
    <w:p>
      <w:pPr>
        <w:snapToGrid w:val="0"/>
        <w:spacing w:before="50" w:after="50"/>
        <w:rPr>
          <w:rFonts w:ascii="宋体" w:hAnsi="宋体"/>
          <w:color w:val="auto"/>
          <w:spacing w:val="20"/>
          <w:sz w:val="24"/>
          <w:szCs w:val="20"/>
          <w:u w:val="single"/>
        </w:rPr>
      </w:pPr>
      <w:r>
        <w:rPr>
          <w:rFonts w:hint="eastAsia" w:ascii="宋体" w:hAnsi="宋体"/>
          <w:color w:val="auto"/>
          <w:sz w:val="24"/>
        </w:rPr>
        <w:t>法定代表人或者委托代理人（签字/电子签名）</w:t>
      </w:r>
      <w:r>
        <w:rPr>
          <w:rFonts w:hint="eastAsia" w:ascii="宋体" w:hAnsi="宋体"/>
          <w:color w:val="auto"/>
          <w:spacing w:val="20"/>
          <w:sz w:val="24"/>
        </w:rPr>
        <w:t>：</w:t>
      </w:r>
      <w:r>
        <w:rPr>
          <w:rFonts w:hint="eastAsia" w:ascii="宋体" w:hAnsi="宋体"/>
          <w:color w:val="auto"/>
          <w:spacing w:val="20"/>
          <w:sz w:val="24"/>
          <w:u w:val="single"/>
        </w:rPr>
        <w:t xml:space="preserve">        </w:t>
      </w:r>
    </w:p>
    <w:p>
      <w:pPr>
        <w:snapToGrid w:val="0"/>
        <w:spacing w:before="50" w:afterLines="50"/>
        <w:jc w:val="left"/>
        <w:rPr>
          <w:rFonts w:ascii="宋体" w:hAnsi="宋体"/>
          <w:color w:val="auto"/>
          <w:spacing w:val="20"/>
          <w:sz w:val="24"/>
        </w:rPr>
      </w:pPr>
      <w:r>
        <w:rPr>
          <w:rFonts w:hint="eastAsia" w:ascii="宋体" w:hAnsi="宋体"/>
          <w:color w:val="auto"/>
          <w:spacing w:val="20"/>
          <w:sz w:val="24"/>
        </w:rPr>
        <w:t>投标人名称（电子签章）：</w:t>
      </w:r>
      <w:r>
        <w:rPr>
          <w:rFonts w:hint="eastAsia" w:ascii="宋体" w:hAnsi="宋体"/>
          <w:color w:val="auto"/>
          <w:spacing w:val="20"/>
          <w:sz w:val="24"/>
          <w:u w:val="single"/>
        </w:rPr>
        <w:t xml:space="preserve">            </w:t>
      </w:r>
      <w:r>
        <w:rPr>
          <w:rFonts w:hint="eastAsia" w:ascii="宋体" w:hAnsi="宋体"/>
          <w:color w:val="auto"/>
          <w:spacing w:val="20"/>
          <w:sz w:val="24"/>
        </w:rPr>
        <w:t xml:space="preserve">              </w:t>
      </w:r>
    </w:p>
    <w:p>
      <w:pPr>
        <w:snapToGrid w:val="0"/>
        <w:spacing w:before="50" w:afterLines="50"/>
        <w:jc w:val="left"/>
        <w:rPr>
          <w:rFonts w:ascii="宋体" w:hAnsi="宋体"/>
          <w:color w:val="auto"/>
          <w:sz w:val="24"/>
          <w:szCs w:val="20"/>
        </w:rPr>
      </w:pPr>
      <w:r>
        <w:rPr>
          <w:rFonts w:hint="eastAsia" w:ascii="宋体" w:hAnsi="宋体"/>
          <w:color w:val="auto"/>
          <w:spacing w:val="20"/>
          <w:sz w:val="24"/>
        </w:rPr>
        <w:t>日 期：</w:t>
      </w:r>
      <w:r>
        <w:rPr>
          <w:rFonts w:hint="eastAsia" w:ascii="宋体" w:hAnsi="宋体"/>
          <w:color w:val="auto"/>
          <w:spacing w:val="20"/>
          <w:sz w:val="24"/>
          <w:u w:val="single"/>
        </w:rPr>
        <w:t xml:space="preserve">         </w:t>
      </w:r>
    </w:p>
    <w:p>
      <w:pPr>
        <w:snapToGrid w:val="0"/>
        <w:spacing w:beforeLines="50" w:after="50"/>
        <w:ind w:left="142"/>
        <w:jc w:val="left"/>
        <w:rPr>
          <w:rFonts w:ascii="宋体" w:hAnsi="宋体"/>
          <w:b/>
          <w:color w:val="auto"/>
          <w:sz w:val="24"/>
        </w:rPr>
      </w:pPr>
      <w:r>
        <w:rPr>
          <w:rFonts w:ascii="宋体" w:hAnsi="宋体"/>
          <w:b/>
          <w:color w:val="auto"/>
          <w:sz w:val="24"/>
        </w:rPr>
        <w:br w:type="page"/>
      </w:r>
      <w:r>
        <w:rPr>
          <w:rFonts w:hint="eastAsia" w:ascii="宋体" w:hAnsi="宋体"/>
          <w:b/>
          <w:color w:val="auto"/>
          <w:sz w:val="24"/>
        </w:rPr>
        <w:t>4. 选配件、专用耗材、售后服务优惠表格式(注：按项目需求表具体项目修改)</w:t>
      </w:r>
    </w:p>
    <w:p>
      <w:pPr>
        <w:snapToGrid w:val="0"/>
        <w:spacing w:beforeLines="50" w:after="50"/>
        <w:ind w:left="142"/>
        <w:jc w:val="left"/>
        <w:rPr>
          <w:rFonts w:ascii="宋体" w:hAnsi="宋体"/>
          <w:b/>
          <w:color w:val="auto"/>
          <w:sz w:val="24"/>
        </w:rPr>
      </w:pPr>
    </w:p>
    <w:p>
      <w:pPr>
        <w:snapToGrid w:val="0"/>
        <w:spacing w:beforeLines="50" w:after="50"/>
        <w:ind w:left="142"/>
        <w:jc w:val="center"/>
        <w:rPr>
          <w:rFonts w:ascii="宋体" w:hAnsi="宋体"/>
          <w:b/>
          <w:color w:val="auto"/>
          <w:sz w:val="32"/>
          <w:szCs w:val="32"/>
        </w:rPr>
      </w:pPr>
      <w:r>
        <w:rPr>
          <w:rFonts w:hint="eastAsia" w:ascii="宋体" w:hAnsi="宋体"/>
          <w:b/>
          <w:color w:val="auto"/>
          <w:sz w:val="32"/>
          <w:szCs w:val="32"/>
        </w:rPr>
        <w:t>选配件、专用耗材、售后服务优惠表</w:t>
      </w:r>
    </w:p>
    <w:p>
      <w:pPr>
        <w:pStyle w:val="18"/>
        <w:rPr>
          <w:color w:val="auto"/>
          <w:sz w:val="24"/>
          <w:szCs w:val="24"/>
        </w:rPr>
      </w:pPr>
      <w:r>
        <w:rPr>
          <w:rFonts w:hint="eastAsia"/>
          <w:color w:val="auto"/>
          <w:sz w:val="24"/>
          <w:szCs w:val="24"/>
        </w:rPr>
        <w:t>所投分标：</w:t>
      </w:r>
      <w:r>
        <w:rPr>
          <w:rFonts w:hint="eastAsia"/>
          <w:color w:val="auto"/>
          <w:sz w:val="24"/>
          <w:szCs w:val="24"/>
          <w:u w:val="single"/>
        </w:rPr>
        <w:t xml:space="preserve">     </w:t>
      </w:r>
      <w:r>
        <w:rPr>
          <w:rFonts w:hint="eastAsia"/>
          <w:color w:val="auto"/>
          <w:sz w:val="24"/>
          <w:szCs w:val="24"/>
        </w:rPr>
        <w:t>分标</w:t>
      </w:r>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8"/>
              <w:snapToGrid w:val="0"/>
              <w:spacing w:before="295" w:after="295"/>
              <w:jc w:val="center"/>
              <w:rPr>
                <w:rFonts w:hAnsi="宋体" w:cs="Courier New"/>
                <w:color w:val="auto"/>
                <w:sz w:val="24"/>
                <w:szCs w:val="24"/>
              </w:rPr>
            </w:pPr>
            <w:r>
              <w:rPr>
                <w:rFonts w:hint="eastAsia" w:hAnsi="宋体" w:cs="Courier New"/>
                <w:color w:val="auto"/>
                <w:sz w:val="24"/>
                <w:szCs w:val="24"/>
              </w:rPr>
              <w:t>序号</w:t>
            </w:r>
          </w:p>
        </w:tc>
        <w:tc>
          <w:tcPr>
            <w:tcW w:w="2700" w:type="dxa"/>
            <w:tcBorders>
              <w:top w:val="single" w:color="auto" w:sz="4" w:space="0"/>
              <w:left w:val="single" w:color="auto" w:sz="4" w:space="0"/>
              <w:bottom w:val="single" w:color="auto" w:sz="2" w:space="0"/>
              <w:right w:val="single" w:color="auto" w:sz="4" w:space="0"/>
            </w:tcBorders>
            <w:vAlign w:val="center"/>
          </w:tcPr>
          <w:p>
            <w:pPr>
              <w:pStyle w:val="18"/>
              <w:snapToGrid w:val="0"/>
              <w:spacing w:before="295" w:after="295"/>
              <w:jc w:val="center"/>
              <w:rPr>
                <w:rFonts w:hAnsi="宋体" w:cs="Courier New"/>
                <w:color w:val="auto"/>
                <w:sz w:val="24"/>
                <w:szCs w:val="24"/>
              </w:rPr>
            </w:pPr>
            <w:r>
              <w:rPr>
                <w:rFonts w:hint="eastAsia" w:hAnsi="宋体" w:cs="Courier New"/>
                <w:color w:val="auto"/>
                <w:sz w:val="24"/>
                <w:szCs w:val="24"/>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pPr>
              <w:pStyle w:val="18"/>
              <w:snapToGrid w:val="0"/>
              <w:spacing w:before="295" w:after="295"/>
              <w:jc w:val="center"/>
              <w:rPr>
                <w:rFonts w:hAnsi="宋体" w:cs="Courier New"/>
                <w:color w:val="auto"/>
                <w:sz w:val="24"/>
                <w:szCs w:val="24"/>
              </w:rPr>
            </w:pPr>
            <w:r>
              <w:rPr>
                <w:rFonts w:hint="eastAsia" w:hAnsi="宋体" w:cs="Courier New"/>
                <w:color w:val="auto"/>
                <w:sz w:val="24"/>
                <w:szCs w:val="24"/>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pStyle w:val="18"/>
              <w:snapToGrid w:val="0"/>
              <w:spacing w:before="295" w:after="295"/>
              <w:jc w:val="center"/>
              <w:rPr>
                <w:rFonts w:hAnsi="宋体" w:cs="Courier New"/>
                <w:color w:val="auto"/>
                <w:sz w:val="24"/>
                <w:szCs w:val="24"/>
              </w:rPr>
            </w:pPr>
            <w:r>
              <w:rPr>
                <w:rFonts w:hint="eastAsia" w:hAnsi="宋体" w:cs="Courier New"/>
                <w:color w:val="auto"/>
                <w:sz w:val="24"/>
                <w:szCs w:val="24"/>
              </w:rPr>
              <w:t>单价</w:t>
            </w:r>
          </w:p>
        </w:tc>
        <w:tc>
          <w:tcPr>
            <w:tcW w:w="2340" w:type="dxa"/>
            <w:tcBorders>
              <w:top w:val="single" w:color="auto" w:sz="4" w:space="0"/>
              <w:left w:val="single" w:color="auto" w:sz="4" w:space="0"/>
              <w:bottom w:val="single" w:color="auto" w:sz="2" w:space="0"/>
              <w:right w:val="single" w:color="auto" w:sz="4" w:space="0"/>
            </w:tcBorders>
            <w:vAlign w:val="center"/>
          </w:tcPr>
          <w:p>
            <w:pPr>
              <w:pStyle w:val="18"/>
              <w:snapToGrid w:val="0"/>
              <w:spacing w:before="295" w:after="295"/>
              <w:jc w:val="center"/>
              <w:rPr>
                <w:rFonts w:hAnsi="宋体" w:cs="Courier New"/>
                <w:color w:val="auto"/>
                <w:sz w:val="24"/>
                <w:szCs w:val="24"/>
              </w:rPr>
            </w:pPr>
            <w:r>
              <w:rPr>
                <w:rFonts w:hint="eastAsia" w:hAnsi="宋体" w:cs="Courier New"/>
                <w:color w:val="auto"/>
                <w:sz w:val="24"/>
                <w:szCs w:val="24"/>
              </w:rPr>
              <w:t>比市场价优惠率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18"/>
              <w:snapToGrid w:val="0"/>
              <w:spacing w:before="295" w:after="295"/>
              <w:jc w:val="center"/>
              <w:rPr>
                <w:rFonts w:hAnsi="宋体"/>
                <w:color w:val="auto"/>
                <w:sz w:val="24"/>
                <w:szCs w:val="24"/>
              </w:rPr>
            </w:pPr>
            <w:r>
              <w:rPr>
                <w:rFonts w:hint="eastAsia" w:hAnsi="宋体"/>
                <w:color w:val="auto"/>
                <w:sz w:val="24"/>
                <w:szCs w:val="24"/>
              </w:rPr>
              <w:t>1</w:t>
            </w:r>
          </w:p>
        </w:tc>
        <w:tc>
          <w:tcPr>
            <w:tcW w:w="2700" w:type="dxa"/>
            <w:tcBorders>
              <w:top w:val="single" w:color="auto" w:sz="2" w:space="0"/>
              <w:left w:val="single" w:color="auto" w:sz="2" w:space="0"/>
              <w:bottom w:val="single" w:color="auto" w:sz="6" w:space="0"/>
              <w:right w:val="single" w:color="auto" w:sz="4" w:space="0"/>
            </w:tcBorders>
            <w:vAlign w:val="center"/>
          </w:tcPr>
          <w:p>
            <w:pPr>
              <w:pStyle w:val="18"/>
              <w:snapToGrid w:val="0"/>
              <w:spacing w:before="295" w:after="295"/>
              <w:jc w:val="center"/>
              <w:rPr>
                <w:rFonts w:hAnsi="宋体"/>
                <w:color w:val="auto"/>
                <w:sz w:val="24"/>
                <w:szCs w:val="24"/>
              </w:rPr>
            </w:pPr>
          </w:p>
        </w:tc>
        <w:tc>
          <w:tcPr>
            <w:tcW w:w="1440" w:type="dxa"/>
            <w:tcBorders>
              <w:top w:val="single" w:color="auto" w:sz="2" w:space="0"/>
              <w:left w:val="single" w:color="auto" w:sz="4" w:space="0"/>
              <w:bottom w:val="single" w:color="auto" w:sz="6" w:space="0"/>
              <w:right w:val="single" w:color="auto" w:sz="6" w:space="0"/>
            </w:tcBorders>
            <w:vAlign w:val="center"/>
          </w:tcPr>
          <w:p>
            <w:pPr>
              <w:pStyle w:val="18"/>
              <w:snapToGrid w:val="0"/>
              <w:spacing w:before="295" w:after="295"/>
              <w:jc w:val="center"/>
              <w:rPr>
                <w:rFonts w:hAnsi="宋体"/>
                <w:color w:val="auto"/>
                <w:sz w:val="24"/>
                <w:szCs w:val="24"/>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18"/>
              <w:snapToGrid w:val="0"/>
              <w:spacing w:before="295" w:after="295"/>
              <w:jc w:val="center"/>
              <w:rPr>
                <w:rFonts w:hAnsi="宋体"/>
                <w:color w:val="auto"/>
                <w:sz w:val="24"/>
                <w:szCs w:val="24"/>
              </w:rPr>
            </w:pPr>
          </w:p>
        </w:tc>
        <w:tc>
          <w:tcPr>
            <w:tcW w:w="2340" w:type="dxa"/>
            <w:tcBorders>
              <w:top w:val="single" w:color="auto" w:sz="2" w:space="0"/>
              <w:left w:val="single" w:color="auto" w:sz="6" w:space="0"/>
              <w:bottom w:val="single" w:color="auto" w:sz="6" w:space="0"/>
              <w:right w:val="single" w:color="auto" w:sz="2" w:space="0"/>
            </w:tcBorders>
            <w:vAlign w:val="center"/>
          </w:tcPr>
          <w:p>
            <w:pPr>
              <w:pStyle w:val="18"/>
              <w:snapToGrid w:val="0"/>
              <w:spacing w:before="295" w:after="295"/>
              <w:jc w:val="center"/>
              <w:rPr>
                <w:rFonts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18"/>
              <w:snapToGrid w:val="0"/>
              <w:spacing w:before="295" w:after="295"/>
              <w:jc w:val="center"/>
              <w:rPr>
                <w:rFonts w:hAnsi="宋体"/>
                <w:color w:val="auto"/>
                <w:sz w:val="24"/>
                <w:szCs w:val="24"/>
              </w:rPr>
            </w:pPr>
            <w:r>
              <w:rPr>
                <w:rFonts w:hint="eastAsia" w:hAnsi="宋体"/>
                <w:color w:val="auto"/>
                <w:sz w:val="24"/>
                <w:szCs w:val="24"/>
              </w:rPr>
              <w:t>2</w:t>
            </w:r>
          </w:p>
        </w:tc>
        <w:tc>
          <w:tcPr>
            <w:tcW w:w="2700" w:type="dxa"/>
            <w:tcBorders>
              <w:top w:val="single" w:color="auto" w:sz="6" w:space="0"/>
              <w:left w:val="single" w:color="auto" w:sz="2" w:space="0"/>
              <w:bottom w:val="single" w:color="auto" w:sz="6" w:space="0"/>
              <w:right w:val="single" w:color="auto" w:sz="4" w:space="0"/>
            </w:tcBorders>
            <w:vAlign w:val="center"/>
          </w:tcPr>
          <w:p>
            <w:pPr>
              <w:pStyle w:val="18"/>
              <w:snapToGrid w:val="0"/>
              <w:spacing w:before="295" w:after="295"/>
              <w:jc w:val="center"/>
              <w:rPr>
                <w:rFonts w:hAnsi="宋体"/>
                <w:color w:val="auto"/>
                <w:sz w:val="24"/>
                <w:szCs w:val="24"/>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18"/>
              <w:snapToGrid w:val="0"/>
              <w:spacing w:before="295" w:after="295"/>
              <w:jc w:val="center"/>
              <w:rPr>
                <w:rFonts w:hAnsi="宋体"/>
                <w:color w:val="auto"/>
                <w:sz w:val="24"/>
                <w:szCs w:val="24"/>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18"/>
              <w:snapToGrid w:val="0"/>
              <w:spacing w:before="295" w:after="295"/>
              <w:jc w:val="center"/>
              <w:rPr>
                <w:rFonts w:hAnsi="宋体"/>
                <w:color w:val="auto"/>
                <w:sz w:val="24"/>
                <w:szCs w:val="24"/>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18"/>
              <w:snapToGrid w:val="0"/>
              <w:spacing w:before="295" w:after="295"/>
              <w:jc w:val="center"/>
              <w:rPr>
                <w:rFonts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18"/>
              <w:snapToGrid w:val="0"/>
              <w:spacing w:before="295" w:after="295"/>
              <w:jc w:val="center"/>
              <w:rPr>
                <w:rFonts w:hAnsi="宋体"/>
                <w:color w:val="auto"/>
                <w:sz w:val="24"/>
                <w:szCs w:val="24"/>
              </w:rPr>
            </w:pPr>
            <w:r>
              <w:rPr>
                <w:rFonts w:hint="eastAsia" w:hAnsi="宋体"/>
                <w:color w:val="auto"/>
                <w:sz w:val="24"/>
                <w:szCs w:val="24"/>
              </w:rPr>
              <w:t>3</w:t>
            </w:r>
          </w:p>
        </w:tc>
        <w:tc>
          <w:tcPr>
            <w:tcW w:w="2700" w:type="dxa"/>
            <w:tcBorders>
              <w:top w:val="single" w:color="auto" w:sz="6" w:space="0"/>
              <w:left w:val="single" w:color="auto" w:sz="2" w:space="0"/>
              <w:bottom w:val="single" w:color="auto" w:sz="6" w:space="0"/>
              <w:right w:val="single" w:color="auto" w:sz="4" w:space="0"/>
            </w:tcBorders>
            <w:vAlign w:val="center"/>
          </w:tcPr>
          <w:p>
            <w:pPr>
              <w:pStyle w:val="18"/>
              <w:snapToGrid w:val="0"/>
              <w:spacing w:before="295" w:after="295"/>
              <w:jc w:val="center"/>
              <w:rPr>
                <w:rFonts w:hAnsi="宋体"/>
                <w:color w:val="auto"/>
                <w:sz w:val="24"/>
                <w:szCs w:val="24"/>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18"/>
              <w:snapToGrid w:val="0"/>
              <w:spacing w:before="295" w:after="295"/>
              <w:jc w:val="center"/>
              <w:rPr>
                <w:rFonts w:hAnsi="宋体"/>
                <w:color w:val="auto"/>
                <w:sz w:val="24"/>
                <w:szCs w:val="24"/>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18"/>
              <w:snapToGrid w:val="0"/>
              <w:spacing w:before="295" w:after="295"/>
              <w:jc w:val="center"/>
              <w:rPr>
                <w:rFonts w:hAnsi="宋体"/>
                <w:color w:val="auto"/>
                <w:sz w:val="24"/>
                <w:szCs w:val="24"/>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18"/>
              <w:snapToGrid w:val="0"/>
              <w:spacing w:before="295" w:after="295"/>
              <w:jc w:val="center"/>
              <w:rPr>
                <w:rFonts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w:t>
            </w:r>
          </w:p>
        </w:tc>
      </w:tr>
    </w:tbl>
    <w:p>
      <w:pPr>
        <w:snapToGrid w:val="0"/>
        <w:spacing w:before="50" w:after="50"/>
        <w:rPr>
          <w:rFonts w:ascii="宋体" w:hAnsi="宋体"/>
          <w:color w:val="auto"/>
          <w:sz w:val="24"/>
        </w:rPr>
      </w:pPr>
    </w:p>
    <w:p>
      <w:pPr>
        <w:snapToGrid w:val="0"/>
        <w:spacing w:before="50" w:after="50"/>
        <w:rPr>
          <w:rFonts w:ascii="宋体" w:hAnsi="宋体"/>
          <w:color w:val="auto"/>
          <w:sz w:val="24"/>
        </w:rPr>
      </w:pPr>
    </w:p>
    <w:p>
      <w:pPr>
        <w:snapToGrid w:val="0"/>
        <w:spacing w:before="50" w:after="50"/>
        <w:rPr>
          <w:rFonts w:ascii="宋体" w:hAnsi="宋体"/>
          <w:color w:val="auto"/>
          <w:spacing w:val="20"/>
          <w:sz w:val="24"/>
          <w:u w:val="single"/>
        </w:rPr>
      </w:pPr>
      <w:r>
        <w:rPr>
          <w:rFonts w:hint="eastAsia" w:ascii="宋体" w:hAnsi="宋体"/>
          <w:color w:val="auto"/>
          <w:sz w:val="24"/>
        </w:rPr>
        <w:t>法定代表人或者委托代理人（签字/电子签名）</w:t>
      </w:r>
      <w:r>
        <w:rPr>
          <w:rFonts w:hint="eastAsia" w:ascii="宋体" w:hAnsi="宋体"/>
          <w:color w:val="auto"/>
          <w:spacing w:val="20"/>
          <w:sz w:val="24"/>
        </w:rPr>
        <w:t>：</w:t>
      </w:r>
      <w:r>
        <w:rPr>
          <w:rFonts w:hint="eastAsia" w:ascii="宋体" w:hAnsi="宋体"/>
          <w:color w:val="auto"/>
          <w:spacing w:val="20"/>
          <w:sz w:val="24"/>
          <w:u w:val="single"/>
        </w:rPr>
        <w:t xml:space="preserve">        </w:t>
      </w:r>
    </w:p>
    <w:p>
      <w:pPr>
        <w:snapToGrid w:val="0"/>
        <w:spacing w:before="50" w:after="50"/>
        <w:rPr>
          <w:rFonts w:ascii="宋体" w:hAnsi="宋体"/>
          <w:color w:val="auto"/>
          <w:spacing w:val="20"/>
          <w:sz w:val="24"/>
        </w:rPr>
      </w:pPr>
      <w:r>
        <w:rPr>
          <w:rFonts w:hint="eastAsia" w:ascii="宋体" w:hAnsi="宋体"/>
          <w:color w:val="auto"/>
          <w:spacing w:val="20"/>
          <w:sz w:val="24"/>
        </w:rPr>
        <w:t>投标人名称（电子签章）：</w:t>
      </w:r>
      <w:r>
        <w:rPr>
          <w:rFonts w:hint="eastAsia" w:ascii="宋体" w:hAnsi="宋体"/>
          <w:color w:val="auto"/>
          <w:spacing w:val="20"/>
          <w:sz w:val="24"/>
          <w:u w:val="single"/>
        </w:rPr>
        <w:t xml:space="preserve">            </w:t>
      </w:r>
      <w:r>
        <w:rPr>
          <w:rFonts w:hint="eastAsia" w:ascii="宋体" w:hAnsi="宋体"/>
          <w:color w:val="auto"/>
          <w:spacing w:val="20"/>
          <w:sz w:val="24"/>
        </w:rPr>
        <w:t xml:space="preserve">              </w:t>
      </w:r>
    </w:p>
    <w:p>
      <w:pPr>
        <w:snapToGrid w:val="0"/>
        <w:spacing w:before="50" w:after="50"/>
        <w:rPr>
          <w:rFonts w:ascii="宋体" w:hAnsi="宋体"/>
          <w:color w:val="auto"/>
          <w:sz w:val="24"/>
          <w:szCs w:val="20"/>
        </w:rPr>
      </w:pPr>
      <w:r>
        <w:rPr>
          <w:rFonts w:hint="eastAsia" w:ascii="宋体" w:hAnsi="宋体"/>
          <w:color w:val="auto"/>
          <w:spacing w:val="20"/>
          <w:sz w:val="24"/>
        </w:rPr>
        <w:t>日 期：</w:t>
      </w:r>
      <w:r>
        <w:rPr>
          <w:rFonts w:hint="eastAsia" w:ascii="宋体" w:hAnsi="宋体"/>
          <w:color w:val="auto"/>
          <w:spacing w:val="20"/>
          <w:sz w:val="24"/>
          <w:u w:val="single"/>
        </w:rPr>
        <w:t xml:space="preserve">            </w:t>
      </w:r>
    </w:p>
    <w:p>
      <w:pPr>
        <w:snapToGrid w:val="0"/>
        <w:spacing w:before="50" w:afterLines="50"/>
        <w:jc w:val="left"/>
        <w:rPr>
          <w:rFonts w:ascii="宋体" w:hAnsi="宋体"/>
          <w:color w:val="auto"/>
          <w:sz w:val="24"/>
          <w:szCs w:val="20"/>
        </w:rPr>
      </w:pPr>
    </w:p>
    <w:p>
      <w:pPr>
        <w:snapToGrid w:val="0"/>
        <w:spacing w:beforeLines="50" w:after="50"/>
        <w:outlineLvl w:val="1"/>
        <w:rPr>
          <w:rFonts w:ascii="宋体" w:hAnsi="宋体"/>
          <w:b/>
          <w:bCs/>
          <w:color w:val="auto"/>
          <w:sz w:val="28"/>
          <w:szCs w:val="28"/>
        </w:rPr>
      </w:pPr>
      <w:r>
        <w:rPr>
          <w:rFonts w:ascii="宋体" w:hAnsi="宋体"/>
          <w:b/>
          <w:bCs/>
          <w:color w:val="auto"/>
          <w:sz w:val="24"/>
        </w:rPr>
        <w:br w:type="page"/>
      </w:r>
      <w:bookmarkStart w:id="165" w:name="_Toc19686840"/>
      <w:r>
        <w:rPr>
          <w:rFonts w:hint="eastAsia" w:ascii="宋体" w:hAnsi="宋体"/>
          <w:b/>
          <w:bCs/>
          <w:color w:val="auto"/>
          <w:sz w:val="28"/>
          <w:szCs w:val="28"/>
        </w:rPr>
        <w:t>无、其他文书、文件格式</w:t>
      </w:r>
      <w:bookmarkEnd w:id="165"/>
    </w:p>
    <w:p>
      <w:pPr>
        <w:spacing w:beforeLines="50" w:afterLines="50" w:line="400" w:lineRule="exact"/>
        <w:rPr>
          <w:rFonts w:ascii="宋体" w:hAnsi="宋体"/>
          <w:color w:val="auto"/>
          <w:sz w:val="24"/>
        </w:rPr>
      </w:pPr>
    </w:p>
    <w:p>
      <w:pPr>
        <w:snapToGrid w:val="0"/>
        <w:spacing w:beforeLines="50" w:after="50"/>
        <w:jc w:val="left"/>
        <w:rPr>
          <w:color w:val="auto"/>
        </w:rPr>
      </w:pPr>
      <w:r>
        <w:rPr>
          <w:rFonts w:hint="eastAsia" w:ascii="宋体" w:hAnsi="宋体"/>
          <w:b/>
          <w:color w:val="auto"/>
          <w:sz w:val="24"/>
        </w:rPr>
        <w:t xml:space="preserve"> 中小企业声明函格式</w:t>
      </w:r>
    </w:p>
    <w:p>
      <w:pPr>
        <w:rPr>
          <w:color w:val="auto"/>
        </w:rPr>
      </w:pPr>
    </w:p>
    <w:p>
      <w:pPr>
        <w:spacing w:line="588" w:lineRule="exact"/>
        <w:jc w:val="center"/>
        <w:rPr>
          <w:rFonts w:ascii="宋体" w:hAnsi="宋体"/>
          <w:b/>
          <w:color w:val="auto"/>
          <w:spacing w:val="6"/>
          <w:sz w:val="32"/>
          <w:szCs w:val="32"/>
        </w:rPr>
      </w:pPr>
      <w:r>
        <w:rPr>
          <w:rFonts w:hint="eastAsia" w:ascii="宋体" w:hAnsi="宋体"/>
          <w:b/>
          <w:color w:val="auto"/>
          <w:spacing w:val="6"/>
          <w:sz w:val="32"/>
          <w:szCs w:val="32"/>
        </w:rPr>
        <w:t>中小企业声明函</w:t>
      </w:r>
    </w:p>
    <w:p>
      <w:pPr>
        <w:spacing w:line="588" w:lineRule="exact"/>
        <w:rPr>
          <w:rFonts w:ascii="仿宋_GB2312" w:eastAsia="仿宋_GB2312"/>
          <w:b/>
          <w:color w:val="auto"/>
          <w:spacing w:val="6"/>
          <w:sz w:val="32"/>
          <w:szCs w:val="32"/>
        </w:rPr>
      </w:pPr>
    </w:p>
    <w:p>
      <w:pPr>
        <w:spacing w:line="588" w:lineRule="exact"/>
        <w:ind w:firstLine="420" w:firstLineChars="200"/>
        <w:rPr>
          <w:rFonts w:ascii="宋体" w:hAnsi="宋体"/>
          <w:color w:val="auto"/>
          <w:spacing w:val="6"/>
          <w:szCs w:val="21"/>
        </w:rPr>
      </w:pPr>
      <w:r>
        <w:rPr>
          <w:rFonts w:hint="eastAsia" w:ascii="宋体" w:hAnsi="宋体" w:cs="宋体"/>
          <w:color w:val="auto"/>
          <w:kern w:val="0"/>
          <w:szCs w:val="21"/>
        </w:rPr>
        <w:t>本公司（联合体）郑重声明，根据《政府采购促进中小企业发展管理办法》（财库﹝2020﹞46 号）的规定，本公司（联合体）参加</w:t>
      </w:r>
      <w:r>
        <w:rPr>
          <w:rFonts w:hint="eastAsia" w:ascii="宋体" w:hAnsi="宋体" w:cs="宋体"/>
          <w:color w:val="auto"/>
          <w:kern w:val="0"/>
          <w:szCs w:val="21"/>
          <w:u w:val="single"/>
        </w:rPr>
        <w:t xml:space="preserve"> （单位名称） </w:t>
      </w:r>
      <w:r>
        <w:rPr>
          <w:rFonts w:hint="eastAsia" w:ascii="宋体" w:hAnsi="宋体" w:cs="宋体"/>
          <w:color w:val="auto"/>
          <w:kern w:val="0"/>
          <w:szCs w:val="21"/>
        </w:rPr>
        <w:t>的</w:t>
      </w:r>
      <w:r>
        <w:rPr>
          <w:rFonts w:hint="eastAsia" w:ascii="宋体" w:hAnsi="宋体" w:cs="宋体"/>
          <w:color w:val="auto"/>
          <w:kern w:val="0"/>
          <w:szCs w:val="21"/>
          <w:u w:val="single"/>
        </w:rPr>
        <w:t xml:space="preserve"> （项目名称） </w:t>
      </w:r>
      <w:r>
        <w:rPr>
          <w:rFonts w:hint="eastAsia" w:ascii="宋体" w:hAnsi="宋体" w:cs="宋体"/>
          <w:color w:val="auto"/>
          <w:kern w:val="0"/>
          <w:szCs w:val="21"/>
        </w:rPr>
        <w:t>采购活动，提供的货物全部由符合政策要求的中小企业制造。相关企业（含联合体中的中小企业、签订分包意向协议的中小企业）的具体情况如下</w:t>
      </w:r>
      <w:r>
        <w:rPr>
          <w:rFonts w:hint="eastAsia" w:ascii="宋体" w:hAnsi="宋体"/>
          <w:color w:val="auto"/>
          <w:spacing w:val="6"/>
          <w:szCs w:val="21"/>
        </w:rPr>
        <w:t>：</w:t>
      </w:r>
    </w:p>
    <w:p>
      <w:pPr>
        <w:spacing w:line="588" w:lineRule="exact"/>
        <w:ind w:firstLine="444" w:firstLineChars="200"/>
        <w:rPr>
          <w:rFonts w:ascii="宋体" w:hAnsi="宋体"/>
          <w:color w:val="auto"/>
          <w:spacing w:val="6"/>
          <w:szCs w:val="21"/>
        </w:rPr>
      </w:pPr>
      <w:r>
        <w:rPr>
          <w:rFonts w:hint="eastAsia" w:ascii="宋体" w:hAnsi="宋体"/>
          <w:color w:val="auto"/>
          <w:spacing w:val="6"/>
          <w:szCs w:val="21"/>
        </w:rPr>
        <w:t>1.</w:t>
      </w:r>
      <w:r>
        <w:rPr>
          <w:rFonts w:hint="eastAsia" w:ascii="宋体" w:hAnsi="宋体" w:cs="宋体"/>
          <w:color w:val="auto"/>
          <w:kern w:val="0"/>
          <w:szCs w:val="21"/>
          <w:u w:val="single"/>
        </w:rPr>
        <w:t xml:space="preserve">（标的名称） </w:t>
      </w:r>
      <w:r>
        <w:rPr>
          <w:rFonts w:hint="eastAsia" w:ascii="宋体" w:hAnsi="宋体" w:cs="宋体"/>
          <w:color w:val="auto"/>
          <w:kern w:val="0"/>
          <w:szCs w:val="21"/>
        </w:rPr>
        <w:t>，属于</w:t>
      </w:r>
      <w:r>
        <w:rPr>
          <w:rFonts w:hint="eastAsia" w:ascii="宋体" w:hAnsi="宋体" w:cs="宋体"/>
          <w:color w:val="auto"/>
          <w:kern w:val="0"/>
          <w:szCs w:val="21"/>
          <w:u w:val="single"/>
        </w:rPr>
        <w:t xml:space="preserve"> （采购文件中明确的所属行业）</w:t>
      </w:r>
      <w:r>
        <w:rPr>
          <w:rFonts w:hint="eastAsia" w:ascii="宋体" w:hAnsi="宋体" w:cs="宋体"/>
          <w:color w:val="auto"/>
          <w:kern w:val="0"/>
          <w:szCs w:val="21"/>
        </w:rPr>
        <w:t>行业 ；制造商为</w:t>
      </w:r>
      <w:r>
        <w:rPr>
          <w:rFonts w:hint="eastAsia" w:ascii="宋体" w:hAnsi="宋体" w:cs="宋体"/>
          <w:color w:val="auto"/>
          <w:kern w:val="0"/>
          <w:szCs w:val="21"/>
          <w:u w:val="single"/>
        </w:rPr>
        <w:t xml:space="preserve"> （企业名称） </w:t>
      </w:r>
      <w:r>
        <w:rPr>
          <w:rFonts w:hint="eastAsia" w:ascii="宋体" w:hAnsi="宋体" w:cs="宋体"/>
          <w:color w:val="auto"/>
          <w:kern w:val="0"/>
          <w:szCs w:val="21"/>
        </w:rPr>
        <w:t>，从业人员</w:t>
      </w:r>
      <w:r>
        <w:rPr>
          <w:rFonts w:hint="eastAsia" w:ascii="宋体" w:hAnsi="宋体" w:cs="宋体"/>
          <w:color w:val="auto"/>
          <w:kern w:val="0"/>
          <w:szCs w:val="21"/>
          <w:u w:val="single"/>
        </w:rPr>
        <w:t xml:space="preserve">      </w:t>
      </w:r>
      <w:r>
        <w:rPr>
          <w:rFonts w:hint="eastAsia" w:ascii="宋体" w:hAnsi="宋体" w:cs="宋体"/>
          <w:color w:val="auto"/>
          <w:kern w:val="0"/>
          <w:szCs w:val="21"/>
        </w:rPr>
        <w:t>人，营业收入为</w:t>
      </w:r>
      <w:r>
        <w:rPr>
          <w:rFonts w:hint="eastAsia" w:ascii="宋体" w:hAnsi="宋体" w:cs="宋体"/>
          <w:color w:val="auto"/>
          <w:kern w:val="0"/>
          <w:szCs w:val="21"/>
          <w:u w:val="single"/>
        </w:rPr>
        <w:t xml:space="preserve">      </w:t>
      </w:r>
      <w:r>
        <w:rPr>
          <w:rFonts w:hint="eastAsia" w:ascii="宋体" w:hAnsi="宋体" w:cs="宋体"/>
          <w:color w:val="auto"/>
          <w:kern w:val="0"/>
          <w:szCs w:val="21"/>
        </w:rPr>
        <w:t>万元，资产总额为</w:t>
      </w:r>
      <w:r>
        <w:rPr>
          <w:rFonts w:hint="eastAsia" w:ascii="宋体" w:hAnsi="宋体" w:cs="宋体"/>
          <w:color w:val="auto"/>
          <w:kern w:val="0"/>
          <w:szCs w:val="21"/>
          <w:u w:val="single"/>
        </w:rPr>
        <w:t xml:space="preserve">      </w:t>
      </w:r>
      <w:r>
        <w:rPr>
          <w:rFonts w:hint="eastAsia" w:ascii="宋体" w:hAnsi="宋体" w:cs="宋体"/>
          <w:color w:val="auto"/>
          <w:kern w:val="0"/>
          <w:szCs w:val="21"/>
        </w:rPr>
        <w:t>万元，属于</w:t>
      </w:r>
      <w:r>
        <w:rPr>
          <w:rFonts w:hint="eastAsia" w:ascii="宋体" w:hAnsi="宋体" w:cs="宋体"/>
          <w:color w:val="auto"/>
          <w:kern w:val="0"/>
          <w:szCs w:val="21"/>
          <w:u w:val="single"/>
        </w:rPr>
        <w:t xml:space="preserve"> （中型企业、小型企业、微型企业） </w:t>
      </w:r>
      <w:r>
        <w:rPr>
          <w:rFonts w:hint="eastAsia" w:ascii="宋体" w:hAnsi="宋体"/>
          <w:color w:val="auto"/>
          <w:spacing w:val="6"/>
          <w:szCs w:val="21"/>
        </w:rPr>
        <w:t>。</w:t>
      </w:r>
    </w:p>
    <w:p>
      <w:pPr>
        <w:spacing w:line="588" w:lineRule="exact"/>
        <w:ind w:firstLine="444" w:firstLineChars="200"/>
        <w:rPr>
          <w:rFonts w:ascii="宋体" w:hAnsi="宋体"/>
          <w:color w:val="auto"/>
          <w:spacing w:val="6"/>
          <w:szCs w:val="21"/>
        </w:rPr>
      </w:pPr>
      <w:r>
        <w:rPr>
          <w:rFonts w:hint="eastAsia" w:ascii="宋体" w:hAnsi="宋体"/>
          <w:color w:val="auto"/>
          <w:spacing w:val="6"/>
          <w:szCs w:val="21"/>
        </w:rPr>
        <w:t>2.</w:t>
      </w:r>
      <w:r>
        <w:rPr>
          <w:rFonts w:hint="eastAsia" w:ascii="宋体" w:hAnsi="宋体" w:cs="宋体"/>
          <w:color w:val="auto"/>
          <w:kern w:val="0"/>
          <w:szCs w:val="21"/>
        </w:rPr>
        <w:t>、</w:t>
      </w:r>
      <w:r>
        <w:rPr>
          <w:rFonts w:hint="eastAsia" w:ascii="宋体" w:hAnsi="宋体" w:cs="宋体"/>
          <w:color w:val="auto"/>
          <w:kern w:val="0"/>
          <w:szCs w:val="21"/>
          <w:u w:val="single"/>
        </w:rPr>
        <w:t xml:space="preserve">（标的名称） </w:t>
      </w:r>
      <w:r>
        <w:rPr>
          <w:rFonts w:hint="eastAsia" w:ascii="宋体" w:hAnsi="宋体" w:cs="宋体"/>
          <w:color w:val="auto"/>
          <w:kern w:val="0"/>
          <w:szCs w:val="21"/>
        </w:rPr>
        <w:t>，属于</w:t>
      </w:r>
      <w:r>
        <w:rPr>
          <w:rFonts w:hint="eastAsia" w:ascii="宋体" w:hAnsi="宋体" w:cs="宋体"/>
          <w:color w:val="auto"/>
          <w:kern w:val="0"/>
          <w:szCs w:val="21"/>
          <w:u w:val="single"/>
        </w:rPr>
        <w:t xml:space="preserve"> （采购文件中明确的所属行业）</w:t>
      </w:r>
      <w:r>
        <w:rPr>
          <w:rFonts w:hint="eastAsia" w:ascii="宋体" w:hAnsi="宋体" w:cs="宋体"/>
          <w:color w:val="auto"/>
          <w:kern w:val="0"/>
          <w:szCs w:val="21"/>
        </w:rPr>
        <w:t>行业 ；制造商为</w:t>
      </w:r>
      <w:r>
        <w:rPr>
          <w:rFonts w:hint="eastAsia" w:ascii="宋体" w:hAnsi="宋体" w:cs="宋体"/>
          <w:color w:val="auto"/>
          <w:kern w:val="0"/>
          <w:szCs w:val="21"/>
          <w:u w:val="single"/>
        </w:rPr>
        <w:t xml:space="preserve"> （企业名称） </w:t>
      </w:r>
      <w:r>
        <w:rPr>
          <w:rFonts w:hint="eastAsia" w:ascii="宋体" w:hAnsi="宋体" w:cs="宋体"/>
          <w:color w:val="auto"/>
          <w:kern w:val="0"/>
          <w:szCs w:val="21"/>
        </w:rPr>
        <w:t>，从业人员</w:t>
      </w:r>
      <w:r>
        <w:rPr>
          <w:rFonts w:hint="eastAsia" w:ascii="宋体" w:hAnsi="宋体" w:cs="宋体"/>
          <w:color w:val="auto"/>
          <w:kern w:val="0"/>
          <w:szCs w:val="21"/>
          <w:u w:val="single"/>
        </w:rPr>
        <w:t xml:space="preserve">      </w:t>
      </w:r>
      <w:r>
        <w:rPr>
          <w:rFonts w:hint="eastAsia" w:ascii="宋体" w:hAnsi="宋体" w:cs="宋体"/>
          <w:color w:val="auto"/>
          <w:kern w:val="0"/>
          <w:szCs w:val="21"/>
        </w:rPr>
        <w:t>人，营业收入为</w:t>
      </w:r>
      <w:r>
        <w:rPr>
          <w:rFonts w:hint="eastAsia" w:ascii="宋体" w:hAnsi="宋体" w:cs="宋体"/>
          <w:color w:val="auto"/>
          <w:kern w:val="0"/>
          <w:szCs w:val="21"/>
          <w:u w:val="single"/>
        </w:rPr>
        <w:t xml:space="preserve">      </w:t>
      </w:r>
      <w:r>
        <w:rPr>
          <w:rFonts w:hint="eastAsia" w:ascii="宋体" w:hAnsi="宋体" w:cs="宋体"/>
          <w:color w:val="auto"/>
          <w:kern w:val="0"/>
          <w:szCs w:val="21"/>
        </w:rPr>
        <w:t>万元，资产总额为</w:t>
      </w:r>
      <w:r>
        <w:rPr>
          <w:rFonts w:hint="eastAsia" w:ascii="宋体" w:hAnsi="宋体" w:cs="宋体"/>
          <w:color w:val="auto"/>
          <w:kern w:val="0"/>
          <w:szCs w:val="21"/>
          <w:u w:val="single"/>
        </w:rPr>
        <w:t xml:space="preserve">      </w:t>
      </w:r>
      <w:r>
        <w:rPr>
          <w:rFonts w:hint="eastAsia" w:ascii="宋体" w:hAnsi="宋体" w:cs="宋体"/>
          <w:color w:val="auto"/>
          <w:kern w:val="0"/>
          <w:szCs w:val="21"/>
        </w:rPr>
        <w:t>万元，属于</w:t>
      </w:r>
      <w:r>
        <w:rPr>
          <w:rFonts w:hint="eastAsia" w:ascii="宋体" w:hAnsi="宋体" w:cs="宋体"/>
          <w:color w:val="auto"/>
          <w:kern w:val="0"/>
          <w:szCs w:val="21"/>
          <w:u w:val="single"/>
        </w:rPr>
        <w:t xml:space="preserve"> （中型企业、小型企业、微型企业） </w:t>
      </w:r>
      <w:r>
        <w:rPr>
          <w:rFonts w:hint="eastAsia" w:ascii="宋体" w:hAnsi="宋体"/>
          <w:color w:val="auto"/>
          <w:spacing w:val="6"/>
          <w:szCs w:val="21"/>
        </w:rPr>
        <w:t>。</w:t>
      </w:r>
    </w:p>
    <w:p>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w:t>
      </w:r>
    </w:p>
    <w:p>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以上企业，不属于大企业的分支机构，不存在控股股东为大企业的情形，也不存在与大企业的负责人为同一人的情形。</w:t>
      </w:r>
    </w:p>
    <w:p>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本企业对上述声明内容的真实性负责。如有虚假，将依法承担相应责任。</w:t>
      </w:r>
    </w:p>
    <w:p>
      <w:pPr>
        <w:spacing w:line="360" w:lineRule="auto"/>
        <w:ind w:firstLine="1134"/>
        <w:jc w:val="center"/>
        <w:rPr>
          <w:rFonts w:ascii="宋体" w:hAnsi="宋体" w:cs="宋体"/>
          <w:color w:val="auto"/>
          <w:kern w:val="0"/>
          <w:szCs w:val="21"/>
        </w:rPr>
      </w:pPr>
      <w:r>
        <w:rPr>
          <w:rFonts w:hint="eastAsia" w:ascii="宋体" w:hAnsi="宋体" w:cs="宋体"/>
          <w:color w:val="auto"/>
          <w:kern w:val="0"/>
          <w:szCs w:val="21"/>
        </w:rPr>
        <w:t xml:space="preserve">                  </w:t>
      </w:r>
    </w:p>
    <w:p>
      <w:pPr>
        <w:spacing w:line="400" w:lineRule="exact"/>
        <w:ind w:firstLine="3544"/>
        <w:rPr>
          <w:rFonts w:ascii="宋体" w:hAnsi="宋体" w:cs="宋体"/>
          <w:color w:val="auto"/>
          <w:kern w:val="0"/>
          <w:szCs w:val="21"/>
        </w:rPr>
      </w:pPr>
      <w:r>
        <w:rPr>
          <w:rFonts w:hint="eastAsia" w:ascii="宋体" w:hAnsi="宋体" w:cs="宋体"/>
          <w:color w:val="auto"/>
          <w:kern w:val="0"/>
          <w:szCs w:val="21"/>
        </w:rPr>
        <w:t xml:space="preserve">              </w:t>
      </w:r>
      <w:r>
        <w:rPr>
          <w:rFonts w:ascii="宋体" w:hAnsi="宋体" w:cs="宋体"/>
          <w:color w:val="auto"/>
          <w:kern w:val="0"/>
          <w:szCs w:val="21"/>
        </w:rPr>
        <w:t>企业名称（</w:t>
      </w:r>
      <w:r>
        <w:rPr>
          <w:rFonts w:hint="eastAsia" w:ascii="宋体" w:hAnsi="宋体" w:cs="宋体"/>
          <w:color w:val="auto"/>
          <w:kern w:val="0"/>
          <w:szCs w:val="21"/>
        </w:rPr>
        <w:t>电子签章</w:t>
      </w:r>
      <w:r>
        <w:rPr>
          <w:rFonts w:ascii="宋体" w:hAnsi="宋体" w:cs="宋体"/>
          <w:color w:val="auto"/>
          <w:kern w:val="0"/>
          <w:szCs w:val="21"/>
        </w:rPr>
        <w:t xml:space="preserve">）： </w:t>
      </w:r>
    </w:p>
    <w:p>
      <w:pPr>
        <w:spacing w:line="400" w:lineRule="exact"/>
        <w:ind w:firstLine="5432" w:firstLineChars="2587"/>
        <w:rPr>
          <w:rFonts w:ascii="宋体" w:hAnsi="宋体" w:cs="宋体"/>
          <w:color w:val="auto"/>
          <w:kern w:val="0"/>
          <w:szCs w:val="21"/>
        </w:rPr>
      </w:pPr>
      <w:r>
        <w:rPr>
          <w:rFonts w:ascii="宋体" w:hAnsi="宋体" w:cs="宋体"/>
          <w:color w:val="auto"/>
          <w:kern w:val="0"/>
          <w:szCs w:val="21"/>
        </w:rPr>
        <w:t xml:space="preserve">日 期： </w:t>
      </w:r>
    </w:p>
    <w:p>
      <w:pPr>
        <w:spacing w:line="360" w:lineRule="atLeast"/>
        <w:rPr>
          <w:rFonts w:ascii="宋体" w:hAnsi="宋体" w:cs="宋体"/>
          <w:color w:val="auto"/>
          <w:kern w:val="0"/>
          <w:szCs w:val="21"/>
        </w:rPr>
      </w:pPr>
    </w:p>
    <w:p>
      <w:pPr>
        <w:spacing w:line="360" w:lineRule="atLeast"/>
        <w:ind w:firstLine="420" w:firstLineChars="200"/>
        <w:jc w:val="left"/>
        <w:rPr>
          <w:rFonts w:ascii="宋体" w:hAnsi="宋体" w:cs="宋体"/>
          <w:color w:val="auto"/>
          <w:kern w:val="0"/>
          <w:szCs w:val="21"/>
        </w:rPr>
      </w:pPr>
      <w:r>
        <w:rPr>
          <w:rFonts w:hint="eastAsia" w:ascii="宋体" w:hAnsi="宋体" w:cs="宋体"/>
          <w:color w:val="auto"/>
          <w:kern w:val="0"/>
          <w:szCs w:val="21"/>
        </w:rPr>
        <w:t>填写说明：</w:t>
      </w:r>
      <w:r>
        <w:rPr>
          <w:rFonts w:hint="eastAsia" w:ascii="宋体" w:hAnsi="宋体" w:cs="宋体"/>
          <w:color w:val="auto"/>
          <w:kern w:val="0"/>
          <w:szCs w:val="21"/>
          <w:vertAlign w:val="superscript"/>
        </w:rPr>
        <w:t>1</w:t>
      </w:r>
      <w:r>
        <w:rPr>
          <w:rFonts w:hint="eastAsia" w:ascii="宋体" w:hAnsi="宋体" w:cs="宋体"/>
          <w:color w:val="auto"/>
          <w:kern w:val="0"/>
          <w:szCs w:val="21"/>
        </w:rPr>
        <w:t>从业人员、营业收入、资产总额填报上一年度数据，无上一年度数据的新成立企业可不填报。</w:t>
      </w:r>
    </w:p>
    <w:p>
      <w:pPr>
        <w:snapToGrid w:val="0"/>
        <w:spacing w:line="360" w:lineRule="exact"/>
        <w:ind w:firstLine="420" w:firstLineChars="200"/>
        <w:jc w:val="left"/>
        <w:rPr>
          <w:rFonts w:ascii="宋体" w:hAnsi="宋体" w:cs="宋体"/>
          <w:bCs/>
          <w:color w:val="auto"/>
          <w:szCs w:val="21"/>
        </w:rPr>
      </w:pPr>
      <w:r>
        <w:rPr>
          <w:rFonts w:hint="eastAsia" w:ascii="宋体" w:hAnsi="宋体" w:cs="宋体"/>
          <w:bCs/>
          <w:color w:val="auto"/>
          <w:szCs w:val="21"/>
        </w:rPr>
        <w:t>在政府采购活动中，供应商提供的货物、工程或者服务符合下列情形的，享受本办法规定的中小企业扶持政策：</w:t>
      </w:r>
    </w:p>
    <w:p>
      <w:pPr>
        <w:snapToGrid w:val="0"/>
        <w:spacing w:line="360" w:lineRule="exact"/>
        <w:ind w:firstLine="420" w:firstLineChars="200"/>
        <w:jc w:val="left"/>
        <w:rPr>
          <w:rFonts w:ascii="宋体" w:hAnsi="宋体" w:cs="宋体"/>
          <w:bCs/>
          <w:color w:val="auto"/>
          <w:szCs w:val="21"/>
        </w:rPr>
      </w:pPr>
      <w:r>
        <w:rPr>
          <w:rFonts w:hint="eastAsia" w:ascii="宋体" w:hAnsi="宋体" w:cs="宋体"/>
          <w:bCs/>
          <w:color w:val="auto"/>
          <w:szCs w:val="21"/>
        </w:rPr>
        <w:t>（一）在货物采购项目中，货物由中小企业制造，即货物由中小企业生产且使用该中小企业商号或者注册商标；</w:t>
      </w:r>
    </w:p>
    <w:p>
      <w:pPr>
        <w:snapToGrid w:val="0"/>
        <w:spacing w:line="360" w:lineRule="exact"/>
        <w:ind w:firstLine="420" w:firstLineChars="200"/>
        <w:jc w:val="left"/>
        <w:rPr>
          <w:rFonts w:ascii="宋体" w:hAnsi="宋体" w:cs="宋体"/>
          <w:bCs/>
          <w:color w:val="auto"/>
          <w:szCs w:val="21"/>
        </w:rPr>
      </w:pPr>
      <w:r>
        <w:rPr>
          <w:rFonts w:hint="eastAsia" w:ascii="宋体" w:hAnsi="宋体" w:cs="宋体"/>
          <w:bCs/>
          <w:color w:val="auto"/>
          <w:szCs w:val="21"/>
        </w:rPr>
        <w:t>（二）在工程采购项目中，工程由中小企业承建，即工程施工单位为中小企业；</w:t>
      </w:r>
    </w:p>
    <w:p>
      <w:pPr>
        <w:snapToGrid w:val="0"/>
        <w:spacing w:line="360" w:lineRule="exact"/>
        <w:ind w:firstLine="420" w:firstLineChars="200"/>
        <w:jc w:val="left"/>
        <w:rPr>
          <w:rFonts w:ascii="宋体" w:hAnsi="宋体" w:cs="宋体"/>
          <w:bCs/>
          <w:color w:val="auto"/>
          <w:szCs w:val="21"/>
        </w:rPr>
      </w:pPr>
      <w:r>
        <w:rPr>
          <w:rFonts w:hint="eastAsia" w:ascii="宋体" w:hAnsi="宋体" w:cs="宋体"/>
          <w:bCs/>
          <w:color w:val="auto"/>
          <w:szCs w:val="21"/>
        </w:rPr>
        <w:t>（三）在服务采购项目中，服务由中小企业承接，即提供服务的人员为中小企业依照《中华人民共和国劳动合同法》订立劳动合同的从业人员。</w:t>
      </w:r>
    </w:p>
    <w:p>
      <w:pPr>
        <w:snapToGrid w:val="0"/>
        <w:spacing w:line="360" w:lineRule="exact"/>
        <w:ind w:firstLine="420" w:firstLineChars="200"/>
        <w:jc w:val="left"/>
        <w:rPr>
          <w:rFonts w:ascii="宋体" w:hAnsi="宋体" w:cs="宋体"/>
          <w:bCs/>
          <w:color w:val="auto"/>
          <w:szCs w:val="21"/>
        </w:rPr>
      </w:pPr>
      <w:r>
        <w:rPr>
          <w:rFonts w:hint="eastAsia" w:ascii="宋体" w:hAnsi="宋体" w:cs="宋体"/>
          <w:bCs/>
          <w:color w:val="auto"/>
          <w:szCs w:val="21"/>
        </w:rPr>
        <w:t>在货物采购项目中，供应商提供的货物既有中小企业制造货物，也有大型企业制造货物的，不享受本办法规定的中小企业扶持政策。</w:t>
      </w:r>
    </w:p>
    <w:p>
      <w:pPr>
        <w:pStyle w:val="130"/>
        <w:adjustRightInd w:val="0"/>
        <w:snapToGrid w:val="0"/>
        <w:spacing w:after="0" w:line="360" w:lineRule="exact"/>
        <w:ind w:firstLine="420" w:firstLineChars="200"/>
        <w:jc w:val="left"/>
        <w:rPr>
          <w:color w:val="auto"/>
          <w:sz w:val="21"/>
          <w:szCs w:val="21"/>
        </w:rPr>
      </w:pPr>
      <w:r>
        <w:rPr>
          <w:rFonts w:hint="eastAsia"/>
          <w:bCs/>
          <w:color w:val="auto"/>
          <w:sz w:val="21"/>
          <w:szCs w:val="21"/>
        </w:rPr>
        <w:t>以联合体形式参加政府采购活动，联合体各方均为中小企业的，联合体视同中小企业。其中，联合体各方均为小微企业的，联合体视同小微企业。</w:t>
      </w:r>
      <w:r>
        <w:rPr>
          <w:color w:val="auto"/>
          <w:sz w:val="21"/>
          <w:szCs w:val="21"/>
        </w:rPr>
        <w:br w:type="page"/>
      </w:r>
    </w:p>
    <w:p>
      <w:pPr>
        <w:snapToGrid w:val="0"/>
        <w:spacing w:beforeLines="50" w:after="50"/>
        <w:jc w:val="left"/>
        <w:rPr>
          <w:rFonts w:ascii="宋体" w:hAnsi="宋体"/>
          <w:b/>
          <w:color w:val="auto"/>
          <w:sz w:val="24"/>
        </w:rPr>
      </w:pPr>
      <w:r>
        <w:rPr>
          <w:rFonts w:hint="eastAsia" w:ascii="宋体" w:hAnsi="宋体"/>
          <w:b/>
          <w:color w:val="auto"/>
          <w:sz w:val="24"/>
        </w:rPr>
        <w:t>残疾人福利性单位声明函格式</w:t>
      </w:r>
    </w:p>
    <w:p>
      <w:pPr>
        <w:spacing w:line="588" w:lineRule="exact"/>
        <w:jc w:val="center"/>
        <w:rPr>
          <w:rFonts w:ascii="仿宋_GB2312" w:eastAsia="仿宋_GB2312"/>
          <w:b/>
          <w:color w:val="auto"/>
          <w:spacing w:val="6"/>
          <w:sz w:val="32"/>
          <w:szCs w:val="32"/>
        </w:rPr>
      </w:pPr>
      <w:bookmarkStart w:id="166" w:name="OLE_LINK13"/>
      <w:bookmarkStart w:id="167" w:name="OLE_LINK14"/>
    </w:p>
    <w:p>
      <w:pPr>
        <w:spacing w:line="588" w:lineRule="exact"/>
        <w:jc w:val="center"/>
        <w:rPr>
          <w:rFonts w:ascii="宋体" w:hAnsi="宋体"/>
          <w:b/>
          <w:color w:val="auto"/>
          <w:spacing w:val="6"/>
          <w:sz w:val="32"/>
          <w:szCs w:val="32"/>
        </w:rPr>
      </w:pPr>
      <w:r>
        <w:rPr>
          <w:rFonts w:hint="eastAsia" w:ascii="宋体" w:hAnsi="宋体"/>
          <w:b/>
          <w:color w:val="auto"/>
          <w:spacing w:val="6"/>
          <w:sz w:val="32"/>
          <w:szCs w:val="32"/>
        </w:rPr>
        <w:t>残疾人福利性单位声明函</w:t>
      </w:r>
    </w:p>
    <w:bookmarkEnd w:id="166"/>
    <w:bookmarkEnd w:id="167"/>
    <w:p>
      <w:pPr>
        <w:spacing w:line="588" w:lineRule="exact"/>
        <w:rPr>
          <w:rFonts w:ascii="仿宋_GB2312" w:eastAsia="仿宋_GB2312"/>
          <w:b/>
          <w:color w:val="auto"/>
          <w:spacing w:val="6"/>
          <w:sz w:val="30"/>
          <w:szCs w:val="30"/>
        </w:rPr>
      </w:pPr>
    </w:p>
    <w:p>
      <w:pPr>
        <w:spacing w:line="588" w:lineRule="exact"/>
        <w:ind w:firstLine="504" w:firstLineChars="200"/>
        <w:rPr>
          <w:rFonts w:ascii="宋体" w:hAnsi="宋体"/>
          <w:color w:val="auto"/>
          <w:spacing w:val="6"/>
          <w:sz w:val="24"/>
        </w:rPr>
      </w:pPr>
      <w:r>
        <w:rPr>
          <w:rFonts w:hint="eastAsia" w:ascii="宋体" w:hAnsi="宋体"/>
          <w:color w:val="auto"/>
          <w:spacing w:val="6"/>
          <w:sz w:val="24"/>
        </w:rPr>
        <w:t xml:space="preserve"> 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pacing w:val="6"/>
          <w:sz w:val="24"/>
          <w:u w:val="single"/>
        </w:rPr>
        <w:t xml:space="preserve">     （ 项目名称） </w:t>
      </w:r>
      <w:r>
        <w:rPr>
          <w:rFonts w:hint="eastAsia" w:ascii="宋体" w:hAnsi="宋体"/>
          <w:color w:val="auto"/>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auto"/>
          <w:spacing w:val="6"/>
          <w:sz w:val="24"/>
        </w:rPr>
      </w:pPr>
    </w:p>
    <w:p>
      <w:pPr>
        <w:spacing w:line="588" w:lineRule="exact"/>
        <w:ind w:firstLine="504" w:firstLineChars="200"/>
        <w:rPr>
          <w:rFonts w:ascii="宋体" w:hAnsi="宋体"/>
          <w:color w:val="auto"/>
          <w:spacing w:val="6"/>
          <w:sz w:val="24"/>
        </w:rPr>
      </w:pPr>
    </w:p>
    <w:p>
      <w:pPr>
        <w:tabs>
          <w:tab w:val="left" w:pos="4860"/>
        </w:tabs>
        <w:spacing w:line="588" w:lineRule="exact"/>
        <w:ind w:right="1560" w:firstLine="504" w:firstLineChars="200"/>
        <w:jc w:val="center"/>
        <w:rPr>
          <w:rFonts w:ascii="宋体" w:hAnsi="宋体"/>
          <w:color w:val="auto"/>
          <w:spacing w:val="6"/>
          <w:sz w:val="24"/>
        </w:rPr>
      </w:pPr>
      <w:r>
        <w:rPr>
          <w:rFonts w:hint="eastAsia" w:ascii="宋体" w:hAnsi="宋体"/>
          <w:color w:val="auto"/>
          <w:spacing w:val="6"/>
          <w:sz w:val="24"/>
        </w:rPr>
        <w:t>单位名称（电子签章）：</w:t>
      </w:r>
    </w:p>
    <w:p>
      <w:pPr>
        <w:tabs>
          <w:tab w:val="left" w:pos="4860"/>
        </w:tabs>
        <w:spacing w:line="588" w:lineRule="exact"/>
        <w:ind w:right="1560" w:firstLine="504" w:firstLineChars="200"/>
        <w:jc w:val="center"/>
        <w:rPr>
          <w:rFonts w:ascii="宋体" w:hAnsi="宋体"/>
          <w:color w:val="auto"/>
          <w:spacing w:val="6"/>
          <w:sz w:val="24"/>
        </w:rPr>
      </w:pPr>
      <w:r>
        <w:rPr>
          <w:rFonts w:hint="eastAsia" w:ascii="宋体" w:hAnsi="宋体"/>
          <w:color w:val="auto"/>
          <w:spacing w:val="6"/>
          <w:sz w:val="24"/>
        </w:rPr>
        <w:t>日  期：</w:t>
      </w: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r>
        <w:rPr>
          <w:rFonts w:hint="eastAsia" w:ascii="宋体" w:hAnsi="宋体"/>
          <w:color w:val="auto"/>
          <w:sz w:val="24"/>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center"/>
        <w:rPr>
          <w:rFonts w:ascii="宋体" w:hAnsi="宋体"/>
          <w:b/>
          <w:bCs/>
          <w:color w:val="auto"/>
          <w:sz w:val="32"/>
          <w:szCs w:val="32"/>
        </w:rPr>
      </w:pPr>
      <w:r>
        <w:rPr>
          <w:rFonts w:ascii="宋体" w:hAnsi="宋体"/>
          <w:color w:val="auto"/>
          <w:sz w:val="24"/>
        </w:rPr>
        <w:br w:type="page"/>
      </w:r>
      <w:r>
        <w:rPr>
          <w:rFonts w:hint="eastAsia" w:ascii="宋体" w:hAnsi="宋体"/>
          <w:b/>
          <w:bCs/>
          <w:color w:val="auto"/>
          <w:sz w:val="32"/>
          <w:szCs w:val="32"/>
        </w:rPr>
        <w:t>质疑函（格式）</w:t>
      </w:r>
    </w:p>
    <w:p>
      <w:pPr>
        <w:pStyle w:val="18"/>
        <w:snapToGrid w:val="0"/>
        <w:spacing w:line="360" w:lineRule="auto"/>
        <w:ind w:firstLine="482" w:firstLineChars="200"/>
        <w:rPr>
          <w:rFonts w:hAnsi="宋体"/>
          <w:b/>
          <w:bCs/>
          <w:color w:val="auto"/>
          <w:sz w:val="24"/>
          <w:szCs w:val="24"/>
        </w:rPr>
      </w:pPr>
      <w:r>
        <w:rPr>
          <w:rFonts w:hint="eastAsia" w:hAnsi="宋体"/>
          <w:b/>
          <w:bCs/>
          <w:color w:val="auto"/>
          <w:sz w:val="24"/>
          <w:szCs w:val="24"/>
        </w:rPr>
        <w:t>一、质疑供应商基本信息：</w:t>
      </w:r>
    </w:p>
    <w:p>
      <w:pPr>
        <w:pStyle w:val="18"/>
        <w:snapToGrid w:val="0"/>
        <w:spacing w:line="360" w:lineRule="auto"/>
        <w:ind w:firstLine="480" w:firstLineChars="200"/>
        <w:rPr>
          <w:rFonts w:hAnsi="宋体"/>
          <w:bCs/>
          <w:color w:val="auto"/>
          <w:sz w:val="24"/>
          <w:szCs w:val="24"/>
          <w:u w:val="single"/>
        </w:rPr>
      </w:pPr>
      <w:r>
        <w:rPr>
          <w:rFonts w:hint="eastAsia" w:hAnsi="宋体"/>
          <w:bCs/>
          <w:color w:val="auto"/>
          <w:sz w:val="24"/>
          <w:szCs w:val="24"/>
        </w:rPr>
        <w:t>质疑供应商：</w:t>
      </w:r>
      <w:r>
        <w:rPr>
          <w:rFonts w:hint="eastAsia" w:hAnsi="宋体"/>
          <w:bCs/>
          <w:color w:val="auto"/>
          <w:sz w:val="24"/>
          <w:szCs w:val="24"/>
          <w:u w:val="single"/>
        </w:rPr>
        <w:t xml:space="preserve">                                       </w:t>
      </w:r>
      <w:r>
        <w:rPr>
          <w:rFonts w:hint="eastAsia" w:hAnsi="宋体"/>
          <w:bCs/>
          <w:color w:val="auto"/>
          <w:sz w:val="24"/>
          <w:szCs w:val="24"/>
        </w:rPr>
        <w:t xml:space="preserve">                 </w:t>
      </w:r>
    </w:p>
    <w:p>
      <w:pPr>
        <w:pStyle w:val="18"/>
        <w:snapToGrid w:val="0"/>
        <w:spacing w:line="360" w:lineRule="auto"/>
        <w:ind w:firstLine="480" w:firstLineChars="200"/>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pPr>
        <w:pStyle w:val="18"/>
        <w:snapToGrid w:val="0"/>
        <w:spacing w:line="360" w:lineRule="auto"/>
        <w:ind w:firstLine="480" w:firstLineChars="200"/>
        <w:rPr>
          <w:rFonts w:hAnsi="宋体"/>
          <w:bCs/>
          <w:color w:val="auto"/>
          <w:sz w:val="24"/>
          <w:szCs w:val="24"/>
        </w:rPr>
      </w:pPr>
      <w:r>
        <w:rPr>
          <w:rFonts w:hAnsi="宋体"/>
          <w:bCs/>
          <w:color w:val="auto"/>
          <w:sz w:val="24"/>
          <w:szCs w:val="24"/>
        </w:rPr>
        <w:t>联系人</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联系电话</w:t>
      </w:r>
      <w:r>
        <w:rPr>
          <w:rFonts w:hint="eastAsia" w:hAnsi="宋体"/>
          <w:bCs/>
          <w:color w:val="auto"/>
          <w:sz w:val="24"/>
          <w:szCs w:val="24"/>
        </w:rPr>
        <w:t>：</w:t>
      </w:r>
      <w:r>
        <w:rPr>
          <w:rFonts w:hint="eastAsia" w:hAnsi="宋体"/>
          <w:bCs/>
          <w:color w:val="auto"/>
          <w:sz w:val="24"/>
          <w:szCs w:val="24"/>
          <w:u w:val="single"/>
        </w:rPr>
        <w:t xml:space="preserve">                 </w:t>
      </w:r>
    </w:p>
    <w:p>
      <w:pPr>
        <w:pStyle w:val="18"/>
        <w:snapToGrid w:val="0"/>
        <w:spacing w:line="360" w:lineRule="auto"/>
        <w:ind w:firstLine="480" w:firstLineChars="200"/>
        <w:rPr>
          <w:rFonts w:hAnsi="宋体"/>
          <w:bCs/>
          <w:color w:val="auto"/>
          <w:sz w:val="24"/>
          <w:szCs w:val="24"/>
        </w:rPr>
      </w:pPr>
      <w:r>
        <w:rPr>
          <w:rFonts w:hint="eastAsia" w:hAnsi="宋体"/>
          <w:bCs/>
          <w:color w:val="auto"/>
          <w:sz w:val="24"/>
          <w:szCs w:val="24"/>
        </w:rPr>
        <w:t>授权代表：</w:t>
      </w:r>
      <w:r>
        <w:rPr>
          <w:rFonts w:hint="eastAsia" w:hAnsi="宋体"/>
          <w:bCs/>
          <w:color w:val="auto"/>
          <w:sz w:val="24"/>
          <w:szCs w:val="24"/>
          <w:u w:val="single"/>
        </w:rPr>
        <w:t xml:space="preserve">                      </w:t>
      </w:r>
    </w:p>
    <w:p>
      <w:pPr>
        <w:pStyle w:val="18"/>
        <w:snapToGrid w:val="0"/>
        <w:spacing w:line="360" w:lineRule="auto"/>
        <w:ind w:firstLine="480" w:firstLineChars="200"/>
        <w:rPr>
          <w:rFonts w:hAnsi="宋体"/>
          <w:bCs/>
          <w:color w:val="auto"/>
          <w:sz w:val="24"/>
          <w:szCs w:val="24"/>
          <w:u w:val="single"/>
        </w:rPr>
      </w:pP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pPr>
        <w:pStyle w:val="18"/>
        <w:snapToGrid w:val="0"/>
        <w:spacing w:line="360" w:lineRule="auto"/>
        <w:ind w:firstLine="480" w:firstLineChars="200"/>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pPr>
        <w:pStyle w:val="18"/>
        <w:snapToGrid w:val="0"/>
        <w:spacing w:line="360" w:lineRule="auto"/>
        <w:ind w:firstLine="482" w:firstLineChars="200"/>
        <w:rPr>
          <w:rFonts w:hAnsi="宋体"/>
          <w:b/>
          <w:bCs/>
          <w:color w:val="auto"/>
          <w:sz w:val="24"/>
          <w:szCs w:val="24"/>
        </w:rPr>
      </w:pPr>
      <w:r>
        <w:rPr>
          <w:rFonts w:hint="eastAsia" w:hAnsi="宋体"/>
          <w:b/>
          <w:bCs/>
          <w:color w:val="auto"/>
          <w:sz w:val="24"/>
          <w:szCs w:val="24"/>
        </w:rPr>
        <w:t>二、质疑项目基本情况：</w:t>
      </w:r>
    </w:p>
    <w:p>
      <w:pPr>
        <w:pStyle w:val="18"/>
        <w:spacing w:line="360" w:lineRule="auto"/>
        <w:ind w:left="25" w:leftChars="12" w:firstLine="472" w:firstLineChars="197"/>
        <w:rPr>
          <w:rFonts w:hAnsi="宋体"/>
          <w:color w:val="auto"/>
          <w:sz w:val="24"/>
          <w:szCs w:val="24"/>
        </w:rPr>
      </w:pPr>
      <w:r>
        <w:rPr>
          <w:rFonts w:hint="eastAsia" w:hAnsi="宋体"/>
          <w:bCs/>
          <w:color w:val="auto"/>
          <w:sz w:val="24"/>
          <w:szCs w:val="24"/>
        </w:rPr>
        <w:t>质疑</w:t>
      </w:r>
      <w:r>
        <w:rPr>
          <w:rFonts w:hint="eastAsia" w:hAnsi="宋体"/>
          <w:color w:val="auto"/>
          <w:sz w:val="24"/>
          <w:szCs w:val="24"/>
        </w:rPr>
        <w:t>项目的名称：</w:t>
      </w:r>
      <w:r>
        <w:rPr>
          <w:rFonts w:hint="eastAsia" w:hAnsi="宋体"/>
          <w:bCs/>
          <w:color w:val="auto"/>
          <w:sz w:val="24"/>
          <w:szCs w:val="24"/>
          <w:u w:val="single"/>
        </w:rPr>
        <w:t xml:space="preserve">                                     </w:t>
      </w:r>
    </w:p>
    <w:p>
      <w:pPr>
        <w:pStyle w:val="18"/>
        <w:spacing w:line="360" w:lineRule="auto"/>
        <w:ind w:left="25" w:leftChars="12" w:firstLine="472" w:firstLineChars="197"/>
        <w:rPr>
          <w:rFonts w:hAnsi="宋体"/>
          <w:color w:val="auto"/>
          <w:sz w:val="24"/>
          <w:szCs w:val="24"/>
        </w:rPr>
      </w:pPr>
      <w:r>
        <w:rPr>
          <w:rFonts w:hint="eastAsia" w:hAnsi="宋体"/>
          <w:bCs/>
          <w:color w:val="auto"/>
          <w:sz w:val="24"/>
          <w:szCs w:val="24"/>
        </w:rPr>
        <w:t>质疑</w:t>
      </w:r>
      <w:r>
        <w:rPr>
          <w:rFonts w:hint="eastAsia" w:hAnsi="宋体"/>
          <w:color w:val="auto"/>
          <w:sz w:val="24"/>
          <w:szCs w:val="24"/>
        </w:rPr>
        <w:t>项目的编号：</w:t>
      </w:r>
      <w:r>
        <w:rPr>
          <w:rFonts w:hint="eastAsia" w:hAnsi="宋体"/>
          <w:bCs/>
          <w:color w:val="auto"/>
          <w:sz w:val="24"/>
          <w:szCs w:val="24"/>
          <w:u w:val="single"/>
        </w:rPr>
        <w:t xml:space="preserve">                                     </w:t>
      </w:r>
    </w:p>
    <w:p>
      <w:pPr>
        <w:pStyle w:val="18"/>
        <w:spacing w:line="360" w:lineRule="auto"/>
        <w:ind w:left="25" w:leftChars="12" w:firstLine="472" w:firstLineChars="197"/>
        <w:rPr>
          <w:rFonts w:hAnsi="宋体"/>
          <w:color w:val="auto"/>
          <w:sz w:val="24"/>
          <w:szCs w:val="24"/>
        </w:rPr>
      </w:pPr>
      <w:r>
        <w:rPr>
          <w:rFonts w:hint="eastAsia" w:hAnsi="宋体"/>
          <w:color w:val="auto"/>
          <w:sz w:val="24"/>
          <w:szCs w:val="24"/>
        </w:rPr>
        <w:t>采购人名称：</w:t>
      </w:r>
      <w:r>
        <w:rPr>
          <w:rFonts w:hint="eastAsia" w:hAnsi="宋体"/>
          <w:bCs/>
          <w:color w:val="auto"/>
          <w:sz w:val="24"/>
          <w:szCs w:val="24"/>
          <w:u w:val="single"/>
        </w:rPr>
        <w:t xml:space="preserve">                                         </w:t>
      </w:r>
    </w:p>
    <w:p>
      <w:pPr>
        <w:pStyle w:val="18"/>
        <w:spacing w:line="360" w:lineRule="auto"/>
        <w:ind w:left="25" w:leftChars="12" w:firstLine="472" w:firstLineChars="197"/>
        <w:rPr>
          <w:rFonts w:hAnsi="宋体"/>
          <w:color w:val="auto"/>
          <w:sz w:val="24"/>
          <w:szCs w:val="24"/>
        </w:rPr>
      </w:pPr>
      <w:r>
        <w:rPr>
          <w:rFonts w:hint="eastAsia" w:hAnsi="宋体"/>
          <w:color w:val="auto"/>
          <w:sz w:val="24"/>
          <w:szCs w:val="24"/>
        </w:rPr>
        <w:t>质疑事项：</w:t>
      </w:r>
    </w:p>
    <w:p>
      <w:pPr>
        <w:pStyle w:val="18"/>
        <w:spacing w:line="360" w:lineRule="auto"/>
        <w:ind w:left="25" w:leftChars="12" w:firstLine="352" w:firstLineChars="147"/>
        <w:rPr>
          <w:rFonts w:hAnsi="宋体"/>
          <w:color w:val="auto"/>
          <w:sz w:val="24"/>
          <w:szCs w:val="24"/>
        </w:rPr>
      </w:pPr>
      <w:r>
        <w:rPr>
          <w:rFonts w:hint="eastAsia" w:hAnsi="宋体"/>
          <w:color w:val="auto"/>
          <w:sz w:val="24"/>
          <w:szCs w:val="24"/>
        </w:rPr>
        <w:t>□招标文件   招标文件获取日期：</w:t>
      </w:r>
      <w:r>
        <w:rPr>
          <w:rFonts w:hint="eastAsia" w:hAnsi="宋体"/>
          <w:bCs/>
          <w:color w:val="auto"/>
          <w:sz w:val="24"/>
          <w:szCs w:val="24"/>
          <w:u w:val="single"/>
        </w:rPr>
        <w:t xml:space="preserve">                                   </w:t>
      </w:r>
    </w:p>
    <w:p>
      <w:pPr>
        <w:pStyle w:val="18"/>
        <w:spacing w:line="360" w:lineRule="auto"/>
        <w:ind w:left="25" w:leftChars="12" w:firstLine="352" w:firstLineChars="147"/>
        <w:rPr>
          <w:rFonts w:hAnsi="宋体"/>
          <w:color w:val="auto"/>
          <w:sz w:val="24"/>
          <w:szCs w:val="24"/>
        </w:rPr>
      </w:pPr>
      <w:r>
        <w:rPr>
          <w:rFonts w:hint="eastAsia" w:hAnsi="宋体"/>
          <w:color w:val="auto"/>
          <w:sz w:val="24"/>
          <w:szCs w:val="24"/>
        </w:rPr>
        <w:t xml:space="preserve">□采购过程   </w:t>
      </w:r>
    </w:p>
    <w:p>
      <w:pPr>
        <w:pStyle w:val="18"/>
        <w:spacing w:line="360" w:lineRule="auto"/>
        <w:ind w:left="25" w:leftChars="12" w:firstLine="352" w:firstLineChars="147"/>
        <w:rPr>
          <w:rFonts w:hAnsi="宋体"/>
          <w:bCs/>
          <w:color w:val="auto"/>
          <w:sz w:val="24"/>
          <w:szCs w:val="24"/>
          <w:u w:val="single"/>
        </w:rPr>
      </w:pPr>
      <w:r>
        <w:rPr>
          <w:rFonts w:hint="eastAsia" w:hAnsi="宋体"/>
          <w:color w:val="auto"/>
          <w:sz w:val="24"/>
          <w:szCs w:val="24"/>
        </w:rPr>
        <w:t xml:space="preserve">□中标结果   </w:t>
      </w:r>
    </w:p>
    <w:p>
      <w:pPr>
        <w:pStyle w:val="18"/>
        <w:spacing w:line="360" w:lineRule="auto"/>
        <w:ind w:left="25" w:leftChars="12" w:firstLine="472" w:firstLineChars="196"/>
        <w:rPr>
          <w:rFonts w:hAnsi="宋体"/>
          <w:b/>
          <w:color w:val="auto"/>
          <w:sz w:val="24"/>
          <w:szCs w:val="24"/>
        </w:rPr>
      </w:pPr>
      <w:r>
        <w:rPr>
          <w:rFonts w:hint="eastAsia" w:hAnsi="宋体"/>
          <w:b/>
          <w:color w:val="auto"/>
          <w:sz w:val="24"/>
          <w:szCs w:val="24"/>
        </w:rPr>
        <w:t>三、质疑事项具体内容</w:t>
      </w:r>
    </w:p>
    <w:p>
      <w:pPr>
        <w:pStyle w:val="18"/>
        <w:spacing w:line="360" w:lineRule="auto"/>
        <w:ind w:left="25" w:leftChars="12" w:firstLine="472" w:firstLineChars="197"/>
        <w:rPr>
          <w:rFonts w:hAnsi="宋体"/>
          <w:color w:val="auto"/>
          <w:sz w:val="24"/>
          <w:szCs w:val="24"/>
        </w:rPr>
      </w:pPr>
      <w:r>
        <w:rPr>
          <w:rFonts w:hint="eastAsia" w:hAnsi="宋体"/>
          <w:color w:val="auto"/>
          <w:sz w:val="24"/>
          <w:szCs w:val="24"/>
        </w:rPr>
        <w:t>质疑事项1：</w:t>
      </w:r>
      <w:r>
        <w:rPr>
          <w:rFonts w:hint="eastAsia" w:hAnsi="宋体"/>
          <w:bCs/>
          <w:color w:val="auto"/>
          <w:sz w:val="24"/>
          <w:szCs w:val="24"/>
          <w:u w:val="single"/>
        </w:rPr>
        <w:t xml:space="preserve">                                                                    </w:t>
      </w:r>
    </w:p>
    <w:p>
      <w:pPr>
        <w:pStyle w:val="18"/>
        <w:spacing w:line="360" w:lineRule="auto"/>
        <w:ind w:left="25" w:leftChars="12" w:firstLine="472" w:firstLineChars="197"/>
        <w:rPr>
          <w:rFonts w:hAnsi="宋体"/>
          <w:color w:val="auto"/>
          <w:sz w:val="24"/>
          <w:szCs w:val="24"/>
        </w:rPr>
      </w:pPr>
      <w:r>
        <w:rPr>
          <w:rFonts w:hint="eastAsia" w:hAnsi="宋体"/>
          <w:color w:val="auto"/>
          <w:sz w:val="24"/>
          <w:szCs w:val="24"/>
        </w:rPr>
        <w:t>事实依据：</w:t>
      </w:r>
      <w:r>
        <w:rPr>
          <w:rFonts w:hint="eastAsia" w:hAnsi="宋体"/>
          <w:bCs/>
          <w:color w:val="auto"/>
          <w:sz w:val="24"/>
          <w:szCs w:val="24"/>
          <w:u w:val="single"/>
        </w:rPr>
        <w:t xml:space="preserve">                                                                      </w:t>
      </w:r>
    </w:p>
    <w:p>
      <w:pPr>
        <w:pStyle w:val="18"/>
        <w:spacing w:line="360" w:lineRule="auto"/>
        <w:ind w:left="25" w:leftChars="12" w:firstLine="472" w:firstLineChars="197"/>
        <w:rPr>
          <w:rFonts w:hAnsi="宋体"/>
          <w:color w:val="auto"/>
          <w:sz w:val="24"/>
          <w:szCs w:val="24"/>
        </w:rPr>
      </w:pPr>
      <w:r>
        <w:rPr>
          <w:rFonts w:hint="eastAsia" w:hAnsi="宋体"/>
          <w:color w:val="auto"/>
          <w:sz w:val="24"/>
          <w:szCs w:val="24"/>
        </w:rPr>
        <w:t>法律依据：</w:t>
      </w:r>
      <w:r>
        <w:rPr>
          <w:rFonts w:hint="eastAsia" w:hAnsi="宋体"/>
          <w:color w:val="auto"/>
          <w:sz w:val="24"/>
          <w:szCs w:val="24"/>
          <w:u w:val="single"/>
        </w:rPr>
        <w:t xml:space="preserve">                                                        </w:t>
      </w:r>
      <w:r>
        <w:rPr>
          <w:rFonts w:hint="eastAsia" w:hAnsi="宋体"/>
          <w:bCs/>
          <w:color w:val="auto"/>
          <w:sz w:val="24"/>
          <w:szCs w:val="24"/>
          <w:u w:val="single"/>
        </w:rPr>
        <w:t xml:space="preserve">               </w:t>
      </w:r>
    </w:p>
    <w:p>
      <w:pPr>
        <w:pStyle w:val="18"/>
        <w:spacing w:line="360" w:lineRule="auto"/>
        <w:ind w:left="25" w:leftChars="12" w:firstLine="472" w:firstLineChars="197"/>
        <w:rPr>
          <w:rFonts w:hAnsi="宋体"/>
          <w:color w:val="auto"/>
          <w:sz w:val="24"/>
          <w:szCs w:val="24"/>
        </w:rPr>
      </w:pPr>
      <w:r>
        <w:rPr>
          <w:rFonts w:hint="eastAsia" w:hAnsi="宋体"/>
          <w:color w:val="auto"/>
          <w:sz w:val="24"/>
          <w:szCs w:val="24"/>
        </w:rPr>
        <w:t>质疑事项2</w:t>
      </w:r>
    </w:p>
    <w:p>
      <w:pPr>
        <w:pStyle w:val="18"/>
        <w:spacing w:line="360" w:lineRule="auto"/>
        <w:ind w:left="25" w:leftChars="12" w:firstLine="472" w:firstLineChars="197"/>
        <w:rPr>
          <w:rFonts w:hAnsi="宋体"/>
          <w:color w:val="auto"/>
          <w:sz w:val="24"/>
          <w:szCs w:val="24"/>
        </w:rPr>
      </w:pPr>
      <w:r>
        <w:rPr>
          <w:rFonts w:hAnsi="宋体"/>
          <w:color w:val="auto"/>
          <w:sz w:val="24"/>
          <w:szCs w:val="24"/>
        </w:rPr>
        <w:t>……</w:t>
      </w:r>
    </w:p>
    <w:p>
      <w:pPr>
        <w:pStyle w:val="18"/>
        <w:spacing w:line="360" w:lineRule="auto"/>
        <w:ind w:left="25" w:leftChars="12" w:firstLine="472" w:firstLineChars="197"/>
        <w:rPr>
          <w:rFonts w:hAnsi="宋体"/>
          <w:color w:val="auto"/>
          <w:sz w:val="24"/>
          <w:szCs w:val="24"/>
        </w:rPr>
      </w:pPr>
      <w:r>
        <w:rPr>
          <w:rFonts w:hint="eastAsia" w:hAnsi="宋体"/>
          <w:color w:val="auto"/>
          <w:sz w:val="24"/>
          <w:szCs w:val="24"/>
        </w:rPr>
        <w:t>四、与质疑事项相关的质疑请求：</w:t>
      </w:r>
    </w:p>
    <w:p>
      <w:pPr>
        <w:pStyle w:val="18"/>
        <w:spacing w:line="360" w:lineRule="auto"/>
        <w:ind w:left="25" w:leftChars="12" w:firstLine="472" w:firstLineChars="197"/>
        <w:rPr>
          <w:rFonts w:hAnsi="宋体"/>
          <w:color w:val="auto"/>
          <w:sz w:val="24"/>
          <w:szCs w:val="24"/>
        </w:rPr>
      </w:pPr>
      <w:r>
        <w:rPr>
          <w:rFonts w:hint="eastAsia" w:hAnsi="宋体"/>
          <w:color w:val="auto"/>
          <w:sz w:val="24"/>
          <w:szCs w:val="24"/>
        </w:rPr>
        <w:t>请求：</w:t>
      </w:r>
      <w:r>
        <w:rPr>
          <w:rFonts w:hint="eastAsia" w:hAnsi="宋体"/>
          <w:bCs/>
          <w:color w:val="auto"/>
          <w:sz w:val="24"/>
          <w:szCs w:val="24"/>
          <w:u w:val="single"/>
        </w:rPr>
        <w:t xml:space="preserve">                                                                </w:t>
      </w:r>
    </w:p>
    <w:p>
      <w:pPr>
        <w:pStyle w:val="18"/>
        <w:spacing w:line="360" w:lineRule="auto"/>
        <w:ind w:left="25" w:leftChars="12" w:firstLine="352" w:firstLineChars="147"/>
        <w:rPr>
          <w:rFonts w:hAnsi="宋体"/>
          <w:color w:val="auto"/>
          <w:sz w:val="24"/>
          <w:szCs w:val="24"/>
        </w:rPr>
      </w:pPr>
    </w:p>
    <w:p>
      <w:pPr>
        <w:pStyle w:val="18"/>
        <w:spacing w:line="360" w:lineRule="auto"/>
        <w:ind w:left="25" w:leftChars="12" w:firstLine="472" w:firstLineChars="197"/>
        <w:rPr>
          <w:rFonts w:hAnsi="宋体"/>
          <w:color w:val="auto"/>
          <w:sz w:val="24"/>
          <w:szCs w:val="24"/>
        </w:rPr>
      </w:pPr>
      <w:r>
        <w:rPr>
          <w:rFonts w:hint="eastAsia" w:hAnsi="宋体"/>
          <w:color w:val="auto"/>
          <w:sz w:val="24"/>
          <w:szCs w:val="24"/>
        </w:rPr>
        <w:t>签字（签章）：                                       公章：</w:t>
      </w:r>
    </w:p>
    <w:p>
      <w:pPr>
        <w:pStyle w:val="18"/>
        <w:spacing w:line="360" w:lineRule="auto"/>
        <w:ind w:left="25" w:leftChars="12" w:firstLine="352" w:firstLineChars="147"/>
        <w:rPr>
          <w:rFonts w:hAnsi="宋体"/>
          <w:color w:val="auto"/>
          <w:sz w:val="24"/>
          <w:szCs w:val="24"/>
        </w:rPr>
      </w:pPr>
    </w:p>
    <w:p>
      <w:pPr>
        <w:pStyle w:val="18"/>
        <w:spacing w:line="360" w:lineRule="auto"/>
        <w:ind w:left="25" w:leftChars="12" w:firstLine="472" w:firstLineChars="197"/>
        <w:rPr>
          <w:rFonts w:hAnsi="宋体"/>
          <w:color w:val="auto"/>
          <w:sz w:val="24"/>
          <w:szCs w:val="24"/>
        </w:rPr>
      </w:pPr>
      <w:r>
        <w:rPr>
          <w:rFonts w:hint="eastAsia" w:hAnsi="宋体"/>
          <w:color w:val="auto"/>
          <w:sz w:val="24"/>
          <w:szCs w:val="24"/>
        </w:rPr>
        <w:t>日期：</w:t>
      </w:r>
    </w:p>
    <w:p>
      <w:pPr>
        <w:pStyle w:val="18"/>
        <w:snapToGrid w:val="0"/>
        <w:spacing w:line="360" w:lineRule="auto"/>
        <w:rPr>
          <w:rFonts w:hAnsi="宋体"/>
          <w:b/>
          <w:color w:val="auto"/>
          <w:sz w:val="24"/>
          <w:szCs w:val="24"/>
        </w:rPr>
      </w:pPr>
    </w:p>
    <w:p>
      <w:pPr>
        <w:pStyle w:val="18"/>
        <w:snapToGrid w:val="0"/>
        <w:spacing w:line="360" w:lineRule="auto"/>
        <w:rPr>
          <w:rFonts w:hAnsi="宋体"/>
          <w:b/>
          <w:color w:val="auto"/>
          <w:sz w:val="24"/>
          <w:szCs w:val="24"/>
        </w:rPr>
      </w:pPr>
      <w:r>
        <w:rPr>
          <w:rFonts w:hint="eastAsia" w:hAnsi="宋体"/>
          <w:b/>
          <w:color w:val="auto"/>
          <w:sz w:val="24"/>
          <w:szCs w:val="24"/>
        </w:rPr>
        <w:t>说明：</w:t>
      </w:r>
    </w:p>
    <w:p>
      <w:pPr>
        <w:pStyle w:val="18"/>
        <w:spacing w:line="360" w:lineRule="auto"/>
        <w:ind w:left="25" w:leftChars="12" w:firstLine="354" w:firstLineChars="147"/>
        <w:rPr>
          <w:rFonts w:hAnsi="宋体"/>
          <w:b/>
          <w:bCs/>
          <w:color w:val="auto"/>
          <w:sz w:val="24"/>
          <w:szCs w:val="24"/>
        </w:rPr>
      </w:pPr>
      <w:r>
        <w:rPr>
          <w:rFonts w:hint="eastAsia" w:hAnsi="宋体"/>
          <w:b/>
          <w:color w:val="auto"/>
          <w:sz w:val="24"/>
          <w:szCs w:val="24"/>
        </w:rPr>
        <w:t>1.供应商提出质疑时，应提交质疑函和必要的证明材料</w:t>
      </w:r>
      <w:r>
        <w:rPr>
          <w:rFonts w:hint="eastAsia" w:hAnsi="宋体"/>
          <w:b/>
          <w:bCs/>
          <w:color w:val="auto"/>
          <w:sz w:val="24"/>
          <w:szCs w:val="24"/>
        </w:rPr>
        <w:t>。</w:t>
      </w:r>
    </w:p>
    <w:p>
      <w:pPr>
        <w:pStyle w:val="18"/>
        <w:spacing w:line="360" w:lineRule="auto"/>
        <w:ind w:left="25" w:leftChars="12" w:firstLine="354" w:firstLineChars="147"/>
        <w:rPr>
          <w:rFonts w:hAnsi="宋体"/>
          <w:b/>
          <w:color w:val="auto"/>
          <w:sz w:val="24"/>
          <w:szCs w:val="24"/>
        </w:rPr>
      </w:pPr>
      <w:r>
        <w:rPr>
          <w:rFonts w:hint="eastAsia" w:hAnsi="宋体"/>
          <w:b/>
          <w:color w:val="auto"/>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8"/>
        <w:spacing w:line="360" w:lineRule="auto"/>
        <w:ind w:left="25" w:leftChars="12" w:firstLine="354" w:firstLineChars="147"/>
        <w:rPr>
          <w:rFonts w:hAnsi="宋体"/>
          <w:b/>
          <w:color w:val="auto"/>
          <w:sz w:val="24"/>
          <w:szCs w:val="24"/>
        </w:rPr>
      </w:pPr>
      <w:r>
        <w:rPr>
          <w:rFonts w:hint="eastAsia" w:hAnsi="宋体"/>
          <w:b/>
          <w:color w:val="auto"/>
          <w:sz w:val="24"/>
          <w:szCs w:val="24"/>
        </w:rPr>
        <w:t>3.质疑函的质疑事项应具体、明确，并有必要的事实依据和法律依据。</w:t>
      </w:r>
    </w:p>
    <w:p>
      <w:pPr>
        <w:pStyle w:val="18"/>
        <w:spacing w:line="360" w:lineRule="auto"/>
        <w:ind w:left="25" w:leftChars="12" w:firstLine="354" w:firstLineChars="147"/>
        <w:rPr>
          <w:rFonts w:hAnsi="宋体"/>
          <w:b/>
          <w:color w:val="auto"/>
          <w:sz w:val="24"/>
          <w:szCs w:val="24"/>
        </w:rPr>
      </w:pPr>
      <w:r>
        <w:rPr>
          <w:rFonts w:hint="eastAsia" w:hAnsi="宋体"/>
          <w:b/>
          <w:color w:val="auto"/>
          <w:sz w:val="24"/>
          <w:szCs w:val="24"/>
        </w:rPr>
        <w:t>4.质疑函的质疑请求应与质疑事项相关。</w:t>
      </w:r>
    </w:p>
    <w:p>
      <w:pPr>
        <w:pStyle w:val="18"/>
        <w:spacing w:line="360" w:lineRule="auto"/>
        <w:ind w:left="25" w:leftChars="12" w:firstLine="354" w:firstLineChars="147"/>
        <w:rPr>
          <w:rFonts w:hAnsi="宋体"/>
          <w:b/>
          <w:color w:val="auto"/>
        </w:rPr>
      </w:pPr>
      <w:r>
        <w:rPr>
          <w:rFonts w:hint="eastAsia" w:hAnsi="宋体"/>
          <w:b/>
          <w:color w:val="auto"/>
          <w:sz w:val="24"/>
          <w:szCs w:val="24"/>
        </w:rPr>
        <w:t>5.质疑供应商为法人或者其他组织的，质疑函应由法定代表人、主要负责人，或者其授权代表签字或者盖章，并加盖公章。</w:t>
      </w:r>
    </w:p>
    <w:p>
      <w:pPr>
        <w:pStyle w:val="18"/>
        <w:snapToGrid w:val="0"/>
        <w:rPr>
          <w:b/>
          <w:color w:val="auto"/>
          <w:sz w:val="24"/>
          <w:szCs w:val="24"/>
        </w:rPr>
      </w:pPr>
    </w:p>
    <w:p>
      <w:pPr>
        <w:spacing w:line="460" w:lineRule="exact"/>
        <w:jc w:val="center"/>
        <w:rPr>
          <w:rFonts w:eastAsia="隶书"/>
          <w:color w:val="auto"/>
          <w:sz w:val="44"/>
        </w:rPr>
      </w:pPr>
      <w:r>
        <w:rPr>
          <w:rFonts w:eastAsia="隶书"/>
          <w:color w:val="auto"/>
          <w:sz w:val="44"/>
        </w:rPr>
        <w:br w:type="page"/>
      </w:r>
    </w:p>
    <w:p>
      <w:pPr>
        <w:spacing w:line="360" w:lineRule="auto"/>
        <w:jc w:val="center"/>
        <w:rPr>
          <w:rFonts w:ascii="宋体" w:hAnsi="宋体"/>
          <w:b/>
          <w:bCs/>
          <w:color w:val="auto"/>
          <w:sz w:val="32"/>
          <w:szCs w:val="32"/>
        </w:rPr>
      </w:pPr>
      <w:r>
        <w:rPr>
          <w:rFonts w:hint="eastAsia" w:ascii="宋体" w:hAnsi="宋体"/>
          <w:b/>
          <w:bCs/>
          <w:color w:val="auto"/>
          <w:sz w:val="32"/>
          <w:szCs w:val="32"/>
        </w:rPr>
        <w:t>投诉书（格式）</w:t>
      </w:r>
    </w:p>
    <w:p>
      <w:pPr>
        <w:pStyle w:val="18"/>
        <w:snapToGrid w:val="0"/>
        <w:spacing w:line="360" w:lineRule="auto"/>
        <w:ind w:firstLine="482" w:firstLineChars="200"/>
        <w:rPr>
          <w:rFonts w:hAnsi="宋体"/>
          <w:b/>
          <w:bCs/>
          <w:color w:val="auto"/>
          <w:sz w:val="24"/>
          <w:szCs w:val="24"/>
        </w:rPr>
      </w:pPr>
      <w:r>
        <w:rPr>
          <w:rFonts w:hint="eastAsia" w:hAnsi="宋体"/>
          <w:b/>
          <w:bCs/>
          <w:color w:val="auto"/>
          <w:sz w:val="24"/>
          <w:szCs w:val="24"/>
        </w:rPr>
        <w:t>一、投诉相关主体基本情况：</w:t>
      </w:r>
    </w:p>
    <w:p>
      <w:pPr>
        <w:pStyle w:val="18"/>
        <w:snapToGrid w:val="0"/>
        <w:spacing w:line="360" w:lineRule="auto"/>
        <w:ind w:firstLine="480" w:firstLineChars="200"/>
        <w:rPr>
          <w:rFonts w:hAnsi="宋体"/>
          <w:bCs/>
          <w:color w:val="auto"/>
          <w:sz w:val="24"/>
          <w:szCs w:val="24"/>
          <w:u w:val="single"/>
        </w:rPr>
      </w:pPr>
      <w:r>
        <w:rPr>
          <w:rFonts w:hint="eastAsia" w:hAnsi="宋体"/>
          <w:bCs/>
          <w:color w:val="auto"/>
          <w:sz w:val="24"/>
          <w:szCs w:val="24"/>
        </w:rPr>
        <w:t>投标人：</w:t>
      </w:r>
      <w:r>
        <w:rPr>
          <w:rFonts w:hint="eastAsia" w:hAnsi="宋体"/>
          <w:bCs/>
          <w:color w:val="auto"/>
          <w:sz w:val="24"/>
          <w:szCs w:val="24"/>
          <w:u w:val="single"/>
        </w:rPr>
        <w:t xml:space="preserve">                                                                       </w:t>
      </w:r>
    </w:p>
    <w:p>
      <w:pPr>
        <w:pStyle w:val="18"/>
        <w:snapToGrid w:val="0"/>
        <w:spacing w:line="360" w:lineRule="auto"/>
        <w:ind w:firstLine="480" w:firstLineChars="200"/>
        <w:rPr>
          <w:rFonts w:hAnsi="宋体"/>
          <w:bCs/>
          <w:color w:val="auto"/>
          <w:sz w:val="24"/>
          <w:szCs w:val="24"/>
          <w:u w:val="single"/>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p>
    <w:p>
      <w:pPr>
        <w:pStyle w:val="18"/>
        <w:snapToGrid w:val="0"/>
        <w:spacing w:line="360" w:lineRule="auto"/>
        <w:ind w:firstLine="480" w:firstLineChars="200"/>
        <w:rPr>
          <w:rFonts w:hAnsi="宋体"/>
          <w:bCs/>
          <w:color w:val="auto"/>
          <w:sz w:val="24"/>
          <w:szCs w:val="24"/>
        </w:rPr>
      </w:pP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pPr>
        <w:pStyle w:val="18"/>
        <w:snapToGrid w:val="0"/>
        <w:spacing w:line="360" w:lineRule="auto"/>
        <w:ind w:firstLine="480" w:firstLineChars="200"/>
        <w:rPr>
          <w:rFonts w:hAnsi="宋体"/>
          <w:bCs/>
          <w:color w:val="auto"/>
          <w:sz w:val="24"/>
          <w:szCs w:val="24"/>
          <w:u w:val="single"/>
        </w:rPr>
      </w:pPr>
      <w:r>
        <w:rPr>
          <w:rFonts w:hint="eastAsia" w:hAnsi="宋体"/>
          <w:bCs/>
          <w:color w:val="auto"/>
          <w:sz w:val="24"/>
          <w:szCs w:val="24"/>
        </w:rPr>
        <w:t>法定代表人/主要负责人：</w:t>
      </w:r>
      <w:r>
        <w:rPr>
          <w:rFonts w:hint="eastAsia" w:hAnsi="宋体"/>
          <w:bCs/>
          <w:color w:val="auto"/>
          <w:sz w:val="24"/>
          <w:szCs w:val="24"/>
          <w:u w:val="single"/>
        </w:rPr>
        <w:t xml:space="preserve">                                                        </w:t>
      </w:r>
    </w:p>
    <w:p>
      <w:pPr>
        <w:pStyle w:val="18"/>
        <w:snapToGrid w:val="0"/>
        <w:spacing w:line="360" w:lineRule="auto"/>
        <w:ind w:firstLine="480" w:firstLineChars="200"/>
        <w:rPr>
          <w:rFonts w:hAnsi="宋体"/>
          <w:bCs/>
          <w:color w:val="auto"/>
          <w:sz w:val="24"/>
          <w:szCs w:val="24"/>
        </w:rPr>
      </w:pPr>
      <w:r>
        <w:rPr>
          <w:rFonts w:hAnsi="宋体"/>
          <w:bCs/>
          <w:color w:val="auto"/>
          <w:sz w:val="24"/>
          <w:szCs w:val="24"/>
        </w:rPr>
        <w:t>联系电话</w:t>
      </w:r>
      <w:r>
        <w:rPr>
          <w:rFonts w:hint="eastAsia" w:hAnsi="宋体"/>
          <w:bCs/>
          <w:color w:val="auto"/>
          <w:sz w:val="24"/>
          <w:szCs w:val="24"/>
        </w:rPr>
        <w:t>：</w:t>
      </w:r>
      <w:r>
        <w:rPr>
          <w:rFonts w:hint="eastAsia" w:hAnsi="宋体"/>
          <w:bCs/>
          <w:color w:val="auto"/>
          <w:sz w:val="24"/>
          <w:szCs w:val="24"/>
          <w:u w:val="single"/>
        </w:rPr>
        <w:t xml:space="preserve">                                         </w:t>
      </w:r>
    </w:p>
    <w:p>
      <w:pPr>
        <w:pStyle w:val="18"/>
        <w:snapToGrid w:val="0"/>
        <w:spacing w:line="360" w:lineRule="auto"/>
        <w:ind w:firstLine="480" w:firstLineChars="200"/>
        <w:rPr>
          <w:rFonts w:hAnsi="宋体"/>
          <w:bCs/>
          <w:color w:val="auto"/>
          <w:sz w:val="24"/>
          <w:szCs w:val="24"/>
          <w:u w:val="single"/>
        </w:rPr>
      </w:pPr>
      <w:r>
        <w:rPr>
          <w:rFonts w:hint="eastAsia" w:hAnsi="宋体"/>
          <w:bCs/>
          <w:color w:val="auto"/>
          <w:sz w:val="24"/>
          <w:szCs w:val="24"/>
        </w:rPr>
        <w:t>授权代表：</w:t>
      </w:r>
      <w:r>
        <w:rPr>
          <w:rFonts w:hint="eastAsia" w:hAnsi="宋体"/>
          <w:bCs/>
          <w:color w:val="auto"/>
          <w:sz w:val="24"/>
          <w:szCs w:val="24"/>
          <w:u w:val="single"/>
        </w:rPr>
        <w:t xml:space="preserve">                                         </w:t>
      </w:r>
    </w:p>
    <w:p>
      <w:pPr>
        <w:pStyle w:val="18"/>
        <w:snapToGrid w:val="0"/>
        <w:spacing w:line="360" w:lineRule="auto"/>
        <w:ind w:firstLine="480" w:firstLineChars="200"/>
        <w:rPr>
          <w:rFonts w:hAnsi="宋体"/>
          <w:bCs/>
          <w:color w:val="auto"/>
          <w:sz w:val="24"/>
          <w:szCs w:val="24"/>
          <w:u w:val="single"/>
        </w:rPr>
      </w:pP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pPr>
        <w:pStyle w:val="18"/>
        <w:snapToGrid w:val="0"/>
        <w:spacing w:line="360" w:lineRule="auto"/>
        <w:ind w:left="479" w:leftChars="228"/>
        <w:jc w:val="left"/>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pPr>
        <w:pStyle w:val="18"/>
        <w:snapToGrid w:val="0"/>
        <w:spacing w:line="360" w:lineRule="auto"/>
        <w:ind w:firstLine="480" w:firstLineChars="200"/>
        <w:jc w:val="left"/>
        <w:rPr>
          <w:rFonts w:hAnsi="宋体"/>
          <w:bCs/>
          <w:color w:val="auto"/>
          <w:sz w:val="24"/>
          <w:szCs w:val="24"/>
        </w:rPr>
      </w:pPr>
      <w:r>
        <w:rPr>
          <w:rFonts w:hint="eastAsia" w:hAnsi="宋体"/>
          <w:bCs/>
          <w:color w:val="auto"/>
          <w:sz w:val="24"/>
          <w:szCs w:val="24"/>
        </w:rPr>
        <w:t>被投诉人1：</w:t>
      </w:r>
    </w:p>
    <w:p>
      <w:pPr>
        <w:pStyle w:val="18"/>
        <w:snapToGrid w:val="0"/>
        <w:spacing w:line="360" w:lineRule="auto"/>
        <w:ind w:left="479" w:leftChars="228"/>
        <w:jc w:val="left"/>
        <w:rPr>
          <w:rFonts w:hAnsi="宋体"/>
          <w:bCs/>
          <w:color w:val="auto"/>
          <w:sz w:val="24"/>
          <w:szCs w:val="24"/>
        </w:rPr>
      </w:pPr>
      <w:r>
        <w:rPr>
          <w:rFonts w:hint="eastAsia" w:hAnsi="宋体"/>
          <w:bCs/>
          <w:color w:val="auto"/>
          <w:sz w:val="24"/>
          <w:szCs w:val="24"/>
        </w:rPr>
        <w:t>地址：</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pPr>
        <w:pStyle w:val="18"/>
        <w:snapToGrid w:val="0"/>
        <w:spacing w:line="360" w:lineRule="auto"/>
        <w:ind w:firstLine="480" w:firstLineChars="200"/>
        <w:jc w:val="left"/>
        <w:rPr>
          <w:rFonts w:hAnsi="宋体"/>
          <w:bCs/>
          <w:color w:val="auto"/>
          <w:sz w:val="24"/>
          <w:szCs w:val="24"/>
          <w:u w:val="single"/>
        </w:rPr>
      </w:pPr>
      <w:r>
        <w:rPr>
          <w:rFonts w:hint="eastAsia" w:hAnsi="宋体"/>
          <w:bCs/>
          <w:color w:val="auto"/>
          <w:sz w:val="24"/>
          <w:szCs w:val="24"/>
        </w:rPr>
        <w:t>联系人：</w:t>
      </w:r>
      <w:r>
        <w:rPr>
          <w:rFonts w:hint="eastAsia" w:hAnsi="宋体"/>
          <w:bCs/>
          <w:color w:val="auto"/>
          <w:sz w:val="24"/>
          <w:szCs w:val="24"/>
          <w:u w:val="single"/>
        </w:rPr>
        <w:t xml:space="preserve">                                                </w:t>
      </w:r>
    </w:p>
    <w:p>
      <w:pPr>
        <w:pStyle w:val="18"/>
        <w:snapToGrid w:val="0"/>
        <w:spacing w:line="360" w:lineRule="auto"/>
        <w:ind w:firstLine="480" w:firstLineChars="200"/>
        <w:jc w:val="left"/>
        <w:rPr>
          <w:rFonts w:hAnsi="宋体"/>
          <w:bCs/>
          <w:color w:val="auto"/>
          <w:sz w:val="24"/>
          <w:szCs w:val="24"/>
          <w:u w:val="single"/>
        </w:rPr>
      </w:pP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pPr>
        <w:pStyle w:val="18"/>
        <w:snapToGrid w:val="0"/>
        <w:spacing w:line="360" w:lineRule="auto"/>
        <w:ind w:firstLine="480" w:firstLineChars="200"/>
        <w:rPr>
          <w:rFonts w:hAnsi="宋体"/>
          <w:bCs/>
          <w:color w:val="auto"/>
          <w:sz w:val="24"/>
          <w:szCs w:val="24"/>
        </w:rPr>
      </w:pPr>
      <w:r>
        <w:rPr>
          <w:rFonts w:hint="eastAsia" w:hAnsi="宋体"/>
          <w:bCs/>
          <w:color w:val="auto"/>
          <w:sz w:val="24"/>
          <w:szCs w:val="24"/>
        </w:rPr>
        <w:t>被投诉人2：</w:t>
      </w:r>
    </w:p>
    <w:p>
      <w:pPr>
        <w:pStyle w:val="18"/>
        <w:snapToGrid w:val="0"/>
        <w:spacing w:line="360" w:lineRule="auto"/>
        <w:ind w:firstLine="480" w:firstLineChars="200"/>
        <w:rPr>
          <w:rFonts w:hAnsi="宋体"/>
          <w:bCs/>
          <w:color w:val="auto"/>
          <w:sz w:val="24"/>
          <w:szCs w:val="24"/>
        </w:rPr>
      </w:pPr>
      <w:r>
        <w:rPr>
          <w:rFonts w:hAnsi="宋体"/>
          <w:bCs/>
          <w:color w:val="auto"/>
          <w:sz w:val="24"/>
          <w:szCs w:val="24"/>
        </w:rPr>
        <w:t>……</w:t>
      </w:r>
    </w:p>
    <w:p>
      <w:pPr>
        <w:pStyle w:val="18"/>
        <w:snapToGrid w:val="0"/>
        <w:spacing w:line="360" w:lineRule="auto"/>
        <w:ind w:firstLine="480" w:firstLineChars="200"/>
        <w:rPr>
          <w:rFonts w:hAnsi="宋体"/>
          <w:bCs/>
          <w:color w:val="auto"/>
          <w:sz w:val="24"/>
          <w:szCs w:val="24"/>
          <w:u w:val="single"/>
        </w:rPr>
      </w:pPr>
      <w:r>
        <w:rPr>
          <w:rFonts w:hint="eastAsia" w:hAnsi="宋体"/>
          <w:bCs/>
          <w:color w:val="auto"/>
          <w:sz w:val="24"/>
          <w:szCs w:val="24"/>
        </w:rPr>
        <w:t>相关供应商：</w:t>
      </w:r>
      <w:r>
        <w:rPr>
          <w:rFonts w:hint="eastAsia" w:hAnsi="宋体"/>
          <w:bCs/>
          <w:color w:val="auto"/>
          <w:sz w:val="24"/>
          <w:szCs w:val="24"/>
          <w:u w:val="single"/>
        </w:rPr>
        <w:t xml:space="preserve">                                                                   </w:t>
      </w:r>
    </w:p>
    <w:p>
      <w:pPr>
        <w:pStyle w:val="18"/>
        <w:snapToGrid w:val="0"/>
        <w:spacing w:line="360" w:lineRule="auto"/>
        <w:ind w:firstLine="480" w:firstLineChars="200"/>
        <w:rPr>
          <w:rFonts w:hAnsi="宋体"/>
          <w:bCs/>
          <w:color w:val="auto"/>
          <w:sz w:val="24"/>
          <w:szCs w:val="24"/>
          <w:u w:val="single"/>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p>
    <w:p>
      <w:pPr>
        <w:pStyle w:val="18"/>
        <w:snapToGrid w:val="0"/>
        <w:spacing w:line="360" w:lineRule="auto"/>
        <w:ind w:firstLine="480" w:firstLineChars="200"/>
        <w:rPr>
          <w:rFonts w:hAnsi="宋体"/>
          <w:bCs/>
          <w:color w:val="auto"/>
          <w:sz w:val="24"/>
          <w:szCs w:val="24"/>
          <w:u w:val="single"/>
        </w:rPr>
      </w:pP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p>
    <w:p>
      <w:pPr>
        <w:pStyle w:val="18"/>
        <w:snapToGrid w:val="0"/>
        <w:spacing w:line="360" w:lineRule="auto"/>
        <w:ind w:firstLine="480" w:firstLineChars="200"/>
        <w:rPr>
          <w:rFonts w:hAnsi="宋体"/>
          <w:bCs/>
          <w:color w:val="auto"/>
          <w:sz w:val="24"/>
          <w:szCs w:val="24"/>
          <w:u w:val="single"/>
        </w:rPr>
      </w:pPr>
      <w:r>
        <w:rPr>
          <w:rFonts w:hint="eastAsia" w:hAnsi="宋体"/>
          <w:bCs/>
          <w:color w:val="auto"/>
          <w:sz w:val="24"/>
          <w:szCs w:val="24"/>
        </w:rPr>
        <w:t>联系人：</w:t>
      </w:r>
      <w:r>
        <w:rPr>
          <w:rFonts w:hint="eastAsia" w:hAnsi="宋体"/>
          <w:bCs/>
          <w:color w:val="auto"/>
          <w:sz w:val="24"/>
          <w:szCs w:val="24"/>
          <w:u w:val="single"/>
        </w:rPr>
        <w:t xml:space="preserve">                                            </w:t>
      </w:r>
    </w:p>
    <w:p>
      <w:pPr>
        <w:pStyle w:val="18"/>
        <w:snapToGrid w:val="0"/>
        <w:spacing w:line="360" w:lineRule="auto"/>
        <w:ind w:firstLine="480" w:firstLineChars="200"/>
        <w:rPr>
          <w:rFonts w:hAnsi="宋体"/>
          <w:bCs/>
          <w:color w:val="auto"/>
          <w:sz w:val="24"/>
          <w:szCs w:val="24"/>
        </w:rPr>
      </w:pP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r>
        <w:rPr>
          <w:rFonts w:hint="eastAsia" w:hAnsi="宋体"/>
          <w:bCs/>
          <w:color w:val="auto"/>
          <w:sz w:val="24"/>
          <w:szCs w:val="24"/>
        </w:rPr>
        <w:t xml:space="preserve">                </w:t>
      </w:r>
    </w:p>
    <w:p>
      <w:pPr>
        <w:pStyle w:val="18"/>
        <w:snapToGrid w:val="0"/>
        <w:spacing w:line="360" w:lineRule="auto"/>
        <w:ind w:firstLine="482" w:firstLineChars="200"/>
        <w:rPr>
          <w:rFonts w:hAnsi="宋体"/>
          <w:b/>
          <w:bCs/>
          <w:color w:val="auto"/>
          <w:sz w:val="24"/>
          <w:szCs w:val="24"/>
        </w:rPr>
      </w:pPr>
      <w:r>
        <w:rPr>
          <w:rFonts w:hint="eastAsia" w:hAnsi="宋体"/>
          <w:b/>
          <w:bCs/>
          <w:color w:val="auto"/>
          <w:sz w:val="24"/>
          <w:szCs w:val="24"/>
        </w:rPr>
        <w:t>二、投诉项目基本情况：</w:t>
      </w:r>
    </w:p>
    <w:p>
      <w:pPr>
        <w:pStyle w:val="18"/>
        <w:spacing w:line="360" w:lineRule="auto"/>
        <w:ind w:left="25" w:leftChars="12" w:firstLine="472" w:firstLineChars="197"/>
        <w:rPr>
          <w:rFonts w:hAnsi="宋体"/>
          <w:color w:val="auto"/>
          <w:sz w:val="24"/>
          <w:szCs w:val="24"/>
        </w:rPr>
      </w:pPr>
      <w:r>
        <w:rPr>
          <w:rFonts w:hint="eastAsia" w:hAnsi="宋体"/>
          <w:bCs/>
          <w:color w:val="auto"/>
          <w:sz w:val="24"/>
          <w:szCs w:val="24"/>
        </w:rPr>
        <w:t>采购</w:t>
      </w:r>
      <w:r>
        <w:rPr>
          <w:rFonts w:hint="eastAsia" w:hAnsi="宋体"/>
          <w:color w:val="auto"/>
          <w:sz w:val="24"/>
          <w:szCs w:val="24"/>
        </w:rPr>
        <w:t>项目的名称：</w:t>
      </w:r>
      <w:r>
        <w:rPr>
          <w:rFonts w:hint="eastAsia" w:hAnsi="宋体"/>
          <w:bCs/>
          <w:color w:val="auto"/>
          <w:sz w:val="24"/>
          <w:szCs w:val="24"/>
          <w:u w:val="single"/>
        </w:rPr>
        <w:t xml:space="preserve">                                                                   </w:t>
      </w:r>
    </w:p>
    <w:p>
      <w:pPr>
        <w:pStyle w:val="18"/>
        <w:spacing w:line="360" w:lineRule="auto"/>
        <w:ind w:left="25" w:leftChars="12" w:firstLine="472" w:firstLineChars="197"/>
        <w:rPr>
          <w:rFonts w:hAnsi="宋体"/>
          <w:color w:val="auto"/>
          <w:sz w:val="24"/>
          <w:szCs w:val="24"/>
        </w:rPr>
      </w:pPr>
      <w:r>
        <w:rPr>
          <w:rFonts w:hint="eastAsia" w:hAnsi="宋体"/>
          <w:bCs/>
          <w:color w:val="auto"/>
          <w:sz w:val="24"/>
          <w:szCs w:val="24"/>
        </w:rPr>
        <w:t>采购</w:t>
      </w:r>
      <w:r>
        <w:rPr>
          <w:rFonts w:hint="eastAsia" w:hAnsi="宋体"/>
          <w:color w:val="auto"/>
          <w:sz w:val="24"/>
          <w:szCs w:val="24"/>
        </w:rPr>
        <w:t>项目的编号：</w:t>
      </w:r>
      <w:r>
        <w:rPr>
          <w:rFonts w:hint="eastAsia" w:hAnsi="宋体"/>
          <w:bCs/>
          <w:color w:val="auto"/>
          <w:sz w:val="24"/>
          <w:szCs w:val="24"/>
          <w:u w:val="single"/>
        </w:rPr>
        <w:t xml:space="preserve">                                          </w:t>
      </w:r>
    </w:p>
    <w:p>
      <w:pPr>
        <w:pStyle w:val="18"/>
        <w:spacing w:line="360" w:lineRule="auto"/>
        <w:ind w:left="25" w:leftChars="12" w:firstLine="472" w:firstLineChars="197"/>
        <w:rPr>
          <w:rFonts w:hAnsi="宋体"/>
          <w:bCs/>
          <w:color w:val="auto"/>
          <w:sz w:val="24"/>
          <w:szCs w:val="24"/>
          <w:u w:val="single"/>
        </w:rPr>
      </w:pPr>
      <w:r>
        <w:rPr>
          <w:rFonts w:hint="eastAsia" w:hAnsi="宋体"/>
          <w:color w:val="auto"/>
          <w:sz w:val="24"/>
          <w:szCs w:val="24"/>
        </w:rPr>
        <w:t>采购人名称：</w:t>
      </w:r>
      <w:r>
        <w:rPr>
          <w:rFonts w:hint="eastAsia" w:hAnsi="宋体"/>
          <w:bCs/>
          <w:color w:val="auto"/>
          <w:sz w:val="24"/>
          <w:szCs w:val="24"/>
          <w:u w:val="single"/>
        </w:rPr>
        <w:t xml:space="preserve">                                                                        </w:t>
      </w:r>
    </w:p>
    <w:p>
      <w:pPr>
        <w:pStyle w:val="18"/>
        <w:spacing w:line="360" w:lineRule="auto"/>
        <w:ind w:left="25" w:leftChars="12" w:firstLine="472" w:firstLineChars="197"/>
        <w:rPr>
          <w:rFonts w:hAnsi="宋体"/>
          <w:bCs/>
          <w:color w:val="auto"/>
          <w:sz w:val="24"/>
          <w:szCs w:val="24"/>
          <w:u w:val="single"/>
        </w:rPr>
      </w:pPr>
      <w:r>
        <w:rPr>
          <w:rFonts w:hint="eastAsia" w:hAnsi="宋体"/>
          <w:color w:val="auto"/>
          <w:sz w:val="24"/>
          <w:szCs w:val="24"/>
        </w:rPr>
        <w:t>代理机构名称：</w:t>
      </w:r>
      <w:r>
        <w:rPr>
          <w:rFonts w:hint="eastAsia" w:hAnsi="宋体"/>
          <w:bCs/>
          <w:color w:val="auto"/>
          <w:sz w:val="24"/>
          <w:szCs w:val="24"/>
          <w:u w:val="single"/>
        </w:rPr>
        <w:t xml:space="preserve">                                                                      </w:t>
      </w:r>
    </w:p>
    <w:p>
      <w:pPr>
        <w:pStyle w:val="18"/>
        <w:spacing w:line="360" w:lineRule="auto"/>
        <w:ind w:left="25" w:leftChars="12" w:firstLine="472" w:firstLineChars="197"/>
        <w:rPr>
          <w:rFonts w:hAnsi="宋体"/>
          <w:bCs/>
          <w:color w:val="auto"/>
          <w:sz w:val="24"/>
          <w:szCs w:val="24"/>
          <w:u w:val="single"/>
        </w:rPr>
      </w:pPr>
      <w:r>
        <w:rPr>
          <w:rFonts w:hint="eastAsia" w:hAnsi="宋体"/>
          <w:bCs/>
          <w:color w:val="auto"/>
          <w:sz w:val="24"/>
          <w:szCs w:val="24"/>
        </w:rPr>
        <w:t>招标文件公告：</w:t>
      </w:r>
      <w:r>
        <w:rPr>
          <w:rFonts w:hint="eastAsia" w:hAnsi="宋体"/>
          <w:bCs/>
          <w:color w:val="auto"/>
          <w:sz w:val="24"/>
          <w:szCs w:val="24"/>
          <w:u w:val="single"/>
        </w:rPr>
        <w:t>是/否</w:t>
      </w:r>
      <w:r>
        <w:rPr>
          <w:rFonts w:hint="eastAsia" w:hAnsi="宋体"/>
          <w:bCs/>
          <w:color w:val="auto"/>
          <w:sz w:val="24"/>
          <w:szCs w:val="24"/>
        </w:rPr>
        <w:t>公告期限：</w:t>
      </w:r>
      <w:r>
        <w:rPr>
          <w:rFonts w:hint="eastAsia" w:hAnsi="宋体"/>
          <w:bCs/>
          <w:color w:val="auto"/>
          <w:sz w:val="24"/>
          <w:szCs w:val="24"/>
          <w:u w:val="single"/>
        </w:rPr>
        <w:t xml:space="preserve">                                                       </w:t>
      </w:r>
    </w:p>
    <w:p>
      <w:pPr>
        <w:pStyle w:val="18"/>
        <w:spacing w:line="360" w:lineRule="auto"/>
        <w:ind w:left="25" w:leftChars="12" w:firstLine="472" w:firstLineChars="197"/>
        <w:rPr>
          <w:rFonts w:hAnsi="宋体"/>
          <w:b/>
          <w:color w:val="auto"/>
          <w:sz w:val="24"/>
          <w:szCs w:val="24"/>
        </w:rPr>
      </w:pPr>
      <w:r>
        <w:rPr>
          <w:rFonts w:hint="eastAsia" w:hAnsi="宋体"/>
          <w:bCs/>
          <w:color w:val="auto"/>
          <w:sz w:val="24"/>
          <w:szCs w:val="24"/>
        </w:rPr>
        <w:t>采购结果公告：</w:t>
      </w:r>
      <w:r>
        <w:rPr>
          <w:rFonts w:hint="eastAsia" w:hAnsi="宋体"/>
          <w:bCs/>
          <w:color w:val="auto"/>
          <w:sz w:val="24"/>
          <w:szCs w:val="24"/>
          <w:u w:val="single"/>
        </w:rPr>
        <w:t>是/否</w:t>
      </w:r>
      <w:r>
        <w:rPr>
          <w:rFonts w:hint="eastAsia" w:hAnsi="宋体"/>
          <w:bCs/>
          <w:color w:val="auto"/>
          <w:sz w:val="24"/>
          <w:szCs w:val="24"/>
        </w:rPr>
        <w:t>公告期限：</w:t>
      </w:r>
      <w:r>
        <w:rPr>
          <w:rFonts w:hint="eastAsia" w:hAnsi="宋体"/>
          <w:bCs/>
          <w:color w:val="auto"/>
          <w:sz w:val="24"/>
          <w:szCs w:val="24"/>
          <w:u w:val="single"/>
        </w:rPr>
        <w:t xml:space="preserve">                                                       </w:t>
      </w:r>
    </w:p>
    <w:p>
      <w:pPr>
        <w:pStyle w:val="18"/>
        <w:spacing w:line="360" w:lineRule="auto"/>
        <w:ind w:left="25" w:leftChars="12" w:firstLine="472" w:firstLineChars="196"/>
        <w:rPr>
          <w:rFonts w:hAnsi="宋体"/>
          <w:b/>
          <w:color w:val="auto"/>
          <w:sz w:val="24"/>
          <w:szCs w:val="24"/>
        </w:rPr>
      </w:pPr>
      <w:r>
        <w:rPr>
          <w:rFonts w:hint="eastAsia" w:hAnsi="宋体"/>
          <w:b/>
          <w:color w:val="auto"/>
          <w:sz w:val="24"/>
          <w:szCs w:val="24"/>
        </w:rPr>
        <w:t>三、质疑基本情况</w:t>
      </w:r>
    </w:p>
    <w:p>
      <w:pPr>
        <w:pStyle w:val="18"/>
        <w:spacing w:line="360" w:lineRule="auto"/>
        <w:ind w:firstLine="480" w:firstLineChars="200"/>
        <w:rPr>
          <w:rFonts w:hAnsi="宋体"/>
          <w:color w:val="auto"/>
          <w:sz w:val="24"/>
          <w:szCs w:val="24"/>
        </w:rPr>
      </w:pPr>
      <w:r>
        <w:rPr>
          <w:rFonts w:hint="eastAsia" w:hAnsi="宋体"/>
          <w:color w:val="auto"/>
          <w:sz w:val="24"/>
          <w:szCs w:val="24"/>
        </w:rPr>
        <w:t>投诉人于</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日，向</w:t>
      </w:r>
      <w:r>
        <w:rPr>
          <w:rFonts w:hint="eastAsia" w:hAnsi="宋体"/>
          <w:color w:val="auto"/>
          <w:sz w:val="24"/>
          <w:szCs w:val="24"/>
          <w:u w:val="single"/>
        </w:rPr>
        <w:t xml:space="preserve">                                </w:t>
      </w:r>
      <w:r>
        <w:rPr>
          <w:rFonts w:hint="eastAsia" w:hAnsi="宋体"/>
          <w:color w:val="auto"/>
          <w:sz w:val="24"/>
          <w:szCs w:val="24"/>
        </w:rPr>
        <w:t>提出质疑，质疑事项为：</w:t>
      </w:r>
    </w:p>
    <w:p>
      <w:pPr>
        <w:pStyle w:val="18"/>
        <w:spacing w:line="360" w:lineRule="auto"/>
        <w:ind w:firstLine="241"/>
        <w:rPr>
          <w:rFonts w:hAnsi="宋体"/>
          <w:bCs/>
          <w:color w:val="auto"/>
          <w:sz w:val="24"/>
          <w:szCs w:val="24"/>
          <w:u w:val="single"/>
        </w:rPr>
      </w:pPr>
      <w:r>
        <w:rPr>
          <w:rFonts w:hint="eastAsia" w:hAnsi="宋体"/>
          <w:color w:val="auto"/>
          <w:sz w:val="24"/>
          <w:szCs w:val="24"/>
        </w:rPr>
        <w:t xml:space="preserve">    </w:t>
      </w:r>
      <w:r>
        <w:rPr>
          <w:rFonts w:hint="eastAsia" w:hAnsi="宋体"/>
          <w:bCs/>
          <w:color w:val="auto"/>
          <w:sz w:val="24"/>
          <w:szCs w:val="24"/>
          <w:u w:val="single"/>
        </w:rPr>
        <w:t xml:space="preserve">                                                                                      </w:t>
      </w:r>
    </w:p>
    <w:p>
      <w:pPr>
        <w:pStyle w:val="18"/>
        <w:spacing w:line="360" w:lineRule="auto"/>
        <w:ind w:firstLine="241"/>
        <w:rPr>
          <w:rFonts w:hAnsi="宋体"/>
          <w:bCs/>
          <w:color w:val="auto"/>
          <w:sz w:val="24"/>
          <w:szCs w:val="24"/>
          <w:u w:val="single"/>
        </w:rPr>
      </w:pPr>
      <w:r>
        <w:rPr>
          <w:rFonts w:hint="eastAsia" w:hAnsi="宋体"/>
          <w:bCs/>
          <w:color w:val="auto"/>
          <w:sz w:val="24"/>
          <w:szCs w:val="24"/>
        </w:rPr>
        <w:t xml:space="preserve">    </w:t>
      </w:r>
      <w:r>
        <w:rPr>
          <w:rFonts w:hint="eastAsia" w:hAnsi="宋体"/>
          <w:bCs/>
          <w:color w:val="auto"/>
          <w:sz w:val="24"/>
          <w:szCs w:val="24"/>
          <w:u w:val="single"/>
        </w:rPr>
        <w:t xml:space="preserve">                                                                                      </w:t>
      </w:r>
    </w:p>
    <w:p>
      <w:pPr>
        <w:pStyle w:val="18"/>
        <w:spacing w:line="360" w:lineRule="auto"/>
        <w:ind w:firstLine="241"/>
        <w:rPr>
          <w:rFonts w:hAnsi="宋体"/>
          <w:color w:val="auto"/>
          <w:sz w:val="24"/>
          <w:szCs w:val="24"/>
        </w:rPr>
      </w:pPr>
      <w:r>
        <w:rPr>
          <w:rFonts w:hint="eastAsia" w:hAnsi="宋体"/>
          <w:bCs/>
          <w:color w:val="auto"/>
          <w:sz w:val="24"/>
          <w:szCs w:val="24"/>
        </w:rPr>
        <w:t xml:space="preserve">        </w:t>
      </w:r>
      <w:r>
        <w:rPr>
          <w:rFonts w:hint="eastAsia" w:hAnsi="宋体"/>
          <w:bCs/>
          <w:color w:val="auto"/>
          <w:sz w:val="24"/>
          <w:szCs w:val="24"/>
          <w:u w:val="single"/>
        </w:rPr>
        <w:t>采购人/代理机构</w:t>
      </w:r>
      <w:r>
        <w:rPr>
          <w:rFonts w:hint="eastAsia" w:hAnsi="宋体"/>
          <w:bCs/>
          <w:color w:val="auto"/>
          <w:sz w:val="24"/>
          <w:szCs w:val="24"/>
        </w:rPr>
        <w:t>于</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r>
        <w:rPr>
          <w:rFonts w:hint="eastAsia" w:hAnsi="宋体"/>
          <w:bCs/>
          <w:color w:val="auto"/>
          <w:sz w:val="24"/>
          <w:szCs w:val="24"/>
        </w:rPr>
        <w:t xml:space="preserve">就质疑事项作出了答复/没有在法定期限内作出答复。                                                                                             </w:t>
      </w:r>
    </w:p>
    <w:p>
      <w:pPr>
        <w:pStyle w:val="18"/>
        <w:spacing w:line="360" w:lineRule="auto"/>
        <w:ind w:left="25" w:leftChars="12" w:firstLine="472" w:firstLineChars="196"/>
        <w:rPr>
          <w:rFonts w:hAnsi="宋体"/>
          <w:b/>
          <w:color w:val="auto"/>
          <w:sz w:val="24"/>
          <w:szCs w:val="24"/>
        </w:rPr>
      </w:pPr>
      <w:r>
        <w:rPr>
          <w:rFonts w:hint="eastAsia" w:hAnsi="宋体"/>
          <w:b/>
          <w:color w:val="auto"/>
          <w:sz w:val="24"/>
          <w:szCs w:val="24"/>
        </w:rPr>
        <w:t>四、投诉事项具体内容</w:t>
      </w:r>
    </w:p>
    <w:p>
      <w:pPr>
        <w:pStyle w:val="18"/>
        <w:spacing w:line="360" w:lineRule="auto"/>
        <w:ind w:left="25" w:leftChars="12" w:firstLine="472" w:firstLineChars="197"/>
        <w:rPr>
          <w:rFonts w:hAnsi="宋体"/>
          <w:bCs/>
          <w:color w:val="auto"/>
          <w:sz w:val="24"/>
          <w:szCs w:val="24"/>
          <w:u w:val="single"/>
        </w:rPr>
      </w:pPr>
      <w:r>
        <w:rPr>
          <w:rFonts w:hint="eastAsia" w:hAnsi="宋体"/>
          <w:color w:val="auto"/>
          <w:sz w:val="24"/>
          <w:szCs w:val="24"/>
        </w:rPr>
        <w:t>投诉事项1：</w:t>
      </w:r>
      <w:r>
        <w:rPr>
          <w:rFonts w:hint="eastAsia" w:hAnsi="宋体"/>
          <w:bCs/>
          <w:color w:val="auto"/>
          <w:sz w:val="24"/>
          <w:szCs w:val="24"/>
          <w:u w:val="single"/>
        </w:rPr>
        <w:t xml:space="preserve">                                                                           </w:t>
      </w:r>
    </w:p>
    <w:p>
      <w:pPr>
        <w:pStyle w:val="18"/>
        <w:spacing w:line="360" w:lineRule="auto"/>
        <w:ind w:firstLine="480" w:firstLineChars="200"/>
        <w:rPr>
          <w:rFonts w:hAnsi="宋体"/>
          <w:bCs/>
          <w:color w:val="auto"/>
          <w:sz w:val="24"/>
          <w:szCs w:val="24"/>
          <w:u w:val="single"/>
        </w:rPr>
      </w:pPr>
      <w:r>
        <w:rPr>
          <w:rFonts w:hint="eastAsia" w:hAnsi="宋体"/>
          <w:bCs/>
          <w:color w:val="auto"/>
          <w:sz w:val="24"/>
          <w:szCs w:val="24"/>
        </w:rPr>
        <w:t>事实依据：</w:t>
      </w:r>
      <w:r>
        <w:rPr>
          <w:rFonts w:hint="eastAsia" w:hAnsi="宋体"/>
          <w:color w:val="auto"/>
          <w:sz w:val="24"/>
          <w:szCs w:val="24"/>
        </w:rPr>
        <w:t xml:space="preserve"> </w:t>
      </w:r>
      <w:r>
        <w:rPr>
          <w:rFonts w:hint="eastAsia" w:hAnsi="宋体"/>
          <w:bCs/>
          <w:color w:val="auto"/>
          <w:sz w:val="24"/>
          <w:szCs w:val="24"/>
          <w:u w:val="single"/>
        </w:rPr>
        <w:t xml:space="preserve">                                                                                      </w:t>
      </w:r>
    </w:p>
    <w:p>
      <w:pPr>
        <w:pStyle w:val="18"/>
        <w:spacing w:line="360" w:lineRule="auto"/>
        <w:ind w:left="25" w:leftChars="12" w:firstLine="472" w:firstLineChars="197"/>
        <w:rPr>
          <w:rFonts w:hAnsi="宋体"/>
          <w:color w:val="auto"/>
          <w:sz w:val="24"/>
          <w:szCs w:val="24"/>
        </w:rPr>
      </w:pPr>
      <w:r>
        <w:rPr>
          <w:rFonts w:hint="eastAsia" w:hAnsi="宋体"/>
          <w:bCs/>
          <w:color w:val="auto"/>
          <w:sz w:val="24"/>
          <w:szCs w:val="24"/>
          <w:u w:val="single"/>
        </w:rPr>
        <w:t xml:space="preserve">                                                                                        </w:t>
      </w:r>
    </w:p>
    <w:p>
      <w:pPr>
        <w:pStyle w:val="18"/>
        <w:spacing w:line="360" w:lineRule="auto"/>
        <w:ind w:firstLine="480" w:firstLineChars="200"/>
        <w:rPr>
          <w:rFonts w:hAnsi="宋体"/>
          <w:bCs/>
          <w:color w:val="auto"/>
          <w:sz w:val="24"/>
          <w:szCs w:val="24"/>
          <w:u w:val="single"/>
        </w:rPr>
      </w:pPr>
      <w:r>
        <w:rPr>
          <w:rFonts w:hint="eastAsia" w:hAnsi="宋体"/>
          <w:bCs/>
          <w:color w:val="auto"/>
          <w:sz w:val="24"/>
          <w:szCs w:val="24"/>
        </w:rPr>
        <w:t>法律依据：</w:t>
      </w:r>
      <w:r>
        <w:rPr>
          <w:rFonts w:hint="eastAsia" w:hAnsi="宋体"/>
          <w:color w:val="auto"/>
          <w:sz w:val="24"/>
          <w:szCs w:val="24"/>
        </w:rPr>
        <w:t xml:space="preserve"> </w:t>
      </w:r>
      <w:r>
        <w:rPr>
          <w:rFonts w:hint="eastAsia" w:hAnsi="宋体"/>
          <w:bCs/>
          <w:color w:val="auto"/>
          <w:sz w:val="24"/>
          <w:szCs w:val="24"/>
          <w:u w:val="single"/>
        </w:rPr>
        <w:t xml:space="preserve">                                                                                      </w:t>
      </w:r>
    </w:p>
    <w:p>
      <w:pPr>
        <w:pStyle w:val="18"/>
        <w:spacing w:line="360" w:lineRule="auto"/>
        <w:ind w:left="25" w:leftChars="12" w:firstLine="352" w:firstLineChars="147"/>
        <w:rPr>
          <w:rFonts w:hAnsi="宋体"/>
          <w:bCs/>
          <w:color w:val="auto"/>
          <w:sz w:val="24"/>
          <w:szCs w:val="24"/>
          <w:u w:val="single"/>
        </w:rPr>
      </w:pPr>
      <w:r>
        <w:rPr>
          <w:rFonts w:hint="eastAsia" w:hAnsi="宋体"/>
          <w:bCs/>
          <w:color w:val="auto"/>
          <w:sz w:val="24"/>
          <w:szCs w:val="24"/>
        </w:rPr>
        <w:t xml:space="preserve"> </w:t>
      </w:r>
      <w:r>
        <w:rPr>
          <w:rFonts w:hint="eastAsia" w:hAnsi="宋体"/>
          <w:bCs/>
          <w:color w:val="auto"/>
          <w:sz w:val="24"/>
          <w:szCs w:val="24"/>
          <w:u w:val="single"/>
        </w:rPr>
        <w:t xml:space="preserve">                                                                                        </w:t>
      </w:r>
    </w:p>
    <w:p>
      <w:pPr>
        <w:pStyle w:val="18"/>
        <w:spacing w:line="360" w:lineRule="auto"/>
        <w:ind w:left="25" w:leftChars="12" w:firstLine="472" w:firstLineChars="197"/>
        <w:rPr>
          <w:rFonts w:hAnsi="宋体"/>
          <w:bCs/>
          <w:color w:val="auto"/>
          <w:sz w:val="24"/>
          <w:szCs w:val="24"/>
        </w:rPr>
      </w:pPr>
      <w:r>
        <w:rPr>
          <w:rFonts w:hint="eastAsia" w:hAnsi="宋体"/>
          <w:color w:val="auto"/>
          <w:sz w:val="24"/>
          <w:szCs w:val="24"/>
        </w:rPr>
        <w:t xml:space="preserve">投诉事项2  </w:t>
      </w:r>
      <w:r>
        <w:rPr>
          <w:rFonts w:hint="eastAsia" w:hAnsi="宋体"/>
          <w:bCs/>
          <w:color w:val="auto"/>
          <w:sz w:val="24"/>
          <w:szCs w:val="24"/>
        </w:rPr>
        <w:t xml:space="preserve">   </w:t>
      </w:r>
    </w:p>
    <w:p>
      <w:pPr>
        <w:pStyle w:val="18"/>
        <w:spacing w:line="360" w:lineRule="auto"/>
        <w:ind w:left="25" w:leftChars="12" w:firstLine="472" w:firstLineChars="197"/>
        <w:rPr>
          <w:rFonts w:hAnsi="宋体"/>
          <w:bCs/>
          <w:color w:val="auto"/>
          <w:sz w:val="24"/>
          <w:szCs w:val="24"/>
        </w:rPr>
      </w:pPr>
      <w:r>
        <w:rPr>
          <w:rFonts w:hAnsi="宋体"/>
          <w:bCs/>
          <w:color w:val="auto"/>
          <w:sz w:val="24"/>
          <w:szCs w:val="24"/>
        </w:rPr>
        <w:t>……</w:t>
      </w:r>
    </w:p>
    <w:p>
      <w:pPr>
        <w:pStyle w:val="18"/>
        <w:spacing w:line="360" w:lineRule="auto"/>
        <w:ind w:left="25" w:leftChars="12" w:firstLine="472" w:firstLineChars="196"/>
        <w:rPr>
          <w:rFonts w:hAnsi="宋体"/>
          <w:b/>
          <w:color w:val="auto"/>
          <w:sz w:val="24"/>
          <w:szCs w:val="24"/>
        </w:rPr>
      </w:pPr>
      <w:r>
        <w:rPr>
          <w:rFonts w:hint="eastAsia" w:hAnsi="宋体"/>
          <w:b/>
          <w:color w:val="auto"/>
          <w:sz w:val="24"/>
          <w:szCs w:val="24"/>
        </w:rPr>
        <w:t>五、与投诉事项相关的投诉请求：</w:t>
      </w:r>
    </w:p>
    <w:p>
      <w:pPr>
        <w:pStyle w:val="18"/>
        <w:spacing w:line="360" w:lineRule="auto"/>
        <w:ind w:left="25" w:leftChars="12" w:firstLine="472" w:firstLineChars="197"/>
        <w:rPr>
          <w:rFonts w:hAnsi="宋体"/>
          <w:color w:val="auto"/>
          <w:sz w:val="24"/>
          <w:szCs w:val="24"/>
        </w:rPr>
      </w:pPr>
      <w:r>
        <w:rPr>
          <w:rFonts w:hint="eastAsia" w:hAnsi="宋体"/>
          <w:color w:val="auto"/>
          <w:sz w:val="24"/>
          <w:szCs w:val="24"/>
        </w:rPr>
        <w:t>请求：</w:t>
      </w:r>
      <w:r>
        <w:rPr>
          <w:rFonts w:hint="eastAsia" w:hAnsi="宋体"/>
          <w:bCs/>
          <w:color w:val="auto"/>
          <w:sz w:val="24"/>
          <w:szCs w:val="24"/>
          <w:u w:val="single"/>
        </w:rPr>
        <w:t xml:space="preserve">                                                                                 </w:t>
      </w:r>
    </w:p>
    <w:p>
      <w:pPr>
        <w:pStyle w:val="18"/>
        <w:spacing w:line="360" w:lineRule="auto"/>
        <w:ind w:left="25" w:leftChars="12" w:firstLine="352" w:firstLineChars="147"/>
        <w:rPr>
          <w:rFonts w:hAnsi="宋体"/>
          <w:color w:val="auto"/>
          <w:sz w:val="24"/>
          <w:szCs w:val="24"/>
        </w:rPr>
      </w:pPr>
    </w:p>
    <w:p>
      <w:pPr>
        <w:pStyle w:val="18"/>
        <w:spacing w:line="360" w:lineRule="auto"/>
        <w:ind w:left="25" w:leftChars="12" w:firstLine="472" w:firstLineChars="197"/>
        <w:rPr>
          <w:rFonts w:hAnsi="宋体"/>
          <w:color w:val="auto"/>
          <w:sz w:val="24"/>
          <w:szCs w:val="24"/>
        </w:rPr>
      </w:pPr>
      <w:r>
        <w:rPr>
          <w:rFonts w:hint="eastAsia" w:hAnsi="宋体"/>
          <w:color w:val="auto"/>
          <w:sz w:val="24"/>
          <w:szCs w:val="24"/>
        </w:rPr>
        <w:t>签字（签章）：                                       公章：</w:t>
      </w:r>
    </w:p>
    <w:p>
      <w:pPr>
        <w:pStyle w:val="18"/>
        <w:spacing w:line="360" w:lineRule="auto"/>
        <w:ind w:left="25" w:leftChars="12" w:firstLine="352" w:firstLineChars="147"/>
        <w:rPr>
          <w:rFonts w:hAnsi="宋体"/>
          <w:color w:val="auto"/>
          <w:sz w:val="24"/>
          <w:szCs w:val="24"/>
        </w:rPr>
      </w:pPr>
    </w:p>
    <w:p>
      <w:pPr>
        <w:pStyle w:val="18"/>
        <w:spacing w:line="360" w:lineRule="auto"/>
        <w:ind w:left="25" w:leftChars="12" w:firstLine="472" w:firstLineChars="197"/>
        <w:rPr>
          <w:rFonts w:hAnsi="宋体"/>
          <w:color w:val="auto"/>
          <w:sz w:val="24"/>
          <w:szCs w:val="24"/>
        </w:rPr>
      </w:pPr>
      <w:r>
        <w:rPr>
          <w:rFonts w:hint="eastAsia" w:hAnsi="宋体"/>
          <w:color w:val="auto"/>
          <w:sz w:val="24"/>
          <w:szCs w:val="24"/>
        </w:rPr>
        <w:t>日期：</w:t>
      </w:r>
    </w:p>
    <w:p>
      <w:pPr>
        <w:pStyle w:val="18"/>
        <w:spacing w:line="360" w:lineRule="auto"/>
        <w:ind w:left="25" w:leftChars="12" w:firstLine="472" w:firstLineChars="197"/>
        <w:rPr>
          <w:rFonts w:hAnsi="宋体"/>
          <w:b/>
          <w:color w:val="auto"/>
          <w:sz w:val="24"/>
          <w:szCs w:val="24"/>
        </w:rPr>
      </w:pPr>
      <w:r>
        <w:rPr>
          <w:rFonts w:hint="eastAsia" w:hAnsi="宋体"/>
          <w:bCs/>
          <w:color w:val="auto"/>
          <w:sz w:val="24"/>
          <w:szCs w:val="24"/>
        </w:rPr>
        <w:t xml:space="preserve">                                                                                 </w:t>
      </w:r>
    </w:p>
    <w:p>
      <w:pPr>
        <w:pStyle w:val="18"/>
        <w:snapToGrid w:val="0"/>
        <w:spacing w:line="360" w:lineRule="auto"/>
        <w:rPr>
          <w:rFonts w:hAnsi="宋体"/>
          <w:b/>
          <w:color w:val="auto"/>
          <w:sz w:val="24"/>
          <w:szCs w:val="24"/>
        </w:rPr>
      </w:pPr>
      <w:r>
        <w:rPr>
          <w:rFonts w:hint="eastAsia" w:hAnsi="宋体"/>
          <w:b/>
          <w:color w:val="auto"/>
          <w:sz w:val="24"/>
          <w:szCs w:val="24"/>
        </w:rPr>
        <w:t>说明：</w:t>
      </w:r>
    </w:p>
    <w:p>
      <w:pPr>
        <w:pStyle w:val="18"/>
        <w:spacing w:line="360" w:lineRule="auto"/>
        <w:ind w:left="25" w:leftChars="12" w:firstLine="354" w:firstLineChars="147"/>
        <w:rPr>
          <w:rFonts w:hAnsi="宋体"/>
          <w:b/>
          <w:bCs/>
          <w:color w:val="auto"/>
          <w:sz w:val="24"/>
          <w:szCs w:val="24"/>
        </w:rPr>
      </w:pPr>
      <w:r>
        <w:rPr>
          <w:rFonts w:hint="eastAsia" w:hAnsi="宋体"/>
          <w:b/>
          <w:color w:val="auto"/>
          <w:sz w:val="24"/>
          <w:szCs w:val="24"/>
        </w:rPr>
        <w:t>1.投诉人提起投诉时，应当提交投诉书和必要的证明材料，并按照被投诉人和与投诉事项有关的供应商数量提供投诉书副本</w:t>
      </w:r>
      <w:r>
        <w:rPr>
          <w:rFonts w:hint="eastAsia" w:hAnsi="宋体"/>
          <w:b/>
          <w:bCs/>
          <w:color w:val="auto"/>
          <w:sz w:val="24"/>
          <w:szCs w:val="24"/>
        </w:rPr>
        <w:t>。</w:t>
      </w:r>
    </w:p>
    <w:p>
      <w:pPr>
        <w:pStyle w:val="18"/>
        <w:spacing w:line="360" w:lineRule="auto"/>
        <w:ind w:left="25" w:leftChars="12" w:firstLine="354" w:firstLineChars="147"/>
        <w:rPr>
          <w:rFonts w:hAnsi="宋体"/>
          <w:b/>
          <w:color w:val="auto"/>
          <w:sz w:val="24"/>
          <w:szCs w:val="24"/>
        </w:rPr>
      </w:pPr>
      <w:r>
        <w:rPr>
          <w:rFonts w:hint="eastAsia" w:hAnsi="宋体"/>
          <w:b/>
          <w:color w:val="auto"/>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8"/>
        <w:spacing w:line="360" w:lineRule="auto"/>
        <w:ind w:left="25" w:leftChars="12" w:firstLine="354" w:firstLineChars="147"/>
        <w:rPr>
          <w:rFonts w:hAnsi="宋体"/>
          <w:b/>
          <w:color w:val="auto"/>
          <w:sz w:val="24"/>
          <w:szCs w:val="24"/>
        </w:rPr>
      </w:pPr>
      <w:r>
        <w:rPr>
          <w:rFonts w:hint="eastAsia" w:hAnsi="宋体"/>
          <w:b/>
          <w:color w:val="auto"/>
          <w:sz w:val="24"/>
          <w:szCs w:val="24"/>
        </w:rPr>
        <w:t>3.投诉书应简要列明质疑事项，质疑函、质疑答复等作为附件材料提供。</w:t>
      </w:r>
    </w:p>
    <w:p>
      <w:pPr>
        <w:pStyle w:val="18"/>
        <w:spacing w:line="360" w:lineRule="auto"/>
        <w:ind w:left="25" w:leftChars="12" w:firstLine="354" w:firstLineChars="147"/>
        <w:rPr>
          <w:rFonts w:hAnsi="宋体"/>
          <w:b/>
          <w:color w:val="auto"/>
          <w:sz w:val="24"/>
          <w:szCs w:val="24"/>
        </w:rPr>
      </w:pPr>
      <w:r>
        <w:rPr>
          <w:rFonts w:hint="eastAsia" w:hAnsi="宋体"/>
          <w:b/>
          <w:color w:val="auto"/>
          <w:sz w:val="24"/>
          <w:szCs w:val="24"/>
        </w:rPr>
        <w:t>4.投诉书的投诉事项应具体、明确，并有必要的事实依据和法律依据。</w:t>
      </w:r>
    </w:p>
    <w:p>
      <w:pPr>
        <w:pStyle w:val="18"/>
        <w:spacing w:line="360" w:lineRule="auto"/>
        <w:ind w:left="25" w:leftChars="12" w:firstLine="354" w:firstLineChars="147"/>
        <w:rPr>
          <w:rFonts w:hAnsi="宋体"/>
          <w:b/>
          <w:color w:val="auto"/>
          <w:sz w:val="24"/>
          <w:szCs w:val="24"/>
        </w:rPr>
      </w:pPr>
      <w:r>
        <w:rPr>
          <w:rFonts w:hint="eastAsia" w:hAnsi="宋体"/>
          <w:b/>
          <w:color w:val="auto"/>
          <w:sz w:val="24"/>
          <w:szCs w:val="24"/>
        </w:rPr>
        <w:t>5.投诉书的投诉请求应与投诉事项相关。</w:t>
      </w:r>
    </w:p>
    <w:p>
      <w:pPr>
        <w:pStyle w:val="18"/>
        <w:spacing w:line="360" w:lineRule="auto"/>
        <w:ind w:left="25" w:leftChars="12" w:firstLine="354" w:firstLineChars="147"/>
        <w:rPr>
          <w:rFonts w:hAnsi="宋体"/>
          <w:b/>
          <w:color w:val="auto"/>
        </w:rPr>
      </w:pPr>
      <w:r>
        <w:rPr>
          <w:rFonts w:hint="eastAsia" w:hAnsi="宋体"/>
          <w:b/>
          <w:color w:val="auto"/>
          <w:sz w:val="24"/>
          <w:szCs w:val="24"/>
        </w:rPr>
        <w:t>6.投诉人为法人或者其他组织的，投诉书应由法定代表人、主要负责人，或者其授权代表签字或者盖章，并加盖公章。</w:t>
      </w:r>
    </w:p>
    <w:p>
      <w:pPr>
        <w:rPr>
          <w:color w:val="auto"/>
        </w:rPr>
      </w:pPr>
    </w:p>
    <w:p>
      <w:pPr>
        <w:rPr>
          <w:color w:val="auto"/>
        </w:rPr>
      </w:pPr>
    </w:p>
    <w:sectPr>
      <w:footerReference r:id="rId16" w:type="first"/>
      <w:headerReference r:id="rId13" w:type="default"/>
      <w:footerReference r:id="rId14" w:type="default"/>
      <w:footerReference r:id="rId15" w:type="even"/>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3"/>
                          </w:pPr>
                          <w:r>
                            <w:fldChar w:fldCharType="begin"/>
                          </w:r>
                          <w:r>
                            <w:instrText xml:space="preserve"> PAGE  \* MERGEFORMAT </w:instrText>
                          </w:r>
                          <w:r>
                            <w:fldChar w:fldCharType="separate"/>
                          </w:r>
                          <w:r>
                            <w:t>33</w:t>
                          </w:r>
                          <w:r>
                            <w:fldChar w:fldCharType="end"/>
                          </w:r>
                        </w:p>
                      </w:txbxContent>
                    </wps:txbx>
                    <wps:bodyPr wrap="none" lIns="0" tIns="0" rIns="0" bIns="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hk0hscBAACcAwAADgAAAGRycy9lMm9Eb2MueG1srVPNjtMwEL4j8Q6W&#10;7zRpJ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a86sMPTgl+/fLj9+XX5+Zctl&#10;0qf3WFHZg6fCONy5gbZmjiMFE+2hDSZ9iRCjPKl7vqoLQ2QyXVqv1uuSUpJys0P4xeN1HzC+BWdY&#10;Mmoe6PmyquL0HuNYOpekbtbdK63zE2r7V4AwxwjkHZhuJybjxMmKw36Y6O1dcyZ2Pe1BzS2tPWf6&#10;nSWZ08rMRpiN/WSkjuhvj5HGyNMl1BGKWCWHHi3zmxYsbcWffq56/Km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whk0hscBAACcAwAADgAAAAAAAAABACAAAAAeAQAAZHJzL2Uyb0RvYy54&#10;bWxQSwUGAAAAAAYABgBZAQAAVwU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8"/>
      </w:rPr>
    </w:pPr>
    <w:r>
      <w:fldChar w:fldCharType="begin"/>
    </w:r>
    <w:r>
      <w:rPr>
        <w:rStyle w:val="38"/>
      </w:rPr>
      <w:instrText xml:space="preserve">PAGE  </w:instrText>
    </w:r>
    <w:r>
      <w:fldChar w:fldCharType="separate"/>
    </w:r>
    <w:r>
      <w:rPr>
        <w:rStyle w:val="38"/>
      </w:rPr>
      <w:t>122</w:t>
    </w:r>
    <w:r>
      <w:fldChar w:fldCharType="end"/>
    </w:r>
  </w:p>
  <w:p>
    <w:pPr>
      <w:pStyle w:val="23"/>
      <w:ind w:right="360"/>
      <w:jc w:val="both"/>
    </w:pPr>
    <w:r>
      <w:rPr>
        <w:rFonts w:hint="eastAsia"/>
      </w:rPr>
      <w:t>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3"/>
                          </w:pPr>
                          <w:r>
                            <w:fldChar w:fldCharType="begin"/>
                          </w:r>
                          <w:r>
                            <w:instrText xml:space="preserve"> PAGE  \* MERGEFORMAT </w:instrText>
                          </w:r>
                          <w:r>
                            <w:fldChar w:fldCharType="separate"/>
                          </w:r>
                          <w:r>
                            <w:t>61</w:t>
                          </w:r>
                          <w:r>
                            <w:fldChar w:fldCharType="end"/>
                          </w:r>
                        </w:p>
                      </w:txbxContent>
                    </wps:txbx>
                    <wps:bodyPr wrap="none" lIns="0" tIns="0" rIns="0" bIns="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PzfpevFAQAAmwMAAA4AAAAAAAAAAQAgAAAAHgEAAGRycy9lMm9Eb2MueG1s&#10;UEsFBgAAAAAGAAYAWQEAAFUFA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8"/>
      </w:rPr>
    </w:pPr>
    <w:r>
      <w:fldChar w:fldCharType="begin"/>
    </w:r>
    <w:r>
      <w:rPr>
        <w:rStyle w:val="38"/>
      </w:rPr>
      <w:instrText xml:space="preserve">PAGE  </w:instrText>
    </w:r>
    <w:r>
      <w:fldChar w:fldCharType="end"/>
    </w:r>
  </w:p>
  <w:p>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3"/>
                          </w:pPr>
                          <w:r>
                            <w:fldChar w:fldCharType="begin"/>
                          </w:r>
                          <w:r>
                            <w:instrText xml:space="preserve"> PAGE  \* MERGEFORMAT </w:instrText>
                          </w:r>
                          <w:r>
                            <w:fldChar w:fldCharType="separate"/>
                          </w:r>
                          <w:r>
                            <w:t>60</w:t>
                          </w:r>
                          <w: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RfQUfMcBAACbAwAADgAAAAAAAAABACAAAAAeAQAAZHJzL2Uyb0RvYy54&#10;bWxQSwUGAAAAAAYABgBZAQAAVwU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60</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3"/>
                          </w:pPr>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kXPhwxgEAAJsDAAAOAAAAAAAAAAEAIAAAAB4BAABkcnMvZTJvRG9jLnht&#10;bFBLBQYAAAAABgAGAFkBAABWBQAAAAA=&#10;">
              <v:fill on="f" focussize="0,0"/>
              <v:stroke on="f"/>
              <v:imagedata o:title=""/>
              <o:lock v:ext="edit" aspectratio="f"/>
              <v:textbox inset="0mm,0mm,0mm,0mm" style="mso-fit-shape-to-text:t;">
                <w:txbxContent>
                  <w:p>
                    <w:pPr>
                      <w:pStyle w:val="23"/>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3"/>
                          </w:pPr>
                          <w:r>
                            <w:fldChar w:fldCharType="begin"/>
                          </w:r>
                          <w:r>
                            <w:instrText xml:space="preserve"> PAGE  \* MERGEFORMAT </w:instrText>
                          </w:r>
                          <w:r>
                            <w:fldChar w:fldCharType="separate"/>
                          </w:r>
                          <w:r>
                            <w:t>92</w:t>
                          </w:r>
                          <w:r>
                            <w:fldChar w:fldCharType="end"/>
                          </w:r>
                        </w:p>
                      </w:txbxContent>
                    </wps:txbx>
                    <wps:bodyPr wrap="none" lIns="0" tIns="0" rIns="0" bIns="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EzlE0xgEAAJwDAAAOAAAAAAAAAAEAIAAAAB4BAABkcnMvZTJvRG9jLnht&#10;bFBLBQYAAAAABgAGAFkBAABWBQ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8"/>
      </w:rPr>
    </w:pPr>
    <w:r>
      <w:fldChar w:fldCharType="begin"/>
    </w:r>
    <w:r>
      <w:rPr>
        <w:rStyle w:val="38"/>
      </w:rPr>
      <w:instrText xml:space="preserve">PAGE  </w:instrText>
    </w:r>
    <w:r>
      <w:fldChar w:fldCharType="end"/>
    </w:r>
  </w:p>
  <w:p>
    <w:pPr>
      <w:pStyle w:val="2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8"/>
      </w:rPr>
    </w:pPr>
    <w:r>
      <w:fldChar w:fldCharType="begin"/>
    </w:r>
    <w:r>
      <w:rPr>
        <w:rStyle w:val="38"/>
      </w:rPr>
      <w:instrText xml:space="preserve">PAGE  </w:instrText>
    </w:r>
    <w:r>
      <w:fldChar w:fldCharType="separate"/>
    </w:r>
    <w:r>
      <w:rPr>
        <w:rStyle w:val="38"/>
      </w:rPr>
      <w:t>122</w:t>
    </w:r>
    <w:r>
      <w:fldChar w:fldCharType="end"/>
    </w:r>
  </w:p>
  <w:p>
    <w:pPr>
      <w:pStyle w:val="23"/>
      <w:ind w:right="360"/>
      <w:jc w:val="both"/>
    </w:pPr>
    <w:r>
      <w:rPr>
        <w:rFonts w:hint="eastAsia"/>
      </w:rPr>
      <w:t>121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106</w:t>
    </w:r>
    <w:r>
      <w:fldChar w:fldCharType="end"/>
    </w:r>
  </w:p>
  <w:p>
    <w:pPr>
      <w:pStyle w:val="2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8"/>
      </w:rPr>
    </w:pPr>
    <w:r>
      <w:fldChar w:fldCharType="begin"/>
    </w:r>
    <w:r>
      <w:rPr>
        <w:rStyle w:val="38"/>
      </w:rPr>
      <w:instrText xml:space="preserve">PAGE  </w:instrText>
    </w:r>
    <w:r>
      <w:fldChar w:fldCharType="end"/>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0"/>
        <w:tab w:val="left" w:pos="8306"/>
        <w:tab w:val="clear" w:pos="4153"/>
      </w:tabs>
      <w:rPr>
        <w:rFonts w:hint="eastAsia" w:eastAsia="宋体"/>
        <w:lang w:eastAsia="zh-CN"/>
      </w:rPr>
    </w:pPr>
    <w:r>
      <w:rPr>
        <w:rFonts w:hint="eastAsia"/>
      </w:rPr>
      <w:t>项目名称：</w:t>
    </w:r>
    <w:r>
      <w:rPr>
        <w:rFonts w:hint="eastAsia"/>
        <w:lang w:eastAsia="zh-CN"/>
      </w:rPr>
      <w:t>党的二十大安全播出保障项目设备采购</w:t>
    </w:r>
    <w:r>
      <w:rPr>
        <w:rFonts w:hint="eastAsia"/>
      </w:rPr>
      <w:t xml:space="preserve">             项目编号：</w:t>
    </w:r>
    <w:r>
      <w:rPr>
        <w:rFonts w:hint="eastAsia"/>
        <w:lang w:eastAsia="zh-CN"/>
      </w:rPr>
      <w:t>GXZC2022-G1-003501-ZZGJ</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0"/>
        <w:tab w:val="left" w:pos="8306"/>
        <w:tab w:val="clear" w:pos="4153"/>
      </w:tabs>
    </w:pPr>
    <w:r>
      <w:rPr>
        <w:rFonts w:hint="eastAsia"/>
      </w:rPr>
      <w:t>项目名称：</w:t>
    </w:r>
    <w:r>
      <w:rPr>
        <w:rFonts w:hint="eastAsia"/>
        <w:lang w:eastAsia="zh-CN"/>
      </w:rPr>
      <w:t>党的二十大安全播出保障项目设备采购</w:t>
    </w:r>
    <w:r>
      <w:rPr>
        <w:rFonts w:hint="eastAsia"/>
      </w:rPr>
      <w:t xml:space="preserve">             项目编号：</w:t>
    </w:r>
    <w:r>
      <w:rPr>
        <w:rFonts w:hint="eastAsia"/>
        <w:lang w:eastAsia="zh-CN"/>
      </w:rPr>
      <w:t>GXZC2022-G1-003501-ZZGJ</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0"/>
        <w:tab w:val="left" w:pos="8306"/>
        <w:tab w:val="clear" w:pos="4153"/>
      </w:tabs>
    </w:pPr>
    <w:r>
      <w:rPr>
        <w:rFonts w:hint="eastAsia"/>
      </w:rPr>
      <w:t>项目名称：</w:t>
    </w:r>
    <w:r>
      <w:rPr>
        <w:rFonts w:hint="eastAsia"/>
        <w:lang w:eastAsia="zh-CN"/>
      </w:rPr>
      <w:t>党的二十大安全播出保障项目设备采购</w:t>
    </w:r>
    <w:r>
      <w:rPr>
        <w:rFonts w:hint="eastAsia"/>
      </w:rPr>
      <w:t xml:space="preserve">             项目编号：</w:t>
    </w:r>
    <w:r>
      <w:rPr>
        <w:rFonts w:hint="eastAsia"/>
        <w:lang w:eastAsia="zh-CN"/>
      </w:rPr>
      <w:t>GXZC2022-G1-003501-ZZGJ</w:t>
    </w:r>
  </w:p>
  <w:p>
    <w:pPr>
      <w:pStyle w:val="24"/>
      <w:pBdr>
        <w:bottom w:val="none" w:color="auto" w:sz="0" w:space="0"/>
      </w:pBdr>
      <w:tabs>
        <w:tab w:val="center" w:pos="0"/>
        <w:tab w:val="left" w:pos="8306"/>
        <w:tab w:val="clear" w:pos="4153"/>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0"/>
        <w:tab w:val="clear" w:pos="4153"/>
      </w:tabs>
    </w:pPr>
    <w:r>
      <w:rPr>
        <w:rFonts w:hint="eastAsia"/>
      </w:rPr>
      <w:t>项目名称：</w:t>
    </w:r>
    <w:r>
      <w:rPr>
        <w:rFonts w:hint="eastAsia"/>
        <w:lang w:eastAsia="zh-CN"/>
      </w:rPr>
      <w:t>党的二十大安全播出保障项目设备采购</w:t>
    </w:r>
    <w:r>
      <w:rPr>
        <w:rFonts w:hint="eastAsia"/>
      </w:rPr>
      <w:t xml:space="preserve">             项目编号：</w:t>
    </w:r>
    <w:r>
      <w:rPr>
        <w:rFonts w:hint="eastAsia"/>
        <w:lang w:eastAsia="zh-CN"/>
      </w:rPr>
      <w:t>GXZC2022-G1-003501-ZZGJ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8F1C5D"/>
    <w:multiLevelType w:val="singleLevel"/>
    <w:tmpl w:val="A08F1C5D"/>
    <w:lvl w:ilvl="0" w:tentative="0">
      <w:start w:val="1"/>
      <w:numFmt w:val="decimal"/>
      <w:suff w:val="space"/>
      <w:lvlText w:val="%1."/>
      <w:lvlJc w:val="left"/>
    </w:lvl>
  </w:abstractNum>
  <w:abstractNum w:abstractNumId="1">
    <w:nsid w:val="BE14ABDA"/>
    <w:multiLevelType w:val="multilevel"/>
    <w:tmpl w:val="BE14ABD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E827E2BE"/>
    <w:multiLevelType w:val="singleLevel"/>
    <w:tmpl w:val="E827E2BE"/>
    <w:lvl w:ilvl="0" w:tentative="0">
      <w:start w:val="1"/>
      <w:numFmt w:val="chineseCounting"/>
      <w:suff w:val="nothing"/>
      <w:lvlText w:val="%1、"/>
      <w:lvlJc w:val="left"/>
      <w:rPr>
        <w:rFonts w:hint="eastAsia"/>
      </w:rPr>
    </w:lvl>
  </w:abstractNum>
  <w:abstractNum w:abstractNumId="3">
    <w:nsid w:val="22781C3F"/>
    <w:multiLevelType w:val="multilevel"/>
    <w:tmpl w:val="22781C3F"/>
    <w:lvl w:ilvl="0" w:tentative="0">
      <w:start w:val="1"/>
      <w:numFmt w:val="decimal"/>
      <w:pStyle w:val="111"/>
      <w:lvlText w:val="(%1)"/>
      <w:lvlJc w:val="left"/>
      <w:pPr>
        <w:tabs>
          <w:tab w:val="left" w:pos="846"/>
        </w:tabs>
        <w:ind w:left="846" w:hanging="420"/>
      </w:pPr>
      <w:rPr>
        <w:rFonts w:hint="eastAsia" w:cs="Times New Roman"/>
      </w:rPr>
    </w:lvl>
    <w:lvl w:ilvl="1" w:tentative="0">
      <w:start w:val="1"/>
      <w:numFmt w:val="decimal"/>
      <w:isLgl/>
      <w:lvlText w:val="%1.%2"/>
      <w:lvlJc w:val="left"/>
      <w:pPr>
        <w:tabs>
          <w:tab w:val="left" w:pos="951"/>
        </w:tabs>
        <w:ind w:left="951" w:hanging="525"/>
      </w:pPr>
      <w:rPr>
        <w:rFonts w:hint="default"/>
      </w:rPr>
    </w:lvl>
    <w:lvl w:ilvl="2" w:tentative="0">
      <w:start w:val="5"/>
      <w:numFmt w:val="decimal"/>
      <w:isLgl/>
      <w:lvlText w:val="%1.%2.%3"/>
      <w:lvlJc w:val="left"/>
      <w:pPr>
        <w:tabs>
          <w:tab w:val="left" w:pos="1146"/>
        </w:tabs>
        <w:ind w:left="1146" w:hanging="720"/>
      </w:pPr>
      <w:rPr>
        <w:rFonts w:hint="default"/>
      </w:rPr>
    </w:lvl>
    <w:lvl w:ilvl="3" w:tentative="0">
      <w:start w:val="1"/>
      <w:numFmt w:val="decimal"/>
      <w:isLgl/>
      <w:lvlText w:val="%1.%2.%3.%4"/>
      <w:lvlJc w:val="left"/>
      <w:pPr>
        <w:tabs>
          <w:tab w:val="left" w:pos="1506"/>
        </w:tabs>
        <w:ind w:left="1506" w:hanging="1080"/>
      </w:pPr>
      <w:rPr>
        <w:rFonts w:hint="default"/>
      </w:rPr>
    </w:lvl>
    <w:lvl w:ilvl="4" w:tentative="0">
      <w:start w:val="1"/>
      <w:numFmt w:val="decimal"/>
      <w:isLgl/>
      <w:lvlText w:val="%1.%2.%3.%4.%5"/>
      <w:lvlJc w:val="left"/>
      <w:pPr>
        <w:tabs>
          <w:tab w:val="left" w:pos="1506"/>
        </w:tabs>
        <w:ind w:left="1506" w:hanging="1080"/>
      </w:pPr>
      <w:rPr>
        <w:rFonts w:hint="default"/>
      </w:rPr>
    </w:lvl>
    <w:lvl w:ilvl="5" w:tentative="0">
      <w:start w:val="1"/>
      <w:numFmt w:val="decimal"/>
      <w:isLgl/>
      <w:lvlText w:val="%1.%2.%3.%4.%5.%6"/>
      <w:lvlJc w:val="left"/>
      <w:pPr>
        <w:tabs>
          <w:tab w:val="left" w:pos="1866"/>
        </w:tabs>
        <w:ind w:left="1866" w:hanging="1440"/>
      </w:pPr>
      <w:rPr>
        <w:rFonts w:hint="default"/>
      </w:rPr>
    </w:lvl>
    <w:lvl w:ilvl="6" w:tentative="0">
      <w:start w:val="1"/>
      <w:numFmt w:val="decimal"/>
      <w:isLgl/>
      <w:lvlText w:val="%1.%2.%3.%4.%5.%6.%7"/>
      <w:lvlJc w:val="left"/>
      <w:pPr>
        <w:tabs>
          <w:tab w:val="left" w:pos="1866"/>
        </w:tabs>
        <w:ind w:left="1866" w:hanging="1440"/>
      </w:pPr>
      <w:rPr>
        <w:rFonts w:hint="default"/>
      </w:rPr>
    </w:lvl>
    <w:lvl w:ilvl="7" w:tentative="0">
      <w:start w:val="1"/>
      <w:numFmt w:val="decimal"/>
      <w:isLgl/>
      <w:lvlText w:val="%1.%2.%3.%4.%5.%6.%7.%8"/>
      <w:lvlJc w:val="left"/>
      <w:pPr>
        <w:tabs>
          <w:tab w:val="left" w:pos="2226"/>
        </w:tabs>
        <w:ind w:left="2226" w:hanging="1800"/>
      </w:pPr>
      <w:rPr>
        <w:rFonts w:hint="default"/>
      </w:rPr>
    </w:lvl>
    <w:lvl w:ilvl="8" w:tentative="0">
      <w:start w:val="1"/>
      <w:numFmt w:val="decimal"/>
      <w:isLgl/>
      <w:lvlText w:val="%1.%2.%3.%4.%5.%6.%7.%8.%9"/>
      <w:lvlJc w:val="left"/>
      <w:pPr>
        <w:tabs>
          <w:tab w:val="left" w:pos="2226"/>
        </w:tabs>
        <w:ind w:left="2226" w:hanging="1800"/>
      </w:pPr>
      <w:rPr>
        <w:rFonts w:hint="default"/>
      </w:rPr>
    </w:lvl>
  </w:abstractNum>
  <w:abstractNum w:abstractNumId="4">
    <w:nsid w:val="42405056"/>
    <w:multiLevelType w:val="multilevel"/>
    <w:tmpl w:val="42405056"/>
    <w:lvl w:ilvl="0" w:tentative="0">
      <w:start w:val="1"/>
      <w:numFmt w:val="decimal"/>
      <w:lvlText w:val="%1."/>
      <w:lvlJc w:val="left"/>
      <w:pPr>
        <w:ind w:left="773" w:hanging="360"/>
      </w:pPr>
      <w:rPr>
        <w:rFonts w:hint="default" w:ascii="宋体" w:hAnsi="宋体" w:eastAsia="宋体" w:cs="宋体"/>
        <w:b w:val="0"/>
        <w:bCs/>
        <w:sz w:val="21"/>
        <w:szCs w:val="21"/>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5">
    <w:nsid w:val="4BB64FDF"/>
    <w:multiLevelType w:val="singleLevel"/>
    <w:tmpl w:val="4BB64FDF"/>
    <w:lvl w:ilvl="0" w:tentative="0">
      <w:start w:val="1"/>
      <w:numFmt w:val="decimal"/>
      <w:suff w:val="space"/>
      <w:lvlText w:val="%1."/>
      <w:lvlJc w:val="left"/>
      <w:rPr>
        <w:rFonts w:hint="default"/>
        <w:b w:val="0"/>
        <w:bCs w:val="0"/>
        <w:sz w:val="21"/>
        <w:szCs w:val="21"/>
      </w:rPr>
    </w:lvl>
  </w:abstractNum>
  <w:abstractNum w:abstractNumId="6">
    <w:nsid w:val="4C601917"/>
    <w:multiLevelType w:val="singleLevel"/>
    <w:tmpl w:val="4C601917"/>
    <w:lvl w:ilvl="0" w:tentative="0">
      <w:start w:val="1"/>
      <w:numFmt w:val="decimal"/>
      <w:suff w:val="nothing"/>
      <w:lvlText w:val="（%1）"/>
      <w:lvlJc w:val="left"/>
    </w:lvl>
  </w:abstractNum>
  <w:abstractNum w:abstractNumId="7">
    <w:nsid w:val="5FABD14B"/>
    <w:multiLevelType w:val="singleLevel"/>
    <w:tmpl w:val="5FABD14B"/>
    <w:lvl w:ilvl="0" w:tentative="0">
      <w:start w:val="1"/>
      <w:numFmt w:val="decimal"/>
      <w:suff w:val="nothing"/>
      <w:lvlText w:val="（%1）"/>
      <w:lvlJc w:val="left"/>
    </w:lvl>
  </w:abstractNum>
  <w:abstractNum w:abstractNumId="8">
    <w:nsid w:val="668C627C"/>
    <w:multiLevelType w:val="multilevel"/>
    <w:tmpl w:val="668C62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0BD51E6"/>
    <w:multiLevelType w:val="multilevel"/>
    <w:tmpl w:val="70BD51E6"/>
    <w:lvl w:ilvl="0" w:tentative="0">
      <w:start w:val="1"/>
      <w:numFmt w:val="decimal"/>
      <w:lvlText w:val="%1."/>
      <w:lvlJc w:val="left"/>
      <w:pPr>
        <w:ind w:left="840" w:hanging="420"/>
      </w:pPr>
      <w:rPr>
        <w:rFonts w:hint="default" w:ascii="宋体" w:hAnsi="宋体" w:eastAsia="宋体" w:cs="宋体"/>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3"/>
  </w:num>
  <w:num w:numId="2">
    <w:abstractNumId w:val="8"/>
  </w:num>
  <w:num w:numId="3">
    <w:abstractNumId w:val="1"/>
  </w:num>
  <w:num w:numId="4">
    <w:abstractNumId w:val="9"/>
  </w:num>
  <w:num w:numId="5">
    <w:abstractNumId w:val="4"/>
  </w:num>
  <w:num w:numId="6">
    <w:abstractNumId w:val="5"/>
  </w:num>
  <w:num w:numId="7">
    <w:abstractNumId w:val="0"/>
  </w:num>
  <w:num w:numId="8">
    <w:abstractNumId w:val="2"/>
  </w:num>
  <w:num w:numId="9">
    <w:abstractNumId w:val="6"/>
  </w:num>
  <w:num w:numId="10">
    <w:abstractNumId w:val="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enforcement="1" w:cryptProviderType="rsaFull" w:cryptAlgorithmClass="hash" w:cryptAlgorithmType="typeAny" w:cryptAlgorithmSid="4" w:cryptSpinCount="0" w:hash="ET33K3JuKG7czv6IdRHBlD8eb0c=" w:salt="5mqgvSCdmynkEY3cMUPjRQ=="/>
  <w:defaultTabStop w:val="420"/>
  <w:drawingGridHorizontalSpacing w:val="105"/>
  <w:drawingGridVerticalSpacing w:val="331"/>
  <w:displayHorizontalDrawingGridEvery w:val="1"/>
  <w:displayVerticalDrawingGridEvery w:val="1"/>
  <w:noPunctuationKerning w:val="1"/>
  <w:characterSpacingControl w:val="compressPunctuation"/>
  <w:doNotValidateAgainstSchema/>
  <w:doNotDemarcateInvalidXml/>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MjE1YjI5MTM2OWY1NTM1M2IxOGU3Y2U2YzRhOGUifQ=="/>
  </w:docVars>
  <w:rsids>
    <w:rsidRoot w:val="00172A27"/>
    <w:rsid w:val="0000096C"/>
    <w:rsid w:val="00000CDB"/>
    <w:rsid w:val="00004344"/>
    <w:rsid w:val="00005909"/>
    <w:rsid w:val="00013151"/>
    <w:rsid w:val="000207D5"/>
    <w:rsid w:val="00024E82"/>
    <w:rsid w:val="00027659"/>
    <w:rsid w:val="00030800"/>
    <w:rsid w:val="00031652"/>
    <w:rsid w:val="00034A7D"/>
    <w:rsid w:val="00035197"/>
    <w:rsid w:val="00035F9C"/>
    <w:rsid w:val="00044EDB"/>
    <w:rsid w:val="00054304"/>
    <w:rsid w:val="000553BC"/>
    <w:rsid w:val="0006218D"/>
    <w:rsid w:val="00063F24"/>
    <w:rsid w:val="00065AF0"/>
    <w:rsid w:val="00066EA9"/>
    <w:rsid w:val="00066FE1"/>
    <w:rsid w:val="00074D5F"/>
    <w:rsid w:val="00077BF5"/>
    <w:rsid w:val="00081789"/>
    <w:rsid w:val="00085A0D"/>
    <w:rsid w:val="00092A54"/>
    <w:rsid w:val="0009317E"/>
    <w:rsid w:val="00093B18"/>
    <w:rsid w:val="00094E84"/>
    <w:rsid w:val="000A7A4B"/>
    <w:rsid w:val="000C302E"/>
    <w:rsid w:val="000C39D3"/>
    <w:rsid w:val="000C5D44"/>
    <w:rsid w:val="000C79CA"/>
    <w:rsid w:val="000D5F48"/>
    <w:rsid w:val="000D7284"/>
    <w:rsid w:val="000F1BBE"/>
    <w:rsid w:val="001031E7"/>
    <w:rsid w:val="00104245"/>
    <w:rsid w:val="001108AC"/>
    <w:rsid w:val="00110DD2"/>
    <w:rsid w:val="00112EA6"/>
    <w:rsid w:val="00116FC9"/>
    <w:rsid w:val="00120C46"/>
    <w:rsid w:val="001214B8"/>
    <w:rsid w:val="00125837"/>
    <w:rsid w:val="00140B14"/>
    <w:rsid w:val="00140CE8"/>
    <w:rsid w:val="00143DA6"/>
    <w:rsid w:val="00151CEE"/>
    <w:rsid w:val="0015209C"/>
    <w:rsid w:val="001551E7"/>
    <w:rsid w:val="00166CDF"/>
    <w:rsid w:val="00170AA7"/>
    <w:rsid w:val="00172A27"/>
    <w:rsid w:val="00173852"/>
    <w:rsid w:val="00174F9B"/>
    <w:rsid w:val="00177D95"/>
    <w:rsid w:val="00182C28"/>
    <w:rsid w:val="00186642"/>
    <w:rsid w:val="00190F4C"/>
    <w:rsid w:val="00193D49"/>
    <w:rsid w:val="0019577E"/>
    <w:rsid w:val="001A307B"/>
    <w:rsid w:val="001B1366"/>
    <w:rsid w:val="001B2BDE"/>
    <w:rsid w:val="001B2FAE"/>
    <w:rsid w:val="001D047F"/>
    <w:rsid w:val="001D59CB"/>
    <w:rsid w:val="001E0216"/>
    <w:rsid w:val="001E0590"/>
    <w:rsid w:val="001E3E3A"/>
    <w:rsid w:val="001E4E53"/>
    <w:rsid w:val="001E6153"/>
    <w:rsid w:val="001E6C5D"/>
    <w:rsid w:val="001E7AB6"/>
    <w:rsid w:val="001F330A"/>
    <w:rsid w:val="001F4D3C"/>
    <w:rsid w:val="00201770"/>
    <w:rsid w:val="00204164"/>
    <w:rsid w:val="00204F25"/>
    <w:rsid w:val="00205999"/>
    <w:rsid w:val="00207350"/>
    <w:rsid w:val="00221909"/>
    <w:rsid w:val="002230A4"/>
    <w:rsid w:val="00231EAB"/>
    <w:rsid w:val="00232E04"/>
    <w:rsid w:val="00236055"/>
    <w:rsid w:val="00236B7D"/>
    <w:rsid w:val="00244627"/>
    <w:rsid w:val="0025753A"/>
    <w:rsid w:val="002738BD"/>
    <w:rsid w:val="002867CF"/>
    <w:rsid w:val="00293976"/>
    <w:rsid w:val="00297271"/>
    <w:rsid w:val="002B3400"/>
    <w:rsid w:val="002B4610"/>
    <w:rsid w:val="002C1328"/>
    <w:rsid w:val="002C27F2"/>
    <w:rsid w:val="002C38A0"/>
    <w:rsid w:val="002D2EF2"/>
    <w:rsid w:val="002E0A18"/>
    <w:rsid w:val="002E6D9F"/>
    <w:rsid w:val="002F55FD"/>
    <w:rsid w:val="002F667D"/>
    <w:rsid w:val="003014B1"/>
    <w:rsid w:val="003051FD"/>
    <w:rsid w:val="00305816"/>
    <w:rsid w:val="0031447E"/>
    <w:rsid w:val="00315EB2"/>
    <w:rsid w:val="003162D6"/>
    <w:rsid w:val="00316994"/>
    <w:rsid w:val="00320B19"/>
    <w:rsid w:val="00325672"/>
    <w:rsid w:val="00327461"/>
    <w:rsid w:val="00330EE9"/>
    <w:rsid w:val="003331F5"/>
    <w:rsid w:val="00337A9F"/>
    <w:rsid w:val="00346976"/>
    <w:rsid w:val="00347950"/>
    <w:rsid w:val="003522D6"/>
    <w:rsid w:val="00353905"/>
    <w:rsid w:val="00355191"/>
    <w:rsid w:val="00366E54"/>
    <w:rsid w:val="0037075A"/>
    <w:rsid w:val="00371C87"/>
    <w:rsid w:val="00384EB6"/>
    <w:rsid w:val="003868E3"/>
    <w:rsid w:val="0039417D"/>
    <w:rsid w:val="003A3917"/>
    <w:rsid w:val="003A622A"/>
    <w:rsid w:val="003B031E"/>
    <w:rsid w:val="003B2214"/>
    <w:rsid w:val="003B31F1"/>
    <w:rsid w:val="003B7C9A"/>
    <w:rsid w:val="003C027A"/>
    <w:rsid w:val="003C393F"/>
    <w:rsid w:val="003C7A51"/>
    <w:rsid w:val="003D3465"/>
    <w:rsid w:val="003D478D"/>
    <w:rsid w:val="003D7400"/>
    <w:rsid w:val="003E0AD4"/>
    <w:rsid w:val="003E1425"/>
    <w:rsid w:val="003E64C1"/>
    <w:rsid w:val="003E67F9"/>
    <w:rsid w:val="003E70B7"/>
    <w:rsid w:val="003F1F9C"/>
    <w:rsid w:val="003F6AB3"/>
    <w:rsid w:val="003F7B0D"/>
    <w:rsid w:val="004029ED"/>
    <w:rsid w:val="00403AA3"/>
    <w:rsid w:val="0040651A"/>
    <w:rsid w:val="00423F17"/>
    <w:rsid w:val="00435268"/>
    <w:rsid w:val="0044600A"/>
    <w:rsid w:val="004474B5"/>
    <w:rsid w:val="00447BDE"/>
    <w:rsid w:val="00450ADB"/>
    <w:rsid w:val="00452102"/>
    <w:rsid w:val="004531C4"/>
    <w:rsid w:val="0046694A"/>
    <w:rsid w:val="0046760D"/>
    <w:rsid w:val="00467833"/>
    <w:rsid w:val="00472DF0"/>
    <w:rsid w:val="00474447"/>
    <w:rsid w:val="004820E2"/>
    <w:rsid w:val="004853B6"/>
    <w:rsid w:val="004861BA"/>
    <w:rsid w:val="00486E44"/>
    <w:rsid w:val="004925A4"/>
    <w:rsid w:val="004A0443"/>
    <w:rsid w:val="004A5F2A"/>
    <w:rsid w:val="004A6736"/>
    <w:rsid w:val="004E126C"/>
    <w:rsid w:val="004E5A78"/>
    <w:rsid w:val="004F5BCD"/>
    <w:rsid w:val="005033B8"/>
    <w:rsid w:val="00503A40"/>
    <w:rsid w:val="00506840"/>
    <w:rsid w:val="00506FAB"/>
    <w:rsid w:val="00511A25"/>
    <w:rsid w:val="00517D40"/>
    <w:rsid w:val="00520861"/>
    <w:rsid w:val="00521880"/>
    <w:rsid w:val="005279FB"/>
    <w:rsid w:val="00532BF5"/>
    <w:rsid w:val="0053541C"/>
    <w:rsid w:val="005458AD"/>
    <w:rsid w:val="0055409E"/>
    <w:rsid w:val="00554A36"/>
    <w:rsid w:val="00562514"/>
    <w:rsid w:val="00562674"/>
    <w:rsid w:val="00564C6D"/>
    <w:rsid w:val="00565F7F"/>
    <w:rsid w:val="00576E04"/>
    <w:rsid w:val="0057733C"/>
    <w:rsid w:val="00581AC2"/>
    <w:rsid w:val="00583AC0"/>
    <w:rsid w:val="005873D0"/>
    <w:rsid w:val="005917A6"/>
    <w:rsid w:val="005932B6"/>
    <w:rsid w:val="00596F89"/>
    <w:rsid w:val="005B53A3"/>
    <w:rsid w:val="005C06FA"/>
    <w:rsid w:val="005C1383"/>
    <w:rsid w:val="005C3F03"/>
    <w:rsid w:val="005D54D6"/>
    <w:rsid w:val="005E3973"/>
    <w:rsid w:val="005E671C"/>
    <w:rsid w:val="005F6F86"/>
    <w:rsid w:val="00600743"/>
    <w:rsid w:val="00603D18"/>
    <w:rsid w:val="006048A4"/>
    <w:rsid w:val="00605362"/>
    <w:rsid w:val="006064F7"/>
    <w:rsid w:val="006068F0"/>
    <w:rsid w:val="00606C3B"/>
    <w:rsid w:val="006214D7"/>
    <w:rsid w:val="006224B3"/>
    <w:rsid w:val="00622C28"/>
    <w:rsid w:val="00626CA8"/>
    <w:rsid w:val="006301C4"/>
    <w:rsid w:val="006304DE"/>
    <w:rsid w:val="00631BAB"/>
    <w:rsid w:val="006406A8"/>
    <w:rsid w:val="00640B4E"/>
    <w:rsid w:val="00641D5B"/>
    <w:rsid w:val="00653CDE"/>
    <w:rsid w:val="00656442"/>
    <w:rsid w:val="00661DA0"/>
    <w:rsid w:val="006632E6"/>
    <w:rsid w:val="0067703D"/>
    <w:rsid w:val="006831E3"/>
    <w:rsid w:val="00691B1A"/>
    <w:rsid w:val="00694EF7"/>
    <w:rsid w:val="00695425"/>
    <w:rsid w:val="006A101B"/>
    <w:rsid w:val="006A53A9"/>
    <w:rsid w:val="006A6DC8"/>
    <w:rsid w:val="006C015A"/>
    <w:rsid w:val="006C2360"/>
    <w:rsid w:val="006C55A9"/>
    <w:rsid w:val="006C5999"/>
    <w:rsid w:val="006D0A1B"/>
    <w:rsid w:val="006D6A62"/>
    <w:rsid w:val="006F0015"/>
    <w:rsid w:val="006F13F8"/>
    <w:rsid w:val="006F4267"/>
    <w:rsid w:val="006F77B6"/>
    <w:rsid w:val="00707FF2"/>
    <w:rsid w:val="00715456"/>
    <w:rsid w:val="00717D53"/>
    <w:rsid w:val="0072351B"/>
    <w:rsid w:val="00730FBB"/>
    <w:rsid w:val="00731B65"/>
    <w:rsid w:val="00736625"/>
    <w:rsid w:val="00744B4B"/>
    <w:rsid w:val="00745BFF"/>
    <w:rsid w:val="0074683F"/>
    <w:rsid w:val="00750CA6"/>
    <w:rsid w:val="007549ED"/>
    <w:rsid w:val="0075643C"/>
    <w:rsid w:val="00756DD1"/>
    <w:rsid w:val="00757B36"/>
    <w:rsid w:val="00761289"/>
    <w:rsid w:val="00761EA6"/>
    <w:rsid w:val="00767154"/>
    <w:rsid w:val="00773B6C"/>
    <w:rsid w:val="0078187A"/>
    <w:rsid w:val="00781DF2"/>
    <w:rsid w:val="00790B95"/>
    <w:rsid w:val="007937A3"/>
    <w:rsid w:val="007C09EA"/>
    <w:rsid w:val="007C3614"/>
    <w:rsid w:val="007C3B9F"/>
    <w:rsid w:val="007D5273"/>
    <w:rsid w:val="007D6581"/>
    <w:rsid w:val="007D6EBC"/>
    <w:rsid w:val="007E3B0A"/>
    <w:rsid w:val="007F0A33"/>
    <w:rsid w:val="007F1D2B"/>
    <w:rsid w:val="007F4D7D"/>
    <w:rsid w:val="007F717F"/>
    <w:rsid w:val="00800753"/>
    <w:rsid w:val="008176CE"/>
    <w:rsid w:val="008232D5"/>
    <w:rsid w:val="00823F88"/>
    <w:rsid w:val="008300D6"/>
    <w:rsid w:val="008429D8"/>
    <w:rsid w:val="00843D45"/>
    <w:rsid w:val="008604A4"/>
    <w:rsid w:val="008606F1"/>
    <w:rsid w:val="00862516"/>
    <w:rsid w:val="00866447"/>
    <w:rsid w:val="0086784A"/>
    <w:rsid w:val="00876B67"/>
    <w:rsid w:val="008811BB"/>
    <w:rsid w:val="00884280"/>
    <w:rsid w:val="00884C48"/>
    <w:rsid w:val="0089747C"/>
    <w:rsid w:val="008974F2"/>
    <w:rsid w:val="008A2093"/>
    <w:rsid w:val="008B13BE"/>
    <w:rsid w:val="008C4798"/>
    <w:rsid w:val="008D3FFB"/>
    <w:rsid w:val="008D43F8"/>
    <w:rsid w:val="008E3451"/>
    <w:rsid w:val="008E53FF"/>
    <w:rsid w:val="00904A9B"/>
    <w:rsid w:val="00920D6C"/>
    <w:rsid w:val="009276D5"/>
    <w:rsid w:val="00931E0D"/>
    <w:rsid w:val="00942D58"/>
    <w:rsid w:val="00942FDE"/>
    <w:rsid w:val="00952863"/>
    <w:rsid w:val="009528FA"/>
    <w:rsid w:val="0096166D"/>
    <w:rsid w:val="009911B9"/>
    <w:rsid w:val="009924D4"/>
    <w:rsid w:val="009961B0"/>
    <w:rsid w:val="009963BC"/>
    <w:rsid w:val="009A6C00"/>
    <w:rsid w:val="009B644A"/>
    <w:rsid w:val="009B67C7"/>
    <w:rsid w:val="009C15CF"/>
    <w:rsid w:val="009C3D9F"/>
    <w:rsid w:val="009C60E6"/>
    <w:rsid w:val="009D5E30"/>
    <w:rsid w:val="009D64B0"/>
    <w:rsid w:val="009D78FE"/>
    <w:rsid w:val="009E2765"/>
    <w:rsid w:val="009E2C4C"/>
    <w:rsid w:val="009E509B"/>
    <w:rsid w:val="009E5F55"/>
    <w:rsid w:val="009F48CE"/>
    <w:rsid w:val="009F5431"/>
    <w:rsid w:val="009F5C57"/>
    <w:rsid w:val="00A07462"/>
    <w:rsid w:val="00A11791"/>
    <w:rsid w:val="00A15437"/>
    <w:rsid w:val="00A207B9"/>
    <w:rsid w:val="00A24156"/>
    <w:rsid w:val="00A31C07"/>
    <w:rsid w:val="00A31E32"/>
    <w:rsid w:val="00A35D90"/>
    <w:rsid w:val="00A37ECC"/>
    <w:rsid w:val="00A41DC7"/>
    <w:rsid w:val="00A4364F"/>
    <w:rsid w:val="00A54EBE"/>
    <w:rsid w:val="00A56CB5"/>
    <w:rsid w:val="00A61313"/>
    <w:rsid w:val="00A64717"/>
    <w:rsid w:val="00A748C9"/>
    <w:rsid w:val="00A80C51"/>
    <w:rsid w:val="00A81EDF"/>
    <w:rsid w:val="00A83A62"/>
    <w:rsid w:val="00A929CC"/>
    <w:rsid w:val="00A9536F"/>
    <w:rsid w:val="00A95495"/>
    <w:rsid w:val="00A955F2"/>
    <w:rsid w:val="00AA0FBE"/>
    <w:rsid w:val="00AA43B6"/>
    <w:rsid w:val="00AA4479"/>
    <w:rsid w:val="00AA48D1"/>
    <w:rsid w:val="00AA64E2"/>
    <w:rsid w:val="00AB7E31"/>
    <w:rsid w:val="00AC1255"/>
    <w:rsid w:val="00AC59AC"/>
    <w:rsid w:val="00AD464B"/>
    <w:rsid w:val="00AD7E81"/>
    <w:rsid w:val="00AE0FF5"/>
    <w:rsid w:val="00AE127D"/>
    <w:rsid w:val="00AF12E5"/>
    <w:rsid w:val="00AF7B47"/>
    <w:rsid w:val="00AF7D70"/>
    <w:rsid w:val="00B017FE"/>
    <w:rsid w:val="00B05D04"/>
    <w:rsid w:val="00B17E63"/>
    <w:rsid w:val="00B17F7F"/>
    <w:rsid w:val="00B20869"/>
    <w:rsid w:val="00B211ED"/>
    <w:rsid w:val="00B33B3B"/>
    <w:rsid w:val="00B52B37"/>
    <w:rsid w:val="00B548FD"/>
    <w:rsid w:val="00B54BFD"/>
    <w:rsid w:val="00B556FB"/>
    <w:rsid w:val="00B56361"/>
    <w:rsid w:val="00B61746"/>
    <w:rsid w:val="00B62005"/>
    <w:rsid w:val="00B67934"/>
    <w:rsid w:val="00B70B03"/>
    <w:rsid w:val="00B76FFB"/>
    <w:rsid w:val="00B7795B"/>
    <w:rsid w:val="00B77961"/>
    <w:rsid w:val="00B803FE"/>
    <w:rsid w:val="00B84C74"/>
    <w:rsid w:val="00B91C94"/>
    <w:rsid w:val="00B94CF1"/>
    <w:rsid w:val="00BA2274"/>
    <w:rsid w:val="00BA2379"/>
    <w:rsid w:val="00BA6F13"/>
    <w:rsid w:val="00BA73E4"/>
    <w:rsid w:val="00BB3A8E"/>
    <w:rsid w:val="00BB7111"/>
    <w:rsid w:val="00BC0690"/>
    <w:rsid w:val="00BC6D1F"/>
    <w:rsid w:val="00BD1CD3"/>
    <w:rsid w:val="00BE0F5B"/>
    <w:rsid w:val="00BE242C"/>
    <w:rsid w:val="00BE59EE"/>
    <w:rsid w:val="00BE7BAF"/>
    <w:rsid w:val="00BF2DE4"/>
    <w:rsid w:val="00BF4E4B"/>
    <w:rsid w:val="00BF7045"/>
    <w:rsid w:val="00C03881"/>
    <w:rsid w:val="00C03EC3"/>
    <w:rsid w:val="00C052AB"/>
    <w:rsid w:val="00C114D9"/>
    <w:rsid w:val="00C115C2"/>
    <w:rsid w:val="00C12A33"/>
    <w:rsid w:val="00C20A8B"/>
    <w:rsid w:val="00C21A59"/>
    <w:rsid w:val="00C234FA"/>
    <w:rsid w:val="00C263C2"/>
    <w:rsid w:val="00C31DD3"/>
    <w:rsid w:val="00C329EE"/>
    <w:rsid w:val="00C3405B"/>
    <w:rsid w:val="00C42870"/>
    <w:rsid w:val="00C54574"/>
    <w:rsid w:val="00C67F26"/>
    <w:rsid w:val="00C72985"/>
    <w:rsid w:val="00C73607"/>
    <w:rsid w:val="00C7749B"/>
    <w:rsid w:val="00C82DE7"/>
    <w:rsid w:val="00C90F87"/>
    <w:rsid w:val="00CA332B"/>
    <w:rsid w:val="00CA7ED5"/>
    <w:rsid w:val="00CB1671"/>
    <w:rsid w:val="00CB2B01"/>
    <w:rsid w:val="00CB582D"/>
    <w:rsid w:val="00CB63FC"/>
    <w:rsid w:val="00CB78F3"/>
    <w:rsid w:val="00CC1E96"/>
    <w:rsid w:val="00CC7527"/>
    <w:rsid w:val="00CD60E2"/>
    <w:rsid w:val="00CF45D0"/>
    <w:rsid w:val="00CF4883"/>
    <w:rsid w:val="00CF6FCC"/>
    <w:rsid w:val="00D06972"/>
    <w:rsid w:val="00D21461"/>
    <w:rsid w:val="00D278E1"/>
    <w:rsid w:val="00D37A63"/>
    <w:rsid w:val="00D44310"/>
    <w:rsid w:val="00D44B33"/>
    <w:rsid w:val="00D556A1"/>
    <w:rsid w:val="00D563C2"/>
    <w:rsid w:val="00D57164"/>
    <w:rsid w:val="00D57281"/>
    <w:rsid w:val="00D65967"/>
    <w:rsid w:val="00D709D6"/>
    <w:rsid w:val="00D71920"/>
    <w:rsid w:val="00D732AF"/>
    <w:rsid w:val="00D777F1"/>
    <w:rsid w:val="00D8185B"/>
    <w:rsid w:val="00D86EF6"/>
    <w:rsid w:val="00D969A3"/>
    <w:rsid w:val="00DB6895"/>
    <w:rsid w:val="00DC7AB8"/>
    <w:rsid w:val="00DD180D"/>
    <w:rsid w:val="00DD525D"/>
    <w:rsid w:val="00DD5508"/>
    <w:rsid w:val="00DE0E0D"/>
    <w:rsid w:val="00DE5E63"/>
    <w:rsid w:val="00DE675A"/>
    <w:rsid w:val="00E0702A"/>
    <w:rsid w:val="00E375E1"/>
    <w:rsid w:val="00E40A3B"/>
    <w:rsid w:val="00E431DF"/>
    <w:rsid w:val="00E4507B"/>
    <w:rsid w:val="00E54657"/>
    <w:rsid w:val="00E6697F"/>
    <w:rsid w:val="00E74681"/>
    <w:rsid w:val="00E74AF9"/>
    <w:rsid w:val="00E77CF4"/>
    <w:rsid w:val="00E8042B"/>
    <w:rsid w:val="00E820A0"/>
    <w:rsid w:val="00E9496E"/>
    <w:rsid w:val="00E95E2C"/>
    <w:rsid w:val="00E96765"/>
    <w:rsid w:val="00E97D09"/>
    <w:rsid w:val="00EA009B"/>
    <w:rsid w:val="00EA0937"/>
    <w:rsid w:val="00EA7723"/>
    <w:rsid w:val="00EB17F3"/>
    <w:rsid w:val="00EB28CA"/>
    <w:rsid w:val="00EB57D6"/>
    <w:rsid w:val="00EC5445"/>
    <w:rsid w:val="00EE1688"/>
    <w:rsid w:val="00EE23CC"/>
    <w:rsid w:val="00EF36D5"/>
    <w:rsid w:val="00EF3F63"/>
    <w:rsid w:val="00EF4C13"/>
    <w:rsid w:val="00EF6EEB"/>
    <w:rsid w:val="00F072C2"/>
    <w:rsid w:val="00F1066F"/>
    <w:rsid w:val="00F15AC3"/>
    <w:rsid w:val="00F21207"/>
    <w:rsid w:val="00F37240"/>
    <w:rsid w:val="00F5110A"/>
    <w:rsid w:val="00F5232B"/>
    <w:rsid w:val="00F52FF2"/>
    <w:rsid w:val="00F53FD4"/>
    <w:rsid w:val="00F56BEA"/>
    <w:rsid w:val="00F57AAF"/>
    <w:rsid w:val="00F72D89"/>
    <w:rsid w:val="00F74F31"/>
    <w:rsid w:val="00F8377B"/>
    <w:rsid w:val="00F95FE2"/>
    <w:rsid w:val="00FA0D4F"/>
    <w:rsid w:val="00FA3C12"/>
    <w:rsid w:val="00FB02D1"/>
    <w:rsid w:val="00FB3A1E"/>
    <w:rsid w:val="00FB6647"/>
    <w:rsid w:val="00FD3F1A"/>
    <w:rsid w:val="00FD442A"/>
    <w:rsid w:val="00FD59D5"/>
    <w:rsid w:val="00FD6406"/>
    <w:rsid w:val="00FE5FE9"/>
    <w:rsid w:val="00FE7C3E"/>
    <w:rsid w:val="00FF0F02"/>
    <w:rsid w:val="00FF5ACA"/>
    <w:rsid w:val="00FF6FEC"/>
    <w:rsid w:val="01283A89"/>
    <w:rsid w:val="0172262C"/>
    <w:rsid w:val="01FA72F1"/>
    <w:rsid w:val="024F7BD7"/>
    <w:rsid w:val="028326D0"/>
    <w:rsid w:val="02C03470"/>
    <w:rsid w:val="035717DD"/>
    <w:rsid w:val="03E868D9"/>
    <w:rsid w:val="03F60FF6"/>
    <w:rsid w:val="044D49C8"/>
    <w:rsid w:val="05B747B5"/>
    <w:rsid w:val="05D45367"/>
    <w:rsid w:val="05D51DA4"/>
    <w:rsid w:val="061622AF"/>
    <w:rsid w:val="0673251F"/>
    <w:rsid w:val="06C57CBA"/>
    <w:rsid w:val="06DF4A11"/>
    <w:rsid w:val="07464AF8"/>
    <w:rsid w:val="07814039"/>
    <w:rsid w:val="07972AF0"/>
    <w:rsid w:val="07E86EA8"/>
    <w:rsid w:val="08133094"/>
    <w:rsid w:val="084149A7"/>
    <w:rsid w:val="087F78CA"/>
    <w:rsid w:val="09073F68"/>
    <w:rsid w:val="0A751B1D"/>
    <w:rsid w:val="0A9A6E67"/>
    <w:rsid w:val="0ACE6829"/>
    <w:rsid w:val="0AE777C6"/>
    <w:rsid w:val="0B09531E"/>
    <w:rsid w:val="0B3306AE"/>
    <w:rsid w:val="0BB73467"/>
    <w:rsid w:val="0CE9343D"/>
    <w:rsid w:val="0CF66F4D"/>
    <w:rsid w:val="0D625DB8"/>
    <w:rsid w:val="0DE87532"/>
    <w:rsid w:val="0E87741A"/>
    <w:rsid w:val="0E9D575E"/>
    <w:rsid w:val="0ED6779A"/>
    <w:rsid w:val="0EDA666B"/>
    <w:rsid w:val="0F901555"/>
    <w:rsid w:val="0F930D4E"/>
    <w:rsid w:val="0FF47C5F"/>
    <w:rsid w:val="1062571C"/>
    <w:rsid w:val="10A439AC"/>
    <w:rsid w:val="11207BD8"/>
    <w:rsid w:val="112A33A4"/>
    <w:rsid w:val="1179311E"/>
    <w:rsid w:val="12B80921"/>
    <w:rsid w:val="13360BDA"/>
    <w:rsid w:val="140E36BF"/>
    <w:rsid w:val="14140031"/>
    <w:rsid w:val="144707E9"/>
    <w:rsid w:val="148F7D45"/>
    <w:rsid w:val="15505FC1"/>
    <w:rsid w:val="15A13EC5"/>
    <w:rsid w:val="168E2116"/>
    <w:rsid w:val="16DA7D88"/>
    <w:rsid w:val="16E016C4"/>
    <w:rsid w:val="17EE5346"/>
    <w:rsid w:val="182F7BC8"/>
    <w:rsid w:val="183B180E"/>
    <w:rsid w:val="184E5031"/>
    <w:rsid w:val="18951A4B"/>
    <w:rsid w:val="18D303A9"/>
    <w:rsid w:val="18E3078D"/>
    <w:rsid w:val="19037A7E"/>
    <w:rsid w:val="19505E5D"/>
    <w:rsid w:val="19885D4C"/>
    <w:rsid w:val="19AF2A3F"/>
    <w:rsid w:val="1A98650B"/>
    <w:rsid w:val="1B314318"/>
    <w:rsid w:val="1B334F77"/>
    <w:rsid w:val="1BE82A3D"/>
    <w:rsid w:val="1CBE0227"/>
    <w:rsid w:val="1D295C38"/>
    <w:rsid w:val="1DB15AC4"/>
    <w:rsid w:val="1E6F3F54"/>
    <w:rsid w:val="1F7729FB"/>
    <w:rsid w:val="1FAD6267"/>
    <w:rsid w:val="1FD10DF8"/>
    <w:rsid w:val="200069C8"/>
    <w:rsid w:val="201F1A70"/>
    <w:rsid w:val="2099540E"/>
    <w:rsid w:val="2116462E"/>
    <w:rsid w:val="21677F00"/>
    <w:rsid w:val="21940F2B"/>
    <w:rsid w:val="21B4782A"/>
    <w:rsid w:val="21E97890"/>
    <w:rsid w:val="222019A8"/>
    <w:rsid w:val="228A4F83"/>
    <w:rsid w:val="22B14DA6"/>
    <w:rsid w:val="23031C48"/>
    <w:rsid w:val="23A35269"/>
    <w:rsid w:val="23CF7DA7"/>
    <w:rsid w:val="24507E57"/>
    <w:rsid w:val="245B3C6C"/>
    <w:rsid w:val="248E0D56"/>
    <w:rsid w:val="26547754"/>
    <w:rsid w:val="26740FFF"/>
    <w:rsid w:val="269410FD"/>
    <w:rsid w:val="2705378C"/>
    <w:rsid w:val="274C6B9D"/>
    <w:rsid w:val="27DD6DA5"/>
    <w:rsid w:val="280C6E80"/>
    <w:rsid w:val="28B64574"/>
    <w:rsid w:val="297D349C"/>
    <w:rsid w:val="29E845A2"/>
    <w:rsid w:val="2A421A2A"/>
    <w:rsid w:val="2A7E68ED"/>
    <w:rsid w:val="2AE5754B"/>
    <w:rsid w:val="2B5932BD"/>
    <w:rsid w:val="2C73740E"/>
    <w:rsid w:val="2CE451F3"/>
    <w:rsid w:val="2E1F1E70"/>
    <w:rsid w:val="2F3B4383"/>
    <w:rsid w:val="305F4756"/>
    <w:rsid w:val="30A77050"/>
    <w:rsid w:val="30B508CA"/>
    <w:rsid w:val="313D63D1"/>
    <w:rsid w:val="31D52622"/>
    <w:rsid w:val="33355F1C"/>
    <w:rsid w:val="3445051A"/>
    <w:rsid w:val="344F012B"/>
    <w:rsid w:val="351B0AC5"/>
    <w:rsid w:val="359846B1"/>
    <w:rsid w:val="35CD4AEE"/>
    <w:rsid w:val="36203407"/>
    <w:rsid w:val="367E2C2A"/>
    <w:rsid w:val="36804696"/>
    <w:rsid w:val="36E143A8"/>
    <w:rsid w:val="370259AE"/>
    <w:rsid w:val="371C0481"/>
    <w:rsid w:val="373A6E70"/>
    <w:rsid w:val="37C11C43"/>
    <w:rsid w:val="381D3D50"/>
    <w:rsid w:val="39321423"/>
    <w:rsid w:val="395F0B7B"/>
    <w:rsid w:val="3A5A6D30"/>
    <w:rsid w:val="3B377294"/>
    <w:rsid w:val="3B5F6EA5"/>
    <w:rsid w:val="3B6D1746"/>
    <w:rsid w:val="3BBD31F7"/>
    <w:rsid w:val="3BD121F5"/>
    <w:rsid w:val="3BF16C3A"/>
    <w:rsid w:val="3C9C3D6B"/>
    <w:rsid w:val="3CD61426"/>
    <w:rsid w:val="3D0F73BD"/>
    <w:rsid w:val="3D752E8E"/>
    <w:rsid w:val="3E1C493E"/>
    <w:rsid w:val="3F4553C3"/>
    <w:rsid w:val="3F7A390C"/>
    <w:rsid w:val="3F883E6F"/>
    <w:rsid w:val="40565642"/>
    <w:rsid w:val="409A44DC"/>
    <w:rsid w:val="41754150"/>
    <w:rsid w:val="41DA6926"/>
    <w:rsid w:val="4320516C"/>
    <w:rsid w:val="43B76A57"/>
    <w:rsid w:val="445D63AA"/>
    <w:rsid w:val="44CA4BFA"/>
    <w:rsid w:val="44D54236"/>
    <w:rsid w:val="44DD0E3B"/>
    <w:rsid w:val="457E43CC"/>
    <w:rsid w:val="45AC6BA4"/>
    <w:rsid w:val="462A3152"/>
    <w:rsid w:val="46D61030"/>
    <w:rsid w:val="47E0467A"/>
    <w:rsid w:val="487C73F6"/>
    <w:rsid w:val="488C2460"/>
    <w:rsid w:val="48A26623"/>
    <w:rsid w:val="49A71A2A"/>
    <w:rsid w:val="49E8275C"/>
    <w:rsid w:val="4A5C478F"/>
    <w:rsid w:val="4B2A3C16"/>
    <w:rsid w:val="4B314A64"/>
    <w:rsid w:val="4C2A1F02"/>
    <w:rsid w:val="4C43733B"/>
    <w:rsid w:val="4C6A4E04"/>
    <w:rsid w:val="4CE60F29"/>
    <w:rsid w:val="4D1E0FB7"/>
    <w:rsid w:val="4D376C8E"/>
    <w:rsid w:val="4D92310A"/>
    <w:rsid w:val="4DEA5C6A"/>
    <w:rsid w:val="4E10180B"/>
    <w:rsid w:val="4E52163B"/>
    <w:rsid w:val="4F863C5D"/>
    <w:rsid w:val="4FEA5BDC"/>
    <w:rsid w:val="4FFD0FA1"/>
    <w:rsid w:val="50137E07"/>
    <w:rsid w:val="5061780F"/>
    <w:rsid w:val="523F1387"/>
    <w:rsid w:val="52707890"/>
    <w:rsid w:val="52AA100F"/>
    <w:rsid w:val="535D4B57"/>
    <w:rsid w:val="53A50FF8"/>
    <w:rsid w:val="53BE79A4"/>
    <w:rsid w:val="5485543F"/>
    <w:rsid w:val="549445ED"/>
    <w:rsid w:val="55400235"/>
    <w:rsid w:val="55866F6E"/>
    <w:rsid w:val="559D264C"/>
    <w:rsid w:val="55C91358"/>
    <w:rsid w:val="55CC3A65"/>
    <w:rsid w:val="55FC1497"/>
    <w:rsid w:val="567A298E"/>
    <w:rsid w:val="56F131EC"/>
    <w:rsid w:val="576D42A0"/>
    <w:rsid w:val="57825812"/>
    <w:rsid w:val="57E72E4A"/>
    <w:rsid w:val="59443650"/>
    <w:rsid w:val="59610391"/>
    <w:rsid w:val="59A866B4"/>
    <w:rsid w:val="59AB1D36"/>
    <w:rsid w:val="59D44365"/>
    <w:rsid w:val="59DB5EB5"/>
    <w:rsid w:val="5AB46B8C"/>
    <w:rsid w:val="5B262077"/>
    <w:rsid w:val="5B8B2E48"/>
    <w:rsid w:val="5BE977B1"/>
    <w:rsid w:val="5BF706A8"/>
    <w:rsid w:val="5C6E6E0B"/>
    <w:rsid w:val="5CC52AA5"/>
    <w:rsid w:val="5CE61D8D"/>
    <w:rsid w:val="5D1623D6"/>
    <w:rsid w:val="5DB72F61"/>
    <w:rsid w:val="5DFD6560"/>
    <w:rsid w:val="5E6622FC"/>
    <w:rsid w:val="5EBE69E4"/>
    <w:rsid w:val="5F793C30"/>
    <w:rsid w:val="5F797C86"/>
    <w:rsid w:val="5F9E000B"/>
    <w:rsid w:val="602944DE"/>
    <w:rsid w:val="606800CD"/>
    <w:rsid w:val="6243457B"/>
    <w:rsid w:val="634D1758"/>
    <w:rsid w:val="643F0D73"/>
    <w:rsid w:val="64F32289"/>
    <w:rsid w:val="65B153E3"/>
    <w:rsid w:val="66157FDD"/>
    <w:rsid w:val="66A575B3"/>
    <w:rsid w:val="66CA7019"/>
    <w:rsid w:val="66EE6AFB"/>
    <w:rsid w:val="674D0403"/>
    <w:rsid w:val="67505C57"/>
    <w:rsid w:val="67821F18"/>
    <w:rsid w:val="67A33189"/>
    <w:rsid w:val="67D37732"/>
    <w:rsid w:val="682B0F8B"/>
    <w:rsid w:val="685D08A4"/>
    <w:rsid w:val="68D971FB"/>
    <w:rsid w:val="68E04B7D"/>
    <w:rsid w:val="69610EA9"/>
    <w:rsid w:val="69DE136E"/>
    <w:rsid w:val="6A337572"/>
    <w:rsid w:val="6A7013F6"/>
    <w:rsid w:val="6AD36AFF"/>
    <w:rsid w:val="6B2359EC"/>
    <w:rsid w:val="6B336DF1"/>
    <w:rsid w:val="6B3804CE"/>
    <w:rsid w:val="6B664739"/>
    <w:rsid w:val="6B781BDB"/>
    <w:rsid w:val="6BA075DA"/>
    <w:rsid w:val="6C8122C6"/>
    <w:rsid w:val="6C9C7BC9"/>
    <w:rsid w:val="6CBC4807"/>
    <w:rsid w:val="6D0F1C2A"/>
    <w:rsid w:val="6D5572FB"/>
    <w:rsid w:val="6E3A25BD"/>
    <w:rsid w:val="6F9E09E7"/>
    <w:rsid w:val="6FF52FD8"/>
    <w:rsid w:val="703A707D"/>
    <w:rsid w:val="714D586C"/>
    <w:rsid w:val="71A868E3"/>
    <w:rsid w:val="71F94C57"/>
    <w:rsid w:val="728066A8"/>
    <w:rsid w:val="72F823A1"/>
    <w:rsid w:val="73381BE6"/>
    <w:rsid w:val="741E7A7E"/>
    <w:rsid w:val="7463478D"/>
    <w:rsid w:val="74884070"/>
    <w:rsid w:val="74D57664"/>
    <w:rsid w:val="75B602C4"/>
    <w:rsid w:val="767E4F35"/>
    <w:rsid w:val="77E0288D"/>
    <w:rsid w:val="77E25DE1"/>
    <w:rsid w:val="787B0959"/>
    <w:rsid w:val="78BC38F0"/>
    <w:rsid w:val="78BD45B3"/>
    <w:rsid w:val="78CB68F5"/>
    <w:rsid w:val="78DD7969"/>
    <w:rsid w:val="78E43B2A"/>
    <w:rsid w:val="7A04063C"/>
    <w:rsid w:val="7A19629E"/>
    <w:rsid w:val="7AEB769F"/>
    <w:rsid w:val="7AFB4689"/>
    <w:rsid w:val="7B622DF6"/>
    <w:rsid w:val="7C0863F3"/>
    <w:rsid w:val="7C5A2796"/>
    <w:rsid w:val="7CC21578"/>
    <w:rsid w:val="7CE13889"/>
    <w:rsid w:val="7CFC2678"/>
    <w:rsid w:val="7D6000F2"/>
    <w:rsid w:val="7DE06010"/>
    <w:rsid w:val="7E3D5CB1"/>
    <w:rsid w:val="7F363046"/>
    <w:rsid w:val="7F511C2E"/>
    <w:rsid w:val="7F876CB2"/>
    <w:rsid w:val="7F9853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3"/>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44"/>
    <w:qFormat/>
    <w:uiPriority w:val="0"/>
    <w:pPr>
      <w:keepNext/>
      <w:keepLines/>
      <w:spacing w:before="260" w:after="260" w:line="413" w:lineRule="auto"/>
      <w:outlineLvl w:val="1"/>
    </w:pPr>
    <w:rPr>
      <w:rFonts w:ascii="Arial" w:hAnsi="Arial" w:eastAsia="黑体"/>
      <w:b/>
      <w:bCs/>
      <w:sz w:val="32"/>
      <w:szCs w:val="32"/>
    </w:rPr>
  </w:style>
  <w:style w:type="paragraph" w:styleId="2">
    <w:name w:val="heading 3"/>
    <w:basedOn w:val="1"/>
    <w:next w:val="1"/>
    <w:link w:val="42"/>
    <w:qFormat/>
    <w:uiPriority w:val="0"/>
    <w:pPr>
      <w:keepNext/>
      <w:keepLines/>
      <w:spacing w:line="600" w:lineRule="exact"/>
      <w:ind w:firstLine="643" w:firstLineChars="200"/>
      <w:outlineLvl w:val="2"/>
    </w:pPr>
    <w:rPr>
      <w:b/>
      <w:bCs/>
      <w:sz w:val="32"/>
      <w:szCs w:val="32"/>
    </w:rPr>
  </w:style>
  <w:style w:type="paragraph" w:styleId="5">
    <w:name w:val="heading 4"/>
    <w:basedOn w:val="1"/>
    <w:next w:val="1"/>
    <w:link w:val="45"/>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6">
    <w:name w:val="heading 5"/>
    <w:basedOn w:val="1"/>
    <w:next w:val="7"/>
    <w:link w:val="46"/>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9"/>
    <w:pPr>
      <w:keepNext/>
      <w:keepLines/>
      <w:spacing w:before="240" w:after="64" w:line="317" w:lineRule="auto"/>
      <w:outlineLvl w:val="5"/>
    </w:pPr>
    <w:rPr>
      <w:rFonts w:ascii="Arial" w:hAnsi="Arial" w:eastAsia="黑体"/>
      <w:b/>
      <w:sz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9">
    <w:name w:val="toc 7"/>
    <w:basedOn w:val="1"/>
    <w:next w:val="1"/>
    <w:qFormat/>
    <w:uiPriority w:val="0"/>
    <w:pPr>
      <w:jc w:val="left"/>
    </w:pPr>
    <w:rPr>
      <w:rFonts w:ascii="Calibri" w:hAnsi="Calibri"/>
      <w:sz w:val="22"/>
      <w:szCs w:val="22"/>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Document Map"/>
    <w:basedOn w:val="1"/>
    <w:link w:val="47"/>
    <w:qFormat/>
    <w:uiPriority w:val="0"/>
    <w:rPr>
      <w:rFonts w:ascii="宋体"/>
      <w:sz w:val="18"/>
      <w:szCs w:val="18"/>
    </w:rPr>
  </w:style>
  <w:style w:type="paragraph" w:styleId="12">
    <w:name w:val="annotation text"/>
    <w:basedOn w:val="1"/>
    <w:link w:val="48"/>
    <w:unhideWhenUsed/>
    <w:qFormat/>
    <w:uiPriority w:val="0"/>
    <w:pPr>
      <w:jc w:val="left"/>
    </w:pPr>
  </w:style>
  <w:style w:type="paragraph" w:styleId="13">
    <w:name w:val="Body Text 3"/>
    <w:basedOn w:val="1"/>
    <w:link w:val="49"/>
    <w:qFormat/>
    <w:uiPriority w:val="0"/>
    <w:pPr>
      <w:spacing w:after="120"/>
    </w:pPr>
    <w:rPr>
      <w:sz w:val="16"/>
      <w:szCs w:val="16"/>
    </w:rPr>
  </w:style>
  <w:style w:type="paragraph" w:styleId="14">
    <w:name w:val="Body Text"/>
    <w:basedOn w:val="1"/>
    <w:next w:val="1"/>
    <w:link w:val="50"/>
    <w:qFormat/>
    <w:uiPriority w:val="0"/>
    <w:pPr>
      <w:spacing w:after="120"/>
    </w:pPr>
  </w:style>
  <w:style w:type="paragraph" w:styleId="15">
    <w:name w:val="Body Text Indent"/>
    <w:basedOn w:val="1"/>
    <w:link w:val="51"/>
    <w:qFormat/>
    <w:uiPriority w:val="0"/>
    <w:pPr>
      <w:spacing w:line="200" w:lineRule="exact"/>
      <w:ind w:firstLine="301"/>
    </w:pPr>
    <w:rPr>
      <w:rFonts w:ascii="宋体" w:hAnsi="Courier New"/>
      <w:spacing w:val="-4"/>
      <w:sz w:val="18"/>
      <w:szCs w:val="20"/>
    </w:rPr>
  </w:style>
  <w:style w:type="paragraph" w:styleId="16">
    <w:name w:val="toc 5"/>
    <w:basedOn w:val="1"/>
    <w:next w:val="1"/>
    <w:qFormat/>
    <w:uiPriority w:val="0"/>
    <w:pPr>
      <w:jc w:val="left"/>
    </w:pPr>
    <w:rPr>
      <w:rFonts w:ascii="Calibri" w:hAnsi="Calibri"/>
      <w:sz w:val="22"/>
      <w:szCs w:val="22"/>
    </w:rPr>
  </w:style>
  <w:style w:type="paragraph" w:styleId="17">
    <w:name w:val="toc 3"/>
    <w:basedOn w:val="1"/>
    <w:next w:val="1"/>
    <w:qFormat/>
    <w:uiPriority w:val="0"/>
    <w:pPr>
      <w:jc w:val="left"/>
    </w:pPr>
    <w:rPr>
      <w:rFonts w:ascii="Calibri" w:hAnsi="Calibri"/>
      <w:smallCaps/>
      <w:sz w:val="22"/>
      <w:szCs w:val="22"/>
    </w:rPr>
  </w:style>
  <w:style w:type="paragraph" w:styleId="18">
    <w:name w:val="Plain Text"/>
    <w:basedOn w:val="1"/>
    <w:next w:val="5"/>
    <w:link w:val="52"/>
    <w:qFormat/>
    <w:uiPriority w:val="0"/>
    <w:rPr>
      <w:rFonts w:ascii="宋体" w:hAnsi="Courier New"/>
      <w:szCs w:val="20"/>
    </w:rPr>
  </w:style>
  <w:style w:type="paragraph" w:styleId="19">
    <w:name w:val="toc 8"/>
    <w:basedOn w:val="1"/>
    <w:next w:val="1"/>
    <w:qFormat/>
    <w:uiPriority w:val="0"/>
    <w:pPr>
      <w:jc w:val="left"/>
    </w:pPr>
    <w:rPr>
      <w:rFonts w:ascii="Calibri" w:hAnsi="Calibri"/>
      <w:sz w:val="22"/>
      <w:szCs w:val="22"/>
    </w:rPr>
  </w:style>
  <w:style w:type="paragraph" w:styleId="20">
    <w:name w:val="Date"/>
    <w:basedOn w:val="1"/>
    <w:next w:val="1"/>
    <w:link w:val="53"/>
    <w:qFormat/>
    <w:uiPriority w:val="0"/>
    <w:pPr>
      <w:ind w:left="100" w:leftChars="2500"/>
    </w:pPr>
  </w:style>
  <w:style w:type="paragraph" w:styleId="21">
    <w:name w:val="Body Text Indent 2"/>
    <w:basedOn w:val="1"/>
    <w:link w:val="54"/>
    <w:qFormat/>
    <w:uiPriority w:val="0"/>
    <w:pPr>
      <w:spacing w:after="120" w:line="480" w:lineRule="auto"/>
      <w:ind w:left="420" w:leftChars="200"/>
    </w:pPr>
  </w:style>
  <w:style w:type="paragraph" w:styleId="22">
    <w:name w:val="Balloon Text"/>
    <w:basedOn w:val="1"/>
    <w:link w:val="55"/>
    <w:qFormat/>
    <w:uiPriority w:val="0"/>
    <w:rPr>
      <w:sz w:val="18"/>
      <w:szCs w:val="18"/>
    </w:rPr>
  </w:style>
  <w:style w:type="paragraph" w:styleId="23">
    <w:name w:val="footer"/>
    <w:basedOn w:val="1"/>
    <w:link w:val="56"/>
    <w:unhideWhenUsed/>
    <w:qFormat/>
    <w:uiPriority w:val="99"/>
    <w:pPr>
      <w:tabs>
        <w:tab w:val="center" w:pos="4153"/>
        <w:tab w:val="right" w:pos="8306"/>
      </w:tabs>
      <w:snapToGrid w:val="0"/>
      <w:jc w:val="left"/>
    </w:pPr>
    <w:rPr>
      <w:sz w:val="18"/>
      <w:szCs w:val="18"/>
    </w:rPr>
  </w:style>
  <w:style w:type="paragraph" w:styleId="24">
    <w:name w:val="header"/>
    <w:basedOn w:val="1"/>
    <w:link w:val="57"/>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360" w:after="360"/>
      <w:jc w:val="left"/>
    </w:pPr>
    <w:rPr>
      <w:rFonts w:ascii="Calibri" w:hAnsi="Calibri"/>
      <w:b/>
      <w:bCs/>
      <w:caps/>
      <w:sz w:val="22"/>
      <w:szCs w:val="22"/>
      <w:u w:val="single"/>
    </w:rPr>
  </w:style>
  <w:style w:type="paragraph" w:styleId="26">
    <w:name w:val="toc 4"/>
    <w:basedOn w:val="1"/>
    <w:next w:val="1"/>
    <w:qFormat/>
    <w:uiPriority w:val="0"/>
    <w:pPr>
      <w:jc w:val="left"/>
    </w:pPr>
    <w:rPr>
      <w:rFonts w:ascii="Calibri" w:hAnsi="Calibri"/>
      <w:sz w:val="22"/>
      <w:szCs w:val="22"/>
    </w:rPr>
  </w:style>
  <w:style w:type="paragraph" w:styleId="27">
    <w:name w:val="List"/>
    <w:basedOn w:val="1"/>
    <w:qFormat/>
    <w:uiPriority w:val="0"/>
    <w:pPr>
      <w:ind w:left="200" w:hanging="200" w:hangingChars="200"/>
    </w:pPr>
    <w:rPr>
      <w:sz w:val="28"/>
    </w:rPr>
  </w:style>
  <w:style w:type="paragraph" w:styleId="28">
    <w:name w:val="toc 6"/>
    <w:basedOn w:val="1"/>
    <w:next w:val="1"/>
    <w:qFormat/>
    <w:uiPriority w:val="0"/>
    <w:pPr>
      <w:jc w:val="left"/>
    </w:pPr>
    <w:rPr>
      <w:rFonts w:ascii="Calibri" w:hAnsi="Calibri"/>
      <w:sz w:val="22"/>
      <w:szCs w:val="22"/>
    </w:rPr>
  </w:style>
  <w:style w:type="paragraph" w:styleId="29">
    <w:name w:val="toc 2"/>
    <w:basedOn w:val="1"/>
    <w:next w:val="1"/>
    <w:qFormat/>
    <w:uiPriority w:val="0"/>
    <w:pPr>
      <w:jc w:val="left"/>
    </w:pPr>
    <w:rPr>
      <w:rFonts w:ascii="Calibri" w:hAnsi="Calibri"/>
      <w:b/>
      <w:bCs/>
      <w:smallCaps/>
      <w:sz w:val="22"/>
      <w:szCs w:val="22"/>
    </w:rPr>
  </w:style>
  <w:style w:type="paragraph" w:styleId="30">
    <w:name w:val="toc 9"/>
    <w:basedOn w:val="1"/>
    <w:next w:val="1"/>
    <w:qFormat/>
    <w:uiPriority w:val="0"/>
    <w:pPr>
      <w:jc w:val="left"/>
    </w:pPr>
    <w:rPr>
      <w:rFonts w:ascii="Calibri" w:hAnsi="Calibri"/>
      <w:sz w:val="22"/>
      <w:szCs w:val="22"/>
    </w:rPr>
  </w:style>
  <w:style w:type="paragraph" w:styleId="31">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4"/>
    </w:rPr>
  </w:style>
  <w:style w:type="paragraph" w:styleId="32">
    <w:name w:val="Normal (Web)"/>
    <w:basedOn w:val="1"/>
    <w:qFormat/>
    <w:uiPriority w:val="0"/>
    <w:rPr>
      <w:sz w:val="24"/>
    </w:rPr>
  </w:style>
  <w:style w:type="paragraph" w:styleId="33">
    <w:name w:val="annotation subject"/>
    <w:basedOn w:val="12"/>
    <w:next w:val="12"/>
    <w:link w:val="58"/>
    <w:qFormat/>
    <w:uiPriority w:val="0"/>
    <w:rPr>
      <w:b/>
      <w:bCs/>
    </w:rPr>
  </w:style>
  <w:style w:type="paragraph" w:styleId="34">
    <w:name w:val="Body Text First Indent"/>
    <w:basedOn w:val="14"/>
    <w:qFormat/>
    <w:uiPriority w:val="0"/>
    <w:pPr>
      <w:spacing w:beforeLines="50" w:afterLines="50" w:line="360" w:lineRule="auto"/>
      <w:ind w:firstLine="420" w:firstLineChars="100"/>
    </w:pPr>
  </w:style>
  <w:style w:type="table" w:styleId="36">
    <w:name w:val="Table Grid"/>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page number"/>
    <w:qFormat/>
    <w:uiPriority w:val="0"/>
  </w:style>
  <w:style w:type="character" w:styleId="39">
    <w:name w:val="FollowedHyperlink"/>
    <w:qFormat/>
    <w:uiPriority w:val="0"/>
    <w:rPr>
      <w:color w:val="800080"/>
      <w:u w:val="single"/>
    </w:rPr>
  </w:style>
  <w:style w:type="character" w:styleId="40">
    <w:name w:val="Hyperlink"/>
    <w:qFormat/>
    <w:uiPriority w:val="0"/>
    <w:rPr>
      <w:color w:val="0000FF"/>
      <w:u w:val="single"/>
    </w:rPr>
  </w:style>
  <w:style w:type="character" w:styleId="41">
    <w:name w:val="annotation reference"/>
    <w:qFormat/>
    <w:uiPriority w:val="0"/>
    <w:rPr>
      <w:sz w:val="21"/>
      <w:szCs w:val="21"/>
    </w:rPr>
  </w:style>
  <w:style w:type="character" w:customStyle="1" w:styleId="42">
    <w:name w:val="标题 3 Char"/>
    <w:link w:val="2"/>
    <w:qFormat/>
    <w:uiPriority w:val="0"/>
    <w:rPr>
      <w:b/>
      <w:bCs/>
      <w:kern w:val="2"/>
      <w:sz w:val="32"/>
      <w:szCs w:val="32"/>
    </w:rPr>
  </w:style>
  <w:style w:type="character" w:customStyle="1" w:styleId="43">
    <w:name w:val="标题 1 Char"/>
    <w:link w:val="3"/>
    <w:qFormat/>
    <w:uiPriority w:val="0"/>
    <w:rPr>
      <w:b/>
      <w:bCs/>
      <w:kern w:val="44"/>
      <w:sz w:val="44"/>
      <w:szCs w:val="44"/>
    </w:rPr>
  </w:style>
  <w:style w:type="character" w:customStyle="1" w:styleId="44">
    <w:name w:val="标题 2 Char"/>
    <w:link w:val="4"/>
    <w:qFormat/>
    <w:uiPriority w:val="0"/>
    <w:rPr>
      <w:rFonts w:ascii="Arial" w:hAnsi="Arial" w:eastAsia="黑体"/>
      <w:b/>
      <w:bCs/>
      <w:kern w:val="2"/>
      <w:sz w:val="32"/>
      <w:szCs w:val="32"/>
    </w:rPr>
  </w:style>
  <w:style w:type="character" w:customStyle="1" w:styleId="45">
    <w:name w:val="标题 4 Char"/>
    <w:link w:val="5"/>
    <w:qFormat/>
    <w:uiPriority w:val="0"/>
    <w:rPr>
      <w:rFonts w:ascii="Arial" w:eastAsia="黑体"/>
      <w:sz w:val="28"/>
    </w:rPr>
  </w:style>
  <w:style w:type="character" w:customStyle="1" w:styleId="46">
    <w:name w:val="标题 5 Char"/>
    <w:link w:val="6"/>
    <w:qFormat/>
    <w:uiPriority w:val="9"/>
    <w:rPr>
      <w:b/>
      <w:bCs/>
      <w:kern w:val="2"/>
      <w:sz w:val="28"/>
      <w:szCs w:val="28"/>
    </w:rPr>
  </w:style>
  <w:style w:type="character" w:customStyle="1" w:styleId="47">
    <w:name w:val="文档结构图 Char"/>
    <w:link w:val="11"/>
    <w:qFormat/>
    <w:uiPriority w:val="0"/>
    <w:rPr>
      <w:rFonts w:ascii="宋体"/>
      <w:kern w:val="2"/>
      <w:sz w:val="18"/>
      <w:szCs w:val="18"/>
    </w:rPr>
  </w:style>
  <w:style w:type="character" w:customStyle="1" w:styleId="48">
    <w:name w:val="批注文字 Char"/>
    <w:link w:val="12"/>
    <w:qFormat/>
    <w:uiPriority w:val="0"/>
    <w:rPr>
      <w:kern w:val="2"/>
      <w:sz w:val="21"/>
      <w:szCs w:val="24"/>
    </w:rPr>
  </w:style>
  <w:style w:type="character" w:customStyle="1" w:styleId="49">
    <w:name w:val="正文文本 3 Char"/>
    <w:link w:val="13"/>
    <w:qFormat/>
    <w:uiPriority w:val="99"/>
    <w:rPr>
      <w:kern w:val="2"/>
      <w:sz w:val="16"/>
      <w:szCs w:val="16"/>
    </w:rPr>
  </w:style>
  <w:style w:type="character" w:customStyle="1" w:styleId="50">
    <w:name w:val="正文文本 Char"/>
    <w:link w:val="14"/>
    <w:qFormat/>
    <w:uiPriority w:val="99"/>
    <w:rPr>
      <w:kern w:val="2"/>
      <w:sz w:val="21"/>
      <w:szCs w:val="24"/>
    </w:rPr>
  </w:style>
  <w:style w:type="character" w:customStyle="1" w:styleId="51">
    <w:name w:val="正文文本缩进 Char"/>
    <w:link w:val="15"/>
    <w:qFormat/>
    <w:uiPriority w:val="0"/>
    <w:rPr>
      <w:rFonts w:ascii="宋体" w:hAnsi="Courier New" w:eastAsia="宋体"/>
      <w:spacing w:val="-4"/>
      <w:kern w:val="2"/>
      <w:sz w:val="18"/>
      <w:lang w:val="en-US" w:eastAsia="zh-CN" w:bidi="ar-SA"/>
    </w:rPr>
  </w:style>
  <w:style w:type="character" w:customStyle="1" w:styleId="52">
    <w:name w:val="纯文本 Char"/>
    <w:link w:val="18"/>
    <w:qFormat/>
    <w:uiPriority w:val="0"/>
    <w:rPr>
      <w:rFonts w:ascii="宋体" w:hAnsi="Courier New" w:eastAsia="宋体"/>
      <w:kern w:val="2"/>
      <w:sz w:val="21"/>
      <w:lang w:val="en-US" w:eastAsia="zh-CN" w:bidi="ar-SA"/>
    </w:rPr>
  </w:style>
  <w:style w:type="character" w:customStyle="1" w:styleId="53">
    <w:name w:val="日期 Char"/>
    <w:link w:val="20"/>
    <w:qFormat/>
    <w:uiPriority w:val="0"/>
    <w:rPr>
      <w:kern w:val="2"/>
      <w:sz w:val="21"/>
      <w:szCs w:val="24"/>
    </w:rPr>
  </w:style>
  <w:style w:type="character" w:customStyle="1" w:styleId="54">
    <w:name w:val="正文文本缩进 2 Char"/>
    <w:link w:val="21"/>
    <w:qFormat/>
    <w:uiPriority w:val="0"/>
    <w:rPr>
      <w:kern w:val="2"/>
      <w:sz w:val="21"/>
      <w:szCs w:val="24"/>
    </w:rPr>
  </w:style>
  <w:style w:type="character" w:customStyle="1" w:styleId="55">
    <w:name w:val="批注框文本 Char"/>
    <w:link w:val="22"/>
    <w:qFormat/>
    <w:uiPriority w:val="0"/>
    <w:rPr>
      <w:kern w:val="2"/>
      <w:sz w:val="18"/>
      <w:szCs w:val="18"/>
    </w:rPr>
  </w:style>
  <w:style w:type="character" w:customStyle="1" w:styleId="56">
    <w:name w:val="页脚 Char"/>
    <w:link w:val="23"/>
    <w:qFormat/>
    <w:uiPriority w:val="99"/>
    <w:rPr>
      <w:kern w:val="2"/>
      <w:sz w:val="18"/>
      <w:szCs w:val="18"/>
    </w:rPr>
  </w:style>
  <w:style w:type="character" w:customStyle="1" w:styleId="57">
    <w:name w:val="页眉 Char"/>
    <w:link w:val="24"/>
    <w:qFormat/>
    <w:uiPriority w:val="99"/>
    <w:rPr>
      <w:kern w:val="2"/>
      <w:sz w:val="18"/>
      <w:szCs w:val="18"/>
    </w:rPr>
  </w:style>
  <w:style w:type="character" w:customStyle="1" w:styleId="58">
    <w:name w:val="批注主题 Char"/>
    <w:link w:val="33"/>
    <w:qFormat/>
    <w:uiPriority w:val="99"/>
    <w:rPr>
      <w:b/>
      <w:bCs/>
      <w:kern w:val="2"/>
      <w:sz w:val="21"/>
      <w:szCs w:val="24"/>
    </w:rPr>
  </w:style>
  <w:style w:type="character" w:customStyle="1" w:styleId="59">
    <w:name w:val="正文文本缩进 2 字符"/>
    <w:qFormat/>
    <w:uiPriority w:val="0"/>
    <w:rPr>
      <w:kern w:val="2"/>
      <w:sz w:val="21"/>
      <w:szCs w:val="24"/>
    </w:rPr>
  </w:style>
  <w:style w:type="character" w:customStyle="1" w:styleId="60">
    <w:name w:val="标题 2 字符"/>
    <w:qFormat/>
    <w:uiPriority w:val="0"/>
    <w:rPr>
      <w:rFonts w:ascii="Arial" w:hAnsi="Arial" w:eastAsia="黑体"/>
      <w:b/>
      <w:bCs/>
      <w:kern w:val="2"/>
      <w:sz w:val="32"/>
      <w:szCs w:val="32"/>
    </w:rPr>
  </w:style>
  <w:style w:type="character" w:customStyle="1" w:styleId="61">
    <w:name w:val="标题 4 字符"/>
    <w:qFormat/>
    <w:uiPriority w:val="0"/>
    <w:rPr>
      <w:rFonts w:ascii="Arial" w:eastAsia="黑体"/>
      <w:sz w:val="28"/>
    </w:rPr>
  </w:style>
  <w:style w:type="character" w:customStyle="1" w:styleId="62">
    <w:name w:val="页眉 字符"/>
    <w:qFormat/>
    <w:uiPriority w:val="99"/>
    <w:rPr>
      <w:rFonts w:ascii="Times New Roman" w:hAnsi="Times New Roman"/>
      <w:kern w:val="2"/>
      <w:sz w:val="18"/>
      <w:szCs w:val="18"/>
    </w:rPr>
  </w:style>
  <w:style w:type="character" w:customStyle="1" w:styleId="63">
    <w:name w:val="Char Char1"/>
    <w:qFormat/>
    <w:uiPriority w:val="0"/>
    <w:rPr>
      <w:rFonts w:ascii="宋体" w:hAnsi="Courier New" w:eastAsia="宋体"/>
      <w:kern w:val="2"/>
      <w:sz w:val="21"/>
      <w:lang w:val="en-US" w:eastAsia="zh-CN" w:bidi="ar-SA"/>
    </w:rPr>
  </w:style>
  <w:style w:type="character" w:customStyle="1" w:styleId="64">
    <w:name w:val="标题 4 字符1"/>
    <w:semiHidden/>
    <w:qFormat/>
    <w:locked/>
    <w:uiPriority w:val="0"/>
    <w:rPr>
      <w:rFonts w:ascii="Arial" w:eastAsia="黑体"/>
      <w:sz w:val="28"/>
    </w:rPr>
  </w:style>
  <w:style w:type="character" w:customStyle="1" w:styleId="65">
    <w:name w:val="正文文本 + 10 pt"/>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66">
    <w:name w:val="标题 5 字符1"/>
    <w:semiHidden/>
    <w:qFormat/>
    <w:locked/>
    <w:uiPriority w:val="9"/>
    <w:rPr>
      <w:b/>
      <w:bCs/>
      <w:kern w:val="2"/>
      <w:sz w:val="28"/>
      <w:szCs w:val="28"/>
    </w:rPr>
  </w:style>
  <w:style w:type="character" w:customStyle="1" w:styleId="67">
    <w:name w:val="纯文本 字符2"/>
    <w:qFormat/>
    <w:uiPriority w:val="0"/>
    <w:rPr>
      <w:rFonts w:ascii="宋体" w:hAnsi="Courier New" w:eastAsia="宋体" w:cs="Courier New"/>
      <w:szCs w:val="21"/>
    </w:rPr>
  </w:style>
  <w:style w:type="character" w:customStyle="1" w:styleId="68">
    <w:name w:val="纯文本 字符1"/>
    <w:semiHidden/>
    <w:qFormat/>
    <w:locked/>
    <w:uiPriority w:val="0"/>
    <w:rPr>
      <w:rFonts w:ascii="宋体" w:hAnsi="Courier New"/>
      <w:kern w:val="2"/>
      <w:sz w:val="21"/>
    </w:rPr>
  </w:style>
  <w:style w:type="character" w:customStyle="1" w:styleId="69">
    <w:name w:val="正文文本 字符"/>
    <w:qFormat/>
    <w:uiPriority w:val="99"/>
    <w:rPr>
      <w:kern w:val="2"/>
      <w:sz w:val="21"/>
      <w:szCs w:val="24"/>
    </w:rPr>
  </w:style>
  <w:style w:type="character" w:customStyle="1" w:styleId="70">
    <w:name w:val="标题 1 字符1"/>
    <w:qFormat/>
    <w:locked/>
    <w:uiPriority w:val="0"/>
    <w:rPr>
      <w:b/>
      <w:bCs/>
      <w:kern w:val="44"/>
      <w:sz w:val="44"/>
      <w:szCs w:val="44"/>
    </w:rPr>
  </w:style>
  <w:style w:type="character" w:customStyle="1" w:styleId="71">
    <w:name w:val="批注框文本 字符"/>
    <w:qFormat/>
    <w:uiPriority w:val="0"/>
    <w:rPr>
      <w:kern w:val="2"/>
      <w:sz w:val="18"/>
      <w:szCs w:val="18"/>
    </w:rPr>
  </w:style>
  <w:style w:type="character" w:customStyle="1" w:styleId="72">
    <w:name w:val="标题 1 字符"/>
    <w:qFormat/>
    <w:uiPriority w:val="0"/>
    <w:rPr>
      <w:b/>
      <w:bCs/>
      <w:kern w:val="44"/>
      <w:sz w:val="44"/>
      <w:szCs w:val="44"/>
    </w:rPr>
  </w:style>
  <w:style w:type="character" w:customStyle="1" w:styleId="73">
    <w:name w:val="正文2 Char Char"/>
    <w:link w:val="74"/>
    <w:qFormat/>
    <w:uiPriority w:val="0"/>
    <w:rPr>
      <w:kern w:val="2"/>
      <w:sz w:val="24"/>
    </w:rPr>
  </w:style>
  <w:style w:type="paragraph" w:customStyle="1" w:styleId="74">
    <w:name w:val="正文2"/>
    <w:basedOn w:val="1"/>
    <w:link w:val="73"/>
    <w:qFormat/>
    <w:uiPriority w:val="0"/>
    <w:pPr>
      <w:adjustRightInd w:val="0"/>
      <w:spacing w:before="156" w:line="360" w:lineRule="auto"/>
      <w:ind w:firstLine="510" w:firstLineChars="200"/>
    </w:pPr>
    <w:rPr>
      <w:sz w:val="24"/>
      <w:szCs w:val="20"/>
    </w:rPr>
  </w:style>
  <w:style w:type="character" w:customStyle="1" w:styleId="75">
    <w:name w:val="纯文本 字符"/>
    <w:qFormat/>
    <w:uiPriority w:val="0"/>
    <w:rPr>
      <w:rFonts w:ascii="宋体" w:hAnsi="Courier New"/>
      <w:kern w:val="2"/>
      <w:sz w:val="21"/>
    </w:rPr>
  </w:style>
  <w:style w:type="character" w:customStyle="1" w:styleId="76">
    <w:name w:val="标题 5 字符"/>
    <w:qFormat/>
    <w:uiPriority w:val="9"/>
    <w:rPr>
      <w:b/>
      <w:bCs/>
      <w:kern w:val="2"/>
      <w:sz w:val="28"/>
      <w:szCs w:val="28"/>
    </w:rPr>
  </w:style>
  <w:style w:type="character" w:customStyle="1" w:styleId="77">
    <w:name w:val="bookmark-item uuid-1589194982864 code-31006 addword multi-line-text-input-box-cls"/>
    <w:qFormat/>
    <w:uiPriority w:val="0"/>
  </w:style>
  <w:style w:type="character" w:customStyle="1" w:styleId="78">
    <w:name w:val="批注文字 字符1"/>
    <w:qFormat/>
    <w:uiPriority w:val="0"/>
    <w:rPr>
      <w:rFonts w:ascii="Times New Roman" w:hAnsi="Times New Roman"/>
      <w:kern w:val="2"/>
      <w:sz w:val="21"/>
      <w:szCs w:val="24"/>
    </w:rPr>
  </w:style>
  <w:style w:type="character" w:customStyle="1" w:styleId="79">
    <w:name w:val="bookmark-item uuid-1593432166973 code-am014remarks editdisable single-line-text-input-box-cls"/>
    <w:qFormat/>
    <w:uiPriority w:val="0"/>
  </w:style>
  <w:style w:type="character" w:customStyle="1" w:styleId="80">
    <w:name w:val="批注文字 Char1"/>
    <w:qFormat/>
    <w:uiPriority w:val="0"/>
    <w:rPr>
      <w:rFonts w:ascii="Times New Roman" w:hAnsi="Times New Roman"/>
      <w:kern w:val="2"/>
      <w:sz w:val="21"/>
      <w:szCs w:val="24"/>
    </w:rPr>
  </w:style>
  <w:style w:type="character" w:customStyle="1" w:styleId="81">
    <w:name w:val="页脚 字符1"/>
    <w:qFormat/>
    <w:uiPriority w:val="99"/>
    <w:rPr>
      <w:kern w:val="2"/>
      <w:sz w:val="18"/>
      <w:szCs w:val="18"/>
    </w:rPr>
  </w:style>
  <w:style w:type="character" w:customStyle="1" w:styleId="82">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3">
    <w:name w:val="font01"/>
    <w:qFormat/>
    <w:uiPriority w:val="0"/>
    <w:rPr>
      <w:rFonts w:hint="default" w:ascii="Times New Roman" w:hAnsi="Times New Roman" w:cs="Times New Roman"/>
      <w:color w:val="000000"/>
      <w:sz w:val="20"/>
      <w:szCs w:val="20"/>
      <w:u w:val="none"/>
    </w:rPr>
  </w:style>
  <w:style w:type="character" w:customStyle="1" w:styleId="84">
    <w:name w:val="页眉 字符1"/>
    <w:qFormat/>
    <w:uiPriority w:val="99"/>
    <w:rPr>
      <w:kern w:val="2"/>
      <w:sz w:val="18"/>
      <w:szCs w:val="18"/>
    </w:rPr>
  </w:style>
  <w:style w:type="character" w:customStyle="1" w:styleId="85">
    <w:name w:val="标题 3 字符1"/>
    <w:semiHidden/>
    <w:qFormat/>
    <w:locked/>
    <w:uiPriority w:val="0"/>
    <w:rPr>
      <w:b/>
      <w:bCs/>
      <w:kern w:val="2"/>
      <w:sz w:val="32"/>
      <w:szCs w:val="32"/>
    </w:rPr>
  </w:style>
  <w:style w:type="character" w:customStyle="1" w:styleId="86">
    <w:name w:val="文档结构图 字符"/>
    <w:qFormat/>
    <w:uiPriority w:val="0"/>
    <w:rPr>
      <w:rFonts w:ascii="宋体"/>
      <w:kern w:val="2"/>
      <w:sz w:val="18"/>
      <w:szCs w:val="18"/>
    </w:rPr>
  </w:style>
  <w:style w:type="character" w:customStyle="1" w:styleId="87">
    <w:name w:val="页脚 字符"/>
    <w:qFormat/>
    <w:uiPriority w:val="99"/>
    <w:rPr>
      <w:sz w:val="18"/>
      <w:szCs w:val="18"/>
    </w:rPr>
  </w:style>
  <w:style w:type="character" w:customStyle="1" w:styleId="88">
    <w:name w:val="正文文本 3 字符"/>
    <w:qFormat/>
    <w:uiPriority w:val="99"/>
    <w:rPr>
      <w:kern w:val="2"/>
      <w:sz w:val="16"/>
      <w:szCs w:val="16"/>
    </w:rPr>
  </w:style>
  <w:style w:type="character" w:customStyle="1" w:styleId="89">
    <w:name w:val="批注文字 字符"/>
    <w:qFormat/>
    <w:uiPriority w:val="0"/>
    <w:rPr>
      <w:kern w:val="2"/>
      <w:sz w:val="21"/>
      <w:szCs w:val="24"/>
    </w:rPr>
  </w:style>
  <w:style w:type="character" w:customStyle="1" w:styleId="90">
    <w:name w:val="批注主题 字符"/>
    <w:qFormat/>
    <w:uiPriority w:val="99"/>
    <w:rPr>
      <w:b/>
      <w:bCs/>
      <w:kern w:val="2"/>
      <w:sz w:val="21"/>
      <w:szCs w:val="24"/>
    </w:rPr>
  </w:style>
  <w:style w:type="character" w:customStyle="1" w:styleId="91">
    <w:name w:val="font31"/>
    <w:qFormat/>
    <w:uiPriority w:val="0"/>
    <w:rPr>
      <w:rFonts w:hint="eastAsia" w:ascii="宋体" w:hAnsi="宋体" w:eastAsia="宋体" w:cs="宋体"/>
      <w:color w:val="000000"/>
      <w:sz w:val="20"/>
      <w:szCs w:val="20"/>
      <w:u w:val="none"/>
    </w:rPr>
  </w:style>
  <w:style w:type="character" w:customStyle="1" w:styleId="92">
    <w:name w:val="font51"/>
    <w:qFormat/>
    <w:uiPriority w:val="0"/>
    <w:rPr>
      <w:rFonts w:hint="eastAsia" w:ascii="宋体" w:hAnsi="宋体" w:eastAsia="宋体" w:cs="宋体"/>
      <w:color w:val="000000"/>
      <w:sz w:val="20"/>
      <w:szCs w:val="20"/>
      <w:u w:val="none"/>
    </w:rPr>
  </w:style>
  <w:style w:type="character" w:customStyle="1" w:styleId="93">
    <w:name w:val="正文文本_"/>
    <w:link w:val="94"/>
    <w:qFormat/>
    <w:uiPriority w:val="0"/>
    <w:rPr>
      <w:rFonts w:ascii="MingLiU" w:hAnsi="MingLiU" w:eastAsia="MingLiU" w:cs="MingLiU"/>
      <w:spacing w:val="9"/>
      <w:sz w:val="19"/>
      <w:szCs w:val="19"/>
      <w:shd w:val="clear" w:color="auto" w:fill="FFFFFF"/>
    </w:rPr>
  </w:style>
  <w:style w:type="paragraph" w:customStyle="1" w:styleId="94">
    <w:name w:val="正文文本1"/>
    <w:basedOn w:val="1"/>
    <w:link w:val="93"/>
    <w:qFormat/>
    <w:uiPriority w:val="0"/>
    <w:pPr>
      <w:shd w:val="clear" w:color="auto" w:fill="FFFFFF"/>
      <w:spacing w:line="302" w:lineRule="exact"/>
      <w:ind w:firstLine="460"/>
      <w:jc w:val="left"/>
    </w:pPr>
    <w:rPr>
      <w:rFonts w:ascii="MingLiU" w:hAnsi="MingLiU" w:eastAsia="MingLiU"/>
      <w:spacing w:val="9"/>
      <w:kern w:val="0"/>
      <w:sz w:val="19"/>
      <w:szCs w:val="19"/>
    </w:rPr>
  </w:style>
  <w:style w:type="character" w:customStyle="1" w:styleId="95">
    <w:name w:val="标题 2 字符1"/>
    <w:semiHidden/>
    <w:qFormat/>
    <w:locked/>
    <w:uiPriority w:val="0"/>
    <w:rPr>
      <w:rFonts w:ascii="Arial" w:hAnsi="Arial" w:eastAsia="黑体"/>
      <w:b/>
      <w:bCs/>
      <w:kern w:val="2"/>
      <w:sz w:val="32"/>
      <w:szCs w:val="32"/>
    </w:rPr>
  </w:style>
  <w:style w:type="character" w:customStyle="1" w:styleId="96">
    <w:name w:val="日期 字符"/>
    <w:qFormat/>
    <w:uiPriority w:val="0"/>
    <w:rPr>
      <w:kern w:val="2"/>
      <w:sz w:val="21"/>
      <w:szCs w:val="24"/>
    </w:rPr>
  </w:style>
  <w:style w:type="character" w:customStyle="1" w:styleId="97">
    <w:name w:val="正文文本缩进 字符"/>
    <w:qFormat/>
    <w:uiPriority w:val="0"/>
    <w:rPr>
      <w:rFonts w:ascii="宋体" w:hAnsi="Courier New"/>
      <w:spacing w:val="-4"/>
      <w:kern w:val="2"/>
      <w:sz w:val="18"/>
    </w:rPr>
  </w:style>
  <w:style w:type="character" w:customStyle="1" w:styleId="98">
    <w:name w:val="标题 3 字符"/>
    <w:qFormat/>
    <w:uiPriority w:val="0"/>
    <w:rPr>
      <w:b/>
      <w:bCs/>
      <w:kern w:val="2"/>
      <w:sz w:val="32"/>
      <w:szCs w:val="32"/>
    </w:rPr>
  </w:style>
  <w:style w:type="character" w:customStyle="1" w:styleId="99">
    <w:name w:val="纯文本 Char_0"/>
    <w:link w:val="100"/>
    <w:qFormat/>
    <w:uiPriority w:val="0"/>
    <w:rPr>
      <w:rFonts w:ascii="宋体" w:hAnsi="Courier New"/>
      <w:kern w:val="2"/>
      <w:sz w:val="21"/>
      <w:szCs w:val="21"/>
    </w:rPr>
  </w:style>
  <w:style w:type="paragraph" w:customStyle="1" w:styleId="100">
    <w:name w:val="纯文本_0_0"/>
    <w:basedOn w:val="1"/>
    <w:link w:val="99"/>
    <w:qFormat/>
    <w:uiPriority w:val="0"/>
    <w:rPr>
      <w:rFonts w:ascii="宋体" w:hAnsi="Courier New"/>
      <w:szCs w:val="21"/>
    </w:rPr>
  </w:style>
  <w:style w:type="character" w:customStyle="1" w:styleId="101">
    <w:name w:val="纯文本 Char1"/>
    <w:link w:val="102"/>
    <w:qFormat/>
    <w:uiPriority w:val="0"/>
    <w:rPr>
      <w:rFonts w:ascii="宋体" w:hAnsi="Courier New" w:eastAsia="宋体"/>
      <w:kern w:val="2"/>
      <w:sz w:val="21"/>
      <w:lang w:val="en-US" w:eastAsia="zh-CN" w:bidi="ar-SA"/>
    </w:rPr>
  </w:style>
  <w:style w:type="paragraph" w:customStyle="1" w:styleId="102">
    <w:name w:val="纯文本1"/>
    <w:basedOn w:val="1"/>
    <w:link w:val="101"/>
    <w:qFormat/>
    <w:uiPriority w:val="0"/>
    <w:rPr>
      <w:rFonts w:ascii="宋体" w:hAnsi="Courier New"/>
      <w:szCs w:val="20"/>
    </w:rPr>
  </w:style>
  <w:style w:type="paragraph" w:customStyle="1" w:styleId="103">
    <w:name w:val="正文段"/>
    <w:basedOn w:val="1"/>
    <w:qFormat/>
    <w:uiPriority w:val="0"/>
    <w:pPr>
      <w:widowControl/>
      <w:snapToGrid w:val="0"/>
      <w:spacing w:afterLines="50"/>
      <w:ind w:firstLine="200" w:firstLineChars="200"/>
    </w:pPr>
    <w:rPr>
      <w:kern w:val="0"/>
      <w:sz w:val="24"/>
      <w:szCs w:val="20"/>
    </w:rPr>
  </w:style>
  <w:style w:type="paragraph" w:customStyle="1" w:styleId="104">
    <w:name w:val="Char Char Char Char"/>
    <w:basedOn w:val="1"/>
    <w:qFormat/>
    <w:uiPriority w:val="0"/>
    <w:pPr>
      <w:widowControl/>
      <w:spacing w:after="160" w:line="240" w:lineRule="exact"/>
      <w:jc w:val="left"/>
    </w:pPr>
  </w:style>
  <w:style w:type="paragraph" w:customStyle="1" w:styleId="105">
    <w:name w:val="Char Char Char"/>
    <w:basedOn w:val="1"/>
    <w:qFormat/>
    <w:uiPriority w:val="0"/>
    <w:rPr>
      <w:szCs w:val="20"/>
    </w:rPr>
  </w:style>
  <w:style w:type="paragraph" w:customStyle="1" w:styleId="106">
    <w:name w:val="Char Char Char Char Char Char Char Char Char Char Char Char"/>
    <w:basedOn w:val="1"/>
    <w:qFormat/>
    <w:uiPriority w:val="0"/>
    <w:pPr>
      <w:widowControl/>
      <w:spacing w:after="160" w:line="240" w:lineRule="exact"/>
      <w:jc w:val="left"/>
    </w:pPr>
  </w:style>
  <w:style w:type="paragraph" w:customStyle="1" w:styleId="107">
    <w:name w:val="List Paragraph1"/>
    <w:basedOn w:val="1"/>
    <w:qFormat/>
    <w:uiPriority w:val="99"/>
    <w:pPr>
      <w:ind w:firstLine="420" w:firstLineChars="200"/>
    </w:pPr>
  </w:style>
  <w:style w:type="paragraph" w:customStyle="1" w:styleId="108">
    <w:name w:val="表格文字"/>
    <w:basedOn w:val="1"/>
    <w:next w:val="14"/>
    <w:qFormat/>
    <w:uiPriority w:val="0"/>
    <w:pPr>
      <w:adjustRightInd w:val="0"/>
      <w:spacing w:line="420" w:lineRule="atLeast"/>
      <w:jc w:val="left"/>
      <w:textAlignment w:val="baseline"/>
    </w:pPr>
    <w:rPr>
      <w:kern w:val="0"/>
    </w:rPr>
  </w:style>
  <w:style w:type="paragraph" w:customStyle="1" w:styleId="109">
    <w:name w:val="_Style 108"/>
    <w:qFormat/>
    <w:uiPriority w:val="0"/>
    <w:rPr>
      <w:rFonts w:ascii="Times New Roman" w:hAnsi="Times New Roman" w:eastAsia="宋体" w:cs="Times New Roman"/>
      <w:kern w:val="2"/>
      <w:sz w:val="21"/>
      <w:szCs w:val="24"/>
      <w:lang w:val="en-US" w:eastAsia="zh-CN" w:bidi="ar-SA"/>
    </w:rPr>
  </w:style>
  <w:style w:type="paragraph" w:customStyle="1" w:styleId="110">
    <w:name w:val="列出段落31"/>
    <w:basedOn w:val="1"/>
    <w:qFormat/>
    <w:uiPriority w:val="72"/>
    <w:pPr>
      <w:ind w:firstLine="420" w:firstLineChars="200"/>
    </w:pPr>
    <w:rPr>
      <w:rFonts w:ascii="Cambria" w:hAnsi="Cambria" w:eastAsia="等线"/>
    </w:rPr>
  </w:style>
  <w:style w:type="paragraph" w:customStyle="1" w:styleId="111">
    <w:name w:val="1号标题"/>
    <w:basedOn w:val="1"/>
    <w:qFormat/>
    <w:uiPriority w:val="0"/>
    <w:pPr>
      <w:numPr>
        <w:ilvl w:val="0"/>
        <w:numId w:val="1"/>
      </w:numPr>
      <w:spacing w:line="360" w:lineRule="auto"/>
      <w:outlineLvl w:val="0"/>
    </w:pPr>
    <w:rPr>
      <w:rFonts w:ascii="宋体" w:hAnsi="宋体"/>
      <w:b/>
      <w:sz w:val="24"/>
    </w:rPr>
  </w:style>
  <w:style w:type="paragraph" w:customStyle="1" w:styleId="112">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13">
    <w:name w:val="样式 标题 2 + 非加粗 首行缩进:  2 字符"/>
    <w:basedOn w:val="4"/>
    <w:qFormat/>
    <w:uiPriority w:val="0"/>
    <w:pPr>
      <w:spacing w:before="0" w:after="0" w:line="600" w:lineRule="exact"/>
      <w:ind w:firstLine="640" w:firstLineChars="200"/>
      <w:jc w:val="left"/>
    </w:pPr>
    <w:rPr>
      <w:rFonts w:cs="宋体"/>
      <w:b w:val="0"/>
      <w:bCs w:val="0"/>
      <w:szCs w:val="20"/>
    </w:rPr>
  </w:style>
  <w:style w:type="paragraph" w:customStyle="1" w:styleId="114">
    <w:name w:val="默认段落字体 Para Char Char Char Char Char Char Char Char Char1 Char Char Char Char"/>
    <w:basedOn w:val="1"/>
    <w:qFormat/>
    <w:uiPriority w:val="0"/>
    <w:rPr>
      <w:rFonts w:ascii="Tahoma" w:hAnsi="Tahoma"/>
      <w:sz w:val="24"/>
      <w:szCs w:val="20"/>
    </w:rPr>
  </w:style>
  <w:style w:type="paragraph" w:customStyle="1" w:styleId="115">
    <w:name w:val="Char"/>
    <w:basedOn w:val="1"/>
    <w:qFormat/>
    <w:uiPriority w:val="0"/>
  </w:style>
  <w:style w:type="paragraph" w:customStyle="1" w:styleId="116">
    <w:name w:val="_Style 11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styleId="117">
    <w:name w:val="List Paragraph"/>
    <w:basedOn w:val="1"/>
    <w:qFormat/>
    <w:uiPriority w:val="34"/>
    <w:pPr>
      <w:ind w:firstLine="420" w:firstLineChars="200"/>
    </w:pPr>
  </w:style>
  <w:style w:type="paragraph" w:customStyle="1" w:styleId="118">
    <w:name w:val="p0"/>
    <w:basedOn w:val="1"/>
    <w:qFormat/>
    <w:uiPriority w:val="0"/>
    <w:pPr>
      <w:widowControl/>
    </w:pPr>
    <w:rPr>
      <w:kern w:val="0"/>
      <w:szCs w:val="21"/>
    </w:rPr>
  </w:style>
  <w:style w:type="paragraph" w:customStyle="1" w:styleId="119">
    <w:name w:val="Char Char Char Char Char Char Char Char Char Char Char Char1"/>
    <w:basedOn w:val="1"/>
    <w:qFormat/>
    <w:uiPriority w:val="0"/>
    <w:pPr>
      <w:widowControl/>
      <w:spacing w:after="160" w:line="240" w:lineRule="exact"/>
      <w:jc w:val="left"/>
    </w:pPr>
  </w:style>
  <w:style w:type="paragraph" w:customStyle="1" w:styleId="120">
    <w:name w:val="_Style 1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Char Char Char Char Char Char Char"/>
    <w:basedOn w:val="1"/>
    <w:qFormat/>
    <w:uiPriority w:val="0"/>
  </w:style>
  <w:style w:type="paragraph" w:customStyle="1" w:styleId="122">
    <w:name w:val="列表段落1"/>
    <w:basedOn w:val="1"/>
    <w:qFormat/>
    <w:uiPriority w:val="0"/>
    <w:pPr>
      <w:ind w:firstLine="420" w:firstLineChars="200"/>
    </w:pPr>
    <w:rPr>
      <w:rFonts w:ascii="Calibri" w:hAnsi="Calibri"/>
    </w:rPr>
  </w:style>
  <w:style w:type="paragraph" w:customStyle="1" w:styleId="123">
    <w:name w:val="列出段落1"/>
    <w:basedOn w:val="1"/>
    <w:qFormat/>
    <w:uiPriority w:val="34"/>
    <w:pPr>
      <w:spacing w:before="100" w:beforeAutospacing="1" w:after="100" w:afterAutospacing="1" w:line="360" w:lineRule="auto"/>
      <w:ind w:firstLine="420" w:firstLineChars="200"/>
    </w:pPr>
  </w:style>
  <w:style w:type="paragraph" w:customStyle="1" w:styleId="124">
    <w:name w:val="样式 标题 1 + 居中 段前: 0 磅 段后: 0 磅 行距: 固定值 30 磅"/>
    <w:basedOn w:val="3"/>
    <w:qFormat/>
    <w:uiPriority w:val="0"/>
    <w:pPr>
      <w:spacing w:before="0" w:after="0" w:line="600" w:lineRule="exact"/>
      <w:jc w:val="center"/>
    </w:pPr>
    <w:rPr>
      <w:rFonts w:cs="宋体"/>
      <w:szCs w:val="20"/>
    </w:rPr>
  </w:style>
  <w:style w:type="paragraph" w:customStyle="1" w:styleId="125">
    <w:name w:val="Char1"/>
    <w:basedOn w:val="1"/>
    <w:qFormat/>
    <w:uiPriority w:val="0"/>
    <w:rPr>
      <w:szCs w:val="21"/>
    </w:rPr>
  </w:style>
  <w:style w:type="paragraph" w:customStyle="1" w:styleId="126">
    <w:name w:val="Table Paragraph"/>
    <w:basedOn w:val="1"/>
    <w:qFormat/>
    <w:uiPriority w:val="1"/>
    <w:pPr>
      <w:jc w:val="left"/>
    </w:pPr>
    <w:rPr>
      <w:rFonts w:ascii="Calibri" w:hAnsi="Calibri"/>
      <w:kern w:val="0"/>
      <w:sz w:val="22"/>
      <w:szCs w:val="22"/>
      <w:lang w:eastAsia="en-US"/>
    </w:rPr>
  </w:style>
  <w:style w:type="paragraph" w:customStyle="1" w:styleId="127">
    <w:name w:val="Char Char Char Char1"/>
    <w:basedOn w:val="1"/>
    <w:qFormat/>
    <w:uiPriority w:val="0"/>
    <w:pPr>
      <w:widowControl/>
      <w:spacing w:after="160" w:line="240" w:lineRule="exact"/>
      <w:jc w:val="left"/>
    </w:pPr>
  </w:style>
  <w:style w:type="paragraph" w:customStyle="1" w:styleId="128">
    <w:name w:val="正文缩进1"/>
    <w:basedOn w:val="1"/>
    <w:next w:val="15"/>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129">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30">
    <w:name w:val="Body text|3"/>
    <w:basedOn w:val="1"/>
    <w:qFormat/>
    <w:uiPriority w:val="0"/>
    <w:pPr>
      <w:spacing w:after="460"/>
      <w:jc w:val="center"/>
    </w:pPr>
    <w:rPr>
      <w:rFonts w:ascii="宋体" w:hAnsi="宋体" w:cs="宋体"/>
      <w:kern w:val="0"/>
      <w:sz w:val="34"/>
      <w:szCs w:val="34"/>
    </w:rPr>
  </w:style>
  <w:style w:type="paragraph" w:customStyle="1" w:styleId="131">
    <w:name w:val="Char Char Char Char Char Char Char1"/>
    <w:basedOn w:val="1"/>
    <w:qFormat/>
    <w:uiPriority w:val="0"/>
  </w:style>
  <w:style w:type="paragraph" w:customStyle="1" w:styleId="132">
    <w:name w:val="Char Char Char1 Char Char Char Char Char Char Char"/>
    <w:basedOn w:val="1"/>
    <w:qFormat/>
    <w:uiPriority w:val="0"/>
  </w:style>
  <w:style w:type="character" w:customStyle="1" w:styleId="133">
    <w:name w:val="font21"/>
    <w:basedOn w:val="37"/>
    <w:qFormat/>
    <w:uiPriority w:val="0"/>
    <w:rPr>
      <w:rFonts w:hint="default" w:ascii="Arial" w:hAnsi="Arial" w:cs="Arial"/>
      <w:color w:val="000000"/>
      <w:sz w:val="20"/>
      <w:szCs w:val="20"/>
      <w:u w:val="none"/>
    </w:rPr>
  </w:style>
  <w:style w:type="character" w:customStyle="1" w:styleId="134">
    <w:name w:val="font11"/>
    <w:basedOn w:val="3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108</Pages>
  <Words>61168</Words>
  <Characters>67743</Characters>
  <Lines>550</Lines>
  <Paragraphs>154</Paragraphs>
  <TotalTime>16</TotalTime>
  <ScaleCrop>false</ScaleCrop>
  <LinksUpToDate>false</LinksUpToDate>
  <CharactersWithSpaces>74278</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2022-10-18T07:27:00Z</dcterms:created>
  <dc:creator>○</dc:creator>
  <cp:lastModifiedBy>WPS办公</cp:lastModifiedBy>
  <cp:lastPrinted>2022-10-26T09:03:45Z</cp:lastPrinted>
  <dcterms:modified xsi:type="dcterms:W3CDTF">2022-10-26T09:11:23Z</dcterms:modified>
  <dc:title>南财采管〔2012〕3号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42E4613906264731ABAAF7E69E3042C4</vt:lpwstr>
  </property>
</Properties>
</file>