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line="360" w:lineRule="auto"/>
        <w:ind w:firstLine="354" w:firstLineChars="49"/>
        <w:jc w:val="center"/>
        <w:rPr>
          <w:rFonts w:hAnsi="宋体"/>
          <w:sz w:val="52"/>
          <w:szCs w:val="52"/>
        </w:rPr>
      </w:pPr>
      <w:r>
        <w:rPr>
          <w:rFonts w:hint="eastAsia" w:hAnsi="宋体"/>
          <w:b/>
          <w:sz w:val="72"/>
          <w:szCs w:val="72"/>
        </w:rPr>
        <w:drawing>
          <wp:anchor distT="0" distB="0" distL="114300" distR="114300" simplePos="0" relativeHeight="251662336" behindDoc="0" locked="0" layoutInCell="1" allowOverlap="1">
            <wp:simplePos x="0" y="0"/>
            <wp:positionH relativeFrom="column">
              <wp:posOffset>-676275</wp:posOffset>
            </wp:positionH>
            <wp:positionV relativeFrom="paragraph">
              <wp:posOffset>-904240</wp:posOffset>
            </wp:positionV>
            <wp:extent cx="7543800" cy="10668000"/>
            <wp:effectExtent l="0" t="0" r="0"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3800" cy="10667829"/>
                    </a:xfrm>
                    <a:prstGeom prst="rect">
                      <a:avLst/>
                    </a:prstGeom>
                  </pic:spPr>
                </pic:pic>
              </a:graphicData>
            </a:graphic>
          </wp:anchor>
        </w:drawing>
      </w:r>
      <w:r>
        <w:rPr>
          <w:rFonts w:hint="eastAsia" w:hAnsi="宋体"/>
          <w:sz w:val="52"/>
          <w:szCs w:val="52"/>
        </w:rPr>
        <w:t>中资国际工程咨询集团有限责任公司</w:t>
      </w:r>
    </w:p>
    <w:p>
      <w:pPr>
        <w:pStyle w:val="37"/>
        <w:spacing w:line="360" w:lineRule="auto"/>
        <w:ind w:firstLine="880"/>
        <w:jc w:val="center"/>
        <w:rPr>
          <w:rFonts w:hAnsi="宋体"/>
          <w:b/>
          <w:bCs/>
          <w:sz w:val="44"/>
          <w:szCs w:val="44"/>
        </w:rPr>
      </w:pPr>
      <w:r>
        <w:rPr>
          <w:rFonts w:hint="eastAsia"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97155</wp:posOffset>
                </wp:positionV>
                <wp:extent cx="6067425" cy="0"/>
                <wp:effectExtent l="0" t="28575" r="9525" b="28575"/>
                <wp:wrapNone/>
                <wp:docPr id="2" name="Line 3"/>
                <wp:cNvGraphicFramePr/>
                <a:graphic xmlns:a="http://schemas.openxmlformats.org/drawingml/2006/main">
                  <a:graphicData uri="http://schemas.microsoft.com/office/word/2010/wordprocessingShape">
                    <wps:wsp>
                      <wps:cNvCnPr/>
                      <wps:spPr>
                        <a:xfrm flipV="1">
                          <a:off x="0" y="0"/>
                          <a:ext cx="6067425"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flip:y;margin-left:15.75pt;margin-top:7.65pt;height:0pt;width:477.75pt;z-index:251659264;mso-width-relative:page;mso-height-relative:page;" filled="f" stroked="t" coordsize="21600,21600" o:gfxdata="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oRQp1AAAAAgBAAAPAAAAAAAAAAEAIAAAACIAAABkcnMvZG93bnJldi54&#10;bWxQSwECFAAUAAAACACHTuJAYQGlWMUBAACQAwAADgAAAAAAAAABACAAAAAjAQAAZHJzL2Uyb0Rv&#10;Yy54bWxQSwUGAAAAAAYABgBZAQAAWgUAAAAA&#10;">
                <v:fill on="f" focussize="0,0"/>
                <v:stroke weight="4.5pt" color="#000000" linestyle="thinThick" joinstyle="round"/>
                <v:imagedata o:title=""/>
                <o:lock v:ext="edit" aspectratio="f"/>
              </v:line>
            </w:pict>
          </mc:Fallback>
        </mc:AlternateContent>
      </w:r>
    </w:p>
    <w:p>
      <w:pPr>
        <w:pStyle w:val="37"/>
        <w:ind w:firstLine="1920"/>
        <w:jc w:val="center"/>
        <w:rPr>
          <w:rFonts w:hAnsi="宋体"/>
          <w:sz w:val="96"/>
          <w:szCs w:val="96"/>
        </w:rPr>
      </w:pPr>
    </w:p>
    <w:p>
      <w:pPr>
        <w:pStyle w:val="37"/>
        <w:ind w:firstLine="2160" w:firstLineChars="300"/>
        <w:rPr>
          <w:rFonts w:hAnsi="宋体"/>
          <w:b/>
          <w:bCs/>
          <w:sz w:val="72"/>
          <w:szCs w:val="72"/>
        </w:rPr>
      </w:pPr>
      <w:r>
        <w:rPr>
          <w:rFonts w:hint="eastAsia" w:hAnsi="宋体"/>
          <w:sz w:val="72"/>
          <w:szCs w:val="72"/>
        </w:rPr>
        <w:t xml:space="preserve">  </w:t>
      </w:r>
      <w:r>
        <w:rPr>
          <w:rFonts w:hint="eastAsia" w:hAnsi="宋体"/>
          <w:b/>
          <w:sz w:val="72"/>
          <w:szCs w:val="72"/>
        </w:rPr>
        <w:t>公开招标文件</w:t>
      </w:r>
    </w:p>
    <w:p>
      <w:pPr>
        <w:ind w:firstLine="723"/>
        <w:jc w:val="center"/>
        <w:rPr>
          <w:rFonts w:ascii="宋体" w:hAnsi="宋体"/>
          <w:b/>
          <w:sz w:val="36"/>
          <w:szCs w:val="36"/>
        </w:rPr>
      </w:pPr>
    </w:p>
    <w:p>
      <w:pPr>
        <w:pStyle w:val="37"/>
        <w:ind w:firstLine="400"/>
        <w:outlineLvl w:val="1"/>
        <w:rPr>
          <w:rFonts w:hAnsi="宋体"/>
        </w:rPr>
      </w:pPr>
    </w:p>
    <w:p>
      <w:pPr>
        <w:pStyle w:val="37"/>
        <w:ind w:firstLine="400"/>
        <w:rPr>
          <w:rFonts w:hAnsi="宋体"/>
        </w:rPr>
      </w:pPr>
    </w:p>
    <w:p>
      <w:pPr>
        <w:pStyle w:val="37"/>
        <w:ind w:firstLine="400"/>
        <w:rPr>
          <w:rFonts w:hAnsi="宋体"/>
        </w:rPr>
      </w:pPr>
    </w:p>
    <w:p>
      <w:pPr>
        <w:pStyle w:val="37"/>
        <w:ind w:firstLine="400"/>
        <w:rPr>
          <w:rFonts w:hAnsi="宋体"/>
        </w:rPr>
      </w:pPr>
    </w:p>
    <w:p>
      <w:pPr>
        <w:spacing w:line="800" w:lineRule="exact"/>
        <w:rPr>
          <w:rFonts w:ascii="宋体" w:hAnsi="宋体"/>
          <w:sz w:val="30"/>
          <w:szCs w:val="30"/>
        </w:rPr>
      </w:pPr>
      <w:r>
        <w:rPr>
          <w:rFonts w:hint="eastAsia" w:ascii="宋体" w:hAnsi="宋体"/>
          <w:sz w:val="30"/>
          <w:szCs w:val="30"/>
        </w:rPr>
        <w:t xml:space="preserve">       项目名称：媒资储存系统高清化改造</w:t>
      </w:r>
    </w:p>
    <w:p>
      <w:pPr>
        <w:spacing w:line="800" w:lineRule="exact"/>
        <w:rPr>
          <w:rFonts w:ascii="宋体" w:hAnsi="宋体"/>
          <w:sz w:val="30"/>
          <w:szCs w:val="30"/>
        </w:rPr>
      </w:pPr>
      <w:r>
        <w:rPr>
          <w:rFonts w:hint="eastAsia" w:ascii="宋体" w:hAnsi="宋体"/>
          <w:sz w:val="30"/>
          <w:szCs w:val="30"/>
        </w:rPr>
        <w:t xml:space="preserve">       项目编号：</w:t>
      </w:r>
      <w:r>
        <w:rPr>
          <w:rFonts w:ascii="宋体" w:hAnsi="宋体"/>
          <w:sz w:val="30"/>
          <w:szCs w:val="30"/>
        </w:rPr>
        <w:t>NNZC2020-G1-990242-ZZGJ</w:t>
      </w:r>
    </w:p>
    <w:p>
      <w:pPr>
        <w:spacing w:line="800" w:lineRule="exact"/>
        <w:rPr>
          <w:rFonts w:ascii="宋体" w:hAnsi="宋体"/>
          <w:sz w:val="30"/>
          <w:szCs w:val="30"/>
        </w:rPr>
      </w:pPr>
      <w:r>
        <w:rPr>
          <w:rFonts w:hint="eastAsia" w:ascii="宋体" w:hAnsi="宋体"/>
          <w:sz w:val="30"/>
          <w:szCs w:val="30"/>
        </w:rPr>
        <w:t xml:space="preserve">       审批编号：[2020]NCCJW124001/3190</w:t>
      </w:r>
    </w:p>
    <w:p>
      <w:pPr>
        <w:spacing w:line="800" w:lineRule="exact"/>
        <w:rPr>
          <w:rFonts w:ascii="宋体" w:hAnsi="宋体"/>
          <w:sz w:val="30"/>
          <w:szCs w:val="30"/>
        </w:rPr>
      </w:pPr>
      <w:r>
        <w:rPr>
          <w:rFonts w:hint="eastAsia" w:ascii="宋体" w:hAnsi="宋体"/>
          <w:sz w:val="30"/>
          <w:szCs w:val="30"/>
        </w:rPr>
        <w:t xml:space="preserve">       采购人：南宁广播电视台</w:t>
      </w:r>
    </w:p>
    <w:p>
      <w:pPr>
        <w:spacing w:line="800" w:lineRule="exact"/>
        <w:ind w:firstLine="1485" w:firstLineChars="495"/>
        <w:rPr>
          <w:rFonts w:ascii="宋体" w:hAnsi="宋体"/>
          <w:sz w:val="30"/>
          <w:szCs w:val="30"/>
        </w:rPr>
      </w:pPr>
    </w:p>
    <w:p>
      <w:pPr>
        <w:spacing w:line="800" w:lineRule="exact"/>
        <w:ind w:firstLine="600"/>
        <w:rPr>
          <w:rFonts w:ascii="宋体" w:hAnsi="宋体"/>
          <w:sz w:val="30"/>
          <w:szCs w:val="30"/>
        </w:rPr>
      </w:pPr>
    </w:p>
    <w:p>
      <w:pPr>
        <w:spacing w:line="800" w:lineRule="exact"/>
        <w:ind w:firstLine="1485" w:firstLineChars="495"/>
        <w:rPr>
          <w:rFonts w:ascii="宋体" w:hAnsi="宋体"/>
          <w:bCs/>
          <w:w w:val="95"/>
          <w:sz w:val="30"/>
          <w:szCs w:val="30"/>
        </w:rPr>
      </w:pPr>
      <w:r>
        <w:rPr>
          <w:rFonts w:hint="eastAsia" w:ascii="宋体" w:hAnsi="宋体"/>
          <w:sz w:val="30"/>
          <w:szCs w:val="30"/>
        </w:rPr>
        <w:t>采购代理机构：中资国际工程咨询集团有限责任公司</w:t>
      </w:r>
    </w:p>
    <w:p>
      <w:pPr>
        <w:widowControl/>
        <w:ind w:firstLine="600"/>
        <w:jc w:val="center"/>
        <w:rPr>
          <w:rFonts w:ascii="宋体" w:hAnsi="宋体"/>
          <w:sz w:val="30"/>
          <w:szCs w:val="30"/>
        </w:rPr>
      </w:pPr>
      <w:r>
        <w:rPr>
          <w:rFonts w:hint="eastAsia" w:ascii="宋体" w:hAnsi="宋体"/>
          <w:sz w:val="30"/>
          <w:szCs w:val="30"/>
        </w:rPr>
        <w:t>2020年10月15日</w:t>
      </w:r>
      <w:r>
        <w:rPr>
          <w:rFonts w:hint="eastAsia" w:ascii="宋体" w:hAnsi="宋体"/>
          <w:b/>
          <w:bCs/>
          <w:sz w:val="30"/>
          <w:szCs w:val="30"/>
        </w:rPr>
        <mc:AlternateContent>
          <mc:Choice Requires="wps">
            <w:drawing>
              <wp:anchor distT="0" distB="0" distL="114300" distR="114300" simplePos="0" relativeHeight="251658240" behindDoc="0" locked="0" layoutInCell="1" allowOverlap="1">
                <wp:simplePos x="0" y="0"/>
                <wp:positionH relativeFrom="column">
                  <wp:posOffset>3000375</wp:posOffset>
                </wp:positionH>
                <wp:positionV relativeFrom="paragraph">
                  <wp:posOffset>2636520</wp:posOffset>
                </wp:positionV>
                <wp:extent cx="266700" cy="297180"/>
                <wp:effectExtent l="0" t="0" r="0" b="7620"/>
                <wp:wrapNone/>
                <wp:docPr id="1" name="Rectangle 38"/>
                <wp:cNvGraphicFramePr/>
                <a:graphic xmlns:a="http://schemas.openxmlformats.org/drawingml/2006/main">
                  <a:graphicData uri="http://schemas.microsoft.com/office/word/2010/wordprocessingShape">
                    <wps:wsp>
                      <wps:cNvSpPr/>
                      <wps:spPr>
                        <a:xfrm>
                          <a:off x="0" y="0"/>
                          <a:ext cx="266700" cy="297180"/>
                        </a:xfrm>
                        <a:prstGeom prst="rect">
                          <a:avLst/>
                        </a:prstGeom>
                        <a:solidFill>
                          <a:srgbClr val="FFFFFF"/>
                        </a:solidFill>
                        <a:ln>
                          <a:noFill/>
                        </a:ln>
                      </wps:spPr>
                      <wps:txbx>
                        <w:txbxContent>
                          <w:p/>
                        </w:txbxContent>
                      </wps:txbx>
                      <wps:bodyPr wrap="square" upright="1"/>
                    </wps:wsp>
                  </a:graphicData>
                </a:graphic>
              </wp:anchor>
            </w:drawing>
          </mc:Choice>
          <mc:Fallback>
            <w:pict>
              <v:rect id="Rectangle 38" o:spid="_x0000_s1026" o:spt="1" style="position:absolute;left:0pt;margin-left:236.25pt;margin-top:207.6pt;height:23.4pt;width:21pt;z-index:251658240;mso-width-relative:page;mso-height-relative:page;" fillcolor="#FFFFFF" filled="t" stroked="f" coordsize="21600,21600" o:gfxdata="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WAt9vYAAAACwEAAA8AAAAAAAAAAQAg&#10;AAAAIgAAAGRycy9kb3ducmV2LnhtbFBLAQIUABQAAAAIAIdO4kAzk/k+nAEAAC0DAAAOAAAAAAAA&#10;AAEAIAAAACcBAABkcnMvZTJvRG9jLnhtbFBLBQYAAAAABgAGAFkBAAA1BQAAAAA=&#10;">
                <v:fill on="t" focussize="0,0"/>
                <v:stroke on="f"/>
                <v:imagedata o:title=""/>
                <o:lock v:ext="edit" aspectratio="f"/>
                <v:textbox>
                  <w:txbxContent>
                    <w:p/>
                  </w:txbxContent>
                </v:textbox>
              </v:rect>
            </w:pict>
          </mc:Fallback>
        </mc:AlternateContent>
      </w:r>
    </w:p>
    <w:p>
      <w:pPr>
        <w:rPr>
          <w:rFonts w:ascii="宋体" w:hAnsi="宋体"/>
          <w:sz w:val="30"/>
          <w:szCs w:val="30"/>
        </w:rPr>
      </w:pPr>
      <w:r>
        <w:rPr>
          <w:rFonts w:ascii="宋体" w:hAnsi="宋体"/>
          <w:sz w:val="30"/>
          <w:szCs w:val="30"/>
        </w:rPr>
        <w:br w:type="page"/>
      </w:r>
    </w:p>
    <w:p>
      <w:pPr>
        <w:pStyle w:val="37"/>
        <w:snapToGrid w:val="0"/>
        <w:spacing w:before="120" w:after="120" w:line="360" w:lineRule="auto"/>
        <w:jc w:val="center"/>
        <w:rPr>
          <w:rFonts w:hAnsi="宋体"/>
          <w:b/>
          <w:bCs/>
          <w:w w:val="95"/>
          <w:sz w:val="30"/>
          <w:szCs w:val="30"/>
        </w:rPr>
      </w:pPr>
      <w:r>
        <w:rPr>
          <w:rFonts w:hint="eastAsia" w:hAnsi="宋体"/>
          <w:sz w:val="44"/>
          <w:szCs w:val="44"/>
        </w:rPr>
        <w:t>目  录</w:t>
      </w:r>
    </w:p>
    <w:p>
      <w:pPr>
        <w:pStyle w:val="46"/>
        <w:tabs>
          <w:tab w:val="right" w:leader="dot" w:pos="9040"/>
          <w:tab w:val="clear" w:pos="8296"/>
          <w:tab w:val="clear" w:pos="8398"/>
        </w:tabs>
        <w:spacing w:line="360" w:lineRule="auto"/>
        <w:ind w:firstLine="0" w:firstLineChars="0"/>
        <w:jc w:val="center"/>
        <w:rPr>
          <w:rFonts w:ascii="宋体" w:eastAsia="宋体" w:cs="宋体"/>
          <w:b/>
          <w:sz w:val="24"/>
          <w:szCs w:val="24"/>
        </w:rPr>
      </w:pPr>
      <w:r>
        <w:rPr>
          <w:rFonts w:hint="eastAsia" w:ascii="宋体" w:eastAsia="宋体" w:cs="宋体"/>
          <w:b/>
          <w:bCs w:val="0"/>
          <w:caps w:val="0"/>
          <w:sz w:val="24"/>
          <w:szCs w:val="24"/>
        </w:rPr>
        <w:fldChar w:fldCharType="begin"/>
      </w:r>
      <w:r>
        <w:rPr>
          <w:rFonts w:hint="eastAsia" w:ascii="宋体" w:eastAsia="宋体" w:cs="宋体"/>
          <w:b/>
          <w:bCs w:val="0"/>
          <w:caps w:val="0"/>
          <w:sz w:val="24"/>
          <w:szCs w:val="24"/>
        </w:rPr>
        <w:instrText xml:space="preserve"> TOC \o "1-1" \h \z \u </w:instrText>
      </w:r>
      <w:r>
        <w:rPr>
          <w:rFonts w:hint="eastAsia" w:ascii="宋体" w:eastAsia="宋体" w:cs="宋体"/>
          <w:b/>
          <w:bCs w:val="0"/>
          <w:caps w:val="0"/>
          <w:sz w:val="24"/>
          <w:szCs w:val="24"/>
        </w:rPr>
        <w:fldChar w:fldCharType="separate"/>
      </w:r>
      <w:r>
        <w:fldChar w:fldCharType="begin"/>
      </w:r>
      <w:r>
        <w:instrText xml:space="preserve"> HYPERLINK \l "_Toc504570347" </w:instrText>
      </w:r>
      <w:r>
        <w:fldChar w:fldCharType="separate"/>
      </w:r>
      <w:r>
        <w:rPr>
          <w:rFonts w:hint="eastAsia" w:ascii="宋体" w:eastAsia="宋体" w:cs="宋体"/>
          <w:b/>
          <w:sz w:val="24"/>
          <w:szCs w:val="24"/>
        </w:rPr>
        <w:t>第一章  招标公告</w:t>
      </w:r>
      <w:r>
        <w:rPr>
          <w:rFonts w:hint="eastAsia" w:ascii="宋体" w:eastAsia="宋体" w:cs="宋体"/>
          <w:b/>
          <w:sz w:val="24"/>
          <w:szCs w:val="24"/>
        </w:rPr>
        <w:tab/>
      </w:r>
      <w:r>
        <w:rPr>
          <w:rFonts w:hint="eastAsia" w:ascii="宋体" w:eastAsia="宋体" w:cs="宋体"/>
          <w:b/>
          <w:sz w:val="24"/>
          <w:szCs w:val="24"/>
        </w:rPr>
        <w:fldChar w:fldCharType="begin"/>
      </w:r>
      <w:r>
        <w:rPr>
          <w:rFonts w:hint="eastAsia" w:ascii="宋体" w:eastAsia="宋体" w:cs="宋体"/>
          <w:b/>
          <w:sz w:val="24"/>
          <w:szCs w:val="24"/>
        </w:rPr>
        <w:instrText xml:space="preserve"> PAGEREF _Toc504570347 \h </w:instrText>
      </w:r>
      <w:r>
        <w:rPr>
          <w:rFonts w:hint="eastAsia" w:ascii="宋体" w:eastAsia="宋体" w:cs="宋体"/>
          <w:b/>
          <w:sz w:val="24"/>
          <w:szCs w:val="24"/>
        </w:rPr>
        <w:fldChar w:fldCharType="separate"/>
      </w:r>
      <w:r>
        <w:rPr>
          <w:rFonts w:ascii="宋体" w:eastAsia="宋体" w:cs="宋体"/>
          <w:b/>
          <w:sz w:val="24"/>
          <w:szCs w:val="24"/>
        </w:rPr>
        <w:t>2</w:t>
      </w:r>
      <w:r>
        <w:rPr>
          <w:rFonts w:hint="eastAsia" w:ascii="宋体" w:eastAsia="宋体" w:cs="宋体"/>
          <w:b/>
          <w:sz w:val="24"/>
          <w:szCs w:val="24"/>
        </w:rPr>
        <w:fldChar w:fldCharType="end"/>
      </w:r>
      <w:r>
        <w:rPr>
          <w:rFonts w:hint="eastAsia" w:ascii="宋体" w:eastAsia="宋体" w:cs="宋体"/>
          <w:b/>
          <w:sz w:val="24"/>
          <w:szCs w:val="24"/>
        </w:rPr>
        <w:fldChar w:fldCharType="end"/>
      </w:r>
    </w:p>
    <w:p>
      <w:pPr>
        <w:pStyle w:val="46"/>
        <w:tabs>
          <w:tab w:val="right" w:leader="dot" w:pos="9040"/>
          <w:tab w:val="clear" w:pos="8296"/>
          <w:tab w:val="clear" w:pos="8398"/>
        </w:tabs>
        <w:spacing w:line="360" w:lineRule="auto"/>
        <w:ind w:firstLine="0" w:firstLineChars="0"/>
        <w:jc w:val="center"/>
        <w:rPr>
          <w:rFonts w:ascii="宋体" w:eastAsia="宋体" w:cs="宋体"/>
          <w:b/>
          <w:sz w:val="24"/>
          <w:szCs w:val="24"/>
        </w:rPr>
      </w:pPr>
      <w:r>
        <w:fldChar w:fldCharType="begin"/>
      </w:r>
      <w:r>
        <w:instrText xml:space="preserve"> HYPERLINK \l "_Toc504570348" </w:instrText>
      </w:r>
      <w:r>
        <w:fldChar w:fldCharType="separate"/>
      </w:r>
      <w:r>
        <w:rPr>
          <w:rFonts w:hint="eastAsia" w:ascii="宋体" w:eastAsia="宋体" w:cs="宋体"/>
          <w:b/>
          <w:sz w:val="24"/>
          <w:szCs w:val="24"/>
        </w:rPr>
        <w:t>第二章  招标项目采购需求</w:t>
      </w:r>
      <w:r>
        <w:rPr>
          <w:rFonts w:hint="eastAsia" w:ascii="宋体" w:eastAsia="宋体" w:cs="宋体"/>
          <w:b/>
          <w:sz w:val="24"/>
          <w:szCs w:val="24"/>
        </w:rPr>
        <w:tab/>
      </w:r>
      <w:r>
        <w:rPr>
          <w:rFonts w:hint="eastAsia" w:ascii="宋体" w:eastAsia="宋体" w:cs="宋体"/>
          <w:b/>
          <w:sz w:val="24"/>
          <w:szCs w:val="24"/>
        </w:rPr>
        <w:fldChar w:fldCharType="begin"/>
      </w:r>
      <w:r>
        <w:rPr>
          <w:rFonts w:hint="eastAsia" w:ascii="宋体" w:eastAsia="宋体" w:cs="宋体"/>
          <w:b/>
          <w:sz w:val="24"/>
          <w:szCs w:val="24"/>
        </w:rPr>
        <w:instrText xml:space="preserve"> PAGEREF _Toc504570348 \h </w:instrText>
      </w:r>
      <w:r>
        <w:rPr>
          <w:rFonts w:hint="eastAsia" w:ascii="宋体" w:eastAsia="宋体" w:cs="宋体"/>
          <w:b/>
          <w:sz w:val="24"/>
          <w:szCs w:val="24"/>
        </w:rPr>
        <w:fldChar w:fldCharType="separate"/>
      </w:r>
      <w:r>
        <w:rPr>
          <w:rFonts w:ascii="宋体" w:eastAsia="宋体" w:cs="宋体"/>
          <w:b/>
          <w:sz w:val="24"/>
          <w:szCs w:val="24"/>
        </w:rPr>
        <w:t>5</w:t>
      </w:r>
      <w:r>
        <w:rPr>
          <w:rFonts w:hint="eastAsia" w:ascii="宋体" w:eastAsia="宋体" w:cs="宋体"/>
          <w:b/>
          <w:sz w:val="24"/>
          <w:szCs w:val="24"/>
        </w:rPr>
        <w:fldChar w:fldCharType="end"/>
      </w:r>
      <w:r>
        <w:rPr>
          <w:rFonts w:hint="eastAsia" w:ascii="宋体" w:eastAsia="宋体" w:cs="宋体"/>
          <w:b/>
          <w:sz w:val="24"/>
          <w:szCs w:val="24"/>
        </w:rPr>
        <w:fldChar w:fldCharType="end"/>
      </w:r>
    </w:p>
    <w:p>
      <w:pPr>
        <w:pStyle w:val="46"/>
        <w:tabs>
          <w:tab w:val="right" w:leader="dot" w:pos="9040"/>
          <w:tab w:val="clear" w:pos="8296"/>
          <w:tab w:val="clear" w:pos="8398"/>
        </w:tabs>
        <w:spacing w:line="360" w:lineRule="auto"/>
        <w:ind w:firstLine="0" w:firstLineChars="0"/>
        <w:jc w:val="center"/>
        <w:rPr>
          <w:rFonts w:ascii="宋体" w:eastAsia="宋体" w:cs="宋体"/>
          <w:b/>
          <w:sz w:val="24"/>
          <w:szCs w:val="24"/>
        </w:rPr>
      </w:pPr>
      <w:r>
        <w:fldChar w:fldCharType="begin"/>
      </w:r>
      <w:r>
        <w:instrText xml:space="preserve"> HYPERLINK \l "_Toc504570349" </w:instrText>
      </w:r>
      <w:r>
        <w:fldChar w:fldCharType="separate"/>
      </w:r>
      <w:r>
        <w:rPr>
          <w:rFonts w:hint="eastAsia" w:ascii="宋体" w:eastAsia="宋体" w:cs="宋体"/>
          <w:b/>
          <w:sz w:val="24"/>
          <w:szCs w:val="24"/>
        </w:rPr>
        <w:t>第三章  投标人须知</w:t>
      </w:r>
      <w:r>
        <w:rPr>
          <w:rFonts w:hint="eastAsia" w:ascii="宋体" w:eastAsia="宋体" w:cs="宋体"/>
          <w:b/>
          <w:sz w:val="24"/>
          <w:szCs w:val="24"/>
        </w:rPr>
        <w:tab/>
      </w:r>
      <w:r>
        <w:rPr>
          <w:rFonts w:hint="eastAsia" w:ascii="宋体" w:eastAsia="宋体" w:cs="宋体"/>
          <w:b/>
          <w:sz w:val="24"/>
          <w:szCs w:val="24"/>
        </w:rPr>
        <w:fldChar w:fldCharType="begin"/>
      </w:r>
      <w:r>
        <w:rPr>
          <w:rFonts w:hint="eastAsia" w:ascii="宋体" w:eastAsia="宋体" w:cs="宋体"/>
          <w:b/>
          <w:sz w:val="24"/>
          <w:szCs w:val="24"/>
        </w:rPr>
        <w:instrText xml:space="preserve"> PAGEREF _Toc504570349 \h </w:instrText>
      </w:r>
      <w:r>
        <w:rPr>
          <w:rFonts w:hint="eastAsia" w:ascii="宋体" w:eastAsia="宋体" w:cs="宋体"/>
          <w:b/>
          <w:sz w:val="24"/>
          <w:szCs w:val="24"/>
        </w:rPr>
        <w:fldChar w:fldCharType="separate"/>
      </w:r>
      <w:r>
        <w:rPr>
          <w:rFonts w:ascii="宋体" w:eastAsia="宋体" w:cs="宋体"/>
          <w:b/>
          <w:sz w:val="24"/>
          <w:szCs w:val="24"/>
        </w:rPr>
        <w:t>17</w:t>
      </w:r>
      <w:r>
        <w:rPr>
          <w:rFonts w:hint="eastAsia" w:ascii="宋体" w:eastAsia="宋体" w:cs="宋体"/>
          <w:b/>
          <w:sz w:val="24"/>
          <w:szCs w:val="24"/>
        </w:rPr>
        <w:fldChar w:fldCharType="end"/>
      </w:r>
      <w:r>
        <w:rPr>
          <w:rFonts w:hint="eastAsia" w:ascii="宋体" w:eastAsia="宋体" w:cs="宋体"/>
          <w:b/>
          <w:sz w:val="24"/>
          <w:szCs w:val="24"/>
        </w:rPr>
        <w:fldChar w:fldCharType="end"/>
      </w:r>
    </w:p>
    <w:p>
      <w:pPr>
        <w:pStyle w:val="46"/>
        <w:tabs>
          <w:tab w:val="right" w:leader="dot" w:pos="9040"/>
          <w:tab w:val="clear" w:pos="8296"/>
          <w:tab w:val="clear" w:pos="8398"/>
        </w:tabs>
        <w:spacing w:line="360" w:lineRule="auto"/>
        <w:ind w:firstLine="0" w:firstLineChars="0"/>
        <w:jc w:val="center"/>
        <w:rPr>
          <w:rFonts w:ascii="宋体" w:eastAsia="宋体" w:cs="宋体"/>
          <w:b/>
          <w:sz w:val="24"/>
          <w:szCs w:val="24"/>
        </w:rPr>
      </w:pPr>
      <w:r>
        <w:fldChar w:fldCharType="begin"/>
      </w:r>
      <w:r>
        <w:instrText xml:space="preserve"> HYPERLINK \l "_Toc504570350" </w:instrText>
      </w:r>
      <w:r>
        <w:fldChar w:fldCharType="separate"/>
      </w:r>
      <w:r>
        <w:rPr>
          <w:rFonts w:hint="eastAsia" w:ascii="宋体" w:eastAsia="宋体" w:cs="宋体"/>
          <w:b/>
          <w:sz w:val="24"/>
          <w:szCs w:val="24"/>
        </w:rPr>
        <w:t>第四章  评标办法及评分标准</w:t>
      </w:r>
      <w:r>
        <w:rPr>
          <w:rFonts w:hint="eastAsia" w:ascii="宋体" w:eastAsia="宋体" w:cs="宋体"/>
          <w:b/>
          <w:sz w:val="24"/>
          <w:szCs w:val="24"/>
        </w:rPr>
        <w:tab/>
      </w:r>
      <w:r>
        <w:rPr>
          <w:rFonts w:hint="eastAsia" w:ascii="宋体" w:eastAsia="宋体" w:cs="宋体"/>
          <w:b/>
          <w:sz w:val="24"/>
          <w:szCs w:val="24"/>
        </w:rPr>
        <w:fldChar w:fldCharType="begin"/>
      </w:r>
      <w:r>
        <w:rPr>
          <w:rFonts w:hint="eastAsia" w:ascii="宋体" w:eastAsia="宋体" w:cs="宋体"/>
          <w:b/>
          <w:sz w:val="24"/>
          <w:szCs w:val="24"/>
        </w:rPr>
        <w:instrText xml:space="preserve"> PAGEREF _Toc504570350 \h </w:instrText>
      </w:r>
      <w:r>
        <w:rPr>
          <w:rFonts w:hint="eastAsia" w:ascii="宋体" w:eastAsia="宋体" w:cs="宋体"/>
          <w:b/>
          <w:sz w:val="24"/>
          <w:szCs w:val="24"/>
        </w:rPr>
        <w:fldChar w:fldCharType="separate"/>
      </w:r>
      <w:r>
        <w:rPr>
          <w:rFonts w:ascii="宋体" w:eastAsia="宋体" w:cs="宋体"/>
          <w:b/>
          <w:sz w:val="24"/>
          <w:szCs w:val="24"/>
        </w:rPr>
        <w:t>27</w:t>
      </w:r>
      <w:r>
        <w:rPr>
          <w:rFonts w:hint="eastAsia" w:ascii="宋体" w:eastAsia="宋体" w:cs="宋体"/>
          <w:b/>
          <w:sz w:val="24"/>
          <w:szCs w:val="24"/>
        </w:rPr>
        <w:fldChar w:fldCharType="end"/>
      </w:r>
      <w:r>
        <w:rPr>
          <w:rFonts w:hint="eastAsia" w:ascii="宋体" w:eastAsia="宋体" w:cs="宋体"/>
          <w:b/>
          <w:sz w:val="24"/>
          <w:szCs w:val="24"/>
        </w:rPr>
        <w:fldChar w:fldCharType="end"/>
      </w:r>
    </w:p>
    <w:p>
      <w:pPr>
        <w:pStyle w:val="46"/>
        <w:tabs>
          <w:tab w:val="right" w:leader="dot" w:pos="9040"/>
          <w:tab w:val="clear" w:pos="8296"/>
          <w:tab w:val="clear" w:pos="8398"/>
        </w:tabs>
        <w:spacing w:line="360" w:lineRule="auto"/>
        <w:ind w:firstLine="0" w:firstLineChars="0"/>
        <w:jc w:val="center"/>
        <w:rPr>
          <w:rFonts w:ascii="宋体" w:eastAsia="宋体" w:cs="宋体"/>
          <w:b/>
          <w:sz w:val="24"/>
          <w:szCs w:val="24"/>
        </w:rPr>
      </w:pPr>
      <w:r>
        <w:fldChar w:fldCharType="begin"/>
      </w:r>
      <w:r>
        <w:instrText xml:space="preserve"> HYPERLINK \l "_Toc504570351" </w:instrText>
      </w:r>
      <w:r>
        <w:fldChar w:fldCharType="separate"/>
      </w:r>
      <w:r>
        <w:rPr>
          <w:rFonts w:hint="eastAsia" w:ascii="宋体" w:eastAsia="宋体" w:cs="宋体"/>
          <w:b/>
          <w:sz w:val="24"/>
          <w:szCs w:val="24"/>
        </w:rPr>
        <w:t>第五章  合同主要条款格式</w:t>
      </w:r>
      <w:r>
        <w:rPr>
          <w:rFonts w:hint="eastAsia" w:ascii="宋体" w:eastAsia="宋体" w:cs="宋体"/>
          <w:b/>
          <w:sz w:val="24"/>
          <w:szCs w:val="24"/>
        </w:rPr>
        <w:tab/>
      </w:r>
      <w:r>
        <w:rPr>
          <w:rFonts w:hint="eastAsia" w:ascii="宋体" w:eastAsia="宋体" w:cs="宋体"/>
          <w:b/>
          <w:sz w:val="24"/>
          <w:szCs w:val="24"/>
        </w:rPr>
        <w:fldChar w:fldCharType="begin"/>
      </w:r>
      <w:r>
        <w:rPr>
          <w:rFonts w:hint="eastAsia" w:ascii="宋体" w:eastAsia="宋体" w:cs="宋体"/>
          <w:b/>
          <w:sz w:val="24"/>
          <w:szCs w:val="24"/>
        </w:rPr>
        <w:instrText xml:space="preserve"> PAGEREF _Toc504570351 \h </w:instrText>
      </w:r>
      <w:r>
        <w:rPr>
          <w:rFonts w:hint="eastAsia" w:ascii="宋体" w:eastAsia="宋体" w:cs="宋体"/>
          <w:b/>
          <w:sz w:val="24"/>
          <w:szCs w:val="24"/>
        </w:rPr>
        <w:fldChar w:fldCharType="separate"/>
      </w:r>
      <w:r>
        <w:rPr>
          <w:rFonts w:ascii="宋体" w:eastAsia="宋体" w:cs="宋体"/>
          <w:b/>
          <w:sz w:val="24"/>
          <w:szCs w:val="24"/>
        </w:rPr>
        <w:t>33</w:t>
      </w:r>
      <w:r>
        <w:rPr>
          <w:rFonts w:hint="eastAsia" w:ascii="宋体" w:eastAsia="宋体" w:cs="宋体"/>
          <w:b/>
          <w:sz w:val="24"/>
          <w:szCs w:val="24"/>
        </w:rPr>
        <w:fldChar w:fldCharType="end"/>
      </w:r>
      <w:r>
        <w:rPr>
          <w:rFonts w:hint="eastAsia" w:ascii="宋体" w:eastAsia="宋体" w:cs="宋体"/>
          <w:b/>
          <w:sz w:val="24"/>
          <w:szCs w:val="24"/>
        </w:rPr>
        <w:fldChar w:fldCharType="end"/>
      </w:r>
    </w:p>
    <w:p>
      <w:pPr>
        <w:pStyle w:val="46"/>
        <w:tabs>
          <w:tab w:val="right" w:leader="dot" w:pos="9040"/>
          <w:tab w:val="clear" w:pos="8296"/>
          <w:tab w:val="clear" w:pos="8398"/>
        </w:tabs>
        <w:spacing w:line="360" w:lineRule="auto"/>
        <w:ind w:firstLine="0" w:firstLineChars="0"/>
        <w:jc w:val="center"/>
        <w:rPr>
          <w:rFonts w:ascii="宋体" w:eastAsia="宋体" w:cs="宋体"/>
          <w:bCs w:val="0"/>
          <w:caps w:val="0"/>
          <w:szCs w:val="22"/>
        </w:rPr>
      </w:pPr>
      <w:r>
        <w:fldChar w:fldCharType="begin"/>
      </w:r>
      <w:r>
        <w:instrText xml:space="preserve"> HYPERLINK \l "_Toc504570352" </w:instrText>
      </w:r>
      <w:r>
        <w:fldChar w:fldCharType="separate"/>
      </w:r>
      <w:r>
        <w:rPr>
          <w:rFonts w:hint="eastAsia" w:ascii="宋体" w:eastAsia="宋体" w:cs="宋体"/>
          <w:b/>
          <w:sz w:val="24"/>
          <w:szCs w:val="24"/>
        </w:rPr>
        <w:t>第六章  投标文件格式</w:t>
      </w:r>
      <w:bookmarkStart w:id="0" w:name="_Hlt510187334"/>
      <w:bookmarkStart w:id="1" w:name="_Hlt510187333"/>
      <w:r>
        <w:rPr>
          <w:rFonts w:hint="eastAsia" w:ascii="宋体" w:eastAsia="宋体" w:cs="宋体"/>
          <w:b/>
          <w:sz w:val="24"/>
          <w:szCs w:val="24"/>
        </w:rPr>
        <w:tab/>
      </w:r>
      <w:bookmarkEnd w:id="0"/>
      <w:bookmarkEnd w:id="1"/>
      <w:r>
        <w:rPr>
          <w:rFonts w:hint="eastAsia" w:ascii="宋体" w:eastAsia="宋体" w:cs="宋体"/>
          <w:b/>
          <w:sz w:val="24"/>
          <w:szCs w:val="24"/>
        </w:rPr>
        <w:fldChar w:fldCharType="begin"/>
      </w:r>
      <w:r>
        <w:rPr>
          <w:rFonts w:hint="eastAsia" w:ascii="宋体" w:eastAsia="宋体" w:cs="宋体"/>
          <w:b/>
          <w:sz w:val="24"/>
          <w:szCs w:val="24"/>
        </w:rPr>
        <w:instrText xml:space="preserve"> PAGEREF _Toc504570352 \h </w:instrText>
      </w:r>
      <w:r>
        <w:rPr>
          <w:rFonts w:hint="eastAsia" w:ascii="宋体" w:eastAsia="宋体" w:cs="宋体"/>
          <w:b/>
          <w:sz w:val="24"/>
          <w:szCs w:val="24"/>
        </w:rPr>
        <w:fldChar w:fldCharType="separate"/>
      </w:r>
      <w:r>
        <w:rPr>
          <w:rFonts w:ascii="宋体" w:eastAsia="宋体" w:cs="宋体"/>
          <w:b/>
          <w:sz w:val="24"/>
          <w:szCs w:val="24"/>
        </w:rPr>
        <w:t>40</w:t>
      </w:r>
      <w:r>
        <w:rPr>
          <w:rFonts w:hint="eastAsia" w:ascii="宋体" w:eastAsia="宋体" w:cs="宋体"/>
          <w:b/>
          <w:sz w:val="24"/>
          <w:szCs w:val="24"/>
        </w:rPr>
        <w:fldChar w:fldCharType="end"/>
      </w:r>
      <w:r>
        <w:rPr>
          <w:rFonts w:hint="eastAsia" w:ascii="宋体" w:eastAsia="宋体" w:cs="宋体"/>
          <w:b/>
          <w:sz w:val="24"/>
          <w:szCs w:val="24"/>
        </w:rPr>
        <w:fldChar w:fldCharType="end"/>
      </w:r>
    </w:p>
    <w:p>
      <w:pPr>
        <w:spacing w:line="360" w:lineRule="auto"/>
        <w:ind w:firstLine="480"/>
        <w:jc w:val="center"/>
        <w:rPr>
          <w:rFonts w:ascii="宋体" w:hAnsi="宋体"/>
          <w:sz w:val="30"/>
        </w:rPr>
      </w:pPr>
      <w:r>
        <w:rPr>
          <w:rFonts w:hint="eastAsia" w:ascii="宋体" w:hAnsi="宋体" w:cs="宋体"/>
          <w:b/>
          <w:bCs/>
          <w:caps/>
          <w:sz w:val="24"/>
          <w:szCs w:val="24"/>
        </w:rPr>
        <w:fldChar w:fldCharType="end"/>
      </w: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pStyle w:val="69"/>
      </w:pPr>
      <w:bookmarkStart w:id="2" w:name="_Toc504570347"/>
      <w:bookmarkStart w:id="3" w:name="_Toc407015646"/>
      <w:bookmarkStart w:id="4" w:name="_Toc425519576"/>
      <w:bookmarkStart w:id="5" w:name="_Toc425318866"/>
      <w:r>
        <w:rPr>
          <w:rFonts w:hint="eastAsia"/>
        </w:rPr>
        <w:br w:type="page"/>
      </w:r>
    </w:p>
    <w:p>
      <w:pPr>
        <w:pStyle w:val="69"/>
      </w:pPr>
    </w:p>
    <w:p>
      <w:pPr>
        <w:pStyle w:val="69"/>
      </w:pPr>
    </w:p>
    <w:p>
      <w:pPr>
        <w:pStyle w:val="69"/>
      </w:pPr>
    </w:p>
    <w:p>
      <w:pPr>
        <w:pStyle w:val="69"/>
      </w:pPr>
    </w:p>
    <w:p>
      <w:pPr>
        <w:pStyle w:val="69"/>
      </w:pPr>
    </w:p>
    <w:p>
      <w:pPr>
        <w:pStyle w:val="69"/>
      </w:pPr>
    </w:p>
    <w:p>
      <w:pPr>
        <w:pStyle w:val="69"/>
      </w:pPr>
      <w:r>
        <w:rPr>
          <w:rFonts w:hint="eastAsia"/>
        </w:rPr>
        <w:t>第一章  招标公告</w:t>
      </w:r>
      <w:bookmarkEnd w:id="2"/>
      <w:bookmarkEnd w:id="3"/>
      <w:bookmarkEnd w:id="4"/>
      <w:bookmarkEnd w:id="5"/>
    </w:p>
    <w:p>
      <w:pPr>
        <w:pStyle w:val="69"/>
      </w:pPr>
    </w:p>
    <w:p>
      <w:pPr>
        <w:pStyle w:val="69"/>
      </w:pPr>
    </w:p>
    <w:p>
      <w:pPr>
        <w:pStyle w:val="69"/>
      </w:pPr>
    </w:p>
    <w:p>
      <w:pPr>
        <w:pStyle w:val="198"/>
        <w:adjustRightInd w:val="0"/>
        <w:snapToGrid w:val="0"/>
        <w:spacing w:line="400" w:lineRule="exact"/>
        <w:ind w:firstLine="562"/>
        <w:jc w:val="center"/>
        <w:rPr>
          <w:rFonts w:ascii="宋体" w:hAnsi="宋体"/>
          <w:b/>
          <w:sz w:val="28"/>
          <w:szCs w:val="28"/>
        </w:rPr>
      </w:pPr>
      <w:r>
        <w:rPr>
          <w:rFonts w:ascii="宋体" w:hAnsi="宋体"/>
          <w:b/>
          <w:sz w:val="28"/>
          <w:szCs w:val="28"/>
        </w:rPr>
        <w:br w:type="page"/>
      </w:r>
      <w:r>
        <w:rPr>
          <w:rFonts w:hint="eastAsia" w:ascii="宋体" w:hAnsi="宋体"/>
          <w:b/>
          <w:sz w:val="28"/>
          <w:szCs w:val="28"/>
        </w:rPr>
        <w:t>中资国际工程咨询集团有限责任公司关于媒资储存系统高清化改造（NNZC2020-G1-990242-ZZGJ）项目公开招标公告</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rPr>
      </w:pPr>
      <w:r>
        <w:rPr>
          <w:rFonts w:hint="eastAsia" w:ascii="宋体" w:hAnsi="宋体" w:cs="宋体"/>
        </w:rPr>
        <w:t>根据《中华人民共和国政府采购法》、《政府采购货物和服务招标投标管理办法》等规定，经财政部门批准的政府采购计划（编号：[2020]NCCJW124001/3190</w:t>
      </w:r>
      <w:r>
        <w:rPr>
          <w:rFonts w:ascii="宋体" w:hAnsi="宋体" w:cs="宋体"/>
        </w:rPr>
        <w:t>/2</w:t>
      </w:r>
      <w:r>
        <w:rPr>
          <w:rFonts w:hint="eastAsia" w:ascii="宋体" w:hAnsi="宋体" w:cs="宋体"/>
        </w:rPr>
        <w:t>-</w:t>
      </w:r>
      <w:r>
        <w:rPr>
          <w:rFonts w:ascii="宋体" w:hAnsi="宋体" w:cs="宋体"/>
        </w:rPr>
        <w:t>001</w:t>
      </w:r>
      <w:r>
        <w:rPr>
          <w:rFonts w:hint="eastAsia" w:ascii="宋体" w:hAnsi="宋体" w:cs="宋体"/>
        </w:rPr>
        <w:t>，[2020]NCCJW124001/3190</w:t>
      </w:r>
      <w:r>
        <w:rPr>
          <w:rFonts w:ascii="宋体" w:hAnsi="宋体" w:cs="宋体"/>
        </w:rPr>
        <w:t>/3</w:t>
      </w:r>
      <w:r>
        <w:rPr>
          <w:rFonts w:hint="eastAsia" w:ascii="宋体" w:hAnsi="宋体" w:cs="宋体"/>
        </w:rPr>
        <w:t>-</w:t>
      </w:r>
      <w:r>
        <w:rPr>
          <w:rFonts w:ascii="宋体" w:hAnsi="宋体" w:cs="宋体"/>
        </w:rPr>
        <w:t>001</w:t>
      </w:r>
      <w:r>
        <w:rPr>
          <w:rFonts w:hint="eastAsia" w:ascii="宋体" w:hAnsi="宋体" w:cs="宋体"/>
        </w:rPr>
        <w:t>）批准，中资国际工程咨询集团有限责任公司受采购人南宁广播电视台委托，现就媒资储存系统高清化改造项目进行公开招标采购，欢迎符合条件的供应商前来投标。</w:t>
      </w:r>
    </w:p>
    <w:p>
      <w:pPr>
        <w:keepNext/>
        <w:keepLines/>
        <w:spacing w:line="400" w:lineRule="exact"/>
        <w:outlineLvl w:val="1"/>
        <w:rPr>
          <w:rFonts w:ascii="宋体" w:hAnsi="宋体" w:cs="宋体"/>
          <w:b/>
        </w:rPr>
      </w:pPr>
      <w:bookmarkStart w:id="6" w:name="_Toc35393629"/>
      <w:bookmarkStart w:id="7" w:name="_Toc28359012"/>
      <w:bookmarkStart w:id="8" w:name="_Toc35393798"/>
      <w:bookmarkStart w:id="9" w:name="_Toc28359089"/>
      <w:r>
        <w:rPr>
          <w:rFonts w:hint="eastAsia" w:ascii="宋体" w:hAnsi="宋体" w:cs="宋体"/>
          <w:b/>
        </w:rPr>
        <w:t>一、项目基本情况</w:t>
      </w:r>
      <w:bookmarkEnd w:id="6"/>
      <w:bookmarkEnd w:id="7"/>
      <w:bookmarkEnd w:id="8"/>
      <w:bookmarkEnd w:id="9"/>
    </w:p>
    <w:p>
      <w:pPr>
        <w:spacing w:line="380" w:lineRule="exact"/>
        <w:ind w:firstLine="420" w:firstLineChars="200"/>
        <w:rPr>
          <w:rFonts w:ascii="宋体" w:hAnsi="宋体" w:cs="宋体"/>
        </w:rPr>
      </w:pPr>
      <w:r>
        <w:rPr>
          <w:rFonts w:hint="eastAsia" w:ascii="宋体" w:hAnsi="宋体" w:cs="宋体"/>
        </w:rPr>
        <w:t>项目编号：NNZC2020-G1-990242-ZZGJ</w:t>
      </w:r>
    </w:p>
    <w:p>
      <w:pPr>
        <w:spacing w:line="380" w:lineRule="exact"/>
        <w:ind w:firstLine="420" w:firstLineChars="200"/>
        <w:rPr>
          <w:rFonts w:ascii="宋体" w:hAnsi="宋体" w:cs="宋体"/>
          <w:u w:val="single"/>
        </w:rPr>
      </w:pPr>
      <w:r>
        <w:rPr>
          <w:rFonts w:hint="eastAsia" w:ascii="宋体" w:hAnsi="宋体" w:cs="宋体"/>
        </w:rPr>
        <w:t>项目名称：媒资储存系统高清化改造</w:t>
      </w:r>
    </w:p>
    <w:p>
      <w:pPr>
        <w:spacing w:line="380" w:lineRule="exact"/>
        <w:ind w:firstLine="420" w:firstLineChars="200"/>
        <w:rPr>
          <w:rFonts w:ascii="宋体" w:hAnsi="宋体" w:cs="宋体"/>
        </w:rPr>
      </w:pPr>
      <w:r>
        <w:rPr>
          <w:rFonts w:hint="eastAsia" w:ascii="宋体" w:hAnsi="宋体" w:cs="宋体"/>
        </w:rPr>
        <w:t>采购方式：公开招标</w:t>
      </w:r>
    </w:p>
    <w:p>
      <w:pPr>
        <w:spacing w:line="380" w:lineRule="exact"/>
        <w:ind w:firstLine="420" w:firstLineChars="200"/>
        <w:rPr>
          <w:rFonts w:ascii="宋体" w:hAnsi="宋体" w:cs="宋体"/>
        </w:rPr>
      </w:pPr>
      <w:r>
        <w:rPr>
          <w:rFonts w:hint="eastAsia" w:ascii="宋体" w:hAnsi="宋体" w:cs="宋体"/>
        </w:rPr>
        <w:t>预算金额：</w:t>
      </w:r>
      <w:bookmarkStart w:id="10" w:name="_Hlk53410365"/>
      <w:r>
        <w:rPr>
          <w:rFonts w:hint="eastAsia" w:ascii="宋体" w:hAnsi="宋体" w:cs="宋体"/>
          <w:b/>
        </w:rPr>
        <w:t>A分标：</w:t>
      </w:r>
      <w:r>
        <w:rPr>
          <w:rFonts w:ascii="宋体" w:hAnsi="宋体" w:cs="宋体"/>
          <w:b/>
        </w:rPr>
        <w:t>29</w:t>
      </w:r>
      <w:r>
        <w:rPr>
          <w:rFonts w:hint="eastAsia" w:ascii="宋体" w:hAnsi="宋体" w:cs="宋体"/>
          <w:b/>
        </w:rPr>
        <w:t>.00万元，B分标：</w:t>
      </w:r>
      <w:r>
        <w:rPr>
          <w:rFonts w:ascii="宋体" w:hAnsi="宋体" w:cs="宋体"/>
          <w:b/>
        </w:rPr>
        <w:t>40</w:t>
      </w:r>
      <w:r>
        <w:rPr>
          <w:rFonts w:hint="eastAsia" w:ascii="宋体" w:hAnsi="宋体" w:cs="宋体"/>
          <w:b/>
        </w:rPr>
        <w:t>万元。</w:t>
      </w:r>
      <w:bookmarkEnd w:id="10"/>
    </w:p>
    <w:p>
      <w:pPr>
        <w:spacing w:line="380" w:lineRule="exact"/>
        <w:ind w:firstLine="420" w:firstLineChars="200"/>
        <w:rPr>
          <w:rFonts w:ascii="宋体" w:hAnsi="宋体" w:cs="宋体"/>
        </w:rPr>
      </w:pPr>
      <w:r>
        <w:rPr>
          <w:rFonts w:hint="eastAsia" w:ascii="宋体" w:hAnsi="宋体" w:cs="宋体"/>
        </w:rPr>
        <w:t>最高限价：</w:t>
      </w:r>
      <w:r>
        <w:rPr>
          <w:rFonts w:hint="eastAsia" w:ascii="宋体" w:hAnsi="宋体" w:cs="宋体"/>
          <w:b/>
        </w:rPr>
        <w:t>A分标：</w:t>
      </w:r>
      <w:r>
        <w:rPr>
          <w:rFonts w:ascii="宋体" w:hAnsi="宋体" w:cs="宋体"/>
          <w:b/>
        </w:rPr>
        <w:t>29</w:t>
      </w:r>
      <w:r>
        <w:rPr>
          <w:rFonts w:hint="eastAsia" w:ascii="宋体" w:hAnsi="宋体" w:cs="宋体"/>
          <w:b/>
        </w:rPr>
        <w:t>.00万元，B分标：</w:t>
      </w:r>
      <w:r>
        <w:rPr>
          <w:rFonts w:ascii="宋体" w:hAnsi="宋体" w:cs="宋体"/>
          <w:b/>
        </w:rPr>
        <w:t>40</w:t>
      </w:r>
      <w:r>
        <w:rPr>
          <w:rFonts w:hint="eastAsia" w:ascii="宋体" w:hAnsi="宋体" w:cs="宋体"/>
          <w:b/>
        </w:rPr>
        <w:t>万元。</w:t>
      </w:r>
    </w:p>
    <w:p>
      <w:pPr>
        <w:spacing w:line="380" w:lineRule="exact"/>
        <w:ind w:firstLine="420" w:firstLineChars="200"/>
        <w:rPr>
          <w:rFonts w:ascii="宋体" w:hAnsi="宋体" w:cs="宋体"/>
        </w:rPr>
      </w:pPr>
      <w:r>
        <w:rPr>
          <w:rFonts w:hint="eastAsia" w:ascii="宋体" w:hAnsi="宋体" w:cs="宋体"/>
        </w:rPr>
        <w:t>采购需求：</w:t>
      </w:r>
    </w:p>
    <w:p>
      <w:pPr>
        <w:spacing w:line="380" w:lineRule="exact"/>
        <w:ind w:firstLine="420" w:firstLineChars="200"/>
      </w:pPr>
      <w:r>
        <w:rPr>
          <w:rFonts w:hint="eastAsia" w:ascii="宋体" w:hAnsi="宋体" w:cs="宋体"/>
        </w:rPr>
        <w:t>A分标：媒资系统网络安全等级保护监测1项；B分标：媒资系统与老友云互联互通APP建设1项；具体内容详见招标文件项目需求一览表。</w:t>
      </w:r>
    </w:p>
    <w:p>
      <w:pPr>
        <w:spacing w:line="380" w:lineRule="exact"/>
        <w:ind w:firstLine="420" w:firstLineChars="200"/>
        <w:rPr>
          <w:rFonts w:ascii="宋体" w:hAnsi="宋体" w:cs="宋体"/>
          <w:u w:val="single"/>
        </w:rPr>
      </w:pPr>
      <w:r>
        <w:rPr>
          <w:rFonts w:hint="eastAsia" w:ascii="宋体" w:hAnsi="宋体" w:cs="宋体"/>
        </w:rPr>
        <w:t>合同履行期限：壹年（自合同签字生效之日起计）</w:t>
      </w:r>
    </w:p>
    <w:p>
      <w:pPr>
        <w:spacing w:line="380" w:lineRule="exact"/>
        <w:ind w:firstLine="420" w:firstLineChars="200"/>
        <w:rPr>
          <w:rFonts w:ascii="宋体" w:hAnsi="宋体"/>
        </w:rPr>
      </w:pPr>
      <w:r>
        <w:rPr>
          <w:rFonts w:hint="eastAsia" w:ascii="宋体" w:hAnsi="宋体" w:cs="宋体"/>
        </w:rPr>
        <w:t>本项目不接受联合体。</w:t>
      </w:r>
    </w:p>
    <w:p>
      <w:pPr>
        <w:keepNext/>
        <w:keepLines/>
        <w:spacing w:line="400" w:lineRule="exact"/>
        <w:outlineLvl w:val="1"/>
        <w:rPr>
          <w:rFonts w:ascii="宋体" w:hAnsi="宋体" w:cs="宋体"/>
          <w:b/>
        </w:rPr>
      </w:pPr>
      <w:r>
        <w:rPr>
          <w:rFonts w:hint="eastAsia" w:ascii="宋体" w:hAnsi="宋体" w:cs="宋体"/>
          <w:b/>
        </w:rPr>
        <w:t>二、合格投标人的资格要求：</w:t>
      </w:r>
    </w:p>
    <w:p>
      <w:pPr>
        <w:adjustRightInd w:val="0"/>
        <w:snapToGrid w:val="0"/>
        <w:spacing w:line="400" w:lineRule="exact"/>
        <w:ind w:firstLine="420" w:firstLineChars="200"/>
        <w:jc w:val="left"/>
        <w:rPr>
          <w:rFonts w:ascii="宋体" w:hAnsi="宋体"/>
        </w:rPr>
      </w:pPr>
      <w:r>
        <w:rPr>
          <w:rFonts w:hint="eastAsia" w:ascii="宋体" w:hAnsi="宋体"/>
        </w:rPr>
        <w:t>1.投标人未被列入失信被执行人、重大税收违法案件当事人名单、政府采购严重违法失信行为记录名单，且符合《中华人民共和国政府采购法》第二十二条规定的资格条件。</w:t>
      </w:r>
    </w:p>
    <w:p>
      <w:pPr>
        <w:adjustRightInd w:val="0"/>
        <w:snapToGrid w:val="0"/>
        <w:spacing w:line="400" w:lineRule="exact"/>
        <w:ind w:firstLine="420" w:firstLineChars="200"/>
        <w:jc w:val="left"/>
        <w:rPr>
          <w:rFonts w:ascii="宋体" w:hAnsi="宋体"/>
        </w:rPr>
      </w:pPr>
      <w:r>
        <w:rPr>
          <w:rFonts w:hint="eastAsia" w:ascii="宋体" w:hAnsi="宋体"/>
        </w:rPr>
        <w:t>2.具有国内法人资格，注册经营范围满足所投分标采购内容的供应商。</w:t>
      </w:r>
    </w:p>
    <w:p>
      <w:pPr>
        <w:adjustRightInd w:val="0"/>
        <w:snapToGrid w:val="0"/>
        <w:spacing w:line="400" w:lineRule="exact"/>
        <w:ind w:firstLine="420" w:firstLineChars="200"/>
        <w:jc w:val="left"/>
        <w:rPr>
          <w:rFonts w:ascii="宋体" w:hAnsi="宋体"/>
        </w:rPr>
      </w:pPr>
      <w:r>
        <w:rPr>
          <w:rFonts w:hint="eastAsia" w:ascii="宋体" w:hAnsi="宋体"/>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adjustRightInd w:val="0"/>
        <w:snapToGrid w:val="0"/>
        <w:spacing w:line="400" w:lineRule="exact"/>
        <w:ind w:firstLine="420" w:firstLineChars="200"/>
        <w:jc w:val="left"/>
        <w:rPr>
          <w:rFonts w:ascii="宋体" w:hAnsi="宋体"/>
        </w:rPr>
      </w:pPr>
      <w:r>
        <w:rPr>
          <w:rFonts w:hint="eastAsia" w:ascii="宋体" w:hAnsi="宋体"/>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keepLines/>
        <w:spacing w:line="400" w:lineRule="exact"/>
        <w:outlineLvl w:val="1"/>
        <w:rPr>
          <w:rFonts w:ascii="宋体" w:hAnsi="宋体" w:cs="宋体"/>
          <w:b/>
        </w:rPr>
      </w:pPr>
      <w:r>
        <w:rPr>
          <w:rFonts w:hint="eastAsia" w:ascii="宋体" w:hAnsi="宋体" w:cs="宋体"/>
          <w:b/>
        </w:rPr>
        <w:t>三、招标文件的获取：</w:t>
      </w:r>
    </w:p>
    <w:p>
      <w:pPr>
        <w:adjustRightInd w:val="0"/>
        <w:snapToGrid w:val="0"/>
        <w:spacing w:line="340" w:lineRule="exact"/>
        <w:ind w:firstLine="420" w:firstLineChars="200"/>
        <w:rPr>
          <w:rFonts w:ascii="宋体" w:hAnsi="宋体"/>
          <w:shd w:val="clear" w:color="auto" w:fill="FFFFFF"/>
        </w:rPr>
      </w:pPr>
      <w:r>
        <w:rPr>
          <w:rFonts w:hint="eastAsia" w:ascii="宋体" w:hAnsi="宋体"/>
          <w:shd w:val="clear" w:color="auto" w:fill="FFFFFF"/>
        </w:rPr>
        <w:t>时间：2020年10月15日至2020年10月22日（提供期限自本公告发布之日起不得少于5个工作日），每天上午8:30至12:00，下午2:30至5:30（北京时间，法定节假日除外）</w:t>
      </w:r>
    </w:p>
    <w:p>
      <w:pPr>
        <w:adjustRightInd w:val="0"/>
        <w:snapToGrid w:val="0"/>
        <w:spacing w:line="340" w:lineRule="exact"/>
        <w:ind w:firstLine="420" w:firstLineChars="200"/>
        <w:rPr>
          <w:rFonts w:ascii="宋体" w:hAnsi="宋体"/>
          <w:shd w:val="clear" w:color="auto" w:fill="FFFFFF"/>
        </w:rPr>
      </w:pPr>
      <w:r>
        <w:rPr>
          <w:rFonts w:hint="eastAsia" w:ascii="宋体" w:hAnsi="宋体"/>
          <w:shd w:val="clear" w:color="auto" w:fill="FFFFFF"/>
        </w:rPr>
        <w:t>地点：本项目不发放纸质招标采购文件，投标人自行在南宁市公共资源交易中心(www.nnggzy.org.cn/gxnnzbw/default.aspx)的信息公告处下载招标采购文件。</w:t>
      </w:r>
    </w:p>
    <w:p>
      <w:pPr>
        <w:adjustRightInd w:val="0"/>
        <w:snapToGrid w:val="0"/>
        <w:spacing w:line="340" w:lineRule="exact"/>
        <w:ind w:firstLine="420" w:firstLineChars="200"/>
        <w:rPr>
          <w:rFonts w:ascii="宋体" w:hAnsi="宋体"/>
          <w:shd w:val="clear" w:color="auto" w:fill="FFFFFF"/>
        </w:rPr>
      </w:pPr>
      <w:r>
        <w:rPr>
          <w:rFonts w:hint="eastAsia" w:ascii="宋体" w:hAnsi="宋体"/>
          <w:shd w:val="clear" w:color="auto" w:fill="FFFFFF"/>
        </w:rPr>
        <w:t>方式：自行下载</w:t>
      </w:r>
    </w:p>
    <w:p>
      <w:pPr>
        <w:adjustRightInd w:val="0"/>
        <w:snapToGrid w:val="0"/>
        <w:spacing w:line="340" w:lineRule="exact"/>
        <w:ind w:firstLine="420" w:firstLineChars="200"/>
        <w:rPr>
          <w:rFonts w:ascii="宋体" w:hAnsi="宋体" w:cs="宋体"/>
          <w:bCs/>
        </w:rPr>
      </w:pPr>
      <w:r>
        <w:rPr>
          <w:rFonts w:hint="eastAsia" w:ascii="宋体" w:hAnsi="宋体"/>
          <w:shd w:val="clear" w:color="auto" w:fill="FFFFFF"/>
        </w:rPr>
        <w:t>售价：0元</w:t>
      </w:r>
    </w:p>
    <w:p>
      <w:pPr>
        <w:keepNext/>
        <w:keepLines/>
        <w:spacing w:line="400" w:lineRule="exact"/>
        <w:outlineLvl w:val="1"/>
        <w:rPr>
          <w:rFonts w:ascii="宋体" w:hAnsi="宋体" w:cs="宋体"/>
          <w:b/>
        </w:rPr>
      </w:pPr>
      <w:r>
        <w:rPr>
          <w:rFonts w:hint="eastAsia" w:ascii="宋体" w:hAnsi="宋体" w:cs="宋体"/>
          <w:b/>
        </w:rPr>
        <w:t>四、提交投标文件截止时间、开标时间和地点</w:t>
      </w:r>
    </w:p>
    <w:p>
      <w:pPr>
        <w:adjustRightInd w:val="0"/>
        <w:snapToGrid w:val="0"/>
        <w:spacing w:line="340" w:lineRule="exact"/>
        <w:ind w:firstLine="420" w:firstLineChars="200"/>
        <w:rPr>
          <w:rFonts w:ascii="宋体" w:hAnsi="宋体"/>
          <w:shd w:val="clear" w:color="auto" w:fill="FFFFFF"/>
        </w:rPr>
      </w:pPr>
      <w:r>
        <w:rPr>
          <w:rFonts w:hint="eastAsia" w:ascii="宋体" w:hAnsi="宋体"/>
          <w:shd w:val="clear" w:color="auto" w:fill="FFFFFF"/>
        </w:rPr>
        <w:t>2020年11月6日上午9时30分（北京时间）（自招标文件开始发出之日起至投标人提交投标文件截止之日止，不得少于20日）</w:t>
      </w:r>
    </w:p>
    <w:p>
      <w:pPr>
        <w:adjustRightInd w:val="0"/>
        <w:snapToGrid w:val="0"/>
        <w:spacing w:line="340" w:lineRule="exact"/>
        <w:ind w:firstLine="420" w:firstLineChars="200"/>
        <w:rPr>
          <w:rFonts w:ascii="宋体" w:hAnsi="宋体"/>
          <w:shd w:val="clear" w:color="auto" w:fill="FFFFFF"/>
        </w:rPr>
      </w:pPr>
      <w:r>
        <w:rPr>
          <w:rFonts w:hint="eastAsia" w:ascii="宋体" w:hAnsi="宋体"/>
          <w:shd w:val="clear" w:color="auto" w:fill="FFFFFF"/>
        </w:rPr>
        <w:t>地点：南宁市公共资源交易中心（南宁市良庆区玉洞大道33号南宁市民中心9楼）开标室（具体安排详见9楼电子大屏幕场地安排表）。</w:t>
      </w:r>
    </w:p>
    <w:p>
      <w:pPr>
        <w:spacing w:line="380" w:lineRule="exact"/>
        <w:ind w:firstLine="420" w:firstLineChars="200"/>
        <w:rPr>
          <w:rFonts w:ascii="宋体" w:hAnsi="宋体" w:cs="宋体"/>
        </w:rPr>
      </w:pPr>
      <w:r>
        <w:rPr>
          <w:rFonts w:hint="eastAsia" w:ascii="宋体" w:hAnsi="宋体" w:cs="宋体"/>
          <w:kern w:val="0"/>
        </w:rPr>
        <w:t>根据南宁市财政局《关于做好疫情防控期间政府采购工作有关事项的通知》（南财采〔2020〕12号）要求，本项目实行“不见面”开标方式，本项目的投标文件原则上应通过邮寄快递的方式送达。</w:t>
      </w:r>
    </w:p>
    <w:p>
      <w:pPr>
        <w:spacing w:line="380" w:lineRule="exact"/>
        <w:ind w:firstLine="420" w:firstLineChars="200"/>
        <w:rPr>
          <w:rFonts w:ascii="宋体" w:hAnsi="宋体" w:cs="宋体"/>
        </w:rPr>
      </w:pPr>
      <w:r>
        <w:rPr>
          <w:rFonts w:hint="eastAsia" w:ascii="宋体" w:hAnsi="宋体" w:cs="宋体"/>
        </w:rPr>
        <w:t>邮寄地点：南宁市青秀区长园路8号大地华城S3-01商场三楼中资国际工程咨询集团有限责任公司，收件人：郭乃华，联系电话：0771-5675006。</w:t>
      </w:r>
    </w:p>
    <w:p>
      <w:pPr>
        <w:spacing w:line="380" w:lineRule="exact"/>
        <w:ind w:firstLine="420" w:firstLineChars="200"/>
        <w:rPr>
          <w:rFonts w:ascii="宋体" w:hAnsi="宋体" w:cs="宋体"/>
        </w:rPr>
      </w:pPr>
      <w:r>
        <w:rPr>
          <w:rFonts w:hint="eastAsia" w:ascii="宋体" w:hAnsi="宋体" w:cs="宋体"/>
        </w:rPr>
        <w:t>（1）接收邮寄快递包裹的时间为工作日8:30～12：00,14:30～18:00。投标文件必须在投标截止时间前送达。采购代理机构签收邮寄包裹的时间即为投标人投标文件的送达时间，逾期送达的投标文件无效，后果由投标人自行承担。</w:t>
      </w:r>
    </w:p>
    <w:p>
      <w:pPr>
        <w:spacing w:line="380" w:lineRule="exact"/>
        <w:ind w:firstLine="420" w:firstLineChars="200"/>
        <w:rPr>
          <w:rFonts w:ascii="宋体" w:hAnsi="宋体" w:cs="宋体"/>
        </w:rPr>
      </w:pPr>
      <w:r>
        <w:rPr>
          <w:rFonts w:hint="eastAsia" w:ascii="宋体" w:hAnsi="宋体" w:cs="宋体"/>
        </w:rPr>
        <w:t>（2）采购代理机构将在投标截止时间前1小时（即8时30分）统一将收到的投标文件运送至南宁市公共资源交易中心，以确保本项目能在投标截止（开标）时间准时截标。投标人应充分预留投标文件邮寄、送达所需要的时间。为确保疫情防控期间邮寄包裹能及时送达，应选择邮寄运送时间有保障的快递公司寄送投标文件，并尽量在投标截止日期1日前送达。</w:t>
      </w:r>
    </w:p>
    <w:p>
      <w:pPr>
        <w:spacing w:line="380" w:lineRule="exact"/>
        <w:ind w:firstLine="420" w:firstLineChars="200"/>
        <w:rPr>
          <w:rFonts w:ascii="宋体" w:hAnsi="宋体" w:cs="宋体"/>
        </w:rPr>
      </w:pPr>
      <w:r>
        <w:rPr>
          <w:rFonts w:hint="eastAsia" w:ascii="宋体" w:hAnsi="宋体" w:cs="宋体"/>
        </w:rPr>
        <w:t>（3）投标人在按照招标文件的要求装订、密封好投标文件后，应使用不透明、防水的邮寄袋（或箱）再次包裹已密封好的投标文件，并在邮寄袋（或箱）上粘牢注明项目名称、项目编号、投标人名称及有效的电子邮箱内容的纸质表格（表格格式自拟），如投标文件在运送过程中发生破损、受潮等情况，后果由投标人自行承担。</w:t>
      </w:r>
    </w:p>
    <w:p>
      <w:pPr>
        <w:adjustRightInd w:val="0"/>
        <w:snapToGrid w:val="0"/>
        <w:spacing w:line="340" w:lineRule="exact"/>
        <w:ind w:firstLine="420" w:firstLineChars="200"/>
        <w:rPr>
          <w:rFonts w:ascii="宋体" w:hAnsi="宋体"/>
          <w:shd w:val="clear" w:color="auto" w:fill="FFFFFF"/>
        </w:rPr>
      </w:pPr>
      <w:r>
        <w:rPr>
          <w:rFonts w:hint="eastAsia" w:ascii="宋体" w:hAnsi="宋体" w:cs="宋体"/>
        </w:rPr>
        <w:t>（4）采购代理机构工作人员在收到投标文件的邮寄包裹后，按照投标人在邮寄包裹上所预留的电子邮箱告知投标文件收件情况，请投标人务必确保所预留的电子邮箱的有效性，并注意查收邮件。</w:t>
      </w:r>
    </w:p>
    <w:p>
      <w:pPr>
        <w:keepNext/>
        <w:keepLines/>
        <w:spacing w:line="400" w:lineRule="exact"/>
        <w:outlineLvl w:val="1"/>
        <w:rPr>
          <w:rFonts w:ascii="宋体" w:hAnsi="宋体" w:cs="宋体"/>
          <w:b/>
        </w:rPr>
      </w:pPr>
      <w:r>
        <w:rPr>
          <w:rFonts w:hint="eastAsia" w:ascii="宋体" w:hAnsi="宋体" w:cs="宋体"/>
          <w:b/>
        </w:rPr>
        <w:t>五、公告期限</w:t>
      </w:r>
    </w:p>
    <w:p>
      <w:pPr>
        <w:adjustRightInd w:val="0"/>
        <w:snapToGrid w:val="0"/>
        <w:spacing w:line="340" w:lineRule="exact"/>
        <w:ind w:firstLine="420" w:firstLineChars="200"/>
        <w:rPr>
          <w:rFonts w:ascii="宋体" w:hAnsi="宋体"/>
          <w:shd w:val="clear" w:color="auto" w:fill="FFFFFF"/>
        </w:rPr>
      </w:pPr>
      <w:r>
        <w:rPr>
          <w:rFonts w:hint="eastAsia" w:ascii="宋体" w:hAnsi="宋体"/>
          <w:shd w:val="clear" w:color="auto" w:fill="FFFFFF"/>
        </w:rPr>
        <w:t>自本公告发布之日起5个工作日。</w:t>
      </w:r>
    </w:p>
    <w:p>
      <w:pPr>
        <w:keepNext/>
        <w:keepLines/>
        <w:spacing w:line="400" w:lineRule="exact"/>
        <w:outlineLvl w:val="1"/>
        <w:rPr>
          <w:rFonts w:ascii="宋体" w:hAnsi="宋体" w:cs="宋体"/>
          <w:b/>
        </w:rPr>
      </w:pPr>
      <w:r>
        <w:rPr>
          <w:rFonts w:hint="eastAsia" w:ascii="宋体" w:hAnsi="宋体" w:cs="宋体"/>
          <w:b/>
        </w:rPr>
        <w:t>六、其他补充事宜</w:t>
      </w:r>
    </w:p>
    <w:p>
      <w:pPr>
        <w:adjustRightInd w:val="0"/>
        <w:snapToGrid w:val="0"/>
        <w:spacing w:line="340" w:lineRule="exact"/>
        <w:ind w:firstLine="420" w:firstLineChars="200"/>
        <w:rPr>
          <w:rFonts w:ascii="宋体" w:hAnsi="宋体"/>
          <w:shd w:val="clear" w:color="auto" w:fill="FFFFFF"/>
        </w:rPr>
      </w:pPr>
      <w:r>
        <w:rPr>
          <w:rFonts w:hint="eastAsia" w:ascii="宋体" w:hAnsi="宋体"/>
          <w:shd w:val="clear" w:color="auto" w:fill="FFFFFF"/>
        </w:rPr>
        <w:t>投标保证金:本项目不收取任何形式的保证金。</w:t>
      </w:r>
    </w:p>
    <w:p>
      <w:pPr>
        <w:keepNext/>
        <w:keepLines/>
        <w:spacing w:line="400" w:lineRule="exact"/>
        <w:outlineLvl w:val="1"/>
        <w:rPr>
          <w:rFonts w:ascii="宋体" w:hAnsi="宋体" w:cs="宋体"/>
          <w:b/>
        </w:rPr>
      </w:pPr>
      <w:r>
        <w:rPr>
          <w:rFonts w:hint="eastAsia" w:ascii="宋体" w:hAnsi="宋体" w:cs="宋体"/>
          <w:b/>
        </w:rPr>
        <w:t>七、对本次招标提出询问，请按以下方式联系</w:t>
      </w:r>
    </w:p>
    <w:p>
      <w:pPr>
        <w:adjustRightInd w:val="0"/>
        <w:snapToGrid w:val="0"/>
        <w:spacing w:line="340" w:lineRule="exact"/>
        <w:ind w:firstLine="420" w:firstLineChars="200"/>
        <w:rPr>
          <w:rFonts w:ascii="宋体" w:hAnsi="宋体" w:cs="宋体"/>
          <w:bCs/>
        </w:rPr>
      </w:pPr>
      <w:r>
        <w:rPr>
          <w:rFonts w:ascii="宋体" w:hAnsi="宋体" w:cs="宋体"/>
          <w:bCs/>
        </w:rPr>
        <w:t>1.</w:t>
      </w:r>
      <w:r>
        <w:rPr>
          <w:rFonts w:hint="eastAsia" w:ascii="宋体" w:hAnsi="宋体" w:cs="宋体"/>
          <w:bCs/>
        </w:rPr>
        <w:t>采购单位：</w:t>
      </w:r>
      <w:r>
        <w:rPr>
          <w:rFonts w:hint="eastAsia" w:ascii="宋体" w:hAnsi="宋体"/>
          <w:shd w:val="clear" w:color="auto" w:fill="FFFFFF"/>
        </w:rPr>
        <w:t>南宁广播电视台</w:t>
      </w:r>
      <w:r>
        <w:rPr>
          <w:rFonts w:hint="eastAsia" w:ascii="宋体" w:hAnsi="宋体" w:cs="宋体"/>
          <w:bCs/>
        </w:rPr>
        <w:t>；                 地址：南宁市葛村路25号</w:t>
      </w:r>
    </w:p>
    <w:p>
      <w:pPr>
        <w:adjustRightInd w:val="0"/>
        <w:snapToGrid w:val="0"/>
        <w:spacing w:line="340" w:lineRule="exact"/>
        <w:ind w:firstLine="630" w:firstLineChars="300"/>
        <w:rPr>
          <w:rFonts w:ascii="宋体" w:hAnsi="宋体" w:cs="宋体"/>
          <w:bCs/>
        </w:rPr>
      </w:pPr>
      <w:r>
        <w:rPr>
          <w:rFonts w:hint="eastAsia" w:ascii="宋体" w:hAnsi="宋体" w:cs="宋体"/>
          <w:bCs/>
        </w:rPr>
        <w:t>联系人：倪小玮                             联系电话：0771-5655488</w:t>
      </w:r>
    </w:p>
    <w:p>
      <w:pPr>
        <w:adjustRightInd w:val="0"/>
        <w:snapToGrid w:val="0"/>
        <w:spacing w:line="340" w:lineRule="exact"/>
        <w:ind w:firstLine="420" w:firstLineChars="200"/>
        <w:rPr>
          <w:rFonts w:ascii="宋体" w:hAnsi="宋体" w:cs="宋体"/>
          <w:bCs/>
        </w:rPr>
      </w:pPr>
      <w:r>
        <w:rPr>
          <w:rFonts w:ascii="宋体" w:hAnsi="宋体" w:cs="宋体"/>
          <w:bCs/>
        </w:rPr>
        <w:t>2.</w:t>
      </w:r>
      <w:r>
        <w:rPr>
          <w:rFonts w:hint="eastAsia" w:ascii="宋体" w:hAnsi="宋体" w:cs="宋体"/>
          <w:bCs/>
        </w:rPr>
        <w:t>代理机构：中资国际工程咨询集团有限责任公司</w:t>
      </w:r>
    </w:p>
    <w:p>
      <w:pPr>
        <w:adjustRightInd w:val="0"/>
        <w:snapToGrid w:val="0"/>
        <w:spacing w:line="340" w:lineRule="exact"/>
        <w:ind w:firstLine="630" w:firstLineChars="300"/>
        <w:rPr>
          <w:rFonts w:ascii="宋体" w:hAnsi="宋体" w:cs="宋体"/>
          <w:bCs/>
        </w:rPr>
      </w:pPr>
      <w:r>
        <w:rPr>
          <w:rFonts w:hint="eastAsia" w:ascii="宋体" w:hAnsi="宋体" w:cs="宋体"/>
          <w:bCs/>
        </w:rPr>
        <w:t>地址：南宁市青秀区长园路</w:t>
      </w:r>
      <w:r>
        <w:rPr>
          <w:rFonts w:ascii="宋体" w:hAnsi="宋体" w:cs="宋体"/>
          <w:bCs/>
        </w:rPr>
        <w:t>8</w:t>
      </w:r>
      <w:r>
        <w:rPr>
          <w:rFonts w:hint="eastAsia" w:ascii="宋体" w:hAnsi="宋体" w:cs="宋体"/>
          <w:bCs/>
        </w:rPr>
        <w:t>号大地华城</w:t>
      </w:r>
      <w:r>
        <w:rPr>
          <w:rFonts w:ascii="宋体" w:hAnsi="宋体" w:cs="宋体"/>
          <w:bCs/>
        </w:rPr>
        <w:t>S3-01</w:t>
      </w:r>
      <w:r>
        <w:rPr>
          <w:rFonts w:hint="eastAsia" w:ascii="宋体" w:hAnsi="宋体" w:cs="宋体"/>
          <w:bCs/>
        </w:rPr>
        <w:t>号商场三楼</w:t>
      </w:r>
    </w:p>
    <w:p>
      <w:pPr>
        <w:adjustRightInd w:val="0"/>
        <w:snapToGrid w:val="0"/>
        <w:spacing w:line="340" w:lineRule="exact"/>
        <w:ind w:firstLine="630" w:firstLineChars="300"/>
        <w:rPr>
          <w:rFonts w:ascii="宋体" w:hAnsi="宋体" w:cs="宋体"/>
          <w:bCs/>
        </w:rPr>
      </w:pPr>
      <w:r>
        <w:rPr>
          <w:rFonts w:hint="eastAsia" w:ascii="宋体" w:hAnsi="宋体" w:cs="宋体"/>
          <w:bCs/>
        </w:rPr>
        <w:t>项目负责人：郭乃华</w:t>
      </w:r>
      <w:r>
        <w:rPr>
          <w:rFonts w:ascii="宋体" w:hAnsi="宋体" w:cs="宋体"/>
          <w:bCs/>
        </w:rPr>
        <w:t xml:space="preserve">        </w:t>
      </w:r>
      <w:r>
        <w:rPr>
          <w:rFonts w:hint="eastAsia" w:ascii="宋体" w:hAnsi="宋体" w:cs="宋体"/>
          <w:bCs/>
        </w:rPr>
        <w:t xml:space="preserve">                联系电话：</w:t>
      </w:r>
      <w:r>
        <w:rPr>
          <w:rFonts w:ascii="宋体" w:hAnsi="宋体" w:cs="宋体"/>
          <w:bCs/>
        </w:rPr>
        <w:t>0771-5</w:t>
      </w:r>
      <w:r>
        <w:rPr>
          <w:rFonts w:hint="eastAsia" w:ascii="宋体" w:hAnsi="宋体" w:cs="宋体"/>
          <w:bCs/>
        </w:rPr>
        <w:t>675006</w:t>
      </w:r>
    </w:p>
    <w:p>
      <w:pPr>
        <w:adjustRightInd w:val="0"/>
        <w:snapToGrid w:val="0"/>
        <w:spacing w:line="340" w:lineRule="exact"/>
        <w:ind w:firstLine="420" w:firstLineChars="200"/>
      </w:pPr>
      <w:r>
        <w:rPr>
          <w:rFonts w:ascii="宋体" w:hAnsi="宋体" w:cs="宋体"/>
          <w:bCs/>
        </w:rPr>
        <w:t>3.</w:t>
      </w:r>
      <w:r>
        <w:rPr>
          <w:rFonts w:hint="eastAsia" w:ascii="宋体" w:hAnsi="宋体"/>
          <w:shd w:val="clear" w:color="auto" w:fill="FFFFFF"/>
        </w:rPr>
        <w:t>监管部门</w:t>
      </w:r>
      <w:r>
        <w:rPr>
          <w:rFonts w:hint="eastAsia" w:ascii="宋体" w:hAnsi="宋体" w:cs="宋体"/>
          <w:bCs/>
        </w:rPr>
        <w:t>：</w:t>
      </w:r>
      <w:r>
        <w:rPr>
          <w:rFonts w:hint="eastAsia" w:hAnsi="宋体"/>
        </w:rPr>
        <w:t>南宁市财政局政府采购监督管理办公室</w:t>
      </w:r>
      <w:r>
        <w:rPr>
          <w:rFonts w:hint="eastAsia" w:ascii="宋体" w:hAnsi="宋体" w:cs="宋体"/>
          <w:bCs/>
        </w:rPr>
        <w:t>，</w:t>
      </w:r>
      <w:r>
        <w:rPr>
          <w:rFonts w:hint="eastAsia" w:ascii="宋体" w:hAnsi="宋体"/>
          <w:shd w:val="clear" w:color="auto" w:fill="FFFFFF"/>
        </w:rPr>
        <w:t>投诉电话：0771-2189091</w:t>
      </w:r>
    </w:p>
    <w:p>
      <w:pPr>
        <w:keepNext/>
        <w:keepLines/>
        <w:spacing w:line="400" w:lineRule="exact"/>
        <w:outlineLvl w:val="1"/>
        <w:rPr>
          <w:rFonts w:ascii="宋体" w:hAnsi="宋体" w:cs="宋体"/>
          <w:b/>
        </w:rPr>
      </w:pPr>
      <w:r>
        <w:rPr>
          <w:rFonts w:hint="eastAsia" w:ascii="宋体" w:hAnsi="宋体" w:cs="宋体"/>
          <w:b/>
        </w:rPr>
        <w:t>八、网上查询网址:</w:t>
      </w:r>
    </w:p>
    <w:p>
      <w:pPr>
        <w:adjustRightInd w:val="0"/>
        <w:snapToGrid w:val="0"/>
        <w:spacing w:line="400" w:lineRule="exact"/>
        <w:ind w:left="141" w:leftChars="67" w:firstLine="420" w:firstLineChars="200"/>
        <w:jc w:val="left"/>
        <w:rPr>
          <w:rFonts w:ascii="宋体" w:hAnsi="宋体"/>
        </w:rPr>
      </w:pPr>
      <w:r>
        <w:rPr>
          <w:rFonts w:hint="eastAsia" w:ascii="宋体" w:hAnsi="宋体"/>
        </w:rPr>
        <w:t>中国政府采购网（</w:t>
      </w:r>
      <w:r>
        <w:rPr>
          <w:rFonts w:ascii="宋体" w:hAnsi="宋体"/>
        </w:rPr>
        <w:t>http://</w:t>
      </w:r>
      <w:r>
        <w:fldChar w:fldCharType="begin"/>
      </w:r>
      <w:r>
        <w:instrText xml:space="preserve"> HYPERLINK "http://www.ccgp.gov.cn" </w:instrText>
      </w:r>
      <w:r>
        <w:fldChar w:fldCharType="separate"/>
      </w:r>
      <w:r>
        <w:rPr>
          <w:rStyle w:val="81"/>
          <w:rFonts w:ascii="宋体" w:hAnsi="宋体"/>
          <w:color w:val="auto"/>
        </w:rPr>
        <w:t>www.ccgp.gov.cn</w:t>
      </w:r>
      <w:r>
        <w:rPr>
          <w:rStyle w:val="81"/>
          <w:rFonts w:ascii="宋体" w:hAnsi="宋体"/>
          <w:color w:val="auto"/>
        </w:rPr>
        <w:fldChar w:fldCharType="end"/>
      </w:r>
      <w:r>
        <w:rPr>
          <w:rFonts w:hint="eastAsia" w:ascii="宋体" w:hAnsi="宋体"/>
        </w:rPr>
        <w:t>）；</w:t>
      </w:r>
      <w:r>
        <w:rPr>
          <w:rFonts w:hint="eastAsia" w:ascii="宋体" w:hAnsi="宋体" w:cs="Arial"/>
        </w:rPr>
        <w:t>广西壮族自治区政府采购网(http://</w:t>
      </w:r>
      <w:r>
        <w:fldChar w:fldCharType="begin"/>
      </w:r>
      <w:r>
        <w:instrText xml:space="preserve"> HYPERLINK "http://www.gxzfcg.gov.cn" </w:instrText>
      </w:r>
      <w:r>
        <w:fldChar w:fldCharType="separate"/>
      </w:r>
      <w:r>
        <w:rPr>
          <w:rStyle w:val="81"/>
          <w:rFonts w:ascii="宋体" w:hAnsi="宋体" w:cs="Arial"/>
          <w:color w:val="auto"/>
        </w:rPr>
        <w:t>www.gxzfcg.gov.cn</w:t>
      </w:r>
      <w:r>
        <w:rPr>
          <w:rStyle w:val="81"/>
          <w:rFonts w:ascii="宋体" w:hAnsi="宋体" w:cs="Arial"/>
          <w:color w:val="auto"/>
        </w:rPr>
        <w:fldChar w:fldCharType="end"/>
      </w:r>
      <w:r>
        <w:rPr>
          <w:rFonts w:hint="eastAsia" w:ascii="宋体" w:hAnsi="宋体" w:cs="Arial"/>
        </w:rPr>
        <w:t>)；</w:t>
      </w:r>
      <w:r>
        <w:rPr>
          <w:rFonts w:hint="eastAsia" w:ascii="宋体" w:hAnsi="宋体"/>
          <w:shd w:val="clear" w:color="auto" w:fill="FFFFFF"/>
        </w:rPr>
        <w:t>南宁市政府采购网</w:t>
      </w:r>
      <w:r>
        <w:rPr>
          <w:rFonts w:hint="eastAsia" w:ascii="宋体" w:hAnsi="宋体" w:cs="Arial"/>
          <w:u w:val="single"/>
        </w:rPr>
        <w:t>（</w:t>
      </w:r>
      <w:r>
        <w:rPr>
          <w:rFonts w:ascii="宋体" w:hAnsi="宋体" w:cs="Arial"/>
          <w:u w:val="single"/>
        </w:rPr>
        <w:t>zfcg.nanning.gov.cn</w:t>
      </w:r>
      <w:r>
        <w:rPr>
          <w:rFonts w:hint="eastAsia" w:ascii="宋体" w:hAnsi="宋体" w:cs="Arial"/>
          <w:u w:val="single"/>
        </w:rPr>
        <w:t>）</w:t>
      </w:r>
      <w:r>
        <w:rPr>
          <w:rFonts w:hint="eastAsia" w:ascii="宋体" w:hAnsi="宋体"/>
          <w:shd w:val="clear" w:color="auto" w:fill="FFFFFF"/>
        </w:rPr>
        <w:t>南宁市公共资源交易中心网（www.nnggzy.org.cn/gxnnzbw/default.aspx）</w:t>
      </w:r>
    </w:p>
    <w:p>
      <w:pPr>
        <w:adjustRightInd w:val="0"/>
        <w:snapToGrid w:val="0"/>
        <w:spacing w:line="400" w:lineRule="exact"/>
        <w:ind w:left="141" w:leftChars="67" w:firstLine="2730" w:firstLineChars="1300"/>
        <w:jc w:val="right"/>
        <w:rPr>
          <w:rFonts w:ascii="宋体" w:hAnsi="宋体"/>
        </w:rPr>
      </w:pPr>
      <w:r>
        <w:rPr>
          <w:rFonts w:hint="eastAsia" w:ascii="宋体" w:hAnsi="宋体"/>
        </w:rPr>
        <w:t>采购代理机构：中资国际工程咨询集团有限责任公司</w:t>
      </w:r>
    </w:p>
    <w:p>
      <w:pPr>
        <w:adjustRightInd w:val="0"/>
        <w:snapToGrid w:val="0"/>
        <w:spacing w:line="400" w:lineRule="exact"/>
        <w:ind w:left="238" w:firstLine="420"/>
        <w:jc w:val="center"/>
        <w:rPr>
          <w:rFonts w:ascii="宋体" w:hAnsi="宋体"/>
        </w:rPr>
      </w:pPr>
      <w:r>
        <w:rPr>
          <w:rFonts w:hint="eastAsia" w:ascii="宋体" w:hAnsi="宋体"/>
        </w:rPr>
        <w:t xml:space="preserve">                                                         2020年10月15日</w:t>
      </w:r>
    </w:p>
    <w:p>
      <w:pPr>
        <w:pStyle w:val="69"/>
      </w:pPr>
      <w:bookmarkStart w:id="11" w:name="_Toc425519577"/>
      <w:bookmarkStart w:id="12" w:name="_Toc504570348"/>
      <w:r>
        <w:br w:type="page"/>
      </w:r>
      <w:r>
        <w:rPr>
          <w:rFonts w:hint="eastAsia"/>
        </w:rPr>
        <w:t xml:space="preserve">第二章  </w:t>
      </w:r>
      <w:bookmarkEnd w:id="11"/>
      <w:r>
        <w:rPr>
          <w:rFonts w:hint="eastAsia"/>
        </w:rPr>
        <w:t>招标项目采购需求</w:t>
      </w:r>
      <w:bookmarkEnd w:id="12"/>
    </w:p>
    <w:p>
      <w:pPr>
        <w:adjustRightInd w:val="0"/>
        <w:snapToGrid w:val="0"/>
        <w:spacing w:line="320" w:lineRule="exact"/>
        <w:ind w:firstLine="420" w:firstLineChars="200"/>
      </w:pPr>
    </w:p>
    <w:p>
      <w:pPr>
        <w:adjustRightInd w:val="0"/>
        <w:snapToGrid w:val="0"/>
        <w:spacing w:line="360" w:lineRule="auto"/>
        <w:jc w:val="center"/>
        <w:rPr>
          <w:rFonts w:ascii="宋体" w:hAnsi="宋体"/>
          <w:b/>
          <w:bCs/>
          <w:sz w:val="24"/>
          <w:szCs w:val="24"/>
        </w:rPr>
      </w:pPr>
      <w:r>
        <w:rPr>
          <w:rFonts w:hint="eastAsia" w:ascii="宋体" w:hAnsi="宋体"/>
          <w:b/>
          <w:bCs/>
          <w:sz w:val="24"/>
          <w:szCs w:val="24"/>
        </w:rPr>
        <w:t>项目需求一览表</w:t>
      </w:r>
    </w:p>
    <w:p>
      <w:pPr>
        <w:adjustRightInd w:val="0"/>
        <w:snapToGrid w:val="0"/>
        <w:spacing w:line="320" w:lineRule="exact"/>
        <w:ind w:firstLine="420" w:firstLineChars="200"/>
        <w:rPr>
          <w:rFonts w:ascii="宋体" w:hAnsi="宋体"/>
        </w:rPr>
      </w:pPr>
      <w:r>
        <w:rPr>
          <w:rFonts w:hint="eastAsia" w:ascii="宋体" w:hAnsi="宋体"/>
        </w:rPr>
        <w:t>一、本采购需求一览表中标注★号的内容为实质性要求和条件。</w:t>
      </w:r>
    </w:p>
    <w:p>
      <w:pPr>
        <w:adjustRightInd w:val="0"/>
        <w:snapToGrid w:val="0"/>
        <w:spacing w:line="320" w:lineRule="exact"/>
        <w:ind w:firstLine="420"/>
        <w:rPr>
          <w:rFonts w:ascii="宋体" w:hAnsi="宋体"/>
          <w:b/>
        </w:rPr>
      </w:pPr>
      <w:r>
        <w:rPr>
          <w:rFonts w:hint="eastAsia" w:ascii="宋体" w:hAnsi="宋体"/>
        </w:rPr>
        <w:t>二、项目预算金额（人民币）：</w:t>
      </w:r>
      <w:r>
        <w:rPr>
          <w:rFonts w:hint="eastAsia" w:ascii="宋体" w:hAnsi="宋体"/>
          <w:b/>
        </w:rPr>
        <w:t>A分标：29.00</w:t>
      </w:r>
      <w:r>
        <w:rPr>
          <w:rFonts w:hint="eastAsia" w:ascii="宋体" w:hAnsi="宋体" w:cs="宋体"/>
          <w:b/>
        </w:rPr>
        <w:t>万元</w:t>
      </w:r>
      <w:r>
        <w:rPr>
          <w:rFonts w:hint="eastAsia" w:ascii="宋体" w:hAnsi="宋体"/>
          <w:b/>
        </w:rPr>
        <w:t>。</w:t>
      </w:r>
    </w:p>
    <w:p>
      <w:pPr>
        <w:adjustRightInd w:val="0"/>
        <w:snapToGrid w:val="0"/>
        <w:spacing w:line="320" w:lineRule="exact"/>
        <w:ind w:firstLine="420" w:firstLineChars="200"/>
        <w:rPr>
          <w:rFonts w:ascii="宋体" w:hAnsi="宋体"/>
        </w:rPr>
      </w:pPr>
      <w:r>
        <w:rPr>
          <w:rFonts w:hint="eastAsia" w:ascii="宋体" w:hAnsi="宋体"/>
        </w:rPr>
        <w:t>三、本项目核心产品：网络安全等级保护测评服务。</w:t>
      </w:r>
    </w:p>
    <w:p>
      <w:pPr>
        <w:adjustRightInd w:val="0"/>
        <w:snapToGrid w:val="0"/>
        <w:spacing w:line="320" w:lineRule="exact"/>
        <w:ind w:firstLine="420" w:firstLineChars="200"/>
        <w:rPr>
          <w:rFonts w:ascii="宋体" w:hAnsi="宋体"/>
        </w:rPr>
      </w:pPr>
      <w:r>
        <w:rPr>
          <w:rFonts w:hint="eastAsia"/>
        </w:rPr>
        <w:t>四、本表中的品牌型号仅起参考作用，投标人可选用其他品牌型号替代，但这些替代的品牌型号要实质上相当于或优于所列的技术参数要求。</w:t>
      </w:r>
    </w:p>
    <w:p>
      <w:pPr>
        <w:pStyle w:val="28"/>
        <w:ind w:firstLine="482" w:firstLineChars="200"/>
        <w:rPr>
          <w:b/>
          <w:bCs/>
        </w:rPr>
      </w:pPr>
      <w:r>
        <w:rPr>
          <w:rFonts w:hint="eastAsia"/>
          <w:b/>
          <w:bCs/>
        </w:rPr>
        <w:t>A分标</w:t>
      </w:r>
    </w:p>
    <w:tbl>
      <w:tblPr>
        <w:tblStyle w:val="72"/>
        <w:tblW w:w="99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308"/>
        <w:gridCol w:w="714"/>
        <w:gridCol w:w="690"/>
        <w:gridCol w:w="6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b/>
                <w:bCs/>
              </w:rPr>
            </w:pPr>
            <w:r>
              <w:rPr>
                <w:rFonts w:hint="eastAsia" w:ascii="宋体" w:hAnsi="宋体"/>
                <w:b/>
                <w:bCs/>
              </w:rPr>
              <w:t>项号</w:t>
            </w:r>
          </w:p>
        </w:tc>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b/>
                <w:bCs/>
              </w:rPr>
            </w:pPr>
            <w:r>
              <w:rPr>
                <w:rFonts w:hint="eastAsia" w:ascii="宋体" w:hAnsi="宋体"/>
                <w:b/>
                <w:bCs/>
              </w:rPr>
              <w:t>名称</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b/>
                <w:bCs/>
              </w:rPr>
            </w:pPr>
            <w:r>
              <w:rPr>
                <w:rFonts w:hint="eastAsia" w:ascii="宋体" w:hAnsi="宋体"/>
                <w:b/>
                <w:bCs/>
              </w:rPr>
              <w:t>数量</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b/>
                <w:bCs/>
              </w:rPr>
            </w:pPr>
            <w:r>
              <w:rPr>
                <w:rFonts w:hint="eastAsia" w:ascii="宋体" w:hAnsi="宋体"/>
                <w:b/>
                <w:bCs/>
              </w:rPr>
              <w:t>单位</w:t>
            </w:r>
          </w:p>
        </w:tc>
        <w:tc>
          <w:tcPr>
            <w:tcW w:w="6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22"/>
              <w:jc w:val="center"/>
              <w:rPr>
                <w:rFonts w:ascii="宋体" w:hAnsi="宋体" w:cs="宋体"/>
                <w:b/>
                <w:bCs/>
                <w:kern w:val="0"/>
              </w:rPr>
            </w:pPr>
            <w:r>
              <w:rPr>
                <w:rFonts w:hint="eastAsia" w:ascii="宋体" w:hAnsi="宋体"/>
              </w:rPr>
              <w:t>技术参数需求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1</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rPr>
              <w:t>安全整改服务</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ascii="宋体" w:hAnsi="宋体" w:cs="宋体"/>
              </w:rPr>
              <w:t>1</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项</w:t>
            </w:r>
          </w:p>
        </w:tc>
        <w:tc>
          <w:tcPr>
            <w:tcW w:w="654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b/>
                <w:bCs/>
              </w:rPr>
            </w:pPr>
            <w:r>
              <w:rPr>
                <w:rFonts w:hint="eastAsia" w:ascii="宋体" w:hAnsi="宋体"/>
                <w:b/>
                <w:bCs/>
              </w:rPr>
              <w:t>★一、安全规划建设咨询服务</w:t>
            </w:r>
          </w:p>
          <w:p>
            <w:pPr>
              <w:widowControl/>
              <w:ind w:firstLine="420" w:firstLineChars="200"/>
              <w:rPr>
                <w:rFonts w:ascii="宋体" w:hAnsi="宋体"/>
              </w:rPr>
            </w:pPr>
            <w:r>
              <w:rPr>
                <w:rFonts w:hint="eastAsia" w:ascii="宋体" w:hAnsi="宋体"/>
              </w:rPr>
              <w:t>严格按照国家相关法律、法规，结合等级保护2</w:t>
            </w:r>
            <w:r>
              <w:rPr>
                <w:rFonts w:ascii="宋体" w:hAnsi="宋体"/>
              </w:rPr>
              <w:t>.0</w:t>
            </w:r>
            <w:r>
              <w:rPr>
                <w:rFonts w:hint="eastAsia" w:ascii="宋体" w:hAnsi="宋体"/>
              </w:rPr>
              <w:t>三级的相关要求，通过网络架构调整，安全设备部署并正确地配置其安全功能来实现。从制度、管理、应用、数据、主机、网络、桌面等各个层面分析存在的威胁和风险，明确不同的安全需求，对安全人员管理、安全计算环境、安全区域边界、安全通信网络、安全管理中心等方面进行建设和完善。结合采购人单位具体要求和信息系统具体情况，协助采购人单位通过等保测评。</w:t>
            </w:r>
          </w:p>
          <w:p>
            <w:pPr>
              <w:widowControl/>
              <w:rPr>
                <w:rFonts w:ascii="宋体" w:hAnsi="宋体"/>
                <w:b/>
                <w:bCs/>
              </w:rPr>
            </w:pPr>
            <w:r>
              <w:rPr>
                <w:rFonts w:hint="eastAsia" w:ascii="宋体" w:hAnsi="宋体"/>
                <w:b/>
                <w:bCs/>
              </w:rPr>
              <w:t>★二、安全整改实施服务</w:t>
            </w:r>
          </w:p>
          <w:p>
            <w:pPr>
              <w:widowControl/>
              <w:numPr>
                <w:ilvl w:val="0"/>
                <w:numId w:val="4"/>
              </w:numPr>
              <w:rPr>
                <w:rFonts w:ascii="宋体" w:hAnsi="宋体"/>
              </w:rPr>
            </w:pPr>
            <w:r>
              <w:rPr>
                <w:rFonts w:hint="eastAsia" w:ascii="宋体" w:hAnsi="宋体"/>
              </w:rPr>
              <w:t>根据安全建设实施方案进行网络结构调整。</w:t>
            </w:r>
          </w:p>
          <w:p>
            <w:pPr>
              <w:widowControl/>
              <w:numPr>
                <w:ilvl w:val="0"/>
                <w:numId w:val="4"/>
              </w:numPr>
              <w:rPr>
                <w:rFonts w:ascii="宋体" w:hAnsi="宋体"/>
              </w:rPr>
            </w:pPr>
            <w:r>
              <w:rPr>
                <w:rFonts w:hint="eastAsia" w:ascii="宋体" w:hAnsi="宋体"/>
              </w:rPr>
              <w:t>根据项目整体目标和要求进行安装部署调试服务，包括采购人已有机房设施物品、主机、网络、应用和数据安全层面的设备设施的调整安装和调试部署。</w:t>
            </w:r>
          </w:p>
          <w:p>
            <w:pPr>
              <w:widowControl/>
              <w:numPr>
                <w:ilvl w:val="0"/>
                <w:numId w:val="4"/>
              </w:numPr>
              <w:rPr>
                <w:rFonts w:ascii="宋体" w:hAnsi="宋体"/>
              </w:rPr>
            </w:pPr>
            <w:r>
              <w:rPr>
                <w:rFonts w:hint="eastAsia" w:ascii="宋体" w:hAnsi="宋体"/>
              </w:rPr>
              <w:t>根据等级保护三级的相关要求对采购人指定的被测系统相关的原有主机、网络设备、安全设备和维护终端设备系统及新增设备系统进行安全策略调整、优化，包括身份鉴别、访问控制、入侵防范、恶意代码防范、日志审计、资源管理、保密性管理等参数的优化（不包含数据库和应用系统的相关整改内容）。</w:t>
            </w:r>
          </w:p>
          <w:p>
            <w:pPr>
              <w:widowControl/>
              <w:numPr>
                <w:ilvl w:val="0"/>
                <w:numId w:val="4"/>
              </w:numPr>
              <w:rPr>
                <w:rFonts w:ascii="宋体" w:hAnsi="宋体"/>
              </w:rPr>
            </w:pPr>
            <w:r>
              <w:rPr>
                <w:rFonts w:hint="eastAsia" w:ascii="宋体" w:hAnsi="宋体"/>
              </w:rPr>
              <w:t>采用专门的工具对被测系统进行安全威胁检测和评估，并对其进行系统升级或策略调整，包括关闭不必要的系统服务或端口等。</w:t>
            </w:r>
          </w:p>
          <w:p>
            <w:pPr>
              <w:widowControl/>
              <w:numPr>
                <w:ilvl w:val="0"/>
                <w:numId w:val="4"/>
              </w:numPr>
              <w:rPr>
                <w:rFonts w:ascii="宋体" w:hAnsi="宋体"/>
              </w:rPr>
            </w:pPr>
            <w:r>
              <w:rPr>
                <w:rFonts w:hint="eastAsia" w:ascii="宋体" w:hAnsi="宋体"/>
              </w:rPr>
              <w:t>在提供测评整改服务期间，因整改相关工作引起的异常需要排查解决时，成交供应商需在</w:t>
            </w:r>
            <w:r>
              <w:rPr>
                <w:rFonts w:ascii="宋体" w:hAnsi="宋体"/>
              </w:rPr>
              <w:t>1</w:t>
            </w:r>
            <w:r>
              <w:rPr>
                <w:rFonts w:hint="eastAsia" w:ascii="宋体" w:hAnsi="宋体"/>
              </w:rPr>
              <w:t>小时内响应，</w:t>
            </w:r>
            <w:r>
              <w:rPr>
                <w:rFonts w:ascii="宋体" w:hAnsi="宋体"/>
              </w:rPr>
              <w:t>4</w:t>
            </w:r>
            <w:r>
              <w:rPr>
                <w:rFonts w:hint="eastAsia" w:ascii="宋体" w:hAnsi="宋体"/>
              </w:rPr>
              <w:t>小时内到达现场。</w:t>
            </w:r>
          </w:p>
          <w:p>
            <w:pPr>
              <w:widowControl/>
              <w:rPr>
                <w:rFonts w:ascii="宋体" w:hAnsi="宋体"/>
                <w:b/>
                <w:bCs/>
              </w:rPr>
            </w:pPr>
            <w:r>
              <w:rPr>
                <w:rFonts w:hint="eastAsia" w:ascii="宋体" w:hAnsi="宋体"/>
                <w:b/>
                <w:bCs/>
              </w:rPr>
              <w:t>三、信息安全管理体系建设咨询服务</w:t>
            </w:r>
          </w:p>
          <w:p>
            <w:pPr>
              <w:widowControl/>
              <w:ind w:firstLine="420" w:firstLineChars="200"/>
              <w:rPr>
                <w:rFonts w:ascii="宋体" w:hAnsi="宋体"/>
              </w:rPr>
            </w:pPr>
            <w:r>
              <w:rPr>
                <w:rFonts w:hint="eastAsia" w:ascii="宋体" w:hAnsi="宋体"/>
              </w:rPr>
              <w:t>根据首次测评出具的测评报告，并结合单位实际情况，为采购人建立信息安全组织结构、安全管理机制提供咨询服务，并为采购人建立一套符合被测系统管理层面要求的信息安全管理体系，撰写管理体系所需相关文档，包括信息安全管理政策性文档（管理方针策略）、约束性文档（相关管理制度）、实施指导性文档（操作规程）和表单记录文档。</w:t>
            </w:r>
          </w:p>
          <w:p>
            <w:pPr>
              <w:widowControl/>
              <w:rPr>
                <w:rFonts w:ascii="宋体" w:hAnsi="宋体"/>
                <w:b/>
                <w:bCs/>
              </w:rPr>
            </w:pPr>
            <w:r>
              <w:rPr>
                <w:rFonts w:hint="eastAsia" w:ascii="宋体" w:hAnsi="宋体"/>
                <w:b/>
                <w:bCs/>
              </w:rPr>
              <w:t>四、安全培训</w:t>
            </w:r>
          </w:p>
          <w:p>
            <w:pPr>
              <w:spacing w:line="360" w:lineRule="exact"/>
              <w:ind w:firstLine="420" w:firstLineChars="200"/>
            </w:pPr>
            <w:r>
              <w:rPr>
                <w:rFonts w:hint="eastAsia" w:ascii="宋体" w:hAnsi="宋体"/>
              </w:rPr>
              <w:t>为采购人提供不少于</w:t>
            </w:r>
            <w:r>
              <w:rPr>
                <w:rFonts w:ascii="宋体" w:hAnsi="宋体"/>
              </w:rPr>
              <w:t>6</w:t>
            </w:r>
            <w:r>
              <w:rPr>
                <w:rFonts w:hint="eastAsia" w:ascii="宋体" w:hAnsi="宋体"/>
              </w:rPr>
              <w:t>个学时的培训服务，内容包括相应的信息安全培训，安全态势、安全技术、</w:t>
            </w:r>
            <w:r>
              <w:rPr>
                <w:rFonts w:hint="eastAsia" w:ascii="宋体" w:hAnsi="宋体" w:cs="宋体"/>
                <w:kern w:val="0"/>
              </w:rPr>
              <w:t>安全认知和安全意识</w:t>
            </w:r>
            <w:r>
              <w:rPr>
                <w:rFonts w:hint="eastAsia" w:ascii="宋体" w:hAnsi="宋体"/>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2</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rPr>
              <w:t>网络安全等级保护测评服务</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1</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项</w:t>
            </w:r>
          </w:p>
        </w:tc>
        <w:tc>
          <w:tcPr>
            <w:tcW w:w="654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b/>
                <w:bCs/>
              </w:rPr>
            </w:pPr>
            <w:r>
              <w:rPr>
                <w:rFonts w:hint="eastAsia" w:ascii="宋体" w:hAnsi="宋体"/>
                <w:b/>
                <w:bCs/>
              </w:rPr>
              <w:t>★一、提供具有等级保护测评资质的单位对采购人一计算机系统三级系统进行测评服务，并通过等保测评（网络安全等级保护：3级）。</w:t>
            </w:r>
          </w:p>
          <w:p>
            <w:pPr>
              <w:widowControl/>
              <w:rPr>
                <w:rFonts w:ascii="宋体" w:hAnsi="宋体"/>
                <w:b/>
                <w:bCs/>
              </w:rPr>
            </w:pPr>
            <w:r>
              <w:rPr>
                <w:rFonts w:hint="eastAsia" w:ascii="宋体" w:hAnsi="宋体"/>
                <w:b/>
                <w:bCs/>
              </w:rPr>
              <w:t>二、基本要求：</w:t>
            </w:r>
          </w:p>
          <w:p>
            <w:pPr>
              <w:widowControl/>
              <w:numPr>
                <w:ilvl w:val="0"/>
                <w:numId w:val="5"/>
              </w:numPr>
              <w:rPr>
                <w:rFonts w:ascii="宋体" w:hAnsi="宋体"/>
              </w:rPr>
            </w:pPr>
            <w:r>
              <w:rPr>
                <w:rFonts w:hint="eastAsia" w:ascii="宋体" w:hAnsi="宋体"/>
              </w:rPr>
              <w:t>依据《信息安全等级保护管理办法》（公通字[2007]43号）和《网络安全等级保护定级指南》（GB/22240-2020）、《网络安全等级保护基本要求》（GB/T 22239-2019）对采购人的三级系统开展安全等级（三级）测评工作，完成现场正式等级测评并出具符合国家网络安全等级保护管理部门规范要求、公安机关认可的网络安全等级测评报告；</w:t>
            </w:r>
          </w:p>
          <w:p>
            <w:pPr>
              <w:widowControl/>
              <w:numPr>
                <w:ilvl w:val="0"/>
                <w:numId w:val="5"/>
              </w:numPr>
              <w:rPr>
                <w:rFonts w:ascii="宋体" w:hAnsi="宋体"/>
              </w:rPr>
            </w:pPr>
            <w:r>
              <w:rPr>
                <w:rFonts w:hint="eastAsia" w:ascii="宋体" w:hAnsi="宋体"/>
              </w:rPr>
              <w:t>上述信息系统的安全等级测评内容应包括技术和管理两大类，其中技术类应包括对安全物理环境、安全通信网络、安全区域边界、安全计算环境、安全管理中心等方面的测评，管理类测评应包括对安全管理制度、安全管理机构、安全管理人员、安全建设管理和安全运维管理等方面的测评，并提出安全整改建议；</w:t>
            </w:r>
          </w:p>
          <w:p>
            <w:pPr>
              <w:widowControl/>
              <w:numPr>
                <w:ilvl w:val="0"/>
                <w:numId w:val="5"/>
              </w:numPr>
              <w:rPr>
                <w:rFonts w:ascii="宋体" w:hAnsi="宋体"/>
              </w:rPr>
            </w:pPr>
            <w:r>
              <w:rPr>
                <w:rFonts w:hint="eastAsia" w:ascii="宋体" w:hAnsi="宋体"/>
              </w:rPr>
              <w:t>在等级保护测评过程中，应采用访谈、检查、测试、工具扫描等国际国内认可的先进方法和手段进行，并与国家相关规范及标准的要求相符。测评中必须采用专业的国内安全扫描设备及软件产品辅助测评工作的完成。在投标文件中详细描述所采用的测评方法。</w:t>
            </w:r>
          </w:p>
          <w:p>
            <w:pPr>
              <w:widowControl/>
              <w:numPr>
                <w:ilvl w:val="0"/>
                <w:numId w:val="5"/>
              </w:numPr>
              <w:rPr>
                <w:rFonts w:ascii="宋体" w:hAnsi="宋体"/>
              </w:rPr>
            </w:pPr>
            <w:r>
              <w:rPr>
                <w:rFonts w:hint="eastAsia" w:ascii="宋体" w:hAnsi="宋体"/>
              </w:rPr>
              <w:t>对信息系统进行验证测试和渗透测试，检测例如SQL注入和跨站脚本等常见安全漏洞，并提供漏洞修补建议，及时采取适当的处理措施进行修补，有效阻止安全隐患被利用和发生安全事件。</w:t>
            </w:r>
          </w:p>
          <w:p>
            <w:pPr>
              <w:widowControl/>
              <w:numPr>
                <w:ilvl w:val="0"/>
                <w:numId w:val="5"/>
              </w:numPr>
              <w:rPr>
                <w:rFonts w:ascii="宋体" w:hAnsi="宋体"/>
              </w:rPr>
            </w:pPr>
            <w:r>
              <w:rPr>
                <w:rFonts w:hint="eastAsia" w:ascii="宋体" w:hAnsi="宋体"/>
              </w:rPr>
              <w:t>成交供应商及测评服务的单位必须按采购人要求签署相关保密协议，严格遵守协议要求。此外，测评中确保不对被测评系统造成损失，工作结束后不驻留任何程序并销毁不需要的文档和资料。</w:t>
            </w:r>
          </w:p>
          <w:p>
            <w:pPr>
              <w:widowControl/>
              <w:numPr>
                <w:ilvl w:val="0"/>
                <w:numId w:val="5"/>
              </w:numPr>
              <w:rPr>
                <w:rFonts w:ascii="宋体" w:hAnsi="宋体"/>
              </w:rPr>
            </w:pPr>
            <w:r>
              <w:rPr>
                <w:rFonts w:hint="eastAsia" w:ascii="宋体" w:hAnsi="宋体"/>
              </w:rPr>
              <w:t>★为本项目提供测评服务的单位须获得国家网络安全等级保护工作协调小组办公室颁发的有效的《网络安全等级保护测评机构推荐证书》，需在投标文件中附上证明材料复印件，并加盖投标人公章。</w:t>
            </w:r>
          </w:p>
          <w:p>
            <w:pPr>
              <w:widowControl/>
              <w:numPr>
                <w:ilvl w:val="0"/>
                <w:numId w:val="5"/>
              </w:numPr>
            </w:pPr>
            <w:r>
              <w:rPr>
                <w:rFonts w:hint="eastAsia" w:ascii="宋体" w:hAnsi="宋体"/>
              </w:rPr>
              <w:t>★项目实施期间，为本项目提供测评服务的单位必须安排至少安排3人常驻采购人单位提供现场相关服务和技术支持，其中1人为高级测评师，1人为中级测评师，1人为初级测评师。投标文件中须提供测评服务的单位为本项目所投入的测评人员的《信息安全等级测评师证书》复印件，并加盖投标人公章。</w:t>
            </w:r>
          </w:p>
          <w:p>
            <w:pPr>
              <w:widowControl/>
              <w:numPr>
                <w:ilvl w:val="0"/>
                <w:numId w:val="5"/>
              </w:numPr>
            </w:pPr>
            <w:r>
              <w:rPr>
                <w:rFonts w:hint="eastAsia" w:ascii="宋体" w:hAnsi="宋体"/>
              </w:rPr>
              <w:t>★服务成果：出具符合国家网络安全等级保护管理部门规范要求、公安网安部门认可、符合网络安全等级保护2.0相关技术标准要求的网络安全等级保护测评报告，纸质版至少2份，电子版1份（附U盘）。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906"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r>
              <w:rPr>
                <w:rFonts w:hint="eastAsia" w:ascii="宋体" w:hAnsi="宋体" w:cs="宋体"/>
              </w:rPr>
              <w:t>商务及售后服务要求：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5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ascii="宋体" w:hAnsi="宋体"/>
              </w:rPr>
            </w:pPr>
            <w:r>
              <w:rPr>
                <w:rFonts w:hint="eastAsia" w:ascii="宋体" w:hAnsi="宋体"/>
              </w:rPr>
              <w:t>★一、合同签订期：</w:t>
            </w:r>
          </w:p>
        </w:tc>
        <w:tc>
          <w:tcPr>
            <w:tcW w:w="795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rPr>
            </w:pPr>
            <w:r>
              <w:rPr>
                <w:rFonts w:hint="eastAsia" w:ascii="宋体" w:hAnsi="宋体" w:cs="宋体"/>
              </w:rPr>
              <w:t>自中标通知书发出之日起7个工作日内。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5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ascii="宋体" w:hAnsi="宋体"/>
              </w:rPr>
            </w:pPr>
            <w:r>
              <w:rPr>
                <w:rFonts w:hint="eastAsia" w:ascii="宋体" w:hAnsi="宋体"/>
              </w:rPr>
              <w:t>★二、服务期限：</w:t>
            </w:r>
          </w:p>
        </w:tc>
        <w:tc>
          <w:tcPr>
            <w:tcW w:w="795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cs="宋体"/>
              </w:rPr>
            </w:pPr>
            <w:r>
              <w:rPr>
                <w:rFonts w:hint="eastAsia" w:ascii="宋体" w:hAnsi="宋体" w:cs="宋体"/>
              </w:rPr>
              <w:t>自签订合同之日起90个日历日内完成系统整改与测评工作。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5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ascii="宋体" w:hAnsi="宋体"/>
              </w:rPr>
            </w:pPr>
            <w:r>
              <w:rPr>
                <w:rFonts w:hint="eastAsia" w:ascii="宋体" w:hAnsi="宋体"/>
              </w:rPr>
              <w:t>★</w:t>
            </w:r>
            <w:r>
              <w:rPr>
                <w:rFonts w:hint="eastAsia"/>
              </w:rPr>
              <w:t>三、服务地点：</w:t>
            </w:r>
          </w:p>
        </w:tc>
        <w:tc>
          <w:tcPr>
            <w:tcW w:w="795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cs="宋体"/>
              </w:rPr>
            </w:pPr>
            <w:r>
              <w:rPr>
                <w:rFonts w:hint="eastAsia"/>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5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pPr>
            <w:r>
              <w:rPr>
                <w:rFonts w:hint="eastAsia"/>
              </w:rPr>
              <w:t>四、质保期</w:t>
            </w:r>
          </w:p>
        </w:tc>
        <w:tc>
          <w:tcPr>
            <w:tcW w:w="795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pPr>
            <w:r>
              <w:rPr>
                <w:rFonts w:hint="eastAsia"/>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5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ascii="宋体" w:hAnsi="宋体"/>
              </w:rPr>
            </w:pPr>
            <w:r>
              <w:rPr>
                <w:rFonts w:hint="eastAsia" w:ascii="宋体" w:hAnsi="宋体"/>
              </w:rPr>
              <w:t>★五、付款条件及要求</w:t>
            </w:r>
          </w:p>
        </w:tc>
        <w:tc>
          <w:tcPr>
            <w:tcW w:w="795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cs="宋体"/>
              </w:rPr>
            </w:pPr>
            <w:r>
              <w:rPr>
                <w:rFonts w:ascii="宋体" w:hAnsi="宋体" w:cs="宋体"/>
              </w:rPr>
              <w:t>1.</w:t>
            </w:r>
            <w:r>
              <w:rPr>
                <w:rFonts w:hint="eastAsia" w:ascii="宋体" w:hAnsi="宋体" w:cs="宋体"/>
              </w:rPr>
              <w:t>合同签订后，成交供应商提供付款申请书和合同金额50%增值税专用发票，采购人在收到相关材料和发票后7个工作日内，向成交供应商支付合同金额的50%。</w:t>
            </w:r>
          </w:p>
          <w:p>
            <w:pPr>
              <w:adjustRightInd w:val="0"/>
              <w:snapToGrid w:val="0"/>
              <w:spacing w:line="360" w:lineRule="exact"/>
              <w:ind w:firstLine="210" w:firstLineChars="100"/>
              <w:rPr>
                <w:rFonts w:ascii="宋体" w:hAnsi="宋体" w:cs="宋体"/>
              </w:rPr>
            </w:pPr>
            <w:r>
              <w:rPr>
                <w:rFonts w:ascii="宋体" w:hAnsi="宋体" w:cs="宋体"/>
              </w:rPr>
              <w:t>2.</w:t>
            </w:r>
            <w:r>
              <w:rPr>
                <w:rFonts w:hint="eastAsia" w:ascii="宋体" w:hAnsi="宋体" w:cs="宋体"/>
              </w:rPr>
              <w:t>完成测评后，成交供应商出具本项目符合国家网络安全等级保护管理部门要求规范的测评报告，项目完成验收后，成交供应商提供付款申请书、验收清单和合同金额剩余50%的增值税专用发票，采购人在收到相关材料和发票后7个工作日内支付合同尾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5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ascii="宋体" w:hAnsi="宋体"/>
              </w:rPr>
            </w:pPr>
            <w:r>
              <w:rPr>
                <w:rFonts w:hint="eastAsia" w:ascii="宋体" w:hAnsi="宋体"/>
              </w:rPr>
              <w:t>六、报价要求</w:t>
            </w:r>
          </w:p>
        </w:tc>
        <w:tc>
          <w:tcPr>
            <w:tcW w:w="795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cs="宋体"/>
              </w:rPr>
            </w:pPr>
            <w:r>
              <w:rPr>
                <w:rFonts w:hint="eastAsia"/>
              </w:rPr>
              <w:t>报价为完成上述服务需求及要求所需的全部费用，包括服务采购、专用工具、运输、装卸、保管、安装、调试、验收、培训、技术支持、等各种费用和售后服务、税金及其它所有成本费用的总和。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5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ascii="宋体" w:hAnsi="宋体"/>
              </w:rPr>
            </w:pPr>
            <w:r>
              <w:rPr>
                <w:rFonts w:hint="eastAsia" w:ascii="宋体" w:hAnsi="宋体"/>
              </w:rPr>
              <w:t>★七、其他要求</w:t>
            </w:r>
          </w:p>
        </w:tc>
        <w:tc>
          <w:tcPr>
            <w:tcW w:w="795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cs="宋体"/>
              </w:rPr>
            </w:pPr>
            <w:r>
              <w:rPr>
                <w:rFonts w:hint="eastAsia" w:ascii="宋体" w:hAnsi="宋体" w:cs="宋体"/>
              </w:rPr>
              <w:t>1．针对项目整体服务内容，成交供应商必须严格保密，并严格遵守合同要求。如因此造成任何损失，采购人有权解除合同并追究成交供应商的法律责任以及经济赔偿。</w:t>
            </w:r>
          </w:p>
          <w:p>
            <w:pPr>
              <w:adjustRightInd w:val="0"/>
              <w:snapToGrid w:val="0"/>
              <w:spacing w:line="360" w:lineRule="exact"/>
              <w:ind w:firstLine="210" w:firstLineChars="100"/>
              <w:rPr>
                <w:rFonts w:ascii="宋体" w:hAnsi="宋体" w:cs="宋体"/>
              </w:rPr>
            </w:pPr>
            <w:r>
              <w:rPr>
                <w:rFonts w:ascii="宋体" w:hAnsi="宋体" w:cs="宋体"/>
              </w:rPr>
              <w:t>2</w:t>
            </w:r>
            <w:r>
              <w:rPr>
                <w:rFonts w:hint="eastAsia" w:ascii="宋体" w:hAnsi="宋体" w:cs="宋体"/>
              </w:rPr>
              <w:t>．成交供应商的所有安装调试工作不能对采购人现有系统造成损失，工作结束后不能驻留任何有害程序。</w:t>
            </w:r>
          </w:p>
          <w:p>
            <w:pPr>
              <w:adjustRightInd w:val="0"/>
              <w:snapToGrid w:val="0"/>
              <w:spacing w:line="360" w:lineRule="exact"/>
              <w:ind w:firstLine="210" w:firstLineChars="100"/>
              <w:rPr>
                <w:rFonts w:ascii="宋体" w:hAnsi="宋体" w:cs="宋体"/>
              </w:rPr>
            </w:pPr>
            <w:r>
              <w:rPr>
                <w:rFonts w:hint="eastAsia" w:ascii="宋体" w:hAnsi="宋体" w:cs="宋体"/>
              </w:rPr>
              <w:t>3．成交供应商提供的服务不满足本采购文件要求且验收不合格的，采购人有权解除合同并追究成交供应商的法律责任。</w:t>
            </w:r>
          </w:p>
          <w:p>
            <w:pPr>
              <w:adjustRightInd w:val="0"/>
              <w:snapToGrid w:val="0"/>
              <w:spacing w:line="360" w:lineRule="exact"/>
              <w:ind w:firstLine="210" w:firstLineChars="100"/>
              <w:rPr>
                <w:rFonts w:ascii="宋体" w:hAnsi="宋体" w:cs="宋体"/>
              </w:rPr>
            </w:pPr>
            <w:r>
              <w:rPr>
                <w:rFonts w:hint="eastAsia" w:ascii="宋体" w:hAnsi="宋体" w:cs="宋体"/>
              </w:rPr>
              <w:t>4．投标人在广西本地设有办事处或服务机构，或承诺中标后在广西本地设立办事处或服务机构，提供本地化服务。</w:t>
            </w:r>
          </w:p>
        </w:tc>
      </w:tr>
    </w:tbl>
    <w:p>
      <w:pPr>
        <w:widowControl/>
        <w:jc w:val="left"/>
        <w:rPr>
          <w:rFonts w:ascii="宋体" w:hAnsi="宋体" w:cs="宋体"/>
          <w:kern w:val="0"/>
          <w:lang w:bidi="ar"/>
        </w:rPr>
      </w:pPr>
    </w:p>
    <w:p>
      <w:pPr>
        <w:widowControl/>
        <w:jc w:val="left"/>
        <w:rPr>
          <w:kern w:val="0"/>
          <w:sz w:val="24"/>
          <w:szCs w:val="24"/>
          <w:lang w:bidi="ar"/>
        </w:rPr>
      </w:pPr>
      <w:r>
        <w:rPr>
          <w:lang w:bidi="ar"/>
        </w:rPr>
        <w:br w:type="page"/>
      </w:r>
    </w:p>
    <w:p>
      <w:pPr>
        <w:adjustRightInd w:val="0"/>
        <w:snapToGrid w:val="0"/>
        <w:spacing w:line="360" w:lineRule="auto"/>
        <w:jc w:val="center"/>
        <w:rPr>
          <w:rFonts w:ascii="宋体" w:hAnsi="宋体"/>
          <w:b/>
          <w:bCs/>
          <w:sz w:val="24"/>
          <w:szCs w:val="24"/>
        </w:rPr>
      </w:pPr>
      <w:r>
        <w:rPr>
          <w:rFonts w:hint="eastAsia" w:ascii="宋体" w:hAnsi="宋体"/>
          <w:b/>
          <w:bCs/>
          <w:sz w:val="24"/>
          <w:szCs w:val="24"/>
        </w:rPr>
        <w:t>项目需求一览表</w:t>
      </w:r>
    </w:p>
    <w:p>
      <w:pPr>
        <w:adjustRightInd w:val="0"/>
        <w:snapToGrid w:val="0"/>
        <w:spacing w:line="320" w:lineRule="exact"/>
        <w:ind w:firstLine="420" w:firstLineChars="200"/>
        <w:rPr>
          <w:rFonts w:ascii="宋体" w:hAnsi="宋体"/>
        </w:rPr>
      </w:pPr>
      <w:r>
        <w:rPr>
          <w:rFonts w:hint="eastAsia" w:ascii="宋体" w:hAnsi="宋体"/>
        </w:rPr>
        <w:t>一、本采购需求一览表中标注★号的内容为实质性要求和条件。</w:t>
      </w:r>
    </w:p>
    <w:p>
      <w:pPr>
        <w:adjustRightInd w:val="0"/>
        <w:snapToGrid w:val="0"/>
        <w:spacing w:line="320" w:lineRule="exact"/>
        <w:ind w:firstLine="420"/>
        <w:rPr>
          <w:rFonts w:ascii="宋体" w:hAnsi="宋体"/>
          <w:b/>
        </w:rPr>
      </w:pPr>
      <w:r>
        <w:rPr>
          <w:rFonts w:hint="eastAsia" w:ascii="宋体" w:hAnsi="宋体"/>
        </w:rPr>
        <w:t>二、项目预算金额（人民币）：</w:t>
      </w:r>
      <w:r>
        <w:rPr>
          <w:rFonts w:hint="eastAsia" w:ascii="宋体" w:hAnsi="宋体"/>
          <w:b/>
        </w:rPr>
        <w:t xml:space="preserve"> B分标：40</w:t>
      </w:r>
      <w:r>
        <w:rPr>
          <w:rFonts w:hint="eastAsia" w:ascii="宋体" w:hAnsi="宋体" w:cs="宋体"/>
          <w:b/>
        </w:rPr>
        <w:t>万元</w:t>
      </w:r>
      <w:r>
        <w:rPr>
          <w:rFonts w:hint="eastAsia" w:ascii="宋体" w:hAnsi="宋体"/>
          <w:b/>
        </w:rPr>
        <w:t>。</w:t>
      </w:r>
    </w:p>
    <w:p>
      <w:pPr>
        <w:adjustRightInd w:val="0"/>
        <w:snapToGrid w:val="0"/>
        <w:spacing w:line="320" w:lineRule="exact"/>
        <w:ind w:firstLine="420" w:firstLineChars="200"/>
        <w:rPr>
          <w:rFonts w:ascii="宋体" w:hAnsi="宋体"/>
        </w:rPr>
      </w:pPr>
      <w:r>
        <w:rPr>
          <w:rFonts w:hint="eastAsia" w:ascii="宋体" w:hAnsi="宋体"/>
        </w:rPr>
        <w:t>三、本项目核心产品：PGC内容生产平台。</w:t>
      </w:r>
    </w:p>
    <w:p>
      <w:pPr>
        <w:adjustRightInd w:val="0"/>
        <w:snapToGrid w:val="0"/>
        <w:spacing w:line="320" w:lineRule="exact"/>
        <w:ind w:firstLine="420" w:firstLineChars="200"/>
        <w:rPr>
          <w:rFonts w:ascii="宋体" w:hAnsi="宋体"/>
        </w:rPr>
      </w:pPr>
      <w:r>
        <w:rPr>
          <w:rFonts w:hint="eastAsia"/>
        </w:rPr>
        <w:t>四、本表中的品牌型号仅起参考作用，投标人可选用其他品牌型号替代，但这些替代的品牌型号要实质上相当于或优于所列的技术参数要求。</w:t>
      </w:r>
    </w:p>
    <w:p>
      <w:pPr>
        <w:pStyle w:val="28"/>
        <w:ind w:firstLine="482" w:firstLineChars="200"/>
        <w:rPr>
          <w:b/>
          <w:bCs/>
        </w:rPr>
      </w:pPr>
      <w:r>
        <w:rPr>
          <w:b/>
          <w:bCs/>
        </w:rPr>
        <w:t>B</w:t>
      </w:r>
      <w:r>
        <w:rPr>
          <w:rFonts w:hint="eastAsia"/>
          <w:b/>
          <w:bCs/>
        </w:rPr>
        <w:t>分标</w:t>
      </w:r>
    </w:p>
    <w:tbl>
      <w:tblPr>
        <w:tblStyle w:val="72"/>
        <w:tblW w:w="99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
        <w:gridCol w:w="1276"/>
        <w:gridCol w:w="425"/>
        <w:gridCol w:w="425"/>
        <w:gridCol w:w="709"/>
        <w:gridCol w:w="6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b/>
                <w:bCs/>
              </w:rPr>
            </w:pPr>
            <w:r>
              <w:rPr>
                <w:rFonts w:hint="eastAsia" w:ascii="宋体" w:hAnsi="宋体"/>
                <w:b/>
                <w:bCs/>
              </w:rPr>
              <w:t>项号</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b/>
                <w:bCs/>
              </w:rPr>
            </w:pPr>
            <w:r>
              <w:rPr>
                <w:rFonts w:hint="eastAsia" w:ascii="宋体" w:hAnsi="宋体"/>
                <w:b/>
                <w:bCs/>
              </w:rPr>
              <w:t>名称</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b/>
                <w:bCs/>
              </w:rPr>
            </w:pPr>
            <w:r>
              <w:rPr>
                <w:rFonts w:hint="eastAsia" w:ascii="宋体" w:hAnsi="宋体"/>
                <w:b/>
                <w:bCs/>
              </w:rPr>
              <w:t>数量</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b/>
                <w:bCs/>
              </w:rPr>
            </w:pPr>
            <w:r>
              <w:rPr>
                <w:rFonts w:hint="eastAsia" w:ascii="宋体" w:hAnsi="宋体"/>
                <w:b/>
                <w:bCs/>
              </w:rPr>
              <w:t>单位</w:t>
            </w:r>
          </w:p>
        </w:tc>
        <w:tc>
          <w:tcPr>
            <w:tcW w:w="741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22"/>
              <w:jc w:val="center"/>
              <w:rPr>
                <w:rFonts w:ascii="宋体" w:hAnsi="宋体" w:cs="宋体"/>
                <w:b/>
                <w:bCs/>
                <w:kern w:val="0"/>
              </w:rPr>
            </w:pPr>
            <w:r>
              <w:rPr>
                <w:rFonts w:hint="eastAsia" w:ascii="宋体" w:hAnsi="宋体"/>
              </w:rPr>
              <w:t>技术参数需求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 w:hRule="atLeast"/>
          <w:jc w:val="center"/>
        </w:trPr>
        <w:tc>
          <w:tcPr>
            <w:tcW w:w="36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1</w:t>
            </w:r>
          </w:p>
        </w:tc>
        <w:tc>
          <w:tcPr>
            <w:tcW w:w="1276"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rPr>
              <w:t>融媒助手app升级</w:t>
            </w:r>
          </w:p>
        </w:tc>
        <w:tc>
          <w:tcPr>
            <w:tcW w:w="425"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ascii="宋体" w:hAnsi="宋体" w:cs="宋体"/>
              </w:rPr>
              <w:t>1</w:t>
            </w:r>
          </w:p>
        </w:tc>
        <w:tc>
          <w:tcPr>
            <w:tcW w:w="425"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消息</w:t>
            </w:r>
          </w:p>
        </w:tc>
        <w:tc>
          <w:tcPr>
            <w:tcW w:w="6707"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Theme="minorEastAsia" w:hAnsiTheme="minorEastAsia" w:eastAsiaTheme="minorEastAsia"/>
              </w:rPr>
            </w:pPr>
            <w:r>
              <w:rPr>
                <w:rFonts w:hint="eastAsia" w:asciiTheme="minorEastAsia" w:hAnsiTheme="minorEastAsia" w:eastAsiaTheme="minorEastAsia"/>
              </w:rPr>
              <w:t>生产动态：不同权限根据权限不同，可以看到对应权限管理部门的生产动态；支持动态的点评、地理位置信息；已发布的内容支持分享。</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线索参考：支持对现有重点新闻网站、微博、微信实时热点新闻进行采集及移动端呈现，并根据热点新闻进行深度编辑或发起选题；PGC、UGC线索进行统一管理，并根据热点线索进一步发起选题；</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热点跟踪：支持自动采集及监控互联网热点新闻、实时APP端浏览热点新闻线索，支持根据热点新闻线索发起选题；</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移动审核</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待审核内容：根据用户角色、根据用户权限，对新闻、线索、任务选题进行审核；</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已审核内容：呈现已审核的内容、并实时监控进度。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工具</w:t>
            </w:r>
          </w:p>
        </w:tc>
        <w:tc>
          <w:tcPr>
            <w:tcW w:w="6707"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Theme="minorEastAsia" w:hAnsiTheme="minorEastAsia" w:eastAsiaTheme="minorEastAsia"/>
              </w:rPr>
            </w:pPr>
            <w:r>
              <w:rPr>
                <w:rFonts w:hint="eastAsia" w:asciiTheme="minorEastAsia" w:hAnsiTheme="minorEastAsia" w:eastAsiaTheme="minorEastAsia"/>
              </w:rPr>
              <w:t>实现多码率手机直播；图文、视频回传；</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能够快速发起直播；多机位直播；</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具备美颜、网友互动、导播通知；</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支持图文混排排版回传、视频断点续传；</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短视频快速拍摄、编辑、回传、断点续传；</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支持直播活动、视频定价分享及自动收录；</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支持终端直播多水印设定；</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支持多互动组件、多种授权观看设定；</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支持基于APP创建选题安排任务。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工作协同</w:t>
            </w:r>
          </w:p>
        </w:tc>
        <w:tc>
          <w:tcPr>
            <w:tcW w:w="6707"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Theme="minorEastAsia" w:hAnsiTheme="minorEastAsia" w:eastAsiaTheme="minorEastAsia"/>
              </w:rPr>
            </w:pPr>
            <w:r>
              <w:rPr>
                <w:rFonts w:hint="eastAsia" w:asciiTheme="minorEastAsia" w:hAnsiTheme="minorEastAsia" w:eastAsiaTheme="minorEastAsia"/>
              </w:rPr>
              <w:t>用户企业内部PGC内容创作人员集中管理，可以一键呼叫同事协同配合工作；</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★同时支持基于LBS的记者同事位置可视化管理协同调度；一键邀请同事；</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支持工作群内部工作人员发起任务，发起任务、任务处理完成通知到责任人；</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★支持工作群通讯录中成员之间视频通话、语音通话、聊天。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内容管理</w:t>
            </w:r>
          </w:p>
        </w:tc>
        <w:tc>
          <w:tcPr>
            <w:tcW w:w="6707"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支持在移动端结构化、栏目化管理直播活动、图文、短视频，包括发布、分享传播、在线预览、图文混排、断点续传、后台回传。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364"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bottom w:val="single" w:color="auto" w:sz="4" w:space="0"/>
              <w:right w:val="single" w:color="auto" w:sz="4" w:space="0"/>
            </w:tcBorders>
            <w:vAlign w:val="center"/>
          </w:tcPr>
          <w:p>
            <w:pPr>
              <w:jc w:val="cente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个人中心</w:t>
            </w:r>
          </w:p>
        </w:tc>
        <w:tc>
          <w:tcPr>
            <w:tcW w:w="6707"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Theme="minorEastAsia" w:hAnsiTheme="minorEastAsia" w:eastAsiaTheme="minorEastAsia"/>
              </w:rPr>
            </w:pPr>
            <w:r>
              <w:rPr>
                <w:rFonts w:hint="eastAsia" w:asciiTheme="minorEastAsia" w:hAnsiTheme="minorEastAsia" w:eastAsiaTheme="minorEastAsia"/>
              </w:rPr>
              <w:t>账户管理支持头像、昵称、手机号信息自定义；</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支持全局直播水印设定；</w:t>
            </w:r>
          </w:p>
          <w:p>
            <w:pPr>
              <w:widowControl/>
              <w:ind w:firstLine="420" w:firstLineChars="200"/>
              <w:rPr>
                <w:rFonts w:asciiTheme="minorEastAsia" w:hAnsiTheme="minorEastAsia" w:eastAsiaTheme="minorEastAsia"/>
              </w:rPr>
            </w:pPr>
            <w:r>
              <w:rPr>
                <w:rFonts w:hint="eastAsia" w:asciiTheme="minorEastAsia" w:hAnsiTheme="minorEastAsia" w:eastAsiaTheme="minorEastAsia"/>
              </w:rPr>
              <w:t>支持我处理的任务、我发起的任务的查看与管理。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rPr>
              <w:t>短视频工具</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ascii="宋体" w:hAnsi="宋体" w:cs="宋体"/>
              </w:rPr>
              <w:t>3</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短视频SDK</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支持对回传的音视频文件进行剪辑，并添加标题、描述等相关文件信息；</w:t>
            </w:r>
          </w:p>
          <w:p>
            <w:pPr>
              <w:ind w:firstLine="420" w:firstLineChars="200"/>
              <w:rPr>
                <w:rFonts w:ascii="宋体" w:hAnsi="宋体"/>
              </w:rPr>
            </w:pPr>
            <w:r>
              <w:rPr>
                <w:rFonts w:hint="eastAsia" w:ascii="宋体" w:hAnsi="宋体"/>
              </w:rPr>
              <w:t>支持对拍摄或回传的音视频文件进行截取，支持拖动截取；</w:t>
            </w:r>
          </w:p>
          <w:p>
            <w:pPr>
              <w:ind w:firstLine="420" w:firstLineChars="200"/>
              <w:rPr>
                <w:rFonts w:ascii="宋体" w:hAnsi="宋体"/>
              </w:rPr>
            </w:pPr>
            <w:r>
              <w:rPr>
                <w:rFonts w:hint="eastAsia" w:ascii="宋体" w:hAnsi="宋体"/>
              </w:rPr>
              <w:t>支持分割功能，分割后的视频文件可作为单独视频，并能够调整分割后视频的顺序；</w:t>
            </w:r>
          </w:p>
          <w:p>
            <w:pPr>
              <w:ind w:firstLine="420" w:firstLineChars="200"/>
              <w:rPr>
                <w:rFonts w:ascii="宋体" w:hAnsi="宋体"/>
              </w:rPr>
            </w:pPr>
            <w:r>
              <w:rPr>
                <w:rFonts w:hint="eastAsia" w:ascii="宋体" w:hAnsi="宋体"/>
              </w:rPr>
              <w:t>支持编辑功能：对音视频内容进行剪裁，可自定义剪裁范围，支持水平翻转、垂直翻转；</w:t>
            </w:r>
          </w:p>
          <w:p>
            <w:pPr>
              <w:ind w:firstLine="420" w:firstLineChars="200"/>
              <w:rPr>
                <w:rFonts w:ascii="宋体" w:hAnsi="宋体"/>
              </w:rPr>
            </w:pPr>
            <w:r>
              <w:rPr>
                <w:rFonts w:hint="eastAsia" w:ascii="宋体" w:hAnsi="宋体"/>
              </w:rPr>
              <w:t>支持变速功能，可按照1/4，1/2，1X，2X，4X等倍速调整文件的播放速度；</w:t>
            </w:r>
          </w:p>
          <w:p>
            <w:pPr>
              <w:ind w:firstLine="420" w:firstLineChars="200"/>
              <w:rPr>
                <w:rFonts w:ascii="宋体" w:hAnsi="宋体"/>
              </w:rPr>
            </w:pPr>
            <w:r>
              <w:rPr>
                <w:rFonts w:hint="eastAsia" w:ascii="宋体" w:hAnsi="宋体"/>
              </w:rPr>
              <w:t>支持音视频片段复制功能；</w:t>
            </w:r>
          </w:p>
          <w:p>
            <w:pPr>
              <w:ind w:firstLine="420" w:firstLineChars="200"/>
              <w:rPr>
                <w:rFonts w:ascii="宋体" w:hAnsi="宋体"/>
              </w:rPr>
            </w:pPr>
            <w:r>
              <w:rPr>
                <w:rFonts w:hint="eastAsia" w:ascii="宋体" w:hAnsi="宋体"/>
              </w:rPr>
              <w:t>支持倒序播放功能；</w:t>
            </w:r>
          </w:p>
          <w:p>
            <w:pPr>
              <w:ind w:firstLine="420" w:firstLineChars="200"/>
              <w:rPr>
                <w:rFonts w:ascii="宋体" w:hAnsi="宋体"/>
              </w:rPr>
            </w:pPr>
            <w:r>
              <w:rPr>
                <w:rFonts w:hint="eastAsia" w:ascii="宋体" w:hAnsi="宋体"/>
              </w:rPr>
              <w:t>能够在片段间添加图片、添加视频、添加文字；</w:t>
            </w:r>
          </w:p>
          <w:p>
            <w:pPr>
              <w:ind w:firstLine="420" w:firstLineChars="200"/>
              <w:rPr>
                <w:rFonts w:ascii="宋体" w:hAnsi="宋体"/>
              </w:rPr>
            </w:pPr>
            <w:r>
              <w:rPr>
                <w:rFonts w:hint="eastAsia" w:ascii="宋体" w:hAnsi="宋体"/>
              </w:rPr>
              <w:t>支持转场特效，包含：淡入、上/下/左/右推、闪白、闪黑等转场特效；</w:t>
            </w:r>
          </w:p>
          <w:p>
            <w:pPr>
              <w:ind w:firstLine="420" w:firstLineChars="200"/>
              <w:rPr>
                <w:rFonts w:ascii="宋体" w:hAnsi="宋体"/>
              </w:rPr>
            </w:pPr>
            <w:r>
              <w:rPr>
                <w:rFonts w:hint="eastAsia" w:ascii="宋体" w:hAnsi="宋体"/>
              </w:rPr>
              <w:t>换面比例可选，包含：1：1、横屏、竖屏、自动；</w:t>
            </w:r>
          </w:p>
          <w:p>
            <w:pPr>
              <w:ind w:firstLine="420" w:firstLineChars="200"/>
              <w:rPr>
                <w:rFonts w:ascii="宋体" w:hAnsi="宋体"/>
              </w:rPr>
            </w:pPr>
            <w:r>
              <w:rPr>
                <w:rFonts w:hint="eastAsia" w:ascii="宋体" w:hAnsi="宋体"/>
              </w:rPr>
              <w:t>支持对创作的音视频文件进行配乐，具备原因开、无配乐、本地音乐、云音乐以及多种风格音乐类型供选择；</w:t>
            </w:r>
          </w:p>
          <w:p>
            <w:pPr>
              <w:ind w:firstLine="420" w:firstLineChars="200"/>
              <w:rPr>
                <w:rFonts w:ascii="宋体" w:hAnsi="宋体"/>
              </w:rPr>
            </w:pPr>
            <w:r>
              <w:rPr>
                <w:rFonts w:hint="eastAsia" w:ascii="宋体" w:hAnsi="宋体"/>
              </w:rPr>
              <w:t>支持配音功能；</w:t>
            </w:r>
          </w:p>
          <w:p>
            <w:pPr>
              <w:ind w:firstLine="420" w:firstLineChars="200"/>
              <w:rPr>
                <w:rFonts w:ascii="宋体" w:hAnsi="宋体"/>
              </w:rPr>
            </w:pPr>
            <w:r>
              <w:rPr>
                <w:rFonts w:hint="eastAsia" w:ascii="宋体" w:hAnsi="宋体"/>
              </w:rPr>
              <w:t>支持添加字幕功能，字幕样式可选，支持动画、颜色、描边、字体、大小、对其等功能；</w:t>
            </w:r>
          </w:p>
          <w:p>
            <w:pPr>
              <w:ind w:firstLine="420" w:firstLineChars="200"/>
              <w:rPr>
                <w:rFonts w:ascii="宋体" w:hAnsi="宋体"/>
              </w:rPr>
            </w:pPr>
            <w:r>
              <w:rPr>
                <w:rFonts w:hint="eastAsia" w:ascii="宋体" w:hAnsi="宋体"/>
              </w:rPr>
              <w:t>支持滤镜功能，包含主流滤镜：LOMO、冷调、午茶等；</w:t>
            </w:r>
          </w:p>
          <w:p>
            <w:pPr>
              <w:ind w:firstLine="420" w:firstLineChars="200"/>
              <w:rPr>
                <w:rFonts w:ascii="宋体" w:hAnsi="宋体"/>
              </w:rPr>
            </w:pPr>
            <w:r>
              <w:rPr>
                <w:rFonts w:hint="eastAsia" w:ascii="宋体" w:hAnsi="宋体"/>
              </w:rPr>
              <w:t>具备特效功能，用户可在云端下载特效使用。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3</w:t>
            </w:r>
          </w:p>
        </w:tc>
        <w:tc>
          <w:tcPr>
            <w:tcW w:w="1276" w:type="dxa"/>
            <w:vMerge w:val="restart"/>
            <w:tcBorders>
              <w:top w:val="single" w:color="auto" w:sz="4" w:space="0"/>
              <w:left w:val="single" w:color="auto" w:sz="4" w:space="0"/>
              <w:right w:val="single" w:color="auto" w:sz="4" w:space="0"/>
            </w:tcBorders>
            <w:vAlign w:val="center"/>
          </w:tcPr>
          <w:p>
            <w:pPr>
              <w:jc w:val="center"/>
            </w:pPr>
            <w:r>
              <w:rPr>
                <w:rFonts w:hint="eastAsia"/>
              </w:rPr>
              <w:t>PGC内容生产平台</w:t>
            </w:r>
          </w:p>
        </w:tc>
        <w:tc>
          <w:tcPr>
            <w:tcW w:w="425"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ascii="宋体" w:hAnsi="宋体" w:cs="宋体"/>
              </w:rPr>
              <w:t>3</w:t>
            </w:r>
          </w:p>
        </w:tc>
        <w:tc>
          <w:tcPr>
            <w:tcW w:w="425"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直播管理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支持手机/专业摄像机单机位、多机位直播与管理；支持全互动组件、付费组件管理；</w:t>
            </w:r>
          </w:p>
          <w:p>
            <w:pPr>
              <w:ind w:firstLine="420" w:firstLineChars="200"/>
              <w:rPr>
                <w:rFonts w:ascii="宋体" w:hAnsi="宋体"/>
              </w:rPr>
            </w:pPr>
            <w:r>
              <w:rPr>
                <w:rFonts w:hint="eastAsia" w:ascii="宋体" w:hAnsi="宋体"/>
              </w:rPr>
              <w:t>支持直播回看、视频片段、视频选集一键处理与设定；</w:t>
            </w:r>
          </w:p>
          <w:p>
            <w:pPr>
              <w:ind w:firstLine="420" w:firstLineChars="200"/>
              <w:rPr>
                <w:rFonts w:ascii="宋体" w:hAnsi="宋体"/>
              </w:rPr>
            </w:pPr>
            <w:r>
              <w:rPr>
                <w:rFonts w:hint="eastAsia" w:ascii="宋体" w:hAnsi="宋体"/>
              </w:rPr>
              <w:t>支持直播全平台分发；支持广告位等营销组件；</w:t>
            </w:r>
          </w:p>
          <w:p>
            <w:pPr>
              <w:ind w:firstLine="420" w:firstLineChars="200"/>
              <w:rPr>
                <w:rFonts w:ascii="宋体" w:hAnsi="宋体"/>
              </w:rPr>
            </w:pPr>
            <w:r>
              <w:rPr>
                <w:rFonts w:hint="eastAsia" w:ascii="宋体" w:hAnsi="宋体"/>
              </w:rPr>
              <w:t>直播过程中收录的回看片段支持一键合并；</w:t>
            </w:r>
          </w:p>
          <w:p>
            <w:pPr>
              <w:ind w:firstLine="420" w:firstLineChars="200"/>
              <w:rPr>
                <w:rFonts w:ascii="宋体" w:hAnsi="宋体"/>
              </w:rPr>
            </w:pPr>
            <w:r>
              <w:rPr>
                <w:rFonts w:hint="eastAsia" w:ascii="宋体" w:hAnsi="宋体"/>
              </w:rPr>
              <w:t>支持直播活动结束后回看、片段任意设定。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媒资资源库管理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与台媒资库实现图文、视频、音频互联互通；</w:t>
            </w:r>
          </w:p>
          <w:p>
            <w:pPr>
              <w:ind w:firstLine="420" w:firstLineChars="200"/>
              <w:rPr>
                <w:rFonts w:ascii="宋体" w:hAnsi="宋体"/>
              </w:rPr>
            </w:pPr>
            <w:r>
              <w:rPr>
                <w:rFonts w:hint="eastAsia" w:ascii="宋体" w:hAnsi="宋体"/>
              </w:rPr>
              <w:t>资源库支持图文库、视频库、收录库；</w:t>
            </w:r>
          </w:p>
          <w:p>
            <w:pPr>
              <w:ind w:firstLine="420" w:firstLineChars="200"/>
              <w:rPr>
                <w:rFonts w:ascii="宋体" w:hAnsi="宋体"/>
              </w:rPr>
            </w:pPr>
            <w:r>
              <w:rPr>
                <w:rFonts w:hint="eastAsia" w:ascii="宋体" w:hAnsi="宋体"/>
              </w:rPr>
              <w:t>图文、视频库支持图文列表方式管理；</w:t>
            </w:r>
          </w:p>
          <w:p>
            <w:pPr>
              <w:ind w:firstLine="420" w:firstLineChars="200"/>
              <w:rPr>
                <w:rFonts w:ascii="宋体" w:hAnsi="宋体"/>
              </w:rPr>
            </w:pPr>
            <w:r>
              <w:rPr>
                <w:rFonts w:hint="eastAsia" w:ascii="宋体" w:hAnsi="宋体"/>
              </w:rPr>
              <w:t>图文、视频库支持全选、多选、删除；</w:t>
            </w:r>
          </w:p>
          <w:p>
            <w:pPr>
              <w:ind w:firstLine="420" w:firstLineChars="200"/>
              <w:rPr>
                <w:rFonts w:ascii="宋体" w:hAnsi="宋体"/>
              </w:rPr>
            </w:pPr>
            <w:r>
              <w:rPr>
                <w:rFonts w:hint="eastAsia" w:ascii="宋体" w:hAnsi="宋体"/>
              </w:rPr>
              <w:t>图文库支持图文内容的标题、封面图、作者、时间等信息展示；</w:t>
            </w:r>
          </w:p>
          <w:p>
            <w:pPr>
              <w:ind w:firstLine="420" w:firstLineChars="200"/>
              <w:rPr>
                <w:rFonts w:ascii="宋体" w:hAnsi="宋体"/>
              </w:rPr>
            </w:pPr>
            <w:r>
              <w:rPr>
                <w:rFonts w:hint="eastAsia" w:ascii="宋体" w:hAnsi="宋体"/>
              </w:rPr>
              <w:t>支持图文标题搜索功能；</w:t>
            </w:r>
          </w:p>
          <w:p>
            <w:pPr>
              <w:ind w:firstLine="420" w:firstLineChars="200"/>
              <w:rPr>
                <w:rFonts w:ascii="宋体" w:hAnsi="宋体"/>
              </w:rPr>
            </w:pPr>
            <w:r>
              <w:rPr>
                <w:rFonts w:hint="eastAsia" w:ascii="宋体" w:hAnsi="宋体"/>
              </w:rPr>
              <w:t>视频库支持全选、多选、删除；</w:t>
            </w:r>
          </w:p>
          <w:p>
            <w:pPr>
              <w:ind w:firstLine="420" w:firstLineChars="200"/>
              <w:rPr>
                <w:rFonts w:ascii="宋体" w:hAnsi="宋体"/>
              </w:rPr>
            </w:pPr>
            <w:r>
              <w:rPr>
                <w:rFonts w:hint="eastAsia" w:ascii="宋体" w:hAnsi="宋体"/>
              </w:rPr>
              <w:t>视频库支持播放地址嵌入输出；</w:t>
            </w:r>
          </w:p>
          <w:p>
            <w:pPr>
              <w:ind w:firstLine="420" w:firstLineChars="200"/>
              <w:rPr>
                <w:rFonts w:ascii="宋体" w:hAnsi="宋体"/>
              </w:rPr>
            </w:pPr>
            <w:r>
              <w:rPr>
                <w:rFonts w:hint="eastAsia" w:ascii="宋体" w:hAnsi="宋体"/>
              </w:rPr>
              <w:t>视频库支持全选、多选、删除；</w:t>
            </w:r>
          </w:p>
          <w:p>
            <w:pPr>
              <w:ind w:firstLine="420" w:firstLineChars="200"/>
              <w:rPr>
                <w:rFonts w:ascii="宋体" w:hAnsi="宋体"/>
              </w:rPr>
            </w:pPr>
            <w:r>
              <w:rPr>
                <w:rFonts w:hint="eastAsia" w:ascii="宋体" w:hAnsi="宋体"/>
              </w:rPr>
              <w:t>视频库支持视频文件名、时长、日期等信息显示；</w:t>
            </w:r>
          </w:p>
          <w:p>
            <w:pPr>
              <w:ind w:firstLine="420" w:firstLineChars="200"/>
              <w:rPr>
                <w:rFonts w:ascii="宋体" w:hAnsi="宋体"/>
              </w:rPr>
            </w:pPr>
            <w:r>
              <w:rPr>
                <w:rFonts w:hint="eastAsia" w:ascii="宋体" w:hAnsi="宋体"/>
              </w:rPr>
              <w:t>图文、视频支持标准API调用，不限调用平台数量。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账户管理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支持企业账号登录；</w:t>
            </w:r>
          </w:p>
          <w:p>
            <w:pPr>
              <w:ind w:firstLine="420" w:firstLineChars="200"/>
              <w:rPr>
                <w:rFonts w:ascii="宋体" w:hAnsi="宋体"/>
              </w:rPr>
            </w:pPr>
            <w:r>
              <w:rPr>
                <w:rFonts w:hint="eastAsia" w:ascii="宋体" w:hAnsi="宋体"/>
              </w:rPr>
              <w:t>支持企业账号密码修改；</w:t>
            </w:r>
          </w:p>
          <w:p>
            <w:pPr>
              <w:ind w:firstLine="420" w:firstLineChars="200"/>
              <w:rPr>
                <w:rFonts w:ascii="宋体" w:hAnsi="宋体"/>
              </w:rPr>
            </w:pPr>
            <w:r>
              <w:rPr>
                <w:rFonts w:hint="eastAsia" w:ascii="宋体" w:hAnsi="宋体"/>
              </w:rPr>
              <w:t>支持账户唯一验证秘钥获取；</w:t>
            </w:r>
          </w:p>
          <w:p>
            <w:pPr>
              <w:ind w:firstLine="420" w:firstLineChars="200"/>
              <w:rPr>
                <w:rFonts w:ascii="宋体" w:hAnsi="宋体"/>
              </w:rPr>
            </w:pPr>
            <w:r>
              <w:rPr>
                <w:rFonts w:hint="eastAsia" w:ascii="宋体" w:hAnsi="宋体"/>
              </w:rPr>
              <w:t>具备账户认证通道与认证信息记录。</w:t>
            </w:r>
          </w:p>
          <w:p>
            <w:pPr>
              <w:ind w:firstLine="420" w:firstLineChars="200"/>
              <w:rPr>
                <w:rFonts w:ascii="宋体" w:hAnsi="宋体"/>
              </w:rPr>
            </w:pPr>
            <w:r>
              <w:rPr>
                <w:rFonts w:hint="eastAsia" w:ascii="宋体" w:hAnsi="宋体"/>
              </w:rPr>
              <w:t>支持与媒资系统用户互相认证。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用户管理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用户管理作为平台集中管理C端用户的库，支持所有用户信息管理，通过不断的数据积累逐渐将所有C端用户的信息汇聚起来为未来的精准营销、用户行为分析提供依据。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数据统计</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★访问分析全方位全维度的将平台访问数据进行精准分析，包括PV、UV、IP数、访问类型、访问地域等，准确率高达99.7%以上，为运营决策者提供强有力的数据支持；支持统计结果显示折线图；</w:t>
            </w:r>
          </w:p>
          <w:p>
            <w:pPr>
              <w:ind w:firstLine="420" w:firstLineChars="200"/>
              <w:rPr>
                <w:rFonts w:ascii="宋体" w:hAnsi="宋体"/>
              </w:rPr>
            </w:pPr>
            <w:r>
              <w:rPr>
                <w:rFonts w:hint="eastAsia" w:ascii="宋体" w:hAnsi="宋体"/>
              </w:rPr>
              <w:t>用户分析支持统计支持按照日周月统计新增、活跃用户的数量、上升比、下降比；支持统计结果显示折线图；支持用户省份分布图显示；支持按照省份用户分布排行；</w:t>
            </w:r>
          </w:p>
          <w:p>
            <w:pPr>
              <w:ind w:firstLine="420" w:firstLineChars="200"/>
              <w:rPr>
                <w:rFonts w:ascii="宋体" w:hAnsi="宋体"/>
              </w:rPr>
            </w:pPr>
            <w:r>
              <w:rPr>
                <w:rFonts w:hint="eastAsia" w:ascii="宋体" w:hAnsi="宋体"/>
              </w:rPr>
              <w:t>内容分析可以全方位统计内容的点击量、评论数、打赏数、收益以及使用流量；</w:t>
            </w:r>
          </w:p>
          <w:p>
            <w:pPr>
              <w:ind w:firstLine="420" w:firstLineChars="200"/>
              <w:rPr>
                <w:rFonts w:ascii="宋体" w:hAnsi="宋体"/>
              </w:rPr>
            </w:pPr>
            <w:r>
              <w:rPr>
                <w:rFonts w:hint="eastAsia" w:ascii="宋体" w:hAnsi="宋体"/>
              </w:rPr>
              <w:t>可以统计台媒资系统素材使用量。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数据概览</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通过数据概览模块可以快速掌握系统整体运行情况，包括总访问情况、总收入情况、产生的资源数与活动数等，为运营决策者提供一个快速的掌握情况的有力途径。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台媒资工作群管理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云平台的企业管理用户，包括管理员用户与终端用户全部都支持在自有“工作群组”管理，包括其各种分工的权限管理等，真正意义实现团队的创作生产协同工作。</w:t>
            </w:r>
          </w:p>
          <w:p>
            <w:pPr>
              <w:ind w:firstLine="420" w:firstLineChars="200"/>
              <w:rPr>
                <w:rFonts w:ascii="宋体" w:hAnsi="宋体"/>
              </w:rPr>
            </w:pPr>
            <w:r>
              <w:rPr>
                <w:rFonts w:hint="eastAsia" w:ascii="宋体" w:hAnsi="宋体"/>
              </w:rPr>
              <w:t>支持普通用户权限分配、管理员权限分配，内容管理权限支持细分到栏目；</w:t>
            </w:r>
          </w:p>
          <w:p>
            <w:pPr>
              <w:ind w:firstLine="420" w:firstLineChars="200"/>
              <w:rPr>
                <w:rFonts w:ascii="宋体" w:hAnsi="宋体"/>
              </w:rPr>
            </w:pPr>
            <w:r>
              <w:rPr>
                <w:rFonts w:hint="eastAsia" w:ascii="宋体" w:hAnsi="宋体"/>
              </w:rPr>
              <w:t>支持用户内容分发列表生成、用户禁用、用户删除功能；</w:t>
            </w:r>
          </w:p>
          <w:p>
            <w:pPr>
              <w:ind w:firstLine="420" w:firstLineChars="200"/>
              <w:rPr>
                <w:rFonts w:ascii="宋体" w:hAnsi="宋体"/>
              </w:rPr>
            </w:pPr>
            <w:r>
              <w:rPr>
                <w:rFonts w:hint="eastAsia" w:ascii="宋体" w:hAnsi="宋体"/>
              </w:rPr>
              <w:t>支持工作群用户信息一键导出；</w:t>
            </w:r>
          </w:p>
          <w:p>
            <w:pPr>
              <w:ind w:firstLine="420" w:firstLineChars="200"/>
              <w:rPr>
                <w:rFonts w:ascii="宋体" w:hAnsi="宋体"/>
              </w:rPr>
            </w:pPr>
            <w:r>
              <w:rPr>
                <w:rFonts w:hint="eastAsia" w:ascii="宋体" w:hAnsi="宋体"/>
              </w:rPr>
              <w:t>支持工作群用户快速检索查找。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个性化管理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通过一系列的个性化配置，用户在云平台可以打造出一个完全属于自己的媒体品牌，包括企业的简称、logo、水印、等设定，完完全全属于用户自由配置与选定，轻松实现自有云平台构建。</w:t>
            </w:r>
          </w:p>
          <w:p>
            <w:pPr>
              <w:ind w:firstLine="420" w:firstLineChars="200"/>
              <w:rPr>
                <w:rFonts w:ascii="宋体" w:hAnsi="宋体"/>
              </w:rPr>
            </w:pPr>
            <w:r>
              <w:rPr>
                <w:rFonts w:hint="eastAsia" w:ascii="宋体" w:hAnsi="宋体"/>
              </w:rPr>
              <w:t>★基础信息设置支持企业简称、企业logo、企业简介等基本信息设置；</w:t>
            </w:r>
          </w:p>
          <w:p>
            <w:pPr>
              <w:ind w:firstLine="420" w:firstLineChars="200"/>
              <w:rPr>
                <w:rFonts w:ascii="宋体" w:hAnsi="宋体"/>
              </w:rPr>
            </w:pPr>
            <w:r>
              <w:rPr>
                <w:rFonts w:hint="eastAsia" w:ascii="宋体" w:hAnsi="宋体"/>
              </w:rPr>
              <w:t>默认封面图设置支持后台设定全平台默认的封面图，封面图可以应用在直点播播放器封面、列表页；</w:t>
            </w:r>
          </w:p>
          <w:p>
            <w:pPr>
              <w:ind w:firstLine="420" w:firstLineChars="200"/>
              <w:rPr>
                <w:rFonts w:ascii="宋体" w:hAnsi="宋体"/>
              </w:rPr>
            </w:pPr>
            <w:r>
              <w:rPr>
                <w:rFonts w:hint="eastAsia" w:ascii="宋体" w:hAnsi="宋体"/>
              </w:rPr>
              <w:t>水印设置支持全平台默认水印设置；</w:t>
            </w:r>
          </w:p>
          <w:p>
            <w:pPr>
              <w:ind w:firstLine="420" w:firstLineChars="200"/>
              <w:rPr>
                <w:rFonts w:ascii="宋体" w:hAnsi="宋体"/>
              </w:rPr>
            </w:pPr>
            <w:r>
              <w:rPr>
                <w:rFonts w:hint="eastAsia" w:ascii="宋体" w:hAnsi="宋体"/>
              </w:rPr>
              <w:t>★手机号验证支持控制用户在前端页面使用抢红包、抽奖、投票、聊天等功能时，需要先关联手机号码，关联的手机号码会记入到用户信息中，完成用户数据完善；</w:t>
            </w:r>
          </w:p>
          <w:p>
            <w:pPr>
              <w:ind w:firstLine="420" w:firstLineChars="200"/>
              <w:rPr>
                <w:rFonts w:ascii="宋体" w:hAnsi="宋体"/>
              </w:rPr>
            </w:pPr>
            <w:r>
              <w:rPr>
                <w:rFonts w:hint="eastAsia" w:ascii="宋体" w:hAnsi="宋体"/>
              </w:rPr>
              <w:t>互动验证公众号功能可以控制用户在前端页面使用抢红包、抽奖、投票、聊天等功能时，需要先关注设定的公众号，增强吸粉能力。</w:t>
            </w:r>
          </w:p>
          <w:p>
            <w:pPr>
              <w:ind w:firstLine="420" w:firstLineChars="200"/>
              <w:rPr>
                <w:rFonts w:ascii="宋体" w:hAnsi="宋体"/>
              </w:rPr>
            </w:pPr>
            <w:r>
              <w:rPr>
                <w:rFonts w:hint="eastAsia" w:ascii="宋体" w:hAnsi="宋体"/>
              </w:rPr>
              <w:t>支持控制台设置后台的logo、版权信息等。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财务管理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★支出管理支持账户的每一笔支出都将以订单的形式记录，包括续费、余额充值、红包充值、流量使用、流量充值、红包使用等；</w:t>
            </w:r>
          </w:p>
          <w:p>
            <w:pPr>
              <w:ind w:firstLine="420" w:firstLineChars="200"/>
              <w:rPr>
                <w:rFonts w:ascii="宋体" w:hAnsi="宋体"/>
              </w:rPr>
            </w:pPr>
            <w:r>
              <w:rPr>
                <w:rFonts w:hint="eastAsia" w:ascii="宋体" w:hAnsi="宋体"/>
              </w:rPr>
              <w:t>收入管理可以将账户的所有收入的金额、发生的时间、产生的内容进行无误记录，包括打赏收入、付费收入；进一步支持收入提现。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渠道管理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云平台支持代理商分销模式，任何用户均可以成为代理商用户；</w:t>
            </w:r>
          </w:p>
          <w:p>
            <w:pPr>
              <w:ind w:firstLine="420" w:firstLineChars="200"/>
              <w:rPr>
                <w:rFonts w:ascii="宋体" w:hAnsi="宋体"/>
              </w:rPr>
            </w:pPr>
            <w:r>
              <w:rPr>
                <w:rFonts w:hint="eastAsia" w:ascii="宋体" w:hAnsi="宋体"/>
              </w:rPr>
              <w:t>平台支持为代理商建立二级管理机制，通过代理商注册的用户的信息均可以在渠道管理中进行查看与管理；</w:t>
            </w:r>
          </w:p>
          <w:p>
            <w:pPr>
              <w:ind w:firstLine="420" w:firstLineChars="200"/>
              <w:rPr>
                <w:rFonts w:ascii="宋体" w:hAnsi="宋体"/>
              </w:rPr>
            </w:pPr>
            <w:r>
              <w:rPr>
                <w:rFonts w:hint="eastAsia" w:ascii="宋体" w:hAnsi="宋体"/>
              </w:rPr>
              <w:t>代理商用户可以在平台中查询下级用户的运营与使用情况，包括使用流量、活动与资源数量。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开发者功能</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云平台提供标准的API，用户可以通过标准API进行开发调用；</w:t>
            </w:r>
          </w:p>
          <w:p>
            <w:pPr>
              <w:ind w:firstLine="420" w:firstLineChars="200"/>
              <w:rPr>
                <w:rFonts w:ascii="宋体" w:hAnsi="宋体"/>
              </w:rPr>
            </w:pPr>
            <w:r>
              <w:rPr>
                <w:rFonts w:hint="eastAsia" w:ascii="宋体" w:hAnsi="宋体"/>
              </w:rPr>
              <w:t>标准API包括资源获取、资源管理结构获取、批量获取、单条获取；</w:t>
            </w:r>
          </w:p>
          <w:p>
            <w:pPr>
              <w:ind w:firstLine="420" w:firstLineChars="200"/>
              <w:rPr>
                <w:rFonts w:ascii="宋体" w:hAnsi="宋体"/>
              </w:rPr>
            </w:pPr>
            <w:r>
              <w:rPr>
                <w:rFonts w:hint="eastAsia" w:ascii="宋体" w:hAnsi="宋体"/>
              </w:rPr>
              <w:t>开发者模块支持为用户分配API调用秘钥。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多场景输入</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支持手机多码率直播输入；</w:t>
            </w:r>
          </w:p>
          <w:p>
            <w:pPr>
              <w:ind w:firstLine="420" w:firstLineChars="200"/>
              <w:rPr>
                <w:rFonts w:ascii="宋体" w:hAnsi="宋体"/>
              </w:rPr>
            </w:pPr>
            <w:r>
              <w:rPr>
                <w:rFonts w:hint="eastAsia" w:ascii="宋体" w:hAnsi="宋体"/>
              </w:rPr>
              <w:t>支持传统摄像机输入；</w:t>
            </w:r>
          </w:p>
          <w:p>
            <w:pPr>
              <w:ind w:firstLine="420" w:firstLineChars="200"/>
              <w:rPr>
                <w:rFonts w:ascii="宋体" w:hAnsi="宋体"/>
              </w:rPr>
            </w:pPr>
            <w:r>
              <w:rPr>
                <w:rFonts w:hint="eastAsia" w:ascii="宋体" w:hAnsi="宋体"/>
              </w:rPr>
              <w:t>支持网络拉流输入；</w:t>
            </w:r>
          </w:p>
          <w:p>
            <w:pPr>
              <w:ind w:firstLine="420" w:firstLineChars="200"/>
              <w:rPr>
                <w:rFonts w:ascii="宋体" w:hAnsi="宋体"/>
              </w:rPr>
            </w:pPr>
            <w:r>
              <w:rPr>
                <w:rFonts w:hint="eastAsia" w:ascii="宋体" w:hAnsi="宋体"/>
              </w:rPr>
              <w:t>支持SDI信号转编码输入；</w:t>
            </w:r>
          </w:p>
          <w:p>
            <w:pPr>
              <w:ind w:firstLine="420" w:firstLineChars="200"/>
              <w:rPr>
                <w:rFonts w:ascii="宋体" w:hAnsi="宋体"/>
              </w:rPr>
            </w:pPr>
            <w:r>
              <w:rPr>
                <w:rFonts w:hint="eastAsia" w:ascii="宋体" w:hAnsi="宋体"/>
              </w:rPr>
              <w:t>支持4G背包推流输入；</w:t>
            </w:r>
          </w:p>
          <w:p>
            <w:pPr>
              <w:ind w:firstLine="420" w:firstLineChars="200"/>
              <w:rPr>
                <w:rFonts w:ascii="宋体" w:hAnsi="宋体"/>
              </w:rPr>
            </w:pPr>
            <w:r>
              <w:rPr>
                <w:rFonts w:hint="eastAsia" w:ascii="宋体" w:hAnsi="宋体"/>
              </w:rPr>
              <w:t>支持4G多链路直播盒输入；</w:t>
            </w:r>
          </w:p>
          <w:p>
            <w:pPr>
              <w:ind w:firstLine="420" w:firstLineChars="200"/>
              <w:rPr>
                <w:rFonts w:ascii="宋体" w:hAnsi="宋体"/>
              </w:rPr>
            </w:pPr>
            <w:r>
              <w:rPr>
                <w:rFonts w:hint="eastAsia" w:ascii="宋体" w:hAnsi="宋体"/>
              </w:rPr>
              <w:t>支持传统编码器输入。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bottom w:val="single" w:color="auto" w:sz="4" w:space="0"/>
              <w:right w:val="single" w:color="auto" w:sz="4" w:space="0"/>
            </w:tcBorders>
            <w:vAlign w:val="center"/>
          </w:tcPr>
          <w:p>
            <w:pPr>
              <w:jc w:val="cente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多渠道输出</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支持手机H5播放页面生成；</w:t>
            </w:r>
          </w:p>
          <w:p>
            <w:pPr>
              <w:ind w:firstLine="420" w:firstLineChars="200"/>
              <w:rPr>
                <w:rFonts w:ascii="宋体" w:hAnsi="宋体"/>
              </w:rPr>
            </w:pPr>
            <w:r>
              <w:rPr>
                <w:rFonts w:hint="eastAsia" w:ascii="宋体" w:hAnsi="宋体"/>
              </w:rPr>
              <w:t>支持直播播放器Iframe嵌入手机、网站页面；</w:t>
            </w:r>
          </w:p>
          <w:p>
            <w:pPr>
              <w:ind w:firstLine="420" w:firstLineChars="200"/>
              <w:rPr>
                <w:rFonts w:ascii="宋体" w:hAnsi="宋体"/>
              </w:rPr>
            </w:pPr>
            <w:r>
              <w:rPr>
                <w:rFonts w:hint="eastAsia" w:ascii="宋体" w:hAnsi="宋体"/>
              </w:rPr>
              <w:t>支持手机直播流与电视融合SDI输出播出；</w:t>
            </w:r>
          </w:p>
          <w:p>
            <w:pPr>
              <w:ind w:firstLine="420" w:firstLineChars="200"/>
              <w:rPr>
                <w:rFonts w:ascii="宋体" w:hAnsi="宋体"/>
              </w:rPr>
            </w:pPr>
            <w:r>
              <w:rPr>
                <w:rFonts w:hint="eastAsia" w:ascii="宋体" w:hAnsi="宋体"/>
              </w:rPr>
              <w:t>支持直播流直接输出、任意调用；</w:t>
            </w:r>
          </w:p>
          <w:p>
            <w:pPr>
              <w:ind w:firstLine="420" w:firstLineChars="200"/>
              <w:rPr>
                <w:rFonts w:ascii="宋体" w:hAnsi="宋体"/>
              </w:rPr>
            </w:pPr>
            <w:r>
              <w:rPr>
                <w:rFonts w:hint="eastAsia" w:ascii="宋体" w:hAnsi="宋体"/>
              </w:rPr>
              <w:t>手机直播通过控制台生成的H5播放页面可以结合微信、公众号进行播出；</w:t>
            </w:r>
          </w:p>
          <w:p>
            <w:pPr>
              <w:ind w:firstLine="420" w:firstLineChars="200"/>
              <w:rPr>
                <w:rFonts w:ascii="宋体" w:hAnsi="宋体"/>
              </w:rPr>
            </w:pPr>
            <w:r>
              <w:rPr>
                <w:rFonts w:hint="eastAsia" w:ascii="宋体" w:hAnsi="宋体"/>
              </w:rPr>
              <w:t>支持在播控台中设置播出页面的直播标题、介绍、互动组件、授权观看、封面图、分享缩略图、开启/关闭微信预约功能；</w:t>
            </w:r>
          </w:p>
          <w:p>
            <w:pPr>
              <w:ind w:firstLine="420" w:firstLineChars="200"/>
              <w:rPr>
                <w:rFonts w:ascii="宋体" w:hAnsi="宋体"/>
              </w:rPr>
            </w:pPr>
            <w:r>
              <w:rPr>
                <w:rFonts w:hint="eastAsia" w:ascii="宋体" w:hAnsi="宋体"/>
              </w:rPr>
              <w:t>可以以多种格式输出素材到台媒资系统。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4</w:t>
            </w:r>
          </w:p>
        </w:tc>
        <w:tc>
          <w:tcPr>
            <w:tcW w:w="1276" w:type="dxa"/>
            <w:tcBorders>
              <w:left w:val="single" w:color="auto" w:sz="4" w:space="0"/>
              <w:bottom w:val="single" w:color="auto" w:sz="4" w:space="0"/>
              <w:right w:val="single" w:color="auto" w:sz="4" w:space="0"/>
            </w:tcBorders>
            <w:vAlign w:val="center"/>
          </w:tcPr>
          <w:p>
            <w:pPr>
              <w:jc w:val="center"/>
            </w:pPr>
            <w:r>
              <w:rPr>
                <w:rFonts w:hint="eastAsia"/>
              </w:rPr>
              <w:t>在线导播系统</w:t>
            </w:r>
          </w:p>
        </w:tc>
        <w:tc>
          <w:tcPr>
            <w:tcW w:w="425"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2</w:t>
            </w:r>
            <w:r>
              <w:rPr>
                <w:rFonts w:ascii="宋体" w:hAnsi="宋体" w:cs="宋体"/>
              </w:rPr>
              <w:t>00</w:t>
            </w:r>
          </w:p>
        </w:tc>
        <w:tc>
          <w:tcPr>
            <w:tcW w:w="425"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小时</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Theme="majorEastAsia" w:hAnsiTheme="majorEastAsia" w:eastAsiaTheme="majorEastAsia"/>
              </w:rPr>
              <w:t>功能描述</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ajorEastAsia" w:hAnsiTheme="majorEastAsia" w:eastAsiaTheme="majorEastAsia"/>
              </w:rPr>
            </w:pPr>
            <w:r>
              <w:rPr>
                <w:rFonts w:hint="eastAsia" w:asciiTheme="majorEastAsia" w:hAnsiTheme="majorEastAsia" w:eastAsiaTheme="majorEastAsia"/>
              </w:rPr>
              <w:t>完全B/S架构，使用时不需要安装任何插件；</w:t>
            </w:r>
          </w:p>
          <w:p>
            <w:pPr>
              <w:ind w:firstLine="420" w:firstLineChars="200"/>
              <w:rPr>
                <w:rFonts w:asciiTheme="majorEastAsia" w:hAnsiTheme="majorEastAsia" w:eastAsiaTheme="majorEastAsia"/>
              </w:rPr>
            </w:pPr>
            <w:r>
              <w:rPr>
                <w:rFonts w:hint="eastAsia" w:asciiTheme="majorEastAsia" w:hAnsiTheme="majorEastAsia" w:eastAsiaTheme="majorEastAsia"/>
              </w:rPr>
              <w:t>支持720p、1080输出分辨率，4机位信号输入切换；</w:t>
            </w:r>
          </w:p>
          <w:p>
            <w:pPr>
              <w:ind w:firstLine="420" w:firstLineChars="200"/>
              <w:rPr>
                <w:rFonts w:asciiTheme="majorEastAsia" w:hAnsiTheme="majorEastAsia" w:eastAsiaTheme="majorEastAsia"/>
              </w:rPr>
            </w:pPr>
            <w:r>
              <w:rPr>
                <w:rFonts w:hint="eastAsia" w:asciiTheme="majorEastAsia" w:hAnsiTheme="majorEastAsia" w:eastAsiaTheme="majorEastAsia"/>
              </w:rPr>
              <w:t>支持推流与拉流两种导播流接入模式，同时支持flv、MP4等视频流拉流导播；</w:t>
            </w:r>
          </w:p>
          <w:p>
            <w:pPr>
              <w:ind w:firstLine="420" w:firstLineChars="200"/>
              <w:rPr>
                <w:rFonts w:asciiTheme="majorEastAsia" w:hAnsiTheme="majorEastAsia" w:eastAsiaTheme="majorEastAsia"/>
              </w:rPr>
            </w:pPr>
            <w:r>
              <w:rPr>
                <w:rFonts w:hint="eastAsia" w:asciiTheme="majorEastAsia" w:hAnsiTheme="majorEastAsia" w:eastAsiaTheme="majorEastAsia"/>
              </w:rPr>
              <w:t>导播台支持广告、水印、台标等图片切播；</w:t>
            </w:r>
          </w:p>
          <w:p>
            <w:pPr>
              <w:ind w:firstLine="420" w:firstLineChars="200"/>
              <w:rPr>
                <w:rFonts w:asciiTheme="majorEastAsia" w:hAnsiTheme="majorEastAsia" w:eastAsiaTheme="majorEastAsia"/>
              </w:rPr>
            </w:pPr>
            <w:r>
              <w:rPr>
                <w:rFonts w:hint="eastAsia" w:asciiTheme="majorEastAsia" w:hAnsiTheme="majorEastAsia" w:eastAsiaTheme="majorEastAsia"/>
              </w:rPr>
              <w:t>★支持比分、文字、样式化标题等字幕功能；</w:t>
            </w:r>
          </w:p>
          <w:p>
            <w:pPr>
              <w:ind w:firstLine="420" w:firstLineChars="200"/>
              <w:rPr>
                <w:rFonts w:asciiTheme="majorEastAsia" w:hAnsiTheme="majorEastAsia" w:eastAsiaTheme="majorEastAsia"/>
              </w:rPr>
            </w:pPr>
            <w:r>
              <w:rPr>
                <w:rFonts w:hint="eastAsia" w:asciiTheme="majorEastAsia" w:hAnsiTheme="majorEastAsia" w:eastAsiaTheme="majorEastAsia"/>
              </w:rPr>
              <w:t>导播台具有调音台功能，可以调整每个机位的输出音量，同时可以支持PGM监听音量控制；</w:t>
            </w:r>
          </w:p>
          <w:p>
            <w:pPr>
              <w:ind w:firstLine="420" w:firstLineChars="200"/>
              <w:rPr>
                <w:rFonts w:asciiTheme="majorEastAsia" w:hAnsiTheme="majorEastAsia" w:eastAsiaTheme="majorEastAsia"/>
              </w:rPr>
            </w:pPr>
            <w:r>
              <w:rPr>
                <w:rFonts w:hint="eastAsia" w:asciiTheme="majorEastAsia" w:hAnsiTheme="majorEastAsia" w:eastAsiaTheme="majorEastAsia"/>
              </w:rPr>
              <w:t>支持创建多画面、多场景直播窗口，同时多画面支持使用指定音频；</w:t>
            </w:r>
          </w:p>
          <w:p>
            <w:pPr>
              <w:ind w:firstLine="420" w:firstLineChars="200"/>
              <w:rPr>
                <w:rFonts w:asciiTheme="majorEastAsia" w:hAnsiTheme="majorEastAsia" w:eastAsiaTheme="majorEastAsia"/>
              </w:rPr>
            </w:pPr>
            <w:r>
              <w:rPr>
                <w:rFonts w:hint="eastAsia" w:asciiTheme="majorEastAsia" w:hAnsiTheme="majorEastAsia" w:eastAsiaTheme="majorEastAsia"/>
              </w:rPr>
              <w:t>导播台支持视频任意目标输出，包括系统内部输出、外部直播流输出；</w:t>
            </w:r>
          </w:p>
          <w:p>
            <w:pPr>
              <w:ind w:firstLine="420" w:firstLineChars="200"/>
              <w:rPr>
                <w:rFonts w:ascii="宋体" w:hAnsi="宋体"/>
              </w:rPr>
            </w:pPr>
            <w:r>
              <w:rPr>
                <w:rFonts w:hint="eastAsia" w:asciiTheme="majorEastAsia" w:hAnsiTheme="majorEastAsia" w:eastAsiaTheme="majorEastAsia"/>
              </w:rPr>
              <w:t>导播台支持调取台媒资任意素材。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restart"/>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5</w:t>
            </w:r>
          </w:p>
        </w:tc>
        <w:tc>
          <w:tcPr>
            <w:tcW w:w="1276" w:type="dxa"/>
            <w:vMerge w:val="restart"/>
            <w:tcBorders>
              <w:left w:val="single" w:color="auto" w:sz="4" w:space="0"/>
              <w:right w:val="single" w:color="auto" w:sz="4" w:space="0"/>
            </w:tcBorders>
            <w:vAlign w:val="center"/>
          </w:tcPr>
          <w:p>
            <w:pPr>
              <w:jc w:val="center"/>
            </w:pPr>
            <w:r>
              <w:rPr>
                <w:rFonts w:hint="eastAsia"/>
              </w:rPr>
              <w:t>协同生产业务管理系统升级</w:t>
            </w:r>
          </w:p>
        </w:tc>
        <w:tc>
          <w:tcPr>
            <w:tcW w:w="425" w:type="dxa"/>
            <w:vMerge w:val="restart"/>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1</w:t>
            </w:r>
          </w:p>
        </w:tc>
        <w:tc>
          <w:tcPr>
            <w:tcW w:w="425" w:type="dxa"/>
            <w:vMerge w:val="restart"/>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线索管理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支持抓取全网热点新闻事件数据；</w:t>
            </w:r>
          </w:p>
          <w:p>
            <w:pPr>
              <w:ind w:firstLine="420" w:firstLineChars="200"/>
              <w:rPr>
                <w:rFonts w:ascii="宋体" w:hAnsi="宋体"/>
              </w:rPr>
            </w:pPr>
            <w:r>
              <w:rPr>
                <w:rFonts w:hint="eastAsia" w:ascii="宋体" w:hAnsi="宋体"/>
              </w:rPr>
              <w:t>支持抓取指定网站、微博、微信公众号数据，并可设定关键词，根据设定关键词进行筛选抓取；</w:t>
            </w:r>
          </w:p>
          <w:p>
            <w:pPr>
              <w:ind w:firstLine="420" w:firstLineChars="200"/>
              <w:rPr>
                <w:rFonts w:ascii="宋体" w:hAnsi="宋体"/>
              </w:rPr>
            </w:pPr>
            <w:r>
              <w:rPr>
                <w:rFonts w:hint="eastAsia" w:ascii="宋体" w:hAnsi="宋体"/>
              </w:rPr>
              <w:t>实时接收PGC、UGC业务平台的直播、短视频、图文等数据；</w:t>
            </w:r>
          </w:p>
          <w:p>
            <w:pPr>
              <w:ind w:firstLine="420" w:firstLineChars="200"/>
              <w:rPr>
                <w:rFonts w:ascii="宋体" w:hAnsi="宋体"/>
              </w:rPr>
            </w:pPr>
            <w:r>
              <w:rPr>
                <w:rFonts w:hint="eastAsia" w:ascii="宋体" w:hAnsi="宋体"/>
              </w:rPr>
              <w:t>可以基于线索进一步创建选题；</w:t>
            </w:r>
          </w:p>
          <w:p>
            <w:pPr>
              <w:ind w:firstLine="420" w:firstLineChars="200"/>
              <w:rPr>
                <w:rFonts w:ascii="宋体" w:hAnsi="宋体"/>
              </w:rPr>
            </w:pPr>
            <w:r>
              <w:rPr>
                <w:rFonts w:hint="eastAsia" w:ascii="宋体" w:hAnsi="宋体"/>
              </w:rPr>
              <w:t>可以对接第三方内容管理系统，接入线索数据；</w:t>
            </w:r>
          </w:p>
          <w:p>
            <w:pPr>
              <w:ind w:firstLine="420" w:firstLineChars="200"/>
              <w:rPr>
                <w:rFonts w:ascii="宋体" w:hAnsi="宋体"/>
              </w:rPr>
            </w:pPr>
            <w:r>
              <w:rPr>
                <w:rFonts w:hint="eastAsia" w:ascii="宋体" w:hAnsi="宋体"/>
              </w:rPr>
              <w:t>可以基于业务需求灵活定义线索标签、字段等。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选题管理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可根据线索直接建立选题并审核确定选题。</w:t>
            </w:r>
          </w:p>
          <w:p>
            <w:pPr>
              <w:ind w:firstLine="420" w:firstLineChars="200"/>
              <w:rPr>
                <w:rFonts w:ascii="宋体" w:hAnsi="宋体"/>
              </w:rPr>
            </w:pPr>
            <w:r>
              <w:rPr>
                <w:rFonts w:hint="eastAsia" w:ascii="宋体" w:hAnsi="宋体"/>
              </w:rPr>
              <w:t>可以在选题管理内创建新选题。</w:t>
            </w:r>
          </w:p>
          <w:p>
            <w:pPr>
              <w:ind w:firstLine="420" w:firstLineChars="200"/>
              <w:rPr>
                <w:rFonts w:ascii="宋体" w:hAnsi="宋体"/>
              </w:rPr>
            </w:pPr>
            <w:r>
              <w:rPr>
                <w:rFonts w:hint="eastAsia" w:ascii="宋体" w:hAnsi="宋体"/>
              </w:rPr>
              <w:t>可以基于选题进一步创建任务。</w:t>
            </w:r>
          </w:p>
          <w:p>
            <w:pPr>
              <w:ind w:firstLine="420" w:firstLineChars="200"/>
              <w:rPr>
                <w:rFonts w:ascii="宋体" w:hAnsi="宋体"/>
              </w:rPr>
            </w:pPr>
            <w:r>
              <w:rPr>
                <w:rFonts w:hint="eastAsia" w:ascii="宋体" w:hAnsi="宋体"/>
              </w:rPr>
              <w:t>可以进一步定义选题内容标签、字段，选题不同阶段；</w:t>
            </w:r>
          </w:p>
          <w:p>
            <w:pPr>
              <w:ind w:firstLine="420" w:firstLineChars="200"/>
              <w:rPr>
                <w:rFonts w:ascii="宋体" w:hAnsi="宋体"/>
              </w:rPr>
            </w:pPr>
            <w:r>
              <w:rPr>
                <w:rFonts w:hint="eastAsia" w:ascii="宋体" w:hAnsi="宋体"/>
              </w:rPr>
              <w:t>可以将选题与最终发布成果关联进行展示和效果跟踪；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任务管理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可以通过app创建如直播、访谈、非编、拍摄等类型任务，并指定任务截止时间和执行人员。</w:t>
            </w:r>
          </w:p>
          <w:p>
            <w:pPr>
              <w:ind w:firstLine="420" w:firstLineChars="200"/>
              <w:rPr>
                <w:rFonts w:ascii="宋体" w:hAnsi="宋体"/>
              </w:rPr>
            </w:pPr>
            <w:r>
              <w:rPr>
                <w:rFonts w:hint="eastAsia" w:ascii="宋体" w:hAnsi="宋体"/>
              </w:rPr>
              <w:t>可以和审核后选题进行相关联，供执行人进行任务理解；</w:t>
            </w:r>
          </w:p>
          <w:p>
            <w:pPr>
              <w:ind w:firstLine="420" w:firstLineChars="200"/>
              <w:rPr>
                <w:rFonts w:ascii="宋体" w:hAnsi="宋体"/>
              </w:rPr>
            </w:pPr>
            <w:r>
              <w:rPr>
                <w:rFonts w:hint="eastAsia" w:ascii="宋体" w:hAnsi="宋体"/>
              </w:rPr>
              <w:t>支持任务创建后执行人手机实时收到任务提醒，执行人可在任务完成后通过app结束任务；</w:t>
            </w:r>
          </w:p>
          <w:p>
            <w:pPr>
              <w:ind w:firstLine="420" w:firstLineChars="200"/>
              <w:rPr>
                <w:rFonts w:ascii="宋体" w:hAnsi="宋体"/>
              </w:rPr>
            </w:pPr>
            <w:r>
              <w:rPr>
                <w:rFonts w:hint="eastAsia" w:ascii="宋体" w:hAnsi="宋体"/>
              </w:rPr>
              <w:t>系统可以全程记录任务及相关人员的状态供数据展示。</w:t>
            </w:r>
          </w:p>
          <w:p>
            <w:pPr>
              <w:ind w:firstLine="420" w:firstLineChars="200"/>
              <w:rPr>
                <w:rFonts w:ascii="宋体" w:hAnsi="宋体"/>
              </w:rPr>
            </w:pPr>
            <w:r>
              <w:rPr>
                <w:rFonts w:hint="eastAsia" w:ascii="宋体" w:hAnsi="宋体"/>
              </w:rPr>
              <w:t>可以灵活创建任务字段，以界面化的管理方式管理任务字段。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生产管理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可以将app、媒资、拆条、快编、cms及第三方系统生产的数据进行汇聚；</w:t>
            </w:r>
          </w:p>
          <w:p>
            <w:pPr>
              <w:ind w:firstLine="420" w:firstLineChars="200"/>
              <w:rPr>
                <w:rFonts w:ascii="宋体" w:hAnsi="宋体"/>
              </w:rPr>
            </w:pPr>
            <w:r>
              <w:rPr>
                <w:rFonts w:hint="eastAsia" w:ascii="宋体" w:hAnsi="宋体"/>
              </w:rPr>
              <w:t>供管理人员进行审核筛选，审核通过分发到终端进行展示。</w:t>
            </w:r>
          </w:p>
          <w:p>
            <w:pPr>
              <w:ind w:firstLine="420" w:firstLineChars="200"/>
              <w:rPr>
                <w:rFonts w:ascii="宋体" w:hAnsi="宋体"/>
              </w:rPr>
            </w:pPr>
            <w:r>
              <w:rPr>
                <w:rFonts w:hint="eastAsia" w:ascii="宋体" w:hAnsi="宋体"/>
              </w:rPr>
              <w:t>可以灵活配置发布模板；可以灵活定义发布字段内容、标签；</w:t>
            </w:r>
          </w:p>
          <w:p>
            <w:pPr>
              <w:ind w:firstLine="420" w:firstLineChars="200"/>
              <w:rPr>
                <w:rFonts w:ascii="宋体" w:hAnsi="宋体"/>
              </w:rPr>
            </w:pPr>
            <w:r>
              <w:rPr>
                <w:rFonts w:hint="eastAsia" w:ascii="宋体" w:hAnsi="宋体"/>
              </w:rPr>
              <w:t>可以将PGC、UGC、发布内容等实时同步到大屏幕做展示</w:t>
            </w:r>
          </w:p>
          <w:p>
            <w:pPr>
              <w:ind w:firstLine="420" w:firstLineChars="200"/>
              <w:rPr>
                <w:rFonts w:ascii="宋体" w:hAnsi="宋体"/>
              </w:rPr>
            </w:pPr>
            <w:r>
              <w:rPr>
                <w:rFonts w:hint="eastAsia" w:ascii="宋体" w:hAnsi="宋体"/>
              </w:rPr>
              <w:t>可以直接引用线索管理中数据进行二次加工生产发布；</w:t>
            </w:r>
          </w:p>
          <w:p>
            <w:pPr>
              <w:ind w:firstLine="420" w:firstLineChars="200"/>
              <w:rPr>
                <w:rFonts w:ascii="宋体" w:hAnsi="宋体"/>
              </w:rPr>
            </w:pPr>
            <w:r>
              <w:rPr>
                <w:rFonts w:hint="eastAsia" w:ascii="宋体" w:hAnsi="宋体"/>
              </w:rPr>
              <w:t>可以基于系统快速生产专题，发布到pc或app终端等；</w:t>
            </w:r>
          </w:p>
          <w:p>
            <w:pPr>
              <w:ind w:firstLine="420" w:firstLineChars="200"/>
              <w:rPr>
                <w:rFonts w:ascii="宋体" w:hAnsi="宋体"/>
              </w:rPr>
            </w:pPr>
            <w:r>
              <w:rPr>
                <w:rFonts w:hint="eastAsia" w:ascii="宋体" w:hAnsi="宋体"/>
              </w:rPr>
              <w:t>可以基于台媒资系统快速生产专题，发布到pc或app终端等。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指挥调度</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结合移动APP终端，实时记录并更新app人员位置、设备信息、最后在线日期、任务状态，供指挥中心进行人员调度及任务指派。</w:t>
            </w:r>
          </w:p>
          <w:p>
            <w:pPr>
              <w:ind w:firstLine="420" w:firstLineChars="200"/>
              <w:rPr>
                <w:rFonts w:ascii="宋体" w:hAnsi="宋体"/>
              </w:rPr>
            </w:pPr>
            <w:r>
              <w:rPr>
                <w:rFonts w:hint="eastAsia" w:ascii="宋体" w:hAnsi="宋体"/>
              </w:rPr>
              <w:t>用户集中管理，可以一键呼叫同事协同配合工作，同时支持基于LBS的记者同事位置可视化管理协同调度；一键邀请同事；</w:t>
            </w:r>
          </w:p>
          <w:p>
            <w:pPr>
              <w:ind w:firstLine="420" w:firstLineChars="200"/>
              <w:rPr>
                <w:rFonts w:ascii="宋体" w:hAnsi="宋体"/>
              </w:rPr>
            </w:pPr>
            <w:r>
              <w:rPr>
                <w:rFonts w:hint="eastAsia" w:ascii="宋体" w:hAnsi="宋体"/>
              </w:rPr>
              <w:t>支持用户编组、设定管理权限；</w:t>
            </w:r>
          </w:p>
          <w:p>
            <w:pPr>
              <w:ind w:firstLine="420" w:firstLineChars="200"/>
              <w:rPr>
                <w:rFonts w:ascii="宋体" w:hAnsi="宋体"/>
              </w:rPr>
            </w:pPr>
            <w:r>
              <w:rPr>
                <w:rFonts w:hint="eastAsia" w:ascii="宋体" w:hAnsi="宋体"/>
              </w:rPr>
              <w:t>支持基于移动端的聊天、视频通话、语音通话。支持网页端与移动端通话、视频功能。</w:t>
            </w:r>
          </w:p>
          <w:p>
            <w:pPr>
              <w:ind w:firstLine="420" w:firstLineChars="200"/>
              <w:rPr>
                <w:rFonts w:ascii="宋体" w:hAnsi="宋体"/>
              </w:rPr>
            </w:pPr>
            <w:r>
              <w:rPr>
                <w:rFonts w:hint="eastAsia" w:ascii="宋体" w:hAnsi="宋体"/>
              </w:rPr>
              <w:t>资源地图：视频对话窗口中小窗口（本地画面）可选择隐藏；静音和挂断可自动隐藏，点击显示；可使用横屏，最好能自适应；在地图上点击人员头像后出现的用户信息框可消除，比如点击地图其他地方。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bottom w:val="single" w:color="auto" w:sz="4" w:space="0"/>
              <w:right w:val="single" w:color="auto" w:sz="4" w:space="0"/>
            </w:tcBorders>
            <w:vAlign w:val="center"/>
          </w:tcPr>
          <w:p>
            <w:pPr>
              <w:jc w:val="cente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大屏幕管理矩阵</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1)多屏幕管理方案：支持多个展示大屏的集中管理，支持建立多级别的管理结构，实现面向不同区域（省、市、县）的多级屏幕管理输出；</w:t>
            </w:r>
          </w:p>
          <w:p>
            <w:pPr>
              <w:ind w:firstLine="420" w:firstLineChars="200"/>
              <w:rPr>
                <w:rFonts w:ascii="宋体" w:hAnsi="宋体"/>
              </w:rPr>
            </w:pPr>
            <w:r>
              <w:rPr>
                <w:rFonts w:hint="eastAsia" w:ascii="宋体" w:hAnsi="宋体"/>
              </w:rPr>
              <w:t>2)灵活屏幕分割及内容源配置：无限制建立多个屏幕展示区域，每个区域灵活配置内容来源，支持快速内容来源切换；</w:t>
            </w:r>
          </w:p>
          <w:p>
            <w:pPr>
              <w:ind w:firstLine="420" w:firstLineChars="200"/>
              <w:rPr>
                <w:rFonts w:ascii="宋体" w:hAnsi="宋体"/>
              </w:rPr>
            </w:pPr>
            <w:r>
              <w:rPr>
                <w:rFonts w:hint="eastAsia" w:ascii="宋体" w:hAnsi="宋体"/>
              </w:rPr>
              <w:t>★3)多种屏幕类型支持：支持LED、LCD、投影显示类型,支持4:3、16:9等多种屏幕比及分辨率；</w:t>
            </w:r>
          </w:p>
          <w:p>
            <w:pPr>
              <w:ind w:firstLine="420" w:firstLineChars="200"/>
              <w:rPr>
                <w:rFonts w:ascii="宋体" w:hAnsi="宋体"/>
              </w:rPr>
            </w:pPr>
            <w:r>
              <w:rPr>
                <w:rFonts w:hint="eastAsia" w:ascii="宋体" w:hAnsi="宋体"/>
              </w:rPr>
              <w:t>4)基于云端部署，支持灵活化管理结构；</w:t>
            </w:r>
          </w:p>
          <w:p>
            <w:pPr>
              <w:ind w:firstLine="420" w:firstLineChars="200"/>
              <w:rPr>
                <w:rFonts w:ascii="宋体" w:hAnsi="宋体"/>
              </w:rPr>
            </w:pPr>
            <w:r>
              <w:rPr>
                <w:rFonts w:hint="eastAsia" w:ascii="宋体" w:hAnsi="宋体"/>
              </w:rPr>
              <w:t>5)支持用户管理、用户权限分配。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restart"/>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6</w:t>
            </w:r>
          </w:p>
        </w:tc>
        <w:tc>
          <w:tcPr>
            <w:tcW w:w="1276" w:type="dxa"/>
            <w:vMerge w:val="restart"/>
            <w:tcBorders>
              <w:left w:val="single" w:color="auto" w:sz="4" w:space="0"/>
              <w:right w:val="single" w:color="auto" w:sz="4" w:space="0"/>
            </w:tcBorders>
            <w:vAlign w:val="center"/>
          </w:tcPr>
          <w:p>
            <w:pPr>
              <w:jc w:val="center"/>
            </w:pPr>
            <w:r>
              <w:rPr>
                <w:rFonts w:hint="eastAsia"/>
              </w:rPr>
              <w:t>工作台</w:t>
            </w:r>
          </w:p>
        </w:tc>
        <w:tc>
          <w:tcPr>
            <w:tcW w:w="425" w:type="dxa"/>
            <w:vMerge w:val="restart"/>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1</w:t>
            </w:r>
          </w:p>
        </w:tc>
        <w:tc>
          <w:tcPr>
            <w:tcW w:w="425" w:type="dxa"/>
            <w:vMerge w:val="restart"/>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工作台</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工具台所有任务模式支持与台媒资系统互联互通；</w:t>
            </w:r>
          </w:p>
          <w:p>
            <w:pPr>
              <w:ind w:firstLine="420" w:firstLineChars="200"/>
              <w:rPr>
                <w:rFonts w:ascii="宋体" w:hAnsi="宋体"/>
              </w:rPr>
            </w:pPr>
            <w:r>
              <w:rPr>
                <w:rFonts w:hint="eastAsia" w:ascii="宋体" w:hAnsi="宋体"/>
              </w:rPr>
              <w:t>工具集自定义：常用工具的自定义摆放可以方便快速找到所需要的工作模块，常用的模块可以放在前边，不常用的可以收集放在一起。不同的工作需求，所对应开放的平台模块不同，不对应的模块内容也可以收集隐藏在一块，把对应的模块放在页面上，方便使用。</w:t>
            </w:r>
          </w:p>
          <w:p>
            <w:pPr>
              <w:ind w:firstLine="420" w:firstLineChars="200"/>
              <w:rPr>
                <w:rFonts w:ascii="宋体" w:hAnsi="宋体"/>
              </w:rPr>
            </w:pPr>
            <w:r>
              <w:rPr>
                <w:rFonts w:hint="eastAsia" w:ascii="宋体" w:hAnsi="宋体"/>
              </w:rPr>
              <w:t>快捷跳转：线索汇聚、策划指挥、内容库、生产工具、多端发布、应用管理、运营支撑，平台模块在整个页面设计的最上端，每个模块的使用具体功能归集到一块，方便使用者快速抓取使用该功能，节省大量的时间成本；更方便简单的使用功能。</w:t>
            </w:r>
          </w:p>
          <w:p>
            <w:pPr>
              <w:ind w:firstLine="420" w:firstLineChars="200"/>
              <w:rPr>
                <w:rFonts w:ascii="宋体" w:hAnsi="宋体"/>
              </w:rPr>
            </w:pPr>
            <w:r>
              <w:rPr>
                <w:rFonts w:hint="eastAsia" w:ascii="宋体" w:hAnsi="宋体"/>
              </w:rPr>
              <w:t>我的稿件：可以选择编写稿件内容，内容可以是从APP、微博、微信推荐的，稿件可以发布，可以预览，可以撤回，也可以删除。发布出去的稿件在我的稿件里面也可以搜索。</w:t>
            </w:r>
          </w:p>
          <w:p>
            <w:pPr>
              <w:ind w:firstLine="420" w:firstLineChars="200"/>
              <w:rPr>
                <w:rFonts w:ascii="宋体" w:hAnsi="宋体"/>
              </w:rPr>
            </w:pPr>
            <w:r>
              <w:rPr>
                <w:rFonts w:hint="eastAsia" w:ascii="宋体" w:hAnsi="宋体"/>
              </w:rPr>
              <w:t>我的选题：选题完成以后，可以发给上级领导审核，选题可以是通过电话热线、单位分发选题、政府新闻来选取。可以在工作台中查看审核状态，即审核中、审核通过、审核未通过、已完成。</w:t>
            </w:r>
          </w:p>
          <w:p>
            <w:pPr>
              <w:ind w:firstLine="420" w:firstLineChars="200"/>
              <w:rPr>
                <w:rFonts w:ascii="宋体" w:hAnsi="宋体"/>
              </w:rPr>
            </w:pPr>
            <w:r>
              <w:rPr>
                <w:rFonts w:hint="eastAsia" w:ascii="宋体" w:hAnsi="宋体"/>
              </w:rPr>
              <w:t>我的审核：交给上级领导审核内容，可以查看三种状态；未审核、审核通过、审核未通过。通过工作台我的审核中查看审核内容，加快工作效率</w:t>
            </w:r>
          </w:p>
          <w:p>
            <w:pPr>
              <w:ind w:firstLine="420" w:firstLineChars="200"/>
              <w:rPr>
                <w:rFonts w:ascii="宋体" w:hAnsi="宋体"/>
              </w:rPr>
            </w:pPr>
            <w:r>
              <w:rPr>
                <w:rFonts w:hint="eastAsia" w:ascii="宋体" w:hAnsi="宋体"/>
              </w:rPr>
              <w:t>我的视频：视频内容可以选择视频上传，在工作台我的视频中可以选择转码，可以选择标清、高清、超清、蓝光，有视频发布、预览，在线编辑视频内容，加字幕，以及选取视频片段。也可以进行撤稿以及删除。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工作流管理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针对编辑人员的全部业务线进行梳理，统计及呈现；</w:t>
            </w:r>
          </w:p>
          <w:p>
            <w:pPr>
              <w:ind w:firstLine="420" w:firstLineChars="200"/>
              <w:rPr>
                <w:rFonts w:ascii="宋体" w:hAnsi="宋体"/>
              </w:rPr>
            </w:pPr>
            <w:r>
              <w:rPr>
                <w:rFonts w:hint="eastAsia" w:ascii="宋体" w:hAnsi="宋体"/>
              </w:rPr>
              <w:t>支持线索、选题、任务、生产、发布、传播效果的统一呈现；</w:t>
            </w:r>
          </w:p>
          <w:p>
            <w:pPr>
              <w:ind w:firstLine="420" w:firstLineChars="200"/>
              <w:rPr>
                <w:rFonts w:ascii="宋体" w:hAnsi="宋体"/>
              </w:rPr>
            </w:pPr>
            <w:r>
              <w:rPr>
                <w:rFonts w:hint="eastAsia" w:ascii="宋体" w:hAnsi="宋体"/>
              </w:rPr>
              <w:t>支持接入大屏管理系统，实现大屏端端调用。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bottom w:val="single" w:color="auto" w:sz="4" w:space="0"/>
              <w:right w:val="single" w:color="auto" w:sz="4" w:space="0"/>
            </w:tcBorders>
            <w:vAlign w:val="center"/>
          </w:tcPr>
          <w:p>
            <w:pPr>
              <w:jc w:val="cente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内容绩效统计分析</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考核方案管理：支持设置考核方案，包括考核指标管理、分值规则设定、参与人员设定、考核周期设定：</w:t>
            </w:r>
          </w:p>
          <w:p>
            <w:pPr>
              <w:ind w:firstLine="420" w:firstLineChars="200"/>
              <w:rPr>
                <w:rFonts w:ascii="宋体" w:hAnsi="宋体"/>
              </w:rPr>
            </w:pPr>
            <w:r>
              <w:rPr>
                <w:rFonts w:hint="eastAsia" w:ascii="宋体" w:hAnsi="宋体"/>
              </w:rPr>
              <w:t>考核指标：网站发稿量、网站稿件PV、客户端发稿量、客户端稿件PV、微信发稿量、微信稿件PV、选题采用量、视频上传量；</w:t>
            </w:r>
          </w:p>
          <w:p>
            <w:pPr>
              <w:ind w:firstLine="420" w:firstLineChars="200"/>
              <w:rPr>
                <w:rFonts w:ascii="宋体" w:hAnsi="宋体"/>
              </w:rPr>
            </w:pPr>
            <w:r>
              <w:rPr>
                <w:rFonts w:hint="eastAsia" w:ascii="宋体" w:hAnsi="宋体"/>
              </w:rPr>
              <w:t>考核周期：支持每天生成报表、每周生成报表、每月生成报表、每季生成报表、每年生成报表等多种报表形式；</w:t>
            </w:r>
          </w:p>
          <w:p>
            <w:pPr>
              <w:ind w:firstLine="420" w:firstLineChars="200"/>
              <w:rPr>
                <w:rFonts w:ascii="宋体" w:hAnsi="宋体"/>
              </w:rPr>
            </w:pPr>
            <w:r>
              <w:rPr>
                <w:rFonts w:hint="eastAsia" w:ascii="宋体" w:hAnsi="宋体"/>
              </w:rPr>
              <w:t>绩效查询及导出：能够对系统每一个编辑用户的实际绩效情况进行查看，支持导出报表；</w:t>
            </w:r>
          </w:p>
          <w:p>
            <w:pPr>
              <w:ind w:firstLine="420" w:firstLineChars="200"/>
              <w:rPr>
                <w:rFonts w:ascii="宋体" w:hAnsi="宋体"/>
              </w:rPr>
            </w:pPr>
            <w:r>
              <w:rPr>
                <w:rFonts w:hint="eastAsia" w:ascii="宋体" w:hAnsi="宋体"/>
              </w:rPr>
              <w:t>数据统计：能够对系统编辑发稿内容的访问情况进行统计分析，至少包含网站发稿量、网站稿件PV、客户端发稿量、客户端稿件PV、微信发稿量、微信稿件PV、选题采用量、视频上传量。</w:t>
            </w:r>
          </w:p>
          <w:p>
            <w:pPr>
              <w:ind w:firstLine="420" w:firstLineChars="200"/>
              <w:rPr>
                <w:rFonts w:ascii="宋体" w:hAnsi="宋体"/>
              </w:rPr>
            </w:pPr>
            <w:r>
              <w:rPr>
                <w:rFonts w:hint="eastAsia" w:ascii="宋体" w:hAnsi="宋体"/>
              </w:rPr>
              <w:t>接口管理：支持提供标准统计接口，对全平台数据进行接入考核；</w:t>
            </w:r>
          </w:p>
          <w:p>
            <w:pPr>
              <w:ind w:firstLine="420" w:firstLineChars="200"/>
              <w:rPr>
                <w:rFonts w:ascii="宋体" w:hAnsi="宋体"/>
              </w:rPr>
            </w:pPr>
            <w:r>
              <w:rPr>
                <w:rFonts w:hint="eastAsia" w:ascii="宋体" w:hAnsi="宋体"/>
              </w:rPr>
              <w:t>通知设置：需支持短信通知及邮件通知两种形式。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restart"/>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7</w:t>
            </w:r>
          </w:p>
        </w:tc>
        <w:tc>
          <w:tcPr>
            <w:tcW w:w="1276" w:type="dxa"/>
            <w:vMerge w:val="restart"/>
            <w:tcBorders>
              <w:left w:val="single" w:color="auto" w:sz="4" w:space="0"/>
              <w:right w:val="single" w:color="auto" w:sz="4" w:space="0"/>
            </w:tcBorders>
            <w:vAlign w:val="center"/>
          </w:tcPr>
          <w:p>
            <w:pPr>
              <w:jc w:val="center"/>
            </w:pPr>
            <w:r>
              <w:rPr>
                <w:rFonts w:hint="eastAsia"/>
              </w:rPr>
              <w:t>租户运营平台</w:t>
            </w:r>
          </w:p>
        </w:tc>
        <w:tc>
          <w:tcPr>
            <w:tcW w:w="425" w:type="dxa"/>
            <w:vMerge w:val="restart"/>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1</w:t>
            </w:r>
          </w:p>
        </w:tc>
        <w:tc>
          <w:tcPr>
            <w:tcW w:w="425" w:type="dxa"/>
            <w:vMerge w:val="restart"/>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租户管理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rPr>
              <w:t>支持以多租户方式为区县各级融媒体中心提供服务，应具备对各级融媒体中心的注册管理功能；</w:t>
            </w:r>
          </w:p>
          <w:p>
            <w:pPr>
              <w:ind w:firstLine="420" w:firstLineChars="200"/>
              <w:rPr>
                <w:rFonts w:asciiTheme="minorEastAsia" w:hAnsiTheme="minorEastAsia" w:eastAsiaTheme="minorEastAsia"/>
              </w:rPr>
            </w:pPr>
            <w:r>
              <w:rPr>
                <w:rFonts w:hint="eastAsia" w:asciiTheme="minorEastAsia" w:hAnsiTheme="minorEastAsia" w:eastAsiaTheme="minorEastAsia"/>
              </w:rPr>
              <w:t>支持对单个租户业务的开通与管理；</w:t>
            </w:r>
          </w:p>
          <w:p>
            <w:pPr>
              <w:ind w:firstLine="420" w:firstLineChars="200"/>
              <w:rPr>
                <w:rFonts w:asciiTheme="minorEastAsia" w:hAnsiTheme="minorEastAsia" w:eastAsiaTheme="minorEastAsia"/>
              </w:rPr>
            </w:pPr>
            <w:r>
              <w:rPr>
                <w:rFonts w:hint="eastAsia" w:asciiTheme="minorEastAsia" w:hAnsiTheme="minorEastAsia" w:eastAsiaTheme="minorEastAsia"/>
              </w:rPr>
              <w:t>支持对租户软件功能的控制管理，可在平台内开通或关闭租户的功能模块；</w:t>
            </w:r>
          </w:p>
          <w:p>
            <w:pPr>
              <w:ind w:firstLine="420" w:firstLineChars="200"/>
              <w:rPr>
                <w:rFonts w:asciiTheme="minorEastAsia" w:hAnsiTheme="minorEastAsia" w:eastAsiaTheme="minorEastAsia"/>
              </w:rPr>
            </w:pPr>
            <w:r>
              <w:rPr>
                <w:rFonts w:hint="eastAsia" w:asciiTheme="minorEastAsia" w:hAnsiTheme="minorEastAsia" w:eastAsiaTheme="minorEastAsia"/>
              </w:rPr>
              <w:t>★支持对租户的编辑管理，可设定租户名称、联系人、logo、授权时间等；</w:t>
            </w:r>
          </w:p>
          <w:p>
            <w:pPr>
              <w:ind w:firstLine="420" w:firstLineChars="200"/>
              <w:rPr>
                <w:rFonts w:asciiTheme="minorEastAsia" w:hAnsiTheme="minorEastAsia" w:eastAsiaTheme="minorEastAsia"/>
              </w:rPr>
            </w:pPr>
            <w:r>
              <w:rPr>
                <w:rFonts w:hint="eastAsia" w:asciiTheme="minorEastAsia" w:hAnsiTheme="minorEastAsia" w:eastAsiaTheme="minorEastAsia"/>
              </w:rPr>
              <w:t>平台提供后端用户的统一用户管理，支持县级融媒体中心前端用户的统一用户管理，支持各类用户的鉴权；</w:t>
            </w:r>
          </w:p>
          <w:p>
            <w:pPr>
              <w:ind w:firstLine="420" w:firstLineChars="200"/>
              <w:rPr>
                <w:rFonts w:asciiTheme="minorEastAsia" w:hAnsiTheme="minorEastAsia" w:eastAsiaTheme="minorEastAsia"/>
              </w:rPr>
            </w:pPr>
            <w:r>
              <w:rPr>
                <w:rFonts w:hint="eastAsia" w:asciiTheme="minorEastAsia" w:hAnsiTheme="minorEastAsia" w:eastAsiaTheme="minorEastAsia"/>
              </w:rPr>
              <w:t>支持租户内后端用户使用业务系统的单点登录。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日志管理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rPr>
              <w:t>能够详细记录系统的所有运行情况，以及用户的操作记录；</w:t>
            </w:r>
          </w:p>
          <w:p>
            <w:pPr>
              <w:ind w:firstLine="420" w:firstLineChars="200"/>
              <w:rPr>
                <w:rFonts w:asciiTheme="minorEastAsia" w:hAnsiTheme="minorEastAsia" w:eastAsiaTheme="minorEastAsia"/>
              </w:rPr>
            </w:pPr>
            <w:r>
              <w:rPr>
                <w:rFonts w:hint="eastAsia" w:asciiTheme="minorEastAsia" w:hAnsiTheme="minorEastAsia" w:eastAsiaTheme="minorEastAsia"/>
              </w:rPr>
              <w:t>可以根据用户名进行检索；</w:t>
            </w:r>
          </w:p>
          <w:p>
            <w:pPr>
              <w:ind w:firstLine="420" w:firstLineChars="200"/>
              <w:rPr>
                <w:rFonts w:asciiTheme="minorEastAsia" w:hAnsiTheme="minorEastAsia" w:eastAsiaTheme="minorEastAsia"/>
              </w:rPr>
            </w:pPr>
            <w:r>
              <w:rPr>
                <w:rFonts w:hint="eastAsia" w:asciiTheme="minorEastAsia" w:hAnsiTheme="minorEastAsia" w:eastAsiaTheme="minorEastAsia"/>
              </w:rPr>
              <w:t>具体包括：内容操作日志、内容登陆日志、内容错误日志、内容系统日志、媒资操作日志、媒资登陆日志、媒资错误日志、媒资系统日志。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分发管理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发布形式：至少支持FTP上传、文件拷贝、S3云存储、OpenStack云存储、阿里云存储、百度云存储、七牛云存储，并具备相关管理能力；</w:t>
            </w:r>
          </w:p>
          <w:p>
            <w:pPr>
              <w:ind w:firstLine="420" w:firstLineChars="200"/>
              <w:rPr>
                <w:rFonts w:ascii="宋体" w:hAnsi="宋体"/>
              </w:rPr>
            </w:pPr>
            <w:r>
              <w:rPr>
                <w:rFonts w:hint="eastAsia" w:ascii="宋体" w:hAnsi="宋体"/>
              </w:rPr>
              <w:t>1）发布方案设定；</w:t>
            </w:r>
          </w:p>
          <w:p>
            <w:pPr>
              <w:ind w:firstLine="420" w:firstLineChars="200"/>
              <w:rPr>
                <w:rFonts w:ascii="宋体" w:hAnsi="宋体"/>
              </w:rPr>
            </w:pPr>
            <w:r>
              <w:rPr>
                <w:rFonts w:hint="eastAsia" w:ascii="宋体" w:hAnsi="宋体"/>
              </w:rPr>
              <w:t>2）发布方案名；</w:t>
            </w:r>
          </w:p>
          <w:p>
            <w:pPr>
              <w:ind w:firstLine="420" w:firstLineChars="200"/>
              <w:rPr>
                <w:rFonts w:ascii="宋体" w:hAnsi="宋体"/>
              </w:rPr>
            </w:pPr>
            <w:r>
              <w:rPr>
                <w:rFonts w:hint="eastAsia" w:ascii="宋体" w:hAnsi="宋体"/>
              </w:rPr>
              <w:t>3）FTP服务器；</w:t>
            </w:r>
          </w:p>
          <w:p>
            <w:pPr>
              <w:ind w:firstLine="420" w:firstLineChars="200"/>
              <w:rPr>
                <w:rFonts w:ascii="宋体" w:hAnsi="宋体"/>
              </w:rPr>
            </w:pPr>
            <w:r>
              <w:rPr>
                <w:rFonts w:hint="eastAsia" w:ascii="宋体" w:hAnsi="宋体"/>
              </w:rPr>
              <w:t>4）端口设置；</w:t>
            </w:r>
          </w:p>
          <w:p>
            <w:pPr>
              <w:ind w:firstLine="420" w:firstLineChars="200"/>
              <w:rPr>
                <w:rFonts w:ascii="宋体" w:hAnsi="宋体"/>
              </w:rPr>
            </w:pPr>
            <w:r>
              <w:rPr>
                <w:rFonts w:hint="eastAsia" w:ascii="宋体" w:hAnsi="宋体"/>
              </w:rPr>
              <w:t>5）模式选择：主动模式、被动模式；</w:t>
            </w:r>
          </w:p>
          <w:p>
            <w:pPr>
              <w:ind w:firstLine="420" w:firstLineChars="200"/>
              <w:rPr>
                <w:rFonts w:ascii="宋体" w:hAnsi="宋体"/>
              </w:rPr>
            </w:pPr>
            <w:r>
              <w:rPr>
                <w:rFonts w:hint="eastAsia" w:ascii="宋体" w:hAnsi="宋体"/>
              </w:rPr>
              <w:t>6）用户名；</w:t>
            </w:r>
          </w:p>
          <w:p>
            <w:pPr>
              <w:ind w:firstLine="420" w:firstLineChars="200"/>
              <w:rPr>
                <w:rFonts w:ascii="宋体" w:hAnsi="宋体"/>
              </w:rPr>
            </w:pPr>
            <w:r>
              <w:rPr>
                <w:rFonts w:hint="eastAsia" w:ascii="宋体" w:hAnsi="宋体"/>
              </w:rPr>
              <w:t>7）密码；</w:t>
            </w:r>
          </w:p>
          <w:p>
            <w:pPr>
              <w:ind w:firstLine="420" w:firstLineChars="200"/>
              <w:rPr>
                <w:rFonts w:ascii="宋体" w:hAnsi="宋体"/>
              </w:rPr>
            </w:pPr>
            <w:r>
              <w:rPr>
                <w:rFonts w:hint="eastAsia" w:ascii="宋体" w:hAnsi="宋体"/>
              </w:rPr>
              <w:t>8）远程目录；</w:t>
            </w:r>
          </w:p>
          <w:p>
            <w:pPr>
              <w:ind w:firstLine="420" w:firstLineChars="200"/>
              <w:rPr>
                <w:rFonts w:ascii="宋体" w:hAnsi="宋体"/>
              </w:rPr>
            </w:pPr>
            <w:r>
              <w:rPr>
                <w:rFonts w:hint="eastAsia" w:ascii="宋体" w:hAnsi="宋体"/>
              </w:rPr>
              <w:t>9）允许发布的目录；</w:t>
            </w:r>
          </w:p>
          <w:p>
            <w:pPr>
              <w:ind w:firstLine="420" w:firstLineChars="200"/>
              <w:rPr>
                <w:rFonts w:ascii="宋体" w:hAnsi="宋体"/>
              </w:rPr>
            </w:pPr>
            <w:r>
              <w:rPr>
                <w:rFonts w:hint="eastAsia" w:ascii="宋体" w:hAnsi="宋体"/>
              </w:rPr>
              <w:t>10）禁止发布的目录。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系统监测</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★需支持内容系统监控、媒资系统监控、转码任务监测、快编任务检测、拆条任务检测；</w:t>
            </w:r>
          </w:p>
          <w:p>
            <w:pPr>
              <w:ind w:firstLine="420" w:firstLineChars="200"/>
              <w:rPr>
                <w:rFonts w:ascii="宋体" w:hAnsi="宋体"/>
              </w:rPr>
            </w:pPr>
            <w:r>
              <w:rPr>
                <w:rFonts w:hint="eastAsia" w:ascii="宋体" w:hAnsi="宋体"/>
              </w:rPr>
              <w:t>能够对系统运行情况进行实时监控，监控内容包括任务情况、发布状况、队列、缓存运行情况、内存状态，服务器压力；</w:t>
            </w:r>
          </w:p>
          <w:p>
            <w:pPr>
              <w:ind w:firstLine="420" w:firstLineChars="200"/>
              <w:rPr>
                <w:rFonts w:ascii="宋体" w:hAnsi="宋体"/>
              </w:rPr>
            </w:pPr>
            <w:r>
              <w:rPr>
                <w:rFonts w:hint="eastAsia" w:ascii="宋体" w:hAnsi="宋体"/>
              </w:rPr>
              <w:t>能够对系统进程进行重启、初始化、强制重启等操作；</w:t>
            </w:r>
          </w:p>
          <w:p>
            <w:pPr>
              <w:ind w:firstLine="420" w:firstLineChars="200"/>
              <w:rPr>
                <w:rFonts w:ascii="宋体" w:hAnsi="宋体"/>
              </w:rPr>
            </w:pPr>
            <w:r>
              <w:rPr>
                <w:rFonts w:hint="eastAsia" w:ascii="宋体" w:hAnsi="宋体"/>
              </w:rPr>
              <w:t>能够对与台媒资互联互通的进程进行监控，随时暂停或者删除。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bottom"/>
          </w:tcPr>
          <w:p>
            <w:pPr>
              <w:spacing w:line="360" w:lineRule="exact"/>
              <w:jc w:val="center"/>
              <w:rPr>
                <w:rFonts w:ascii="宋体" w:hAnsi="宋体"/>
              </w:rPr>
            </w:pPr>
            <w:r>
              <w:rPr>
                <w:rFonts w:hint="eastAsia" w:ascii="宋体" w:hAnsi="宋体" w:cs="宋体 (正文)"/>
              </w:rPr>
              <w:t>产品管理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正文)"/>
              </w:rPr>
            </w:pPr>
            <w:r>
              <w:rPr>
                <w:rFonts w:hint="eastAsia" w:ascii="宋体" w:hAnsi="宋体" w:cs="宋体 (正文)"/>
              </w:rPr>
              <w:t>支持在平台内对所有功能模块的排序、编辑以及更新许可功能；</w:t>
            </w:r>
          </w:p>
          <w:p>
            <w:pPr>
              <w:ind w:firstLine="420" w:firstLineChars="200"/>
              <w:rPr>
                <w:rFonts w:ascii="宋体" w:hAnsi="宋体"/>
              </w:rPr>
            </w:pPr>
            <w:r>
              <w:rPr>
                <w:rFonts w:hint="eastAsia" w:ascii="宋体" w:hAnsi="宋体" w:cs="宋体 (正文)"/>
              </w:rPr>
              <w:t>支持对产品名称、图标、地址、分组以及打开方式进行设定。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用户及权限管理</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可以实现用户的分组。</w:t>
            </w:r>
          </w:p>
          <w:p>
            <w:pPr>
              <w:ind w:firstLine="420" w:firstLineChars="200"/>
              <w:rPr>
                <w:rFonts w:ascii="宋体" w:hAnsi="宋体"/>
              </w:rPr>
            </w:pPr>
            <w:r>
              <w:rPr>
                <w:rFonts w:hint="eastAsia" w:ascii="宋体" w:hAnsi="宋体"/>
              </w:rPr>
              <w:t>操作权限与模块权限相分离，可以实现到栏目、页面、模块的管理权限。</w:t>
            </w:r>
          </w:p>
          <w:p>
            <w:pPr>
              <w:ind w:firstLine="420" w:firstLineChars="200"/>
              <w:rPr>
                <w:rFonts w:ascii="宋体" w:hAnsi="宋体"/>
              </w:rPr>
            </w:pPr>
            <w:r>
              <w:rPr>
                <w:rFonts w:hint="eastAsia" w:ascii="宋体" w:hAnsi="宋体"/>
              </w:rPr>
              <w:t>系统操作员可进行分级管理，自定义管理角色，并分配不同的资源权限。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p>
        </w:tc>
        <w:tc>
          <w:tcPr>
            <w:tcW w:w="1276" w:type="dxa"/>
            <w:vMerge w:val="continue"/>
            <w:tcBorders>
              <w:left w:val="single" w:color="auto" w:sz="4" w:space="0"/>
              <w:bottom w:val="single" w:color="auto" w:sz="4" w:space="0"/>
              <w:right w:val="single" w:color="auto" w:sz="4" w:space="0"/>
            </w:tcBorders>
            <w:vAlign w:val="center"/>
          </w:tcPr>
          <w:p>
            <w:pPr>
              <w:jc w:val="cente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42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系统配置</w:t>
            </w:r>
          </w:p>
        </w:tc>
        <w:tc>
          <w:tcPr>
            <w:tcW w:w="670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支持许可证、平台系统参数、工作流管理、内容图片尺寸、内容水印方案、媒资系统参数、AI功能配置、转码服务器配置、视频转码方案、视频水印方案、视频全局配置、视频目录配置、视频拆条配置等基础管理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8</w:t>
            </w:r>
          </w:p>
        </w:tc>
        <w:tc>
          <w:tcPr>
            <w:tcW w:w="1276" w:type="dxa"/>
            <w:tcBorders>
              <w:left w:val="single" w:color="auto" w:sz="4" w:space="0"/>
              <w:bottom w:val="single" w:color="auto" w:sz="4" w:space="0"/>
              <w:right w:val="single" w:color="auto" w:sz="4" w:space="0"/>
            </w:tcBorders>
            <w:vAlign w:val="center"/>
          </w:tcPr>
          <w:p>
            <w:pPr>
              <w:jc w:val="center"/>
            </w:pPr>
            <w:r>
              <w:rPr>
                <w:rFonts w:hint="eastAsia"/>
              </w:rPr>
              <w:t>媒资互联互通模块</w:t>
            </w:r>
          </w:p>
        </w:tc>
        <w:tc>
          <w:tcPr>
            <w:tcW w:w="425"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1</w:t>
            </w:r>
          </w:p>
        </w:tc>
        <w:tc>
          <w:tcPr>
            <w:tcW w:w="425"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项</w:t>
            </w:r>
          </w:p>
        </w:tc>
        <w:tc>
          <w:tcPr>
            <w:tcW w:w="7416"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ajorEastAsia" w:hAnsiTheme="majorEastAsia" w:eastAsiaTheme="majorEastAsia"/>
              </w:rPr>
            </w:pPr>
            <w:r>
              <w:rPr>
                <w:rFonts w:hint="eastAsia" w:asciiTheme="majorEastAsia" w:hAnsiTheme="majorEastAsia" w:eastAsiaTheme="majorEastAsia"/>
              </w:rPr>
              <w:t>1．与台内媒资预留接口实现文件级交换；</w:t>
            </w:r>
          </w:p>
          <w:p>
            <w:pPr>
              <w:ind w:firstLine="420" w:firstLineChars="200"/>
              <w:rPr>
                <w:rFonts w:asciiTheme="majorEastAsia" w:hAnsiTheme="majorEastAsia" w:eastAsiaTheme="majorEastAsia"/>
              </w:rPr>
            </w:pPr>
            <w:r>
              <w:rPr>
                <w:rFonts w:hint="eastAsia" w:asciiTheme="majorEastAsia" w:hAnsiTheme="majorEastAsia" w:eastAsiaTheme="majorEastAsia"/>
              </w:rPr>
              <w:t>2．与台媒资系统实现数据库级别关联；</w:t>
            </w:r>
          </w:p>
          <w:p>
            <w:pPr>
              <w:ind w:firstLine="420" w:firstLineChars="200"/>
              <w:rPr>
                <w:rFonts w:asciiTheme="majorEastAsia" w:hAnsiTheme="majorEastAsia" w:eastAsiaTheme="majorEastAsia"/>
              </w:rPr>
            </w:pPr>
            <w:r>
              <w:rPr>
                <w:rFonts w:hint="eastAsia" w:asciiTheme="majorEastAsia" w:hAnsiTheme="majorEastAsia" w:eastAsiaTheme="majorEastAsia"/>
              </w:rPr>
              <w:t>3．web交互页在老友网和老友云APP上呈现媒资内容；</w:t>
            </w:r>
          </w:p>
          <w:p>
            <w:pPr>
              <w:ind w:firstLine="420" w:firstLineChars="200"/>
              <w:rPr>
                <w:rFonts w:asciiTheme="majorEastAsia" w:hAnsiTheme="majorEastAsia" w:eastAsiaTheme="majorEastAsia"/>
              </w:rPr>
            </w:pPr>
            <w:r>
              <w:rPr>
                <w:rFonts w:hint="eastAsia" w:asciiTheme="majorEastAsia" w:hAnsiTheme="majorEastAsia" w:eastAsiaTheme="majorEastAsia"/>
              </w:rPr>
              <w:t>4．实现系统权限交联，统一用户数据库；</w:t>
            </w:r>
          </w:p>
          <w:p>
            <w:pPr>
              <w:ind w:firstLine="420" w:firstLineChars="200"/>
              <w:rPr>
                <w:rFonts w:asciiTheme="majorEastAsia" w:hAnsiTheme="majorEastAsia" w:eastAsiaTheme="majorEastAsia"/>
              </w:rPr>
            </w:pPr>
            <w:r>
              <w:rPr>
                <w:rFonts w:hint="eastAsia" w:asciiTheme="majorEastAsia" w:hAnsiTheme="majorEastAsia" w:eastAsiaTheme="majorEastAsia"/>
              </w:rPr>
              <w:t>5．老友云内容自动入库；</w:t>
            </w:r>
          </w:p>
          <w:p>
            <w:pPr>
              <w:ind w:firstLine="420" w:firstLineChars="200"/>
              <w:rPr>
                <w:rFonts w:asciiTheme="majorEastAsia" w:hAnsiTheme="majorEastAsia" w:eastAsiaTheme="majorEastAsia"/>
              </w:rPr>
            </w:pPr>
            <w:r>
              <w:rPr>
                <w:rFonts w:hint="eastAsia" w:asciiTheme="majorEastAsia" w:hAnsiTheme="majorEastAsia" w:eastAsiaTheme="majorEastAsia"/>
              </w:rPr>
              <w:t>6．媒资内容一键分发、先审后发、可设置多级权限。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9</w:t>
            </w:r>
          </w:p>
        </w:tc>
        <w:tc>
          <w:tcPr>
            <w:tcW w:w="1276" w:type="dxa"/>
            <w:tcBorders>
              <w:left w:val="single" w:color="auto" w:sz="4" w:space="0"/>
              <w:bottom w:val="single" w:color="auto" w:sz="4" w:space="0"/>
              <w:right w:val="single" w:color="auto" w:sz="4" w:space="0"/>
            </w:tcBorders>
          </w:tcPr>
          <w:p>
            <w:pPr>
              <w:jc w:val="center"/>
            </w:pPr>
            <w:r>
              <w:rPr>
                <w:rFonts w:hint="eastAsia"/>
              </w:rPr>
              <w:t>Ipv6改造</w:t>
            </w:r>
          </w:p>
        </w:tc>
        <w:tc>
          <w:tcPr>
            <w:tcW w:w="425"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1</w:t>
            </w:r>
          </w:p>
        </w:tc>
        <w:tc>
          <w:tcPr>
            <w:tcW w:w="425"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项</w:t>
            </w:r>
          </w:p>
        </w:tc>
        <w:tc>
          <w:tcPr>
            <w:tcW w:w="7416" w:type="dxa"/>
            <w:gridSpan w:val="2"/>
            <w:tcBorders>
              <w:top w:val="single" w:color="auto" w:sz="4" w:space="0"/>
              <w:left w:val="single" w:color="auto" w:sz="4" w:space="0"/>
              <w:bottom w:val="single" w:color="auto" w:sz="4" w:space="0"/>
              <w:right w:val="single" w:color="auto" w:sz="4" w:space="0"/>
            </w:tcBorders>
          </w:tcPr>
          <w:p>
            <w:pPr>
              <w:ind w:firstLine="420" w:firstLineChars="200"/>
              <w:rPr>
                <w:rFonts w:asciiTheme="majorEastAsia" w:hAnsiTheme="majorEastAsia"/>
              </w:rPr>
            </w:pPr>
            <w:r>
              <w:rPr>
                <w:rFonts w:hint="eastAsia"/>
              </w:rPr>
              <w:t>配合台内IPTV网络升级改造，调整整体网络及IP设置。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64" w:type="dxa"/>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rPr>
            </w:pPr>
            <w:r>
              <w:rPr>
                <w:rFonts w:hint="eastAsia" w:ascii="宋体" w:hAnsi="宋体" w:cs="宋体"/>
              </w:rPr>
              <w:t>1</w:t>
            </w:r>
            <w:r>
              <w:rPr>
                <w:rFonts w:ascii="宋体" w:hAnsi="宋体" w:cs="宋体"/>
              </w:rPr>
              <w:t>0</w:t>
            </w:r>
          </w:p>
        </w:tc>
        <w:tc>
          <w:tcPr>
            <w:tcW w:w="1276" w:type="dxa"/>
            <w:tcBorders>
              <w:left w:val="single" w:color="auto" w:sz="4" w:space="0"/>
              <w:bottom w:val="single" w:color="auto" w:sz="4" w:space="0"/>
              <w:right w:val="single" w:color="auto" w:sz="4" w:space="0"/>
            </w:tcBorders>
          </w:tcPr>
          <w:p>
            <w:pPr>
              <w:jc w:val="center"/>
            </w:pPr>
            <w:r>
              <w:rPr>
                <w:rFonts w:hint="eastAsia"/>
              </w:rPr>
              <w:t>H5化升级</w:t>
            </w:r>
          </w:p>
        </w:tc>
        <w:tc>
          <w:tcPr>
            <w:tcW w:w="425"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1</w:t>
            </w:r>
          </w:p>
        </w:tc>
        <w:tc>
          <w:tcPr>
            <w:tcW w:w="425"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rPr>
            </w:pPr>
            <w:r>
              <w:rPr>
                <w:rFonts w:hint="eastAsia" w:ascii="宋体" w:hAnsi="宋体" w:cs="宋体"/>
              </w:rPr>
              <w:t>项</w:t>
            </w:r>
          </w:p>
        </w:tc>
        <w:tc>
          <w:tcPr>
            <w:tcW w:w="7416" w:type="dxa"/>
            <w:gridSpan w:val="2"/>
            <w:tcBorders>
              <w:top w:val="single" w:color="auto" w:sz="4" w:space="0"/>
              <w:left w:val="single" w:color="auto" w:sz="4" w:space="0"/>
              <w:bottom w:val="single" w:color="auto" w:sz="4" w:space="0"/>
              <w:right w:val="single" w:color="auto" w:sz="4" w:space="0"/>
            </w:tcBorders>
          </w:tcPr>
          <w:p>
            <w:pPr>
              <w:ind w:firstLine="420" w:firstLineChars="200"/>
              <w:rPr>
                <w:rFonts w:asciiTheme="majorEastAsia" w:hAnsiTheme="majorEastAsia"/>
              </w:rPr>
            </w:pPr>
            <w:r>
              <w:rPr>
                <w:rFonts w:hint="eastAsia"/>
              </w:rPr>
              <w:t>针对平台全部flash模块进行替换升级，升级到最新的H5技术。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906"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r>
              <w:rPr>
                <w:rFonts w:hint="eastAsia" w:ascii="宋体" w:hAnsi="宋体" w:cs="宋体"/>
              </w:rPr>
              <w:t>商务及售后服务要求：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rPr>
            </w:pPr>
            <w:r>
              <w:rPr>
                <w:rFonts w:hint="eastAsia" w:ascii="宋体" w:hAnsi="宋体"/>
              </w:rPr>
              <w:t>一、合同签订期：</w:t>
            </w:r>
          </w:p>
        </w:tc>
        <w:tc>
          <w:tcPr>
            <w:tcW w:w="7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10" w:firstLineChars="100"/>
              <w:rPr>
                <w:rFonts w:ascii="宋体" w:hAnsi="宋体"/>
              </w:rPr>
            </w:pPr>
            <w:r>
              <w:rPr>
                <w:rFonts w:hint="eastAsia" w:ascii="宋体" w:hAnsi="宋体"/>
              </w:rPr>
              <w:t>自中标通知书发出之日起7个工作日内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rPr>
            </w:pPr>
            <w:r>
              <w:rPr>
                <w:rFonts w:hint="eastAsia" w:ascii="宋体" w:hAnsi="宋体"/>
              </w:rPr>
              <w:t>★二、交货期：</w:t>
            </w:r>
          </w:p>
        </w:tc>
        <w:tc>
          <w:tcPr>
            <w:tcW w:w="7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10" w:firstLineChars="100"/>
              <w:rPr>
                <w:rFonts w:ascii="宋体" w:hAnsi="宋体"/>
              </w:rPr>
            </w:pPr>
            <w:r>
              <w:rPr>
                <w:rFonts w:hint="eastAsia" w:ascii="宋体" w:hAnsi="宋体" w:cs="宋体"/>
              </w:rPr>
              <w:t>自合同签订之日起</w:t>
            </w:r>
            <w:r>
              <w:rPr>
                <w:rFonts w:ascii="宋体" w:hAnsi="宋体" w:cs="宋体"/>
              </w:rPr>
              <w:t>15</w:t>
            </w:r>
            <w:r>
              <w:rPr>
                <w:rFonts w:hint="eastAsia" w:ascii="宋体" w:hAnsi="宋体" w:cs="宋体"/>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rPr>
            </w:pPr>
            <w:r>
              <w:rPr>
                <w:rFonts w:hint="eastAsia"/>
              </w:rPr>
              <w:t>三、交货地点：</w:t>
            </w:r>
          </w:p>
        </w:tc>
        <w:tc>
          <w:tcPr>
            <w:tcW w:w="7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10" w:firstLineChars="100"/>
              <w:rPr>
                <w:rFonts w:ascii="宋体" w:hAnsi="宋体"/>
              </w:rPr>
            </w:pPr>
            <w:r>
              <w:rPr>
                <w:rFonts w:hint="eastAsia"/>
              </w:rPr>
              <w:t>南宁广播电视台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rPr>
            </w:pPr>
            <w:r>
              <w:rPr>
                <w:rFonts w:hint="eastAsia" w:ascii="宋体" w:hAnsi="宋体"/>
              </w:rPr>
              <w:t>四、交货方式：</w:t>
            </w:r>
          </w:p>
        </w:tc>
        <w:tc>
          <w:tcPr>
            <w:tcW w:w="7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10" w:firstLineChars="100"/>
              <w:rPr>
                <w:rFonts w:ascii="宋体" w:hAnsi="宋体"/>
              </w:rPr>
            </w:pPr>
            <w:r>
              <w:rPr>
                <w:rFonts w:hint="eastAsia" w:ascii="宋体" w:hAnsi="宋体"/>
              </w:rPr>
              <w:t>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rPr>
            </w:pPr>
            <w:r>
              <w:rPr>
                <w:rFonts w:hint="eastAsia" w:ascii="宋体" w:hAnsi="宋体"/>
              </w:rPr>
              <w:t>五、售后服务要求：</w:t>
            </w:r>
          </w:p>
        </w:tc>
        <w:tc>
          <w:tcPr>
            <w:tcW w:w="7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10" w:firstLineChars="100"/>
              <w:rPr>
                <w:rFonts w:ascii="宋体" w:hAnsi="宋体"/>
              </w:rPr>
            </w:pPr>
            <w:r>
              <w:rPr>
                <w:rFonts w:hint="eastAsia" w:ascii="宋体" w:hAnsi="宋体"/>
              </w:rPr>
              <w:t>★1.质量保证期 1 年（自交货并验收合格之日起计）</w:t>
            </w:r>
          </w:p>
          <w:p>
            <w:pPr>
              <w:adjustRightInd w:val="0"/>
              <w:snapToGrid w:val="0"/>
              <w:spacing w:line="360" w:lineRule="exact"/>
              <w:ind w:firstLine="210" w:firstLineChars="100"/>
              <w:rPr>
                <w:rFonts w:ascii="宋体" w:hAnsi="宋体"/>
              </w:rPr>
            </w:pPr>
            <w:r>
              <w:rPr>
                <w:rFonts w:hint="eastAsia" w:ascii="宋体" w:hAnsi="宋体"/>
              </w:rPr>
              <w:t>2.故障响应时间：成交供应商接到故障通知后在4小时内到达采购人指定现场。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rPr>
            </w:pPr>
            <w:r>
              <w:rPr>
                <w:rFonts w:hint="eastAsia" w:ascii="宋体" w:hAnsi="宋体"/>
              </w:rPr>
              <w:t>六、其他要求：</w:t>
            </w:r>
          </w:p>
        </w:tc>
        <w:tc>
          <w:tcPr>
            <w:tcW w:w="7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10" w:firstLineChars="100"/>
              <w:rPr>
                <w:rFonts w:ascii="宋体" w:hAnsi="宋体"/>
              </w:rPr>
            </w:pPr>
            <w:r>
              <w:rPr>
                <w:rFonts w:hint="eastAsia" w:ascii="宋体" w:hAnsi="宋体"/>
              </w:rPr>
              <w:t>★1.供应商应提供驻场运维服务，驻场时间不少于1年，并提供驻场人员联系方式；</w:t>
            </w:r>
          </w:p>
          <w:p>
            <w:pPr>
              <w:adjustRightInd w:val="0"/>
              <w:snapToGrid w:val="0"/>
              <w:spacing w:line="360" w:lineRule="exact"/>
              <w:ind w:firstLine="210" w:firstLineChars="100"/>
              <w:rPr>
                <w:rFonts w:ascii="宋体" w:hAnsi="宋体"/>
              </w:rPr>
            </w:pPr>
            <w:r>
              <w:rPr>
                <w:rFonts w:hint="eastAsia" w:ascii="宋体" w:hAnsi="宋体"/>
              </w:rPr>
              <w:t>★2.付款方式：合同签订之日起5日内，中标供应商提供合同额50%的增值税专用发票，采购人在收到发票后5个工作日内支付对应款项；签字验收之日起5日内，中标供应商提供合同额40%的增值税专用发票，采购人在收到发票后5个工作日内支付对应款项；剩余10%，验收后6个月内，无质量问题，中标供应商提供剩余金额的增值税专用发票，采购人在收到发票后5个工作日内支付尾款；</w:t>
            </w:r>
          </w:p>
          <w:p>
            <w:pPr>
              <w:adjustRightInd w:val="0"/>
              <w:snapToGrid w:val="0"/>
              <w:spacing w:line="360" w:lineRule="exact"/>
              <w:ind w:firstLine="210" w:firstLineChars="100"/>
              <w:rPr>
                <w:rFonts w:ascii="宋体" w:hAnsi="宋体"/>
              </w:rPr>
            </w:pPr>
            <w:r>
              <w:rPr>
                <w:rFonts w:hint="eastAsia" w:ascii="宋体" w:hAnsi="宋体"/>
              </w:rPr>
              <w:t>★3.为确保采购人系统的安全性及稳定性以及投标人所提供的产品参数的真实性，签订合同后五个工作日内，采购人将针对照招标文件重实质响应内容，组织中标供应商现场演示，如不符承诺的技术参数，则不予通过验收，并限定三个工作日完成整改，规定整改时间内仍不能通过验收的，采购人有权取消跟乙方的合同，并按照虚假应标报告政府采购监督管理部门，按照有关规定追究中标供应商的责任；</w:t>
            </w:r>
          </w:p>
          <w:p>
            <w:pPr>
              <w:adjustRightInd w:val="0"/>
              <w:snapToGrid w:val="0"/>
              <w:spacing w:line="360" w:lineRule="exact"/>
              <w:ind w:firstLine="210" w:firstLineChars="100"/>
              <w:rPr>
                <w:rFonts w:ascii="宋体" w:hAnsi="宋体"/>
              </w:rPr>
            </w:pPr>
            <w:r>
              <w:rPr>
                <w:rFonts w:hint="eastAsia" w:ascii="宋体" w:hAnsi="宋体"/>
              </w:rPr>
              <w:t>4.中标供应商安排技术人员现场升级，并对整套设备的相关参数等主要指标进行现场测试验证，只有整套设备完全正常运转并获采购人确认后，安装工作才确定整体项目全部完成。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6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rPr>
            </w:pPr>
            <w:r>
              <w:rPr>
                <w:rFonts w:hint="eastAsia" w:ascii="宋体" w:hAnsi="宋体"/>
              </w:rPr>
              <w:t>七、演示要求</w:t>
            </w:r>
          </w:p>
        </w:tc>
        <w:tc>
          <w:tcPr>
            <w:tcW w:w="7841"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投标人可对以下内容进行功能演示，以作为评分重要依据。本项目功能演示为非必须提供项，各投标人可视自身情况自行决定是否进行功能演示。</w:t>
            </w:r>
          </w:p>
          <w:p>
            <w:pPr>
              <w:ind w:firstLine="422" w:firstLineChars="200"/>
              <w:rPr>
                <w:b/>
                <w:bCs/>
              </w:rPr>
            </w:pPr>
            <w:r>
              <w:rPr>
                <w:rFonts w:hint="eastAsia"/>
                <w:b/>
                <w:bCs/>
              </w:rPr>
              <w:t>1.工作协同：</w:t>
            </w:r>
          </w:p>
          <w:p>
            <w:pPr>
              <w:ind w:firstLine="420" w:firstLineChars="200"/>
            </w:pPr>
            <w:r>
              <w:rPr>
                <w:rFonts w:hint="eastAsia"/>
              </w:rPr>
              <w:t>①支持用户企业内部PGC内容创作人员集中管理，可以一键呼叫同事协同配合工作；</w:t>
            </w:r>
          </w:p>
          <w:p>
            <w:pPr>
              <w:ind w:firstLine="420" w:firstLineChars="200"/>
            </w:pPr>
            <w:r>
              <w:rPr>
                <w:rFonts w:hint="eastAsia"/>
              </w:rPr>
              <w:t>②同时支持基于LBS的记者同事位置可视化管理协同调度；一键邀请同事；</w:t>
            </w:r>
          </w:p>
          <w:p>
            <w:pPr>
              <w:ind w:firstLine="420" w:firstLineChars="200"/>
            </w:pPr>
            <w:r>
              <w:rPr>
                <w:rFonts w:hint="eastAsia"/>
              </w:rPr>
              <w:t>③支持工作群通讯录中成员之间视频通话、语音通话、聊天。</w:t>
            </w:r>
          </w:p>
          <w:p>
            <w:pPr>
              <w:ind w:firstLine="422" w:firstLineChars="200"/>
              <w:rPr>
                <w:b/>
                <w:bCs/>
              </w:rPr>
            </w:pPr>
            <w:r>
              <w:rPr>
                <w:rFonts w:hint="eastAsia"/>
                <w:b/>
                <w:bCs/>
              </w:rPr>
              <w:t>2.个性化管理：</w:t>
            </w:r>
          </w:p>
          <w:p>
            <w:pPr>
              <w:ind w:firstLine="420" w:firstLineChars="200"/>
            </w:pPr>
            <w:r>
              <w:rPr>
                <w:rFonts w:hint="eastAsia"/>
              </w:rPr>
              <w:t>①基础信息设置支持企业简称、企业logo、企业简介等基本信息设置；</w:t>
            </w:r>
          </w:p>
          <w:p>
            <w:pPr>
              <w:ind w:firstLine="420" w:firstLineChars="200"/>
            </w:pPr>
            <w:r>
              <w:rPr>
                <w:rFonts w:hint="eastAsia"/>
              </w:rPr>
              <w:t>②默认封面图设置支持后台设定全平台默认的封面图，封面图可以应用在直点播播放器封面、列表页；水印设置支持全平台默认水印设置；</w:t>
            </w:r>
          </w:p>
          <w:p>
            <w:pPr>
              <w:ind w:firstLine="420" w:firstLineChars="200"/>
            </w:pPr>
            <w:r>
              <w:rPr>
                <w:rFonts w:hint="eastAsia"/>
              </w:rPr>
              <w:t>③手机号验证支持控制用户在前端页面使用抢红包、抽奖、投票、聊天等功能时，需要先关联手机号码，关联的手机号码会记入到用户信息中，完成用户数据完善；</w:t>
            </w:r>
          </w:p>
          <w:p>
            <w:pPr>
              <w:ind w:firstLine="422" w:firstLineChars="200"/>
              <w:rPr>
                <w:b/>
                <w:bCs/>
              </w:rPr>
            </w:pPr>
            <w:r>
              <w:rPr>
                <w:rFonts w:hint="eastAsia"/>
                <w:b/>
                <w:bCs/>
              </w:rPr>
              <w:t>3.大屏幕管理矩阵：</w:t>
            </w:r>
          </w:p>
          <w:p>
            <w:pPr>
              <w:ind w:firstLine="420" w:firstLineChars="200"/>
            </w:pPr>
            <w:r>
              <w:rPr>
                <w:rFonts w:hint="eastAsia"/>
              </w:rPr>
              <w:t>①多屏幕管理方案：支持多个展示大屏的集中管理，支持建立多级别的管理结构，实现面向不同区域（省、市、县）的多级屏幕管理输出；</w:t>
            </w:r>
          </w:p>
          <w:p>
            <w:pPr>
              <w:ind w:firstLine="420" w:firstLineChars="200"/>
            </w:pPr>
            <w:r>
              <w:rPr>
                <w:rFonts w:hint="eastAsia"/>
              </w:rPr>
              <w:t>②灵活屏幕分割及内容源配置：无限制建立多个屏幕展示区域，每个区域灵活配置内容来源，支持快速内容来源切换；</w:t>
            </w:r>
          </w:p>
          <w:p>
            <w:pPr>
              <w:ind w:firstLine="420" w:firstLineChars="200"/>
            </w:pPr>
            <w:r>
              <w:rPr>
                <w:rFonts w:hint="eastAsia"/>
              </w:rPr>
              <w:t>③多种屏幕类型支持：支持LED、LCD、投影显示类型,支持4:3、16:9等多种屏幕比及分辨率；</w:t>
            </w:r>
          </w:p>
          <w:p>
            <w:pPr>
              <w:ind w:firstLine="422" w:firstLineChars="200"/>
              <w:rPr>
                <w:b/>
                <w:bCs/>
              </w:rPr>
            </w:pPr>
            <w:r>
              <w:rPr>
                <w:rFonts w:hint="eastAsia"/>
                <w:b/>
                <w:bCs/>
              </w:rPr>
              <w:t>4.租户管理：</w:t>
            </w:r>
          </w:p>
          <w:p>
            <w:pPr>
              <w:ind w:firstLine="420" w:firstLineChars="200"/>
            </w:pPr>
            <w:r>
              <w:rPr>
                <w:rFonts w:hint="eastAsia"/>
              </w:rPr>
              <w:t>①支持对单个租户业务的开通与管理；</w:t>
            </w:r>
          </w:p>
          <w:p>
            <w:pPr>
              <w:ind w:firstLine="420" w:firstLineChars="200"/>
            </w:pPr>
            <w:r>
              <w:rPr>
                <w:rFonts w:hint="eastAsia"/>
              </w:rPr>
              <w:t>②支持对租户软件功能的控制管理，可在平台内开通或关闭租户的功能模块；</w:t>
            </w:r>
          </w:p>
          <w:p>
            <w:pPr>
              <w:ind w:firstLine="420" w:firstLineChars="200"/>
            </w:pPr>
            <w:r>
              <w:rPr>
                <w:rFonts w:hint="eastAsia"/>
              </w:rPr>
              <w:t>③支持对租户的编辑管理，可设定租户名称、联系人、logo、授权时间等；</w:t>
            </w:r>
          </w:p>
          <w:p>
            <w:pPr>
              <w:ind w:firstLine="422" w:firstLineChars="200"/>
              <w:rPr>
                <w:b/>
                <w:bCs/>
              </w:rPr>
            </w:pPr>
            <w:r>
              <w:rPr>
                <w:rFonts w:hint="eastAsia"/>
                <w:b/>
                <w:bCs/>
              </w:rPr>
              <w:t>5.系统监测：</w:t>
            </w:r>
          </w:p>
          <w:p>
            <w:pPr>
              <w:ind w:firstLine="420" w:firstLineChars="200"/>
            </w:pPr>
            <w:r>
              <w:rPr>
                <w:rFonts w:hint="eastAsia"/>
              </w:rPr>
              <w:t>①支持内容系统监控、媒资系统监控、转码任务监测、快编任务检测、拆条任务检测；</w:t>
            </w:r>
          </w:p>
          <w:p>
            <w:pPr>
              <w:ind w:firstLine="420" w:firstLineChars="200"/>
            </w:pPr>
            <w:r>
              <w:rPr>
                <w:rFonts w:hint="eastAsia"/>
              </w:rPr>
              <w:t>②能够对系统运行情况进行实时监控，监控内容包括任务情况、发布状况、队列、缓存运行情况、内存状态，服务器压力；</w:t>
            </w:r>
          </w:p>
          <w:p>
            <w:pPr>
              <w:ind w:firstLine="420" w:firstLineChars="200"/>
            </w:pPr>
            <w:r>
              <w:rPr>
                <w:rFonts w:hint="eastAsia"/>
              </w:rPr>
              <w:t>③能够对系统进程进行重启、初始化、强制重启等操作。</w:t>
            </w:r>
          </w:p>
        </w:tc>
      </w:tr>
    </w:tbl>
    <w:p>
      <w:pPr>
        <w:widowControl/>
        <w:jc w:val="left"/>
        <w:rPr>
          <w:rFonts w:ascii="宋体" w:hAnsi="宋体" w:cs="宋体"/>
          <w:kern w:val="0"/>
          <w:lang w:bidi="ar"/>
        </w:rPr>
      </w:pPr>
    </w:p>
    <w:p>
      <w:pPr>
        <w:pStyle w:val="28"/>
        <w:rPr>
          <w:lang w:bidi="ar"/>
        </w:rPr>
      </w:pPr>
    </w:p>
    <w:p>
      <w:pPr>
        <w:pStyle w:val="69"/>
        <w:rPr>
          <w:kern w:val="0"/>
          <w:lang w:bidi="ar"/>
        </w:rPr>
      </w:pPr>
      <w:bookmarkStart w:id="13" w:name="_Toc504570349"/>
      <w:bookmarkStart w:id="14" w:name="_Toc425519578"/>
      <w:bookmarkStart w:id="15" w:name="_Toc425318868"/>
      <w:r>
        <w:rPr>
          <w:kern w:val="0"/>
          <w:lang w:bidi="ar"/>
        </w:rPr>
        <w:br w:type="page"/>
      </w:r>
      <w:r>
        <w:rPr>
          <w:rFonts w:hint="eastAsia"/>
          <w:kern w:val="0"/>
          <w:lang w:bidi="ar"/>
        </w:rPr>
        <w:t>第三章  投标人须知</w:t>
      </w:r>
      <w:bookmarkEnd w:id="13"/>
    </w:p>
    <w:bookmarkEnd w:id="14"/>
    <w:bookmarkEnd w:id="15"/>
    <w:p>
      <w:pPr>
        <w:adjustRightInd w:val="0"/>
        <w:snapToGrid w:val="0"/>
        <w:spacing w:line="360" w:lineRule="exact"/>
        <w:jc w:val="center"/>
        <w:rPr>
          <w:rFonts w:ascii="宋体" w:hAnsi="宋体"/>
          <w:b/>
          <w:sz w:val="32"/>
          <w:szCs w:val="32"/>
        </w:rPr>
      </w:pPr>
      <w:bookmarkStart w:id="16" w:name="_Toc425318869"/>
      <w:bookmarkStart w:id="17" w:name="_Toc407015649"/>
      <w:r>
        <w:rPr>
          <w:rFonts w:hint="eastAsia" w:ascii="宋体" w:hAnsi="宋体"/>
          <w:b/>
          <w:sz w:val="32"/>
          <w:szCs w:val="32"/>
        </w:rPr>
        <w:t>前 附 表</w:t>
      </w:r>
      <w:bookmarkEnd w:id="16"/>
      <w:bookmarkEnd w:id="17"/>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序号</w:t>
            </w:r>
          </w:p>
        </w:tc>
        <w:tc>
          <w:tcPr>
            <w:tcW w:w="9206" w:type="dxa"/>
            <w:vAlign w:val="center"/>
          </w:tcPr>
          <w:p>
            <w:pPr>
              <w:adjustRightInd w:val="0"/>
              <w:snapToGrid w:val="0"/>
              <w:spacing w:line="360" w:lineRule="exact"/>
              <w:jc w:val="center"/>
              <w:rPr>
                <w:rFonts w:ascii="宋体" w:hAnsi="宋体"/>
              </w:rPr>
            </w:pPr>
            <w:r>
              <w:rPr>
                <w:rFonts w:hint="eastAsia" w:ascii="宋体" w:hAnsi="宋体"/>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1</w:t>
            </w:r>
          </w:p>
        </w:tc>
        <w:tc>
          <w:tcPr>
            <w:tcW w:w="9206" w:type="dxa"/>
          </w:tcPr>
          <w:p>
            <w:pPr>
              <w:adjustRightInd w:val="0"/>
              <w:snapToGrid w:val="0"/>
              <w:spacing w:line="360" w:lineRule="exact"/>
              <w:rPr>
                <w:rFonts w:ascii="宋体" w:hAnsi="宋体"/>
                <w:b/>
              </w:rPr>
            </w:pPr>
            <w:r>
              <w:rPr>
                <w:rFonts w:hint="eastAsia" w:ascii="宋体" w:hAnsi="宋体"/>
                <w:b/>
              </w:rPr>
              <w:t>项目名称</w:t>
            </w:r>
            <w:r>
              <w:rPr>
                <w:rFonts w:hint="eastAsia" w:ascii="宋体" w:hAnsi="宋体"/>
              </w:rPr>
              <w:t>：媒资储存系统高清化改造</w:t>
            </w:r>
          </w:p>
          <w:p>
            <w:pPr>
              <w:adjustRightInd w:val="0"/>
              <w:snapToGrid w:val="0"/>
              <w:spacing w:line="360" w:lineRule="exact"/>
              <w:rPr>
                <w:rFonts w:ascii="宋体" w:hAnsi="宋体"/>
              </w:rPr>
            </w:pPr>
            <w:r>
              <w:rPr>
                <w:rFonts w:hint="eastAsia" w:ascii="宋体" w:hAnsi="宋体"/>
                <w:b/>
              </w:rPr>
              <w:t>项目编号：</w:t>
            </w:r>
            <w:r>
              <w:rPr>
                <w:rFonts w:hint="eastAsia" w:ascii="宋体" w:hAnsi="宋体"/>
                <w:bCs/>
              </w:rPr>
              <w:t>NNZC2020-G1-990242-ZZGJ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2</w:t>
            </w:r>
          </w:p>
        </w:tc>
        <w:tc>
          <w:tcPr>
            <w:tcW w:w="9206" w:type="dxa"/>
          </w:tcPr>
          <w:p>
            <w:pPr>
              <w:adjustRightInd w:val="0"/>
              <w:snapToGrid w:val="0"/>
              <w:spacing w:line="360" w:lineRule="exact"/>
              <w:rPr>
                <w:rFonts w:ascii="宋体" w:hAnsi="宋体"/>
              </w:rPr>
            </w:pPr>
            <w:r>
              <w:rPr>
                <w:rFonts w:hint="eastAsia" w:ascii="宋体" w:hAnsi="宋体"/>
                <w:b/>
              </w:rPr>
              <w:t>投标报价及费用</w:t>
            </w:r>
            <w:r>
              <w:rPr>
                <w:rFonts w:hint="eastAsia" w:ascii="宋体" w:hAnsi="宋体"/>
              </w:rPr>
              <w:t>：</w:t>
            </w:r>
          </w:p>
          <w:p>
            <w:pPr>
              <w:numPr>
                <w:ilvl w:val="0"/>
                <w:numId w:val="6"/>
              </w:numPr>
              <w:adjustRightInd w:val="0"/>
              <w:snapToGrid w:val="0"/>
              <w:spacing w:line="360" w:lineRule="exact"/>
              <w:rPr>
                <w:rFonts w:ascii="宋体" w:hAnsi="宋体"/>
              </w:rPr>
            </w:pPr>
            <w:r>
              <w:rPr>
                <w:rFonts w:hint="eastAsia" w:ascii="宋体" w:hAnsi="宋体"/>
              </w:rPr>
              <w:t>投标人须就《招标项目采购需求》中所有的货物和服务内容完整唯一报价，投标人的报价不得超过项目总采购预算，各分标的报价也不得超过对应分标采购预算；</w:t>
            </w:r>
          </w:p>
          <w:p>
            <w:pPr>
              <w:numPr>
                <w:ilvl w:val="0"/>
                <w:numId w:val="6"/>
              </w:numPr>
              <w:adjustRightInd w:val="0"/>
              <w:snapToGrid w:val="0"/>
              <w:spacing w:line="360" w:lineRule="exact"/>
              <w:rPr>
                <w:rFonts w:ascii="宋体" w:hAnsi="宋体"/>
              </w:rPr>
            </w:pPr>
            <w:r>
              <w:rPr>
                <w:rFonts w:hint="eastAsia" w:ascii="宋体" w:hAnsi="宋体"/>
              </w:rPr>
              <w:t>本项目投标应以人民币报价；</w:t>
            </w:r>
          </w:p>
          <w:p>
            <w:pPr>
              <w:numPr>
                <w:ilvl w:val="0"/>
                <w:numId w:val="6"/>
              </w:numPr>
              <w:adjustRightInd w:val="0"/>
              <w:snapToGrid w:val="0"/>
              <w:spacing w:line="360" w:lineRule="exact"/>
              <w:rPr>
                <w:rFonts w:ascii="宋体" w:hAnsi="宋体"/>
              </w:rPr>
            </w:pPr>
            <w:r>
              <w:rPr>
                <w:rFonts w:hint="eastAsia" w:ascii="宋体" w:hAnsi="宋体"/>
              </w:rPr>
              <w:t>不论投标结果如何，投标人均应自行承担所有与投标有关的全部费用；</w:t>
            </w:r>
          </w:p>
          <w:p>
            <w:pPr>
              <w:numPr>
                <w:ilvl w:val="0"/>
                <w:numId w:val="6"/>
              </w:numPr>
              <w:adjustRightInd w:val="0"/>
              <w:snapToGrid w:val="0"/>
              <w:spacing w:line="360" w:lineRule="exact"/>
              <w:rPr>
                <w:rFonts w:ascii="宋体" w:hAnsi="宋体"/>
              </w:rPr>
            </w:pPr>
            <w:r>
              <w:rPr>
                <w:rFonts w:hint="eastAsia" w:ascii="宋体" w:hAnsi="宋体"/>
              </w:rPr>
              <w:t>本项目代理服务费</w:t>
            </w:r>
            <w:r>
              <w:rPr>
                <w:rFonts w:hint="eastAsia" w:hAnsi="宋体"/>
              </w:rPr>
              <w:t>按桂价费〔2011〕55号文件规定的代理服务收费标准</w:t>
            </w:r>
            <w:r>
              <w:rPr>
                <w:rFonts w:hint="eastAsia" w:ascii="宋体" w:hAnsi="宋体"/>
              </w:rPr>
              <w:t>向中标人收取，中标人在领取中标通知书前一次性付清；</w:t>
            </w:r>
          </w:p>
          <w:p>
            <w:pPr>
              <w:numPr>
                <w:ilvl w:val="0"/>
                <w:numId w:val="6"/>
              </w:numPr>
              <w:adjustRightInd w:val="0"/>
              <w:snapToGrid w:val="0"/>
              <w:spacing w:line="360" w:lineRule="exact"/>
              <w:rPr>
                <w:rFonts w:ascii="宋体" w:hAnsi="宋体"/>
              </w:rPr>
            </w:pPr>
            <w:r>
              <w:rPr>
                <w:rFonts w:hint="eastAsia" w:ascii="宋体" w:hAnsi="宋体"/>
              </w:rPr>
              <w:t>专家评审费按实际支出金额向中标人收取，签订合同前，中标人应当向采购代理机构一次性付清。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3</w:t>
            </w:r>
          </w:p>
        </w:tc>
        <w:tc>
          <w:tcPr>
            <w:tcW w:w="9206" w:type="dxa"/>
          </w:tcPr>
          <w:p>
            <w:pPr>
              <w:adjustRightInd w:val="0"/>
              <w:snapToGrid w:val="0"/>
              <w:spacing w:line="360" w:lineRule="exact"/>
              <w:rPr>
                <w:rFonts w:ascii="宋体" w:hAnsi="宋体"/>
              </w:rPr>
            </w:pPr>
            <w:r>
              <w:rPr>
                <w:rFonts w:hint="eastAsia" w:ascii="宋体" w:hAnsi="宋体"/>
                <w:b/>
              </w:rPr>
              <w:t>投标保证金</w:t>
            </w:r>
            <w:r>
              <w:rPr>
                <w:rFonts w:hint="eastAsia" w:ascii="宋体" w:hAnsi="宋体"/>
              </w:rPr>
              <w:t>：本项目不收取任何形式的保证金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4</w:t>
            </w:r>
          </w:p>
        </w:tc>
        <w:tc>
          <w:tcPr>
            <w:tcW w:w="9206" w:type="dxa"/>
          </w:tcPr>
          <w:p>
            <w:pPr>
              <w:pStyle w:val="165"/>
              <w:adjustRightInd w:val="0"/>
              <w:snapToGrid w:val="0"/>
              <w:spacing w:line="360" w:lineRule="exact"/>
              <w:ind w:firstLine="0" w:firstLineChars="0"/>
              <w:rPr>
                <w:rFonts w:ascii="宋体" w:hAnsi="宋体"/>
                <w:szCs w:val="21"/>
              </w:rPr>
            </w:pPr>
            <w:r>
              <w:rPr>
                <w:rFonts w:hint="eastAsia" w:ascii="宋体" w:hAnsi="宋体"/>
                <w:b/>
                <w:szCs w:val="21"/>
              </w:rPr>
              <w:t>现场踏勘</w:t>
            </w: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5</w:t>
            </w:r>
          </w:p>
        </w:tc>
        <w:tc>
          <w:tcPr>
            <w:tcW w:w="9206" w:type="dxa"/>
          </w:tcPr>
          <w:p>
            <w:pPr>
              <w:adjustRightInd w:val="0"/>
              <w:snapToGrid w:val="0"/>
              <w:spacing w:line="360" w:lineRule="exact"/>
              <w:rPr>
                <w:rFonts w:ascii="宋体" w:hAnsi="宋体"/>
              </w:rPr>
            </w:pPr>
            <w:r>
              <w:rPr>
                <w:rFonts w:hint="eastAsia" w:ascii="宋体" w:hAnsi="宋体"/>
                <w:b/>
              </w:rPr>
              <w:t>演示时间及地点</w:t>
            </w:r>
            <w:r>
              <w:rPr>
                <w:rFonts w:hint="eastAsia" w:ascii="宋体" w:hAnsi="宋体"/>
              </w:rPr>
              <w:t>：11月6日开标会后在交易中心1</w:t>
            </w:r>
            <w:r>
              <w:rPr>
                <w:rFonts w:ascii="宋体" w:hAnsi="宋体"/>
              </w:rPr>
              <w:t>0</w:t>
            </w:r>
            <w:r>
              <w:rPr>
                <w:rFonts w:hint="eastAsia" w:ascii="宋体" w:hAnsi="宋体"/>
              </w:rPr>
              <w:t>楼评标演示区演示（本项目功能演示为非必须提供项，各投标人可视自身情况自行决定是否进行功能演示）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6</w:t>
            </w:r>
          </w:p>
        </w:tc>
        <w:tc>
          <w:tcPr>
            <w:tcW w:w="9206" w:type="dxa"/>
          </w:tcPr>
          <w:p>
            <w:pPr>
              <w:adjustRightInd w:val="0"/>
              <w:snapToGrid w:val="0"/>
              <w:spacing w:line="360" w:lineRule="exact"/>
              <w:rPr>
                <w:rFonts w:ascii="宋体" w:hAnsi="宋体"/>
              </w:rPr>
            </w:pPr>
            <w:r>
              <w:rPr>
                <w:rFonts w:hint="eastAsia" w:ascii="宋体" w:hAnsi="宋体"/>
                <w:b/>
              </w:rPr>
              <w:t>答疑与澄清</w:t>
            </w:r>
            <w:r>
              <w:rPr>
                <w:rFonts w:hint="eastAsia" w:ascii="宋体" w:hAnsi="宋体"/>
              </w:rPr>
              <w:t>：</w:t>
            </w:r>
          </w:p>
          <w:p>
            <w:pPr>
              <w:adjustRightInd w:val="0"/>
              <w:snapToGrid w:val="0"/>
              <w:spacing w:line="360" w:lineRule="exact"/>
              <w:rPr>
                <w:rFonts w:ascii="宋体" w:hAnsi="宋体"/>
              </w:rPr>
            </w:pPr>
            <w:r>
              <w:rPr>
                <w:rFonts w:hint="eastAsia" w:ascii="宋体" w:hAnsi="宋体"/>
              </w:rPr>
              <w:t>投标人如认为招标文件表述不清晰、存在歧视性、排他性或者其他违法内容的，应当于收到招标文件后3天内，以书面形式要求招标采购单位做出书面解释、澄清或者向招标单位提出书面质疑；答疑内容是招标文件的组成部分，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7</w:t>
            </w:r>
          </w:p>
        </w:tc>
        <w:tc>
          <w:tcPr>
            <w:tcW w:w="9206" w:type="dxa"/>
          </w:tcPr>
          <w:p>
            <w:pPr>
              <w:adjustRightInd w:val="0"/>
              <w:snapToGrid w:val="0"/>
              <w:spacing w:line="360" w:lineRule="exact"/>
              <w:rPr>
                <w:rFonts w:ascii="宋体" w:hAnsi="宋体"/>
              </w:rPr>
            </w:pPr>
            <w:r>
              <w:rPr>
                <w:rFonts w:hint="eastAsia" w:ascii="宋体" w:hAnsi="宋体"/>
                <w:b/>
              </w:rPr>
              <w:t>投标文件组成</w:t>
            </w:r>
            <w:r>
              <w:rPr>
                <w:rFonts w:hint="eastAsia" w:ascii="宋体" w:hAnsi="宋体"/>
              </w:rPr>
              <w:t>：开标一览表</w:t>
            </w:r>
            <w:r>
              <w:rPr>
                <w:rFonts w:hint="eastAsia" w:ascii="宋体" w:hAnsi="宋体"/>
                <w:u w:val="single"/>
              </w:rPr>
              <w:t xml:space="preserve"> </w:t>
            </w:r>
            <w:r>
              <w:rPr>
                <w:rFonts w:hint="eastAsia" w:ascii="宋体" w:hAnsi="宋体"/>
                <w:b/>
                <w:u w:val="single"/>
              </w:rPr>
              <w:t>壹</w:t>
            </w:r>
            <w:r>
              <w:rPr>
                <w:rFonts w:hint="eastAsia" w:ascii="宋体" w:hAnsi="宋体"/>
                <w:u w:val="single"/>
              </w:rPr>
              <w:t xml:space="preserve"> </w:t>
            </w:r>
            <w:r>
              <w:rPr>
                <w:rFonts w:hint="eastAsia" w:ascii="宋体" w:hAnsi="宋体"/>
              </w:rPr>
              <w:t>份（单独装订成册）；投标文件（含资信及商务文件、技术文件和报价文件</w:t>
            </w:r>
            <w:r>
              <w:rPr>
                <w:rFonts w:hint="eastAsia" w:ascii="宋体" w:hAnsi="宋体"/>
                <w:b/>
              </w:rPr>
              <w:t>全部装订成一册</w:t>
            </w:r>
            <w:r>
              <w:rPr>
                <w:rFonts w:hint="eastAsia" w:ascii="宋体" w:hAnsi="宋体"/>
              </w:rPr>
              <w:t>）正本</w:t>
            </w:r>
            <w:r>
              <w:rPr>
                <w:rFonts w:hint="eastAsia" w:ascii="宋体" w:hAnsi="宋体"/>
                <w:u w:val="single"/>
              </w:rPr>
              <w:t xml:space="preserve"> </w:t>
            </w:r>
            <w:r>
              <w:rPr>
                <w:rFonts w:hint="eastAsia" w:ascii="宋体" w:hAnsi="宋体"/>
                <w:b/>
                <w:u w:val="single"/>
              </w:rPr>
              <w:t>壹</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b/>
                <w:u w:val="single"/>
              </w:rPr>
              <w:t xml:space="preserve">肆 </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8</w:t>
            </w:r>
          </w:p>
        </w:tc>
        <w:tc>
          <w:tcPr>
            <w:tcW w:w="9206" w:type="dxa"/>
          </w:tcPr>
          <w:p>
            <w:pPr>
              <w:adjustRightInd w:val="0"/>
              <w:snapToGrid w:val="0"/>
              <w:spacing w:line="360" w:lineRule="exact"/>
              <w:rPr>
                <w:rFonts w:ascii="宋体" w:hAnsi="宋体"/>
              </w:rPr>
            </w:pPr>
            <w:r>
              <w:rPr>
                <w:rFonts w:hint="eastAsia" w:ascii="宋体" w:hAnsi="宋体"/>
                <w:b/>
              </w:rPr>
              <w:t>是否接受联合体投标</w:t>
            </w: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9</w:t>
            </w:r>
          </w:p>
        </w:tc>
        <w:tc>
          <w:tcPr>
            <w:tcW w:w="9206" w:type="dxa"/>
          </w:tcPr>
          <w:p>
            <w:pPr>
              <w:adjustRightInd w:val="0"/>
              <w:snapToGrid w:val="0"/>
              <w:spacing w:line="360" w:lineRule="exact"/>
              <w:rPr>
                <w:rFonts w:ascii="宋体" w:hAnsi="宋体"/>
              </w:rPr>
            </w:pPr>
            <w:r>
              <w:rPr>
                <w:rFonts w:hint="eastAsia" w:ascii="宋体" w:hAnsi="宋体"/>
                <w:b/>
              </w:rPr>
              <w:t>投标截止时间及地点</w:t>
            </w:r>
            <w:r>
              <w:rPr>
                <w:rFonts w:hint="eastAsia" w:ascii="宋体" w:hAnsi="宋体"/>
              </w:rPr>
              <w:t>：</w:t>
            </w:r>
          </w:p>
          <w:p>
            <w:pPr>
              <w:spacing w:line="380" w:lineRule="exact"/>
              <w:rPr>
                <w:rFonts w:ascii="宋体" w:hAnsi="宋体"/>
              </w:rPr>
            </w:pPr>
            <w:r>
              <w:rPr>
                <w:rFonts w:hint="eastAsia" w:ascii="宋体" w:hAnsi="宋体"/>
                <w:b/>
                <w:u w:val="single"/>
              </w:rPr>
              <w:t>2020年11月6日上午9时30分</w:t>
            </w:r>
            <w:r>
              <w:rPr>
                <w:rFonts w:hint="eastAsia" w:ascii="宋体" w:hAnsi="宋体"/>
              </w:rPr>
              <w:t>，南宁市良庆区玉洞大道33号南宁市民中心9楼南宁市公共资源交易中心开标厅（具体安排详见9楼电子大屏幕场地安排表）。</w:t>
            </w:r>
          </w:p>
          <w:p>
            <w:pPr>
              <w:spacing w:line="380" w:lineRule="exact"/>
              <w:rPr>
                <w:rFonts w:ascii="宋体" w:hAnsi="宋体"/>
              </w:rPr>
            </w:pPr>
            <w:r>
              <w:rPr>
                <w:rFonts w:hint="eastAsia" w:ascii="宋体" w:hAnsi="宋体"/>
              </w:rPr>
              <w:t>根据南宁市财政局《关于做好疫情防控期间政府采购工作有关事项的通知》（南财采〔2020〕12号）要求，本项目实行“不见面”开标方式，本项目的投标文件原则上应通过邮寄快递的方式送达。</w:t>
            </w:r>
          </w:p>
          <w:p>
            <w:pPr>
              <w:spacing w:line="380" w:lineRule="exact"/>
              <w:rPr>
                <w:rFonts w:ascii="宋体" w:hAnsi="宋体"/>
              </w:rPr>
            </w:pPr>
            <w:r>
              <w:rPr>
                <w:rFonts w:hint="eastAsia" w:ascii="宋体" w:hAnsi="宋体"/>
              </w:rPr>
              <w:t>邮寄地点：南宁市青秀区长园路8号大地华城S3-01商场三楼中资国际工程咨询集团有限责任公司，收件人：郭乃华，联系电话：0771-5675006。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10</w:t>
            </w:r>
          </w:p>
        </w:tc>
        <w:tc>
          <w:tcPr>
            <w:tcW w:w="9206" w:type="dxa"/>
          </w:tcPr>
          <w:p>
            <w:pPr>
              <w:adjustRightInd w:val="0"/>
              <w:snapToGrid w:val="0"/>
              <w:spacing w:line="360" w:lineRule="exact"/>
              <w:rPr>
                <w:rFonts w:ascii="宋体" w:hAnsi="宋体"/>
              </w:rPr>
            </w:pPr>
            <w:r>
              <w:rPr>
                <w:rFonts w:hint="eastAsia" w:ascii="宋体" w:hAnsi="宋体"/>
                <w:b/>
              </w:rPr>
              <w:t>开标时间及地点</w:t>
            </w:r>
            <w:r>
              <w:rPr>
                <w:rFonts w:hint="eastAsia" w:ascii="宋体" w:hAnsi="宋体"/>
              </w:rPr>
              <w:t>：</w:t>
            </w:r>
          </w:p>
          <w:p>
            <w:pPr>
              <w:adjustRightInd w:val="0"/>
              <w:snapToGrid w:val="0"/>
              <w:spacing w:line="360" w:lineRule="exact"/>
              <w:rPr>
                <w:rFonts w:ascii="宋体" w:hAnsi="宋体"/>
              </w:rPr>
            </w:pPr>
            <w:r>
              <w:rPr>
                <w:rFonts w:hint="eastAsia" w:ascii="宋体" w:hAnsi="宋体"/>
              </w:rPr>
              <w:t>本次招标将于</w:t>
            </w:r>
            <w:r>
              <w:rPr>
                <w:rFonts w:hint="eastAsia" w:ascii="宋体" w:hAnsi="宋体"/>
                <w:b/>
                <w:u w:val="single"/>
              </w:rPr>
              <w:t>2020年11月6日上午9时30分正</w:t>
            </w:r>
            <w:r>
              <w:rPr>
                <w:rFonts w:hint="eastAsia" w:ascii="宋体" w:hAnsi="宋体"/>
                <w:u w:val="single"/>
              </w:rPr>
              <w:t>，</w:t>
            </w:r>
            <w:r>
              <w:rPr>
                <w:rFonts w:hint="eastAsia" w:ascii="宋体" w:hAnsi="宋体"/>
              </w:rPr>
              <w:t>在南宁市良庆区玉洞大道33号南宁市民中心9楼南宁市公共资源交易中心开标室（具体安排详见9楼电子大屏幕场地安排表）开标。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11</w:t>
            </w:r>
          </w:p>
        </w:tc>
        <w:tc>
          <w:tcPr>
            <w:tcW w:w="9206" w:type="dxa"/>
          </w:tcPr>
          <w:p>
            <w:pPr>
              <w:adjustRightInd w:val="0"/>
              <w:snapToGrid w:val="0"/>
              <w:spacing w:line="360" w:lineRule="exact"/>
              <w:rPr>
                <w:rFonts w:ascii="宋体" w:hAnsi="宋体"/>
              </w:rPr>
            </w:pPr>
            <w:r>
              <w:rPr>
                <w:rFonts w:hint="eastAsia" w:ascii="宋体" w:hAnsi="宋体"/>
                <w:b/>
              </w:rPr>
              <w:t>评标办法及评分标准</w:t>
            </w:r>
            <w:r>
              <w:rPr>
                <w:rFonts w:hint="eastAsia" w:ascii="宋体" w:hAnsi="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12</w:t>
            </w:r>
          </w:p>
        </w:tc>
        <w:tc>
          <w:tcPr>
            <w:tcW w:w="9206" w:type="dxa"/>
          </w:tcPr>
          <w:p>
            <w:pPr>
              <w:adjustRightInd w:val="0"/>
              <w:snapToGrid w:val="0"/>
              <w:spacing w:line="360" w:lineRule="exact"/>
              <w:rPr>
                <w:rFonts w:ascii="宋体" w:hAnsi="宋体"/>
              </w:rPr>
            </w:pPr>
            <w:r>
              <w:rPr>
                <w:rFonts w:hint="eastAsia" w:ascii="宋体" w:hAnsi="宋体"/>
                <w:b/>
              </w:rPr>
              <w:t>中标公告及中标通知书</w:t>
            </w:r>
            <w:r>
              <w:rPr>
                <w:rFonts w:hint="eastAsia" w:ascii="宋体" w:hAnsi="宋体"/>
              </w:rPr>
              <w:t>：</w:t>
            </w:r>
          </w:p>
          <w:p>
            <w:pPr>
              <w:adjustRightInd w:val="0"/>
              <w:snapToGrid w:val="0"/>
              <w:spacing w:line="360" w:lineRule="exact"/>
              <w:rPr>
                <w:rFonts w:ascii="宋体" w:hAnsi="宋体"/>
              </w:rPr>
            </w:pPr>
            <w:r>
              <w:rPr>
                <w:rFonts w:hint="eastAsia" w:ascii="宋体" w:hAnsi="宋体"/>
              </w:rPr>
              <w:t>采购代理机构在采购人依法确定中标人后二个工作日内发布中标公告和中标通知书。中标公告发布于中国政府采购网（http://www.ccgp.gov.cn）；广西壮族自治区政府采购网(http://www.gxzfcg.gov.cn)；南宁市政府采购网（zfcg.nanning.gov.cn）南宁市公共资源交易中心网（www.nnggzy.org.cn/gxnnzbw/default.aspx）上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13</w:t>
            </w:r>
          </w:p>
        </w:tc>
        <w:tc>
          <w:tcPr>
            <w:tcW w:w="9206" w:type="dxa"/>
          </w:tcPr>
          <w:p>
            <w:pPr>
              <w:adjustRightInd w:val="0"/>
              <w:snapToGrid w:val="0"/>
              <w:spacing w:line="360" w:lineRule="exact"/>
              <w:rPr>
                <w:rFonts w:ascii="宋体" w:hAnsi="宋体"/>
              </w:rPr>
            </w:pPr>
            <w:r>
              <w:rPr>
                <w:rFonts w:hint="eastAsia" w:ascii="宋体" w:hAnsi="宋体"/>
                <w:b/>
              </w:rPr>
              <w:t>签订合同时间</w:t>
            </w:r>
            <w:r>
              <w:rPr>
                <w:rFonts w:hint="eastAsia" w:ascii="宋体" w:hAnsi="宋体"/>
              </w:rPr>
              <w:t>：自中标通知书发出之日起7日内。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14</w:t>
            </w:r>
          </w:p>
        </w:tc>
        <w:tc>
          <w:tcPr>
            <w:tcW w:w="9206" w:type="dxa"/>
          </w:tcPr>
          <w:p>
            <w:pPr>
              <w:adjustRightInd w:val="0"/>
              <w:snapToGrid w:val="0"/>
              <w:spacing w:line="360" w:lineRule="exact"/>
              <w:rPr>
                <w:rFonts w:ascii="宋体" w:hAnsi="宋体"/>
              </w:rPr>
            </w:pPr>
            <w:r>
              <w:rPr>
                <w:rFonts w:hint="eastAsia" w:ascii="宋体" w:hAnsi="宋体"/>
                <w:b/>
              </w:rPr>
              <w:t>采购资金来源</w:t>
            </w:r>
            <w:r>
              <w:rPr>
                <w:rFonts w:hint="eastAsia" w:ascii="宋体" w:hAnsi="宋体"/>
              </w:rPr>
              <w:t>：预算资金。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15</w:t>
            </w:r>
          </w:p>
        </w:tc>
        <w:tc>
          <w:tcPr>
            <w:tcW w:w="9206" w:type="dxa"/>
          </w:tcPr>
          <w:p>
            <w:pPr>
              <w:adjustRightInd w:val="0"/>
              <w:snapToGrid w:val="0"/>
              <w:spacing w:line="360" w:lineRule="exact"/>
              <w:rPr>
                <w:rFonts w:ascii="宋体" w:hAnsi="宋体"/>
              </w:rPr>
            </w:pPr>
            <w:r>
              <w:rPr>
                <w:rFonts w:hint="eastAsia" w:ascii="宋体" w:hAnsi="宋体"/>
                <w:b/>
              </w:rPr>
              <w:t>付款方式</w:t>
            </w:r>
            <w:r>
              <w:rPr>
                <w:rFonts w:hint="eastAsia" w:ascii="宋体" w:hAnsi="宋体"/>
              </w:rPr>
              <w:t>：采购单位支付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16</w:t>
            </w:r>
          </w:p>
        </w:tc>
        <w:tc>
          <w:tcPr>
            <w:tcW w:w="9206" w:type="dxa"/>
          </w:tcPr>
          <w:p>
            <w:pPr>
              <w:adjustRightInd w:val="0"/>
              <w:snapToGrid w:val="0"/>
              <w:spacing w:line="360" w:lineRule="exact"/>
              <w:rPr>
                <w:rFonts w:ascii="宋体" w:hAnsi="宋体"/>
              </w:rPr>
            </w:pPr>
            <w:r>
              <w:rPr>
                <w:rFonts w:hint="eastAsia" w:ascii="宋体" w:hAnsi="宋体"/>
                <w:b/>
              </w:rPr>
              <w:t>投标文件有效期</w:t>
            </w:r>
            <w:r>
              <w:rPr>
                <w:rFonts w:hint="eastAsia" w:ascii="宋体" w:hAnsi="宋体"/>
              </w:rPr>
              <w:t>：投标截止之日起90日历日内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spacing w:line="360" w:lineRule="exact"/>
              <w:jc w:val="center"/>
              <w:rPr>
                <w:rFonts w:ascii="宋体" w:hAnsi="宋体"/>
              </w:rPr>
            </w:pPr>
            <w:r>
              <w:rPr>
                <w:rFonts w:hint="eastAsia" w:ascii="宋体" w:hAnsi="宋体"/>
              </w:rPr>
              <w:t>17</w:t>
            </w:r>
          </w:p>
        </w:tc>
        <w:tc>
          <w:tcPr>
            <w:tcW w:w="9206" w:type="dxa"/>
          </w:tcPr>
          <w:p>
            <w:pPr>
              <w:adjustRightInd w:val="0"/>
              <w:snapToGrid w:val="0"/>
              <w:spacing w:line="360" w:lineRule="exact"/>
              <w:rPr>
                <w:rFonts w:ascii="宋体" w:hAnsi="宋体"/>
              </w:rPr>
            </w:pPr>
            <w:r>
              <w:rPr>
                <w:rFonts w:hint="eastAsia" w:ascii="宋体" w:hAnsi="宋体"/>
                <w:b/>
              </w:rPr>
              <w:t>解释</w:t>
            </w:r>
            <w:r>
              <w:rPr>
                <w:rFonts w:hint="eastAsia" w:ascii="宋体" w:hAnsi="宋体"/>
              </w:rPr>
              <w:t>：本招标文件的解释权属于中资国际工程咨询集团有限责任公司广西分公司。</w:t>
            </w:r>
          </w:p>
        </w:tc>
      </w:tr>
    </w:tbl>
    <w:p>
      <w:pPr>
        <w:adjustRightInd w:val="0"/>
        <w:snapToGrid w:val="0"/>
        <w:spacing w:line="360" w:lineRule="exact"/>
        <w:ind w:firstLine="480"/>
        <w:rPr>
          <w:rFonts w:ascii="宋体" w:hAnsi="宋体"/>
        </w:rPr>
      </w:pPr>
    </w:p>
    <w:p>
      <w:pPr>
        <w:adjustRightInd w:val="0"/>
        <w:snapToGrid w:val="0"/>
        <w:spacing w:line="360" w:lineRule="exact"/>
        <w:jc w:val="center"/>
        <w:rPr>
          <w:rFonts w:ascii="宋体" w:hAnsi="宋体"/>
          <w:b/>
        </w:rPr>
      </w:pPr>
      <w:bookmarkStart w:id="18" w:name="_Toc407015650"/>
      <w:bookmarkStart w:id="19" w:name="_Toc425318870"/>
      <w:bookmarkStart w:id="20" w:name="_Toc254970689"/>
      <w:bookmarkStart w:id="21" w:name="_Toc254970548"/>
      <w:r>
        <w:rPr>
          <w:rFonts w:hint="eastAsia" w:ascii="宋体" w:hAnsi="宋体"/>
          <w:b/>
        </w:rPr>
        <w:t>一、总</w:t>
      </w:r>
      <w:r>
        <w:rPr>
          <w:rFonts w:ascii="宋体" w:hAnsi="宋体"/>
          <w:b/>
        </w:rPr>
        <w:t xml:space="preserve">  </w:t>
      </w:r>
      <w:r>
        <w:rPr>
          <w:rFonts w:hint="eastAsia" w:ascii="宋体" w:hAnsi="宋体"/>
          <w:b/>
        </w:rPr>
        <w:t>则</w:t>
      </w:r>
      <w:bookmarkEnd w:id="18"/>
      <w:bookmarkEnd w:id="19"/>
    </w:p>
    <w:p>
      <w:pPr>
        <w:adjustRightInd w:val="0"/>
        <w:snapToGrid w:val="0"/>
        <w:spacing w:line="360" w:lineRule="exact"/>
        <w:ind w:firstLine="422" w:firstLineChars="200"/>
        <w:rPr>
          <w:rFonts w:ascii="宋体" w:hAnsi="宋体"/>
          <w:b/>
        </w:rPr>
      </w:pPr>
      <w:r>
        <w:rPr>
          <w:rFonts w:hint="eastAsia" w:ascii="宋体" w:hAnsi="宋体"/>
          <w:b/>
        </w:rPr>
        <w:t>(一)适用范围</w:t>
      </w:r>
    </w:p>
    <w:p>
      <w:pPr>
        <w:adjustRightInd w:val="0"/>
        <w:snapToGrid w:val="0"/>
        <w:spacing w:line="360" w:lineRule="exact"/>
        <w:ind w:firstLine="420" w:firstLineChars="200"/>
        <w:rPr>
          <w:rFonts w:ascii="宋体" w:hAnsi="宋体"/>
        </w:rPr>
      </w:pPr>
      <w:r>
        <w:rPr>
          <w:rFonts w:hint="eastAsia" w:ascii="宋体" w:hAnsi="宋体"/>
        </w:rPr>
        <w:t>本招标文件适用于南宁南宁广播电视台的媒资储存系统高清化改造项目的招标、投标、评标、定标、验收、合同履约、付款等行为(法律、法规另有规定的，从其规定)。</w:t>
      </w:r>
    </w:p>
    <w:p>
      <w:pPr>
        <w:adjustRightInd w:val="0"/>
        <w:snapToGrid w:val="0"/>
        <w:spacing w:line="360" w:lineRule="exact"/>
        <w:ind w:firstLine="422" w:firstLineChars="200"/>
        <w:rPr>
          <w:rFonts w:ascii="宋体" w:hAnsi="宋体"/>
          <w:b/>
        </w:rPr>
      </w:pPr>
      <w:r>
        <w:rPr>
          <w:rFonts w:hint="eastAsia" w:ascii="宋体" w:hAnsi="宋体"/>
          <w:b/>
        </w:rPr>
        <w:t>(二)定义</w:t>
      </w:r>
    </w:p>
    <w:p>
      <w:pPr>
        <w:adjustRightInd w:val="0"/>
        <w:snapToGrid w:val="0"/>
        <w:spacing w:line="360" w:lineRule="exact"/>
        <w:ind w:firstLine="420" w:firstLineChars="200"/>
        <w:rPr>
          <w:rFonts w:ascii="宋体" w:hAnsi="宋体"/>
        </w:rPr>
      </w:pPr>
      <w:r>
        <w:rPr>
          <w:rFonts w:hint="eastAsia" w:ascii="宋体" w:hAnsi="宋体"/>
        </w:rPr>
        <w:t>1．招标采购单位系指组织本次招标的采购人及采购代理机构。</w:t>
      </w:r>
    </w:p>
    <w:p>
      <w:pPr>
        <w:adjustRightInd w:val="0"/>
        <w:snapToGrid w:val="0"/>
        <w:spacing w:line="360" w:lineRule="exact"/>
        <w:ind w:firstLine="420" w:firstLineChars="200"/>
        <w:rPr>
          <w:rFonts w:ascii="宋体" w:hAnsi="宋体"/>
        </w:rPr>
      </w:pPr>
      <w:r>
        <w:rPr>
          <w:rFonts w:hint="eastAsia" w:ascii="宋体" w:hAnsi="宋体"/>
        </w:rPr>
        <w:t>2．“投标人”系指向招标方提交投标文件的单位或自然人。</w:t>
      </w:r>
    </w:p>
    <w:p>
      <w:pPr>
        <w:adjustRightInd w:val="0"/>
        <w:snapToGrid w:val="0"/>
        <w:spacing w:line="360" w:lineRule="exact"/>
        <w:ind w:firstLine="420" w:firstLineChars="200"/>
        <w:rPr>
          <w:rFonts w:ascii="宋体" w:hAnsi="宋体"/>
        </w:rPr>
      </w:pPr>
      <w:r>
        <w:rPr>
          <w:rFonts w:hint="eastAsia" w:ascii="宋体" w:hAnsi="宋体"/>
        </w:rPr>
        <w:t>3．“产品”系指供方按招标文件规定，须向采购人提供的一切设备、保险、税金、备品备件、工具、手册及其它有关技术资料和材料。</w:t>
      </w:r>
    </w:p>
    <w:p>
      <w:pPr>
        <w:adjustRightInd w:val="0"/>
        <w:snapToGrid w:val="0"/>
        <w:spacing w:line="360" w:lineRule="exact"/>
        <w:ind w:firstLine="420" w:firstLineChars="200"/>
        <w:rPr>
          <w:rFonts w:ascii="宋体" w:hAnsi="宋体"/>
        </w:rPr>
      </w:pPr>
      <w:r>
        <w:rPr>
          <w:rFonts w:hint="eastAsia" w:ascii="宋体" w:hAnsi="宋体"/>
        </w:rPr>
        <w:t>4．“服务”系指招标文件规定投标人须承担的安装、调试、技术协助、校准、培训、技术指导以及其他类似的义务。</w:t>
      </w:r>
    </w:p>
    <w:p>
      <w:pPr>
        <w:adjustRightInd w:val="0"/>
        <w:snapToGrid w:val="0"/>
        <w:spacing w:line="360" w:lineRule="exact"/>
        <w:ind w:firstLine="420" w:firstLineChars="200"/>
        <w:rPr>
          <w:rFonts w:ascii="宋体" w:hAnsi="宋体"/>
        </w:rPr>
      </w:pPr>
      <w:r>
        <w:rPr>
          <w:rFonts w:hint="eastAsia" w:ascii="宋体" w:hAnsi="宋体"/>
        </w:rPr>
        <w:t>5．“项目”系指投标人按招标文件规定向采购人提供的产品和服务。</w:t>
      </w:r>
    </w:p>
    <w:p>
      <w:pPr>
        <w:adjustRightInd w:val="0"/>
        <w:snapToGrid w:val="0"/>
        <w:spacing w:line="360" w:lineRule="exact"/>
        <w:ind w:firstLine="420" w:firstLineChars="200"/>
        <w:rPr>
          <w:rFonts w:ascii="宋体" w:hAnsi="宋体"/>
        </w:rPr>
      </w:pPr>
      <w:r>
        <w:rPr>
          <w:rFonts w:hint="eastAsia" w:ascii="宋体" w:hAnsi="宋体"/>
        </w:rPr>
        <w:t>6．“书面形式”包括信函、传真、电报等。</w:t>
      </w:r>
    </w:p>
    <w:p>
      <w:pPr>
        <w:adjustRightInd w:val="0"/>
        <w:snapToGrid w:val="0"/>
        <w:spacing w:line="360" w:lineRule="exact"/>
        <w:ind w:firstLine="420" w:firstLineChars="200"/>
        <w:rPr>
          <w:rFonts w:ascii="宋体" w:hAnsi="宋体"/>
        </w:rPr>
      </w:pPr>
      <w:r>
        <w:rPr>
          <w:rFonts w:hint="eastAsia" w:ascii="宋体" w:hAnsi="宋体"/>
        </w:rPr>
        <w:t>7．“</w:t>
      </w:r>
      <w:r>
        <w:rPr>
          <w:rFonts w:hint="eastAsia" w:ascii="宋体" w:hAnsi="宋体" w:cs="宋体"/>
        </w:rPr>
        <w:t>★</w:t>
      </w:r>
      <w:r>
        <w:rPr>
          <w:rFonts w:hint="eastAsia" w:ascii="宋体" w:hAnsi="宋体"/>
        </w:rPr>
        <w:t>”系指实质性要求条款</w:t>
      </w:r>
    </w:p>
    <w:p>
      <w:pPr>
        <w:adjustRightInd w:val="0"/>
        <w:snapToGrid w:val="0"/>
        <w:spacing w:line="360" w:lineRule="exact"/>
        <w:ind w:firstLine="422" w:firstLineChars="200"/>
        <w:rPr>
          <w:rFonts w:ascii="宋体" w:hAnsi="宋体"/>
          <w:b/>
        </w:rPr>
      </w:pPr>
      <w:r>
        <w:rPr>
          <w:rFonts w:hint="eastAsia" w:ascii="宋体" w:hAnsi="宋体"/>
          <w:b/>
        </w:rPr>
        <w:t>(三)招标方式</w:t>
      </w:r>
    </w:p>
    <w:p>
      <w:pPr>
        <w:adjustRightInd w:val="0"/>
        <w:snapToGrid w:val="0"/>
        <w:spacing w:line="360" w:lineRule="exact"/>
        <w:ind w:firstLine="420" w:firstLineChars="200"/>
        <w:rPr>
          <w:rFonts w:ascii="宋体" w:hAnsi="宋体"/>
        </w:rPr>
      </w:pPr>
      <w:r>
        <w:rPr>
          <w:rFonts w:hint="eastAsia" w:ascii="宋体" w:hAnsi="宋体"/>
        </w:rPr>
        <w:t>公开招标方式。</w:t>
      </w:r>
    </w:p>
    <w:p>
      <w:pPr>
        <w:adjustRightInd w:val="0"/>
        <w:snapToGrid w:val="0"/>
        <w:spacing w:line="360" w:lineRule="exact"/>
        <w:ind w:firstLine="422" w:firstLineChars="200"/>
        <w:rPr>
          <w:rFonts w:ascii="宋体" w:hAnsi="宋体"/>
          <w:b/>
        </w:rPr>
      </w:pPr>
      <w:r>
        <w:rPr>
          <w:rFonts w:hint="eastAsia" w:ascii="宋体" w:hAnsi="宋体"/>
          <w:b/>
        </w:rPr>
        <w:t>(四)投标委托</w:t>
      </w:r>
    </w:p>
    <w:p>
      <w:pPr>
        <w:adjustRightInd w:val="0"/>
        <w:snapToGrid w:val="0"/>
        <w:spacing w:line="360" w:lineRule="exact"/>
        <w:ind w:firstLine="420" w:firstLineChars="200"/>
        <w:rPr>
          <w:rFonts w:ascii="宋体" w:hAnsi="宋体"/>
          <w:bCs/>
        </w:rPr>
      </w:pPr>
      <w:r>
        <w:rPr>
          <w:rFonts w:hint="eastAsia" w:ascii="宋体" w:hAnsi="宋体"/>
          <w:bCs/>
        </w:rPr>
        <w:t>根据南宁市财政局《关于做好疫情防控期间政府采购工作有关事项的通知》（南财采〔2020〕12号）要求，本项目实行“不见面”开标方式，本项目的投标文件原则上应通过邮寄快递的方式送达，投标人无须参与现场开标。</w:t>
      </w:r>
    </w:p>
    <w:p>
      <w:pPr>
        <w:adjustRightInd w:val="0"/>
        <w:snapToGrid w:val="0"/>
        <w:spacing w:line="360" w:lineRule="exact"/>
        <w:ind w:firstLine="422" w:firstLineChars="200"/>
        <w:rPr>
          <w:rFonts w:ascii="宋体" w:hAnsi="宋体"/>
          <w:b/>
        </w:rPr>
      </w:pPr>
      <w:r>
        <w:rPr>
          <w:rFonts w:hint="eastAsia" w:ascii="宋体" w:hAnsi="宋体"/>
          <w:b/>
        </w:rPr>
        <w:t>(五)投标费用</w:t>
      </w:r>
    </w:p>
    <w:p>
      <w:pPr>
        <w:adjustRightInd w:val="0"/>
        <w:snapToGrid w:val="0"/>
        <w:spacing w:line="360" w:lineRule="exact"/>
        <w:ind w:firstLine="420" w:firstLineChars="200"/>
        <w:rPr>
          <w:rFonts w:ascii="宋体" w:hAnsi="宋体"/>
        </w:rPr>
      </w:pPr>
      <w:r>
        <w:rPr>
          <w:rFonts w:hint="eastAsia" w:ascii="宋体" w:hAnsi="宋体"/>
        </w:rPr>
        <w:t>投标人均应自行承担所有与投标有关的全部费用(招标文件有相关规定的除外)。</w:t>
      </w:r>
    </w:p>
    <w:p>
      <w:pPr>
        <w:adjustRightInd w:val="0"/>
        <w:snapToGrid w:val="0"/>
        <w:spacing w:line="360" w:lineRule="exact"/>
        <w:ind w:firstLine="422" w:firstLineChars="200"/>
        <w:rPr>
          <w:rFonts w:ascii="宋体" w:hAnsi="宋体"/>
          <w:b/>
        </w:rPr>
      </w:pPr>
      <w:r>
        <w:rPr>
          <w:rFonts w:hint="eastAsia" w:ascii="宋体" w:hAnsi="宋体"/>
          <w:b/>
        </w:rPr>
        <w:t>(六)联合体投标</w:t>
      </w:r>
    </w:p>
    <w:p>
      <w:pPr>
        <w:adjustRightInd w:val="0"/>
        <w:snapToGrid w:val="0"/>
        <w:spacing w:line="360" w:lineRule="exact"/>
        <w:ind w:firstLine="420" w:firstLineChars="200"/>
        <w:rPr>
          <w:rFonts w:ascii="宋体" w:hAnsi="宋体"/>
        </w:rPr>
      </w:pPr>
      <w:r>
        <w:rPr>
          <w:rFonts w:hint="eastAsia" w:ascii="宋体" w:hAnsi="宋体"/>
        </w:rPr>
        <w:t>本项目不接受联合体投标。</w:t>
      </w:r>
    </w:p>
    <w:p>
      <w:pPr>
        <w:adjustRightInd w:val="0"/>
        <w:snapToGrid w:val="0"/>
        <w:spacing w:line="360" w:lineRule="exact"/>
        <w:ind w:firstLine="422" w:firstLineChars="200"/>
        <w:rPr>
          <w:rFonts w:ascii="宋体" w:hAnsi="宋体"/>
          <w:b/>
        </w:rPr>
      </w:pPr>
      <w:r>
        <w:rPr>
          <w:rFonts w:hint="eastAsia" w:ascii="宋体" w:hAnsi="宋体"/>
          <w:b/>
        </w:rPr>
        <w:t>(七)特别说明</w:t>
      </w:r>
    </w:p>
    <w:p>
      <w:pPr>
        <w:adjustRightInd w:val="0"/>
        <w:snapToGrid w:val="0"/>
        <w:spacing w:line="360" w:lineRule="exact"/>
        <w:ind w:firstLine="420" w:firstLineChars="200"/>
        <w:rPr>
          <w:rFonts w:ascii="宋体" w:hAnsi="宋体"/>
        </w:rPr>
      </w:pPr>
      <w:r>
        <w:rPr>
          <w:rFonts w:hint="eastAsia" w:ascii="宋体" w:hAnsi="宋体" w:cs="宋体"/>
        </w:rPr>
        <w:t>★</w:t>
      </w:r>
      <w:r>
        <w:rPr>
          <w:rFonts w:hint="eastAsia" w:ascii="宋体" w:hAnsi="宋体"/>
        </w:rPr>
        <w:t>1．关于相同品牌产品的问题：</w:t>
      </w:r>
    </w:p>
    <w:p>
      <w:pPr>
        <w:adjustRightInd w:val="0"/>
        <w:snapToGrid w:val="0"/>
        <w:spacing w:line="360" w:lineRule="exact"/>
        <w:ind w:firstLine="420" w:firstLineChars="200"/>
        <w:rPr>
          <w:rFonts w:ascii="宋体" w:hAnsi="宋体"/>
        </w:rPr>
      </w:pPr>
      <w:r>
        <w:rPr>
          <w:rFonts w:hint="eastAsia" w:ascii="宋体" w:hAnsi="宋体"/>
        </w:rPr>
        <w:t>（1）提供相同品牌产品的不同投标人参加同一合同项下投标的，以其中通过资格审查、符合性审查且报价最低的参加评标，报价相同的，由采购人自主选择确定一个参加评标的投标人，其他投标无效；</w:t>
      </w:r>
    </w:p>
    <w:p>
      <w:pPr>
        <w:adjustRightInd w:val="0"/>
        <w:snapToGrid w:val="0"/>
        <w:spacing w:line="360" w:lineRule="exact"/>
        <w:ind w:firstLine="420" w:firstLineChars="200"/>
        <w:rPr>
          <w:rFonts w:ascii="宋体" w:hAnsi="宋体"/>
        </w:rPr>
      </w:pPr>
      <w:r>
        <w:rPr>
          <w:rFonts w:hint="eastAsia" w:ascii="宋体" w:hAnsi="宋体"/>
        </w:rPr>
        <w:t>（2）非单一产品采购项目中，多家投标人提供的核心产品品牌相同的，视为提供相同品牌产品。核心产品的名称应当在招标文件中载明。</w:t>
      </w:r>
    </w:p>
    <w:p>
      <w:pPr>
        <w:adjustRightInd w:val="0"/>
        <w:snapToGrid w:val="0"/>
        <w:spacing w:line="360" w:lineRule="exact"/>
        <w:ind w:firstLine="420" w:firstLineChars="200"/>
        <w:rPr>
          <w:rFonts w:ascii="宋体" w:hAnsi="宋体"/>
        </w:rPr>
      </w:pPr>
      <w:r>
        <w:rPr>
          <w:rFonts w:hint="eastAsia" w:ascii="宋体" w:hAnsi="宋体" w:cs="宋体"/>
        </w:rPr>
        <w:t>★</w:t>
      </w:r>
      <w:r>
        <w:rPr>
          <w:rFonts w:hint="eastAsia" w:ascii="宋体" w:hAnsi="宋体"/>
        </w:rPr>
        <w:t>2．关联供应商不得参加同一合同项下政府采购活动，否则投标文件将被视为无效：</w:t>
      </w:r>
    </w:p>
    <w:p>
      <w:pPr>
        <w:adjustRightInd w:val="0"/>
        <w:snapToGrid w:val="0"/>
        <w:spacing w:line="360" w:lineRule="exact"/>
        <w:ind w:firstLine="420" w:firstLineChars="200"/>
        <w:rPr>
          <w:rFonts w:ascii="宋体" w:hAnsi="宋体"/>
        </w:rPr>
      </w:pPr>
      <w:r>
        <w:rPr>
          <w:rFonts w:hint="eastAsia" w:ascii="宋体" w:hAnsi="宋体"/>
        </w:rPr>
        <w:t>（1）单位负责人为同一人或者存在直接控股、管理关系的不同的供应商，不得参加同一合同项下的政府采购活动；</w:t>
      </w:r>
    </w:p>
    <w:p>
      <w:pPr>
        <w:adjustRightInd w:val="0"/>
        <w:snapToGrid w:val="0"/>
        <w:spacing w:line="360" w:lineRule="exact"/>
        <w:ind w:firstLine="420" w:firstLineChars="200"/>
        <w:rPr>
          <w:rFonts w:ascii="宋体" w:hAnsi="宋体"/>
        </w:rPr>
      </w:pPr>
      <w:r>
        <w:rPr>
          <w:rFonts w:hint="eastAsia" w:ascii="宋体" w:hAnsi="宋体"/>
        </w:rPr>
        <w:t>（2）生产厂商授权给供应商后自己不得参加同一合同项下的政府采购活动；生产厂商对同一品牌同一型号的货物，仅能委托一个代理商参加投标。</w:t>
      </w:r>
    </w:p>
    <w:p>
      <w:pPr>
        <w:adjustRightInd w:val="0"/>
        <w:snapToGrid w:val="0"/>
        <w:spacing w:line="360" w:lineRule="exact"/>
        <w:ind w:firstLine="420" w:firstLineChars="200"/>
        <w:rPr>
          <w:rFonts w:ascii="宋体" w:hAnsi="宋体"/>
        </w:rPr>
      </w:pPr>
      <w:r>
        <w:rPr>
          <w:rFonts w:hint="eastAsia" w:ascii="宋体" w:hAnsi="宋体"/>
        </w:rPr>
        <w:t>★3．投标人投标所使用的资格、信誉、荣誉、业绩与企业认证必须为本法人所拥有。投标人投标所使用的采购项目实施人员必须为本法人员工(或必须为本法人或控股公司正式员工)。</w:t>
      </w:r>
    </w:p>
    <w:p>
      <w:pPr>
        <w:adjustRightInd w:val="0"/>
        <w:snapToGrid w:val="0"/>
        <w:spacing w:line="360" w:lineRule="exact"/>
        <w:ind w:firstLine="420" w:firstLineChars="200"/>
        <w:rPr>
          <w:rFonts w:ascii="宋体" w:hAnsi="宋体"/>
        </w:rPr>
      </w:pPr>
      <w:r>
        <w:rPr>
          <w:rFonts w:hint="eastAsia" w:ascii="宋体" w:hAnsi="宋体" w:cs="宋体"/>
        </w:rPr>
        <w:t>★4</w:t>
      </w:r>
      <w:r>
        <w:rPr>
          <w:rFonts w:hint="eastAsia" w:ascii="宋体" w:hAnsi="宋体"/>
        </w:rPr>
        <w:t>．投标人应仔细阅读招标文件的所有内容，按照招标文件的要求提交投标文件，并对所提供的全部资料的真实性承担法律责任。</w:t>
      </w:r>
    </w:p>
    <w:p>
      <w:pPr>
        <w:adjustRightInd w:val="0"/>
        <w:snapToGrid w:val="0"/>
        <w:spacing w:line="360" w:lineRule="exact"/>
        <w:ind w:firstLine="420" w:firstLineChars="200"/>
        <w:rPr>
          <w:rFonts w:ascii="宋体" w:hAnsi="宋体"/>
        </w:rPr>
      </w:pPr>
      <w:r>
        <w:rPr>
          <w:rFonts w:hint="eastAsia" w:ascii="宋体" w:hAnsi="宋体" w:cs="宋体"/>
        </w:rPr>
        <w:t>★</w:t>
      </w:r>
      <w:r>
        <w:rPr>
          <w:rFonts w:hint="eastAsia" w:ascii="宋体" w:hAnsi="宋体"/>
        </w:rPr>
        <w:t>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360" w:lineRule="exact"/>
        <w:ind w:firstLine="420" w:firstLineChars="200"/>
        <w:rPr>
          <w:rFonts w:ascii="宋体" w:hAnsi="宋体"/>
        </w:rPr>
      </w:pPr>
      <w:r>
        <w:rPr>
          <w:rFonts w:hint="eastAsia" w:ascii="宋体" w:hAnsi="宋体" w:cs="宋体"/>
        </w:rPr>
        <w:t>★</w:t>
      </w:r>
      <w:r>
        <w:rPr>
          <w:rFonts w:hint="eastAsia" w:ascii="宋体" w:hAnsi="宋体"/>
        </w:rPr>
        <w:t>6．有下列情形之一的视为投标人相互串通投标，投标文件将被视为无效：</w:t>
      </w:r>
    </w:p>
    <w:p>
      <w:pPr>
        <w:numPr>
          <w:ilvl w:val="0"/>
          <w:numId w:val="7"/>
        </w:numPr>
        <w:adjustRightInd w:val="0"/>
        <w:snapToGrid w:val="0"/>
        <w:spacing w:line="360" w:lineRule="exact"/>
        <w:ind w:firstLine="420" w:firstLineChars="200"/>
        <w:rPr>
          <w:rFonts w:ascii="宋体" w:hAnsi="宋体"/>
        </w:rPr>
      </w:pPr>
      <w:r>
        <w:rPr>
          <w:rFonts w:hint="eastAsia" w:ascii="宋体" w:hAnsi="宋体"/>
        </w:rPr>
        <w:t>不同投标人的投标文件由同一单位或者个人编制；或不同投标人报名的IP地址一致的；</w:t>
      </w:r>
    </w:p>
    <w:p>
      <w:pPr>
        <w:numPr>
          <w:ilvl w:val="0"/>
          <w:numId w:val="7"/>
        </w:numPr>
        <w:adjustRightInd w:val="0"/>
        <w:snapToGrid w:val="0"/>
        <w:spacing w:line="360" w:lineRule="exact"/>
        <w:ind w:firstLine="420" w:firstLineChars="200"/>
      </w:pPr>
      <w:r>
        <w:rPr>
          <w:rFonts w:hint="eastAsia" w:ascii="宋体" w:hAnsi="宋体"/>
        </w:rPr>
        <w:t>不同投标人委托同一单位或者个人办理投标事宜；</w:t>
      </w:r>
    </w:p>
    <w:p>
      <w:pPr>
        <w:adjustRightInd w:val="0"/>
        <w:snapToGrid w:val="0"/>
        <w:spacing w:line="360" w:lineRule="exact"/>
        <w:ind w:firstLine="420" w:firstLineChars="200"/>
        <w:rPr>
          <w:rFonts w:ascii="宋体" w:hAnsi="宋体"/>
        </w:rPr>
      </w:pPr>
      <w:r>
        <w:rPr>
          <w:rFonts w:hint="eastAsia" w:ascii="宋体" w:hAnsi="宋体"/>
        </w:rPr>
        <w:t>（3）不同的投标人的投标文件载明的项目管理员为同一个人；</w:t>
      </w:r>
    </w:p>
    <w:p>
      <w:pPr>
        <w:adjustRightInd w:val="0"/>
        <w:snapToGrid w:val="0"/>
        <w:spacing w:line="360" w:lineRule="exact"/>
        <w:ind w:firstLine="420" w:firstLineChars="200"/>
        <w:rPr>
          <w:rFonts w:ascii="宋体" w:hAnsi="宋体"/>
        </w:rPr>
      </w:pPr>
      <w:r>
        <w:rPr>
          <w:rFonts w:hint="eastAsia" w:ascii="宋体" w:hAnsi="宋体"/>
        </w:rPr>
        <w:t>（4）不同投标人的投标文件异常一致或投标报价呈规律性差异；</w:t>
      </w:r>
    </w:p>
    <w:p>
      <w:pPr>
        <w:adjustRightInd w:val="0"/>
        <w:snapToGrid w:val="0"/>
        <w:spacing w:line="360" w:lineRule="exact"/>
        <w:ind w:firstLine="420" w:firstLineChars="200"/>
        <w:rPr>
          <w:rFonts w:ascii="宋体" w:hAnsi="宋体"/>
        </w:rPr>
      </w:pPr>
      <w:r>
        <w:rPr>
          <w:rFonts w:hint="eastAsia" w:ascii="宋体" w:hAnsi="宋体"/>
        </w:rPr>
        <w:t>（5）不同投标人的投标文件相互混装；</w:t>
      </w:r>
    </w:p>
    <w:p>
      <w:pPr>
        <w:adjustRightInd w:val="0"/>
        <w:snapToGrid w:val="0"/>
        <w:spacing w:line="360" w:lineRule="exact"/>
        <w:ind w:firstLine="420" w:firstLineChars="200"/>
        <w:rPr>
          <w:rFonts w:ascii="宋体" w:hAnsi="宋体"/>
        </w:rPr>
      </w:pPr>
      <w:r>
        <w:rPr>
          <w:rFonts w:hint="eastAsia" w:ascii="宋体" w:hAnsi="宋体"/>
        </w:rPr>
        <w:t>（6）不同投标人的投标保证金从同一单位或者个人账户转出。</w:t>
      </w:r>
    </w:p>
    <w:p>
      <w:pPr>
        <w:adjustRightInd w:val="0"/>
        <w:snapToGrid w:val="0"/>
        <w:spacing w:line="360" w:lineRule="exact"/>
        <w:ind w:firstLine="422" w:firstLineChars="200"/>
        <w:rPr>
          <w:rFonts w:ascii="宋体" w:hAnsi="宋体"/>
          <w:b/>
        </w:rPr>
      </w:pPr>
      <w:r>
        <w:rPr>
          <w:rFonts w:hint="eastAsia" w:ascii="宋体" w:hAnsi="宋体"/>
          <w:b/>
        </w:rPr>
        <w:t>(八)质疑和投诉</w:t>
      </w:r>
    </w:p>
    <w:p>
      <w:pPr>
        <w:adjustRightInd w:val="0"/>
        <w:snapToGrid w:val="0"/>
        <w:spacing w:line="360" w:lineRule="exact"/>
        <w:ind w:firstLine="420" w:firstLineChars="200"/>
        <w:rPr>
          <w:rFonts w:ascii="宋体" w:hAnsi="宋体"/>
        </w:rPr>
      </w:pPr>
      <w:r>
        <w:rPr>
          <w:rFonts w:hint="eastAsia" w:ascii="宋体" w:hAnsi="宋体"/>
        </w:rPr>
        <w:t>1．投标人对政府采购活动事项有疑问的，可以向采购人、采购代理机构提出询问。采购人或者采购代理机构应当在3个工作日内对供应商依法提出的询问作出答复，但答复的内容不得涉及商业秘密。</w:t>
      </w:r>
    </w:p>
    <w:p>
      <w:pPr>
        <w:adjustRightInd w:val="0"/>
        <w:snapToGrid w:val="0"/>
        <w:spacing w:line="360" w:lineRule="exact"/>
        <w:ind w:firstLine="420" w:firstLineChars="200"/>
        <w:rPr>
          <w:rFonts w:ascii="宋体" w:hAnsi="宋体"/>
        </w:rPr>
      </w:pPr>
      <w:r>
        <w:rPr>
          <w:rFonts w:hint="eastAsia" w:ascii="宋体" w:hAnsi="宋体"/>
        </w:rPr>
        <w:t>2．投标人认为招标文件、招标过程或中标结果使自己的合法权益受到损害的，应当在知道或者应知其权益受到损害之日起七个工作日内，以书面形式向采购人、采购代理机构提出质疑。具体计算时间如下：</w:t>
      </w:r>
    </w:p>
    <w:p>
      <w:pPr>
        <w:adjustRightInd w:val="0"/>
        <w:snapToGrid w:val="0"/>
        <w:spacing w:line="360" w:lineRule="exact"/>
        <w:ind w:firstLine="420" w:firstLineChars="200"/>
        <w:rPr>
          <w:rFonts w:ascii="宋体" w:hAnsi="宋体"/>
        </w:rPr>
      </w:pPr>
      <w:r>
        <w:rPr>
          <w:rFonts w:hint="eastAsia" w:ascii="宋体" w:hAnsi="宋体"/>
        </w:rPr>
        <w:t>（1）对可以质疑的招标采购文件提出质疑的，为收到采购文件之日；</w:t>
      </w:r>
    </w:p>
    <w:p>
      <w:pPr>
        <w:adjustRightInd w:val="0"/>
        <w:snapToGrid w:val="0"/>
        <w:spacing w:line="360" w:lineRule="exact"/>
        <w:ind w:firstLine="420" w:firstLineChars="200"/>
        <w:rPr>
          <w:rFonts w:ascii="宋体" w:hAnsi="宋体"/>
        </w:rPr>
      </w:pPr>
      <w:r>
        <w:rPr>
          <w:rFonts w:hint="eastAsia" w:ascii="宋体" w:hAnsi="宋体"/>
        </w:rPr>
        <w:t>（2）对招标采购过程提出质疑的，为各采购程序环节结束之日；</w:t>
      </w:r>
    </w:p>
    <w:p>
      <w:pPr>
        <w:adjustRightInd w:val="0"/>
        <w:snapToGrid w:val="0"/>
        <w:spacing w:line="360" w:lineRule="exact"/>
        <w:ind w:firstLine="420" w:firstLineChars="200"/>
        <w:rPr>
          <w:rFonts w:ascii="宋体" w:hAnsi="宋体"/>
        </w:rPr>
      </w:pPr>
      <w:r>
        <w:rPr>
          <w:rFonts w:hint="eastAsia" w:ascii="宋体" w:hAnsi="宋体"/>
        </w:rPr>
        <w:t>（3）对中标结果提出质疑的，为中标结果公告期限届满之日。</w:t>
      </w:r>
    </w:p>
    <w:p>
      <w:pPr>
        <w:adjustRightInd w:val="0"/>
        <w:snapToGrid w:val="0"/>
        <w:spacing w:line="360" w:lineRule="exact"/>
        <w:ind w:firstLine="420" w:firstLineChars="200"/>
        <w:rPr>
          <w:rFonts w:ascii="宋体" w:hAnsi="宋体"/>
        </w:rPr>
      </w:pPr>
      <w:r>
        <w:rPr>
          <w:rFonts w:hint="eastAsia" w:ascii="宋体" w:hAnsi="宋体"/>
        </w:rPr>
        <w:t>投标人对招标采购单位的质疑答复不满意或者招标采购单位未在规定时间内作出答复的，可以在答复期满后十五个工作日内向同级采购监管部门投诉。</w:t>
      </w:r>
    </w:p>
    <w:p>
      <w:pPr>
        <w:adjustRightInd w:val="0"/>
        <w:snapToGrid w:val="0"/>
        <w:spacing w:line="360" w:lineRule="exact"/>
        <w:ind w:firstLine="420" w:firstLineChars="200"/>
        <w:rPr>
          <w:rFonts w:ascii="宋体" w:hAnsi="宋体"/>
        </w:rPr>
      </w:pPr>
      <w:r>
        <w:rPr>
          <w:rFonts w:hint="eastAsia" w:ascii="宋体" w:hAnsi="宋体"/>
        </w:rPr>
        <w:t>3．质疑、投诉应当采用书面形式，质疑书、投诉书均应明确阐述招标文件、招标过程或中标结果中使自己合法权益受到损害的实质性内容，提供相关事实、依据和证据及其来源或线索，便于有关单位调查、答复和处理。</w:t>
      </w:r>
    </w:p>
    <w:p>
      <w:pPr>
        <w:adjustRightInd w:val="0"/>
        <w:snapToGrid w:val="0"/>
        <w:spacing w:line="360" w:lineRule="exact"/>
        <w:ind w:firstLine="420" w:firstLineChars="200"/>
        <w:rPr>
          <w:rFonts w:ascii="宋体" w:hAnsi="宋体"/>
          <w:bCs/>
        </w:rPr>
      </w:pPr>
      <w:r>
        <w:rPr>
          <w:rFonts w:hint="eastAsia" w:ascii="宋体" w:hAnsi="宋体"/>
          <w:bCs/>
        </w:rPr>
        <w:t>质疑联系部门及电话为：中资国际工程咨询集团有限责任公司         0771-5675006</w:t>
      </w:r>
    </w:p>
    <w:p>
      <w:pPr>
        <w:pStyle w:val="37"/>
        <w:snapToGrid w:val="0"/>
        <w:spacing w:line="360" w:lineRule="exact"/>
        <w:ind w:firstLine="420" w:firstLineChars="200"/>
        <w:rPr>
          <w:rFonts w:hAnsi="宋体"/>
          <w:bCs/>
          <w:sz w:val="21"/>
        </w:rPr>
      </w:pPr>
      <w:r>
        <w:rPr>
          <w:rFonts w:hint="eastAsia" w:hAnsi="宋体"/>
          <w:bCs/>
          <w:sz w:val="21"/>
        </w:rPr>
        <w:t>投诉联系部门及电话为：南宁市财政局政府采购监督管理办公室       0771-2189091</w:t>
      </w:r>
    </w:p>
    <w:p>
      <w:pPr>
        <w:pStyle w:val="37"/>
        <w:adjustRightInd w:val="0"/>
        <w:snapToGrid w:val="0"/>
        <w:spacing w:line="360" w:lineRule="exact"/>
        <w:ind w:firstLine="420" w:firstLineChars="200"/>
        <w:rPr>
          <w:rFonts w:hAnsi="宋体"/>
          <w:kern w:val="2"/>
          <w:sz w:val="21"/>
        </w:rPr>
      </w:pPr>
    </w:p>
    <w:p>
      <w:pPr>
        <w:adjustRightInd w:val="0"/>
        <w:snapToGrid w:val="0"/>
        <w:spacing w:line="360" w:lineRule="exact"/>
        <w:jc w:val="center"/>
        <w:rPr>
          <w:rFonts w:ascii="宋体" w:hAnsi="宋体"/>
          <w:b/>
        </w:rPr>
      </w:pPr>
      <w:bookmarkStart w:id="22" w:name="_Toc425318871"/>
      <w:bookmarkStart w:id="23" w:name="_Toc407015651"/>
      <w:r>
        <w:rPr>
          <w:rFonts w:hint="eastAsia" w:ascii="宋体" w:hAnsi="宋体"/>
          <w:b/>
        </w:rPr>
        <w:t>二、招标文件</w:t>
      </w:r>
      <w:bookmarkEnd w:id="22"/>
      <w:bookmarkEnd w:id="23"/>
    </w:p>
    <w:p>
      <w:pPr>
        <w:adjustRightInd w:val="0"/>
        <w:snapToGrid w:val="0"/>
        <w:spacing w:line="360" w:lineRule="exact"/>
        <w:ind w:firstLine="422" w:firstLineChars="200"/>
        <w:rPr>
          <w:rFonts w:ascii="宋体" w:hAnsi="宋体"/>
          <w:b/>
        </w:rPr>
      </w:pPr>
      <w:r>
        <w:rPr>
          <w:rFonts w:hint="eastAsia" w:ascii="宋体" w:hAnsi="宋体"/>
          <w:b/>
        </w:rPr>
        <w:t>(一)招标文件的构成</w:t>
      </w:r>
    </w:p>
    <w:p>
      <w:pPr>
        <w:adjustRightInd w:val="0"/>
        <w:snapToGrid w:val="0"/>
        <w:spacing w:line="360" w:lineRule="exact"/>
        <w:ind w:firstLine="420" w:firstLineChars="200"/>
        <w:rPr>
          <w:rFonts w:ascii="宋体" w:hAnsi="宋体"/>
        </w:rPr>
      </w:pPr>
      <w:r>
        <w:rPr>
          <w:rFonts w:hint="eastAsia" w:ascii="宋体" w:hAnsi="宋体"/>
        </w:rPr>
        <w:t>1．公开招标公告；</w:t>
      </w:r>
    </w:p>
    <w:p>
      <w:pPr>
        <w:adjustRightInd w:val="0"/>
        <w:snapToGrid w:val="0"/>
        <w:spacing w:line="360" w:lineRule="exact"/>
        <w:ind w:firstLine="420" w:firstLineChars="200"/>
        <w:rPr>
          <w:rFonts w:ascii="宋体" w:hAnsi="宋体"/>
        </w:rPr>
      </w:pPr>
      <w:r>
        <w:rPr>
          <w:rFonts w:hint="eastAsia" w:ascii="宋体" w:hAnsi="宋体"/>
        </w:rPr>
        <w:t>2．招标项目采购需求；</w:t>
      </w:r>
    </w:p>
    <w:p>
      <w:pPr>
        <w:adjustRightInd w:val="0"/>
        <w:snapToGrid w:val="0"/>
        <w:spacing w:line="360" w:lineRule="exact"/>
        <w:ind w:firstLine="420" w:firstLineChars="200"/>
        <w:rPr>
          <w:rFonts w:ascii="宋体" w:hAnsi="宋体"/>
        </w:rPr>
      </w:pPr>
      <w:r>
        <w:rPr>
          <w:rFonts w:hint="eastAsia" w:ascii="宋体" w:hAnsi="宋体"/>
        </w:rPr>
        <w:t>3．投标人须知；</w:t>
      </w:r>
    </w:p>
    <w:p>
      <w:pPr>
        <w:adjustRightInd w:val="0"/>
        <w:snapToGrid w:val="0"/>
        <w:spacing w:line="360" w:lineRule="exact"/>
        <w:ind w:firstLine="420" w:firstLineChars="200"/>
        <w:rPr>
          <w:rFonts w:ascii="宋体" w:hAnsi="宋体"/>
        </w:rPr>
      </w:pPr>
      <w:r>
        <w:rPr>
          <w:rFonts w:hint="eastAsia" w:ascii="宋体" w:hAnsi="宋体"/>
        </w:rPr>
        <w:t>4．评标办法及评分标准；</w:t>
      </w:r>
    </w:p>
    <w:p>
      <w:pPr>
        <w:adjustRightInd w:val="0"/>
        <w:snapToGrid w:val="0"/>
        <w:spacing w:line="360" w:lineRule="exact"/>
        <w:ind w:firstLine="420" w:firstLineChars="200"/>
        <w:rPr>
          <w:rFonts w:ascii="宋体" w:hAnsi="宋体"/>
        </w:rPr>
      </w:pPr>
      <w:r>
        <w:rPr>
          <w:rFonts w:hint="eastAsia" w:ascii="宋体" w:hAnsi="宋体"/>
        </w:rPr>
        <w:t>5．合同主要条款格式；</w:t>
      </w:r>
    </w:p>
    <w:p>
      <w:pPr>
        <w:adjustRightInd w:val="0"/>
        <w:snapToGrid w:val="0"/>
        <w:spacing w:line="360" w:lineRule="exact"/>
        <w:ind w:firstLine="420" w:firstLineChars="200"/>
        <w:rPr>
          <w:rFonts w:ascii="宋体" w:hAnsi="宋体"/>
        </w:rPr>
      </w:pPr>
      <w:r>
        <w:rPr>
          <w:rFonts w:hint="eastAsia" w:ascii="宋体" w:hAnsi="宋体"/>
        </w:rPr>
        <w:t>6．投标文件格式。</w:t>
      </w:r>
    </w:p>
    <w:p>
      <w:pPr>
        <w:adjustRightInd w:val="0"/>
        <w:snapToGrid w:val="0"/>
        <w:spacing w:line="360" w:lineRule="exact"/>
        <w:ind w:firstLine="422" w:firstLineChars="200"/>
        <w:rPr>
          <w:rFonts w:ascii="宋体" w:hAnsi="宋体"/>
          <w:b/>
        </w:rPr>
      </w:pPr>
      <w:r>
        <w:rPr>
          <w:rFonts w:hint="eastAsia" w:ascii="宋体" w:hAnsi="宋体"/>
          <w:b/>
        </w:rPr>
        <w:t>(二)投标人的风险</w:t>
      </w:r>
    </w:p>
    <w:p>
      <w:pPr>
        <w:adjustRightInd w:val="0"/>
        <w:snapToGrid w:val="0"/>
        <w:spacing w:line="36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pPr>
        <w:adjustRightInd w:val="0"/>
        <w:snapToGrid w:val="0"/>
        <w:spacing w:line="360" w:lineRule="exact"/>
        <w:ind w:firstLine="422" w:firstLineChars="200"/>
        <w:rPr>
          <w:rFonts w:ascii="宋体" w:hAnsi="宋体"/>
        </w:rPr>
      </w:pPr>
      <w:r>
        <w:rPr>
          <w:rFonts w:hint="eastAsia" w:ascii="宋体" w:hAnsi="宋体"/>
          <w:b/>
        </w:rPr>
        <w:t>(三)招标文件的澄清与修改</w:t>
      </w:r>
    </w:p>
    <w:p>
      <w:pPr>
        <w:adjustRightInd w:val="0"/>
        <w:snapToGrid w:val="0"/>
        <w:spacing w:line="360" w:lineRule="exact"/>
        <w:ind w:firstLine="420" w:firstLineChars="200"/>
        <w:rPr>
          <w:rFonts w:ascii="宋体" w:hAnsi="宋体"/>
        </w:rPr>
      </w:pPr>
      <w:r>
        <w:rPr>
          <w:rFonts w:hint="eastAsia" w:ascii="宋体" w:hAnsi="宋体"/>
        </w:rPr>
        <w:t>1．投标人应认真阅读本招标文件，发现其中有误或有不合理要求的，投标人必须在招标文件要求提交投标文件截止时间十日前以书面形式要求招标采购单位澄清。采购代理机构对已发出的招标文件进行必要澄清、答复、修改或补充的，应当在招标文件要求提交投标文件截止时间十五日前，在财政部门指定的政府采购信息发布媒体上发布更正公告，各投标人自行登录查看，网站地址详见公告，本公司不对各投标人做另行通知。</w:t>
      </w:r>
    </w:p>
    <w:p>
      <w:pPr>
        <w:adjustRightInd w:val="0"/>
        <w:snapToGrid w:val="0"/>
        <w:spacing w:line="360" w:lineRule="exact"/>
        <w:ind w:firstLine="420" w:firstLineChars="200"/>
        <w:rPr>
          <w:rFonts w:ascii="宋体" w:hAnsi="宋体"/>
        </w:rPr>
      </w:pPr>
      <w:r>
        <w:rPr>
          <w:rFonts w:hint="eastAsia" w:ascii="宋体" w:hAnsi="宋体"/>
        </w:rPr>
        <w:t>该澄清或者修改的内容为招标文件的组成部分。</w:t>
      </w:r>
    </w:p>
    <w:p>
      <w:pPr>
        <w:adjustRightInd w:val="0"/>
        <w:snapToGrid w:val="0"/>
        <w:spacing w:line="360" w:lineRule="exact"/>
        <w:ind w:firstLine="420" w:firstLineChars="200"/>
        <w:rPr>
          <w:rFonts w:ascii="宋体" w:hAnsi="宋体"/>
        </w:rPr>
      </w:pPr>
      <w:r>
        <w:rPr>
          <w:rFonts w:hint="eastAsia" w:ascii="宋体" w:hAnsi="宋体"/>
        </w:rPr>
        <w:t>2．采购代理机构必须以网页形式答复投标人要求澄清的问题，并将不包含问题来源的答复在财政部门指定的政府采购信息发布媒体上以网页形式对外公布，各投标人自行登录查看，网站地址详见公告，本公司不对各投标人做另行通知。</w:t>
      </w:r>
    </w:p>
    <w:p>
      <w:pPr>
        <w:adjustRightInd w:val="0"/>
        <w:snapToGrid w:val="0"/>
        <w:spacing w:line="36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3．招标文件澄清、答复、修改、补充的内容为招标文件的组成部分。当招标文件与招标文件的答复、澄清、修改、补充通知就同一内容的表述不一致时，以最后发出的网页附件文件为准。</w:t>
      </w:r>
    </w:p>
    <w:p>
      <w:pPr>
        <w:adjustRightInd w:val="0"/>
        <w:snapToGrid w:val="0"/>
        <w:spacing w:line="360" w:lineRule="exact"/>
        <w:ind w:firstLine="420" w:firstLineChars="200"/>
        <w:rPr>
          <w:rFonts w:ascii="宋体" w:hAnsi="宋体"/>
        </w:rPr>
      </w:pPr>
      <w:r>
        <w:rPr>
          <w:rFonts w:hint="eastAsia" w:ascii="宋体" w:hAnsi="宋体"/>
        </w:rPr>
        <w:t>4．招标文件的澄清、答复、修改或补充都应该通过本采购代理机构以法定形式发布，采购人非通过本机构，不得擅自澄清、答复、修改或补充招标文件。</w:t>
      </w:r>
    </w:p>
    <w:p>
      <w:pPr>
        <w:adjustRightInd w:val="0"/>
        <w:snapToGrid w:val="0"/>
        <w:spacing w:line="360" w:lineRule="exact"/>
        <w:ind w:firstLine="420" w:firstLineChars="200"/>
        <w:rPr>
          <w:rFonts w:ascii="宋体" w:hAnsi="宋体"/>
        </w:rPr>
      </w:pPr>
      <w:r>
        <w:rPr>
          <w:rFonts w:hint="eastAsia" w:ascii="宋体" w:hAnsi="宋体"/>
        </w:rPr>
        <w:t>5．采购人可以视采购具体情况，延长投标截止时间和开标时间，但至少应当在招标文件要求提交投标文件的截止时间三日前将变更时间书面通知在财政部门指定的政府采购信息发布媒体上发布变更公告。</w:t>
      </w:r>
    </w:p>
    <w:p>
      <w:pPr>
        <w:pStyle w:val="28"/>
      </w:pPr>
    </w:p>
    <w:p>
      <w:pPr>
        <w:adjustRightInd w:val="0"/>
        <w:snapToGrid w:val="0"/>
        <w:spacing w:line="360" w:lineRule="exact"/>
        <w:jc w:val="center"/>
        <w:rPr>
          <w:rFonts w:ascii="宋体" w:hAnsi="宋体"/>
          <w:b/>
        </w:rPr>
      </w:pPr>
      <w:bookmarkStart w:id="24" w:name="_Toc425318872"/>
      <w:r>
        <w:rPr>
          <w:rFonts w:hint="eastAsia" w:ascii="宋体" w:hAnsi="宋体"/>
          <w:b/>
        </w:rPr>
        <w:t>三、投标文件的编制</w:t>
      </w:r>
      <w:bookmarkEnd w:id="24"/>
    </w:p>
    <w:p>
      <w:pPr>
        <w:spacing w:line="360" w:lineRule="exact"/>
        <w:ind w:firstLine="422" w:firstLineChars="200"/>
        <w:rPr>
          <w:b/>
          <w:szCs w:val="20"/>
        </w:rPr>
      </w:pPr>
      <w:bookmarkStart w:id="25" w:name="_Toc289095634"/>
      <w:bookmarkStart w:id="26" w:name="_Toc254970677"/>
      <w:bookmarkStart w:id="27" w:name="_Toc254970536"/>
      <w:r>
        <w:rPr>
          <w:rFonts w:hint="eastAsia"/>
          <w:b/>
        </w:rPr>
        <w:t>（一）投标文件的组成</w:t>
      </w:r>
      <w:bookmarkEnd w:id="25"/>
      <w:bookmarkEnd w:id="26"/>
      <w:bookmarkEnd w:id="27"/>
    </w:p>
    <w:p>
      <w:pPr>
        <w:adjustRightInd w:val="0"/>
        <w:snapToGrid w:val="0"/>
        <w:spacing w:line="360" w:lineRule="exact"/>
        <w:ind w:firstLine="420" w:firstLineChars="200"/>
        <w:jc w:val="left"/>
        <w:rPr>
          <w:rFonts w:ascii="宋体" w:hAnsi="宋体"/>
        </w:rPr>
      </w:pPr>
      <w:r>
        <w:rPr>
          <w:rFonts w:hint="eastAsia" w:ascii="宋体" w:hAnsi="宋体"/>
        </w:rPr>
        <w:t>投标文件由投标报价文件、资信及商务文件、技术文件三部份组成。</w:t>
      </w:r>
    </w:p>
    <w:p>
      <w:pPr>
        <w:adjustRightInd w:val="0"/>
        <w:snapToGrid w:val="0"/>
        <w:spacing w:line="360" w:lineRule="exact"/>
        <w:ind w:firstLine="482" w:firstLineChars="200"/>
        <w:jc w:val="left"/>
        <w:rPr>
          <w:rFonts w:ascii="宋体" w:hAnsi="宋体"/>
          <w:b/>
          <w:sz w:val="24"/>
          <w:szCs w:val="20"/>
        </w:rPr>
      </w:pPr>
      <w:r>
        <w:rPr>
          <w:rFonts w:hint="eastAsia" w:ascii="宋体" w:hAnsi="宋体"/>
          <w:b/>
          <w:sz w:val="24"/>
        </w:rPr>
        <w:t>1．报价文件：</w:t>
      </w:r>
    </w:p>
    <w:p>
      <w:pPr>
        <w:tabs>
          <w:tab w:val="left" w:pos="3870"/>
          <w:tab w:val="left" w:pos="4085"/>
        </w:tabs>
        <w:adjustRightInd w:val="0"/>
        <w:snapToGrid w:val="0"/>
        <w:spacing w:line="360" w:lineRule="exact"/>
        <w:ind w:firstLine="420" w:firstLineChars="200"/>
        <w:jc w:val="left"/>
        <w:rPr>
          <w:rFonts w:ascii="宋体" w:hAnsi="宋体"/>
        </w:rPr>
      </w:pPr>
      <w:r>
        <w:rPr>
          <w:rFonts w:hint="eastAsia" w:ascii="宋体" w:hAnsi="宋体"/>
        </w:rPr>
        <w:t>（1）</w:t>
      </w:r>
      <w:r>
        <w:rPr>
          <w:rFonts w:hint="eastAsia" w:ascii="宋体" w:hAnsi="宋体"/>
          <w:b/>
        </w:rPr>
        <w:t>投标函</w:t>
      </w:r>
      <w:r>
        <w:rPr>
          <w:rFonts w:hint="eastAsia" w:ascii="宋体" w:hAnsi="宋体"/>
        </w:rPr>
        <w:t>（格式见附件）；</w:t>
      </w:r>
      <w:r>
        <w:rPr>
          <w:rFonts w:hint="eastAsia" w:ascii="宋体" w:hAnsi="宋体"/>
          <w:b/>
        </w:rPr>
        <w:t>[必须提供]</w:t>
      </w:r>
    </w:p>
    <w:p>
      <w:pPr>
        <w:tabs>
          <w:tab w:val="left" w:pos="3870"/>
          <w:tab w:val="left" w:pos="4085"/>
        </w:tabs>
        <w:adjustRightInd w:val="0"/>
        <w:snapToGrid w:val="0"/>
        <w:spacing w:line="360" w:lineRule="exact"/>
        <w:ind w:firstLine="420" w:firstLineChars="200"/>
        <w:jc w:val="left"/>
        <w:rPr>
          <w:rFonts w:ascii="宋体" w:hAnsi="宋体"/>
        </w:rPr>
      </w:pPr>
      <w:r>
        <w:rPr>
          <w:rFonts w:hint="eastAsia" w:ascii="宋体" w:hAnsi="宋体"/>
        </w:rPr>
        <w:t>（2）</w:t>
      </w:r>
      <w:r>
        <w:rPr>
          <w:rFonts w:hint="eastAsia" w:ascii="宋体" w:hAnsi="宋体"/>
          <w:b/>
        </w:rPr>
        <w:t>投标报价明细表</w:t>
      </w:r>
      <w:r>
        <w:rPr>
          <w:rFonts w:hint="eastAsia" w:ascii="宋体" w:hAnsi="宋体"/>
        </w:rPr>
        <w:t>（格式见附件）；</w:t>
      </w:r>
      <w:r>
        <w:rPr>
          <w:rFonts w:hint="eastAsia" w:ascii="宋体" w:hAnsi="宋体"/>
          <w:b/>
        </w:rPr>
        <w:t>[必须提供]</w:t>
      </w:r>
    </w:p>
    <w:p>
      <w:pPr>
        <w:tabs>
          <w:tab w:val="left" w:pos="3870"/>
          <w:tab w:val="left" w:pos="4085"/>
        </w:tabs>
        <w:adjustRightInd w:val="0"/>
        <w:snapToGrid w:val="0"/>
        <w:spacing w:line="360" w:lineRule="exact"/>
        <w:ind w:firstLine="420" w:firstLineChars="200"/>
        <w:jc w:val="left"/>
        <w:rPr>
          <w:rFonts w:ascii="宋体" w:hAnsi="宋体"/>
        </w:rPr>
      </w:pPr>
      <w:r>
        <w:rPr>
          <w:rFonts w:hint="eastAsia" w:ascii="宋体" w:hAnsi="宋体"/>
        </w:rPr>
        <w:t>（3）投标人针对报价需要说明的其他文件和说明（格式自拟）。</w:t>
      </w:r>
      <w:r>
        <w:rPr>
          <w:rFonts w:hint="eastAsia" w:ascii="宋体" w:hAnsi="宋体"/>
          <w:b/>
        </w:rPr>
        <w:t>[必须提供]</w:t>
      </w:r>
    </w:p>
    <w:p>
      <w:pPr>
        <w:tabs>
          <w:tab w:val="left" w:pos="3870"/>
          <w:tab w:val="left" w:pos="4085"/>
        </w:tabs>
        <w:adjustRightInd w:val="0"/>
        <w:snapToGrid w:val="0"/>
        <w:spacing w:line="360" w:lineRule="exact"/>
        <w:ind w:firstLine="420" w:firstLineChars="200"/>
        <w:jc w:val="left"/>
        <w:rPr>
          <w:rFonts w:ascii="宋体" w:hAnsi="宋体"/>
        </w:rPr>
      </w:pPr>
      <w:r>
        <w:rPr>
          <w:rFonts w:hint="eastAsia" w:ascii="宋体" w:hAnsi="宋体"/>
        </w:rPr>
        <w:t>（4）</w:t>
      </w:r>
      <w:r>
        <w:rPr>
          <w:rFonts w:hint="eastAsia" w:ascii="宋体" w:hAnsi="宋体"/>
          <w:b/>
        </w:rPr>
        <w:t>开标一览表</w:t>
      </w:r>
      <w:r>
        <w:rPr>
          <w:rFonts w:hint="eastAsia" w:ascii="宋体" w:hAnsi="宋体"/>
        </w:rPr>
        <w:t>（单独封装、单独递交，格式见附件）；</w:t>
      </w:r>
      <w:r>
        <w:rPr>
          <w:rFonts w:hint="eastAsia" w:ascii="宋体" w:hAnsi="宋体"/>
          <w:b/>
        </w:rPr>
        <w:t>[必须提供]</w:t>
      </w:r>
    </w:p>
    <w:p>
      <w:pPr>
        <w:adjustRightInd w:val="0"/>
        <w:snapToGrid w:val="0"/>
        <w:spacing w:before="156" w:beforeLines="50" w:line="360" w:lineRule="exact"/>
        <w:ind w:firstLine="482" w:firstLineChars="200"/>
        <w:jc w:val="left"/>
        <w:rPr>
          <w:rFonts w:ascii="宋体" w:hAnsi="宋体"/>
          <w:b/>
          <w:sz w:val="24"/>
          <w:szCs w:val="20"/>
        </w:rPr>
      </w:pPr>
      <w:r>
        <w:rPr>
          <w:rFonts w:hint="eastAsia" w:ascii="宋体" w:hAnsi="宋体"/>
          <w:b/>
          <w:sz w:val="24"/>
        </w:rPr>
        <w:t>2．资信及商务文件：</w:t>
      </w:r>
    </w:p>
    <w:p>
      <w:pPr>
        <w:adjustRightInd w:val="0"/>
        <w:snapToGrid w:val="0"/>
        <w:spacing w:line="360" w:lineRule="exact"/>
        <w:ind w:firstLine="420" w:firstLineChars="200"/>
        <w:rPr>
          <w:rFonts w:ascii="宋体" w:hAnsi="宋体"/>
        </w:rPr>
      </w:pPr>
      <w:r>
        <w:rPr>
          <w:rFonts w:hint="eastAsia" w:ascii="宋体" w:hAnsi="宋体"/>
        </w:rPr>
        <w:t>（1）</w:t>
      </w:r>
      <w:r>
        <w:rPr>
          <w:rFonts w:hint="eastAsia" w:ascii="宋体" w:hAnsi="宋体"/>
          <w:b/>
        </w:rPr>
        <w:t>投标声明书</w:t>
      </w:r>
      <w:r>
        <w:rPr>
          <w:rFonts w:hint="eastAsia" w:ascii="宋体" w:hAnsi="宋体"/>
        </w:rPr>
        <w:t>(格式见附件)；[必须提供]</w:t>
      </w:r>
    </w:p>
    <w:p>
      <w:pPr>
        <w:adjustRightInd w:val="0"/>
        <w:snapToGrid w:val="0"/>
        <w:spacing w:line="360" w:lineRule="exact"/>
        <w:ind w:firstLine="420" w:firstLineChars="200"/>
        <w:rPr>
          <w:rFonts w:ascii="宋体" w:hAnsi="宋体"/>
        </w:rPr>
      </w:pPr>
      <w:r>
        <w:rPr>
          <w:rFonts w:hint="eastAsia" w:ascii="宋体" w:hAnsi="宋体"/>
        </w:rPr>
        <w:t>（2）</w:t>
      </w:r>
      <w:r>
        <w:rPr>
          <w:rFonts w:hint="eastAsia" w:ascii="宋体" w:hAnsi="宋体"/>
          <w:b/>
        </w:rPr>
        <w:t>法定代表人授权委托书(格式见附件)及委托代理人身份证复印件</w:t>
      </w:r>
      <w:r>
        <w:rPr>
          <w:rFonts w:hint="eastAsia" w:ascii="宋体" w:hAnsi="宋体"/>
        </w:rPr>
        <w:t>；[必须提供]</w:t>
      </w:r>
    </w:p>
    <w:p>
      <w:pPr>
        <w:adjustRightInd w:val="0"/>
        <w:snapToGrid w:val="0"/>
        <w:spacing w:line="360" w:lineRule="exact"/>
        <w:ind w:firstLine="420" w:firstLineChars="200"/>
        <w:rPr>
          <w:rFonts w:ascii="宋体" w:hAnsi="宋体"/>
        </w:rPr>
      </w:pPr>
      <w:r>
        <w:rPr>
          <w:rFonts w:hint="eastAsia" w:ascii="宋体" w:hAnsi="宋体"/>
        </w:rPr>
        <w:t>（3）</w:t>
      </w:r>
      <w:r>
        <w:rPr>
          <w:rFonts w:hint="eastAsia" w:ascii="宋体" w:hAnsi="宋体"/>
          <w:b/>
        </w:rPr>
        <w:t>营业执照副本复印件；</w:t>
      </w:r>
      <w:r>
        <w:rPr>
          <w:rFonts w:hint="eastAsia" w:ascii="宋体" w:hAnsi="宋体"/>
        </w:rPr>
        <w:t>[必须提供]</w:t>
      </w:r>
    </w:p>
    <w:p>
      <w:pPr>
        <w:adjustRightInd w:val="0"/>
        <w:snapToGrid w:val="0"/>
        <w:spacing w:line="360" w:lineRule="exact"/>
        <w:ind w:firstLine="420" w:firstLineChars="200"/>
        <w:rPr>
          <w:rFonts w:ascii="宋体" w:hAnsi="宋体"/>
        </w:rPr>
      </w:pPr>
      <w:r>
        <w:rPr>
          <w:rFonts w:hint="eastAsia" w:ascii="宋体" w:hAnsi="宋体"/>
        </w:rPr>
        <w:t>（4）</w:t>
      </w:r>
      <w:r>
        <w:rPr>
          <w:rFonts w:hint="eastAsia" w:ascii="宋体" w:hAnsi="宋体"/>
          <w:b/>
        </w:rPr>
        <w:t>税务登记证及组织机构代码证副本复印件；</w:t>
      </w:r>
      <w:r>
        <w:rPr>
          <w:rFonts w:hint="eastAsia" w:ascii="宋体" w:hAnsi="宋体"/>
        </w:rPr>
        <w:t>[必须提供，</w:t>
      </w:r>
      <w:r>
        <w:rPr>
          <w:rFonts w:hint="eastAsia" w:ascii="宋体" w:hAnsi="宋体"/>
          <w:b/>
        </w:rPr>
        <w:t>三证合一除外</w:t>
      </w:r>
      <w:r>
        <w:rPr>
          <w:rFonts w:hint="eastAsia" w:ascii="宋体" w:hAnsi="宋体"/>
        </w:rPr>
        <w:t>]</w:t>
      </w:r>
    </w:p>
    <w:p>
      <w:pPr>
        <w:adjustRightInd w:val="0"/>
        <w:snapToGrid w:val="0"/>
        <w:spacing w:line="360" w:lineRule="exact"/>
        <w:ind w:firstLine="420" w:firstLineChars="200"/>
        <w:rPr>
          <w:rFonts w:ascii="宋体" w:hAnsi="宋体"/>
        </w:rPr>
      </w:pPr>
      <w:r>
        <w:rPr>
          <w:rFonts w:hint="eastAsia" w:ascii="宋体" w:hAnsi="宋体"/>
        </w:rPr>
        <w:t>（5）</w:t>
      </w:r>
      <w:r>
        <w:rPr>
          <w:rFonts w:hint="eastAsia" w:ascii="宋体" w:hAnsi="宋体"/>
          <w:b/>
        </w:rPr>
        <w:t>商务响应表</w:t>
      </w:r>
      <w:r>
        <w:rPr>
          <w:rFonts w:hint="eastAsia" w:ascii="宋体" w:hAnsi="宋体"/>
        </w:rPr>
        <w:t>(格式见附件)；[必须提供]</w:t>
      </w:r>
    </w:p>
    <w:p>
      <w:pPr>
        <w:snapToGrid w:val="0"/>
        <w:spacing w:line="360" w:lineRule="exact"/>
        <w:ind w:firstLine="420" w:firstLineChars="200"/>
        <w:jc w:val="left"/>
        <w:rPr>
          <w:rFonts w:ascii="宋体" w:hAnsi="宋体"/>
        </w:rPr>
      </w:pPr>
      <w:r>
        <w:rPr>
          <w:rFonts w:hint="eastAsia" w:ascii="宋体" w:hAnsi="宋体"/>
        </w:rPr>
        <w:t>（6）</w:t>
      </w:r>
      <w:r>
        <w:rPr>
          <w:rFonts w:hint="eastAsia" w:ascii="宋体" w:hAnsi="宋体"/>
          <w:b/>
        </w:rPr>
        <w:t>投标人投标截止日之前半年内连续三个月的依法缴纳税收[税费凭证复印件，或者依法缴纳税费或依法免缴税费的证明（复印件，原件备查）；无税额月份应提供税务部门出具的零申报证明]</w:t>
      </w:r>
      <w:r>
        <w:rPr>
          <w:rFonts w:hint="eastAsia" w:ascii="宋体" w:hAnsi="宋体"/>
        </w:rPr>
        <w:t>。[必须提供]</w:t>
      </w:r>
    </w:p>
    <w:p>
      <w:pPr>
        <w:snapToGrid w:val="0"/>
        <w:spacing w:line="360" w:lineRule="exact"/>
        <w:ind w:firstLine="420" w:firstLineChars="200"/>
        <w:jc w:val="left"/>
        <w:rPr>
          <w:rFonts w:ascii="宋体" w:hAnsi="宋体"/>
        </w:rPr>
      </w:pPr>
      <w:r>
        <w:rPr>
          <w:rFonts w:hint="eastAsia" w:ascii="宋体" w:hAnsi="宋体"/>
        </w:rPr>
        <w:t>（7）</w:t>
      </w:r>
      <w:r>
        <w:rPr>
          <w:rFonts w:hint="eastAsia" w:ascii="宋体" w:hAnsi="宋体"/>
          <w:b/>
        </w:rPr>
        <w:t>投标人投标截止日之前半年内连续三个月的社保缴费凭证或社保证明（社保证明必须经投标人所在地社保部门盖章确认），原件备查</w:t>
      </w:r>
      <w:r>
        <w:rPr>
          <w:rFonts w:hint="eastAsia" w:ascii="宋体" w:hAnsi="宋体"/>
        </w:rPr>
        <w:t>。[必须提供]</w:t>
      </w:r>
    </w:p>
    <w:p>
      <w:pPr>
        <w:snapToGrid w:val="0"/>
        <w:spacing w:line="360" w:lineRule="exact"/>
        <w:ind w:firstLine="420" w:firstLineChars="200"/>
        <w:jc w:val="left"/>
        <w:rPr>
          <w:rFonts w:ascii="黑体" w:hAnsi="宋体" w:eastAsia="黑体"/>
          <w:b/>
        </w:rPr>
      </w:pPr>
      <w:r>
        <w:rPr>
          <w:rFonts w:hint="eastAsia" w:ascii="宋体" w:hAnsi="宋体"/>
        </w:rPr>
        <w:t>（8）</w:t>
      </w:r>
      <w:r>
        <w:rPr>
          <w:rFonts w:hint="eastAsia" w:ascii="宋体" w:hAnsi="宋体"/>
          <w:b/>
        </w:rPr>
        <w:t>投标人2019年年度财务报表复印件（必须提供，新建企业按实际提供），原件备查。</w:t>
      </w:r>
    </w:p>
    <w:p>
      <w:pPr>
        <w:snapToGrid w:val="0"/>
        <w:spacing w:line="360" w:lineRule="exact"/>
        <w:ind w:firstLine="420" w:firstLineChars="200"/>
        <w:jc w:val="left"/>
        <w:rPr>
          <w:rFonts w:ascii="宋体" w:hAnsi="宋体"/>
        </w:rPr>
      </w:pPr>
      <w:r>
        <w:rPr>
          <w:rFonts w:hint="eastAsia" w:ascii="宋体" w:hAnsi="宋体"/>
        </w:rPr>
        <w:t>（9）</w:t>
      </w:r>
      <w:r>
        <w:rPr>
          <w:rFonts w:hint="eastAsia" w:ascii="宋体" w:hAnsi="宋体"/>
          <w:b/>
        </w:rPr>
        <w:t>在“信用中国”网站(www.creditchina.gov.cn)、中国政府采购网(www.ccgp.gov.cn)等渠道没有被列入失信被执行人、重大税收违法案件当事人名单、政府采购严重违法失信行为记录名单。（截图时间为投标截止时间前）</w:t>
      </w:r>
    </w:p>
    <w:p>
      <w:pPr>
        <w:snapToGrid w:val="0"/>
        <w:spacing w:line="360" w:lineRule="exact"/>
        <w:jc w:val="left"/>
        <w:rPr>
          <w:rFonts w:ascii="宋体" w:hAnsi="宋体"/>
        </w:rPr>
      </w:pPr>
    </w:p>
    <w:p>
      <w:pPr>
        <w:adjustRightInd w:val="0"/>
        <w:snapToGrid w:val="0"/>
        <w:spacing w:line="360" w:lineRule="exact"/>
        <w:ind w:firstLine="422" w:firstLineChars="200"/>
        <w:rPr>
          <w:rFonts w:ascii="宋体" w:hAnsi="宋体"/>
          <w:b/>
        </w:rPr>
      </w:pPr>
      <w:r>
        <w:rPr>
          <w:rFonts w:hint="eastAsia" w:ascii="宋体" w:hAnsi="宋体"/>
          <w:b/>
        </w:rPr>
        <w:t>可作为投标人资信评分的资质证明材料(可选):</w:t>
      </w:r>
    </w:p>
    <w:p>
      <w:pPr>
        <w:adjustRightInd w:val="0"/>
        <w:snapToGrid w:val="0"/>
        <w:spacing w:line="360" w:lineRule="exact"/>
        <w:ind w:firstLine="420" w:firstLineChars="200"/>
        <w:rPr>
          <w:rFonts w:ascii="宋体" w:hAnsi="宋体"/>
        </w:rPr>
      </w:pPr>
      <w:r>
        <w:rPr>
          <w:rFonts w:hint="eastAsia" w:ascii="宋体" w:hAnsi="宋体"/>
        </w:rPr>
        <w:t>(10)类似案例成功的业绩(投标入同类项目实施情况一览表、合同复印件、用户验收报告、用户评价)；</w:t>
      </w:r>
    </w:p>
    <w:p>
      <w:pPr>
        <w:adjustRightInd w:val="0"/>
        <w:snapToGrid w:val="0"/>
        <w:spacing w:line="360" w:lineRule="exact"/>
        <w:ind w:firstLine="420" w:firstLineChars="200"/>
        <w:rPr>
          <w:rFonts w:ascii="宋体" w:hAnsi="宋体"/>
        </w:rPr>
      </w:pPr>
      <w:r>
        <w:rPr>
          <w:rFonts w:hint="eastAsia" w:ascii="宋体" w:hAnsi="宋体"/>
        </w:rPr>
        <w:t>(11)其他特殊资质证书(如本地化服务能力等)；</w:t>
      </w:r>
    </w:p>
    <w:p>
      <w:pPr>
        <w:adjustRightInd w:val="0"/>
        <w:snapToGrid w:val="0"/>
        <w:spacing w:line="360" w:lineRule="exact"/>
        <w:ind w:firstLine="420" w:firstLineChars="200"/>
        <w:rPr>
          <w:rFonts w:ascii="宋体" w:hAnsi="宋体"/>
        </w:rPr>
      </w:pPr>
      <w:r>
        <w:rPr>
          <w:rFonts w:hint="eastAsia" w:ascii="宋体" w:hAnsi="宋体"/>
        </w:rPr>
        <w:t>(12)</w:t>
      </w:r>
      <w:r>
        <w:rPr>
          <w:rFonts w:hint="eastAsia" w:ascii="宋体" w:hAnsi="宋体"/>
          <w:b/>
        </w:rPr>
        <w:t>招标项目采购需求中要求必须提供的材料等</w:t>
      </w:r>
      <w:r>
        <w:rPr>
          <w:rFonts w:hint="eastAsia" w:ascii="宋体" w:hAnsi="宋体"/>
        </w:rPr>
        <w:t>（如：现场勘察材料）；</w:t>
      </w:r>
    </w:p>
    <w:p>
      <w:pPr>
        <w:adjustRightInd w:val="0"/>
        <w:snapToGrid w:val="0"/>
        <w:spacing w:line="360" w:lineRule="exact"/>
        <w:ind w:firstLine="420" w:firstLineChars="200"/>
        <w:rPr>
          <w:rFonts w:ascii="宋体" w:hAnsi="宋体"/>
        </w:rPr>
      </w:pPr>
      <w:r>
        <w:rPr>
          <w:rFonts w:hint="eastAsia" w:ascii="宋体" w:hAnsi="宋体"/>
        </w:rPr>
        <w:t>(13)投标人情况介绍。</w:t>
      </w:r>
    </w:p>
    <w:p>
      <w:pPr>
        <w:adjustRightInd w:val="0"/>
        <w:snapToGrid w:val="0"/>
        <w:spacing w:line="360" w:lineRule="exact"/>
        <w:ind w:firstLine="482" w:firstLineChars="200"/>
        <w:jc w:val="left"/>
        <w:rPr>
          <w:rFonts w:ascii="宋体" w:hAnsi="宋体"/>
          <w:b/>
          <w:bCs/>
          <w:sz w:val="24"/>
          <w:szCs w:val="24"/>
        </w:rPr>
      </w:pPr>
      <w:r>
        <w:rPr>
          <w:rFonts w:hint="eastAsia" w:ascii="宋体" w:hAnsi="宋体"/>
          <w:b/>
          <w:bCs/>
          <w:sz w:val="24"/>
          <w:szCs w:val="24"/>
        </w:rPr>
        <w:t>3</w:t>
      </w:r>
      <w:r>
        <w:rPr>
          <w:rFonts w:hint="eastAsia" w:ascii="宋体" w:hAnsi="宋体"/>
          <w:b/>
          <w:sz w:val="24"/>
          <w:szCs w:val="24"/>
        </w:rPr>
        <w:t>．</w:t>
      </w:r>
      <w:r>
        <w:rPr>
          <w:rFonts w:hint="eastAsia" w:ascii="宋体" w:hAnsi="宋体"/>
          <w:b/>
          <w:bCs/>
          <w:sz w:val="24"/>
          <w:szCs w:val="24"/>
        </w:rPr>
        <w:t>技术文件</w:t>
      </w:r>
    </w:p>
    <w:p>
      <w:pPr>
        <w:adjustRightInd w:val="0"/>
        <w:snapToGrid w:val="0"/>
        <w:spacing w:line="360" w:lineRule="exact"/>
        <w:ind w:firstLine="420" w:firstLineChars="200"/>
        <w:rPr>
          <w:rFonts w:ascii="宋体" w:hAnsi="宋体"/>
        </w:rPr>
      </w:pPr>
      <w:r>
        <w:rPr>
          <w:rFonts w:hint="eastAsia" w:ascii="宋体" w:hAnsi="宋体"/>
        </w:rPr>
        <w:t>（1）</w:t>
      </w:r>
      <w:r>
        <w:rPr>
          <w:rFonts w:hint="eastAsia" w:ascii="宋体" w:hAnsi="宋体"/>
          <w:b/>
          <w:bCs/>
        </w:rPr>
        <w:t>技术响应表；[必须提供]</w:t>
      </w:r>
    </w:p>
    <w:p>
      <w:pPr>
        <w:adjustRightInd w:val="0"/>
        <w:snapToGrid w:val="0"/>
        <w:spacing w:line="360" w:lineRule="exact"/>
        <w:ind w:firstLine="420" w:firstLineChars="200"/>
        <w:rPr>
          <w:rFonts w:ascii="宋体" w:hAnsi="宋体"/>
        </w:rPr>
      </w:pPr>
      <w:r>
        <w:rPr>
          <w:rFonts w:hint="eastAsia" w:ascii="宋体" w:hAnsi="宋体"/>
        </w:rPr>
        <w:t>（2）</w:t>
      </w:r>
      <w:r>
        <w:rPr>
          <w:rFonts w:hint="eastAsia" w:ascii="宋体" w:hAnsi="宋体"/>
          <w:b/>
          <w:bCs/>
        </w:rPr>
        <w:t>项目服务方案；[必须提供]</w:t>
      </w:r>
    </w:p>
    <w:p>
      <w:pPr>
        <w:adjustRightInd w:val="0"/>
        <w:snapToGrid w:val="0"/>
        <w:spacing w:line="360" w:lineRule="exact"/>
        <w:ind w:firstLine="420" w:firstLineChars="200"/>
        <w:rPr>
          <w:rFonts w:ascii="宋体" w:hAnsi="宋体"/>
        </w:rPr>
      </w:pPr>
      <w:r>
        <w:rPr>
          <w:rFonts w:hint="eastAsia" w:ascii="宋体" w:hAnsi="宋体"/>
        </w:rPr>
        <w:t>（3）实施方案和售后保障措施；</w:t>
      </w:r>
    </w:p>
    <w:p>
      <w:pPr>
        <w:adjustRightInd w:val="0"/>
        <w:snapToGrid w:val="0"/>
        <w:spacing w:line="360" w:lineRule="exact"/>
        <w:ind w:firstLine="420" w:firstLineChars="200"/>
        <w:rPr>
          <w:rFonts w:ascii="宋体" w:hAnsi="宋体"/>
        </w:rPr>
      </w:pPr>
      <w:r>
        <w:rPr>
          <w:rFonts w:hint="eastAsia" w:ascii="宋体" w:hAnsi="宋体"/>
        </w:rPr>
        <w:t>（4）投标人拥有主要设施和人力资源的情况及针对本项目拟投入人员情况；</w:t>
      </w:r>
    </w:p>
    <w:p>
      <w:pPr>
        <w:adjustRightInd w:val="0"/>
        <w:snapToGrid w:val="0"/>
        <w:spacing w:line="360" w:lineRule="exact"/>
        <w:ind w:firstLine="420" w:firstLineChars="200"/>
        <w:rPr>
          <w:rFonts w:ascii="宋体" w:hAnsi="宋体"/>
        </w:rPr>
      </w:pPr>
      <w:r>
        <w:rPr>
          <w:rFonts w:hint="eastAsia" w:ascii="宋体" w:hAnsi="宋体"/>
        </w:rPr>
        <w:t>（5）投标人对本项目的合理化建议和改进措施；</w:t>
      </w:r>
    </w:p>
    <w:p>
      <w:pPr>
        <w:adjustRightInd w:val="0"/>
        <w:snapToGrid w:val="0"/>
        <w:spacing w:line="360" w:lineRule="exact"/>
        <w:ind w:firstLine="420" w:firstLineChars="200"/>
        <w:rPr>
          <w:rFonts w:ascii="宋体" w:hAnsi="宋体"/>
        </w:rPr>
      </w:pPr>
      <w:r>
        <w:rPr>
          <w:rFonts w:hint="eastAsia" w:ascii="宋体" w:hAnsi="宋体"/>
        </w:rPr>
        <w:t>（6）投标人需要说明的其他文件和说明；</w:t>
      </w:r>
    </w:p>
    <w:p>
      <w:pPr>
        <w:adjustRightInd w:val="0"/>
        <w:snapToGrid w:val="0"/>
        <w:spacing w:line="360" w:lineRule="exact"/>
        <w:ind w:firstLine="422" w:firstLineChars="200"/>
        <w:rPr>
          <w:rFonts w:ascii="宋体" w:hAnsi="宋体"/>
          <w:b/>
          <w:bCs/>
        </w:rPr>
      </w:pPr>
      <w:r>
        <w:rPr>
          <w:rFonts w:hint="eastAsia" w:ascii="宋体" w:hAnsi="宋体"/>
          <w:b/>
          <w:bCs/>
        </w:rPr>
        <w:t>★注：投标函、投标声明书、法定代表人授权委托书必须由法定代表人签名并加盖单位公章。</w:t>
      </w:r>
    </w:p>
    <w:p>
      <w:pPr>
        <w:adjustRightInd w:val="0"/>
        <w:snapToGrid w:val="0"/>
        <w:spacing w:line="360" w:lineRule="exact"/>
        <w:ind w:firstLine="422" w:firstLineChars="200"/>
        <w:rPr>
          <w:rFonts w:ascii="宋体" w:hAnsi="宋体"/>
          <w:b/>
        </w:rPr>
      </w:pPr>
      <w:r>
        <w:rPr>
          <w:rFonts w:hint="eastAsia" w:ascii="宋体" w:hAnsi="宋体"/>
          <w:b/>
        </w:rPr>
        <w:t>(二)投标文件的语言及计量</w:t>
      </w:r>
    </w:p>
    <w:p>
      <w:pPr>
        <w:adjustRightInd w:val="0"/>
        <w:snapToGrid w:val="0"/>
        <w:spacing w:line="360" w:lineRule="exact"/>
        <w:ind w:firstLine="420" w:firstLineChars="200"/>
        <w:rPr>
          <w:rFonts w:ascii="宋体" w:hAnsi="宋体"/>
        </w:rPr>
      </w:pPr>
      <w:r>
        <w:rPr>
          <w:rFonts w:hint="eastAsia" w:ascii="宋体" w:hAnsi="宋体"/>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360" w:lineRule="exact"/>
        <w:ind w:firstLine="420" w:firstLineChars="200"/>
        <w:rPr>
          <w:rFonts w:ascii="宋体" w:hAnsi="宋体"/>
        </w:rPr>
      </w:pPr>
      <w:r>
        <w:rPr>
          <w:rFonts w:hint="eastAsia" w:ascii="宋体" w:hAnsi="宋体"/>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360" w:lineRule="exact"/>
        <w:ind w:firstLine="422" w:firstLineChars="200"/>
        <w:rPr>
          <w:rFonts w:ascii="宋体" w:hAnsi="宋体"/>
          <w:b/>
        </w:rPr>
      </w:pPr>
      <w:r>
        <w:rPr>
          <w:rFonts w:hint="eastAsia" w:ascii="宋体" w:hAnsi="宋体"/>
          <w:b/>
        </w:rPr>
        <w:t>(三)投标报价</w:t>
      </w:r>
    </w:p>
    <w:p>
      <w:pPr>
        <w:adjustRightInd w:val="0"/>
        <w:snapToGrid w:val="0"/>
        <w:spacing w:line="360" w:lineRule="exact"/>
        <w:ind w:firstLine="420" w:firstLineChars="200"/>
        <w:rPr>
          <w:rFonts w:ascii="宋体" w:hAnsi="宋体"/>
        </w:rPr>
      </w:pPr>
      <w:r>
        <w:rPr>
          <w:rFonts w:hint="eastAsia" w:ascii="宋体" w:hAnsi="宋体"/>
        </w:rPr>
        <w:t>1．投标报价应按招标文件中相关附表格式填写。</w:t>
      </w:r>
    </w:p>
    <w:p>
      <w:pPr>
        <w:adjustRightInd w:val="0"/>
        <w:snapToGrid w:val="0"/>
        <w:spacing w:line="360" w:lineRule="exact"/>
        <w:ind w:firstLine="420" w:firstLineChars="200"/>
        <w:rPr>
          <w:rFonts w:ascii="宋体" w:hAnsi="宋体"/>
        </w:rPr>
      </w:pPr>
      <w:r>
        <w:rPr>
          <w:rFonts w:hint="eastAsia" w:ascii="宋体" w:hAnsi="宋体"/>
        </w:rPr>
        <w:t>2．投标人须就《招标项目采购需求》中所有货物和服务内容作完整唯一报价。</w:t>
      </w:r>
    </w:p>
    <w:p>
      <w:pPr>
        <w:adjustRightInd w:val="0"/>
        <w:snapToGrid w:val="0"/>
        <w:spacing w:line="360" w:lineRule="exact"/>
        <w:ind w:firstLine="420" w:firstLineChars="200"/>
        <w:rPr>
          <w:rFonts w:ascii="宋体" w:hAnsi="宋体"/>
        </w:rPr>
      </w:pPr>
      <w:r>
        <w:rPr>
          <w:rFonts w:hint="eastAsia" w:ascii="宋体" w:hAnsi="宋体"/>
        </w:rPr>
        <w:t>3．投标报价是履行合同的最终价格，应包括元件、设备、随配附件、运抵指定交货地点、保险、调试及验收的各种费用、装卸费和售后服务、税金、及其他所有成本费用。投标人的报价不得超过项目总采购预算，各分标的报价也不得超过对应分标采购预算。</w:t>
      </w:r>
    </w:p>
    <w:p>
      <w:pPr>
        <w:adjustRightInd w:val="0"/>
        <w:snapToGrid w:val="0"/>
        <w:spacing w:line="360" w:lineRule="exact"/>
        <w:ind w:firstLine="420" w:firstLineChars="200"/>
        <w:rPr>
          <w:rFonts w:ascii="宋体" w:hAnsi="宋体"/>
        </w:rPr>
      </w:pPr>
      <w:r>
        <w:rPr>
          <w:rFonts w:hint="eastAsia" w:ascii="宋体" w:hAnsi="宋体"/>
        </w:rPr>
        <w:t>4．投标文件只允许有一个报价，有选择的或有条件的报价将不予接受。</w:t>
      </w:r>
    </w:p>
    <w:p>
      <w:pPr>
        <w:adjustRightInd w:val="0"/>
        <w:snapToGrid w:val="0"/>
        <w:spacing w:line="360" w:lineRule="exact"/>
        <w:ind w:firstLine="422" w:firstLineChars="200"/>
        <w:rPr>
          <w:rFonts w:ascii="宋体" w:hAnsi="宋体"/>
          <w:b/>
        </w:rPr>
      </w:pPr>
      <w:r>
        <w:rPr>
          <w:rFonts w:hint="eastAsia" w:ascii="宋体" w:hAnsi="宋体"/>
          <w:b/>
        </w:rPr>
        <w:t>(四)投标文件的有效期</w:t>
      </w:r>
    </w:p>
    <w:p>
      <w:pPr>
        <w:adjustRightInd w:val="0"/>
        <w:snapToGrid w:val="0"/>
        <w:spacing w:line="360" w:lineRule="exact"/>
        <w:ind w:firstLine="420" w:firstLineChars="200"/>
        <w:rPr>
          <w:rFonts w:ascii="宋体" w:hAnsi="宋体"/>
        </w:rPr>
      </w:pPr>
      <w:r>
        <w:rPr>
          <w:rFonts w:hint="eastAsia" w:ascii="宋体" w:hAnsi="宋体"/>
        </w:rPr>
        <w:t>1．自投标截止之日起90日历日内投标文件应保持有效。有效期不足的投标文件将被拒绝。</w:t>
      </w:r>
    </w:p>
    <w:p>
      <w:pPr>
        <w:adjustRightInd w:val="0"/>
        <w:snapToGrid w:val="0"/>
        <w:spacing w:line="360" w:lineRule="exact"/>
        <w:ind w:firstLine="420" w:firstLineChars="200"/>
        <w:rPr>
          <w:rFonts w:ascii="宋体" w:hAnsi="宋体"/>
        </w:rPr>
      </w:pPr>
      <w:r>
        <w:rPr>
          <w:rFonts w:hint="eastAsia" w:ascii="宋体" w:hAnsi="宋体"/>
        </w:rPr>
        <w:t>2．在特殊情况下，招标人可与投标人协商延长投标书的有效期，这种要求和答复均以书面形式进行。</w:t>
      </w:r>
    </w:p>
    <w:p>
      <w:pPr>
        <w:adjustRightInd w:val="0"/>
        <w:snapToGrid w:val="0"/>
        <w:spacing w:line="360" w:lineRule="exact"/>
        <w:ind w:firstLine="420" w:firstLineChars="200"/>
        <w:rPr>
          <w:rFonts w:ascii="宋体" w:hAnsi="宋体"/>
        </w:rPr>
      </w:pPr>
      <w:r>
        <w:rPr>
          <w:rFonts w:hint="eastAsia" w:ascii="宋体" w:hAnsi="宋体"/>
        </w:rPr>
        <w:t>3．投标人可拒绝接受延期要求，但不能修改投标文件。</w:t>
      </w:r>
    </w:p>
    <w:p>
      <w:pPr>
        <w:adjustRightInd w:val="0"/>
        <w:snapToGrid w:val="0"/>
        <w:spacing w:line="360" w:lineRule="exact"/>
        <w:ind w:firstLine="420" w:firstLineChars="200"/>
        <w:rPr>
          <w:rFonts w:ascii="宋体" w:hAnsi="宋体"/>
          <w:b/>
        </w:rPr>
      </w:pPr>
      <w:r>
        <w:rPr>
          <w:rFonts w:hint="eastAsia" w:ascii="宋体" w:hAnsi="宋体"/>
        </w:rPr>
        <w:t>4．中标人的投标文件自开标之日起至合同履行完毕止均应保持有效</w:t>
      </w:r>
      <w:r>
        <w:rPr>
          <w:rFonts w:hint="eastAsia" w:ascii="宋体" w:hAnsi="宋体"/>
          <w:b/>
        </w:rPr>
        <w:t>。</w:t>
      </w:r>
    </w:p>
    <w:p>
      <w:pPr>
        <w:adjustRightInd w:val="0"/>
        <w:snapToGrid w:val="0"/>
        <w:spacing w:line="360" w:lineRule="exact"/>
        <w:ind w:firstLine="422" w:firstLineChars="200"/>
        <w:rPr>
          <w:rFonts w:ascii="宋体" w:hAnsi="宋体"/>
          <w:b/>
        </w:rPr>
      </w:pPr>
      <w:r>
        <w:rPr>
          <w:rFonts w:hint="eastAsia" w:ascii="宋体" w:hAnsi="宋体"/>
          <w:b/>
        </w:rPr>
        <w:t>(五)投标保证金</w:t>
      </w:r>
    </w:p>
    <w:p>
      <w:pPr>
        <w:adjustRightInd w:val="0"/>
        <w:snapToGrid w:val="0"/>
        <w:spacing w:line="360" w:lineRule="exact"/>
        <w:ind w:firstLine="420" w:firstLineChars="200"/>
        <w:rPr>
          <w:rFonts w:ascii="宋体" w:hAnsi="宋体"/>
        </w:rPr>
      </w:pPr>
      <w:r>
        <w:rPr>
          <w:rFonts w:hint="eastAsia" w:hAnsi="宋体" w:cs="Arial"/>
          <w:bCs/>
        </w:rPr>
        <w:t>本项目不收取任何形式的保证金</w:t>
      </w:r>
      <w:r>
        <w:rPr>
          <w:rFonts w:hint="eastAsia" w:ascii="宋体" w:hAnsi="宋体"/>
        </w:rPr>
        <w:t>。</w:t>
      </w:r>
    </w:p>
    <w:p>
      <w:pPr>
        <w:adjustRightInd w:val="0"/>
        <w:snapToGrid w:val="0"/>
        <w:spacing w:line="360" w:lineRule="exact"/>
        <w:ind w:firstLine="422" w:firstLineChars="200"/>
        <w:rPr>
          <w:rFonts w:ascii="宋体" w:hAnsi="宋体"/>
        </w:rPr>
      </w:pPr>
      <w:r>
        <w:rPr>
          <w:rFonts w:hint="eastAsia" w:ascii="宋体" w:hAnsi="宋体"/>
          <w:b/>
        </w:rPr>
        <w:t>(六)投标文件的签署和份数</w:t>
      </w:r>
    </w:p>
    <w:p>
      <w:pPr>
        <w:adjustRightInd w:val="0"/>
        <w:snapToGrid w:val="0"/>
        <w:spacing w:line="360" w:lineRule="exact"/>
        <w:ind w:firstLine="420" w:firstLineChars="200"/>
        <w:rPr>
          <w:rFonts w:ascii="宋体" w:hAnsi="宋体"/>
        </w:rPr>
      </w:pPr>
      <w:r>
        <w:rPr>
          <w:rFonts w:hint="eastAsia" w:ascii="宋体" w:hAnsi="宋体"/>
        </w:rPr>
        <w:t>1．投标人应按本招标文件规定的格式和顺序编制、装订投标文件并标注页码，投标文件内容不完整、编排混乱导致投标文件被误读、漏读或者查找不到相关内容的，是投标人的责任。</w:t>
      </w:r>
      <w:r>
        <w:rPr>
          <w:rFonts w:hint="eastAsia" w:ascii="宋体" w:hAnsi="宋体"/>
          <w:b/>
        </w:rPr>
        <w:t>资信及商务文件、技术文件和报价文件全部合装成一册（一正，四副）；《开标一览表》(一份)另袋单独封装。</w:t>
      </w:r>
    </w:p>
    <w:p>
      <w:pPr>
        <w:adjustRightInd w:val="0"/>
        <w:snapToGrid w:val="0"/>
        <w:spacing w:line="360" w:lineRule="exact"/>
        <w:ind w:firstLine="420" w:firstLineChars="200"/>
        <w:rPr>
          <w:rFonts w:ascii="宋体" w:hAnsi="宋体"/>
        </w:rPr>
      </w:pPr>
      <w:r>
        <w:rPr>
          <w:rFonts w:hint="eastAsia" w:ascii="宋体" w:hAnsi="宋体"/>
        </w:rPr>
        <w:t>2．投标人应按投标人须知前附表规定的正本和副本份数编制并单独装订成册，投标文件的封面应注明“正本”、“副本”字样。</w:t>
      </w:r>
    </w:p>
    <w:p>
      <w:pPr>
        <w:adjustRightInd w:val="0"/>
        <w:snapToGrid w:val="0"/>
        <w:spacing w:line="360" w:lineRule="exact"/>
        <w:ind w:firstLine="420" w:firstLineChars="200"/>
        <w:rPr>
          <w:rFonts w:ascii="宋体" w:hAnsi="宋体"/>
        </w:rPr>
      </w:pPr>
      <w:r>
        <w:rPr>
          <w:rFonts w:hint="eastAsia" w:ascii="宋体" w:hAnsi="宋体"/>
        </w:rPr>
        <w:t>3．投标文件的正本需打印或用不褪色的墨水填写，副本可为正本的复印件。</w:t>
      </w:r>
    </w:p>
    <w:p>
      <w:pPr>
        <w:adjustRightInd w:val="0"/>
        <w:snapToGrid w:val="0"/>
        <w:spacing w:line="360" w:lineRule="exact"/>
        <w:ind w:firstLine="420" w:firstLineChars="200"/>
        <w:rPr>
          <w:rFonts w:ascii="宋体" w:hAnsi="宋体"/>
        </w:rPr>
      </w:pPr>
      <w:r>
        <w:rPr>
          <w:rFonts w:hint="eastAsia" w:ascii="宋体" w:hAnsi="宋体"/>
        </w:rPr>
        <w:t>4．投标文件须由投标人在规定位置盖章并由法定代表人或法定代表人的授权委托人签署，投标人应写全称。</w:t>
      </w:r>
    </w:p>
    <w:p>
      <w:pPr>
        <w:adjustRightInd w:val="0"/>
        <w:snapToGrid w:val="0"/>
        <w:spacing w:line="360" w:lineRule="exact"/>
        <w:ind w:firstLine="420" w:firstLineChars="200"/>
        <w:rPr>
          <w:rFonts w:ascii="宋体" w:hAnsi="宋体"/>
        </w:rPr>
      </w:pPr>
      <w:r>
        <w:rPr>
          <w:rFonts w:hint="eastAsia" w:ascii="宋体" w:hAnsi="宋体"/>
        </w:rPr>
        <w:t>5．投标文件不得涂改，若有修改错漏处，须加盖单位公章或者法定代表人或授权委托人签字或盖章。投标文件因字迹潦草或表达不清所引起的后果由投标人负责。</w:t>
      </w:r>
    </w:p>
    <w:p>
      <w:pPr>
        <w:adjustRightInd w:val="0"/>
        <w:snapToGrid w:val="0"/>
        <w:spacing w:line="360" w:lineRule="exact"/>
        <w:ind w:firstLine="422" w:firstLineChars="200"/>
        <w:rPr>
          <w:rFonts w:ascii="宋体" w:hAnsi="宋体"/>
          <w:b/>
        </w:rPr>
      </w:pPr>
      <w:r>
        <w:rPr>
          <w:rFonts w:hint="eastAsia" w:ascii="宋体" w:hAnsi="宋体"/>
          <w:b/>
        </w:rPr>
        <w:t>(七)投标文件的包装、递交、修改和撤回</w:t>
      </w:r>
    </w:p>
    <w:p>
      <w:pPr>
        <w:adjustRightInd w:val="0"/>
        <w:snapToGrid w:val="0"/>
        <w:spacing w:line="360" w:lineRule="exact"/>
        <w:ind w:firstLine="422" w:firstLineChars="200"/>
        <w:rPr>
          <w:rFonts w:ascii="宋体" w:hAnsi="宋体"/>
        </w:rPr>
      </w:pPr>
      <w:r>
        <w:rPr>
          <w:rFonts w:hint="eastAsia" w:ascii="宋体" w:hAnsi="宋体"/>
          <w:b/>
        </w:rPr>
        <w:t>1．投标人应密封封装投标文件。投标人应先将《开标一览表》(格式见附件)单独用小信封密封（封面上注明“开标一览表”）；正副本投标文件装入另一文件袋并密封</w:t>
      </w:r>
      <w:r>
        <w:rPr>
          <w:rFonts w:hint="eastAsia" w:ascii="宋体" w:hAnsi="宋体"/>
        </w:rPr>
        <w:t>。投标文件的包装封面上应注明投标人名称、投标人地址、投标项目名称、项目编号、标项及“开标时启封”字样，并加盖投标人公章。</w:t>
      </w:r>
    </w:p>
    <w:p>
      <w:pPr>
        <w:adjustRightInd w:val="0"/>
        <w:snapToGrid w:val="0"/>
        <w:spacing w:line="360" w:lineRule="exact"/>
        <w:ind w:firstLine="420" w:firstLineChars="200"/>
        <w:rPr>
          <w:rFonts w:ascii="宋体" w:hAnsi="宋体"/>
        </w:rPr>
      </w:pPr>
      <w:r>
        <w:rPr>
          <w:rFonts w:hint="eastAsia" w:ascii="宋体" w:hAnsi="宋体"/>
        </w:rPr>
        <w:t>2．未按规定密封或标记的投标文件将被拒绝，由此造成投标文件被误投或提前拆封的风险由投标人承担。</w:t>
      </w:r>
    </w:p>
    <w:p>
      <w:pPr>
        <w:adjustRightInd w:val="0"/>
        <w:snapToGrid w:val="0"/>
        <w:spacing w:line="360" w:lineRule="exact"/>
        <w:ind w:firstLine="420" w:firstLineChars="200"/>
        <w:rPr>
          <w:rFonts w:ascii="宋体" w:hAnsi="宋体"/>
        </w:rPr>
      </w:pPr>
      <w:r>
        <w:rPr>
          <w:rFonts w:hint="eastAsia" w:ascii="宋体" w:hAnsi="宋体"/>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adjustRightInd w:val="0"/>
        <w:snapToGrid w:val="0"/>
        <w:spacing w:line="360" w:lineRule="exact"/>
        <w:ind w:firstLine="422" w:firstLineChars="200"/>
        <w:rPr>
          <w:rFonts w:ascii="宋体" w:hAnsi="宋体"/>
          <w:b/>
        </w:rPr>
      </w:pPr>
      <w:r>
        <w:rPr>
          <w:rFonts w:hint="eastAsia" w:ascii="宋体" w:hAnsi="宋体"/>
          <w:b/>
        </w:rPr>
        <w:t>(八)投标无效的情形</w:t>
      </w:r>
    </w:p>
    <w:p>
      <w:pPr>
        <w:adjustRightInd w:val="0"/>
        <w:snapToGrid w:val="0"/>
        <w:spacing w:line="360" w:lineRule="exact"/>
        <w:ind w:firstLine="420" w:firstLineChars="200"/>
        <w:rPr>
          <w:rFonts w:ascii="宋体" w:hAnsi="宋体"/>
        </w:rPr>
      </w:pPr>
      <w:r>
        <w:rPr>
          <w:rFonts w:hint="eastAsia" w:ascii="宋体" w:hAnsi="宋体"/>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adjustRightInd w:val="0"/>
        <w:snapToGrid w:val="0"/>
        <w:spacing w:line="360" w:lineRule="exact"/>
        <w:ind w:firstLine="422" w:firstLineChars="200"/>
        <w:rPr>
          <w:rFonts w:ascii="宋体" w:hAnsi="宋体"/>
          <w:b/>
        </w:rPr>
      </w:pPr>
      <w:r>
        <w:rPr>
          <w:rFonts w:hint="eastAsia" w:ascii="宋体" w:hAnsi="宋体"/>
          <w:b/>
        </w:rPr>
        <w:t>1．在符合性审查和资格性审查时，如发现下列情形之一的，投标文件将被视为无效:</w:t>
      </w:r>
    </w:p>
    <w:p>
      <w:pPr>
        <w:adjustRightInd w:val="0"/>
        <w:snapToGrid w:val="0"/>
        <w:spacing w:line="360" w:lineRule="exact"/>
        <w:ind w:firstLine="420" w:firstLineChars="200"/>
        <w:rPr>
          <w:rFonts w:ascii="宋体" w:hAnsi="宋体"/>
        </w:rPr>
      </w:pPr>
      <w:r>
        <w:rPr>
          <w:rFonts w:hint="eastAsia" w:ascii="宋体" w:hAnsi="宋体"/>
        </w:rPr>
        <w:t>(1)超越了按照法律法规规定必须获得行政许可或者行政审批的经营范围的；</w:t>
      </w:r>
    </w:p>
    <w:p>
      <w:pPr>
        <w:adjustRightInd w:val="0"/>
        <w:snapToGrid w:val="0"/>
        <w:spacing w:line="360" w:lineRule="exact"/>
        <w:ind w:firstLine="420" w:firstLineChars="200"/>
        <w:rPr>
          <w:rFonts w:ascii="宋体" w:hAnsi="宋体"/>
        </w:rPr>
      </w:pPr>
      <w:r>
        <w:rPr>
          <w:rFonts w:hint="eastAsia" w:ascii="宋体" w:hAnsi="宋体"/>
        </w:rPr>
        <w:t xml:space="preserve">(2)资格证明文件不全的，或者不符合招标文件标明的资格要求的；    </w:t>
      </w:r>
    </w:p>
    <w:p>
      <w:pPr>
        <w:adjustRightInd w:val="0"/>
        <w:snapToGrid w:val="0"/>
        <w:spacing w:line="360" w:lineRule="exact"/>
        <w:ind w:firstLine="420" w:firstLineChars="200"/>
        <w:rPr>
          <w:rFonts w:ascii="宋体" w:hAnsi="宋体"/>
        </w:rPr>
      </w:pPr>
      <w:r>
        <w:rPr>
          <w:rFonts w:hint="eastAsia" w:ascii="宋体" w:hAnsi="宋体"/>
        </w:rPr>
        <w:t>(3)投标文件无法定代表人或其委托代理人签字，或未提供法定代表人授权委托书、投标声明书或者填写项目不齐全的；</w:t>
      </w:r>
    </w:p>
    <w:p>
      <w:pPr>
        <w:adjustRightInd w:val="0"/>
        <w:snapToGrid w:val="0"/>
        <w:spacing w:line="360" w:lineRule="exact"/>
        <w:ind w:firstLine="420" w:firstLineChars="200"/>
        <w:rPr>
          <w:rFonts w:ascii="宋体" w:hAnsi="宋体"/>
        </w:rPr>
      </w:pPr>
      <w:r>
        <w:rPr>
          <w:rFonts w:hint="eastAsia" w:ascii="宋体" w:hAnsi="宋体"/>
        </w:rPr>
        <w:t>(4)投标代表人未能出具身份证明或与法定代表人授权委托人身份不符的；</w:t>
      </w:r>
    </w:p>
    <w:p>
      <w:pPr>
        <w:adjustRightInd w:val="0"/>
        <w:snapToGrid w:val="0"/>
        <w:spacing w:line="360" w:lineRule="exact"/>
        <w:ind w:firstLine="420" w:firstLineChars="200"/>
        <w:rPr>
          <w:rFonts w:ascii="宋体" w:hAnsi="宋体"/>
        </w:rPr>
      </w:pPr>
      <w:r>
        <w:rPr>
          <w:rFonts w:hint="eastAsia" w:ascii="宋体" w:hAnsi="宋体"/>
        </w:rPr>
        <w:t>(5)项目不齐全或者内容虚假的；</w:t>
      </w:r>
    </w:p>
    <w:p>
      <w:pPr>
        <w:adjustRightInd w:val="0"/>
        <w:snapToGrid w:val="0"/>
        <w:spacing w:line="360" w:lineRule="exact"/>
        <w:ind w:firstLine="420" w:firstLineChars="200"/>
        <w:rPr>
          <w:rFonts w:ascii="宋体" w:hAnsi="宋体"/>
        </w:rPr>
      </w:pPr>
      <w:r>
        <w:rPr>
          <w:rFonts w:hint="eastAsia" w:ascii="宋体" w:hAnsi="宋体"/>
        </w:rPr>
        <w:t>(6)投标文件的实质性内容未使用中文表述、意思表述不明确、前后矛盾或者使用计量单位不符合招标文件要求的(经评标委员会认定并允许其当场更正的笔误除外)；</w:t>
      </w:r>
    </w:p>
    <w:p>
      <w:pPr>
        <w:adjustRightInd w:val="0"/>
        <w:snapToGrid w:val="0"/>
        <w:spacing w:line="360" w:lineRule="exact"/>
        <w:ind w:firstLine="420" w:firstLineChars="200"/>
        <w:rPr>
          <w:rFonts w:ascii="宋体" w:hAnsi="宋体"/>
        </w:rPr>
      </w:pPr>
      <w:r>
        <w:rPr>
          <w:rFonts w:hint="eastAsia" w:ascii="宋体" w:hAnsi="宋体"/>
        </w:rPr>
        <w:t>(7)投标有效期、交货时间、质保期等商务条款不能满足招标文件要求的；</w:t>
      </w:r>
    </w:p>
    <w:p>
      <w:pPr>
        <w:adjustRightInd w:val="0"/>
        <w:snapToGrid w:val="0"/>
        <w:spacing w:line="360" w:lineRule="exact"/>
        <w:ind w:firstLine="420" w:firstLineChars="200"/>
        <w:rPr>
          <w:rFonts w:ascii="宋体" w:hAnsi="宋体"/>
        </w:rPr>
      </w:pPr>
      <w:r>
        <w:rPr>
          <w:rFonts w:hint="eastAsia" w:ascii="宋体" w:hAnsi="宋体"/>
        </w:rPr>
        <w:t>(8)未实质性响应招标文件要求或者投标文件有招标方不能接受的附加条件的。</w:t>
      </w:r>
    </w:p>
    <w:p>
      <w:pPr>
        <w:adjustRightInd w:val="0"/>
        <w:snapToGrid w:val="0"/>
        <w:spacing w:line="360" w:lineRule="exact"/>
        <w:ind w:firstLine="422" w:firstLineChars="200"/>
        <w:rPr>
          <w:rFonts w:ascii="宋体" w:hAnsi="宋体"/>
          <w:b/>
        </w:rPr>
      </w:pPr>
      <w:r>
        <w:rPr>
          <w:rFonts w:hint="eastAsia" w:ascii="宋体" w:hAnsi="宋体"/>
          <w:b/>
        </w:rPr>
        <w:t>2．在技术评审时，如发现下列情形之一的，投标文件将被视为无效:</w:t>
      </w:r>
    </w:p>
    <w:p>
      <w:pPr>
        <w:adjustRightInd w:val="0"/>
        <w:snapToGrid w:val="0"/>
        <w:spacing w:line="360" w:lineRule="exact"/>
        <w:ind w:firstLine="420" w:firstLineChars="200"/>
        <w:rPr>
          <w:rFonts w:ascii="宋体" w:hAnsi="宋体"/>
        </w:rPr>
      </w:pPr>
      <w:r>
        <w:rPr>
          <w:rFonts w:hint="eastAsia" w:ascii="宋体" w:hAnsi="宋体"/>
        </w:rPr>
        <w:t>(1)未提供或未如实提供投标货物的技术参数，或者投标文件标明的响应或偏离与事实不符或虚假投标的；</w:t>
      </w:r>
    </w:p>
    <w:p>
      <w:pPr>
        <w:adjustRightInd w:val="0"/>
        <w:snapToGrid w:val="0"/>
        <w:spacing w:line="360" w:lineRule="exact"/>
        <w:ind w:firstLine="420" w:firstLineChars="200"/>
        <w:rPr>
          <w:rFonts w:ascii="宋体" w:hAnsi="宋体"/>
        </w:rPr>
      </w:pPr>
      <w:r>
        <w:rPr>
          <w:rFonts w:hint="eastAsia" w:ascii="宋体" w:hAnsi="宋体"/>
        </w:rPr>
        <w:t>(2)明显不符合招标文件要求的规格型号、质量标准，或者与招标文件中标“★”的技术指标、主要功能项目发生实质性偏离；</w:t>
      </w:r>
    </w:p>
    <w:p>
      <w:pPr>
        <w:adjustRightInd w:val="0"/>
        <w:snapToGrid w:val="0"/>
        <w:spacing w:line="360" w:lineRule="exact"/>
        <w:ind w:firstLine="420" w:firstLineChars="200"/>
        <w:rPr>
          <w:rFonts w:ascii="宋体" w:hAnsi="宋体"/>
        </w:rPr>
      </w:pPr>
      <w:r>
        <w:rPr>
          <w:rFonts w:hint="eastAsia" w:ascii="宋体" w:hAnsi="宋体"/>
        </w:rPr>
        <w:t>(3)允许偏离的技术、性能指标或者辅助功能项目发生负偏离每分标达</w:t>
      </w:r>
      <w:r>
        <w:rPr>
          <w:rFonts w:hint="eastAsia" w:ascii="宋体" w:hAnsi="宋体"/>
          <w:u w:val="single"/>
        </w:rPr>
        <w:t>2</w:t>
      </w:r>
      <w:r>
        <w:rPr>
          <w:rFonts w:hint="eastAsia" w:ascii="宋体" w:hAnsi="宋体"/>
        </w:rPr>
        <w:t>项(含)以上的；</w:t>
      </w:r>
    </w:p>
    <w:p>
      <w:pPr>
        <w:adjustRightInd w:val="0"/>
        <w:snapToGrid w:val="0"/>
        <w:spacing w:line="360" w:lineRule="exact"/>
        <w:ind w:firstLine="420" w:firstLineChars="200"/>
        <w:rPr>
          <w:rFonts w:ascii="宋体" w:hAnsi="宋体"/>
        </w:rPr>
      </w:pPr>
      <w:r>
        <w:rPr>
          <w:rFonts w:hint="eastAsia" w:ascii="宋体" w:hAnsi="宋体"/>
        </w:rPr>
        <w:t>(4)投标技术方案不明确，存在一个或一个以上备选(替代)投标方案的；</w:t>
      </w:r>
    </w:p>
    <w:p>
      <w:pPr>
        <w:adjustRightInd w:val="0"/>
        <w:snapToGrid w:val="0"/>
        <w:spacing w:line="360" w:lineRule="exact"/>
        <w:ind w:firstLine="420" w:firstLineChars="200"/>
        <w:rPr>
          <w:rFonts w:ascii="宋体" w:hAnsi="宋体"/>
        </w:rPr>
      </w:pPr>
      <w:r>
        <w:rPr>
          <w:rFonts w:hint="eastAsia" w:ascii="宋体" w:hAnsi="宋体"/>
        </w:rPr>
        <w:t>(5)与其他参加本次投标供应商的投标文件(技术文件)的文字表述差错相同三处以上的。</w:t>
      </w:r>
    </w:p>
    <w:p>
      <w:pPr>
        <w:adjustRightInd w:val="0"/>
        <w:snapToGrid w:val="0"/>
        <w:spacing w:line="360" w:lineRule="exact"/>
        <w:ind w:firstLine="422" w:firstLineChars="200"/>
        <w:rPr>
          <w:rFonts w:ascii="宋体" w:hAnsi="宋体"/>
          <w:b/>
        </w:rPr>
      </w:pPr>
      <w:r>
        <w:rPr>
          <w:rFonts w:hint="eastAsia" w:ascii="宋体" w:hAnsi="宋体"/>
          <w:b/>
        </w:rPr>
        <w:t>3．在报价评审时，如发现下列情形之一的，投标文件将被视为无效:</w:t>
      </w:r>
    </w:p>
    <w:p>
      <w:pPr>
        <w:adjustRightInd w:val="0"/>
        <w:snapToGrid w:val="0"/>
        <w:spacing w:line="360" w:lineRule="exact"/>
        <w:ind w:firstLine="420" w:firstLineChars="200"/>
        <w:rPr>
          <w:rFonts w:ascii="宋体" w:hAnsi="宋体"/>
        </w:rPr>
      </w:pPr>
      <w:r>
        <w:rPr>
          <w:rFonts w:hint="eastAsia" w:ascii="宋体" w:hAnsi="宋体"/>
        </w:rPr>
        <w:t>(1)未采用人民币报价或者未按照招标文件标明的币种报价的；</w:t>
      </w:r>
    </w:p>
    <w:p>
      <w:pPr>
        <w:adjustRightInd w:val="0"/>
        <w:snapToGrid w:val="0"/>
        <w:spacing w:line="360" w:lineRule="exact"/>
        <w:ind w:firstLine="420" w:firstLineChars="200"/>
        <w:rPr>
          <w:rFonts w:ascii="宋体" w:hAnsi="宋体"/>
        </w:rPr>
      </w:pPr>
      <w:r>
        <w:rPr>
          <w:rFonts w:hint="eastAsia" w:ascii="宋体" w:hAnsi="宋体"/>
        </w:rPr>
        <w:t>(2)所有报价均超出最高限价，或者超出采购预算金额，采购人不能支付的；</w:t>
      </w:r>
    </w:p>
    <w:p>
      <w:pPr>
        <w:adjustRightInd w:val="0"/>
        <w:snapToGrid w:val="0"/>
        <w:spacing w:line="360" w:lineRule="exact"/>
        <w:ind w:firstLine="420" w:firstLineChars="200"/>
        <w:rPr>
          <w:rFonts w:ascii="宋体" w:hAnsi="宋体"/>
        </w:rPr>
      </w:pPr>
      <w:r>
        <w:rPr>
          <w:rFonts w:hint="eastAsia" w:ascii="宋体" w:hAnsi="宋体"/>
        </w:rPr>
        <w:t>(3)投标报价具有选择性，或者开标价格与投标文件承诺的优惠(折扣)价格不一致的。</w:t>
      </w:r>
    </w:p>
    <w:p>
      <w:pPr>
        <w:adjustRightInd w:val="0"/>
        <w:snapToGrid w:val="0"/>
        <w:spacing w:line="360" w:lineRule="exact"/>
        <w:ind w:firstLine="422" w:firstLineChars="200"/>
        <w:rPr>
          <w:rFonts w:ascii="宋体" w:hAnsi="宋体"/>
          <w:b/>
        </w:rPr>
      </w:pPr>
      <w:r>
        <w:rPr>
          <w:rFonts w:hint="eastAsia" w:ascii="宋体" w:hAnsi="宋体"/>
          <w:b/>
        </w:rPr>
        <w:t>4．被拒绝的投标文件为无效。</w:t>
      </w:r>
    </w:p>
    <w:p>
      <w:pPr>
        <w:pStyle w:val="28"/>
      </w:pPr>
    </w:p>
    <w:p>
      <w:pPr>
        <w:adjustRightInd w:val="0"/>
        <w:snapToGrid w:val="0"/>
        <w:spacing w:line="360" w:lineRule="exact"/>
        <w:jc w:val="center"/>
        <w:rPr>
          <w:rFonts w:ascii="宋体" w:hAnsi="宋体"/>
          <w:b/>
        </w:rPr>
      </w:pPr>
      <w:bookmarkStart w:id="28" w:name="_Toc425318873"/>
      <w:bookmarkStart w:id="29" w:name="_Toc407015653"/>
      <w:r>
        <w:rPr>
          <w:rFonts w:hint="eastAsia" w:ascii="宋体" w:hAnsi="宋体"/>
          <w:b/>
        </w:rPr>
        <w:t>四、开  标</w:t>
      </w:r>
      <w:bookmarkEnd w:id="28"/>
      <w:bookmarkEnd w:id="29"/>
    </w:p>
    <w:p>
      <w:pPr>
        <w:adjustRightInd w:val="0"/>
        <w:snapToGrid w:val="0"/>
        <w:spacing w:line="360" w:lineRule="exact"/>
        <w:ind w:firstLine="422" w:firstLineChars="200"/>
        <w:rPr>
          <w:rFonts w:ascii="宋体" w:hAnsi="宋体"/>
          <w:b/>
        </w:rPr>
      </w:pPr>
      <w:bookmarkStart w:id="30" w:name="_Toc407015654"/>
      <w:r>
        <w:rPr>
          <w:rFonts w:hint="eastAsia" w:ascii="宋体" w:hAnsi="宋体"/>
          <w:b/>
        </w:rPr>
        <w:t>(一)开标准备</w:t>
      </w:r>
    </w:p>
    <w:p>
      <w:pPr>
        <w:adjustRightInd w:val="0"/>
        <w:snapToGrid w:val="0"/>
        <w:spacing w:line="360" w:lineRule="exact"/>
        <w:ind w:firstLine="420" w:firstLineChars="200"/>
        <w:rPr>
          <w:rFonts w:ascii="宋体" w:hAnsi="宋体"/>
        </w:rPr>
      </w:pPr>
      <w:r>
        <w:rPr>
          <w:rFonts w:hint="eastAsia" w:ascii="宋体" w:hAnsi="宋体"/>
        </w:rPr>
        <w:t>采购代理机构将在投标截止时间前1小时（即8时30分）统一将收到的投标文件运送至南宁市公共资源交易中心，以确保本项目能在投标截止（开标）时间准时截标。</w:t>
      </w:r>
    </w:p>
    <w:p>
      <w:pPr>
        <w:adjustRightInd w:val="0"/>
        <w:snapToGrid w:val="0"/>
        <w:spacing w:line="360" w:lineRule="exact"/>
        <w:ind w:firstLine="422" w:firstLineChars="200"/>
        <w:rPr>
          <w:rFonts w:ascii="宋体" w:hAnsi="宋体"/>
          <w:b/>
        </w:rPr>
      </w:pPr>
      <w:r>
        <w:rPr>
          <w:rFonts w:hint="eastAsia" w:ascii="宋体" w:hAnsi="宋体"/>
          <w:b/>
        </w:rPr>
        <w:t>(二)开标程序</w:t>
      </w:r>
    </w:p>
    <w:p>
      <w:pPr>
        <w:adjustRightInd w:val="0"/>
        <w:snapToGrid w:val="0"/>
        <w:spacing w:line="360" w:lineRule="exact"/>
        <w:ind w:firstLine="420" w:firstLineChars="200"/>
        <w:rPr>
          <w:rFonts w:ascii="宋体" w:hAnsi="宋体"/>
        </w:rPr>
      </w:pPr>
      <w:r>
        <w:rPr>
          <w:rFonts w:hint="eastAsia" w:ascii="宋体" w:hAnsi="宋体"/>
        </w:rPr>
        <w:t>1．开标会由采购代理机构主持，主持人宣布开标会议开始；</w:t>
      </w:r>
    </w:p>
    <w:p>
      <w:pPr>
        <w:adjustRightInd w:val="0"/>
        <w:snapToGrid w:val="0"/>
        <w:spacing w:line="360" w:lineRule="exact"/>
        <w:ind w:firstLine="420" w:firstLineChars="200"/>
        <w:rPr>
          <w:rFonts w:ascii="宋体" w:hAnsi="宋体"/>
        </w:rPr>
      </w:pPr>
      <w:r>
        <w:rPr>
          <w:rFonts w:hint="eastAsia" w:ascii="宋体" w:hAnsi="宋体"/>
        </w:rPr>
        <w:t>2．主持人介绍参加开标会的人员名单；</w:t>
      </w:r>
    </w:p>
    <w:p>
      <w:pPr>
        <w:adjustRightInd w:val="0"/>
        <w:snapToGrid w:val="0"/>
        <w:spacing w:line="360" w:lineRule="exact"/>
        <w:ind w:firstLine="420" w:firstLineChars="200"/>
        <w:rPr>
          <w:rFonts w:ascii="宋体" w:hAnsi="宋体"/>
        </w:rPr>
      </w:pPr>
      <w:r>
        <w:rPr>
          <w:rFonts w:hint="eastAsia" w:ascii="宋体" w:hAnsi="宋体"/>
        </w:rPr>
        <w:t>3．主持人宣布评标期间的有关事项，告知应当回避的情形，提请有关人员回避；</w:t>
      </w:r>
    </w:p>
    <w:p>
      <w:pPr>
        <w:adjustRightInd w:val="0"/>
        <w:snapToGrid w:val="0"/>
        <w:spacing w:line="360" w:lineRule="exact"/>
        <w:ind w:firstLine="420" w:firstLineChars="200"/>
        <w:rPr>
          <w:rFonts w:ascii="宋体" w:hAnsi="宋体"/>
        </w:rPr>
      </w:pPr>
      <w:r>
        <w:rPr>
          <w:rFonts w:hint="eastAsia" w:ascii="宋体" w:hAnsi="宋体"/>
        </w:rPr>
        <w:t>4．采购代理机构在交易中心工作人员和采购人的监督下检查投标文件密封的完整性，或者招标采购单位委托的公证机构检查投标文件密封的完整性并签字确认；</w:t>
      </w:r>
    </w:p>
    <w:p>
      <w:pPr>
        <w:adjustRightInd w:val="0"/>
        <w:snapToGrid w:val="0"/>
        <w:spacing w:line="360" w:lineRule="exact"/>
        <w:ind w:firstLine="420" w:firstLineChars="200"/>
        <w:rPr>
          <w:rFonts w:ascii="宋体" w:hAnsi="宋体"/>
        </w:rPr>
      </w:pPr>
      <w:r>
        <w:rPr>
          <w:rFonts w:hint="eastAsia" w:ascii="宋体" w:hAnsi="宋体"/>
        </w:rPr>
        <w:t>5．按各投标人提交投标文件时间的随机顺序打开投标文件外包装，清点投标文件正本、副本数量。</w:t>
      </w:r>
    </w:p>
    <w:p>
      <w:pPr>
        <w:adjustRightInd w:val="0"/>
        <w:snapToGrid w:val="0"/>
        <w:spacing w:line="360" w:lineRule="exact"/>
        <w:ind w:firstLine="420" w:firstLineChars="200"/>
        <w:rPr>
          <w:rFonts w:ascii="宋体" w:hAnsi="宋体"/>
        </w:rPr>
      </w:pPr>
      <w:r>
        <w:rPr>
          <w:rFonts w:hint="eastAsia" w:ascii="宋体" w:hAnsi="宋体"/>
        </w:rPr>
        <w:t>6．唱标；</w:t>
      </w:r>
    </w:p>
    <w:p>
      <w:pPr>
        <w:adjustRightInd w:val="0"/>
        <w:snapToGrid w:val="0"/>
        <w:spacing w:line="360" w:lineRule="exact"/>
        <w:ind w:firstLine="420" w:firstLineChars="200"/>
        <w:rPr>
          <w:rFonts w:ascii="宋体" w:hAnsi="宋体"/>
        </w:rPr>
      </w:pPr>
      <w:r>
        <w:rPr>
          <w:rFonts w:hint="eastAsia" w:ascii="宋体" w:hAnsi="宋体"/>
        </w:rPr>
        <w:t>7．采购代理机构做开标记录，同时由记录人、监督人当场签字确认。投标人代表未到场签字确认或者拒绝签字确认的，不影响评标过程。</w:t>
      </w:r>
    </w:p>
    <w:p>
      <w:pPr>
        <w:adjustRightInd w:val="0"/>
        <w:snapToGrid w:val="0"/>
        <w:spacing w:line="360" w:lineRule="exact"/>
        <w:ind w:firstLine="420" w:firstLineChars="200"/>
        <w:rPr>
          <w:rFonts w:ascii="宋体" w:hAnsi="宋体"/>
        </w:rPr>
      </w:pPr>
      <w:r>
        <w:rPr>
          <w:rFonts w:hint="eastAsia" w:ascii="宋体" w:hAnsi="宋体"/>
        </w:rPr>
        <w:t>8．开标会议结束。</w:t>
      </w:r>
    </w:p>
    <w:p>
      <w:pPr>
        <w:pStyle w:val="28"/>
      </w:pPr>
    </w:p>
    <w:p>
      <w:pPr>
        <w:adjustRightInd w:val="0"/>
        <w:snapToGrid w:val="0"/>
        <w:spacing w:line="360" w:lineRule="exact"/>
        <w:jc w:val="center"/>
        <w:rPr>
          <w:rFonts w:ascii="宋体" w:hAnsi="宋体"/>
          <w:b/>
        </w:rPr>
      </w:pPr>
      <w:bookmarkStart w:id="31" w:name="_Toc425318874"/>
      <w:r>
        <w:rPr>
          <w:rFonts w:hint="eastAsia" w:ascii="宋体" w:hAnsi="宋体"/>
          <w:b/>
        </w:rPr>
        <w:t>五、评  标</w:t>
      </w:r>
      <w:bookmarkEnd w:id="30"/>
      <w:bookmarkEnd w:id="31"/>
    </w:p>
    <w:p>
      <w:pPr>
        <w:adjustRightInd w:val="0"/>
        <w:snapToGrid w:val="0"/>
        <w:spacing w:line="360" w:lineRule="exact"/>
        <w:ind w:firstLine="422" w:firstLineChars="200"/>
        <w:rPr>
          <w:rFonts w:ascii="宋体" w:hAnsi="宋体"/>
          <w:b/>
        </w:rPr>
      </w:pPr>
      <w:r>
        <w:rPr>
          <w:rFonts w:hint="eastAsia" w:ascii="宋体" w:hAnsi="宋体"/>
          <w:b/>
        </w:rPr>
        <w:t>(一)组建评标委员会</w:t>
      </w:r>
    </w:p>
    <w:p>
      <w:pPr>
        <w:adjustRightInd w:val="0"/>
        <w:snapToGrid w:val="0"/>
        <w:spacing w:line="360" w:lineRule="exact"/>
        <w:ind w:firstLine="420" w:firstLineChars="200"/>
        <w:rPr>
          <w:rFonts w:ascii="宋体" w:hAnsi="宋体"/>
          <w:bCs/>
        </w:rPr>
      </w:pPr>
      <w:r>
        <w:rPr>
          <w:rFonts w:hint="eastAsia" w:ascii="宋体" w:hAnsi="宋体"/>
          <w:bCs/>
        </w:rPr>
        <w:t>本招标采购项目的评委分别由聘请的专家、采购单位代表共五人以上(包括五人)单数构成，其中专家人数不少于成员总数的三分之二。</w:t>
      </w:r>
    </w:p>
    <w:p>
      <w:pPr>
        <w:adjustRightInd w:val="0"/>
        <w:snapToGrid w:val="0"/>
        <w:spacing w:line="360" w:lineRule="exact"/>
        <w:ind w:firstLine="422" w:firstLineChars="200"/>
        <w:rPr>
          <w:rFonts w:ascii="宋体" w:hAnsi="宋体"/>
          <w:b/>
        </w:rPr>
      </w:pPr>
      <w:r>
        <w:rPr>
          <w:rFonts w:hint="eastAsia" w:ascii="宋体" w:hAnsi="宋体"/>
          <w:b/>
        </w:rPr>
        <w:t>(二)评标的方式</w:t>
      </w:r>
    </w:p>
    <w:p>
      <w:pPr>
        <w:adjustRightInd w:val="0"/>
        <w:snapToGrid w:val="0"/>
        <w:spacing w:line="360" w:lineRule="exact"/>
        <w:ind w:firstLine="420" w:firstLineChars="200"/>
        <w:rPr>
          <w:rFonts w:ascii="宋体" w:hAnsi="宋体"/>
        </w:rPr>
      </w:pPr>
      <w:r>
        <w:rPr>
          <w:rFonts w:hint="eastAsia" w:ascii="宋体" w:hAnsi="宋体"/>
        </w:rPr>
        <w:t>本项目采用不公开方式评标，评标的依据为招标文件和投标文件。</w:t>
      </w:r>
    </w:p>
    <w:p>
      <w:pPr>
        <w:adjustRightInd w:val="0"/>
        <w:snapToGrid w:val="0"/>
        <w:spacing w:line="360" w:lineRule="exact"/>
        <w:ind w:firstLine="422" w:firstLineChars="200"/>
        <w:rPr>
          <w:rFonts w:ascii="宋体" w:hAnsi="宋体"/>
          <w:b/>
        </w:rPr>
      </w:pPr>
      <w:r>
        <w:rPr>
          <w:rFonts w:hint="eastAsia" w:ascii="宋体" w:hAnsi="宋体"/>
          <w:b/>
        </w:rPr>
        <w:t>(三)评标程序</w:t>
      </w:r>
    </w:p>
    <w:p>
      <w:pPr>
        <w:adjustRightInd w:val="0"/>
        <w:snapToGrid w:val="0"/>
        <w:spacing w:line="360" w:lineRule="exact"/>
        <w:ind w:firstLine="422" w:firstLineChars="200"/>
        <w:rPr>
          <w:rFonts w:ascii="宋体" w:hAnsi="宋体"/>
          <w:b/>
        </w:rPr>
      </w:pPr>
      <w:r>
        <w:rPr>
          <w:rFonts w:hint="eastAsia" w:ascii="宋体" w:hAnsi="宋体"/>
          <w:b/>
        </w:rPr>
        <w:t>1</w:t>
      </w:r>
      <w:r>
        <w:rPr>
          <w:rFonts w:hint="eastAsia" w:ascii="宋体" w:hAnsi="宋体"/>
        </w:rPr>
        <w:t>．</w:t>
      </w:r>
      <w:r>
        <w:rPr>
          <w:rFonts w:hint="eastAsia" w:ascii="宋体" w:hAnsi="宋体"/>
          <w:b/>
        </w:rPr>
        <w:t>形式审查</w:t>
      </w:r>
    </w:p>
    <w:p>
      <w:pPr>
        <w:adjustRightInd w:val="0"/>
        <w:snapToGrid w:val="0"/>
        <w:spacing w:line="360" w:lineRule="exact"/>
        <w:ind w:firstLine="420" w:firstLineChars="200"/>
        <w:rPr>
          <w:rFonts w:ascii="宋体" w:hAnsi="宋体"/>
        </w:rPr>
      </w:pPr>
      <w:r>
        <w:rPr>
          <w:rFonts w:hint="eastAsia" w:ascii="宋体" w:hAnsi="宋体"/>
        </w:rPr>
        <w:t>采购人代表和采购代理机构工作人员协助评标委员会对投标人的资格和投标文件的完整性、合法性等进行审查。</w:t>
      </w:r>
    </w:p>
    <w:p>
      <w:pPr>
        <w:adjustRightInd w:val="0"/>
        <w:snapToGrid w:val="0"/>
        <w:spacing w:line="360" w:lineRule="exact"/>
        <w:ind w:firstLine="422" w:firstLineChars="200"/>
        <w:rPr>
          <w:rFonts w:ascii="宋体" w:hAnsi="宋体"/>
          <w:b/>
        </w:rPr>
      </w:pPr>
      <w:r>
        <w:rPr>
          <w:rFonts w:hint="eastAsia" w:ascii="宋体" w:hAnsi="宋体"/>
          <w:b/>
        </w:rPr>
        <w:t>2</w:t>
      </w:r>
      <w:r>
        <w:rPr>
          <w:rFonts w:hint="eastAsia" w:ascii="宋体" w:hAnsi="宋体"/>
        </w:rPr>
        <w:t>．</w:t>
      </w:r>
      <w:r>
        <w:rPr>
          <w:rFonts w:hint="eastAsia" w:ascii="宋体" w:hAnsi="宋体"/>
          <w:b/>
        </w:rPr>
        <w:t>实质审查与比较</w:t>
      </w:r>
    </w:p>
    <w:p>
      <w:pPr>
        <w:adjustRightInd w:val="0"/>
        <w:snapToGrid w:val="0"/>
        <w:spacing w:line="360" w:lineRule="exact"/>
        <w:ind w:firstLine="420" w:firstLineChars="200"/>
        <w:rPr>
          <w:rFonts w:ascii="宋体" w:hAnsi="宋体"/>
        </w:rPr>
      </w:pPr>
      <w:r>
        <w:rPr>
          <w:rFonts w:hint="eastAsia" w:ascii="宋体" w:hAnsi="宋体"/>
        </w:rPr>
        <w:t>(1)评标委员会审查投标文件的实质性内容是否符合招标文件的实质性要求。</w:t>
      </w:r>
    </w:p>
    <w:p>
      <w:pPr>
        <w:adjustRightInd w:val="0"/>
        <w:snapToGrid w:val="0"/>
        <w:spacing w:line="360" w:lineRule="exact"/>
        <w:ind w:firstLine="420" w:firstLineChars="200"/>
        <w:rPr>
          <w:rFonts w:ascii="宋体" w:hAnsi="宋体"/>
        </w:rPr>
      </w:pPr>
      <w:r>
        <w:rPr>
          <w:rFonts w:hint="eastAsia" w:ascii="宋体" w:hAnsi="宋体"/>
        </w:rPr>
        <w:t>(2)评标委员会将根据投标人的投标文件进行审查、核对，如有疑问，将对投标人进行询标，投标人要向评标委员会澄清有关问题，并最终以书面形式进行答复。投标人代表未到场或者拒绝澄清或者澄清内容改变了投标文件的实质性内容的，评标委员会有权视该投标文件无效。</w:t>
      </w:r>
    </w:p>
    <w:p>
      <w:pPr>
        <w:adjustRightInd w:val="0"/>
        <w:snapToGrid w:val="0"/>
        <w:spacing w:line="360" w:lineRule="exact"/>
        <w:ind w:firstLine="420" w:firstLineChars="200"/>
        <w:rPr>
          <w:rFonts w:ascii="宋体" w:hAnsi="宋体"/>
        </w:rPr>
      </w:pPr>
      <w:r>
        <w:rPr>
          <w:rFonts w:hint="eastAsia" w:ascii="宋体" w:hAnsi="宋体"/>
        </w:rPr>
        <w:t>(3)各投标人的技术得分为所有评委的有效评分的算术平均数，由指定专人进行计算复核。</w:t>
      </w:r>
    </w:p>
    <w:p>
      <w:pPr>
        <w:adjustRightInd w:val="0"/>
        <w:snapToGrid w:val="0"/>
        <w:spacing w:line="360" w:lineRule="exact"/>
        <w:ind w:firstLine="420" w:firstLineChars="200"/>
        <w:rPr>
          <w:rFonts w:ascii="宋体" w:hAnsi="宋体"/>
        </w:rPr>
      </w:pPr>
      <w:r>
        <w:rPr>
          <w:rFonts w:hint="eastAsia" w:ascii="宋体" w:hAnsi="宋体"/>
        </w:rPr>
        <w:t>(4)采购代理机构工作人员协助评标委员会根据本项目的评分标准计算各投标人的商务报价得分。</w:t>
      </w:r>
    </w:p>
    <w:p>
      <w:pPr>
        <w:adjustRightInd w:val="0"/>
        <w:snapToGrid w:val="0"/>
        <w:spacing w:line="360" w:lineRule="exact"/>
        <w:ind w:firstLine="420" w:firstLineChars="200"/>
        <w:rPr>
          <w:rFonts w:ascii="宋体" w:hAnsi="宋体"/>
        </w:rPr>
      </w:pPr>
      <w:r>
        <w:rPr>
          <w:rFonts w:hint="eastAsia" w:ascii="宋体" w:hAnsi="宋体"/>
        </w:rPr>
        <w:t>(5)评标委员会完成评标后，评委对各部分得分汇总，计算出本项目最终得分等。评标委员会按评标原则推荐中标候选人同时起草评标报告。</w:t>
      </w:r>
    </w:p>
    <w:p>
      <w:pPr>
        <w:adjustRightInd w:val="0"/>
        <w:snapToGrid w:val="0"/>
        <w:spacing w:line="360" w:lineRule="exact"/>
        <w:ind w:firstLine="422" w:firstLineChars="200"/>
        <w:rPr>
          <w:rFonts w:ascii="宋体" w:hAnsi="宋体"/>
          <w:b/>
        </w:rPr>
      </w:pPr>
      <w:r>
        <w:rPr>
          <w:rFonts w:hint="eastAsia" w:ascii="宋体" w:hAnsi="宋体"/>
          <w:b/>
        </w:rPr>
        <w:t>(四)澄清问题的形式</w:t>
      </w:r>
    </w:p>
    <w:p>
      <w:pPr>
        <w:adjustRightInd w:val="0"/>
        <w:snapToGrid w:val="0"/>
        <w:spacing w:line="360" w:lineRule="exact"/>
        <w:ind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adjustRightInd w:val="0"/>
        <w:snapToGrid w:val="0"/>
        <w:spacing w:line="360" w:lineRule="exact"/>
        <w:ind w:firstLine="422" w:firstLineChars="200"/>
        <w:rPr>
          <w:rFonts w:ascii="宋体" w:hAnsi="宋体"/>
          <w:b/>
        </w:rPr>
      </w:pPr>
      <w:r>
        <w:rPr>
          <w:rFonts w:hint="eastAsia" w:ascii="宋体" w:hAnsi="宋体"/>
          <w:b/>
        </w:rPr>
        <w:t>(五)错误修正</w:t>
      </w:r>
    </w:p>
    <w:p>
      <w:pPr>
        <w:adjustRightInd w:val="0"/>
        <w:snapToGrid w:val="0"/>
        <w:spacing w:line="360" w:lineRule="exact"/>
        <w:ind w:firstLine="420" w:firstLineChars="200"/>
        <w:rPr>
          <w:rFonts w:ascii="宋体" w:hAnsi="宋体"/>
        </w:rPr>
      </w:pPr>
      <w:r>
        <w:rPr>
          <w:rFonts w:hint="eastAsia" w:ascii="宋体" w:hAnsi="宋体"/>
        </w:rPr>
        <w:t>投标文件如果出现计算或表达上的错误，修正错误的原则如下:</w:t>
      </w:r>
    </w:p>
    <w:p>
      <w:pPr>
        <w:adjustRightInd w:val="0"/>
        <w:snapToGrid w:val="0"/>
        <w:spacing w:line="360" w:lineRule="exact"/>
        <w:ind w:firstLine="420" w:firstLineChars="200"/>
        <w:rPr>
          <w:rFonts w:ascii="宋体" w:hAnsi="宋体"/>
        </w:rPr>
      </w:pPr>
      <w:r>
        <w:rPr>
          <w:rFonts w:hint="eastAsia" w:ascii="宋体" w:hAnsi="宋体"/>
        </w:rPr>
        <w:t>1．开标一览表总价与投标报价明细表不一致的，以开标一览表为准；</w:t>
      </w:r>
    </w:p>
    <w:p>
      <w:pPr>
        <w:adjustRightInd w:val="0"/>
        <w:snapToGrid w:val="0"/>
        <w:spacing w:line="360" w:lineRule="exact"/>
        <w:ind w:firstLine="420" w:firstLineChars="200"/>
        <w:rPr>
          <w:rFonts w:ascii="宋体" w:hAnsi="宋体"/>
        </w:rPr>
      </w:pPr>
      <w:r>
        <w:rPr>
          <w:rFonts w:hint="eastAsia" w:ascii="宋体" w:hAnsi="宋体"/>
        </w:rPr>
        <w:t>2．投标文件的大写金额和小写金额不一致的，以大写金额为准；</w:t>
      </w:r>
    </w:p>
    <w:p>
      <w:pPr>
        <w:adjustRightInd w:val="0"/>
        <w:snapToGrid w:val="0"/>
        <w:spacing w:line="360" w:lineRule="exact"/>
        <w:ind w:firstLine="420" w:firstLineChars="200"/>
        <w:rPr>
          <w:rFonts w:ascii="宋体" w:hAnsi="宋体"/>
        </w:rPr>
      </w:pPr>
      <w:r>
        <w:rPr>
          <w:rFonts w:hint="eastAsia" w:ascii="宋体" w:hAnsi="宋体"/>
        </w:rPr>
        <w:t>3．总价金额与按单价汇总金额不一致的，以单价金额计算结果为准；</w:t>
      </w:r>
    </w:p>
    <w:p>
      <w:pPr>
        <w:adjustRightInd w:val="0"/>
        <w:snapToGrid w:val="0"/>
        <w:spacing w:line="360" w:lineRule="exact"/>
        <w:ind w:firstLine="420" w:firstLineChars="200"/>
        <w:rPr>
          <w:rFonts w:ascii="宋体" w:hAnsi="宋体"/>
        </w:rPr>
      </w:pPr>
      <w:r>
        <w:rPr>
          <w:rFonts w:hint="eastAsia" w:ascii="宋体" w:hAnsi="宋体"/>
        </w:rPr>
        <w:t>4．对不同文字文本投标文件的解释发生异议的，以中文文本为准。</w:t>
      </w:r>
    </w:p>
    <w:p>
      <w:pPr>
        <w:adjustRightInd w:val="0"/>
        <w:snapToGrid w:val="0"/>
        <w:spacing w:line="360" w:lineRule="exact"/>
        <w:ind w:firstLine="420" w:firstLineChars="200"/>
        <w:rPr>
          <w:rFonts w:ascii="宋体" w:hAnsi="宋体"/>
        </w:rPr>
      </w:pPr>
      <w:r>
        <w:rPr>
          <w:rFonts w:hint="eastAsia" w:ascii="宋体" w:hAnsi="宋体"/>
        </w:rPr>
        <w:t>按上述修正错误的原则及方法调整或修正投标文件的投标报价，投标人同意并签字确认后，调整后的投标报价对投标人具有约束作用。如果投标人不接受修正后的报价，则其投标将作为无效投标处理。</w:t>
      </w:r>
    </w:p>
    <w:p>
      <w:pPr>
        <w:adjustRightInd w:val="0"/>
        <w:snapToGrid w:val="0"/>
        <w:spacing w:line="360" w:lineRule="exact"/>
        <w:ind w:firstLine="422" w:firstLineChars="200"/>
        <w:rPr>
          <w:rFonts w:ascii="宋体" w:hAnsi="宋体"/>
          <w:b/>
        </w:rPr>
      </w:pPr>
      <w:r>
        <w:rPr>
          <w:rFonts w:hint="eastAsia" w:ascii="宋体" w:hAnsi="宋体"/>
          <w:b/>
        </w:rPr>
        <w:t>(六)评标原则和评标办法</w:t>
      </w:r>
    </w:p>
    <w:p>
      <w:pPr>
        <w:adjustRightInd w:val="0"/>
        <w:snapToGrid w:val="0"/>
        <w:spacing w:line="360" w:lineRule="exact"/>
        <w:ind w:firstLine="420" w:firstLineChars="200"/>
        <w:rPr>
          <w:rFonts w:ascii="宋体" w:hAnsi="宋体"/>
        </w:rPr>
      </w:pPr>
      <w:r>
        <w:rPr>
          <w:rFonts w:hint="eastAsia" w:ascii="宋体"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djustRightInd w:val="0"/>
        <w:snapToGrid w:val="0"/>
        <w:spacing w:line="360" w:lineRule="exact"/>
        <w:ind w:firstLine="420" w:firstLineChars="200"/>
        <w:rPr>
          <w:rFonts w:ascii="宋体" w:hAnsi="宋体"/>
          <w:b/>
        </w:rPr>
      </w:pPr>
      <w:r>
        <w:rPr>
          <w:rFonts w:hint="eastAsia" w:ascii="宋体" w:hAnsi="宋体"/>
        </w:rPr>
        <w:t>2．评标办法。本项目评标办法是综合评分法，具体评标内容及评分标准等详见第四章</w:t>
      </w:r>
      <w:r>
        <w:rPr>
          <w:rFonts w:hint="eastAsia" w:ascii="宋体" w:hAnsi="宋体"/>
          <w:b/>
        </w:rPr>
        <w:t>:</w:t>
      </w:r>
      <w:r>
        <w:rPr>
          <w:rFonts w:hint="eastAsia" w:ascii="宋体" w:hAnsi="宋体"/>
        </w:rPr>
        <w:t>评标办法及评分标准.</w:t>
      </w:r>
    </w:p>
    <w:p>
      <w:pPr>
        <w:pStyle w:val="198"/>
        <w:adjustRightInd w:val="0"/>
        <w:snapToGrid w:val="0"/>
        <w:spacing w:after="0" w:line="360" w:lineRule="exact"/>
        <w:ind w:firstLine="422"/>
        <w:rPr>
          <w:rFonts w:ascii="宋体" w:hAnsi="宋体"/>
          <w:b/>
          <w:sz w:val="21"/>
        </w:rPr>
      </w:pPr>
      <w:r>
        <w:rPr>
          <w:rFonts w:hint="eastAsia" w:ascii="宋体" w:hAnsi="宋体"/>
          <w:b/>
          <w:sz w:val="21"/>
        </w:rPr>
        <w:t>(七)评标过程的监控</w:t>
      </w:r>
    </w:p>
    <w:p>
      <w:pPr>
        <w:adjustRightInd w:val="0"/>
        <w:snapToGrid w:val="0"/>
        <w:spacing w:line="360" w:lineRule="exact"/>
        <w:ind w:firstLine="420" w:firstLineChars="200"/>
        <w:rPr>
          <w:rFonts w:ascii="宋体" w:hAnsi="宋体"/>
        </w:rPr>
      </w:pPr>
      <w:r>
        <w:rPr>
          <w:rFonts w:hint="eastAsia" w:ascii="宋体" w:hAnsi="宋体"/>
        </w:rPr>
        <w:t>本项目评标过程实行全程录音、录像监控，投标人在评标过程中所进行的试图影响评标结果的不公正活动，可能导致其投标被拒绝。</w:t>
      </w:r>
    </w:p>
    <w:p>
      <w:pPr>
        <w:pStyle w:val="28"/>
      </w:pPr>
    </w:p>
    <w:p>
      <w:pPr>
        <w:adjustRightInd w:val="0"/>
        <w:snapToGrid w:val="0"/>
        <w:spacing w:line="360" w:lineRule="exact"/>
        <w:jc w:val="center"/>
        <w:rPr>
          <w:rFonts w:ascii="宋体" w:hAnsi="宋体"/>
          <w:b/>
        </w:rPr>
      </w:pPr>
      <w:bookmarkStart w:id="32" w:name="_Toc425318875"/>
      <w:r>
        <w:rPr>
          <w:rFonts w:hint="eastAsia" w:ascii="宋体" w:hAnsi="宋体"/>
          <w:b/>
        </w:rPr>
        <w:t>六、评标结果</w:t>
      </w:r>
      <w:bookmarkEnd w:id="32"/>
    </w:p>
    <w:p>
      <w:pPr>
        <w:adjustRightInd w:val="0"/>
        <w:snapToGrid w:val="0"/>
        <w:spacing w:line="360" w:lineRule="exact"/>
        <w:ind w:firstLine="420" w:firstLineChars="200"/>
        <w:rPr>
          <w:rFonts w:ascii="宋体" w:hAnsi="宋体"/>
        </w:rPr>
      </w:pPr>
      <w:r>
        <w:rPr>
          <w:rFonts w:hint="eastAsia" w:ascii="宋体" w:hAnsi="宋体"/>
        </w:rPr>
        <w:t>(一)采购代理机构将在评标结束后五个工作日内将评标报告送采购人，采购人在五个工作日内按照评标报告中推荐的中标候选供应商顺序确定中标供应商。采购人也可以事先授权评标委员会直接确定中标供应商。</w:t>
      </w:r>
    </w:p>
    <w:p>
      <w:pPr>
        <w:adjustRightInd w:val="0"/>
        <w:snapToGrid w:val="0"/>
        <w:spacing w:line="360" w:lineRule="exact"/>
        <w:ind w:firstLine="420" w:firstLineChars="200"/>
        <w:rPr>
          <w:rFonts w:ascii="宋体" w:hAnsi="宋体"/>
        </w:rPr>
      </w:pPr>
      <w:r>
        <w:rPr>
          <w:rFonts w:hint="eastAsia" w:ascii="宋体" w:hAnsi="宋体"/>
        </w:rPr>
        <w:t>(二)中标供应商确定后，采购代理机构在中国政府采购网、广西壮族自治区政府采购网、南宁市政府采购网、</w:t>
      </w:r>
      <w:r>
        <w:rPr>
          <w:rFonts w:hint="eastAsia" w:hAnsi="宋体"/>
          <w:shd w:val="clear" w:color="auto" w:fill="FFFFFF"/>
        </w:rPr>
        <w:t>南宁市公共资源交易中心网</w:t>
      </w:r>
      <w:r>
        <w:rPr>
          <w:rFonts w:hint="eastAsia" w:ascii="宋体" w:hAnsi="宋体"/>
        </w:rPr>
        <w:t>发布中标公告。</w:t>
      </w:r>
    </w:p>
    <w:p>
      <w:pPr>
        <w:adjustRightInd w:val="0"/>
        <w:snapToGrid w:val="0"/>
        <w:spacing w:line="360" w:lineRule="exact"/>
        <w:ind w:firstLine="420" w:firstLineChars="200"/>
        <w:rPr>
          <w:rFonts w:ascii="宋体" w:hAnsi="宋体"/>
        </w:rPr>
      </w:pPr>
      <w:r>
        <w:rPr>
          <w:rFonts w:hint="eastAsia" w:ascii="宋体" w:hAnsi="宋体"/>
        </w:rPr>
        <w:t>(三)在发布中标公告的同时，采购代理机构向中标供应商发出中标通知书。</w:t>
      </w:r>
    </w:p>
    <w:p>
      <w:pPr>
        <w:adjustRightInd w:val="0"/>
        <w:snapToGrid w:val="0"/>
        <w:spacing w:line="360" w:lineRule="exact"/>
        <w:ind w:firstLine="420" w:firstLineChars="200"/>
        <w:rPr>
          <w:rFonts w:ascii="宋体" w:hAnsi="宋体"/>
        </w:rPr>
      </w:pPr>
      <w:r>
        <w:rPr>
          <w:rFonts w:hint="eastAsia" w:ascii="宋体" w:hAnsi="宋体"/>
        </w:rPr>
        <w:t>(四)投标人认为招标文件、招标过程和中标结果使自己的权益受到损害的，可以在知道或者应知其权益受到损害之日起七个工作日内，按本章第一（九）款规定向采购代理机构提出质疑，并及时索要书面回执。</w:t>
      </w:r>
    </w:p>
    <w:p>
      <w:pPr>
        <w:adjustRightInd w:val="0"/>
        <w:snapToGrid w:val="0"/>
        <w:spacing w:line="360" w:lineRule="exact"/>
        <w:ind w:firstLine="420" w:firstLineChars="200"/>
        <w:rPr>
          <w:rFonts w:ascii="宋体" w:hAnsi="宋体"/>
        </w:rPr>
      </w:pPr>
      <w:r>
        <w:rPr>
          <w:rFonts w:hint="eastAsia" w:ascii="宋体" w:hAnsi="宋体"/>
        </w:rPr>
        <w:t>(五)采购代理机构应当按照有关规定就采购人委托授权范围内的事项在收到投标人的书面质疑后七个工作日内做出答复，但答复的内容不得涉及商业秘密。</w:t>
      </w:r>
    </w:p>
    <w:p>
      <w:pPr>
        <w:pStyle w:val="198"/>
        <w:adjustRightInd w:val="0"/>
        <w:snapToGrid w:val="0"/>
        <w:spacing w:after="0" w:line="360" w:lineRule="exact"/>
        <w:ind w:firstLine="420"/>
        <w:rPr>
          <w:rFonts w:ascii="宋体" w:hAnsi="宋体"/>
          <w:sz w:val="21"/>
        </w:rPr>
      </w:pPr>
      <w:r>
        <w:rPr>
          <w:rFonts w:hint="eastAsia" w:ascii="宋体" w:hAnsi="宋体"/>
          <w:sz w:val="21"/>
        </w:rPr>
        <w:t>(六)采购代理机构无义务向未中标的供应商退还投标文件。</w:t>
      </w:r>
    </w:p>
    <w:p>
      <w:pPr>
        <w:pStyle w:val="41"/>
      </w:pPr>
    </w:p>
    <w:p>
      <w:pPr>
        <w:adjustRightInd w:val="0"/>
        <w:snapToGrid w:val="0"/>
        <w:spacing w:line="360" w:lineRule="exact"/>
        <w:jc w:val="center"/>
        <w:rPr>
          <w:rFonts w:ascii="宋体" w:hAnsi="宋体"/>
          <w:b/>
        </w:rPr>
      </w:pPr>
      <w:bookmarkStart w:id="33" w:name="_Toc425318876"/>
      <w:r>
        <w:rPr>
          <w:rFonts w:hint="eastAsia" w:ascii="宋体" w:hAnsi="宋体"/>
          <w:b/>
        </w:rPr>
        <w:t>七、签订合同</w:t>
      </w:r>
      <w:bookmarkEnd w:id="33"/>
    </w:p>
    <w:p>
      <w:pPr>
        <w:adjustRightInd w:val="0"/>
        <w:snapToGrid w:val="0"/>
        <w:spacing w:line="360" w:lineRule="exact"/>
        <w:ind w:firstLine="422" w:firstLineChars="200"/>
        <w:rPr>
          <w:rFonts w:ascii="宋体" w:hAnsi="宋体"/>
          <w:b/>
        </w:rPr>
      </w:pPr>
      <w:r>
        <w:rPr>
          <w:rFonts w:hint="eastAsia" w:ascii="宋体" w:hAnsi="宋体"/>
          <w:b/>
        </w:rPr>
        <w:t>(一)合同授予标准</w:t>
      </w:r>
    </w:p>
    <w:p>
      <w:pPr>
        <w:adjustRightInd w:val="0"/>
        <w:snapToGrid w:val="0"/>
        <w:spacing w:line="360" w:lineRule="exact"/>
        <w:ind w:firstLine="420" w:firstLineChars="200"/>
        <w:rPr>
          <w:rFonts w:ascii="宋体" w:hAnsi="宋体"/>
        </w:rPr>
      </w:pPr>
      <w:r>
        <w:rPr>
          <w:rFonts w:hint="eastAsia" w:ascii="宋体" w:hAnsi="宋体"/>
        </w:rPr>
        <w:t>合同将授予被确定实质上响应招标文件要求，具备履行合同能力，综合评分排名第一的投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w:t>
      </w:r>
    </w:p>
    <w:p>
      <w:pPr>
        <w:adjustRightInd w:val="0"/>
        <w:snapToGrid w:val="0"/>
        <w:spacing w:line="360" w:lineRule="exact"/>
        <w:ind w:firstLine="422" w:firstLineChars="200"/>
        <w:rPr>
          <w:rFonts w:ascii="宋体" w:hAnsi="宋体"/>
          <w:b/>
        </w:rPr>
      </w:pPr>
      <w:r>
        <w:rPr>
          <w:rFonts w:hint="eastAsia" w:ascii="宋体" w:hAnsi="宋体"/>
          <w:b/>
        </w:rPr>
        <w:t>(二)签订合同</w:t>
      </w:r>
    </w:p>
    <w:p>
      <w:pPr>
        <w:adjustRightInd w:val="0"/>
        <w:snapToGrid w:val="0"/>
        <w:spacing w:line="360" w:lineRule="exact"/>
        <w:ind w:firstLine="420" w:firstLineChars="200"/>
        <w:rPr>
          <w:rFonts w:ascii="宋体" w:hAnsi="宋体"/>
        </w:rPr>
      </w:pPr>
      <w:r>
        <w:rPr>
          <w:rFonts w:hint="eastAsia" w:ascii="宋体" w:hAnsi="宋体"/>
        </w:rPr>
        <w:t>(1)投标人接到中标通知书后，应按中标通知书规定的时间、地点与采购人签订合同。</w:t>
      </w:r>
    </w:p>
    <w:p>
      <w:pPr>
        <w:adjustRightInd w:val="0"/>
        <w:snapToGrid w:val="0"/>
        <w:spacing w:line="360" w:lineRule="exact"/>
        <w:ind w:firstLine="420" w:firstLineChars="200"/>
        <w:rPr>
          <w:rFonts w:ascii="宋体" w:hAnsi="宋体"/>
        </w:rPr>
      </w:pPr>
      <w:r>
        <w:rPr>
          <w:rFonts w:hint="eastAsia" w:ascii="宋体" w:hAnsi="宋体"/>
        </w:rPr>
        <w:t>(2)如中标供应商不按中标通知书的规定签订合同，则按中标供应商违约处理。</w:t>
      </w:r>
    </w:p>
    <w:p>
      <w:pPr>
        <w:adjustRightInd w:val="0"/>
        <w:snapToGrid w:val="0"/>
        <w:spacing w:line="360" w:lineRule="exact"/>
        <w:ind w:firstLine="420" w:firstLineChars="200"/>
        <w:rPr>
          <w:rFonts w:ascii="宋体" w:hAnsi="宋体"/>
        </w:rPr>
      </w:pPr>
      <w:r>
        <w:rPr>
          <w:rFonts w:hint="eastAsia" w:ascii="宋体" w:hAnsi="宋体"/>
        </w:rPr>
        <w:t>(3)中标供应商因不可抗力或者自身原因不能履行采购合同的，采购人可以与中标供应商之后排名第一的中标候选供应商签订采购合同，以此类推。</w:t>
      </w:r>
    </w:p>
    <w:p>
      <w:pPr>
        <w:pStyle w:val="28"/>
      </w:pPr>
    </w:p>
    <w:p>
      <w:pPr>
        <w:adjustRightInd w:val="0"/>
        <w:snapToGrid w:val="0"/>
        <w:spacing w:line="360" w:lineRule="exact"/>
        <w:jc w:val="center"/>
        <w:rPr>
          <w:rFonts w:ascii="宋体" w:hAnsi="宋体"/>
          <w:b/>
        </w:rPr>
      </w:pPr>
      <w:bookmarkStart w:id="34" w:name="_Toc425318877"/>
      <w:r>
        <w:rPr>
          <w:rFonts w:hint="eastAsia" w:ascii="宋体" w:hAnsi="宋体"/>
          <w:b/>
        </w:rPr>
        <w:t>八、其他事项</w:t>
      </w:r>
      <w:bookmarkEnd w:id="34"/>
    </w:p>
    <w:p>
      <w:pPr>
        <w:adjustRightInd w:val="0"/>
        <w:snapToGrid w:val="0"/>
        <w:spacing w:line="360" w:lineRule="exact"/>
        <w:ind w:firstLine="420" w:firstLineChars="200"/>
        <w:rPr>
          <w:rFonts w:ascii="宋体" w:hAnsi="宋体"/>
        </w:rPr>
      </w:pPr>
      <w:r>
        <w:rPr>
          <w:rFonts w:hint="eastAsia" w:ascii="宋体" w:hAnsi="宋体"/>
        </w:rPr>
        <w:t>(1)中标服务收费按桂价费〔2011〕55号文件规定的代理服务收费标准向中标人收取。签订合同前，中标人应当向采购代理机构以此付清代理服务费及评审专家劳务费。</w:t>
      </w:r>
    </w:p>
    <w:p>
      <w:pPr>
        <w:adjustRightInd w:val="0"/>
        <w:snapToGrid w:val="0"/>
        <w:spacing w:line="360" w:lineRule="exact"/>
        <w:ind w:firstLine="420" w:firstLineChars="200"/>
        <w:rPr>
          <w:rFonts w:ascii="宋体" w:hAnsi="宋体"/>
        </w:rPr>
      </w:pPr>
      <w:r>
        <w:rPr>
          <w:rFonts w:hint="eastAsia" w:ascii="宋体" w:hAnsi="宋体"/>
        </w:rPr>
        <w:t>(2)代理服务收费标准：</w:t>
      </w:r>
    </w:p>
    <w:tbl>
      <w:tblPr>
        <w:tblStyle w:val="72"/>
        <w:tblW w:w="0" w:type="auto"/>
        <w:tblInd w:w="7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2520"/>
        <w:gridCol w:w="1980"/>
        <w:gridCol w:w="15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2448" w:type="dxa"/>
            <w:vAlign w:val="center"/>
          </w:tcPr>
          <w:p>
            <w:pPr>
              <w:spacing w:line="300" w:lineRule="exact"/>
              <w:jc w:val="right"/>
            </w:pPr>
            <w:r>
              <mc:AlternateContent>
                <mc:Choice Requires="wps">
                  <w:drawing>
                    <wp:anchor distT="0" distB="0" distL="114300" distR="114300" simplePos="0" relativeHeight="251661312" behindDoc="0" locked="0" layoutInCell="1" allowOverlap="1">
                      <wp:simplePos x="0" y="0"/>
                      <wp:positionH relativeFrom="column">
                        <wp:posOffset>499110</wp:posOffset>
                      </wp:positionH>
                      <wp:positionV relativeFrom="paragraph">
                        <wp:posOffset>1270</wp:posOffset>
                      </wp:positionV>
                      <wp:extent cx="990600" cy="561975"/>
                      <wp:effectExtent l="3810" t="6985" r="15240" b="21590"/>
                      <wp:wrapNone/>
                      <wp:docPr id="4" name="直线 8"/>
                      <wp:cNvGraphicFramePr/>
                      <a:graphic xmlns:a="http://schemas.openxmlformats.org/drawingml/2006/main">
                        <a:graphicData uri="http://schemas.microsoft.com/office/word/2010/wordprocessingShape">
                          <wps:wsp>
                            <wps:cNvCnPr/>
                            <wps:spPr>
                              <a:xfrm flipH="1" flipV="1">
                                <a:off x="0" y="0"/>
                                <a:ext cx="990600" cy="56197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直线 8" o:spid="_x0000_s1026" o:spt="20" style="position:absolute;left:0pt;flip:x y;margin-left:39.3pt;margin-top:0.1pt;height:44.25pt;width:78pt;z-index:251661312;mso-width-relative:page;mso-height-relative:page;" filled="f" stroked="t" coordsize="21600,21600" o:gfxdata="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QmId1gAAAAYBAAAPAAAAAAAAAAEA&#10;IAAAACIAAABkcnMvZG93bnJldi54bWxQSwECFAAUAAAACACHTuJA4vhvGtgBAACaAwAADgAAAAAA&#10;AAABACAAAAAlAQAAZHJzL2Uyb0RvYy54bWxQSwUGAAAAAAYABgBZAQAAbwUAAAAA&#10;">
                      <v:fill on="f" focussize="0,0"/>
                      <v:stroke weight="1.25pt" color="#739CC3" joinstyle="round"/>
                      <v:imagedata o:title=""/>
                      <o:lock v:ext="edit" aspectratio="f"/>
                    </v:line>
                  </w:pict>
                </mc:Fallback>
              </mc:AlternateContent>
            </w:r>
            <w:r>
              <w:rPr>
                <w:rFonts w:hint="eastAsia"/>
              </w:rPr>
              <w:t>服务类型</w:t>
            </w:r>
          </w:p>
          <w:p>
            <w:pPr>
              <w:pStyle w:val="28"/>
              <w:spacing w:line="300" w:lineRule="exact"/>
              <w:ind w:firstLine="840" w:firstLineChars="400"/>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96520</wp:posOffset>
                      </wp:positionV>
                      <wp:extent cx="1562100" cy="276225"/>
                      <wp:effectExtent l="1270" t="7620" r="17780" b="20955"/>
                      <wp:wrapNone/>
                      <wp:docPr id="3" name="直线 7"/>
                      <wp:cNvGraphicFramePr/>
                      <a:graphic xmlns:a="http://schemas.openxmlformats.org/drawingml/2006/main">
                        <a:graphicData uri="http://schemas.microsoft.com/office/word/2010/wordprocessingShape">
                          <wps:wsp>
                            <wps:cNvCnPr/>
                            <wps:spPr>
                              <a:xfrm flipH="1" flipV="1">
                                <a:off x="0" y="0"/>
                                <a:ext cx="1562100" cy="27622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直线 7" o:spid="_x0000_s1026" o:spt="20" style="position:absolute;left:0pt;flip:x y;margin-left:-5.7pt;margin-top:7.6pt;height:21.75pt;width:123pt;z-index:251660288;mso-width-relative:page;mso-height-relative:page;" filled="f" stroked="t" coordsize="21600,21600" o:gfxdata="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Rf9ajbAAAACQEAAA8AAAAA&#10;AAAAAQAgAAAAIgAAAGRycy9kb3ducmV2LnhtbFBLAQIUABQAAAAIAIdO4kCz+8Kq2AEAAJsDAAAO&#10;AAAAAAAAAAEAIAAAACoBAABkcnMvZTJvRG9jLnhtbFBLBQYAAAAABgAGAFkBAAB0BQAAAAA=&#10;">
                      <v:fill on="f" focussize="0,0"/>
                      <v:stroke weight="1.25pt" color="#739CC3" joinstyle="round"/>
                      <v:imagedata o:title=""/>
                      <o:lock v:ext="edit" aspectratio="f"/>
                    </v:line>
                  </w:pict>
                </mc:Fallback>
              </mc:AlternateContent>
            </w:r>
            <w:r>
              <w:rPr>
                <w:rFonts w:hint="eastAsia" w:ascii="宋体" w:hAnsi="宋体"/>
                <w:sz w:val="21"/>
                <w:szCs w:val="21"/>
              </w:rPr>
              <w:t>费率</w:t>
            </w:r>
          </w:p>
          <w:p>
            <w:pPr>
              <w:pStyle w:val="28"/>
              <w:spacing w:line="300" w:lineRule="exact"/>
              <w:rPr>
                <w:rFonts w:ascii="宋体" w:hAnsi="宋体"/>
                <w:sz w:val="21"/>
                <w:szCs w:val="21"/>
              </w:rPr>
            </w:pPr>
            <w:r>
              <w:rPr>
                <w:rFonts w:hint="eastAsia" w:ascii="宋体" w:hAnsi="宋体"/>
                <w:sz w:val="21"/>
                <w:szCs w:val="21"/>
              </w:rPr>
              <w:t>成交金额</w:t>
            </w:r>
          </w:p>
        </w:tc>
        <w:tc>
          <w:tcPr>
            <w:tcW w:w="2520" w:type="dxa"/>
            <w:vAlign w:val="center"/>
          </w:tcPr>
          <w:p>
            <w:pPr>
              <w:spacing w:line="300" w:lineRule="exact"/>
              <w:jc w:val="center"/>
              <w:rPr>
                <w:rFonts w:ascii="宋体" w:hAnsi="宋体"/>
              </w:rPr>
            </w:pPr>
            <w:r>
              <w:rPr>
                <w:rFonts w:hint="eastAsia" w:ascii="宋体" w:hAnsi="宋体"/>
              </w:rPr>
              <w:t>货物招标</w:t>
            </w:r>
          </w:p>
        </w:tc>
        <w:tc>
          <w:tcPr>
            <w:tcW w:w="1980" w:type="dxa"/>
            <w:vAlign w:val="center"/>
          </w:tcPr>
          <w:p>
            <w:pPr>
              <w:spacing w:line="300" w:lineRule="exact"/>
              <w:jc w:val="center"/>
              <w:rPr>
                <w:rFonts w:ascii="宋体" w:hAnsi="宋体"/>
              </w:rPr>
            </w:pPr>
            <w:r>
              <w:rPr>
                <w:rFonts w:hint="eastAsia" w:ascii="宋体" w:hAnsi="宋体"/>
              </w:rPr>
              <w:t>服务招标</w:t>
            </w:r>
          </w:p>
        </w:tc>
        <w:tc>
          <w:tcPr>
            <w:tcW w:w="1574" w:type="dxa"/>
            <w:vAlign w:val="center"/>
          </w:tcPr>
          <w:p>
            <w:pPr>
              <w:spacing w:line="300" w:lineRule="exact"/>
              <w:jc w:val="center"/>
              <w:rPr>
                <w:rFonts w:ascii="宋体" w:hAnsi="宋体"/>
              </w:rPr>
            </w:pPr>
            <w:r>
              <w:rPr>
                <w:rFonts w:hint="eastAsia" w:ascii="宋体" w:hAnsi="宋体"/>
              </w:rPr>
              <w:t>工程招标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vAlign w:val="center"/>
          </w:tcPr>
          <w:p>
            <w:pPr>
              <w:spacing w:line="360" w:lineRule="exact"/>
              <w:jc w:val="left"/>
              <w:rPr>
                <w:rFonts w:ascii="宋体" w:hAnsi="宋体"/>
              </w:rPr>
            </w:pPr>
            <w:r>
              <w:rPr>
                <w:rFonts w:ascii="宋体" w:hAnsi="宋体"/>
              </w:rPr>
              <w:t>100</w:t>
            </w:r>
            <w:r>
              <w:rPr>
                <w:rFonts w:hint="eastAsia" w:ascii="宋体" w:hAnsi="宋体"/>
              </w:rPr>
              <w:t>万元以下</w:t>
            </w:r>
          </w:p>
        </w:tc>
        <w:tc>
          <w:tcPr>
            <w:tcW w:w="2520" w:type="dxa"/>
            <w:vAlign w:val="center"/>
          </w:tcPr>
          <w:p>
            <w:pPr>
              <w:spacing w:line="360" w:lineRule="exact"/>
              <w:jc w:val="left"/>
              <w:rPr>
                <w:rFonts w:ascii="宋体" w:hAnsi="宋体"/>
              </w:rPr>
            </w:pPr>
            <w:r>
              <w:rPr>
                <w:rFonts w:ascii="宋体" w:hAnsi="宋体"/>
              </w:rPr>
              <w:t>1.5%</w:t>
            </w:r>
          </w:p>
        </w:tc>
        <w:tc>
          <w:tcPr>
            <w:tcW w:w="1980" w:type="dxa"/>
            <w:vAlign w:val="center"/>
          </w:tcPr>
          <w:p>
            <w:pPr>
              <w:spacing w:line="360" w:lineRule="exact"/>
              <w:jc w:val="left"/>
              <w:rPr>
                <w:rFonts w:ascii="宋体" w:hAnsi="宋体"/>
              </w:rPr>
            </w:pPr>
            <w:r>
              <w:rPr>
                <w:rFonts w:ascii="宋体" w:hAnsi="宋体"/>
              </w:rPr>
              <w:t>1.5%</w:t>
            </w:r>
          </w:p>
        </w:tc>
        <w:tc>
          <w:tcPr>
            <w:tcW w:w="1574" w:type="dxa"/>
            <w:vAlign w:val="center"/>
          </w:tcPr>
          <w:p>
            <w:pPr>
              <w:spacing w:line="360" w:lineRule="exact"/>
              <w:jc w:val="left"/>
              <w:rPr>
                <w:rFonts w:ascii="宋体" w:hAnsi="宋体"/>
              </w:rPr>
            </w:pPr>
            <w:r>
              <w:rPr>
                <w:rFonts w:ascii="宋体" w:hAnsi="宋体"/>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vAlign w:val="center"/>
          </w:tcPr>
          <w:p>
            <w:pPr>
              <w:spacing w:line="360" w:lineRule="exact"/>
              <w:jc w:val="left"/>
              <w:rPr>
                <w:rFonts w:ascii="宋体" w:hAnsi="宋体"/>
              </w:rPr>
            </w:pPr>
            <w:r>
              <w:rPr>
                <w:rFonts w:ascii="宋体" w:hAnsi="宋体"/>
              </w:rPr>
              <w:t>100-500</w:t>
            </w:r>
            <w:r>
              <w:rPr>
                <w:rFonts w:hint="eastAsia" w:ascii="宋体" w:hAnsi="宋体"/>
              </w:rPr>
              <w:t>万元</w:t>
            </w:r>
          </w:p>
        </w:tc>
        <w:tc>
          <w:tcPr>
            <w:tcW w:w="2520" w:type="dxa"/>
            <w:vAlign w:val="center"/>
          </w:tcPr>
          <w:p>
            <w:pPr>
              <w:spacing w:line="360" w:lineRule="exact"/>
              <w:jc w:val="left"/>
              <w:rPr>
                <w:rFonts w:ascii="宋体" w:hAnsi="宋体"/>
              </w:rPr>
            </w:pPr>
            <w:r>
              <w:rPr>
                <w:rFonts w:ascii="宋体" w:hAnsi="宋体"/>
              </w:rPr>
              <w:t>1.1%</w:t>
            </w:r>
          </w:p>
        </w:tc>
        <w:tc>
          <w:tcPr>
            <w:tcW w:w="1980" w:type="dxa"/>
            <w:vAlign w:val="center"/>
          </w:tcPr>
          <w:p>
            <w:pPr>
              <w:spacing w:line="360" w:lineRule="exact"/>
              <w:jc w:val="left"/>
              <w:rPr>
                <w:rFonts w:ascii="宋体" w:hAnsi="宋体"/>
              </w:rPr>
            </w:pPr>
            <w:r>
              <w:rPr>
                <w:rFonts w:ascii="宋体" w:hAnsi="宋体"/>
              </w:rPr>
              <w:t>0.8%</w:t>
            </w:r>
          </w:p>
        </w:tc>
        <w:tc>
          <w:tcPr>
            <w:tcW w:w="1574" w:type="dxa"/>
            <w:vAlign w:val="center"/>
          </w:tcPr>
          <w:p>
            <w:pPr>
              <w:spacing w:line="360" w:lineRule="exact"/>
              <w:jc w:val="left"/>
              <w:rPr>
                <w:rFonts w:ascii="宋体" w:hAnsi="宋体"/>
              </w:rPr>
            </w:pPr>
            <w:r>
              <w:rPr>
                <w:rFonts w:ascii="宋体" w:hAnsi="宋体"/>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vAlign w:val="center"/>
          </w:tcPr>
          <w:p>
            <w:pPr>
              <w:spacing w:line="360" w:lineRule="exact"/>
              <w:jc w:val="left"/>
              <w:rPr>
                <w:rFonts w:ascii="宋体" w:hAnsi="宋体"/>
              </w:rPr>
            </w:pPr>
            <w:r>
              <w:rPr>
                <w:rFonts w:ascii="宋体" w:hAnsi="宋体"/>
              </w:rPr>
              <w:t>500-1000</w:t>
            </w:r>
            <w:r>
              <w:rPr>
                <w:rFonts w:hint="eastAsia" w:ascii="宋体" w:hAnsi="宋体"/>
              </w:rPr>
              <w:t>万元</w:t>
            </w:r>
          </w:p>
        </w:tc>
        <w:tc>
          <w:tcPr>
            <w:tcW w:w="2520" w:type="dxa"/>
            <w:vAlign w:val="center"/>
          </w:tcPr>
          <w:p>
            <w:pPr>
              <w:spacing w:line="360" w:lineRule="exact"/>
              <w:jc w:val="left"/>
              <w:rPr>
                <w:rFonts w:ascii="宋体" w:hAnsi="宋体"/>
              </w:rPr>
            </w:pPr>
            <w:r>
              <w:rPr>
                <w:rFonts w:ascii="宋体" w:hAnsi="宋体"/>
              </w:rPr>
              <w:t>0.8%</w:t>
            </w:r>
          </w:p>
        </w:tc>
        <w:tc>
          <w:tcPr>
            <w:tcW w:w="1980" w:type="dxa"/>
            <w:vAlign w:val="center"/>
          </w:tcPr>
          <w:p>
            <w:pPr>
              <w:spacing w:line="360" w:lineRule="exact"/>
              <w:jc w:val="left"/>
              <w:rPr>
                <w:rFonts w:ascii="宋体" w:hAnsi="宋体"/>
              </w:rPr>
            </w:pPr>
            <w:r>
              <w:rPr>
                <w:rFonts w:ascii="宋体" w:hAnsi="宋体"/>
              </w:rPr>
              <w:t>0.45%</w:t>
            </w:r>
          </w:p>
        </w:tc>
        <w:tc>
          <w:tcPr>
            <w:tcW w:w="1574" w:type="dxa"/>
            <w:vAlign w:val="center"/>
          </w:tcPr>
          <w:p>
            <w:pPr>
              <w:spacing w:line="360" w:lineRule="exact"/>
              <w:jc w:val="left"/>
              <w:rPr>
                <w:rFonts w:ascii="宋体" w:hAnsi="宋体"/>
              </w:rPr>
            </w:pPr>
            <w:r>
              <w:rPr>
                <w:rFonts w:ascii="宋体" w:hAnsi="宋体"/>
              </w:rPr>
              <w:t>0.55%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vAlign w:val="center"/>
          </w:tcPr>
          <w:p>
            <w:pPr>
              <w:spacing w:line="360" w:lineRule="exact"/>
              <w:jc w:val="left"/>
              <w:rPr>
                <w:rFonts w:ascii="宋体" w:hAnsi="宋体"/>
              </w:rPr>
            </w:pPr>
            <w:r>
              <w:rPr>
                <w:rFonts w:ascii="宋体" w:hAnsi="宋体"/>
              </w:rPr>
              <w:t>1000-5000</w:t>
            </w:r>
            <w:r>
              <w:rPr>
                <w:rFonts w:hint="eastAsia" w:ascii="宋体" w:hAnsi="宋体"/>
              </w:rPr>
              <w:t>万元</w:t>
            </w:r>
          </w:p>
        </w:tc>
        <w:tc>
          <w:tcPr>
            <w:tcW w:w="2520" w:type="dxa"/>
            <w:vAlign w:val="center"/>
          </w:tcPr>
          <w:p>
            <w:pPr>
              <w:spacing w:line="360" w:lineRule="exact"/>
              <w:jc w:val="left"/>
              <w:rPr>
                <w:rFonts w:ascii="宋体" w:hAnsi="宋体"/>
              </w:rPr>
            </w:pPr>
            <w:r>
              <w:rPr>
                <w:rFonts w:ascii="宋体" w:hAnsi="宋体"/>
              </w:rPr>
              <w:t>0.5%</w:t>
            </w:r>
          </w:p>
        </w:tc>
        <w:tc>
          <w:tcPr>
            <w:tcW w:w="1980" w:type="dxa"/>
            <w:vAlign w:val="center"/>
          </w:tcPr>
          <w:p>
            <w:pPr>
              <w:spacing w:line="360" w:lineRule="exact"/>
              <w:jc w:val="left"/>
              <w:rPr>
                <w:rFonts w:ascii="宋体" w:hAnsi="宋体"/>
              </w:rPr>
            </w:pPr>
            <w:r>
              <w:rPr>
                <w:rFonts w:ascii="宋体" w:hAnsi="宋体"/>
              </w:rPr>
              <w:t>0.25%</w:t>
            </w:r>
          </w:p>
        </w:tc>
        <w:tc>
          <w:tcPr>
            <w:tcW w:w="1574" w:type="dxa"/>
            <w:vAlign w:val="center"/>
          </w:tcPr>
          <w:p>
            <w:pPr>
              <w:spacing w:line="360" w:lineRule="exact"/>
              <w:jc w:val="left"/>
              <w:rPr>
                <w:rFonts w:ascii="宋体" w:hAnsi="宋体"/>
              </w:rPr>
            </w:pPr>
            <w:r>
              <w:rPr>
                <w:rFonts w:ascii="宋体" w:hAnsi="宋体"/>
              </w:rPr>
              <w:t>0.35%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tcPr>
          <w:p>
            <w:pPr>
              <w:spacing w:line="360" w:lineRule="auto"/>
              <w:jc w:val="left"/>
              <w:rPr>
                <w:rFonts w:ascii="宋体" w:hAnsi="宋体" w:cs="Arial"/>
              </w:rPr>
            </w:pPr>
            <w:r>
              <w:rPr>
                <w:rFonts w:ascii="宋体" w:hAnsi="宋体"/>
              </w:rPr>
              <w:t>5000</w:t>
            </w:r>
            <w:r>
              <w:rPr>
                <w:rFonts w:hint="eastAsia" w:ascii="宋体" w:hAnsi="宋体"/>
              </w:rPr>
              <w:t>万元～</w:t>
            </w:r>
            <w:r>
              <w:rPr>
                <w:rFonts w:ascii="宋体" w:hAnsi="宋体"/>
              </w:rPr>
              <w:t>1</w:t>
            </w:r>
            <w:r>
              <w:rPr>
                <w:rFonts w:hint="eastAsia" w:ascii="宋体" w:hAnsi="宋体"/>
              </w:rPr>
              <w:t>亿元</w:t>
            </w:r>
          </w:p>
        </w:tc>
        <w:tc>
          <w:tcPr>
            <w:tcW w:w="2520" w:type="dxa"/>
          </w:tcPr>
          <w:p>
            <w:pPr>
              <w:spacing w:line="360" w:lineRule="auto"/>
              <w:rPr>
                <w:rFonts w:ascii="宋体" w:hAnsi="宋体" w:cs="Arial"/>
              </w:rPr>
            </w:pPr>
            <w:r>
              <w:rPr>
                <w:rFonts w:hint="eastAsia" w:ascii="宋体" w:hAnsi="宋体" w:cs="宋体"/>
              </w:rPr>
              <w:t>0.25%</w:t>
            </w:r>
          </w:p>
        </w:tc>
        <w:tc>
          <w:tcPr>
            <w:tcW w:w="1980" w:type="dxa"/>
          </w:tcPr>
          <w:p>
            <w:pPr>
              <w:spacing w:line="360" w:lineRule="auto"/>
              <w:rPr>
                <w:rFonts w:ascii="宋体" w:hAnsi="宋体" w:cs="Arial"/>
              </w:rPr>
            </w:pPr>
            <w:r>
              <w:rPr>
                <w:rFonts w:hint="eastAsia" w:ascii="宋体" w:hAnsi="宋体" w:cs="宋体"/>
              </w:rPr>
              <w:t>0.1%</w:t>
            </w:r>
          </w:p>
        </w:tc>
        <w:tc>
          <w:tcPr>
            <w:tcW w:w="1574" w:type="dxa"/>
          </w:tcPr>
          <w:p>
            <w:pPr>
              <w:spacing w:line="360" w:lineRule="auto"/>
              <w:rPr>
                <w:rFonts w:ascii="宋体" w:hAnsi="宋体" w:cs="Arial"/>
              </w:rPr>
            </w:pPr>
            <w:r>
              <w:rPr>
                <w:rFonts w:hint="eastAsia" w:ascii="宋体" w:hAnsi="宋体" w:cs="宋体"/>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tcPr>
          <w:p>
            <w:pPr>
              <w:spacing w:line="360" w:lineRule="auto"/>
              <w:jc w:val="left"/>
              <w:rPr>
                <w:rFonts w:ascii="宋体" w:hAnsi="宋体" w:cs="Arial"/>
              </w:rPr>
            </w:pPr>
            <w:r>
              <w:rPr>
                <w:rFonts w:hint="eastAsia" w:ascii="宋体" w:hAnsi="宋体"/>
              </w:rPr>
              <w:t>1～</w:t>
            </w:r>
            <w:r>
              <w:rPr>
                <w:rFonts w:ascii="宋体" w:hAnsi="宋体"/>
              </w:rPr>
              <w:t>5</w:t>
            </w:r>
            <w:r>
              <w:rPr>
                <w:rFonts w:hint="eastAsia" w:ascii="宋体" w:hAnsi="宋体"/>
              </w:rPr>
              <w:t>亿元</w:t>
            </w:r>
          </w:p>
        </w:tc>
        <w:tc>
          <w:tcPr>
            <w:tcW w:w="2520" w:type="dxa"/>
          </w:tcPr>
          <w:p>
            <w:pPr>
              <w:spacing w:line="360" w:lineRule="auto"/>
              <w:rPr>
                <w:rFonts w:ascii="宋体" w:hAnsi="宋体" w:cs="Arial"/>
              </w:rPr>
            </w:pPr>
            <w:r>
              <w:rPr>
                <w:rFonts w:ascii="宋体" w:hAnsi="宋体"/>
              </w:rPr>
              <w:t>0.05%</w:t>
            </w:r>
          </w:p>
        </w:tc>
        <w:tc>
          <w:tcPr>
            <w:tcW w:w="1980" w:type="dxa"/>
          </w:tcPr>
          <w:p>
            <w:pPr>
              <w:spacing w:line="360" w:lineRule="auto"/>
              <w:rPr>
                <w:rFonts w:ascii="宋体" w:hAnsi="宋体" w:cs="Arial"/>
              </w:rPr>
            </w:pPr>
            <w:r>
              <w:rPr>
                <w:rFonts w:ascii="宋体" w:hAnsi="宋体"/>
              </w:rPr>
              <w:t>0.05%</w:t>
            </w:r>
          </w:p>
        </w:tc>
        <w:tc>
          <w:tcPr>
            <w:tcW w:w="1574" w:type="dxa"/>
          </w:tcPr>
          <w:p>
            <w:pPr>
              <w:spacing w:line="360" w:lineRule="auto"/>
              <w:rPr>
                <w:rFonts w:ascii="宋体" w:hAnsi="宋体" w:cs="Arial"/>
              </w:rPr>
            </w:pPr>
            <w:r>
              <w:rPr>
                <w:rFonts w:ascii="宋体" w:hAnsi="宋体"/>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tcPr>
          <w:p>
            <w:pPr>
              <w:spacing w:line="360" w:lineRule="auto"/>
              <w:jc w:val="left"/>
              <w:rPr>
                <w:rFonts w:ascii="宋体" w:hAnsi="宋体" w:cs="Arial"/>
              </w:rPr>
            </w:pPr>
            <w:r>
              <w:rPr>
                <w:rFonts w:hint="eastAsia" w:ascii="宋体" w:hAnsi="宋体"/>
              </w:rPr>
              <w:t>5～</w:t>
            </w:r>
            <w:r>
              <w:rPr>
                <w:rFonts w:ascii="宋体" w:hAnsi="宋体"/>
              </w:rPr>
              <w:t>10</w:t>
            </w:r>
            <w:r>
              <w:rPr>
                <w:rFonts w:hint="eastAsia" w:ascii="宋体" w:hAnsi="宋体"/>
              </w:rPr>
              <w:t>亿元</w:t>
            </w:r>
          </w:p>
        </w:tc>
        <w:tc>
          <w:tcPr>
            <w:tcW w:w="2520" w:type="dxa"/>
          </w:tcPr>
          <w:p>
            <w:pPr>
              <w:spacing w:line="360" w:lineRule="auto"/>
              <w:rPr>
                <w:rFonts w:ascii="宋体" w:hAnsi="宋体" w:cs="Arial"/>
              </w:rPr>
            </w:pPr>
            <w:r>
              <w:rPr>
                <w:rFonts w:ascii="宋体" w:hAnsi="宋体"/>
              </w:rPr>
              <w:t>0.035%</w:t>
            </w:r>
          </w:p>
        </w:tc>
        <w:tc>
          <w:tcPr>
            <w:tcW w:w="1980" w:type="dxa"/>
          </w:tcPr>
          <w:p>
            <w:pPr>
              <w:spacing w:line="360" w:lineRule="auto"/>
              <w:rPr>
                <w:rFonts w:ascii="宋体" w:hAnsi="宋体" w:cs="Arial"/>
              </w:rPr>
            </w:pPr>
            <w:r>
              <w:rPr>
                <w:rFonts w:ascii="宋体" w:hAnsi="宋体"/>
              </w:rPr>
              <w:t>0.035%</w:t>
            </w:r>
          </w:p>
        </w:tc>
        <w:tc>
          <w:tcPr>
            <w:tcW w:w="1574" w:type="dxa"/>
          </w:tcPr>
          <w:p>
            <w:pPr>
              <w:spacing w:line="360" w:lineRule="auto"/>
              <w:rPr>
                <w:rFonts w:ascii="宋体" w:hAnsi="宋体" w:cs="Arial"/>
              </w:rPr>
            </w:pPr>
            <w:r>
              <w:rPr>
                <w:rFonts w:ascii="宋体" w:hAnsi="宋体"/>
              </w:rPr>
              <w:t>0.035%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tcPr>
          <w:p>
            <w:pPr>
              <w:spacing w:line="360" w:lineRule="auto"/>
              <w:jc w:val="left"/>
              <w:rPr>
                <w:rFonts w:ascii="宋体" w:hAnsi="宋体" w:cs="Arial"/>
              </w:rPr>
            </w:pPr>
            <w:r>
              <w:rPr>
                <w:rFonts w:ascii="宋体" w:hAnsi="宋体"/>
              </w:rPr>
              <w:t>1</w:t>
            </w:r>
            <w:r>
              <w:rPr>
                <w:rFonts w:hint="eastAsia" w:ascii="宋体" w:hAnsi="宋体"/>
              </w:rPr>
              <w:t>0～</w:t>
            </w:r>
            <w:r>
              <w:rPr>
                <w:rFonts w:ascii="宋体" w:hAnsi="宋体"/>
              </w:rPr>
              <w:t>50</w:t>
            </w:r>
            <w:r>
              <w:rPr>
                <w:rFonts w:hint="eastAsia" w:ascii="宋体" w:hAnsi="宋体"/>
              </w:rPr>
              <w:t>亿元</w:t>
            </w:r>
          </w:p>
        </w:tc>
        <w:tc>
          <w:tcPr>
            <w:tcW w:w="2520" w:type="dxa"/>
          </w:tcPr>
          <w:p>
            <w:pPr>
              <w:spacing w:line="360" w:lineRule="auto"/>
              <w:rPr>
                <w:rFonts w:ascii="宋体" w:hAnsi="宋体" w:cs="Arial"/>
              </w:rPr>
            </w:pPr>
            <w:r>
              <w:rPr>
                <w:rFonts w:ascii="宋体" w:hAnsi="宋体"/>
              </w:rPr>
              <w:t>0.008%</w:t>
            </w:r>
          </w:p>
        </w:tc>
        <w:tc>
          <w:tcPr>
            <w:tcW w:w="1980" w:type="dxa"/>
          </w:tcPr>
          <w:p>
            <w:pPr>
              <w:spacing w:line="360" w:lineRule="auto"/>
              <w:rPr>
                <w:rFonts w:ascii="宋体" w:hAnsi="宋体" w:cs="Arial"/>
              </w:rPr>
            </w:pPr>
            <w:r>
              <w:rPr>
                <w:rFonts w:ascii="宋体" w:hAnsi="宋体"/>
              </w:rPr>
              <w:t>0.008%</w:t>
            </w:r>
          </w:p>
        </w:tc>
        <w:tc>
          <w:tcPr>
            <w:tcW w:w="1574" w:type="dxa"/>
          </w:tcPr>
          <w:p>
            <w:pPr>
              <w:spacing w:line="360" w:lineRule="auto"/>
              <w:rPr>
                <w:rFonts w:ascii="宋体" w:hAnsi="宋体" w:cs="Arial"/>
              </w:rPr>
            </w:pPr>
            <w:r>
              <w:rPr>
                <w:rFonts w:ascii="宋体" w:hAnsi="宋体"/>
              </w:rPr>
              <w:t>0.008%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tcPr>
          <w:p>
            <w:pPr>
              <w:spacing w:line="360" w:lineRule="auto"/>
              <w:jc w:val="left"/>
              <w:rPr>
                <w:rFonts w:ascii="宋体" w:hAnsi="宋体" w:cs="Arial"/>
              </w:rPr>
            </w:pPr>
            <w:r>
              <w:rPr>
                <w:rFonts w:ascii="宋体" w:hAnsi="宋体"/>
              </w:rPr>
              <w:t>5</w:t>
            </w:r>
            <w:r>
              <w:rPr>
                <w:rFonts w:hint="eastAsia" w:ascii="宋体" w:hAnsi="宋体"/>
              </w:rPr>
              <w:t>0～</w:t>
            </w:r>
            <w:r>
              <w:rPr>
                <w:rFonts w:ascii="宋体" w:hAnsi="宋体"/>
              </w:rPr>
              <w:t>100</w:t>
            </w:r>
            <w:r>
              <w:rPr>
                <w:rFonts w:hint="eastAsia" w:ascii="宋体" w:hAnsi="宋体"/>
              </w:rPr>
              <w:t>亿元</w:t>
            </w:r>
          </w:p>
        </w:tc>
        <w:tc>
          <w:tcPr>
            <w:tcW w:w="2520" w:type="dxa"/>
          </w:tcPr>
          <w:p>
            <w:pPr>
              <w:spacing w:line="360" w:lineRule="auto"/>
              <w:rPr>
                <w:rFonts w:ascii="宋体" w:hAnsi="宋体" w:cs="Arial"/>
              </w:rPr>
            </w:pPr>
            <w:r>
              <w:rPr>
                <w:rFonts w:ascii="宋体" w:hAnsi="宋体"/>
              </w:rPr>
              <w:t>0.006%</w:t>
            </w:r>
          </w:p>
        </w:tc>
        <w:tc>
          <w:tcPr>
            <w:tcW w:w="1980" w:type="dxa"/>
          </w:tcPr>
          <w:p>
            <w:pPr>
              <w:spacing w:line="360" w:lineRule="auto"/>
              <w:rPr>
                <w:rFonts w:ascii="宋体" w:hAnsi="宋体" w:cs="Arial"/>
              </w:rPr>
            </w:pPr>
            <w:r>
              <w:rPr>
                <w:rFonts w:ascii="宋体" w:hAnsi="宋体"/>
              </w:rPr>
              <w:t>0.006%</w:t>
            </w:r>
          </w:p>
        </w:tc>
        <w:tc>
          <w:tcPr>
            <w:tcW w:w="1574" w:type="dxa"/>
          </w:tcPr>
          <w:p>
            <w:pPr>
              <w:spacing w:line="360" w:lineRule="auto"/>
              <w:rPr>
                <w:rFonts w:ascii="宋体" w:hAnsi="宋体" w:cs="Arial"/>
              </w:rPr>
            </w:pPr>
            <w:r>
              <w:rPr>
                <w:rFonts w:ascii="宋体" w:hAnsi="宋体"/>
              </w:rPr>
              <w:t>0.006%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448" w:type="dxa"/>
          </w:tcPr>
          <w:p>
            <w:pPr>
              <w:spacing w:line="360" w:lineRule="auto"/>
              <w:jc w:val="left"/>
              <w:rPr>
                <w:rFonts w:ascii="宋体" w:hAnsi="宋体" w:cs="Arial"/>
              </w:rPr>
            </w:pPr>
            <w:r>
              <w:rPr>
                <w:rFonts w:ascii="宋体" w:hAnsi="宋体"/>
              </w:rPr>
              <w:t>100</w:t>
            </w:r>
            <w:r>
              <w:rPr>
                <w:rFonts w:hint="eastAsia" w:ascii="宋体" w:hAnsi="宋体"/>
              </w:rPr>
              <w:t>亿以上</w:t>
            </w:r>
          </w:p>
        </w:tc>
        <w:tc>
          <w:tcPr>
            <w:tcW w:w="2520" w:type="dxa"/>
          </w:tcPr>
          <w:p>
            <w:pPr>
              <w:spacing w:line="360" w:lineRule="auto"/>
              <w:rPr>
                <w:rFonts w:ascii="宋体" w:hAnsi="宋体" w:cs="Arial"/>
              </w:rPr>
            </w:pPr>
            <w:r>
              <w:rPr>
                <w:rFonts w:ascii="宋体" w:hAnsi="宋体"/>
              </w:rPr>
              <w:t>0.004%</w:t>
            </w:r>
          </w:p>
        </w:tc>
        <w:tc>
          <w:tcPr>
            <w:tcW w:w="1980" w:type="dxa"/>
          </w:tcPr>
          <w:p>
            <w:pPr>
              <w:spacing w:line="360" w:lineRule="auto"/>
              <w:rPr>
                <w:rFonts w:ascii="宋体" w:hAnsi="宋体" w:cs="Arial"/>
              </w:rPr>
            </w:pPr>
            <w:r>
              <w:rPr>
                <w:rFonts w:ascii="宋体" w:hAnsi="宋体"/>
              </w:rPr>
              <w:t>0.004%</w:t>
            </w:r>
          </w:p>
        </w:tc>
        <w:tc>
          <w:tcPr>
            <w:tcW w:w="1574" w:type="dxa"/>
          </w:tcPr>
          <w:p>
            <w:pPr>
              <w:spacing w:line="360" w:lineRule="auto"/>
              <w:rPr>
                <w:rFonts w:ascii="宋体" w:hAnsi="宋体" w:cs="Arial"/>
              </w:rPr>
            </w:pPr>
            <w:r>
              <w:rPr>
                <w:rFonts w:ascii="宋体" w:hAnsi="宋体"/>
              </w:rPr>
              <w:t>0.004%</w:t>
            </w:r>
          </w:p>
        </w:tc>
      </w:tr>
    </w:tbl>
    <w:p>
      <w:pPr>
        <w:snapToGrid w:val="0"/>
        <w:spacing w:line="360" w:lineRule="exact"/>
        <w:ind w:right="3" w:firstLine="420" w:firstLineChars="200"/>
        <w:jc w:val="left"/>
        <w:rPr>
          <w:rFonts w:ascii="宋体" w:hAnsi="宋体"/>
        </w:rPr>
      </w:pPr>
      <w:r>
        <w:rPr>
          <w:rFonts w:hint="eastAsia" w:ascii="宋体" w:hAnsi="宋体"/>
        </w:rPr>
        <w:t>注：招标代理服务收费按差额定率累进法计算。例如：某货物招标代理业务中标金额为5</w:t>
      </w:r>
      <w:r>
        <w:rPr>
          <w:rFonts w:ascii="宋体" w:hAnsi="宋体"/>
        </w:rPr>
        <w:t>000</w:t>
      </w:r>
      <w:r>
        <w:rPr>
          <w:rFonts w:hint="eastAsia" w:ascii="宋体" w:hAnsi="宋体"/>
        </w:rPr>
        <w:t>万元，计算招标代理服务收费额如下：</w:t>
      </w:r>
    </w:p>
    <w:p>
      <w:pPr>
        <w:adjustRightInd w:val="0"/>
        <w:snapToGrid w:val="0"/>
        <w:spacing w:line="360" w:lineRule="exact"/>
        <w:ind w:right="720" w:firstLine="840" w:firstLineChars="400"/>
        <w:jc w:val="left"/>
        <w:rPr>
          <w:rFonts w:ascii="宋体" w:hAnsi="宋体"/>
        </w:rPr>
      </w:pPr>
      <w:r>
        <w:rPr>
          <w:rFonts w:ascii="宋体" w:hAnsi="宋体"/>
        </w:rPr>
        <w:t>100</w:t>
      </w:r>
      <w:r>
        <w:rPr>
          <w:rFonts w:hint="eastAsia" w:ascii="宋体" w:hAnsi="宋体"/>
        </w:rPr>
        <w:t>万元×</w:t>
      </w:r>
      <w:r>
        <w:rPr>
          <w:rFonts w:ascii="宋体" w:hAnsi="宋体"/>
        </w:rPr>
        <w:t>1.</w:t>
      </w:r>
      <w:r>
        <w:rPr>
          <w:rFonts w:hint="eastAsia" w:ascii="宋体" w:hAnsi="宋体"/>
        </w:rPr>
        <w:t>5％＝</w:t>
      </w:r>
      <w:r>
        <w:rPr>
          <w:rFonts w:ascii="宋体" w:hAnsi="宋体"/>
        </w:rPr>
        <w:t>1</w:t>
      </w:r>
      <w:r>
        <w:rPr>
          <w:rFonts w:hint="eastAsia" w:ascii="宋体" w:hAnsi="宋体"/>
        </w:rPr>
        <w:t>.5万元</w:t>
      </w:r>
    </w:p>
    <w:p>
      <w:pPr>
        <w:adjustRightInd w:val="0"/>
        <w:snapToGrid w:val="0"/>
        <w:spacing w:line="360" w:lineRule="exact"/>
        <w:ind w:right="720" w:firstLine="840" w:firstLineChars="400"/>
        <w:jc w:val="left"/>
        <w:rPr>
          <w:rFonts w:ascii="宋体" w:hAnsi="宋体"/>
        </w:rPr>
      </w:pPr>
      <w:r>
        <w:rPr>
          <w:rFonts w:hint="eastAsia" w:ascii="宋体" w:hAnsi="宋体"/>
        </w:rPr>
        <w:t>（</w:t>
      </w:r>
      <w:r>
        <w:rPr>
          <w:rFonts w:ascii="宋体" w:hAnsi="宋体"/>
        </w:rPr>
        <w:t>500</w:t>
      </w:r>
      <w:r>
        <w:rPr>
          <w:rFonts w:hint="eastAsia" w:ascii="宋体" w:hAnsi="宋体"/>
        </w:rPr>
        <w:t>一</w:t>
      </w:r>
      <w:r>
        <w:rPr>
          <w:rFonts w:ascii="宋体" w:hAnsi="宋体"/>
        </w:rPr>
        <w:t>100</w:t>
      </w:r>
      <w:r>
        <w:rPr>
          <w:rFonts w:hint="eastAsia" w:ascii="宋体" w:hAnsi="宋体"/>
        </w:rPr>
        <w:t>）万元×1</w:t>
      </w:r>
      <w:r>
        <w:rPr>
          <w:rFonts w:ascii="宋体" w:hAnsi="宋体"/>
        </w:rPr>
        <w:t>.</w:t>
      </w:r>
      <w:r>
        <w:rPr>
          <w:rFonts w:hint="eastAsia" w:ascii="宋体" w:hAnsi="宋体"/>
        </w:rPr>
        <w:t>1％＝4</w:t>
      </w:r>
      <w:r>
        <w:rPr>
          <w:rFonts w:ascii="宋体" w:hAnsi="宋体"/>
        </w:rPr>
        <w:t>.</w:t>
      </w:r>
      <w:r>
        <w:rPr>
          <w:rFonts w:hint="eastAsia" w:ascii="宋体" w:hAnsi="宋体"/>
        </w:rPr>
        <w:t>4万元</w:t>
      </w:r>
    </w:p>
    <w:p>
      <w:pPr>
        <w:adjustRightInd w:val="0"/>
        <w:snapToGrid w:val="0"/>
        <w:spacing w:line="360" w:lineRule="exact"/>
        <w:ind w:right="720" w:firstLine="840" w:firstLineChars="400"/>
        <w:jc w:val="left"/>
        <w:rPr>
          <w:rFonts w:ascii="宋体" w:hAnsi="宋体"/>
        </w:rPr>
      </w:pPr>
      <w:r>
        <w:rPr>
          <w:rFonts w:hint="eastAsia" w:ascii="宋体" w:hAnsi="宋体"/>
        </w:rPr>
        <w:t>（</w:t>
      </w:r>
      <w:r>
        <w:rPr>
          <w:rFonts w:ascii="宋体" w:hAnsi="宋体"/>
        </w:rPr>
        <w:t>1000</w:t>
      </w:r>
      <w:r>
        <w:rPr>
          <w:rFonts w:hint="eastAsia" w:ascii="宋体" w:hAnsi="宋体"/>
        </w:rPr>
        <w:t>－</w:t>
      </w:r>
      <w:r>
        <w:rPr>
          <w:rFonts w:ascii="宋体" w:hAnsi="宋体"/>
        </w:rPr>
        <w:t>500</w:t>
      </w:r>
      <w:r>
        <w:rPr>
          <w:rFonts w:hint="eastAsia" w:ascii="宋体" w:hAnsi="宋体"/>
        </w:rPr>
        <w:t>）万元×</w:t>
      </w:r>
      <w:r>
        <w:rPr>
          <w:rFonts w:ascii="宋体" w:hAnsi="宋体"/>
        </w:rPr>
        <w:t>0.</w:t>
      </w:r>
      <w:r>
        <w:rPr>
          <w:rFonts w:hint="eastAsia" w:ascii="宋体" w:hAnsi="宋体"/>
        </w:rPr>
        <w:t>8％＝4</w:t>
      </w:r>
      <w:r>
        <w:rPr>
          <w:rFonts w:ascii="宋体" w:hAnsi="宋体"/>
        </w:rPr>
        <w:t>.</w:t>
      </w:r>
      <w:r>
        <w:rPr>
          <w:rFonts w:hint="eastAsia" w:ascii="宋体" w:hAnsi="宋体"/>
        </w:rPr>
        <w:t>00万元</w:t>
      </w:r>
    </w:p>
    <w:p>
      <w:pPr>
        <w:adjustRightInd w:val="0"/>
        <w:snapToGrid w:val="0"/>
        <w:spacing w:line="360" w:lineRule="exact"/>
        <w:ind w:right="720" w:firstLine="840" w:firstLineChars="400"/>
        <w:jc w:val="left"/>
        <w:rPr>
          <w:rFonts w:ascii="宋体" w:hAnsi="宋体"/>
        </w:rPr>
      </w:pPr>
      <w:r>
        <w:rPr>
          <w:rFonts w:hint="eastAsia" w:ascii="宋体" w:hAnsi="宋体"/>
        </w:rPr>
        <w:t>（</w:t>
      </w:r>
      <w:r>
        <w:rPr>
          <w:rFonts w:ascii="宋体" w:hAnsi="宋体"/>
        </w:rPr>
        <w:t>5000</w:t>
      </w:r>
      <w:r>
        <w:rPr>
          <w:rFonts w:hint="eastAsia" w:ascii="宋体" w:hAnsi="宋体"/>
        </w:rPr>
        <w:t>—</w:t>
      </w:r>
      <w:r>
        <w:rPr>
          <w:rFonts w:ascii="宋体" w:hAnsi="宋体"/>
        </w:rPr>
        <w:t>1000</w:t>
      </w:r>
      <w:r>
        <w:rPr>
          <w:rFonts w:hint="eastAsia" w:ascii="宋体" w:hAnsi="宋体"/>
        </w:rPr>
        <w:t>）万元×</w:t>
      </w:r>
      <w:r>
        <w:rPr>
          <w:rFonts w:ascii="宋体" w:hAnsi="宋体"/>
        </w:rPr>
        <w:t>0.5</w:t>
      </w:r>
      <w:r>
        <w:rPr>
          <w:rFonts w:hint="eastAsia" w:ascii="宋体" w:hAnsi="宋体"/>
        </w:rPr>
        <w:t>％＝20万元</w:t>
      </w:r>
    </w:p>
    <w:p>
      <w:pPr>
        <w:pStyle w:val="37"/>
        <w:adjustRightInd w:val="0"/>
        <w:snapToGrid w:val="0"/>
        <w:spacing w:line="360" w:lineRule="exact"/>
        <w:ind w:firstLine="840" w:firstLineChars="400"/>
        <w:rPr>
          <w:rFonts w:hAnsi="宋体"/>
          <w:sz w:val="21"/>
        </w:rPr>
      </w:pPr>
      <w:r>
        <w:rPr>
          <w:rFonts w:hint="eastAsia" w:hAnsi="宋体"/>
          <w:sz w:val="21"/>
        </w:rPr>
        <w:t>合计收费</w:t>
      </w:r>
      <w:r>
        <w:rPr>
          <w:rFonts w:hAnsi="宋体"/>
          <w:sz w:val="21"/>
        </w:rPr>
        <w:t>=1</w:t>
      </w:r>
      <w:r>
        <w:rPr>
          <w:rFonts w:hint="eastAsia" w:hAnsi="宋体"/>
          <w:sz w:val="21"/>
        </w:rPr>
        <w:t>.5十4</w:t>
      </w:r>
      <w:r>
        <w:rPr>
          <w:rFonts w:hAnsi="宋体"/>
          <w:sz w:val="21"/>
        </w:rPr>
        <w:t>.</w:t>
      </w:r>
      <w:r>
        <w:rPr>
          <w:rFonts w:hint="eastAsia" w:hAnsi="宋体"/>
          <w:sz w:val="21"/>
        </w:rPr>
        <w:t>4＋4</w:t>
      </w:r>
      <w:r>
        <w:rPr>
          <w:rFonts w:hAnsi="宋体"/>
          <w:sz w:val="21"/>
        </w:rPr>
        <w:t>.</w:t>
      </w:r>
      <w:r>
        <w:rPr>
          <w:rFonts w:hint="eastAsia" w:hAnsi="宋体"/>
          <w:sz w:val="21"/>
        </w:rPr>
        <w:t>00＋20＝</w:t>
      </w:r>
      <w:r>
        <w:rPr>
          <w:rFonts w:hAnsi="宋体"/>
          <w:sz w:val="21"/>
        </w:rPr>
        <w:t>2</w:t>
      </w:r>
      <w:r>
        <w:rPr>
          <w:rFonts w:hint="eastAsia" w:hAnsi="宋体"/>
          <w:sz w:val="21"/>
        </w:rPr>
        <w:t>9</w:t>
      </w:r>
      <w:r>
        <w:rPr>
          <w:rFonts w:hAnsi="宋体"/>
          <w:sz w:val="21"/>
        </w:rPr>
        <w:t>.</w:t>
      </w:r>
      <w:r>
        <w:rPr>
          <w:rFonts w:hint="eastAsia" w:hAnsi="宋体"/>
          <w:sz w:val="21"/>
        </w:rPr>
        <w:t>90（万元）</w:t>
      </w:r>
    </w:p>
    <w:p>
      <w:pPr>
        <w:pStyle w:val="37"/>
        <w:adjustRightInd w:val="0"/>
        <w:snapToGrid w:val="0"/>
        <w:spacing w:line="360" w:lineRule="exact"/>
        <w:ind w:firstLine="420" w:firstLineChars="200"/>
        <w:rPr>
          <w:rFonts w:hAnsi="宋体"/>
          <w:sz w:val="21"/>
        </w:rPr>
      </w:pPr>
      <w:r>
        <w:rPr>
          <w:rFonts w:hint="eastAsia" w:hAnsi="宋体"/>
          <w:sz w:val="21"/>
        </w:rPr>
        <w:t>（3）专家评审费按实际支出金额向中标人收取，签订合同前，中标人应当向采购代理机构一次性付清。</w:t>
      </w:r>
    </w:p>
    <w:p>
      <w:pPr>
        <w:pStyle w:val="37"/>
        <w:adjustRightInd w:val="0"/>
        <w:snapToGrid w:val="0"/>
        <w:spacing w:line="360" w:lineRule="exact"/>
        <w:ind w:firstLine="420" w:firstLineChars="200"/>
        <w:rPr>
          <w:rFonts w:hAnsi="宋体"/>
          <w:sz w:val="21"/>
        </w:rPr>
      </w:pPr>
      <w:r>
        <w:rPr>
          <w:rFonts w:hint="eastAsia" w:hAnsi="宋体"/>
          <w:sz w:val="21"/>
        </w:rPr>
        <w:t>（4）解释权：本采购文件解释权属本公司。</w:t>
      </w:r>
    </w:p>
    <w:p>
      <w:pPr>
        <w:pStyle w:val="37"/>
        <w:adjustRightInd w:val="0"/>
        <w:snapToGrid w:val="0"/>
        <w:spacing w:line="360" w:lineRule="exact"/>
        <w:ind w:firstLine="420" w:firstLineChars="200"/>
        <w:rPr>
          <w:rFonts w:hAnsi="宋体"/>
          <w:sz w:val="21"/>
        </w:rPr>
      </w:pPr>
      <w:r>
        <w:rPr>
          <w:rFonts w:hint="eastAsia" w:hAnsi="宋体"/>
          <w:sz w:val="21"/>
        </w:rPr>
        <w:t>（5）有关事宜</w:t>
      </w:r>
    </w:p>
    <w:p>
      <w:pPr>
        <w:pStyle w:val="37"/>
        <w:adjustRightInd w:val="0"/>
        <w:snapToGrid w:val="0"/>
        <w:spacing w:line="360" w:lineRule="exact"/>
        <w:ind w:firstLine="420" w:firstLineChars="200"/>
        <w:rPr>
          <w:rFonts w:hAnsi="宋体"/>
          <w:sz w:val="21"/>
        </w:rPr>
      </w:pPr>
      <w:r>
        <w:rPr>
          <w:rFonts w:hint="eastAsia" w:hAnsi="宋体"/>
          <w:sz w:val="21"/>
        </w:rPr>
        <w:t>所有与本采购文件有关的函件请按下列通讯地址联系：</w:t>
      </w:r>
    </w:p>
    <w:p>
      <w:pPr>
        <w:pStyle w:val="37"/>
        <w:adjustRightInd w:val="0"/>
        <w:snapToGrid w:val="0"/>
        <w:spacing w:line="360" w:lineRule="exact"/>
        <w:ind w:firstLine="420" w:firstLineChars="200"/>
        <w:rPr>
          <w:rFonts w:hAnsi="宋体"/>
          <w:sz w:val="21"/>
        </w:rPr>
      </w:pPr>
      <w:r>
        <w:rPr>
          <w:rFonts w:hint="eastAsia" w:hAnsi="宋体"/>
          <w:sz w:val="21"/>
        </w:rPr>
        <w:t>中资国际工程咨询集团有限责任公司</w:t>
      </w:r>
    </w:p>
    <w:p>
      <w:pPr>
        <w:pStyle w:val="37"/>
        <w:adjustRightInd w:val="0"/>
        <w:snapToGrid w:val="0"/>
        <w:spacing w:line="360" w:lineRule="exact"/>
        <w:ind w:firstLine="420" w:firstLineChars="200"/>
        <w:rPr>
          <w:rFonts w:hAnsi="宋体"/>
          <w:sz w:val="21"/>
        </w:rPr>
      </w:pPr>
      <w:r>
        <w:rPr>
          <w:rFonts w:hint="eastAsia" w:hAnsi="宋体"/>
          <w:sz w:val="21"/>
        </w:rPr>
        <w:t>邮政编码：530022</w:t>
      </w:r>
    </w:p>
    <w:p>
      <w:pPr>
        <w:pStyle w:val="37"/>
        <w:adjustRightInd w:val="0"/>
        <w:snapToGrid w:val="0"/>
        <w:spacing w:line="360" w:lineRule="exact"/>
        <w:ind w:firstLine="420" w:firstLineChars="200"/>
        <w:rPr>
          <w:rFonts w:hAnsi="宋体"/>
          <w:sz w:val="21"/>
        </w:rPr>
      </w:pPr>
      <w:r>
        <w:rPr>
          <w:rFonts w:hint="eastAsia" w:hAnsi="宋体"/>
          <w:sz w:val="21"/>
        </w:rPr>
        <w:t>通讯地址：南宁市青秀区长园路8号大地华城S3-01号商场三楼</w:t>
      </w:r>
    </w:p>
    <w:p>
      <w:pPr>
        <w:pStyle w:val="37"/>
        <w:adjustRightInd w:val="0"/>
        <w:snapToGrid w:val="0"/>
        <w:spacing w:line="360" w:lineRule="exact"/>
        <w:ind w:firstLine="420" w:firstLineChars="200"/>
        <w:rPr>
          <w:rFonts w:hAnsi="宋体"/>
        </w:rPr>
      </w:pPr>
      <w:r>
        <w:rPr>
          <w:rFonts w:hint="eastAsia" w:hAnsi="宋体"/>
          <w:sz w:val="21"/>
        </w:rPr>
        <w:t>电    话：0771—5823176         传    真：0771—5823176</w:t>
      </w:r>
    </w:p>
    <w:bookmarkEnd w:id="20"/>
    <w:bookmarkEnd w:id="21"/>
    <w:p>
      <w:pPr>
        <w:pStyle w:val="69"/>
      </w:pPr>
      <w:bookmarkStart w:id="35" w:name="_Toc504570350"/>
      <w:r>
        <w:br w:type="page"/>
      </w:r>
      <w:r>
        <w:rPr>
          <w:rFonts w:hint="eastAsia"/>
        </w:rPr>
        <w:t>第四章  评标办法及评分标准</w:t>
      </w:r>
      <w:bookmarkEnd w:id="35"/>
    </w:p>
    <w:p>
      <w:pPr>
        <w:pStyle w:val="37"/>
        <w:spacing w:line="380" w:lineRule="exact"/>
        <w:ind w:firstLine="422" w:firstLineChars="200"/>
        <w:jc w:val="center"/>
        <w:rPr>
          <w:rFonts w:hAnsi="宋体"/>
          <w:b/>
          <w:bCs/>
          <w:sz w:val="21"/>
        </w:rPr>
      </w:pPr>
      <w:r>
        <w:rPr>
          <w:rFonts w:hint="eastAsia" w:hAnsi="宋体"/>
          <w:b/>
          <w:bCs/>
          <w:sz w:val="21"/>
        </w:rPr>
        <w:t>（适用于A分标）</w:t>
      </w:r>
    </w:p>
    <w:p>
      <w:pPr>
        <w:pStyle w:val="37"/>
        <w:spacing w:line="380" w:lineRule="exact"/>
        <w:ind w:firstLine="422" w:firstLineChars="200"/>
        <w:rPr>
          <w:rFonts w:hAnsi="宋体"/>
          <w:b/>
          <w:bCs/>
          <w:sz w:val="21"/>
        </w:rPr>
      </w:pPr>
      <w:r>
        <w:rPr>
          <w:rFonts w:hAnsi="宋体"/>
          <w:b/>
          <w:bCs/>
          <w:sz w:val="21"/>
        </w:rPr>
        <w:t>一、评标原则</w:t>
      </w:r>
    </w:p>
    <w:p>
      <w:pPr>
        <w:pStyle w:val="37"/>
        <w:spacing w:line="380" w:lineRule="exact"/>
        <w:ind w:firstLine="420" w:firstLineChars="200"/>
        <w:rPr>
          <w:rFonts w:hAnsi="宋体"/>
          <w:bCs/>
          <w:sz w:val="21"/>
        </w:rPr>
      </w:pPr>
      <w:r>
        <w:rPr>
          <w:rFonts w:hAnsi="宋体"/>
          <w:bCs/>
          <w:sz w:val="21"/>
        </w:rPr>
        <w:t>（一）评委构成：本招标采购项目的评委分别由依法组成的专家、采购单位代表共</w:t>
      </w:r>
      <w:r>
        <w:rPr>
          <w:rFonts w:hint="eastAsia" w:hAnsi="宋体"/>
          <w:bCs/>
          <w:sz w:val="21"/>
        </w:rPr>
        <w:t>5</w:t>
      </w:r>
      <w:r>
        <w:rPr>
          <w:rFonts w:hAnsi="宋体"/>
          <w:bCs/>
          <w:sz w:val="21"/>
        </w:rPr>
        <w:t>人以上单数构成，其中专家人数不少于成员总数的三分之二。</w:t>
      </w:r>
    </w:p>
    <w:p>
      <w:pPr>
        <w:pStyle w:val="37"/>
        <w:spacing w:line="380" w:lineRule="exact"/>
        <w:ind w:firstLine="420" w:firstLineChars="200"/>
        <w:rPr>
          <w:rFonts w:hAnsi="宋体"/>
          <w:bCs/>
          <w:sz w:val="21"/>
        </w:rPr>
      </w:pPr>
      <w:r>
        <w:rPr>
          <w:rFonts w:hAnsi="宋体"/>
          <w:bCs/>
          <w:sz w:val="21"/>
        </w:rPr>
        <w:t>（二）评标依据：评委将以招投标文件为评标依据，对投标人的投标报价、</w:t>
      </w:r>
      <w:r>
        <w:rPr>
          <w:rFonts w:hint="eastAsia" w:hAnsi="宋体"/>
          <w:bCs/>
          <w:sz w:val="21"/>
        </w:rPr>
        <w:t>项目服务方案</w:t>
      </w:r>
      <w:r>
        <w:rPr>
          <w:rFonts w:hAnsi="宋体"/>
          <w:bCs/>
          <w:sz w:val="21"/>
        </w:rPr>
        <w:t>、</w:t>
      </w:r>
      <w:r>
        <w:rPr>
          <w:rFonts w:hint="eastAsia" w:hAnsi="宋体"/>
          <w:bCs/>
          <w:sz w:val="21"/>
        </w:rPr>
        <w:t>拟投入人员</w:t>
      </w:r>
      <w:r>
        <w:rPr>
          <w:rFonts w:hAnsi="宋体"/>
          <w:bCs/>
          <w:sz w:val="21"/>
        </w:rPr>
        <w:t>、</w:t>
      </w:r>
      <w:r>
        <w:rPr>
          <w:rFonts w:hint="eastAsia" w:hAnsi="宋体"/>
          <w:bCs/>
          <w:sz w:val="21"/>
        </w:rPr>
        <w:t>售后服务方案、信誉业绩</w:t>
      </w:r>
      <w:r>
        <w:rPr>
          <w:rFonts w:hAnsi="宋体"/>
          <w:bCs/>
          <w:sz w:val="21"/>
        </w:rPr>
        <w:t>等方面内容按百分制打分。其中价格分</w:t>
      </w:r>
      <w:r>
        <w:rPr>
          <w:rFonts w:hint="eastAsia" w:hAnsi="宋体"/>
          <w:bCs/>
          <w:sz w:val="21"/>
        </w:rPr>
        <w:t>30</w:t>
      </w:r>
      <w:r>
        <w:rPr>
          <w:rFonts w:hAnsi="宋体"/>
          <w:bCs/>
          <w:sz w:val="21"/>
        </w:rPr>
        <w:t>分、</w:t>
      </w:r>
      <w:r>
        <w:rPr>
          <w:rFonts w:hint="eastAsia" w:hAnsi="宋体"/>
          <w:bCs/>
          <w:sz w:val="21"/>
        </w:rPr>
        <w:t>技术</w:t>
      </w:r>
      <w:r>
        <w:rPr>
          <w:rFonts w:hAnsi="宋体"/>
          <w:bCs/>
          <w:sz w:val="21"/>
        </w:rPr>
        <w:t>分</w:t>
      </w:r>
      <w:r>
        <w:rPr>
          <w:rFonts w:hint="eastAsia" w:hAnsi="宋体"/>
          <w:bCs/>
          <w:sz w:val="21"/>
        </w:rPr>
        <w:t>40</w:t>
      </w:r>
      <w:r>
        <w:rPr>
          <w:rFonts w:hAnsi="宋体"/>
          <w:bCs/>
          <w:sz w:val="21"/>
        </w:rPr>
        <w:t>分、</w:t>
      </w:r>
      <w:r>
        <w:rPr>
          <w:rFonts w:hint="eastAsia" w:hAnsi="宋体"/>
          <w:bCs/>
          <w:sz w:val="21"/>
        </w:rPr>
        <w:t>商务分10</w:t>
      </w:r>
      <w:r>
        <w:rPr>
          <w:rFonts w:hAnsi="宋体"/>
          <w:bCs/>
          <w:sz w:val="21"/>
        </w:rPr>
        <w:t>分</w:t>
      </w:r>
      <w:r>
        <w:rPr>
          <w:rFonts w:hint="eastAsia" w:hAnsi="宋体"/>
          <w:bCs/>
          <w:sz w:val="21"/>
        </w:rPr>
        <w:t>、诚信分-6至0分</w:t>
      </w:r>
      <w:r>
        <w:rPr>
          <w:rFonts w:hAnsi="宋体"/>
          <w:bCs/>
          <w:sz w:val="21"/>
        </w:rPr>
        <w:t>。</w:t>
      </w:r>
      <w:r>
        <w:rPr>
          <w:rFonts w:hint="eastAsia" w:hAnsi="宋体"/>
          <w:bCs/>
          <w:sz w:val="21"/>
        </w:rPr>
        <w:t>（评标时，对于带有主观因素的评分，由评委讨论进档、打分。）</w:t>
      </w:r>
    </w:p>
    <w:p>
      <w:pPr>
        <w:pStyle w:val="37"/>
        <w:spacing w:line="380" w:lineRule="exact"/>
        <w:ind w:firstLine="420" w:firstLineChars="200"/>
        <w:rPr>
          <w:rFonts w:hAnsi="宋体"/>
          <w:bCs/>
          <w:sz w:val="21"/>
        </w:rPr>
      </w:pPr>
      <w:r>
        <w:rPr>
          <w:rFonts w:hAnsi="宋体"/>
          <w:bCs/>
          <w:sz w:val="21"/>
        </w:rPr>
        <w:t>（三）评标方式：以封闭方式进行。</w:t>
      </w:r>
    </w:p>
    <w:p>
      <w:pPr>
        <w:pStyle w:val="37"/>
        <w:spacing w:line="380" w:lineRule="exact"/>
        <w:ind w:firstLine="422" w:firstLineChars="200"/>
        <w:rPr>
          <w:rFonts w:hAnsi="宋体"/>
          <w:b/>
          <w:bCs/>
          <w:sz w:val="21"/>
        </w:rPr>
      </w:pPr>
      <w:r>
        <w:rPr>
          <w:rFonts w:hAnsi="宋体"/>
          <w:b/>
          <w:bCs/>
          <w:sz w:val="21"/>
        </w:rPr>
        <w:t>二、评标方法</w:t>
      </w:r>
    </w:p>
    <w:p>
      <w:pPr>
        <w:pStyle w:val="37"/>
        <w:spacing w:line="380" w:lineRule="exact"/>
        <w:ind w:firstLine="422" w:firstLineChars="200"/>
        <w:rPr>
          <w:rFonts w:hAnsi="宋体"/>
          <w:b/>
          <w:bCs/>
          <w:sz w:val="21"/>
        </w:rPr>
      </w:pPr>
      <w:r>
        <w:rPr>
          <w:rFonts w:hAnsi="宋体"/>
          <w:b/>
          <w:bCs/>
          <w:sz w:val="21"/>
        </w:rPr>
        <w:t>（一）对进入详评的，采用百分制综合评分法。</w:t>
      </w:r>
    </w:p>
    <w:p>
      <w:pPr>
        <w:pStyle w:val="37"/>
        <w:spacing w:line="380" w:lineRule="exact"/>
        <w:ind w:firstLine="422" w:firstLineChars="200"/>
        <w:jc w:val="left"/>
        <w:rPr>
          <w:rFonts w:hAnsi="宋体"/>
          <w:b/>
          <w:bCs/>
          <w:sz w:val="21"/>
        </w:rPr>
      </w:pPr>
      <w:r>
        <w:rPr>
          <w:rFonts w:hAnsi="宋体"/>
          <w:b/>
          <w:bCs/>
          <w:sz w:val="21"/>
        </w:rPr>
        <w:t>（二）计分办法（按四舍五入取至百分位）：</w:t>
      </w:r>
    </w:p>
    <w:p>
      <w:pPr>
        <w:pStyle w:val="37"/>
        <w:spacing w:line="380" w:lineRule="exact"/>
        <w:ind w:firstLine="422" w:firstLineChars="200"/>
        <w:jc w:val="left"/>
        <w:rPr>
          <w:rFonts w:hAnsi="宋体"/>
          <w:b/>
          <w:bCs/>
          <w:sz w:val="21"/>
        </w:rPr>
      </w:pPr>
      <w:r>
        <w:rPr>
          <w:rFonts w:hint="eastAsia" w:hAnsi="宋体"/>
          <w:b/>
          <w:bCs/>
          <w:sz w:val="21"/>
        </w:rPr>
        <w:t>1．</w:t>
      </w:r>
      <w:r>
        <w:rPr>
          <w:rFonts w:hAnsi="宋体"/>
          <w:b/>
          <w:bCs/>
          <w:sz w:val="21"/>
        </w:rPr>
        <w:t>价格分…………………………………………………………………………………</w:t>
      </w:r>
      <w:r>
        <w:rPr>
          <w:rFonts w:hint="eastAsia" w:hAnsi="宋体"/>
          <w:b/>
          <w:bCs/>
          <w:sz w:val="21"/>
        </w:rPr>
        <w:t>30</w:t>
      </w:r>
      <w:r>
        <w:rPr>
          <w:rFonts w:hAnsi="宋体"/>
          <w:b/>
          <w:bCs/>
          <w:sz w:val="21"/>
        </w:rPr>
        <w:t>分</w:t>
      </w:r>
    </w:p>
    <w:p>
      <w:pPr>
        <w:pStyle w:val="37"/>
        <w:spacing w:line="380" w:lineRule="exact"/>
        <w:ind w:firstLine="420" w:firstLineChars="200"/>
        <w:jc w:val="left"/>
        <w:rPr>
          <w:rFonts w:hAnsi="宋体"/>
          <w:sz w:val="21"/>
        </w:rPr>
      </w:pPr>
      <w:r>
        <w:rPr>
          <w:rFonts w:hint="eastAsia" w:hAnsi="宋体"/>
          <w:sz w:val="21"/>
        </w:rPr>
        <w:t>（1）投标产品按《政府采购促进中小企业发展暂行办法》（财库[2011]181号）认定为小型和微型企业产品的</w:t>
      </w:r>
      <w:r>
        <w:rPr>
          <w:rFonts w:hint="eastAsia" w:hAnsi="宋体"/>
          <w:bCs/>
          <w:sz w:val="21"/>
        </w:rPr>
        <w:t>（以投标文件提供的符合规定生产厂家有关证明材料为准）</w:t>
      </w:r>
      <w:r>
        <w:rPr>
          <w:rFonts w:hint="eastAsia" w:hAnsi="宋体"/>
          <w:sz w:val="21"/>
        </w:rPr>
        <w:t>，对投标价给予10%的扣除，扣除后的价格为评标价，即评标价=投标价×（1-10%）；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pPr>
        <w:pStyle w:val="37"/>
        <w:spacing w:line="380" w:lineRule="exact"/>
        <w:ind w:firstLine="420" w:firstLineChars="200"/>
        <w:jc w:val="left"/>
        <w:rPr>
          <w:rFonts w:hAnsi="宋体"/>
          <w:sz w:val="21"/>
        </w:rPr>
      </w:pPr>
      <w:r>
        <w:rPr>
          <w:rFonts w:hint="eastAsia" w:hAnsi="宋体"/>
          <w:sz w:val="21"/>
        </w:rPr>
        <w:t>投标产品生产企业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37"/>
        <w:spacing w:line="380" w:lineRule="exact"/>
        <w:ind w:firstLine="420" w:firstLineChars="200"/>
        <w:jc w:val="left"/>
        <w:rPr>
          <w:rFonts w:hAnsi="宋体"/>
          <w:sz w:val="21"/>
        </w:rPr>
      </w:pPr>
      <w:r>
        <w:rPr>
          <w:rFonts w:hint="eastAsia" w:hAnsi="宋体"/>
          <w:sz w:val="21"/>
        </w:rPr>
        <w:t>（</w:t>
      </w:r>
      <w:r>
        <w:rPr>
          <w:rFonts w:hint="eastAsia" w:hAnsi="宋体"/>
          <w:bCs/>
          <w:spacing w:val="-4"/>
          <w:sz w:val="21"/>
        </w:rPr>
        <w:t>2）以进入评标的最低的投标报价为30分。</w:t>
      </w:r>
    </w:p>
    <w:p>
      <w:pPr>
        <w:pStyle w:val="37"/>
        <w:snapToGrid w:val="0"/>
        <w:spacing w:before="156" w:beforeLines="50" w:after="156" w:afterLines="50" w:line="380" w:lineRule="exact"/>
        <w:ind w:firstLine="420" w:firstLineChars="200"/>
        <w:jc w:val="left"/>
        <w:rPr>
          <w:rFonts w:hAnsi="宋体"/>
          <w:bCs/>
          <w:sz w:val="21"/>
        </w:rPr>
      </w:pPr>
      <w:r>
        <w:rPr>
          <w:rFonts w:hint="eastAsia" w:hAnsi="宋体"/>
          <w:sz w:val="21"/>
        </w:rPr>
        <w:t>（3）</w:t>
      </w:r>
      <w:r>
        <w:rPr>
          <w:rFonts w:hint="eastAsia" w:hAnsi="宋体"/>
          <w:bCs/>
          <w:spacing w:val="-4"/>
          <w:sz w:val="21"/>
        </w:rPr>
        <w:t xml:space="preserve">某投标人价格得分 =   </w:t>
      </w:r>
      <w:r>
        <w:rPr>
          <w:rFonts w:hint="eastAsia" w:hAnsi="宋体"/>
          <w:bCs/>
          <w:spacing w:val="-4"/>
          <w:sz w:val="21"/>
        </w:rPr>
        <w:fldChar w:fldCharType="begin"/>
      </w:r>
      <w:r>
        <w:rPr>
          <w:rFonts w:hint="eastAsia" w:hAnsi="宋体"/>
          <w:bCs/>
          <w:spacing w:val="-4"/>
          <w:sz w:val="21"/>
        </w:rPr>
        <w:instrText xml:space="preserve"> EQ \F(投标人最低报价（金额）,某投标人报价（金额）) </w:instrText>
      </w:r>
      <w:r>
        <w:rPr>
          <w:rFonts w:hint="eastAsia" w:hAnsi="宋体"/>
          <w:bCs/>
          <w:spacing w:val="-4"/>
          <w:sz w:val="21"/>
        </w:rPr>
        <w:fldChar w:fldCharType="end"/>
      </w:r>
      <w:r>
        <w:rPr>
          <w:rFonts w:hint="eastAsia" w:hAnsi="宋体"/>
          <w:bCs/>
          <w:spacing w:val="-4"/>
          <w:sz w:val="21"/>
        </w:rPr>
        <w:t>×30分</w:t>
      </w:r>
    </w:p>
    <w:p>
      <w:pPr>
        <w:pStyle w:val="37"/>
        <w:spacing w:line="380" w:lineRule="exact"/>
        <w:ind w:firstLine="420" w:firstLineChars="200"/>
        <w:outlineLvl w:val="0"/>
        <w:rPr>
          <w:rFonts w:hAnsi="宋体"/>
          <w:bCs/>
          <w:sz w:val="21"/>
        </w:rPr>
      </w:pPr>
      <w:r>
        <w:rPr>
          <w:rFonts w:hint="eastAsia" w:hAnsi="宋体"/>
          <w:bCs/>
          <w:sz w:val="21"/>
        </w:rPr>
        <w:t>（4）投标人的报价明显低于其他投标人的报价，且其投标报价可能低于其成本的，应当要求该投标人做出书面说明并提供相关证明材料。投标人不能合理说明并提供相关证明材料的，评标委员会将认定该投标人以低于成本价投标，报价严重不平衡、不合理，是恶意不正当竞争行为，其投标将作无效投标处理。</w:t>
      </w:r>
    </w:p>
    <w:p>
      <w:pPr>
        <w:pStyle w:val="37"/>
        <w:spacing w:line="380" w:lineRule="exact"/>
        <w:ind w:firstLine="422" w:firstLineChars="200"/>
        <w:outlineLvl w:val="0"/>
        <w:rPr>
          <w:rFonts w:hAnsi="宋体"/>
          <w:b/>
          <w:sz w:val="21"/>
        </w:rPr>
      </w:pPr>
      <w:r>
        <w:rPr>
          <w:rFonts w:hint="eastAsia" w:hAnsi="宋体"/>
          <w:b/>
          <w:bCs/>
          <w:sz w:val="21"/>
        </w:rPr>
        <w:t>2．技术</w:t>
      </w:r>
      <w:r>
        <w:rPr>
          <w:rFonts w:hAnsi="宋体"/>
          <w:b/>
          <w:bCs/>
          <w:sz w:val="21"/>
        </w:rPr>
        <w:t>分………………………………………………………………………………</w:t>
      </w:r>
      <w:r>
        <w:rPr>
          <w:rFonts w:hint="eastAsia" w:hAnsi="宋体"/>
          <w:b/>
          <w:bCs/>
          <w:sz w:val="21"/>
        </w:rPr>
        <w:t>40</w:t>
      </w:r>
      <w:r>
        <w:rPr>
          <w:rFonts w:hAnsi="宋体"/>
          <w:b/>
          <w:bCs/>
          <w:sz w:val="21"/>
        </w:rPr>
        <w:t>分</w:t>
      </w:r>
    </w:p>
    <w:p>
      <w:pPr>
        <w:pStyle w:val="37"/>
        <w:spacing w:line="380" w:lineRule="exact"/>
        <w:ind w:firstLine="420"/>
        <w:rPr>
          <w:rFonts w:hAnsi="宋体"/>
          <w:b/>
          <w:bCs/>
          <w:sz w:val="21"/>
        </w:rPr>
      </w:pPr>
      <w:r>
        <w:rPr>
          <w:rFonts w:hint="eastAsia" w:hAnsi="宋体"/>
          <w:b/>
          <w:bCs/>
          <w:sz w:val="21"/>
        </w:rPr>
        <w:t>（1）测评整改服务建议方案分（满分25分）</w:t>
      </w:r>
    </w:p>
    <w:p>
      <w:pPr>
        <w:pStyle w:val="37"/>
        <w:spacing w:line="380" w:lineRule="exact"/>
        <w:ind w:firstLine="420" w:firstLineChars="200"/>
        <w:jc w:val="left"/>
        <w:rPr>
          <w:rFonts w:hAnsi="宋体"/>
          <w:sz w:val="21"/>
        </w:rPr>
      </w:pPr>
      <w:r>
        <w:rPr>
          <w:rFonts w:hint="eastAsia" w:hAnsi="宋体"/>
          <w:sz w:val="21"/>
        </w:rPr>
        <w:t>一档（5分）：方案描述一般，采取的技术服务标准基本满足要求的；</w:t>
      </w:r>
    </w:p>
    <w:p>
      <w:pPr>
        <w:pStyle w:val="37"/>
        <w:spacing w:line="380" w:lineRule="exact"/>
        <w:ind w:firstLine="420" w:firstLineChars="200"/>
        <w:jc w:val="left"/>
        <w:rPr>
          <w:rFonts w:hAnsi="宋体"/>
          <w:sz w:val="21"/>
        </w:rPr>
      </w:pPr>
      <w:r>
        <w:rPr>
          <w:rFonts w:hint="eastAsia" w:hAnsi="宋体"/>
          <w:sz w:val="21"/>
        </w:rPr>
        <w:t>二档（15分）：方案描述及分析较好，对测评对象与指标、测评相关工作的实施内容能符合采购人单位的基本现状，具有较完整的风险说明及风险规避处置措施；</w:t>
      </w:r>
    </w:p>
    <w:p>
      <w:pPr>
        <w:pStyle w:val="37"/>
        <w:spacing w:line="380" w:lineRule="exact"/>
        <w:ind w:firstLine="420" w:firstLineChars="200"/>
        <w:jc w:val="left"/>
        <w:rPr>
          <w:rFonts w:hAnsi="宋体"/>
          <w:sz w:val="21"/>
        </w:rPr>
      </w:pPr>
      <w:r>
        <w:rPr>
          <w:rFonts w:hint="eastAsia" w:hAnsi="宋体"/>
          <w:sz w:val="21"/>
        </w:rPr>
        <w:t>三档（25分）：方案描述及分析具体到位，对测评对象与指标、测评相关工作（测评流程、测评内容、测评方法、进度控制、质量保障等方面）的实施方案能切合采购人单位的实际现状，具有很完整的风险说明及风险规避处置措。</w:t>
      </w:r>
    </w:p>
    <w:p>
      <w:pPr>
        <w:pStyle w:val="37"/>
        <w:spacing w:line="380" w:lineRule="exact"/>
        <w:ind w:firstLine="420"/>
        <w:rPr>
          <w:rFonts w:hAnsi="宋体"/>
          <w:b/>
          <w:bCs/>
          <w:sz w:val="21"/>
        </w:rPr>
      </w:pPr>
      <w:r>
        <w:rPr>
          <w:rFonts w:hint="eastAsia" w:hAnsi="宋体"/>
          <w:b/>
          <w:bCs/>
          <w:sz w:val="21"/>
        </w:rPr>
        <w:t>注：未提供服务建议方案或所提供的服务建议方案不符合以上档次要求的，不予进档评分。</w:t>
      </w:r>
    </w:p>
    <w:p>
      <w:pPr>
        <w:pStyle w:val="37"/>
        <w:spacing w:line="380" w:lineRule="exact"/>
        <w:ind w:firstLine="420"/>
        <w:rPr>
          <w:rFonts w:hint="eastAsia" w:hAnsi="宋体"/>
          <w:b/>
          <w:bCs/>
          <w:sz w:val="21"/>
        </w:rPr>
      </w:pPr>
      <w:r>
        <w:rPr>
          <w:rFonts w:hint="eastAsia" w:hAnsi="宋体"/>
          <w:b/>
          <w:bCs/>
          <w:sz w:val="21"/>
          <w:lang w:eastAsia="zh-CN"/>
        </w:rPr>
        <w:t>（</w:t>
      </w:r>
      <w:r>
        <w:rPr>
          <w:rFonts w:hint="eastAsia" w:hAnsi="宋体"/>
          <w:b/>
          <w:bCs/>
          <w:sz w:val="21"/>
          <w:lang w:val="en-US" w:eastAsia="zh-CN"/>
        </w:rPr>
        <w:t>2</w:t>
      </w:r>
      <w:r>
        <w:rPr>
          <w:rFonts w:hint="eastAsia" w:hAnsi="宋体"/>
          <w:b/>
          <w:bCs/>
          <w:sz w:val="21"/>
          <w:lang w:eastAsia="zh-CN"/>
        </w:rPr>
        <w:t>）</w:t>
      </w:r>
      <w:r>
        <w:rPr>
          <w:rFonts w:hint="eastAsia" w:hAnsi="宋体"/>
          <w:b/>
          <w:bCs/>
          <w:sz w:val="21"/>
        </w:rPr>
        <w:t>拟投入本项目服务团队人员分（满分15分）</w:t>
      </w:r>
    </w:p>
    <w:p>
      <w:pPr>
        <w:pStyle w:val="37"/>
        <w:spacing w:line="380" w:lineRule="exact"/>
        <w:ind w:firstLine="420" w:firstLineChars="200"/>
        <w:jc w:val="left"/>
        <w:rPr>
          <w:rFonts w:hAnsi="宋体"/>
          <w:sz w:val="21"/>
        </w:rPr>
      </w:pPr>
      <w:r>
        <w:rPr>
          <w:rFonts w:hint="eastAsia" w:hAnsi="宋体"/>
          <w:sz w:val="21"/>
        </w:rPr>
        <w:t>一档（3分）：拟投入本项目服务团队人员专业技术水平及经验一般，基本满足服务需要的；</w:t>
      </w:r>
    </w:p>
    <w:p>
      <w:pPr>
        <w:pStyle w:val="37"/>
        <w:spacing w:line="380" w:lineRule="exact"/>
        <w:ind w:firstLine="420" w:firstLineChars="200"/>
        <w:jc w:val="left"/>
        <w:rPr>
          <w:rFonts w:hAnsi="宋体"/>
          <w:sz w:val="21"/>
        </w:rPr>
      </w:pPr>
      <w:r>
        <w:rPr>
          <w:rFonts w:hint="eastAsia" w:hAnsi="宋体"/>
          <w:sz w:val="21"/>
        </w:rPr>
        <w:t>二档（8分）：拟投入本项目服务团队人员专业较齐全，实施经验较为丰富，具有注册信息安全专业人员（CISP）等专业技术认证证书的；</w:t>
      </w:r>
    </w:p>
    <w:p>
      <w:pPr>
        <w:pStyle w:val="37"/>
        <w:spacing w:line="380" w:lineRule="exact"/>
        <w:ind w:firstLine="420" w:firstLineChars="200"/>
        <w:jc w:val="left"/>
        <w:rPr>
          <w:rFonts w:hAnsi="宋体"/>
          <w:b/>
          <w:bCs/>
          <w:sz w:val="21"/>
        </w:rPr>
      </w:pPr>
      <w:r>
        <w:rPr>
          <w:rFonts w:hint="eastAsia" w:hAnsi="宋体"/>
          <w:sz w:val="21"/>
        </w:rPr>
        <w:t>三档（15分）：拟投入本项目服务团队人员专业齐全，实施经验丰富，在职管理人员执双证上岗，同时拥有项目经理资格证书和国家注册信息安全专业人员（CISP）等专业技术认证证书。</w:t>
      </w:r>
    </w:p>
    <w:p>
      <w:pPr>
        <w:pStyle w:val="37"/>
        <w:spacing w:line="380" w:lineRule="exact"/>
        <w:ind w:firstLine="420"/>
        <w:rPr>
          <w:rFonts w:hAnsi="宋体"/>
          <w:b/>
          <w:bCs/>
          <w:sz w:val="21"/>
        </w:rPr>
      </w:pPr>
      <w:r>
        <w:rPr>
          <w:rFonts w:hint="eastAsia" w:hAnsi="宋体"/>
          <w:b/>
          <w:bCs/>
          <w:sz w:val="21"/>
        </w:rPr>
        <w:t>注：①所有服务团队人员必须为成交供应商在职正式员工；</w:t>
      </w:r>
    </w:p>
    <w:p>
      <w:pPr>
        <w:pStyle w:val="37"/>
        <w:spacing w:line="380" w:lineRule="exact"/>
        <w:ind w:firstLine="843" w:firstLineChars="400"/>
        <w:rPr>
          <w:rFonts w:hAnsi="宋体"/>
          <w:b/>
          <w:bCs/>
          <w:sz w:val="21"/>
        </w:rPr>
      </w:pPr>
      <w:r>
        <w:rPr>
          <w:rFonts w:hint="eastAsia" w:hAnsi="宋体"/>
          <w:b/>
          <w:bCs/>
          <w:sz w:val="21"/>
        </w:rPr>
        <w:t>②未提供拟投入本项目服务团队人员一览表的，不予进档评分；</w:t>
      </w:r>
    </w:p>
    <w:p>
      <w:pPr>
        <w:pStyle w:val="37"/>
        <w:spacing w:line="380" w:lineRule="exact"/>
        <w:ind w:firstLine="843" w:firstLineChars="400"/>
        <w:rPr>
          <w:rFonts w:hAnsi="宋体"/>
          <w:b/>
          <w:bCs/>
          <w:sz w:val="21"/>
        </w:rPr>
      </w:pPr>
      <w:r>
        <w:rPr>
          <w:rFonts w:hint="eastAsia" w:hAnsi="宋体"/>
          <w:b/>
          <w:bCs/>
          <w:sz w:val="21"/>
        </w:rPr>
        <w:t>③投标时应在响应文件中提供拟投入本项目服务团队人员相应有效证书复印件。</w:t>
      </w:r>
    </w:p>
    <w:p>
      <w:pPr>
        <w:pStyle w:val="37"/>
        <w:spacing w:line="380" w:lineRule="exact"/>
        <w:ind w:firstLine="420"/>
        <w:rPr>
          <w:rFonts w:hAnsi="宋体"/>
          <w:b/>
          <w:bCs/>
          <w:sz w:val="21"/>
        </w:rPr>
      </w:pPr>
      <w:r>
        <w:rPr>
          <w:rFonts w:hint="eastAsia" w:hAnsi="宋体"/>
          <w:b/>
          <w:bCs/>
          <w:sz w:val="21"/>
        </w:rPr>
        <w:t>3．商务</w:t>
      </w:r>
      <w:r>
        <w:rPr>
          <w:rFonts w:hAnsi="宋体"/>
          <w:b/>
          <w:bCs/>
          <w:sz w:val="21"/>
        </w:rPr>
        <w:t>分………………………………………………………………………………</w:t>
      </w:r>
      <w:r>
        <w:rPr>
          <w:rFonts w:hint="eastAsia" w:hAnsi="宋体"/>
          <w:b/>
          <w:bCs/>
          <w:sz w:val="21"/>
        </w:rPr>
        <w:t>30</w:t>
      </w:r>
      <w:r>
        <w:rPr>
          <w:rFonts w:hAnsi="宋体"/>
          <w:b/>
          <w:bCs/>
          <w:sz w:val="21"/>
        </w:rPr>
        <w:t>分</w:t>
      </w:r>
    </w:p>
    <w:p>
      <w:pPr>
        <w:pStyle w:val="37"/>
        <w:spacing w:line="380" w:lineRule="exact"/>
        <w:ind w:left="420" w:leftChars="200"/>
        <w:rPr>
          <w:rFonts w:hAnsi="宋体"/>
          <w:b/>
          <w:bCs/>
          <w:sz w:val="21"/>
        </w:rPr>
      </w:pPr>
      <w:r>
        <w:rPr>
          <w:rFonts w:hint="eastAsia" w:hAnsi="宋体"/>
          <w:b/>
          <w:bCs/>
          <w:sz w:val="21"/>
        </w:rPr>
        <w:t>（1）售后服务方案分（满分15分）</w:t>
      </w:r>
    </w:p>
    <w:p>
      <w:pPr>
        <w:pStyle w:val="37"/>
        <w:spacing w:line="380" w:lineRule="exact"/>
        <w:ind w:firstLine="420" w:firstLineChars="200"/>
        <w:jc w:val="left"/>
        <w:rPr>
          <w:rFonts w:hAnsi="宋体"/>
          <w:sz w:val="21"/>
        </w:rPr>
      </w:pPr>
      <w:r>
        <w:rPr>
          <w:rFonts w:hint="eastAsia" w:hAnsi="宋体"/>
          <w:sz w:val="21"/>
        </w:rPr>
        <w:t>一档（3分）：售后服务方案简单，基本可行，基本满足招标文件要求；</w:t>
      </w:r>
    </w:p>
    <w:p>
      <w:pPr>
        <w:pStyle w:val="37"/>
        <w:spacing w:line="380" w:lineRule="exact"/>
        <w:ind w:firstLine="420" w:firstLineChars="200"/>
        <w:jc w:val="left"/>
        <w:rPr>
          <w:rFonts w:hAnsi="宋体"/>
          <w:sz w:val="21"/>
        </w:rPr>
      </w:pPr>
      <w:r>
        <w:rPr>
          <w:rFonts w:hint="eastAsia" w:hAnsi="宋体"/>
          <w:sz w:val="21"/>
        </w:rPr>
        <w:t>二档（8分）：售后服务方案较详细、全面、可行，提供本地化服务（提供营业执照或办公场地租赁合同扫描件或广西本地员工社保缴纳证明等对应的证明资料），能提供较全面免费培训方案，投标人提出的实施保障方案能考虑到本项目的情况，售后服务团队人员至少3名信息系统运行维护工程师提供技术服务；</w:t>
      </w:r>
    </w:p>
    <w:p>
      <w:pPr>
        <w:pStyle w:val="37"/>
        <w:spacing w:line="380" w:lineRule="exact"/>
        <w:ind w:firstLine="420" w:firstLineChars="200"/>
        <w:jc w:val="left"/>
        <w:rPr>
          <w:rFonts w:hAnsi="宋体"/>
          <w:sz w:val="21"/>
        </w:rPr>
      </w:pPr>
      <w:r>
        <w:rPr>
          <w:rFonts w:hint="eastAsia" w:hAnsi="宋体"/>
          <w:sz w:val="21"/>
        </w:rPr>
        <w:t>三档（15分）：售后服务方案详细、全面，操作性强，提供本地化服务（提供营业执照或办公场地租赁合同扫描件或广西本地员工社保缴纳证明等对应的证明资料），能提供定期回访计划和较全面免费培训方案，投标人提出的实施保障方案优秀，投标人具备较强合同执行能力，售后服务团队人员至少5名信息系统运行维护工程师提供技术服务。</w:t>
      </w:r>
    </w:p>
    <w:p>
      <w:pPr>
        <w:pStyle w:val="37"/>
        <w:spacing w:line="380" w:lineRule="exact"/>
        <w:ind w:firstLine="422" w:firstLineChars="200"/>
        <w:jc w:val="left"/>
        <w:rPr>
          <w:rFonts w:hAnsi="宋体"/>
          <w:b/>
          <w:bCs/>
          <w:sz w:val="21"/>
        </w:rPr>
      </w:pPr>
      <w:r>
        <w:rPr>
          <w:rFonts w:hint="eastAsia" w:hAnsi="宋体"/>
          <w:b/>
          <w:bCs/>
          <w:sz w:val="21"/>
        </w:rPr>
        <w:t>注：</w:t>
      </w:r>
      <w:r>
        <w:rPr>
          <w:rFonts w:hint="eastAsia" w:hAnsi="宋体"/>
          <w:b/>
          <w:bCs/>
          <w:sz w:val="21"/>
        </w:rPr>
        <w:fldChar w:fldCharType="begin"/>
      </w:r>
      <w:r>
        <w:rPr>
          <w:rFonts w:hint="eastAsia" w:hAnsi="宋体"/>
          <w:b/>
          <w:bCs/>
          <w:sz w:val="21"/>
        </w:rPr>
        <w:instrText xml:space="preserve"> = 1 \* GB3 </w:instrText>
      </w:r>
      <w:r>
        <w:rPr>
          <w:rFonts w:hint="eastAsia" w:hAnsi="宋体"/>
          <w:b/>
          <w:bCs/>
          <w:sz w:val="21"/>
        </w:rPr>
        <w:fldChar w:fldCharType="separate"/>
      </w:r>
      <w:r>
        <w:rPr>
          <w:rFonts w:hint="eastAsia" w:hAnsi="宋体"/>
          <w:b/>
          <w:bCs/>
          <w:sz w:val="21"/>
        </w:rPr>
        <w:t>①</w:t>
      </w:r>
      <w:r>
        <w:rPr>
          <w:rFonts w:hint="eastAsia" w:hAnsi="宋体"/>
          <w:b/>
          <w:bCs/>
          <w:sz w:val="21"/>
        </w:rPr>
        <w:fldChar w:fldCharType="end"/>
      </w:r>
      <w:r>
        <w:rPr>
          <w:rFonts w:hint="eastAsia" w:hAnsi="宋体"/>
          <w:b/>
          <w:bCs/>
          <w:sz w:val="21"/>
        </w:rPr>
        <w:t>所有服务团队人员必须为成交供应商在职正式员工；</w:t>
      </w:r>
    </w:p>
    <w:p>
      <w:pPr>
        <w:pStyle w:val="37"/>
        <w:spacing w:line="380" w:lineRule="exact"/>
        <w:ind w:firstLine="843" w:firstLineChars="400"/>
        <w:rPr>
          <w:rFonts w:hAnsi="宋体"/>
          <w:b/>
          <w:bCs/>
          <w:sz w:val="21"/>
        </w:rPr>
      </w:pPr>
      <w:r>
        <w:rPr>
          <w:rFonts w:hint="eastAsia" w:hAnsi="宋体"/>
          <w:b/>
          <w:bCs/>
          <w:sz w:val="21"/>
        </w:rPr>
        <w:fldChar w:fldCharType="begin"/>
      </w:r>
      <w:r>
        <w:rPr>
          <w:rFonts w:hint="eastAsia" w:hAnsi="宋体"/>
          <w:b/>
          <w:bCs/>
          <w:sz w:val="21"/>
        </w:rPr>
        <w:instrText xml:space="preserve"> = 2 \* GB3 </w:instrText>
      </w:r>
      <w:r>
        <w:rPr>
          <w:rFonts w:hint="eastAsia" w:hAnsi="宋体"/>
          <w:b/>
          <w:bCs/>
          <w:sz w:val="21"/>
        </w:rPr>
        <w:fldChar w:fldCharType="separate"/>
      </w:r>
      <w:r>
        <w:rPr>
          <w:rFonts w:hint="eastAsia" w:hAnsi="宋体"/>
          <w:b/>
          <w:bCs/>
          <w:sz w:val="21"/>
        </w:rPr>
        <w:t>②</w:t>
      </w:r>
      <w:r>
        <w:rPr>
          <w:rFonts w:hint="eastAsia" w:hAnsi="宋体"/>
          <w:b/>
          <w:bCs/>
          <w:sz w:val="21"/>
        </w:rPr>
        <w:fldChar w:fldCharType="end"/>
      </w:r>
      <w:r>
        <w:rPr>
          <w:rFonts w:hint="eastAsia" w:hAnsi="宋体"/>
          <w:b/>
          <w:bCs/>
          <w:sz w:val="21"/>
        </w:rPr>
        <w:t>未提供拟投入本项目服务团队人员一览表的，不予进档评分；</w:t>
      </w:r>
    </w:p>
    <w:p>
      <w:pPr>
        <w:pStyle w:val="37"/>
        <w:spacing w:line="380" w:lineRule="exact"/>
        <w:ind w:firstLine="843" w:firstLineChars="400"/>
        <w:rPr>
          <w:rFonts w:hAnsi="宋体"/>
          <w:b/>
          <w:bCs/>
          <w:sz w:val="21"/>
        </w:rPr>
      </w:pPr>
      <w:r>
        <w:rPr>
          <w:rFonts w:hint="eastAsia" w:hAnsi="宋体"/>
          <w:b/>
          <w:bCs/>
          <w:sz w:val="21"/>
        </w:rPr>
        <w:fldChar w:fldCharType="begin"/>
      </w:r>
      <w:r>
        <w:rPr>
          <w:rFonts w:hint="eastAsia" w:hAnsi="宋体"/>
          <w:b/>
          <w:bCs/>
          <w:sz w:val="21"/>
        </w:rPr>
        <w:instrText xml:space="preserve"> = 3 \* GB3 </w:instrText>
      </w:r>
      <w:r>
        <w:rPr>
          <w:rFonts w:hint="eastAsia" w:hAnsi="宋体"/>
          <w:b/>
          <w:bCs/>
          <w:sz w:val="21"/>
        </w:rPr>
        <w:fldChar w:fldCharType="separate"/>
      </w:r>
      <w:r>
        <w:rPr>
          <w:rFonts w:hint="eastAsia" w:hAnsi="宋体"/>
          <w:b/>
          <w:bCs/>
          <w:sz w:val="21"/>
        </w:rPr>
        <w:t>③</w:t>
      </w:r>
      <w:r>
        <w:rPr>
          <w:rFonts w:hint="eastAsia" w:hAnsi="宋体"/>
          <w:b/>
          <w:bCs/>
          <w:sz w:val="21"/>
        </w:rPr>
        <w:fldChar w:fldCharType="end"/>
      </w:r>
      <w:r>
        <w:rPr>
          <w:rFonts w:hint="eastAsia" w:hAnsi="宋体"/>
          <w:b/>
          <w:bCs/>
          <w:sz w:val="21"/>
        </w:rPr>
        <w:t>投标时应在响应文件中提供拟投入本项目服务团队人员相应有效证书复印件。</w:t>
      </w:r>
    </w:p>
    <w:p>
      <w:pPr>
        <w:pStyle w:val="37"/>
        <w:spacing w:line="380" w:lineRule="exact"/>
        <w:ind w:left="420" w:leftChars="200"/>
        <w:rPr>
          <w:rFonts w:hAnsi="宋体"/>
          <w:b/>
          <w:bCs/>
          <w:sz w:val="21"/>
        </w:rPr>
      </w:pPr>
      <w:r>
        <w:rPr>
          <w:rFonts w:hint="eastAsia" w:hAnsi="宋体"/>
          <w:b/>
          <w:bCs/>
          <w:sz w:val="21"/>
        </w:rPr>
        <w:t>（2）信誉业绩分（满分15分）</w:t>
      </w:r>
    </w:p>
    <w:p>
      <w:pPr>
        <w:pStyle w:val="37"/>
        <w:spacing w:line="380" w:lineRule="exact"/>
        <w:ind w:firstLine="420" w:firstLineChars="200"/>
        <w:jc w:val="left"/>
        <w:rPr>
          <w:rFonts w:hAnsi="宋体"/>
          <w:sz w:val="21"/>
        </w:rPr>
      </w:pPr>
      <w:r>
        <w:rPr>
          <w:rFonts w:hint="eastAsia" w:hAnsi="宋体"/>
          <w:sz w:val="21"/>
        </w:rPr>
        <w:t>1.投标人同时具备ISO9001质量管理体系认证证书、ISO14001环境管理体系认证证书、ISO27001信息安全管理体系认证证书、OHSAS18000职业健康安全管理体系认证证书（投标时在投标文件中提供有效认证证书复印件，原件备查），得4分，不同时具备不得分（满分4分）</w:t>
      </w:r>
    </w:p>
    <w:p>
      <w:pPr>
        <w:pStyle w:val="37"/>
        <w:spacing w:line="380" w:lineRule="exact"/>
        <w:ind w:firstLine="420" w:firstLineChars="200"/>
        <w:jc w:val="left"/>
        <w:rPr>
          <w:rFonts w:hAnsi="宋体"/>
          <w:sz w:val="21"/>
        </w:rPr>
      </w:pPr>
      <w:r>
        <w:rPr>
          <w:rFonts w:hint="eastAsia" w:hAnsi="宋体"/>
          <w:sz w:val="21"/>
        </w:rPr>
        <w:t>2.投标人列入第一批数字广西建设标杆数字经济产业重点示范企业（投标时在投标文件中提供有效证书复印件）得2分；（满分2分）</w:t>
      </w:r>
    </w:p>
    <w:p>
      <w:pPr>
        <w:pStyle w:val="37"/>
        <w:spacing w:line="380" w:lineRule="exact"/>
        <w:ind w:firstLine="420" w:firstLineChars="200"/>
        <w:jc w:val="left"/>
        <w:rPr>
          <w:rFonts w:hAnsi="宋体"/>
          <w:sz w:val="21"/>
        </w:rPr>
      </w:pPr>
      <w:r>
        <w:rPr>
          <w:rFonts w:hint="eastAsia" w:hAnsi="宋体"/>
          <w:sz w:val="21"/>
        </w:rPr>
        <w:t>3.提供测评服务的单位同时具备省级（含省级）以上质量技术监督部门颁发的“检验检测机构资质认定证书(CMA)”、省级及省级以上网信办委托开展网络安全相关技术工作的批复文件（投标时在投标文件中提供相关资质证明材料复印件，原件备查），得4分，不同时具备不得分；（满分4分）。</w:t>
      </w:r>
    </w:p>
    <w:p>
      <w:pPr>
        <w:pStyle w:val="37"/>
        <w:spacing w:line="380" w:lineRule="exact"/>
        <w:ind w:firstLine="420" w:firstLineChars="200"/>
        <w:jc w:val="left"/>
        <w:rPr>
          <w:rFonts w:hAnsi="宋体"/>
          <w:sz w:val="21"/>
        </w:rPr>
      </w:pPr>
      <w:r>
        <w:rPr>
          <w:rFonts w:hint="eastAsia" w:hAnsi="宋体"/>
          <w:sz w:val="21"/>
        </w:rPr>
        <w:t>4.自2018年1月1日以来，投标人具有同类网络安全等保服务实施案例的（投标时在投标文件中提供有效的合同或中标&lt;成交&gt;通知书复印件，必须能清晰反映成交双方、合同金额、签订日期等信息，原件备审，如有异议，以中国政府采购网上按合同编号查询为准），每有一个得1分。（满分5分）</w:t>
      </w:r>
    </w:p>
    <w:p>
      <w:pPr>
        <w:pStyle w:val="37"/>
        <w:spacing w:line="380" w:lineRule="exact"/>
        <w:ind w:firstLine="420"/>
        <w:rPr>
          <w:rFonts w:hAnsi="宋体"/>
          <w:b/>
          <w:bCs/>
          <w:sz w:val="21"/>
        </w:rPr>
      </w:pPr>
      <w:r>
        <w:rPr>
          <w:rFonts w:hint="eastAsia" w:hAnsi="宋体"/>
          <w:b/>
          <w:bCs/>
          <w:sz w:val="21"/>
        </w:rPr>
        <w:t>4．诚信分</w:t>
      </w:r>
      <w:r>
        <w:rPr>
          <w:rFonts w:hAnsi="宋体"/>
          <w:b/>
          <w:bCs/>
          <w:sz w:val="21"/>
        </w:rPr>
        <w:t>…………………………………………………………………………………</w:t>
      </w:r>
      <w:r>
        <w:rPr>
          <w:rFonts w:hint="eastAsia" w:hAnsi="宋体"/>
          <w:b/>
          <w:bCs/>
          <w:sz w:val="21"/>
        </w:rPr>
        <w:t>0</w:t>
      </w:r>
      <w:r>
        <w:rPr>
          <w:rFonts w:hAnsi="宋体"/>
          <w:b/>
          <w:bCs/>
          <w:sz w:val="21"/>
        </w:rPr>
        <w:t>分</w:t>
      </w:r>
    </w:p>
    <w:p>
      <w:pPr>
        <w:pStyle w:val="37"/>
        <w:spacing w:line="380" w:lineRule="exact"/>
        <w:ind w:firstLine="420"/>
        <w:rPr>
          <w:rFonts w:hAnsi="宋体"/>
          <w:b/>
          <w:bCs/>
          <w:sz w:val="21"/>
        </w:rPr>
      </w:pPr>
      <w:r>
        <w:rPr>
          <w:rFonts w:hint="eastAsia" w:hAnsi="宋体"/>
          <w:sz w:val="21"/>
        </w:rPr>
        <w:t>投标人在截标日前1年内在政府采购活动中存在违约违规情形的（以财政部门出具的书面材料为评分依据），每次扣除3分，最高扣分6分扣完为止。</w:t>
      </w:r>
    </w:p>
    <w:p>
      <w:pPr>
        <w:pStyle w:val="37"/>
        <w:spacing w:line="380" w:lineRule="exact"/>
        <w:ind w:firstLine="420"/>
        <w:rPr>
          <w:rFonts w:hAnsi="宋体"/>
          <w:b/>
          <w:bCs/>
          <w:sz w:val="21"/>
        </w:rPr>
      </w:pPr>
      <w:r>
        <w:rPr>
          <w:rFonts w:hAnsi="宋体"/>
          <w:b/>
          <w:bCs/>
          <w:sz w:val="21"/>
        </w:rPr>
        <w:t>总得分</w:t>
      </w:r>
      <w:r>
        <w:rPr>
          <w:rFonts w:hint="eastAsia" w:hAnsi="宋体"/>
          <w:b/>
          <w:bCs/>
          <w:sz w:val="21"/>
        </w:rPr>
        <w:t xml:space="preserve"> = 1 + 2 + 3 + 4</w:t>
      </w:r>
    </w:p>
    <w:p>
      <w:pPr>
        <w:adjustRightInd w:val="0"/>
        <w:snapToGrid w:val="0"/>
        <w:spacing w:line="380" w:lineRule="exact"/>
        <w:ind w:firstLine="422" w:firstLineChars="200"/>
        <w:rPr>
          <w:rFonts w:ascii="宋体" w:hAnsi="宋体"/>
          <w:b/>
        </w:rPr>
      </w:pPr>
      <w:r>
        <w:rPr>
          <w:rFonts w:hint="eastAsia" w:ascii="宋体" w:hAnsi="宋体"/>
          <w:b/>
        </w:rPr>
        <w:t>三、中标候选人推荐原则</w:t>
      </w:r>
    </w:p>
    <w:p>
      <w:pPr>
        <w:pStyle w:val="37"/>
        <w:spacing w:line="380" w:lineRule="exact"/>
        <w:ind w:firstLine="357" w:firstLineChars="170"/>
        <w:rPr>
          <w:rFonts w:hAnsi="宋体"/>
          <w:b/>
          <w:bCs/>
          <w:sz w:val="21"/>
        </w:rPr>
      </w:pPr>
      <w:r>
        <w:rPr>
          <w:rFonts w:hint="eastAsia" w:hAnsi="宋体"/>
          <w:bCs/>
          <w:sz w:val="21"/>
        </w:rPr>
        <w:t>（一）评标委员会将根据得分由高到低排列次序（得分相同时，以投标报价由低到高顺序排列；得分相同且投标报价相同的，技术分高优先、质量保证期长优先、交货期短优先、故障响应时间短优先的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hAnsi="宋体"/>
          <w:b/>
          <w:bCs/>
          <w:sz w:val="21"/>
        </w:rPr>
        <w:t>。采购人也可以决定重新采购。</w:t>
      </w:r>
    </w:p>
    <w:p>
      <w:pPr>
        <w:pStyle w:val="37"/>
        <w:spacing w:line="380" w:lineRule="exact"/>
        <w:ind w:firstLine="357" w:firstLineChars="170"/>
        <w:rPr>
          <w:rFonts w:hAnsi="宋体" w:cs="Arial"/>
          <w:b/>
          <w:bCs/>
          <w:sz w:val="21"/>
        </w:rPr>
      </w:pPr>
      <w:r>
        <w:rPr>
          <w:rFonts w:hint="eastAsia" w:hAnsi="宋体"/>
          <w:bCs/>
          <w:sz w:val="21"/>
        </w:rPr>
        <w:t>（二）评标委员会认为，某投标人的有效投标报价或者某些分项报价明显不合理或者低于成本，有可能影响服务质量和不能诚信履约的，应要求其在规定的期限内提供书面文件予以解释说明，并提交相关证明材料，</w:t>
      </w:r>
      <w:r>
        <w:rPr>
          <w:rFonts w:hint="eastAsia" w:hAnsi="宋体"/>
          <w:b/>
          <w:bCs/>
          <w:sz w:val="21"/>
        </w:rPr>
        <w:t>否则，评标委员会不推荐该投标人为中标候选人。</w:t>
      </w:r>
    </w:p>
    <w:p>
      <w:pPr>
        <w:pStyle w:val="37"/>
        <w:spacing w:line="360" w:lineRule="exact"/>
        <w:ind w:firstLine="42" w:firstLineChars="20"/>
        <w:jc w:val="center"/>
        <w:rPr>
          <w:rFonts w:hAnsi="宋体" w:cs="Arial"/>
          <w:b/>
          <w:bCs/>
          <w:sz w:val="21"/>
        </w:rPr>
      </w:pPr>
    </w:p>
    <w:p>
      <w:pPr>
        <w:widowControl/>
        <w:jc w:val="left"/>
        <w:rPr>
          <w:rFonts w:ascii="宋体" w:hAnsi="宋体" w:cs="Arial"/>
          <w:b/>
          <w:bCs/>
          <w:kern w:val="0"/>
        </w:rPr>
      </w:pPr>
      <w:r>
        <w:rPr>
          <w:rFonts w:hAnsi="宋体" w:cs="Arial"/>
          <w:b/>
          <w:bCs/>
        </w:rPr>
        <w:br w:type="page"/>
      </w:r>
    </w:p>
    <w:p>
      <w:pPr>
        <w:pStyle w:val="37"/>
        <w:ind w:firstLine="643" w:firstLineChars="200"/>
        <w:jc w:val="center"/>
        <w:rPr>
          <w:rFonts w:hAnsi="宋体"/>
          <w:b/>
          <w:bCs/>
          <w:sz w:val="32"/>
          <w:szCs w:val="32"/>
        </w:rPr>
      </w:pPr>
      <w:r>
        <w:rPr>
          <w:rFonts w:hint="eastAsia" w:hAnsi="宋体"/>
          <w:b/>
          <w:bCs/>
          <w:sz w:val="32"/>
          <w:szCs w:val="32"/>
        </w:rPr>
        <w:t>评标办法及评分标准</w:t>
      </w:r>
    </w:p>
    <w:p>
      <w:pPr>
        <w:pStyle w:val="37"/>
        <w:spacing w:line="380" w:lineRule="exact"/>
        <w:ind w:firstLine="422" w:firstLineChars="200"/>
        <w:jc w:val="center"/>
        <w:rPr>
          <w:rFonts w:hAnsi="宋体"/>
          <w:b/>
          <w:bCs/>
          <w:sz w:val="21"/>
        </w:rPr>
      </w:pPr>
      <w:r>
        <w:rPr>
          <w:rFonts w:hint="eastAsia" w:hAnsi="宋体"/>
          <w:b/>
          <w:bCs/>
          <w:sz w:val="21"/>
        </w:rPr>
        <w:t>（适用于</w:t>
      </w:r>
      <w:r>
        <w:rPr>
          <w:rFonts w:hAnsi="宋体"/>
          <w:b/>
          <w:bCs/>
          <w:sz w:val="21"/>
        </w:rPr>
        <w:t>B</w:t>
      </w:r>
      <w:r>
        <w:rPr>
          <w:rFonts w:hint="eastAsia" w:hAnsi="宋体"/>
          <w:b/>
          <w:bCs/>
          <w:sz w:val="21"/>
        </w:rPr>
        <w:t>分标）</w:t>
      </w:r>
    </w:p>
    <w:p>
      <w:pPr>
        <w:pStyle w:val="37"/>
        <w:spacing w:line="380" w:lineRule="exact"/>
        <w:ind w:firstLine="422" w:firstLineChars="200"/>
        <w:rPr>
          <w:rFonts w:hAnsi="宋体"/>
          <w:b/>
          <w:bCs/>
          <w:sz w:val="21"/>
        </w:rPr>
      </w:pPr>
      <w:r>
        <w:rPr>
          <w:rFonts w:hAnsi="宋体"/>
          <w:b/>
          <w:bCs/>
          <w:sz w:val="21"/>
        </w:rPr>
        <w:t>一、评标原则</w:t>
      </w:r>
    </w:p>
    <w:p>
      <w:pPr>
        <w:pStyle w:val="37"/>
        <w:spacing w:line="380" w:lineRule="exact"/>
        <w:ind w:firstLine="420" w:firstLineChars="200"/>
        <w:rPr>
          <w:rFonts w:hAnsi="宋体"/>
          <w:bCs/>
          <w:sz w:val="21"/>
        </w:rPr>
      </w:pPr>
      <w:r>
        <w:rPr>
          <w:rFonts w:hAnsi="宋体"/>
          <w:bCs/>
          <w:sz w:val="21"/>
        </w:rPr>
        <w:t>（一）评委构成：本招标采购项目的评委分别由依法组成的专家、采购单位代表共</w:t>
      </w:r>
      <w:r>
        <w:rPr>
          <w:rFonts w:hint="eastAsia" w:hAnsi="宋体"/>
          <w:bCs/>
          <w:sz w:val="21"/>
        </w:rPr>
        <w:t>5</w:t>
      </w:r>
      <w:r>
        <w:rPr>
          <w:rFonts w:hAnsi="宋体"/>
          <w:bCs/>
          <w:sz w:val="21"/>
        </w:rPr>
        <w:t>人以上单数构成，其中专家人数不少于成员总数的三分之二。</w:t>
      </w:r>
    </w:p>
    <w:p>
      <w:pPr>
        <w:pStyle w:val="37"/>
        <w:spacing w:line="380" w:lineRule="exact"/>
        <w:ind w:firstLine="420" w:firstLineChars="200"/>
        <w:rPr>
          <w:rFonts w:hAnsi="宋体"/>
          <w:bCs/>
          <w:sz w:val="21"/>
        </w:rPr>
      </w:pPr>
      <w:r>
        <w:rPr>
          <w:rFonts w:hAnsi="宋体"/>
          <w:bCs/>
          <w:sz w:val="21"/>
        </w:rPr>
        <w:t>（二）评标依据：评委将以招投标文件为评标依据，对投标人的投标报价、</w:t>
      </w:r>
      <w:r>
        <w:rPr>
          <w:rFonts w:hint="eastAsia" w:hAnsi="宋体"/>
          <w:bCs/>
          <w:sz w:val="21"/>
        </w:rPr>
        <w:t>项目服务方案</w:t>
      </w:r>
      <w:r>
        <w:rPr>
          <w:rFonts w:hAnsi="宋体"/>
          <w:bCs/>
          <w:sz w:val="21"/>
        </w:rPr>
        <w:t>、</w:t>
      </w:r>
      <w:r>
        <w:rPr>
          <w:rFonts w:hint="eastAsia" w:hAnsi="宋体"/>
          <w:bCs/>
          <w:sz w:val="21"/>
        </w:rPr>
        <w:t>项目组织与实施运维</w:t>
      </w:r>
      <w:r>
        <w:rPr>
          <w:rFonts w:hAnsi="宋体"/>
          <w:bCs/>
          <w:sz w:val="21"/>
        </w:rPr>
        <w:t>、</w:t>
      </w:r>
      <w:r>
        <w:rPr>
          <w:rFonts w:hint="eastAsia" w:hAnsi="宋体"/>
          <w:bCs/>
          <w:sz w:val="21"/>
        </w:rPr>
        <w:t>产品演示</w:t>
      </w:r>
      <w:r>
        <w:rPr>
          <w:rFonts w:hAnsi="宋体"/>
          <w:bCs/>
          <w:sz w:val="21"/>
        </w:rPr>
        <w:t>等方面内容按百分制打分。其中价格分</w:t>
      </w:r>
      <w:r>
        <w:rPr>
          <w:rFonts w:hint="eastAsia" w:hAnsi="宋体"/>
          <w:bCs/>
          <w:sz w:val="21"/>
        </w:rPr>
        <w:t>30</w:t>
      </w:r>
      <w:r>
        <w:rPr>
          <w:rFonts w:hAnsi="宋体"/>
          <w:bCs/>
          <w:sz w:val="21"/>
        </w:rPr>
        <w:t>分、</w:t>
      </w:r>
      <w:r>
        <w:rPr>
          <w:rFonts w:hint="eastAsia" w:hAnsi="宋体"/>
          <w:bCs/>
          <w:sz w:val="21"/>
        </w:rPr>
        <w:t>技术</w:t>
      </w:r>
      <w:r>
        <w:rPr>
          <w:rFonts w:hAnsi="宋体"/>
          <w:bCs/>
          <w:sz w:val="21"/>
        </w:rPr>
        <w:t>分</w:t>
      </w:r>
      <w:r>
        <w:rPr>
          <w:rFonts w:hint="eastAsia" w:hAnsi="宋体"/>
          <w:bCs/>
          <w:sz w:val="21"/>
        </w:rPr>
        <w:t>40</w:t>
      </w:r>
      <w:r>
        <w:rPr>
          <w:rFonts w:hAnsi="宋体"/>
          <w:bCs/>
          <w:sz w:val="21"/>
        </w:rPr>
        <w:t>分、</w:t>
      </w:r>
      <w:r>
        <w:rPr>
          <w:rFonts w:hint="eastAsia" w:hAnsi="宋体"/>
          <w:bCs/>
          <w:sz w:val="21"/>
        </w:rPr>
        <w:t>商务</w:t>
      </w:r>
      <w:r>
        <w:rPr>
          <w:rFonts w:hAnsi="宋体"/>
          <w:bCs/>
          <w:sz w:val="21"/>
        </w:rPr>
        <w:t>分</w:t>
      </w:r>
      <w:r>
        <w:rPr>
          <w:rFonts w:hint="eastAsia" w:hAnsi="宋体"/>
          <w:bCs/>
          <w:sz w:val="21"/>
        </w:rPr>
        <w:t>30</w:t>
      </w:r>
      <w:r>
        <w:rPr>
          <w:rFonts w:hAnsi="宋体"/>
          <w:bCs/>
          <w:sz w:val="21"/>
        </w:rPr>
        <w:t>分</w:t>
      </w:r>
      <w:r>
        <w:rPr>
          <w:rFonts w:hint="eastAsia" w:hAnsi="宋体"/>
          <w:bCs/>
          <w:sz w:val="21"/>
        </w:rPr>
        <w:t>、诚信分-6至0分</w:t>
      </w:r>
      <w:r>
        <w:rPr>
          <w:rFonts w:hAnsi="宋体"/>
          <w:bCs/>
          <w:sz w:val="21"/>
        </w:rPr>
        <w:t>。</w:t>
      </w:r>
      <w:r>
        <w:rPr>
          <w:rFonts w:hint="eastAsia" w:hAnsi="宋体"/>
          <w:bCs/>
          <w:sz w:val="21"/>
        </w:rPr>
        <w:t>（评标时，对于带有主观因素的评分，由评委讨论进档、打分。）</w:t>
      </w:r>
    </w:p>
    <w:p>
      <w:pPr>
        <w:pStyle w:val="37"/>
        <w:spacing w:line="380" w:lineRule="exact"/>
        <w:ind w:firstLine="420" w:firstLineChars="200"/>
        <w:rPr>
          <w:rFonts w:hAnsi="宋体"/>
          <w:bCs/>
          <w:sz w:val="21"/>
        </w:rPr>
      </w:pPr>
      <w:r>
        <w:rPr>
          <w:rFonts w:hAnsi="宋体"/>
          <w:bCs/>
          <w:sz w:val="21"/>
        </w:rPr>
        <w:t>（三）评标方式：以封闭方式进行。</w:t>
      </w:r>
    </w:p>
    <w:p>
      <w:pPr>
        <w:pStyle w:val="37"/>
        <w:spacing w:line="380" w:lineRule="exact"/>
        <w:ind w:firstLine="422" w:firstLineChars="200"/>
        <w:rPr>
          <w:rFonts w:hAnsi="宋体"/>
          <w:b/>
          <w:bCs/>
          <w:sz w:val="21"/>
        </w:rPr>
      </w:pPr>
      <w:r>
        <w:rPr>
          <w:rFonts w:hAnsi="宋体"/>
          <w:b/>
          <w:bCs/>
          <w:sz w:val="21"/>
        </w:rPr>
        <w:t>二、评标方法</w:t>
      </w:r>
    </w:p>
    <w:p>
      <w:pPr>
        <w:pStyle w:val="37"/>
        <w:spacing w:line="380" w:lineRule="exact"/>
        <w:ind w:firstLine="422" w:firstLineChars="200"/>
        <w:rPr>
          <w:rFonts w:hAnsi="宋体"/>
          <w:b/>
          <w:bCs/>
          <w:sz w:val="21"/>
        </w:rPr>
      </w:pPr>
      <w:r>
        <w:rPr>
          <w:rFonts w:hAnsi="宋体"/>
          <w:b/>
          <w:bCs/>
          <w:sz w:val="21"/>
        </w:rPr>
        <w:t>（一）对进入详评的，采用百分制综合评分法。</w:t>
      </w:r>
    </w:p>
    <w:p>
      <w:pPr>
        <w:pStyle w:val="37"/>
        <w:spacing w:line="380" w:lineRule="exact"/>
        <w:ind w:firstLine="422" w:firstLineChars="200"/>
        <w:jc w:val="left"/>
        <w:rPr>
          <w:rFonts w:hAnsi="宋体"/>
          <w:b/>
          <w:bCs/>
          <w:sz w:val="21"/>
        </w:rPr>
      </w:pPr>
      <w:r>
        <w:rPr>
          <w:rFonts w:hAnsi="宋体"/>
          <w:b/>
          <w:bCs/>
          <w:sz w:val="21"/>
        </w:rPr>
        <w:t>（二）计分办法（按四舍五入取至百分位）：</w:t>
      </w:r>
    </w:p>
    <w:p>
      <w:pPr>
        <w:pStyle w:val="37"/>
        <w:spacing w:line="380" w:lineRule="exact"/>
        <w:ind w:firstLine="422" w:firstLineChars="200"/>
        <w:jc w:val="left"/>
        <w:rPr>
          <w:rFonts w:hAnsi="宋体"/>
          <w:b/>
          <w:bCs/>
          <w:sz w:val="21"/>
        </w:rPr>
      </w:pPr>
      <w:r>
        <w:rPr>
          <w:rFonts w:hint="eastAsia" w:hAnsi="宋体"/>
          <w:b/>
          <w:bCs/>
          <w:sz w:val="21"/>
        </w:rPr>
        <w:t>1．</w:t>
      </w:r>
      <w:r>
        <w:rPr>
          <w:rFonts w:hAnsi="宋体"/>
          <w:b/>
          <w:bCs/>
          <w:sz w:val="21"/>
        </w:rPr>
        <w:t>价格分…………………………………………………………………………………</w:t>
      </w:r>
      <w:r>
        <w:rPr>
          <w:rFonts w:hint="eastAsia" w:hAnsi="宋体"/>
          <w:b/>
          <w:bCs/>
          <w:sz w:val="21"/>
        </w:rPr>
        <w:t>30</w:t>
      </w:r>
      <w:r>
        <w:rPr>
          <w:rFonts w:hAnsi="宋体"/>
          <w:b/>
          <w:bCs/>
          <w:sz w:val="21"/>
        </w:rPr>
        <w:t>分</w:t>
      </w:r>
    </w:p>
    <w:p>
      <w:pPr>
        <w:pStyle w:val="37"/>
        <w:spacing w:line="380" w:lineRule="exact"/>
        <w:ind w:firstLine="420" w:firstLineChars="200"/>
        <w:jc w:val="left"/>
        <w:rPr>
          <w:rFonts w:hAnsi="宋体"/>
          <w:sz w:val="21"/>
        </w:rPr>
      </w:pPr>
      <w:r>
        <w:rPr>
          <w:rFonts w:hint="eastAsia" w:hAnsi="宋体"/>
          <w:sz w:val="21"/>
        </w:rPr>
        <w:t>（1）投标产品按《政府采购促进中小企业发展暂行办法》（财库[2011]181号）认定为小型和微型企业产品的</w:t>
      </w:r>
      <w:r>
        <w:rPr>
          <w:rFonts w:hint="eastAsia" w:hAnsi="宋体"/>
          <w:bCs/>
          <w:sz w:val="21"/>
        </w:rPr>
        <w:t>（以投标文件提供的符合规定生产厂家有关证明材料为准）</w:t>
      </w:r>
      <w:r>
        <w:rPr>
          <w:rFonts w:hint="eastAsia" w:hAnsi="宋体"/>
          <w:sz w:val="21"/>
        </w:rPr>
        <w:t>，对投标价给予10%的扣除，扣除后的价格为评标价，即评标价=投标价×（1-10%）；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pPr>
        <w:pStyle w:val="37"/>
        <w:spacing w:line="380" w:lineRule="exact"/>
        <w:ind w:firstLine="420" w:firstLineChars="200"/>
        <w:jc w:val="left"/>
        <w:rPr>
          <w:rFonts w:hAnsi="宋体"/>
          <w:sz w:val="21"/>
        </w:rPr>
      </w:pPr>
      <w:r>
        <w:rPr>
          <w:rFonts w:hint="eastAsia" w:hAnsi="宋体"/>
          <w:sz w:val="21"/>
        </w:rPr>
        <w:t>投标产品生产企业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37"/>
        <w:spacing w:line="380" w:lineRule="exact"/>
        <w:ind w:firstLine="420" w:firstLineChars="200"/>
        <w:jc w:val="left"/>
        <w:rPr>
          <w:rFonts w:hAnsi="宋体"/>
          <w:sz w:val="21"/>
        </w:rPr>
      </w:pPr>
      <w:r>
        <w:rPr>
          <w:rFonts w:hint="eastAsia" w:hAnsi="宋体"/>
          <w:sz w:val="21"/>
        </w:rPr>
        <w:t>（</w:t>
      </w:r>
      <w:r>
        <w:rPr>
          <w:rFonts w:hint="eastAsia" w:hAnsi="宋体"/>
          <w:bCs/>
          <w:spacing w:val="-4"/>
          <w:sz w:val="21"/>
        </w:rPr>
        <w:t>2）以进入评标的最低的投标报价为30分。</w:t>
      </w:r>
    </w:p>
    <w:p>
      <w:pPr>
        <w:pStyle w:val="37"/>
        <w:snapToGrid w:val="0"/>
        <w:spacing w:before="156" w:beforeLines="50" w:after="156" w:afterLines="50" w:line="380" w:lineRule="exact"/>
        <w:ind w:firstLine="420" w:firstLineChars="200"/>
        <w:jc w:val="left"/>
        <w:rPr>
          <w:rFonts w:hAnsi="宋体"/>
          <w:bCs/>
          <w:sz w:val="21"/>
        </w:rPr>
      </w:pPr>
      <w:r>
        <w:rPr>
          <w:rFonts w:hint="eastAsia" w:hAnsi="宋体"/>
          <w:sz w:val="21"/>
        </w:rPr>
        <w:t>（3）</w:t>
      </w:r>
      <w:r>
        <w:rPr>
          <w:rFonts w:hint="eastAsia" w:hAnsi="宋体"/>
          <w:bCs/>
          <w:spacing w:val="-4"/>
          <w:sz w:val="21"/>
        </w:rPr>
        <w:t xml:space="preserve">某投标人价格得分 =   </w:t>
      </w:r>
      <w:r>
        <w:rPr>
          <w:rFonts w:hint="eastAsia" w:hAnsi="宋体"/>
          <w:bCs/>
          <w:spacing w:val="-4"/>
          <w:sz w:val="21"/>
        </w:rPr>
        <w:fldChar w:fldCharType="begin"/>
      </w:r>
      <w:r>
        <w:rPr>
          <w:rFonts w:hint="eastAsia" w:hAnsi="宋体"/>
          <w:bCs/>
          <w:spacing w:val="-4"/>
          <w:sz w:val="21"/>
        </w:rPr>
        <w:instrText xml:space="preserve"> EQ \F(投标人最低报价（金额）,某投标人报价（金额）) </w:instrText>
      </w:r>
      <w:r>
        <w:rPr>
          <w:rFonts w:hint="eastAsia" w:hAnsi="宋体"/>
          <w:bCs/>
          <w:spacing w:val="-4"/>
          <w:sz w:val="21"/>
        </w:rPr>
        <w:fldChar w:fldCharType="end"/>
      </w:r>
      <w:r>
        <w:rPr>
          <w:rFonts w:hint="eastAsia" w:hAnsi="宋体"/>
          <w:bCs/>
          <w:spacing w:val="-4"/>
          <w:sz w:val="21"/>
        </w:rPr>
        <w:t>×30分</w:t>
      </w:r>
    </w:p>
    <w:p>
      <w:pPr>
        <w:pStyle w:val="37"/>
        <w:spacing w:line="380" w:lineRule="exact"/>
        <w:ind w:firstLine="420" w:firstLineChars="200"/>
        <w:outlineLvl w:val="0"/>
        <w:rPr>
          <w:rFonts w:hAnsi="宋体"/>
          <w:bCs/>
          <w:sz w:val="21"/>
        </w:rPr>
      </w:pPr>
      <w:r>
        <w:rPr>
          <w:rFonts w:hint="eastAsia" w:hAnsi="宋体"/>
          <w:bCs/>
          <w:sz w:val="21"/>
        </w:rPr>
        <w:t>（4）投标人的报价明显低于其他投标人的报价，且其投标报价可能低于其成本的，应当要求该投标人做出书面说明并提供相关证明材料。投标人不能合理说明并提供相关证明材料的，评标委员会将认定该投标人以低于成本价投标，报价严重不平衡、不合理，是恶意不正当竞争行为，其投标将作无效投标处理。</w:t>
      </w:r>
    </w:p>
    <w:p>
      <w:pPr>
        <w:pStyle w:val="37"/>
        <w:spacing w:line="380" w:lineRule="exact"/>
        <w:ind w:firstLine="422" w:firstLineChars="200"/>
        <w:outlineLvl w:val="0"/>
        <w:rPr>
          <w:rFonts w:hAnsi="宋体"/>
          <w:b/>
          <w:sz w:val="21"/>
        </w:rPr>
      </w:pPr>
      <w:r>
        <w:rPr>
          <w:rFonts w:hint="eastAsia" w:hAnsi="宋体"/>
          <w:b/>
          <w:bCs/>
          <w:sz w:val="21"/>
        </w:rPr>
        <w:t>2．技术</w:t>
      </w:r>
      <w:r>
        <w:rPr>
          <w:rFonts w:hAnsi="宋体"/>
          <w:b/>
          <w:bCs/>
          <w:sz w:val="21"/>
        </w:rPr>
        <w:t>分…………………………………………………………………………………</w:t>
      </w:r>
      <w:r>
        <w:rPr>
          <w:rFonts w:hint="eastAsia" w:hAnsi="宋体"/>
          <w:b/>
          <w:bCs/>
          <w:sz w:val="21"/>
        </w:rPr>
        <w:t>40</w:t>
      </w:r>
      <w:r>
        <w:rPr>
          <w:rFonts w:hAnsi="宋体"/>
          <w:b/>
          <w:bCs/>
          <w:sz w:val="21"/>
        </w:rPr>
        <w:t>分</w:t>
      </w:r>
    </w:p>
    <w:p>
      <w:pPr>
        <w:pStyle w:val="37"/>
        <w:spacing w:line="380" w:lineRule="exact"/>
        <w:ind w:firstLine="420"/>
        <w:rPr>
          <w:rFonts w:hAnsi="宋体"/>
          <w:b/>
          <w:bCs/>
          <w:sz w:val="21"/>
        </w:rPr>
      </w:pPr>
      <w:r>
        <w:rPr>
          <w:rFonts w:hint="eastAsia" w:hAnsi="宋体"/>
          <w:b/>
          <w:bCs/>
          <w:sz w:val="21"/>
        </w:rPr>
        <w:t>（1）服务方案分</w:t>
      </w:r>
      <w:r>
        <w:rPr>
          <w:rFonts w:hAnsi="宋体"/>
          <w:b/>
          <w:bCs/>
          <w:sz w:val="21"/>
        </w:rPr>
        <w:t>（满分</w:t>
      </w:r>
      <w:r>
        <w:rPr>
          <w:rFonts w:hint="eastAsia" w:hAnsi="宋体"/>
          <w:b/>
          <w:bCs/>
          <w:sz w:val="21"/>
        </w:rPr>
        <w:t>15</w:t>
      </w:r>
      <w:r>
        <w:rPr>
          <w:rFonts w:hAnsi="宋体"/>
          <w:b/>
          <w:bCs/>
          <w:sz w:val="21"/>
        </w:rPr>
        <w:t>分）</w:t>
      </w:r>
    </w:p>
    <w:p>
      <w:pPr>
        <w:pStyle w:val="37"/>
        <w:spacing w:line="380" w:lineRule="exact"/>
        <w:ind w:firstLine="420" w:firstLineChars="200"/>
        <w:outlineLvl w:val="0"/>
        <w:rPr>
          <w:rFonts w:hAnsi="宋体"/>
          <w:bCs/>
          <w:sz w:val="21"/>
        </w:rPr>
      </w:pPr>
      <w:r>
        <w:rPr>
          <w:rFonts w:hint="eastAsia" w:hAnsi="宋体"/>
          <w:bCs/>
          <w:sz w:val="21"/>
        </w:rPr>
        <w:t>一档（5分）：方案描述一般，采取的技术服务标准基本满足要求的；</w:t>
      </w:r>
    </w:p>
    <w:p>
      <w:pPr>
        <w:pStyle w:val="37"/>
        <w:spacing w:line="380" w:lineRule="exact"/>
        <w:ind w:firstLine="420" w:firstLineChars="200"/>
        <w:outlineLvl w:val="0"/>
        <w:rPr>
          <w:rFonts w:hAnsi="宋体"/>
          <w:bCs/>
          <w:sz w:val="21"/>
        </w:rPr>
      </w:pPr>
      <w:r>
        <w:rPr>
          <w:rFonts w:hint="eastAsia" w:hAnsi="宋体"/>
          <w:bCs/>
          <w:sz w:val="21"/>
        </w:rPr>
        <w:t>二档（10分）：方案描述及分析较好，具有较完整的说明；</w:t>
      </w:r>
    </w:p>
    <w:p>
      <w:pPr>
        <w:pStyle w:val="37"/>
        <w:spacing w:line="380" w:lineRule="exact"/>
        <w:ind w:firstLine="420" w:firstLineChars="200"/>
        <w:outlineLvl w:val="0"/>
        <w:rPr>
          <w:rFonts w:hAnsi="宋体"/>
          <w:bCs/>
          <w:sz w:val="21"/>
        </w:rPr>
      </w:pPr>
      <w:r>
        <w:rPr>
          <w:rFonts w:hint="eastAsia" w:hAnsi="宋体"/>
          <w:bCs/>
          <w:sz w:val="21"/>
        </w:rPr>
        <w:t>三档（15分）：方案描述及分析具体到位，对软件技术规范、模块健全，对本项目采购需求的响应程度，根据投标人方案编制情况。</w:t>
      </w:r>
    </w:p>
    <w:p>
      <w:pPr>
        <w:pStyle w:val="37"/>
        <w:spacing w:line="380" w:lineRule="exact"/>
        <w:ind w:firstLine="420"/>
        <w:rPr>
          <w:rFonts w:hAnsi="宋体"/>
          <w:b/>
          <w:bCs/>
          <w:sz w:val="21"/>
        </w:rPr>
      </w:pPr>
      <w:r>
        <w:rPr>
          <w:rFonts w:hint="eastAsia" w:hAnsi="宋体"/>
          <w:b/>
          <w:bCs/>
          <w:sz w:val="21"/>
        </w:rPr>
        <w:t>（2）项目组织与实施运维</w:t>
      </w:r>
      <w:r>
        <w:rPr>
          <w:rFonts w:hAnsi="宋体"/>
          <w:b/>
          <w:bCs/>
          <w:sz w:val="21"/>
        </w:rPr>
        <w:t>（满分</w:t>
      </w:r>
      <w:r>
        <w:rPr>
          <w:rFonts w:hint="eastAsia" w:hAnsi="宋体"/>
          <w:b/>
          <w:bCs/>
          <w:sz w:val="21"/>
        </w:rPr>
        <w:t>15</w:t>
      </w:r>
      <w:r>
        <w:rPr>
          <w:rFonts w:hAnsi="宋体"/>
          <w:b/>
          <w:bCs/>
          <w:sz w:val="21"/>
        </w:rPr>
        <w:t>分）</w:t>
      </w:r>
    </w:p>
    <w:p>
      <w:pPr>
        <w:pStyle w:val="37"/>
        <w:spacing w:line="380" w:lineRule="exact"/>
        <w:ind w:firstLine="420" w:firstLineChars="200"/>
        <w:rPr>
          <w:rFonts w:hAnsi="宋体" w:cs="宋体"/>
          <w:sz w:val="21"/>
        </w:rPr>
      </w:pPr>
      <w:r>
        <w:rPr>
          <w:rFonts w:hint="eastAsia" w:hAnsi="宋体" w:cs="宋体"/>
          <w:sz w:val="21"/>
        </w:rPr>
        <w:t>一档（5分）：方案描述一般，采取的技术服务标准基本满足要求的；</w:t>
      </w:r>
    </w:p>
    <w:p>
      <w:pPr>
        <w:pStyle w:val="37"/>
        <w:spacing w:line="380" w:lineRule="exact"/>
        <w:ind w:firstLine="420" w:firstLineChars="200"/>
        <w:rPr>
          <w:rFonts w:hAnsi="宋体" w:cs="宋体"/>
          <w:sz w:val="21"/>
        </w:rPr>
      </w:pPr>
      <w:r>
        <w:rPr>
          <w:rFonts w:hint="eastAsia" w:hAnsi="宋体" w:cs="宋体"/>
          <w:sz w:val="21"/>
        </w:rPr>
        <w:t>二档（10分）：方案描述及分析较好，具有较完整的说明；</w:t>
      </w:r>
    </w:p>
    <w:p>
      <w:pPr>
        <w:pStyle w:val="37"/>
        <w:spacing w:line="380" w:lineRule="exact"/>
        <w:ind w:firstLine="420" w:firstLineChars="200"/>
        <w:rPr>
          <w:rFonts w:hAnsi="宋体" w:cs="宋体"/>
          <w:sz w:val="21"/>
        </w:rPr>
      </w:pPr>
      <w:r>
        <w:rPr>
          <w:rFonts w:hint="eastAsia" w:hAnsi="宋体" w:cs="宋体"/>
          <w:sz w:val="21"/>
        </w:rPr>
        <w:t>三档（15分）：方案描述及分析好，具有完整的说明。并且有诺函且售后服务方案详细优秀。</w:t>
      </w:r>
    </w:p>
    <w:p>
      <w:pPr>
        <w:pStyle w:val="37"/>
        <w:spacing w:line="380" w:lineRule="exact"/>
        <w:ind w:firstLine="420"/>
        <w:rPr>
          <w:rFonts w:hAnsi="宋体"/>
          <w:b/>
          <w:bCs/>
          <w:sz w:val="21"/>
        </w:rPr>
      </w:pPr>
      <w:r>
        <w:rPr>
          <w:rFonts w:hint="eastAsia" w:hAnsi="宋体"/>
          <w:b/>
          <w:bCs/>
          <w:sz w:val="21"/>
        </w:rPr>
        <w:t>（3）产品演示</w:t>
      </w:r>
      <w:r>
        <w:rPr>
          <w:rFonts w:hAnsi="宋体"/>
          <w:b/>
          <w:bCs/>
          <w:sz w:val="21"/>
        </w:rPr>
        <w:t>（满分</w:t>
      </w:r>
      <w:r>
        <w:rPr>
          <w:rFonts w:hint="eastAsia" w:hAnsi="宋体"/>
          <w:b/>
          <w:bCs/>
          <w:sz w:val="21"/>
        </w:rPr>
        <w:t>10</w:t>
      </w:r>
      <w:r>
        <w:rPr>
          <w:rFonts w:hAnsi="宋体"/>
          <w:b/>
          <w:bCs/>
          <w:sz w:val="21"/>
        </w:rPr>
        <w:t>分）</w:t>
      </w:r>
    </w:p>
    <w:p>
      <w:pPr>
        <w:pStyle w:val="37"/>
        <w:spacing w:line="380" w:lineRule="exact"/>
        <w:ind w:firstLine="420"/>
        <w:rPr>
          <w:rFonts w:hAnsi="宋体" w:cs="宋体"/>
          <w:sz w:val="21"/>
        </w:rPr>
      </w:pPr>
      <w:r>
        <w:rPr>
          <w:rFonts w:hint="eastAsia" w:hAnsi="宋体" w:cs="宋体"/>
          <w:sz w:val="21"/>
        </w:rPr>
        <w:t>一档（3分）：演示部分功能达到50%；</w:t>
      </w:r>
    </w:p>
    <w:p>
      <w:pPr>
        <w:pStyle w:val="37"/>
        <w:spacing w:line="380" w:lineRule="exact"/>
        <w:ind w:firstLine="420"/>
        <w:rPr>
          <w:rFonts w:hAnsi="宋体" w:cs="宋体"/>
          <w:sz w:val="21"/>
        </w:rPr>
      </w:pPr>
      <w:r>
        <w:rPr>
          <w:rFonts w:hint="eastAsia" w:hAnsi="宋体" w:cs="宋体"/>
          <w:sz w:val="21"/>
        </w:rPr>
        <w:t>二档（5分）：演示部分功能达到70%；，具有较完整的说明后续开发时间周期；</w:t>
      </w:r>
    </w:p>
    <w:p>
      <w:pPr>
        <w:pStyle w:val="37"/>
        <w:spacing w:line="380" w:lineRule="exact"/>
        <w:ind w:firstLine="420"/>
        <w:rPr>
          <w:rFonts w:hAnsi="宋体"/>
          <w:b/>
          <w:bCs/>
          <w:sz w:val="21"/>
        </w:rPr>
      </w:pPr>
      <w:r>
        <w:rPr>
          <w:rFonts w:hint="eastAsia" w:hAnsi="宋体" w:cs="宋体"/>
          <w:sz w:val="21"/>
        </w:rPr>
        <w:t>三档（10分）：演示部分功能达到90%以上；，具有较完整的说明后续开发时间周期；具有完整的说明。并且有诺函完成后续功能时间。</w:t>
      </w:r>
    </w:p>
    <w:p>
      <w:pPr>
        <w:pStyle w:val="37"/>
        <w:spacing w:line="380" w:lineRule="exact"/>
        <w:ind w:firstLine="420"/>
        <w:rPr>
          <w:rFonts w:hAnsi="宋体"/>
          <w:b/>
          <w:bCs/>
          <w:sz w:val="21"/>
        </w:rPr>
      </w:pPr>
      <w:r>
        <w:rPr>
          <w:rFonts w:hint="eastAsia" w:hAnsi="宋体"/>
          <w:b/>
          <w:bCs/>
          <w:sz w:val="21"/>
        </w:rPr>
        <w:t>3．商务</w:t>
      </w:r>
      <w:r>
        <w:rPr>
          <w:rFonts w:hAnsi="宋体"/>
          <w:b/>
          <w:bCs/>
          <w:sz w:val="21"/>
        </w:rPr>
        <w:t>分…………………………………………………………………………………</w:t>
      </w:r>
      <w:r>
        <w:rPr>
          <w:rFonts w:hint="eastAsia" w:hAnsi="宋体"/>
          <w:b/>
          <w:bCs/>
          <w:sz w:val="21"/>
        </w:rPr>
        <w:t>30</w:t>
      </w:r>
      <w:r>
        <w:rPr>
          <w:rFonts w:hAnsi="宋体"/>
          <w:b/>
          <w:bCs/>
          <w:sz w:val="21"/>
        </w:rPr>
        <w:t>分</w:t>
      </w:r>
    </w:p>
    <w:p>
      <w:pPr>
        <w:pStyle w:val="37"/>
        <w:spacing w:line="380" w:lineRule="exact"/>
        <w:ind w:firstLine="420"/>
        <w:rPr>
          <w:rFonts w:hAnsi="宋体"/>
          <w:b/>
          <w:bCs/>
          <w:sz w:val="21"/>
        </w:rPr>
      </w:pPr>
      <w:r>
        <w:rPr>
          <w:rFonts w:hint="eastAsia" w:hAnsi="宋体"/>
          <w:b/>
          <w:bCs/>
          <w:sz w:val="21"/>
        </w:rPr>
        <w:t>（1）同类业绩分</w:t>
      </w:r>
      <w:r>
        <w:rPr>
          <w:rFonts w:hAnsi="宋体"/>
          <w:b/>
          <w:bCs/>
          <w:sz w:val="21"/>
        </w:rPr>
        <w:t>（满分</w:t>
      </w:r>
      <w:r>
        <w:rPr>
          <w:rFonts w:hint="eastAsia" w:hAnsi="宋体"/>
          <w:b/>
          <w:bCs/>
          <w:sz w:val="21"/>
        </w:rPr>
        <w:t>10</w:t>
      </w:r>
      <w:r>
        <w:rPr>
          <w:rFonts w:hAnsi="宋体"/>
          <w:b/>
          <w:bCs/>
          <w:sz w:val="21"/>
        </w:rPr>
        <w:t>分）</w:t>
      </w:r>
    </w:p>
    <w:p>
      <w:pPr>
        <w:pStyle w:val="37"/>
        <w:spacing w:line="380" w:lineRule="exact"/>
        <w:ind w:firstLine="420"/>
        <w:rPr>
          <w:rFonts w:hAnsi="宋体"/>
          <w:sz w:val="21"/>
        </w:rPr>
      </w:pPr>
      <w:r>
        <w:rPr>
          <w:rFonts w:hint="eastAsia" w:hAnsi="宋体"/>
          <w:sz w:val="21"/>
        </w:rPr>
        <w:t>有承担融媒体项目业绩证明材料，最高得10分。省级融媒体建设项目合同，每个2分；市级融媒体建设项目合同</w:t>
      </w:r>
      <w:bookmarkStart w:id="38" w:name="_GoBack"/>
      <w:bookmarkEnd w:id="38"/>
      <w:r>
        <w:rPr>
          <w:rFonts w:hint="eastAsia" w:hAnsi="宋体"/>
          <w:sz w:val="21"/>
        </w:rPr>
        <w:t>，每个1分；县级融媒体建设项目合同，每个0.5分。</w:t>
      </w:r>
    </w:p>
    <w:p>
      <w:pPr>
        <w:pStyle w:val="37"/>
        <w:spacing w:line="380" w:lineRule="exact"/>
        <w:ind w:firstLine="420"/>
        <w:rPr>
          <w:rFonts w:hAnsi="宋体"/>
          <w:sz w:val="21"/>
        </w:rPr>
      </w:pPr>
      <w:r>
        <w:rPr>
          <w:rFonts w:hint="eastAsia" w:hAnsi="宋体"/>
          <w:sz w:val="21"/>
        </w:rPr>
        <w:t>注：合同或中标通知书，标书内附复印件加盖公章。</w:t>
      </w:r>
    </w:p>
    <w:p>
      <w:pPr>
        <w:pStyle w:val="37"/>
        <w:spacing w:line="380" w:lineRule="exact"/>
        <w:ind w:firstLine="420"/>
        <w:rPr>
          <w:rFonts w:hAnsi="宋体"/>
          <w:b/>
          <w:bCs/>
          <w:sz w:val="21"/>
        </w:rPr>
      </w:pPr>
      <w:r>
        <w:rPr>
          <w:rFonts w:hint="eastAsia" w:hAnsi="宋体"/>
          <w:b/>
          <w:bCs/>
          <w:sz w:val="21"/>
        </w:rPr>
        <w:t>（2）信誉分（20分）</w:t>
      </w:r>
    </w:p>
    <w:p>
      <w:pPr>
        <w:pStyle w:val="37"/>
        <w:spacing w:line="380" w:lineRule="exact"/>
        <w:ind w:firstLine="420"/>
        <w:rPr>
          <w:rFonts w:hAnsi="宋体"/>
          <w:sz w:val="21"/>
        </w:rPr>
      </w:pPr>
      <w:r>
        <w:rPr>
          <w:rFonts w:hint="eastAsia" w:hAnsi="宋体"/>
          <w:sz w:val="21"/>
        </w:rPr>
        <w:t>①投标企业为新三板挂牌或主板上市公司，提供相关证明文件。得5分；</w:t>
      </w:r>
    </w:p>
    <w:p>
      <w:pPr>
        <w:pStyle w:val="37"/>
        <w:spacing w:line="380" w:lineRule="exact"/>
        <w:ind w:firstLine="420"/>
        <w:rPr>
          <w:rFonts w:hAnsi="宋体"/>
          <w:sz w:val="21"/>
        </w:rPr>
      </w:pPr>
      <w:r>
        <w:rPr>
          <w:rFonts w:hint="eastAsia" w:hAnsi="宋体"/>
          <w:sz w:val="21"/>
        </w:rPr>
        <w:t>②投标人提供下列融媒体相关软件著作权或专利证书，并提供软件登记测试报告，最高得15分，不提供不得分。</w:t>
      </w:r>
    </w:p>
    <w:p>
      <w:pPr>
        <w:pStyle w:val="37"/>
        <w:spacing w:line="380" w:lineRule="exact"/>
        <w:ind w:firstLine="420"/>
        <w:rPr>
          <w:rFonts w:hAnsi="宋体"/>
          <w:sz w:val="21"/>
        </w:rPr>
      </w:pPr>
      <w:r>
        <w:rPr>
          <w:rFonts w:hint="eastAsia" w:hAnsi="宋体"/>
          <w:sz w:val="21"/>
        </w:rPr>
        <w:t>提供融合媒体云服务平台软件著作权或专利证书，并提供软件登记测试报告，得2分。</w:t>
      </w:r>
    </w:p>
    <w:p>
      <w:pPr>
        <w:pStyle w:val="37"/>
        <w:spacing w:line="380" w:lineRule="exact"/>
        <w:ind w:firstLine="420"/>
        <w:rPr>
          <w:rFonts w:hAnsi="宋体"/>
          <w:sz w:val="21"/>
        </w:rPr>
      </w:pPr>
      <w:r>
        <w:rPr>
          <w:rFonts w:hint="eastAsia" w:hAnsi="宋体"/>
          <w:sz w:val="21"/>
        </w:rPr>
        <w:t>提供融合媒体资源汇聚管理平台软件著作权或专利证书，并提供软件登记测试报告，得2分。</w:t>
      </w:r>
    </w:p>
    <w:p>
      <w:pPr>
        <w:pStyle w:val="37"/>
        <w:spacing w:line="380" w:lineRule="exact"/>
        <w:ind w:firstLine="420"/>
        <w:rPr>
          <w:rFonts w:hAnsi="宋体"/>
          <w:sz w:val="21"/>
        </w:rPr>
      </w:pPr>
      <w:r>
        <w:rPr>
          <w:rFonts w:hint="eastAsia" w:hAnsi="宋体"/>
          <w:sz w:val="21"/>
        </w:rPr>
        <w:t>提供融合媒体内容生产平台著作权或专利证书，并提供软件登记测试报告，得2分。</w:t>
      </w:r>
    </w:p>
    <w:p>
      <w:pPr>
        <w:pStyle w:val="37"/>
        <w:spacing w:line="380" w:lineRule="exact"/>
        <w:ind w:firstLine="420"/>
        <w:rPr>
          <w:rFonts w:hAnsi="宋体"/>
          <w:sz w:val="21"/>
        </w:rPr>
      </w:pPr>
      <w:r>
        <w:rPr>
          <w:rFonts w:hint="eastAsia" w:hAnsi="宋体"/>
          <w:sz w:val="21"/>
        </w:rPr>
        <w:t>提供融合媒体应用分发平台著作权或专利证书，并提供软件登记测试报告，得2分。</w:t>
      </w:r>
    </w:p>
    <w:p>
      <w:pPr>
        <w:pStyle w:val="37"/>
        <w:spacing w:line="380" w:lineRule="exact"/>
        <w:ind w:firstLine="420"/>
        <w:rPr>
          <w:rFonts w:hAnsi="宋体"/>
          <w:sz w:val="21"/>
        </w:rPr>
      </w:pPr>
      <w:r>
        <w:rPr>
          <w:rFonts w:hint="eastAsia" w:hAnsi="宋体"/>
          <w:sz w:val="21"/>
        </w:rPr>
        <w:t>提供移动内容网络创作系统著作权或专利证书，并提供软件登记测试报告，得2分。</w:t>
      </w:r>
    </w:p>
    <w:p>
      <w:pPr>
        <w:pStyle w:val="37"/>
        <w:spacing w:line="380" w:lineRule="exact"/>
        <w:ind w:firstLine="420"/>
        <w:rPr>
          <w:rFonts w:hAnsi="宋体"/>
          <w:sz w:val="21"/>
        </w:rPr>
      </w:pPr>
      <w:r>
        <w:rPr>
          <w:rFonts w:hint="eastAsia" w:hAnsi="宋体"/>
          <w:sz w:val="21"/>
        </w:rPr>
        <w:t>提供融合媒体大屏调度指挥中心软件著作权或专利证书，并提供软件登记测试报告，得 1分。</w:t>
      </w:r>
    </w:p>
    <w:p>
      <w:pPr>
        <w:pStyle w:val="37"/>
        <w:spacing w:line="380" w:lineRule="exact"/>
        <w:ind w:firstLine="420"/>
        <w:rPr>
          <w:rFonts w:hAnsi="宋体"/>
          <w:sz w:val="21"/>
        </w:rPr>
      </w:pPr>
      <w:r>
        <w:rPr>
          <w:rFonts w:hint="eastAsia" w:hAnsi="宋体"/>
          <w:sz w:val="21"/>
        </w:rPr>
        <w:t>提供音视频在线编辑系统软件著作权或专利证书，并提供软件登记测试报告，得1分。</w:t>
      </w:r>
    </w:p>
    <w:p>
      <w:pPr>
        <w:pStyle w:val="37"/>
        <w:spacing w:line="380" w:lineRule="exact"/>
        <w:ind w:firstLine="420"/>
        <w:rPr>
          <w:rFonts w:hAnsi="宋体"/>
          <w:sz w:val="21"/>
        </w:rPr>
      </w:pPr>
      <w:r>
        <w:rPr>
          <w:rFonts w:hint="eastAsia" w:hAnsi="宋体"/>
          <w:sz w:val="21"/>
        </w:rPr>
        <w:t>提供音视频实时收录编辑系统软件著作权或专利证书，并提供软件登记测试报告，得1分。</w:t>
      </w:r>
    </w:p>
    <w:p>
      <w:pPr>
        <w:pStyle w:val="37"/>
        <w:spacing w:line="380" w:lineRule="exact"/>
        <w:ind w:firstLine="420"/>
        <w:rPr>
          <w:rFonts w:hAnsi="宋体"/>
          <w:sz w:val="21"/>
        </w:rPr>
      </w:pPr>
      <w:r>
        <w:rPr>
          <w:rFonts w:hint="eastAsia" w:hAnsi="宋体"/>
          <w:sz w:val="21"/>
        </w:rPr>
        <w:t>提供全媒体资源管理系统著作权或专利证书，并提供软件登记测试报告，得1分。</w:t>
      </w:r>
    </w:p>
    <w:p>
      <w:pPr>
        <w:pStyle w:val="37"/>
        <w:spacing w:line="380" w:lineRule="exact"/>
        <w:ind w:firstLine="420"/>
        <w:rPr>
          <w:rFonts w:hAnsi="宋体"/>
          <w:sz w:val="21"/>
        </w:rPr>
      </w:pPr>
      <w:r>
        <w:rPr>
          <w:rFonts w:hint="eastAsia" w:hAnsi="宋体"/>
          <w:sz w:val="21"/>
        </w:rPr>
        <w:t>提供内容应用发布系统软件著作权或专利证书，并提供软件登记测试报告，得1分。</w:t>
      </w:r>
    </w:p>
    <w:p>
      <w:pPr>
        <w:pStyle w:val="37"/>
        <w:spacing w:line="380" w:lineRule="exact"/>
        <w:ind w:firstLine="420"/>
        <w:rPr>
          <w:rFonts w:hAnsi="宋体"/>
          <w:b/>
          <w:bCs/>
          <w:sz w:val="21"/>
        </w:rPr>
      </w:pPr>
      <w:r>
        <w:rPr>
          <w:rFonts w:hint="eastAsia" w:hAnsi="宋体"/>
          <w:b/>
          <w:bCs/>
          <w:sz w:val="21"/>
        </w:rPr>
        <w:t>4．诚信分</w:t>
      </w:r>
      <w:r>
        <w:rPr>
          <w:rFonts w:hAnsi="宋体"/>
          <w:b/>
          <w:bCs/>
          <w:sz w:val="21"/>
        </w:rPr>
        <w:t>…………………………………………………………………………………</w:t>
      </w:r>
      <w:r>
        <w:rPr>
          <w:rFonts w:hint="eastAsia" w:hAnsi="宋体"/>
          <w:b/>
          <w:bCs/>
          <w:sz w:val="21"/>
        </w:rPr>
        <w:t>0</w:t>
      </w:r>
      <w:r>
        <w:rPr>
          <w:rFonts w:hAnsi="宋体"/>
          <w:b/>
          <w:bCs/>
          <w:sz w:val="21"/>
        </w:rPr>
        <w:t>分</w:t>
      </w:r>
    </w:p>
    <w:p>
      <w:pPr>
        <w:pStyle w:val="37"/>
        <w:spacing w:line="380" w:lineRule="exact"/>
        <w:ind w:firstLine="420"/>
        <w:rPr>
          <w:rFonts w:hAnsi="宋体"/>
          <w:b/>
          <w:bCs/>
          <w:sz w:val="21"/>
        </w:rPr>
      </w:pPr>
      <w:r>
        <w:rPr>
          <w:rFonts w:hint="eastAsia" w:hAnsi="宋体"/>
          <w:sz w:val="21"/>
        </w:rPr>
        <w:t>投标人在截标日前1年内在政府采购活动中存在违约违规情形的（以财政部门出具的书面材料为评分依据），每次扣除3分，最高扣分6分扣完为止。</w:t>
      </w:r>
    </w:p>
    <w:p>
      <w:pPr>
        <w:pStyle w:val="37"/>
        <w:spacing w:line="380" w:lineRule="exact"/>
        <w:ind w:firstLine="420"/>
        <w:rPr>
          <w:rFonts w:hAnsi="宋体"/>
          <w:b/>
          <w:bCs/>
          <w:sz w:val="21"/>
        </w:rPr>
      </w:pPr>
      <w:r>
        <w:rPr>
          <w:rFonts w:hAnsi="宋体"/>
          <w:b/>
          <w:bCs/>
          <w:sz w:val="21"/>
        </w:rPr>
        <w:t>总得分</w:t>
      </w:r>
      <w:r>
        <w:rPr>
          <w:rFonts w:hint="eastAsia" w:hAnsi="宋体"/>
          <w:b/>
          <w:bCs/>
          <w:sz w:val="21"/>
        </w:rPr>
        <w:t xml:space="preserve"> = 1 + 2 + 3 + 4</w:t>
      </w:r>
    </w:p>
    <w:p>
      <w:pPr>
        <w:adjustRightInd w:val="0"/>
        <w:snapToGrid w:val="0"/>
        <w:spacing w:line="380" w:lineRule="exact"/>
        <w:ind w:firstLine="422" w:firstLineChars="200"/>
        <w:rPr>
          <w:rFonts w:ascii="宋体" w:hAnsi="宋体"/>
          <w:b/>
        </w:rPr>
      </w:pPr>
      <w:r>
        <w:rPr>
          <w:rFonts w:hint="eastAsia" w:ascii="宋体" w:hAnsi="宋体"/>
          <w:b/>
        </w:rPr>
        <w:t>三、中标候选人推荐原则</w:t>
      </w:r>
    </w:p>
    <w:p>
      <w:pPr>
        <w:pStyle w:val="37"/>
        <w:spacing w:line="380" w:lineRule="exact"/>
        <w:ind w:firstLine="357" w:firstLineChars="170"/>
        <w:rPr>
          <w:rFonts w:hAnsi="宋体"/>
          <w:b/>
          <w:bCs/>
          <w:sz w:val="21"/>
        </w:rPr>
      </w:pPr>
      <w:r>
        <w:rPr>
          <w:rFonts w:hint="eastAsia" w:hAnsi="宋体"/>
          <w:bCs/>
          <w:sz w:val="21"/>
        </w:rPr>
        <w:t>（一）评标委员会将根据得分由高到低排列次序（得分相同时，以投标报价由低到高顺序排列；得分相同且投标报价相同的，技术分高优先、质量保证期长优先、交货期短优先、故障响应时间短优先的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hAnsi="宋体"/>
          <w:b/>
          <w:bCs/>
          <w:sz w:val="21"/>
        </w:rPr>
        <w:t>。采购人也可以决定重新采购。</w:t>
      </w:r>
    </w:p>
    <w:p>
      <w:pPr>
        <w:pStyle w:val="37"/>
        <w:spacing w:line="380" w:lineRule="exact"/>
        <w:ind w:firstLine="357" w:firstLineChars="170"/>
        <w:rPr>
          <w:rFonts w:hAnsi="宋体" w:cs="Arial"/>
          <w:b/>
          <w:bCs/>
          <w:sz w:val="21"/>
        </w:rPr>
      </w:pPr>
      <w:r>
        <w:rPr>
          <w:rFonts w:hint="eastAsia" w:hAnsi="宋体"/>
          <w:bCs/>
          <w:sz w:val="21"/>
        </w:rPr>
        <w:t>（二）评标委员会认为，某投标人的有效投标报价或者某些分项报价明显不合理或者低于成本，有可能影响服务质量和不能诚信履约的，应要求其在规定的期限内提供书面文件予以解释说明，并提交相关证明材料，</w:t>
      </w:r>
      <w:r>
        <w:rPr>
          <w:rFonts w:hint="eastAsia" w:hAnsi="宋体"/>
          <w:b/>
          <w:bCs/>
          <w:sz w:val="21"/>
        </w:rPr>
        <w:t>否则，评标委员会不推荐该投标人为中标候选人。</w:t>
      </w:r>
    </w:p>
    <w:p>
      <w:pPr>
        <w:pStyle w:val="37"/>
        <w:spacing w:line="360" w:lineRule="exact"/>
        <w:ind w:firstLine="42" w:firstLineChars="20"/>
        <w:jc w:val="center"/>
        <w:rPr>
          <w:rFonts w:hAnsi="宋体" w:cs="Arial"/>
          <w:b/>
          <w:bCs/>
          <w:sz w:val="21"/>
        </w:rPr>
      </w:pPr>
      <w:r>
        <w:rPr>
          <w:rFonts w:hAnsi="宋体" w:cs="Arial"/>
          <w:b/>
          <w:bCs/>
          <w:sz w:val="21"/>
        </w:rPr>
        <w:br w:type="page"/>
      </w:r>
    </w:p>
    <w:p>
      <w:pPr>
        <w:pStyle w:val="37"/>
        <w:spacing w:line="360" w:lineRule="exact"/>
        <w:ind w:firstLine="42" w:firstLineChars="20"/>
        <w:jc w:val="center"/>
        <w:rPr>
          <w:rFonts w:hAnsi="宋体" w:cs="Arial"/>
          <w:b/>
          <w:bCs/>
          <w:sz w:val="21"/>
        </w:rPr>
      </w:pPr>
    </w:p>
    <w:p>
      <w:pPr>
        <w:pStyle w:val="69"/>
      </w:pPr>
    </w:p>
    <w:p>
      <w:pPr>
        <w:pStyle w:val="69"/>
      </w:pPr>
    </w:p>
    <w:p>
      <w:pPr>
        <w:pStyle w:val="69"/>
      </w:pPr>
    </w:p>
    <w:p>
      <w:pPr>
        <w:pStyle w:val="69"/>
      </w:pPr>
    </w:p>
    <w:p>
      <w:pPr>
        <w:pStyle w:val="69"/>
      </w:pPr>
    </w:p>
    <w:p>
      <w:pPr>
        <w:pStyle w:val="69"/>
      </w:pPr>
    </w:p>
    <w:p>
      <w:pPr>
        <w:pStyle w:val="69"/>
      </w:pPr>
      <w:bookmarkStart w:id="36" w:name="_Toc504570351"/>
      <w:r>
        <w:rPr>
          <w:rFonts w:hint="eastAsia"/>
        </w:rPr>
        <w:t>第五章  合同主要条款格式</w:t>
      </w:r>
      <w:bookmarkEnd w:id="36"/>
    </w:p>
    <w:p>
      <w:pPr>
        <w:pStyle w:val="69"/>
      </w:pPr>
    </w:p>
    <w:p>
      <w:pPr>
        <w:pStyle w:val="69"/>
      </w:pPr>
    </w:p>
    <w:p>
      <w:pPr>
        <w:pStyle w:val="69"/>
      </w:pPr>
      <w:r>
        <w:br w:type="page"/>
      </w:r>
    </w:p>
    <w:p>
      <w:pPr>
        <w:spacing w:line="360" w:lineRule="auto"/>
        <w:jc w:val="center"/>
        <w:rPr>
          <w:rFonts w:ascii="宋体"/>
          <w:b/>
          <w:bCs/>
          <w:sz w:val="52"/>
          <w:szCs w:val="24"/>
        </w:rPr>
      </w:pPr>
      <w:r>
        <w:rPr>
          <w:rFonts w:hint="eastAsia" w:ascii="宋体"/>
          <w:b/>
          <w:bCs/>
          <w:sz w:val="52"/>
          <w:szCs w:val="24"/>
        </w:rPr>
        <w:t>南 宁 市 政 府 采 购</w:t>
      </w:r>
    </w:p>
    <w:p>
      <w:pPr>
        <w:spacing w:line="360" w:lineRule="auto"/>
        <w:ind w:firstLine="420" w:firstLineChars="200"/>
        <w:rPr>
          <w:rFonts w:ascii="宋体"/>
          <w:szCs w:val="24"/>
        </w:rPr>
      </w:pPr>
    </w:p>
    <w:p>
      <w:pPr>
        <w:spacing w:line="360" w:lineRule="auto"/>
        <w:ind w:firstLine="420" w:firstLineChars="200"/>
        <w:rPr>
          <w:rFonts w:ascii="宋体"/>
          <w:szCs w:val="24"/>
        </w:rPr>
      </w:pPr>
      <w:r>
        <w:rPr>
          <w:rFonts w:hint="eastAsia" w:ascii="宋体"/>
          <w:szCs w:val="24"/>
        </w:rPr>
        <w:t xml:space="preserve">                                                 </w:t>
      </w:r>
    </w:p>
    <w:p>
      <w:pPr>
        <w:spacing w:line="360" w:lineRule="auto"/>
        <w:jc w:val="center"/>
        <w:rPr>
          <w:rFonts w:ascii="宋体"/>
          <w:b/>
          <w:bCs/>
          <w:sz w:val="44"/>
          <w:szCs w:val="24"/>
        </w:rPr>
      </w:pPr>
      <w:r>
        <w:rPr>
          <w:rFonts w:hint="eastAsia" w:ascii="宋体"/>
          <w:b/>
          <w:bCs/>
          <w:sz w:val="44"/>
          <w:szCs w:val="24"/>
          <w:u w:val="single"/>
        </w:rPr>
        <w:t xml:space="preserve">         （项目名称）         </w:t>
      </w:r>
      <w:r>
        <w:rPr>
          <w:rFonts w:hint="eastAsia" w:ascii="宋体"/>
          <w:b/>
          <w:bCs/>
          <w:sz w:val="44"/>
          <w:szCs w:val="24"/>
        </w:rPr>
        <w:t>合同</w:t>
      </w:r>
    </w:p>
    <w:p>
      <w:pPr>
        <w:spacing w:line="360" w:lineRule="auto"/>
        <w:jc w:val="center"/>
        <w:rPr>
          <w:rFonts w:ascii="宋体"/>
          <w:b/>
          <w:bCs/>
          <w:sz w:val="44"/>
          <w:szCs w:val="24"/>
        </w:rPr>
      </w:pPr>
    </w:p>
    <w:p>
      <w:pPr>
        <w:spacing w:line="360" w:lineRule="auto"/>
        <w:jc w:val="center"/>
        <w:rPr>
          <w:rFonts w:ascii="宋体"/>
          <w:b/>
          <w:bCs/>
          <w:sz w:val="44"/>
          <w:szCs w:val="24"/>
        </w:rPr>
      </w:pPr>
    </w:p>
    <w:p>
      <w:pPr>
        <w:spacing w:line="360" w:lineRule="auto"/>
        <w:ind w:firstLine="3507" w:firstLineChars="794"/>
        <w:rPr>
          <w:rFonts w:ascii="宋体"/>
          <w:b/>
          <w:bCs/>
          <w:sz w:val="44"/>
          <w:szCs w:val="24"/>
        </w:rPr>
      </w:pPr>
    </w:p>
    <w:p>
      <w:pPr>
        <w:spacing w:line="360" w:lineRule="auto"/>
        <w:ind w:firstLine="3507" w:firstLineChars="794"/>
        <w:rPr>
          <w:rFonts w:ascii="宋体"/>
          <w:b/>
          <w:bCs/>
          <w:sz w:val="44"/>
          <w:szCs w:val="24"/>
        </w:rPr>
      </w:pPr>
    </w:p>
    <w:p>
      <w:pPr>
        <w:ind w:firstLine="1995" w:firstLineChars="552"/>
        <w:rPr>
          <w:rFonts w:ascii="宋体" w:hAnsi="宋体"/>
          <w:b/>
          <w:sz w:val="36"/>
          <w:szCs w:val="36"/>
        </w:rPr>
      </w:pPr>
      <w:r>
        <w:rPr>
          <w:rFonts w:hint="eastAsia" w:ascii="宋体" w:hAnsi="宋体"/>
          <w:b/>
          <w:sz w:val="36"/>
          <w:szCs w:val="36"/>
        </w:rPr>
        <w:t>项目编号：</w:t>
      </w:r>
      <w:r>
        <w:rPr>
          <w:rFonts w:hint="eastAsia" w:ascii="宋体" w:hAnsi="宋体"/>
          <w:b/>
          <w:sz w:val="36"/>
          <w:szCs w:val="36"/>
          <w:u w:val="single"/>
        </w:rPr>
        <w:t xml:space="preserve">                     </w:t>
      </w:r>
    </w:p>
    <w:p>
      <w:pPr>
        <w:ind w:firstLine="1970" w:firstLineChars="545"/>
        <w:rPr>
          <w:rFonts w:ascii="宋体" w:hAnsi="宋体"/>
          <w:b/>
          <w:sz w:val="36"/>
          <w:szCs w:val="36"/>
          <w:u w:val="single"/>
        </w:rPr>
      </w:pPr>
      <w:r>
        <w:rPr>
          <w:rFonts w:hint="eastAsia" w:ascii="宋体" w:hAnsi="宋体"/>
          <w:b/>
          <w:sz w:val="36"/>
          <w:szCs w:val="36"/>
        </w:rPr>
        <w:t>审批编号：</w:t>
      </w:r>
      <w:r>
        <w:rPr>
          <w:rFonts w:hint="eastAsia" w:ascii="宋体" w:hAnsi="宋体"/>
          <w:b/>
          <w:sz w:val="36"/>
          <w:szCs w:val="36"/>
          <w:u w:val="single"/>
        </w:rPr>
        <w:t xml:space="preserve">                     </w:t>
      </w:r>
    </w:p>
    <w:p>
      <w:pPr>
        <w:ind w:firstLine="1995" w:firstLineChars="552"/>
        <w:rPr>
          <w:rFonts w:ascii="宋体" w:hAnsi="宋体"/>
          <w:b/>
          <w:sz w:val="36"/>
          <w:szCs w:val="36"/>
          <w:u w:val="single"/>
        </w:rPr>
      </w:pPr>
    </w:p>
    <w:p>
      <w:pPr>
        <w:ind w:firstLine="1995" w:firstLineChars="552"/>
        <w:rPr>
          <w:rFonts w:ascii="宋体" w:hAnsi="宋体"/>
          <w:b/>
          <w:sz w:val="36"/>
          <w:szCs w:val="36"/>
          <w:u w:val="single"/>
        </w:rPr>
      </w:pPr>
    </w:p>
    <w:p>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p>
    <w:p>
      <w:pPr>
        <w:tabs>
          <w:tab w:val="left" w:pos="7380"/>
        </w:tabs>
        <w:spacing w:line="360" w:lineRule="auto"/>
        <w:ind w:firstLine="1995" w:firstLineChars="552"/>
        <w:rPr>
          <w:rFonts w:ascii="宋体"/>
          <w:b/>
          <w:bCs/>
          <w:sz w:val="44"/>
          <w:szCs w:val="2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ascii="宋体"/>
          <w:b/>
          <w:bCs/>
          <w:sz w:val="44"/>
          <w:szCs w:val="24"/>
        </w:rPr>
      </w:pPr>
    </w:p>
    <w:p>
      <w:pPr>
        <w:tabs>
          <w:tab w:val="left" w:pos="7380"/>
        </w:tabs>
        <w:spacing w:line="360" w:lineRule="auto"/>
        <w:jc w:val="center"/>
        <w:rPr>
          <w:rFonts w:ascii="宋体"/>
          <w:b/>
          <w:bCs/>
          <w:sz w:val="44"/>
          <w:szCs w:val="24"/>
        </w:rPr>
      </w:pPr>
      <w:r>
        <w:rPr>
          <w:rFonts w:hint="eastAsia" w:ascii="宋体"/>
          <w:b/>
          <w:bCs/>
          <w:sz w:val="44"/>
          <w:szCs w:val="24"/>
        </w:rPr>
        <w:br w:type="page"/>
      </w:r>
      <w:r>
        <w:rPr>
          <w:rFonts w:hint="eastAsia"/>
          <w:b/>
          <w:sz w:val="36"/>
          <w:szCs w:val="36"/>
        </w:rPr>
        <w:t>目</w:t>
      </w:r>
      <w:r>
        <w:rPr>
          <w:b/>
          <w:sz w:val="36"/>
          <w:szCs w:val="36"/>
        </w:rPr>
        <w:t xml:space="preserve">  </w:t>
      </w:r>
      <w:r>
        <w:rPr>
          <w:rFonts w:hint="eastAsia"/>
          <w:b/>
          <w:sz w:val="36"/>
          <w:szCs w:val="36"/>
        </w:rPr>
        <w:t>录</w:t>
      </w:r>
    </w:p>
    <w:p>
      <w:pPr>
        <w:tabs>
          <w:tab w:val="left" w:pos="1170"/>
        </w:tabs>
        <w:spacing w:line="360" w:lineRule="auto"/>
        <w:ind w:left="359" w:leftChars="171" w:firstLine="198" w:firstLineChars="71"/>
        <w:rPr>
          <w:rFonts w:ascii="宋体" w:hAnsi="宋体"/>
          <w:sz w:val="28"/>
          <w:szCs w:val="24"/>
        </w:rPr>
      </w:pPr>
      <w:r>
        <w:rPr>
          <w:rFonts w:hint="eastAsia" w:ascii="宋体" w:hAnsi="宋体"/>
          <w:sz w:val="28"/>
          <w:szCs w:val="24"/>
        </w:rPr>
        <w:tab/>
      </w:r>
    </w:p>
    <w:p>
      <w:pPr>
        <w:rPr>
          <w:b/>
          <w:sz w:val="30"/>
          <w:szCs w:val="30"/>
        </w:rPr>
      </w:pPr>
      <w:r>
        <w:rPr>
          <w:rFonts w:hint="eastAsia"/>
          <w:b/>
          <w:sz w:val="30"/>
          <w:szCs w:val="30"/>
        </w:rPr>
        <w:t>一、南宁市政府采购合同书</w:t>
      </w:r>
    </w:p>
    <w:p>
      <w:pPr>
        <w:rPr>
          <w:b/>
          <w:sz w:val="30"/>
          <w:szCs w:val="30"/>
        </w:rPr>
      </w:pPr>
      <w:r>
        <w:rPr>
          <w:rFonts w:hint="eastAsia"/>
          <w:b/>
          <w:sz w:val="30"/>
          <w:szCs w:val="30"/>
        </w:rPr>
        <w:t>二、合同附件</w:t>
      </w:r>
    </w:p>
    <w:p>
      <w:pPr>
        <w:spacing w:line="360" w:lineRule="auto"/>
        <w:ind w:firstLine="560" w:firstLineChars="200"/>
        <w:rPr>
          <w:rFonts w:ascii="宋体" w:hAnsi="宋体"/>
          <w:sz w:val="28"/>
          <w:szCs w:val="28"/>
        </w:rPr>
      </w:pPr>
      <w:r>
        <w:rPr>
          <w:rFonts w:hint="eastAsia" w:ascii="宋体" w:hAnsi="宋体"/>
          <w:sz w:val="28"/>
          <w:szCs w:val="28"/>
        </w:rPr>
        <w:t>1、中标通知书</w:t>
      </w:r>
    </w:p>
    <w:p>
      <w:pPr>
        <w:spacing w:line="360" w:lineRule="auto"/>
        <w:ind w:firstLine="560" w:firstLineChars="200"/>
        <w:rPr>
          <w:rFonts w:ascii="宋体" w:hAnsi="宋体"/>
          <w:sz w:val="28"/>
          <w:szCs w:val="28"/>
        </w:rPr>
      </w:pPr>
      <w:r>
        <w:rPr>
          <w:rFonts w:hint="eastAsia" w:ascii="宋体" w:hAnsi="宋体"/>
          <w:sz w:val="28"/>
          <w:szCs w:val="28"/>
        </w:rPr>
        <w:t>2、招标文件服务需求一览表</w:t>
      </w:r>
    </w:p>
    <w:p>
      <w:pPr>
        <w:spacing w:line="360" w:lineRule="auto"/>
        <w:ind w:firstLine="560" w:firstLineChars="200"/>
        <w:rPr>
          <w:rFonts w:ascii="宋体" w:hAnsi="宋体"/>
          <w:sz w:val="28"/>
          <w:szCs w:val="28"/>
        </w:rPr>
      </w:pPr>
      <w:r>
        <w:rPr>
          <w:rFonts w:hint="eastAsia" w:ascii="宋体" w:hAnsi="宋体"/>
          <w:sz w:val="28"/>
          <w:szCs w:val="28"/>
        </w:rPr>
        <w:t>3、招标文件的</w:t>
      </w:r>
      <w:r>
        <w:rPr>
          <w:rFonts w:hint="eastAsia" w:ascii="宋体" w:hAnsi="宋体"/>
          <w:sz w:val="28"/>
          <w:szCs w:val="20"/>
        </w:rPr>
        <w:t>更改通知（</w:t>
      </w:r>
      <w:r>
        <w:rPr>
          <w:rFonts w:ascii="宋体" w:hAnsi="Courier New"/>
          <w:sz w:val="28"/>
          <w:szCs w:val="28"/>
        </w:rPr>
        <w:t>如有请提</w:t>
      </w:r>
      <w:r>
        <w:rPr>
          <w:rFonts w:ascii="宋体" w:hAnsi="Courier New"/>
          <w:sz w:val="30"/>
          <w:szCs w:val="30"/>
        </w:rPr>
        <w:t>供</w:t>
      </w:r>
      <w:r>
        <w:rPr>
          <w:rFonts w:hint="eastAsia" w:ascii="宋体" w:hAnsi="宋体"/>
          <w:sz w:val="28"/>
          <w:szCs w:val="20"/>
        </w:rPr>
        <w:t>）</w:t>
      </w:r>
    </w:p>
    <w:p>
      <w:pPr>
        <w:ind w:firstLine="560" w:firstLineChars="200"/>
        <w:rPr>
          <w:rFonts w:ascii="宋体" w:hAnsi="宋体"/>
          <w:sz w:val="28"/>
          <w:szCs w:val="28"/>
        </w:rPr>
      </w:pPr>
      <w:r>
        <w:rPr>
          <w:sz w:val="28"/>
          <w:szCs w:val="28"/>
        </w:rPr>
        <w:t>4</w:t>
      </w:r>
      <w:r>
        <w:rPr>
          <w:rFonts w:hint="eastAsia"/>
          <w:sz w:val="28"/>
          <w:szCs w:val="28"/>
        </w:rPr>
        <w:t>、投标函</w:t>
      </w:r>
    </w:p>
    <w:p>
      <w:pPr>
        <w:spacing w:line="360" w:lineRule="auto"/>
        <w:ind w:firstLine="560" w:firstLineChars="200"/>
        <w:rPr>
          <w:rFonts w:ascii="宋体" w:hAnsi="宋体"/>
          <w:sz w:val="28"/>
          <w:szCs w:val="28"/>
        </w:rPr>
      </w:pPr>
      <w:r>
        <w:rPr>
          <w:rFonts w:hint="eastAsia" w:ascii="宋体" w:hAnsi="宋体"/>
          <w:sz w:val="28"/>
          <w:szCs w:val="28"/>
        </w:rPr>
        <w:t>5、投标报价表</w:t>
      </w:r>
    </w:p>
    <w:p>
      <w:pPr>
        <w:spacing w:line="360" w:lineRule="auto"/>
        <w:ind w:firstLine="560" w:firstLineChars="200"/>
        <w:rPr>
          <w:rFonts w:ascii="宋体" w:hAnsi="宋体"/>
          <w:sz w:val="28"/>
          <w:szCs w:val="28"/>
        </w:rPr>
      </w:pPr>
      <w:r>
        <w:rPr>
          <w:rFonts w:hint="eastAsia" w:ascii="宋体" w:hAnsi="宋体"/>
          <w:sz w:val="28"/>
          <w:szCs w:val="28"/>
        </w:rPr>
        <w:t>6、投标服务技术资料表</w:t>
      </w:r>
    </w:p>
    <w:p>
      <w:pPr>
        <w:spacing w:line="360" w:lineRule="auto"/>
        <w:ind w:firstLine="560" w:firstLineChars="200"/>
        <w:rPr>
          <w:rFonts w:ascii="宋体" w:hAnsi="宋体"/>
          <w:sz w:val="28"/>
          <w:szCs w:val="28"/>
        </w:rPr>
      </w:pPr>
      <w:r>
        <w:rPr>
          <w:rFonts w:hint="eastAsia" w:ascii="宋体" w:hAnsi="宋体"/>
          <w:sz w:val="28"/>
          <w:szCs w:val="28"/>
        </w:rPr>
        <w:t>7、商务条款偏离表</w:t>
      </w:r>
    </w:p>
    <w:p>
      <w:pPr>
        <w:spacing w:line="360" w:lineRule="auto"/>
        <w:ind w:firstLine="560" w:firstLineChars="200"/>
        <w:rPr>
          <w:rFonts w:ascii="宋体" w:hAnsi="宋体"/>
          <w:sz w:val="28"/>
          <w:szCs w:val="28"/>
        </w:rPr>
      </w:pPr>
      <w:r>
        <w:rPr>
          <w:rFonts w:hint="eastAsia" w:ascii="宋体" w:hAnsi="宋体"/>
          <w:sz w:val="28"/>
          <w:szCs w:val="28"/>
        </w:rPr>
        <w:t>8、中标供应商澄清函</w:t>
      </w:r>
      <w:r>
        <w:rPr>
          <w:rFonts w:ascii="宋体" w:hAnsi="Courier New"/>
          <w:sz w:val="28"/>
          <w:szCs w:val="28"/>
        </w:rPr>
        <w:t>（如有请提</w:t>
      </w:r>
      <w:r>
        <w:rPr>
          <w:rFonts w:ascii="宋体" w:hAnsi="Courier New"/>
          <w:sz w:val="30"/>
          <w:szCs w:val="30"/>
        </w:rPr>
        <w:t>供</w:t>
      </w:r>
      <w:r>
        <w:rPr>
          <w:rFonts w:ascii="宋体" w:hAnsi="Courier New"/>
          <w:sz w:val="28"/>
          <w:szCs w:val="28"/>
        </w:rPr>
        <w:t>）</w:t>
      </w:r>
    </w:p>
    <w:p>
      <w:pPr>
        <w:spacing w:line="360" w:lineRule="auto"/>
        <w:ind w:firstLine="560" w:firstLineChars="200"/>
        <w:rPr>
          <w:rFonts w:ascii="宋体" w:hAnsi="宋体"/>
          <w:sz w:val="28"/>
          <w:szCs w:val="28"/>
        </w:rPr>
      </w:pPr>
      <w:r>
        <w:rPr>
          <w:rFonts w:hint="eastAsia" w:ascii="宋体" w:hAnsi="宋体"/>
          <w:sz w:val="28"/>
          <w:szCs w:val="28"/>
        </w:rPr>
        <w:t>9、其他与本合同相关的资料</w:t>
      </w:r>
      <w:r>
        <w:rPr>
          <w:rFonts w:ascii="宋体" w:hAnsi="Courier New"/>
          <w:sz w:val="28"/>
          <w:szCs w:val="28"/>
        </w:rPr>
        <w:t>（如有请提</w:t>
      </w:r>
      <w:r>
        <w:rPr>
          <w:rFonts w:ascii="宋体" w:hAnsi="Courier New"/>
          <w:sz w:val="30"/>
          <w:szCs w:val="30"/>
        </w:rPr>
        <w:t>供</w:t>
      </w:r>
      <w:r>
        <w:rPr>
          <w:rFonts w:ascii="宋体" w:hAnsi="Courier New"/>
          <w:sz w:val="28"/>
          <w:szCs w:val="28"/>
        </w:rPr>
        <w:t>）</w:t>
      </w:r>
    </w:p>
    <w:p>
      <w:pPr>
        <w:rPr>
          <w:b/>
          <w:sz w:val="30"/>
          <w:szCs w:val="30"/>
        </w:rPr>
      </w:pPr>
    </w:p>
    <w:p>
      <w:pPr>
        <w:spacing w:line="360" w:lineRule="auto"/>
        <w:jc w:val="center"/>
        <w:rPr>
          <w:rFonts w:ascii="宋体" w:hAnsi="宋体"/>
          <w:b/>
          <w:bCs/>
          <w:sz w:val="28"/>
          <w:szCs w:val="24"/>
        </w:rPr>
      </w:pPr>
    </w:p>
    <w:p>
      <w:pPr>
        <w:spacing w:line="360" w:lineRule="auto"/>
        <w:jc w:val="center"/>
        <w:rPr>
          <w:rFonts w:ascii="宋体" w:hAnsi="宋体"/>
          <w:b/>
          <w:bCs/>
          <w:sz w:val="30"/>
          <w:szCs w:val="30"/>
        </w:rPr>
      </w:pPr>
      <w:r>
        <w:rPr>
          <w:rFonts w:hint="eastAsia" w:ascii="宋体" w:hAnsi="宋体"/>
          <w:bCs/>
          <w:sz w:val="28"/>
          <w:szCs w:val="24"/>
        </w:rPr>
        <w:br w:type="page"/>
      </w:r>
      <w:r>
        <w:rPr>
          <w:rFonts w:hint="eastAsia"/>
          <w:b/>
          <w:sz w:val="30"/>
          <w:szCs w:val="30"/>
        </w:rPr>
        <w:t>南宁市政府采购合同书</w:t>
      </w:r>
    </w:p>
    <w:p>
      <w:pPr>
        <w:spacing w:line="360" w:lineRule="auto"/>
        <w:rPr>
          <w:rFonts w:ascii="宋体" w:hAnsi="宋体"/>
          <w:szCs w:val="20"/>
        </w:rPr>
      </w:pPr>
    </w:p>
    <w:p>
      <w:pPr>
        <w:spacing w:line="360" w:lineRule="auto"/>
        <w:rPr>
          <w:rFonts w:ascii="宋体" w:hAnsi="宋体"/>
        </w:rPr>
      </w:pPr>
      <w:r>
        <w:rPr>
          <w:rFonts w:hint="eastAsia" w:ascii="宋体" w:hAnsi="宋体"/>
        </w:rPr>
        <w:t>项目名称：</w:t>
      </w:r>
      <w:r>
        <w:rPr>
          <w:rFonts w:hint="eastAsia" w:ascii="宋体" w:hAnsi="宋体"/>
          <w:u w:val="single"/>
        </w:rPr>
        <w:t xml:space="preserve">                                        </w:t>
      </w:r>
    </w:p>
    <w:p>
      <w:pPr>
        <w:spacing w:line="360" w:lineRule="auto"/>
        <w:rPr>
          <w:rFonts w:ascii="宋体" w:hAnsi="宋体"/>
        </w:rPr>
      </w:pPr>
      <w:r>
        <w:rPr>
          <w:rFonts w:hint="eastAsia" w:ascii="宋体" w:hAnsi="宋体"/>
        </w:rPr>
        <w:t>项目编号：</w:t>
      </w:r>
      <w:r>
        <w:rPr>
          <w:rFonts w:hint="eastAsia" w:ascii="宋体" w:hAnsi="宋体"/>
          <w:u w:val="single"/>
        </w:rPr>
        <w:t xml:space="preserve">                                        </w:t>
      </w:r>
    </w:p>
    <w:p>
      <w:pPr>
        <w:spacing w:line="360" w:lineRule="auto"/>
        <w:rPr>
          <w:rFonts w:ascii="宋体" w:hAnsi="宋体"/>
        </w:rPr>
      </w:pPr>
      <w:r>
        <w:rPr>
          <w:rFonts w:hint="eastAsia" w:ascii="宋体" w:hAnsi="宋体"/>
        </w:rPr>
        <w:t>分标号（有分标时填写）：</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rPr>
      </w:pPr>
      <w:r>
        <w:rPr>
          <w:rFonts w:hint="eastAsia" w:ascii="宋体" w:hAnsi="宋体"/>
        </w:rPr>
        <w:t>甲方（买方）：</w:t>
      </w:r>
      <w:r>
        <w:rPr>
          <w:rFonts w:hint="eastAsia" w:ascii="宋体" w:hAnsi="宋体"/>
          <w:u w:val="single"/>
        </w:rPr>
        <w:t xml:space="preserve">                                     </w:t>
      </w:r>
    </w:p>
    <w:p>
      <w:pPr>
        <w:spacing w:line="360" w:lineRule="auto"/>
        <w:rPr>
          <w:rFonts w:ascii="宋体" w:hAnsi="宋体"/>
        </w:rPr>
      </w:pPr>
      <w:r>
        <w:rPr>
          <w:rFonts w:hint="eastAsia" w:ascii="宋体" w:hAnsi="宋体"/>
        </w:rPr>
        <w:t>乙方（卖方）：</w:t>
      </w:r>
      <w:r>
        <w:rPr>
          <w:rFonts w:hint="eastAsia" w:ascii="宋体" w:hAnsi="宋体"/>
          <w:u w:val="single"/>
        </w:rPr>
        <w:t xml:space="preserve">                                     </w:t>
      </w:r>
    </w:p>
    <w:p>
      <w:pPr>
        <w:spacing w:line="360" w:lineRule="auto"/>
        <w:rPr>
          <w:rFonts w:ascii="宋体" w:hAnsi="宋体"/>
          <w:b/>
        </w:rPr>
      </w:pPr>
      <w:r>
        <w:rPr>
          <w:rFonts w:hint="eastAsia" w:ascii="宋体" w:hAnsi="宋体"/>
          <w:b/>
        </w:rPr>
        <w:t xml:space="preserve">    </w:t>
      </w:r>
    </w:p>
    <w:p>
      <w:pPr>
        <w:spacing w:line="360" w:lineRule="auto"/>
        <w:ind w:firstLine="420" w:firstLineChars="200"/>
        <w:rPr>
          <w:rFonts w:ascii="宋体" w:hAnsi="宋体"/>
          <w:b/>
        </w:rPr>
      </w:pPr>
      <w:r>
        <w:rPr>
          <w:rFonts w:hint="eastAsia" w:ascii="宋体" w:hAnsi="宋体"/>
        </w:rPr>
        <w:t>根据</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日南宁市政府采购项目的采购结果，甲方接受乙方对本项目的投标，甲、乙双方同意签署本合同（以下简称合同）。</w:t>
      </w:r>
    </w:p>
    <w:p>
      <w:pPr>
        <w:spacing w:line="360" w:lineRule="auto"/>
        <w:rPr>
          <w:rFonts w:ascii="宋体" w:hAnsi="宋体"/>
          <w:b/>
        </w:rPr>
      </w:pPr>
    </w:p>
    <w:p>
      <w:pPr>
        <w:spacing w:line="360" w:lineRule="auto"/>
        <w:rPr>
          <w:rFonts w:ascii="宋体" w:hAnsi="宋体"/>
          <w:b/>
          <w:bCs/>
        </w:rPr>
      </w:pPr>
      <w:r>
        <w:rPr>
          <w:rFonts w:hint="eastAsia" w:ascii="宋体" w:hAnsi="宋体"/>
          <w:b/>
          <w:bCs/>
        </w:rPr>
        <w:t>1.  采购内容</w:t>
      </w:r>
    </w:p>
    <w:p>
      <w:pPr>
        <w:tabs>
          <w:tab w:val="left" w:pos="5220"/>
        </w:tabs>
        <w:spacing w:line="360" w:lineRule="auto"/>
        <w:ind w:firstLine="420" w:firstLineChars="200"/>
        <w:rPr>
          <w:rFonts w:ascii="宋体" w:hAnsi="宋体"/>
          <w:u w:val="single"/>
        </w:rPr>
      </w:pPr>
      <w:r>
        <w:rPr>
          <w:rFonts w:hint="eastAsia" w:ascii="宋体" w:hAnsi="宋体"/>
        </w:rPr>
        <w:t>1.1 服务名称：</w:t>
      </w:r>
      <w:r>
        <w:rPr>
          <w:rFonts w:hint="eastAsia" w:ascii="宋体" w:hAnsi="宋体"/>
          <w:u w:val="single"/>
        </w:rPr>
        <w:t>详见合同附件中投标报价表</w:t>
      </w:r>
    </w:p>
    <w:p>
      <w:pPr>
        <w:tabs>
          <w:tab w:val="left" w:pos="5220"/>
        </w:tabs>
        <w:spacing w:line="360" w:lineRule="auto"/>
        <w:ind w:firstLine="420" w:firstLineChars="200"/>
        <w:rPr>
          <w:rFonts w:ascii="宋体" w:hAnsi="宋体"/>
        </w:rPr>
      </w:pPr>
      <w:r>
        <w:rPr>
          <w:rFonts w:hint="eastAsia" w:ascii="宋体" w:hAnsi="宋体"/>
        </w:rPr>
        <w:t>1.2 数量：</w:t>
      </w:r>
      <w:r>
        <w:rPr>
          <w:rFonts w:hint="eastAsia" w:ascii="宋体" w:hAnsi="宋体"/>
          <w:u w:val="single"/>
        </w:rPr>
        <w:t>详见合同附件中投标报价表</w:t>
      </w:r>
    </w:p>
    <w:p>
      <w:pPr>
        <w:tabs>
          <w:tab w:val="left" w:pos="5220"/>
        </w:tabs>
        <w:spacing w:line="360" w:lineRule="auto"/>
        <w:ind w:firstLine="420" w:firstLineChars="200"/>
        <w:rPr>
          <w:rFonts w:ascii="宋体" w:hAnsi="宋体"/>
        </w:rPr>
      </w:pPr>
      <w:r>
        <w:rPr>
          <w:rFonts w:hint="eastAsia" w:ascii="宋体" w:hAnsi="宋体"/>
        </w:rPr>
        <w:t>1.2 技术参数：</w:t>
      </w:r>
      <w:r>
        <w:rPr>
          <w:rFonts w:hint="eastAsia" w:ascii="宋体" w:hAnsi="宋体"/>
          <w:u w:val="single"/>
        </w:rPr>
        <w:t>详见合同附件中投标服务技术资料表</w:t>
      </w:r>
    </w:p>
    <w:p>
      <w:pPr>
        <w:tabs>
          <w:tab w:val="left" w:pos="5145"/>
        </w:tabs>
        <w:spacing w:line="360" w:lineRule="auto"/>
        <w:rPr>
          <w:rFonts w:ascii="宋体" w:hAnsi="宋体"/>
          <w:b/>
          <w:bCs/>
        </w:rPr>
      </w:pPr>
      <w:r>
        <w:rPr>
          <w:rFonts w:hint="eastAsia" w:ascii="宋体" w:hAnsi="宋体"/>
          <w:b/>
          <w:bCs/>
        </w:rPr>
        <w:t>2.  合同金额</w:t>
      </w:r>
    </w:p>
    <w:p>
      <w:pPr>
        <w:spacing w:line="360" w:lineRule="auto"/>
        <w:ind w:firstLine="411" w:firstLineChars="196"/>
        <w:rPr>
          <w:rFonts w:ascii="宋体" w:hAnsi="宋体"/>
          <w:b/>
          <w:bCs/>
        </w:rPr>
      </w:pPr>
      <w:r>
        <w:rPr>
          <w:rFonts w:hint="eastAsia" w:ascii="宋体" w:hAnsi="宋体"/>
        </w:rPr>
        <w:t>2.1 本合同金额为（大写）人民币</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元）。（详见投标报价表）</w:t>
      </w:r>
    </w:p>
    <w:p>
      <w:pPr>
        <w:tabs>
          <w:tab w:val="left" w:pos="5940"/>
        </w:tabs>
        <w:spacing w:line="360" w:lineRule="auto"/>
        <w:rPr>
          <w:rFonts w:ascii="宋体" w:hAnsi="宋体"/>
          <w:b/>
          <w:bCs/>
        </w:rPr>
      </w:pPr>
      <w:r>
        <w:rPr>
          <w:rFonts w:hint="eastAsia" w:ascii="宋体" w:hAnsi="宋体"/>
          <w:b/>
          <w:bCs/>
        </w:rPr>
        <w:t>3.  提交服务成果时间和地点</w:t>
      </w:r>
    </w:p>
    <w:p>
      <w:pPr>
        <w:tabs>
          <w:tab w:val="left" w:pos="5250"/>
          <w:tab w:val="left" w:pos="5940"/>
        </w:tabs>
        <w:spacing w:line="360" w:lineRule="auto"/>
        <w:ind w:firstLine="411" w:firstLineChars="196"/>
        <w:rPr>
          <w:rFonts w:ascii="宋体" w:hAnsi="宋体"/>
          <w:b/>
          <w:bCs/>
        </w:rPr>
      </w:pPr>
      <w:r>
        <w:rPr>
          <w:rFonts w:hint="eastAsia" w:ascii="宋体" w:hAnsi="宋体"/>
          <w:bCs/>
        </w:rPr>
        <w:t>3.1 提交服务时间：</w:t>
      </w:r>
      <w:r>
        <w:rPr>
          <w:rFonts w:hint="eastAsia" w:ascii="宋体" w:hAnsi="宋体"/>
          <w:u w:val="single"/>
        </w:rPr>
        <w:t xml:space="preserve">                        </w:t>
      </w:r>
    </w:p>
    <w:p>
      <w:pPr>
        <w:tabs>
          <w:tab w:val="left" w:pos="5940"/>
        </w:tabs>
        <w:spacing w:line="360" w:lineRule="auto"/>
        <w:ind w:firstLine="411" w:firstLineChars="196"/>
        <w:rPr>
          <w:rFonts w:ascii="宋体" w:hAnsi="宋体"/>
          <w:b/>
          <w:bCs/>
        </w:rPr>
      </w:pPr>
      <w:r>
        <w:rPr>
          <w:rFonts w:hint="eastAsia" w:ascii="宋体" w:hAnsi="宋体"/>
          <w:bCs/>
        </w:rPr>
        <w:t>3.2 提交服务地点：</w:t>
      </w:r>
      <w:r>
        <w:rPr>
          <w:rFonts w:hint="eastAsia" w:ascii="宋体" w:hAnsi="宋体"/>
          <w:u w:val="single"/>
        </w:rPr>
        <w:t xml:space="preserve">                        </w:t>
      </w:r>
    </w:p>
    <w:p>
      <w:pPr>
        <w:tabs>
          <w:tab w:val="left" w:pos="5940"/>
        </w:tabs>
        <w:spacing w:line="360" w:lineRule="auto"/>
        <w:ind w:firstLine="411" w:firstLineChars="196"/>
        <w:rPr>
          <w:rFonts w:ascii="宋体" w:hAnsi="宋体"/>
          <w:b/>
          <w:bCs/>
        </w:rPr>
      </w:pPr>
      <w:r>
        <w:rPr>
          <w:rFonts w:hint="eastAsia" w:ascii="宋体" w:hAnsi="宋体"/>
          <w:bCs/>
        </w:rPr>
        <w:t xml:space="preserve">3.3 </w:t>
      </w:r>
      <w:r>
        <w:rPr>
          <w:rFonts w:hint="eastAsia" w:ascii="宋体" w:hAnsi="宋体"/>
        </w:rPr>
        <w:t>乙方必须按投标文件承诺的服务响应条款向甲方提供服务。</w:t>
      </w:r>
    </w:p>
    <w:p>
      <w:pPr>
        <w:spacing w:line="360" w:lineRule="auto"/>
        <w:ind w:left="358" w:hanging="358" w:hangingChars="170"/>
        <w:rPr>
          <w:rFonts w:ascii="宋体" w:hAnsi="宋体"/>
          <w:b/>
        </w:rPr>
      </w:pPr>
      <w:r>
        <w:rPr>
          <w:rFonts w:hint="eastAsia" w:ascii="宋体" w:hAnsi="宋体"/>
          <w:b/>
          <w:bCs/>
        </w:rPr>
        <w:t>4.  履约保证金</w:t>
      </w:r>
    </w:p>
    <w:p>
      <w:pPr>
        <w:tabs>
          <w:tab w:val="left" w:pos="5145"/>
        </w:tabs>
        <w:spacing w:line="360" w:lineRule="auto"/>
        <w:ind w:firstLine="420" w:firstLineChars="200"/>
        <w:rPr>
          <w:rFonts w:ascii="宋体" w:hAnsi="宋体"/>
          <w:b/>
        </w:rPr>
      </w:pPr>
      <w:r>
        <w:rPr>
          <w:rFonts w:hint="eastAsia" w:ascii="宋体" w:hAnsi="宋体"/>
        </w:rPr>
        <w:t>4.1 乙方交纳（大写）人民币</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元）作为本合同的履约保证金。</w:t>
      </w:r>
    </w:p>
    <w:p>
      <w:pPr>
        <w:spacing w:line="360" w:lineRule="auto"/>
        <w:ind w:firstLine="420" w:firstLineChars="200"/>
        <w:rPr>
          <w:rFonts w:ascii="宋体" w:hAnsi="宋体"/>
        </w:rPr>
      </w:pPr>
      <w:r>
        <w:rPr>
          <w:rFonts w:hint="eastAsia" w:ascii="宋体" w:hAnsi="宋体"/>
        </w:rPr>
        <w:t>4.2 履约保证金作为违约金的一部分用于补偿甲方因乙方不能完成其合同义务而蒙受的损失。</w:t>
      </w:r>
    </w:p>
    <w:p>
      <w:pPr>
        <w:spacing w:line="360" w:lineRule="auto"/>
        <w:ind w:left="360" w:hanging="361" w:hangingChars="171"/>
        <w:rPr>
          <w:rFonts w:ascii="宋体" w:hAnsi="宋体"/>
          <w:b/>
        </w:rPr>
      </w:pPr>
      <w:r>
        <w:rPr>
          <w:rFonts w:hint="eastAsia" w:ascii="宋体" w:hAnsi="宋体"/>
          <w:b/>
          <w:bCs/>
        </w:rPr>
        <w:t>5.  产权</w:t>
      </w:r>
    </w:p>
    <w:p>
      <w:pPr>
        <w:spacing w:line="360" w:lineRule="auto"/>
        <w:ind w:firstLine="420" w:firstLineChars="200"/>
        <w:rPr>
          <w:rFonts w:ascii="宋体" w:hAnsi="宋体"/>
          <w:b/>
        </w:rPr>
      </w:pPr>
      <w:r>
        <w:rPr>
          <w:rFonts w:hint="eastAsia" w:ascii="宋体" w:hAnsi="宋体"/>
        </w:rPr>
        <w:t>5.1 乙方应保证所提供的服务或其任何一部分均不会侵犯任何第三方的专利权、商标权或著作权</w:t>
      </w:r>
      <w:r>
        <w:rPr>
          <w:rFonts w:hint="eastAsia" w:ascii="宋体" w:hAnsi="宋体"/>
          <w:bCs/>
        </w:rPr>
        <w:t>。</w:t>
      </w:r>
    </w:p>
    <w:p>
      <w:pPr>
        <w:spacing w:line="360" w:lineRule="auto"/>
        <w:ind w:firstLine="420" w:firstLineChars="200"/>
        <w:rPr>
          <w:rFonts w:ascii="宋体" w:hAnsi="宋体"/>
          <w:b/>
        </w:rPr>
      </w:pPr>
      <w:r>
        <w:rPr>
          <w:rFonts w:hint="eastAsia" w:ascii="宋体" w:hAnsi="宋体"/>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spacing w:line="360" w:lineRule="auto"/>
        <w:rPr>
          <w:rFonts w:ascii="宋体" w:hAnsi="宋体"/>
          <w:b/>
        </w:rPr>
      </w:pPr>
      <w:r>
        <w:rPr>
          <w:rFonts w:hint="eastAsia" w:ascii="宋体" w:hAnsi="宋体"/>
          <w:b/>
          <w:bCs/>
        </w:rPr>
        <w:t>6.  技术资料</w:t>
      </w:r>
    </w:p>
    <w:p>
      <w:pPr>
        <w:tabs>
          <w:tab w:val="left" w:pos="0"/>
        </w:tabs>
        <w:spacing w:line="360" w:lineRule="auto"/>
        <w:ind w:firstLine="420" w:firstLineChars="200"/>
        <w:rPr>
          <w:rFonts w:ascii="宋体" w:hAnsi="宋体"/>
        </w:rPr>
      </w:pPr>
      <w:r>
        <w:rPr>
          <w:rFonts w:hint="eastAsia" w:ascii="宋体" w:hAnsi="宋体"/>
        </w:rPr>
        <w:t>6.1 甲方应向乙方提供提交服务成果所必需的有关数据、资料等。</w:t>
      </w:r>
    </w:p>
    <w:p>
      <w:pPr>
        <w:tabs>
          <w:tab w:val="left" w:pos="0"/>
        </w:tabs>
        <w:spacing w:line="360" w:lineRule="auto"/>
        <w:ind w:firstLine="420" w:firstLineChars="200"/>
        <w:rPr>
          <w:rFonts w:ascii="宋体" w:hAnsi="宋体"/>
        </w:rPr>
      </w:pPr>
      <w:r>
        <w:rPr>
          <w:rFonts w:hint="eastAsia" w:ascii="宋体" w:hAnsi="宋体"/>
        </w:rPr>
        <w:t>6.2乙方应承担保密义务，未经甲方书面许可，乙方不得向第三方提供（披露）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pPr>
        <w:tabs>
          <w:tab w:val="left" w:pos="0"/>
        </w:tabs>
        <w:spacing w:line="360" w:lineRule="auto"/>
        <w:ind w:firstLine="420" w:firstLineChars="200"/>
        <w:rPr>
          <w:rFonts w:ascii="宋体" w:hAnsi="宋体"/>
        </w:rPr>
      </w:pPr>
      <w:r>
        <w:rPr>
          <w:rFonts w:hint="eastAsia" w:ascii="宋体" w:hAnsi="宋体"/>
        </w:rPr>
        <w:t>6.3乙方应在交付服务成果时向甲方提供技术资料，包括但不限于：源代码、技术咨询文档、技术设计文档、技术说明书、使用说明书、维护说明书或其它资料。甲方有权利向乙方追讨与此次服务相关的材料。</w:t>
      </w:r>
    </w:p>
    <w:p>
      <w:pPr>
        <w:spacing w:line="360" w:lineRule="auto"/>
        <w:rPr>
          <w:rFonts w:ascii="宋体" w:hAnsi="宋体"/>
          <w:b/>
          <w:bCs/>
        </w:rPr>
      </w:pPr>
      <w:r>
        <w:rPr>
          <w:rFonts w:hint="eastAsia" w:ascii="宋体" w:hAnsi="宋体"/>
          <w:b/>
          <w:bCs/>
        </w:rPr>
        <w:t>7.  验收</w:t>
      </w:r>
    </w:p>
    <w:p>
      <w:pPr>
        <w:tabs>
          <w:tab w:val="left" w:pos="0"/>
        </w:tabs>
        <w:spacing w:line="360" w:lineRule="auto"/>
        <w:ind w:firstLine="420" w:firstLineChars="200"/>
        <w:rPr>
          <w:rFonts w:ascii="宋体" w:hAnsi="宋体"/>
        </w:rPr>
      </w:pPr>
      <w:r>
        <w:rPr>
          <w:rFonts w:hint="eastAsia" w:ascii="宋体" w:hAnsi="宋体"/>
        </w:rPr>
        <w:t>7.1 乙方应对提交的服务成果作出全面检查和整理，并列出清单，作为甲方验收和使用的技术条件依据，清单应随提交的服务成果交给甲方。</w:t>
      </w:r>
    </w:p>
    <w:p>
      <w:pPr>
        <w:tabs>
          <w:tab w:val="left" w:pos="0"/>
        </w:tabs>
        <w:spacing w:line="360" w:lineRule="auto"/>
        <w:ind w:firstLine="420" w:firstLineChars="200"/>
        <w:rPr>
          <w:rFonts w:ascii="宋体" w:hAnsi="宋体"/>
        </w:rPr>
      </w:pPr>
      <w:r>
        <w:rPr>
          <w:rFonts w:hint="eastAsia" w:ascii="宋体" w:hAnsi="宋体"/>
        </w:rPr>
        <w:t>7.2 乙方在指定地点提交服务成果后，甲方应在五个工作日内依据招标文件、乙方的投标文件等组织验收，验收完毕后作出书面验收报告。验收时乙方必须在现场。</w:t>
      </w:r>
    </w:p>
    <w:p>
      <w:pPr>
        <w:tabs>
          <w:tab w:val="left" w:pos="0"/>
        </w:tabs>
        <w:spacing w:line="360" w:lineRule="auto"/>
        <w:ind w:firstLine="420" w:firstLineChars="200"/>
        <w:rPr>
          <w:rFonts w:ascii="宋体" w:hAnsi="宋体"/>
        </w:rPr>
      </w:pPr>
      <w:r>
        <w:rPr>
          <w:rFonts w:hint="eastAsia" w:ascii="宋体" w:hAnsi="宋体"/>
        </w:rPr>
        <w:t>7.3 对复杂的服务，甲方可请国家认可的专业机构参与验收，并由其出具验收报告，相关费用由甲方承担。</w:t>
      </w:r>
    </w:p>
    <w:p>
      <w:pPr>
        <w:spacing w:line="360" w:lineRule="auto"/>
        <w:rPr>
          <w:rFonts w:ascii="宋体" w:hAnsi="宋体"/>
          <w:b/>
          <w:bCs/>
        </w:rPr>
      </w:pPr>
      <w:r>
        <w:rPr>
          <w:rFonts w:hint="eastAsia" w:ascii="宋体" w:hAnsi="宋体"/>
          <w:b/>
          <w:bCs/>
        </w:rPr>
        <w:t>8.  合同款支付</w:t>
      </w:r>
    </w:p>
    <w:p>
      <w:pPr>
        <w:tabs>
          <w:tab w:val="left" w:pos="5145"/>
          <w:tab w:val="left" w:pos="5355"/>
          <w:tab w:val="left" w:pos="6195"/>
        </w:tabs>
        <w:spacing w:line="360" w:lineRule="auto"/>
        <w:ind w:firstLine="420" w:firstLineChars="200"/>
        <w:rPr>
          <w:rFonts w:ascii="宋体" w:hAnsi="宋体"/>
          <w:bCs/>
          <w:u w:val="single"/>
        </w:rPr>
      </w:pPr>
      <w:r>
        <w:rPr>
          <w:rFonts w:hint="eastAsia" w:ascii="宋体" w:hAnsi="宋体"/>
          <w:bCs/>
        </w:rPr>
        <w:t>8.1 付款方式：</w:t>
      </w:r>
      <w:r>
        <w:rPr>
          <w:rFonts w:hint="eastAsia" w:ascii="宋体" w:hAnsi="宋体"/>
          <w:bCs/>
          <w:u w:val="single"/>
        </w:rPr>
        <w:t>由采购人按照财政支付程序支付给中标人，支付前由中标人开具增值税普通发票给采购人</w:t>
      </w:r>
      <w:r>
        <w:rPr>
          <w:rFonts w:hint="eastAsia" w:ascii="宋体" w:hAnsi="宋体"/>
          <w:bCs/>
        </w:rPr>
        <w:t>。</w:t>
      </w:r>
    </w:p>
    <w:p>
      <w:pPr>
        <w:tabs>
          <w:tab w:val="left" w:pos="5145"/>
          <w:tab w:val="left" w:pos="5355"/>
          <w:tab w:val="left" w:pos="6195"/>
        </w:tabs>
        <w:spacing w:line="360" w:lineRule="auto"/>
        <w:ind w:firstLine="420" w:firstLineChars="200"/>
        <w:rPr>
          <w:rFonts w:ascii="宋体" w:hAnsi="宋体"/>
          <w:bCs/>
          <w:u w:val="single"/>
        </w:rPr>
      </w:pPr>
      <w:r>
        <w:rPr>
          <w:rFonts w:hint="eastAsia" w:ascii="宋体" w:hAnsi="宋体"/>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tabs>
          <w:tab w:val="left" w:pos="5145"/>
          <w:tab w:val="left" w:pos="5355"/>
          <w:tab w:val="left" w:pos="6195"/>
        </w:tabs>
        <w:spacing w:line="360" w:lineRule="auto"/>
        <w:ind w:firstLine="420" w:firstLineChars="200"/>
        <w:rPr>
          <w:rFonts w:ascii="宋体" w:hAnsi="宋体"/>
          <w:bCs/>
          <w:u w:val="single"/>
        </w:rPr>
      </w:pPr>
      <w:r>
        <w:rPr>
          <w:rFonts w:hint="eastAsia" w:ascii="宋体" w:hAnsi="宋体"/>
        </w:rPr>
        <w:t>8.3 政府采购监督管理部门在处理投诉事项期间，可以视具体情况书面通知采购人暂停采购活动</w:t>
      </w:r>
      <w:r>
        <w:rPr>
          <w:rFonts w:hint="eastAsia" w:ascii="宋体" w:hAnsi="宋体"/>
          <w:bCs/>
        </w:rPr>
        <w:t>，并延期支付合同款。</w:t>
      </w:r>
    </w:p>
    <w:p>
      <w:pPr>
        <w:spacing w:line="360" w:lineRule="auto"/>
        <w:rPr>
          <w:rFonts w:ascii="宋体" w:hAnsi="宋体"/>
          <w:b/>
          <w:bCs/>
        </w:rPr>
      </w:pPr>
      <w:r>
        <w:rPr>
          <w:rFonts w:hint="eastAsia" w:ascii="宋体" w:hAnsi="宋体"/>
          <w:b/>
          <w:bCs/>
        </w:rPr>
        <w:t>9.  售后服务要求</w:t>
      </w:r>
    </w:p>
    <w:p>
      <w:pPr>
        <w:spacing w:line="360" w:lineRule="auto"/>
        <w:ind w:firstLine="420" w:firstLineChars="200"/>
        <w:rPr>
          <w:rFonts w:ascii="宋体" w:hAnsi="宋体"/>
        </w:rPr>
      </w:pPr>
      <w:r>
        <w:rPr>
          <w:rFonts w:hint="eastAsia" w:ascii="宋体" w:hAnsi="宋体"/>
        </w:rPr>
        <w:t>9.1 乙方提供服务的质量保证期为：</w:t>
      </w:r>
      <w:r>
        <w:rPr>
          <w:rFonts w:hint="eastAsia" w:ascii="宋体" w:hAnsi="宋体"/>
          <w:u w:val="single"/>
        </w:rPr>
        <w:t xml:space="preserve">　　　　　　   </w:t>
      </w:r>
      <w:r>
        <w:rPr>
          <w:rFonts w:hint="eastAsia" w:ascii="宋体" w:hAnsi="宋体"/>
        </w:rPr>
        <w:t>（自提交服务验收合格之日起计）</w:t>
      </w:r>
    </w:p>
    <w:p>
      <w:pPr>
        <w:spacing w:line="360" w:lineRule="auto"/>
        <w:ind w:firstLine="420" w:firstLineChars="200"/>
        <w:rPr>
          <w:rFonts w:ascii="宋体" w:hAnsi="宋体"/>
        </w:rPr>
      </w:pPr>
      <w:r>
        <w:rPr>
          <w:rFonts w:hint="eastAsia" w:ascii="宋体" w:hAnsi="宋体"/>
        </w:rPr>
        <w:t>9.2 质量保证金为（大写）人民币</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元）。（履约保证金在中标供应商按合同约定所提交的服务验收合格后自行转为质保金。）</w:t>
      </w:r>
    </w:p>
    <w:p>
      <w:pPr>
        <w:spacing w:line="360" w:lineRule="auto"/>
        <w:ind w:firstLine="420" w:firstLineChars="200"/>
        <w:rPr>
          <w:rFonts w:ascii="宋体" w:hAnsi="宋体"/>
        </w:rPr>
      </w:pPr>
      <w:r>
        <w:rPr>
          <w:rFonts w:hint="eastAsia" w:ascii="宋体" w:hAnsi="宋体"/>
        </w:rPr>
        <w:t>9.3 在本合同第9.1项约定的质量保证期内，乙方提供的服务符合合同约定的，待质保期满后由甲方（向采购代理机构申请）将质量保证金无息退还给乙方。</w:t>
      </w:r>
    </w:p>
    <w:p>
      <w:pPr>
        <w:spacing w:line="360" w:lineRule="auto"/>
        <w:ind w:firstLine="420" w:firstLineChars="200"/>
        <w:rPr>
          <w:rFonts w:ascii="宋体" w:hAnsi="宋体"/>
        </w:rPr>
      </w:pPr>
      <w:r>
        <w:rPr>
          <w:rFonts w:hint="eastAsia" w:ascii="宋体" w:hAnsi="宋体"/>
        </w:rPr>
        <w:t>9.4 在本合同第9.1项约定的质量保证期内，乙方应对服务出现的问题负责处理解决并承担一切费用。</w:t>
      </w:r>
    </w:p>
    <w:p>
      <w:pPr>
        <w:tabs>
          <w:tab w:val="left" w:pos="5250"/>
        </w:tabs>
        <w:spacing w:line="360" w:lineRule="auto"/>
        <w:ind w:firstLine="420" w:firstLineChars="200"/>
        <w:rPr>
          <w:rFonts w:ascii="宋体" w:hAnsi="宋体"/>
          <w:u w:val="single"/>
        </w:rPr>
      </w:pPr>
      <w:r>
        <w:rPr>
          <w:rFonts w:hint="eastAsia" w:ascii="宋体" w:hAnsi="宋体"/>
        </w:rPr>
        <w:t>9.5 其他售后服务要求：</w:t>
      </w:r>
      <w:r>
        <w:rPr>
          <w:rFonts w:hint="eastAsia" w:ascii="宋体" w:hAnsi="宋体"/>
          <w:u w:val="single"/>
        </w:rPr>
        <w:t>按投标文件商务条款偏离表内容执行。</w:t>
      </w:r>
    </w:p>
    <w:p>
      <w:pPr>
        <w:spacing w:line="360" w:lineRule="auto"/>
        <w:rPr>
          <w:rFonts w:ascii="宋体" w:hAnsi="宋体"/>
          <w:b/>
          <w:bCs/>
        </w:rPr>
      </w:pPr>
      <w:r>
        <w:rPr>
          <w:rFonts w:hint="eastAsia" w:ascii="宋体" w:hAnsi="宋体"/>
          <w:b/>
          <w:bCs/>
        </w:rPr>
        <w:t>10.  违约责任</w:t>
      </w:r>
    </w:p>
    <w:p>
      <w:pPr>
        <w:spacing w:line="360" w:lineRule="auto"/>
        <w:ind w:firstLine="420" w:firstLineChars="200"/>
        <w:rPr>
          <w:rFonts w:ascii="宋体" w:hAnsi="宋体"/>
        </w:rPr>
      </w:pPr>
      <w:r>
        <w:rPr>
          <w:rFonts w:hint="eastAsia" w:ascii="宋体" w:hAnsi="宋体"/>
        </w:rPr>
        <w:t>10.1 甲方无正当理由拒收服务的，甲方向乙方偿付拒收服务费总值的百分之五违约金。</w:t>
      </w:r>
    </w:p>
    <w:p>
      <w:pPr>
        <w:spacing w:line="360" w:lineRule="auto"/>
        <w:ind w:firstLine="420" w:firstLineChars="200"/>
        <w:rPr>
          <w:rFonts w:ascii="宋体" w:hAnsi="宋体"/>
        </w:rPr>
      </w:pPr>
      <w:r>
        <w:rPr>
          <w:rFonts w:hint="eastAsia" w:ascii="宋体" w:hAnsi="宋体"/>
        </w:rPr>
        <w:t>10.2 甲方无故逾期验收或办理合同款支付手续的，甲方应按逾期付款总额每日万分之五向乙方支付违约金。</w:t>
      </w:r>
    </w:p>
    <w:p>
      <w:pPr>
        <w:spacing w:line="360" w:lineRule="auto"/>
        <w:ind w:firstLine="420" w:firstLineChars="200"/>
        <w:rPr>
          <w:rFonts w:ascii="宋体" w:hAnsi="宋体"/>
        </w:rPr>
      </w:pPr>
      <w:r>
        <w:rPr>
          <w:rFonts w:hint="eastAsia" w:ascii="宋体" w:hAnsi="宋体"/>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spacing w:line="360" w:lineRule="auto"/>
        <w:rPr>
          <w:rFonts w:ascii="宋体" w:hAnsi="宋体"/>
          <w:b/>
          <w:bCs/>
        </w:rPr>
      </w:pPr>
      <w:r>
        <w:rPr>
          <w:rFonts w:hint="eastAsia" w:ascii="宋体" w:hAnsi="宋体"/>
          <w:b/>
          <w:bCs/>
        </w:rPr>
        <w:t>11.  不可抗力事件处理</w:t>
      </w:r>
    </w:p>
    <w:p>
      <w:pPr>
        <w:spacing w:line="360" w:lineRule="auto"/>
        <w:ind w:firstLine="420" w:firstLineChars="200"/>
        <w:rPr>
          <w:rFonts w:ascii="宋体" w:hAnsi="宋体"/>
        </w:rPr>
      </w:pPr>
      <w:r>
        <w:rPr>
          <w:rFonts w:hint="eastAsia" w:ascii="宋体" w:hAnsi="宋体"/>
        </w:rPr>
        <w:t>11.1 在合同有效期内，任何一方因不可抗力事件导致不能履行合同，则合同履行期可延长，其延长期与不可抗力影响期相同。</w:t>
      </w:r>
    </w:p>
    <w:p>
      <w:pPr>
        <w:spacing w:line="360" w:lineRule="auto"/>
        <w:ind w:firstLine="420" w:firstLineChars="200"/>
        <w:rPr>
          <w:rFonts w:ascii="宋体" w:hAnsi="宋体"/>
        </w:rPr>
      </w:pPr>
      <w:r>
        <w:rPr>
          <w:rFonts w:hint="eastAsia" w:ascii="宋体" w:hAnsi="宋体"/>
        </w:rPr>
        <w:t>11.2 不可抗力事件发生后，应立即通知对方，并寄送有关权威机构出具的证明。</w:t>
      </w:r>
    </w:p>
    <w:p>
      <w:pPr>
        <w:spacing w:line="360" w:lineRule="auto"/>
        <w:ind w:firstLine="420" w:firstLineChars="200"/>
        <w:rPr>
          <w:rFonts w:ascii="宋体" w:hAnsi="宋体"/>
        </w:rPr>
      </w:pPr>
      <w:r>
        <w:rPr>
          <w:rFonts w:hint="eastAsia" w:ascii="宋体" w:hAnsi="宋体"/>
        </w:rPr>
        <w:t>11.3 不可抗力事件延续120天以上，双方应通过友好协商，确定是否继续履行合同。</w:t>
      </w:r>
    </w:p>
    <w:p>
      <w:pPr>
        <w:spacing w:line="360" w:lineRule="auto"/>
        <w:rPr>
          <w:rFonts w:ascii="宋体" w:hAnsi="宋体"/>
          <w:b/>
          <w:bCs/>
        </w:rPr>
      </w:pPr>
      <w:r>
        <w:rPr>
          <w:rFonts w:hint="eastAsia" w:ascii="宋体" w:hAnsi="宋体"/>
          <w:b/>
          <w:bCs/>
        </w:rPr>
        <w:t>12.  诉讼</w:t>
      </w:r>
    </w:p>
    <w:p>
      <w:pPr>
        <w:tabs>
          <w:tab w:val="left" w:pos="0"/>
        </w:tabs>
        <w:spacing w:line="360" w:lineRule="auto"/>
        <w:ind w:firstLine="420" w:firstLineChars="200"/>
        <w:rPr>
          <w:rFonts w:ascii="宋体" w:hAnsi="宋体"/>
        </w:rPr>
      </w:pPr>
      <w:r>
        <w:rPr>
          <w:rFonts w:hint="eastAsia" w:ascii="宋体" w:hAnsi="宋体"/>
        </w:rPr>
        <w:t>12.1 双方在执行合同中所发生的一切争议，应通过协商解决。如协商不成，可向合同签订地法院起诉，合同签订地在此约定为广西南宁市。</w:t>
      </w:r>
    </w:p>
    <w:p>
      <w:pPr>
        <w:spacing w:line="360" w:lineRule="auto"/>
        <w:rPr>
          <w:rFonts w:ascii="宋体" w:hAnsi="宋体"/>
          <w:b/>
          <w:bCs/>
        </w:rPr>
      </w:pPr>
      <w:r>
        <w:rPr>
          <w:rFonts w:hint="eastAsia" w:ascii="宋体" w:hAnsi="宋体"/>
          <w:b/>
          <w:bCs/>
        </w:rPr>
        <w:t>13.  合同生效及其它</w:t>
      </w:r>
    </w:p>
    <w:p>
      <w:pPr>
        <w:spacing w:line="360" w:lineRule="auto"/>
        <w:ind w:firstLine="420" w:firstLineChars="200"/>
        <w:rPr>
          <w:rFonts w:ascii="宋体" w:hAnsi="宋体"/>
        </w:rPr>
      </w:pPr>
      <w:r>
        <w:rPr>
          <w:rFonts w:hint="eastAsia" w:ascii="宋体" w:hAnsi="宋体"/>
        </w:rPr>
        <w:t>13.1 合同经双方法定代表人或授权委托代理人签字并加盖单位公章后生效。</w:t>
      </w:r>
    </w:p>
    <w:p>
      <w:pPr>
        <w:spacing w:line="360" w:lineRule="auto"/>
        <w:ind w:firstLine="420" w:firstLineChars="200"/>
        <w:rPr>
          <w:rFonts w:ascii="宋体" w:hAnsi="宋体"/>
        </w:rPr>
      </w:pPr>
      <w:r>
        <w:rPr>
          <w:rFonts w:hint="eastAsia" w:ascii="宋体" w:hAnsi="宋体"/>
        </w:rPr>
        <w:t>13.2 合同执行中涉及采购资金和采购内容修改或补充的，须经市财政部门审批，并签书面补充协议报南宁市政府采购监督管理部门备案，方可作为主合同不可分割的一部分。</w:t>
      </w:r>
    </w:p>
    <w:p>
      <w:pPr>
        <w:spacing w:line="360" w:lineRule="auto"/>
        <w:ind w:firstLine="420" w:firstLineChars="200"/>
        <w:rPr>
          <w:rFonts w:ascii="宋体" w:hAnsi="宋体"/>
        </w:rPr>
      </w:pPr>
      <w:r>
        <w:rPr>
          <w:rFonts w:hint="eastAsia" w:ascii="宋体" w:hAnsi="宋体"/>
        </w:rPr>
        <w:t>13.3 下述合同附件为本合同不可分割的部分并与本合同具有同等效力：</w:t>
      </w:r>
    </w:p>
    <w:p>
      <w:pPr>
        <w:spacing w:line="360" w:lineRule="auto"/>
        <w:ind w:firstLine="420" w:firstLineChars="200"/>
        <w:rPr>
          <w:rFonts w:ascii="宋体" w:hAnsi="宋体"/>
        </w:rPr>
      </w:pPr>
      <w:r>
        <w:rPr>
          <w:rFonts w:hint="eastAsia" w:ascii="宋体" w:hAnsi="宋体"/>
        </w:rPr>
        <w:t>（1）中标通知书；</w:t>
      </w:r>
    </w:p>
    <w:p>
      <w:pPr>
        <w:spacing w:line="360" w:lineRule="auto"/>
        <w:ind w:firstLine="420" w:firstLineChars="200"/>
        <w:rPr>
          <w:rFonts w:ascii="宋体" w:hAnsi="宋体"/>
        </w:rPr>
      </w:pPr>
      <w:r>
        <w:rPr>
          <w:rFonts w:hint="eastAsia" w:ascii="宋体" w:hAnsi="宋体"/>
        </w:rPr>
        <w:t>（2）招标文件服务需求一览表；</w:t>
      </w:r>
    </w:p>
    <w:p>
      <w:pPr>
        <w:spacing w:line="360" w:lineRule="auto"/>
        <w:ind w:firstLine="420" w:firstLineChars="200"/>
        <w:rPr>
          <w:rFonts w:ascii="宋体" w:hAnsi="宋体"/>
        </w:rPr>
      </w:pPr>
      <w:r>
        <w:rPr>
          <w:rFonts w:hint="eastAsia" w:ascii="宋体" w:hAnsi="宋体"/>
        </w:rPr>
        <w:t>（3）招标文件的澄清和修改(</w:t>
      </w:r>
      <w:r>
        <w:rPr>
          <w:rFonts w:ascii="宋体" w:hAnsi="宋体"/>
        </w:rPr>
        <w:t>如有请提供</w:t>
      </w:r>
      <w:r>
        <w:rPr>
          <w:rFonts w:hint="eastAsia" w:ascii="宋体" w:hAnsi="宋体"/>
        </w:rPr>
        <w:t>)；</w:t>
      </w:r>
    </w:p>
    <w:p>
      <w:pPr>
        <w:spacing w:line="360" w:lineRule="auto"/>
        <w:ind w:firstLine="420" w:firstLineChars="200"/>
        <w:rPr>
          <w:rFonts w:ascii="宋体" w:hAnsi="宋体"/>
        </w:rPr>
      </w:pPr>
      <w:r>
        <w:rPr>
          <w:rFonts w:hint="eastAsia" w:ascii="宋体" w:hAnsi="宋体"/>
        </w:rPr>
        <w:t>（4）投标函、投标报价表；</w:t>
      </w:r>
    </w:p>
    <w:p>
      <w:pPr>
        <w:spacing w:line="360" w:lineRule="auto"/>
        <w:ind w:firstLine="420" w:firstLineChars="200"/>
        <w:rPr>
          <w:rFonts w:ascii="宋体" w:hAnsi="宋体"/>
        </w:rPr>
      </w:pPr>
      <w:r>
        <w:rPr>
          <w:rFonts w:hint="eastAsia" w:ascii="宋体" w:hAnsi="宋体"/>
        </w:rPr>
        <w:t>（5）投标服务技术资料表、商务条款偏离表、售后服务承诺书；</w:t>
      </w:r>
    </w:p>
    <w:p>
      <w:pPr>
        <w:spacing w:line="360" w:lineRule="auto"/>
        <w:ind w:firstLine="420" w:firstLineChars="200"/>
        <w:rPr>
          <w:rFonts w:ascii="宋体" w:hAnsi="宋体"/>
        </w:rPr>
      </w:pPr>
      <w:r>
        <w:rPr>
          <w:rFonts w:hint="eastAsia" w:ascii="宋体" w:hAnsi="宋体"/>
        </w:rPr>
        <w:t>（6）中标供应商澄清函(</w:t>
      </w:r>
      <w:r>
        <w:rPr>
          <w:rFonts w:ascii="宋体" w:hAnsi="宋体"/>
        </w:rPr>
        <w:t>如有请提供</w:t>
      </w:r>
      <w:r>
        <w:rPr>
          <w:rFonts w:hint="eastAsia" w:ascii="宋体" w:hAnsi="宋体"/>
        </w:rPr>
        <w:t>)。</w:t>
      </w:r>
    </w:p>
    <w:p>
      <w:pPr>
        <w:spacing w:line="360" w:lineRule="auto"/>
        <w:ind w:firstLine="420" w:firstLineChars="200"/>
        <w:rPr>
          <w:rFonts w:ascii="宋体" w:hAnsi="宋体"/>
        </w:rPr>
      </w:pPr>
      <w:r>
        <w:rPr>
          <w:rFonts w:hint="eastAsia" w:ascii="宋体" w:hAnsi="宋体"/>
        </w:rPr>
        <w:t>13.4 本合同未尽事宜，遵照《中华人民共和国合同法》有关条文执行。</w:t>
      </w:r>
    </w:p>
    <w:p>
      <w:pPr>
        <w:spacing w:line="360" w:lineRule="auto"/>
        <w:ind w:firstLine="420" w:firstLineChars="200"/>
        <w:rPr>
          <w:rFonts w:ascii="宋体" w:hAnsi="宋体"/>
        </w:rPr>
      </w:pPr>
      <w:r>
        <w:rPr>
          <w:rFonts w:hint="eastAsia" w:ascii="宋体" w:hAnsi="宋体"/>
        </w:rPr>
        <w:t>13.5 本合同正本一式两份，具有同等法律效力，甲乙双方各执一份；副本三份，由采购人自合同签订之日起七个工作日内报南宁市政府采购监督管理部门备案。</w:t>
      </w:r>
    </w:p>
    <w:p>
      <w:pPr>
        <w:spacing w:line="360" w:lineRule="auto"/>
        <w:ind w:firstLine="360"/>
        <w:rPr>
          <w:rFonts w:ascii="宋体" w:hAnsi="宋体"/>
        </w:rPr>
      </w:pPr>
    </w:p>
    <w:p>
      <w:pPr>
        <w:spacing w:line="360" w:lineRule="auto"/>
        <w:ind w:firstLine="360"/>
        <w:rPr>
          <w:rFonts w:ascii="宋体" w:hAnsi="宋体"/>
        </w:rPr>
      </w:pPr>
    </w:p>
    <w:p>
      <w:pPr>
        <w:spacing w:line="360" w:lineRule="auto"/>
        <w:ind w:firstLine="360"/>
        <w:rPr>
          <w:rFonts w:ascii="宋体" w:hAnsi="宋体"/>
        </w:rPr>
      </w:pPr>
    </w:p>
    <w:p>
      <w:pPr>
        <w:spacing w:line="360" w:lineRule="auto"/>
        <w:rPr>
          <w:rFonts w:ascii="宋体" w:hAnsi="宋体"/>
          <w:u w:val="single"/>
        </w:rPr>
      </w:pPr>
      <w:r>
        <w:rPr>
          <w:rFonts w:hint="eastAsia" w:ascii="宋体" w:hAnsi="宋体"/>
        </w:rPr>
        <w:t>甲方：</w:t>
      </w:r>
      <w:r>
        <w:rPr>
          <w:rFonts w:hint="eastAsia" w:ascii="宋体" w:hAnsi="宋体"/>
          <w:u w:val="single"/>
        </w:rPr>
        <w:t xml:space="preserve">                                    </w:t>
      </w:r>
      <w:r>
        <w:rPr>
          <w:rFonts w:hint="eastAsia" w:ascii="宋体" w:hAnsi="宋体"/>
        </w:rPr>
        <w:t xml:space="preserve">    乙方：</w:t>
      </w:r>
      <w:r>
        <w:rPr>
          <w:rFonts w:hint="eastAsia" w:ascii="宋体" w:hAnsi="宋体"/>
          <w:u w:val="single"/>
        </w:rPr>
        <w:t xml:space="preserve">                                    </w:t>
      </w:r>
    </w:p>
    <w:p>
      <w:pPr>
        <w:spacing w:line="360" w:lineRule="auto"/>
        <w:rPr>
          <w:rFonts w:ascii="宋体" w:hAnsi="宋体"/>
        </w:rPr>
      </w:pPr>
      <w:r>
        <w:rPr>
          <w:rFonts w:hint="eastAsia" w:ascii="宋体" w:hAnsi="宋体"/>
        </w:rPr>
        <w:t>地址：</w:t>
      </w:r>
      <w:r>
        <w:rPr>
          <w:rFonts w:hint="eastAsia" w:ascii="宋体" w:hAnsi="宋体"/>
          <w:u w:val="single"/>
        </w:rPr>
        <w:t xml:space="preserve">                                    </w:t>
      </w:r>
      <w:r>
        <w:rPr>
          <w:rFonts w:hint="eastAsia" w:ascii="宋体" w:hAnsi="宋体"/>
        </w:rPr>
        <w:t xml:space="preserve">    地址：</w:t>
      </w:r>
      <w:r>
        <w:rPr>
          <w:rFonts w:hint="eastAsia" w:ascii="宋体" w:hAnsi="宋体"/>
          <w:u w:val="single"/>
        </w:rPr>
        <w:t xml:space="preserve">                                    </w:t>
      </w:r>
    </w:p>
    <w:p>
      <w:pPr>
        <w:spacing w:line="360" w:lineRule="auto"/>
        <w:rPr>
          <w:rFonts w:ascii="宋体" w:hAnsi="宋体"/>
        </w:rPr>
      </w:pPr>
      <w:r>
        <w:rPr>
          <w:rFonts w:hint="eastAsia" w:ascii="宋体" w:hAnsi="宋体"/>
        </w:rPr>
        <w:t>法定代表人：</w:t>
      </w:r>
      <w:r>
        <w:rPr>
          <w:rFonts w:hint="eastAsia" w:ascii="宋体" w:hAnsi="宋体"/>
          <w:u w:val="single"/>
        </w:rPr>
        <w:t xml:space="preserve">                              </w:t>
      </w:r>
      <w:r>
        <w:rPr>
          <w:rFonts w:hint="eastAsia" w:ascii="宋体" w:hAnsi="宋体"/>
        </w:rPr>
        <w:t xml:space="preserve">    法定代表人：</w:t>
      </w:r>
      <w:r>
        <w:rPr>
          <w:rFonts w:hint="eastAsia" w:ascii="宋体" w:hAnsi="宋体"/>
          <w:u w:val="single"/>
        </w:rPr>
        <w:t xml:space="preserve">                              </w:t>
      </w:r>
    </w:p>
    <w:p>
      <w:pPr>
        <w:spacing w:line="360" w:lineRule="auto"/>
        <w:rPr>
          <w:rFonts w:ascii="宋体" w:hAnsi="宋体"/>
        </w:rPr>
      </w:pPr>
      <w:r>
        <w:rPr>
          <w:rFonts w:hint="eastAsia" w:ascii="宋体" w:hAnsi="宋体"/>
        </w:rPr>
        <w:t>委托代理人：</w:t>
      </w:r>
      <w:r>
        <w:rPr>
          <w:rFonts w:hint="eastAsia" w:ascii="宋体" w:hAnsi="宋体"/>
          <w:u w:val="single"/>
        </w:rPr>
        <w:t xml:space="preserve">                              </w:t>
      </w:r>
      <w:r>
        <w:rPr>
          <w:rFonts w:hint="eastAsia" w:ascii="宋体" w:hAnsi="宋体"/>
        </w:rPr>
        <w:t xml:space="preserve">    委托代理人：</w:t>
      </w:r>
      <w:r>
        <w:rPr>
          <w:rFonts w:hint="eastAsia" w:ascii="宋体" w:hAnsi="宋体"/>
          <w:u w:val="single"/>
        </w:rPr>
        <w:t xml:space="preserve">                              </w:t>
      </w:r>
    </w:p>
    <w:p>
      <w:pPr>
        <w:spacing w:line="360" w:lineRule="auto"/>
        <w:rPr>
          <w:rFonts w:ascii="宋体" w:hAnsi="宋体"/>
        </w:rPr>
      </w:pPr>
      <w:r>
        <w:rPr>
          <w:rFonts w:hint="eastAsia" w:ascii="宋体" w:hAnsi="宋体"/>
        </w:rPr>
        <w:t>电话：</w:t>
      </w:r>
      <w:r>
        <w:rPr>
          <w:rFonts w:hint="eastAsia" w:ascii="宋体" w:hAnsi="宋体"/>
          <w:u w:val="single"/>
        </w:rPr>
        <w:t xml:space="preserve">                                    </w:t>
      </w:r>
      <w:r>
        <w:rPr>
          <w:rFonts w:hint="eastAsia" w:ascii="宋体" w:hAnsi="宋体"/>
        </w:rPr>
        <w:t xml:space="preserve">    电话：</w:t>
      </w:r>
      <w:r>
        <w:rPr>
          <w:rFonts w:hint="eastAsia" w:ascii="宋体" w:hAnsi="宋体"/>
          <w:u w:val="single"/>
        </w:rPr>
        <w:t xml:space="preserve">                                    </w:t>
      </w:r>
    </w:p>
    <w:p>
      <w:pPr>
        <w:spacing w:line="360" w:lineRule="auto"/>
        <w:rPr>
          <w:rFonts w:ascii="宋体" w:hAnsi="宋体"/>
        </w:rPr>
      </w:pPr>
      <w:r>
        <w:rPr>
          <w:rFonts w:hint="eastAsia" w:ascii="宋体" w:hAnsi="宋体"/>
        </w:rPr>
        <w:t>传真：</w:t>
      </w:r>
      <w:r>
        <w:rPr>
          <w:rFonts w:hint="eastAsia" w:ascii="宋体" w:hAnsi="宋体"/>
          <w:u w:val="single"/>
        </w:rPr>
        <w:t xml:space="preserve">                                    </w:t>
      </w:r>
      <w:r>
        <w:rPr>
          <w:rFonts w:hint="eastAsia" w:ascii="宋体" w:hAnsi="宋体"/>
        </w:rPr>
        <w:t xml:space="preserve">    传真：</w:t>
      </w:r>
      <w:r>
        <w:rPr>
          <w:rFonts w:hint="eastAsia" w:ascii="宋体" w:hAnsi="宋体"/>
          <w:u w:val="single"/>
        </w:rPr>
        <w:t xml:space="preserve">                                    </w:t>
      </w:r>
    </w:p>
    <w:p>
      <w:pPr>
        <w:spacing w:line="360" w:lineRule="auto"/>
        <w:rPr>
          <w:rFonts w:ascii="宋体" w:hAnsi="宋体"/>
        </w:rPr>
      </w:pPr>
      <w:r>
        <w:rPr>
          <w:rFonts w:hint="eastAsia" w:ascii="宋体" w:hAnsi="宋体"/>
        </w:rPr>
        <w:t>邮政编码：</w:t>
      </w:r>
      <w:r>
        <w:rPr>
          <w:rFonts w:hint="eastAsia" w:ascii="宋体" w:hAnsi="宋体"/>
          <w:u w:val="single"/>
        </w:rPr>
        <w:t xml:space="preserve">                                </w:t>
      </w:r>
      <w:r>
        <w:rPr>
          <w:rFonts w:hint="eastAsia" w:ascii="宋体" w:hAnsi="宋体"/>
        </w:rPr>
        <w:t xml:space="preserve">    邮政编码：</w:t>
      </w:r>
      <w:r>
        <w:rPr>
          <w:rFonts w:hint="eastAsia" w:ascii="宋体" w:hAnsi="宋体"/>
          <w:u w:val="single"/>
        </w:rPr>
        <w:t xml:space="preserve">                                </w:t>
      </w:r>
    </w:p>
    <w:p>
      <w:pPr>
        <w:spacing w:line="360" w:lineRule="auto"/>
        <w:rPr>
          <w:rFonts w:ascii="宋体" w:hAnsi="宋体"/>
          <w:u w:val="single"/>
        </w:rPr>
      </w:pPr>
      <w:r>
        <w:rPr>
          <w:rFonts w:hint="eastAsia" w:ascii="宋体" w:hAnsi="宋体"/>
        </w:rPr>
        <w:t xml:space="preserve">                                              开户银行：</w:t>
      </w:r>
      <w:r>
        <w:rPr>
          <w:rFonts w:hint="eastAsia" w:ascii="宋体" w:hAnsi="宋体"/>
          <w:u w:val="single"/>
        </w:rPr>
        <w:t xml:space="preserve">                                </w:t>
      </w:r>
    </w:p>
    <w:p>
      <w:pPr>
        <w:spacing w:line="360" w:lineRule="auto"/>
        <w:rPr>
          <w:rFonts w:ascii="宋体" w:hAnsi="宋体"/>
          <w:u w:val="single"/>
        </w:rPr>
      </w:pPr>
      <w:r>
        <w:rPr>
          <w:rFonts w:hint="eastAsia" w:ascii="宋体" w:hAnsi="宋体"/>
        </w:rPr>
        <w:t xml:space="preserve">                                              开户名称：</w:t>
      </w:r>
      <w:r>
        <w:rPr>
          <w:rFonts w:hint="eastAsia" w:ascii="宋体" w:hAnsi="宋体"/>
          <w:u w:val="single"/>
        </w:rPr>
        <w:t xml:space="preserve">                                </w:t>
      </w:r>
    </w:p>
    <w:p>
      <w:pPr>
        <w:spacing w:line="360" w:lineRule="auto"/>
        <w:rPr>
          <w:rFonts w:ascii="宋体" w:hAnsi="宋体"/>
          <w:u w:val="single"/>
        </w:rPr>
      </w:pPr>
      <w:r>
        <w:rPr>
          <w:rFonts w:hint="eastAsia" w:ascii="宋体" w:hAnsi="宋体"/>
        </w:rPr>
        <w:t xml:space="preserve">                                              银行账号：</w:t>
      </w:r>
      <w:r>
        <w:rPr>
          <w:rFonts w:hint="eastAsia" w:ascii="宋体" w:hAnsi="宋体"/>
          <w:u w:val="single"/>
        </w:rPr>
        <w:t xml:space="preserve">                                </w:t>
      </w:r>
    </w:p>
    <w:p>
      <w:pPr>
        <w:spacing w:line="360" w:lineRule="auto"/>
        <w:ind w:left="178" w:leftChars="85"/>
        <w:rPr>
          <w:rFonts w:ascii="宋体" w:hAnsi="宋体"/>
        </w:rPr>
      </w:pPr>
    </w:p>
    <w:p>
      <w:pPr>
        <w:spacing w:line="360" w:lineRule="auto"/>
        <w:ind w:left="178" w:leftChars="85"/>
        <w:rPr>
          <w:rFonts w:ascii="宋体" w:hAnsi="宋体"/>
        </w:rPr>
      </w:pPr>
    </w:p>
    <w:p>
      <w:pPr>
        <w:spacing w:line="360" w:lineRule="auto"/>
        <w:rPr>
          <w:rFonts w:ascii="宋体" w:hAnsi="宋体"/>
        </w:rPr>
      </w:pPr>
      <w:r>
        <w:rPr>
          <w:rFonts w:hint="eastAsia" w:ascii="宋体" w:hAnsi="宋体"/>
        </w:rPr>
        <w:t xml:space="preserve">合同签订地点：广西南宁市 </w:t>
      </w:r>
    </w:p>
    <w:p>
      <w:pPr>
        <w:spacing w:line="360" w:lineRule="auto"/>
        <w:rPr>
          <w:rFonts w:ascii="宋体" w:hAnsi="宋体"/>
        </w:rPr>
      </w:pPr>
      <w:r>
        <w:rPr>
          <w:rFonts w:hint="eastAsia" w:ascii="宋体" w:hAnsi="宋体"/>
        </w:rPr>
        <w:t>合同签订日期：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napToGrid w:val="0"/>
        <w:spacing w:line="400" w:lineRule="exact"/>
        <w:ind w:firstLine="422"/>
        <w:rPr>
          <w:rFonts w:ascii="宋体" w:hAnsi="宋体"/>
          <w:b/>
        </w:rPr>
      </w:pPr>
    </w:p>
    <w:p>
      <w:pPr>
        <w:snapToGrid w:val="0"/>
        <w:spacing w:line="400" w:lineRule="exact"/>
        <w:ind w:firstLine="422"/>
        <w:rPr>
          <w:rFonts w:ascii="宋体" w:hAnsi="宋体"/>
          <w:b/>
        </w:rPr>
      </w:pPr>
    </w:p>
    <w:p>
      <w:pPr>
        <w:rPr>
          <w:rFonts w:ascii="宋体" w:hAnsi="宋体"/>
          <w:b/>
        </w:rPr>
      </w:pPr>
      <w:r>
        <w:rPr>
          <w:rFonts w:ascii="宋体" w:hAnsi="宋体"/>
          <w:b/>
        </w:rPr>
        <w:br w:type="page"/>
      </w:r>
    </w:p>
    <w:p>
      <w:pPr>
        <w:pStyle w:val="69"/>
      </w:pPr>
      <w:bookmarkStart w:id="37" w:name="_Toc504570352"/>
      <w:r>
        <w:rPr>
          <w:rFonts w:hint="eastAsia"/>
        </w:rPr>
        <w:t>第六章  投标文件格式</w:t>
      </w:r>
      <w:bookmarkEnd w:id="37"/>
    </w:p>
    <w:p>
      <w:pPr>
        <w:pStyle w:val="69"/>
      </w:pPr>
    </w:p>
    <w:p>
      <w:pPr>
        <w:spacing w:before="240"/>
        <w:ind w:firstLine="422"/>
        <w:rPr>
          <w:rFonts w:ascii="宋体" w:hAnsi="宋体"/>
          <w:b/>
        </w:rPr>
      </w:pPr>
      <w:r>
        <w:rPr>
          <w:rFonts w:hint="eastAsia" w:ascii="宋体" w:hAnsi="宋体"/>
          <w:b/>
        </w:rPr>
        <w:t>投标文件外层包装封面格式</w:t>
      </w:r>
    </w:p>
    <w:p>
      <w:pPr>
        <w:spacing w:before="240"/>
        <w:ind w:firstLine="422"/>
        <w:jc w:val="center"/>
        <w:rPr>
          <w:rFonts w:ascii="宋体" w:hAnsi="宋体"/>
          <w:b/>
        </w:rPr>
      </w:pPr>
      <w:r>
        <w:rPr>
          <w:rFonts w:hint="eastAsia" w:ascii="宋体" w:hAnsi="宋体"/>
          <w:b/>
        </w:rPr>
        <w:t>投 标 文 件</w:t>
      </w:r>
    </w:p>
    <w:p>
      <w:pPr>
        <w:spacing w:before="240" w:line="360" w:lineRule="auto"/>
        <w:ind w:firstLine="420" w:firstLineChars="200"/>
        <w:rPr>
          <w:rFonts w:ascii="宋体" w:hAnsi="宋体"/>
        </w:rPr>
      </w:pPr>
      <w:r>
        <w:rPr>
          <w:rFonts w:hint="eastAsia" w:ascii="宋体" w:hAnsi="宋体"/>
        </w:rPr>
        <w:t>项目名称：</w:t>
      </w:r>
    </w:p>
    <w:p>
      <w:pPr>
        <w:spacing w:before="240" w:line="360" w:lineRule="auto"/>
        <w:ind w:firstLine="420" w:firstLineChars="200"/>
        <w:rPr>
          <w:rFonts w:ascii="宋体" w:hAnsi="宋体"/>
        </w:rPr>
      </w:pPr>
      <w:r>
        <w:rPr>
          <w:rFonts w:hint="eastAsia" w:ascii="宋体" w:hAnsi="宋体"/>
        </w:rPr>
        <w:t>项目编号：</w:t>
      </w:r>
    </w:p>
    <w:p>
      <w:pPr>
        <w:spacing w:before="240" w:line="360" w:lineRule="auto"/>
        <w:ind w:firstLine="420" w:firstLineChars="200"/>
        <w:rPr>
          <w:rFonts w:ascii="宋体" w:hAnsi="宋体"/>
        </w:rPr>
      </w:pPr>
      <w:r>
        <w:rPr>
          <w:rFonts w:hint="eastAsia" w:ascii="宋体" w:hAnsi="宋体"/>
        </w:rPr>
        <w:t>投标文件名称：（商务、技术、报价）文件</w:t>
      </w:r>
    </w:p>
    <w:p>
      <w:pPr>
        <w:spacing w:before="240" w:line="360" w:lineRule="auto"/>
        <w:ind w:firstLine="420" w:firstLineChars="200"/>
        <w:rPr>
          <w:rFonts w:ascii="宋体" w:hAnsi="宋体"/>
        </w:rPr>
      </w:pPr>
      <w:r>
        <w:rPr>
          <w:rFonts w:hint="eastAsia" w:ascii="宋体" w:hAnsi="宋体"/>
        </w:rPr>
        <w:t>投标人名称：</w:t>
      </w:r>
    </w:p>
    <w:p>
      <w:pPr>
        <w:spacing w:before="240" w:line="360" w:lineRule="auto"/>
        <w:ind w:firstLine="420" w:firstLineChars="200"/>
        <w:rPr>
          <w:rFonts w:ascii="宋体" w:hAnsi="宋体"/>
        </w:rPr>
      </w:pPr>
      <w:r>
        <w:rPr>
          <w:rFonts w:hint="eastAsia" w:ascii="宋体" w:hAnsi="宋体"/>
        </w:rPr>
        <w:t>投标人地址：</w:t>
      </w:r>
    </w:p>
    <w:p>
      <w:pPr>
        <w:snapToGrid w:val="0"/>
        <w:spacing w:before="156" w:beforeLines="50" w:after="50"/>
        <w:ind w:firstLine="420"/>
        <w:jc w:val="center"/>
        <w:rPr>
          <w:rFonts w:ascii="宋体" w:hAnsi="宋体"/>
        </w:rPr>
      </w:pPr>
      <w:r>
        <w:rPr>
          <w:rFonts w:hint="eastAsia" w:ascii="宋体" w:hAnsi="宋体"/>
        </w:rPr>
        <w:t>在      年    月    日    时    分之前不得启封</w:t>
      </w:r>
    </w:p>
    <w:p>
      <w:pPr>
        <w:snapToGrid w:val="0"/>
        <w:spacing w:before="156" w:beforeLines="50" w:after="50"/>
        <w:ind w:firstLine="420"/>
        <w:jc w:val="center"/>
        <w:rPr>
          <w:rFonts w:ascii="宋体" w:hAnsi="宋体"/>
        </w:rPr>
      </w:pPr>
    </w:p>
    <w:p>
      <w:pPr>
        <w:snapToGrid w:val="0"/>
        <w:spacing w:before="156" w:beforeLines="50" w:after="50"/>
        <w:ind w:firstLine="420"/>
        <w:jc w:val="center"/>
        <w:rPr>
          <w:rFonts w:ascii="宋体" w:hAnsi="宋体"/>
        </w:rPr>
      </w:pPr>
    </w:p>
    <w:p>
      <w:pPr>
        <w:snapToGrid w:val="0"/>
        <w:spacing w:before="156" w:beforeLines="50" w:after="50"/>
        <w:ind w:right="420" w:firstLine="7350" w:firstLineChars="3500"/>
        <w:rPr>
          <w:rFonts w:ascii="宋体" w:hAnsi="宋体"/>
          <w:bCs/>
        </w:rPr>
      </w:pPr>
      <w:r>
        <w:rPr>
          <w:rFonts w:hint="eastAsia" w:ascii="宋体" w:hAnsi="宋体"/>
        </w:rPr>
        <w:t>年   月   日</w:t>
      </w:r>
    </w:p>
    <w:p>
      <w:pPr>
        <w:spacing w:before="240"/>
        <w:ind w:firstLine="422"/>
        <w:rPr>
          <w:rFonts w:ascii="宋体" w:hAnsi="宋体"/>
          <w:b/>
        </w:rPr>
      </w:pPr>
      <w:r>
        <w:rPr>
          <w:rFonts w:ascii="宋体" w:hAnsi="宋体"/>
          <w:b/>
        </w:rPr>
        <w:br w:type="page"/>
      </w:r>
      <w:r>
        <w:rPr>
          <w:rFonts w:hint="eastAsia" w:ascii="宋体" w:hAnsi="宋体"/>
          <w:b/>
        </w:rPr>
        <w:t>投标文件封面格式：</w:t>
      </w:r>
    </w:p>
    <w:p>
      <w:pPr>
        <w:spacing w:before="240"/>
        <w:ind w:right="560" w:firstLine="422"/>
        <w:jc w:val="right"/>
        <w:rPr>
          <w:rFonts w:ascii="宋体" w:hAnsi="宋体"/>
          <w:b/>
        </w:rPr>
      </w:pPr>
      <w:r>
        <w:rPr>
          <w:rFonts w:hint="eastAsia" w:ascii="宋体" w:hAnsi="宋体"/>
          <w:b/>
        </w:rPr>
        <w:t>正本/或副本</w:t>
      </w:r>
    </w:p>
    <w:p>
      <w:pPr>
        <w:spacing w:before="240"/>
        <w:ind w:firstLine="422"/>
        <w:jc w:val="right"/>
        <w:rPr>
          <w:rFonts w:ascii="宋体" w:hAnsi="宋体"/>
          <w:b/>
        </w:rPr>
      </w:pPr>
    </w:p>
    <w:p>
      <w:pPr>
        <w:spacing w:before="240"/>
        <w:ind w:firstLine="422"/>
        <w:jc w:val="center"/>
        <w:rPr>
          <w:rFonts w:ascii="宋体" w:hAnsi="宋体"/>
          <w:b/>
        </w:rPr>
      </w:pPr>
      <w:r>
        <w:rPr>
          <w:rFonts w:hint="eastAsia" w:ascii="宋体" w:hAnsi="宋体"/>
          <w:b/>
        </w:rPr>
        <w:t>投 标 文 件</w:t>
      </w:r>
    </w:p>
    <w:p>
      <w:pPr>
        <w:spacing w:before="240" w:line="360" w:lineRule="auto"/>
        <w:ind w:firstLine="420" w:firstLineChars="200"/>
        <w:rPr>
          <w:rFonts w:ascii="宋体" w:hAnsi="宋体"/>
        </w:rPr>
      </w:pPr>
      <w:r>
        <w:rPr>
          <w:rFonts w:hint="eastAsia" w:ascii="宋体" w:hAnsi="宋体"/>
        </w:rPr>
        <w:t>项目名称：</w:t>
      </w:r>
    </w:p>
    <w:p>
      <w:pPr>
        <w:spacing w:before="240" w:line="360" w:lineRule="auto"/>
        <w:ind w:firstLine="420" w:firstLineChars="200"/>
        <w:rPr>
          <w:rFonts w:ascii="宋体" w:hAnsi="宋体"/>
        </w:rPr>
      </w:pPr>
      <w:r>
        <w:rPr>
          <w:rFonts w:hint="eastAsia" w:ascii="宋体" w:hAnsi="宋体"/>
        </w:rPr>
        <w:t>项目编号：</w:t>
      </w:r>
    </w:p>
    <w:p>
      <w:pPr>
        <w:spacing w:before="240" w:line="360" w:lineRule="auto"/>
        <w:ind w:firstLine="420" w:firstLineChars="200"/>
        <w:rPr>
          <w:rFonts w:ascii="宋体" w:hAnsi="宋体"/>
        </w:rPr>
      </w:pPr>
      <w:r>
        <w:rPr>
          <w:rFonts w:hint="eastAsia" w:ascii="宋体" w:hAnsi="宋体"/>
        </w:rPr>
        <w:t>投标人名称：</w:t>
      </w:r>
    </w:p>
    <w:p>
      <w:pPr>
        <w:spacing w:before="240" w:line="360" w:lineRule="auto"/>
        <w:ind w:firstLine="420" w:firstLineChars="200"/>
        <w:rPr>
          <w:rFonts w:ascii="宋体" w:hAnsi="宋体"/>
        </w:rPr>
      </w:pPr>
      <w:r>
        <w:rPr>
          <w:rFonts w:hint="eastAsia" w:ascii="宋体" w:hAnsi="宋体"/>
        </w:rPr>
        <w:t>投标人地址：</w:t>
      </w:r>
    </w:p>
    <w:p>
      <w:pPr>
        <w:spacing w:before="240" w:line="360" w:lineRule="auto"/>
        <w:ind w:firstLine="420" w:firstLineChars="200"/>
        <w:rPr>
          <w:rFonts w:ascii="宋体" w:hAnsi="宋体"/>
        </w:rPr>
      </w:pPr>
      <w:r>
        <w:rPr>
          <w:rFonts w:hint="eastAsia" w:ascii="宋体" w:hAnsi="宋体"/>
        </w:rPr>
        <w:t xml:space="preserve">在      年    月    日    时    分之前不得启封  </w:t>
      </w:r>
    </w:p>
    <w:p>
      <w:pPr>
        <w:spacing w:before="240" w:line="360" w:lineRule="auto"/>
        <w:ind w:firstLine="420"/>
        <w:rPr>
          <w:rFonts w:ascii="宋体" w:hAnsi="宋体"/>
        </w:rPr>
      </w:pPr>
    </w:p>
    <w:p>
      <w:pPr>
        <w:spacing w:before="240" w:line="360" w:lineRule="auto"/>
        <w:ind w:right="420" w:firstLine="420"/>
        <w:jc w:val="center"/>
        <w:rPr>
          <w:rFonts w:ascii="宋体" w:hAnsi="宋体"/>
        </w:rPr>
      </w:pPr>
      <w:r>
        <w:rPr>
          <w:rFonts w:hint="eastAsia" w:ascii="宋体" w:hAnsi="宋体"/>
        </w:rPr>
        <w:t xml:space="preserve">                                                                  年   月   日</w:t>
      </w:r>
    </w:p>
    <w:p>
      <w:pPr>
        <w:snapToGrid w:val="0"/>
        <w:spacing w:before="156" w:beforeLines="50" w:after="50"/>
        <w:ind w:firstLine="420"/>
        <w:jc w:val="center"/>
        <w:rPr>
          <w:rFonts w:ascii="宋体" w:hAnsi="宋体"/>
          <w:bCs/>
        </w:rPr>
      </w:pPr>
    </w:p>
    <w:p>
      <w:pPr>
        <w:snapToGrid w:val="0"/>
        <w:spacing w:before="156" w:beforeLines="50" w:after="50"/>
        <w:ind w:firstLine="420"/>
        <w:rPr>
          <w:rFonts w:ascii="宋体" w:hAnsi="宋体"/>
          <w:bCs/>
        </w:rPr>
      </w:pPr>
    </w:p>
    <w:p>
      <w:pPr>
        <w:snapToGrid w:val="0"/>
        <w:spacing w:before="156" w:beforeLines="50" w:after="50"/>
        <w:ind w:firstLine="420"/>
        <w:rPr>
          <w:rFonts w:ascii="宋体" w:hAnsi="宋体"/>
          <w:bCs/>
        </w:rPr>
      </w:pPr>
    </w:p>
    <w:p>
      <w:pPr>
        <w:snapToGrid w:val="0"/>
        <w:spacing w:before="50" w:after="50" w:line="360" w:lineRule="exact"/>
        <w:jc w:val="center"/>
        <w:rPr>
          <w:rFonts w:ascii="宋体" w:hAnsi="宋体"/>
          <w:b/>
          <w:bCs/>
          <w:sz w:val="24"/>
        </w:rPr>
      </w:pPr>
      <w:r>
        <w:rPr>
          <w:rFonts w:ascii="宋体" w:hAnsi="宋体"/>
          <w:bCs/>
        </w:rPr>
        <w:br w:type="page"/>
      </w:r>
      <w:r>
        <w:rPr>
          <w:rFonts w:hint="eastAsia" w:ascii="宋体" w:hAnsi="宋体"/>
          <w:b/>
          <w:bCs/>
          <w:sz w:val="24"/>
        </w:rPr>
        <w:t>目    录</w:t>
      </w:r>
    </w:p>
    <w:p>
      <w:pPr>
        <w:adjustRightInd w:val="0"/>
        <w:snapToGrid w:val="0"/>
        <w:spacing w:line="300" w:lineRule="exact"/>
        <w:ind w:firstLine="411" w:firstLineChars="196"/>
        <w:jc w:val="left"/>
        <w:rPr>
          <w:rFonts w:ascii="宋体" w:hAnsi="宋体"/>
        </w:rPr>
      </w:pPr>
      <w:r>
        <w:rPr>
          <w:rFonts w:hint="eastAsia" w:ascii="宋体" w:hAnsi="宋体"/>
        </w:rPr>
        <w:t>一、报价文件</w:t>
      </w:r>
    </w:p>
    <w:p>
      <w:pPr>
        <w:tabs>
          <w:tab w:val="left" w:pos="3870"/>
          <w:tab w:val="left" w:pos="4085"/>
        </w:tabs>
        <w:adjustRightInd w:val="0"/>
        <w:snapToGrid w:val="0"/>
        <w:spacing w:line="300" w:lineRule="exact"/>
        <w:ind w:firstLine="420" w:firstLineChars="200"/>
        <w:jc w:val="left"/>
        <w:rPr>
          <w:rFonts w:ascii="宋体" w:hAnsi="宋体"/>
        </w:rPr>
      </w:pPr>
      <w:r>
        <w:rPr>
          <w:rFonts w:hint="eastAsia" w:ascii="宋体" w:hAnsi="宋体"/>
        </w:rPr>
        <w:t>（1）投标函 ————————————————————————————————（页码）</w:t>
      </w:r>
    </w:p>
    <w:p>
      <w:pPr>
        <w:tabs>
          <w:tab w:val="left" w:pos="3870"/>
          <w:tab w:val="left" w:pos="4085"/>
        </w:tabs>
        <w:adjustRightInd w:val="0"/>
        <w:snapToGrid w:val="0"/>
        <w:spacing w:line="300" w:lineRule="exact"/>
        <w:ind w:firstLine="420" w:firstLineChars="200"/>
        <w:jc w:val="left"/>
        <w:rPr>
          <w:rFonts w:ascii="宋体" w:hAnsi="宋体"/>
        </w:rPr>
      </w:pPr>
      <w:r>
        <w:rPr>
          <w:rFonts w:hint="eastAsia" w:ascii="宋体" w:hAnsi="宋体"/>
        </w:rPr>
        <w:t>（2）投标报价明细表————————————————————————————</w:t>
      </w:r>
    </w:p>
    <w:p>
      <w:pPr>
        <w:tabs>
          <w:tab w:val="left" w:pos="3870"/>
          <w:tab w:val="left" w:pos="4085"/>
        </w:tabs>
        <w:adjustRightInd w:val="0"/>
        <w:snapToGrid w:val="0"/>
        <w:spacing w:line="300" w:lineRule="exact"/>
        <w:ind w:firstLine="420" w:firstLineChars="200"/>
        <w:jc w:val="left"/>
        <w:rPr>
          <w:rFonts w:ascii="宋体" w:hAnsi="宋体"/>
        </w:rPr>
      </w:pPr>
      <w:r>
        <w:rPr>
          <w:rFonts w:hint="eastAsia" w:ascii="宋体" w:hAnsi="宋体"/>
        </w:rPr>
        <w:t>（3）投标人针对报价需要说明的其他文件和说明————————————————</w:t>
      </w:r>
    </w:p>
    <w:p>
      <w:pPr>
        <w:tabs>
          <w:tab w:val="left" w:pos="3870"/>
          <w:tab w:val="left" w:pos="4085"/>
        </w:tabs>
        <w:adjustRightInd w:val="0"/>
        <w:snapToGrid w:val="0"/>
        <w:spacing w:line="300" w:lineRule="exact"/>
        <w:ind w:firstLine="420" w:firstLineChars="200"/>
        <w:jc w:val="left"/>
        <w:rPr>
          <w:rFonts w:ascii="宋体" w:hAnsi="宋体"/>
        </w:rPr>
      </w:pPr>
      <w:r>
        <w:rPr>
          <w:rFonts w:hint="eastAsia" w:ascii="宋体" w:hAnsi="宋体"/>
        </w:rPr>
        <w:t>（4）开标一览表——————————————————————————————</w:t>
      </w:r>
    </w:p>
    <w:p>
      <w:pPr>
        <w:adjustRightInd w:val="0"/>
        <w:snapToGrid w:val="0"/>
        <w:spacing w:before="156" w:beforeLines="50" w:line="300" w:lineRule="exact"/>
        <w:ind w:firstLine="411" w:firstLineChars="196"/>
        <w:jc w:val="left"/>
        <w:rPr>
          <w:rFonts w:ascii="宋体" w:hAnsi="宋体"/>
        </w:rPr>
      </w:pPr>
      <w:r>
        <w:rPr>
          <w:rFonts w:hint="eastAsia" w:ascii="宋体" w:hAnsi="宋体"/>
        </w:rPr>
        <w:t>二、资信及商务文件</w:t>
      </w:r>
    </w:p>
    <w:p>
      <w:pPr>
        <w:adjustRightInd w:val="0"/>
        <w:snapToGrid w:val="0"/>
        <w:spacing w:line="300" w:lineRule="exact"/>
        <w:ind w:firstLine="411" w:firstLineChars="196"/>
        <w:jc w:val="left"/>
        <w:rPr>
          <w:rFonts w:ascii="宋体" w:hAnsi="宋体"/>
        </w:rPr>
      </w:pPr>
      <w:r>
        <w:rPr>
          <w:rFonts w:hint="eastAsia" w:ascii="宋体" w:hAnsi="宋体"/>
        </w:rPr>
        <w:t>（5）投标声明书——————————————————————————————</w:t>
      </w:r>
    </w:p>
    <w:p>
      <w:pPr>
        <w:adjustRightInd w:val="0"/>
        <w:snapToGrid w:val="0"/>
        <w:spacing w:line="300" w:lineRule="exact"/>
        <w:ind w:firstLine="411" w:firstLineChars="196"/>
        <w:jc w:val="left"/>
        <w:rPr>
          <w:rFonts w:ascii="宋体" w:hAnsi="宋体"/>
        </w:rPr>
      </w:pPr>
      <w:r>
        <w:rPr>
          <w:rFonts w:hint="eastAsia" w:ascii="宋体" w:hAnsi="宋体"/>
        </w:rPr>
        <w:t>（6）法定代表人授权委托书及委托代理人身份证复印件—————————————</w:t>
      </w:r>
    </w:p>
    <w:p>
      <w:pPr>
        <w:adjustRightInd w:val="0"/>
        <w:snapToGrid w:val="0"/>
        <w:spacing w:line="300" w:lineRule="exact"/>
        <w:ind w:firstLine="411" w:firstLineChars="196"/>
        <w:jc w:val="left"/>
        <w:rPr>
          <w:rFonts w:ascii="宋体" w:hAnsi="宋体"/>
        </w:rPr>
      </w:pPr>
      <w:r>
        <w:rPr>
          <w:rFonts w:hint="eastAsia" w:ascii="宋体" w:hAnsi="宋体"/>
        </w:rPr>
        <w:t>（7）营业执照副本复印件——————————————————————————</w:t>
      </w:r>
    </w:p>
    <w:p>
      <w:pPr>
        <w:adjustRightInd w:val="0"/>
        <w:snapToGrid w:val="0"/>
        <w:spacing w:line="300" w:lineRule="exact"/>
        <w:ind w:firstLine="411" w:firstLineChars="196"/>
        <w:jc w:val="left"/>
        <w:rPr>
          <w:rFonts w:ascii="宋体" w:hAnsi="宋体"/>
        </w:rPr>
      </w:pPr>
      <w:r>
        <w:rPr>
          <w:rFonts w:hint="eastAsia" w:ascii="宋体" w:hAnsi="宋体"/>
        </w:rPr>
        <w:t>（8）税务登记证及组织机构代码证复印件（已办理三证合一的，不用提供）————</w:t>
      </w:r>
    </w:p>
    <w:p>
      <w:pPr>
        <w:adjustRightInd w:val="0"/>
        <w:snapToGrid w:val="0"/>
        <w:spacing w:line="300" w:lineRule="exact"/>
        <w:ind w:firstLine="411" w:firstLineChars="196"/>
        <w:jc w:val="left"/>
        <w:rPr>
          <w:rFonts w:ascii="宋体" w:hAnsi="宋体"/>
        </w:rPr>
      </w:pPr>
      <w:r>
        <w:rPr>
          <w:rFonts w:hint="eastAsia" w:ascii="宋体" w:hAnsi="宋体"/>
        </w:rPr>
        <w:t>（9）商务响应表——————————————————————————————</w:t>
      </w:r>
    </w:p>
    <w:p>
      <w:pPr>
        <w:adjustRightInd w:val="0"/>
        <w:snapToGrid w:val="0"/>
        <w:spacing w:line="300" w:lineRule="exact"/>
        <w:ind w:firstLine="411" w:firstLineChars="196"/>
        <w:jc w:val="left"/>
        <w:rPr>
          <w:rFonts w:ascii="宋体" w:hAnsi="宋体"/>
        </w:rPr>
      </w:pPr>
      <w:r>
        <w:rPr>
          <w:rFonts w:hint="eastAsia" w:ascii="宋体" w:hAnsi="宋体"/>
        </w:rPr>
        <w:t>（10）投标人投标截止日之前半年内连续三个月的依法缴纳税收[税费凭证复印件，或者依法缴纳税费或依法免缴税费的证明（复印件，原件备查）；无税额月份应提供税务部门出具的零申报证明]——</w:t>
      </w:r>
    </w:p>
    <w:p>
      <w:pPr>
        <w:adjustRightInd w:val="0"/>
        <w:snapToGrid w:val="0"/>
        <w:spacing w:line="300" w:lineRule="exact"/>
        <w:ind w:firstLine="411" w:firstLineChars="196"/>
        <w:jc w:val="left"/>
        <w:rPr>
          <w:rFonts w:ascii="宋体" w:hAnsi="宋体"/>
        </w:rPr>
      </w:pPr>
      <w:r>
        <w:rPr>
          <w:rFonts w:hint="eastAsia" w:ascii="宋体" w:hAnsi="宋体"/>
        </w:rPr>
        <w:t>（11）投标人投标截止日之前半年内连续三个月的社保缴费凭证或社保证明（社保证明必须经投标人所在地社保部门盖章确认）———————————————————————————</w:t>
      </w:r>
    </w:p>
    <w:p>
      <w:pPr>
        <w:adjustRightInd w:val="0"/>
        <w:snapToGrid w:val="0"/>
        <w:spacing w:line="300" w:lineRule="exact"/>
        <w:ind w:firstLine="411" w:firstLineChars="196"/>
        <w:jc w:val="left"/>
        <w:rPr>
          <w:rFonts w:ascii="宋体" w:hAnsi="宋体"/>
        </w:rPr>
      </w:pPr>
      <w:r>
        <w:rPr>
          <w:rFonts w:hint="eastAsia" w:ascii="宋体" w:hAnsi="宋体"/>
        </w:rPr>
        <w:t>（12）投标人2019年年度财务报表复印件———————————————————</w:t>
      </w:r>
    </w:p>
    <w:p>
      <w:pPr>
        <w:adjustRightInd w:val="0"/>
        <w:snapToGrid w:val="0"/>
        <w:spacing w:line="300" w:lineRule="exact"/>
        <w:ind w:firstLine="411" w:firstLineChars="196"/>
        <w:jc w:val="left"/>
        <w:rPr>
          <w:rFonts w:ascii="宋体" w:hAnsi="宋体"/>
        </w:rPr>
      </w:pPr>
      <w:r>
        <w:rPr>
          <w:rFonts w:hint="eastAsia" w:ascii="宋体" w:hAnsi="宋体"/>
        </w:rPr>
        <w:t>（13）在“信用中国”网站(www.creditchina.gov.cn)、中国政府采购网(www.ccgp.gov.cn)等渠道没有被列入失信被执行人、重大税收违法案件当事人名单、政府采购严重违法失信行为记录名单。（截图时间为投标截止时间前。）</w:t>
      </w:r>
    </w:p>
    <w:p>
      <w:pPr>
        <w:adjustRightInd w:val="0"/>
        <w:snapToGrid w:val="0"/>
        <w:spacing w:line="300" w:lineRule="exact"/>
        <w:ind w:firstLine="411" w:firstLineChars="196"/>
        <w:jc w:val="left"/>
        <w:rPr>
          <w:rFonts w:ascii="宋体" w:hAnsi="宋体"/>
        </w:rPr>
      </w:pPr>
      <w:r>
        <w:rPr>
          <w:rFonts w:hint="eastAsia" w:ascii="宋体" w:hAnsi="宋体"/>
        </w:rPr>
        <w:t>（14）类似成功案例的业绩—————————————————————————</w:t>
      </w:r>
    </w:p>
    <w:p>
      <w:pPr>
        <w:adjustRightInd w:val="0"/>
        <w:snapToGrid w:val="0"/>
        <w:spacing w:line="300" w:lineRule="exact"/>
        <w:ind w:firstLine="411" w:firstLineChars="196"/>
        <w:jc w:val="left"/>
        <w:rPr>
          <w:rFonts w:ascii="宋体" w:hAnsi="宋体"/>
        </w:rPr>
      </w:pPr>
      <w:r>
        <w:rPr>
          <w:rFonts w:hint="eastAsia" w:ascii="宋体" w:hAnsi="宋体"/>
        </w:rPr>
        <w:t>（15）其他特殊资质证书(如本地化服务能力等)————————————————</w:t>
      </w:r>
    </w:p>
    <w:p>
      <w:pPr>
        <w:adjustRightInd w:val="0"/>
        <w:snapToGrid w:val="0"/>
        <w:spacing w:line="300" w:lineRule="exact"/>
        <w:ind w:firstLine="411" w:firstLineChars="196"/>
        <w:jc w:val="left"/>
        <w:rPr>
          <w:rFonts w:ascii="宋体" w:hAnsi="宋体"/>
        </w:rPr>
      </w:pPr>
      <w:r>
        <w:rPr>
          <w:rFonts w:hint="eastAsia" w:ascii="宋体" w:hAnsi="宋体"/>
        </w:rPr>
        <w:t>（16）招标项目采购需求中要求必须提供的材料等（如：现场勘察材料）—————</w:t>
      </w:r>
    </w:p>
    <w:p>
      <w:pPr>
        <w:adjustRightInd w:val="0"/>
        <w:snapToGrid w:val="0"/>
        <w:spacing w:line="300" w:lineRule="exact"/>
        <w:ind w:firstLine="411" w:firstLineChars="196"/>
        <w:jc w:val="left"/>
        <w:rPr>
          <w:rFonts w:ascii="宋体" w:hAnsi="宋体"/>
        </w:rPr>
      </w:pPr>
      <w:r>
        <w:rPr>
          <w:rFonts w:hint="eastAsia" w:ascii="宋体" w:hAnsi="宋体"/>
        </w:rPr>
        <w:t>（17）投标人情况介绍———————————————————————————</w:t>
      </w:r>
    </w:p>
    <w:p>
      <w:pPr>
        <w:adjustRightInd w:val="0"/>
        <w:snapToGrid w:val="0"/>
        <w:spacing w:line="300" w:lineRule="exact"/>
        <w:ind w:firstLine="411" w:firstLineChars="196"/>
        <w:jc w:val="left"/>
        <w:rPr>
          <w:rFonts w:ascii="宋体" w:hAnsi="宋体"/>
          <w:bCs/>
        </w:rPr>
      </w:pPr>
      <w:r>
        <w:rPr>
          <w:rFonts w:hint="eastAsia" w:ascii="宋体" w:hAnsi="宋体"/>
          <w:bCs/>
        </w:rPr>
        <w:t>三、技术文件</w:t>
      </w:r>
    </w:p>
    <w:p>
      <w:pPr>
        <w:adjustRightInd w:val="0"/>
        <w:snapToGrid w:val="0"/>
        <w:spacing w:line="300" w:lineRule="exact"/>
        <w:ind w:left="420"/>
        <w:jc w:val="left"/>
        <w:rPr>
          <w:rFonts w:ascii="宋体" w:hAnsi="宋体" w:cs="Courier New"/>
        </w:rPr>
      </w:pPr>
      <w:r>
        <w:rPr>
          <w:rFonts w:hint="eastAsia" w:ascii="宋体" w:hAnsi="宋体"/>
        </w:rPr>
        <w:t>（18）技术响应表—————————————————————————————</w:t>
      </w:r>
    </w:p>
    <w:p>
      <w:pPr>
        <w:adjustRightInd w:val="0"/>
        <w:snapToGrid w:val="0"/>
        <w:spacing w:line="300" w:lineRule="exact"/>
        <w:ind w:left="420"/>
        <w:jc w:val="left"/>
        <w:rPr>
          <w:rFonts w:ascii="宋体" w:hAnsi="宋体" w:cs="Courier New"/>
        </w:rPr>
      </w:pPr>
      <w:r>
        <w:rPr>
          <w:rFonts w:hint="eastAsia" w:ascii="宋体" w:hAnsi="宋体"/>
        </w:rPr>
        <w:t>（19）</w:t>
      </w:r>
      <w:r>
        <w:rPr>
          <w:rFonts w:hint="eastAsia" w:ascii="宋体" w:hAnsi="宋体" w:cs="Courier New"/>
        </w:rPr>
        <w:t>项目服务方案</w:t>
      </w:r>
      <w:r>
        <w:rPr>
          <w:rFonts w:hint="eastAsia" w:ascii="宋体" w:hAnsi="宋体"/>
        </w:rPr>
        <w:t>————————————————————————————</w:t>
      </w:r>
    </w:p>
    <w:p>
      <w:pPr>
        <w:adjustRightInd w:val="0"/>
        <w:snapToGrid w:val="0"/>
        <w:spacing w:line="300" w:lineRule="exact"/>
        <w:ind w:left="420"/>
        <w:jc w:val="left"/>
        <w:rPr>
          <w:rFonts w:ascii="宋体" w:hAnsi="宋体" w:cs="Courier New"/>
        </w:rPr>
      </w:pPr>
      <w:r>
        <w:rPr>
          <w:rFonts w:hint="eastAsia" w:ascii="宋体" w:hAnsi="宋体"/>
        </w:rPr>
        <w:t>（20）</w:t>
      </w:r>
      <w:r>
        <w:rPr>
          <w:rFonts w:hint="eastAsia" w:ascii="宋体" w:hAnsi="宋体" w:cs="Courier New"/>
        </w:rPr>
        <w:t>实施方案和售后保障措施</w:t>
      </w:r>
      <w:r>
        <w:rPr>
          <w:rFonts w:hint="eastAsia" w:ascii="宋体" w:hAnsi="宋体"/>
        </w:rPr>
        <w:t>———————————————————————</w:t>
      </w:r>
    </w:p>
    <w:p>
      <w:pPr>
        <w:adjustRightInd w:val="0"/>
        <w:snapToGrid w:val="0"/>
        <w:spacing w:line="300" w:lineRule="exact"/>
        <w:ind w:left="420"/>
        <w:jc w:val="left"/>
        <w:rPr>
          <w:rFonts w:ascii="宋体" w:hAnsi="宋体" w:cs="Courier New"/>
        </w:rPr>
      </w:pPr>
      <w:r>
        <w:rPr>
          <w:rFonts w:hint="eastAsia" w:ascii="宋体" w:hAnsi="宋体"/>
        </w:rPr>
        <w:t>（21）</w:t>
      </w:r>
      <w:r>
        <w:rPr>
          <w:rFonts w:hint="eastAsia" w:ascii="宋体" w:hAnsi="宋体" w:cs="Courier New"/>
        </w:rPr>
        <w:t>投标人拥有主要设施和人力资源的情况及针对本项目拟投入人员情况；</w:t>
      </w:r>
      <w:r>
        <w:rPr>
          <w:rFonts w:hint="eastAsia" w:ascii="宋体" w:hAnsi="宋体"/>
        </w:rPr>
        <w:t>———</w:t>
      </w:r>
    </w:p>
    <w:p>
      <w:pPr>
        <w:adjustRightInd w:val="0"/>
        <w:snapToGrid w:val="0"/>
        <w:spacing w:line="300" w:lineRule="exact"/>
        <w:ind w:left="420"/>
        <w:jc w:val="left"/>
        <w:rPr>
          <w:rFonts w:ascii="宋体" w:hAnsi="宋体" w:cs="Courier New"/>
        </w:rPr>
      </w:pPr>
      <w:r>
        <w:rPr>
          <w:rFonts w:hint="eastAsia" w:ascii="宋体" w:hAnsi="宋体"/>
        </w:rPr>
        <w:t>（22）投标人对本项目的合理化建议和改进措施</w:t>
      </w:r>
      <w:r>
        <w:rPr>
          <w:rFonts w:hint="eastAsia" w:ascii="宋体" w:hAnsi="宋体" w:cs="Courier New"/>
        </w:rPr>
        <w:t>；</w:t>
      </w:r>
      <w:r>
        <w:rPr>
          <w:rFonts w:hint="eastAsia" w:ascii="宋体" w:hAnsi="宋体"/>
        </w:rPr>
        <w:t>———————————————</w:t>
      </w:r>
    </w:p>
    <w:p>
      <w:pPr>
        <w:pStyle w:val="62"/>
        <w:adjustRightInd w:val="0"/>
        <w:snapToGrid w:val="0"/>
        <w:spacing w:line="300" w:lineRule="exact"/>
        <w:ind w:firstLine="420" w:firstLineChars="200"/>
        <w:rPr>
          <w:rFonts w:ascii="宋体" w:hAnsi="宋体"/>
          <w:szCs w:val="21"/>
        </w:rPr>
      </w:pPr>
      <w:r>
        <w:rPr>
          <w:rFonts w:hint="eastAsia" w:ascii="宋体" w:hAnsi="宋体"/>
          <w:kern w:val="2"/>
          <w:sz w:val="21"/>
          <w:szCs w:val="21"/>
        </w:rPr>
        <w:t>（23）</w:t>
      </w:r>
      <w:r>
        <w:rPr>
          <w:rFonts w:hint="eastAsia" w:ascii="宋体" w:hAnsi="宋体" w:cs="Courier New"/>
          <w:kern w:val="2"/>
          <w:sz w:val="21"/>
          <w:szCs w:val="21"/>
        </w:rPr>
        <w:t>投标人需要说明的其他文件和说明；</w:t>
      </w:r>
      <w:r>
        <w:rPr>
          <w:rFonts w:hint="eastAsia" w:ascii="宋体" w:hAnsi="宋体"/>
          <w:szCs w:val="21"/>
        </w:rPr>
        <w:t>———————————————————</w:t>
      </w:r>
    </w:p>
    <w:p>
      <w:pPr>
        <w:adjustRightInd w:val="0"/>
        <w:snapToGrid w:val="0"/>
        <w:spacing w:before="156" w:beforeLines="50" w:after="50" w:line="300" w:lineRule="exact"/>
        <w:jc w:val="center"/>
        <w:rPr>
          <w:rFonts w:ascii="宋体" w:hAnsi="宋体"/>
          <w:b/>
        </w:rPr>
      </w:pPr>
      <w:r>
        <w:rPr>
          <w:rFonts w:hint="eastAsia" w:ascii="宋体" w:hAnsi="宋体"/>
          <w:b/>
        </w:rPr>
        <w:t>（本目录可根据公开招标采购文件要求必须提供的资料排序，其余资料酌情提供）</w:t>
      </w:r>
    </w:p>
    <w:p>
      <w:pPr>
        <w:adjustRightInd w:val="0"/>
        <w:snapToGrid w:val="0"/>
        <w:spacing w:before="156" w:beforeLines="50" w:after="50" w:line="300" w:lineRule="exact"/>
        <w:jc w:val="center"/>
        <w:rPr>
          <w:rFonts w:ascii="宋体" w:hAnsi="宋体"/>
          <w:b/>
        </w:rPr>
      </w:pPr>
    </w:p>
    <w:p>
      <w:pPr>
        <w:adjustRightInd w:val="0"/>
        <w:snapToGrid w:val="0"/>
        <w:spacing w:before="156" w:beforeLines="50" w:after="50" w:line="300" w:lineRule="exact"/>
        <w:jc w:val="center"/>
        <w:rPr>
          <w:rFonts w:ascii="宋体" w:hAnsi="宋体"/>
        </w:rPr>
      </w:pPr>
      <w:r>
        <w:rPr>
          <w:rFonts w:ascii="宋体" w:hAnsi="宋体"/>
        </w:rPr>
        <w:br w:type="page"/>
      </w:r>
    </w:p>
    <w:p>
      <w:pPr>
        <w:snapToGrid w:val="0"/>
        <w:spacing w:before="156" w:beforeLines="50" w:after="50" w:line="360" w:lineRule="exact"/>
        <w:rPr>
          <w:rFonts w:ascii="宋体" w:hAnsi="宋体"/>
          <w:b/>
          <w:bCs/>
          <w:sz w:val="32"/>
          <w:szCs w:val="32"/>
        </w:rPr>
      </w:pPr>
      <w:r>
        <w:rPr>
          <w:rFonts w:hint="eastAsia" w:ascii="宋体" w:hAnsi="宋体"/>
          <w:b/>
          <w:bCs/>
          <w:sz w:val="32"/>
          <w:szCs w:val="32"/>
        </w:rPr>
        <w:t>一、报价文件</w:t>
      </w:r>
    </w:p>
    <w:p>
      <w:pPr>
        <w:snapToGrid w:val="0"/>
        <w:spacing w:before="156" w:beforeLines="50" w:after="50" w:line="360" w:lineRule="exact"/>
        <w:rPr>
          <w:rFonts w:ascii="宋体" w:hAnsi="宋体"/>
          <w:bCs/>
          <w:sz w:val="24"/>
          <w:szCs w:val="20"/>
        </w:rPr>
      </w:pPr>
    </w:p>
    <w:p>
      <w:pPr>
        <w:snapToGrid w:val="0"/>
        <w:spacing w:before="156" w:beforeLines="50" w:after="50" w:line="360" w:lineRule="exact"/>
        <w:rPr>
          <w:rFonts w:ascii="宋体" w:hAnsi="宋体"/>
          <w:b/>
        </w:rPr>
      </w:pPr>
      <w:r>
        <w:rPr>
          <w:rFonts w:hint="eastAsia" w:ascii="宋体" w:hAnsi="宋体"/>
          <w:b/>
        </w:rPr>
        <w:t>1、投标函格式：</w:t>
      </w:r>
    </w:p>
    <w:p>
      <w:pPr>
        <w:snapToGrid w:val="0"/>
        <w:spacing w:before="156" w:beforeLines="50" w:after="50" w:line="360" w:lineRule="exact"/>
        <w:jc w:val="center"/>
        <w:rPr>
          <w:rFonts w:ascii="宋体" w:hAnsi="宋体"/>
          <w:b/>
        </w:rPr>
      </w:pPr>
      <w:r>
        <w:rPr>
          <w:rFonts w:hint="eastAsia" w:ascii="宋体" w:hAnsi="宋体"/>
          <w:b/>
        </w:rPr>
        <w:t>投 标 函</w:t>
      </w:r>
    </w:p>
    <w:p>
      <w:pPr>
        <w:snapToGrid w:val="0"/>
        <w:spacing w:before="156" w:beforeLines="50" w:after="50" w:line="360" w:lineRule="exact"/>
        <w:jc w:val="center"/>
        <w:rPr>
          <w:rFonts w:ascii="宋体" w:hAnsi="宋体"/>
          <w:b/>
        </w:rPr>
      </w:pPr>
    </w:p>
    <w:p>
      <w:pPr>
        <w:snapToGrid w:val="0"/>
        <w:spacing w:line="360" w:lineRule="exact"/>
        <w:rPr>
          <w:rFonts w:ascii="宋体" w:hAnsi="宋体"/>
        </w:rPr>
      </w:pPr>
      <w:r>
        <w:rPr>
          <w:rFonts w:hint="eastAsia" w:ascii="宋体" w:hAnsi="宋体"/>
        </w:rPr>
        <w:t>致：中资国际工程咨询集团有限责任公司</w:t>
      </w:r>
    </w:p>
    <w:p>
      <w:pPr>
        <w:snapToGrid w:val="0"/>
        <w:spacing w:line="360" w:lineRule="exact"/>
        <w:ind w:firstLine="480"/>
        <w:rPr>
          <w:rFonts w:ascii="宋体" w:hAnsi="宋体"/>
        </w:rPr>
      </w:pPr>
      <w:r>
        <w:rPr>
          <w:rFonts w:hint="eastAsia" w:ascii="宋体" w:hAnsi="宋体"/>
        </w:rPr>
        <w:t>根据贵方为</w:t>
      </w:r>
      <w:r>
        <w:rPr>
          <w:rFonts w:hint="eastAsia" w:ascii="宋体" w:hAnsi="宋体"/>
          <w:u w:val="single"/>
        </w:rPr>
        <w:t xml:space="preserve">                  </w:t>
      </w:r>
      <w:r>
        <w:rPr>
          <w:rFonts w:hint="eastAsia" w:ascii="宋体" w:hAnsi="宋体"/>
        </w:rPr>
        <w:t>项目的招标公告（项目编号：</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（全名）经正式授权并代表投标人</w:t>
      </w:r>
      <w:r>
        <w:rPr>
          <w:rFonts w:ascii="宋体" w:hAnsi="宋体"/>
          <w:u w:val="single"/>
        </w:rPr>
        <w:t xml:space="preserve">      </w:t>
      </w:r>
      <w:r>
        <w:rPr>
          <w:rFonts w:hint="eastAsia" w:ascii="宋体" w:hAnsi="宋体"/>
        </w:rPr>
        <w:t>（投标人名称）提交投标文件(内含:资信/商务文件、技术文件、报价文件)正本一份、副本六份</w:t>
      </w:r>
    </w:p>
    <w:p>
      <w:pPr>
        <w:snapToGrid w:val="0"/>
        <w:spacing w:line="360" w:lineRule="exact"/>
        <w:ind w:firstLine="420" w:firstLineChars="200"/>
        <w:rPr>
          <w:rFonts w:ascii="宋体" w:hAnsi="宋体"/>
        </w:rPr>
      </w:pPr>
      <w:r>
        <w:rPr>
          <w:rFonts w:hint="eastAsia" w:ascii="宋体" w:hAnsi="宋体"/>
        </w:rPr>
        <w:t>据此函，签字代表宣布同意如下：</w:t>
      </w:r>
    </w:p>
    <w:p>
      <w:pPr>
        <w:snapToGrid w:val="0"/>
        <w:spacing w:line="360" w:lineRule="exact"/>
        <w:ind w:firstLine="420" w:firstLineChars="200"/>
        <w:rPr>
          <w:rFonts w:ascii="宋体" w:hAnsi="宋体"/>
        </w:rPr>
      </w:pPr>
      <w:r>
        <w:rPr>
          <w:rFonts w:hint="eastAsia" w:ascii="宋体" w:hAnsi="宋体"/>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rPr>
      </w:pPr>
      <w:r>
        <w:rPr>
          <w:rFonts w:hint="eastAsia" w:ascii="宋体" w:hAnsi="宋体"/>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rPr>
      </w:pPr>
      <w:r>
        <w:rPr>
          <w:rFonts w:hint="eastAsia" w:ascii="宋体" w:hAnsi="宋体"/>
        </w:rPr>
        <w:t xml:space="preserve">3.本投标有效期自开标日起 </w:t>
      </w:r>
      <w:r>
        <w:rPr>
          <w:rFonts w:hint="eastAsia" w:ascii="宋体" w:hAnsi="宋体"/>
          <w:u w:val="single"/>
        </w:rPr>
        <w:t xml:space="preserve"> 90 </w:t>
      </w:r>
      <w:r>
        <w:rPr>
          <w:rFonts w:hint="eastAsia" w:ascii="宋体" w:hAnsi="宋体"/>
        </w:rPr>
        <w:t>个日历日。</w:t>
      </w:r>
    </w:p>
    <w:p>
      <w:pPr>
        <w:snapToGrid w:val="0"/>
        <w:spacing w:line="360" w:lineRule="exact"/>
        <w:ind w:firstLine="420" w:firstLineChars="200"/>
        <w:rPr>
          <w:rFonts w:ascii="宋体" w:hAnsi="宋体"/>
        </w:rPr>
      </w:pPr>
      <w:r>
        <w:rPr>
          <w:rFonts w:hint="eastAsia" w:ascii="宋体" w:hAnsi="宋体"/>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rPr>
      </w:pPr>
      <w:r>
        <w:rPr>
          <w:rFonts w:hint="eastAsia" w:ascii="宋体" w:hAnsi="宋体"/>
        </w:rPr>
        <w:t>5.投标人同意按照贵方要求提供与投标有关的一切数据或资料。</w:t>
      </w:r>
    </w:p>
    <w:p>
      <w:pPr>
        <w:snapToGrid w:val="0"/>
        <w:spacing w:line="360" w:lineRule="exact"/>
        <w:ind w:firstLine="420" w:firstLineChars="200"/>
        <w:rPr>
          <w:rFonts w:ascii="宋体" w:hAnsi="宋体"/>
        </w:rPr>
      </w:pPr>
      <w:r>
        <w:rPr>
          <w:rFonts w:hint="eastAsia" w:ascii="宋体" w:hAnsi="宋体"/>
        </w:rPr>
        <w:t>6.与本投标有关的一切正式往来信函请寄：</w:t>
      </w:r>
    </w:p>
    <w:p>
      <w:pPr>
        <w:snapToGrid w:val="0"/>
        <w:spacing w:line="360" w:lineRule="exact"/>
        <w:rPr>
          <w:rFonts w:ascii="宋体" w:hAnsi="宋体"/>
        </w:rPr>
      </w:pPr>
      <w:r>
        <w:rPr>
          <w:rFonts w:hint="eastAsia" w:ascii="宋体" w:hAnsi="宋体"/>
        </w:rPr>
        <w:t>地址：__________</w:t>
      </w:r>
      <w:r>
        <w:rPr>
          <w:rFonts w:hint="eastAsia" w:ascii="宋体" w:hAnsi="宋体"/>
          <w:u w:val="single"/>
        </w:rPr>
        <w:t xml:space="preserve">        _</w:t>
      </w:r>
      <w:r>
        <w:rPr>
          <w:rFonts w:hint="eastAsia" w:ascii="宋体" w:hAnsi="宋体"/>
        </w:rPr>
        <w:t>____邮编：__________   电话：______________</w:t>
      </w:r>
    </w:p>
    <w:p>
      <w:pPr>
        <w:snapToGrid w:val="0"/>
        <w:spacing w:line="360" w:lineRule="exact"/>
        <w:rPr>
          <w:rFonts w:ascii="宋体" w:hAnsi="宋体"/>
        </w:rPr>
      </w:pPr>
      <w:r>
        <w:rPr>
          <w:rFonts w:hint="eastAsia" w:ascii="宋体" w:hAnsi="宋体"/>
        </w:rPr>
        <w:t>传真：______________投标人代表姓名 ___________  职务：______</w:t>
      </w:r>
      <w:r>
        <w:rPr>
          <w:rFonts w:hint="eastAsia" w:ascii="宋体" w:hAnsi="宋体"/>
          <w:u w:val="single"/>
        </w:rPr>
        <w:t xml:space="preserve"> </w:t>
      </w:r>
      <w:r>
        <w:rPr>
          <w:rFonts w:hint="eastAsia" w:ascii="宋体" w:hAnsi="宋体"/>
        </w:rPr>
        <w:t>_______</w:t>
      </w:r>
    </w:p>
    <w:p>
      <w:pPr>
        <w:snapToGrid w:val="0"/>
        <w:spacing w:line="360" w:lineRule="exact"/>
        <w:rPr>
          <w:rFonts w:ascii="宋体" w:hAnsi="宋体"/>
        </w:rPr>
      </w:pPr>
      <w:r>
        <w:rPr>
          <w:rFonts w:hint="eastAsia" w:ascii="宋体" w:hAnsi="宋体"/>
        </w:rPr>
        <w:t>投标人名称(公章):___________________</w:t>
      </w:r>
    </w:p>
    <w:p>
      <w:pPr>
        <w:snapToGrid w:val="0"/>
        <w:spacing w:line="360" w:lineRule="exact"/>
        <w:rPr>
          <w:rFonts w:ascii="宋体" w:hAnsi="宋体"/>
        </w:rPr>
      </w:pPr>
      <w:r>
        <w:rPr>
          <w:rFonts w:hint="eastAsia" w:ascii="宋体" w:hAnsi="宋体"/>
        </w:rPr>
        <w:t>开户银行：</w:t>
      </w:r>
      <w:r>
        <w:rPr>
          <w:rFonts w:hint="eastAsia" w:ascii="宋体" w:hAnsi="宋体"/>
          <w:u w:val="single"/>
        </w:rPr>
        <w:t xml:space="preserve">                      </w:t>
      </w:r>
      <w:r>
        <w:rPr>
          <w:rFonts w:hint="eastAsia" w:ascii="宋体" w:hAnsi="宋体"/>
        </w:rPr>
        <w:t xml:space="preserve">   银行帐号：</w:t>
      </w:r>
      <w:r>
        <w:rPr>
          <w:rFonts w:hint="eastAsia" w:ascii="宋体" w:hAnsi="宋体"/>
          <w:u w:val="single"/>
        </w:rPr>
        <w:t xml:space="preserve">                    </w:t>
      </w:r>
      <w:r>
        <w:rPr>
          <w:rFonts w:hint="eastAsia" w:ascii="宋体" w:hAnsi="宋体"/>
        </w:rPr>
        <w:t xml:space="preserve"> </w:t>
      </w:r>
    </w:p>
    <w:p>
      <w:pPr>
        <w:snapToGrid w:val="0"/>
        <w:spacing w:line="360" w:lineRule="exact"/>
        <w:rPr>
          <w:rFonts w:ascii="宋体" w:hAnsi="宋体"/>
        </w:rPr>
      </w:pPr>
    </w:p>
    <w:p>
      <w:pPr>
        <w:snapToGrid w:val="0"/>
        <w:spacing w:line="360" w:lineRule="exact"/>
        <w:rPr>
          <w:rFonts w:ascii="宋体" w:hAnsi="宋体"/>
          <w:u w:val="single"/>
        </w:rPr>
      </w:pPr>
      <w:r>
        <w:rPr>
          <w:rFonts w:hint="eastAsia" w:ascii="宋体" w:hAnsi="宋体"/>
        </w:rPr>
        <w:t xml:space="preserve">              法定代表人签字：</w:t>
      </w:r>
      <w:r>
        <w:rPr>
          <w:rFonts w:hint="eastAsia" w:ascii="宋体" w:hAnsi="宋体"/>
          <w:u w:val="single"/>
        </w:rPr>
        <w:t xml:space="preserve">             </w:t>
      </w:r>
    </w:p>
    <w:p>
      <w:pPr>
        <w:snapToGrid w:val="0"/>
        <w:spacing w:line="360" w:lineRule="exact"/>
        <w:jc w:val="center"/>
        <w:rPr>
          <w:rFonts w:ascii="宋体" w:hAnsi="宋体"/>
        </w:rPr>
      </w:pPr>
      <w:r>
        <w:rPr>
          <w:rFonts w:hint="eastAsia" w:ascii="宋体" w:hAnsi="宋体"/>
        </w:rPr>
        <w:t xml:space="preserve">         授权代表签字:___________                      日期:_____年___月___日</w:t>
      </w:r>
    </w:p>
    <w:p>
      <w:pPr>
        <w:pStyle w:val="37"/>
        <w:snapToGrid w:val="0"/>
        <w:spacing w:before="295" w:after="295" w:line="360" w:lineRule="exact"/>
        <w:rPr>
          <w:rFonts w:hAnsi="宋体"/>
        </w:rPr>
      </w:pPr>
    </w:p>
    <w:p>
      <w:pPr>
        <w:snapToGrid w:val="0"/>
        <w:spacing w:before="156" w:beforeLines="50" w:after="50" w:line="360" w:lineRule="exact"/>
        <w:rPr>
          <w:rFonts w:ascii="宋体" w:hAnsi="宋体"/>
          <w:b/>
        </w:rPr>
      </w:pPr>
    </w:p>
    <w:p>
      <w:pPr>
        <w:snapToGrid w:val="0"/>
        <w:spacing w:before="156" w:beforeLines="50" w:after="50" w:line="360" w:lineRule="exact"/>
        <w:rPr>
          <w:rFonts w:ascii="宋体" w:hAnsi="宋体"/>
          <w:b/>
        </w:rPr>
      </w:pPr>
      <w:r>
        <w:rPr>
          <w:rFonts w:ascii="宋体" w:hAnsi="宋体"/>
          <w:b/>
        </w:rPr>
        <w:br w:type="page"/>
      </w:r>
      <w:r>
        <w:rPr>
          <w:rFonts w:hint="eastAsia" w:ascii="宋体" w:hAnsi="宋体"/>
          <w:b/>
        </w:rPr>
        <w:t xml:space="preserve">2、投标报价明细表格式：       </w:t>
      </w:r>
    </w:p>
    <w:p>
      <w:pPr>
        <w:pStyle w:val="37"/>
        <w:snapToGrid w:val="0"/>
        <w:spacing w:before="295" w:after="295" w:line="260" w:lineRule="exact"/>
        <w:jc w:val="center"/>
        <w:rPr>
          <w:rFonts w:hAnsi="宋体"/>
          <w:b/>
          <w:sz w:val="28"/>
          <w:szCs w:val="28"/>
        </w:rPr>
      </w:pPr>
      <w:r>
        <w:rPr>
          <w:rFonts w:hint="eastAsia" w:hAnsi="宋体"/>
          <w:b/>
          <w:sz w:val="28"/>
          <w:szCs w:val="28"/>
        </w:rPr>
        <w:t xml:space="preserve"> 投标报价明细表</w:t>
      </w:r>
    </w:p>
    <w:tbl>
      <w:tblPr>
        <w:tblStyle w:val="7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单项合价（元）</w:t>
            </w:r>
          </w:p>
          <w:p>
            <w:pPr>
              <w:rPr>
                <w:rFonts w:ascii="宋体" w:hAnsi="宋体"/>
              </w:rPr>
            </w:pPr>
            <w:r>
              <w:rPr>
                <w:rFonts w:ascii="宋体" w:hAnsi="宋体"/>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报价合计（包含税费等所有费用）：（大写）人民币</w:t>
            </w:r>
            <w:r>
              <w:rPr>
                <w:rFonts w:hint="eastAsia" w:ascii="宋体" w:hAnsi="宋体"/>
              </w:rPr>
              <w:t>：</w:t>
            </w:r>
            <w:r>
              <w:rPr>
                <w:rFonts w:ascii="宋体" w:hAnsi="宋体"/>
                <w:u w:val="single"/>
              </w:rPr>
              <w:t xml:space="preserve">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u w:val="single"/>
              </w:rPr>
              <w:t>　　</w:t>
            </w:r>
            <w:r>
              <w:rPr>
                <w:rFonts w:ascii="宋体" w:hAnsi="宋体"/>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日期：</w:t>
            </w:r>
          </w:p>
        </w:tc>
      </w:tr>
    </w:tbl>
    <w:p>
      <w:pPr>
        <w:snapToGrid w:val="0"/>
        <w:spacing w:before="50" w:after="50" w:line="360" w:lineRule="exact"/>
        <w:rPr>
          <w:rFonts w:ascii="宋体" w:hAnsi="宋体"/>
          <w:spacing w:val="20"/>
        </w:rPr>
      </w:pPr>
      <w:r>
        <w:rPr>
          <w:rFonts w:hint="eastAsia" w:ascii="宋体" w:hAnsi="宋体"/>
          <w:spacing w:val="20"/>
        </w:rPr>
        <w:t xml:space="preserve">    注：表格内容均需按要求填写并盖章，不得留空，否则按投标无效处理。</w:t>
      </w:r>
    </w:p>
    <w:p>
      <w:pPr>
        <w:snapToGrid w:val="0"/>
        <w:spacing w:before="50" w:after="50" w:line="360" w:lineRule="exact"/>
        <w:rPr>
          <w:rFonts w:ascii="宋体" w:hAnsi="宋体"/>
          <w:spacing w:val="20"/>
          <w:u w:val="single"/>
        </w:rPr>
      </w:pPr>
    </w:p>
    <w:p>
      <w:pPr>
        <w:pStyle w:val="37"/>
        <w:snapToGrid w:val="0"/>
        <w:spacing w:before="295" w:after="295" w:line="260" w:lineRule="exact"/>
        <w:rPr>
          <w:rFonts w:hAnsi="宋体"/>
          <w:b/>
        </w:rPr>
      </w:pPr>
    </w:p>
    <w:p>
      <w:pPr>
        <w:snapToGrid w:val="0"/>
        <w:spacing w:before="156" w:beforeLines="50" w:after="50" w:line="360" w:lineRule="exact"/>
        <w:rPr>
          <w:rFonts w:ascii="宋体" w:hAnsi="宋体"/>
          <w:b/>
        </w:rPr>
      </w:pPr>
      <w:r>
        <w:rPr>
          <w:rFonts w:hint="eastAsia" w:ascii="宋体" w:hAnsi="宋体"/>
          <w:b/>
        </w:rPr>
        <w:t>3、投标人针对报价需要说明的其他文件和说明（格式自拟）</w:t>
      </w:r>
    </w:p>
    <w:p>
      <w:pPr>
        <w:snapToGrid w:val="0"/>
        <w:spacing w:before="156" w:beforeLines="50" w:after="50" w:line="360" w:lineRule="exact"/>
        <w:rPr>
          <w:rFonts w:ascii="宋体" w:hAnsi="宋体"/>
          <w:b/>
        </w:rPr>
      </w:pPr>
    </w:p>
    <w:p>
      <w:pPr>
        <w:snapToGrid w:val="0"/>
        <w:spacing w:before="156" w:beforeLines="50" w:after="50" w:line="360" w:lineRule="exact"/>
        <w:rPr>
          <w:rFonts w:ascii="宋体" w:hAnsi="宋体"/>
          <w:b/>
        </w:rPr>
      </w:pPr>
      <w:r>
        <w:rPr>
          <w:rFonts w:hint="eastAsia" w:ascii="宋体" w:hAnsi="宋体"/>
          <w:b/>
        </w:rPr>
        <w:t>4、开标一览表信封封面格式（可以手写，密封）</w:t>
      </w:r>
    </w:p>
    <w:p>
      <w:pPr>
        <w:snapToGrid w:val="0"/>
        <w:spacing w:before="50" w:after="50" w:line="360" w:lineRule="exact"/>
        <w:rPr>
          <w:rFonts w:ascii="宋体" w:hAnsi="宋体"/>
        </w:rPr>
      </w:pPr>
      <w:r>
        <w:rPr>
          <w:rFonts w:hint="eastAsia" w:ascii="宋体" w:hAnsi="宋体"/>
        </w:rPr>
        <w:t xml:space="preserve">                         </w:t>
      </w:r>
    </w:p>
    <w:p>
      <w:pPr>
        <w:snapToGrid w:val="0"/>
        <w:spacing w:before="50" w:after="50" w:line="360" w:lineRule="exact"/>
        <w:jc w:val="center"/>
        <w:rPr>
          <w:rFonts w:ascii="宋体" w:hAnsi="宋体"/>
          <w:b/>
        </w:rPr>
      </w:pPr>
      <w:r>
        <w:rPr>
          <w:rFonts w:hint="eastAsia" w:ascii="宋体" w:hAnsi="宋体"/>
          <w:b/>
        </w:rPr>
        <w:t>开标一览表文件</w:t>
      </w:r>
    </w:p>
    <w:p>
      <w:pPr>
        <w:snapToGrid w:val="0"/>
        <w:spacing w:before="50" w:after="50" w:line="360" w:lineRule="exact"/>
        <w:jc w:val="center"/>
        <w:rPr>
          <w:rFonts w:ascii="宋体" w:hAnsi="宋体"/>
          <w:b/>
        </w:rPr>
      </w:pPr>
    </w:p>
    <w:p>
      <w:pPr>
        <w:pStyle w:val="37"/>
        <w:spacing w:line="480" w:lineRule="auto"/>
        <w:ind w:firstLine="420" w:firstLineChars="200"/>
        <w:rPr>
          <w:rFonts w:hAnsi="宋体"/>
          <w:sz w:val="21"/>
          <w:u w:val="single"/>
        </w:rPr>
      </w:pPr>
      <w:r>
        <w:rPr>
          <w:rFonts w:hint="eastAsia" w:hAnsi="宋体"/>
          <w:sz w:val="21"/>
        </w:rPr>
        <w:t>（1）采购项目名称：</w:t>
      </w:r>
      <w:r>
        <w:rPr>
          <w:rFonts w:hint="eastAsia" w:hAnsi="宋体"/>
          <w:sz w:val="21"/>
          <w:u w:val="single"/>
        </w:rPr>
        <w:t xml:space="preserve">                  </w:t>
      </w:r>
      <w:r>
        <w:rPr>
          <w:rFonts w:hAnsi="宋体"/>
          <w:sz w:val="21"/>
          <w:u w:val="single"/>
        </w:rPr>
        <w:t xml:space="preserve">  </w:t>
      </w:r>
    </w:p>
    <w:p>
      <w:pPr>
        <w:pStyle w:val="37"/>
        <w:spacing w:line="480" w:lineRule="auto"/>
        <w:ind w:firstLine="420" w:firstLineChars="200"/>
        <w:rPr>
          <w:rFonts w:hAnsi="宋体"/>
          <w:sz w:val="21"/>
          <w:u w:val="single"/>
        </w:rPr>
      </w:pPr>
      <w:r>
        <w:rPr>
          <w:rFonts w:hint="eastAsia" w:hAnsi="宋体"/>
          <w:sz w:val="21"/>
        </w:rPr>
        <w:t>（2）采购项目编号：</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p>
    <w:p>
      <w:pPr>
        <w:pStyle w:val="37"/>
        <w:spacing w:line="480" w:lineRule="auto"/>
        <w:ind w:firstLine="420" w:firstLineChars="200"/>
        <w:rPr>
          <w:rFonts w:hAnsi="宋体"/>
          <w:sz w:val="21"/>
        </w:rPr>
      </w:pPr>
      <w:r>
        <w:rPr>
          <w:rFonts w:hint="eastAsia" w:hAnsi="宋体"/>
          <w:sz w:val="21"/>
        </w:rPr>
        <w:t>（3）分标号：</w:t>
      </w:r>
      <w:r>
        <w:rPr>
          <w:rFonts w:hint="eastAsia" w:hAnsi="宋体"/>
          <w:sz w:val="21"/>
          <w:u w:val="single"/>
        </w:rPr>
        <w:t xml:space="preserve"> </w:t>
      </w:r>
      <w:r>
        <w:rPr>
          <w:rFonts w:hAnsi="宋体"/>
          <w:sz w:val="21"/>
          <w:u w:val="single"/>
        </w:rPr>
        <w:t xml:space="preserve">                         </w:t>
      </w:r>
    </w:p>
    <w:p>
      <w:pPr>
        <w:pStyle w:val="37"/>
        <w:spacing w:line="480" w:lineRule="auto"/>
        <w:ind w:firstLine="420" w:firstLineChars="200"/>
        <w:rPr>
          <w:rFonts w:hAnsi="宋体"/>
          <w:sz w:val="21"/>
          <w:u w:val="single"/>
        </w:rPr>
      </w:pPr>
      <w:r>
        <w:rPr>
          <w:rFonts w:hint="eastAsia" w:hAnsi="宋体"/>
          <w:sz w:val="21"/>
        </w:rPr>
        <w:t>（</w:t>
      </w:r>
      <w:r>
        <w:rPr>
          <w:rFonts w:hAnsi="宋体"/>
          <w:sz w:val="21"/>
        </w:rPr>
        <w:t>4</w:t>
      </w:r>
      <w:r>
        <w:rPr>
          <w:rFonts w:hint="eastAsia" w:hAnsi="宋体"/>
          <w:sz w:val="21"/>
        </w:rPr>
        <w:t>）投标单位：</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p>
    <w:p>
      <w:pPr>
        <w:snapToGrid w:val="0"/>
        <w:spacing w:before="50" w:after="50" w:line="480" w:lineRule="auto"/>
        <w:ind w:firstLine="420" w:firstLineChars="200"/>
        <w:rPr>
          <w:rFonts w:ascii="宋体" w:hAnsi="宋体"/>
        </w:rPr>
      </w:pPr>
      <w:r>
        <w:rPr>
          <w:rFonts w:hint="eastAsia" w:ascii="宋体" w:hAnsi="宋体"/>
        </w:rPr>
        <w:t>（</w:t>
      </w:r>
      <w:r>
        <w:rPr>
          <w:rFonts w:ascii="宋体" w:hAnsi="宋体"/>
        </w:rPr>
        <w:t>5</w:t>
      </w:r>
      <w:r>
        <w:rPr>
          <w:rFonts w:hint="eastAsia" w:ascii="宋体" w:hAnsi="宋体"/>
        </w:rPr>
        <w:t>）注明“开标时才能启封”</w:t>
      </w:r>
    </w:p>
    <w:p>
      <w:pPr>
        <w:snapToGrid w:val="0"/>
        <w:spacing w:before="50" w:after="50" w:line="360" w:lineRule="exact"/>
        <w:rPr>
          <w:rFonts w:ascii="宋体" w:hAnsi="宋体"/>
          <w:b/>
        </w:rPr>
      </w:pPr>
      <w:r>
        <w:rPr>
          <w:rFonts w:ascii="宋体" w:hAnsi="宋体"/>
          <w:b/>
        </w:rPr>
        <w:br w:type="page"/>
      </w:r>
      <w:r>
        <w:rPr>
          <w:rFonts w:hint="eastAsia" w:ascii="宋体" w:hAnsi="宋体"/>
          <w:b/>
        </w:rPr>
        <w:t>开标一览表（另一文件袋单独封装、单独递交）</w:t>
      </w:r>
    </w:p>
    <w:p>
      <w:pPr>
        <w:snapToGrid w:val="0"/>
        <w:spacing w:before="50" w:after="50" w:line="360" w:lineRule="exact"/>
        <w:jc w:val="center"/>
        <w:rPr>
          <w:rFonts w:ascii="宋体" w:hAnsi="宋体"/>
          <w:b/>
        </w:rPr>
      </w:pPr>
      <w:r>
        <w:rPr>
          <w:rFonts w:hint="eastAsia" w:ascii="宋体" w:hAnsi="宋体"/>
          <w:b/>
        </w:rPr>
        <w:t>开标一览表</w:t>
      </w:r>
    </w:p>
    <w:p>
      <w:pPr>
        <w:snapToGrid w:val="0"/>
        <w:spacing w:before="50" w:after="50" w:line="360" w:lineRule="exact"/>
        <w:jc w:val="center"/>
        <w:rPr>
          <w:rFonts w:ascii="宋体" w:hAnsi="宋体"/>
          <w:b/>
        </w:rPr>
      </w:pPr>
    </w:p>
    <w:p>
      <w:pPr>
        <w:snapToGrid w:val="0"/>
        <w:spacing w:before="50" w:after="50" w:line="360" w:lineRule="exact"/>
        <w:rPr>
          <w:rFonts w:ascii="宋体" w:hAnsi="宋体"/>
          <w:u w:val="single"/>
        </w:rPr>
      </w:pPr>
      <w:r>
        <w:rPr>
          <w:rFonts w:hint="eastAsia" w:ascii="宋体" w:hAnsi="宋体"/>
        </w:rPr>
        <w:t>招标编号：</w:t>
      </w:r>
      <w:r>
        <w:rPr>
          <w:rFonts w:hint="eastAsia" w:ascii="宋体" w:hAnsi="宋体"/>
          <w:u w:val="single"/>
        </w:rPr>
        <w:t xml:space="preserve">                   </w:t>
      </w:r>
      <w:r>
        <w:rPr>
          <w:rFonts w:hint="eastAsia" w:ascii="宋体" w:hAnsi="宋体"/>
        </w:rPr>
        <w:t xml:space="preserve">            </w:t>
      </w:r>
    </w:p>
    <w:p>
      <w:pPr>
        <w:snapToGrid w:val="0"/>
        <w:spacing w:before="50" w:after="50" w:line="360" w:lineRule="exact"/>
        <w:rPr>
          <w:rFonts w:ascii="宋体" w:hAnsi="宋体"/>
        </w:rPr>
      </w:pPr>
      <w:r>
        <w:rPr>
          <w:rFonts w:hint="eastAsia" w:ascii="宋体" w:hAnsi="宋体"/>
        </w:rPr>
        <w:t>投标人名称：</w:t>
      </w:r>
      <w:r>
        <w:rPr>
          <w:rFonts w:hint="eastAsia" w:ascii="宋体" w:hAnsi="宋体"/>
          <w:u w:val="single"/>
        </w:rPr>
        <w:t xml:space="preserve">                     </w:t>
      </w:r>
      <w:r>
        <w:rPr>
          <w:rFonts w:hint="eastAsia" w:ascii="宋体" w:hAnsi="宋体"/>
        </w:rPr>
        <w:t xml:space="preserve">                                金额单位：人民币（元）</w:t>
      </w:r>
    </w:p>
    <w:p>
      <w:pPr>
        <w:snapToGrid w:val="0"/>
        <w:spacing w:before="50" w:after="50" w:line="360" w:lineRule="exact"/>
        <w:rPr>
          <w:rFonts w:ascii="宋体" w:hAnsi="宋体"/>
        </w:rPr>
      </w:pPr>
    </w:p>
    <w:tbl>
      <w:tblPr>
        <w:tblStyle w:val="7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38"/>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pPr>
              <w:pStyle w:val="37"/>
              <w:jc w:val="center"/>
              <w:rPr>
                <w:rFonts w:hAnsi="宋体"/>
                <w:spacing w:val="-20"/>
              </w:rPr>
            </w:pPr>
            <w:r>
              <w:rPr>
                <w:rFonts w:hint="eastAsia" w:hAnsi="宋体"/>
                <w:spacing w:val="-20"/>
              </w:rPr>
              <w:t>序号</w:t>
            </w:r>
          </w:p>
        </w:tc>
        <w:tc>
          <w:tcPr>
            <w:tcW w:w="1638" w:type="dxa"/>
            <w:vAlign w:val="center"/>
          </w:tcPr>
          <w:p>
            <w:pPr>
              <w:pStyle w:val="37"/>
              <w:jc w:val="center"/>
              <w:rPr>
                <w:rFonts w:hAnsi="宋体"/>
                <w:spacing w:val="-20"/>
              </w:rPr>
            </w:pPr>
            <w:r>
              <w:rPr>
                <w:rFonts w:hint="eastAsia" w:hAnsi="宋体"/>
                <w:spacing w:val="-20"/>
              </w:rPr>
              <w:t>名称</w:t>
            </w:r>
          </w:p>
        </w:tc>
        <w:tc>
          <w:tcPr>
            <w:tcW w:w="2520" w:type="dxa"/>
            <w:vAlign w:val="center"/>
          </w:tcPr>
          <w:p>
            <w:pPr>
              <w:pStyle w:val="37"/>
              <w:jc w:val="center"/>
              <w:rPr>
                <w:rFonts w:hAnsi="宋体"/>
                <w:spacing w:val="-20"/>
              </w:rPr>
            </w:pPr>
            <w:r>
              <w:rPr>
                <w:rFonts w:hint="eastAsia" w:hAnsi="宋体"/>
              </w:rPr>
              <w:t>服务项目要求(或技术参数需求)</w:t>
            </w:r>
          </w:p>
        </w:tc>
        <w:tc>
          <w:tcPr>
            <w:tcW w:w="735" w:type="dxa"/>
            <w:vAlign w:val="center"/>
          </w:tcPr>
          <w:p>
            <w:pPr>
              <w:pStyle w:val="37"/>
              <w:jc w:val="center"/>
              <w:rPr>
                <w:rFonts w:hAnsi="宋体"/>
                <w:spacing w:val="-20"/>
              </w:rPr>
            </w:pPr>
            <w:r>
              <w:rPr>
                <w:rFonts w:hint="eastAsia" w:hAnsi="宋体"/>
                <w:spacing w:val="-20"/>
              </w:rPr>
              <w:t>数量</w:t>
            </w:r>
          </w:p>
          <w:p>
            <w:pPr>
              <w:pStyle w:val="37"/>
              <w:jc w:val="center"/>
              <w:rPr>
                <w:rFonts w:hAnsi="宋体"/>
                <w:spacing w:val="-20"/>
              </w:rPr>
            </w:pPr>
            <w:r>
              <w:rPr>
                <w:rFonts w:hint="eastAsia" w:hAnsi="宋体"/>
                <w:spacing w:val="-20"/>
              </w:rPr>
              <w:t>①</w:t>
            </w:r>
          </w:p>
        </w:tc>
        <w:tc>
          <w:tcPr>
            <w:tcW w:w="1155" w:type="dxa"/>
            <w:vAlign w:val="center"/>
          </w:tcPr>
          <w:p>
            <w:pPr>
              <w:pStyle w:val="37"/>
              <w:jc w:val="center"/>
              <w:rPr>
                <w:rFonts w:hAnsi="宋体"/>
              </w:rPr>
            </w:pPr>
            <w:r>
              <w:rPr>
                <w:rFonts w:hint="eastAsia" w:hAnsi="宋体"/>
              </w:rPr>
              <w:t>单价(元)</w:t>
            </w:r>
          </w:p>
          <w:p>
            <w:pPr>
              <w:pStyle w:val="37"/>
              <w:jc w:val="center"/>
              <w:rPr>
                <w:rFonts w:hAnsi="宋体"/>
              </w:rPr>
            </w:pPr>
            <w:r>
              <w:rPr>
                <w:rFonts w:hint="eastAsia" w:hAnsi="宋体"/>
              </w:rPr>
              <w:t>②</w:t>
            </w:r>
          </w:p>
        </w:tc>
        <w:tc>
          <w:tcPr>
            <w:tcW w:w="1575" w:type="dxa"/>
            <w:vAlign w:val="center"/>
          </w:tcPr>
          <w:p>
            <w:pPr>
              <w:pStyle w:val="37"/>
              <w:jc w:val="center"/>
              <w:rPr>
                <w:rFonts w:hAnsi="宋体"/>
              </w:rPr>
            </w:pPr>
            <w:r>
              <w:rPr>
                <w:rFonts w:hint="eastAsia" w:hAnsi="宋体"/>
              </w:rPr>
              <w:t>单项合价（元）</w:t>
            </w:r>
          </w:p>
          <w:p>
            <w:pPr>
              <w:pStyle w:val="37"/>
              <w:jc w:val="center"/>
              <w:rPr>
                <w:rFonts w:hAnsi="宋体"/>
              </w:rPr>
            </w:pPr>
            <w:r>
              <w:rPr>
                <w:rFonts w:hint="eastAsia" w:hAnsi="宋体"/>
              </w:rPr>
              <w:t>③＝①×②</w:t>
            </w:r>
          </w:p>
        </w:tc>
        <w:tc>
          <w:tcPr>
            <w:tcW w:w="1005" w:type="dxa"/>
            <w:vAlign w:val="center"/>
          </w:tcPr>
          <w:p>
            <w:pPr>
              <w:pStyle w:val="37"/>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pPr>
              <w:jc w:val="center"/>
              <w:rPr>
                <w:rFonts w:ascii="宋体" w:hAnsi="宋体"/>
              </w:rPr>
            </w:pPr>
            <w:r>
              <w:rPr>
                <w:rFonts w:hint="eastAsia" w:ascii="宋体" w:hAnsi="宋体"/>
              </w:rPr>
              <w:t>1</w:t>
            </w:r>
          </w:p>
        </w:tc>
        <w:tc>
          <w:tcPr>
            <w:tcW w:w="1638" w:type="dxa"/>
            <w:vAlign w:val="center"/>
          </w:tcPr>
          <w:p>
            <w:pPr>
              <w:jc w:val="center"/>
              <w:rPr>
                <w:rFonts w:ascii="宋体" w:hAnsi="宋体"/>
              </w:rPr>
            </w:pPr>
          </w:p>
        </w:tc>
        <w:tc>
          <w:tcPr>
            <w:tcW w:w="2520" w:type="dxa"/>
            <w:vAlign w:val="center"/>
          </w:tcPr>
          <w:p>
            <w:pPr>
              <w:pStyle w:val="37"/>
              <w:rPr>
                <w:rFonts w:hAnsi="宋体"/>
              </w:rPr>
            </w:pPr>
          </w:p>
        </w:tc>
        <w:tc>
          <w:tcPr>
            <w:tcW w:w="735" w:type="dxa"/>
            <w:vAlign w:val="center"/>
          </w:tcPr>
          <w:p>
            <w:pPr>
              <w:pStyle w:val="37"/>
              <w:rPr>
                <w:rFonts w:hAnsi="宋体"/>
              </w:rPr>
            </w:pPr>
          </w:p>
        </w:tc>
        <w:tc>
          <w:tcPr>
            <w:tcW w:w="1155" w:type="dxa"/>
            <w:vAlign w:val="center"/>
          </w:tcPr>
          <w:p>
            <w:pPr>
              <w:pStyle w:val="37"/>
              <w:rPr>
                <w:rFonts w:hAnsi="宋体"/>
              </w:rPr>
            </w:pPr>
          </w:p>
        </w:tc>
        <w:tc>
          <w:tcPr>
            <w:tcW w:w="1575" w:type="dxa"/>
            <w:vAlign w:val="center"/>
          </w:tcPr>
          <w:p>
            <w:pPr>
              <w:pStyle w:val="37"/>
              <w:rPr>
                <w:rFonts w:hAnsi="宋体"/>
              </w:rPr>
            </w:pPr>
          </w:p>
        </w:tc>
        <w:tc>
          <w:tcPr>
            <w:tcW w:w="1005" w:type="dxa"/>
            <w:vAlign w:val="center"/>
          </w:tcPr>
          <w:p>
            <w:pPr>
              <w:pStyle w:val="3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vAlign w:val="center"/>
          </w:tcPr>
          <w:p>
            <w:pPr>
              <w:jc w:val="center"/>
              <w:rPr>
                <w:rFonts w:ascii="宋体" w:hAnsi="宋体"/>
              </w:rPr>
            </w:pPr>
            <w:r>
              <w:rPr>
                <w:rFonts w:hint="eastAsia" w:ascii="宋体" w:hAnsi="宋体"/>
              </w:rPr>
              <w:t>2</w:t>
            </w:r>
          </w:p>
        </w:tc>
        <w:tc>
          <w:tcPr>
            <w:tcW w:w="1638" w:type="dxa"/>
            <w:vAlign w:val="center"/>
          </w:tcPr>
          <w:p>
            <w:pPr>
              <w:jc w:val="center"/>
              <w:rPr>
                <w:rFonts w:ascii="宋体" w:hAnsi="宋体"/>
              </w:rPr>
            </w:pPr>
          </w:p>
        </w:tc>
        <w:tc>
          <w:tcPr>
            <w:tcW w:w="2520" w:type="dxa"/>
            <w:vAlign w:val="center"/>
          </w:tcPr>
          <w:p>
            <w:pPr>
              <w:pStyle w:val="37"/>
              <w:rPr>
                <w:rFonts w:hAnsi="宋体"/>
              </w:rPr>
            </w:pPr>
          </w:p>
        </w:tc>
        <w:tc>
          <w:tcPr>
            <w:tcW w:w="735" w:type="dxa"/>
            <w:vAlign w:val="center"/>
          </w:tcPr>
          <w:p>
            <w:pPr>
              <w:pStyle w:val="37"/>
              <w:rPr>
                <w:rFonts w:hAnsi="宋体"/>
              </w:rPr>
            </w:pPr>
          </w:p>
        </w:tc>
        <w:tc>
          <w:tcPr>
            <w:tcW w:w="1155" w:type="dxa"/>
            <w:vAlign w:val="center"/>
          </w:tcPr>
          <w:p>
            <w:pPr>
              <w:pStyle w:val="37"/>
              <w:rPr>
                <w:rFonts w:hAnsi="宋体"/>
              </w:rPr>
            </w:pPr>
          </w:p>
        </w:tc>
        <w:tc>
          <w:tcPr>
            <w:tcW w:w="1575" w:type="dxa"/>
            <w:vAlign w:val="center"/>
          </w:tcPr>
          <w:p>
            <w:pPr>
              <w:pStyle w:val="37"/>
              <w:rPr>
                <w:rFonts w:hAnsi="宋体"/>
              </w:rPr>
            </w:pPr>
          </w:p>
        </w:tc>
        <w:tc>
          <w:tcPr>
            <w:tcW w:w="1005" w:type="dxa"/>
            <w:vAlign w:val="center"/>
          </w:tcPr>
          <w:p>
            <w:pPr>
              <w:pStyle w:val="3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vAlign w:val="center"/>
          </w:tcPr>
          <w:p>
            <w:pPr>
              <w:jc w:val="center"/>
              <w:rPr>
                <w:rFonts w:ascii="宋体" w:hAnsi="宋体"/>
              </w:rPr>
            </w:pPr>
            <w:r>
              <w:rPr>
                <w:rFonts w:ascii="宋体" w:hAnsi="宋体"/>
              </w:rPr>
              <w:t>…</w:t>
            </w:r>
          </w:p>
        </w:tc>
        <w:tc>
          <w:tcPr>
            <w:tcW w:w="1638" w:type="dxa"/>
            <w:vAlign w:val="center"/>
          </w:tcPr>
          <w:p>
            <w:pPr>
              <w:jc w:val="center"/>
              <w:rPr>
                <w:rFonts w:ascii="宋体" w:hAnsi="宋体"/>
              </w:rPr>
            </w:pPr>
          </w:p>
        </w:tc>
        <w:tc>
          <w:tcPr>
            <w:tcW w:w="2520" w:type="dxa"/>
            <w:vAlign w:val="center"/>
          </w:tcPr>
          <w:p>
            <w:pPr>
              <w:pStyle w:val="37"/>
              <w:rPr>
                <w:rFonts w:hAnsi="宋体"/>
              </w:rPr>
            </w:pPr>
          </w:p>
        </w:tc>
        <w:tc>
          <w:tcPr>
            <w:tcW w:w="735" w:type="dxa"/>
            <w:vAlign w:val="center"/>
          </w:tcPr>
          <w:p>
            <w:pPr>
              <w:pStyle w:val="37"/>
              <w:rPr>
                <w:rFonts w:hAnsi="宋体"/>
              </w:rPr>
            </w:pPr>
          </w:p>
        </w:tc>
        <w:tc>
          <w:tcPr>
            <w:tcW w:w="1155" w:type="dxa"/>
            <w:vAlign w:val="center"/>
          </w:tcPr>
          <w:p>
            <w:pPr>
              <w:pStyle w:val="37"/>
              <w:rPr>
                <w:rFonts w:hAnsi="宋体"/>
              </w:rPr>
            </w:pPr>
          </w:p>
        </w:tc>
        <w:tc>
          <w:tcPr>
            <w:tcW w:w="1575" w:type="dxa"/>
            <w:vAlign w:val="center"/>
          </w:tcPr>
          <w:p>
            <w:pPr>
              <w:pStyle w:val="37"/>
              <w:rPr>
                <w:rFonts w:hAnsi="宋体"/>
              </w:rPr>
            </w:pPr>
          </w:p>
        </w:tc>
        <w:tc>
          <w:tcPr>
            <w:tcW w:w="1005" w:type="dxa"/>
            <w:vAlign w:val="center"/>
          </w:tcPr>
          <w:p>
            <w:pPr>
              <w:pStyle w:val="3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2268" w:type="dxa"/>
            <w:gridSpan w:val="2"/>
            <w:vAlign w:val="center"/>
          </w:tcPr>
          <w:p>
            <w:pPr>
              <w:jc w:val="center"/>
              <w:rPr>
                <w:rFonts w:ascii="宋体" w:hAnsi="宋体"/>
              </w:rPr>
            </w:pPr>
            <w:r>
              <w:rPr>
                <w:rFonts w:hint="eastAsia" w:ascii="宋体" w:hAnsi="宋体"/>
              </w:rPr>
              <w:t>合计金额</w:t>
            </w:r>
          </w:p>
        </w:tc>
        <w:tc>
          <w:tcPr>
            <w:tcW w:w="6990" w:type="dxa"/>
            <w:gridSpan w:val="5"/>
            <w:vAlign w:val="center"/>
          </w:tcPr>
          <w:p>
            <w:pPr>
              <w:pStyle w:val="37"/>
              <w:rPr>
                <w:rFonts w:hAnsi="宋体"/>
                <w:spacing w:val="-6"/>
              </w:rPr>
            </w:pPr>
            <w:r>
              <w:rPr>
                <w:rFonts w:hint="eastAsia" w:hAnsi="宋体"/>
              </w:rPr>
              <w:t>大写：                                ￥</w:t>
            </w:r>
            <w:r>
              <w:rPr>
                <w:rFonts w:hint="eastAsia"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258" w:type="dxa"/>
            <w:gridSpan w:val="7"/>
            <w:vAlign w:val="center"/>
          </w:tcPr>
          <w:p>
            <w:pPr>
              <w:rPr>
                <w:rFonts w:ascii="宋体" w:hAnsi="宋体"/>
              </w:rPr>
            </w:pPr>
            <w:r>
              <w:rPr>
                <w:rFonts w:ascii="宋体" w:hAnsi="宋体"/>
              </w:rPr>
              <w:t>　　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8" w:type="dxa"/>
            <w:gridSpan w:val="2"/>
            <w:vAlign w:val="center"/>
          </w:tcPr>
          <w:p>
            <w:pPr>
              <w:tabs>
                <w:tab w:val="left" w:pos="1418"/>
              </w:tabs>
              <w:snapToGrid w:val="0"/>
              <w:spacing w:before="50" w:after="50" w:line="360" w:lineRule="exact"/>
              <w:jc w:val="center"/>
              <w:rPr>
                <w:rFonts w:ascii="宋体" w:hAnsi="宋体"/>
                <w:spacing w:val="20"/>
              </w:rPr>
            </w:pPr>
            <w:r>
              <w:rPr>
                <w:rFonts w:hint="eastAsia" w:ascii="宋体" w:hAnsi="宋体"/>
              </w:rPr>
              <w:t>服务时间</w:t>
            </w:r>
            <w:r>
              <w:rPr>
                <w:rFonts w:hint="eastAsia" w:ascii="宋体" w:hAnsi="宋体"/>
                <w:spacing w:val="20"/>
              </w:rPr>
              <w:t>：</w:t>
            </w:r>
          </w:p>
        </w:tc>
        <w:tc>
          <w:tcPr>
            <w:tcW w:w="6990" w:type="dxa"/>
            <w:gridSpan w:val="5"/>
            <w:vAlign w:val="center"/>
          </w:tcPr>
          <w:p>
            <w:pPr>
              <w:pStyle w:val="37"/>
              <w:spacing w:line="360" w:lineRule="exact"/>
              <w:rPr>
                <w:rFonts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8" w:type="dxa"/>
            <w:gridSpan w:val="2"/>
            <w:vAlign w:val="center"/>
          </w:tcPr>
          <w:p>
            <w:pPr>
              <w:tabs>
                <w:tab w:val="left" w:pos="1418"/>
              </w:tabs>
              <w:snapToGrid w:val="0"/>
              <w:spacing w:before="50" w:after="50" w:line="360" w:lineRule="exact"/>
              <w:jc w:val="center"/>
              <w:rPr>
                <w:rFonts w:ascii="宋体" w:hAnsi="宋体"/>
                <w:spacing w:val="20"/>
              </w:rPr>
            </w:pPr>
            <w:r>
              <w:rPr>
                <w:rFonts w:hint="eastAsia" w:ascii="宋体" w:hAnsi="宋体" w:cs="宋体"/>
              </w:rPr>
              <w:t>服务地点</w:t>
            </w:r>
            <w:r>
              <w:rPr>
                <w:rFonts w:hint="eastAsia" w:ascii="宋体" w:hAnsi="宋体"/>
              </w:rPr>
              <w:t>：</w:t>
            </w:r>
          </w:p>
        </w:tc>
        <w:tc>
          <w:tcPr>
            <w:tcW w:w="6990" w:type="dxa"/>
            <w:gridSpan w:val="5"/>
            <w:vAlign w:val="center"/>
          </w:tcPr>
          <w:p>
            <w:pPr>
              <w:pStyle w:val="37"/>
              <w:spacing w:line="360" w:lineRule="exact"/>
              <w:rPr>
                <w:rFonts w:hAnsi="宋体"/>
                <w:u w:val="single"/>
              </w:rPr>
            </w:pPr>
          </w:p>
        </w:tc>
      </w:tr>
    </w:tbl>
    <w:p>
      <w:pPr>
        <w:snapToGrid w:val="0"/>
        <w:spacing w:before="50" w:after="50" w:line="360" w:lineRule="exact"/>
        <w:jc w:val="left"/>
        <w:rPr>
          <w:rFonts w:ascii="宋体" w:hAnsi="宋体"/>
        </w:rPr>
      </w:pPr>
      <w:r>
        <w:rPr>
          <w:rFonts w:hint="eastAsia" w:ascii="宋体" w:hAnsi="宋体"/>
        </w:rPr>
        <w:t>注: 1、报价一经涂改，应在涂改处加盖单位公章或者由授权委托人签字或盖章，否则其投标作无效标处理。</w:t>
      </w:r>
    </w:p>
    <w:p>
      <w:pPr>
        <w:snapToGrid w:val="0"/>
        <w:spacing w:before="50" w:after="50" w:line="360" w:lineRule="exact"/>
        <w:ind w:firstLine="420" w:firstLineChars="200"/>
        <w:jc w:val="left"/>
        <w:rPr>
          <w:rFonts w:ascii="宋体" w:hAnsi="宋体"/>
        </w:rPr>
      </w:pPr>
      <w:r>
        <w:rPr>
          <w:rFonts w:hint="eastAsia" w:ascii="宋体" w:hAnsi="宋体"/>
        </w:rPr>
        <w:t>2、凡需用专用耗材的专用设备类采购项目，应按招标文件规定的耗材量或按耗材的常规试用量提供报价。</w:t>
      </w:r>
    </w:p>
    <w:p>
      <w:pPr>
        <w:snapToGrid w:val="0"/>
        <w:spacing w:before="50" w:after="50" w:line="360" w:lineRule="exact"/>
        <w:ind w:firstLine="420" w:firstLineChars="200"/>
        <w:jc w:val="left"/>
        <w:rPr>
          <w:rFonts w:ascii="宋体" w:hAnsi="宋体"/>
        </w:rPr>
      </w:pPr>
      <w:r>
        <w:rPr>
          <w:rFonts w:hint="eastAsia" w:ascii="宋体" w:hAnsi="宋体"/>
        </w:rPr>
        <w:t>3、投标费用包括项目实施所需的人工费、服务费、运输费、安装调试费、购买及制作标书费、税费及其他一切费用。</w:t>
      </w:r>
    </w:p>
    <w:p>
      <w:pPr>
        <w:snapToGrid w:val="0"/>
        <w:spacing w:before="50" w:after="50" w:line="360" w:lineRule="exact"/>
        <w:ind w:firstLine="420" w:firstLineChars="200"/>
        <w:jc w:val="left"/>
        <w:rPr>
          <w:rFonts w:ascii="宋体" w:hAnsi="宋体"/>
        </w:rPr>
      </w:pPr>
      <w:r>
        <w:rPr>
          <w:rFonts w:hint="eastAsia" w:ascii="宋体" w:hAnsi="宋体"/>
        </w:rPr>
        <w:t>4、以上报价应与“投标报价明细表”中的“投标总价”相一致。</w:t>
      </w:r>
    </w:p>
    <w:p>
      <w:pPr>
        <w:snapToGrid w:val="0"/>
        <w:spacing w:before="50" w:after="50" w:line="360" w:lineRule="exact"/>
        <w:ind w:firstLine="420" w:firstLineChars="200"/>
        <w:rPr>
          <w:rFonts w:ascii="宋体" w:hAnsi="宋体"/>
        </w:rPr>
      </w:pPr>
      <w:r>
        <w:rPr>
          <w:rFonts w:hint="eastAsia" w:ascii="宋体" w:hAnsi="宋体"/>
        </w:rPr>
        <w:t>5、</w:t>
      </w:r>
      <w:r>
        <w:rPr>
          <w:rFonts w:hint="eastAsia" w:ascii="宋体" w:hAnsi="宋体"/>
          <w:b/>
        </w:rPr>
        <w:t>此表请单独信封封装单独递交，信封封面请注明招标编号、项目名称、投标人名称及“开标一览表”字样</w:t>
      </w:r>
      <w:r>
        <w:rPr>
          <w:rFonts w:hint="eastAsia" w:ascii="宋体" w:hAnsi="宋体"/>
        </w:rPr>
        <w:t>。</w:t>
      </w:r>
    </w:p>
    <w:p>
      <w:pPr>
        <w:snapToGrid w:val="0"/>
        <w:spacing w:before="50" w:after="50" w:line="360" w:lineRule="exact"/>
        <w:ind w:left="-2" w:leftChars="-1" w:right="13" w:rightChars="6" w:firstLine="420" w:firstLineChars="200"/>
        <w:rPr>
          <w:rFonts w:ascii="宋体" w:hAnsi="宋体"/>
        </w:rPr>
      </w:pPr>
      <w:r>
        <w:rPr>
          <w:rFonts w:hint="eastAsia" w:ascii="宋体" w:hAnsi="宋体"/>
        </w:rPr>
        <w:t>6、开标一览表内容与投标报价明细表内容不一致的，以开标一览表为准。</w:t>
      </w:r>
    </w:p>
    <w:p>
      <w:pPr>
        <w:snapToGrid w:val="0"/>
        <w:spacing w:before="50" w:after="50" w:line="360" w:lineRule="exact"/>
        <w:ind w:left="-2" w:leftChars="-1" w:right="-817" w:rightChars="-389"/>
        <w:rPr>
          <w:rFonts w:ascii="宋体" w:hAnsi="宋体"/>
        </w:rPr>
      </w:pPr>
    </w:p>
    <w:p>
      <w:pPr>
        <w:snapToGrid w:val="0"/>
        <w:spacing w:before="50" w:after="50" w:line="360" w:lineRule="exact"/>
        <w:ind w:left="-2" w:leftChars="-1" w:right="-817" w:rightChars="-389"/>
        <w:rPr>
          <w:rFonts w:ascii="宋体" w:hAnsi="宋体"/>
          <w:u w:val="single"/>
        </w:rPr>
      </w:pPr>
      <w:r>
        <w:rPr>
          <w:rFonts w:hint="eastAsia" w:ascii="宋体" w:hAnsi="宋体"/>
        </w:rPr>
        <w:t>授权代表（签字或盖章）：</w:t>
      </w:r>
      <w:r>
        <w:rPr>
          <w:rFonts w:hint="eastAsia" w:ascii="宋体" w:hAnsi="宋体"/>
          <w:u w:val="single"/>
        </w:rPr>
        <w:t xml:space="preserve">                    </w:t>
      </w:r>
    </w:p>
    <w:p>
      <w:pPr>
        <w:snapToGrid w:val="0"/>
        <w:spacing w:before="50" w:after="50" w:line="360" w:lineRule="exact"/>
        <w:ind w:left="-21" w:leftChars="-72" w:right="-817" w:rightChars="-389" w:hanging="130" w:hangingChars="62"/>
        <w:rPr>
          <w:rFonts w:ascii="宋体" w:hAnsi="宋体"/>
        </w:rPr>
      </w:pPr>
      <w:r>
        <w:rPr>
          <w:rFonts w:hint="eastAsia" w:ascii="宋体" w:hAnsi="宋体"/>
        </w:rPr>
        <w:t xml:space="preserve">  </w:t>
      </w:r>
    </w:p>
    <w:p>
      <w:pPr>
        <w:snapToGrid w:val="0"/>
        <w:spacing w:before="50" w:after="50" w:line="360" w:lineRule="exact"/>
        <w:ind w:left="-6" w:leftChars="-15" w:right="-817" w:rightChars="-389" w:hanging="25" w:hangingChars="12"/>
        <w:rPr>
          <w:rFonts w:ascii="宋体" w:hAnsi="宋体"/>
        </w:rPr>
      </w:pPr>
      <w:r>
        <w:rPr>
          <w:rFonts w:hint="eastAsia" w:ascii="宋体" w:hAnsi="宋体"/>
        </w:rPr>
        <w:t>投标人名称（盖章）：</w:t>
      </w:r>
      <w:r>
        <w:rPr>
          <w:rFonts w:hint="eastAsia" w:ascii="宋体" w:hAnsi="宋体"/>
          <w:u w:val="single"/>
        </w:rPr>
        <w:t xml:space="preserve">                     </w:t>
      </w:r>
      <w:r>
        <w:rPr>
          <w:rFonts w:hint="eastAsia" w:ascii="宋体" w:hAnsi="宋体"/>
        </w:rPr>
        <w:t xml:space="preserve">            日期：    年   月   日</w:t>
      </w:r>
    </w:p>
    <w:p>
      <w:pPr>
        <w:snapToGrid w:val="0"/>
        <w:spacing w:before="50" w:after="50" w:line="360" w:lineRule="exact"/>
        <w:rPr>
          <w:rFonts w:ascii="宋体" w:hAnsi="宋体"/>
          <w:b/>
        </w:rPr>
      </w:pPr>
    </w:p>
    <w:p>
      <w:pPr>
        <w:snapToGrid w:val="0"/>
        <w:spacing w:before="156" w:beforeLines="50" w:after="50" w:line="360" w:lineRule="exact"/>
        <w:rPr>
          <w:rFonts w:ascii="宋体" w:hAnsi="宋体"/>
          <w:b/>
        </w:rPr>
      </w:pPr>
      <w:r>
        <w:rPr>
          <w:rFonts w:ascii="宋体" w:hAnsi="宋体"/>
          <w:b/>
        </w:rPr>
        <w:br w:type="page"/>
      </w:r>
    </w:p>
    <w:p>
      <w:pPr>
        <w:snapToGrid w:val="0"/>
        <w:spacing w:before="50" w:after="50" w:line="360" w:lineRule="exact"/>
        <w:rPr>
          <w:rFonts w:ascii="宋体" w:hAnsi="宋体"/>
          <w:b/>
          <w:bCs/>
        </w:rPr>
      </w:pPr>
      <w:r>
        <w:rPr>
          <w:rFonts w:hint="eastAsia" w:ascii="宋体" w:hAnsi="宋体"/>
        </w:rPr>
        <w:t>二、</w:t>
      </w:r>
      <w:r>
        <w:rPr>
          <w:rFonts w:hint="eastAsia" w:ascii="宋体" w:hAnsi="宋体"/>
          <w:b/>
          <w:bCs/>
        </w:rPr>
        <w:t>资信及商务文件</w:t>
      </w:r>
    </w:p>
    <w:p>
      <w:pPr>
        <w:snapToGrid w:val="0"/>
        <w:spacing w:before="50" w:after="50" w:line="360" w:lineRule="exact"/>
        <w:rPr>
          <w:rFonts w:ascii="宋体" w:hAnsi="宋体"/>
          <w:b/>
          <w:bCs/>
        </w:rPr>
      </w:pPr>
    </w:p>
    <w:p>
      <w:pPr>
        <w:snapToGrid w:val="0"/>
        <w:spacing w:before="50" w:after="156" w:afterLines="50" w:line="360" w:lineRule="exact"/>
        <w:jc w:val="left"/>
        <w:rPr>
          <w:rFonts w:ascii="宋体" w:hAnsi="宋体"/>
          <w:b/>
        </w:rPr>
      </w:pPr>
      <w:r>
        <w:rPr>
          <w:rFonts w:hint="eastAsia" w:ascii="宋体" w:hAnsi="宋体"/>
          <w:b/>
        </w:rPr>
        <w:t>5、投标声明书格式：</w:t>
      </w:r>
    </w:p>
    <w:p>
      <w:pPr>
        <w:snapToGrid w:val="0"/>
        <w:spacing w:before="156" w:beforeLines="50" w:after="50" w:line="360" w:lineRule="exact"/>
        <w:jc w:val="center"/>
        <w:rPr>
          <w:rFonts w:ascii="宋体" w:hAnsi="宋体"/>
          <w:b/>
          <w:sz w:val="24"/>
        </w:rPr>
      </w:pPr>
      <w:r>
        <w:rPr>
          <w:rFonts w:hint="eastAsia" w:ascii="宋体" w:hAnsi="宋体"/>
          <w:b/>
          <w:sz w:val="24"/>
        </w:rPr>
        <w:t>投标声明书</w:t>
      </w:r>
    </w:p>
    <w:p>
      <w:pPr>
        <w:snapToGrid w:val="0"/>
        <w:spacing w:before="156" w:beforeLines="50" w:after="50" w:line="340" w:lineRule="exact"/>
        <w:rPr>
          <w:rFonts w:ascii="宋体" w:hAnsi="宋体"/>
        </w:rPr>
      </w:pPr>
      <w:r>
        <w:rPr>
          <w:rFonts w:hint="eastAsia" w:ascii="宋体" w:hAnsi="宋体"/>
        </w:rPr>
        <w:t>致：_</w:t>
      </w:r>
      <w:r>
        <w:rPr>
          <w:rFonts w:hint="eastAsia" w:ascii="宋体" w:hAnsi="宋体"/>
          <w:u w:val="single"/>
        </w:rPr>
        <w:t>中资国际工程咨询集团有限责任公司</w:t>
      </w:r>
    </w:p>
    <w:p>
      <w:pPr>
        <w:snapToGrid w:val="0"/>
        <w:spacing w:before="156" w:beforeLines="50" w:after="50" w:line="340" w:lineRule="exact"/>
        <w:ind w:firstLine="630" w:firstLineChars="300"/>
        <w:rPr>
          <w:rFonts w:ascii="宋体" w:hAnsi="宋体"/>
        </w:rPr>
      </w:pPr>
      <w:r>
        <w:rPr>
          <w:rFonts w:hint="eastAsia" w:ascii="宋体" w:hAnsi="宋体"/>
        </w:rPr>
        <w:t>______</w:t>
      </w:r>
      <w:r>
        <w:rPr>
          <w:rFonts w:hint="eastAsia" w:ascii="宋体" w:hAnsi="宋体"/>
          <w:u w:val="single"/>
        </w:rPr>
        <w:t xml:space="preserve">_  </w:t>
      </w:r>
      <w:r>
        <w:rPr>
          <w:rFonts w:hint="eastAsia" w:ascii="宋体" w:hAnsi="宋体"/>
        </w:rPr>
        <w:t>（投标人名称）系中华人民共和国合法企业，经营地址</w:t>
      </w:r>
      <w:r>
        <w:rPr>
          <w:rFonts w:hint="eastAsia" w:ascii="宋体" w:hAnsi="宋体"/>
          <w:u w:val="single"/>
        </w:rPr>
        <w:t xml:space="preserve">                        </w:t>
      </w:r>
      <w:r>
        <w:rPr>
          <w:rFonts w:hint="eastAsia" w:ascii="宋体" w:hAnsi="宋体"/>
        </w:rPr>
        <w:t>。</w:t>
      </w:r>
    </w:p>
    <w:p>
      <w:pPr>
        <w:snapToGrid w:val="0"/>
        <w:spacing w:before="156" w:beforeLines="50" w:after="50" w:line="340" w:lineRule="exact"/>
        <w:ind w:firstLine="645"/>
        <w:rPr>
          <w:rFonts w:ascii="宋体" w:hAnsi="宋体"/>
        </w:rPr>
      </w:pPr>
      <w:r>
        <w:rPr>
          <w:rFonts w:hint="eastAsia" w:ascii="宋体" w:hAnsi="宋体"/>
        </w:rPr>
        <w:t>我___</w:t>
      </w:r>
      <w:r>
        <w:rPr>
          <w:rFonts w:hint="eastAsia" w:ascii="宋体" w:hAnsi="宋体"/>
          <w:u w:val="single"/>
        </w:rPr>
        <w:t xml:space="preserve">    _</w:t>
      </w:r>
      <w:r>
        <w:rPr>
          <w:rFonts w:hint="eastAsia" w:ascii="宋体" w:hAnsi="宋体"/>
        </w:rPr>
        <w:t>_（姓名）系______</w:t>
      </w:r>
      <w:r>
        <w:rPr>
          <w:rFonts w:hint="eastAsia" w:ascii="宋体" w:hAnsi="宋体"/>
          <w:u w:val="single"/>
        </w:rPr>
        <w:t>_     _</w:t>
      </w:r>
      <w:r>
        <w:rPr>
          <w:rFonts w:hint="eastAsia" w:ascii="宋体" w:hAnsi="宋体"/>
        </w:rPr>
        <w:t>_（投标人名称）的法定代表人，我方愿意参加贵方组织的_____</w:t>
      </w:r>
      <w:r>
        <w:rPr>
          <w:rFonts w:hint="eastAsia" w:ascii="宋体" w:hAnsi="宋体"/>
          <w:u w:val="single"/>
        </w:rPr>
        <w:t>_              _     _</w:t>
      </w:r>
      <w:r>
        <w:rPr>
          <w:rFonts w:hint="eastAsia" w:ascii="宋体" w:hAnsi="宋体"/>
        </w:rPr>
        <w:t>_项目的投标，为便于贵方公正、择优地确定中标人及其投标服务成果和服务，我方就本次投标有关事项郑重声明如下：</w:t>
      </w:r>
    </w:p>
    <w:p>
      <w:pPr>
        <w:snapToGrid w:val="0"/>
        <w:spacing w:line="360" w:lineRule="exact"/>
        <w:ind w:firstLine="420" w:firstLineChars="200"/>
        <w:rPr>
          <w:rFonts w:ascii="宋体" w:hAnsi="宋体"/>
        </w:rPr>
      </w:pPr>
      <w:r>
        <w:rPr>
          <w:rFonts w:hint="eastAsia" w:ascii="宋体" w:hAnsi="宋体"/>
        </w:rPr>
        <w:t>1.我方向贵方提交的所有投标文件、资料都是准确的和真实的。</w:t>
      </w:r>
    </w:p>
    <w:p>
      <w:pPr>
        <w:snapToGrid w:val="0"/>
        <w:spacing w:before="156" w:beforeLines="50" w:line="360" w:lineRule="exact"/>
        <w:ind w:firstLine="420" w:firstLineChars="200"/>
        <w:rPr>
          <w:rFonts w:ascii="宋体" w:hAnsi="宋体"/>
        </w:rPr>
      </w:pPr>
      <w:r>
        <w:rPr>
          <w:rFonts w:hint="eastAsia" w:ascii="宋体" w:hAnsi="宋体"/>
        </w:rPr>
        <w:t>2.我方不是采购人的附属机构；在获知本项目采购信息后，与采购人聘请的为此项目提供咨询服务的公司及其附属机构没有任何联系。</w:t>
      </w:r>
    </w:p>
    <w:p>
      <w:pPr>
        <w:snapToGrid w:val="0"/>
        <w:spacing w:before="156" w:beforeLines="50" w:line="360" w:lineRule="exact"/>
        <w:ind w:firstLine="420" w:firstLineChars="200"/>
        <w:rPr>
          <w:rFonts w:ascii="宋体" w:hAnsi="宋体"/>
        </w:rPr>
      </w:pPr>
      <w:r>
        <w:rPr>
          <w:rFonts w:hint="eastAsia" w:ascii="宋体" w:hAnsi="宋体"/>
        </w:rPr>
        <w:t>3.我方诚意提请贵方关注：近期有关服务等方面的重大决策和事项有：</w:t>
      </w:r>
    </w:p>
    <w:p>
      <w:pPr>
        <w:snapToGrid w:val="0"/>
        <w:spacing w:before="156" w:beforeLines="50" w:line="360" w:lineRule="exact"/>
        <w:ind w:firstLine="420" w:firstLineChars="200"/>
        <w:rPr>
          <w:rFonts w:ascii="宋体" w:hAnsi="宋体"/>
          <w:u w:val="single"/>
        </w:rPr>
      </w:pPr>
      <w:r>
        <w:rPr>
          <w:rFonts w:hint="eastAsia" w:ascii="宋体" w:hAnsi="宋体"/>
          <w:u w:val="single"/>
        </w:rPr>
        <w:t>　　　　　　　　　　　　　　　　　　　　　　　　　　　</w:t>
      </w:r>
    </w:p>
    <w:p>
      <w:pPr>
        <w:snapToGrid w:val="0"/>
        <w:spacing w:before="156" w:beforeLines="50" w:line="360" w:lineRule="exact"/>
        <w:ind w:firstLine="420" w:firstLineChars="200"/>
        <w:rPr>
          <w:rFonts w:ascii="宋体" w:hAnsi="宋体"/>
        </w:rPr>
      </w:pPr>
      <w:r>
        <w:rPr>
          <w:rFonts w:hint="eastAsia" w:ascii="宋体" w:hAnsi="宋体"/>
          <w:u w:val="single"/>
        </w:rPr>
        <w:t>　　　　　　　　　　　　　　　　　　　　　　　　　　　</w:t>
      </w:r>
    </w:p>
    <w:p>
      <w:pPr>
        <w:pStyle w:val="29"/>
        <w:snapToGrid w:val="0"/>
        <w:spacing w:line="360" w:lineRule="exact"/>
        <w:ind w:firstLine="420" w:firstLineChars="200"/>
        <w:rPr>
          <w:rFonts w:ascii="宋体" w:hAnsi="宋体" w:eastAsia="宋体"/>
          <w:sz w:val="21"/>
          <w:szCs w:val="21"/>
        </w:rPr>
      </w:pPr>
      <w:r>
        <w:rPr>
          <w:rFonts w:hint="eastAsia" w:ascii="宋体" w:hAnsi="宋体" w:eastAsia="宋体"/>
          <w:sz w:val="21"/>
          <w:szCs w:val="21"/>
        </w:rPr>
        <w:t>4.我方及由本人担任法定代表人的其他机构最近三年内被通报或者被处罚的违法行为有：</w:t>
      </w:r>
    </w:p>
    <w:p>
      <w:pPr>
        <w:snapToGrid w:val="0"/>
        <w:spacing w:before="156" w:beforeLines="50" w:line="360" w:lineRule="exact"/>
        <w:ind w:firstLine="420" w:firstLineChars="200"/>
        <w:rPr>
          <w:rFonts w:ascii="宋体" w:hAnsi="宋体"/>
          <w:u w:val="single"/>
        </w:rPr>
      </w:pPr>
      <w:r>
        <w:rPr>
          <w:rFonts w:hint="eastAsia" w:ascii="宋体" w:hAnsi="宋体"/>
          <w:u w:val="single"/>
        </w:rPr>
        <w:t>　　　　　　　　　　　　　　　　　　　　　　　　　　　</w:t>
      </w:r>
    </w:p>
    <w:p>
      <w:pPr>
        <w:snapToGrid w:val="0"/>
        <w:spacing w:before="156" w:beforeLines="50" w:line="360" w:lineRule="exact"/>
        <w:ind w:firstLine="420" w:firstLineChars="200"/>
        <w:rPr>
          <w:rFonts w:ascii="宋体" w:hAnsi="宋体"/>
          <w:u w:val="single"/>
        </w:rPr>
      </w:pPr>
      <w:r>
        <w:rPr>
          <w:rFonts w:hint="eastAsia" w:ascii="宋体" w:hAnsi="宋体"/>
          <w:u w:val="single"/>
        </w:rPr>
        <w:t>　　　　　　　　　　　　　　　　　　　　　　　　　　　</w:t>
      </w:r>
    </w:p>
    <w:p>
      <w:pPr>
        <w:snapToGrid w:val="0"/>
        <w:spacing w:line="340" w:lineRule="exact"/>
        <w:ind w:firstLine="420" w:firstLineChars="200"/>
        <w:rPr>
          <w:rFonts w:ascii="宋体" w:hAnsi="宋体"/>
        </w:rPr>
      </w:pPr>
      <w:r>
        <w:rPr>
          <w:rFonts w:hint="eastAsia" w:ascii="宋体" w:hAnsi="宋体"/>
        </w:rPr>
        <w:t>5.以上事项如有虚假或隐瞒，我方愿意承担一切后果，并不再寻求任何旨在减轻或免除法律责任的辩解。</w:t>
      </w:r>
    </w:p>
    <w:p>
      <w:pPr>
        <w:snapToGrid w:val="0"/>
        <w:spacing w:line="340" w:lineRule="exact"/>
        <w:ind w:firstLine="420" w:firstLineChars="200"/>
        <w:rPr>
          <w:rFonts w:ascii="宋体" w:hAnsi="宋体"/>
        </w:rPr>
      </w:pPr>
    </w:p>
    <w:p>
      <w:pPr>
        <w:snapToGrid w:val="0"/>
        <w:spacing w:line="340" w:lineRule="exact"/>
        <w:ind w:firstLine="420" w:firstLineChars="200"/>
        <w:rPr>
          <w:rFonts w:ascii="宋体" w:hAnsi="宋体"/>
        </w:rPr>
      </w:pPr>
    </w:p>
    <w:p>
      <w:pPr>
        <w:snapToGrid w:val="0"/>
        <w:spacing w:before="156" w:beforeLines="50" w:line="340" w:lineRule="exact"/>
        <w:ind w:firstLine="3509" w:firstLineChars="1671"/>
        <w:rPr>
          <w:rFonts w:ascii="宋体" w:hAnsi="宋体"/>
          <w:u w:val="single"/>
        </w:rPr>
      </w:pPr>
      <w:r>
        <w:rPr>
          <w:rFonts w:hint="eastAsia" w:ascii="宋体" w:hAnsi="宋体"/>
        </w:rPr>
        <w:t>法定代表人签字：</w:t>
      </w:r>
      <w:r>
        <w:rPr>
          <w:rFonts w:hint="eastAsia" w:ascii="宋体" w:hAnsi="宋体"/>
          <w:u w:val="single"/>
        </w:rPr>
        <w:t xml:space="preserve">             </w:t>
      </w:r>
    </w:p>
    <w:p>
      <w:pPr>
        <w:snapToGrid w:val="0"/>
        <w:spacing w:before="156" w:beforeLines="50" w:after="50" w:line="340" w:lineRule="exact"/>
        <w:ind w:firstLine="3570" w:firstLineChars="1700"/>
        <w:rPr>
          <w:rFonts w:ascii="宋体" w:hAnsi="宋体"/>
        </w:rPr>
      </w:pPr>
      <w:r>
        <w:rPr>
          <w:rFonts w:hint="eastAsia" w:ascii="宋体" w:hAnsi="宋体"/>
        </w:rPr>
        <w:t>投标人公章：</w:t>
      </w:r>
      <w:r>
        <w:rPr>
          <w:rFonts w:hint="eastAsia" w:ascii="宋体" w:hAnsi="宋体"/>
          <w:u w:val="single"/>
        </w:rPr>
        <w:t xml:space="preserve">               </w:t>
      </w:r>
      <w:r>
        <w:rPr>
          <w:rFonts w:hint="eastAsia" w:ascii="宋体" w:hAnsi="宋体"/>
        </w:rPr>
        <w:t xml:space="preserve">                     </w:t>
      </w:r>
    </w:p>
    <w:p>
      <w:pPr>
        <w:snapToGrid w:val="0"/>
        <w:spacing w:before="156" w:beforeLines="50" w:after="50" w:line="340" w:lineRule="exact"/>
        <w:ind w:firstLine="210" w:firstLineChars="100"/>
        <w:rPr>
          <w:rFonts w:ascii="宋体" w:hAnsi="宋体"/>
        </w:rPr>
      </w:pPr>
      <w:r>
        <w:rPr>
          <w:rFonts w:hint="eastAsia" w:ascii="宋体" w:hAnsi="宋体"/>
        </w:rPr>
        <w:t xml:space="preserve">                                          年    月    日</w:t>
      </w:r>
    </w:p>
    <w:p>
      <w:pPr>
        <w:snapToGrid w:val="0"/>
        <w:spacing w:before="50" w:after="156" w:afterLines="50" w:line="360" w:lineRule="exact"/>
        <w:jc w:val="left"/>
        <w:rPr>
          <w:rFonts w:ascii="宋体" w:hAnsi="宋体"/>
          <w:b/>
        </w:rPr>
      </w:pPr>
      <w:r>
        <w:rPr>
          <w:rFonts w:ascii="宋体" w:hAnsi="宋体"/>
          <w:b/>
        </w:rPr>
        <w:br w:type="page"/>
      </w:r>
    </w:p>
    <w:p>
      <w:pPr>
        <w:snapToGrid w:val="0"/>
        <w:spacing w:before="50" w:after="156" w:afterLines="50" w:line="360" w:lineRule="exact"/>
        <w:jc w:val="left"/>
        <w:rPr>
          <w:rFonts w:ascii="宋体" w:hAnsi="宋体"/>
          <w:b/>
        </w:rPr>
      </w:pPr>
      <w:r>
        <w:rPr>
          <w:rFonts w:hint="eastAsia" w:ascii="宋体" w:hAnsi="宋体"/>
          <w:b/>
        </w:rPr>
        <w:t>6、法定代表人授权委托书格式：</w:t>
      </w:r>
    </w:p>
    <w:p>
      <w:pPr>
        <w:snapToGrid w:val="0"/>
        <w:spacing w:before="156" w:beforeLines="50" w:after="50" w:line="360" w:lineRule="exact"/>
        <w:jc w:val="center"/>
        <w:rPr>
          <w:rFonts w:ascii="宋体" w:hAnsi="宋体"/>
        </w:rPr>
      </w:pPr>
    </w:p>
    <w:p>
      <w:pPr>
        <w:snapToGrid w:val="0"/>
        <w:spacing w:before="156" w:beforeLines="50" w:after="50" w:line="360" w:lineRule="exact"/>
        <w:jc w:val="center"/>
        <w:rPr>
          <w:rFonts w:ascii="宋体" w:hAnsi="宋体"/>
          <w:b/>
        </w:rPr>
      </w:pPr>
      <w:r>
        <w:rPr>
          <w:rFonts w:hint="eastAsia" w:ascii="宋体" w:hAnsi="宋体"/>
          <w:b/>
        </w:rPr>
        <w:t>法定代表人授权委托书</w:t>
      </w:r>
    </w:p>
    <w:p>
      <w:pPr>
        <w:snapToGrid w:val="0"/>
        <w:spacing w:before="156" w:beforeLines="50" w:after="50" w:line="360" w:lineRule="exact"/>
        <w:rPr>
          <w:rFonts w:ascii="宋体" w:hAnsi="宋体"/>
        </w:rPr>
      </w:pPr>
      <w:r>
        <w:rPr>
          <w:rFonts w:hint="eastAsia" w:ascii="宋体" w:hAnsi="宋体"/>
        </w:rPr>
        <w:t>致：_</w:t>
      </w:r>
      <w:r>
        <w:rPr>
          <w:rFonts w:hint="eastAsia" w:ascii="宋体" w:hAnsi="宋体"/>
          <w:u w:val="single"/>
        </w:rPr>
        <w:t>中资国际工程咨询集团有限责任公司</w:t>
      </w:r>
    </w:p>
    <w:p>
      <w:pPr>
        <w:snapToGrid w:val="0"/>
        <w:spacing w:before="156" w:beforeLines="50" w:after="50" w:line="360" w:lineRule="exact"/>
        <w:ind w:firstLine="630" w:firstLineChars="300"/>
        <w:rPr>
          <w:rFonts w:ascii="宋体" w:hAnsi="宋体"/>
        </w:rPr>
      </w:pPr>
      <w:r>
        <w:rPr>
          <w:rFonts w:hint="eastAsia" w:ascii="宋体" w:hAnsi="宋体"/>
        </w:rPr>
        <w:t>我______</w:t>
      </w:r>
      <w:r>
        <w:rPr>
          <w:rFonts w:hint="eastAsia" w:ascii="宋体" w:hAnsi="宋体"/>
          <w:u w:val="single"/>
        </w:rPr>
        <w:t>_     _</w:t>
      </w:r>
      <w:r>
        <w:rPr>
          <w:rFonts w:hint="eastAsia" w:ascii="宋体" w:hAnsi="宋体"/>
        </w:rPr>
        <w:t>_（姓名）系______</w:t>
      </w:r>
      <w:r>
        <w:rPr>
          <w:rFonts w:hint="eastAsia" w:ascii="宋体" w:hAnsi="宋体"/>
          <w:u w:val="single"/>
        </w:rPr>
        <w:t>_     _</w:t>
      </w:r>
      <w:r>
        <w:rPr>
          <w:rFonts w:hint="eastAsia" w:ascii="宋体" w:hAnsi="宋体"/>
        </w:rPr>
        <w:t xml:space="preserve">_（投标人名称）的法定代表人，现授权委托本单位在职职工 </w:t>
      </w:r>
      <w:r>
        <w:rPr>
          <w:rFonts w:hint="eastAsia" w:ascii="宋体" w:hAnsi="宋体"/>
          <w:u w:val="single"/>
        </w:rPr>
        <w:t xml:space="preserve">              </w:t>
      </w:r>
      <w:r>
        <w:rPr>
          <w:rFonts w:hint="eastAsia" w:ascii="宋体" w:hAnsi="宋体"/>
        </w:rPr>
        <w:t>（姓名）以我方的名义参加</w:t>
      </w:r>
      <w:r>
        <w:rPr>
          <w:rFonts w:hint="eastAsia" w:ascii="宋体" w:hAnsi="宋体"/>
          <w:u w:val="single"/>
        </w:rPr>
        <w:t xml:space="preserve">   ABC单位XYZ政府采购          </w:t>
      </w:r>
      <w:r>
        <w:rPr>
          <w:rFonts w:hint="eastAsia" w:ascii="宋体" w:hAnsi="宋体"/>
        </w:rPr>
        <w:t>项目的投标活动，并代表我方全权办理针对上述项目的投标、开标、评标、签约等具体事务和签署相关文件。</w:t>
      </w:r>
    </w:p>
    <w:p>
      <w:pPr>
        <w:snapToGrid w:val="0"/>
        <w:spacing w:before="156" w:beforeLines="50" w:after="50" w:line="360" w:lineRule="exact"/>
        <w:rPr>
          <w:rFonts w:ascii="宋体" w:hAnsi="宋体"/>
        </w:rPr>
      </w:pPr>
      <w:r>
        <w:rPr>
          <w:rFonts w:hint="eastAsia" w:ascii="宋体" w:hAnsi="宋体"/>
        </w:rPr>
        <w:t xml:space="preserve">    我方对被授权人的签名事项负全部责任。</w:t>
      </w:r>
    </w:p>
    <w:p>
      <w:pPr>
        <w:snapToGrid w:val="0"/>
        <w:spacing w:before="156" w:beforeLines="50" w:after="50" w:line="360" w:lineRule="exact"/>
        <w:ind w:firstLine="480"/>
        <w:rPr>
          <w:rFonts w:ascii="宋体" w:hAnsi="宋体"/>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before="156" w:beforeLines="50" w:after="50" w:line="360" w:lineRule="exact"/>
        <w:ind w:firstLine="480"/>
        <w:rPr>
          <w:rFonts w:ascii="宋体" w:hAnsi="宋体"/>
        </w:rPr>
      </w:pPr>
      <w:r>
        <w:rPr>
          <w:rFonts w:hint="eastAsia" w:ascii="宋体" w:hAnsi="宋体"/>
        </w:rPr>
        <w:t>被授权人无转委托权，特此委托。</w:t>
      </w:r>
    </w:p>
    <w:p>
      <w:pPr>
        <w:snapToGrid w:val="0"/>
        <w:spacing w:before="156" w:beforeLines="50" w:after="50" w:line="360" w:lineRule="exact"/>
        <w:rPr>
          <w:rFonts w:ascii="宋体" w:hAnsi="宋体"/>
        </w:rPr>
      </w:pPr>
    </w:p>
    <w:p>
      <w:pPr>
        <w:snapToGrid w:val="0"/>
        <w:spacing w:before="156" w:beforeLines="50" w:after="50" w:line="360" w:lineRule="exact"/>
        <w:rPr>
          <w:rFonts w:ascii="宋体" w:hAnsi="宋体"/>
          <w:u w:val="single"/>
        </w:rPr>
      </w:pPr>
      <w:r>
        <w:rPr>
          <w:rFonts w:hint="eastAsia" w:ascii="宋体" w:hAnsi="宋体"/>
        </w:rPr>
        <w:t>被授权人签名：</w:t>
      </w:r>
      <w:r>
        <w:rPr>
          <w:rFonts w:hint="eastAsia" w:ascii="宋体" w:hAnsi="宋体"/>
          <w:u w:val="single"/>
        </w:rPr>
        <w:t xml:space="preserve">          </w:t>
      </w:r>
      <w:r>
        <w:rPr>
          <w:rFonts w:hint="eastAsia" w:ascii="宋体" w:hAnsi="宋体"/>
        </w:rPr>
        <w:t xml:space="preserve">                 法定代表人签名：</w:t>
      </w:r>
      <w:r>
        <w:rPr>
          <w:rFonts w:hint="eastAsia" w:ascii="宋体" w:hAnsi="宋体"/>
          <w:u w:val="single"/>
        </w:rPr>
        <w:t xml:space="preserve">          </w:t>
      </w:r>
    </w:p>
    <w:p>
      <w:pPr>
        <w:snapToGrid w:val="0"/>
        <w:spacing w:before="156" w:beforeLines="50" w:after="50" w:line="360" w:lineRule="exact"/>
        <w:ind w:firstLine="840" w:firstLineChars="40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napToGrid w:val="0"/>
        <w:spacing w:before="156" w:beforeLines="50" w:after="50" w:line="360" w:lineRule="exact"/>
        <w:rPr>
          <w:rFonts w:ascii="宋体" w:hAnsi="宋体"/>
        </w:rPr>
      </w:pPr>
      <w:r>
        <w:rPr>
          <w:rFonts w:hint="eastAsia" w:ascii="宋体" w:hAnsi="宋体"/>
        </w:rPr>
        <w:t>被授权人身份证号码：</w:t>
      </w:r>
      <w:r>
        <w:rPr>
          <w:rFonts w:hint="eastAsia" w:ascii="宋体" w:hAnsi="宋体"/>
          <w:u w:val="single"/>
        </w:rPr>
        <w:t xml:space="preserve">                             </w:t>
      </w:r>
      <w:r>
        <w:rPr>
          <w:rFonts w:hint="eastAsia" w:ascii="宋体" w:hAnsi="宋体"/>
        </w:rPr>
        <w:t xml:space="preserve"> </w:t>
      </w:r>
    </w:p>
    <w:p>
      <w:pPr>
        <w:snapToGrid w:val="0"/>
        <w:spacing w:before="156" w:beforeLines="50" w:after="50" w:line="360" w:lineRule="exact"/>
        <w:rPr>
          <w:rFonts w:ascii="宋体" w:hAnsi="宋体"/>
        </w:rPr>
      </w:pPr>
      <w:r>
        <w:rPr>
          <w:rFonts w:hint="eastAsia" w:ascii="宋体" w:hAnsi="宋体"/>
        </w:rPr>
        <w:t xml:space="preserve">                                     投标人公章：</w:t>
      </w:r>
    </w:p>
    <w:p>
      <w:pPr>
        <w:snapToGrid w:val="0"/>
        <w:spacing w:before="156" w:beforeLines="50" w:after="50" w:line="360" w:lineRule="exact"/>
        <w:jc w:val="center"/>
        <w:rPr>
          <w:rFonts w:ascii="宋体" w:hAnsi="宋体"/>
        </w:rPr>
      </w:pPr>
      <w:r>
        <w:rPr>
          <w:rFonts w:hint="eastAsia" w:ascii="宋体" w:hAnsi="宋体"/>
        </w:rPr>
        <w:t xml:space="preserve">                                        年    月    日</w:t>
      </w:r>
    </w:p>
    <w:p>
      <w:pPr>
        <w:snapToGrid w:val="0"/>
        <w:spacing w:before="156" w:beforeLines="50" w:after="50" w:line="360" w:lineRule="exact"/>
        <w:rPr>
          <w:rFonts w:ascii="宋体" w:hAnsi="宋体"/>
        </w:rPr>
      </w:pPr>
    </w:p>
    <w:p>
      <w:pPr>
        <w:adjustRightInd w:val="0"/>
        <w:snapToGrid w:val="0"/>
        <w:spacing w:line="360" w:lineRule="exact"/>
        <w:ind w:firstLine="420" w:firstLineChars="200"/>
        <w:rPr>
          <w:rFonts w:ascii="宋体" w:hAnsi="宋体"/>
          <w:u w:val="single"/>
        </w:rPr>
      </w:pPr>
    </w:p>
    <w:tbl>
      <w:tblPr>
        <w:tblStyle w:val="7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pPr>
              <w:spacing w:line="360" w:lineRule="exact"/>
              <w:rPr>
                <w:rFonts w:ascii="宋体" w:hAnsi="宋体"/>
              </w:rPr>
            </w:pPr>
            <w:r>
              <w:rPr>
                <w:rFonts w:hint="eastAsia" w:ascii="宋体" w:hAnsi="宋体"/>
              </w:rPr>
              <w:t>粘贴被授权人身份证（正、反两面复印件）</w:t>
            </w:r>
          </w:p>
        </w:tc>
      </w:tr>
    </w:tbl>
    <w:p>
      <w:pPr>
        <w:autoSpaceDE w:val="0"/>
        <w:autoSpaceDN w:val="0"/>
        <w:spacing w:line="360" w:lineRule="exact"/>
        <w:ind w:left="480" w:hanging="480"/>
        <w:rPr>
          <w:rFonts w:ascii="宋体" w:hAnsi="宋体"/>
        </w:rPr>
      </w:pPr>
    </w:p>
    <w:p>
      <w:pPr>
        <w:widowControl/>
        <w:jc w:val="left"/>
        <w:rPr>
          <w:rFonts w:ascii="宋体" w:hAnsi="宋体"/>
          <w:b/>
        </w:rPr>
      </w:pPr>
      <w:r>
        <w:rPr>
          <w:rFonts w:ascii="宋体" w:hAnsi="宋体"/>
          <w:b/>
        </w:rPr>
        <w:br w:type="page"/>
      </w:r>
    </w:p>
    <w:p>
      <w:pPr>
        <w:snapToGrid w:val="0"/>
        <w:spacing w:before="50" w:after="156" w:afterLines="50" w:line="360" w:lineRule="exact"/>
        <w:jc w:val="left"/>
        <w:rPr>
          <w:rFonts w:ascii="宋体" w:hAnsi="宋体"/>
          <w:b/>
        </w:rPr>
      </w:pPr>
      <w:r>
        <w:rPr>
          <w:rFonts w:hint="eastAsia" w:ascii="宋体" w:hAnsi="宋体"/>
          <w:b/>
        </w:rPr>
        <w:t>7、有效的营业执照复印件</w:t>
      </w:r>
    </w:p>
    <w:p>
      <w:pPr>
        <w:snapToGrid w:val="0"/>
        <w:spacing w:before="50" w:after="156" w:afterLines="50" w:line="360" w:lineRule="exact"/>
        <w:jc w:val="left"/>
        <w:rPr>
          <w:rFonts w:ascii="宋体" w:hAnsi="宋体"/>
          <w:b/>
        </w:rPr>
      </w:pPr>
    </w:p>
    <w:p>
      <w:pPr>
        <w:snapToGrid w:val="0"/>
        <w:spacing w:before="50" w:after="156" w:afterLines="50" w:line="360" w:lineRule="exact"/>
        <w:jc w:val="left"/>
        <w:rPr>
          <w:rFonts w:ascii="宋体" w:hAnsi="宋体"/>
          <w:b/>
        </w:rPr>
      </w:pPr>
    </w:p>
    <w:p>
      <w:pPr>
        <w:snapToGrid w:val="0"/>
        <w:spacing w:before="50" w:after="156" w:afterLines="50" w:line="360" w:lineRule="exact"/>
        <w:jc w:val="left"/>
        <w:rPr>
          <w:rFonts w:ascii="宋体" w:hAnsi="宋体"/>
          <w:b/>
        </w:rPr>
      </w:pPr>
      <w:r>
        <w:rPr>
          <w:rFonts w:hint="eastAsia" w:ascii="宋体" w:hAnsi="宋体"/>
          <w:b/>
        </w:rPr>
        <w:t>8、税务登记证及组织机构代码证复印件（已办理三证合一的，不用提供）</w:t>
      </w:r>
    </w:p>
    <w:p>
      <w:pPr>
        <w:snapToGrid w:val="0"/>
        <w:spacing w:before="50" w:after="156" w:afterLines="50" w:line="360" w:lineRule="exact"/>
        <w:jc w:val="left"/>
        <w:rPr>
          <w:rFonts w:ascii="宋体" w:hAnsi="宋体"/>
          <w:b/>
        </w:rPr>
      </w:pPr>
    </w:p>
    <w:p>
      <w:pPr>
        <w:snapToGrid w:val="0"/>
        <w:spacing w:before="50" w:after="156" w:afterLines="50" w:line="360" w:lineRule="exact"/>
        <w:jc w:val="left"/>
        <w:rPr>
          <w:rFonts w:ascii="宋体" w:hAnsi="宋体"/>
          <w:b/>
        </w:rPr>
      </w:pPr>
    </w:p>
    <w:p>
      <w:pPr>
        <w:snapToGrid w:val="0"/>
        <w:spacing w:before="50" w:after="156" w:afterLines="50" w:line="360" w:lineRule="exact"/>
        <w:jc w:val="left"/>
        <w:rPr>
          <w:rFonts w:ascii="宋体" w:hAnsi="宋体"/>
          <w:b/>
        </w:rPr>
      </w:pPr>
      <w:r>
        <w:rPr>
          <w:rFonts w:hint="eastAsia" w:ascii="宋体" w:hAnsi="宋体"/>
          <w:b/>
        </w:rPr>
        <w:t>9、商务响应表格式：</w:t>
      </w:r>
    </w:p>
    <w:p>
      <w:pPr>
        <w:snapToGrid w:val="0"/>
        <w:spacing w:before="50" w:line="360" w:lineRule="exact"/>
        <w:jc w:val="center"/>
        <w:rPr>
          <w:rFonts w:ascii="宋体" w:hAnsi="宋体"/>
          <w:b/>
          <w:sz w:val="28"/>
          <w:szCs w:val="28"/>
        </w:rPr>
      </w:pPr>
      <w:r>
        <w:rPr>
          <w:rFonts w:hint="eastAsia" w:ascii="宋体" w:hAnsi="宋体"/>
          <w:b/>
          <w:sz w:val="28"/>
          <w:szCs w:val="28"/>
        </w:rPr>
        <w:t>商务响应表</w:t>
      </w:r>
    </w:p>
    <w:p>
      <w:pPr>
        <w:snapToGrid w:val="0"/>
        <w:spacing w:before="50" w:line="360" w:lineRule="exact"/>
        <w:jc w:val="left"/>
        <w:rPr>
          <w:rFonts w:ascii="宋体" w:hAnsi="宋体"/>
          <w:b/>
        </w:rPr>
      </w:pPr>
    </w:p>
    <w:tbl>
      <w:tblPr>
        <w:tblStyle w:val="72"/>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37"/>
              <w:spacing w:line="340" w:lineRule="exact"/>
              <w:jc w:val="center"/>
              <w:rPr>
                <w:rFonts w:hAnsi="宋体"/>
                <w:sz w:val="21"/>
              </w:rPr>
            </w:pPr>
            <w:r>
              <w:rPr>
                <w:rFonts w:hAnsi="宋体"/>
                <w:sz w:val="21"/>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37"/>
              <w:spacing w:line="340" w:lineRule="exact"/>
              <w:jc w:val="center"/>
              <w:rPr>
                <w:rFonts w:hAnsi="宋体"/>
                <w:sz w:val="21"/>
              </w:rPr>
            </w:pPr>
            <w:r>
              <w:rPr>
                <w:rFonts w:hAnsi="宋体"/>
                <w:sz w:val="21"/>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37"/>
              <w:spacing w:line="340" w:lineRule="exact"/>
              <w:jc w:val="center"/>
              <w:rPr>
                <w:rFonts w:hAnsi="宋体"/>
                <w:sz w:val="21"/>
              </w:rPr>
            </w:pPr>
            <w:r>
              <w:rPr>
                <w:rFonts w:hAnsi="宋体"/>
                <w:sz w:val="21"/>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37"/>
              <w:spacing w:line="340" w:lineRule="exact"/>
              <w:jc w:val="center"/>
              <w:rPr>
                <w:rFonts w:hAnsi="宋体"/>
                <w:sz w:val="21"/>
              </w:rPr>
            </w:pPr>
            <w:r>
              <w:rPr>
                <w:rFonts w:hAnsi="宋体"/>
                <w:sz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37"/>
              <w:spacing w:line="340" w:lineRule="exact"/>
              <w:rPr>
                <w:rFonts w:hAnsi="宋体"/>
                <w:sz w:val="21"/>
              </w:rPr>
            </w:pPr>
            <w:r>
              <w:rPr>
                <w:rFonts w:hAnsi="宋体"/>
                <w:sz w:val="21"/>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rPr>
            </w:pPr>
            <w:r>
              <w:rPr>
                <w:rFonts w:ascii="宋体" w:hAnsi="宋体"/>
              </w:rPr>
              <w:t>1  ……</w:t>
            </w:r>
          </w:p>
          <w:p>
            <w:pPr>
              <w:spacing w:line="340" w:lineRule="exact"/>
              <w:rPr>
                <w:rFonts w:ascii="宋体" w:hAnsi="宋体"/>
              </w:rPr>
            </w:pPr>
            <w:r>
              <w:rPr>
                <w:rFonts w:ascii="宋体" w:hAnsi="宋体"/>
              </w:rPr>
              <w:t>2  ……</w:t>
            </w:r>
          </w:p>
          <w:p>
            <w:pPr>
              <w:spacing w:line="340" w:lineRule="exact"/>
              <w:rPr>
                <w:rFonts w:ascii="宋体" w:hAnsi="宋体"/>
              </w:rPr>
            </w:pPr>
            <w:r>
              <w:rPr>
                <w:rFonts w:ascii="宋体" w:hAnsi="宋体"/>
              </w:rPr>
              <w:t>3  ……</w:t>
            </w:r>
          </w:p>
          <w:p>
            <w:pPr>
              <w:pStyle w:val="37"/>
              <w:spacing w:line="340" w:lineRule="exact"/>
              <w:rPr>
                <w:rFonts w:hAnsi="宋体"/>
                <w:sz w:val="21"/>
              </w:rPr>
            </w:pPr>
            <w:r>
              <w:rPr>
                <w:rFonts w:hAnsi="宋体"/>
                <w:sz w:val="21"/>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rPr>
            </w:pPr>
            <w:r>
              <w:rPr>
                <w:rFonts w:ascii="宋体" w:hAnsi="宋体"/>
              </w:rPr>
              <w:t>1  ……</w:t>
            </w:r>
          </w:p>
          <w:p>
            <w:pPr>
              <w:spacing w:line="340" w:lineRule="exact"/>
              <w:rPr>
                <w:rFonts w:ascii="宋体" w:hAnsi="宋体"/>
              </w:rPr>
            </w:pPr>
            <w:r>
              <w:rPr>
                <w:rFonts w:ascii="宋体" w:hAnsi="宋体"/>
              </w:rPr>
              <w:t>2  ……</w:t>
            </w:r>
          </w:p>
          <w:p>
            <w:pPr>
              <w:spacing w:line="340" w:lineRule="exact"/>
              <w:rPr>
                <w:rFonts w:ascii="宋体" w:hAnsi="宋体"/>
              </w:rPr>
            </w:pPr>
            <w:r>
              <w:rPr>
                <w:rFonts w:ascii="宋体" w:hAnsi="宋体"/>
              </w:rPr>
              <w:t>3  ……</w:t>
            </w:r>
          </w:p>
          <w:p>
            <w:pPr>
              <w:pStyle w:val="37"/>
              <w:spacing w:line="340" w:lineRule="exact"/>
              <w:rPr>
                <w:rFonts w:hAnsi="宋体"/>
                <w:sz w:val="21"/>
              </w:rPr>
            </w:pPr>
            <w:r>
              <w:rPr>
                <w:rFonts w:hAnsi="宋体"/>
                <w:sz w:val="21"/>
              </w:rPr>
              <w:t>……</w:t>
            </w:r>
          </w:p>
        </w:tc>
        <w:tc>
          <w:tcPr>
            <w:tcW w:w="1320" w:type="dxa"/>
            <w:tcBorders>
              <w:top w:val="single" w:color="auto" w:sz="4" w:space="0"/>
              <w:left w:val="single" w:color="auto" w:sz="4" w:space="0"/>
              <w:bottom w:val="single" w:color="auto" w:sz="4" w:space="0"/>
              <w:right w:val="single" w:color="auto" w:sz="4" w:space="0"/>
            </w:tcBorders>
          </w:tcPr>
          <w:p>
            <w:pPr>
              <w:pStyle w:val="37"/>
              <w:spacing w:line="300" w:lineRule="exact"/>
              <w:rPr>
                <w:rFonts w:hAnsi="宋体"/>
                <w:sz w:val="21"/>
              </w:rPr>
            </w:pPr>
            <w:r>
              <w:rPr>
                <w:rFonts w:hAnsi="宋体"/>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37"/>
              <w:spacing w:line="340" w:lineRule="exact"/>
              <w:rPr>
                <w:rFonts w:hAnsi="宋体"/>
                <w:sz w:val="21"/>
              </w:rPr>
            </w:pPr>
            <w:r>
              <w:rPr>
                <w:rFonts w:hAnsi="宋体"/>
                <w:sz w:val="21"/>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rPr>
            </w:pPr>
            <w:r>
              <w:rPr>
                <w:rFonts w:ascii="宋体" w:hAnsi="宋体"/>
              </w:rPr>
              <w:t>1  ……</w:t>
            </w:r>
          </w:p>
          <w:p>
            <w:pPr>
              <w:spacing w:line="340" w:lineRule="exact"/>
              <w:rPr>
                <w:rFonts w:ascii="宋体" w:hAnsi="宋体"/>
              </w:rPr>
            </w:pPr>
            <w:r>
              <w:rPr>
                <w:rFonts w:ascii="宋体" w:hAnsi="宋体"/>
              </w:rPr>
              <w:t>2  ……</w:t>
            </w:r>
          </w:p>
          <w:p>
            <w:pPr>
              <w:spacing w:line="340" w:lineRule="exact"/>
              <w:rPr>
                <w:rFonts w:ascii="宋体" w:hAnsi="宋体"/>
              </w:rPr>
            </w:pPr>
            <w:r>
              <w:rPr>
                <w:rFonts w:ascii="宋体" w:hAnsi="宋体"/>
              </w:rPr>
              <w:t>3  ……</w:t>
            </w:r>
          </w:p>
          <w:p>
            <w:pPr>
              <w:pStyle w:val="37"/>
              <w:spacing w:line="340" w:lineRule="exact"/>
              <w:rPr>
                <w:rFonts w:hAnsi="宋体"/>
                <w:sz w:val="21"/>
              </w:rPr>
            </w:pPr>
            <w:r>
              <w:rPr>
                <w:rFonts w:hAnsi="宋体"/>
                <w:sz w:val="21"/>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rPr>
            </w:pPr>
            <w:r>
              <w:rPr>
                <w:rFonts w:ascii="宋体" w:hAnsi="宋体"/>
              </w:rPr>
              <w:t>1  ……</w:t>
            </w:r>
          </w:p>
          <w:p>
            <w:pPr>
              <w:spacing w:line="340" w:lineRule="exact"/>
              <w:rPr>
                <w:rFonts w:ascii="宋体" w:hAnsi="宋体"/>
              </w:rPr>
            </w:pPr>
            <w:r>
              <w:rPr>
                <w:rFonts w:ascii="宋体" w:hAnsi="宋体"/>
              </w:rPr>
              <w:t>2  ……</w:t>
            </w:r>
          </w:p>
          <w:p>
            <w:pPr>
              <w:spacing w:line="340" w:lineRule="exact"/>
              <w:rPr>
                <w:rFonts w:ascii="宋体" w:hAnsi="宋体"/>
              </w:rPr>
            </w:pPr>
            <w:r>
              <w:rPr>
                <w:rFonts w:ascii="宋体" w:hAnsi="宋体"/>
              </w:rPr>
              <w:t>3  ……</w:t>
            </w:r>
          </w:p>
          <w:p>
            <w:pPr>
              <w:pStyle w:val="37"/>
              <w:spacing w:line="340" w:lineRule="exact"/>
              <w:rPr>
                <w:rFonts w:hAnsi="宋体"/>
                <w:sz w:val="21"/>
              </w:rPr>
            </w:pPr>
            <w:r>
              <w:rPr>
                <w:rFonts w:hAnsi="宋体"/>
                <w:sz w:val="21"/>
              </w:rPr>
              <w:t>……</w:t>
            </w:r>
          </w:p>
        </w:tc>
        <w:tc>
          <w:tcPr>
            <w:tcW w:w="1320" w:type="dxa"/>
            <w:tcBorders>
              <w:top w:val="single" w:color="auto" w:sz="4" w:space="0"/>
              <w:left w:val="single" w:color="auto" w:sz="4" w:space="0"/>
              <w:bottom w:val="single" w:color="auto" w:sz="4" w:space="0"/>
              <w:right w:val="single" w:color="auto" w:sz="4" w:space="0"/>
            </w:tcBorders>
          </w:tcPr>
          <w:p>
            <w:pPr>
              <w:pStyle w:val="37"/>
              <w:spacing w:line="300" w:lineRule="exact"/>
              <w:rPr>
                <w:rFonts w:hAnsi="宋体"/>
                <w:sz w:val="21"/>
              </w:rPr>
            </w:pPr>
            <w:r>
              <w:rPr>
                <w:rFonts w:hAnsi="宋体"/>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37"/>
              <w:spacing w:line="340" w:lineRule="exact"/>
              <w:rPr>
                <w:rFonts w:hAnsi="宋体"/>
                <w:sz w:val="21"/>
              </w:rPr>
            </w:pPr>
            <w:r>
              <w:rPr>
                <w:rFonts w:hAnsi="宋体"/>
                <w:sz w:val="21"/>
              </w:rPr>
              <w:t>...</w:t>
            </w:r>
          </w:p>
        </w:tc>
        <w:tc>
          <w:tcPr>
            <w:tcW w:w="4071" w:type="dxa"/>
            <w:tcBorders>
              <w:top w:val="single" w:color="auto" w:sz="4" w:space="0"/>
              <w:left w:val="single" w:color="auto" w:sz="4" w:space="0"/>
              <w:bottom w:val="single" w:color="auto" w:sz="4" w:space="0"/>
              <w:right w:val="single" w:color="auto" w:sz="4" w:space="0"/>
            </w:tcBorders>
          </w:tcPr>
          <w:p>
            <w:pPr>
              <w:pStyle w:val="37"/>
              <w:spacing w:line="340" w:lineRule="exact"/>
              <w:rPr>
                <w:rFonts w:hAnsi="宋体"/>
                <w:sz w:val="21"/>
              </w:rPr>
            </w:pPr>
            <w:r>
              <w:rPr>
                <w:rFonts w:hAnsi="宋体"/>
                <w:sz w:val="21"/>
              </w:rPr>
              <w:t>1 ……</w:t>
            </w:r>
          </w:p>
          <w:p>
            <w:pPr>
              <w:pStyle w:val="37"/>
              <w:spacing w:line="340" w:lineRule="exact"/>
              <w:rPr>
                <w:rFonts w:hAnsi="宋体"/>
                <w:sz w:val="21"/>
              </w:rPr>
            </w:pPr>
            <w:r>
              <w:rPr>
                <w:rFonts w:hAnsi="宋体"/>
                <w:sz w:val="21"/>
              </w:rPr>
              <w:t>2.合同签订日期： ……</w:t>
            </w:r>
          </w:p>
          <w:p>
            <w:pPr>
              <w:pStyle w:val="37"/>
              <w:spacing w:line="340" w:lineRule="exact"/>
              <w:rPr>
                <w:rFonts w:hAnsi="宋体"/>
                <w:sz w:val="21"/>
              </w:rPr>
            </w:pPr>
            <w:r>
              <w:rPr>
                <w:rFonts w:hAnsi="宋体"/>
                <w:sz w:val="21"/>
              </w:rPr>
              <w:t>3.交货期：      年    月     日前</w:t>
            </w:r>
          </w:p>
          <w:p>
            <w:pPr>
              <w:pStyle w:val="37"/>
              <w:spacing w:line="340" w:lineRule="exact"/>
              <w:rPr>
                <w:rFonts w:hAnsi="宋体"/>
                <w:sz w:val="21"/>
              </w:rPr>
            </w:pPr>
            <w:r>
              <w:rPr>
                <w:rFonts w:hAnsi="宋体"/>
                <w:sz w:val="21"/>
              </w:rPr>
              <w:t>4.交货地点：南宁市    路    号</w:t>
            </w:r>
          </w:p>
          <w:p>
            <w:pPr>
              <w:pStyle w:val="37"/>
              <w:spacing w:line="340" w:lineRule="exact"/>
              <w:rPr>
                <w:rFonts w:hAnsi="宋体"/>
                <w:sz w:val="21"/>
              </w:rPr>
            </w:pPr>
            <w:r>
              <w:rPr>
                <w:rFonts w:hAnsi="宋体"/>
                <w:sz w:val="21"/>
              </w:rPr>
              <w:t>5 ……</w:t>
            </w:r>
          </w:p>
        </w:tc>
        <w:tc>
          <w:tcPr>
            <w:tcW w:w="3720" w:type="dxa"/>
            <w:tcBorders>
              <w:top w:val="single" w:color="auto" w:sz="4" w:space="0"/>
              <w:left w:val="single" w:color="auto" w:sz="4" w:space="0"/>
              <w:bottom w:val="single" w:color="auto" w:sz="4" w:space="0"/>
              <w:right w:val="single" w:color="auto" w:sz="4" w:space="0"/>
            </w:tcBorders>
          </w:tcPr>
          <w:p>
            <w:pPr>
              <w:pStyle w:val="37"/>
              <w:spacing w:line="340" w:lineRule="exact"/>
              <w:rPr>
                <w:rFonts w:hAnsi="宋体"/>
                <w:sz w:val="21"/>
              </w:rPr>
            </w:pPr>
            <w:r>
              <w:rPr>
                <w:rFonts w:hAnsi="宋体"/>
                <w:sz w:val="21"/>
              </w:rPr>
              <w:t>1 ……</w:t>
            </w:r>
          </w:p>
          <w:p>
            <w:pPr>
              <w:pStyle w:val="37"/>
              <w:spacing w:line="340" w:lineRule="exact"/>
              <w:rPr>
                <w:rFonts w:hAnsi="宋体"/>
                <w:sz w:val="21"/>
              </w:rPr>
            </w:pPr>
            <w:r>
              <w:rPr>
                <w:rFonts w:hAnsi="宋体"/>
                <w:sz w:val="21"/>
              </w:rPr>
              <w:t>2.合同签订日期： ……</w:t>
            </w:r>
          </w:p>
          <w:p>
            <w:pPr>
              <w:pStyle w:val="37"/>
              <w:spacing w:line="340" w:lineRule="exact"/>
              <w:rPr>
                <w:rFonts w:hAnsi="宋体"/>
                <w:sz w:val="21"/>
              </w:rPr>
            </w:pPr>
            <w:r>
              <w:rPr>
                <w:rFonts w:hAnsi="宋体"/>
                <w:sz w:val="21"/>
              </w:rPr>
              <w:t>3.交货期：      年    月     日前</w:t>
            </w:r>
          </w:p>
          <w:p>
            <w:pPr>
              <w:pStyle w:val="37"/>
              <w:spacing w:line="340" w:lineRule="exact"/>
              <w:rPr>
                <w:rFonts w:hAnsi="宋体"/>
                <w:sz w:val="21"/>
              </w:rPr>
            </w:pPr>
            <w:r>
              <w:rPr>
                <w:rFonts w:hAnsi="宋体"/>
                <w:sz w:val="21"/>
              </w:rPr>
              <w:t>4.交货地点：南宁市    路    号</w:t>
            </w:r>
          </w:p>
          <w:p>
            <w:pPr>
              <w:pStyle w:val="37"/>
              <w:spacing w:line="340" w:lineRule="exact"/>
              <w:rPr>
                <w:rFonts w:hAnsi="宋体"/>
                <w:sz w:val="21"/>
              </w:rPr>
            </w:pPr>
            <w:r>
              <w:rPr>
                <w:rFonts w:hAnsi="宋体"/>
                <w:sz w:val="21"/>
              </w:rPr>
              <w:t>5 ……</w:t>
            </w:r>
          </w:p>
        </w:tc>
        <w:tc>
          <w:tcPr>
            <w:tcW w:w="1320" w:type="dxa"/>
            <w:tcBorders>
              <w:top w:val="single" w:color="auto" w:sz="4" w:space="0"/>
              <w:left w:val="single" w:color="auto" w:sz="4" w:space="0"/>
              <w:bottom w:val="single" w:color="auto" w:sz="4" w:space="0"/>
              <w:right w:val="single" w:color="auto" w:sz="4" w:space="0"/>
            </w:tcBorders>
          </w:tcPr>
          <w:p>
            <w:pPr>
              <w:pStyle w:val="37"/>
              <w:spacing w:line="300" w:lineRule="exact"/>
              <w:rPr>
                <w:rFonts w:hAnsi="宋体"/>
                <w:sz w:val="21"/>
              </w:rPr>
            </w:pPr>
          </w:p>
          <w:p>
            <w:pPr>
              <w:pStyle w:val="37"/>
              <w:spacing w:line="300" w:lineRule="exact"/>
              <w:rPr>
                <w:rFonts w:hAnsi="宋体"/>
                <w:sz w:val="21"/>
              </w:rPr>
            </w:pPr>
            <w:r>
              <w:rPr>
                <w:rFonts w:hAnsi="宋体"/>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37"/>
              <w:spacing w:line="340" w:lineRule="exact"/>
              <w:rPr>
                <w:rFonts w:hAnsi="宋体"/>
                <w:sz w:val="21"/>
              </w:rPr>
            </w:pPr>
            <w:r>
              <w:rPr>
                <w:rFonts w:hAnsi="宋体"/>
                <w:sz w:val="21"/>
                <w:u w:val="single"/>
              </w:rPr>
              <w:t>　　</w:t>
            </w:r>
            <w:r>
              <w:rPr>
                <w:rFonts w:hAnsi="宋体"/>
                <w:sz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37"/>
              <w:spacing w:line="340" w:lineRule="exact"/>
              <w:rPr>
                <w:rFonts w:hAnsi="宋体"/>
                <w:sz w:val="21"/>
              </w:rPr>
            </w:pPr>
            <w:r>
              <w:rPr>
                <w:rFonts w:hAnsi="宋体"/>
                <w:sz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37"/>
              <w:spacing w:line="360" w:lineRule="exact"/>
              <w:rPr>
                <w:rFonts w:hAnsi="宋体"/>
                <w:sz w:val="21"/>
              </w:rPr>
            </w:pPr>
            <w:r>
              <w:rPr>
                <w:rFonts w:hAnsi="宋体"/>
                <w:sz w:val="21"/>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37"/>
              <w:spacing w:line="360" w:lineRule="exact"/>
              <w:rPr>
                <w:rFonts w:hAnsi="宋体"/>
                <w:sz w:val="21"/>
              </w:rPr>
            </w:pPr>
            <w:r>
              <w:rPr>
                <w:rFonts w:hint="eastAsia" w:hAnsi="宋体"/>
                <w:sz w:val="21"/>
              </w:rPr>
              <w:t>日期：</w:t>
            </w:r>
          </w:p>
        </w:tc>
      </w:tr>
    </w:tbl>
    <w:p>
      <w:pPr>
        <w:pStyle w:val="37"/>
        <w:rPr>
          <w:rFonts w:hAnsi="宋体"/>
          <w:sz w:val="21"/>
        </w:rPr>
      </w:pPr>
      <w:r>
        <w:rPr>
          <w:rFonts w:hAnsi="宋体"/>
          <w:sz w:val="21"/>
        </w:rPr>
        <w:t>注：⑴表格内容均需按要求填写并盖章，不得留空，</w:t>
      </w:r>
      <w:r>
        <w:rPr>
          <w:rFonts w:hAnsi="宋体"/>
          <w:bCs/>
          <w:sz w:val="21"/>
        </w:rPr>
        <w:t>否则按投标无效处理</w:t>
      </w:r>
      <w:r>
        <w:rPr>
          <w:rFonts w:hAnsi="宋体"/>
          <w:sz w:val="21"/>
        </w:rPr>
        <w:t>。</w:t>
      </w:r>
    </w:p>
    <w:p>
      <w:pPr>
        <w:pStyle w:val="37"/>
        <w:ind w:left="424" w:leftChars="202"/>
        <w:rPr>
          <w:rFonts w:hAnsi="宋体"/>
          <w:bCs/>
          <w:sz w:val="21"/>
        </w:rPr>
      </w:pPr>
      <w:r>
        <w:rPr>
          <w:rFonts w:hAnsi="宋体"/>
          <w:bCs/>
          <w:sz w:val="21"/>
        </w:rPr>
        <w:t>⑵投标文件承诺不得直接复制招标文件需求，如果招标文件需求为小于或大于某个数值标准时，招标文件承诺内容应当写明投标货物具体参数或商务响应承诺的具体数值，否则按投标无效处理。</w:t>
      </w:r>
    </w:p>
    <w:p>
      <w:pPr>
        <w:snapToGrid w:val="0"/>
        <w:spacing w:before="50" w:after="50"/>
        <w:ind w:left="424" w:leftChars="202"/>
        <w:rPr>
          <w:rFonts w:ascii="宋体" w:hAnsi="宋体"/>
          <w:spacing w:val="20"/>
        </w:rPr>
      </w:pPr>
      <w:r>
        <w:rPr>
          <w:rFonts w:ascii="宋体" w:hAnsi="宋体"/>
        </w:rPr>
        <w:t>⑶当投标文件的技术参数或商务内容低于招标文件要求时，投标人应当如实写明“负偏离”，否则视为虚假应标。</w:t>
      </w:r>
    </w:p>
    <w:p>
      <w:pPr>
        <w:snapToGrid w:val="0"/>
        <w:spacing w:line="400" w:lineRule="exact"/>
        <w:ind w:firstLine="411" w:firstLineChars="196"/>
        <w:jc w:val="left"/>
        <w:rPr>
          <w:rFonts w:ascii="宋体" w:hAnsi="宋体"/>
        </w:rPr>
      </w:pPr>
    </w:p>
    <w:p>
      <w:pPr>
        <w:snapToGrid w:val="0"/>
        <w:spacing w:line="400" w:lineRule="exact"/>
        <w:ind w:firstLine="411" w:firstLineChars="196"/>
        <w:jc w:val="left"/>
        <w:rPr>
          <w:rFonts w:ascii="宋体" w:hAnsi="宋体"/>
        </w:rPr>
      </w:pPr>
      <w:r>
        <w:rPr>
          <w:rFonts w:ascii="宋体" w:hAnsi="宋体"/>
        </w:rPr>
        <w:br w:type="page"/>
      </w:r>
      <w:r>
        <w:rPr>
          <w:rFonts w:hint="eastAsia" w:ascii="宋体" w:hAnsi="宋体"/>
        </w:rPr>
        <w:t>10、</w:t>
      </w:r>
      <w:r>
        <w:rPr>
          <w:rFonts w:hint="eastAsia" w:ascii="宋体" w:hAnsi="宋体"/>
          <w:b/>
        </w:rPr>
        <w:t>投标人投标截止日之前半年内连续三个月的依法缴纳税收[税费凭证复印件，或者依法缴纳税费或依法免缴税费的证明（复印件，原件备查）；无税额月份应提供税务部门出具的零申报证明]</w:t>
      </w:r>
      <w:r>
        <w:rPr>
          <w:rFonts w:hint="eastAsia" w:ascii="宋体" w:hAnsi="宋体"/>
        </w:rPr>
        <w:t>。</w:t>
      </w:r>
    </w:p>
    <w:p>
      <w:pPr>
        <w:snapToGrid w:val="0"/>
        <w:spacing w:line="400" w:lineRule="exact"/>
        <w:ind w:firstLine="411" w:firstLineChars="196"/>
        <w:jc w:val="left"/>
        <w:rPr>
          <w:rFonts w:ascii="宋体" w:hAnsi="宋体"/>
        </w:rPr>
      </w:pPr>
    </w:p>
    <w:p>
      <w:pPr>
        <w:snapToGrid w:val="0"/>
        <w:spacing w:line="400" w:lineRule="exact"/>
        <w:ind w:firstLine="411" w:firstLineChars="196"/>
        <w:jc w:val="left"/>
        <w:rPr>
          <w:rFonts w:ascii="宋体" w:hAnsi="宋体"/>
        </w:rPr>
      </w:pPr>
    </w:p>
    <w:p>
      <w:pPr>
        <w:snapToGrid w:val="0"/>
        <w:spacing w:line="400" w:lineRule="exact"/>
        <w:ind w:firstLine="422" w:firstLineChars="200"/>
        <w:jc w:val="left"/>
        <w:rPr>
          <w:rFonts w:ascii="宋体" w:hAnsi="宋体"/>
        </w:rPr>
      </w:pPr>
      <w:r>
        <w:rPr>
          <w:rFonts w:hint="eastAsia" w:ascii="宋体" w:hAnsi="宋体"/>
          <w:b/>
        </w:rPr>
        <w:t>11、投标人投标截止日之前半年内连续三个月的社保缴费凭证或社保证明（社保证明必须经投标人所在地社保部门盖章确认），原件备查</w:t>
      </w:r>
      <w:r>
        <w:rPr>
          <w:rFonts w:hint="eastAsia" w:ascii="宋体" w:hAnsi="宋体"/>
        </w:rPr>
        <w:t>。</w:t>
      </w:r>
    </w:p>
    <w:p>
      <w:pPr>
        <w:spacing w:line="360" w:lineRule="auto"/>
        <w:rPr>
          <w:rFonts w:ascii="宋体" w:hAnsi="宋体"/>
        </w:rPr>
      </w:pPr>
    </w:p>
    <w:p>
      <w:pPr>
        <w:spacing w:line="360" w:lineRule="auto"/>
        <w:rPr>
          <w:rFonts w:ascii="宋体" w:hAnsi="宋体"/>
        </w:rPr>
      </w:pPr>
    </w:p>
    <w:p>
      <w:pPr>
        <w:spacing w:line="360" w:lineRule="auto"/>
        <w:ind w:firstLine="310" w:firstLineChars="147"/>
        <w:rPr>
          <w:rFonts w:ascii="宋体" w:hAnsi="宋体"/>
        </w:rPr>
      </w:pPr>
      <w:r>
        <w:rPr>
          <w:rFonts w:hint="eastAsia" w:ascii="宋体" w:hAnsi="宋体"/>
          <w:b/>
        </w:rPr>
        <w:t>12、投标人2019年年度财务报表复印件（必须提供，新建企业按实际提供），</w:t>
      </w:r>
      <w:r>
        <w:rPr>
          <w:rFonts w:hint="eastAsia" w:ascii="黑体" w:hAnsi="宋体" w:eastAsia="黑体"/>
          <w:b/>
        </w:rPr>
        <w:t>原件备查</w:t>
      </w:r>
    </w:p>
    <w:p>
      <w:pPr>
        <w:spacing w:line="360" w:lineRule="auto"/>
        <w:rPr>
          <w:rFonts w:ascii="宋体" w:hAnsi="宋体"/>
        </w:rPr>
      </w:pPr>
    </w:p>
    <w:p>
      <w:pPr>
        <w:spacing w:line="360" w:lineRule="auto"/>
        <w:rPr>
          <w:rFonts w:ascii="宋体" w:hAnsi="宋体"/>
        </w:rPr>
      </w:pPr>
    </w:p>
    <w:p>
      <w:pPr>
        <w:snapToGrid w:val="0"/>
        <w:spacing w:line="400" w:lineRule="exact"/>
        <w:ind w:firstLine="422" w:firstLineChars="200"/>
        <w:jc w:val="left"/>
        <w:rPr>
          <w:rFonts w:ascii="宋体" w:hAnsi="宋体"/>
        </w:rPr>
      </w:pPr>
      <w:r>
        <w:rPr>
          <w:rFonts w:hint="eastAsia" w:ascii="宋体" w:hAnsi="宋体"/>
          <w:b/>
        </w:rPr>
        <w:t>13、在“信用中国”网站(www.creditchina.gov.cn)、中国政府采购网(www.ccgp.gov.cn)等渠道没有被列入失信被执行人、重大税收违法案件当事人名单、政府采购严重违法失信行为记录名单。（截图时间为投标截止时间前。）</w:t>
      </w:r>
    </w:p>
    <w:p>
      <w:pPr>
        <w:spacing w:line="360" w:lineRule="auto"/>
        <w:rPr>
          <w:rFonts w:ascii="宋体" w:hAnsi="宋体"/>
        </w:rPr>
      </w:pPr>
    </w:p>
    <w:p>
      <w:pPr>
        <w:spacing w:line="360" w:lineRule="auto"/>
        <w:rPr>
          <w:rFonts w:ascii="宋体" w:hAnsi="宋体"/>
        </w:rPr>
      </w:pPr>
    </w:p>
    <w:p>
      <w:pPr>
        <w:spacing w:line="360" w:lineRule="auto"/>
        <w:ind w:firstLine="360"/>
        <w:rPr>
          <w:rFonts w:ascii="宋体" w:hAnsi="宋体"/>
          <w:b/>
        </w:rPr>
      </w:pPr>
      <w:r>
        <w:rPr>
          <w:rFonts w:hint="eastAsia" w:ascii="宋体" w:hAnsi="宋体"/>
          <w:b/>
        </w:rPr>
        <w:t>14、投标人的类似成功案例的业绩证明文件：</w:t>
      </w:r>
    </w:p>
    <w:p>
      <w:pPr>
        <w:spacing w:line="360" w:lineRule="auto"/>
        <w:ind w:firstLine="360"/>
        <w:rPr>
          <w:rFonts w:ascii="宋体" w:hAnsi="宋体"/>
        </w:rPr>
      </w:pPr>
      <w:r>
        <w:rPr>
          <w:rFonts w:hint="eastAsia" w:ascii="宋体" w:hAnsi="宋体"/>
        </w:rPr>
        <w:t>投标人同类项目实施情况一览表格式：（投标人同类项目合同复印件、用户验收报告、用户评价意见格式自拟）</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945"/>
        <w:gridCol w:w="731"/>
        <w:gridCol w:w="1169"/>
        <w:gridCol w:w="578"/>
        <w:gridCol w:w="695"/>
        <w:gridCol w:w="69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1473" w:type="dxa"/>
            <w:vMerge w:val="restart"/>
            <w:vAlign w:val="center"/>
          </w:tcPr>
          <w:p>
            <w:pPr>
              <w:spacing w:line="360" w:lineRule="auto"/>
              <w:jc w:val="center"/>
              <w:rPr>
                <w:rFonts w:ascii="宋体" w:hAnsi="宋体"/>
              </w:rPr>
            </w:pPr>
            <w:r>
              <w:rPr>
                <w:rFonts w:hint="eastAsia" w:ascii="宋体" w:hAnsi="宋体"/>
              </w:rPr>
              <w:t>采购单位</w:t>
            </w:r>
          </w:p>
          <w:p>
            <w:pPr>
              <w:spacing w:line="360" w:lineRule="auto"/>
              <w:jc w:val="center"/>
              <w:rPr>
                <w:rFonts w:ascii="宋体" w:hAnsi="宋体"/>
              </w:rPr>
            </w:pPr>
            <w:r>
              <w:rPr>
                <w:rFonts w:hint="eastAsia" w:ascii="宋体" w:hAnsi="宋体"/>
              </w:rPr>
              <w:t>名称</w:t>
            </w:r>
          </w:p>
        </w:tc>
        <w:tc>
          <w:tcPr>
            <w:tcW w:w="1470" w:type="dxa"/>
            <w:vMerge w:val="restart"/>
            <w:vAlign w:val="center"/>
          </w:tcPr>
          <w:p>
            <w:pPr>
              <w:spacing w:line="360" w:lineRule="auto"/>
              <w:jc w:val="center"/>
              <w:rPr>
                <w:rFonts w:ascii="宋体" w:hAnsi="宋体"/>
              </w:rPr>
            </w:pPr>
            <w:r>
              <w:rPr>
                <w:rFonts w:hint="eastAsia" w:ascii="宋体" w:hAnsi="宋体"/>
              </w:rPr>
              <w:t>设备或项目名称</w:t>
            </w:r>
          </w:p>
        </w:tc>
        <w:tc>
          <w:tcPr>
            <w:tcW w:w="945" w:type="dxa"/>
            <w:vMerge w:val="restart"/>
            <w:vAlign w:val="center"/>
          </w:tcPr>
          <w:p>
            <w:pPr>
              <w:spacing w:line="360" w:lineRule="auto"/>
              <w:jc w:val="center"/>
              <w:rPr>
                <w:rFonts w:ascii="宋体" w:hAnsi="宋体"/>
              </w:rPr>
            </w:pPr>
            <w:r>
              <w:rPr>
                <w:rFonts w:hint="eastAsia" w:ascii="宋体" w:hAnsi="宋体"/>
              </w:rPr>
              <w:t>采购</w:t>
            </w:r>
          </w:p>
          <w:p>
            <w:pPr>
              <w:spacing w:line="360" w:lineRule="auto"/>
              <w:jc w:val="center"/>
              <w:rPr>
                <w:rFonts w:ascii="宋体" w:hAnsi="宋体"/>
              </w:rPr>
            </w:pPr>
            <w:r>
              <w:rPr>
                <w:rFonts w:hint="eastAsia" w:ascii="宋体" w:hAnsi="宋体"/>
              </w:rPr>
              <w:t>数量</w:t>
            </w:r>
          </w:p>
        </w:tc>
        <w:tc>
          <w:tcPr>
            <w:tcW w:w="731" w:type="dxa"/>
            <w:vMerge w:val="restart"/>
            <w:vAlign w:val="center"/>
          </w:tcPr>
          <w:p>
            <w:pPr>
              <w:spacing w:line="360" w:lineRule="auto"/>
              <w:jc w:val="center"/>
              <w:rPr>
                <w:rFonts w:ascii="宋体" w:hAnsi="宋体"/>
              </w:rPr>
            </w:pPr>
            <w:r>
              <w:rPr>
                <w:rFonts w:hint="eastAsia" w:ascii="宋体" w:hAnsi="宋体"/>
              </w:rPr>
              <w:t>单价</w:t>
            </w:r>
          </w:p>
        </w:tc>
        <w:tc>
          <w:tcPr>
            <w:tcW w:w="1169" w:type="dxa"/>
            <w:vMerge w:val="restart"/>
            <w:vAlign w:val="center"/>
          </w:tcPr>
          <w:p>
            <w:pPr>
              <w:spacing w:line="360" w:lineRule="auto"/>
              <w:jc w:val="center"/>
              <w:rPr>
                <w:rFonts w:ascii="宋体" w:hAnsi="宋体"/>
              </w:rPr>
            </w:pPr>
            <w:r>
              <w:rPr>
                <w:rFonts w:hint="eastAsia" w:ascii="宋体" w:hAnsi="宋体"/>
              </w:rPr>
              <w:t>合同</w:t>
            </w:r>
          </w:p>
          <w:p>
            <w:pPr>
              <w:spacing w:line="360" w:lineRule="auto"/>
              <w:jc w:val="center"/>
              <w:rPr>
                <w:rFonts w:ascii="宋体" w:hAnsi="宋体"/>
              </w:rPr>
            </w:pPr>
            <w:r>
              <w:rPr>
                <w:rFonts w:hint="eastAsia" w:ascii="宋体" w:hAnsi="宋体"/>
              </w:rPr>
              <w:t>金额</w:t>
            </w:r>
          </w:p>
          <w:p>
            <w:pPr>
              <w:spacing w:line="360" w:lineRule="auto"/>
              <w:jc w:val="center"/>
              <w:rPr>
                <w:rFonts w:ascii="宋体" w:hAnsi="宋体"/>
              </w:rPr>
            </w:pPr>
            <w:r>
              <w:rPr>
                <w:rFonts w:hint="eastAsia" w:ascii="宋体" w:hAnsi="宋体"/>
              </w:rPr>
              <w:t>（万元）</w:t>
            </w:r>
          </w:p>
        </w:tc>
        <w:tc>
          <w:tcPr>
            <w:tcW w:w="1968" w:type="dxa"/>
            <w:gridSpan w:val="3"/>
            <w:vAlign w:val="center"/>
          </w:tcPr>
          <w:p>
            <w:pPr>
              <w:spacing w:line="360" w:lineRule="auto"/>
              <w:jc w:val="center"/>
              <w:rPr>
                <w:rFonts w:ascii="宋体" w:hAnsi="宋体"/>
              </w:rPr>
            </w:pPr>
            <w:r>
              <w:rPr>
                <w:rFonts w:hint="eastAsia" w:ascii="宋体" w:hAnsi="宋体"/>
              </w:rPr>
              <w:t>附件页码</w:t>
            </w:r>
          </w:p>
        </w:tc>
        <w:tc>
          <w:tcPr>
            <w:tcW w:w="1814" w:type="dxa"/>
            <w:vMerge w:val="restart"/>
            <w:vAlign w:val="center"/>
          </w:tcPr>
          <w:p>
            <w:pPr>
              <w:spacing w:line="360" w:lineRule="auto"/>
              <w:jc w:val="center"/>
              <w:rPr>
                <w:rFonts w:ascii="宋体" w:hAnsi="宋体"/>
              </w:rPr>
            </w:pPr>
            <w:r>
              <w:rPr>
                <w:rFonts w:hint="eastAsia" w:ascii="宋体" w:hAnsi="宋体"/>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73" w:type="dxa"/>
            <w:vMerge w:val="continue"/>
            <w:vAlign w:val="center"/>
          </w:tcPr>
          <w:p>
            <w:pPr>
              <w:spacing w:line="360" w:lineRule="auto"/>
              <w:jc w:val="center"/>
              <w:rPr>
                <w:rFonts w:ascii="宋体" w:hAnsi="宋体"/>
              </w:rPr>
            </w:pPr>
          </w:p>
        </w:tc>
        <w:tc>
          <w:tcPr>
            <w:tcW w:w="1470" w:type="dxa"/>
            <w:vMerge w:val="continue"/>
            <w:vAlign w:val="center"/>
          </w:tcPr>
          <w:p>
            <w:pPr>
              <w:spacing w:line="360" w:lineRule="auto"/>
              <w:jc w:val="center"/>
              <w:rPr>
                <w:rFonts w:ascii="宋体" w:hAnsi="宋体"/>
              </w:rPr>
            </w:pPr>
          </w:p>
        </w:tc>
        <w:tc>
          <w:tcPr>
            <w:tcW w:w="945" w:type="dxa"/>
            <w:vMerge w:val="continue"/>
            <w:vAlign w:val="center"/>
          </w:tcPr>
          <w:p>
            <w:pPr>
              <w:spacing w:line="360" w:lineRule="auto"/>
              <w:jc w:val="center"/>
              <w:rPr>
                <w:rFonts w:ascii="宋体" w:hAnsi="宋体"/>
              </w:rPr>
            </w:pPr>
          </w:p>
        </w:tc>
        <w:tc>
          <w:tcPr>
            <w:tcW w:w="731" w:type="dxa"/>
            <w:vMerge w:val="continue"/>
            <w:vAlign w:val="center"/>
          </w:tcPr>
          <w:p>
            <w:pPr>
              <w:spacing w:line="360" w:lineRule="auto"/>
              <w:jc w:val="center"/>
              <w:rPr>
                <w:rFonts w:ascii="宋体" w:hAnsi="宋体"/>
              </w:rPr>
            </w:pPr>
          </w:p>
        </w:tc>
        <w:tc>
          <w:tcPr>
            <w:tcW w:w="1169" w:type="dxa"/>
            <w:vMerge w:val="continue"/>
            <w:vAlign w:val="center"/>
          </w:tcPr>
          <w:p>
            <w:pPr>
              <w:spacing w:line="360" w:lineRule="auto"/>
              <w:jc w:val="center"/>
              <w:rPr>
                <w:rFonts w:ascii="宋体" w:hAnsi="宋体"/>
              </w:rPr>
            </w:pPr>
          </w:p>
        </w:tc>
        <w:tc>
          <w:tcPr>
            <w:tcW w:w="578" w:type="dxa"/>
            <w:vAlign w:val="center"/>
          </w:tcPr>
          <w:p>
            <w:pPr>
              <w:spacing w:line="360" w:lineRule="auto"/>
              <w:jc w:val="center"/>
              <w:rPr>
                <w:rFonts w:ascii="宋体" w:hAnsi="宋体"/>
              </w:rPr>
            </w:pPr>
            <w:r>
              <w:rPr>
                <w:rFonts w:hint="eastAsia" w:ascii="宋体" w:hAnsi="宋体"/>
              </w:rPr>
              <w:t>合同</w:t>
            </w:r>
          </w:p>
        </w:tc>
        <w:tc>
          <w:tcPr>
            <w:tcW w:w="695" w:type="dxa"/>
            <w:vAlign w:val="center"/>
          </w:tcPr>
          <w:p>
            <w:pPr>
              <w:spacing w:line="360" w:lineRule="auto"/>
              <w:jc w:val="center"/>
              <w:rPr>
                <w:rFonts w:ascii="宋体" w:hAnsi="宋体"/>
              </w:rPr>
            </w:pPr>
            <w:r>
              <w:rPr>
                <w:rFonts w:hint="eastAsia" w:ascii="宋体" w:hAnsi="宋体"/>
              </w:rPr>
              <w:t>验收</w:t>
            </w:r>
          </w:p>
          <w:p>
            <w:pPr>
              <w:spacing w:line="360" w:lineRule="auto"/>
              <w:jc w:val="center"/>
              <w:rPr>
                <w:rFonts w:ascii="宋体" w:hAnsi="宋体"/>
              </w:rPr>
            </w:pPr>
            <w:r>
              <w:rPr>
                <w:rFonts w:hint="eastAsia" w:ascii="宋体" w:hAnsi="宋体"/>
              </w:rPr>
              <w:t>报告</w:t>
            </w:r>
          </w:p>
        </w:tc>
        <w:tc>
          <w:tcPr>
            <w:tcW w:w="695" w:type="dxa"/>
            <w:vAlign w:val="center"/>
          </w:tcPr>
          <w:p>
            <w:pPr>
              <w:spacing w:line="360" w:lineRule="auto"/>
              <w:jc w:val="center"/>
              <w:rPr>
                <w:rFonts w:ascii="宋体" w:hAnsi="宋体"/>
              </w:rPr>
            </w:pPr>
            <w:r>
              <w:rPr>
                <w:rFonts w:hint="eastAsia" w:ascii="宋体" w:hAnsi="宋体"/>
              </w:rPr>
              <w:t>用户</w:t>
            </w:r>
          </w:p>
          <w:p>
            <w:pPr>
              <w:spacing w:line="360" w:lineRule="auto"/>
              <w:jc w:val="center"/>
              <w:rPr>
                <w:rFonts w:ascii="宋体" w:hAnsi="宋体"/>
              </w:rPr>
            </w:pPr>
            <w:r>
              <w:rPr>
                <w:rFonts w:hint="eastAsia" w:ascii="宋体" w:hAnsi="宋体"/>
              </w:rPr>
              <w:t>评价</w:t>
            </w:r>
          </w:p>
        </w:tc>
        <w:tc>
          <w:tcPr>
            <w:tcW w:w="1814" w:type="dxa"/>
            <w:vMerge w:val="continue"/>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73" w:type="dxa"/>
            <w:vAlign w:val="center"/>
          </w:tcPr>
          <w:p>
            <w:pPr>
              <w:spacing w:line="360" w:lineRule="auto"/>
              <w:jc w:val="center"/>
              <w:rPr>
                <w:rFonts w:ascii="宋体" w:hAnsi="宋体"/>
              </w:rPr>
            </w:pPr>
          </w:p>
        </w:tc>
        <w:tc>
          <w:tcPr>
            <w:tcW w:w="1470" w:type="dxa"/>
            <w:vAlign w:val="center"/>
          </w:tcPr>
          <w:p>
            <w:pPr>
              <w:spacing w:line="360" w:lineRule="auto"/>
              <w:jc w:val="center"/>
              <w:rPr>
                <w:rFonts w:ascii="宋体" w:hAnsi="宋体"/>
              </w:rPr>
            </w:pPr>
          </w:p>
        </w:tc>
        <w:tc>
          <w:tcPr>
            <w:tcW w:w="945" w:type="dxa"/>
            <w:vAlign w:val="center"/>
          </w:tcPr>
          <w:p>
            <w:pPr>
              <w:spacing w:line="360" w:lineRule="auto"/>
              <w:jc w:val="center"/>
              <w:rPr>
                <w:rFonts w:ascii="宋体" w:hAnsi="宋体"/>
              </w:rPr>
            </w:pPr>
          </w:p>
        </w:tc>
        <w:tc>
          <w:tcPr>
            <w:tcW w:w="731" w:type="dxa"/>
            <w:vAlign w:val="center"/>
          </w:tcPr>
          <w:p>
            <w:pPr>
              <w:spacing w:line="360" w:lineRule="auto"/>
              <w:jc w:val="center"/>
              <w:rPr>
                <w:rFonts w:ascii="宋体" w:hAnsi="宋体"/>
              </w:rPr>
            </w:pPr>
          </w:p>
        </w:tc>
        <w:tc>
          <w:tcPr>
            <w:tcW w:w="1169" w:type="dxa"/>
            <w:vAlign w:val="center"/>
          </w:tcPr>
          <w:p>
            <w:pPr>
              <w:spacing w:line="360" w:lineRule="auto"/>
              <w:jc w:val="center"/>
              <w:rPr>
                <w:rFonts w:ascii="宋体" w:hAnsi="宋体"/>
              </w:rPr>
            </w:pPr>
          </w:p>
        </w:tc>
        <w:tc>
          <w:tcPr>
            <w:tcW w:w="1968" w:type="dxa"/>
            <w:gridSpan w:val="3"/>
            <w:vAlign w:val="center"/>
          </w:tcPr>
          <w:p>
            <w:pPr>
              <w:spacing w:line="360" w:lineRule="auto"/>
              <w:jc w:val="center"/>
              <w:rPr>
                <w:rFonts w:ascii="宋体" w:hAnsi="宋体"/>
              </w:rPr>
            </w:pPr>
          </w:p>
        </w:tc>
        <w:tc>
          <w:tcPr>
            <w:tcW w:w="1814"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73" w:type="dxa"/>
            <w:vAlign w:val="center"/>
          </w:tcPr>
          <w:p>
            <w:pPr>
              <w:spacing w:line="360" w:lineRule="auto"/>
              <w:jc w:val="center"/>
              <w:rPr>
                <w:rFonts w:ascii="宋体" w:hAnsi="宋体"/>
              </w:rPr>
            </w:pPr>
          </w:p>
        </w:tc>
        <w:tc>
          <w:tcPr>
            <w:tcW w:w="1470" w:type="dxa"/>
            <w:vAlign w:val="center"/>
          </w:tcPr>
          <w:p>
            <w:pPr>
              <w:spacing w:line="360" w:lineRule="auto"/>
              <w:jc w:val="center"/>
              <w:rPr>
                <w:rFonts w:ascii="宋体" w:hAnsi="宋体"/>
              </w:rPr>
            </w:pPr>
          </w:p>
        </w:tc>
        <w:tc>
          <w:tcPr>
            <w:tcW w:w="945" w:type="dxa"/>
            <w:vAlign w:val="center"/>
          </w:tcPr>
          <w:p>
            <w:pPr>
              <w:spacing w:line="360" w:lineRule="auto"/>
              <w:jc w:val="center"/>
              <w:rPr>
                <w:rFonts w:ascii="宋体" w:hAnsi="宋体"/>
              </w:rPr>
            </w:pPr>
          </w:p>
        </w:tc>
        <w:tc>
          <w:tcPr>
            <w:tcW w:w="731" w:type="dxa"/>
            <w:vAlign w:val="center"/>
          </w:tcPr>
          <w:p>
            <w:pPr>
              <w:spacing w:line="360" w:lineRule="auto"/>
              <w:jc w:val="center"/>
              <w:rPr>
                <w:rFonts w:ascii="宋体" w:hAnsi="宋体"/>
              </w:rPr>
            </w:pPr>
          </w:p>
        </w:tc>
        <w:tc>
          <w:tcPr>
            <w:tcW w:w="1169" w:type="dxa"/>
            <w:vAlign w:val="center"/>
          </w:tcPr>
          <w:p>
            <w:pPr>
              <w:spacing w:line="360" w:lineRule="auto"/>
              <w:jc w:val="center"/>
              <w:rPr>
                <w:rFonts w:ascii="宋体" w:hAnsi="宋体"/>
              </w:rPr>
            </w:pPr>
          </w:p>
        </w:tc>
        <w:tc>
          <w:tcPr>
            <w:tcW w:w="1968" w:type="dxa"/>
            <w:gridSpan w:val="3"/>
            <w:vAlign w:val="center"/>
          </w:tcPr>
          <w:p>
            <w:pPr>
              <w:spacing w:line="360" w:lineRule="auto"/>
              <w:jc w:val="center"/>
              <w:rPr>
                <w:rFonts w:ascii="宋体" w:hAnsi="宋体"/>
              </w:rPr>
            </w:pPr>
          </w:p>
        </w:tc>
        <w:tc>
          <w:tcPr>
            <w:tcW w:w="1814" w:type="dxa"/>
            <w:vAlign w:val="center"/>
          </w:tcPr>
          <w:p>
            <w:pPr>
              <w:spacing w:line="360" w:lineRule="auto"/>
              <w:jc w:val="center"/>
              <w:rPr>
                <w:rFonts w:ascii="宋体" w:hAnsi="宋体"/>
              </w:rPr>
            </w:pPr>
          </w:p>
        </w:tc>
      </w:tr>
    </w:tbl>
    <w:p>
      <w:pPr>
        <w:spacing w:line="360" w:lineRule="auto"/>
        <w:rPr>
          <w:rFonts w:ascii="宋体" w:hAnsi="宋体"/>
        </w:rPr>
      </w:pPr>
      <w:r>
        <w:rPr>
          <w:rFonts w:hint="eastAsia" w:ascii="宋体" w:hAnsi="宋体"/>
        </w:rPr>
        <w:t>授权代表签名：</w:t>
      </w:r>
      <w:r>
        <w:rPr>
          <w:rFonts w:hint="eastAsia" w:ascii="宋体" w:hAnsi="宋体"/>
          <w:u w:val="single"/>
        </w:rPr>
        <w:t xml:space="preserve">                      </w:t>
      </w:r>
    </w:p>
    <w:p>
      <w:pPr>
        <w:rPr>
          <w:rFonts w:ascii="宋体" w:hAnsi="宋体"/>
          <w:spacing w:val="20"/>
          <w:u w:val="single"/>
        </w:rPr>
      </w:pPr>
      <w:r>
        <w:rPr>
          <w:rFonts w:hint="eastAsia" w:ascii="宋体" w:hAnsi="宋体"/>
        </w:rPr>
        <w:t>投标人公章：</w:t>
      </w:r>
      <w:r>
        <w:rPr>
          <w:rFonts w:hint="eastAsia" w:ascii="宋体" w:hAnsi="宋体"/>
          <w:b/>
          <w:u w:val="single"/>
        </w:rPr>
        <w:t xml:space="preserve">                  </w:t>
      </w:r>
      <w:r>
        <w:rPr>
          <w:rFonts w:hint="eastAsia" w:ascii="宋体" w:hAnsi="宋体"/>
        </w:rPr>
        <w:t xml:space="preserve">                           </w:t>
      </w:r>
      <w:r>
        <w:rPr>
          <w:rFonts w:hint="eastAsia" w:ascii="宋体" w:hAnsi="宋体"/>
          <w:spacing w:val="20"/>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ind w:firstLine="422" w:firstLineChars="200"/>
        <w:rPr>
          <w:rFonts w:ascii="宋体" w:hAnsi="宋体"/>
          <w:b/>
        </w:rPr>
      </w:pPr>
      <w:r>
        <w:rPr>
          <w:rFonts w:ascii="宋体" w:hAnsi="宋体"/>
          <w:b/>
        </w:rPr>
        <w:br w:type="page"/>
      </w:r>
      <w:r>
        <w:rPr>
          <w:rFonts w:hint="eastAsia" w:ascii="宋体" w:hAnsi="宋体"/>
          <w:b/>
        </w:rPr>
        <w:t>15、其他特殊资质证书(如本地化服务能力等)</w:t>
      </w:r>
    </w:p>
    <w:p>
      <w:pPr>
        <w:snapToGrid w:val="0"/>
        <w:spacing w:line="360" w:lineRule="auto"/>
        <w:ind w:firstLine="422" w:firstLineChars="200"/>
        <w:rPr>
          <w:rFonts w:ascii="宋体" w:hAnsi="宋体"/>
          <w:b/>
        </w:rPr>
      </w:pPr>
    </w:p>
    <w:p>
      <w:pPr>
        <w:snapToGrid w:val="0"/>
        <w:spacing w:line="360" w:lineRule="auto"/>
        <w:rPr>
          <w:rFonts w:ascii="宋体" w:hAnsi="宋体"/>
          <w:b/>
        </w:rPr>
      </w:pPr>
    </w:p>
    <w:p>
      <w:pPr>
        <w:snapToGrid w:val="0"/>
        <w:spacing w:line="360" w:lineRule="auto"/>
        <w:ind w:firstLine="420"/>
        <w:rPr>
          <w:rFonts w:ascii="宋体" w:hAnsi="宋体"/>
          <w:b/>
        </w:rPr>
      </w:pPr>
      <w:r>
        <w:rPr>
          <w:rFonts w:hint="eastAsia" w:ascii="宋体" w:hAnsi="宋体"/>
          <w:b/>
        </w:rPr>
        <w:t>16、招标项目采购需求中要求必须提供的材料等（如：现场勘察材料）；</w:t>
      </w: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r>
        <w:rPr>
          <w:rFonts w:hint="eastAsia" w:ascii="宋体" w:hAnsi="宋体"/>
          <w:b/>
        </w:rPr>
        <w:t xml:space="preserve">    17、投标人情况介绍。</w:t>
      </w:r>
    </w:p>
    <w:p>
      <w:pPr>
        <w:snapToGrid w:val="0"/>
        <w:spacing w:line="360" w:lineRule="auto"/>
        <w:rPr>
          <w:rFonts w:ascii="宋体" w:hAnsi="宋体"/>
        </w:rPr>
      </w:pPr>
    </w:p>
    <w:p>
      <w:pPr>
        <w:snapToGrid w:val="0"/>
        <w:spacing w:before="156" w:beforeLines="50" w:after="50" w:line="440" w:lineRule="exact"/>
        <w:rPr>
          <w:rFonts w:ascii="宋体" w:hAnsi="宋体"/>
          <w:b/>
        </w:rPr>
      </w:pPr>
    </w:p>
    <w:p>
      <w:pPr>
        <w:snapToGrid w:val="0"/>
        <w:spacing w:before="156" w:beforeLines="50" w:after="50" w:line="440" w:lineRule="exact"/>
        <w:rPr>
          <w:rFonts w:ascii="宋体" w:hAnsi="宋体"/>
          <w:b/>
        </w:rPr>
      </w:pPr>
    </w:p>
    <w:p>
      <w:pPr>
        <w:snapToGrid w:val="0"/>
        <w:spacing w:before="156" w:beforeLines="50" w:after="50" w:line="440" w:lineRule="exact"/>
        <w:rPr>
          <w:rFonts w:ascii="宋体" w:hAnsi="宋体"/>
          <w:b/>
        </w:rPr>
      </w:pPr>
    </w:p>
    <w:p>
      <w:pPr>
        <w:jc w:val="center"/>
        <w:rPr>
          <w:b/>
        </w:rPr>
      </w:pPr>
      <w:r>
        <w:rPr>
          <w:b/>
        </w:rPr>
        <w:br w:type="page"/>
      </w:r>
      <w:r>
        <w:rPr>
          <w:rFonts w:hint="eastAsia"/>
          <w:b/>
        </w:rPr>
        <w:t>三、技术文件部分（格式）</w:t>
      </w:r>
    </w:p>
    <w:p>
      <w:pPr>
        <w:rPr>
          <w:rFonts w:ascii="宋体" w:hAnsi="宋体"/>
        </w:rPr>
      </w:pPr>
    </w:p>
    <w:p>
      <w:pPr>
        <w:rPr>
          <w:rFonts w:ascii="宋体" w:hAnsi="宋体"/>
          <w:b/>
        </w:rPr>
      </w:pPr>
      <w:r>
        <w:rPr>
          <w:rFonts w:hint="eastAsia" w:ascii="宋体" w:hAnsi="宋体"/>
          <w:b/>
        </w:rPr>
        <w:t>18、技术响应表</w:t>
      </w:r>
    </w:p>
    <w:p>
      <w:pPr>
        <w:jc w:val="center"/>
        <w:rPr>
          <w:rFonts w:ascii="宋体" w:hAnsi="宋体"/>
          <w:sz w:val="28"/>
          <w:szCs w:val="28"/>
        </w:rPr>
      </w:pPr>
      <w:r>
        <w:rPr>
          <w:rFonts w:hint="eastAsia" w:ascii="宋体" w:hAnsi="宋体"/>
          <w:sz w:val="28"/>
          <w:szCs w:val="28"/>
        </w:rPr>
        <w:t>技术响应表</w:t>
      </w:r>
    </w:p>
    <w:p>
      <w:pPr>
        <w:jc w:val="center"/>
        <w:rPr>
          <w:rFonts w:ascii="宋体" w:hAnsi="宋体"/>
        </w:rPr>
      </w:pPr>
    </w:p>
    <w:tbl>
      <w:tblPr>
        <w:tblStyle w:val="72"/>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  ……</w:t>
            </w:r>
          </w:p>
          <w:p>
            <w:pPr>
              <w:rPr>
                <w:rFonts w:ascii="宋体" w:hAnsi="宋体"/>
              </w:rPr>
            </w:pPr>
            <w:r>
              <w:rPr>
                <w:rFonts w:ascii="宋体" w:hAnsi="宋体"/>
              </w:rPr>
              <w:t>2  ……</w:t>
            </w:r>
          </w:p>
          <w:p>
            <w:pPr>
              <w:rPr>
                <w:rFonts w:ascii="宋体" w:hAnsi="宋体"/>
              </w:rPr>
            </w:pPr>
            <w:r>
              <w:rPr>
                <w:rFonts w:ascii="宋体" w:hAnsi="宋体"/>
              </w:rPr>
              <w:t>3  ……</w:t>
            </w:r>
          </w:p>
          <w:p>
            <w:pPr>
              <w:rPr>
                <w:rFonts w:ascii="宋体" w:hAnsi="宋体"/>
              </w:rPr>
            </w:pPr>
            <w:r>
              <w:rPr>
                <w:rFonts w:ascii="宋体" w:hAnsi="宋体"/>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  ……</w:t>
            </w:r>
          </w:p>
          <w:p>
            <w:pPr>
              <w:rPr>
                <w:rFonts w:ascii="宋体" w:hAnsi="宋体"/>
              </w:rPr>
            </w:pPr>
            <w:r>
              <w:rPr>
                <w:rFonts w:ascii="宋体" w:hAnsi="宋体"/>
              </w:rPr>
              <w:t>2  ……</w:t>
            </w:r>
          </w:p>
          <w:p>
            <w:pPr>
              <w:rPr>
                <w:rFonts w:ascii="宋体" w:hAnsi="宋体"/>
              </w:rPr>
            </w:pPr>
            <w:r>
              <w:rPr>
                <w:rFonts w:ascii="宋体" w:hAnsi="宋体"/>
              </w:rPr>
              <w:t>3  ……</w:t>
            </w:r>
          </w:p>
          <w:p>
            <w:pPr>
              <w:rPr>
                <w:rFonts w:ascii="宋体" w:hAnsi="宋体"/>
              </w:rPr>
            </w:pPr>
            <w:r>
              <w:rPr>
                <w:rFonts w:ascii="宋体" w:hAnsi="宋体"/>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  ……</w:t>
            </w:r>
          </w:p>
          <w:p>
            <w:pPr>
              <w:rPr>
                <w:rFonts w:ascii="宋体" w:hAnsi="宋体"/>
              </w:rPr>
            </w:pPr>
            <w:r>
              <w:rPr>
                <w:rFonts w:ascii="宋体" w:hAnsi="宋体"/>
              </w:rPr>
              <w:t>2  ……</w:t>
            </w:r>
          </w:p>
          <w:p>
            <w:pPr>
              <w:rPr>
                <w:rFonts w:ascii="宋体" w:hAnsi="宋体"/>
              </w:rPr>
            </w:pPr>
            <w:r>
              <w:rPr>
                <w:rFonts w:ascii="宋体" w:hAnsi="宋体"/>
              </w:rPr>
              <w:t>3  ……</w:t>
            </w:r>
          </w:p>
          <w:p>
            <w:pPr>
              <w:rPr>
                <w:rFonts w:ascii="宋体" w:hAnsi="宋体"/>
              </w:rPr>
            </w:pPr>
            <w:r>
              <w:rPr>
                <w:rFonts w:ascii="宋体" w:hAnsi="宋体"/>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1  ……</w:t>
            </w:r>
          </w:p>
          <w:p>
            <w:pPr>
              <w:rPr>
                <w:rFonts w:ascii="宋体" w:hAnsi="宋体"/>
              </w:rPr>
            </w:pPr>
            <w:r>
              <w:rPr>
                <w:rFonts w:ascii="宋体" w:hAnsi="宋体"/>
              </w:rPr>
              <w:t>2  ……</w:t>
            </w:r>
          </w:p>
          <w:p>
            <w:pPr>
              <w:rPr>
                <w:rFonts w:ascii="宋体" w:hAnsi="宋体"/>
              </w:rPr>
            </w:pPr>
            <w:r>
              <w:rPr>
                <w:rFonts w:ascii="宋体" w:hAnsi="宋体"/>
              </w:rPr>
              <w:t>3  ……</w:t>
            </w:r>
          </w:p>
          <w:p>
            <w:pPr>
              <w:rPr>
                <w:rFonts w:ascii="宋体" w:hAnsi="宋体"/>
              </w:rPr>
            </w:pPr>
            <w:r>
              <w:rPr>
                <w:rFonts w:ascii="宋体" w:hAnsi="宋体"/>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u w:val="single"/>
              </w:rPr>
              <w:t>　　</w:t>
            </w:r>
            <w:r>
              <w:rPr>
                <w:rFonts w:ascii="宋体" w:hAnsi="宋体"/>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日期：</w:t>
            </w:r>
          </w:p>
        </w:tc>
      </w:tr>
    </w:tbl>
    <w:p>
      <w:pPr>
        <w:rPr>
          <w:rFonts w:ascii="宋体" w:hAnsi="宋体"/>
        </w:rPr>
      </w:pPr>
      <w:r>
        <w:rPr>
          <w:rFonts w:hint="eastAsia" w:ascii="宋体" w:hAnsi="宋体"/>
        </w:rPr>
        <w:t>注：（1）表格内容均需按要求填写并盖章，不得留空，否则按投标无效处理。</w:t>
      </w:r>
    </w:p>
    <w:p>
      <w:pPr>
        <w:rPr>
          <w:rFonts w:ascii="宋体" w:hAnsi="宋体"/>
        </w:rPr>
      </w:pPr>
      <w:r>
        <w:rPr>
          <w:rFonts w:hint="eastAsia" w:ascii="宋体" w:hAnsi="宋体"/>
        </w:rPr>
        <w:t xml:space="preserve">    （2）投标人应根据投标服务成果的性能指标、对照招标文件要求在“偏离情况”栏注明“正偏离”、“负偏离”或“无偏离”。当投标技术规格与招标要求相同的为无偏离，当投标技术规格高于招标要求的为正偏离，当投标技术规格低于招标要求的为负偏离，投标人应如实填写否则视为虚假应标。</w:t>
      </w:r>
    </w:p>
    <w:p>
      <w:pPr>
        <w:rPr>
          <w:rFonts w:ascii="宋体" w:hAnsi="宋体"/>
          <w:spacing w:val="20"/>
        </w:rPr>
      </w:pPr>
    </w:p>
    <w:p>
      <w:pPr>
        <w:rPr>
          <w:rFonts w:ascii="宋体" w:hAnsi="宋体" w:cs="Courier New"/>
        </w:rPr>
      </w:pPr>
    </w:p>
    <w:p>
      <w:pPr>
        <w:rPr>
          <w:rFonts w:ascii="宋体" w:hAnsi="宋体"/>
          <w:b/>
        </w:rPr>
      </w:pPr>
      <w:r>
        <w:rPr>
          <w:rFonts w:hint="eastAsia" w:ascii="宋体" w:hAnsi="宋体" w:cs="Courier New"/>
          <w:b/>
        </w:rPr>
        <w:t>19、项目服务方案</w:t>
      </w:r>
      <w:r>
        <w:rPr>
          <w:rFonts w:hint="eastAsia" w:ascii="宋体" w:hAnsi="宋体"/>
          <w:b/>
        </w:rPr>
        <w:t>（格式自拟）</w:t>
      </w:r>
    </w:p>
    <w:p>
      <w:pPr>
        <w:rPr>
          <w:rFonts w:ascii="宋体" w:hAnsi="宋体" w:cs="Courier New"/>
          <w:b/>
        </w:rPr>
      </w:pPr>
    </w:p>
    <w:p>
      <w:pPr>
        <w:rPr>
          <w:rFonts w:ascii="宋体" w:hAnsi="宋体"/>
          <w:b/>
        </w:rPr>
      </w:pPr>
      <w:r>
        <w:rPr>
          <w:rFonts w:hint="eastAsia" w:ascii="宋体" w:hAnsi="宋体" w:cs="Courier New"/>
          <w:b/>
        </w:rPr>
        <w:t>20、实施方案和售后保障措施</w:t>
      </w:r>
      <w:r>
        <w:rPr>
          <w:rFonts w:hint="eastAsia" w:ascii="宋体" w:hAnsi="宋体"/>
          <w:b/>
        </w:rPr>
        <w:t>（格式自拟）</w:t>
      </w:r>
    </w:p>
    <w:p>
      <w:pPr>
        <w:rPr>
          <w:rFonts w:ascii="宋体" w:hAnsi="宋体" w:cs="Courier New"/>
          <w:b/>
        </w:rPr>
      </w:pPr>
    </w:p>
    <w:p>
      <w:pPr>
        <w:rPr>
          <w:rFonts w:ascii="宋体" w:hAnsi="宋体" w:cs="Courier New"/>
          <w:b/>
        </w:rPr>
      </w:pPr>
      <w:r>
        <w:rPr>
          <w:rFonts w:hint="eastAsia" w:ascii="宋体" w:hAnsi="宋体"/>
          <w:b/>
        </w:rPr>
        <w:t>21、</w:t>
      </w:r>
      <w:r>
        <w:rPr>
          <w:rFonts w:hint="eastAsia" w:ascii="宋体" w:hAnsi="宋体" w:cs="Courier New"/>
          <w:b/>
        </w:rPr>
        <w:t>投标人拥有主要设施和人力资源的情况及针对本项目拟投入人员情况；</w:t>
      </w:r>
      <w:r>
        <w:rPr>
          <w:rFonts w:hint="eastAsia" w:ascii="宋体" w:hAnsi="宋体"/>
          <w:b/>
        </w:rPr>
        <w:t>（格式自拟）</w:t>
      </w:r>
    </w:p>
    <w:p>
      <w:pPr>
        <w:rPr>
          <w:rFonts w:ascii="宋体" w:hAnsi="宋体"/>
          <w:b/>
        </w:rPr>
      </w:pPr>
    </w:p>
    <w:p>
      <w:pPr>
        <w:rPr>
          <w:rFonts w:ascii="宋体" w:hAnsi="宋体" w:cs="Courier New"/>
          <w:b/>
        </w:rPr>
      </w:pPr>
      <w:r>
        <w:rPr>
          <w:rFonts w:hint="eastAsia" w:ascii="宋体" w:hAnsi="宋体"/>
          <w:b/>
        </w:rPr>
        <w:t>22、投标人对本项目的合理化建议和改进措施</w:t>
      </w:r>
      <w:r>
        <w:rPr>
          <w:rFonts w:hint="eastAsia" w:ascii="宋体" w:hAnsi="宋体" w:cs="Courier New"/>
          <w:b/>
        </w:rPr>
        <w:t>；</w:t>
      </w:r>
      <w:r>
        <w:rPr>
          <w:rFonts w:hint="eastAsia" w:ascii="宋体" w:hAnsi="宋体"/>
          <w:b/>
        </w:rPr>
        <w:t>（格式自拟）</w:t>
      </w:r>
    </w:p>
    <w:p>
      <w:pPr>
        <w:rPr>
          <w:rFonts w:ascii="宋体" w:hAnsi="宋体"/>
          <w:b/>
        </w:rPr>
      </w:pPr>
    </w:p>
    <w:p>
      <w:pPr>
        <w:rPr>
          <w:rFonts w:ascii="宋体" w:hAnsi="宋体"/>
          <w:b/>
        </w:rPr>
      </w:pPr>
      <w:r>
        <w:rPr>
          <w:rFonts w:hint="eastAsia" w:ascii="宋体" w:hAnsi="宋体"/>
          <w:b/>
        </w:rPr>
        <w:t>23、投标人需要说明的其他文件和说明</w:t>
      </w:r>
      <w:r>
        <w:rPr>
          <w:rFonts w:hint="eastAsia" w:ascii="宋体" w:hAnsi="宋体" w:cs="Courier New"/>
          <w:b/>
        </w:rPr>
        <w:t>；</w:t>
      </w:r>
      <w:r>
        <w:rPr>
          <w:rFonts w:hint="eastAsia" w:ascii="宋体" w:hAnsi="宋体"/>
          <w:b/>
        </w:rPr>
        <w:t>（格式自拟）</w:t>
      </w:r>
    </w:p>
    <w:p>
      <w:pPr>
        <w:rPr>
          <w:rFonts w:ascii="宋体" w:hAnsi="宋体"/>
        </w:rPr>
      </w:pPr>
    </w:p>
    <w:p>
      <w:pPr>
        <w:pStyle w:val="41"/>
        <w:ind w:firstLine="0"/>
        <w:rPr>
          <w:rFonts w:ascii="宋体" w:hAnsi="宋体"/>
          <w:sz w:val="21"/>
          <w:szCs w:val="21"/>
        </w:rPr>
      </w:pPr>
    </w:p>
    <w:p>
      <w:pPr>
        <w:pStyle w:val="198"/>
        <w:spacing w:line="440" w:lineRule="exact"/>
        <w:ind w:firstLine="422"/>
        <w:rPr>
          <w:rFonts w:ascii="宋体" w:hAnsi="宋体"/>
          <w:b/>
          <w:sz w:val="21"/>
        </w:rPr>
      </w:pPr>
      <w:r>
        <w:rPr>
          <w:rFonts w:ascii="宋体" w:hAnsi="宋体"/>
          <w:b/>
          <w:sz w:val="21"/>
        </w:rPr>
        <w:br w:type="page"/>
      </w:r>
      <w:r>
        <w:rPr>
          <w:rFonts w:hint="eastAsia" w:ascii="宋体" w:hAnsi="宋体"/>
          <w:b/>
          <w:sz w:val="21"/>
        </w:rPr>
        <w:t>四、其他文书、文件格式</w:t>
      </w:r>
    </w:p>
    <w:p>
      <w:pPr>
        <w:adjustRightInd w:val="0"/>
        <w:snapToGrid w:val="0"/>
        <w:spacing w:line="360" w:lineRule="auto"/>
        <w:rPr>
          <w:rFonts w:ascii="宋体" w:hAnsi="宋体"/>
          <w:b/>
        </w:rPr>
      </w:pPr>
      <w:r>
        <w:rPr>
          <w:rFonts w:hint="eastAsia" w:ascii="宋体" w:hAnsi="宋体"/>
          <w:b/>
        </w:rPr>
        <w:t>2</w:t>
      </w:r>
      <w:r>
        <w:rPr>
          <w:rFonts w:ascii="宋体" w:hAnsi="宋体"/>
          <w:b/>
        </w:rPr>
        <w:t>4</w:t>
      </w:r>
      <w:r>
        <w:rPr>
          <w:rFonts w:hint="eastAsia" w:ascii="宋体" w:hAnsi="宋体"/>
          <w:b/>
        </w:rPr>
        <w:t>、中小企业声明函</w:t>
      </w:r>
    </w:p>
    <w:p>
      <w:pPr>
        <w:adjustRightInd w:val="0"/>
        <w:snapToGrid w:val="0"/>
        <w:spacing w:line="360" w:lineRule="auto"/>
        <w:ind w:left="141" w:leftChars="67" w:firstLine="422"/>
        <w:jc w:val="center"/>
        <w:rPr>
          <w:rFonts w:ascii="宋体" w:hAnsi="宋体" w:cs="宋体"/>
          <w:b/>
          <w:kern w:val="0"/>
        </w:rPr>
      </w:pPr>
      <w:r>
        <w:rPr>
          <w:rFonts w:hint="eastAsia" w:ascii="宋体" w:hAnsi="宋体"/>
          <w:b/>
        </w:rPr>
        <w:t>中小企业声明函</w:t>
      </w:r>
    </w:p>
    <w:p>
      <w:pPr>
        <w:adjustRightInd w:val="0"/>
        <w:snapToGrid w:val="0"/>
        <w:spacing w:line="360" w:lineRule="auto"/>
        <w:ind w:left="141" w:leftChars="67" w:firstLine="420" w:firstLineChars="200"/>
        <w:rPr>
          <w:rFonts w:ascii="宋体" w:hAnsi="宋体" w:cs="宋体"/>
          <w:kern w:val="0"/>
        </w:rPr>
      </w:pPr>
      <w:r>
        <w:rPr>
          <w:rFonts w:ascii="宋体" w:hAnsi="宋体" w:cs="宋体"/>
          <w:kern w:val="0"/>
        </w:rPr>
        <w:t xml:space="preserve">本公司郑重声明，根据《政府采购促进中小企业发展暂行办法》（财库[2011]181号）的规定，本公司为______（请填写：中型、小型、微型）企业。即，本公司同时满足以下条件： </w:t>
      </w:r>
    </w:p>
    <w:p>
      <w:pPr>
        <w:adjustRightInd w:val="0"/>
        <w:snapToGrid w:val="0"/>
        <w:spacing w:line="360" w:lineRule="auto"/>
        <w:ind w:left="141" w:leftChars="67" w:firstLine="420" w:firstLineChars="200"/>
        <w:rPr>
          <w:rFonts w:ascii="宋体" w:hAnsi="宋体" w:cs="宋体"/>
          <w:kern w:val="0"/>
        </w:rPr>
      </w:pPr>
      <w:r>
        <w:rPr>
          <w:rFonts w:ascii="宋体" w:hAnsi="宋体" w:cs="宋体"/>
          <w:kern w:val="0"/>
        </w:rPr>
        <w:t xml:space="preserve">　　1.根据《工业和信息化部、国家统计局、国家发展和改革委员会、财政部关于印发中小企业划型标准规定的通知》（工信部联企业[2011]300号）规定的划分标准，本公司为______（请填写：中型、小型、微型）企业。 </w:t>
      </w:r>
    </w:p>
    <w:p>
      <w:pPr>
        <w:adjustRightInd w:val="0"/>
        <w:snapToGrid w:val="0"/>
        <w:spacing w:line="360" w:lineRule="auto"/>
        <w:ind w:left="141" w:leftChars="67" w:firstLine="420" w:firstLineChars="200"/>
        <w:rPr>
          <w:rFonts w:ascii="宋体" w:hAnsi="宋体" w:cs="宋体"/>
          <w:kern w:val="0"/>
        </w:rPr>
      </w:pPr>
      <w:r>
        <w:rPr>
          <w:rFonts w:ascii="宋体" w:hAnsi="宋体" w:cs="宋体"/>
          <w:kern w:val="0"/>
        </w:rPr>
        <w:t>　　2.本公司参加______单位的______项目采购活动</w:t>
      </w:r>
      <w:r>
        <w:rPr>
          <w:rFonts w:hint="eastAsia" w:ascii="宋体" w:hAnsi="宋体" w:cs="宋体"/>
          <w:kern w:val="0"/>
        </w:rPr>
        <w:t>，</w:t>
      </w:r>
      <w:r>
        <w:rPr>
          <w:rFonts w:ascii="宋体" w:hAnsi="宋体" w:cs="宋体"/>
          <w:kern w:val="0"/>
        </w:rPr>
        <w:t>提供本企业制造的货物</w:t>
      </w:r>
      <w:r>
        <w:rPr>
          <w:rFonts w:hint="eastAsia" w:ascii="宋体" w:hAnsi="宋体" w:cs="宋体"/>
          <w:kern w:val="0"/>
        </w:rPr>
        <w:t>，或</w:t>
      </w:r>
      <w:r>
        <w:rPr>
          <w:rFonts w:ascii="宋体" w:hAnsi="宋体" w:cs="宋体"/>
          <w:kern w:val="0"/>
        </w:rPr>
        <w:t>由本企业承担工程、提供服务</w:t>
      </w:r>
      <w:r>
        <w:rPr>
          <w:rFonts w:hint="eastAsia" w:ascii="宋体" w:hAnsi="宋体" w:cs="宋体"/>
          <w:kern w:val="0"/>
        </w:rPr>
        <w:t>），</w:t>
      </w:r>
      <w:r>
        <w:rPr>
          <w:rFonts w:ascii="宋体" w:hAnsi="宋体" w:cs="宋体"/>
          <w:kern w:val="0"/>
        </w:rPr>
        <w:t>或提供其他______（请填写：中型、小型、微型）企业制造的货物</w:t>
      </w:r>
      <w:r>
        <w:rPr>
          <w:rFonts w:hint="eastAsia" w:ascii="宋体" w:hAnsi="宋体" w:cs="宋体"/>
          <w:kern w:val="0"/>
        </w:rPr>
        <w:t>（三种情况选择一种）</w:t>
      </w:r>
      <w:r>
        <w:rPr>
          <w:rFonts w:ascii="宋体" w:hAnsi="宋体" w:cs="宋体"/>
          <w:kern w:val="0"/>
        </w:rPr>
        <w:t xml:space="preserve">。本条所称货物不包括使用大型企业注册商标的货物。 </w:t>
      </w:r>
    </w:p>
    <w:p>
      <w:pPr>
        <w:adjustRightInd w:val="0"/>
        <w:snapToGrid w:val="0"/>
        <w:spacing w:line="360" w:lineRule="auto"/>
        <w:ind w:left="141" w:leftChars="67" w:firstLine="420" w:firstLineChars="200"/>
        <w:rPr>
          <w:rFonts w:ascii="宋体" w:hAnsi="宋体" w:cs="宋体"/>
          <w:kern w:val="0"/>
        </w:rPr>
      </w:pPr>
      <w:r>
        <w:rPr>
          <w:rFonts w:ascii="宋体" w:hAnsi="宋体" w:cs="宋体"/>
          <w:kern w:val="0"/>
        </w:rPr>
        <w:t xml:space="preserve">　　本公司对上述声明的真实性负责。如有虚假，将依法承担相应责任。 </w:t>
      </w:r>
    </w:p>
    <w:p>
      <w:pPr>
        <w:adjustRightInd w:val="0"/>
        <w:snapToGrid w:val="0"/>
        <w:spacing w:line="360" w:lineRule="auto"/>
        <w:ind w:left="141" w:leftChars="67" w:firstLine="420" w:firstLineChars="200"/>
        <w:rPr>
          <w:rFonts w:ascii="宋体" w:hAnsi="宋体" w:cs="宋体"/>
          <w:kern w:val="0"/>
        </w:rPr>
      </w:pPr>
      <w:r>
        <w:rPr>
          <w:rFonts w:hint="eastAsia" w:ascii="宋体" w:hAnsi="宋体" w:cs="宋体"/>
          <w:kern w:val="0"/>
        </w:rPr>
        <w:t>附：证明材料。</w:t>
      </w:r>
    </w:p>
    <w:p>
      <w:pPr>
        <w:adjustRightInd w:val="0"/>
        <w:snapToGrid w:val="0"/>
        <w:spacing w:line="360" w:lineRule="auto"/>
        <w:ind w:left="141" w:leftChars="67" w:firstLine="420"/>
        <w:rPr>
          <w:rFonts w:ascii="宋体" w:hAnsi="宋体" w:cs="宋体"/>
          <w:kern w:val="0"/>
        </w:rPr>
      </w:pPr>
    </w:p>
    <w:p>
      <w:pPr>
        <w:adjustRightInd w:val="0"/>
        <w:snapToGrid w:val="0"/>
        <w:spacing w:line="360" w:lineRule="auto"/>
        <w:ind w:left="141" w:leftChars="67" w:firstLine="420"/>
        <w:rPr>
          <w:rFonts w:ascii="宋体" w:hAnsi="宋体" w:cs="宋体"/>
          <w:kern w:val="0"/>
        </w:rPr>
      </w:pPr>
      <w:r>
        <w:rPr>
          <w:rFonts w:ascii="宋体" w:hAnsi="宋体" w:cs="宋体"/>
          <w:kern w:val="0"/>
        </w:rPr>
        <w:t xml:space="preserve">企业名称（盖章）： </w:t>
      </w:r>
    </w:p>
    <w:p>
      <w:pPr>
        <w:adjustRightInd w:val="0"/>
        <w:snapToGrid w:val="0"/>
        <w:spacing w:line="360" w:lineRule="auto"/>
        <w:ind w:left="141" w:leftChars="67" w:firstLine="420"/>
        <w:rPr>
          <w:rFonts w:ascii="宋体" w:hAnsi="宋体" w:cs="宋体"/>
          <w:kern w:val="0"/>
        </w:rPr>
      </w:pPr>
      <w:r>
        <w:rPr>
          <w:rFonts w:ascii="宋体" w:hAnsi="宋体" w:cs="宋体"/>
          <w:kern w:val="0"/>
        </w:rPr>
        <w:t>日</w:t>
      </w:r>
      <w:r>
        <w:rPr>
          <w:rFonts w:hint="eastAsia" w:ascii="宋体" w:hAnsi="宋体" w:cs="宋体"/>
          <w:kern w:val="0"/>
        </w:rPr>
        <w:t xml:space="preserve">   </w:t>
      </w:r>
      <w:r>
        <w:rPr>
          <w:rFonts w:ascii="宋体" w:hAnsi="宋体" w:cs="宋体"/>
          <w:kern w:val="0"/>
        </w:rPr>
        <w:t>期：</w:t>
      </w:r>
      <w:r>
        <w:rPr>
          <w:rFonts w:hint="eastAsia" w:ascii="宋体" w:hAnsi="宋体" w:cs="宋体"/>
          <w:kern w:val="0"/>
        </w:rPr>
        <w:t xml:space="preserve">   年   月   日</w:t>
      </w:r>
    </w:p>
    <w:p>
      <w:pPr>
        <w:spacing w:line="360" w:lineRule="auto"/>
        <w:ind w:firstLine="105" w:firstLineChars="50"/>
        <w:rPr>
          <w:rFonts w:ascii="宋体" w:hAnsi="宋体"/>
        </w:rPr>
      </w:pPr>
    </w:p>
    <w:p>
      <w:pPr>
        <w:spacing w:line="360" w:lineRule="auto"/>
        <w:rPr>
          <w:rFonts w:ascii="宋体" w:hAnsi="宋体"/>
        </w:rPr>
      </w:pPr>
    </w:p>
    <w:p>
      <w:pPr>
        <w:spacing w:line="360" w:lineRule="auto"/>
        <w:ind w:firstLine="105" w:firstLineChars="50"/>
        <w:jc w:val="left"/>
        <w:rPr>
          <w:rFonts w:ascii="仿宋" w:hAnsi="Verdana" w:eastAsia="仿宋" w:cs="宋体"/>
          <w:b/>
          <w:bCs/>
          <w:kern w:val="0"/>
          <w:sz w:val="24"/>
        </w:rPr>
      </w:pPr>
      <w:r>
        <w:rPr>
          <w:rFonts w:ascii="宋体" w:hAnsi="宋体"/>
          <w:b/>
        </w:rPr>
        <w:br w:type="page"/>
      </w:r>
      <w:r>
        <w:rPr>
          <w:rFonts w:hint="eastAsia" w:ascii="宋体" w:hAnsi="宋体"/>
          <w:b/>
        </w:rPr>
        <w:t>2</w:t>
      </w:r>
      <w:r>
        <w:rPr>
          <w:rFonts w:ascii="宋体" w:hAnsi="宋体"/>
          <w:b/>
        </w:rPr>
        <w:t>5</w:t>
      </w:r>
      <w:r>
        <w:rPr>
          <w:rFonts w:hint="eastAsia" w:ascii="宋体" w:hAnsi="宋体"/>
          <w:b/>
        </w:rPr>
        <w:t>、</w:t>
      </w:r>
      <w:r>
        <w:rPr>
          <w:rFonts w:hint="eastAsia" w:ascii="仿宋" w:hAnsi="Verdana" w:eastAsia="仿宋" w:cs="宋体"/>
          <w:b/>
          <w:bCs/>
          <w:kern w:val="0"/>
          <w:sz w:val="24"/>
        </w:rPr>
        <w:t>政府采购项目合同验收书</w:t>
      </w:r>
    </w:p>
    <w:p>
      <w:pPr>
        <w:widowControl/>
        <w:shd w:val="clear" w:color="auto" w:fill="FFFFFF"/>
        <w:spacing w:line="360" w:lineRule="exact"/>
        <w:jc w:val="center"/>
        <w:rPr>
          <w:rFonts w:ascii="仿宋" w:hAnsi="Verdana" w:eastAsia="仿宋" w:cs="宋体"/>
          <w:kern w:val="0"/>
          <w:sz w:val="24"/>
        </w:rPr>
      </w:pPr>
      <w:r>
        <w:rPr>
          <w:rFonts w:hint="eastAsia" w:ascii="仿宋" w:hAnsi="Verdana" w:eastAsia="仿宋" w:cs="宋体"/>
          <w:b/>
          <w:bCs/>
          <w:kern w:val="0"/>
          <w:sz w:val="24"/>
        </w:rPr>
        <w:t>政府采购项目合同验收书</w:t>
      </w:r>
    </w:p>
    <w:p>
      <w:pPr>
        <w:widowControl/>
        <w:shd w:val="clear" w:color="auto" w:fill="FFFFFF"/>
        <w:snapToGrid w:val="0"/>
        <w:spacing w:line="360" w:lineRule="exact"/>
        <w:ind w:firstLine="480"/>
        <w:jc w:val="left"/>
        <w:rPr>
          <w:rFonts w:ascii="宋体" w:hAnsi="宋体" w:cs="宋体"/>
          <w:kern w:val="0"/>
        </w:rPr>
      </w:pPr>
      <w:r>
        <w:rPr>
          <w:rFonts w:hint="eastAsia" w:ascii="宋体" w:hAnsi="宋体" w:cs="宋体"/>
          <w:kern w:val="0"/>
        </w:rPr>
        <w:t>根据政府采购项目（</w:t>
      </w:r>
      <w:r>
        <w:rPr>
          <w:rFonts w:hint="eastAsia" w:ascii="宋体" w:hAnsi="宋体" w:cs="宋体"/>
          <w:kern w:val="0"/>
          <w:u w:val="single"/>
        </w:rPr>
        <w:t>采购合同编号：</w:t>
      </w:r>
      <w:r>
        <w:rPr>
          <w:rFonts w:hint="eastAsia" w:ascii="宋体" w:hAnsi="宋体" w:cs="宋体"/>
          <w:kern w:val="0"/>
          <w:u w:val="single"/>
        </w:rPr>
        <w:softHyphen/>
      </w:r>
      <w:r>
        <w:rPr>
          <w:rFonts w:hint="eastAsia" w:ascii="宋体" w:hAnsi="宋体" w:cs="宋体"/>
          <w:kern w:val="0"/>
          <w:u w:val="single"/>
        </w:rPr>
        <w:t>   </w:t>
      </w:r>
      <w:r>
        <w:rPr>
          <w:rFonts w:hint="eastAsia" w:ascii="宋体" w:hAnsi="宋体" w:cs="宋体"/>
          <w:kern w:val="0"/>
        </w:rPr>
        <w:t>）的约定，我单位对（</w:t>
      </w:r>
      <w:r>
        <w:rPr>
          <w:rFonts w:hint="eastAsia" w:ascii="宋体" w:hAnsi="宋体" w:cs="宋体"/>
          <w:kern w:val="0"/>
          <w:u w:val="single"/>
        </w:rPr>
        <w:t xml:space="preserve"> 项目名称   </w:t>
      </w:r>
      <w:r>
        <w:rPr>
          <w:rFonts w:hint="eastAsia" w:ascii="宋体" w:hAnsi="宋体" w:cs="宋体"/>
          <w:kern w:val="0"/>
        </w:rPr>
        <w:t>）政府采购项目成交（或成交）供应商（</w:t>
      </w:r>
      <w:r>
        <w:rPr>
          <w:rFonts w:hint="eastAsia" w:ascii="宋体" w:hAnsi="宋体" w:cs="宋体"/>
          <w:kern w:val="0"/>
          <w:u w:val="single"/>
        </w:rPr>
        <w:t xml:space="preserve">            公司名称              </w:t>
      </w:r>
      <w:r>
        <w:rPr>
          <w:rFonts w:hint="eastAsia" w:ascii="宋体" w:hAnsi="宋体" w:cs="宋体"/>
          <w:kern w:val="0"/>
        </w:rPr>
        <w:t>）提供的货物（或工程、服务）进行了验收，验收情况如下：</w:t>
      </w:r>
    </w:p>
    <w:tbl>
      <w:tblPr>
        <w:tblStyle w:val="72"/>
        <w:tblW w:w="0" w:type="auto"/>
        <w:jc w:val="center"/>
        <w:tblLayout w:type="fixed"/>
        <w:tblCellMar>
          <w:top w:w="0" w:type="dxa"/>
          <w:left w:w="0" w:type="dxa"/>
          <w:bottom w:w="0" w:type="dxa"/>
          <w:right w:w="0" w:type="dxa"/>
        </w:tblCellMar>
      </w:tblPr>
      <w:tblGrid>
        <w:gridCol w:w="700"/>
        <w:gridCol w:w="2515"/>
        <w:gridCol w:w="2507"/>
        <w:gridCol w:w="1029"/>
        <w:gridCol w:w="1559"/>
        <w:gridCol w:w="82"/>
        <w:gridCol w:w="1335"/>
      </w:tblGrid>
      <w:tr>
        <w:tblPrEx>
          <w:tblCellMar>
            <w:top w:w="0" w:type="dxa"/>
            <w:left w:w="0" w:type="dxa"/>
            <w:bottom w:w="0" w:type="dxa"/>
            <w:right w:w="0" w:type="dxa"/>
          </w:tblCellMar>
        </w:tblPrEx>
        <w:trPr>
          <w:trHeight w:val="497" w:hRule="atLeast"/>
          <w:jc w:val="center"/>
        </w:trPr>
        <w:tc>
          <w:tcPr>
            <w:tcW w:w="3215"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center"/>
              <w:rPr>
                <w:rFonts w:ascii="宋体" w:hAnsi="宋体" w:cs="宋体"/>
                <w:kern w:val="0"/>
              </w:rPr>
            </w:pPr>
            <w:r>
              <w:rPr>
                <w:rFonts w:ascii="宋体" w:hAnsi="宋体" w:cs="宋体"/>
                <w:kern w:val="0"/>
              </w:rPr>
              <w:t>验收方式：</w:t>
            </w:r>
          </w:p>
        </w:tc>
        <w:tc>
          <w:tcPr>
            <w:tcW w:w="6512"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center"/>
              <w:rPr>
                <w:rFonts w:ascii="宋体" w:hAnsi="宋体" w:cs="宋体"/>
                <w:kern w:val="0"/>
              </w:rPr>
            </w:pPr>
            <w:r>
              <w:rPr>
                <w:rFonts w:ascii="宋体" w:hAnsi="宋体" w:cs="宋体"/>
                <w:kern w:val="0"/>
              </w:rPr>
              <w:t>□自行验收        □委托验收</w:t>
            </w:r>
          </w:p>
        </w:tc>
      </w:tr>
      <w:tr>
        <w:tblPrEx>
          <w:tblCellMar>
            <w:top w:w="0" w:type="dxa"/>
            <w:left w:w="0" w:type="dxa"/>
            <w:bottom w:w="0" w:type="dxa"/>
            <w:right w:w="0" w:type="dxa"/>
          </w:tblCellMar>
        </w:tblPrEx>
        <w:trPr>
          <w:trHeight w:val="622" w:hRule="atLeast"/>
          <w:jc w:val="center"/>
        </w:trPr>
        <w:tc>
          <w:tcPr>
            <w:tcW w:w="70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kern w:val="0"/>
              </w:rPr>
              <w:t>序号</w:t>
            </w:r>
          </w:p>
        </w:tc>
        <w:tc>
          <w:tcPr>
            <w:tcW w:w="2515"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kern w:val="0"/>
              </w:rPr>
              <w:t>名 称</w:t>
            </w:r>
          </w:p>
        </w:tc>
        <w:tc>
          <w:tcPr>
            <w:tcW w:w="353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kern w:val="0"/>
              </w:rPr>
              <w:t>货物型号规格、标准及配置等</w:t>
            </w:r>
          </w:p>
          <w:p>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kern w:val="0"/>
              </w:rPr>
              <w:t>（或服务内容、标准）</w:t>
            </w:r>
          </w:p>
        </w:tc>
        <w:tc>
          <w:tcPr>
            <w:tcW w:w="155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jc w:val="center"/>
              <w:rPr>
                <w:rFonts w:ascii="宋体" w:hAnsi="宋体" w:cs="宋体"/>
                <w:kern w:val="0"/>
              </w:rPr>
            </w:pPr>
            <w:r>
              <w:rPr>
                <w:rFonts w:ascii="宋体" w:hAnsi="宋体" w:cs="宋体"/>
                <w:kern w:val="0"/>
              </w:rPr>
              <w:t>数量</w:t>
            </w:r>
          </w:p>
        </w:tc>
        <w:tc>
          <w:tcPr>
            <w:tcW w:w="141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hAnsi="宋体" w:cs="宋体"/>
                <w:kern w:val="0"/>
              </w:rPr>
            </w:pPr>
            <w:r>
              <w:rPr>
                <w:rFonts w:ascii="宋体" w:hAnsi="宋体" w:cs="宋体"/>
                <w:kern w:val="0"/>
              </w:rPr>
              <w:t>金 额</w:t>
            </w:r>
          </w:p>
        </w:tc>
      </w:tr>
      <w:tr>
        <w:tblPrEx>
          <w:tblCellMar>
            <w:top w:w="0" w:type="dxa"/>
            <w:left w:w="0" w:type="dxa"/>
            <w:bottom w:w="0" w:type="dxa"/>
            <w:right w:w="0" w:type="dxa"/>
          </w:tblCellMar>
        </w:tblPrEx>
        <w:trPr>
          <w:trHeight w:val="487" w:hRule="atLeast"/>
          <w:jc w:val="center"/>
        </w:trPr>
        <w:tc>
          <w:tcPr>
            <w:tcW w:w="70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left"/>
              <w:rPr>
                <w:rFonts w:ascii="宋体" w:hAnsi="宋体" w:cs="宋体"/>
                <w:kern w:val="0"/>
              </w:rPr>
            </w:pPr>
            <w:r>
              <w:rPr>
                <w:rFonts w:ascii="宋体" w:hAnsi="宋体" w:cs="宋体"/>
                <w:kern w:val="0"/>
              </w:rPr>
              <w:t> </w:t>
            </w:r>
          </w:p>
        </w:tc>
        <w:tc>
          <w:tcPr>
            <w:tcW w:w="2515"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353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155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141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r>
      <w:tr>
        <w:tblPrEx>
          <w:tblCellMar>
            <w:top w:w="0" w:type="dxa"/>
            <w:left w:w="0" w:type="dxa"/>
            <w:bottom w:w="0" w:type="dxa"/>
            <w:right w:w="0" w:type="dxa"/>
          </w:tblCellMar>
        </w:tblPrEx>
        <w:trPr>
          <w:trHeight w:val="487" w:hRule="atLeast"/>
          <w:jc w:val="center"/>
        </w:trPr>
        <w:tc>
          <w:tcPr>
            <w:tcW w:w="70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2515"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353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155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141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r>
      <w:tr>
        <w:tblPrEx>
          <w:tblCellMar>
            <w:top w:w="0" w:type="dxa"/>
            <w:left w:w="0" w:type="dxa"/>
            <w:bottom w:w="0" w:type="dxa"/>
            <w:right w:w="0" w:type="dxa"/>
          </w:tblCellMar>
        </w:tblPrEx>
        <w:trPr>
          <w:trHeight w:val="487" w:hRule="atLeast"/>
          <w:jc w:val="center"/>
        </w:trPr>
        <w:tc>
          <w:tcPr>
            <w:tcW w:w="70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2515"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353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155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141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r>
      <w:tr>
        <w:tblPrEx>
          <w:tblCellMar>
            <w:top w:w="0" w:type="dxa"/>
            <w:left w:w="0" w:type="dxa"/>
            <w:bottom w:w="0" w:type="dxa"/>
            <w:right w:w="0" w:type="dxa"/>
          </w:tblCellMar>
        </w:tblPrEx>
        <w:trPr>
          <w:trHeight w:val="487" w:hRule="atLeast"/>
          <w:jc w:val="center"/>
        </w:trPr>
        <w:tc>
          <w:tcPr>
            <w:tcW w:w="6751"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center"/>
              <w:rPr>
                <w:rFonts w:ascii="宋体" w:hAnsi="宋体" w:cs="宋体"/>
                <w:kern w:val="0"/>
              </w:rPr>
            </w:pPr>
            <w:r>
              <w:rPr>
                <w:rFonts w:ascii="宋体" w:hAnsi="宋体" w:cs="宋体"/>
                <w:kern w:val="0"/>
              </w:rPr>
              <w:t>合       计</w:t>
            </w:r>
          </w:p>
        </w:tc>
        <w:tc>
          <w:tcPr>
            <w:tcW w:w="1559"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141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r>
      <w:tr>
        <w:tblPrEx>
          <w:tblCellMar>
            <w:top w:w="0" w:type="dxa"/>
            <w:left w:w="0" w:type="dxa"/>
            <w:bottom w:w="0" w:type="dxa"/>
            <w:right w:w="0" w:type="dxa"/>
          </w:tblCellMar>
        </w:tblPrEx>
        <w:trPr>
          <w:trHeight w:val="641" w:hRule="atLeast"/>
          <w:jc w:val="center"/>
        </w:trPr>
        <w:tc>
          <w:tcPr>
            <w:tcW w:w="9727"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left"/>
              <w:rPr>
                <w:rFonts w:ascii="宋体" w:hAnsi="宋体" w:cs="宋体"/>
                <w:kern w:val="0"/>
              </w:rPr>
            </w:pPr>
            <w:r>
              <w:rPr>
                <w:rFonts w:ascii="宋体" w:hAnsi="宋体" w:cs="宋体"/>
                <w:kern w:val="0"/>
              </w:rPr>
              <w:t>合计大写金额：  仟   佰   拾   万   仟   佰   拾   元</w:t>
            </w:r>
          </w:p>
        </w:tc>
      </w:tr>
      <w:tr>
        <w:tblPrEx>
          <w:tblCellMar>
            <w:top w:w="0" w:type="dxa"/>
            <w:left w:w="0" w:type="dxa"/>
            <w:bottom w:w="0" w:type="dxa"/>
            <w:right w:w="0" w:type="dxa"/>
          </w:tblCellMar>
        </w:tblPrEx>
        <w:trPr>
          <w:trHeight w:val="641" w:hRule="atLeast"/>
          <w:jc w:val="center"/>
        </w:trPr>
        <w:tc>
          <w:tcPr>
            <w:tcW w:w="70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center"/>
              <w:rPr>
                <w:rFonts w:ascii="宋体" w:hAnsi="宋体" w:cs="宋体"/>
                <w:spacing w:val="-14"/>
                <w:kern w:val="0"/>
              </w:rPr>
            </w:pPr>
            <w:r>
              <w:rPr>
                <w:rFonts w:ascii="宋体" w:hAnsi="宋体" w:cs="宋体"/>
                <w:spacing w:val="-14"/>
                <w:kern w:val="0"/>
              </w:rPr>
              <w:t>实际供货日期</w:t>
            </w:r>
          </w:p>
        </w:tc>
        <w:tc>
          <w:tcPr>
            <w:tcW w:w="502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c>
          <w:tcPr>
            <w:tcW w:w="2670"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6"/>
              <w:jc w:val="center"/>
              <w:rPr>
                <w:rFonts w:ascii="宋体" w:hAnsi="宋体" w:cs="宋体"/>
                <w:kern w:val="0"/>
              </w:rPr>
            </w:pPr>
            <w:r>
              <w:rPr>
                <w:rFonts w:ascii="宋体" w:hAnsi="宋体" w:cs="宋体"/>
                <w:kern w:val="0"/>
              </w:rPr>
              <w:t>合同交货验收日期</w:t>
            </w:r>
          </w:p>
        </w:tc>
        <w:tc>
          <w:tcPr>
            <w:tcW w:w="1335"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kern w:val="0"/>
              </w:rPr>
            </w:pPr>
            <w:r>
              <w:rPr>
                <w:rFonts w:ascii="宋体" w:hAnsi="宋体" w:cs="宋体"/>
                <w:kern w:val="0"/>
              </w:rPr>
              <w:t> </w:t>
            </w:r>
          </w:p>
        </w:tc>
      </w:tr>
      <w:tr>
        <w:tblPrEx>
          <w:tblCellMar>
            <w:top w:w="0" w:type="dxa"/>
            <w:left w:w="0" w:type="dxa"/>
            <w:bottom w:w="0" w:type="dxa"/>
            <w:right w:w="0" w:type="dxa"/>
          </w:tblCellMar>
        </w:tblPrEx>
        <w:trPr>
          <w:trHeight w:val="1521" w:hRule="atLeast"/>
          <w:jc w:val="center"/>
        </w:trPr>
        <w:tc>
          <w:tcPr>
            <w:tcW w:w="7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exact"/>
              <w:jc w:val="center"/>
              <w:rPr>
                <w:rFonts w:ascii="宋体" w:hAnsi="宋体" w:cs="宋体"/>
                <w:kern w:val="0"/>
              </w:rPr>
            </w:pPr>
            <w:r>
              <w:rPr>
                <w:rFonts w:ascii="宋体" w:hAnsi="宋体" w:cs="宋体"/>
                <w:kern w:val="0"/>
              </w:rPr>
              <w:t>验收具体内容</w:t>
            </w:r>
          </w:p>
        </w:tc>
        <w:tc>
          <w:tcPr>
            <w:tcW w:w="9027"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ascii="宋体" w:hAnsi="宋体" w:cs="宋体"/>
                <w:kern w:val="0"/>
              </w:rPr>
            </w:pPr>
            <w:r>
              <w:rPr>
                <w:rFonts w:ascii="宋体" w:hAnsi="宋体" w:cs="宋体"/>
                <w:kern w:val="0"/>
              </w:rPr>
              <w:t>（应按采购合同、招标文件、投标响应文件及验收方案等进行验收；并核对成交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117" w:hRule="atLeast"/>
          <w:jc w:val="center"/>
        </w:trPr>
        <w:tc>
          <w:tcPr>
            <w:tcW w:w="70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exact"/>
              <w:jc w:val="center"/>
              <w:rPr>
                <w:rFonts w:ascii="宋体" w:hAnsi="宋体" w:cs="宋体"/>
                <w:kern w:val="0"/>
              </w:rPr>
            </w:pPr>
            <w:r>
              <w:rPr>
                <w:rFonts w:ascii="宋体" w:hAnsi="宋体" w:cs="宋体"/>
                <w:kern w:val="0"/>
              </w:rPr>
              <w:t>验收小组意见</w:t>
            </w:r>
          </w:p>
        </w:tc>
        <w:tc>
          <w:tcPr>
            <w:tcW w:w="9027"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left"/>
              <w:rPr>
                <w:rFonts w:ascii="宋体" w:hAnsi="宋体" w:cs="宋体"/>
                <w:kern w:val="0"/>
              </w:rPr>
            </w:pPr>
            <w:r>
              <w:rPr>
                <w:rFonts w:ascii="宋体" w:hAnsi="宋体" w:cs="宋体"/>
                <w:kern w:val="0"/>
              </w:rPr>
              <w:t> 验收结论性意见：</w:t>
            </w:r>
          </w:p>
          <w:p>
            <w:pPr>
              <w:widowControl/>
              <w:spacing w:before="100" w:beforeAutospacing="1" w:after="100" w:afterAutospacing="1" w:line="360" w:lineRule="exact"/>
              <w:jc w:val="left"/>
              <w:rPr>
                <w:rFonts w:ascii="宋体" w:hAnsi="宋体" w:cs="宋体"/>
                <w:kern w:val="0"/>
              </w:rPr>
            </w:pPr>
            <w:r>
              <w:rPr>
                <w:rFonts w:ascii="宋体" w:hAnsi="宋体" w:cs="宋体"/>
                <w:kern w:val="0"/>
              </w:rPr>
              <w:t> </w:t>
            </w:r>
          </w:p>
        </w:tc>
      </w:tr>
      <w:tr>
        <w:tblPrEx>
          <w:tblCellMar>
            <w:top w:w="0" w:type="dxa"/>
            <w:left w:w="0" w:type="dxa"/>
            <w:bottom w:w="0" w:type="dxa"/>
            <w:right w:w="0" w:type="dxa"/>
          </w:tblCellMar>
        </w:tblPrEx>
        <w:trPr>
          <w:trHeight w:val="1119" w:hRule="atLeast"/>
          <w:jc w:val="center"/>
        </w:trPr>
        <w:tc>
          <w:tcPr>
            <w:tcW w:w="700" w:type="dxa"/>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kern w:val="0"/>
              </w:rPr>
            </w:pPr>
          </w:p>
        </w:tc>
        <w:tc>
          <w:tcPr>
            <w:tcW w:w="9027"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60" w:lineRule="exact"/>
              <w:ind w:firstLine="96"/>
              <w:jc w:val="left"/>
              <w:rPr>
                <w:rFonts w:ascii="宋体" w:hAnsi="宋体" w:cs="宋体"/>
                <w:kern w:val="0"/>
              </w:rPr>
            </w:pPr>
            <w:r>
              <w:rPr>
                <w:rFonts w:ascii="宋体" w:hAnsi="宋体" w:cs="宋体"/>
                <w:kern w:val="0"/>
              </w:rPr>
              <w:t>有异议的意见和说明理</w:t>
            </w:r>
            <w:r>
              <w:rPr>
                <w:rFonts w:hint="eastAsia" w:ascii="宋体" w:hAnsi="宋体" w:cs="宋体"/>
                <w:kern w:val="0"/>
              </w:rPr>
              <w:t>由：</w:t>
            </w:r>
          </w:p>
          <w:p>
            <w:pPr>
              <w:widowControl/>
              <w:spacing w:before="100" w:beforeAutospacing="1" w:after="100" w:afterAutospacing="1" w:line="360" w:lineRule="exact"/>
              <w:ind w:firstLine="96"/>
              <w:jc w:val="left"/>
              <w:rPr>
                <w:rFonts w:ascii="宋体" w:hAnsi="宋体" w:cs="宋体"/>
                <w:kern w:val="0"/>
              </w:rPr>
            </w:pPr>
          </w:p>
        </w:tc>
      </w:tr>
      <w:tr>
        <w:tblPrEx>
          <w:tblCellMar>
            <w:top w:w="0" w:type="dxa"/>
            <w:left w:w="0" w:type="dxa"/>
            <w:bottom w:w="0" w:type="dxa"/>
            <w:right w:w="0" w:type="dxa"/>
          </w:tblCellMar>
        </w:tblPrEx>
        <w:trPr>
          <w:trHeight w:val="507" w:hRule="atLeast"/>
          <w:jc w:val="center"/>
        </w:trPr>
        <w:tc>
          <w:tcPr>
            <w:tcW w:w="972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exact"/>
              <w:jc w:val="left"/>
              <w:rPr>
                <w:rFonts w:ascii="宋体" w:hAnsi="宋体" w:cs="宋体"/>
                <w:kern w:val="0"/>
              </w:rPr>
            </w:pPr>
            <w:r>
              <w:rPr>
                <w:rFonts w:ascii="宋体" w:hAnsi="宋体" w:cs="宋体"/>
                <w:kern w:val="0"/>
              </w:rPr>
              <w:t>验收小组成员签字：</w:t>
            </w:r>
          </w:p>
        </w:tc>
      </w:tr>
      <w:tr>
        <w:tblPrEx>
          <w:tblCellMar>
            <w:top w:w="0" w:type="dxa"/>
            <w:left w:w="0" w:type="dxa"/>
            <w:bottom w:w="0" w:type="dxa"/>
            <w:right w:w="0" w:type="dxa"/>
          </w:tblCellMar>
        </w:tblPrEx>
        <w:trPr>
          <w:trHeight w:val="736" w:hRule="atLeast"/>
          <w:jc w:val="center"/>
        </w:trPr>
        <w:tc>
          <w:tcPr>
            <w:tcW w:w="972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exact"/>
              <w:jc w:val="left"/>
              <w:rPr>
                <w:rFonts w:ascii="宋体" w:hAnsi="宋体" w:cs="宋体"/>
                <w:kern w:val="0"/>
              </w:rPr>
            </w:pPr>
            <w:r>
              <w:rPr>
                <w:rFonts w:ascii="宋体" w:hAnsi="宋体" w:cs="宋体"/>
                <w:kern w:val="0"/>
              </w:rPr>
              <w:t>监督人员或其他相关人员签字：</w:t>
            </w:r>
          </w:p>
          <w:p>
            <w:pPr>
              <w:widowControl/>
              <w:spacing w:before="100" w:beforeAutospacing="1" w:after="100" w:afterAutospacing="1" w:line="360" w:lineRule="exact"/>
              <w:ind w:firstLine="74"/>
              <w:jc w:val="left"/>
              <w:rPr>
                <w:rFonts w:ascii="宋体" w:hAnsi="宋体" w:cs="宋体"/>
                <w:kern w:val="0"/>
              </w:rPr>
            </w:pPr>
            <w:r>
              <w:rPr>
                <w:rFonts w:ascii="宋体" w:hAnsi="宋体" w:cs="宋体"/>
                <w:kern w:val="0"/>
              </w:rPr>
              <w:t>或受邀机构的意见（盖章）：</w:t>
            </w:r>
          </w:p>
        </w:tc>
      </w:tr>
      <w:tr>
        <w:tblPrEx>
          <w:tblCellMar>
            <w:top w:w="0" w:type="dxa"/>
            <w:left w:w="0" w:type="dxa"/>
            <w:bottom w:w="0" w:type="dxa"/>
            <w:right w:w="0" w:type="dxa"/>
          </w:tblCellMar>
        </w:tblPrEx>
        <w:trPr>
          <w:trHeight w:val="758" w:hRule="atLeast"/>
          <w:jc w:val="center"/>
        </w:trPr>
        <w:tc>
          <w:tcPr>
            <w:tcW w:w="572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60" w:lineRule="exact"/>
              <w:ind w:firstLine="74"/>
              <w:jc w:val="left"/>
              <w:rPr>
                <w:rFonts w:ascii="宋体" w:hAnsi="宋体" w:cs="宋体"/>
                <w:kern w:val="0"/>
              </w:rPr>
            </w:pPr>
            <w:r>
              <w:rPr>
                <w:rFonts w:ascii="宋体" w:hAnsi="宋体" w:cs="宋体"/>
                <w:kern w:val="0"/>
              </w:rPr>
              <w:t>成交或者成交供应商负责人签字或盖章：</w:t>
            </w:r>
          </w:p>
          <w:p>
            <w:pPr>
              <w:widowControl/>
              <w:spacing w:before="100" w:beforeAutospacing="1" w:after="100" w:afterAutospacing="1" w:line="360" w:lineRule="exact"/>
              <w:jc w:val="left"/>
              <w:rPr>
                <w:rFonts w:ascii="宋体" w:hAnsi="宋体" w:cs="宋体"/>
                <w:kern w:val="0"/>
              </w:rPr>
            </w:pPr>
            <w:r>
              <w:rPr>
                <w:rFonts w:ascii="宋体" w:hAnsi="宋体" w:cs="宋体"/>
                <w:kern w:val="0"/>
              </w:rPr>
              <w:t>联系电话：        年 </w:t>
            </w:r>
            <w:r>
              <w:rPr>
                <w:rFonts w:hint="eastAsia" w:ascii="宋体" w:hAnsi="宋体" w:cs="宋体"/>
                <w:kern w:val="0"/>
              </w:rPr>
              <w:t xml:space="preserve"> </w:t>
            </w:r>
            <w:r>
              <w:rPr>
                <w:rFonts w:ascii="宋体" w:hAnsi="宋体" w:cs="宋体"/>
                <w:kern w:val="0"/>
              </w:rPr>
              <w:t>月 </w:t>
            </w:r>
            <w:r>
              <w:rPr>
                <w:rFonts w:hint="eastAsia" w:ascii="宋体" w:hAnsi="宋体" w:cs="宋体"/>
                <w:kern w:val="0"/>
              </w:rPr>
              <w:t xml:space="preserve"> </w:t>
            </w:r>
            <w:r>
              <w:rPr>
                <w:rFonts w:ascii="宋体" w:hAnsi="宋体" w:cs="宋体"/>
                <w:kern w:val="0"/>
              </w:rPr>
              <w:t>日</w:t>
            </w:r>
          </w:p>
        </w:tc>
        <w:tc>
          <w:tcPr>
            <w:tcW w:w="4005"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left"/>
              <w:rPr>
                <w:rFonts w:ascii="宋体" w:hAnsi="宋体" w:cs="宋体"/>
                <w:kern w:val="0"/>
              </w:rPr>
            </w:pPr>
            <w:r>
              <w:rPr>
                <w:rFonts w:ascii="宋体" w:hAnsi="宋体" w:cs="宋体"/>
                <w:kern w:val="0"/>
              </w:rPr>
              <w:t>采购人或受托机构的意见（盖章）：</w:t>
            </w:r>
          </w:p>
          <w:p>
            <w:pPr>
              <w:widowControl/>
              <w:spacing w:before="100" w:beforeAutospacing="1" w:after="100" w:afterAutospacing="1" w:line="360" w:lineRule="exact"/>
              <w:ind w:firstLine="105" w:firstLineChars="50"/>
              <w:jc w:val="left"/>
              <w:rPr>
                <w:rFonts w:ascii="宋体" w:hAnsi="宋体" w:cs="宋体"/>
                <w:kern w:val="0"/>
              </w:rPr>
            </w:pPr>
            <w:r>
              <w:rPr>
                <w:rFonts w:ascii="宋体" w:hAnsi="宋体" w:cs="宋体"/>
                <w:kern w:val="0"/>
              </w:rPr>
              <w:t>联系电话：</w:t>
            </w:r>
            <w:r>
              <w:rPr>
                <w:rFonts w:hint="eastAsia" w:ascii="宋体" w:hAnsi="宋体" w:cs="宋体"/>
                <w:kern w:val="0"/>
              </w:rPr>
              <w:t xml:space="preserve">          </w:t>
            </w:r>
            <w:r>
              <w:rPr>
                <w:rFonts w:ascii="宋体" w:hAnsi="宋体" w:cs="宋体"/>
                <w:kern w:val="0"/>
              </w:rPr>
              <w:t xml:space="preserve"> 年</w:t>
            </w:r>
            <w:r>
              <w:rPr>
                <w:rFonts w:hint="eastAsia" w:ascii="宋体" w:hAnsi="宋体" w:cs="宋体"/>
                <w:kern w:val="0"/>
              </w:rPr>
              <w:t xml:space="preserve"> </w:t>
            </w:r>
            <w:r>
              <w:rPr>
                <w:rFonts w:ascii="宋体" w:hAnsi="宋体" w:cs="宋体"/>
                <w:kern w:val="0"/>
              </w:rPr>
              <w:t xml:space="preserve"> 月  日</w:t>
            </w:r>
          </w:p>
        </w:tc>
      </w:tr>
    </w:tbl>
    <w:p>
      <w:pPr>
        <w:snapToGrid w:val="0"/>
        <w:spacing w:before="50" w:after="156" w:afterLines="50" w:line="280" w:lineRule="exact"/>
        <w:ind w:firstLine="420" w:firstLineChars="200"/>
        <w:jc w:val="left"/>
        <w:rPr>
          <w:rFonts w:ascii="宋体" w:hAnsi="宋体"/>
        </w:rPr>
      </w:pPr>
      <w:r>
        <w:rPr>
          <w:rFonts w:hint="eastAsia" w:ascii="宋体" w:hAnsi="宋体" w:cs="宋体"/>
          <w:kern w:val="0"/>
        </w:rPr>
        <w:t> 备注：合同验收书一式三份，采购人、成交（或成交）供应商、受托采购代理机构各一份。</w:t>
      </w:r>
    </w:p>
    <w:p>
      <w:pPr>
        <w:spacing w:line="360" w:lineRule="auto"/>
        <w:ind w:firstLine="120" w:firstLineChars="50"/>
        <w:jc w:val="left"/>
        <w:rPr>
          <w:rFonts w:ascii="宋体" w:hAnsi="宋体"/>
          <w:b/>
          <w:sz w:val="24"/>
        </w:rPr>
      </w:pPr>
    </w:p>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SIL">
    <w:altName w:val="宋体"/>
    <w:panose1 w:val="00000000000000000000"/>
    <w:charset w:val="86"/>
    <w:family w:val="swiss"/>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创艺简黑体">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DFPHeiW5-GB">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宋体 (正文)">
    <w:altName w:val="宋体"/>
    <w:panose1 w:val="00000000000000000000"/>
    <w:charset w:val="86"/>
    <w:family w:val="roman"/>
    <w:pitch w:val="default"/>
    <w:sig w:usb0="00000000" w:usb1="00000000" w:usb2="00000010" w:usb3="00000000" w:csb0="0004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fldChar w:fldCharType="begin"/>
    </w:r>
    <w:r>
      <w:instrText xml:space="preserve"> PAGE   \* MERGEFORMAT </w:instrText>
    </w:r>
    <w:r>
      <w:fldChar w:fldCharType="separate"/>
    </w:r>
    <w:r>
      <w:rPr>
        <w:lang w:val="zh-CN"/>
      </w:rPr>
      <w:t>1</w:t>
    </w:r>
    <w: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宋体" w:hAnsi="宋体"/>
      </w:rPr>
    </w:pPr>
    <w:r>
      <w:rPr>
        <w:rFonts w:hint="eastAsia" w:ascii="宋体" w:hAnsi="宋体"/>
      </w:rPr>
      <w:t>媒资储存系统高清化改造（NNZC2020-G1-990242-ZZGJ）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C1E3B"/>
    <w:multiLevelType w:val="singleLevel"/>
    <w:tmpl w:val="86CC1E3B"/>
    <w:lvl w:ilvl="0" w:tentative="0">
      <w:start w:val="1"/>
      <w:numFmt w:val="decimal"/>
      <w:suff w:val="nothing"/>
      <w:lvlText w:val="%1．"/>
      <w:lvlJc w:val="left"/>
      <w:pPr>
        <w:ind w:left="0" w:firstLine="400"/>
      </w:pPr>
      <w:rPr>
        <w:rFonts w:hint="default"/>
      </w:rPr>
    </w:lvl>
  </w:abstractNum>
  <w:abstractNum w:abstractNumId="1">
    <w:nsid w:val="AD9FCCF7"/>
    <w:multiLevelType w:val="singleLevel"/>
    <w:tmpl w:val="AD9FCCF7"/>
    <w:lvl w:ilvl="0" w:tentative="0">
      <w:start w:val="1"/>
      <w:numFmt w:val="decimal"/>
      <w:lvlText w:val="%1."/>
      <w:lvlJc w:val="left"/>
      <w:pPr>
        <w:tabs>
          <w:tab w:val="left" w:pos="312"/>
        </w:tabs>
      </w:pPr>
    </w:lvl>
  </w:abstractNum>
  <w:abstractNum w:abstractNumId="2">
    <w:nsid w:val="B062FCDB"/>
    <w:multiLevelType w:val="singleLevel"/>
    <w:tmpl w:val="B062FCDB"/>
    <w:lvl w:ilvl="0" w:tentative="0">
      <w:start w:val="1"/>
      <w:numFmt w:val="decimal"/>
      <w:suff w:val="nothing"/>
      <w:lvlText w:val="（%1）"/>
      <w:lvlJc w:val="left"/>
    </w:lvl>
  </w:abstractNum>
  <w:abstractNum w:abstractNumId="3">
    <w:nsid w:val="D7FC5C39"/>
    <w:multiLevelType w:val="singleLevel"/>
    <w:tmpl w:val="D7FC5C39"/>
    <w:lvl w:ilvl="0" w:tentative="0">
      <w:start w:val="1"/>
      <w:numFmt w:val="decimal"/>
      <w:suff w:val="nothing"/>
      <w:lvlText w:val="%1．"/>
      <w:lvlJc w:val="left"/>
      <w:pPr>
        <w:ind w:left="0" w:firstLine="400"/>
      </w:pPr>
      <w:rPr>
        <w:rFonts w:hint="default"/>
      </w:rPr>
    </w:lvl>
  </w:abstractNum>
  <w:abstractNum w:abstractNumId="4">
    <w:nsid w:val="00000012"/>
    <w:multiLevelType w:val="singleLevel"/>
    <w:tmpl w:val="00000012"/>
    <w:lvl w:ilvl="0" w:tentative="0">
      <w:start w:val="1"/>
      <w:numFmt w:val="decimal"/>
      <w:pStyle w:val="30"/>
      <w:lvlText w:val="%1."/>
      <w:lvlJc w:val="left"/>
      <w:pPr>
        <w:tabs>
          <w:tab w:val="left" w:pos="1200"/>
        </w:tabs>
        <w:ind w:left="1200" w:hanging="360"/>
      </w:pPr>
    </w:lvl>
  </w:abstractNum>
  <w:abstractNum w:abstractNumId="5">
    <w:nsid w:val="0000002C"/>
    <w:multiLevelType w:val="multilevel"/>
    <w:tmpl w:val="0000002C"/>
    <w:lvl w:ilvl="0" w:tentative="0">
      <w:start w:val="1"/>
      <w:numFmt w:val="chineseCountingThousand"/>
      <w:pStyle w:val="196"/>
      <w:suff w:val="nothing"/>
      <w:lvlText w:val="第%1章"/>
      <w:lvlJc w:val="left"/>
      <w:pPr>
        <w:ind w:left="0" w:firstLine="0"/>
      </w:pPr>
      <w:rPr>
        <w:rFonts w:hint="eastAsia" w:ascii="仿宋_GB2312" w:eastAsia="仿宋_GB2312"/>
        <w:sz w:val="44"/>
      </w:rPr>
    </w:lvl>
    <w:lvl w:ilvl="1" w:tentative="0">
      <w:start w:val="1"/>
      <w:numFmt w:val="none"/>
      <w:pStyle w:val="135"/>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3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6">
    <w:nsid w:val="26857717"/>
    <w:multiLevelType w:val="multilevel"/>
    <w:tmpl w:val="26857717"/>
    <w:lvl w:ilvl="0" w:tentative="0">
      <w:start w:val="1"/>
      <w:numFmt w:val="chineseCountingThousand"/>
      <w:pStyle w:val="280"/>
      <w:lvlText w:val="%1、"/>
      <w:lvlJc w:val="left"/>
      <w:pPr>
        <w:tabs>
          <w:tab w:val="left" w:pos="425"/>
        </w:tabs>
        <w:ind w:left="425" w:hanging="425"/>
      </w:pPr>
      <w:rPr>
        <w:rFonts w:hint="eastAsia"/>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8"/>
    <w:rsid w:val="0000163C"/>
    <w:rsid w:val="00002B57"/>
    <w:rsid w:val="0000351C"/>
    <w:rsid w:val="00005A41"/>
    <w:rsid w:val="00010711"/>
    <w:rsid w:val="00010C0A"/>
    <w:rsid w:val="00011B67"/>
    <w:rsid w:val="00011BD3"/>
    <w:rsid w:val="0001474C"/>
    <w:rsid w:val="00015088"/>
    <w:rsid w:val="0001536B"/>
    <w:rsid w:val="00021304"/>
    <w:rsid w:val="0002161A"/>
    <w:rsid w:val="00022E58"/>
    <w:rsid w:val="000262AA"/>
    <w:rsid w:val="00026B3D"/>
    <w:rsid w:val="00030378"/>
    <w:rsid w:val="00030DFA"/>
    <w:rsid w:val="00030E48"/>
    <w:rsid w:val="0003121B"/>
    <w:rsid w:val="00031A2F"/>
    <w:rsid w:val="00032AE9"/>
    <w:rsid w:val="00033F43"/>
    <w:rsid w:val="000371C9"/>
    <w:rsid w:val="000376F2"/>
    <w:rsid w:val="0004353E"/>
    <w:rsid w:val="000438A1"/>
    <w:rsid w:val="00047C86"/>
    <w:rsid w:val="000509C7"/>
    <w:rsid w:val="00050B61"/>
    <w:rsid w:val="000514BB"/>
    <w:rsid w:val="0005323F"/>
    <w:rsid w:val="00055452"/>
    <w:rsid w:val="0005556E"/>
    <w:rsid w:val="00056AD4"/>
    <w:rsid w:val="00056C01"/>
    <w:rsid w:val="00056C1D"/>
    <w:rsid w:val="0005724B"/>
    <w:rsid w:val="00057902"/>
    <w:rsid w:val="0006049E"/>
    <w:rsid w:val="00062D9F"/>
    <w:rsid w:val="00063BD2"/>
    <w:rsid w:val="0006432D"/>
    <w:rsid w:val="00066820"/>
    <w:rsid w:val="000668E9"/>
    <w:rsid w:val="00067036"/>
    <w:rsid w:val="00070A13"/>
    <w:rsid w:val="00071F09"/>
    <w:rsid w:val="00072E07"/>
    <w:rsid w:val="00072FDC"/>
    <w:rsid w:val="00074144"/>
    <w:rsid w:val="00076112"/>
    <w:rsid w:val="00076468"/>
    <w:rsid w:val="000768FF"/>
    <w:rsid w:val="00076DDE"/>
    <w:rsid w:val="00077C65"/>
    <w:rsid w:val="000852C6"/>
    <w:rsid w:val="0008563C"/>
    <w:rsid w:val="00086526"/>
    <w:rsid w:val="00086A7E"/>
    <w:rsid w:val="00090337"/>
    <w:rsid w:val="000905A6"/>
    <w:rsid w:val="000913FB"/>
    <w:rsid w:val="000917C5"/>
    <w:rsid w:val="00091ADC"/>
    <w:rsid w:val="00095D03"/>
    <w:rsid w:val="00097C94"/>
    <w:rsid w:val="00097D6E"/>
    <w:rsid w:val="000A0380"/>
    <w:rsid w:val="000A03F7"/>
    <w:rsid w:val="000A1003"/>
    <w:rsid w:val="000A1753"/>
    <w:rsid w:val="000A3C62"/>
    <w:rsid w:val="000A5A1E"/>
    <w:rsid w:val="000A644F"/>
    <w:rsid w:val="000A6CEA"/>
    <w:rsid w:val="000B00FE"/>
    <w:rsid w:val="000B0171"/>
    <w:rsid w:val="000B01F0"/>
    <w:rsid w:val="000B1531"/>
    <w:rsid w:val="000B23FD"/>
    <w:rsid w:val="000B28AA"/>
    <w:rsid w:val="000B4B79"/>
    <w:rsid w:val="000B616C"/>
    <w:rsid w:val="000C14ED"/>
    <w:rsid w:val="000C4610"/>
    <w:rsid w:val="000C47E9"/>
    <w:rsid w:val="000C50DF"/>
    <w:rsid w:val="000C5A2F"/>
    <w:rsid w:val="000C6231"/>
    <w:rsid w:val="000C6428"/>
    <w:rsid w:val="000D0975"/>
    <w:rsid w:val="000D2E5F"/>
    <w:rsid w:val="000D4561"/>
    <w:rsid w:val="000D5F88"/>
    <w:rsid w:val="000D64D7"/>
    <w:rsid w:val="000D767D"/>
    <w:rsid w:val="000E0191"/>
    <w:rsid w:val="000E0D53"/>
    <w:rsid w:val="000E2EBA"/>
    <w:rsid w:val="000E431D"/>
    <w:rsid w:val="000E47AB"/>
    <w:rsid w:val="000E752D"/>
    <w:rsid w:val="000F0A67"/>
    <w:rsid w:val="000F4B11"/>
    <w:rsid w:val="000F7307"/>
    <w:rsid w:val="000F734C"/>
    <w:rsid w:val="000F7582"/>
    <w:rsid w:val="000F78C8"/>
    <w:rsid w:val="00101208"/>
    <w:rsid w:val="001015C0"/>
    <w:rsid w:val="0010271B"/>
    <w:rsid w:val="00102C62"/>
    <w:rsid w:val="00103CEF"/>
    <w:rsid w:val="00103FFF"/>
    <w:rsid w:val="0010444A"/>
    <w:rsid w:val="001044E5"/>
    <w:rsid w:val="00104978"/>
    <w:rsid w:val="0010565D"/>
    <w:rsid w:val="00106372"/>
    <w:rsid w:val="00107803"/>
    <w:rsid w:val="00107BAE"/>
    <w:rsid w:val="00111E16"/>
    <w:rsid w:val="00113286"/>
    <w:rsid w:val="00113D5D"/>
    <w:rsid w:val="00115A39"/>
    <w:rsid w:val="00115AE1"/>
    <w:rsid w:val="00116364"/>
    <w:rsid w:val="00120747"/>
    <w:rsid w:val="0012159B"/>
    <w:rsid w:val="0012403D"/>
    <w:rsid w:val="00124907"/>
    <w:rsid w:val="00127BC1"/>
    <w:rsid w:val="00127C20"/>
    <w:rsid w:val="0013144E"/>
    <w:rsid w:val="001315C5"/>
    <w:rsid w:val="001327AF"/>
    <w:rsid w:val="00132D5C"/>
    <w:rsid w:val="00133397"/>
    <w:rsid w:val="001357C4"/>
    <w:rsid w:val="001363E0"/>
    <w:rsid w:val="00137A81"/>
    <w:rsid w:val="001401D1"/>
    <w:rsid w:val="0014239E"/>
    <w:rsid w:val="001435F0"/>
    <w:rsid w:val="0014475A"/>
    <w:rsid w:val="00144A8D"/>
    <w:rsid w:val="00144D10"/>
    <w:rsid w:val="00144F14"/>
    <w:rsid w:val="00146836"/>
    <w:rsid w:val="00150DB4"/>
    <w:rsid w:val="001511E2"/>
    <w:rsid w:val="00152E4A"/>
    <w:rsid w:val="00154C4F"/>
    <w:rsid w:val="00154D65"/>
    <w:rsid w:val="0015608A"/>
    <w:rsid w:val="00157471"/>
    <w:rsid w:val="00157566"/>
    <w:rsid w:val="0015791F"/>
    <w:rsid w:val="00164012"/>
    <w:rsid w:val="00167FEA"/>
    <w:rsid w:val="00170120"/>
    <w:rsid w:val="001722FA"/>
    <w:rsid w:val="00172A27"/>
    <w:rsid w:val="001735A4"/>
    <w:rsid w:val="00173FB3"/>
    <w:rsid w:val="00176452"/>
    <w:rsid w:val="0017646E"/>
    <w:rsid w:val="00176F45"/>
    <w:rsid w:val="00176FFB"/>
    <w:rsid w:val="00180711"/>
    <w:rsid w:val="00181965"/>
    <w:rsid w:val="00182153"/>
    <w:rsid w:val="0018277A"/>
    <w:rsid w:val="00183325"/>
    <w:rsid w:val="00183336"/>
    <w:rsid w:val="00183FE6"/>
    <w:rsid w:val="00184719"/>
    <w:rsid w:val="00184B4F"/>
    <w:rsid w:val="001853F9"/>
    <w:rsid w:val="00190FDA"/>
    <w:rsid w:val="00191E22"/>
    <w:rsid w:val="001935B7"/>
    <w:rsid w:val="00194781"/>
    <w:rsid w:val="00195150"/>
    <w:rsid w:val="0019676A"/>
    <w:rsid w:val="00197879"/>
    <w:rsid w:val="001A1A25"/>
    <w:rsid w:val="001A22B8"/>
    <w:rsid w:val="001A22B9"/>
    <w:rsid w:val="001A2ACE"/>
    <w:rsid w:val="001A419A"/>
    <w:rsid w:val="001A452C"/>
    <w:rsid w:val="001A5645"/>
    <w:rsid w:val="001A6A4A"/>
    <w:rsid w:val="001A6FE8"/>
    <w:rsid w:val="001A765A"/>
    <w:rsid w:val="001A7B63"/>
    <w:rsid w:val="001B11D2"/>
    <w:rsid w:val="001B2786"/>
    <w:rsid w:val="001B2DC7"/>
    <w:rsid w:val="001B79DF"/>
    <w:rsid w:val="001C096A"/>
    <w:rsid w:val="001C1B07"/>
    <w:rsid w:val="001C2C2E"/>
    <w:rsid w:val="001C328C"/>
    <w:rsid w:val="001C3961"/>
    <w:rsid w:val="001C409E"/>
    <w:rsid w:val="001C4AC2"/>
    <w:rsid w:val="001C6828"/>
    <w:rsid w:val="001D0367"/>
    <w:rsid w:val="001D040C"/>
    <w:rsid w:val="001D18CF"/>
    <w:rsid w:val="001D2980"/>
    <w:rsid w:val="001D2C62"/>
    <w:rsid w:val="001D3FEB"/>
    <w:rsid w:val="001D404E"/>
    <w:rsid w:val="001D51EB"/>
    <w:rsid w:val="001D6777"/>
    <w:rsid w:val="001D7884"/>
    <w:rsid w:val="001E1512"/>
    <w:rsid w:val="001E1C66"/>
    <w:rsid w:val="001E22AF"/>
    <w:rsid w:val="001E2321"/>
    <w:rsid w:val="001E38CD"/>
    <w:rsid w:val="001E3A32"/>
    <w:rsid w:val="001E4BDE"/>
    <w:rsid w:val="001F0E27"/>
    <w:rsid w:val="001F1B78"/>
    <w:rsid w:val="001F2052"/>
    <w:rsid w:val="001F2D25"/>
    <w:rsid w:val="001F3B6C"/>
    <w:rsid w:val="001F4AA5"/>
    <w:rsid w:val="001F4CFB"/>
    <w:rsid w:val="001F4D40"/>
    <w:rsid w:val="001F5174"/>
    <w:rsid w:val="001F5751"/>
    <w:rsid w:val="001F7341"/>
    <w:rsid w:val="00200930"/>
    <w:rsid w:val="00201434"/>
    <w:rsid w:val="002015B4"/>
    <w:rsid w:val="002059B3"/>
    <w:rsid w:val="00205A78"/>
    <w:rsid w:val="00207815"/>
    <w:rsid w:val="00211876"/>
    <w:rsid w:val="00211ED6"/>
    <w:rsid w:val="00212A40"/>
    <w:rsid w:val="00212D4C"/>
    <w:rsid w:val="00213630"/>
    <w:rsid w:val="002157E5"/>
    <w:rsid w:val="00215FEA"/>
    <w:rsid w:val="002171DA"/>
    <w:rsid w:val="00217923"/>
    <w:rsid w:val="00220AD3"/>
    <w:rsid w:val="00221DA4"/>
    <w:rsid w:val="00223A6A"/>
    <w:rsid w:val="00223B49"/>
    <w:rsid w:val="00225B24"/>
    <w:rsid w:val="00226287"/>
    <w:rsid w:val="00226E83"/>
    <w:rsid w:val="00226FD9"/>
    <w:rsid w:val="00230656"/>
    <w:rsid w:val="00231389"/>
    <w:rsid w:val="002324D5"/>
    <w:rsid w:val="00233D65"/>
    <w:rsid w:val="00236B52"/>
    <w:rsid w:val="002377FB"/>
    <w:rsid w:val="00240359"/>
    <w:rsid w:val="00242066"/>
    <w:rsid w:val="00242692"/>
    <w:rsid w:val="00243F6C"/>
    <w:rsid w:val="00243FEA"/>
    <w:rsid w:val="0024439E"/>
    <w:rsid w:val="00244B2B"/>
    <w:rsid w:val="002463B1"/>
    <w:rsid w:val="002466F0"/>
    <w:rsid w:val="00246E8D"/>
    <w:rsid w:val="0024769E"/>
    <w:rsid w:val="00247B60"/>
    <w:rsid w:val="002509BD"/>
    <w:rsid w:val="00251312"/>
    <w:rsid w:val="00251421"/>
    <w:rsid w:val="00251817"/>
    <w:rsid w:val="002518B6"/>
    <w:rsid w:val="0025213F"/>
    <w:rsid w:val="00252231"/>
    <w:rsid w:val="00252E06"/>
    <w:rsid w:val="00253FE1"/>
    <w:rsid w:val="00255C40"/>
    <w:rsid w:val="002560EF"/>
    <w:rsid w:val="002564BF"/>
    <w:rsid w:val="0025713F"/>
    <w:rsid w:val="00257966"/>
    <w:rsid w:val="00257E86"/>
    <w:rsid w:val="002603D0"/>
    <w:rsid w:val="002641B4"/>
    <w:rsid w:val="00264A3F"/>
    <w:rsid w:val="00266988"/>
    <w:rsid w:val="002675C5"/>
    <w:rsid w:val="00267CBA"/>
    <w:rsid w:val="00270D91"/>
    <w:rsid w:val="00272329"/>
    <w:rsid w:val="00272769"/>
    <w:rsid w:val="0027279D"/>
    <w:rsid w:val="0027416D"/>
    <w:rsid w:val="002771E6"/>
    <w:rsid w:val="00277E5F"/>
    <w:rsid w:val="0028227F"/>
    <w:rsid w:val="00284CD4"/>
    <w:rsid w:val="00287D8D"/>
    <w:rsid w:val="002917D5"/>
    <w:rsid w:val="00293A5D"/>
    <w:rsid w:val="002943BF"/>
    <w:rsid w:val="00295D08"/>
    <w:rsid w:val="00296892"/>
    <w:rsid w:val="00296CC6"/>
    <w:rsid w:val="002A0811"/>
    <w:rsid w:val="002A10B0"/>
    <w:rsid w:val="002A442C"/>
    <w:rsid w:val="002A4989"/>
    <w:rsid w:val="002A4E67"/>
    <w:rsid w:val="002A74F7"/>
    <w:rsid w:val="002B00B2"/>
    <w:rsid w:val="002B0A6B"/>
    <w:rsid w:val="002B182A"/>
    <w:rsid w:val="002B184E"/>
    <w:rsid w:val="002B27E0"/>
    <w:rsid w:val="002B2928"/>
    <w:rsid w:val="002B2FF2"/>
    <w:rsid w:val="002B3542"/>
    <w:rsid w:val="002B6044"/>
    <w:rsid w:val="002B64FF"/>
    <w:rsid w:val="002B6A7F"/>
    <w:rsid w:val="002B79ED"/>
    <w:rsid w:val="002C21B6"/>
    <w:rsid w:val="002C33BC"/>
    <w:rsid w:val="002C4C91"/>
    <w:rsid w:val="002C53B0"/>
    <w:rsid w:val="002C60A7"/>
    <w:rsid w:val="002C6E8C"/>
    <w:rsid w:val="002D1491"/>
    <w:rsid w:val="002D2093"/>
    <w:rsid w:val="002D27A2"/>
    <w:rsid w:val="002D3FE6"/>
    <w:rsid w:val="002D430A"/>
    <w:rsid w:val="002D4AAE"/>
    <w:rsid w:val="002D67BE"/>
    <w:rsid w:val="002D6B6A"/>
    <w:rsid w:val="002D7F53"/>
    <w:rsid w:val="002E0819"/>
    <w:rsid w:val="002E0C37"/>
    <w:rsid w:val="002E0CF8"/>
    <w:rsid w:val="002E1B8A"/>
    <w:rsid w:val="002E1EF1"/>
    <w:rsid w:val="002E216C"/>
    <w:rsid w:val="002E285F"/>
    <w:rsid w:val="002E2DED"/>
    <w:rsid w:val="002E57A0"/>
    <w:rsid w:val="002F05C6"/>
    <w:rsid w:val="002F1224"/>
    <w:rsid w:val="002F179F"/>
    <w:rsid w:val="002F2DBA"/>
    <w:rsid w:val="002F32D6"/>
    <w:rsid w:val="002F4588"/>
    <w:rsid w:val="002F5454"/>
    <w:rsid w:val="002F6708"/>
    <w:rsid w:val="0030144F"/>
    <w:rsid w:val="00302472"/>
    <w:rsid w:val="0030371B"/>
    <w:rsid w:val="00304094"/>
    <w:rsid w:val="00307A91"/>
    <w:rsid w:val="003107EC"/>
    <w:rsid w:val="0031087A"/>
    <w:rsid w:val="00310E93"/>
    <w:rsid w:val="00311385"/>
    <w:rsid w:val="003117FA"/>
    <w:rsid w:val="003136DD"/>
    <w:rsid w:val="00314598"/>
    <w:rsid w:val="0031595C"/>
    <w:rsid w:val="00315DD7"/>
    <w:rsid w:val="00316FA2"/>
    <w:rsid w:val="00316FB7"/>
    <w:rsid w:val="00320FA2"/>
    <w:rsid w:val="003214C0"/>
    <w:rsid w:val="00324933"/>
    <w:rsid w:val="0032556F"/>
    <w:rsid w:val="00325E24"/>
    <w:rsid w:val="003266F0"/>
    <w:rsid w:val="00326B6E"/>
    <w:rsid w:val="00326F22"/>
    <w:rsid w:val="00327EFC"/>
    <w:rsid w:val="0033031A"/>
    <w:rsid w:val="00330847"/>
    <w:rsid w:val="00330B56"/>
    <w:rsid w:val="00330C01"/>
    <w:rsid w:val="00330C2B"/>
    <w:rsid w:val="00331617"/>
    <w:rsid w:val="00332585"/>
    <w:rsid w:val="00333842"/>
    <w:rsid w:val="00334ACC"/>
    <w:rsid w:val="00334D4C"/>
    <w:rsid w:val="00337A87"/>
    <w:rsid w:val="00340294"/>
    <w:rsid w:val="00340BE2"/>
    <w:rsid w:val="00341256"/>
    <w:rsid w:val="0034150E"/>
    <w:rsid w:val="00341C9B"/>
    <w:rsid w:val="00342199"/>
    <w:rsid w:val="00342486"/>
    <w:rsid w:val="00342769"/>
    <w:rsid w:val="00345926"/>
    <w:rsid w:val="00345C56"/>
    <w:rsid w:val="00345D11"/>
    <w:rsid w:val="003474FA"/>
    <w:rsid w:val="00350315"/>
    <w:rsid w:val="00351BA0"/>
    <w:rsid w:val="00353B73"/>
    <w:rsid w:val="00353FE3"/>
    <w:rsid w:val="00355D98"/>
    <w:rsid w:val="00357713"/>
    <w:rsid w:val="00360779"/>
    <w:rsid w:val="00361641"/>
    <w:rsid w:val="003623F8"/>
    <w:rsid w:val="00363B62"/>
    <w:rsid w:val="003643C9"/>
    <w:rsid w:val="00365DBA"/>
    <w:rsid w:val="00365E17"/>
    <w:rsid w:val="00366F25"/>
    <w:rsid w:val="003678CB"/>
    <w:rsid w:val="003728C6"/>
    <w:rsid w:val="00372A70"/>
    <w:rsid w:val="00372E1E"/>
    <w:rsid w:val="00373061"/>
    <w:rsid w:val="00373453"/>
    <w:rsid w:val="00374698"/>
    <w:rsid w:val="00376A10"/>
    <w:rsid w:val="00376CC1"/>
    <w:rsid w:val="003816C0"/>
    <w:rsid w:val="003819D6"/>
    <w:rsid w:val="0038318E"/>
    <w:rsid w:val="0038622E"/>
    <w:rsid w:val="00386F8F"/>
    <w:rsid w:val="003871BF"/>
    <w:rsid w:val="003909AD"/>
    <w:rsid w:val="0039200B"/>
    <w:rsid w:val="00392160"/>
    <w:rsid w:val="00392276"/>
    <w:rsid w:val="00392D79"/>
    <w:rsid w:val="00394301"/>
    <w:rsid w:val="00396A09"/>
    <w:rsid w:val="00396A62"/>
    <w:rsid w:val="003977C2"/>
    <w:rsid w:val="003A0D37"/>
    <w:rsid w:val="003A1105"/>
    <w:rsid w:val="003A1338"/>
    <w:rsid w:val="003A19A9"/>
    <w:rsid w:val="003A1BAB"/>
    <w:rsid w:val="003A1E25"/>
    <w:rsid w:val="003A2120"/>
    <w:rsid w:val="003A27D4"/>
    <w:rsid w:val="003A3086"/>
    <w:rsid w:val="003A3139"/>
    <w:rsid w:val="003A33EC"/>
    <w:rsid w:val="003A4865"/>
    <w:rsid w:val="003A5732"/>
    <w:rsid w:val="003B0EAB"/>
    <w:rsid w:val="003B16EA"/>
    <w:rsid w:val="003B242A"/>
    <w:rsid w:val="003B272B"/>
    <w:rsid w:val="003B3AF3"/>
    <w:rsid w:val="003B4526"/>
    <w:rsid w:val="003B71DF"/>
    <w:rsid w:val="003B731F"/>
    <w:rsid w:val="003B7E1D"/>
    <w:rsid w:val="003C227F"/>
    <w:rsid w:val="003C2369"/>
    <w:rsid w:val="003C2642"/>
    <w:rsid w:val="003C287E"/>
    <w:rsid w:val="003C2C4C"/>
    <w:rsid w:val="003C392F"/>
    <w:rsid w:val="003C3B58"/>
    <w:rsid w:val="003C54E2"/>
    <w:rsid w:val="003D08CB"/>
    <w:rsid w:val="003D0BFA"/>
    <w:rsid w:val="003D1242"/>
    <w:rsid w:val="003D1997"/>
    <w:rsid w:val="003D2743"/>
    <w:rsid w:val="003D2E62"/>
    <w:rsid w:val="003D3DF8"/>
    <w:rsid w:val="003D5A01"/>
    <w:rsid w:val="003D5E6B"/>
    <w:rsid w:val="003D6117"/>
    <w:rsid w:val="003D6A7F"/>
    <w:rsid w:val="003D6DC1"/>
    <w:rsid w:val="003D7A5D"/>
    <w:rsid w:val="003D7D74"/>
    <w:rsid w:val="003D7F78"/>
    <w:rsid w:val="003E02D2"/>
    <w:rsid w:val="003E107A"/>
    <w:rsid w:val="003E28B9"/>
    <w:rsid w:val="003E33CF"/>
    <w:rsid w:val="003E459C"/>
    <w:rsid w:val="003E4FE7"/>
    <w:rsid w:val="003E5983"/>
    <w:rsid w:val="003E7C14"/>
    <w:rsid w:val="003F0AFE"/>
    <w:rsid w:val="003F22DB"/>
    <w:rsid w:val="003F36CD"/>
    <w:rsid w:val="003F382D"/>
    <w:rsid w:val="003F38CA"/>
    <w:rsid w:val="003F53F2"/>
    <w:rsid w:val="003F584B"/>
    <w:rsid w:val="003F63F4"/>
    <w:rsid w:val="003F65C5"/>
    <w:rsid w:val="00407C44"/>
    <w:rsid w:val="0041022F"/>
    <w:rsid w:val="004111EC"/>
    <w:rsid w:val="00411E0D"/>
    <w:rsid w:val="00411FF8"/>
    <w:rsid w:val="00412AF1"/>
    <w:rsid w:val="004132EB"/>
    <w:rsid w:val="004142F7"/>
    <w:rsid w:val="00414888"/>
    <w:rsid w:val="00415450"/>
    <w:rsid w:val="00415E5A"/>
    <w:rsid w:val="0041679D"/>
    <w:rsid w:val="0041752D"/>
    <w:rsid w:val="0042054E"/>
    <w:rsid w:val="004206EB"/>
    <w:rsid w:val="004223CD"/>
    <w:rsid w:val="004228E3"/>
    <w:rsid w:val="0042388A"/>
    <w:rsid w:val="0042406E"/>
    <w:rsid w:val="00426091"/>
    <w:rsid w:val="004300A2"/>
    <w:rsid w:val="004356F2"/>
    <w:rsid w:val="004373F8"/>
    <w:rsid w:val="004374F2"/>
    <w:rsid w:val="00437EE9"/>
    <w:rsid w:val="004405E1"/>
    <w:rsid w:val="00441CBA"/>
    <w:rsid w:val="00441CEB"/>
    <w:rsid w:val="004426CF"/>
    <w:rsid w:val="0044325C"/>
    <w:rsid w:val="00444A07"/>
    <w:rsid w:val="00445E55"/>
    <w:rsid w:val="00445F9E"/>
    <w:rsid w:val="004476B1"/>
    <w:rsid w:val="00450002"/>
    <w:rsid w:val="004503BB"/>
    <w:rsid w:val="00453A75"/>
    <w:rsid w:val="00453CAF"/>
    <w:rsid w:val="0045425D"/>
    <w:rsid w:val="004544EB"/>
    <w:rsid w:val="004547B6"/>
    <w:rsid w:val="004548A4"/>
    <w:rsid w:val="00455E24"/>
    <w:rsid w:val="00460228"/>
    <w:rsid w:val="00460918"/>
    <w:rsid w:val="00460928"/>
    <w:rsid w:val="00460C07"/>
    <w:rsid w:val="0046286D"/>
    <w:rsid w:val="00462B8D"/>
    <w:rsid w:val="0046352B"/>
    <w:rsid w:val="00463667"/>
    <w:rsid w:val="00463DC9"/>
    <w:rsid w:val="0046440D"/>
    <w:rsid w:val="00467AF8"/>
    <w:rsid w:val="0047042D"/>
    <w:rsid w:val="004711A7"/>
    <w:rsid w:val="004714BB"/>
    <w:rsid w:val="004718B7"/>
    <w:rsid w:val="004725A9"/>
    <w:rsid w:val="00476A6A"/>
    <w:rsid w:val="00477552"/>
    <w:rsid w:val="0048492A"/>
    <w:rsid w:val="00487962"/>
    <w:rsid w:val="00491CF2"/>
    <w:rsid w:val="00491FC6"/>
    <w:rsid w:val="00492196"/>
    <w:rsid w:val="00493E36"/>
    <w:rsid w:val="00493ED3"/>
    <w:rsid w:val="0049445B"/>
    <w:rsid w:val="00494FA9"/>
    <w:rsid w:val="004959A9"/>
    <w:rsid w:val="00496CE0"/>
    <w:rsid w:val="004A1E4D"/>
    <w:rsid w:val="004A2187"/>
    <w:rsid w:val="004A529E"/>
    <w:rsid w:val="004A652B"/>
    <w:rsid w:val="004A6C1E"/>
    <w:rsid w:val="004A749C"/>
    <w:rsid w:val="004A7684"/>
    <w:rsid w:val="004A7C86"/>
    <w:rsid w:val="004B0108"/>
    <w:rsid w:val="004B17D0"/>
    <w:rsid w:val="004B262F"/>
    <w:rsid w:val="004B5994"/>
    <w:rsid w:val="004C05F4"/>
    <w:rsid w:val="004C06AA"/>
    <w:rsid w:val="004C0D87"/>
    <w:rsid w:val="004C0E9A"/>
    <w:rsid w:val="004C11D0"/>
    <w:rsid w:val="004C1821"/>
    <w:rsid w:val="004C2084"/>
    <w:rsid w:val="004C3E0C"/>
    <w:rsid w:val="004C3E8E"/>
    <w:rsid w:val="004C6028"/>
    <w:rsid w:val="004C6B4D"/>
    <w:rsid w:val="004D05A6"/>
    <w:rsid w:val="004D0A5C"/>
    <w:rsid w:val="004D1A96"/>
    <w:rsid w:val="004D1BDD"/>
    <w:rsid w:val="004D1DD0"/>
    <w:rsid w:val="004D382E"/>
    <w:rsid w:val="004E0076"/>
    <w:rsid w:val="004E20BB"/>
    <w:rsid w:val="004E2F0B"/>
    <w:rsid w:val="004E553F"/>
    <w:rsid w:val="004E558B"/>
    <w:rsid w:val="004E75B2"/>
    <w:rsid w:val="004F2B66"/>
    <w:rsid w:val="004F3637"/>
    <w:rsid w:val="004F379C"/>
    <w:rsid w:val="004F5E60"/>
    <w:rsid w:val="004F6A46"/>
    <w:rsid w:val="00500235"/>
    <w:rsid w:val="00500511"/>
    <w:rsid w:val="00500C8D"/>
    <w:rsid w:val="00500E33"/>
    <w:rsid w:val="00500FF3"/>
    <w:rsid w:val="00504EF4"/>
    <w:rsid w:val="005067E1"/>
    <w:rsid w:val="005113E7"/>
    <w:rsid w:val="0051318D"/>
    <w:rsid w:val="00513952"/>
    <w:rsid w:val="00514A8D"/>
    <w:rsid w:val="00516A55"/>
    <w:rsid w:val="005173E6"/>
    <w:rsid w:val="00517566"/>
    <w:rsid w:val="0052232A"/>
    <w:rsid w:val="00522898"/>
    <w:rsid w:val="00522B90"/>
    <w:rsid w:val="00524AFA"/>
    <w:rsid w:val="00524E88"/>
    <w:rsid w:val="00525B8F"/>
    <w:rsid w:val="00527A01"/>
    <w:rsid w:val="005303FD"/>
    <w:rsid w:val="0053152A"/>
    <w:rsid w:val="005320D4"/>
    <w:rsid w:val="00532E0F"/>
    <w:rsid w:val="00533050"/>
    <w:rsid w:val="00533A7F"/>
    <w:rsid w:val="00534AB0"/>
    <w:rsid w:val="00534D02"/>
    <w:rsid w:val="00535258"/>
    <w:rsid w:val="00535384"/>
    <w:rsid w:val="005357E2"/>
    <w:rsid w:val="0053769A"/>
    <w:rsid w:val="00537CD2"/>
    <w:rsid w:val="0054107E"/>
    <w:rsid w:val="005412F1"/>
    <w:rsid w:val="00543AE6"/>
    <w:rsid w:val="0054542E"/>
    <w:rsid w:val="00546DAE"/>
    <w:rsid w:val="0054751C"/>
    <w:rsid w:val="00547C8D"/>
    <w:rsid w:val="00547F53"/>
    <w:rsid w:val="00551A9E"/>
    <w:rsid w:val="005524A5"/>
    <w:rsid w:val="005536C7"/>
    <w:rsid w:val="00553930"/>
    <w:rsid w:val="00553957"/>
    <w:rsid w:val="005544E9"/>
    <w:rsid w:val="00560AF1"/>
    <w:rsid w:val="005613DF"/>
    <w:rsid w:val="005613FD"/>
    <w:rsid w:val="00561DE3"/>
    <w:rsid w:val="0056364D"/>
    <w:rsid w:val="005647A8"/>
    <w:rsid w:val="00564A3D"/>
    <w:rsid w:val="00564E32"/>
    <w:rsid w:val="00565892"/>
    <w:rsid w:val="00567721"/>
    <w:rsid w:val="0057031D"/>
    <w:rsid w:val="005736AB"/>
    <w:rsid w:val="00574395"/>
    <w:rsid w:val="0057466B"/>
    <w:rsid w:val="00580A36"/>
    <w:rsid w:val="0058117E"/>
    <w:rsid w:val="00581482"/>
    <w:rsid w:val="00582012"/>
    <w:rsid w:val="00582B13"/>
    <w:rsid w:val="00583530"/>
    <w:rsid w:val="0058495F"/>
    <w:rsid w:val="0058518E"/>
    <w:rsid w:val="00585554"/>
    <w:rsid w:val="0058681A"/>
    <w:rsid w:val="00590044"/>
    <w:rsid w:val="005901F0"/>
    <w:rsid w:val="005911A6"/>
    <w:rsid w:val="00591FB8"/>
    <w:rsid w:val="00594B9E"/>
    <w:rsid w:val="00595B77"/>
    <w:rsid w:val="005A1390"/>
    <w:rsid w:val="005A39E9"/>
    <w:rsid w:val="005A3AE0"/>
    <w:rsid w:val="005A4741"/>
    <w:rsid w:val="005A4978"/>
    <w:rsid w:val="005A4B46"/>
    <w:rsid w:val="005A5B0C"/>
    <w:rsid w:val="005A681A"/>
    <w:rsid w:val="005B016D"/>
    <w:rsid w:val="005B112C"/>
    <w:rsid w:val="005B2572"/>
    <w:rsid w:val="005B2956"/>
    <w:rsid w:val="005B2DE6"/>
    <w:rsid w:val="005B6797"/>
    <w:rsid w:val="005B6C63"/>
    <w:rsid w:val="005B6F49"/>
    <w:rsid w:val="005B6F5A"/>
    <w:rsid w:val="005C0D40"/>
    <w:rsid w:val="005C164E"/>
    <w:rsid w:val="005C3FA5"/>
    <w:rsid w:val="005C4084"/>
    <w:rsid w:val="005C5DFB"/>
    <w:rsid w:val="005C7001"/>
    <w:rsid w:val="005C7133"/>
    <w:rsid w:val="005C71DF"/>
    <w:rsid w:val="005D0096"/>
    <w:rsid w:val="005D1FCB"/>
    <w:rsid w:val="005D227D"/>
    <w:rsid w:val="005D2521"/>
    <w:rsid w:val="005D26A1"/>
    <w:rsid w:val="005D501A"/>
    <w:rsid w:val="005D77C1"/>
    <w:rsid w:val="005E04C2"/>
    <w:rsid w:val="005E0A5D"/>
    <w:rsid w:val="005E0F24"/>
    <w:rsid w:val="005E155C"/>
    <w:rsid w:val="005E30F5"/>
    <w:rsid w:val="005E5564"/>
    <w:rsid w:val="005E58BC"/>
    <w:rsid w:val="005E5BD8"/>
    <w:rsid w:val="005E5BFA"/>
    <w:rsid w:val="005E60E9"/>
    <w:rsid w:val="005E6545"/>
    <w:rsid w:val="005F0BB0"/>
    <w:rsid w:val="005F24B0"/>
    <w:rsid w:val="005F3355"/>
    <w:rsid w:val="005F3996"/>
    <w:rsid w:val="005F3BAE"/>
    <w:rsid w:val="005F4D19"/>
    <w:rsid w:val="005F4F29"/>
    <w:rsid w:val="005F5418"/>
    <w:rsid w:val="005F579F"/>
    <w:rsid w:val="005F5A4F"/>
    <w:rsid w:val="005F5E85"/>
    <w:rsid w:val="005F7414"/>
    <w:rsid w:val="005F7496"/>
    <w:rsid w:val="006007C2"/>
    <w:rsid w:val="00600F42"/>
    <w:rsid w:val="0060171B"/>
    <w:rsid w:val="00601C19"/>
    <w:rsid w:val="00602086"/>
    <w:rsid w:val="00603FE6"/>
    <w:rsid w:val="00604A40"/>
    <w:rsid w:val="00605885"/>
    <w:rsid w:val="00605C40"/>
    <w:rsid w:val="006106A6"/>
    <w:rsid w:val="0061140B"/>
    <w:rsid w:val="0061321F"/>
    <w:rsid w:val="00613C2E"/>
    <w:rsid w:val="00615E01"/>
    <w:rsid w:val="0062436D"/>
    <w:rsid w:val="006266D4"/>
    <w:rsid w:val="0062704F"/>
    <w:rsid w:val="00627BCA"/>
    <w:rsid w:val="00627DBB"/>
    <w:rsid w:val="00630AC4"/>
    <w:rsid w:val="00630C36"/>
    <w:rsid w:val="00630CA6"/>
    <w:rsid w:val="00631C15"/>
    <w:rsid w:val="00632C1A"/>
    <w:rsid w:val="006330EF"/>
    <w:rsid w:val="00634183"/>
    <w:rsid w:val="00634C13"/>
    <w:rsid w:val="00634DD4"/>
    <w:rsid w:val="00636980"/>
    <w:rsid w:val="0063777A"/>
    <w:rsid w:val="0064012C"/>
    <w:rsid w:val="006410AF"/>
    <w:rsid w:val="00641C8F"/>
    <w:rsid w:val="0064204F"/>
    <w:rsid w:val="0064230D"/>
    <w:rsid w:val="00642542"/>
    <w:rsid w:val="006426EB"/>
    <w:rsid w:val="00645F9A"/>
    <w:rsid w:val="00645FA7"/>
    <w:rsid w:val="00647843"/>
    <w:rsid w:val="00647C79"/>
    <w:rsid w:val="00650EEB"/>
    <w:rsid w:val="006511B5"/>
    <w:rsid w:val="006524B1"/>
    <w:rsid w:val="006529B4"/>
    <w:rsid w:val="00653755"/>
    <w:rsid w:val="00653FA2"/>
    <w:rsid w:val="0065412E"/>
    <w:rsid w:val="0065636C"/>
    <w:rsid w:val="006563CA"/>
    <w:rsid w:val="006573BD"/>
    <w:rsid w:val="006576FD"/>
    <w:rsid w:val="006578E3"/>
    <w:rsid w:val="006603E8"/>
    <w:rsid w:val="00660CC3"/>
    <w:rsid w:val="006614EB"/>
    <w:rsid w:val="006617CF"/>
    <w:rsid w:val="00663378"/>
    <w:rsid w:val="006633A7"/>
    <w:rsid w:val="006655E9"/>
    <w:rsid w:val="006664DD"/>
    <w:rsid w:val="006704EB"/>
    <w:rsid w:val="00672D07"/>
    <w:rsid w:val="00673C31"/>
    <w:rsid w:val="006740A5"/>
    <w:rsid w:val="00674287"/>
    <w:rsid w:val="00677A96"/>
    <w:rsid w:val="0068122D"/>
    <w:rsid w:val="006834B4"/>
    <w:rsid w:val="006857FD"/>
    <w:rsid w:val="006871B7"/>
    <w:rsid w:val="00687C56"/>
    <w:rsid w:val="00687F4E"/>
    <w:rsid w:val="0069146C"/>
    <w:rsid w:val="00695793"/>
    <w:rsid w:val="006A14C5"/>
    <w:rsid w:val="006A27C1"/>
    <w:rsid w:val="006A2F10"/>
    <w:rsid w:val="006A3BDD"/>
    <w:rsid w:val="006A4B5E"/>
    <w:rsid w:val="006A5630"/>
    <w:rsid w:val="006A5C8D"/>
    <w:rsid w:val="006A5CAD"/>
    <w:rsid w:val="006A5EDE"/>
    <w:rsid w:val="006A6392"/>
    <w:rsid w:val="006A6898"/>
    <w:rsid w:val="006A795E"/>
    <w:rsid w:val="006B2122"/>
    <w:rsid w:val="006B22DF"/>
    <w:rsid w:val="006B23CD"/>
    <w:rsid w:val="006B2413"/>
    <w:rsid w:val="006B345F"/>
    <w:rsid w:val="006B35A9"/>
    <w:rsid w:val="006B5977"/>
    <w:rsid w:val="006B6024"/>
    <w:rsid w:val="006B6813"/>
    <w:rsid w:val="006B6CB3"/>
    <w:rsid w:val="006B6D9A"/>
    <w:rsid w:val="006C1569"/>
    <w:rsid w:val="006C2138"/>
    <w:rsid w:val="006C235D"/>
    <w:rsid w:val="006C2D0F"/>
    <w:rsid w:val="006C2EA2"/>
    <w:rsid w:val="006C3095"/>
    <w:rsid w:val="006C3EB7"/>
    <w:rsid w:val="006C53A8"/>
    <w:rsid w:val="006C542F"/>
    <w:rsid w:val="006C632E"/>
    <w:rsid w:val="006C6D7A"/>
    <w:rsid w:val="006D069B"/>
    <w:rsid w:val="006D44F7"/>
    <w:rsid w:val="006D5D7A"/>
    <w:rsid w:val="006D6070"/>
    <w:rsid w:val="006D6A77"/>
    <w:rsid w:val="006D7861"/>
    <w:rsid w:val="006E1BA2"/>
    <w:rsid w:val="006E31EA"/>
    <w:rsid w:val="006E42A8"/>
    <w:rsid w:val="006E452C"/>
    <w:rsid w:val="006E4863"/>
    <w:rsid w:val="006E65C3"/>
    <w:rsid w:val="006F0FE2"/>
    <w:rsid w:val="006F1D15"/>
    <w:rsid w:val="006F2DFF"/>
    <w:rsid w:val="006F3500"/>
    <w:rsid w:val="006F3B21"/>
    <w:rsid w:val="006F3C95"/>
    <w:rsid w:val="006F3EE9"/>
    <w:rsid w:val="006F5020"/>
    <w:rsid w:val="006F5CEF"/>
    <w:rsid w:val="006F5DA8"/>
    <w:rsid w:val="006F641F"/>
    <w:rsid w:val="006F6D7C"/>
    <w:rsid w:val="006F7D0C"/>
    <w:rsid w:val="0070055A"/>
    <w:rsid w:val="0070068B"/>
    <w:rsid w:val="00701491"/>
    <w:rsid w:val="00701A5C"/>
    <w:rsid w:val="00701A79"/>
    <w:rsid w:val="00702200"/>
    <w:rsid w:val="00702D60"/>
    <w:rsid w:val="00703163"/>
    <w:rsid w:val="00704FD8"/>
    <w:rsid w:val="00707F11"/>
    <w:rsid w:val="0071069A"/>
    <w:rsid w:val="00710B65"/>
    <w:rsid w:val="00711C07"/>
    <w:rsid w:val="0071378D"/>
    <w:rsid w:val="007138D1"/>
    <w:rsid w:val="0071390C"/>
    <w:rsid w:val="00713918"/>
    <w:rsid w:val="00713FA3"/>
    <w:rsid w:val="00717E42"/>
    <w:rsid w:val="0072148C"/>
    <w:rsid w:val="0072166E"/>
    <w:rsid w:val="00722220"/>
    <w:rsid w:val="00723037"/>
    <w:rsid w:val="0072359C"/>
    <w:rsid w:val="007311A5"/>
    <w:rsid w:val="00732DE3"/>
    <w:rsid w:val="00733236"/>
    <w:rsid w:val="00733901"/>
    <w:rsid w:val="00734827"/>
    <w:rsid w:val="00735771"/>
    <w:rsid w:val="0073595A"/>
    <w:rsid w:val="0074174C"/>
    <w:rsid w:val="007423F6"/>
    <w:rsid w:val="00742662"/>
    <w:rsid w:val="007451DE"/>
    <w:rsid w:val="00751126"/>
    <w:rsid w:val="00751816"/>
    <w:rsid w:val="0075274D"/>
    <w:rsid w:val="007542ED"/>
    <w:rsid w:val="007544F6"/>
    <w:rsid w:val="0075498E"/>
    <w:rsid w:val="00754E45"/>
    <w:rsid w:val="00757955"/>
    <w:rsid w:val="00757DE5"/>
    <w:rsid w:val="00757F66"/>
    <w:rsid w:val="0076372D"/>
    <w:rsid w:val="00763A51"/>
    <w:rsid w:val="00764B92"/>
    <w:rsid w:val="007654D1"/>
    <w:rsid w:val="00767422"/>
    <w:rsid w:val="00767897"/>
    <w:rsid w:val="00770371"/>
    <w:rsid w:val="007727BA"/>
    <w:rsid w:val="00774089"/>
    <w:rsid w:val="007821F9"/>
    <w:rsid w:val="0078473E"/>
    <w:rsid w:val="00784996"/>
    <w:rsid w:val="00787B6F"/>
    <w:rsid w:val="007904C0"/>
    <w:rsid w:val="00790F00"/>
    <w:rsid w:val="00791128"/>
    <w:rsid w:val="007911A2"/>
    <w:rsid w:val="00792275"/>
    <w:rsid w:val="007949D4"/>
    <w:rsid w:val="00794B8C"/>
    <w:rsid w:val="0079572C"/>
    <w:rsid w:val="00795881"/>
    <w:rsid w:val="00797B53"/>
    <w:rsid w:val="007A0883"/>
    <w:rsid w:val="007A0985"/>
    <w:rsid w:val="007A1296"/>
    <w:rsid w:val="007A2EA7"/>
    <w:rsid w:val="007A3AC7"/>
    <w:rsid w:val="007A4F84"/>
    <w:rsid w:val="007B001D"/>
    <w:rsid w:val="007B0864"/>
    <w:rsid w:val="007B1E63"/>
    <w:rsid w:val="007B26A1"/>
    <w:rsid w:val="007B291D"/>
    <w:rsid w:val="007B2ADC"/>
    <w:rsid w:val="007B2D6C"/>
    <w:rsid w:val="007B30B0"/>
    <w:rsid w:val="007B34AE"/>
    <w:rsid w:val="007B48DB"/>
    <w:rsid w:val="007B4FFF"/>
    <w:rsid w:val="007B65D9"/>
    <w:rsid w:val="007B6E69"/>
    <w:rsid w:val="007C1077"/>
    <w:rsid w:val="007C2B07"/>
    <w:rsid w:val="007C356F"/>
    <w:rsid w:val="007C4E6D"/>
    <w:rsid w:val="007C5C35"/>
    <w:rsid w:val="007C78CD"/>
    <w:rsid w:val="007C7CBF"/>
    <w:rsid w:val="007D06B0"/>
    <w:rsid w:val="007D2A22"/>
    <w:rsid w:val="007D3820"/>
    <w:rsid w:val="007D4BE3"/>
    <w:rsid w:val="007D524F"/>
    <w:rsid w:val="007D5613"/>
    <w:rsid w:val="007D6CC8"/>
    <w:rsid w:val="007D7337"/>
    <w:rsid w:val="007D7552"/>
    <w:rsid w:val="007E1F09"/>
    <w:rsid w:val="007E2881"/>
    <w:rsid w:val="007E5087"/>
    <w:rsid w:val="007E6452"/>
    <w:rsid w:val="007E6A53"/>
    <w:rsid w:val="007E6B34"/>
    <w:rsid w:val="007E741F"/>
    <w:rsid w:val="007E7540"/>
    <w:rsid w:val="007F0CDB"/>
    <w:rsid w:val="007F10C0"/>
    <w:rsid w:val="007F1159"/>
    <w:rsid w:val="007F13EF"/>
    <w:rsid w:val="007F1F30"/>
    <w:rsid w:val="007F2363"/>
    <w:rsid w:val="007F2479"/>
    <w:rsid w:val="007F5546"/>
    <w:rsid w:val="007F58BF"/>
    <w:rsid w:val="007F7B8C"/>
    <w:rsid w:val="008018B0"/>
    <w:rsid w:val="008041C0"/>
    <w:rsid w:val="00805003"/>
    <w:rsid w:val="00805C62"/>
    <w:rsid w:val="00806B8D"/>
    <w:rsid w:val="00806E4D"/>
    <w:rsid w:val="0081006F"/>
    <w:rsid w:val="008102CB"/>
    <w:rsid w:val="00810BC7"/>
    <w:rsid w:val="00812009"/>
    <w:rsid w:val="00815E46"/>
    <w:rsid w:val="00815FF5"/>
    <w:rsid w:val="008161CC"/>
    <w:rsid w:val="00816ABD"/>
    <w:rsid w:val="0081706B"/>
    <w:rsid w:val="00817DBC"/>
    <w:rsid w:val="00817F43"/>
    <w:rsid w:val="00820CEE"/>
    <w:rsid w:val="00821048"/>
    <w:rsid w:val="008218BE"/>
    <w:rsid w:val="0082193F"/>
    <w:rsid w:val="008227F9"/>
    <w:rsid w:val="00825181"/>
    <w:rsid w:val="008260C3"/>
    <w:rsid w:val="0082697A"/>
    <w:rsid w:val="0082705D"/>
    <w:rsid w:val="00827347"/>
    <w:rsid w:val="0082758D"/>
    <w:rsid w:val="008306AE"/>
    <w:rsid w:val="00832246"/>
    <w:rsid w:val="008330AD"/>
    <w:rsid w:val="008334BA"/>
    <w:rsid w:val="00834F18"/>
    <w:rsid w:val="00834FF8"/>
    <w:rsid w:val="008351DD"/>
    <w:rsid w:val="00835B1C"/>
    <w:rsid w:val="00835F95"/>
    <w:rsid w:val="008368BE"/>
    <w:rsid w:val="00836E55"/>
    <w:rsid w:val="00837A9A"/>
    <w:rsid w:val="0084113A"/>
    <w:rsid w:val="008411F0"/>
    <w:rsid w:val="00842390"/>
    <w:rsid w:val="00842536"/>
    <w:rsid w:val="00842BCA"/>
    <w:rsid w:val="00843654"/>
    <w:rsid w:val="00844737"/>
    <w:rsid w:val="00844AAD"/>
    <w:rsid w:val="00845F71"/>
    <w:rsid w:val="0084627B"/>
    <w:rsid w:val="00847807"/>
    <w:rsid w:val="008515B0"/>
    <w:rsid w:val="00853A0E"/>
    <w:rsid w:val="00853ACB"/>
    <w:rsid w:val="008553C6"/>
    <w:rsid w:val="008560A0"/>
    <w:rsid w:val="00856152"/>
    <w:rsid w:val="008606DC"/>
    <w:rsid w:val="00861031"/>
    <w:rsid w:val="00861105"/>
    <w:rsid w:val="0086161F"/>
    <w:rsid w:val="00862EDD"/>
    <w:rsid w:val="00863144"/>
    <w:rsid w:val="00863771"/>
    <w:rsid w:val="00864D24"/>
    <w:rsid w:val="00865AB5"/>
    <w:rsid w:val="008675C5"/>
    <w:rsid w:val="00867DE2"/>
    <w:rsid w:val="00870EFC"/>
    <w:rsid w:val="008711B1"/>
    <w:rsid w:val="00873113"/>
    <w:rsid w:val="00873D81"/>
    <w:rsid w:val="00873FB5"/>
    <w:rsid w:val="0087411A"/>
    <w:rsid w:val="00874E19"/>
    <w:rsid w:val="0087598A"/>
    <w:rsid w:val="00877737"/>
    <w:rsid w:val="00877864"/>
    <w:rsid w:val="008779C6"/>
    <w:rsid w:val="0088224D"/>
    <w:rsid w:val="008838B9"/>
    <w:rsid w:val="0088393D"/>
    <w:rsid w:val="00883E11"/>
    <w:rsid w:val="008852A6"/>
    <w:rsid w:val="00886784"/>
    <w:rsid w:val="008869DB"/>
    <w:rsid w:val="00886CCB"/>
    <w:rsid w:val="00887C11"/>
    <w:rsid w:val="00893A14"/>
    <w:rsid w:val="0089469C"/>
    <w:rsid w:val="008957F2"/>
    <w:rsid w:val="008959DC"/>
    <w:rsid w:val="00896789"/>
    <w:rsid w:val="0089682A"/>
    <w:rsid w:val="00897EBD"/>
    <w:rsid w:val="008A0518"/>
    <w:rsid w:val="008A17E7"/>
    <w:rsid w:val="008A5F1A"/>
    <w:rsid w:val="008A6025"/>
    <w:rsid w:val="008A66D8"/>
    <w:rsid w:val="008A6719"/>
    <w:rsid w:val="008A6B4F"/>
    <w:rsid w:val="008B2117"/>
    <w:rsid w:val="008B36FB"/>
    <w:rsid w:val="008B3772"/>
    <w:rsid w:val="008B4678"/>
    <w:rsid w:val="008B4D9F"/>
    <w:rsid w:val="008C0197"/>
    <w:rsid w:val="008C03D0"/>
    <w:rsid w:val="008C0533"/>
    <w:rsid w:val="008C3CCD"/>
    <w:rsid w:val="008C46C5"/>
    <w:rsid w:val="008C46DE"/>
    <w:rsid w:val="008C5D73"/>
    <w:rsid w:val="008C6FF0"/>
    <w:rsid w:val="008C7985"/>
    <w:rsid w:val="008D02E0"/>
    <w:rsid w:val="008D0D9E"/>
    <w:rsid w:val="008D0DF4"/>
    <w:rsid w:val="008D217A"/>
    <w:rsid w:val="008D2A95"/>
    <w:rsid w:val="008D5A81"/>
    <w:rsid w:val="008E04C1"/>
    <w:rsid w:val="008E1FA3"/>
    <w:rsid w:val="008E255A"/>
    <w:rsid w:val="008E413A"/>
    <w:rsid w:val="008E46A7"/>
    <w:rsid w:val="008E5762"/>
    <w:rsid w:val="008E5BBA"/>
    <w:rsid w:val="008E661E"/>
    <w:rsid w:val="008E6F84"/>
    <w:rsid w:val="008F094C"/>
    <w:rsid w:val="008F1037"/>
    <w:rsid w:val="008F1FFA"/>
    <w:rsid w:val="008F31C4"/>
    <w:rsid w:val="008F7654"/>
    <w:rsid w:val="00900515"/>
    <w:rsid w:val="00900944"/>
    <w:rsid w:val="00900F01"/>
    <w:rsid w:val="00901E6F"/>
    <w:rsid w:val="00904577"/>
    <w:rsid w:val="009049B7"/>
    <w:rsid w:val="00905C1B"/>
    <w:rsid w:val="00905D0A"/>
    <w:rsid w:val="009063A1"/>
    <w:rsid w:val="009063A2"/>
    <w:rsid w:val="00911FD5"/>
    <w:rsid w:val="00913AEC"/>
    <w:rsid w:val="00913D73"/>
    <w:rsid w:val="0091538C"/>
    <w:rsid w:val="0091592E"/>
    <w:rsid w:val="00922201"/>
    <w:rsid w:val="0092353F"/>
    <w:rsid w:val="0092601A"/>
    <w:rsid w:val="009261CB"/>
    <w:rsid w:val="009264A6"/>
    <w:rsid w:val="00926752"/>
    <w:rsid w:val="00927170"/>
    <w:rsid w:val="009310C5"/>
    <w:rsid w:val="0093128B"/>
    <w:rsid w:val="009313D5"/>
    <w:rsid w:val="0093232C"/>
    <w:rsid w:val="009343AC"/>
    <w:rsid w:val="00934AA1"/>
    <w:rsid w:val="00934C19"/>
    <w:rsid w:val="00935976"/>
    <w:rsid w:val="00935A81"/>
    <w:rsid w:val="00941628"/>
    <w:rsid w:val="00941D13"/>
    <w:rsid w:val="009421FA"/>
    <w:rsid w:val="009466BC"/>
    <w:rsid w:val="00947953"/>
    <w:rsid w:val="00947F9D"/>
    <w:rsid w:val="009500F5"/>
    <w:rsid w:val="00951A85"/>
    <w:rsid w:val="00951B89"/>
    <w:rsid w:val="00954B5F"/>
    <w:rsid w:val="00954D31"/>
    <w:rsid w:val="0095566F"/>
    <w:rsid w:val="009565B2"/>
    <w:rsid w:val="00956F9B"/>
    <w:rsid w:val="00957567"/>
    <w:rsid w:val="00957A81"/>
    <w:rsid w:val="0096057F"/>
    <w:rsid w:val="00960A29"/>
    <w:rsid w:val="00961DBE"/>
    <w:rsid w:val="0096213C"/>
    <w:rsid w:val="0096349D"/>
    <w:rsid w:val="00965542"/>
    <w:rsid w:val="00966A4E"/>
    <w:rsid w:val="00966B77"/>
    <w:rsid w:val="009679C1"/>
    <w:rsid w:val="00967B3B"/>
    <w:rsid w:val="009712EB"/>
    <w:rsid w:val="00974484"/>
    <w:rsid w:val="00974641"/>
    <w:rsid w:val="00976772"/>
    <w:rsid w:val="009768D6"/>
    <w:rsid w:val="009769A9"/>
    <w:rsid w:val="00976C33"/>
    <w:rsid w:val="00977557"/>
    <w:rsid w:val="0098045B"/>
    <w:rsid w:val="00981E58"/>
    <w:rsid w:val="009821F7"/>
    <w:rsid w:val="00982A3C"/>
    <w:rsid w:val="00983EF6"/>
    <w:rsid w:val="00984AC9"/>
    <w:rsid w:val="009854EE"/>
    <w:rsid w:val="00985AEF"/>
    <w:rsid w:val="00991F92"/>
    <w:rsid w:val="0099220B"/>
    <w:rsid w:val="009926B8"/>
    <w:rsid w:val="00992F5D"/>
    <w:rsid w:val="0099387B"/>
    <w:rsid w:val="00995426"/>
    <w:rsid w:val="009955F2"/>
    <w:rsid w:val="00995AB4"/>
    <w:rsid w:val="00995D83"/>
    <w:rsid w:val="00995FE2"/>
    <w:rsid w:val="009A0126"/>
    <w:rsid w:val="009A23BA"/>
    <w:rsid w:val="009A274E"/>
    <w:rsid w:val="009A2EEA"/>
    <w:rsid w:val="009A359E"/>
    <w:rsid w:val="009A4F7E"/>
    <w:rsid w:val="009A5F04"/>
    <w:rsid w:val="009A67F3"/>
    <w:rsid w:val="009A6B75"/>
    <w:rsid w:val="009A6DC7"/>
    <w:rsid w:val="009B00BC"/>
    <w:rsid w:val="009B01B6"/>
    <w:rsid w:val="009B02A2"/>
    <w:rsid w:val="009B1450"/>
    <w:rsid w:val="009B1D07"/>
    <w:rsid w:val="009B27C5"/>
    <w:rsid w:val="009B4B20"/>
    <w:rsid w:val="009B572E"/>
    <w:rsid w:val="009B6581"/>
    <w:rsid w:val="009B769C"/>
    <w:rsid w:val="009C0262"/>
    <w:rsid w:val="009C02CB"/>
    <w:rsid w:val="009C126C"/>
    <w:rsid w:val="009C1707"/>
    <w:rsid w:val="009C279C"/>
    <w:rsid w:val="009C303D"/>
    <w:rsid w:val="009C369B"/>
    <w:rsid w:val="009C5358"/>
    <w:rsid w:val="009C72B7"/>
    <w:rsid w:val="009C78BE"/>
    <w:rsid w:val="009C7934"/>
    <w:rsid w:val="009D0081"/>
    <w:rsid w:val="009D2366"/>
    <w:rsid w:val="009D25F1"/>
    <w:rsid w:val="009D2D0D"/>
    <w:rsid w:val="009D73AE"/>
    <w:rsid w:val="009E073F"/>
    <w:rsid w:val="009E0898"/>
    <w:rsid w:val="009E1304"/>
    <w:rsid w:val="009E1AD8"/>
    <w:rsid w:val="009E2B9E"/>
    <w:rsid w:val="009E34A9"/>
    <w:rsid w:val="009E4976"/>
    <w:rsid w:val="009E4C6F"/>
    <w:rsid w:val="009E5FFA"/>
    <w:rsid w:val="009E6170"/>
    <w:rsid w:val="009E6D43"/>
    <w:rsid w:val="009F1798"/>
    <w:rsid w:val="009F1D8A"/>
    <w:rsid w:val="009F4C55"/>
    <w:rsid w:val="009F4E5C"/>
    <w:rsid w:val="009F6AE9"/>
    <w:rsid w:val="009F6FD5"/>
    <w:rsid w:val="009F7E84"/>
    <w:rsid w:val="00A01622"/>
    <w:rsid w:val="00A024A2"/>
    <w:rsid w:val="00A03EE0"/>
    <w:rsid w:val="00A04229"/>
    <w:rsid w:val="00A045EB"/>
    <w:rsid w:val="00A052FE"/>
    <w:rsid w:val="00A064EB"/>
    <w:rsid w:val="00A127DF"/>
    <w:rsid w:val="00A140E3"/>
    <w:rsid w:val="00A169DF"/>
    <w:rsid w:val="00A175B1"/>
    <w:rsid w:val="00A20D32"/>
    <w:rsid w:val="00A21100"/>
    <w:rsid w:val="00A216AA"/>
    <w:rsid w:val="00A21735"/>
    <w:rsid w:val="00A22073"/>
    <w:rsid w:val="00A2225B"/>
    <w:rsid w:val="00A240CF"/>
    <w:rsid w:val="00A24E06"/>
    <w:rsid w:val="00A25802"/>
    <w:rsid w:val="00A25D61"/>
    <w:rsid w:val="00A30553"/>
    <w:rsid w:val="00A33260"/>
    <w:rsid w:val="00A33717"/>
    <w:rsid w:val="00A35FB8"/>
    <w:rsid w:val="00A37A1B"/>
    <w:rsid w:val="00A41444"/>
    <w:rsid w:val="00A4158F"/>
    <w:rsid w:val="00A473F7"/>
    <w:rsid w:val="00A476A9"/>
    <w:rsid w:val="00A477DC"/>
    <w:rsid w:val="00A507B9"/>
    <w:rsid w:val="00A50913"/>
    <w:rsid w:val="00A50EBD"/>
    <w:rsid w:val="00A51F0E"/>
    <w:rsid w:val="00A5297A"/>
    <w:rsid w:val="00A53544"/>
    <w:rsid w:val="00A54155"/>
    <w:rsid w:val="00A548DF"/>
    <w:rsid w:val="00A55768"/>
    <w:rsid w:val="00A55BB9"/>
    <w:rsid w:val="00A55C42"/>
    <w:rsid w:val="00A564E9"/>
    <w:rsid w:val="00A56CD7"/>
    <w:rsid w:val="00A570C4"/>
    <w:rsid w:val="00A57B38"/>
    <w:rsid w:val="00A57F88"/>
    <w:rsid w:val="00A605C0"/>
    <w:rsid w:val="00A67500"/>
    <w:rsid w:val="00A7022A"/>
    <w:rsid w:val="00A703AC"/>
    <w:rsid w:val="00A70491"/>
    <w:rsid w:val="00A719B1"/>
    <w:rsid w:val="00A73C59"/>
    <w:rsid w:val="00A74228"/>
    <w:rsid w:val="00A7463B"/>
    <w:rsid w:val="00A74AC6"/>
    <w:rsid w:val="00A74D14"/>
    <w:rsid w:val="00A76796"/>
    <w:rsid w:val="00A8092A"/>
    <w:rsid w:val="00A80DAB"/>
    <w:rsid w:val="00A80E0C"/>
    <w:rsid w:val="00A8293E"/>
    <w:rsid w:val="00A83119"/>
    <w:rsid w:val="00A8312A"/>
    <w:rsid w:val="00A83587"/>
    <w:rsid w:val="00A83676"/>
    <w:rsid w:val="00A84798"/>
    <w:rsid w:val="00A852EC"/>
    <w:rsid w:val="00A85374"/>
    <w:rsid w:val="00A85CAE"/>
    <w:rsid w:val="00A86717"/>
    <w:rsid w:val="00A86D93"/>
    <w:rsid w:val="00A87C64"/>
    <w:rsid w:val="00A91C7B"/>
    <w:rsid w:val="00A91F97"/>
    <w:rsid w:val="00A924B6"/>
    <w:rsid w:val="00A93301"/>
    <w:rsid w:val="00A93A25"/>
    <w:rsid w:val="00A948D2"/>
    <w:rsid w:val="00A9503A"/>
    <w:rsid w:val="00A96240"/>
    <w:rsid w:val="00A973CD"/>
    <w:rsid w:val="00AA27AF"/>
    <w:rsid w:val="00AA2923"/>
    <w:rsid w:val="00AA2D0F"/>
    <w:rsid w:val="00AA3509"/>
    <w:rsid w:val="00AA4136"/>
    <w:rsid w:val="00AA453B"/>
    <w:rsid w:val="00AB0605"/>
    <w:rsid w:val="00AB0A3E"/>
    <w:rsid w:val="00AB0CA1"/>
    <w:rsid w:val="00AB1082"/>
    <w:rsid w:val="00AB1498"/>
    <w:rsid w:val="00AB1A8F"/>
    <w:rsid w:val="00AB3A43"/>
    <w:rsid w:val="00AB3EFF"/>
    <w:rsid w:val="00AB4B7E"/>
    <w:rsid w:val="00AB7177"/>
    <w:rsid w:val="00AC047E"/>
    <w:rsid w:val="00AC20AA"/>
    <w:rsid w:val="00AC3719"/>
    <w:rsid w:val="00AC3913"/>
    <w:rsid w:val="00AC4388"/>
    <w:rsid w:val="00AC45DF"/>
    <w:rsid w:val="00AC6A24"/>
    <w:rsid w:val="00AC6E91"/>
    <w:rsid w:val="00AD02F3"/>
    <w:rsid w:val="00AD117F"/>
    <w:rsid w:val="00AD36F6"/>
    <w:rsid w:val="00AD49E1"/>
    <w:rsid w:val="00AD6B8E"/>
    <w:rsid w:val="00AD6FDD"/>
    <w:rsid w:val="00AD7516"/>
    <w:rsid w:val="00AE00EB"/>
    <w:rsid w:val="00AE1368"/>
    <w:rsid w:val="00AE3076"/>
    <w:rsid w:val="00AE4C41"/>
    <w:rsid w:val="00AE5E5E"/>
    <w:rsid w:val="00AE6519"/>
    <w:rsid w:val="00AE67C4"/>
    <w:rsid w:val="00AF09F2"/>
    <w:rsid w:val="00AF0DF4"/>
    <w:rsid w:val="00AF138E"/>
    <w:rsid w:val="00AF1E10"/>
    <w:rsid w:val="00AF4360"/>
    <w:rsid w:val="00AF4961"/>
    <w:rsid w:val="00AF6CB2"/>
    <w:rsid w:val="00AF701E"/>
    <w:rsid w:val="00B0116A"/>
    <w:rsid w:val="00B0544E"/>
    <w:rsid w:val="00B060DF"/>
    <w:rsid w:val="00B06B0F"/>
    <w:rsid w:val="00B07792"/>
    <w:rsid w:val="00B1226B"/>
    <w:rsid w:val="00B124EF"/>
    <w:rsid w:val="00B12FE4"/>
    <w:rsid w:val="00B13670"/>
    <w:rsid w:val="00B13F3C"/>
    <w:rsid w:val="00B177D6"/>
    <w:rsid w:val="00B17FE1"/>
    <w:rsid w:val="00B23357"/>
    <w:rsid w:val="00B23564"/>
    <w:rsid w:val="00B23BCD"/>
    <w:rsid w:val="00B25319"/>
    <w:rsid w:val="00B27780"/>
    <w:rsid w:val="00B305EE"/>
    <w:rsid w:val="00B30F24"/>
    <w:rsid w:val="00B30FCF"/>
    <w:rsid w:val="00B3182B"/>
    <w:rsid w:val="00B31E8F"/>
    <w:rsid w:val="00B330DD"/>
    <w:rsid w:val="00B33C13"/>
    <w:rsid w:val="00B33E5E"/>
    <w:rsid w:val="00B35B72"/>
    <w:rsid w:val="00B3674B"/>
    <w:rsid w:val="00B36CFD"/>
    <w:rsid w:val="00B37D19"/>
    <w:rsid w:val="00B4297D"/>
    <w:rsid w:val="00B4743F"/>
    <w:rsid w:val="00B50E28"/>
    <w:rsid w:val="00B50F73"/>
    <w:rsid w:val="00B51820"/>
    <w:rsid w:val="00B51BAD"/>
    <w:rsid w:val="00B520CF"/>
    <w:rsid w:val="00B528E5"/>
    <w:rsid w:val="00B544F4"/>
    <w:rsid w:val="00B55FFD"/>
    <w:rsid w:val="00B563E3"/>
    <w:rsid w:val="00B576CE"/>
    <w:rsid w:val="00B62A4D"/>
    <w:rsid w:val="00B62F03"/>
    <w:rsid w:val="00B634E1"/>
    <w:rsid w:val="00B643B6"/>
    <w:rsid w:val="00B64940"/>
    <w:rsid w:val="00B654F6"/>
    <w:rsid w:val="00B65A87"/>
    <w:rsid w:val="00B65E24"/>
    <w:rsid w:val="00B662C3"/>
    <w:rsid w:val="00B664C8"/>
    <w:rsid w:val="00B67F22"/>
    <w:rsid w:val="00B7459C"/>
    <w:rsid w:val="00B774C0"/>
    <w:rsid w:val="00B77BC0"/>
    <w:rsid w:val="00B808BF"/>
    <w:rsid w:val="00B80B3C"/>
    <w:rsid w:val="00B82438"/>
    <w:rsid w:val="00B830C5"/>
    <w:rsid w:val="00B8591A"/>
    <w:rsid w:val="00B85954"/>
    <w:rsid w:val="00B85AF4"/>
    <w:rsid w:val="00B874BC"/>
    <w:rsid w:val="00B87ABA"/>
    <w:rsid w:val="00B90200"/>
    <w:rsid w:val="00B9205C"/>
    <w:rsid w:val="00B92EED"/>
    <w:rsid w:val="00B936AC"/>
    <w:rsid w:val="00B936D0"/>
    <w:rsid w:val="00B9415C"/>
    <w:rsid w:val="00B941A6"/>
    <w:rsid w:val="00B944F3"/>
    <w:rsid w:val="00B95CCE"/>
    <w:rsid w:val="00B97078"/>
    <w:rsid w:val="00BA0E32"/>
    <w:rsid w:val="00BA10DD"/>
    <w:rsid w:val="00BA1A4E"/>
    <w:rsid w:val="00BA4860"/>
    <w:rsid w:val="00BA64D4"/>
    <w:rsid w:val="00BA7717"/>
    <w:rsid w:val="00BB0909"/>
    <w:rsid w:val="00BB10BC"/>
    <w:rsid w:val="00BB1D13"/>
    <w:rsid w:val="00BB1E02"/>
    <w:rsid w:val="00BB3C6D"/>
    <w:rsid w:val="00BB5272"/>
    <w:rsid w:val="00BB55ED"/>
    <w:rsid w:val="00BB5B66"/>
    <w:rsid w:val="00BB65A9"/>
    <w:rsid w:val="00BB6738"/>
    <w:rsid w:val="00BC0921"/>
    <w:rsid w:val="00BC4E57"/>
    <w:rsid w:val="00BC5B87"/>
    <w:rsid w:val="00BC6439"/>
    <w:rsid w:val="00BC6B8B"/>
    <w:rsid w:val="00BC797A"/>
    <w:rsid w:val="00BC7F02"/>
    <w:rsid w:val="00BD18A9"/>
    <w:rsid w:val="00BD205A"/>
    <w:rsid w:val="00BD4B87"/>
    <w:rsid w:val="00BD56B3"/>
    <w:rsid w:val="00BD5860"/>
    <w:rsid w:val="00BD63A0"/>
    <w:rsid w:val="00BD7A67"/>
    <w:rsid w:val="00BE0668"/>
    <w:rsid w:val="00BE15B6"/>
    <w:rsid w:val="00BE1D79"/>
    <w:rsid w:val="00BE3E50"/>
    <w:rsid w:val="00BE49EF"/>
    <w:rsid w:val="00BE5B05"/>
    <w:rsid w:val="00BE5FB1"/>
    <w:rsid w:val="00BE67A4"/>
    <w:rsid w:val="00BE75C2"/>
    <w:rsid w:val="00BF0DD1"/>
    <w:rsid w:val="00BF1417"/>
    <w:rsid w:val="00BF1889"/>
    <w:rsid w:val="00BF22C9"/>
    <w:rsid w:val="00BF2CC2"/>
    <w:rsid w:val="00BF571C"/>
    <w:rsid w:val="00BF7A01"/>
    <w:rsid w:val="00C000A2"/>
    <w:rsid w:val="00C00F03"/>
    <w:rsid w:val="00C020BB"/>
    <w:rsid w:val="00C02F0C"/>
    <w:rsid w:val="00C034B7"/>
    <w:rsid w:val="00C03E38"/>
    <w:rsid w:val="00C0448A"/>
    <w:rsid w:val="00C05254"/>
    <w:rsid w:val="00C07040"/>
    <w:rsid w:val="00C0773D"/>
    <w:rsid w:val="00C108DC"/>
    <w:rsid w:val="00C10BF3"/>
    <w:rsid w:val="00C11550"/>
    <w:rsid w:val="00C123D8"/>
    <w:rsid w:val="00C13480"/>
    <w:rsid w:val="00C1372A"/>
    <w:rsid w:val="00C139E1"/>
    <w:rsid w:val="00C13EF5"/>
    <w:rsid w:val="00C145B6"/>
    <w:rsid w:val="00C203B5"/>
    <w:rsid w:val="00C214C6"/>
    <w:rsid w:val="00C232CD"/>
    <w:rsid w:val="00C236CC"/>
    <w:rsid w:val="00C24E35"/>
    <w:rsid w:val="00C26055"/>
    <w:rsid w:val="00C26F43"/>
    <w:rsid w:val="00C305E7"/>
    <w:rsid w:val="00C3086F"/>
    <w:rsid w:val="00C30AF5"/>
    <w:rsid w:val="00C31073"/>
    <w:rsid w:val="00C31FF6"/>
    <w:rsid w:val="00C343F4"/>
    <w:rsid w:val="00C3469B"/>
    <w:rsid w:val="00C35C77"/>
    <w:rsid w:val="00C37A08"/>
    <w:rsid w:val="00C37B06"/>
    <w:rsid w:val="00C412C2"/>
    <w:rsid w:val="00C42464"/>
    <w:rsid w:val="00C43854"/>
    <w:rsid w:val="00C4545D"/>
    <w:rsid w:val="00C45477"/>
    <w:rsid w:val="00C46BE8"/>
    <w:rsid w:val="00C47485"/>
    <w:rsid w:val="00C47599"/>
    <w:rsid w:val="00C512F2"/>
    <w:rsid w:val="00C53639"/>
    <w:rsid w:val="00C54A89"/>
    <w:rsid w:val="00C554F0"/>
    <w:rsid w:val="00C558B4"/>
    <w:rsid w:val="00C55BA9"/>
    <w:rsid w:val="00C6089D"/>
    <w:rsid w:val="00C60C7A"/>
    <w:rsid w:val="00C619AC"/>
    <w:rsid w:val="00C61D63"/>
    <w:rsid w:val="00C61DAB"/>
    <w:rsid w:val="00C628D5"/>
    <w:rsid w:val="00C62A9C"/>
    <w:rsid w:val="00C62FF1"/>
    <w:rsid w:val="00C637B8"/>
    <w:rsid w:val="00C6517D"/>
    <w:rsid w:val="00C66012"/>
    <w:rsid w:val="00C66459"/>
    <w:rsid w:val="00C67BC3"/>
    <w:rsid w:val="00C70193"/>
    <w:rsid w:val="00C703C6"/>
    <w:rsid w:val="00C71225"/>
    <w:rsid w:val="00C7134B"/>
    <w:rsid w:val="00C7199F"/>
    <w:rsid w:val="00C7517C"/>
    <w:rsid w:val="00C77A88"/>
    <w:rsid w:val="00C77B45"/>
    <w:rsid w:val="00C80E36"/>
    <w:rsid w:val="00C810D2"/>
    <w:rsid w:val="00C819B3"/>
    <w:rsid w:val="00C81D16"/>
    <w:rsid w:val="00C83F38"/>
    <w:rsid w:val="00C85E6D"/>
    <w:rsid w:val="00C86CFA"/>
    <w:rsid w:val="00C8760E"/>
    <w:rsid w:val="00C91AD7"/>
    <w:rsid w:val="00C9318F"/>
    <w:rsid w:val="00C94A64"/>
    <w:rsid w:val="00C95154"/>
    <w:rsid w:val="00C96DD1"/>
    <w:rsid w:val="00C973EA"/>
    <w:rsid w:val="00C97687"/>
    <w:rsid w:val="00C97B15"/>
    <w:rsid w:val="00CA14E1"/>
    <w:rsid w:val="00CA16F1"/>
    <w:rsid w:val="00CA2A9E"/>
    <w:rsid w:val="00CA3FE0"/>
    <w:rsid w:val="00CA420D"/>
    <w:rsid w:val="00CA47BF"/>
    <w:rsid w:val="00CA54B1"/>
    <w:rsid w:val="00CB0AD5"/>
    <w:rsid w:val="00CB1B25"/>
    <w:rsid w:val="00CB24FA"/>
    <w:rsid w:val="00CB5CC1"/>
    <w:rsid w:val="00CB6F30"/>
    <w:rsid w:val="00CC1967"/>
    <w:rsid w:val="00CC2172"/>
    <w:rsid w:val="00CC28EC"/>
    <w:rsid w:val="00CC3066"/>
    <w:rsid w:val="00CC413C"/>
    <w:rsid w:val="00CC4BD2"/>
    <w:rsid w:val="00CC6ECD"/>
    <w:rsid w:val="00CD06D8"/>
    <w:rsid w:val="00CD1277"/>
    <w:rsid w:val="00CD1926"/>
    <w:rsid w:val="00CD1E32"/>
    <w:rsid w:val="00CD1E3E"/>
    <w:rsid w:val="00CD22E1"/>
    <w:rsid w:val="00CD266F"/>
    <w:rsid w:val="00CD3739"/>
    <w:rsid w:val="00CD3D95"/>
    <w:rsid w:val="00CD4765"/>
    <w:rsid w:val="00CD47D1"/>
    <w:rsid w:val="00CD48FB"/>
    <w:rsid w:val="00CD6B95"/>
    <w:rsid w:val="00CD6D44"/>
    <w:rsid w:val="00CD6E7A"/>
    <w:rsid w:val="00CE1095"/>
    <w:rsid w:val="00CE2310"/>
    <w:rsid w:val="00CE258D"/>
    <w:rsid w:val="00CE3F15"/>
    <w:rsid w:val="00CE425E"/>
    <w:rsid w:val="00CE4564"/>
    <w:rsid w:val="00CE5FD0"/>
    <w:rsid w:val="00CF09AC"/>
    <w:rsid w:val="00CF3415"/>
    <w:rsid w:val="00CF3D9C"/>
    <w:rsid w:val="00CF4DE2"/>
    <w:rsid w:val="00CF58D6"/>
    <w:rsid w:val="00CF7765"/>
    <w:rsid w:val="00D00970"/>
    <w:rsid w:val="00D010E1"/>
    <w:rsid w:val="00D026A6"/>
    <w:rsid w:val="00D031E6"/>
    <w:rsid w:val="00D03829"/>
    <w:rsid w:val="00D0533D"/>
    <w:rsid w:val="00D062E3"/>
    <w:rsid w:val="00D06B94"/>
    <w:rsid w:val="00D07D88"/>
    <w:rsid w:val="00D10183"/>
    <w:rsid w:val="00D10316"/>
    <w:rsid w:val="00D10A7C"/>
    <w:rsid w:val="00D10AAA"/>
    <w:rsid w:val="00D11EB0"/>
    <w:rsid w:val="00D11EB8"/>
    <w:rsid w:val="00D1203F"/>
    <w:rsid w:val="00D122F3"/>
    <w:rsid w:val="00D141B0"/>
    <w:rsid w:val="00D154A5"/>
    <w:rsid w:val="00D20180"/>
    <w:rsid w:val="00D203B7"/>
    <w:rsid w:val="00D215CF"/>
    <w:rsid w:val="00D219F1"/>
    <w:rsid w:val="00D2527D"/>
    <w:rsid w:val="00D2529C"/>
    <w:rsid w:val="00D253D1"/>
    <w:rsid w:val="00D259D5"/>
    <w:rsid w:val="00D25A62"/>
    <w:rsid w:val="00D25E95"/>
    <w:rsid w:val="00D263A6"/>
    <w:rsid w:val="00D27321"/>
    <w:rsid w:val="00D30AAE"/>
    <w:rsid w:val="00D319F4"/>
    <w:rsid w:val="00D31A35"/>
    <w:rsid w:val="00D32008"/>
    <w:rsid w:val="00D320A8"/>
    <w:rsid w:val="00D3236B"/>
    <w:rsid w:val="00D329C5"/>
    <w:rsid w:val="00D337BE"/>
    <w:rsid w:val="00D341E3"/>
    <w:rsid w:val="00D34F3E"/>
    <w:rsid w:val="00D36BED"/>
    <w:rsid w:val="00D3750E"/>
    <w:rsid w:val="00D428D4"/>
    <w:rsid w:val="00D4319D"/>
    <w:rsid w:val="00D439DE"/>
    <w:rsid w:val="00D446D4"/>
    <w:rsid w:val="00D465ED"/>
    <w:rsid w:val="00D47E69"/>
    <w:rsid w:val="00D50261"/>
    <w:rsid w:val="00D51436"/>
    <w:rsid w:val="00D52A6E"/>
    <w:rsid w:val="00D5335C"/>
    <w:rsid w:val="00D54667"/>
    <w:rsid w:val="00D54D00"/>
    <w:rsid w:val="00D57F1B"/>
    <w:rsid w:val="00D61443"/>
    <w:rsid w:val="00D61FAE"/>
    <w:rsid w:val="00D62732"/>
    <w:rsid w:val="00D6458E"/>
    <w:rsid w:val="00D64A41"/>
    <w:rsid w:val="00D65A02"/>
    <w:rsid w:val="00D66880"/>
    <w:rsid w:val="00D67439"/>
    <w:rsid w:val="00D67D5A"/>
    <w:rsid w:val="00D67DA6"/>
    <w:rsid w:val="00D706A4"/>
    <w:rsid w:val="00D717B5"/>
    <w:rsid w:val="00D72447"/>
    <w:rsid w:val="00D737A5"/>
    <w:rsid w:val="00D74A3D"/>
    <w:rsid w:val="00D74F7F"/>
    <w:rsid w:val="00D75A7B"/>
    <w:rsid w:val="00D769BD"/>
    <w:rsid w:val="00D77307"/>
    <w:rsid w:val="00D80194"/>
    <w:rsid w:val="00D8039C"/>
    <w:rsid w:val="00D81F02"/>
    <w:rsid w:val="00D8247B"/>
    <w:rsid w:val="00D82533"/>
    <w:rsid w:val="00D8315B"/>
    <w:rsid w:val="00D83463"/>
    <w:rsid w:val="00D85FE7"/>
    <w:rsid w:val="00D86783"/>
    <w:rsid w:val="00D87408"/>
    <w:rsid w:val="00D910B4"/>
    <w:rsid w:val="00D9191D"/>
    <w:rsid w:val="00D92D6C"/>
    <w:rsid w:val="00D93894"/>
    <w:rsid w:val="00D93A77"/>
    <w:rsid w:val="00D93E2A"/>
    <w:rsid w:val="00D94FAE"/>
    <w:rsid w:val="00D96959"/>
    <w:rsid w:val="00DA274A"/>
    <w:rsid w:val="00DA2B64"/>
    <w:rsid w:val="00DA4B72"/>
    <w:rsid w:val="00DA742C"/>
    <w:rsid w:val="00DB0151"/>
    <w:rsid w:val="00DB21C7"/>
    <w:rsid w:val="00DB2C17"/>
    <w:rsid w:val="00DB33B6"/>
    <w:rsid w:val="00DB53B7"/>
    <w:rsid w:val="00DB645C"/>
    <w:rsid w:val="00DB65FE"/>
    <w:rsid w:val="00DC32F0"/>
    <w:rsid w:val="00DC4E7B"/>
    <w:rsid w:val="00DC4FE7"/>
    <w:rsid w:val="00DC5C3D"/>
    <w:rsid w:val="00DC6FCF"/>
    <w:rsid w:val="00DC7205"/>
    <w:rsid w:val="00DD0ACD"/>
    <w:rsid w:val="00DD3E15"/>
    <w:rsid w:val="00DD574E"/>
    <w:rsid w:val="00DD5B70"/>
    <w:rsid w:val="00DD654B"/>
    <w:rsid w:val="00DD6D7B"/>
    <w:rsid w:val="00DD776E"/>
    <w:rsid w:val="00DD7802"/>
    <w:rsid w:val="00DD7A32"/>
    <w:rsid w:val="00DE01BA"/>
    <w:rsid w:val="00DE261B"/>
    <w:rsid w:val="00DE37DC"/>
    <w:rsid w:val="00DE5C12"/>
    <w:rsid w:val="00DE5C3E"/>
    <w:rsid w:val="00DF22C3"/>
    <w:rsid w:val="00DF7F1F"/>
    <w:rsid w:val="00E00B1D"/>
    <w:rsid w:val="00E0106E"/>
    <w:rsid w:val="00E0405F"/>
    <w:rsid w:val="00E04164"/>
    <w:rsid w:val="00E05F7E"/>
    <w:rsid w:val="00E10006"/>
    <w:rsid w:val="00E1039E"/>
    <w:rsid w:val="00E11132"/>
    <w:rsid w:val="00E115AC"/>
    <w:rsid w:val="00E11808"/>
    <w:rsid w:val="00E11A2F"/>
    <w:rsid w:val="00E121BD"/>
    <w:rsid w:val="00E125A0"/>
    <w:rsid w:val="00E1383A"/>
    <w:rsid w:val="00E13935"/>
    <w:rsid w:val="00E159B0"/>
    <w:rsid w:val="00E167D3"/>
    <w:rsid w:val="00E170AD"/>
    <w:rsid w:val="00E172C2"/>
    <w:rsid w:val="00E17FA7"/>
    <w:rsid w:val="00E21074"/>
    <w:rsid w:val="00E21127"/>
    <w:rsid w:val="00E2225E"/>
    <w:rsid w:val="00E22441"/>
    <w:rsid w:val="00E2311A"/>
    <w:rsid w:val="00E24D9E"/>
    <w:rsid w:val="00E25A50"/>
    <w:rsid w:val="00E266A3"/>
    <w:rsid w:val="00E27ACD"/>
    <w:rsid w:val="00E32430"/>
    <w:rsid w:val="00E3291D"/>
    <w:rsid w:val="00E32E2D"/>
    <w:rsid w:val="00E331EC"/>
    <w:rsid w:val="00E3480E"/>
    <w:rsid w:val="00E34BA1"/>
    <w:rsid w:val="00E35F41"/>
    <w:rsid w:val="00E36B28"/>
    <w:rsid w:val="00E4010F"/>
    <w:rsid w:val="00E415EE"/>
    <w:rsid w:val="00E42421"/>
    <w:rsid w:val="00E42C8A"/>
    <w:rsid w:val="00E43075"/>
    <w:rsid w:val="00E4403B"/>
    <w:rsid w:val="00E45181"/>
    <w:rsid w:val="00E5005B"/>
    <w:rsid w:val="00E51256"/>
    <w:rsid w:val="00E521E0"/>
    <w:rsid w:val="00E5498D"/>
    <w:rsid w:val="00E554CD"/>
    <w:rsid w:val="00E55DB3"/>
    <w:rsid w:val="00E60D99"/>
    <w:rsid w:val="00E61090"/>
    <w:rsid w:val="00E62FE6"/>
    <w:rsid w:val="00E63384"/>
    <w:rsid w:val="00E640A2"/>
    <w:rsid w:val="00E65845"/>
    <w:rsid w:val="00E65B1B"/>
    <w:rsid w:val="00E66043"/>
    <w:rsid w:val="00E66B21"/>
    <w:rsid w:val="00E66D7D"/>
    <w:rsid w:val="00E6703A"/>
    <w:rsid w:val="00E6727A"/>
    <w:rsid w:val="00E70E52"/>
    <w:rsid w:val="00E74A34"/>
    <w:rsid w:val="00E7522B"/>
    <w:rsid w:val="00E77E81"/>
    <w:rsid w:val="00E8120F"/>
    <w:rsid w:val="00E8161A"/>
    <w:rsid w:val="00E81F3B"/>
    <w:rsid w:val="00E82DD6"/>
    <w:rsid w:val="00E83228"/>
    <w:rsid w:val="00E8408B"/>
    <w:rsid w:val="00E85818"/>
    <w:rsid w:val="00E85CE7"/>
    <w:rsid w:val="00E85E8B"/>
    <w:rsid w:val="00E87086"/>
    <w:rsid w:val="00E875C2"/>
    <w:rsid w:val="00E92DDC"/>
    <w:rsid w:val="00E936FE"/>
    <w:rsid w:val="00E937C2"/>
    <w:rsid w:val="00E93FDE"/>
    <w:rsid w:val="00E9449B"/>
    <w:rsid w:val="00E9491E"/>
    <w:rsid w:val="00E95815"/>
    <w:rsid w:val="00E965BC"/>
    <w:rsid w:val="00EA2055"/>
    <w:rsid w:val="00EA2277"/>
    <w:rsid w:val="00EA2906"/>
    <w:rsid w:val="00EA4437"/>
    <w:rsid w:val="00EA6244"/>
    <w:rsid w:val="00EA660F"/>
    <w:rsid w:val="00EA7956"/>
    <w:rsid w:val="00EA7A7B"/>
    <w:rsid w:val="00EA7C07"/>
    <w:rsid w:val="00EB009D"/>
    <w:rsid w:val="00EB02E7"/>
    <w:rsid w:val="00EB0412"/>
    <w:rsid w:val="00EB1D33"/>
    <w:rsid w:val="00EB2CA6"/>
    <w:rsid w:val="00EB5013"/>
    <w:rsid w:val="00EB57E4"/>
    <w:rsid w:val="00EB693E"/>
    <w:rsid w:val="00EB7E71"/>
    <w:rsid w:val="00EC1441"/>
    <w:rsid w:val="00EC1ABE"/>
    <w:rsid w:val="00EC2947"/>
    <w:rsid w:val="00EC30AF"/>
    <w:rsid w:val="00EC3BA0"/>
    <w:rsid w:val="00EC48B1"/>
    <w:rsid w:val="00EC6A9F"/>
    <w:rsid w:val="00EC7327"/>
    <w:rsid w:val="00EC7AA7"/>
    <w:rsid w:val="00ED0D2C"/>
    <w:rsid w:val="00ED1732"/>
    <w:rsid w:val="00ED2C54"/>
    <w:rsid w:val="00ED537D"/>
    <w:rsid w:val="00ED62B8"/>
    <w:rsid w:val="00EE1D17"/>
    <w:rsid w:val="00EE25D2"/>
    <w:rsid w:val="00EE47BB"/>
    <w:rsid w:val="00EE4EA4"/>
    <w:rsid w:val="00EE5632"/>
    <w:rsid w:val="00EE5FCF"/>
    <w:rsid w:val="00EE6B37"/>
    <w:rsid w:val="00EE7780"/>
    <w:rsid w:val="00EF016E"/>
    <w:rsid w:val="00EF0F8E"/>
    <w:rsid w:val="00EF125A"/>
    <w:rsid w:val="00EF18D0"/>
    <w:rsid w:val="00EF1D41"/>
    <w:rsid w:val="00EF1FAE"/>
    <w:rsid w:val="00EF1FCF"/>
    <w:rsid w:val="00EF2C30"/>
    <w:rsid w:val="00EF3241"/>
    <w:rsid w:val="00EF4B01"/>
    <w:rsid w:val="00EF5C01"/>
    <w:rsid w:val="00EF7340"/>
    <w:rsid w:val="00EF7E00"/>
    <w:rsid w:val="00F00B38"/>
    <w:rsid w:val="00F0198C"/>
    <w:rsid w:val="00F0526F"/>
    <w:rsid w:val="00F058B3"/>
    <w:rsid w:val="00F05C79"/>
    <w:rsid w:val="00F05CBD"/>
    <w:rsid w:val="00F05F64"/>
    <w:rsid w:val="00F109A8"/>
    <w:rsid w:val="00F111B4"/>
    <w:rsid w:val="00F11738"/>
    <w:rsid w:val="00F11792"/>
    <w:rsid w:val="00F12051"/>
    <w:rsid w:val="00F13D56"/>
    <w:rsid w:val="00F20241"/>
    <w:rsid w:val="00F202D0"/>
    <w:rsid w:val="00F20A85"/>
    <w:rsid w:val="00F21D2C"/>
    <w:rsid w:val="00F22DB7"/>
    <w:rsid w:val="00F244F6"/>
    <w:rsid w:val="00F24B90"/>
    <w:rsid w:val="00F266BF"/>
    <w:rsid w:val="00F268DD"/>
    <w:rsid w:val="00F32D49"/>
    <w:rsid w:val="00F32D5A"/>
    <w:rsid w:val="00F333B2"/>
    <w:rsid w:val="00F33BB8"/>
    <w:rsid w:val="00F33DAB"/>
    <w:rsid w:val="00F34CEE"/>
    <w:rsid w:val="00F3544E"/>
    <w:rsid w:val="00F35E22"/>
    <w:rsid w:val="00F4272D"/>
    <w:rsid w:val="00F447CA"/>
    <w:rsid w:val="00F451D7"/>
    <w:rsid w:val="00F46027"/>
    <w:rsid w:val="00F47E4F"/>
    <w:rsid w:val="00F520B2"/>
    <w:rsid w:val="00F52338"/>
    <w:rsid w:val="00F53111"/>
    <w:rsid w:val="00F53740"/>
    <w:rsid w:val="00F5509A"/>
    <w:rsid w:val="00F55429"/>
    <w:rsid w:val="00F55E8D"/>
    <w:rsid w:val="00F605E1"/>
    <w:rsid w:val="00F60704"/>
    <w:rsid w:val="00F60B1E"/>
    <w:rsid w:val="00F60CA1"/>
    <w:rsid w:val="00F60E6F"/>
    <w:rsid w:val="00F613EA"/>
    <w:rsid w:val="00F61CD2"/>
    <w:rsid w:val="00F61D2B"/>
    <w:rsid w:val="00F62042"/>
    <w:rsid w:val="00F62A38"/>
    <w:rsid w:val="00F6313D"/>
    <w:rsid w:val="00F63267"/>
    <w:rsid w:val="00F63528"/>
    <w:rsid w:val="00F63ACA"/>
    <w:rsid w:val="00F64E61"/>
    <w:rsid w:val="00F66653"/>
    <w:rsid w:val="00F66869"/>
    <w:rsid w:val="00F66C7E"/>
    <w:rsid w:val="00F67E4E"/>
    <w:rsid w:val="00F70278"/>
    <w:rsid w:val="00F70476"/>
    <w:rsid w:val="00F742BD"/>
    <w:rsid w:val="00F7457D"/>
    <w:rsid w:val="00F74A5F"/>
    <w:rsid w:val="00F760A9"/>
    <w:rsid w:val="00F761FD"/>
    <w:rsid w:val="00F768FF"/>
    <w:rsid w:val="00F77AE8"/>
    <w:rsid w:val="00F808A4"/>
    <w:rsid w:val="00F81404"/>
    <w:rsid w:val="00F822C3"/>
    <w:rsid w:val="00F82497"/>
    <w:rsid w:val="00F833FD"/>
    <w:rsid w:val="00F90BA9"/>
    <w:rsid w:val="00F9202B"/>
    <w:rsid w:val="00F93264"/>
    <w:rsid w:val="00F94344"/>
    <w:rsid w:val="00F94C18"/>
    <w:rsid w:val="00F9697A"/>
    <w:rsid w:val="00F97270"/>
    <w:rsid w:val="00F976F0"/>
    <w:rsid w:val="00FA05EA"/>
    <w:rsid w:val="00FA24F2"/>
    <w:rsid w:val="00FA37CA"/>
    <w:rsid w:val="00FA393D"/>
    <w:rsid w:val="00FA4190"/>
    <w:rsid w:val="00FA59A1"/>
    <w:rsid w:val="00FA5CAB"/>
    <w:rsid w:val="00FA5D8A"/>
    <w:rsid w:val="00FA6556"/>
    <w:rsid w:val="00FB00E2"/>
    <w:rsid w:val="00FB0DF6"/>
    <w:rsid w:val="00FB0E80"/>
    <w:rsid w:val="00FB176F"/>
    <w:rsid w:val="00FB285E"/>
    <w:rsid w:val="00FB333C"/>
    <w:rsid w:val="00FB40FF"/>
    <w:rsid w:val="00FC3E12"/>
    <w:rsid w:val="00FC4B09"/>
    <w:rsid w:val="00FC586D"/>
    <w:rsid w:val="00FC5F35"/>
    <w:rsid w:val="00FC6FD6"/>
    <w:rsid w:val="00FC7D7E"/>
    <w:rsid w:val="00FD0B2A"/>
    <w:rsid w:val="00FD486B"/>
    <w:rsid w:val="00FD4937"/>
    <w:rsid w:val="00FD611D"/>
    <w:rsid w:val="00FD61B8"/>
    <w:rsid w:val="00FD6A8B"/>
    <w:rsid w:val="00FD7F93"/>
    <w:rsid w:val="00FE0779"/>
    <w:rsid w:val="00FE1A7A"/>
    <w:rsid w:val="00FE1D5B"/>
    <w:rsid w:val="00FE5CCB"/>
    <w:rsid w:val="00FE5E80"/>
    <w:rsid w:val="00FE7D7B"/>
    <w:rsid w:val="00FF0A4F"/>
    <w:rsid w:val="00FF0CC7"/>
    <w:rsid w:val="00FF4549"/>
    <w:rsid w:val="03EE371E"/>
    <w:rsid w:val="053E3148"/>
    <w:rsid w:val="05806815"/>
    <w:rsid w:val="07CA2ED7"/>
    <w:rsid w:val="0932380D"/>
    <w:rsid w:val="0A6D4A56"/>
    <w:rsid w:val="0BFD0EB4"/>
    <w:rsid w:val="0C4646A8"/>
    <w:rsid w:val="0E735212"/>
    <w:rsid w:val="0F4C5201"/>
    <w:rsid w:val="0FB70159"/>
    <w:rsid w:val="11127111"/>
    <w:rsid w:val="11A4148A"/>
    <w:rsid w:val="120250BB"/>
    <w:rsid w:val="12955B89"/>
    <w:rsid w:val="13FC1602"/>
    <w:rsid w:val="14EE06E6"/>
    <w:rsid w:val="1571543C"/>
    <w:rsid w:val="15B21729"/>
    <w:rsid w:val="17176A71"/>
    <w:rsid w:val="171F0B4E"/>
    <w:rsid w:val="17D46B11"/>
    <w:rsid w:val="187C34A3"/>
    <w:rsid w:val="1A7C1301"/>
    <w:rsid w:val="1A7D7430"/>
    <w:rsid w:val="1C0E6215"/>
    <w:rsid w:val="1C6F4FB4"/>
    <w:rsid w:val="1C954E9B"/>
    <w:rsid w:val="1E387E23"/>
    <w:rsid w:val="1E79088D"/>
    <w:rsid w:val="2167673E"/>
    <w:rsid w:val="218B1003"/>
    <w:rsid w:val="21AE4DAD"/>
    <w:rsid w:val="24354313"/>
    <w:rsid w:val="249F298C"/>
    <w:rsid w:val="25485291"/>
    <w:rsid w:val="25F954DB"/>
    <w:rsid w:val="269C0568"/>
    <w:rsid w:val="272918A9"/>
    <w:rsid w:val="28701767"/>
    <w:rsid w:val="28B233A1"/>
    <w:rsid w:val="29710E77"/>
    <w:rsid w:val="2AA45E84"/>
    <w:rsid w:val="2AB42D98"/>
    <w:rsid w:val="2B102FB5"/>
    <w:rsid w:val="2B470F10"/>
    <w:rsid w:val="2BBE4016"/>
    <w:rsid w:val="2C441FD6"/>
    <w:rsid w:val="2D7B562D"/>
    <w:rsid w:val="2DF35566"/>
    <w:rsid w:val="2E651366"/>
    <w:rsid w:val="2E7B3F9B"/>
    <w:rsid w:val="30534DD6"/>
    <w:rsid w:val="320B08E9"/>
    <w:rsid w:val="327C3161"/>
    <w:rsid w:val="33F14847"/>
    <w:rsid w:val="35870E55"/>
    <w:rsid w:val="359E5308"/>
    <w:rsid w:val="36F86364"/>
    <w:rsid w:val="36FB3F3F"/>
    <w:rsid w:val="37103EE5"/>
    <w:rsid w:val="38FE045F"/>
    <w:rsid w:val="39E84884"/>
    <w:rsid w:val="3D4A0930"/>
    <w:rsid w:val="3DAD4CBD"/>
    <w:rsid w:val="420D0121"/>
    <w:rsid w:val="42D069A7"/>
    <w:rsid w:val="4330314B"/>
    <w:rsid w:val="44AC00B9"/>
    <w:rsid w:val="451C7D2E"/>
    <w:rsid w:val="46336C3B"/>
    <w:rsid w:val="465E3302"/>
    <w:rsid w:val="46B53D11"/>
    <w:rsid w:val="47D22286"/>
    <w:rsid w:val="48DF209C"/>
    <w:rsid w:val="492B471A"/>
    <w:rsid w:val="4A2F2CC3"/>
    <w:rsid w:val="4A8536D2"/>
    <w:rsid w:val="4D7D11B1"/>
    <w:rsid w:val="4D7E0E31"/>
    <w:rsid w:val="4DD51840"/>
    <w:rsid w:val="4E4D53B3"/>
    <w:rsid w:val="4E614CA7"/>
    <w:rsid w:val="504658C9"/>
    <w:rsid w:val="513A7A20"/>
    <w:rsid w:val="51F67A2B"/>
    <w:rsid w:val="523E5EFC"/>
    <w:rsid w:val="53F01145"/>
    <w:rsid w:val="54BA798C"/>
    <w:rsid w:val="55021DF8"/>
    <w:rsid w:val="553916B6"/>
    <w:rsid w:val="568C4501"/>
    <w:rsid w:val="56942848"/>
    <w:rsid w:val="5A1631D9"/>
    <w:rsid w:val="5A3662AA"/>
    <w:rsid w:val="5C1C69FB"/>
    <w:rsid w:val="5C4754F2"/>
    <w:rsid w:val="5C54188A"/>
    <w:rsid w:val="5C9522F3"/>
    <w:rsid w:val="5DE6679D"/>
    <w:rsid w:val="5DEB52E1"/>
    <w:rsid w:val="5E3D71AC"/>
    <w:rsid w:val="5E4951BD"/>
    <w:rsid w:val="5E6429AE"/>
    <w:rsid w:val="5F1330F0"/>
    <w:rsid w:val="5F155C9E"/>
    <w:rsid w:val="6362757D"/>
    <w:rsid w:val="63994D32"/>
    <w:rsid w:val="63BA1E8C"/>
    <w:rsid w:val="63E17D6C"/>
    <w:rsid w:val="64AC713F"/>
    <w:rsid w:val="64D90CEB"/>
    <w:rsid w:val="64FC5F3B"/>
    <w:rsid w:val="657D3011"/>
    <w:rsid w:val="66814792"/>
    <w:rsid w:val="67DA72F7"/>
    <w:rsid w:val="684A4429"/>
    <w:rsid w:val="686B6B5C"/>
    <w:rsid w:val="6A47646D"/>
    <w:rsid w:val="6C28084F"/>
    <w:rsid w:val="6C5F32E0"/>
    <w:rsid w:val="6C9D0B3F"/>
    <w:rsid w:val="6E300A9E"/>
    <w:rsid w:val="70427A3C"/>
    <w:rsid w:val="704A65E2"/>
    <w:rsid w:val="70A03013"/>
    <w:rsid w:val="71A94A05"/>
    <w:rsid w:val="733B1918"/>
    <w:rsid w:val="75C42647"/>
    <w:rsid w:val="763D100B"/>
    <w:rsid w:val="76D10E1C"/>
    <w:rsid w:val="76EA6BA6"/>
    <w:rsid w:val="76F05550"/>
    <w:rsid w:val="77675AB2"/>
    <w:rsid w:val="78795F52"/>
    <w:rsid w:val="787C3AB9"/>
    <w:rsid w:val="79BB3DE9"/>
    <w:rsid w:val="7BBF3C16"/>
    <w:rsid w:val="7BF07860"/>
    <w:rsid w:val="7BFF7B81"/>
    <w:rsid w:val="7CA90EC6"/>
    <w:rsid w:val="7D0564AB"/>
    <w:rsid w:val="7D7A1762"/>
    <w:rsid w:val="7D9D7924"/>
    <w:rsid w:val="7E0315BB"/>
    <w:rsid w:val="7E4D5B30"/>
    <w:rsid w:val="7ED518A8"/>
    <w:rsid w:val="7F7A0B3C"/>
    <w:rsid w:val="7FA8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link w:val="39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24"/>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415"/>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396"/>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365"/>
    <w:qFormat/>
    <w:uiPriority w:val="9"/>
    <w:pPr>
      <w:keepNext/>
      <w:keepLines/>
      <w:numPr>
        <w:ilvl w:val="4"/>
        <w:numId w:val="1"/>
      </w:numPr>
      <w:spacing w:before="280" w:after="290" w:line="376" w:lineRule="auto"/>
      <w:outlineLvl w:val="4"/>
    </w:pPr>
    <w:rPr>
      <w:b/>
      <w:sz w:val="28"/>
      <w:szCs w:val="24"/>
    </w:rPr>
  </w:style>
  <w:style w:type="paragraph" w:styleId="10">
    <w:name w:val="heading 6"/>
    <w:basedOn w:val="1"/>
    <w:next w:val="9"/>
    <w:link w:val="325"/>
    <w:qFormat/>
    <w:uiPriority w:val="0"/>
    <w:pPr>
      <w:keepNext/>
      <w:keepLines/>
      <w:numPr>
        <w:ilvl w:val="5"/>
        <w:numId w:val="1"/>
      </w:numPr>
      <w:spacing w:before="240" w:after="64" w:line="320" w:lineRule="auto"/>
      <w:outlineLvl w:val="5"/>
    </w:pPr>
    <w:rPr>
      <w:rFonts w:ascii="Arial" w:hAnsi="Arial" w:eastAsia="黑体"/>
      <w:b/>
      <w:sz w:val="24"/>
      <w:szCs w:val="24"/>
    </w:rPr>
  </w:style>
  <w:style w:type="paragraph" w:styleId="11">
    <w:name w:val="heading 7"/>
    <w:basedOn w:val="1"/>
    <w:next w:val="9"/>
    <w:link w:val="304"/>
    <w:qFormat/>
    <w:uiPriority w:val="0"/>
    <w:pPr>
      <w:keepNext/>
      <w:keepLines/>
      <w:numPr>
        <w:ilvl w:val="6"/>
        <w:numId w:val="1"/>
      </w:numPr>
      <w:spacing w:before="240" w:after="64" w:line="320" w:lineRule="auto"/>
      <w:outlineLvl w:val="6"/>
    </w:pPr>
    <w:rPr>
      <w:b/>
      <w:sz w:val="24"/>
      <w:szCs w:val="24"/>
    </w:rPr>
  </w:style>
  <w:style w:type="paragraph" w:styleId="12">
    <w:name w:val="heading 8"/>
    <w:basedOn w:val="1"/>
    <w:next w:val="9"/>
    <w:link w:val="376"/>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3">
    <w:name w:val="heading 9"/>
    <w:basedOn w:val="1"/>
    <w:next w:val="9"/>
    <w:link w:val="438"/>
    <w:qFormat/>
    <w:uiPriority w:val="0"/>
    <w:pPr>
      <w:keepNext/>
      <w:keepLines/>
      <w:numPr>
        <w:ilvl w:val="8"/>
        <w:numId w:val="1"/>
      </w:numPr>
      <w:spacing w:before="240" w:after="64" w:line="320" w:lineRule="auto"/>
      <w:outlineLvl w:val="8"/>
    </w:pPr>
    <w:rPr>
      <w:rFonts w:ascii="Arial" w:hAnsi="Arial" w:eastAsia="黑体"/>
      <w:szCs w:val="24"/>
    </w:rPr>
  </w:style>
  <w:style w:type="character" w:default="1" w:styleId="74">
    <w:name w:val="Default Paragraph Font"/>
    <w:semiHidden/>
    <w:unhideWhenUsed/>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93"/>
    <w:qFormat/>
    <w:uiPriority w:val="99"/>
    <w:pPr>
      <w:tabs>
        <w:tab w:val="center" w:pos="4153"/>
        <w:tab w:val="right" w:pos="8306"/>
      </w:tabs>
      <w:snapToGrid w:val="0"/>
      <w:jc w:val="left"/>
    </w:pPr>
    <w:rPr>
      <w:kern w:val="0"/>
      <w:sz w:val="18"/>
      <w:szCs w:val="18"/>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vertAlign w:val="superscript"/>
      <w:lang w:val="en-US" w:eastAsia="zh-CN" w:bidi="ar-SA"/>
    </w:rPr>
  </w:style>
  <w:style w:type="paragraph" w:styleId="9">
    <w:name w:val="Normal Indent"/>
    <w:basedOn w:val="1"/>
    <w:link w:val="339"/>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6">
    <w:name w:val="table of authorities"/>
    <w:basedOn w:val="1"/>
    <w:next w:val="1"/>
    <w:qFormat/>
    <w:uiPriority w:val="0"/>
    <w:pPr>
      <w:spacing w:before="156" w:beforeLines="50" w:after="156" w:afterLines="50" w:line="360" w:lineRule="auto"/>
      <w:ind w:left="420" w:leftChars="200" w:firstLine="200" w:firstLineChars="200"/>
    </w:pPr>
    <w:rPr>
      <w:sz w:val="24"/>
    </w:rPr>
  </w:style>
  <w:style w:type="paragraph" w:styleId="17">
    <w:name w:val="index 8"/>
    <w:basedOn w:val="1"/>
    <w:next w:val="1"/>
    <w:qFormat/>
    <w:uiPriority w:val="0"/>
    <w:pPr>
      <w:ind w:left="1400" w:leftChars="1400"/>
    </w:pPr>
    <w:rPr>
      <w:rFonts w:ascii="宋体" w:hAnsi="宋体"/>
      <w:sz w:val="24"/>
      <w:vertAlign w:val="superscript"/>
    </w:rPr>
  </w:style>
  <w:style w:type="paragraph" w:styleId="18">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9">
    <w:name w:val="caption"/>
    <w:basedOn w:val="1"/>
    <w:next w:val="1"/>
    <w:link w:val="340"/>
    <w:qFormat/>
    <w:uiPriority w:val="35"/>
    <w:pPr>
      <w:spacing w:before="152" w:after="160"/>
    </w:pPr>
    <w:rPr>
      <w:rFonts w:ascii="Arial" w:hAnsi="Arial" w:eastAsia="黑体"/>
      <w:sz w:val="20"/>
      <w:szCs w:val="20"/>
    </w:rPr>
  </w:style>
  <w:style w:type="paragraph" w:styleId="20">
    <w:name w:val="index 5"/>
    <w:basedOn w:val="1"/>
    <w:next w:val="1"/>
    <w:qFormat/>
    <w:uiPriority w:val="0"/>
    <w:pPr>
      <w:ind w:left="800" w:leftChars="800"/>
    </w:pPr>
    <w:rPr>
      <w:rFonts w:ascii="宋体" w:hAnsi="宋体"/>
      <w:sz w:val="24"/>
      <w:vertAlign w:val="superscript"/>
    </w:rPr>
  </w:style>
  <w:style w:type="paragraph" w:styleId="21">
    <w:name w:val="List Bullet"/>
    <w:basedOn w:val="1"/>
    <w:qFormat/>
    <w:uiPriority w:val="0"/>
    <w:pPr>
      <w:widowControl/>
      <w:spacing w:before="100" w:beforeAutospacing="1" w:after="100" w:afterAutospacing="1"/>
      <w:jc w:val="left"/>
    </w:pPr>
    <w:rPr>
      <w:rFonts w:ascii="宋体" w:hAnsi="宋体" w:cs="宋体"/>
      <w:kern w:val="0"/>
      <w:sz w:val="24"/>
    </w:rPr>
  </w:style>
  <w:style w:type="paragraph" w:styleId="22">
    <w:name w:val="Document Map"/>
    <w:basedOn w:val="1"/>
    <w:link w:val="389"/>
    <w:qFormat/>
    <w:uiPriority w:val="0"/>
    <w:pPr>
      <w:shd w:val="clear" w:color="auto" w:fill="000080"/>
      <w:adjustRightInd w:val="0"/>
      <w:spacing w:line="312" w:lineRule="atLeast"/>
      <w:textAlignment w:val="baseline"/>
    </w:pPr>
    <w:rPr>
      <w:kern w:val="0"/>
      <w:sz w:val="20"/>
      <w:szCs w:val="20"/>
      <w:shd w:val="clear" w:color="auto" w:fill="000080"/>
    </w:rPr>
  </w:style>
  <w:style w:type="paragraph" w:styleId="23">
    <w:name w:val="toa heading"/>
    <w:basedOn w:val="1"/>
    <w:next w:val="1"/>
    <w:qFormat/>
    <w:uiPriority w:val="0"/>
    <w:pPr>
      <w:spacing w:before="120"/>
    </w:pPr>
    <w:rPr>
      <w:rFonts w:ascii="Arial" w:hAnsi="Arial"/>
      <w:sz w:val="24"/>
      <w:szCs w:val="20"/>
    </w:rPr>
  </w:style>
  <w:style w:type="paragraph" w:styleId="24">
    <w:name w:val="annotation text"/>
    <w:basedOn w:val="1"/>
    <w:link w:val="388"/>
    <w:qFormat/>
    <w:uiPriority w:val="0"/>
    <w:pPr>
      <w:adjustRightInd w:val="0"/>
      <w:spacing w:line="360" w:lineRule="atLeast"/>
      <w:jc w:val="left"/>
      <w:textAlignment w:val="baseline"/>
    </w:pPr>
    <w:rPr>
      <w:kern w:val="0"/>
      <w:sz w:val="24"/>
      <w:szCs w:val="20"/>
    </w:rPr>
  </w:style>
  <w:style w:type="paragraph" w:styleId="25">
    <w:name w:val="index 6"/>
    <w:basedOn w:val="1"/>
    <w:next w:val="1"/>
    <w:qFormat/>
    <w:uiPriority w:val="0"/>
    <w:pPr>
      <w:ind w:left="1000" w:leftChars="1000"/>
    </w:pPr>
    <w:rPr>
      <w:rFonts w:ascii="宋体" w:hAnsi="宋体"/>
      <w:sz w:val="24"/>
      <w:vertAlign w:val="superscript"/>
    </w:rPr>
  </w:style>
  <w:style w:type="paragraph" w:styleId="26">
    <w:name w:val="Salutation"/>
    <w:basedOn w:val="1"/>
    <w:next w:val="1"/>
    <w:qFormat/>
    <w:uiPriority w:val="0"/>
    <w:rPr>
      <w:sz w:val="28"/>
    </w:rPr>
  </w:style>
  <w:style w:type="paragraph" w:styleId="27">
    <w:name w:val="Body Text 3"/>
    <w:basedOn w:val="1"/>
    <w:link w:val="433"/>
    <w:qFormat/>
    <w:uiPriority w:val="0"/>
    <w:pPr>
      <w:spacing w:line="500" w:lineRule="exact"/>
    </w:pPr>
    <w:rPr>
      <w:b/>
      <w:bCs/>
      <w:kern w:val="0"/>
      <w:sz w:val="24"/>
      <w:szCs w:val="24"/>
    </w:rPr>
  </w:style>
  <w:style w:type="paragraph" w:styleId="28">
    <w:name w:val="Body Text"/>
    <w:basedOn w:val="1"/>
    <w:link w:val="353"/>
    <w:qFormat/>
    <w:uiPriority w:val="0"/>
    <w:pPr>
      <w:spacing w:line="380" w:lineRule="exact"/>
    </w:pPr>
    <w:rPr>
      <w:kern w:val="0"/>
      <w:sz w:val="24"/>
      <w:szCs w:val="24"/>
    </w:rPr>
  </w:style>
  <w:style w:type="paragraph" w:styleId="29">
    <w:name w:val="Body Text Indent"/>
    <w:basedOn w:val="1"/>
    <w:link w:val="416"/>
    <w:qFormat/>
    <w:uiPriority w:val="0"/>
    <w:pPr>
      <w:ind w:firstLine="830" w:firstLineChars="352"/>
    </w:pPr>
    <w:rPr>
      <w:rFonts w:ascii="仿宋_GB2312" w:eastAsia="仿宋_GB2312"/>
      <w:kern w:val="0"/>
      <w:sz w:val="32"/>
      <w:szCs w:val="20"/>
    </w:rPr>
  </w:style>
  <w:style w:type="paragraph" w:styleId="30">
    <w:name w:val="List Number 3"/>
    <w:basedOn w:val="1"/>
    <w:qFormat/>
    <w:uiPriority w:val="0"/>
    <w:pPr>
      <w:numPr>
        <w:ilvl w:val="0"/>
        <w:numId w:val="2"/>
      </w:numPr>
    </w:pPr>
  </w:style>
  <w:style w:type="paragraph" w:styleId="31">
    <w:name w:val="List 2"/>
    <w:basedOn w:val="1"/>
    <w:qFormat/>
    <w:uiPriority w:val="0"/>
    <w:pPr>
      <w:ind w:left="100" w:leftChars="200" w:hanging="200" w:hangingChars="200"/>
    </w:pPr>
    <w:rPr>
      <w:sz w:val="28"/>
    </w:rPr>
  </w:style>
  <w:style w:type="paragraph" w:styleId="32">
    <w:name w:val="List Continue"/>
    <w:basedOn w:val="1"/>
    <w:qFormat/>
    <w:uiPriority w:val="0"/>
    <w:pPr>
      <w:spacing w:after="120"/>
      <w:ind w:left="420" w:leftChars="200"/>
    </w:pPr>
  </w:style>
  <w:style w:type="paragraph" w:styleId="33">
    <w:name w:val="Block Text"/>
    <w:basedOn w:val="1"/>
    <w:qFormat/>
    <w:uiPriority w:val="0"/>
    <w:pPr>
      <w:adjustRightInd w:val="0"/>
      <w:ind w:left="420" w:right="33"/>
      <w:jc w:val="left"/>
      <w:textAlignment w:val="baseline"/>
    </w:pPr>
    <w:rPr>
      <w:kern w:val="0"/>
      <w:sz w:val="24"/>
      <w:szCs w:val="20"/>
    </w:rPr>
  </w:style>
  <w:style w:type="paragraph" w:styleId="34">
    <w:name w:val="index 4"/>
    <w:basedOn w:val="1"/>
    <w:next w:val="1"/>
    <w:qFormat/>
    <w:uiPriority w:val="0"/>
    <w:pPr>
      <w:ind w:left="600" w:leftChars="600"/>
    </w:pPr>
    <w:rPr>
      <w:rFonts w:ascii="宋体" w:hAnsi="宋体"/>
      <w:sz w:val="24"/>
      <w:vertAlign w:val="superscript"/>
    </w:rPr>
  </w:style>
  <w:style w:type="paragraph" w:styleId="35">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36">
    <w:name w:val="toc 3"/>
    <w:basedOn w:val="1"/>
    <w:next w:val="1"/>
    <w:qFormat/>
    <w:uiPriority w:val="39"/>
    <w:pPr>
      <w:ind w:left="840" w:leftChars="400"/>
    </w:pPr>
  </w:style>
  <w:style w:type="paragraph" w:styleId="37">
    <w:name w:val="Plain Text"/>
    <w:basedOn w:val="1"/>
    <w:next w:val="7"/>
    <w:link w:val="307"/>
    <w:qFormat/>
    <w:uiPriority w:val="0"/>
    <w:rPr>
      <w:rFonts w:ascii="宋体" w:hAnsi="Courier New"/>
      <w:kern w:val="0"/>
      <w:sz w:val="20"/>
    </w:rPr>
  </w:style>
  <w:style w:type="paragraph" w:styleId="38">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39">
    <w:name w:val="index 3"/>
    <w:basedOn w:val="1"/>
    <w:next w:val="1"/>
    <w:qFormat/>
    <w:uiPriority w:val="0"/>
    <w:pPr>
      <w:ind w:left="400" w:leftChars="400"/>
    </w:pPr>
    <w:rPr>
      <w:rFonts w:ascii="宋体" w:hAnsi="宋体"/>
      <w:sz w:val="24"/>
      <w:vertAlign w:val="superscript"/>
    </w:rPr>
  </w:style>
  <w:style w:type="paragraph" w:styleId="40">
    <w:name w:val="Date"/>
    <w:basedOn w:val="1"/>
    <w:next w:val="1"/>
    <w:link w:val="421"/>
    <w:qFormat/>
    <w:uiPriority w:val="0"/>
    <w:pPr>
      <w:ind w:left="100" w:leftChars="2500"/>
    </w:pPr>
    <w:rPr>
      <w:rFonts w:ascii="宋体" w:hAnsi="Courier New"/>
      <w:kern w:val="0"/>
      <w:sz w:val="20"/>
    </w:rPr>
  </w:style>
  <w:style w:type="paragraph" w:styleId="41">
    <w:name w:val="Body Text Indent 2"/>
    <w:basedOn w:val="1"/>
    <w:link w:val="371"/>
    <w:qFormat/>
    <w:uiPriority w:val="0"/>
    <w:pPr>
      <w:ind w:firstLine="630"/>
    </w:pPr>
    <w:rPr>
      <w:kern w:val="0"/>
      <w:sz w:val="32"/>
      <w:szCs w:val="20"/>
    </w:rPr>
  </w:style>
  <w:style w:type="paragraph" w:styleId="42">
    <w:name w:val="endnote text"/>
    <w:basedOn w:val="1"/>
    <w:link w:val="346"/>
    <w:qFormat/>
    <w:uiPriority w:val="99"/>
    <w:pPr>
      <w:snapToGrid w:val="0"/>
      <w:jc w:val="left"/>
    </w:pPr>
    <w:rPr>
      <w:szCs w:val="22"/>
    </w:rPr>
  </w:style>
  <w:style w:type="paragraph" w:styleId="43">
    <w:name w:val="Balloon Text"/>
    <w:basedOn w:val="1"/>
    <w:link w:val="407"/>
    <w:qFormat/>
    <w:uiPriority w:val="99"/>
    <w:rPr>
      <w:kern w:val="0"/>
      <w:sz w:val="18"/>
      <w:szCs w:val="18"/>
    </w:rPr>
  </w:style>
  <w:style w:type="paragraph" w:styleId="44">
    <w:name w:val="header"/>
    <w:basedOn w:val="1"/>
    <w:link w:val="387"/>
    <w:qFormat/>
    <w:uiPriority w:val="99"/>
    <w:pPr>
      <w:pBdr>
        <w:bottom w:val="single" w:color="auto" w:sz="6" w:space="1"/>
      </w:pBdr>
      <w:tabs>
        <w:tab w:val="center" w:pos="4153"/>
        <w:tab w:val="right" w:pos="8306"/>
      </w:tabs>
      <w:snapToGrid w:val="0"/>
      <w:jc w:val="center"/>
    </w:pPr>
    <w:rPr>
      <w:kern w:val="0"/>
      <w:sz w:val="18"/>
      <w:szCs w:val="18"/>
    </w:rPr>
  </w:style>
  <w:style w:type="paragraph" w:styleId="45">
    <w:name w:val="Signature"/>
    <w:basedOn w:val="1"/>
    <w:qFormat/>
    <w:uiPriority w:val="0"/>
    <w:pPr>
      <w:ind w:left="100" w:leftChars="2100"/>
    </w:pPr>
  </w:style>
  <w:style w:type="paragraph" w:styleId="46">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rPr>
  </w:style>
  <w:style w:type="paragraph" w:styleId="47">
    <w:name w:val="List Continue 4"/>
    <w:basedOn w:val="1"/>
    <w:qFormat/>
    <w:uiPriority w:val="0"/>
    <w:pPr>
      <w:spacing w:after="120"/>
      <w:ind w:left="1680" w:leftChars="800"/>
    </w:pPr>
  </w:style>
  <w:style w:type="paragraph" w:styleId="48">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49">
    <w:name w:val="index heading"/>
    <w:basedOn w:val="1"/>
    <w:next w:val="50"/>
    <w:qFormat/>
    <w:uiPriority w:val="0"/>
    <w:rPr>
      <w:rFonts w:ascii="Arial" w:hAnsi="Arial" w:cs="Arial"/>
      <w:b/>
      <w:bCs/>
      <w:sz w:val="24"/>
      <w:vertAlign w:val="superscript"/>
    </w:rPr>
  </w:style>
  <w:style w:type="paragraph" w:styleId="50">
    <w:name w:val="index 1"/>
    <w:basedOn w:val="1"/>
    <w:next w:val="1"/>
    <w:qFormat/>
    <w:uiPriority w:val="0"/>
    <w:pPr>
      <w:spacing w:line="500" w:lineRule="exact"/>
      <w:ind w:firstLine="200" w:firstLineChars="200"/>
    </w:pPr>
    <w:rPr>
      <w:rFonts w:ascii="宋体" w:hAnsi="Courier New"/>
      <w:b/>
      <w:sz w:val="28"/>
      <w:szCs w:val="20"/>
    </w:rPr>
  </w:style>
  <w:style w:type="paragraph" w:styleId="5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2">
    <w:name w:val="List"/>
    <w:basedOn w:val="1"/>
    <w:qFormat/>
    <w:uiPriority w:val="0"/>
    <w:pPr>
      <w:ind w:left="200" w:hanging="200" w:hangingChars="200"/>
    </w:pPr>
    <w:rPr>
      <w:sz w:val="28"/>
    </w:rPr>
  </w:style>
  <w:style w:type="paragraph" w:styleId="53">
    <w:name w:val="footnote text"/>
    <w:basedOn w:val="1"/>
    <w:qFormat/>
    <w:uiPriority w:val="0"/>
    <w:pPr>
      <w:snapToGrid w:val="0"/>
      <w:jc w:val="left"/>
    </w:pPr>
    <w:rPr>
      <w:rFonts w:ascii="宋体" w:hAnsi="宋体"/>
      <w:sz w:val="18"/>
      <w:szCs w:val="18"/>
      <w:vertAlign w:val="superscript"/>
    </w:rPr>
  </w:style>
  <w:style w:type="paragraph" w:styleId="54">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55">
    <w:name w:val="List 5"/>
    <w:basedOn w:val="1"/>
    <w:qFormat/>
    <w:uiPriority w:val="0"/>
    <w:pPr>
      <w:ind w:left="2100" w:hanging="420"/>
    </w:pPr>
    <w:rPr>
      <w:szCs w:val="20"/>
    </w:rPr>
  </w:style>
  <w:style w:type="paragraph" w:styleId="56">
    <w:name w:val="Body Text Indent 3"/>
    <w:basedOn w:val="1"/>
    <w:link w:val="394"/>
    <w:qFormat/>
    <w:uiPriority w:val="0"/>
    <w:pPr>
      <w:spacing w:after="120"/>
      <w:ind w:left="420" w:leftChars="200"/>
    </w:pPr>
    <w:rPr>
      <w:kern w:val="0"/>
      <w:sz w:val="16"/>
      <w:szCs w:val="16"/>
    </w:rPr>
  </w:style>
  <w:style w:type="paragraph" w:styleId="57">
    <w:name w:val="index 7"/>
    <w:basedOn w:val="1"/>
    <w:next w:val="1"/>
    <w:qFormat/>
    <w:uiPriority w:val="0"/>
    <w:pPr>
      <w:ind w:left="1200" w:leftChars="1200"/>
    </w:pPr>
    <w:rPr>
      <w:rFonts w:ascii="宋体" w:hAnsi="宋体"/>
      <w:sz w:val="24"/>
      <w:vertAlign w:val="superscript"/>
    </w:rPr>
  </w:style>
  <w:style w:type="paragraph" w:styleId="58">
    <w:name w:val="index 9"/>
    <w:basedOn w:val="1"/>
    <w:next w:val="1"/>
    <w:qFormat/>
    <w:uiPriority w:val="0"/>
    <w:pPr>
      <w:ind w:left="1600" w:leftChars="1600"/>
    </w:pPr>
    <w:rPr>
      <w:rFonts w:ascii="宋体" w:hAnsi="宋体"/>
      <w:sz w:val="24"/>
      <w:vertAlign w:val="superscript"/>
    </w:rPr>
  </w:style>
  <w:style w:type="paragraph" w:styleId="59">
    <w:name w:val="table of figures"/>
    <w:basedOn w:val="1"/>
    <w:next w:val="1"/>
    <w:qFormat/>
    <w:uiPriority w:val="0"/>
    <w:pPr>
      <w:ind w:left="200" w:leftChars="200" w:hanging="200" w:hangingChars="200"/>
    </w:pPr>
    <w:rPr>
      <w:rFonts w:ascii="宋体" w:hAnsi="宋体"/>
      <w:sz w:val="24"/>
      <w:vertAlign w:val="superscript"/>
    </w:rPr>
  </w:style>
  <w:style w:type="paragraph" w:styleId="60">
    <w:name w:val="toc 2"/>
    <w:basedOn w:val="1"/>
    <w:next w:val="1"/>
    <w:qFormat/>
    <w:uiPriority w:val="39"/>
    <w:pPr>
      <w:ind w:left="420" w:leftChars="200"/>
    </w:pPr>
  </w:style>
  <w:style w:type="paragraph" w:styleId="61">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62">
    <w:name w:val="Body Text 2"/>
    <w:basedOn w:val="1"/>
    <w:link w:val="413"/>
    <w:qFormat/>
    <w:uiPriority w:val="0"/>
    <w:pPr>
      <w:spacing w:after="120" w:line="480" w:lineRule="auto"/>
    </w:pPr>
    <w:rPr>
      <w:kern w:val="0"/>
      <w:sz w:val="20"/>
      <w:szCs w:val="24"/>
    </w:rPr>
  </w:style>
  <w:style w:type="paragraph" w:styleId="63">
    <w:name w:val="List 4"/>
    <w:basedOn w:val="1"/>
    <w:qFormat/>
    <w:uiPriority w:val="0"/>
    <w:pPr>
      <w:ind w:left="100" w:leftChars="600" w:hanging="200" w:hangingChars="200"/>
    </w:pPr>
  </w:style>
  <w:style w:type="paragraph" w:styleId="64">
    <w:name w:val="List Continue 2"/>
    <w:basedOn w:val="1"/>
    <w:qFormat/>
    <w:uiPriority w:val="0"/>
    <w:pPr>
      <w:spacing w:after="120"/>
      <w:ind w:left="840" w:leftChars="400"/>
    </w:pPr>
  </w:style>
  <w:style w:type="paragraph" w:styleId="6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6">
    <w:name w:val="Normal (Web)"/>
    <w:basedOn w:val="1"/>
    <w:qFormat/>
    <w:uiPriority w:val="99"/>
    <w:pPr>
      <w:widowControl/>
      <w:spacing w:before="100" w:beforeAutospacing="1" w:after="100" w:afterAutospacing="1"/>
      <w:jc w:val="left"/>
    </w:pPr>
    <w:rPr>
      <w:rFonts w:ascii="宋体" w:hAnsi="宋体"/>
      <w:kern w:val="0"/>
      <w:sz w:val="24"/>
    </w:rPr>
  </w:style>
  <w:style w:type="paragraph" w:styleId="67">
    <w:name w:val="List Continue 3"/>
    <w:basedOn w:val="1"/>
    <w:qFormat/>
    <w:uiPriority w:val="0"/>
    <w:pPr>
      <w:spacing w:after="120"/>
      <w:ind w:left="1260" w:leftChars="600"/>
    </w:pPr>
  </w:style>
  <w:style w:type="paragraph" w:styleId="68">
    <w:name w:val="index 2"/>
    <w:basedOn w:val="1"/>
    <w:next w:val="1"/>
    <w:qFormat/>
    <w:uiPriority w:val="0"/>
    <w:pPr>
      <w:ind w:left="200" w:leftChars="200"/>
    </w:pPr>
    <w:rPr>
      <w:rFonts w:ascii="宋体" w:hAnsi="宋体"/>
      <w:sz w:val="24"/>
      <w:vertAlign w:val="superscript"/>
    </w:rPr>
  </w:style>
  <w:style w:type="paragraph" w:styleId="69">
    <w:name w:val="Title"/>
    <w:basedOn w:val="1"/>
    <w:link w:val="383"/>
    <w:qFormat/>
    <w:uiPriority w:val="0"/>
    <w:pPr>
      <w:spacing w:before="240" w:after="60"/>
      <w:jc w:val="center"/>
      <w:outlineLvl w:val="0"/>
    </w:pPr>
    <w:rPr>
      <w:rFonts w:ascii="Arial" w:hAnsi="Arial"/>
      <w:b/>
      <w:bCs/>
      <w:sz w:val="30"/>
      <w:szCs w:val="32"/>
    </w:rPr>
  </w:style>
  <w:style w:type="paragraph" w:styleId="70">
    <w:name w:val="annotation subject"/>
    <w:basedOn w:val="24"/>
    <w:next w:val="24"/>
    <w:link w:val="310"/>
    <w:qFormat/>
    <w:uiPriority w:val="0"/>
    <w:pPr>
      <w:adjustRightInd/>
      <w:spacing w:line="240" w:lineRule="auto"/>
      <w:textAlignment w:val="auto"/>
    </w:pPr>
    <w:rPr>
      <w:b/>
      <w:bCs/>
      <w:kern w:val="2"/>
      <w:sz w:val="21"/>
      <w:szCs w:val="24"/>
    </w:rPr>
  </w:style>
  <w:style w:type="paragraph" w:styleId="71">
    <w:name w:val="Body Text First Indent"/>
    <w:basedOn w:val="28"/>
    <w:qFormat/>
    <w:uiPriority w:val="0"/>
    <w:pPr>
      <w:spacing w:beforeLines="50" w:afterLines="50" w:line="360" w:lineRule="auto"/>
      <w:ind w:firstLine="420" w:firstLineChars="100"/>
    </w:p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5">
    <w:name w:val="Strong"/>
    <w:qFormat/>
    <w:uiPriority w:val="22"/>
    <w:rPr>
      <w:b/>
      <w:bCs/>
    </w:rPr>
  </w:style>
  <w:style w:type="character" w:styleId="76">
    <w:name w:val="endnote reference"/>
    <w:qFormat/>
    <w:uiPriority w:val="99"/>
    <w:rPr>
      <w:vertAlign w:val="superscript"/>
    </w:rPr>
  </w:style>
  <w:style w:type="character" w:styleId="77">
    <w:name w:val="page number"/>
    <w:basedOn w:val="74"/>
    <w:qFormat/>
    <w:uiPriority w:val="0"/>
  </w:style>
  <w:style w:type="character" w:styleId="78">
    <w:name w:val="FollowedHyperlink"/>
    <w:qFormat/>
    <w:uiPriority w:val="99"/>
    <w:rPr>
      <w:color w:val="800080"/>
      <w:u w:val="single"/>
    </w:rPr>
  </w:style>
  <w:style w:type="character" w:styleId="79">
    <w:name w:val="Emphasis"/>
    <w:qFormat/>
    <w:uiPriority w:val="0"/>
    <w:rPr>
      <w:color w:val="CC0000"/>
    </w:rPr>
  </w:style>
  <w:style w:type="character" w:styleId="80">
    <w:name w:val="line number"/>
    <w:basedOn w:val="74"/>
    <w:qFormat/>
    <w:uiPriority w:val="0"/>
  </w:style>
  <w:style w:type="character" w:styleId="81">
    <w:name w:val="Hyperlink"/>
    <w:qFormat/>
    <w:uiPriority w:val="99"/>
    <w:rPr>
      <w:color w:val="0000FF"/>
      <w:u w:val="single"/>
    </w:rPr>
  </w:style>
  <w:style w:type="character" w:styleId="82">
    <w:name w:val="annotation reference"/>
    <w:qFormat/>
    <w:uiPriority w:val="99"/>
    <w:rPr>
      <w:sz w:val="21"/>
      <w:szCs w:val="21"/>
    </w:rPr>
  </w:style>
  <w:style w:type="character" w:styleId="83">
    <w:name w:val="footnote reference"/>
    <w:qFormat/>
    <w:uiPriority w:val="0"/>
    <w:rPr>
      <w:vertAlign w:val="superscript"/>
    </w:rPr>
  </w:style>
  <w:style w:type="paragraph" w:customStyle="1" w:styleId="84">
    <w:name w:val="正文1"/>
    <w:basedOn w:val="1"/>
    <w:link w:val="391"/>
    <w:qFormat/>
    <w:uiPriority w:val="0"/>
    <w:pPr>
      <w:jc w:val="left"/>
      <w:outlineLvl w:val="0"/>
    </w:pPr>
    <w:rPr>
      <w:rFonts w:ascii="宋体" w:hAnsi="宋体"/>
      <w:bCs/>
      <w:szCs w:val="32"/>
    </w:rPr>
  </w:style>
  <w:style w:type="paragraph" w:customStyle="1" w:styleId="85">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86">
    <w:name w:val="Char Char Char Char Char Char1 Char"/>
    <w:basedOn w:val="1"/>
    <w:qFormat/>
    <w:uiPriority w:val="0"/>
    <w:pPr>
      <w:widowControl/>
      <w:spacing w:after="160" w:line="240" w:lineRule="exact"/>
      <w:jc w:val="left"/>
    </w:pPr>
    <w:rPr>
      <w:rFonts w:eastAsia="仿宋_GB2312" w:cs="宋体"/>
      <w:kern w:val="0"/>
      <w:szCs w:val="20"/>
      <w:lang w:eastAsia="en-US"/>
    </w:rPr>
  </w:style>
  <w:style w:type="paragraph" w:customStyle="1" w:styleId="87">
    <w:name w:val="默认段落字体 Para Char Char Char Char Char Char Char Char Char1 Char Char Char Char"/>
    <w:basedOn w:val="1"/>
    <w:qFormat/>
    <w:uiPriority w:val="0"/>
    <w:rPr>
      <w:rFonts w:ascii="Tahoma" w:hAnsi="Tahoma"/>
      <w:sz w:val="24"/>
      <w:szCs w:val="20"/>
    </w:rPr>
  </w:style>
  <w:style w:type="paragraph" w:customStyle="1" w:styleId="88">
    <w:name w:val="_Style 87"/>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正文文本样式 Char"/>
    <w:basedOn w:val="1"/>
    <w:link w:val="349"/>
    <w:qFormat/>
    <w:uiPriority w:val="0"/>
    <w:pPr>
      <w:spacing w:line="360" w:lineRule="auto"/>
      <w:ind w:firstLine="482"/>
    </w:pPr>
    <w:rPr>
      <w:rFonts w:ascii="宋体" w:hAnsi="宋体"/>
      <w:sz w:val="24"/>
      <w:szCs w:val="20"/>
    </w:rPr>
  </w:style>
  <w:style w:type="paragraph" w:customStyle="1" w:styleId="90">
    <w:name w:val="正文5"/>
    <w:basedOn w:val="1"/>
    <w:link w:val="379"/>
    <w:qFormat/>
    <w:uiPriority w:val="0"/>
    <w:pPr>
      <w:spacing w:line="360" w:lineRule="auto"/>
      <w:ind w:firstLine="420" w:firstLineChars="200"/>
    </w:pPr>
    <w:rPr>
      <w:color w:val="000000"/>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textAlignment w:val="center"/>
    </w:pPr>
    <w:rPr>
      <w:rFonts w:ascii="宋体" w:hAnsi="宋体" w:cs="宋体"/>
      <w:color w:val="000000"/>
      <w:kern w:val="0"/>
      <w:sz w:val="20"/>
      <w:szCs w:val="20"/>
    </w:rPr>
  </w:style>
  <w:style w:type="paragraph" w:customStyle="1" w:styleId="9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textAlignment w:val="center"/>
    </w:pPr>
    <w:rPr>
      <w:rFonts w:ascii="宋体" w:hAnsi="宋体" w:cs="宋体"/>
      <w:b/>
      <w:bCs/>
      <w:kern w:val="0"/>
      <w:sz w:val="20"/>
      <w:szCs w:val="20"/>
    </w:rPr>
  </w:style>
  <w:style w:type="paragraph" w:customStyle="1" w:styleId="93">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5">
    <w:name w:val="正文文本缩进 Char Char Char Char"/>
    <w:basedOn w:val="1"/>
    <w:uiPriority w:val="0"/>
    <w:pPr>
      <w:ind w:firstLine="540"/>
    </w:pPr>
    <w:rPr>
      <w:rFonts w:hint="eastAsia" w:ascii="宋体" w:hAnsi="Courier New"/>
      <w:szCs w:val="20"/>
    </w:rPr>
  </w:style>
  <w:style w:type="paragraph" w:customStyle="1" w:styleId="9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
    <w:name w:val="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98">
    <w:name w:val="Char1"/>
    <w:basedOn w:val="1"/>
    <w:uiPriority w:val="0"/>
  </w:style>
  <w:style w:type="paragraph" w:customStyle="1" w:styleId="99">
    <w:name w:val="Char Char Char Char"/>
    <w:basedOn w:val="22"/>
    <w:qFormat/>
    <w:uiPriority w:val="0"/>
    <w:pPr>
      <w:snapToGrid w:val="0"/>
      <w:spacing w:line="360" w:lineRule="auto"/>
      <w:textAlignment w:val="auto"/>
    </w:pPr>
    <w:rPr>
      <w:rFonts w:ascii="Tahoma" w:hAnsi="Tahoma"/>
      <w:kern w:val="2"/>
      <w:sz w:val="24"/>
      <w:szCs w:val="24"/>
      <w:shd w:val="clear" w:color="auto" w:fill="auto"/>
    </w:rPr>
  </w:style>
  <w:style w:type="paragraph" w:customStyle="1" w:styleId="100">
    <w:name w:val="xl70"/>
    <w:basedOn w:val="1"/>
    <w:qFormat/>
    <w:uiPriority w:val="0"/>
    <w:pPr>
      <w:widowControl/>
      <w:spacing w:before="100" w:beforeAutospacing="1" w:after="100" w:afterAutospacing="1"/>
      <w:ind w:firstLine="200" w:firstLineChars="200"/>
      <w:jc w:val="center"/>
    </w:pPr>
    <w:rPr>
      <w:rFonts w:ascii="宋体" w:hAnsi="宋体" w:cs="宋体"/>
      <w:kern w:val="0"/>
      <w:sz w:val="24"/>
      <w:szCs w:val="24"/>
    </w:rPr>
  </w:style>
  <w:style w:type="paragraph" w:customStyle="1" w:styleId="10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02">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04">
    <w:name w:val="节标题"/>
    <w:basedOn w:val="1"/>
    <w:next w:val="105"/>
    <w:uiPriority w:val="0"/>
    <w:pPr>
      <w:widowControl/>
      <w:spacing w:line="289" w:lineRule="atLeast"/>
      <w:jc w:val="center"/>
      <w:textAlignment w:val="baseline"/>
    </w:pPr>
    <w:rPr>
      <w:color w:val="000000"/>
      <w:kern w:val="0"/>
      <w:sz w:val="28"/>
      <w:szCs w:val="20"/>
      <w:u w:color="000000"/>
    </w:rPr>
  </w:style>
  <w:style w:type="paragraph" w:customStyle="1" w:styleId="105">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06">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0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0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09">
    <w:name w:val="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简单回函地址"/>
    <w:basedOn w:val="1"/>
    <w:qFormat/>
    <w:uiPriority w:val="0"/>
  </w:style>
  <w:style w:type="paragraph" w:customStyle="1" w:styleId="11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正文段"/>
    <w:basedOn w:val="1"/>
    <w:qFormat/>
    <w:uiPriority w:val="0"/>
    <w:pPr>
      <w:widowControl/>
      <w:snapToGrid w:val="0"/>
      <w:spacing w:after="156" w:afterLines="50"/>
      <w:ind w:firstLine="200" w:firstLineChars="200"/>
    </w:pPr>
    <w:rPr>
      <w:kern w:val="0"/>
      <w:sz w:val="24"/>
      <w:szCs w:val="20"/>
    </w:rPr>
  </w:style>
  <w:style w:type="paragraph" w:customStyle="1" w:styleId="11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6">
    <w:name w:val="标题 A"/>
    <w:uiPriority w:val="0"/>
    <w:pPr>
      <w:keepNext/>
      <w:outlineLvl w:val="0"/>
    </w:pPr>
    <w:rPr>
      <w:rFonts w:ascii="Helvetica" w:hAnsi="Helvetica" w:eastAsia="ヒラギノ角ゴ Pro W3" w:cs="Times New Roman"/>
      <w:b/>
      <w:color w:val="000000"/>
      <w:sz w:val="56"/>
      <w:lang w:val="en-US" w:eastAsia="zh-CN" w:bidi="ar-SA"/>
    </w:rPr>
  </w:style>
  <w:style w:type="paragraph" w:customStyle="1" w:styleId="117">
    <w:name w:val="Char Char Char1 Char"/>
    <w:basedOn w:val="1"/>
    <w:qFormat/>
    <w:uiPriority w:val="0"/>
    <w:pPr>
      <w:spacing w:line="360" w:lineRule="auto"/>
      <w:ind w:firstLine="200" w:firstLineChars="200"/>
    </w:pPr>
    <w:rPr>
      <w:rFonts w:ascii="宋体" w:hAnsi="宋体" w:cs="宋体"/>
      <w:sz w:val="24"/>
    </w:rPr>
  </w:style>
  <w:style w:type="paragraph" w:customStyle="1" w:styleId="118">
    <w:name w:val="图表文字"/>
    <w:uiPriority w:val="0"/>
    <w:rPr>
      <w:rFonts w:ascii="Calibri" w:hAnsi="Calibri" w:eastAsia="宋体" w:cs="Times New Roman"/>
      <w:sz w:val="21"/>
      <w:szCs w:val="21"/>
      <w:lang w:val="en-US" w:eastAsia="zh-CN" w:bidi="ar-SA"/>
    </w:rPr>
  </w:style>
  <w:style w:type="paragraph" w:customStyle="1" w:styleId="119">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0">
    <w:name w:val="Char"/>
    <w:basedOn w:val="1"/>
    <w:uiPriority w:val="0"/>
    <w:rPr>
      <w:szCs w:val="20"/>
    </w:rPr>
  </w:style>
  <w:style w:type="paragraph" w:customStyle="1" w:styleId="121">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b/>
      <w:bCs/>
      <w:color w:val="000000"/>
      <w:kern w:val="0"/>
      <w:sz w:val="20"/>
      <w:szCs w:val="20"/>
    </w:rPr>
  </w:style>
  <w:style w:type="paragraph" w:customStyle="1" w:styleId="122">
    <w:name w:val="xl71"/>
    <w:basedOn w:val="1"/>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123">
    <w:name w:val="Char1 Char Char Char Char Char Char"/>
    <w:basedOn w:val="1"/>
    <w:qFormat/>
    <w:uiPriority w:val="0"/>
    <w:rPr>
      <w:rFonts w:ascii="Tahoma" w:hAnsi="Tahoma"/>
      <w:sz w:val="24"/>
      <w:szCs w:val="20"/>
    </w:rPr>
  </w:style>
  <w:style w:type="paragraph" w:customStyle="1" w:styleId="124">
    <w:name w:val="xl69"/>
    <w:basedOn w:val="1"/>
    <w:uiPriority w:val="0"/>
    <w:pPr>
      <w:widowControl/>
      <w:spacing w:before="100" w:beforeAutospacing="1" w:after="100" w:afterAutospacing="1"/>
      <w:ind w:firstLine="200" w:firstLineChars="200"/>
      <w:jc w:val="center"/>
    </w:pPr>
    <w:rPr>
      <w:rFonts w:ascii="宋体" w:hAnsi="宋体" w:cs="宋体"/>
      <w:kern w:val="0"/>
      <w:sz w:val="24"/>
      <w:szCs w:val="24"/>
    </w:rPr>
  </w:style>
  <w:style w:type="paragraph" w:customStyle="1" w:styleId="125">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6">
    <w:name w:val="封面文档标题"/>
    <w:basedOn w:val="1"/>
    <w:uiPriority w:val="0"/>
    <w:pPr>
      <w:autoSpaceDE w:val="0"/>
      <w:autoSpaceDN w:val="0"/>
      <w:adjustRightInd w:val="0"/>
      <w:spacing w:line="360" w:lineRule="auto"/>
      <w:jc w:val="center"/>
    </w:pPr>
    <w:rPr>
      <w:rFonts w:ascii="Arial" w:hAnsi="Arial" w:eastAsia="黑体"/>
      <w:bCs/>
      <w:kern w:val="0"/>
      <w:sz w:val="44"/>
      <w:szCs w:val="44"/>
    </w:rPr>
  </w:style>
  <w:style w:type="paragraph" w:customStyle="1" w:styleId="127">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kern w:val="0"/>
      <w:sz w:val="20"/>
      <w:szCs w:val="20"/>
    </w:rPr>
  </w:style>
  <w:style w:type="paragraph" w:customStyle="1" w:styleId="128">
    <w:name w:val="样式1"/>
    <w:basedOn w:val="1"/>
    <w:uiPriority w:val="0"/>
    <w:pPr>
      <w:spacing w:before="120" w:after="120" w:line="300" w:lineRule="auto"/>
    </w:pPr>
    <w:rPr>
      <w:rFonts w:ascii="宋体" w:hAnsi="宋体"/>
      <w:b/>
      <w:sz w:val="24"/>
      <w:szCs w:val="20"/>
    </w:rPr>
  </w:style>
  <w:style w:type="paragraph" w:customStyle="1" w:styleId="129">
    <w:name w:val="Char2"/>
    <w:basedOn w:val="1"/>
    <w:uiPriority w:val="0"/>
    <w:pPr>
      <w:widowControl/>
      <w:spacing w:after="160" w:line="240" w:lineRule="exact"/>
      <w:jc w:val="left"/>
    </w:pPr>
    <w:rPr>
      <w:rFonts w:ascii="Verdana" w:hAnsi="Verdana"/>
      <w:kern w:val="0"/>
      <w:szCs w:val="20"/>
      <w:lang w:eastAsia="en-US"/>
    </w:rPr>
  </w:style>
  <w:style w:type="paragraph" w:customStyle="1" w:styleId="130">
    <w:name w:val="_Style 129"/>
    <w:semiHidden/>
    <w:uiPriority w:val="99"/>
    <w:rPr>
      <w:rFonts w:ascii="仿宋_GB2312" w:hAnsi="Calibri" w:eastAsia="仿宋_GB2312" w:cs="Times New Roman"/>
      <w:sz w:val="28"/>
      <w:szCs w:val="22"/>
      <w:lang w:val="en-US" w:eastAsia="zh-CN" w:bidi="ar-SA"/>
    </w:rPr>
  </w:style>
  <w:style w:type="paragraph" w:customStyle="1" w:styleId="131">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b/>
      <w:bCs/>
      <w:kern w:val="0"/>
      <w:sz w:val="20"/>
      <w:szCs w:val="20"/>
    </w:rPr>
  </w:style>
  <w:style w:type="paragraph" w:customStyle="1" w:styleId="132">
    <w:name w:val="正文（绿盟科技）"/>
    <w:link w:val="314"/>
    <w:uiPriority w:val="0"/>
    <w:pPr>
      <w:spacing w:line="300" w:lineRule="auto"/>
    </w:pPr>
    <w:rPr>
      <w:rFonts w:ascii="Arial" w:hAnsi="Arial" w:eastAsia="宋体" w:cs="Times New Roman"/>
      <w:lang w:val="en-US" w:eastAsia="zh-CN" w:bidi="ar-SA"/>
    </w:rPr>
  </w:style>
  <w:style w:type="paragraph" w:styleId="133">
    <w:name w:val="No Spacing"/>
    <w:link w:val="440"/>
    <w:qFormat/>
    <w:uiPriority w:val="0"/>
    <w:rPr>
      <w:rFonts w:ascii="Calibri" w:hAnsi="Calibri" w:eastAsia="Times New Roman" w:cs="Times New Roman"/>
      <w:kern w:val="2"/>
      <w:sz w:val="22"/>
      <w:szCs w:val="22"/>
      <w:lang w:val="en-US" w:eastAsia="zh-CN" w:bidi="ar-SA"/>
    </w:rPr>
  </w:style>
  <w:style w:type="paragraph" w:customStyle="1" w:styleId="134">
    <w:name w:val="正文2"/>
    <w:uiPriority w:val="0"/>
    <w:pPr>
      <w:jc w:val="both"/>
    </w:pPr>
    <w:rPr>
      <w:rFonts w:ascii="Calibri" w:hAnsi="Calibri" w:eastAsia="宋体" w:cs="Times New Roman"/>
      <w:kern w:val="2"/>
      <w:sz w:val="21"/>
      <w:szCs w:val="21"/>
      <w:lang w:val="en-US" w:eastAsia="zh-CN" w:bidi="ar-SA"/>
    </w:rPr>
  </w:style>
  <w:style w:type="paragraph" w:customStyle="1" w:styleId="135">
    <w:name w:val="2级"/>
    <w:basedOn w:val="1"/>
    <w:uiPriority w:val="0"/>
    <w:pPr>
      <w:numPr>
        <w:ilvl w:val="1"/>
        <w:numId w:val="1"/>
      </w:numPr>
      <w:spacing w:before="156" w:beforeLines="50" w:line="360" w:lineRule="auto"/>
      <w:outlineLvl w:val="1"/>
    </w:pPr>
    <w:rPr>
      <w:rFonts w:eastAsia="黑体"/>
      <w:sz w:val="32"/>
    </w:rPr>
  </w:style>
  <w:style w:type="paragraph" w:customStyle="1" w:styleId="13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表格文字"/>
    <w:basedOn w:val="1"/>
    <w:link w:val="381"/>
    <w:uiPriority w:val="0"/>
    <w:pPr>
      <w:ind w:firstLine="200" w:firstLineChars="200"/>
    </w:pPr>
    <w:rPr>
      <w:kern w:val="0"/>
      <w:sz w:val="20"/>
      <w:szCs w:val="24"/>
    </w:rPr>
  </w:style>
  <w:style w:type="paragraph" w:customStyle="1" w:styleId="138">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firstLineChars="200"/>
      <w:jc w:val="center"/>
      <w:textAlignment w:val="center"/>
    </w:pPr>
    <w:rPr>
      <w:rFonts w:ascii="宋体" w:hAnsi="宋体" w:cs="宋体"/>
      <w:color w:val="000000"/>
      <w:kern w:val="0"/>
      <w:sz w:val="20"/>
      <w:szCs w:val="20"/>
    </w:rPr>
  </w:style>
  <w:style w:type="paragraph" w:customStyle="1" w:styleId="139">
    <w:name w:val="1ji"/>
    <w:basedOn w:val="4"/>
    <w:link w:val="294"/>
    <w:uiPriority w:val="0"/>
    <w:pPr>
      <w:keepLines w:val="0"/>
      <w:widowControl/>
      <w:spacing w:before="0" w:after="0" w:line="240" w:lineRule="auto"/>
      <w:jc w:val="center"/>
    </w:pPr>
    <w:rPr>
      <w:rFonts w:ascii="宋体" w:hAnsi="宋体"/>
      <w:sz w:val="36"/>
    </w:rPr>
  </w:style>
  <w:style w:type="paragraph" w:customStyle="1" w:styleId="140">
    <w:name w:val="列出段落2"/>
    <w:basedOn w:val="1"/>
    <w:uiPriority w:val="0"/>
    <w:pPr>
      <w:ind w:firstLine="420" w:firstLineChars="200"/>
    </w:pPr>
    <w:rPr>
      <w:szCs w:val="22"/>
    </w:rPr>
  </w:style>
  <w:style w:type="paragraph" w:customStyle="1" w:styleId="141">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948A54"/>
      <w:spacing w:before="100" w:beforeAutospacing="1" w:after="100" w:afterAutospacing="1"/>
      <w:ind w:firstLine="200" w:firstLineChars="200"/>
      <w:jc w:val="center"/>
      <w:textAlignment w:val="center"/>
    </w:pPr>
    <w:rPr>
      <w:rFonts w:ascii="宋体" w:hAnsi="宋体" w:cs="宋体"/>
      <w:b/>
      <w:bCs/>
      <w:color w:val="000000"/>
      <w:kern w:val="0"/>
      <w:sz w:val="20"/>
      <w:szCs w:val="20"/>
    </w:rPr>
  </w:style>
  <w:style w:type="paragraph" w:customStyle="1" w:styleId="142">
    <w:name w:val="文章总标题"/>
    <w:basedOn w:val="1"/>
    <w:next w:val="143"/>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43">
    <w:name w:val="文章附标题"/>
    <w:basedOn w:val="1"/>
    <w:next w:val="4"/>
    <w:uiPriority w:val="0"/>
    <w:pPr>
      <w:widowControl/>
      <w:spacing w:before="187" w:after="175" w:line="374" w:lineRule="atLeast"/>
      <w:jc w:val="center"/>
      <w:textAlignment w:val="baseline"/>
    </w:pPr>
    <w:rPr>
      <w:color w:val="000000"/>
      <w:kern w:val="0"/>
      <w:sz w:val="36"/>
      <w:szCs w:val="20"/>
      <w:u w:color="000000"/>
    </w:rPr>
  </w:style>
  <w:style w:type="paragraph" w:customStyle="1" w:styleId="144">
    <w:name w:val="表内文字"/>
    <w:basedOn w:val="1"/>
    <w:uiPriority w:val="0"/>
    <w:pPr>
      <w:snapToGrid w:val="0"/>
      <w:spacing w:before="50" w:after="50"/>
      <w:jc w:val="center"/>
    </w:pPr>
    <w:rPr>
      <w:rFonts w:ascii="仿宋_GB2312" w:hAnsi="宋体" w:eastAsia="仿宋_GB2312"/>
      <w:color w:val="000000"/>
    </w:rPr>
  </w:style>
  <w:style w:type="paragraph" w:customStyle="1" w:styleId="14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kern w:val="0"/>
      <w:sz w:val="20"/>
      <w:szCs w:val="20"/>
    </w:rPr>
  </w:style>
  <w:style w:type="paragraph" w:customStyle="1" w:styleId="146">
    <w:name w:val="Char31"/>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147">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48">
    <w:name w:val="默认段落字体 Para Char Char Char Char Char Char Char Char Char Char Char Char Char"/>
    <w:basedOn w:val="22"/>
    <w:uiPriority w:val="0"/>
    <w:pPr>
      <w:adjustRightInd/>
      <w:spacing w:line="240" w:lineRule="auto"/>
      <w:textAlignment w:val="auto"/>
    </w:pPr>
    <w:rPr>
      <w:rFonts w:ascii="Tahoma" w:hAnsi="Tahoma"/>
      <w:kern w:val="2"/>
      <w:sz w:val="24"/>
      <w:szCs w:val="24"/>
      <w:shd w:val="clear" w:color="auto" w:fill="auto"/>
    </w:rPr>
  </w:style>
  <w:style w:type="paragraph" w:customStyle="1" w:styleId="149">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150">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51">
    <w:name w:val="xl12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firstLineChars="200"/>
      <w:jc w:val="right"/>
      <w:textAlignment w:val="center"/>
    </w:pPr>
    <w:rPr>
      <w:rFonts w:ascii="宋体" w:hAnsi="宋体" w:cs="宋体"/>
      <w:color w:val="000000"/>
      <w:kern w:val="0"/>
      <w:sz w:val="20"/>
      <w:szCs w:val="20"/>
    </w:rPr>
  </w:style>
  <w:style w:type="paragraph" w:customStyle="1" w:styleId="152">
    <w:name w:val="p15"/>
    <w:basedOn w:val="1"/>
    <w:uiPriority w:val="0"/>
    <w:pPr>
      <w:widowControl/>
    </w:pPr>
    <w:rPr>
      <w:rFonts w:ascii="宋体" w:hAnsi="宋体" w:cs="宋体"/>
      <w:kern w:val="0"/>
    </w:rPr>
  </w:style>
  <w:style w:type="paragraph" w:customStyle="1" w:styleId="153">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54">
    <w:name w:val="2-2ji"/>
    <w:basedOn w:val="5"/>
    <w:uiPriority w:val="0"/>
    <w:pPr>
      <w:adjustRightInd w:val="0"/>
      <w:spacing w:before="0" w:after="0" w:line="360" w:lineRule="auto"/>
      <w:jc w:val="center"/>
      <w:textAlignment w:val="baseline"/>
    </w:pPr>
    <w:rPr>
      <w:rFonts w:ascii="宋体" w:hAnsi="宋体" w:eastAsia="宋体"/>
      <w:bCs w:val="0"/>
      <w:sz w:val="36"/>
    </w:rPr>
  </w:style>
  <w:style w:type="paragraph" w:customStyle="1" w:styleId="155">
    <w:name w:val="Char Char1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56">
    <w:name w:val="样式 标题 2 + Times New Roman 四号 非加粗 段前: 5 磅 段后: 0 磅 行距: 固定值 20..."/>
    <w:basedOn w:val="5"/>
    <w:uiPriority w:val="0"/>
    <w:pPr>
      <w:spacing w:before="100" w:after="0" w:line="400" w:lineRule="exact"/>
    </w:pPr>
    <w:rPr>
      <w:rFonts w:ascii="Times New Roman" w:hAnsi="Times New Roman" w:cs="宋体"/>
      <w:b w:val="0"/>
      <w:bCs w:val="0"/>
      <w:sz w:val="28"/>
      <w:szCs w:val="20"/>
    </w:rPr>
  </w:style>
  <w:style w:type="paragraph" w:customStyle="1" w:styleId="157">
    <w:name w:val="自定义标题一"/>
    <w:basedOn w:val="4"/>
    <w:link w:val="363"/>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paragraph" w:customStyle="1" w:styleId="158">
    <w:name w:val="标题1-周"/>
    <w:basedOn w:val="4"/>
    <w:uiPriority w:val="0"/>
    <w:pPr>
      <w:spacing w:before="240" w:after="240" w:line="240" w:lineRule="auto"/>
      <w:ind w:firstLine="200" w:firstLineChars="200"/>
    </w:pPr>
    <w:rPr>
      <w:bCs w:val="0"/>
      <w:color w:val="000000"/>
      <w:sz w:val="32"/>
      <w:szCs w:val="24"/>
    </w:rPr>
  </w:style>
  <w:style w:type="paragraph" w:customStyle="1" w:styleId="159">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948A54"/>
      <w:spacing w:before="100" w:beforeAutospacing="1" w:after="100" w:afterAutospacing="1"/>
      <w:ind w:firstLine="200" w:firstLineChars="200"/>
      <w:jc w:val="center"/>
      <w:textAlignment w:val="center"/>
    </w:pPr>
    <w:rPr>
      <w:rFonts w:ascii="宋体" w:hAnsi="宋体" w:cs="宋体"/>
      <w:b/>
      <w:bCs/>
      <w:color w:val="000000"/>
      <w:kern w:val="0"/>
      <w:sz w:val="20"/>
      <w:szCs w:val="20"/>
    </w:rPr>
  </w:style>
  <w:style w:type="paragraph" w:customStyle="1" w:styleId="160">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161">
    <w:name w:val="Pa0"/>
    <w:basedOn w:val="1"/>
    <w:next w:val="1"/>
    <w:uiPriority w:val="0"/>
    <w:pPr>
      <w:autoSpaceDE w:val="0"/>
      <w:autoSpaceDN w:val="0"/>
      <w:adjustRightInd w:val="0"/>
      <w:spacing w:line="241" w:lineRule="atLeast"/>
      <w:jc w:val="left"/>
    </w:pPr>
    <w:rPr>
      <w:rFonts w:ascii="SIL" w:eastAsia="SIL"/>
      <w:kern w:val="0"/>
      <w:sz w:val="24"/>
    </w:rPr>
  </w:style>
  <w:style w:type="paragraph" w:customStyle="1" w:styleId="162">
    <w:name w:val="Char Char Char Char Char Char Char Char Char Char Char Char Char Char"/>
    <w:basedOn w:val="1"/>
    <w:uiPriority w:val="0"/>
  </w:style>
  <w:style w:type="paragraph" w:customStyle="1" w:styleId="163">
    <w:name w:val="_Style 10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目录标题"/>
    <w:basedOn w:val="1"/>
    <w:next w:val="1"/>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styleId="165">
    <w:name w:val="List Paragraph"/>
    <w:basedOn w:val="1"/>
    <w:link w:val="348"/>
    <w:qFormat/>
    <w:uiPriority w:val="34"/>
    <w:pPr>
      <w:ind w:firstLine="420" w:firstLineChars="200"/>
    </w:pPr>
    <w:rPr>
      <w:szCs w:val="20"/>
    </w:rPr>
  </w:style>
  <w:style w:type="paragraph" w:customStyle="1" w:styleId="166">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67">
    <w:name w:val="Char11"/>
    <w:basedOn w:val="1"/>
    <w:uiPriority w:val="0"/>
    <w:rPr>
      <w:rFonts w:ascii="仿宋_GB2312" w:eastAsia="仿宋_GB2312"/>
      <w:b/>
      <w:sz w:val="32"/>
      <w:szCs w:val="32"/>
    </w:rPr>
  </w:style>
  <w:style w:type="paragraph" w:customStyle="1" w:styleId="168">
    <w:name w:val="1级"/>
    <w:basedOn w:val="4"/>
    <w:uiPriority w:val="0"/>
    <w:pPr>
      <w:keepNext w:val="0"/>
      <w:spacing w:line="520" w:lineRule="exact"/>
      <w:jc w:val="center"/>
    </w:pPr>
    <w:rPr>
      <w:rFonts w:ascii="黑体" w:eastAsia="黑体"/>
      <w:b w:val="0"/>
    </w:rPr>
  </w:style>
  <w:style w:type="paragraph" w:customStyle="1" w:styleId="169">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70">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b/>
      <w:bCs/>
      <w:color w:val="000000"/>
      <w:kern w:val="0"/>
      <w:sz w:val="20"/>
      <w:szCs w:val="20"/>
    </w:rPr>
  </w:style>
  <w:style w:type="paragraph" w:customStyle="1" w:styleId="171">
    <w:name w:val="xl106"/>
    <w:basedOn w:val="1"/>
    <w:uiPriority w:val="0"/>
    <w:pPr>
      <w:widowControl/>
      <w:shd w:val="clear" w:color="000000" w:fill="948A54"/>
      <w:spacing w:before="100" w:beforeAutospacing="1" w:after="100" w:afterAutospacing="1"/>
      <w:ind w:firstLine="200" w:firstLineChars="200"/>
      <w:jc w:val="left"/>
    </w:pPr>
    <w:rPr>
      <w:rFonts w:ascii="宋体" w:hAnsi="宋体" w:cs="宋体"/>
      <w:kern w:val="0"/>
      <w:sz w:val="24"/>
      <w:szCs w:val="24"/>
    </w:rPr>
  </w:style>
  <w:style w:type="paragraph" w:customStyle="1" w:styleId="172">
    <w:name w:val="font7"/>
    <w:basedOn w:val="1"/>
    <w:uiPriority w:val="0"/>
    <w:pPr>
      <w:widowControl/>
      <w:spacing w:before="100" w:beforeAutospacing="1" w:after="100" w:afterAutospacing="1"/>
      <w:jc w:val="left"/>
    </w:pPr>
    <w:rPr>
      <w:kern w:val="0"/>
      <w:sz w:val="20"/>
      <w:szCs w:val="20"/>
    </w:rPr>
  </w:style>
  <w:style w:type="paragraph" w:customStyle="1" w:styleId="173">
    <w:name w:val="Char1 Char Char Char Char Char Char1"/>
    <w:basedOn w:val="1"/>
    <w:uiPriority w:val="0"/>
    <w:pPr>
      <w:widowControl/>
      <w:spacing w:after="160" w:line="240" w:lineRule="exact"/>
      <w:jc w:val="left"/>
    </w:pPr>
  </w:style>
  <w:style w:type="paragraph" w:customStyle="1" w:styleId="174">
    <w:name w:val="_Style 2"/>
    <w:basedOn w:val="1"/>
    <w:uiPriority w:val="0"/>
  </w:style>
  <w:style w:type="paragraph" w:customStyle="1" w:styleId="175">
    <w:name w:val="itemlist"/>
    <w:basedOn w:val="1"/>
    <w:uiPriority w:val="0"/>
    <w:pPr>
      <w:widowControl/>
      <w:spacing w:before="100" w:beforeAutospacing="1" w:after="100" w:afterAutospacing="1"/>
      <w:jc w:val="left"/>
    </w:pPr>
    <w:rPr>
      <w:rFonts w:ascii="宋体" w:hAnsi="宋体" w:cs="宋体"/>
      <w:kern w:val="0"/>
      <w:sz w:val="24"/>
    </w:rPr>
  </w:style>
  <w:style w:type="paragraph" w:customStyle="1" w:styleId="176">
    <w:name w:val="表格文本"/>
    <w:basedOn w:val="1"/>
    <w:uiPriority w:val="0"/>
    <w:pPr>
      <w:tabs>
        <w:tab w:val="decimal" w:pos="0"/>
      </w:tabs>
      <w:autoSpaceDE w:val="0"/>
      <w:autoSpaceDN w:val="0"/>
      <w:adjustRightInd w:val="0"/>
      <w:ind w:right="-120"/>
      <w:jc w:val="left"/>
    </w:pPr>
    <w:rPr>
      <w:rFonts w:ascii="宋体" w:hAnsi="Helv"/>
      <w:color w:val="000000"/>
      <w:kern w:val="0"/>
      <w:sz w:val="24"/>
      <w:szCs w:val="20"/>
    </w:rPr>
  </w:style>
  <w:style w:type="paragraph" w:customStyle="1" w:styleId="177">
    <w:name w:val="样式 正文文本缩进 + 左侧:  2 字符"/>
    <w:basedOn w:val="1"/>
    <w:next w:val="1"/>
    <w:uiPriority w:val="0"/>
    <w:pPr>
      <w:adjustRightInd w:val="0"/>
      <w:spacing w:line="360" w:lineRule="auto"/>
      <w:ind w:firstLine="200" w:firstLineChars="200"/>
      <w:jc w:val="left"/>
    </w:pPr>
    <w:rPr>
      <w:rFonts w:ascii="宋体" w:cs="宋体"/>
      <w:sz w:val="24"/>
      <w:szCs w:val="20"/>
    </w:rPr>
  </w:style>
  <w:style w:type="paragraph" w:customStyle="1" w:styleId="178">
    <w:name w:val="4"/>
    <w:basedOn w:val="1"/>
    <w:next w:val="41"/>
    <w:uiPriority w:val="0"/>
    <w:pPr>
      <w:spacing w:line="420" w:lineRule="exact"/>
      <w:ind w:firstLine="409" w:firstLineChars="195"/>
    </w:pPr>
  </w:style>
  <w:style w:type="paragraph" w:customStyle="1" w:styleId="179">
    <w:name w:val="标题1"/>
    <w:basedOn w:val="1"/>
    <w:uiPriority w:val="0"/>
    <w:pPr>
      <w:tabs>
        <w:tab w:val="left" w:pos="720"/>
        <w:tab w:val="left" w:pos="1442"/>
      </w:tabs>
      <w:spacing w:line="560" w:lineRule="atLeast"/>
      <w:jc w:val="left"/>
    </w:pPr>
    <w:rPr>
      <w:rFonts w:ascii="黑体" w:hAnsi="宋体" w:eastAsia="黑体"/>
      <w:b/>
      <w:sz w:val="32"/>
    </w:rPr>
  </w:style>
  <w:style w:type="paragraph" w:customStyle="1" w:styleId="180">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81">
    <w:name w:val="纯文本1"/>
    <w:basedOn w:val="1"/>
    <w:uiPriority w:val="0"/>
    <w:rPr>
      <w:rFonts w:ascii="宋体" w:hAnsi="Courier New"/>
      <w:szCs w:val="20"/>
    </w:rPr>
  </w:style>
  <w:style w:type="paragraph" w:customStyle="1" w:styleId="182">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textAlignment w:val="center"/>
    </w:pPr>
    <w:rPr>
      <w:rFonts w:ascii="宋体" w:hAnsi="宋体" w:cs="宋体"/>
      <w:color w:val="000000"/>
      <w:kern w:val="0"/>
      <w:sz w:val="20"/>
      <w:szCs w:val="20"/>
    </w:rPr>
  </w:style>
  <w:style w:type="paragraph" w:customStyle="1" w:styleId="183">
    <w:name w:val="段"/>
    <w:link w:val="356"/>
    <w:uiPriority w:val="0"/>
    <w:pPr>
      <w:autoSpaceDE w:val="0"/>
      <w:autoSpaceDN w:val="0"/>
      <w:ind w:firstLine="200" w:firstLineChars="200"/>
      <w:jc w:val="both"/>
    </w:pPr>
    <w:rPr>
      <w:rFonts w:ascii="宋体" w:hAnsi="Calibri" w:eastAsia="Times New Roman" w:cs="Times New Roman"/>
      <w:sz w:val="21"/>
      <w:lang w:val="en-US" w:eastAsia="zh-CN" w:bidi="ar-SA"/>
    </w:rPr>
  </w:style>
  <w:style w:type="paragraph" w:customStyle="1" w:styleId="184">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85">
    <w:name w:val="缩进 Char Char Char Char"/>
    <w:basedOn w:val="9"/>
    <w:uiPriority w:val="0"/>
    <w:pPr>
      <w:spacing w:beforeLines="50" w:afterLines="50" w:line="360" w:lineRule="auto"/>
      <w:ind w:firstLine="480" w:firstLineChars="200"/>
    </w:pPr>
    <w:rPr>
      <w:rFonts w:ascii="黑体" w:hAnsi="黑体"/>
      <w:kern w:val="0"/>
      <w:sz w:val="24"/>
      <w:szCs w:val="24"/>
    </w:rPr>
  </w:style>
  <w:style w:type="paragraph" w:customStyle="1" w:styleId="186">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0"/>
    </w:rPr>
  </w:style>
  <w:style w:type="paragraph" w:customStyle="1" w:styleId="187">
    <w:name w:val="图表题注"/>
    <w:basedOn w:val="19"/>
    <w:next w:val="9"/>
    <w:uiPriority w:val="0"/>
    <w:pPr>
      <w:jc w:val="center"/>
    </w:pPr>
    <w:rPr>
      <w:rFonts w:ascii="Times New Roman" w:hAnsi="Times New Roman" w:eastAsia="宋体"/>
      <w:sz w:val="21"/>
    </w:rPr>
  </w:style>
  <w:style w:type="paragraph" w:customStyle="1" w:styleId="188">
    <w:name w:val="样式3"/>
    <w:basedOn w:val="1"/>
    <w:uiPriority w:val="0"/>
    <w:pPr>
      <w:tabs>
        <w:tab w:val="left" w:pos="560"/>
        <w:tab w:val="left" w:pos="1120"/>
      </w:tabs>
      <w:spacing w:line="480" w:lineRule="atLeast"/>
    </w:pPr>
    <w:rPr>
      <w:rFonts w:ascii="宋体" w:eastAsia="创艺简黑体"/>
      <w:szCs w:val="20"/>
    </w:rPr>
  </w:style>
  <w:style w:type="paragraph" w:customStyle="1" w:styleId="189">
    <w:name w:val="文档正文"/>
    <w:basedOn w:val="1"/>
    <w:link w:val="352"/>
    <w:qFormat/>
    <w:uiPriority w:val="0"/>
    <w:pPr>
      <w:adjustRightInd w:val="0"/>
      <w:snapToGrid w:val="0"/>
      <w:spacing w:before="120" w:after="120" w:line="440" w:lineRule="exact"/>
      <w:ind w:firstLine="200" w:firstLineChars="200"/>
    </w:pPr>
    <w:rPr>
      <w:sz w:val="24"/>
      <w:szCs w:val="24"/>
    </w:rPr>
  </w:style>
  <w:style w:type="paragraph" w:customStyle="1" w:styleId="190">
    <w:name w:val="白皮书 正文"/>
    <w:basedOn w:val="1"/>
    <w:link w:val="344"/>
    <w:qFormat/>
    <w:uiPriority w:val="0"/>
    <w:pPr>
      <w:spacing w:beforeLines="50" w:afterLines="50" w:line="360" w:lineRule="auto"/>
      <w:ind w:firstLine="480" w:firstLineChars="200"/>
    </w:pPr>
    <w:rPr>
      <w:rFonts w:ascii="宋体"/>
      <w:sz w:val="24"/>
    </w:rPr>
  </w:style>
  <w:style w:type="paragraph" w:customStyle="1" w:styleId="191">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textAlignment w:val="center"/>
    </w:pPr>
    <w:rPr>
      <w:rFonts w:ascii="宋体" w:hAnsi="宋体" w:cs="宋体"/>
      <w:kern w:val="0"/>
      <w:sz w:val="20"/>
      <w:szCs w:val="20"/>
    </w:rPr>
  </w:style>
  <w:style w:type="paragraph" w:customStyle="1" w:styleId="192">
    <w:name w:val="2ji"/>
    <w:basedOn w:val="5"/>
    <w:uiPriority w:val="0"/>
    <w:pPr>
      <w:adjustRightInd w:val="0"/>
      <w:spacing w:before="0" w:after="0" w:line="360" w:lineRule="auto"/>
      <w:textAlignment w:val="baseline"/>
    </w:pPr>
    <w:rPr>
      <w:rFonts w:ascii="宋体" w:hAnsi="宋体" w:eastAsia="宋体"/>
      <w:sz w:val="21"/>
      <w:szCs w:val="21"/>
    </w:rPr>
  </w:style>
  <w:style w:type="paragraph" w:customStyle="1" w:styleId="193">
    <w:name w:val="Char Char Char Char Char Char Char Char Char Char Char Char Char Char Char Char1"/>
    <w:basedOn w:val="1"/>
    <w:uiPriority w:val="0"/>
    <w:pPr>
      <w:tabs>
        <w:tab w:val="left" w:pos="360"/>
      </w:tabs>
      <w:spacing w:line="360" w:lineRule="auto"/>
      <w:ind w:left="482" w:firstLine="200" w:firstLineChars="200"/>
    </w:pPr>
    <w:rPr>
      <w:rFonts w:ascii="宋体"/>
      <w:sz w:val="24"/>
    </w:rPr>
  </w:style>
  <w:style w:type="paragraph" w:customStyle="1" w:styleId="194">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5">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196">
    <w:name w:val="小标1级"/>
    <w:basedOn w:val="1"/>
    <w:link w:val="408"/>
    <w:uiPriority w:val="0"/>
    <w:pPr>
      <w:numPr>
        <w:ilvl w:val="0"/>
        <w:numId w:val="1"/>
      </w:numPr>
      <w:tabs>
        <w:tab w:val="left" w:pos="720"/>
      </w:tabs>
      <w:spacing w:line="360" w:lineRule="auto"/>
    </w:pPr>
    <w:rPr>
      <w:rFonts w:ascii="仿宋_GB2312" w:hAnsi="宋体" w:eastAsia="仿宋_GB2312"/>
      <w:b/>
      <w:sz w:val="28"/>
      <w:szCs w:val="28"/>
    </w:rPr>
  </w:style>
  <w:style w:type="paragraph" w:customStyle="1" w:styleId="197">
    <w:name w:val="xl11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firstLineChars="200"/>
      <w:jc w:val="left"/>
      <w:textAlignment w:val="center"/>
    </w:pPr>
    <w:rPr>
      <w:rFonts w:ascii="宋体" w:hAnsi="宋体" w:cs="宋体"/>
      <w:kern w:val="0"/>
      <w:sz w:val="20"/>
      <w:szCs w:val="20"/>
    </w:rPr>
  </w:style>
  <w:style w:type="paragraph" w:customStyle="1" w:styleId="198">
    <w:name w:val="10"/>
    <w:basedOn w:val="1"/>
    <w:next w:val="41"/>
    <w:uiPriority w:val="0"/>
    <w:pPr>
      <w:spacing w:after="120" w:line="360" w:lineRule="auto"/>
      <w:ind w:firstLine="480" w:firstLineChars="200"/>
    </w:pPr>
    <w:rPr>
      <w:sz w:val="24"/>
    </w:rPr>
  </w:style>
  <w:style w:type="paragraph" w:customStyle="1" w:styleId="199">
    <w:name w:val="样式 标题 3 + (中文) 黑体 小四 非加粗 段前: 7.8 磅 段后: 0 磅 行距: 固定值 20 磅"/>
    <w:basedOn w:val="6"/>
    <w:uiPriority w:val="0"/>
    <w:pPr>
      <w:spacing w:before="0" w:after="0" w:line="400" w:lineRule="exact"/>
    </w:pPr>
    <w:rPr>
      <w:rFonts w:eastAsia="黑体" w:cs="宋体"/>
      <w:b w:val="0"/>
      <w:bCs w:val="0"/>
      <w:sz w:val="24"/>
      <w:szCs w:val="20"/>
    </w:rPr>
  </w:style>
  <w:style w:type="paragraph" w:customStyle="1" w:styleId="200">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kern w:val="0"/>
      <w:sz w:val="20"/>
      <w:szCs w:val="20"/>
    </w:rPr>
  </w:style>
  <w:style w:type="paragraph" w:customStyle="1" w:styleId="201">
    <w:name w:val="题注样式"/>
    <w:qFormat/>
    <w:uiPriority w:val="0"/>
    <w:pPr>
      <w:jc w:val="center"/>
    </w:pPr>
    <w:rPr>
      <w:rFonts w:ascii="楷体_GB2312" w:hAnsi="Calibri" w:eastAsia="楷体_GB2312" w:cs="Times New Roman"/>
      <w:b/>
      <w:sz w:val="24"/>
      <w:szCs w:val="22"/>
      <w:lang w:val="en-US" w:eastAsia="zh-CN" w:bidi="ar-SA"/>
    </w:rPr>
  </w:style>
  <w:style w:type="paragraph" w:customStyle="1" w:styleId="202">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0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b/>
      <w:bCs/>
      <w:kern w:val="0"/>
      <w:sz w:val="20"/>
      <w:szCs w:val="20"/>
    </w:rPr>
  </w:style>
  <w:style w:type="paragraph" w:customStyle="1" w:styleId="204">
    <w:name w:val="样式 正文文本 + Palatino Linotype"/>
    <w:basedOn w:val="28"/>
    <w:link w:val="291"/>
    <w:uiPriority w:val="0"/>
    <w:pPr>
      <w:widowControl/>
      <w:spacing w:after="120" w:line="360" w:lineRule="auto"/>
      <w:ind w:firstLine="482" w:firstLineChars="200"/>
    </w:pPr>
    <w:rPr>
      <w:rFonts w:ascii="Palatino Linotype" w:hAnsi="Palatino Linotype"/>
    </w:rPr>
  </w:style>
  <w:style w:type="paragraph" w:customStyle="1" w:styleId="205">
    <w:name w:val="封面表格文本"/>
    <w:basedOn w:val="1"/>
    <w:uiPriority w:val="0"/>
    <w:pPr>
      <w:autoSpaceDE w:val="0"/>
      <w:autoSpaceDN w:val="0"/>
      <w:adjustRightInd w:val="0"/>
      <w:jc w:val="center"/>
    </w:pPr>
    <w:rPr>
      <w:rFonts w:ascii="Arial" w:hAnsi="Arial"/>
      <w:kern w:val="0"/>
    </w:rPr>
  </w:style>
  <w:style w:type="paragraph" w:customStyle="1" w:styleId="206">
    <w:name w:val="Char Char Char Char Char Char Char Char Char Char Char Char Char Char1"/>
    <w:basedOn w:val="1"/>
    <w:uiPriority w:val="0"/>
  </w:style>
  <w:style w:type="paragraph" w:customStyle="1" w:styleId="207">
    <w:name w:val="正文--2字符首行缩进"/>
    <w:basedOn w:val="1"/>
    <w:link w:val="436"/>
    <w:uiPriority w:val="0"/>
    <w:pPr>
      <w:snapToGrid w:val="0"/>
      <w:spacing w:line="360" w:lineRule="auto"/>
      <w:ind w:firstLine="560" w:firstLineChars="200"/>
      <w:contextualSpacing/>
    </w:pPr>
    <w:rPr>
      <w:rFonts w:ascii="仿宋_GB2312" w:eastAsia="仿宋_GB2312"/>
      <w:sz w:val="28"/>
      <w:szCs w:val="24"/>
    </w:rPr>
  </w:style>
  <w:style w:type="paragraph" w:customStyle="1" w:styleId="208">
    <w:name w:val="正文文本缩进1"/>
    <w:uiPriority w:val="0"/>
    <w:pPr>
      <w:widowControl w:val="0"/>
      <w:spacing w:line="360" w:lineRule="auto"/>
      <w:ind w:firstLine="360"/>
      <w:jc w:val="both"/>
    </w:pPr>
    <w:rPr>
      <w:rFonts w:ascii="Calibri" w:hAnsi="Calibri" w:eastAsia="ヒラギノ角ゴ Pro W3" w:cs="Times New Roman"/>
      <w:color w:val="000000"/>
      <w:kern w:val="2"/>
      <w:sz w:val="24"/>
      <w:lang w:val="en-US" w:eastAsia="zh-CN" w:bidi="ar-SA"/>
    </w:rPr>
  </w:style>
  <w:style w:type="paragraph" w:customStyle="1" w:styleId="209">
    <w:name w:val="目录1"/>
    <w:basedOn w:val="1"/>
    <w:next w:val="1"/>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210">
    <w:name w:val="表格样式"/>
    <w:qFormat/>
    <w:uiPriority w:val="0"/>
    <w:pPr>
      <w:snapToGrid w:val="0"/>
      <w:spacing w:line="359" w:lineRule="exact"/>
    </w:pPr>
    <w:rPr>
      <w:rFonts w:ascii="宋体" w:hAnsi="宋体" w:eastAsia="宋体" w:cs="Times New Roman"/>
      <w:lang w:val="en-US" w:eastAsia="zh-CN" w:bidi="ar-SA"/>
    </w:rPr>
  </w:style>
  <w:style w:type="paragraph" w:customStyle="1" w:styleId="211">
    <w:name w:val="_Style 11"/>
    <w:basedOn w:val="1"/>
    <w:uiPriority w:val="0"/>
  </w:style>
  <w:style w:type="paragraph" w:customStyle="1" w:styleId="212">
    <w:name w:val="目录2"/>
    <w:basedOn w:val="1"/>
    <w:next w:val="1"/>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213">
    <w:name w:val="Pa11"/>
    <w:basedOn w:val="1"/>
    <w:next w:val="1"/>
    <w:uiPriority w:val="0"/>
    <w:pPr>
      <w:autoSpaceDE w:val="0"/>
      <w:autoSpaceDN w:val="0"/>
      <w:adjustRightInd w:val="0"/>
      <w:spacing w:before="156" w:beforeLines="50" w:after="156" w:afterLines="50" w:line="241" w:lineRule="atLeast"/>
      <w:ind w:firstLine="200" w:firstLineChars="200"/>
      <w:jc w:val="left"/>
    </w:pPr>
    <w:rPr>
      <w:rFonts w:ascii="DFPHeiW5-GB" w:hAnsi="宋体" w:eastAsia="DFPHeiW5-GB"/>
      <w:color w:val="000000"/>
      <w:kern w:val="0"/>
      <w:sz w:val="24"/>
    </w:rPr>
  </w:style>
  <w:style w:type="paragraph" w:customStyle="1" w:styleId="214">
    <w:name w:val="表格"/>
    <w:basedOn w:val="1"/>
    <w:uiPriority w:val="0"/>
    <w:pPr>
      <w:spacing w:line="400" w:lineRule="exact"/>
    </w:pPr>
    <w:rPr>
      <w:sz w:val="24"/>
    </w:rPr>
  </w:style>
  <w:style w:type="paragraph" w:customStyle="1" w:styleId="215">
    <w:name w:val="Char Char Char Char Char Char Char"/>
    <w:basedOn w:val="1"/>
    <w:uiPriority w:val="0"/>
  </w:style>
  <w:style w:type="paragraph" w:customStyle="1" w:styleId="216">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200" w:firstLineChars="200"/>
      <w:jc w:val="left"/>
      <w:textAlignment w:val="center"/>
    </w:pPr>
    <w:rPr>
      <w:rFonts w:ascii="宋体" w:hAnsi="宋体" w:cs="宋体"/>
      <w:kern w:val="0"/>
      <w:sz w:val="20"/>
      <w:szCs w:val="20"/>
    </w:rPr>
  </w:style>
  <w:style w:type="paragraph" w:customStyle="1" w:styleId="217">
    <w:name w:val="xl96"/>
    <w:basedOn w:val="1"/>
    <w:qFormat/>
    <w:uiPriority w:val="0"/>
    <w:pPr>
      <w:widowControl/>
      <w:spacing w:before="100" w:beforeAutospacing="1" w:after="100" w:afterAutospacing="1"/>
      <w:ind w:firstLine="200" w:firstLineChars="200"/>
      <w:jc w:val="left"/>
    </w:pPr>
    <w:rPr>
      <w:rFonts w:ascii="宋体" w:hAnsi="宋体" w:cs="宋体"/>
      <w:kern w:val="0"/>
      <w:sz w:val="20"/>
      <w:szCs w:val="20"/>
    </w:rPr>
  </w:style>
  <w:style w:type="paragraph" w:customStyle="1" w:styleId="218">
    <w:name w:val="pa-0"/>
    <w:basedOn w:val="1"/>
    <w:uiPriority w:val="0"/>
    <w:pPr>
      <w:widowControl/>
      <w:spacing w:before="125" w:after="125"/>
      <w:jc w:val="left"/>
    </w:pPr>
    <w:rPr>
      <w:rFonts w:ascii="宋体" w:hAnsi="宋体" w:cs="宋体"/>
      <w:kern w:val="0"/>
      <w:sz w:val="24"/>
    </w:rPr>
  </w:style>
  <w:style w:type="paragraph" w:customStyle="1" w:styleId="219">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b/>
      <w:bCs/>
      <w:color w:val="000000"/>
      <w:kern w:val="0"/>
      <w:sz w:val="20"/>
      <w:szCs w:val="20"/>
    </w:rPr>
  </w:style>
  <w:style w:type="paragraph" w:customStyle="1" w:styleId="220">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1">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right"/>
      <w:textAlignment w:val="center"/>
    </w:pPr>
    <w:rPr>
      <w:rFonts w:ascii="宋体" w:hAnsi="宋体" w:cs="宋体"/>
      <w:kern w:val="0"/>
      <w:sz w:val="20"/>
      <w:szCs w:val="20"/>
    </w:rPr>
  </w:style>
  <w:style w:type="paragraph" w:customStyle="1" w:styleId="222">
    <w:name w:val="Char Char3 Char Char"/>
    <w:basedOn w:val="1"/>
    <w:uiPriority w:val="0"/>
    <w:pPr>
      <w:widowControl/>
      <w:spacing w:after="160" w:line="240" w:lineRule="exact"/>
      <w:jc w:val="left"/>
    </w:pPr>
    <w:rPr>
      <w:rFonts w:ascii="Verdana" w:hAnsi="Verdana"/>
      <w:kern w:val="0"/>
      <w:sz w:val="20"/>
      <w:szCs w:val="20"/>
      <w:lang w:eastAsia="en-US"/>
    </w:rPr>
  </w:style>
  <w:style w:type="paragraph" w:customStyle="1" w:styleId="223">
    <w:name w:val="目录3"/>
    <w:basedOn w:val="1"/>
    <w:next w:val="1"/>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224">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color w:val="FF0000"/>
      <w:kern w:val="0"/>
      <w:sz w:val="20"/>
      <w:szCs w:val="20"/>
    </w:rPr>
  </w:style>
  <w:style w:type="paragraph" w:customStyle="1" w:styleId="225">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226">
    <w:name w:val="444"/>
    <w:basedOn w:val="1"/>
    <w:uiPriority w:val="0"/>
    <w:pPr>
      <w:adjustRightInd w:val="0"/>
      <w:spacing w:line="312" w:lineRule="atLeast"/>
      <w:jc w:val="center"/>
      <w:textAlignment w:val="baseline"/>
    </w:pPr>
    <w:rPr>
      <w:b/>
      <w:kern w:val="0"/>
      <w:sz w:val="36"/>
      <w:szCs w:val="36"/>
    </w:rPr>
  </w:style>
  <w:style w:type="paragraph" w:customStyle="1" w:styleId="227">
    <w:name w:val="Char Char1 Char Char Char Char"/>
    <w:basedOn w:val="22"/>
    <w:uiPriority w:val="0"/>
    <w:pPr>
      <w:adjustRightInd/>
      <w:spacing w:line="240" w:lineRule="auto"/>
      <w:textAlignment w:val="auto"/>
    </w:pPr>
    <w:rPr>
      <w:rFonts w:ascii="Tahoma" w:hAnsi="Tahoma"/>
      <w:sz w:val="24"/>
      <w:szCs w:val="24"/>
    </w:rPr>
  </w:style>
  <w:style w:type="paragraph" w:customStyle="1" w:styleId="228">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b/>
      <w:bCs/>
      <w:kern w:val="0"/>
      <w:sz w:val="20"/>
      <w:szCs w:val="20"/>
    </w:rPr>
  </w:style>
  <w:style w:type="paragraph" w:customStyle="1" w:styleId="229">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textAlignment w:val="center"/>
    </w:pPr>
    <w:rPr>
      <w:rFonts w:ascii="宋体" w:hAnsi="宋体" w:cs="宋体"/>
      <w:b/>
      <w:bCs/>
      <w:color w:val="000000"/>
      <w:kern w:val="0"/>
      <w:sz w:val="20"/>
      <w:szCs w:val="20"/>
    </w:rPr>
  </w:style>
  <w:style w:type="paragraph" w:customStyle="1" w:styleId="230">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1">
    <w:name w:val="Char Char Char Char Char Char Char1"/>
    <w:basedOn w:val="1"/>
    <w:uiPriority w:val="0"/>
    <w:pPr>
      <w:snapToGrid w:val="0"/>
      <w:spacing w:line="360" w:lineRule="auto"/>
      <w:ind w:firstLine="200" w:firstLineChars="200"/>
    </w:pPr>
    <w:rPr>
      <w:rFonts w:eastAsia="仿宋_GB2312"/>
      <w:sz w:val="24"/>
    </w:rPr>
  </w:style>
  <w:style w:type="paragraph" w:customStyle="1" w:styleId="232">
    <w:name w:val="表"/>
    <w:basedOn w:val="1"/>
    <w:qFormat/>
    <w:uiPriority w:val="0"/>
    <w:pPr>
      <w:widowControl/>
      <w:adjustRightInd w:val="0"/>
      <w:spacing w:line="400" w:lineRule="exact"/>
      <w:ind w:firstLine="200" w:firstLineChars="200"/>
      <w:jc w:val="center"/>
    </w:pPr>
    <w:rPr>
      <w:rFonts w:ascii="宋体"/>
      <w:sz w:val="24"/>
      <w:szCs w:val="20"/>
    </w:rPr>
  </w:style>
  <w:style w:type="paragraph" w:customStyle="1" w:styleId="233">
    <w:name w:val="表号"/>
    <w:basedOn w:val="1"/>
    <w:semiHidden/>
    <w:uiPriority w:val="0"/>
  </w:style>
  <w:style w:type="paragraph" w:customStyle="1" w:styleId="234">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5">
    <w:name w:val="页脚 New New New New New"/>
    <w:basedOn w:val="1"/>
    <w:uiPriority w:val="0"/>
    <w:pPr>
      <w:tabs>
        <w:tab w:val="center" w:pos="4153"/>
        <w:tab w:val="right" w:pos="8306"/>
      </w:tabs>
      <w:snapToGrid w:val="0"/>
      <w:jc w:val="left"/>
    </w:pPr>
    <w:rPr>
      <w:sz w:val="18"/>
      <w:szCs w:val="20"/>
    </w:rPr>
  </w:style>
  <w:style w:type="paragraph" w:customStyle="1" w:styleId="236">
    <w:name w:val="正文-2字符首行缩进"/>
    <w:basedOn w:val="1"/>
    <w:qFormat/>
    <w:uiPriority w:val="0"/>
    <w:pPr>
      <w:spacing w:line="360" w:lineRule="auto"/>
      <w:ind w:firstLine="200" w:firstLineChars="200"/>
    </w:pPr>
    <w:rPr>
      <w:rFonts w:ascii="仿宋_GB2312" w:eastAsia="仿宋_GB2312"/>
      <w:kern w:val="0"/>
      <w:sz w:val="28"/>
      <w:szCs w:val="22"/>
    </w:rPr>
  </w:style>
  <w:style w:type="paragraph" w:customStyle="1" w:styleId="237">
    <w:name w:val="图号"/>
    <w:basedOn w:val="1"/>
    <w:semiHidden/>
    <w:uiPriority w:val="0"/>
    <w:pPr>
      <w:numPr>
        <w:ilvl w:val="3"/>
        <w:numId w:val="1"/>
      </w:numPr>
    </w:pPr>
  </w:style>
  <w:style w:type="paragraph" w:customStyle="1" w:styleId="238">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color w:val="FF0000"/>
      <w:kern w:val="0"/>
      <w:sz w:val="20"/>
      <w:szCs w:val="20"/>
    </w:rPr>
  </w:style>
  <w:style w:type="paragraph" w:customStyle="1" w:styleId="239">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240">
    <w:name w:val="默认段落字体 Para Char"/>
    <w:basedOn w:val="1"/>
    <w:uiPriority w:val="0"/>
    <w:rPr>
      <w:szCs w:val="20"/>
    </w:rPr>
  </w:style>
  <w:style w:type="paragraph" w:customStyle="1" w:styleId="241">
    <w:name w:val="No Spacing1"/>
    <w:qFormat/>
    <w:uiPriority w:val="1"/>
    <w:pPr>
      <w:ind w:firstLine="200" w:firstLineChars="200"/>
    </w:pPr>
    <w:rPr>
      <w:rFonts w:ascii="Calibri" w:hAnsi="Calibri" w:eastAsia="宋体" w:cs="Times New Roman"/>
      <w:kern w:val="2"/>
      <w:sz w:val="21"/>
      <w:szCs w:val="22"/>
      <w:lang w:val="en-US" w:eastAsia="zh-CN" w:bidi="ar-SA"/>
    </w:rPr>
  </w:style>
  <w:style w:type="paragraph" w:customStyle="1" w:styleId="242">
    <w:name w:val="目录4"/>
    <w:basedOn w:val="1"/>
    <w:next w:val="1"/>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243">
    <w:name w:val="xl72"/>
    <w:basedOn w:val="1"/>
    <w:uiPriority w:val="0"/>
    <w:pPr>
      <w:widowControl/>
      <w:spacing w:before="100" w:beforeAutospacing="1" w:after="100" w:afterAutospacing="1"/>
      <w:ind w:firstLine="200" w:firstLineChars="200"/>
      <w:jc w:val="left"/>
    </w:pPr>
    <w:rPr>
      <w:rFonts w:ascii="宋体" w:hAnsi="宋体" w:cs="宋体"/>
      <w:b/>
      <w:bCs/>
      <w:kern w:val="0"/>
      <w:sz w:val="24"/>
      <w:szCs w:val="24"/>
    </w:rPr>
  </w:style>
  <w:style w:type="paragraph" w:customStyle="1" w:styleId="244">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5">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宋体" w:hAnsi="宋体" w:cs="宋体"/>
      <w:b/>
      <w:bCs/>
      <w:kern w:val="0"/>
      <w:sz w:val="20"/>
      <w:szCs w:val="20"/>
    </w:rPr>
  </w:style>
  <w:style w:type="paragraph" w:customStyle="1" w:styleId="246">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b/>
      <w:bCs/>
      <w:color w:val="FF0000"/>
      <w:kern w:val="0"/>
      <w:sz w:val="20"/>
      <w:szCs w:val="20"/>
    </w:rPr>
  </w:style>
  <w:style w:type="paragraph" w:customStyle="1" w:styleId="247">
    <w:name w:val="正文 A"/>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jc w:val="center"/>
    </w:pPr>
    <w:rPr>
      <w:rFonts w:ascii="仿宋_GB2312" w:hAnsi="宋体" w:eastAsia="仿宋_GB2312" w:cs="Times New Roman"/>
      <w:b/>
      <w:kern w:val="2"/>
      <w:sz w:val="24"/>
      <w:szCs w:val="24"/>
      <w:lang w:val="en-US" w:eastAsia="zh-CN" w:bidi="ar-SA"/>
    </w:rPr>
  </w:style>
  <w:style w:type="paragraph" w:customStyle="1" w:styleId="248">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列出段落1"/>
    <w:basedOn w:val="1"/>
    <w:link w:val="375"/>
    <w:qFormat/>
    <w:uiPriority w:val="34"/>
    <w:pPr>
      <w:ind w:firstLine="420" w:firstLineChars="200"/>
    </w:pPr>
  </w:style>
  <w:style w:type="paragraph" w:customStyle="1" w:styleId="250">
    <w:name w:val="纯文本11"/>
    <w:basedOn w:val="1"/>
    <w:uiPriority w:val="0"/>
    <w:pPr>
      <w:suppressAutoHyphens/>
    </w:pPr>
    <w:rPr>
      <w:rFonts w:ascii="宋体" w:hAnsi="宋体" w:cs="Calibri"/>
      <w:kern w:val="1"/>
      <w:sz w:val="20"/>
      <w:lang w:eastAsia="ar-SA"/>
    </w:rPr>
  </w:style>
  <w:style w:type="paragraph" w:customStyle="1" w:styleId="251">
    <w:name w:val="样式 标题 2 + (西文) 宋体 非加粗 居中"/>
    <w:basedOn w:val="5"/>
    <w:uiPriority w:val="0"/>
    <w:pPr>
      <w:jc w:val="center"/>
    </w:pPr>
    <w:rPr>
      <w:rFonts w:ascii="宋体" w:hAnsi="宋体" w:cs="宋体"/>
      <w:b w:val="0"/>
      <w:bCs w:val="0"/>
      <w:spacing w:val="2"/>
      <w:sz w:val="28"/>
      <w:szCs w:val="20"/>
    </w:rPr>
  </w:style>
  <w:style w:type="paragraph" w:customStyle="1" w:styleId="252">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textAlignment w:val="center"/>
    </w:pPr>
    <w:rPr>
      <w:rFonts w:ascii="宋体" w:hAnsi="宋体" w:cs="宋体"/>
      <w:b/>
      <w:bCs/>
      <w:color w:val="000000"/>
      <w:kern w:val="0"/>
      <w:sz w:val="20"/>
      <w:szCs w:val="20"/>
    </w:rPr>
  </w:style>
  <w:style w:type="paragraph" w:customStyle="1" w:styleId="253">
    <w:name w:val="style24"/>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54">
    <w:name w:val="p0"/>
    <w:basedOn w:val="1"/>
    <w:uiPriority w:val="0"/>
    <w:pPr>
      <w:widowControl/>
    </w:pPr>
    <w:rPr>
      <w:kern w:val="0"/>
    </w:rPr>
  </w:style>
  <w:style w:type="paragraph" w:customStyle="1" w:styleId="255">
    <w:name w:val="List Paragraph1"/>
    <w:basedOn w:val="1"/>
    <w:uiPriority w:val="0"/>
    <w:pPr>
      <w:ind w:firstLine="420" w:firstLineChars="200"/>
    </w:pPr>
  </w:style>
  <w:style w:type="paragraph" w:customStyle="1" w:styleId="256">
    <w:name w:val="Char Char3 Char Char1"/>
    <w:basedOn w:val="1"/>
    <w:uiPriority w:val="0"/>
    <w:pPr>
      <w:widowControl/>
      <w:spacing w:after="160" w:line="240" w:lineRule="exact"/>
      <w:jc w:val="left"/>
    </w:pPr>
    <w:rPr>
      <w:rFonts w:ascii="Verdana" w:hAnsi="Verdana"/>
      <w:kern w:val="0"/>
      <w:sz w:val="20"/>
      <w:szCs w:val="20"/>
      <w:lang w:eastAsia="en-US"/>
    </w:rPr>
  </w:style>
  <w:style w:type="paragraph" w:customStyle="1" w:styleId="257">
    <w:name w:val="font8"/>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258">
    <w:name w:val="Default Paragraph Font Para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59">
    <w:name w:val="Char Char Char1 Char1"/>
    <w:basedOn w:val="1"/>
    <w:uiPriority w:val="0"/>
  </w:style>
  <w:style w:type="paragraph" w:customStyle="1" w:styleId="260">
    <w:name w:val="_Style 205"/>
    <w:next w:val="1"/>
    <w:unhideWhenUsed/>
    <w:uiPriority w:val="99"/>
    <w:pPr>
      <w:widowControl w:val="0"/>
      <w:jc w:val="both"/>
    </w:pPr>
    <w:rPr>
      <w:rFonts w:ascii="Calibri" w:hAnsi="Calibri" w:eastAsia="宋体" w:cs="Times New Roman"/>
      <w:kern w:val="2"/>
      <w:sz w:val="21"/>
      <w:szCs w:val="21"/>
      <w:lang w:val="en-US" w:eastAsia="zh-CN" w:bidi="ar-SA"/>
    </w:rPr>
  </w:style>
  <w:style w:type="paragraph" w:customStyle="1" w:styleId="261">
    <w:name w:val="表头文本"/>
    <w:basedOn w:val="1"/>
    <w:uiPriority w:val="0"/>
    <w:pPr>
      <w:autoSpaceDE w:val="0"/>
      <w:autoSpaceDN w:val="0"/>
      <w:adjustRightInd w:val="0"/>
      <w:jc w:val="center"/>
    </w:pPr>
    <w:rPr>
      <w:b/>
      <w:kern w:val="0"/>
      <w:sz w:val="24"/>
      <w:szCs w:val="20"/>
    </w:rPr>
  </w:style>
  <w:style w:type="paragraph" w:customStyle="1" w:styleId="262">
    <w:name w:val="网格型1"/>
    <w:uiPriority w:val="0"/>
    <w:pPr>
      <w:widowControl w:val="0"/>
      <w:jc w:val="both"/>
    </w:pPr>
    <w:rPr>
      <w:rFonts w:ascii="Calibri" w:hAnsi="Calibri" w:eastAsia="ヒラギノ角ゴ Pro W3" w:cs="Times New Roman"/>
      <w:color w:val="000000"/>
      <w:lang w:val="en-US" w:eastAsia="zh-CN" w:bidi="ar-SA"/>
    </w:rPr>
  </w:style>
  <w:style w:type="paragraph" w:customStyle="1" w:styleId="263">
    <w:name w:val="牛样式1"/>
    <w:basedOn w:val="1"/>
    <w:uiPriority w:val="0"/>
    <w:pPr>
      <w:adjustRightInd w:val="0"/>
      <w:spacing w:line="315" w:lineRule="atLeast"/>
      <w:jc w:val="left"/>
      <w:textAlignment w:val="baseline"/>
    </w:pPr>
    <w:rPr>
      <w:rFonts w:ascii="Arial" w:eastAsia="黑体"/>
      <w:kern w:val="0"/>
      <w:szCs w:val="20"/>
    </w:rPr>
  </w:style>
  <w:style w:type="paragraph" w:customStyle="1" w:styleId="264">
    <w:name w:val="样式 首行缩进:  2 字符"/>
    <w:basedOn w:val="1"/>
    <w:uiPriority w:val="0"/>
    <w:pPr>
      <w:spacing w:line="400" w:lineRule="exact"/>
      <w:ind w:firstLine="200" w:firstLineChars="200"/>
    </w:pPr>
    <w:rPr>
      <w:rFonts w:cs="宋体"/>
      <w:sz w:val="24"/>
    </w:rPr>
  </w:style>
  <w:style w:type="paragraph" w:customStyle="1" w:styleId="265">
    <w:name w:val="1"/>
    <w:basedOn w:val="1"/>
    <w:next w:val="37"/>
    <w:uiPriority w:val="0"/>
    <w:rPr>
      <w:rFonts w:ascii="宋体" w:hAnsi="Courier New"/>
      <w:szCs w:val="20"/>
    </w:rPr>
  </w:style>
  <w:style w:type="paragraph" w:customStyle="1" w:styleId="266">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textAlignment w:val="center"/>
    </w:pPr>
    <w:rPr>
      <w:rFonts w:ascii="宋体" w:hAnsi="宋体" w:cs="宋体"/>
      <w:color w:val="000000"/>
      <w:kern w:val="0"/>
      <w:sz w:val="20"/>
      <w:szCs w:val="20"/>
    </w:rPr>
  </w:style>
  <w:style w:type="paragraph" w:customStyle="1" w:styleId="267">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6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b/>
      <w:bCs/>
      <w:kern w:val="0"/>
      <w:sz w:val="20"/>
      <w:szCs w:val="20"/>
    </w:rPr>
  </w:style>
  <w:style w:type="paragraph" w:customStyle="1" w:styleId="269">
    <w:name w:val="Char3"/>
    <w:basedOn w:val="1"/>
    <w:uiPriority w:val="0"/>
    <w:pPr>
      <w:tabs>
        <w:tab w:val="left" w:pos="360"/>
      </w:tabs>
      <w:spacing w:line="360" w:lineRule="auto"/>
      <w:ind w:firstLine="420" w:firstLineChars="150"/>
    </w:pPr>
    <w:rPr>
      <w:sz w:val="28"/>
      <w:szCs w:val="20"/>
    </w:rPr>
  </w:style>
  <w:style w:type="paragraph" w:customStyle="1" w:styleId="270">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b/>
      <w:bCs/>
      <w:kern w:val="0"/>
      <w:sz w:val="20"/>
      <w:szCs w:val="20"/>
    </w:rPr>
  </w:style>
  <w:style w:type="paragraph" w:customStyle="1" w:styleId="272">
    <w:name w:val="图表样式"/>
    <w:basedOn w:val="1"/>
    <w:next w:val="19"/>
    <w:qFormat/>
    <w:uiPriority w:val="0"/>
    <w:pPr>
      <w:spacing w:line="360" w:lineRule="auto"/>
      <w:jc w:val="center"/>
    </w:pPr>
    <w:rPr>
      <w:color w:val="FF0000"/>
      <w:sz w:val="28"/>
      <w:szCs w:val="28"/>
    </w:rPr>
  </w:style>
  <w:style w:type="paragraph" w:customStyle="1" w:styleId="273">
    <w:name w:val="CCTV正文"/>
    <w:basedOn w:val="1"/>
    <w:link w:val="305"/>
    <w:uiPriority w:val="0"/>
    <w:pPr>
      <w:spacing w:line="360" w:lineRule="auto"/>
      <w:ind w:firstLine="200" w:firstLineChars="200"/>
    </w:pPr>
    <w:rPr>
      <w:sz w:val="24"/>
      <w:szCs w:val="24"/>
    </w:rPr>
  </w:style>
  <w:style w:type="paragraph" w:customStyle="1" w:styleId="274">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color w:val="000000"/>
      <w:kern w:val="0"/>
      <w:sz w:val="20"/>
      <w:szCs w:val="20"/>
    </w:rPr>
  </w:style>
  <w:style w:type="paragraph" w:customStyle="1" w:styleId="275">
    <w:name w:val="Char Char Char1"/>
    <w:basedOn w:val="1"/>
    <w:uiPriority w:val="0"/>
  </w:style>
  <w:style w:type="paragraph" w:customStyle="1" w:styleId="276">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right"/>
      <w:textAlignment w:val="center"/>
    </w:pPr>
    <w:rPr>
      <w:rFonts w:ascii="宋体" w:hAnsi="宋体" w:cs="宋体"/>
      <w:kern w:val="0"/>
      <w:sz w:val="20"/>
      <w:szCs w:val="20"/>
    </w:rPr>
  </w:style>
  <w:style w:type="paragraph" w:customStyle="1" w:styleId="277">
    <w:name w:val="PP 行"/>
    <w:basedOn w:val="45"/>
    <w:uiPriority w:val="0"/>
  </w:style>
  <w:style w:type="paragraph" w:customStyle="1" w:styleId="278">
    <w:name w:val="xl68"/>
    <w:basedOn w:val="1"/>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279">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宋体" w:hAnsi="宋体" w:cs="宋体"/>
      <w:b/>
      <w:bCs/>
      <w:kern w:val="0"/>
      <w:sz w:val="20"/>
      <w:szCs w:val="20"/>
    </w:rPr>
  </w:style>
  <w:style w:type="paragraph" w:customStyle="1" w:styleId="280">
    <w:name w:val="列表2"/>
    <w:basedOn w:val="1"/>
    <w:next w:val="1"/>
    <w:qFormat/>
    <w:uiPriority w:val="0"/>
    <w:pPr>
      <w:numPr>
        <w:ilvl w:val="0"/>
        <w:numId w:val="3"/>
      </w:numPr>
      <w:spacing w:line="200" w:lineRule="atLeast"/>
    </w:pPr>
    <w:rPr>
      <w:rFonts w:eastAsia="仿宋"/>
      <w:sz w:val="28"/>
      <w:szCs w:val="24"/>
    </w:rPr>
  </w:style>
  <w:style w:type="paragraph" w:customStyle="1" w:styleId="281">
    <w:name w:val="正文首行缩进两字符"/>
    <w:basedOn w:val="1"/>
    <w:uiPriority w:val="0"/>
    <w:pPr>
      <w:spacing w:line="360" w:lineRule="auto"/>
      <w:ind w:firstLine="200" w:firstLineChars="200"/>
    </w:pPr>
  </w:style>
  <w:style w:type="paragraph" w:customStyle="1" w:styleId="282">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color w:val="000000"/>
      <w:kern w:val="0"/>
      <w:sz w:val="20"/>
      <w:szCs w:val="20"/>
    </w:rPr>
  </w:style>
  <w:style w:type="paragraph" w:customStyle="1" w:styleId="283">
    <w:name w:val="样式2"/>
    <w:basedOn w:val="1"/>
    <w:link w:val="326"/>
    <w:uiPriority w:val="0"/>
    <w:pPr>
      <w:spacing w:before="156" w:beforeLines="50" w:after="156" w:afterLines="50" w:line="360" w:lineRule="auto"/>
      <w:ind w:firstLine="200" w:firstLineChars="200"/>
    </w:pPr>
    <w:rPr>
      <w:rFonts w:ascii="仿宋_GB2312" w:hAnsi="宋体" w:eastAsia="仿宋_GB2312"/>
      <w:b/>
      <w:color w:val="000000"/>
      <w:sz w:val="28"/>
      <w:szCs w:val="24"/>
    </w:rPr>
  </w:style>
  <w:style w:type="paragraph" w:customStyle="1" w:styleId="284">
    <w:name w:val="Char1 Char Char Char"/>
    <w:basedOn w:val="1"/>
    <w:uiPriority w:val="0"/>
    <w:pPr>
      <w:ind w:left="3" w:leftChars="-5"/>
    </w:pPr>
    <w:rPr>
      <w:rFonts w:ascii="Tahoma" w:hAnsi="Tahoma"/>
      <w:sz w:val="24"/>
      <w:szCs w:val="20"/>
    </w:rPr>
  </w:style>
  <w:style w:type="paragraph" w:customStyle="1" w:styleId="285">
    <w:name w:val="3级"/>
    <w:basedOn w:val="1"/>
    <w:uiPriority w:val="0"/>
    <w:pPr>
      <w:spacing w:line="360" w:lineRule="auto"/>
      <w:outlineLvl w:val="2"/>
    </w:pPr>
    <w:rPr>
      <w:rFonts w:eastAsia="华文仿宋"/>
      <w:sz w:val="30"/>
    </w:rPr>
  </w:style>
  <w:style w:type="paragraph" w:customStyle="1" w:styleId="28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center"/>
    </w:pPr>
    <w:rPr>
      <w:rFonts w:ascii="宋体" w:hAnsi="宋体" w:cs="宋体"/>
      <w:b/>
      <w:bCs/>
      <w:color w:val="000000"/>
      <w:kern w:val="0"/>
      <w:sz w:val="20"/>
      <w:szCs w:val="20"/>
    </w:rPr>
  </w:style>
  <w:style w:type="paragraph" w:customStyle="1" w:styleId="287">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left"/>
      <w:textAlignment w:val="center"/>
    </w:pPr>
    <w:rPr>
      <w:rFonts w:ascii="宋体" w:hAnsi="宋体" w:cs="宋体"/>
      <w:kern w:val="0"/>
      <w:sz w:val="20"/>
      <w:szCs w:val="20"/>
    </w:rPr>
  </w:style>
  <w:style w:type="paragraph" w:customStyle="1" w:styleId="288">
    <w:name w:val="Char Char Char Char Char Char1 Char1"/>
    <w:basedOn w:val="1"/>
    <w:uiPriority w:val="0"/>
    <w:pPr>
      <w:widowControl/>
      <w:spacing w:after="160" w:line="240" w:lineRule="exact"/>
      <w:jc w:val="left"/>
    </w:pPr>
    <w:rPr>
      <w:rFonts w:eastAsia="仿宋_GB2312" w:cs="宋体"/>
      <w:kern w:val="0"/>
      <w:szCs w:val="20"/>
      <w:lang w:eastAsia="en-US"/>
    </w:rPr>
  </w:style>
  <w:style w:type="paragraph" w:customStyle="1" w:styleId="289">
    <w:name w:val="Char Char Char Char1"/>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290">
    <w:name w:val="rili11"/>
    <w:uiPriority w:val="0"/>
    <w:rPr>
      <w:sz w:val="21"/>
      <w:szCs w:val="21"/>
    </w:rPr>
  </w:style>
  <w:style w:type="character" w:customStyle="1" w:styleId="291">
    <w:name w:val="样式 正文文本 + Palatino Linotype Char"/>
    <w:link w:val="204"/>
    <w:uiPriority w:val="0"/>
    <w:rPr>
      <w:rFonts w:ascii="Palatino Linotype" w:hAnsi="Palatino Linotype"/>
      <w:sz w:val="24"/>
      <w:szCs w:val="24"/>
      <w:lang w:bidi="ar-SA"/>
    </w:rPr>
  </w:style>
  <w:style w:type="character" w:customStyle="1" w:styleId="292">
    <w:name w:val="纯文本 Char"/>
    <w:uiPriority w:val="0"/>
    <w:rPr>
      <w:rFonts w:ascii="宋体" w:hAnsi="Courier New" w:eastAsia="宋体"/>
      <w:szCs w:val="21"/>
      <w:lang w:bidi="ar-SA"/>
    </w:rPr>
  </w:style>
  <w:style w:type="character" w:customStyle="1" w:styleId="293">
    <w:name w:val="apple-style-span"/>
    <w:basedOn w:val="74"/>
    <w:uiPriority w:val="0"/>
  </w:style>
  <w:style w:type="character" w:customStyle="1" w:styleId="294">
    <w:name w:val="1ji Char Char"/>
    <w:link w:val="139"/>
    <w:uiPriority w:val="0"/>
    <w:rPr>
      <w:rFonts w:ascii="宋体" w:hAnsi="宋体" w:eastAsia="宋体" w:cs="Times New Roman"/>
      <w:b/>
      <w:bCs/>
      <w:kern w:val="44"/>
      <w:sz w:val="36"/>
      <w:szCs w:val="44"/>
    </w:rPr>
  </w:style>
  <w:style w:type="character" w:customStyle="1" w:styleId="295">
    <w:name w:val="Bullet (Single Lines) Char"/>
    <w:uiPriority w:val="0"/>
    <w:rPr>
      <w:rFonts w:ascii="Arial" w:hAnsi="Arial" w:eastAsia="黑体"/>
      <w:b/>
      <w:kern w:val="2"/>
      <w:sz w:val="24"/>
      <w:szCs w:val="24"/>
      <w:lang w:val="en-US" w:eastAsia="zh-CN" w:bidi="ar-SA"/>
    </w:rPr>
  </w:style>
  <w:style w:type="character" w:customStyle="1" w:styleId="296">
    <w:name w:val="Legal Level 1.1.1.1. Char"/>
    <w:uiPriority w:val="0"/>
    <w:rPr>
      <w:rFonts w:ascii="Arial" w:hAnsi="Arial" w:eastAsia="黑体"/>
      <w:kern w:val="2"/>
      <w:sz w:val="21"/>
      <w:szCs w:val="24"/>
      <w:lang w:val="en-US" w:eastAsia="zh-CN" w:bidi="ar-SA"/>
    </w:rPr>
  </w:style>
  <w:style w:type="character" w:customStyle="1" w:styleId="297">
    <w:name w:val="letter list Char1"/>
    <w:uiPriority w:val="0"/>
    <w:rPr>
      <w:rFonts w:ascii="Calibri" w:hAnsi="Calibri" w:eastAsia="宋体"/>
      <w:b/>
      <w:kern w:val="2"/>
      <w:sz w:val="24"/>
      <w:szCs w:val="24"/>
      <w:lang w:val="en-US" w:eastAsia="zh-CN" w:bidi="ar-SA"/>
    </w:rPr>
  </w:style>
  <w:style w:type="character" w:customStyle="1" w:styleId="298">
    <w:name w:val="y101"/>
    <w:uiPriority w:val="0"/>
    <w:rPr>
      <w:rFonts w:hint="default" w:ascii="ˎ̥" w:hAnsi="ˎ̥"/>
      <w:sz w:val="20"/>
      <w:szCs w:val="20"/>
    </w:rPr>
  </w:style>
  <w:style w:type="character" w:customStyle="1" w:styleId="299">
    <w:name w:val="标题 8 字符"/>
    <w:semiHidden/>
    <w:uiPriority w:val="9"/>
    <w:rPr>
      <w:rFonts w:ascii="Calibri Light" w:hAnsi="Calibri Light"/>
      <w:kern w:val="2"/>
      <w:sz w:val="24"/>
      <w:szCs w:val="24"/>
    </w:rPr>
  </w:style>
  <w:style w:type="character" w:customStyle="1" w:styleId="300">
    <w:name w:val="Char Char19"/>
    <w:uiPriority w:val="0"/>
    <w:rPr>
      <w:rFonts w:ascii="Times New Roman" w:hAnsi="Times New Roman" w:eastAsia="宋体" w:cs="Times New Roman"/>
      <w:b/>
      <w:sz w:val="24"/>
      <w:szCs w:val="24"/>
    </w:rPr>
  </w:style>
  <w:style w:type="character" w:customStyle="1" w:styleId="301">
    <w:name w:val="批注文字 字符"/>
    <w:semiHidden/>
    <w:uiPriority w:val="99"/>
    <w:rPr>
      <w:rFonts w:ascii="仿宋_GB2312" w:eastAsia="仿宋_GB2312"/>
      <w:sz w:val="28"/>
      <w:szCs w:val="22"/>
    </w:rPr>
  </w:style>
  <w:style w:type="character" w:customStyle="1" w:styleId="302">
    <w:name w:val="正文缩进 字符"/>
    <w:qFormat/>
    <w:uiPriority w:val="0"/>
    <w:rPr>
      <w:kern w:val="2"/>
      <w:sz w:val="24"/>
      <w:szCs w:val="24"/>
    </w:rPr>
  </w:style>
  <w:style w:type="character" w:customStyle="1" w:styleId="303">
    <w:name w:val="Char Char12"/>
    <w:uiPriority w:val="0"/>
    <w:rPr>
      <w:rFonts w:eastAsia="宋体"/>
      <w:sz w:val="24"/>
    </w:rPr>
  </w:style>
  <w:style w:type="character" w:customStyle="1" w:styleId="304">
    <w:name w:val="标题 7 字符1"/>
    <w:link w:val="11"/>
    <w:uiPriority w:val="0"/>
    <w:rPr>
      <w:rFonts w:ascii="Calibri" w:hAnsi="Calibri" w:eastAsia="宋体"/>
      <w:b/>
      <w:kern w:val="2"/>
      <w:sz w:val="24"/>
      <w:szCs w:val="24"/>
      <w:lang w:val="en-US" w:eastAsia="zh-CN" w:bidi="ar-SA"/>
    </w:rPr>
  </w:style>
  <w:style w:type="character" w:customStyle="1" w:styleId="305">
    <w:name w:val="CCTV正文 Char"/>
    <w:link w:val="273"/>
    <w:uiPriority w:val="0"/>
    <w:rPr>
      <w:kern w:val="2"/>
      <w:sz w:val="24"/>
      <w:szCs w:val="24"/>
      <w:lang w:bidi="ar-SA"/>
    </w:rPr>
  </w:style>
  <w:style w:type="character" w:customStyle="1" w:styleId="306">
    <w:name w:val="标题 Char1"/>
    <w:uiPriority w:val="0"/>
    <w:rPr>
      <w:rFonts w:ascii="Cambria" w:hAnsi="Cambria" w:eastAsia="宋体" w:cs="Times New Roman"/>
      <w:b/>
      <w:bCs/>
      <w:sz w:val="32"/>
      <w:szCs w:val="32"/>
    </w:rPr>
  </w:style>
  <w:style w:type="character" w:customStyle="1" w:styleId="307">
    <w:name w:val="纯文本 字符"/>
    <w:link w:val="37"/>
    <w:qFormat/>
    <w:uiPriority w:val="0"/>
    <w:rPr>
      <w:rFonts w:ascii="宋体" w:hAnsi="Courier New" w:eastAsia="宋体" w:cs="Courier New"/>
      <w:szCs w:val="21"/>
    </w:rPr>
  </w:style>
  <w:style w:type="character" w:customStyle="1" w:styleId="308">
    <w:name w:val="f111"/>
    <w:uiPriority w:val="0"/>
    <w:rPr>
      <w:sz w:val="22"/>
      <w:szCs w:val="22"/>
    </w:rPr>
  </w:style>
  <w:style w:type="character" w:customStyle="1" w:styleId="309">
    <w:name w:val="页脚 Char1"/>
    <w:semiHidden/>
    <w:uiPriority w:val="99"/>
    <w:rPr>
      <w:sz w:val="18"/>
      <w:szCs w:val="18"/>
    </w:rPr>
  </w:style>
  <w:style w:type="character" w:customStyle="1" w:styleId="310">
    <w:name w:val="批注主题 字符1"/>
    <w:link w:val="70"/>
    <w:uiPriority w:val="0"/>
    <w:rPr>
      <w:rFonts w:ascii="Times New Roman" w:hAnsi="Times New Roman"/>
      <w:b/>
      <w:bCs/>
      <w:kern w:val="2"/>
      <w:sz w:val="21"/>
      <w:szCs w:val="24"/>
    </w:rPr>
  </w:style>
  <w:style w:type="character" w:customStyle="1" w:styleId="311">
    <w:name w:val="18h1"/>
    <w:uiPriority w:val="0"/>
    <w:rPr>
      <w:color w:val="3B3B3B"/>
    </w:rPr>
  </w:style>
  <w:style w:type="character" w:customStyle="1" w:styleId="312">
    <w:name w:val="批注主题 字符"/>
    <w:semiHidden/>
    <w:uiPriority w:val="99"/>
    <w:rPr>
      <w:rFonts w:ascii="仿宋_GB2312" w:eastAsia="仿宋_GB2312"/>
      <w:b/>
      <w:bCs/>
      <w:sz w:val="28"/>
      <w:szCs w:val="22"/>
    </w:rPr>
  </w:style>
  <w:style w:type="character" w:customStyle="1" w:styleId="313">
    <w:name w:val="font101"/>
    <w:uiPriority w:val="0"/>
    <w:rPr>
      <w:rFonts w:hint="eastAsia" w:ascii="仿宋_GB2312" w:eastAsia="仿宋_GB2312"/>
      <w:color w:val="000000"/>
      <w:sz w:val="18"/>
      <w:szCs w:val="18"/>
      <w:u w:val="none"/>
    </w:rPr>
  </w:style>
  <w:style w:type="character" w:customStyle="1" w:styleId="314">
    <w:name w:val="正文（绿盟科技） Char"/>
    <w:link w:val="132"/>
    <w:uiPriority w:val="0"/>
    <w:rPr>
      <w:rFonts w:ascii="Arial" w:hAnsi="Arial"/>
      <w:lang w:val="en-US" w:eastAsia="zh-CN" w:bidi="ar-SA"/>
    </w:rPr>
  </w:style>
  <w:style w:type="character" w:customStyle="1" w:styleId="315">
    <w:name w:val="unnamed11"/>
    <w:uiPriority w:val="0"/>
    <w:rPr>
      <w:color w:val="000000"/>
      <w:sz w:val="20"/>
    </w:rPr>
  </w:style>
  <w:style w:type="character" w:customStyle="1" w:styleId="316">
    <w:name w:val="样式 宋体 五号"/>
    <w:uiPriority w:val="0"/>
    <w:rPr>
      <w:rFonts w:ascii="宋体" w:hAnsi="宋体"/>
      <w:sz w:val="21"/>
    </w:rPr>
  </w:style>
  <w:style w:type="character" w:customStyle="1" w:styleId="317">
    <w:name w:val="批注文字 Char"/>
    <w:uiPriority w:val="0"/>
    <w:rPr>
      <w:rFonts w:ascii="Times New Roman" w:hAnsi="Times New Roman" w:eastAsia="宋体" w:cs="Times New Roman"/>
      <w:szCs w:val="20"/>
    </w:rPr>
  </w:style>
  <w:style w:type="character" w:customStyle="1" w:styleId="318">
    <w:name w:val="font551"/>
    <w:uiPriority w:val="0"/>
    <w:rPr>
      <w:rFonts w:hint="eastAsia" w:ascii="仿宋_GB2312" w:eastAsia="仿宋_GB2312"/>
      <w:color w:val="000000"/>
      <w:sz w:val="18"/>
      <w:szCs w:val="18"/>
      <w:u w:val="none"/>
    </w:rPr>
  </w:style>
  <w:style w:type="character" w:customStyle="1" w:styleId="319">
    <w:name w:val="普通文字 Char Char1"/>
    <w:uiPriority w:val="0"/>
    <w:rPr>
      <w:rFonts w:ascii="宋体" w:hAnsi="Courier New" w:eastAsia="宋体" w:cs="Courier New"/>
      <w:szCs w:val="21"/>
    </w:rPr>
  </w:style>
  <w:style w:type="character" w:customStyle="1" w:styleId="320">
    <w:name w:val="font91"/>
    <w:uiPriority w:val="0"/>
    <w:rPr>
      <w:rFonts w:hint="eastAsia" w:ascii="仿宋_GB2312" w:eastAsia="仿宋_GB2312"/>
      <w:color w:val="000000"/>
      <w:sz w:val="18"/>
      <w:szCs w:val="18"/>
      <w:u w:val="none"/>
    </w:rPr>
  </w:style>
  <w:style w:type="character" w:customStyle="1" w:styleId="321">
    <w:name w:val="标题 1 字符"/>
    <w:uiPriority w:val="0"/>
    <w:rPr>
      <w:rFonts w:ascii="黑体" w:eastAsia="黑体"/>
      <w:bCs/>
      <w:sz w:val="32"/>
      <w:szCs w:val="44"/>
    </w:rPr>
  </w:style>
  <w:style w:type="character" w:customStyle="1" w:styleId="322">
    <w:name w:val="正文文本缩进 3 Char1"/>
    <w:uiPriority w:val="0"/>
    <w:rPr>
      <w:sz w:val="16"/>
      <w:szCs w:val="16"/>
    </w:rPr>
  </w:style>
  <w:style w:type="character" w:customStyle="1" w:styleId="323">
    <w:name w:val="标题 2 Char"/>
    <w:uiPriority w:val="9"/>
    <w:rPr>
      <w:rFonts w:ascii="Arial" w:hAnsi="Arial" w:eastAsia="黑体"/>
      <w:b/>
      <w:bCs/>
      <w:kern w:val="2"/>
      <w:sz w:val="32"/>
      <w:szCs w:val="32"/>
      <w:lang w:val="en-US" w:eastAsia="zh-CN" w:bidi="ar-SA"/>
    </w:rPr>
  </w:style>
  <w:style w:type="character" w:customStyle="1" w:styleId="324">
    <w:name w:val="标题 9 字符"/>
    <w:semiHidden/>
    <w:uiPriority w:val="9"/>
    <w:rPr>
      <w:rFonts w:ascii="Calibri Light" w:hAnsi="Calibri Light"/>
      <w:kern w:val="2"/>
      <w:sz w:val="21"/>
      <w:szCs w:val="21"/>
    </w:rPr>
  </w:style>
  <w:style w:type="character" w:customStyle="1" w:styleId="325">
    <w:name w:val="标题 6 字符1"/>
    <w:link w:val="10"/>
    <w:uiPriority w:val="0"/>
    <w:rPr>
      <w:rFonts w:ascii="Arial" w:hAnsi="Arial" w:eastAsia="黑体"/>
      <w:b/>
      <w:kern w:val="2"/>
      <w:sz w:val="24"/>
      <w:szCs w:val="24"/>
      <w:lang w:val="en-US" w:eastAsia="zh-CN" w:bidi="ar-SA"/>
    </w:rPr>
  </w:style>
  <w:style w:type="character" w:customStyle="1" w:styleId="326">
    <w:name w:val="样式2 Char"/>
    <w:link w:val="283"/>
    <w:uiPriority w:val="0"/>
    <w:rPr>
      <w:rFonts w:ascii="仿宋_GB2312" w:hAnsi="宋体" w:eastAsia="仿宋_GB2312"/>
      <w:b/>
      <w:color w:val="000000"/>
      <w:kern w:val="2"/>
      <w:sz w:val="28"/>
      <w:szCs w:val="24"/>
      <w:lang w:bidi="ar-SA"/>
    </w:rPr>
  </w:style>
  <w:style w:type="character" w:customStyle="1" w:styleId="327">
    <w:name w:val="btn-lnk-alignl2"/>
    <w:uiPriority w:val="0"/>
  </w:style>
  <w:style w:type="character" w:customStyle="1" w:styleId="328">
    <w:name w:val="标题 Char"/>
    <w:uiPriority w:val="0"/>
    <w:rPr>
      <w:rFonts w:ascii="Arial" w:hAnsi="Arial" w:eastAsia="宋体" w:cs="Arial"/>
      <w:b/>
      <w:bCs/>
      <w:sz w:val="32"/>
      <w:szCs w:val="32"/>
    </w:rPr>
  </w:style>
  <w:style w:type="character" w:customStyle="1" w:styleId="329">
    <w:name w:val="正文文本缩进 Char1"/>
    <w:basedOn w:val="74"/>
    <w:uiPriority w:val="0"/>
  </w:style>
  <w:style w:type="character" w:customStyle="1" w:styleId="330">
    <w:name w:val="style3"/>
    <w:basedOn w:val="74"/>
    <w:qFormat/>
    <w:uiPriority w:val="0"/>
  </w:style>
  <w:style w:type="character" w:customStyle="1" w:styleId="331">
    <w:name w:val="ca-6"/>
    <w:basedOn w:val="74"/>
    <w:uiPriority w:val="0"/>
  </w:style>
  <w:style w:type="character" w:customStyle="1" w:styleId="332">
    <w:name w:val="正文文本 Char1"/>
    <w:basedOn w:val="74"/>
    <w:semiHidden/>
    <w:uiPriority w:val="99"/>
  </w:style>
  <w:style w:type="character" w:customStyle="1" w:styleId="333">
    <w:name w:val="ca-7"/>
    <w:basedOn w:val="74"/>
    <w:uiPriority w:val="0"/>
  </w:style>
  <w:style w:type="character" w:customStyle="1" w:styleId="334">
    <w:name w:val="Legal Level 1.1.1. Char1"/>
    <w:uiPriority w:val="0"/>
    <w:rPr>
      <w:rFonts w:ascii="Arial" w:hAnsi="Arial" w:eastAsia="黑体"/>
      <w:kern w:val="2"/>
      <w:sz w:val="24"/>
      <w:szCs w:val="24"/>
      <w:lang w:val="en-US" w:eastAsia="zh-CN" w:bidi="ar-SA"/>
    </w:rPr>
  </w:style>
  <w:style w:type="character" w:customStyle="1" w:styleId="335">
    <w:name w:val="Char Char10"/>
    <w:uiPriority w:val="0"/>
    <w:rPr>
      <w:rFonts w:eastAsia="宋体"/>
      <w:szCs w:val="24"/>
    </w:rPr>
  </w:style>
  <w:style w:type="character" w:customStyle="1" w:styleId="336">
    <w:name w:val="正文文本缩进 2 Char1"/>
    <w:basedOn w:val="74"/>
    <w:semiHidden/>
    <w:uiPriority w:val="99"/>
  </w:style>
  <w:style w:type="character" w:customStyle="1" w:styleId="337">
    <w:name w:val="062"/>
    <w:uiPriority w:val="0"/>
    <w:rPr>
      <w:rFonts w:ascii="宋体" w:hAnsi="宋体"/>
      <w:b/>
      <w:bCs/>
      <w:sz w:val="32"/>
    </w:rPr>
  </w:style>
  <w:style w:type="character" w:customStyle="1" w:styleId="338">
    <w:name w:val="Char Char121"/>
    <w:uiPriority w:val="0"/>
    <w:rPr>
      <w:rFonts w:ascii="Arial" w:hAnsi="Arial" w:eastAsia="宋体"/>
      <w:b/>
      <w:bCs/>
      <w:kern w:val="2"/>
      <w:sz w:val="21"/>
      <w:szCs w:val="21"/>
      <w:lang w:bidi="ar-SA"/>
    </w:rPr>
  </w:style>
  <w:style w:type="character" w:customStyle="1" w:styleId="339">
    <w:name w:val="正文缩进 字符1"/>
    <w:link w:val="9"/>
    <w:uiPriority w:val="0"/>
    <w:rPr>
      <w:rFonts w:ascii="Times New Roman" w:hAnsi="Times New Roman"/>
      <w:kern w:val="2"/>
      <w:sz w:val="21"/>
    </w:rPr>
  </w:style>
  <w:style w:type="character" w:customStyle="1" w:styleId="340">
    <w:name w:val="题注 字符"/>
    <w:link w:val="19"/>
    <w:uiPriority w:val="35"/>
    <w:rPr>
      <w:rFonts w:ascii="Arial" w:hAnsi="Arial" w:eastAsia="黑体" w:cs="Arial"/>
      <w:kern w:val="2"/>
    </w:rPr>
  </w:style>
  <w:style w:type="character" w:customStyle="1" w:styleId="341">
    <w:name w:val="Char Char22"/>
    <w:uiPriority w:val="0"/>
    <w:rPr>
      <w:rFonts w:ascii="Arial" w:hAnsi="Arial" w:eastAsia="黑体" w:cs="Times New Roman"/>
      <w:kern w:val="0"/>
      <w:sz w:val="28"/>
      <w:szCs w:val="20"/>
    </w:rPr>
  </w:style>
  <w:style w:type="character" w:customStyle="1" w:styleId="342">
    <w:name w:val="正文文本 2 Char1"/>
    <w:basedOn w:val="74"/>
    <w:uiPriority w:val="0"/>
  </w:style>
  <w:style w:type="character" w:customStyle="1" w:styleId="343">
    <w:name w:val="日期 Char1"/>
    <w:basedOn w:val="74"/>
    <w:semiHidden/>
    <w:qFormat/>
    <w:uiPriority w:val="99"/>
  </w:style>
  <w:style w:type="character" w:customStyle="1" w:styleId="344">
    <w:name w:val="白皮书 正文 Char"/>
    <w:link w:val="190"/>
    <w:uiPriority w:val="0"/>
    <w:rPr>
      <w:rFonts w:ascii="宋体" w:hAnsi="Calibri" w:eastAsia="宋体"/>
      <w:kern w:val="2"/>
      <w:sz w:val="24"/>
      <w:szCs w:val="21"/>
      <w:lang w:bidi="ar-SA"/>
    </w:rPr>
  </w:style>
  <w:style w:type="character" w:customStyle="1" w:styleId="345">
    <w:name w:val="文档结构图 Char1"/>
    <w:semiHidden/>
    <w:uiPriority w:val="99"/>
    <w:rPr>
      <w:rFonts w:ascii="宋体" w:eastAsia="宋体"/>
      <w:sz w:val="18"/>
      <w:szCs w:val="18"/>
    </w:rPr>
  </w:style>
  <w:style w:type="character" w:customStyle="1" w:styleId="346">
    <w:name w:val="尾注文本 字符"/>
    <w:link w:val="42"/>
    <w:uiPriority w:val="99"/>
    <w:rPr>
      <w:kern w:val="2"/>
      <w:sz w:val="21"/>
      <w:szCs w:val="22"/>
    </w:rPr>
  </w:style>
  <w:style w:type="character" w:customStyle="1" w:styleId="347">
    <w:name w:val="1ji Char"/>
    <w:uiPriority w:val="0"/>
    <w:rPr>
      <w:rFonts w:ascii="宋体" w:hAnsi="宋体" w:eastAsia="宋体" w:cs="Times New Roman"/>
      <w:b/>
      <w:bCs/>
      <w:kern w:val="0"/>
      <w:sz w:val="36"/>
      <w:szCs w:val="20"/>
    </w:rPr>
  </w:style>
  <w:style w:type="character" w:customStyle="1" w:styleId="348">
    <w:name w:val="列出段落 字符"/>
    <w:link w:val="165"/>
    <w:locked/>
    <w:uiPriority w:val="34"/>
    <w:rPr>
      <w:rFonts w:eastAsia="宋体"/>
      <w:kern w:val="2"/>
      <w:sz w:val="21"/>
      <w:lang w:val="en-US" w:eastAsia="zh-CN" w:bidi="ar-SA"/>
    </w:rPr>
  </w:style>
  <w:style w:type="character" w:customStyle="1" w:styleId="349">
    <w:name w:val="正文文本样式 Char Char Char"/>
    <w:link w:val="89"/>
    <w:uiPriority w:val="0"/>
    <w:rPr>
      <w:rFonts w:ascii="宋体" w:hAnsi="宋体"/>
      <w:kern w:val="2"/>
      <w:sz w:val="24"/>
      <w:lang w:bidi="ar-SA"/>
    </w:rPr>
  </w:style>
  <w:style w:type="character" w:customStyle="1" w:styleId="350">
    <w:name w:val="页脚 字符"/>
    <w:uiPriority w:val="99"/>
  </w:style>
  <w:style w:type="character" w:customStyle="1" w:styleId="351">
    <w:name w:val="标题 6 字符"/>
    <w:uiPriority w:val="0"/>
    <w:rPr>
      <w:rFonts w:ascii="黑体" w:hAnsi="Cambria" w:eastAsia="黑体"/>
      <w:bCs/>
      <w:sz w:val="28"/>
      <w:szCs w:val="24"/>
    </w:rPr>
  </w:style>
  <w:style w:type="character" w:customStyle="1" w:styleId="352">
    <w:name w:val="文档正文 Char"/>
    <w:link w:val="189"/>
    <w:uiPriority w:val="0"/>
    <w:rPr>
      <w:kern w:val="2"/>
      <w:sz w:val="24"/>
      <w:szCs w:val="24"/>
    </w:rPr>
  </w:style>
  <w:style w:type="character" w:customStyle="1" w:styleId="353">
    <w:name w:val="正文文本 字符"/>
    <w:link w:val="28"/>
    <w:uiPriority w:val="0"/>
    <w:rPr>
      <w:rFonts w:ascii="Times New Roman" w:hAnsi="Times New Roman" w:eastAsia="宋体" w:cs="Times New Roman"/>
      <w:sz w:val="24"/>
      <w:szCs w:val="24"/>
    </w:rPr>
  </w:style>
  <w:style w:type="character" w:customStyle="1" w:styleId="354">
    <w:name w:val="style23"/>
    <w:basedOn w:val="74"/>
    <w:uiPriority w:val="0"/>
  </w:style>
  <w:style w:type="character" w:customStyle="1" w:styleId="355">
    <w:name w:val="body1"/>
    <w:uiPriority w:val="0"/>
    <w:rPr>
      <w:rFonts w:hint="default" w:ascii="Verdana" w:hAnsi="Verdana"/>
      <w:color w:val="000000"/>
      <w:sz w:val="17"/>
      <w:szCs w:val="17"/>
    </w:rPr>
  </w:style>
  <w:style w:type="character" w:customStyle="1" w:styleId="356">
    <w:name w:val="段 Char"/>
    <w:link w:val="183"/>
    <w:uiPriority w:val="0"/>
    <w:rPr>
      <w:rFonts w:ascii="宋体" w:eastAsia="Times New Roman"/>
      <w:sz w:val="21"/>
      <w:lang w:val="en-US" w:eastAsia="zh-CN" w:bidi="ar-SA"/>
    </w:rPr>
  </w:style>
  <w:style w:type="character" w:customStyle="1" w:styleId="357">
    <w:name w:val="标题 2 Char Char Char"/>
    <w:uiPriority w:val="0"/>
    <w:rPr>
      <w:rFonts w:ascii="Arial" w:hAnsi="Arial" w:eastAsia="黑体"/>
      <w:b/>
      <w:bCs/>
      <w:kern w:val="2"/>
      <w:sz w:val="32"/>
      <w:szCs w:val="32"/>
      <w:lang w:val="en-US" w:eastAsia="zh-CN" w:bidi="ar-SA"/>
    </w:rPr>
  </w:style>
  <w:style w:type="character" w:customStyle="1" w:styleId="358">
    <w:name w:val="Char Char16"/>
    <w:uiPriority w:val="0"/>
    <w:rPr>
      <w:rFonts w:eastAsia="宋体"/>
      <w:szCs w:val="24"/>
      <w:shd w:val="clear" w:color="auto" w:fill="000080"/>
    </w:rPr>
  </w:style>
  <w:style w:type="character" w:customStyle="1" w:styleId="359">
    <w:name w:val="标题 2 字符"/>
    <w:uiPriority w:val="0"/>
    <w:rPr>
      <w:rFonts w:ascii="黑体" w:hAnsi="Cambria" w:eastAsia="黑体"/>
      <w:bCs/>
      <w:sz w:val="28"/>
      <w:szCs w:val="32"/>
    </w:rPr>
  </w:style>
  <w:style w:type="character" w:customStyle="1" w:styleId="360">
    <w:name w:val="Char Char20"/>
    <w:uiPriority w:val="0"/>
    <w:rPr>
      <w:rFonts w:ascii="Arial" w:hAnsi="Arial" w:eastAsia="黑体" w:cs="Times New Roman"/>
      <w:b/>
      <w:sz w:val="24"/>
      <w:szCs w:val="24"/>
    </w:rPr>
  </w:style>
  <w:style w:type="character" w:customStyle="1" w:styleId="361">
    <w:name w:val="页脚 字符1"/>
    <w:uiPriority w:val="99"/>
    <w:rPr>
      <w:rFonts w:ascii="仿宋_GB2312" w:eastAsia="仿宋_GB2312"/>
      <w:sz w:val="18"/>
      <w:szCs w:val="18"/>
    </w:rPr>
  </w:style>
  <w:style w:type="character" w:customStyle="1" w:styleId="362">
    <w:name w:val="letter list Char"/>
    <w:uiPriority w:val="0"/>
    <w:rPr>
      <w:rFonts w:eastAsia="宋体"/>
      <w:b/>
      <w:kern w:val="2"/>
      <w:sz w:val="24"/>
      <w:szCs w:val="24"/>
      <w:lang w:val="en-US" w:eastAsia="zh-CN" w:bidi="ar-SA"/>
    </w:rPr>
  </w:style>
  <w:style w:type="character" w:customStyle="1" w:styleId="363">
    <w:name w:val="自定义标题一 Char Char"/>
    <w:link w:val="157"/>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364">
    <w:name w:val="文档结构图 字符"/>
    <w:semiHidden/>
    <w:uiPriority w:val="99"/>
    <w:rPr>
      <w:rFonts w:ascii="宋体"/>
      <w:sz w:val="18"/>
      <w:szCs w:val="18"/>
    </w:rPr>
  </w:style>
  <w:style w:type="character" w:customStyle="1" w:styleId="365">
    <w:name w:val="标题 5 字符1"/>
    <w:link w:val="8"/>
    <w:uiPriority w:val="9"/>
    <w:rPr>
      <w:rFonts w:ascii="Calibri" w:hAnsi="Calibri" w:eastAsia="宋体"/>
      <w:b/>
      <w:kern w:val="2"/>
      <w:sz w:val="28"/>
      <w:szCs w:val="24"/>
      <w:lang w:val="en-US" w:eastAsia="zh-CN" w:bidi="ar-SA"/>
    </w:rPr>
  </w:style>
  <w:style w:type="character" w:customStyle="1" w:styleId="366">
    <w:name w:val="H5 Char"/>
    <w:uiPriority w:val="0"/>
    <w:rPr>
      <w:rFonts w:ascii="Calibri" w:hAnsi="Calibri" w:eastAsia="宋体"/>
      <w:b/>
      <w:kern w:val="2"/>
      <w:sz w:val="28"/>
      <w:szCs w:val="24"/>
      <w:lang w:val="en-US" w:eastAsia="zh-CN" w:bidi="ar-SA"/>
    </w:rPr>
  </w:style>
  <w:style w:type="character" w:customStyle="1" w:styleId="367">
    <w:name w:val="font111"/>
    <w:uiPriority w:val="0"/>
    <w:rPr>
      <w:rFonts w:hint="eastAsia" w:ascii="宋体" w:hAnsi="宋体" w:eastAsia="宋体"/>
      <w:color w:val="000000"/>
      <w:sz w:val="18"/>
      <w:szCs w:val="18"/>
      <w:u w:val="none"/>
    </w:rPr>
  </w:style>
  <w:style w:type="character" w:customStyle="1" w:styleId="368">
    <w:name w:val="链接"/>
    <w:uiPriority w:val="0"/>
    <w:rPr>
      <w:rFonts w:ascii="Times New Roman" w:eastAsia="宋体"/>
      <w:color w:val="0000FF"/>
      <w:sz w:val="21"/>
      <w:u w:val="single" w:color="0000FF"/>
      <w:vertAlign w:val="baseline"/>
      <w:lang w:val="en-US" w:eastAsia="zh-CN"/>
    </w:rPr>
  </w:style>
  <w:style w:type="character" w:customStyle="1" w:styleId="369">
    <w:name w:val="纯文本 Char2"/>
    <w:uiPriority w:val="0"/>
    <w:rPr>
      <w:rFonts w:ascii="宋体" w:hAnsi="Courier New" w:eastAsia="宋体" w:cs="Courier New"/>
      <w:szCs w:val="21"/>
    </w:rPr>
  </w:style>
  <w:style w:type="character" w:customStyle="1" w:styleId="370">
    <w:name w:val="hui3"/>
    <w:uiPriority w:val="0"/>
    <w:rPr>
      <w:color w:val="333333"/>
    </w:rPr>
  </w:style>
  <w:style w:type="character" w:customStyle="1" w:styleId="371">
    <w:name w:val="正文文本缩进 2 字符"/>
    <w:link w:val="41"/>
    <w:uiPriority w:val="0"/>
    <w:rPr>
      <w:rFonts w:ascii="Times New Roman" w:hAnsi="Times New Roman" w:eastAsia="宋体" w:cs="Times New Roman"/>
      <w:sz w:val="32"/>
      <w:szCs w:val="20"/>
    </w:rPr>
  </w:style>
  <w:style w:type="character" w:customStyle="1" w:styleId="372">
    <w:name w:val="正文非缩进 Char Char Char Cha"/>
    <w:uiPriority w:val="0"/>
    <w:rPr>
      <w:rFonts w:eastAsia="宋体"/>
      <w:color w:val="000000"/>
      <w:kern w:val="2"/>
      <w:sz w:val="21"/>
      <w:szCs w:val="24"/>
      <w:lang w:val="en-US" w:eastAsia="zh-CN" w:bidi="ar-SA"/>
    </w:rPr>
  </w:style>
  <w:style w:type="character" w:customStyle="1" w:styleId="373">
    <w:name w:val="Char Char15"/>
    <w:uiPriority w:val="0"/>
    <w:rPr>
      <w:rFonts w:ascii="宋体" w:hAnsi="Courier New" w:eastAsia="宋体" w:cs="Courier New"/>
      <w:szCs w:val="21"/>
    </w:rPr>
  </w:style>
  <w:style w:type="character" w:customStyle="1" w:styleId="374">
    <w:name w:val="标题 7 字符"/>
    <w:semiHidden/>
    <w:uiPriority w:val="9"/>
    <w:rPr>
      <w:rFonts w:ascii="仿宋_GB2312" w:eastAsia="仿宋_GB2312"/>
      <w:b/>
      <w:bCs/>
      <w:sz w:val="24"/>
      <w:szCs w:val="24"/>
    </w:rPr>
  </w:style>
  <w:style w:type="character" w:customStyle="1" w:styleId="375">
    <w:name w:val="列出段落 字符1"/>
    <w:link w:val="249"/>
    <w:qFormat/>
    <w:locked/>
    <w:uiPriority w:val="34"/>
    <w:rPr>
      <w:rFonts w:ascii="Calibri" w:hAnsi="Calibri" w:cs="Calibri"/>
      <w:kern w:val="2"/>
      <w:sz w:val="21"/>
      <w:szCs w:val="21"/>
    </w:rPr>
  </w:style>
  <w:style w:type="character" w:customStyle="1" w:styleId="376">
    <w:name w:val="标题 8 字符1"/>
    <w:link w:val="12"/>
    <w:uiPriority w:val="0"/>
    <w:rPr>
      <w:rFonts w:ascii="Arial" w:hAnsi="Arial" w:eastAsia="黑体"/>
      <w:kern w:val="2"/>
      <w:sz w:val="24"/>
      <w:szCs w:val="24"/>
      <w:lang w:val="en-US" w:eastAsia="zh-CN" w:bidi="ar-SA"/>
    </w:rPr>
  </w:style>
  <w:style w:type="character" w:customStyle="1" w:styleId="377">
    <w:name w:val="批注框文本 字符"/>
    <w:semiHidden/>
    <w:uiPriority w:val="99"/>
    <w:rPr>
      <w:rFonts w:ascii="仿宋_GB2312" w:hAnsi="Calibri" w:eastAsia="仿宋_GB2312" w:cs="Times New Roman"/>
      <w:sz w:val="18"/>
      <w:szCs w:val="18"/>
    </w:rPr>
  </w:style>
  <w:style w:type="character" w:customStyle="1" w:styleId="378">
    <w:name w:val="Char Char11"/>
    <w:uiPriority w:val="0"/>
    <w:rPr>
      <w:rFonts w:eastAsia="宋体"/>
      <w:sz w:val="18"/>
      <w:szCs w:val="18"/>
    </w:rPr>
  </w:style>
  <w:style w:type="character" w:customStyle="1" w:styleId="379">
    <w:name w:val="正文5 Char"/>
    <w:link w:val="90"/>
    <w:uiPriority w:val="0"/>
    <w:rPr>
      <w:rFonts w:cs="Arial"/>
      <w:color w:val="000000"/>
      <w:kern w:val="2"/>
      <w:sz w:val="21"/>
      <w:szCs w:val="21"/>
    </w:rPr>
  </w:style>
  <w:style w:type="character" w:customStyle="1" w:styleId="380">
    <w:name w:val="页眉 字符"/>
    <w:uiPriority w:val="0"/>
    <w:rPr>
      <w:rFonts w:ascii="仿宋_GB2312" w:eastAsia="仿宋_GB2312"/>
      <w:sz w:val="18"/>
      <w:szCs w:val="18"/>
    </w:rPr>
  </w:style>
  <w:style w:type="character" w:customStyle="1" w:styleId="381">
    <w:name w:val="表格文字 Char1"/>
    <w:link w:val="137"/>
    <w:uiPriority w:val="0"/>
    <w:rPr>
      <w:szCs w:val="24"/>
    </w:rPr>
  </w:style>
  <w:style w:type="character" w:customStyle="1" w:styleId="382">
    <w:name w:val="textstyle1"/>
    <w:uiPriority w:val="0"/>
    <w:rPr>
      <w:rFonts w:hint="eastAsia" w:ascii="宋体" w:hAnsi="宋体" w:eastAsia="宋体"/>
      <w:sz w:val="18"/>
      <w:szCs w:val="18"/>
    </w:rPr>
  </w:style>
  <w:style w:type="character" w:customStyle="1" w:styleId="383">
    <w:name w:val="标题 字符"/>
    <w:link w:val="69"/>
    <w:uiPriority w:val="0"/>
    <w:rPr>
      <w:rFonts w:ascii="Arial" w:hAnsi="Arial" w:cs="Arial"/>
      <w:b/>
      <w:bCs/>
      <w:kern w:val="2"/>
      <w:sz w:val="30"/>
      <w:szCs w:val="32"/>
    </w:rPr>
  </w:style>
  <w:style w:type="character" w:customStyle="1" w:styleId="384">
    <w:name w:val="正文文本 3 Char1"/>
    <w:semiHidden/>
    <w:uiPriority w:val="99"/>
    <w:rPr>
      <w:sz w:val="16"/>
      <w:szCs w:val="16"/>
    </w:rPr>
  </w:style>
  <w:style w:type="character" w:customStyle="1" w:styleId="385">
    <w:name w:val="ca-8"/>
    <w:basedOn w:val="74"/>
    <w:qFormat/>
    <w:uiPriority w:val="0"/>
  </w:style>
  <w:style w:type="character" w:customStyle="1" w:styleId="386">
    <w:name w:val="paramname"/>
    <w:basedOn w:val="74"/>
    <w:uiPriority w:val="0"/>
  </w:style>
  <w:style w:type="character" w:customStyle="1" w:styleId="387">
    <w:name w:val="页眉 字符1"/>
    <w:link w:val="44"/>
    <w:uiPriority w:val="99"/>
    <w:rPr>
      <w:rFonts w:ascii="Times New Roman" w:hAnsi="Times New Roman" w:eastAsia="宋体" w:cs="Times New Roman"/>
      <w:sz w:val="18"/>
      <w:szCs w:val="18"/>
    </w:rPr>
  </w:style>
  <w:style w:type="character" w:customStyle="1" w:styleId="388">
    <w:name w:val="批注文字 字符1"/>
    <w:link w:val="24"/>
    <w:uiPriority w:val="0"/>
    <w:rPr>
      <w:rFonts w:ascii="Times New Roman" w:hAnsi="Times New Roman" w:eastAsia="宋体" w:cs="Times New Roman"/>
      <w:kern w:val="0"/>
      <w:sz w:val="24"/>
      <w:szCs w:val="20"/>
    </w:rPr>
  </w:style>
  <w:style w:type="character" w:customStyle="1" w:styleId="389">
    <w:name w:val="文档结构图 字符1"/>
    <w:link w:val="22"/>
    <w:uiPriority w:val="0"/>
    <w:rPr>
      <w:rFonts w:ascii="Times New Roman" w:hAnsi="Times New Roman" w:eastAsia="宋体" w:cs="Times New Roman"/>
      <w:kern w:val="0"/>
      <w:szCs w:val="20"/>
      <w:shd w:val="clear" w:color="auto" w:fill="000080"/>
    </w:rPr>
  </w:style>
  <w:style w:type="character" w:customStyle="1" w:styleId="390">
    <w:name w:val="textfont1"/>
    <w:uiPriority w:val="0"/>
    <w:rPr>
      <w:sz w:val="21"/>
      <w:szCs w:val="21"/>
    </w:rPr>
  </w:style>
  <w:style w:type="character" w:customStyle="1" w:styleId="391">
    <w:name w:val="正文 Char"/>
    <w:link w:val="84"/>
    <w:uiPriority w:val="0"/>
    <w:rPr>
      <w:rFonts w:ascii="宋体" w:hAnsi="宋体" w:eastAsia="宋体"/>
      <w:bCs/>
      <w:kern w:val="2"/>
      <w:sz w:val="21"/>
      <w:szCs w:val="32"/>
      <w:lang w:bidi="ar-SA"/>
    </w:rPr>
  </w:style>
  <w:style w:type="character" w:customStyle="1" w:styleId="392">
    <w:name w:val="标题 1 字符1"/>
    <w:link w:val="4"/>
    <w:uiPriority w:val="0"/>
    <w:rPr>
      <w:rFonts w:ascii="Times New Roman" w:hAnsi="Times New Roman" w:eastAsia="宋体" w:cs="Times New Roman"/>
      <w:b/>
      <w:bCs/>
      <w:kern w:val="44"/>
      <w:sz w:val="44"/>
      <w:szCs w:val="44"/>
    </w:rPr>
  </w:style>
  <w:style w:type="character" w:customStyle="1" w:styleId="393">
    <w:name w:val="页脚 字符2"/>
    <w:link w:val="2"/>
    <w:uiPriority w:val="99"/>
    <w:rPr>
      <w:rFonts w:ascii="Times New Roman" w:hAnsi="Times New Roman" w:eastAsia="宋体" w:cs="Times New Roman"/>
      <w:sz w:val="18"/>
      <w:szCs w:val="18"/>
    </w:rPr>
  </w:style>
  <w:style w:type="character" w:customStyle="1" w:styleId="394">
    <w:name w:val="正文文本缩进 3 字符"/>
    <w:link w:val="56"/>
    <w:uiPriority w:val="0"/>
    <w:rPr>
      <w:rFonts w:ascii="Times New Roman" w:hAnsi="Times New Roman" w:eastAsia="宋体" w:cs="Times New Roman"/>
      <w:sz w:val="16"/>
      <w:szCs w:val="16"/>
    </w:rPr>
  </w:style>
  <w:style w:type="character" w:customStyle="1" w:styleId="395">
    <w:name w:val="HS-页眉 Char Char1"/>
    <w:uiPriority w:val="0"/>
    <w:rPr>
      <w:rFonts w:eastAsia="宋体"/>
      <w:sz w:val="18"/>
      <w:szCs w:val="18"/>
      <w:lang w:bidi="ar-SA"/>
    </w:rPr>
  </w:style>
  <w:style w:type="character" w:customStyle="1" w:styleId="396">
    <w:name w:val="标题 4 字符1"/>
    <w:link w:val="7"/>
    <w:uiPriority w:val="9"/>
    <w:rPr>
      <w:rFonts w:ascii="Arial" w:hAnsi="Arial" w:eastAsia="黑体" w:cs="Times New Roman"/>
      <w:kern w:val="0"/>
      <w:sz w:val="28"/>
      <w:szCs w:val="20"/>
    </w:rPr>
  </w:style>
  <w:style w:type="character" w:customStyle="1" w:styleId="397">
    <w:name w:val="超级链接"/>
    <w:uiPriority w:val="0"/>
    <w:rPr>
      <w:rFonts w:ascii="Times New Roman" w:eastAsia="宋体"/>
      <w:color w:val="0000FF"/>
      <w:sz w:val="21"/>
      <w:u w:val="single" w:color="0000FF"/>
      <w:vertAlign w:val="baseline"/>
      <w:lang w:val="en-US" w:eastAsia="zh-CN"/>
    </w:rPr>
  </w:style>
  <w:style w:type="character" w:customStyle="1" w:styleId="398">
    <w:name w:val="Char Char24"/>
    <w:uiPriority w:val="0"/>
    <w:rPr>
      <w:rFonts w:ascii="Arial" w:hAnsi="Arial" w:eastAsia="黑体" w:cs="Times New Roman"/>
      <w:b/>
      <w:bCs/>
      <w:kern w:val="0"/>
      <w:sz w:val="32"/>
      <w:szCs w:val="32"/>
    </w:rPr>
  </w:style>
  <w:style w:type="character" w:customStyle="1" w:styleId="399">
    <w:name w:val="font121"/>
    <w:uiPriority w:val="0"/>
    <w:rPr>
      <w:rFonts w:hint="eastAsia" w:ascii="宋体" w:hAnsi="宋体" w:eastAsia="宋体"/>
      <w:color w:val="000000"/>
      <w:sz w:val="18"/>
      <w:szCs w:val="18"/>
      <w:u w:val="none"/>
    </w:rPr>
  </w:style>
  <w:style w:type="character" w:customStyle="1" w:styleId="400">
    <w:name w:val="标题 3 字符"/>
    <w:uiPriority w:val="0"/>
    <w:rPr>
      <w:rFonts w:ascii="黑体" w:eastAsia="黑体"/>
      <w:bCs/>
      <w:sz w:val="28"/>
      <w:szCs w:val="32"/>
    </w:rPr>
  </w:style>
  <w:style w:type="character" w:customStyle="1" w:styleId="401">
    <w:name w:val="Char Char13"/>
    <w:uiPriority w:val="0"/>
    <w:rPr>
      <w:rFonts w:eastAsia="宋体"/>
      <w:sz w:val="32"/>
    </w:rPr>
  </w:style>
  <w:style w:type="character" w:customStyle="1" w:styleId="402">
    <w:name w:val="批注主题 Char1"/>
    <w:uiPriority w:val="0"/>
    <w:rPr>
      <w:b/>
      <w:bCs/>
      <w:kern w:val="2"/>
      <w:sz w:val="21"/>
      <w:szCs w:val="24"/>
    </w:rPr>
  </w:style>
  <w:style w:type="character" w:customStyle="1" w:styleId="403">
    <w:name w:val="Char Char17"/>
    <w:uiPriority w:val="0"/>
    <w:rPr>
      <w:rFonts w:ascii="Arial" w:hAnsi="Arial" w:eastAsia="黑体" w:cs="Times New Roman"/>
      <w:szCs w:val="24"/>
    </w:rPr>
  </w:style>
  <w:style w:type="character" w:customStyle="1" w:styleId="404">
    <w:name w:val="font"/>
    <w:basedOn w:val="74"/>
    <w:uiPriority w:val="0"/>
  </w:style>
  <w:style w:type="character" w:customStyle="1" w:styleId="405">
    <w:name w:val="case31"/>
    <w:uiPriority w:val="0"/>
    <w:rPr>
      <w:rFonts w:hint="default"/>
      <w:spacing w:val="390"/>
      <w:sz w:val="21"/>
      <w:szCs w:val="21"/>
    </w:rPr>
  </w:style>
  <w:style w:type="character" w:customStyle="1" w:styleId="406">
    <w:name w:val="H2 Char1"/>
    <w:qFormat/>
    <w:uiPriority w:val="0"/>
    <w:rPr>
      <w:rFonts w:ascii="Arial" w:hAnsi="Arial" w:eastAsia="黑体"/>
      <w:b/>
      <w:bCs/>
      <w:sz w:val="32"/>
      <w:szCs w:val="32"/>
      <w:lang w:bidi="ar-SA"/>
    </w:rPr>
  </w:style>
  <w:style w:type="character" w:customStyle="1" w:styleId="407">
    <w:name w:val="批注框文本 字符1"/>
    <w:link w:val="43"/>
    <w:uiPriority w:val="99"/>
    <w:rPr>
      <w:rFonts w:ascii="Times New Roman" w:hAnsi="Times New Roman" w:eastAsia="宋体" w:cs="Times New Roman"/>
      <w:sz w:val="18"/>
      <w:szCs w:val="18"/>
    </w:rPr>
  </w:style>
  <w:style w:type="character" w:customStyle="1" w:styleId="408">
    <w:name w:val="小标1级 Char"/>
    <w:link w:val="196"/>
    <w:uiPriority w:val="0"/>
    <w:rPr>
      <w:rFonts w:ascii="仿宋_GB2312" w:hAnsi="宋体" w:eastAsia="仿宋_GB2312"/>
      <w:b/>
      <w:kern w:val="2"/>
      <w:sz w:val="28"/>
      <w:szCs w:val="28"/>
    </w:rPr>
  </w:style>
  <w:style w:type="character" w:customStyle="1" w:styleId="409">
    <w:name w:val="p1"/>
    <w:basedOn w:val="74"/>
    <w:uiPriority w:val="0"/>
  </w:style>
  <w:style w:type="character" w:customStyle="1" w:styleId="410">
    <w:name w:val="123321 Char"/>
    <w:uiPriority w:val="0"/>
    <w:rPr>
      <w:rFonts w:eastAsia="宋体"/>
      <w:b/>
      <w:bCs/>
      <w:kern w:val="44"/>
      <w:sz w:val="44"/>
      <w:szCs w:val="44"/>
      <w:lang w:bidi="ar-SA"/>
    </w:rPr>
  </w:style>
  <w:style w:type="character" w:customStyle="1" w:styleId="411">
    <w:name w:val="EHPT Char"/>
    <w:uiPriority w:val="0"/>
    <w:rPr>
      <w:rFonts w:eastAsia="宋体"/>
      <w:sz w:val="24"/>
      <w:szCs w:val="24"/>
      <w:lang w:bidi="ar-SA"/>
    </w:rPr>
  </w:style>
  <w:style w:type="character" w:customStyle="1" w:styleId="412">
    <w:name w:val="纯文本 Char Char"/>
    <w:uiPriority w:val="0"/>
    <w:rPr>
      <w:rFonts w:ascii="宋体" w:hAnsi="Courier New" w:eastAsia="宋体" w:cs="Courier New"/>
      <w:szCs w:val="21"/>
    </w:rPr>
  </w:style>
  <w:style w:type="character" w:customStyle="1" w:styleId="413">
    <w:name w:val="正文文本 2 字符"/>
    <w:link w:val="62"/>
    <w:uiPriority w:val="0"/>
    <w:rPr>
      <w:rFonts w:ascii="Times New Roman" w:hAnsi="Times New Roman" w:eastAsia="宋体" w:cs="Times New Roman"/>
      <w:szCs w:val="24"/>
    </w:rPr>
  </w:style>
  <w:style w:type="character" w:customStyle="1" w:styleId="414">
    <w:name w:val="标题 4 字符"/>
    <w:uiPriority w:val="0"/>
    <w:rPr>
      <w:rFonts w:ascii="黑体" w:hAnsi="Cambria" w:eastAsia="黑体"/>
      <w:bCs/>
      <w:sz w:val="28"/>
      <w:szCs w:val="28"/>
    </w:rPr>
  </w:style>
  <w:style w:type="character" w:customStyle="1" w:styleId="415">
    <w:name w:val="标题 3 字符1"/>
    <w:link w:val="6"/>
    <w:uiPriority w:val="9"/>
    <w:rPr>
      <w:rFonts w:ascii="Times New Roman" w:hAnsi="Times New Roman" w:eastAsia="宋体" w:cs="Times New Roman"/>
      <w:b/>
      <w:bCs/>
      <w:sz w:val="32"/>
      <w:szCs w:val="32"/>
    </w:rPr>
  </w:style>
  <w:style w:type="character" w:customStyle="1" w:styleId="416">
    <w:name w:val="正文文本缩进 字符"/>
    <w:link w:val="29"/>
    <w:uiPriority w:val="0"/>
    <w:rPr>
      <w:rFonts w:ascii="仿宋_GB2312" w:hAnsi="Times New Roman" w:eastAsia="仿宋_GB2312" w:cs="Times New Roman"/>
      <w:sz w:val="32"/>
      <w:szCs w:val="20"/>
    </w:rPr>
  </w:style>
  <w:style w:type="character" w:customStyle="1" w:styleId="417">
    <w:name w:val="Char Char21"/>
    <w:uiPriority w:val="0"/>
    <w:rPr>
      <w:rFonts w:ascii="Times New Roman" w:hAnsi="Times New Roman" w:eastAsia="宋体" w:cs="Times New Roman"/>
      <w:b/>
      <w:sz w:val="28"/>
      <w:szCs w:val="24"/>
    </w:rPr>
  </w:style>
  <w:style w:type="character" w:customStyle="1" w:styleId="418">
    <w:name w:val="Legal Level 1.1.1. Char"/>
    <w:uiPriority w:val="0"/>
    <w:rPr>
      <w:rFonts w:ascii="Arial" w:hAnsi="Arial" w:eastAsia="黑体"/>
      <w:kern w:val="2"/>
      <w:sz w:val="24"/>
      <w:szCs w:val="24"/>
      <w:lang w:val="en-US" w:eastAsia="zh-CN" w:bidi="ar-SA"/>
    </w:rPr>
  </w:style>
  <w:style w:type="character" w:customStyle="1" w:styleId="419">
    <w:name w:val="批注文字 Char1"/>
    <w:uiPriority w:val="99"/>
    <w:rPr>
      <w:kern w:val="2"/>
      <w:sz w:val="21"/>
      <w:szCs w:val="24"/>
    </w:rPr>
  </w:style>
  <w:style w:type="character" w:customStyle="1" w:styleId="420">
    <w:name w:val="Char Char25"/>
    <w:uiPriority w:val="0"/>
    <w:rPr>
      <w:rFonts w:ascii="Times New Roman" w:hAnsi="Times New Roman" w:eastAsia="宋体" w:cs="Times New Roman"/>
      <w:b/>
      <w:bCs/>
      <w:kern w:val="44"/>
      <w:sz w:val="44"/>
      <w:szCs w:val="44"/>
    </w:rPr>
  </w:style>
  <w:style w:type="character" w:customStyle="1" w:styleId="421">
    <w:name w:val="日期 字符"/>
    <w:link w:val="40"/>
    <w:uiPriority w:val="0"/>
    <w:rPr>
      <w:rFonts w:ascii="宋体" w:hAnsi="Courier New" w:eastAsia="宋体" w:cs="Courier New"/>
      <w:szCs w:val="21"/>
    </w:rPr>
  </w:style>
  <w:style w:type="character" w:customStyle="1" w:styleId="422">
    <w:name w:val="font-25"/>
    <w:basedOn w:val="74"/>
    <w:uiPriority w:val="0"/>
  </w:style>
  <w:style w:type="character" w:customStyle="1" w:styleId="423">
    <w:name w:val="页眉 Char1"/>
    <w:semiHidden/>
    <w:uiPriority w:val="99"/>
    <w:rPr>
      <w:sz w:val="18"/>
      <w:szCs w:val="18"/>
    </w:rPr>
  </w:style>
  <w:style w:type="character" w:customStyle="1" w:styleId="424">
    <w:name w:val="标题 2 字符1"/>
    <w:link w:val="5"/>
    <w:uiPriority w:val="0"/>
    <w:rPr>
      <w:rFonts w:ascii="Arial" w:hAnsi="Arial" w:eastAsia="黑体" w:cs="Times New Roman"/>
      <w:b/>
      <w:bCs/>
      <w:sz w:val="32"/>
      <w:szCs w:val="32"/>
    </w:rPr>
  </w:style>
  <w:style w:type="character" w:customStyle="1" w:styleId="425">
    <w:name w:val="HS-页眉 Char Char"/>
    <w:uiPriority w:val="0"/>
    <w:rPr>
      <w:kern w:val="2"/>
      <w:sz w:val="18"/>
      <w:szCs w:val="18"/>
    </w:rPr>
  </w:style>
  <w:style w:type="character" w:customStyle="1" w:styleId="426">
    <w:name w:val="font541"/>
    <w:qFormat/>
    <w:uiPriority w:val="0"/>
    <w:rPr>
      <w:rFonts w:hint="eastAsia" w:ascii="宋体" w:hAnsi="宋体" w:eastAsia="宋体"/>
      <w:color w:val="000000"/>
      <w:sz w:val="18"/>
      <w:szCs w:val="18"/>
      <w:u w:val="none"/>
    </w:rPr>
  </w:style>
  <w:style w:type="character" w:customStyle="1" w:styleId="427">
    <w:name w:val="hps"/>
    <w:basedOn w:val="74"/>
    <w:uiPriority w:val="0"/>
  </w:style>
  <w:style w:type="character" w:customStyle="1" w:styleId="428">
    <w:name w:val="hui141"/>
    <w:uiPriority w:val="0"/>
    <w:rPr>
      <w:sz w:val="21"/>
      <w:szCs w:val="21"/>
    </w:rPr>
  </w:style>
  <w:style w:type="character" w:customStyle="1" w:styleId="429">
    <w:name w:val="paramname3"/>
    <w:uiPriority w:val="0"/>
    <w:rPr>
      <w:color w:val="999999"/>
    </w:rPr>
  </w:style>
  <w:style w:type="character" w:customStyle="1" w:styleId="430">
    <w:name w:val="Heading 1 Char"/>
    <w:uiPriority w:val="0"/>
    <w:rPr>
      <w:rFonts w:ascii="Times New Roman" w:hAnsi="Times New Roman" w:eastAsia="宋体" w:cs="Times New Roman"/>
      <w:b/>
      <w:bCs/>
      <w:kern w:val="44"/>
      <w:sz w:val="44"/>
      <w:szCs w:val="44"/>
    </w:rPr>
  </w:style>
  <w:style w:type="character" w:customStyle="1" w:styleId="431">
    <w:name w:val="批注框文本 Char1"/>
    <w:semiHidden/>
    <w:uiPriority w:val="99"/>
    <w:rPr>
      <w:sz w:val="18"/>
      <w:szCs w:val="18"/>
    </w:rPr>
  </w:style>
  <w:style w:type="character" w:customStyle="1" w:styleId="432">
    <w:name w:val="Char Char23"/>
    <w:uiPriority w:val="0"/>
    <w:rPr>
      <w:rFonts w:ascii="Times New Roman" w:hAnsi="Times New Roman" w:eastAsia="宋体" w:cs="Times New Roman"/>
      <w:b/>
      <w:bCs/>
      <w:kern w:val="0"/>
      <w:sz w:val="32"/>
      <w:szCs w:val="32"/>
    </w:rPr>
  </w:style>
  <w:style w:type="character" w:customStyle="1" w:styleId="433">
    <w:name w:val="正文文本 3 字符"/>
    <w:link w:val="27"/>
    <w:uiPriority w:val="0"/>
    <w:rPr>
      <w:rFonts w:ascii="Times New Roman" w:hAnsi="Times New Roman" w:eastAsia="宋体" w:cs="Times New Roman"/>
      <w:b/>
      <w:bCs/>
      <w:sz w:val="24"/>
      <w:szCs w:val="24"/>
    </w:rPr>
  </w:style>
  <w:style w:type="character" w:customStyle="1" w:styleId="434">
    <w:name w:val="Level 3 Head Char"/>
    <w:uiPriority w:val="0"/>
    <w:rPr>
      <w:rFonts w:eastAsia="宋体"/>
      <w:b/>
      <w:bCs/>
      <w:sz w:val="32"/>
      <w:szCs w:val="32"/>
      <w:lang w:bidi="ar-SA"/>
    </w:rPr>
  </w:style>
  <w:style w:type="character" w:customStyle="1" w:styleId="435">
    <w:name w:val="apple-converted-space"/>
    <w:basedOn w:val="74"/>
    <w:uiPriority w:val="0"/>
  </w:style>
  <w:style w:type="character" w:customStyle="1" w:styleId="436">
    <w:name w:val="正文--2字符首行缩进 Char"/>
    <w:link w:val="207"/>
    <w:uiPriority w:val="0"/>
    <w:rPr>
      <w:rFonts w:ascii="仿宋_GB2312" w:eastAsia="仿宋_GB2312"/>
      <w:kern w:val="2"/>
      <w:sz w:val="28"/>
      <w:szCs w:val="24"/>
    </w:rPr>
  </w:style>
  <w:style w:type="character" w:customStyle="1" w:styleId="437">
    <w:name w:val="Char Char18"/>
    <w:uiPriority w:val="0"/>
    <w:rPr>
      <w:rFonts w:ascii="Arial" w:hAnsi="Arial" w:eastAsia="黑体" w:cs="Times New Roman"/>
      <w:sz w:val="24"/>
      <w:szCs w:val="24"/>
    </w:rPr>
  </w:style>
  <w:style w:type="character" w:customStyle="1" w:styleId="438">
    <w:name w:val="标题 9 字符1"/>
    <w:link w:val="13"/>
    <w:uiPriority w:val="0"/>
    <w:rPr>
      <w:rFonts w:ascii="Arial" w:hAnsi="Arial" w:eastAsia="黑体"/>
      <w:kern w:val="2"/>
      <w:sz w:val="21"/>
      <w:szCs w:val="24"/>
      <w:lang w:val="en-US" w:eastAsia="zh-CN" w:bidi="ar-SA"/>
    </w:rPr>
  </w:style>
  <w:style w:type="character" w:customStyle="1" w:styleId="439">
    <w:name w:val="标题 5 字符"/>
    <w:uiPriority w:val="0"/>
    <w:rPr>
      <w:rFonts w:ascii="黑体" w:eastAsia="黑体"/>
      <w:bCs/>
      <w:sz w:val="28"/>
      <w:szCs w:val="28"/>
    </w:rPr>
  </w:style>
  <w:style w:type="character" w:customStyle="1" w:styleId="440">
    <w:name w:val="无间隔 字符"/>
    <w:link w:val="133"/>
    <w:uiPriority w:val="0"/>
    <w:rPr>
      <w:rFonts w:eastAsia="Times New Roman"/>
      <w:kern w:val="2"/>
      <w:sz w:val="22"/>
      <w:szCs w:val="22"/>
      <w:lang w:val="en-US" w:eastAsia="zh-CN" w:bidi="ar-SA"/>
    </w:rPr>
  </w:style>
  <w:style w:type="character" w:customStyle="1" w:styleId="441">
    <w:name w:val="ca-0"/>
    <w:basedOn w:val="74"/>
    <w:uiPriority w:val="0"/>
  </w:style>
  <w:style w:type="character" w:customStyle="1" w:styleId="442">
    <w:name w:val="普通文字 Char Char2"/>
    <w:uiPriority w:val="0"/>
    <w:rPr>
      <w:rFonts w:ascii="宋体" w:hAnsi="Courier New" w:eastAsia="宋体"/>
      <w:kern w:val="2"/>
      <w:sz w:val="21"/>
      <w:lang w:val="en-US" w:eastAsia="zh-CN" w:bidi="ar-SA"/>
    </w:rPr>
  </w:style>
  <w:style w:type="character" w:customStyle="1" w:styleId="443">
    <w:name w:val="bullet Char"/>
    <w:uiPriority w:val="0"/>
    <w:rPr>
      <w:rFonts w:ascii="Arial" w:hAnsi="Arial" w:eastAsia="黑体"/>
      <w:sz w:val="28"/>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6248</Words>
  <Characters>35615</Characters>
  <Lines>296</Lines>
  <Paragraphs>83</Paragraphs>
  <TotalTime>24</TotalTime>
  <ScaleCrop>false</ScaleCrop>
  <LinksUpToDate>false</LinksUpToDate>
  <CharactersWithSpaces>41780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2017-09-25T06:48:00Z</dcterms:created>
  <dc:creator>马铭真</dc:creator>
  <cp:lastModifiedBy>Reddington</cp:lastModifiedBy>
  <cp:lastPrinted>2020-10-15T07:36:00Z</cp:lastPrinted>
  <dcterms:modified xsi:type="dcterms:W3CDTF">2020-10-15T08:51:36Z</dcterms:modified>
  <dc:title>电视台专用软硬件及服务采购0331</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